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Default Extension="png" ContentType="image/png"/>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6"/>
        <w:spacing w:line="223" w:lineRule="auto" w:before="84"/>
        <w:ind w:right="5691"/>
      </w:pPr>
      <w:r>
        <w:rPr>
          <w:color w:val="333333"/>
        </w:rPr>
        <w:t>Tuesday</w:t>
      </w:r>
      <w:r>
        <w:rPr>
          <w:color w:val="333333"/>
          <w:spacing w:val="-3"/>
        </w:rPr>
        <w:t> </w:t>
      </w:r>
      <w:r>
        <w:rPr>
          <w:color w:val="333333"/>
        </w:rPr>
        <w:t>24</w:t>
      </w:r>
      <w:r>
        <w:rPr>
          <w:color w:val="333333"/>
          <w:spacing w:val="-3"/>
        </w:rPr>
        <w:t> </w:t>
      </w:r>
      <w:r>
        <w:rPr>
          <w:color w:val="333333"/>
        </w:rPr>
        <w:t>January</w:t>
      </w:r>
      <w:r>
        <w:rPr>
          <w:color w:val="333333"/>
          <w:spacing w:val="-3"/>
        </w:rPr>
        <w:t> </w:t>
      </w:r>
      <w:r>
        <w:rPr>
          <w:color w:val="333333"/>
        </w:rPr>
        <w:t>2023</w:t>
      </w:r>
      <w:r>
        <w:rPr>
          <w:color w:val="333333"/>
          <w:spacing w:val="-3"/>
        </w:rPr>
        <w:t> </w:t>
      </w:r>
      <w:r>
        <w:rPr>
          <w:color w:val="333333"/>
        </w:rPr>
        <w:t>-</w:t>
      </w:r>
      <w:r>
        <w:rPr>
          <w:color w:val="333333"/>
          <w:spacing w:val="-3"/>
        </w:rPr>
        <w:t> </w:t>
      </w:r>
      <w:r>
        <w:rPr>
          <w:color w:val="333333"/>
        </w:rPr>
        <w:t>NWSSP Audit Committee (Part A)</w:t>
      </w:r>
    </w:p>
    <w:p>
      <w:pPr>
        <w:spacing w:before="121"/>
        <w:ind w:left="300" w:right="0" w:firstLine="0"/>
        <w:jc w:val="left"/>
        <w:rPr>
          <w:rFonts w:ascii="Arial"/>
          <w:i/>
          <w:sz w:val="17"/>
        </w:rPr>
      </w:pPr>
      <w:r>
        <w:rPr>
          <w:rFonts w:ascii="Arial"/>
          <w:i/>
          <w:color w:val="333333"/>
          <w:spacing w:val="-2"/>
          <w:w w:val="105"/>
          <w:sz w:val="17"/>
        </w:rPr>
        <w:t>Tue</w:t>
      </w:r>
      <w:r>
        <w:rPr>
          <w:rFonts w:ascii="Arial"/>
          <w:i/>
          <w:color w:val="333333"/>
          <w:spacing w:val="-8"/>
          <w:w w:val="105"/>
          <w:sz w:val="17"/>
        </w:rPr>
        <w:t> </w:t>
      </w:r>
      <w:r>
        <w:rPr>
          <w:rFonts w:ascii="Arial"/>
          <w:i/>
          <w:color w:val="333333"/>
          <w:spacing w:val="-2"/>
          <w:w w:val="105"/>
          <w:sz w:val="17"/>
        </w:rPr>
        <w:t>24</w:t>
      </w:r>
      <w:r>
        <w:rPr>
          <w:rFonts w:ascii="Arial"/>
          <w:i/>
          <w:color w:val="333333"/>
          <w:spacing w:val="-9"/>
          <w:w w:val="105"/>
          <w:sz w:val="17"/>
        </w:rPr>
        <w:t> </w:t>
      </w:r>
      <w:r>
        <w:rPr>
          <w:rFonts w:ascii="Arial"/>
          <w:i/>
          <w:color w:val="333333"/>
          <w:spacing w:val="-2"/>
          <w:w w:val="105"/>
          <w:sz w:val="17"/>
        </w:rPr>
        <w:t>January</w:t>
      </w:r>
      <w:r>
        <w:rPr>
          <w:rFonts w:ascii="Arial"/>
          <w:i/>
          <w:color w:val="333333"/>
          <w:spacing w:val="-8"/>
          <w:w w:val="105"/>
          <w:sz w:val="17"/>
        </w:rPr>
        <w:t> </w:t>
      </w:r>
      <w:r>
        <w:rPr>
          <w:rFonts w:ascii="Arial"/>
          <w:i/>
          <w:color w:val="333333"/>
          <w:spacing w:val="-2"/>
          <w:w w:val="105"/>
          <w:sz w:val="17"/>
        </w:rPr>
        <w:t>2023,</w:t>
      </w:r>
      <w:r>
        <w:rPr>
          <w:rFonts w:ascii="Arial"/>
          <w:i/>
          <w:color w:val="333333"/>
          <w:spacing w:val="-8"/>
          <w:w w:val="105"/>
          <w:sz w:val="17"/>
        </w:rPr>
        <w:t> </w:t>
      </w:r>
      <w:r>
        <w:rPr>
          <w:rFonts w:ascii="Arial"/>
          <w:i/>
          <w:color w:val="333333"/>
          <w:spacing w:val="-2"/>
          <w:w w:val="105"/>
          <w:sz w:val="17"/>
        </w:rPr>
        <w:t>14:00</w:t>
      </w:r>
      <w:r>
        <w:rPr>
          <w:rFonts w:ascii="Arial"/>
          <w:i/>
          <w:color w:val="333333"/>
          <w:spacing w:val="-8"/>
          <w:w w:val="105"/>
          <w:sz w:val="17"/>
        </w:rPr>
        <w:t> </w:t>
      </w:r>
      <w:r>
        <w:rPr>
          <w:rFonts w:ascii="Arial"/>
          <w:i/>
          <w:color w:val="333333"/>
          <w:spacing w:val="-2"/>
          <w:w w:val="105"/>
          <w:sz w:val="17"/>
        </w:rPr>
        <w:t>-</w:t>
      </w:r>
      <w:r>
        <w:rPr>
          <w:rFonts w:ascii="Arial"/>
          <w:i/>
          <w:color w:val="333333"/>
          <w:spacing w:val="-8"/>
          <w:w w:val="105"/>
          <w:sz w:val="17"/>
        </w:rPr>
        <w:t> </w:t>
      </w:r>
      <w:r>
        <w:rPr>
          <w:rFonts w:ascii="Arial"/>
          <w:i/>
          <w:color w:val="333333"/>
          <w:spacing w:val="-4"/>
          <w:w w:val="105"/>
          <w:sz w:val="17"/>
        </w:rPr>
        <w:t>16:00</w:t>
      </w:r>
    </w:p>
    <w:p>
      <w:pPr>
        <w:spacing w:before="135"/>
        <w:ind w:left="300" w:right="0" w:firstLine="0"/>
        <w:jc w:val="left"/>
        <w:rPr>
          <w:rFonts w:ascii="Arial"/>
          <w:b/>
          <w:sz w:val="17"/>
        </w:rPr>
      </w:pPr>
      <w:r>
        <w:rPr>
          <w:rFonts w:ascii="Arial"/>
          <w:b/>
          <w:color w:val="333333"/>
          <w:sz w:val="17"/>
        </w:rPr>
        <w:t>By</w:t>
      </w:r>
      <w:r>
        <w:rPr>
          <w:rFonts w:ascii="Arial"/>
          <w:b/>
          <w:color w:val="333333"/>
          <w:spacing w:val="4"/>
          <w:sz w:val="17"/>
        </w:rPr>
        <w:t> </w:t>
      </w:r>
      <w:r>
        <w:rPr>
          <w:rFonts w:ascii="Arial"/>
          <w:b/>
          <w:color w:val="333333"/>
          <w:sz w:val="17"/>
        </w:rPr>
        <w:t>Microsoft</w:t>
      </w:r>
      <w:r>
        <w:rPr>
          <w:rFonts w:ascii="Arial"/>
          <w:b/>
          <w:color w:val="333333"/>
          <w:spacing w:val="5"/>
          <w:sz w:val="17"/>
        </w:rPr>
        <w:t> </w:t>
      </w:r>
      <w:r>
        <w:rPr>
          <w:rFonts w:ascii="Arial"/>
          <w:b/>
          <w:color w:val="333333"/>
          <w:spacing w:val="-2"/>
          <w:sz w:val="17"/>
        </w:rPr>
        <w:t>Teams</w:t>
      </w:r>
    </w:p>
    <w:p>
      <w:pPr>
        <w:pStyle w:val="BodyText"/>
        <w:rPr>
          <w:rFonts w:ascii="Arial"/>
          <w:b/>
          <w:sz w:val="20"/>
        </w:rPr>
      </w:pPr>
    </w:p>
    <w:p>
      <w:pPr>
        <w:pStyle w:val="Heading6"/>
        <w:spacing w:before="128"/>
      </w:pPr>
      <w:r>
        <w:rPr>
          <w:color w:val="333333"/>
          <w:spacing w:val="-2"/>
        </w:rPr>
        <w:t>Agenda</w:t>
      </w:r>
    </w:p>
    <w:p>
      <w:pPr>
        <w:pStyle w:val="BodyText"/>
        <w:spacing w:before="3"/>
        <w:rPr>
          <w:rFonts w:ascii="Arial"/>
          <w:b/>
          <w:sz w:val="13"/>
        </w:rPr>
      </w:pPr>
      <w:r>
        <w:rPr/>
        <w:pict>
          <v:rect style="position:absolute;margin-left:15pt;margin-top:8.860907pt;width:565.000183pt;height:1.103516pt;mso-position-horizontal-relative:page;mso-position-vertical-relative:paragraph;z-index:-15728640;mso-wrap-distance-left:0;mso-wrap-distance-right:0" id="docshape1" filled="true" fillcolor="#dddddd" stroked="false">
            <v:fill type="solid"/>
            <w10:wrap type="topAndBottom"/>
          </v:rect>
        </w:pict>
      </w:r>
    </w:p>
    <w:p>
      <w:pPr>
        <w:pStyle w:val="BodyText"/>
        <w:spacing w:before="9"/>
        <w:rPr>
          <w:rFonts w:ascii="Arial"/>
          <w:b/>
          <w:sz w:val="9"/>
        </w:rPr>
      </w:pPr>
    </w:p>
    <w:p>
      <w:pPr>
        <w:spacing w:after="0"/>
        <w:rPr>
          <w:rFonts w:ascii="Arial"/>
          <w:sz w:val="9"/>
        </w:rPr>
        <w:sectPr>
          <w:type w:val="continuous"/>
          <w:pgSz w:w="11900" w:h="16840"/>
          <w:pgMar w:top="740" w:bottom="280" w:left="0" w:right="0"/>
        </w:sectPr>
      </w:pPr>
    </w:p>
    <w:p>
      <w:pPr>
        <w:spacing w:before="125"/>
        <w:ind w:left="0" w:right="0" w:firstLine="0"/>
        <w:jc w:val="right"/>
        <w:rPr>
          <w:rFonts w:ascii="Arial"/>
          <w:b/>
          <w:sz w:val="17"/>
        </w:rPr>
      </w:pPr>
      <w:bookmarkStart w:name=" 1. Standard Business" w:id="1"/>
      <w:bookmarkEnd w:id="1"/>
      <w:r>
        <w:rPr/>
      </w:r>
      <w:r>
        <w:rPr>
          <w:rFonts w:ascii="Arial"/>
          <w:b/>
          <w:color w:val="333333"/>
          <w:sz w:val="17"/>
        </w:rPr>
        <w:t>14:00</w:t>
      </w:r>
      <w:r>
        <w:rPr>
          <w:rFonts w:ascii="Arial"/>
          <w:b/>
          <w:color w:val="333333"/>
          <w:spacing w:val="7"/>
          <w:sz w:val="17"/>
        </w:rPr>
        <w:t> </w:t>
      </w:r>
      <w:r>
        <w:rPr>
          <w:rFonts w:ascii="Arial"/>
          <w:color w:val="333333"/>
          <w:sz w:val="17"/>
        </w:rPr>
        <w:t>-</w:t>
      </w:r>
      <w:r>
        <w:rPr>
          <w:rFonts w:ascii="Arial"/>
          <w:color w:val="333333"/>
          <w:spacing w:val="4"/>
          <w:sz w:val="17"/>
        </w:rPr>
        <w:t> </w:t>
      </w:r>
      <w:r>
        <w:rPr>
          <w:rFonts w:ascii="Arial"/>
          <w:b/>
          <w:color w:val="333333"/>
          <w:spacing w:val="-2"/>
          <w:sz w:val="17"/>
        </w:rPr>
        <w:t>14:15</w:t>
      </w:r>
    </w:p>
    <w:p>
      <w:pPr>
        <w:spacing w:before="55"/>
        <w:ind w:left="0" w:right="0" w:firstLine="0"/>
        <w:jc w:val="right"/>
        <w:rPr>
          <w:rFonts w:ascii="Arial"/>
          <w:sz w:val="15"/>
        </w:rPr>
      </w:pPr>
      <w:r>
        <w:rPr>
          <w:rFonts w:ascii="Arial"/>
          <w:sz w:val="15"/>
        </w:rPr>
        <w:t>15</w:t>
      </w:r>
      <w:r>
        <w:rPr>
          <w:rFonts w:ascii="Arial"/>
          <w:spacing w:val="3"/>
          <w:sz w:val="15"/>
        </w:rPr>
        <w:t> </w:t>
      </w:r>
      <w:r>
        <w:rPr>
          <w:rFonts w:ascii="Arial"/>
          <w:spacing w:val="-5"/>
          <w:sz w:val="15"/>
        </w:rPr>
        <w:t>min</w:t>
      </w: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spacing w:before="5"/>
        <w:rPr>
          <w:rFonts w:ascii="Arial"/>
          <w:sz w:val="16"/>
        </w:rPr>
      </w:pPr>
    </w:p>
    <w:p>
      <w:pPr>
        <w:spacing w:before="0"/>
        <w:ind w:left="0" w:right="0" w:firstLine="0"/>
        <w:jc w:val="right"/>
        <w:rPr>
          <w:rFonts w:ascii="Arial"/>
          <w:b/>
          <w:sz w:val="17"/>
        </w:rPr>
      </w:pPr>
      <w:r>
        <w:rPr/>
        <w:pict>
          <v:rect style="position:absolute;margin-left:15pt;margin-top:-14.649154pt;width:565.000183pt;height:.551758pt;mso-position-horizontal-relative:page;mso-position-vertical-relative:paragraph;z-index:15729152" id="docshape2" filled="true" fillcolor="#ededed" stroked="false">
            <v:fill type="solid"/>
            <w10:wrap type="none"/>
          </v:rect>
        </w:pict>
      </w:r>
      <w:bookmarkStart w:name=" 1.1. Welcome and Opening Remarks (verba" w:id="2"/>
      <w:bookmarkEnd w:id="2"/>
      <w:r>
        <w:rPr/>
      </w:r>
      <w:bookmarkStart w:name=" 1.2. Apologies" w:id="3"/>
      <w:bookmarkEnd w:id="3"/>
      <w:r>
        <w:rPr/>
      </w:r>
      <w:bookmarkStart w:name=" 1.3. Declarations of Interest" w:id="4"/>
      <w:bookmarkEnd w:id="4"/>
      <w:r>
        <w:rPr/>
      </w:r>
      <w:bookmarkStart w:name=" 1.4. Minutes of Meeting Held on 11 Octo" w:id="5"/>
      <w:bookmarkEnd w:id="5"/>
      <w:r>
        <w:rPr/>
      </w:r>
      <w:bookmarkStart w:name=" 1.5. Matters Arising" w:id="6"/>
      <w:bookmarkEnd w:id="6"/>
      <w:r>
        <w:rPr/>
      </w:r>
      <w:bookmarkStart w:name=" 2. NWSSP Update" w:id="7"/>
      <w:bookmarkEnd w:id="7"/>
      <w:r>
        <w:rPr/>
      </w:r>
      <w:r>
        <w:rPr>
          <w:rFonts w:ascii="Arial"/>
          <w:b/>
          <w:color w:val="333333"/>
          <w:sz w:val="17"/>
        </w:rPr>
        <w:t>14:15</w:t>
      </w:r>
      <w:r>
        <w:rPr>
          <w:rFonts w:ascii="Arial"/>
          <w:b/>
          <w:color w:val="333333"/>
          <w:spacing w:val="7"/>
          <w:sz w:val="17"/>
        </w:rPr>
        <w:t> </w:t>
      </w:r>
      <w:r>
        <w:rPr>
          <w:rFonts w:ascii="Arial"/>
          <w:color w:val="333333"/>
          <w:sz w:val="17"/>
        </w:rPr>
        <w:t>-</w:t>
      </w:r>
      <w:r>
        <w:rPr>
          <w:rFonts w:ascii="Arial"/>
          <w:color w:val="333333"/>
          <w:spacing w:val="4"/>
          <w:sz w:val="17"/>
        </w:rPr>
        <w:t> </w:t>
      </w:r>
      <w:r>
        <w:rPr>
          <w:rFonts w:ascii="Arial"/>
          <w:b/>
          <w:color w:val="333333"/>
          <w:spacing w:val="-2"/>
          <w:sz w:val="17"/>
        </w:rPr>
        <w:t>14:25</w:t>
      </w:r>
    </w:p>
    <w:p>
      <w:pPr>
        <w:spacing w:before="55"/>
        <w:ind w:left="0" w:right="0" w:firstLine="0"/>
        <w:jc w:val="right"/>
        <w:rPr>
          <w:rFonts w:ascii="Arial"/>
          <w:sz w:val="15"/>
        </w:rPr>
      </w:pPr>
      <w:r>
        <w:rPr>
          <w:rFonts w:ascii="Arial"/>
          <w:sz w:val="15"/>
        </w:rPr>
        <w:t>10</w:t>
      </w:r>
      <w:r>
        <w:rPr>
          <w:rFonts w:ascii="Arial"/>
          <w:spacing w:val="3"/>
          <w:sz w:val="15"/>
        </w:rPr>
        <w:t> </w:t>
      </w:r>
      <w:r>
        <w:rPr>
          <w:rFonts w:ascii="Arial"/>
          <w:spacing w:val="-5"/>
          <w:sz w:val="15"/>
        </w:rPr>
        <w:t>min</w:t>
      </w: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spacing w:before="9"/>
        <w:rPr>
          <w:rFonts w:ascii="Arial"/>
          <w:sz w:val="19"/>
        </w:rPr>
      </w:pPr>
    </w:p>
    <w:p>
      <w:pPr>
        <w:spacing w:before="0"/>
        <w:ind w:left="0" w:right="0" w:firstLine="0"/>
        <w:jc w:val="right"/>
        <w:rPr>
          <w:rFonts w:ascii="Arial"/>
          <w:b/>
          <w:sz w:val="17"/>
        </w:rPr>
      </w:pPr>
      <w:r>
        <w:rPr/>
        <w:pict>
          <v:rect style="position:absolute;margin-left:15pt;margin-top:-14.649156pt;width:565.000183pt;height:.551758pt;mso-position-horizontal-relative:page;mso-position-vertical-relative:paragraph;z-index:15729664" id="docshape3" filled="true" fillcolor="#ededed" stroked="false">
            <v:fill type="solid"/>
            <w10:wrap type="none"/>
          </v:rect>
        </w:pict>
      </w:r>
      <w:bookmarkStart w:name=" 3. External Audit" w:id="8"/>
      <w:bookmarkEnd w:id="8"/>
      <w:r>
        <w:rPr/>
      </w:r>
      <w:r>
        <w:rPr>
          <w:rFonts w:ascii="Arial"/>
          <w:b/>
          <w:color w:val="333333"/>
          <w:sz w:val="17"/>
        </w:rPr>
        <w:t>14:25</w:t>
      </w:r>
      <w:r>
        <w:rPr>
          <w:rFonts w:ascii="Arial"/>
          <w:b/>
          <w:color w:val="333333"/>
          <w:spacing w:val="7"/>
          <w:sz w:val="17"/>
        </w:rPr>
        <w:t> </w:t>
      </w:r>
      <w:r>
        <w:rPr>
          <w:rFonts w:ascii="Arial"/>
          <w:color w:val="333333"/>
          <w:sz w:val="17"/>
        </w:rPr>
        <w:t>-</w:t>
      </w:r>
      <w:r>
        <w:rPr>
          <w:rFonts w:ascii="Arial"/>
          <w:color w:val="333333"/>
          <w:spacing w:val="4"/>
          <w:sz w:val="17"/>
        </w:rPr>
        <w:t> </w:t>
      </w:r>
      <w:r>
        <w:rPr>
          <w:rFonts w:ascii="Arial"/>
          <w:b/>
          <w:color w:val="333333"/>
          <w:spacing w:val="-2"/>
          <w:sz w:val="17"/>
        </w:rPr>
        <w:t>14:35</w:t>
      </w:r>
    </w:p>
    <w:p>
      <w:pPr>
        <w:spacing w:before="55"/>
        <w:ind w:left="0" w:right="0" w:firstLine="0"/>
        <w:jc w:val="right"/>
        <w:rPr>
          <w:rFonts w:ascii="Arial"/>
          <w:sz w:val="15"/>
        </w:rPr>
      </w:pPr>
      <w:r>
        <w:rPr>
          <w:rFonts w:ascii="Arial"/>
          <w:sz w:val="15"/>
        </w:rPr>
        <w:t>10</w:t>
      </w:r>
      <w:r>
        <w:rPr>
          <w:rFonts w:ascii="Arial"/>
          <w:spacing w:val="3"/>
          <w:sz w:val="15"/>
        </w:rPr>
        <w:t> </w:t>
      </w:r>
      <w:r>
        <w:rPr>
          <w:rFonts w:ascii="Arial"/>
          <w:spacing w:val="-5"/>
          <w:sz w:val="15"/>
        </w:rPr>
        <w:t>min</w:t>
      </w: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spacing w:before="117"/>
        <w:ind w:left="0" w:right="0" w:firstLine="0"/>
        <w:jc w:val="right"/>
        <w:rPr>
          <w:rFonts w:ascii="Arial"/>
          <w:b/>
          <w:sz w:val="17"/>
        </w:rPr>
      </w:pPr>
      <w:r>
        <w:rPr/>
        <w:pict>
          <v:rect style="position:absolute;margin-left:15pt;margin-top:-8.799157pt;width:565.000183pt;height:.551758pt;mso-position-horizontal-relative:page;mso-position-vertical-relative:paragraph;z-index:15730176" id="docshape4" filled="true" fillcolor="#ededed" stroked="false">
            <v:fill type="solid"/>
            <w10:wrap type="none"/>
          </v:rect>
        </w:pict>
      </w:r>
      <w:bookmarkStart w:name=" 3.1. Audit Wales Update" w:id="9"/>
      <w:bookmarkEnd w:id="9"/>
      <w:r>
        <w:rPr/>
      </w:r>
      <w:bookmarkStart w:name=" 4. Internal Audit" w:id="10"/>
      <w:bookmarkEnd w:id="10"/>
      <w:r>
        <w:rPr/>
      </w:r>
      <w:r>
        <w:rPr>
          <w:rFonts w:ascii="Arial"/>
          <w:b/>
          <w:color w:val="333333"/>
          <w:sz w:val="17"/>
        </w:rPr>
        <w:t>14:35</w:t>
      </w:r>
      <w:r>
        <w:rPr>
          <w:rFonts w:ascii="Arial"/>
          <w:b/>
          <w:color w:val="333333"/>
          <w:spacing w:val="7"/>
          <w:sz w:val="17"/>
        </w:rPr>
        <w:t> </w:t>
      </w:r>
      <w:r>
        <w:rPr>
          <w:rFonts w:ascii="Arial"/>
          <w:color w:val="333333"/>
          <w:sz w:val="17"/>
        </w:rPr>
        <w:t>-</w:t>
      </w:r>
      <w:r>
        <w:rPr>
          <w:rFonts w:ascii="Arial"/>
          <w:color w:val="333333"/>
          <w:spacing w:val="4"/>
          <w:sz w:val="17"/>
        </w:rPr>
        <w:t> </w:t>
      </w:r>
      <w:r>
        <w:rPr>
          <w:rFonts w:ascii="Arial"/>
          <w:b/>
          <w:color w:val="333333"/>
          <w:spacing w:val="-2"/>
          <w:sz w:val="17"/>
        </w:rPr>
        <w:t>15:00</w:t>
      </w:r>
    </w:p>
    <w:p>
      <w:pPr>
        <w:spacing w:before="55"/>
        <w:ind w:left="0" w:right="0" w:firstLine="0"/>
        <w:jc w:val="right"/>
        <w:rPr>
          <w:rFonts w:ascii="Arial"/>
          <w:sz w:val="15"/>
        </w:rPr>
      </w:pPr>
      <w:r>
        <w:rPr>
          <w:rFonts w:ascii="Arial"/>
          <w:sz w:val="15"/>
        </w:rPr>
        <w:t>25</w:t>
      </w:r>
      <w:r>
        <w:rPr>
          <w:rFonts w:ascii="Arial"/>
          <w:spacing w:val="3"/>
          <w:sz w:val="15"/>
        </w:rPr>
        <w:t> </w:t>
      </w:r>
      <w:r>
        <w:rPr>
          <w:rFonts w:ascii="Arial"/>
          <w:spacing w:val="-5"/>
          <w:sz w:val="15"/>
        </w:rPr>
        <w:t>min</w:t>
      </w:r>
    </w:p>
    <w:p>
      <w:pPr>
        <w:pStyle w:val="ListParagraph"/>
        <w:numPr>
          <w:ilvl w:val="0"/>
          <w:numId w:val="1"/>
        </w:numPr>
        <w:tabs>
          <w:tab w:pos="432" w:val="left" w:leader="none"/>
        </w:tabs>
        <w:spacing w:line="240" w:lineRule="auto" w:before="96" w:after="0"/>
        <w:ind w:left="431" w:right="0" w:hanging="299"/>
        <w:jc w:val="left"/>
        <w:rPr>
          <w:rFonts w:ascii="Arial"/>
          <w:b/>
          <w:sz w:val="26"/>
        </w:rPr>
      </w:pPr>
      <w:r>
        <w:rPr/>
        <w:br w:type="column"/>
      </w:r>
      <w:r>
        <w:rPr>
          <w:rFonts w:ascii="Arial"/>
          <w:b/>
          <w:color w:val="333333"/>
          <w:sz w:val="26"/>
        </w:rPr>
        <w:t>Standard</w:t>
      </w:r>
      <w:r>
        <w:rPr>
          <w:rFonts w:ascii="Arial"/>
          <w:b/>
          <w:color w:val="333333"/>
          <w:spacing w:val="4"/>
          <w:sz w:val="26"/>
        </w:rPr>
        <w:t> </w:t>
      </w:r>
      <w:r>
        <w:rPr>
          <w:rFonts w:ascii="Arial"/>
          <w:b/>
          <w:color w:val="333333"/>
          <w:spacing w:val="-2"/>
          <w:sz w:val="26"/>
        </w:rPr>
        <w:t>Business</w:t>
      </w:r>
    </w:p>
    <w:p>
      <w:pPr>
        <w:spacing w:before="249"/>
        <w:ind w:left="486" w:right="0" w:firstLine="0"/>
        <w:jc w:val="left"/>
        <w:rPr>
          <w:rFonts w:ascii="Arial"/>
          <w:i/>
          <w:sz w:val="17"/>
        </w:rPr>
      </w:pPr>
      <w:r>
        <w:rPr>
          <w:rFonts w:ascii="Arial"/>
          <w:i/>
          <w:color w:val="333333"/>
          <w:w w:val="105"/>
          <w:sz w:val="17"/>
        </w:rPr>
        <w:t>Martin</w:t>
      </w:r>
      <w:r>
        <w:rPr>
          <w:rFonts w:ascii="Arial"/>
          <w:i/>
          <w:color w:val="333333"/>
          <w:spacing w:val="-10"/>
          <w:w w:val="105"/>
          <w:sz w:val="17"/>
        </w:rPr>
        <w:t> </w:t>
      </w:r>
      <w:r>
        <w:rPr>
          <w:rFonts w:ascii="Arial"/>
          <w:i/>
          <w:color w:val="333333"/>
          <w:spacing w:val="-2"/>
          <w:w w:val="105"/>
          <w:sz w:val="17"/>
        </w:rPr>
        <w:t>Veale</w:t>
      </w:r>
    </w:p>
    <w:p>
      <w:pPr>
        <w:pStyle w:val="BodyText"/>
        <w:spacing w:before="10"/>
        <w:rPr>
          <w:rFonts w:ascii="Arial"/>
          <w:i/>
          <w:sz w:val="26"/>
        </w:rPr>
      </w:pPr>
    </w:p>
    <w:p>
      <w:pPr>
        <w:pStyle w:val="ListParagraph"/>
        <w:numPr>
          <w:ilvl w:val="1"/>
          <w:numId w:val="1"/>
        </w:numPr>
        <w:tabs>
          <w:tab w:pos="575" w:val="left" w:leader="none"/>
        </w:tabs>
        <w:spacing w:line="240" w:lineRule="auto" w:before="0" w:after="0"/>
        <w:ind w:left="575" w:right="0" w:hanging="442"/>
        <w:jc w:val="left"/>
        <w:rPr>
          <w:rFonts w:ascii="Arial"/>
          <w:b/>
          <w:sz w:val="22"/>
        </w:rPr>
      </w:pPr>
      <w:r>
        <w:rPr>
          <w:rFonts w:ascii="Arial"/>
          <w:b/>
          <w:color w:val="333333"/>
          <w:sz w:val="22"/>
        </w:rPr>
        <w:t>Welcome</w:t>
      </w:r>
      <w:r>
        <w:rPr>
          <w:rFonts w:ascii="Arial"/>
          <w:b/>
          <w:color w:val="333333"/>
          <w:spacing w:val="-13"/>
          <w:sz w:val="22"/>
        </w:rPr>
        <w:t> </w:t>
      </w:r>
      <w:r>
        <w:rPr>
          <w:rFonts w:ascii="Arial"/>
          <w:b/>
          <w:color w:val="333333"/>
          <w:sz w:val="22"/>
        </w:rPr>
        <w:t>and</w:t>
      </w:r>
      <w:r>
        <w:rPr>
          <w:rFonts w:ascii="Arial"/>
          <w:b/>
          <w:color w:val="333333"/>
          <w:spacing w:val="-13"/>
          <w:sz w:val="22"/>
        </w:rPr>
        <w:t> </w:t>
      </w:r>
      <w:r>
        <w:rPr>
          <w:rFonts w:ascii="Arial"/>
          <w:b/>
          <w:color w:val="333333"/>
          <w:sz w:val="22"/>
        </w:rPr>
        <w:t>Opening</w:t>
      </w:r>
      <w:r>
        <w:rPr>
          <w:rFonts w:ascii="Arial"/>
          <w:b/>
          <w:color w:val="333333"/>
          <w:spacing w:val="-13"/>
          <w:sz w:val="22"/>
        </w:rPr>
        <w:t> </w:t>
      </w:r>
      <w:r>
        <w:rPr>
          <w:rFonts w:ascii="Arial"/>
          <w:b/>
          <w:color w:val="333333"/>
          <w:sz w:val="22"/>
        </w:rPr>
        <w:t>Remarks</w:t>
      </w:r>
      <w:r>
        <w:rPr>
          <w:rFonts w:ascii="Arial"/>
          <w:b/>
          <w:color w:val="333333"/>
          <w:spacing w:val="-13"/>
          <w:sz w:val="22"/>
        </w:rPr>
        <w:t> </w:t>
      </w:r>
      <w:r>
        <w:rPr>
          <w:rFonts w:ascii="Arial"/>
          <w:b/>
          <w:color w:val="333333"/>
          <w:spacing w:val="-2"/>
          <w:sz w:val="22"/>
        </w:rPr>
        <w:t>(verbal)</w:t>
      </w:r>
    </w:p>
    <w:p>
      <w:pPr>
        <w:pStyle w:val="BodyText"/>
        <w:spacing w:before="5"/>
        <w:rPr>
          <w:rFonts w:ascii="Arial"/>
          <w:b/>
          <w:sz w:val="20"/>
        </w:rPr>
      </w:pPr>
    </w:p>
    <w:p>
      <w:pPr>
        <w:spacing w:before="0"/>
        <w:ind w:left="486" w:right="0" w:firstLine="0"/>
        <w:jc w:val="left"/>
        <w:rPr>
          <w:rFonts w:ascii="Arial"/>
          <w:i/>
          <w:sz w:val="17"/>
        </w:rPr>
      </w:pPr>
      <w:r>
        <w:rPr>
          <w:rFonts w:ascii="Arial"/>
          <w:i/>
          <w:color w:val="333333"/>
          <w:w w:val="105"/>
          <w:sz w:val="17"/>
        </w:rPr>
        <w:t>Martin</w:t>
      </w:r>
      <w:r>
        <w:rPr>
          <w:rFonts w:ascii="Arial"/>
          <w:i/>
          <w:color w:val="333333"/>
          <w:spacing w:val="-10"/>
          <w:w w:val="105"/>
          <w:sz w:val="17"/>
        </w:rPr>
        <w:t> </w:t>
      </w:r>
      <w:r>
        <w:rPr>
          <w:rFonts w:ascii="Arial"/>
          <w:i/>
          <w:color w:val="333333"/>
          <w:spacing w:val="-2"/>
          <w:w w:val="105"/>
          <w:sz w:val="17"/>
        </w:rPr>
        <w:t>Veale</w:t>
      </w:r>
    </w:p>
    <w:p>
      <w:pPr>
        <w:pStyle w:val="BodyText"/>
        <w:spacing w:before="11"/>
        <w:rPr>
          <w:rFonts w:ascii="Arial"/>
          <w:i/>
          <w:sz w:val="26"/>
        </w:rPr>
      </w:pPr>
    </w:p>
    <w:p>
      <w:pPr>
        <w:pStyle w:val="ListParagraph"/>
        <w:numPr>
          <w:ilvl w:val="1"/>
          <w:numId w:val="1"/>
        </w:numPr>
        <w:tabs>
          <w:tab w:pos="575" w:val="left" w:leader="none"/>
        </w:tabs>
        <w:spacing w:line="240" w:lineRule="auto" w:before="0" w:after="0"/>
        <w:ind w:left="575" w:right="0" w:hanging="442"/>
        <w:jc w:val="left"/>
        <w:rPr>
          <w:rFonts w:ascii="Arial"/>
          <w:b/>
          <w:sz w:val="22"/>
        </w:rPr>
      </w:pPr>
      <w:r>
        <w:rPr>
          <w:rFonts w:ascii="Arial"/>
          <w:b/>
          <w:color w:val="333333"/>
          <w:spacing w:val="-2"/>
          <w:sz w:val="22"/>
        </w:rPr>
        <w:t>Apologies</w:t>
      </w:r>
    </w:p>
    <w:p>
      <w:pPr>
        <w:pStyle w:val="BodyText"/>
        <w:spacing w:before="5"/>
        <w:rPr>
          <w:rFonts w:ascii="Arial"/>
          <w:b/>
          <w:sz w:val="20"/>
        </w:rPr>
      </w:pPr>
    </w:p>
    <w:p>
      <w:pPr>
        <w:spacing w:before="0"/>
        <w:ind w:left="486" w:right="0" w:firstLine="0"/>
        <w:jc w:val="left"/>
        <w:rPr>
          <w:rFonts w:ascii="Arial"/>
          <w:i/>
          <w:sz w:val="17"/>
        </w:rPr>
      </w:pPr>
      <w:r>
        <w:rPr>
          <w:rFonts w:ascii="Arial"/>
          <w:i/>
          <w:color w:val="333333"/>
          <w:w w:val="105"/>
          <w:sz w:val="17"/>
        </w:rPr>
        <w:t>Martin</w:t>
      </w:r>
      <w:r>
        <w:rPr>
          <w:rFonts w:ascii="Arial"/>
          <w:i/>
          <w:color w:val="333333"/>
          <w:spacing w:val="-10"/>
          <w:w w:val="105"/>
          <w:sz w:val="17"/>
        </w:rPr>
        <w:t> </w:t>
      </w:r>
      <w:r>
        <w:rPr>
          <w:rFonts w:ascii="Arial"/>
          <w:i/>
          <w:color w:val="333333"/>
          <w:spacing w:val="-2"/>
          <w:w w:val="105"/>
          <w:sz w:val="17"/>
        </w:rPr>
        <w:t>Veale</w:t>
      </w:r>
    </w:p>
    <w:p>
      <w:pPr>
        <w:pStyle w:val="BodyText"/>
        <w:spacing w:before="10"/>
        <w:rPr>
          <w:rFonts w:ascii="Arial"/>
          <w:i/>
          <w:sz w:val="26"/>
        </w:rPr>
      </w:pPr>
    </w:p>
    <w:p>
      <w:pPr>
        <w:pStyle w:val="ListParagraph"/>
        <w:numPr>
          <w:ilvl w:val="1"/>
          <w:numId w:val="1"/>
        </w:numPr>
        <w:tabs>
          <w:tab w:pos="575" w:val="left" w:leader="none"/>
        </w:tabs>
        <w:spacing w:line="240" w:lineRule="auto" w:before="1" w:after="0"/>
        <w:ind w:left="575" w:right="0" w:hanging="442"/>
        <w:jc w:val="left"/>
        <w:rPr>
          <w:rFonts w:ascii="Arial"/>
          <w:b/>
          <w:sz w:val="22"/>
        </w:rPr>
      </w:pPr>
      <w:r>
        <w:rPr>
          <w:rFonts w:ascii="Arial"/>
          <w:b/>
          <w:color w:val="333333"/>
          <w:sz w:val="22"/>
        </w:rPr>
        <w:t>Declarations</w:t>
      </w:r>
      <w:r>
        <w:rPr>
          <w:rFonts w:ascii="Arial"/>
          <w:b/>
          <w:color w:val="333333"/>
          <w:spacing w:val="-8"/>
          <w:sz w:val="22"/>
        </w:rPr>
        <w:t> </w:t>
      </w:r>
      <w:r>
        <w:rPr>
          <w:rFonts w:ascii="Arial"/>
          <w:b/>
          <w:color w:val="333333"/>
          <w:sz w:val="22"/>
        </w:rPr>
        <w:t>of</w:t>
      </w:r>
      <w:r>
        <w:rPr>
          <w:rFonts w:ascii="Arial"/>
          <w:b/>
          <w:color w:val="333333"/>
          <w:spacing w:val="-8"/>
          <w:sz w:val="22"/>
        </w:rPr>
        <w:t> </w:t>
      </w:r>
      <w:r>
        <w:rPr>
          <w:rFonts w:ascii="Arial"/>
          <w:b/>
          <w:color w:val="333333"/>
          <w:spacing w:val="-2"/>
          <w:sz w:val="22"/>
        </w:rPr>
        <w:t>Interest</w:t>
      </w:r>
    </w:p>
    <w:p>
      <w:pPr>
        <w:pStyle w:val="BodyText"/>
        <w:spacing w:before="5"/>
        <w:rPr>
          <w:rFonts w:ascii="Arial"/>
          <w:b/>
          <w:sz w:val="20"/>
        </w:rPr>
      </w:pPr>
    </w:p>
    <w:p>
      <w:pPr>
        <w:spacing w:before="0"/>
        <w:ind w:left="486" w:right="0" w:firstLine="0"/>
        <w:jc w:val="left"/>
        <w:rPr>
          <w:rFonts w:ascii="Arial"/>
          <w:i/>
          <w:sz w:val="17"/>
        </w:rPr>
      </w:pPr>
      <w:r>
        <w:rPr>
          <w:rFonts w:ascii="Arial"/>
          <w:i/>
          <w:color w:val="333333"/>
          <w:w w:val="105"/>
          <w:sz w:val="17"/>
        </w:rPr>
        <w:t>Martin</w:t>
      </w:r>
      <w:r>
        <w:rPr>
          <w:rFonts w:ascii="Arial"/>
          <w:i/>
          <w:color w:val="333333"/>
          <w:spacing w:val="-10"/>
          <w:w w:val="105"/>
          <w:sz w:val="17"/>
        </w:rPr>
        <w:t> </w:t>
      </w:r>
      <w:r>
        <w:rPr>
          <w:rFonts w:ascii="Arial"/>
          <w:i/>
          <w:color w:val="333333"/>
          <w:spacing w:val="-2"/>
          <w:w w:val="105"/>
          <w:sz w:val="17"/>
        </w:rPr>
        <w:t>Veale</w:t>
      </w:r>
    </w:p>
    <w:p>
      <w:pPr>
        <w:pStyle w:val="BodyText"/>
        <w:spacing w:before="10"/>
        <w:rPr>
          <w:rFonts w:ascii="Arial"/>
          <w:i/>
          <w:sz w:val="26"/>
        </w:rPr>
      </w:pPr>
    </w:p>
    <w:p>
      <w:pPr>
        <w:pStyle w:val="ListParagraph"/>
        <w:numPr>
          <w:ilvl w:val="1"/>
          <w:numId w:val="1"/>
        </w:numPr>
        <w:tabs>
          <w:tab w:pos="575" w:val="left" w:leader="none"/>
        </w:tabs>
        <w:spacing w:line="240" w:lineRule="auto" w:before="0" w:after="0"/>
        <w:ind w:left="575" w:right="0" w:hanging="442"/>
        <w:jc w:val="left"/>
        <w:rPr>
          <w:rFonts w:ascii="Arial"/>
          <w:b/>
          <w:sz w:val="22"/>
        </w:rPr>
      </w:pPr>
      <w:r>
        <w:rPr>
          <w:rFonts w:ascii="Arial"/>
          <w:b/>
          <w:color w:val="333333"/>
          <w:sz w:val="22"/>
        </w:rPr>
        <w:t>Minutes</w:t>
      </w:r>
      <w:r>
        <w:rPr>
          <w:rFonts w:ascii="Arial"/>
          <w:b/>
          <w:color w:val="333333"/>
          <w:spacing w:val="-7"/>
          <w:sz w:val="22"/>
        </w:rPr>
        <w:t> </w:t>
      </w:r>
      <w:r>
        <w:rPr>
          <w:rFonts w:ascii="Arial"/>
          <w:b/>
          <w:color w:val="333333"/>
          <w:sz w:val="22"/>
        </w:rPr>
        <w:t>of</w:t>
      </w:r>
      <w:r>
        <w:rPr>
          <w:rFonts w:ascii="Arial"/>
          <w:b/>
          <w:color w:val="333333"/>
          <w:spacing w:val="-4"/>
          <w:sz w:val="22"/>
        </w:rPr>
        <w:t> </w:t>
      </w:r>
      <w:r>
        <w:rPr>
          <w:rFonts w:ascii="Arial"/>
          <w:b/>
          <w:color w:val="333333"/>
          <w:sz w:val="22"/>
        </w:rPr>
        <w:t>Meeting</w:t>
      </w:r>
      <w:r>
        <w:rPr>
          <w:rFonts w:ascii="Arial"/>
          <w:b/>
          <w:color w:val="333333"/>
          <w:spacing w:val="-5"/>
          <w:sz w:val="22"/>
        </w:rPr>
        <w:t> </w:t>
      </w:r>
      <w:r>
        <w:rPr>
          <w:rFonts w:ascii="Arial"/>
          <w:b/>
          <w:color w:val="333333"/>
          <w:sz w:val="22"/>
        </w:rPr>
        <w:t>Held</w:t>
      </w:r>
      <w:r>
        <w:rPr>
          <w:rFonts w:ascii="Arial"/>
          <w:b/>
          <w:color w:val="333333"/>
          <w:spacing w:val="-4"/>
          <w:sz w:val="22"/>
        </w:rPr>
        <w:t> </w:t>
      </w:r>
      <w:r>
        <w:rPr>
          <w:rFonts w:ascii="Arial"/>
          <w:b/>
          <w:color w:val="333333"/>
          <w:sz w:val="22"/>
        </w:rPr>
        <w:t>on</w:t>
      </w:r>
      <w:r>
        <w:rPr>
          <w:rFonts w:ascii="Arial"/>
          <w:b/>
          <w:color w:val="333333"/>
          <w:spacing w:val="-5"/>
          <w:sz w:val="22"/>
        </w:rPr>
        <w:t> </w:t>
      </w:r>
      <w:r>
        <w:rPr>
          <w:rFonts w:ascii="Arial"/>
          <w:b/>
          <w:color w:val="333333"/>
          <w:sz w:val="22"/>
        </w:rPr>
        <w:t>11</w:t>
      </w:r>
      <w:r>
        <w:rPr>
          <w:rFonts w:ascii="Arial"/>
          <w:b/>
          <w:color w:val="333333"/>
          <w:spacing w:val="-4"/>
          <w:sz w:val="22"/>
        </w:rPr>
        <w:t> </w:t>
      </w:r>
      <w:r>
        <w:rPr>
          <w:rFonts w:ascii="Arial"/>
          <w:b/>
          <w:color w:val="333333"/>
          <w:sz w:val="22"/>
        </w:rPr>
        <w:t>October</w:t>
      </w:r>
      <w:r>
        <w:rPr>
          <w:rFonts w:ascii="Arial"/>
          <w:b/>
          <w:color w:val="333333"/>
          <w:spacing w:val="-4"/>
          <w:sz w:val="22"/>
        </w:rPr>
        <w:t> 2022</w:t>
      </w:r>
    </w:p>
    <w:p>
      <w:pPr>
        <w:pStyle w:val="BodyText"/>
        <w:spacing w:before="5"/>
        <w:rPr>
          <w:rFonts w:ascii="Arial"/>
          <w:b/>
          <w:sz w:val="20"/>
        </w:rPr>
      </w:pPr>
    </w:p>
    <w:p>
      <w:pPr>
        <w:spacing w:before="1"/>
        <w:ind w:left="486" w:right="0" w:firstLine="0"/>
        <w:jc w:val="left"/>
        <w:rPr>
          <w:rFonts w:ascii="Arial"/>
          <w:i/>
          <w:sz w:val="17"/>
        </w:rPr>
      </w:pPr>
      <w:r>
        <w:rPr>
          <w:rFonts w:ascii="Arial"/>
          <w:i/>
          <w:color w:val="333333"/>
          <w:w w:val="105"/>
          <w:sz w:val="17"/>
        </w:rPr>
        <w:t>Martin</w:t>
      </w:r>
      <w:r>
        <w:rPr>
          <w:rFonts w:ascii="Arial"/>
          <w:i/>
          <w:color w:val="333333"/>
          <w:spacing w:val="-10"/>
          <w:w w:val="105"/>
          <w:sz w:val="17"/>
        </w:rPr>
        <w:t> </w:t>
      </w:r>
      <w:r>
        <w:rPr>
          <w:rFonts w:ascii="Arial"/>
          <w:i/>
          <w:color w:val="333333"/>
          <w:spacing w:val="-2"/>
          <w:w w:val="105"/>
          <w:sz w:val="17"/>
        </w:rPr>
        <w:t>Veale</w:t>
      </w:r>
    </w:p>
    <w:p>
      <w:pPr>
        <w:spacing w:before="135"/>
        <w:ind w:left="133" w:right="0" w:firstLine="0"/>
        <w:jc w:val="left"/>
        <w:rPr>
          <w:rFonts w:ascii="Arial" w:hAnsi="Arial"/>
          <w:sz w:val="17"/>
        </w:rPr>
      </w:pPr>
      <w:r>
        <w:rPr>
          <w:rFonts w:ascii="Arial" w:hAnsi="Arial"/>
          <w:color w:val="878787"/>
          <w:spacing w:val="-2"/>
          <w:w w:val="105"/>
          <w:sz w:val="17"/>
        </w:rPr>
        <w:t></w:t>
      </w:r>
      <w:r>
        <w:rPr>
          <w:rFonts w:ascii="Arial" w:hAnsi="Arial"/>
          <w:color w:val="878787"/>
          <w:spacing w:val="65"/>
          <w:w w:val="105"/>
          <w:sz w:val="17"/>
        </w:rPr>
        <w:t> </w:t>
      </w:r>
      <w:r>
        <w:rPr>
          <w:rFonts w:ascii="Arial" w:hAnsi="Arial"/>
          <w:color w:val="333333"/>
          <w:spacing w:val="-2"/>
          <w:w w:val="105"/>
          <w:sz w:val="17"/>
        </w:rPr>
        <w:t>1.4</w:t>
      </w:r>
      <w:r>
        <w:rPr>
          <w:rFonts w:ascii="Arial" w:hAnsi="Arial"/>
          <w:color w:val="333333"/>
          <w:spacing w:val="-10"/>
          <w:w w:val="105"/>
          <w:sz w:val="17"/>
        </w:rPr>
        <w:t> </w:t>
      </w:r>
      <w:r>
        <w:rPr>
          <w:rFonts w:ascii="Arial" w:hAnsi="Arial"/>
          <w:color w:val="333333"/>
          <w:spacing w:val="-2"/>
          <w:w w:val="105"/>
          <w:sz w:val="17"/>
        </w:rPr>
        <w:t>Approved</w:t>
      </w:r>
      <w:r>
        <w:rPr>
          <w:rFonts w:ascii="Arial" w:hAnsi="Arial"/>
          <w:color w:val="333333"/>
          <w:spacing w:val="-10"/>
          <w:w w:val="105"/>
          <w:sz w:val="17"/>
        </w:rPr>
        <w:t> </w:t>
      </w:r>
      <w:r>
        <w:rPr>
          <w:rFonts w:ascii="Arial" w:hAnsi="Arial"/>
          <w:color w:val="333333"/>
          <w:spacing w:val="-2"/>
          <w:w w:val="105"/>
          <w:sz w:val="17"/>
        </w:rPr>
        <w:t>Minutes</w:t>
      </w:r>
      <w:r>
        <w:rPr>
          <w:rFonts w:ascii="Arial" w:hAnsi="Arial"/>
          <w:color w:val="333333"/>
          <w:spacing w:val="-11"/>
          <w:w w:val="105"/>
          <w:sz w:val="17"/>
        </w:rPr>
        <w:t> </w:t>
      </w:r>
      <w:r>
        <w:rPr>
          <w:rFonts w:ascii="Arial" w:hAnsi="Arial"/>
          <w:color w:val="333333"/>
          <w:spacing w:val="-2"/>
          <w:w w:val="105"/>
          <w:sz w:val="17"/>
        </w:rPr>
        <w:t>11102022.pdf</w:t>
      </w:r>
      <w:r>
        <w:rPr>
          <w:rFonts w:ascii="Arial" w:hAnsi="Arial"/>
          <w:color w:val="333333"/>
          <w:spacing w:val="-7"/>
          <w:w w:val="105"/>
          <w:sz w:val="17"/>
        </w:rPr>
        <w:t> </w:t>
      </w:r>
      <w:r>
        <w:rPr>
          <w:rFonts w:ascii="Arial" w:hAnsi="Arial"/>
          <w:color w:val="333333"/>
          <w:spacing w:val="-2"/>
          <w:w w:val="105"/>
          <w:sz w:val="17"/>
        </w:rPr>
        <w:t>(7</w:t>
      </w:r>
      <w:r>
        <w:rPr>
          <w:rFonts w:ascii="Arial" w:hAnsi="Arial"/>
          <w:color w:val="333333"/>
          <w:spacing w:val="-9"/>
          <w:w w:val="105"/>
          <w:sz w:val="17"/>
        </w:rPr>
        <w:t> </w:t>
      </w:r>
      <w:r>
        <w:rPr>
          <w:rFonts w:ascii="Arial" w:hAnsi="Arial"/>
          <w:color w:val="333333"/>
          <w:spacing w:val="-2"/>
          <w:w w:val="105"/>
          <w:sz w:val="17"/>
        </w:rPr>
        <w:t>pages)</w:t>
      </w:r>
    </w:p>
    <w:p>
      <w:pPr>
        <w:pStyle w:val="BodyText"/>
        <w:spacing w:before="10"/>
        <w:rPr>
          <w:rFonts w:ascii="Arial"/>
          <w:sz w:val="26"/>
        </w:rPr>
      </w:pPr>
    </w:p>
    <w:p>
      <w:pPr>
        <w:pStyle w:val="ListParagraph"/>
        <w:numPr>
          <w:ilvl w:val="1"/>
          <w:numId w:val="1"/>
        </w:numPr>
        <w:tabs>
          <w:tab w:pos="575" w:val="left" w:leader="none"/>
        </w:tabs>
        <w:spacing w:line="240" w:lineRule="auto" w:before="1" w:after="0"/>
        <w:ind w:left="575" w:right="0" w:hanging="442"/>
        <w:jc w:val="left"/>
        <w:rPr>
          <w:rFonts w:ascii="Arial"/>
          <w:b/>
          <w:sz w:val="22"/>
        </w:rPr>
      </w:pPr>
      <w:r>
        <w:rPr>
          <w:rFonts w:ascii="Arial"/>
          <w:b/>
          <w:color w:val="333333"/>
          <w:sz w:val="22"/>
        </w:rPr>
        <w:t>Matters</w:t>
      </w:r>
      <w:r>
        <w:rPr>
          <w:rFonts w:ascii="Arial"/>
          <w:b/>
          <w:color w:val="333333"/>
          <w:spacing w:val="-15"/>
          <w:sz w:val="22"/>
        </w:rPr>
        <w:t> </w:t>
      </w:r>
      <w:r>
        <w:rPr>
          <w:rFonts w:ascii="Arial"/>
          <w:b/>
          <w:color w:val="333333"/>
          <w:spacing w:val="-2"/>
          <w:sz w:val="22"/>
        </w:rPr>
        <w:t>Arising</w:t>
      </w:r>
    </w:p>
    <w:p>
      <w:pPr>
        <w:pStyle w:val="BodyText"/>
        <w:spacing w:before="5"/>
        <w:rPr>
          <w:rFonts w:ascii="Arial"/>
          <w:b/>
          <w:sz w:val="20"/>
        </w:rPr>
      </w:pPr>
    </w:p>
    <w:p>
      <w:pPr>
        <w:spacing w:before="0"/>
        <w:ind w:left="486" w:right="0" w:firstLine="0"/>
        <w:jc w:val="left"/>
        <w:rPr>
          <w:rFonts w:ascii="Arial"/>
          <w:i/>
          <w:sz w:val="17"/>
        </w:rPr>
      </w:pPr>
      <w:r>
        <w:rPr>
          <w:rFonts w:ascii="Arial"/>
          <w:i/>
          <w:color w:val="333333"/>
          <w:w w:val="105"/>
          <w:sz w:val="17"/>
        </w:rPr>
        <w:t>Martin</w:t>
      </w:r>
      <w:r>
        <w:rPr>
          <w:rFonts w:ascii="Arial"/>
          <w:i/>
          <w:color w:val="333333"/>
          <w:spacing w:val="-10"/>
          <w:w w:val="105"/>
          <w:sz w:val="17"/>
        </w:rPr>
        <w:t> </w:t>
      </w:r>
      <w:r>
        <w:rPr>
          <w:rFonts w:ascii="Arial"/>
          <w:i/>
          <w:color w:val="333333"/>
          <w:spacing w:val="-2"/>
          <w:w w:val="105"/>
          <w:sz w:val="17"/>
        </w:rPr>
        <w:t>Veale</w:t>
      </w:r>
    </w:p>
    <w:p>
      <w:pPr>
        <w:spacing w:before="136"/>
        <w:ind w:left="133" w:right="0" w:firstLine="0"/>
        <w:jc w:val="left"/>
        <w:rPr>
          <w:rFonts w:ascii="Arial" w:hAnsi="Arial"/>
          <w:sz w:val="17"/>
        </w:rPr>
      </w:pPr>
      <w:r>
        <w:rPr>
          <w:rFonts w:ascii="Arial" w:hAnsi="Arial"/>
          <w:color w:val="878787"/>
          <w:w w:val="105"/>
          <w:sz w:val="17"/>
        </w:rPr>
        <w:t></w:t>
      </w:r>
      <w:r>
        <w:rPr>
          <w:rFonts w:ascii="Arial" w:hAnsi="Arial"/>
          <w:color w:val="878787"/>
          <w:spacing w:val="63"/>
          <w:w w:val="105"/>
          <w:sz w:val="17"/>
        </w:rPr>
        <w:t> </w:t>
      </w:r>
      <w:r>
        <w:rPr>
          <w:rFonts w:ascii="Arial" w:hAnsi="Arial"/>
          <w:color w:val="333333"/>
          <w:w w:val="105"/>
          <w:sz w:val="17"/>
        </w:rPr>
        <w:t>1.5</w:t>
      </w:r>
      <w:r>
        <w:rPr>
          <w:rFonts w:ascii="Arial" w:hAnsi="Arial"/>
          <w:color w:val="333333"/>
          <w:spacing w:val="-11"/>
          <w:w w:val="105"/>
          <w:sz w:val="17"/>
        </w:rPr>
        <w:t> </w:t>
      </w:r>
      <w:r>
        <w:rPr>
          <w:rFonts w:ascii="Arial" w:hAnsi="Arial"/>
          <w:color w:val="333333"/>
          <w:w w:val="105"/>
          <w:sz w:val="17"/>
        </w:rPr>
        <w:t>Matters</w:t>
      </w:r>
      <w:r>
        <w:rPr>
          <w:rFonts w:ascii="Arial" w:hAnsi="Arial"/>
          <w:color w:val="333333"/>
          <w:spacing w:val="-12"/>
          <w:w w:val="105"/>
          <w:sz w:val="17"/>
        </w:rPr>
        <w:t> </w:t>
      </w:r>
      <w:r>
        <w:rPr>
          <w:rFonts w:ascii="Arial" w:hAnsi="Arial"/>
          <w:color w:val="333333"/>
          <w:w w:val="105"/>
          <w:sz w:val="17"/>
        </w:rPr>
        <w:t>Arising.pdf</w:t>
      </w:r>
      <w:r>
        <w:rPr>
          <w:rFonts w:ascii="Arial" w:hAnsi="Arial"/>
          <w:color w:val="333333"/>
          <w:spacing w:val="-8"/>
          <w:w w:val="105"/>
          <w:sz w:val="17"/>
        </w:rPr>
        <w:t> </w:t>
      </w:r>
      <w:r>
        <w:rPr>
          <w:rFonts w:ascii="Arial" w:hAnsi="Arial"/>
          <w:color w:val="333333"/>
          <w:w w:val="105"/>
          <w:sz w:val="17"/>
        </w:rPr>
        <w:t>(3</w:t>
      </w:r>
      <w:r>
        <w:rPr>
          <w:rFonts w:ascii="Arial" w:hAnsi="Arial"/>
          <w:color w:val="333333"/>
          <w:spacing w:val="-9"/>
          <w:w w:val="105"/>
          <w:sz w:val="17"/>
        </w:rPr>
        <w:t> </w:t>
      </w:r>
      <w:r>
        <w:rPr>
          <w:rFonts w:ascii="Arial" w:hAnsi="Arial"/>
          <w:color w:val="333333"/>
          <w:spacing w:val="-2"/>
          <w:w w:val="105"/>
          <w:sz w:val="17"/>
        </w:rPr>
        <w:t>pages)</w:t>
      </w:r>
    </w:p>
    <w:p>
      <w:pPr>
        <w:pStyle w:val="BodyText"/>
        <w:rPr>
          <w:rFonts w:ascii="Arial"/>
          <w:sz w:val="20"/>
        </w:rPr>
      </w:pPr>
    </w:p>
    <w:p>
      <w:pPr>
        <w:pStyle w:val="BodyText"/>
        <w:rPr>
          <w:rFonts w:ascii="Arial"/>
          <w:sz w:val="20"/>
        </w:rPr>
      </w:pPr>
    </w:p>
    <w:p>
      <w:pPr>
        <w:pStyle w:val="BodyText"/>
        <w:spacing w:before="1"/>
        <w:rPr>
          <w:rFonts w:ascii="Arial"/>
          <w:sz w:val="19"/>
        </w:rPr>
      </w:pPr>
    </w:p>
    <w:p>
      <w:pPr>
        <w:pStyle w:val="ListParagraph"/>
        <w:numPr>
          <w:ilvl w:val="0"/>
          <w:numId w:val="1"/>
        </w:numPr>
        <w:tabs>
          <w:tab w:pos="432" w:val="left" w:leader="none"/>
        </w:tabs>
        <w:spacing w:line="240" w:lineRule="auto" w:before="0" w:after="0"/>
        <w:ind w:left="431" w:right="0" w:hanging="299"/>
        <w:jc w:val="left"/>
        <w:rPr>
          <w:rFonts w:ascii="Arial"/>
          <w:b/>
          <w:sz w:val="26"/>
        </w:rPr>
      </w:pPr>
      <w:r>
        <w:rPr>
          <w:rFonts w:ascii="Arial"/>
          <w:b/>
          <w:color w:val="333333"/>
          <w:sz w:val="26"/>
        </w:rPr>
        <w:t>NWSSP</w:t>
      </w:r>
      <w:r>
        <w:rPr>
          <w:rFonts w:ascii="Arial"/>
          <w:b/>
          <w:color w:val="333333"/>
          <w:spacing w:val="2"/>
          <w:sz w:val="26"/>
        </w:rPr>
        <w:t> </w:t>
      </w:r>
      <w:r>
        <w:rPr>
          <w:rFonts w:ascii="Arial"/>
          <w:b/>
          <w:color w:val="333333"/>
          <w:spacing w:val="-2"/>
          <w:sz w:val="26"/>
        </w:rPr>
        <w:t>Update</w:t>
      </w:r>
    </w:p>
    <w:p>
      <w:pPr>
        <w:spacing w:before="249"/>
        <w:ind w:left="486" w:right="0" w:firstLine="0"/>
        <w:jc w:val="left"/>
        <w:rPr>
          <w:rFonts w:ascii="Arial"/>
          <w:i/>
          <w:sz w:val="17"/>
        </w:rPr>
      </w:pPr>
      <w:r>
        <w:rPr>
          <w:rFonts w:ascii="Arial"/>
          <w:i/>
          <w:color w:val="333333"/>
          <w:sz w:val="17"/>
        </w:rPr>
        <w:t>Neil</w:t>
      </w:r>
      <w:r>
        <w:rPr>
          <w:rFonts w:ascii="Arial"/>
          <w:i/>
          <w:color w:val="333333"/>
          <w:spacing w:val="-4"/>
          <w:sz w:val="17"/>
        </w:rPr>
        <w:t> Frow</w:t>
      </w:r>
    </w:p>
    <w:p>
      <w:pPr>
        <w:spacing w:before="136"/>
        <w:ind w:left="133" w:right="0" w:firstLine="0"/>
        <w:jc w:val="left"/>
        <w:rPr>
          <w:rFonts w:ascii="Arial" w:hAnsi="Arial"/>
          <w:sz w:val="17"/>
        </w:rPr>
      </w:pPr>
      <w:r>
        <w:rPr>
          <w:rFonts w:ascii="Arial" w:hAnsi="Arial"/>
          <w:color w:val="878787"/>
          <w:w w:val="105"/>
          <w:sz w:val="17"/>
        </w:rPr>
        <w:t></w:t>
      </w:r>
      <w:r>
        <w:rPr>
          <w:rFonts w:ascii="Arial" w:hAnsi="Arial"/>
          <w:color w:val="878787"/>
          <w:spacing w:val="53"/>
          <w:w w:val="105"/>
          <w:sz w:val="17"/>
        </w:rPr>
        <w:t> </w:t>
      </w:r>
      <w:r>
        <w:rPr>
          <w:rFonts w:ascii="Arial" w:hAnsi="Arial"/>
          <w:color w:val="333333"/>
          <w:w w:val="105"/>
          <w:sz w:val="17"/>
        </w:rPr>
        <w:t>2</w:t>
      </w:r>
      <w:r>
        <w:rPr>
          <w:rFonts w:ascii="Arial" w:hAnsi="Arial"/>
          <w:color w:val="333333"/>
          <w:spacing w:val="-13"/>
          <w:w w:val="105"/>
          <w:sz w:val="17"/>
        </w:rPr>
        <w:t> </w:t>
      </w:r>
      <w:r>
        <w:rPr>
          <w:rFonts w:ascii="Arial" w:hAnsi="Arial"/>
          <w:color w:val="333333"/>
          <w:w w:val="105"/>
          <w:sz w:val="17"/>
        </w:rPr>
        <w:t>MD</w:t>
      </w:r>
      <w:r>
        <w:rPr>
          <w:rFonts w:ascii="Arial" w:hAnsi="Arial"/>
          <w:color w:val="333333"/>
          <w:spacing w:val="-12"/>
          <w:w w:val="105"/>
          <w:sz w:val="17"/>
        </w:rPr>
        <w:t> </w:t>
      </w:r>
      <w:r>
        <w:rPr>
          <w:rFonts w:ascii="Arial" w:hAnsi="Arial"/>
          <w:color w:val="333333"/>
          <w:w w:val="105"/>
          <w:sz w:val="17"/>
        </w:rPr>
        <w:t>Update</w:t>
      </w:r>
      <w:r>
        <w:rPr>
          <w:rFonts w:ascii="Arial" w:hAnsi="Arial"/>
          <w:color w:val="333333"/>
          <w:spacing w:val="-13"/>
          <w:w w:val="105"/>
          <w:sz w:val="17"/>
        </w:rPr>
        <w:t> </w:t>
      </w:r>
      <w:r>
        <w:rPr>
          <w:rFonts w:ascii="Arial" w:hAnsi="Arial"/>
          <w:color w:val="333333"/>
          <w:w w:val="105"/>
          <w:sz w:val="17"/>
        </w:rPr>
        <w:t>January</w:t>
      </w:r>
      <w:r>
        <w:rPr>
          <w:rFonts w:ascii="Arial" w:hAnsi="Arial"/>
          <w:color w:val="333333"/>
          <w:spacing w:val="-12"/>
          <w:w w:val="105"/>
          <w:sz w:val="17"/>
        </w:rPr>
        <w:t> </w:t>
      </w:r>
      <w:r>
        <w:rPr>
          <w:rFonts w:ascii="Arial" w:hAnsi="Arial"/>
          <w:color w:val="333333"/>
          <w:w w:val="105"/>
          <w:sz w:val="17"/>
        </w:rPr>
        <w:t>23.pdf</w:t>
      </w:r>
      <w:r>
        <w:rPr>
          <w:rFonts w:ascii="Arial" w:hAnsi="Arial"/>
          <w:color w:val="333333"/>
          <w:spacing w:val="-12"/>
          <w:w w:val="105"/>
          <w:sz w:val="17"/>
        </w:rPr>
        <w:t> </w:t>
      </w:r>
      <w:r>
        <w:rPr>
          <w:rFonts w:ascii="Arial" w:hAnsi="Arial"/>
          <w:color w:val="333333"/>
          <w:w w:val="105"/>
          <w:sz w:val="17"/>
        </w:rPr>
        <w:t>(7</w:t>
      </w:r>
      <w:r>
        <w:rPr>
          <w:rFonts w:ascii="Arial" w:hAnsi="Arial"/>
          <w:color w:val="333333"/>
          <w:spacing w:val="-11"/>
          <w:w w:val="105"/>
          <w:sz w:val="17"/>
        </w:rPr>
        <w:t> </w:t>
      </w:r>
      <w:r>
        <w:rPr>
          <w:rFonts w:ascii="Arial" w:hAnsi="Arial"/>
          <w:color w:val="333333"/>
          <w:spacing w:val="-2"/>
          <w:w w:val="105"/>
          <w:sz w:val="17"/>
        </w:rPr>
        <w:t>pages)</w:t>
      </w:r>
    </w:p>
    <w:p>
      <w:pPr>
        <w:pStyle w:val="BodyText"/>
        <w:rPr>
          <w:rFonts w:ascii="Arial"/>
          <w:sz w:val="20"/>
        </w:rPr>
      </w:pPr>
    </w:p>
    <w:p>
      <w:pPr>
        <w:pStyle w:val="BodyText"/>
        <w:rPr>
          <w:rFonts w:ascii="Arial"/>
          <w:sz w:val="20"/>
        </w:rPr>
      </w:pPr>
    </w:p>
    <w:p>
      <w:pPr>
        <w:pStyle w:val="BodyText"/>
        <w:spacing w:before="1"/>
        <w:rPr>
          <w:rFonts w:ascii="Arial"/>
          <w:sz w:val="19"/>
        </w:rPr>
      </w:pPr>
    </w:p>
    <w:p>
      <w:pPr>
        <w:pStyle w:val="ListParagraph"/>
        <w:numPr>
          <w:ilvl w:val="0"/>
          <w:numId w:val="1"/>
        </w:numPr>
        <w:tabs>
          <w:tab w:pos="432" w:val="left" w:leader="none"/>
        </w:tabs>
        <w:spacing w:line="240" w:lineRule="auto" w:before="0" w:after="0"/>
        <w:ind w:left="431" w:right="0" w:hanging="299"/>
        <w:jc w:val="left"/>
        <w:rPr>
          <w:rFonts w:ascii="Arial"/>
          <w:b/>
          <w:sz w:val="26"/>
        </w:rPr>
      </w:pPr>
      <w:r>
        <w:rPr>
          <w:rFonts w:ascii="Arial"/>
          <w:b/>
          <w:color w:val="333333"/>
          <w:sz w:val="26"/>
        </w:rPr>
        <w:t>External</w:t>
      </w:r>
      <w:r>
        <w:rPr>
          <w:rFonts w:ascii="Arial"/>
          <w:b/>
          <w:color w:val="333333"/>
          <w:spacing w:val="11"/>
          <w:sz w:val="26"/>
        </w:rPr>
        <w:t> </w:t>
      </w:r>
      <w:r>
        <w:rPr>
          <w:rFonts w:ascii="Arial"/>
          <w:b/>
          <w:color w:val="333333"/>
          <w:spacing w:val="-2"/>
          <w:sz w:val="26"/>
        </w:rPr>
        <w:t>Audit</w:t>
      </w:r>
    </w:p>
    <w:p>
      <w:pPr>
        <w:spacing w:before="249"/>
        <w:ind w:left="486" w:right="0" w:firstLine="0"/>
        <w:jc w:val="left"/>
        <w:rPr>
          <w:rFonts w:ascii="Arial"/>
          <w:i/>
          <w:sz w:val="17"/>
        </w:rPr>
      </w:pPr>
      <w:r>
        <w:rPr>
          <w:rFonts w:ascii="Arial"/>
          <w:i/>
          <w:color w:val="333333"/>
          <w:w w:val="105"/>
          <w:sz w:val="17"/>
        </w:rPr>
        <w:t>Steve</w:t>
      </w:r>
      <w:r>
        <w:rPr>
          <w:rFonts w:ascii="Arial"/>
          <w:i/>
          <w:color w:val="333333"/>
          <w:spacing w:val="-10"/>
          <w:w w:val="105"/>
          <w:sz w:val="17"/>
        </w:rPr>
        <w:t> </w:t>
      </w:r>
      <w:r>
        <w:rPr>
          <w:rFonts w:ascii="Arial"/>
          <w:i/>
          <w:color w:val="333333"/>
          <w:spacing w:val="-2"/>
          <w:w w:val="105"/>
          <w:sz w:val="17"/>
        </w:rPr>
        <w:t>Wyndham</w:t>
      </w:r>
    </w:p>
    <w:p>
      <w:pPr>
        <w:pStyle w:val="BodyText"/>
        <w:spacing w:before="11"/>
        <w:rPr>
          <w:rFonts w:ascii="Arial"/>
          <w:i/>
          <w:sz w:val="26"/>
        </w:rPr>
      </w:pPr>
    </w:p>
    <w:p>
      <w:pPr>
        <w:pStyle w:val="ListParagraph"/>
        <w:numPr>
          <w:ilvl w:val="1"/>
          <w:numId w:val="1"/>
        </w:numPr>
        <w:tabs>
          <w:tab w:pos="575" w:val="left" w:leader="none"/>
        </w:tabs>
        <w:spacing w:line="240" w:lineRule="auto" w:before="0" w:after="0"/>
        <w:ind w:left="575" w:right="0" w:hanging="442"/>
        <w:jc w:val="left"/>
        <w:rPr>
          <w:rFonts w:ascii="Arial"/>
          <w:b/>
          <w:sz w:val="22"/>
        </w:rPr>
      </w:pPr>
      <w:r>
        <w:rPr>
          <w:rFonts w:ascii="Arial"/>
          <w:b/>
          <w:color w:val="333333"/>
          <w:spacing w:val="-2"/>
          <w:sz w:val="22"/>
        </w:rPr>
        <w:t>Audit</w:t>
      </w:r>
      <w:r>
        <w:rPr>
          <w:rFonts w:ascii="Arial"/>
          <w:b/>
          <w:color w:val="333333"/>
          <w:spacing w:val="-10"/>
          <w:sz w:val="22"/>
        </w:rPr>
        <w:t> </w:t>
      </w:r>
      <w:r>
        <w:rPr>
          <w:rFonts w:ascii="Arial"/>
          <w:b/>
          <w:color w:val="333333"/>
          <w:spacing w:val="-2"/>
          <w:sz w:val="22"/>
        </w:rPr>
        <w:t>Wales</w:t>
      </w:r>
      <w:r>
        <w:rPr>
          <w:rFonts w:ascii="Arial"/>
          <w:b/>
          <w:color w:val="333333"/>
          <w:spacing w:val="-7"/>
          <w:sz w:val="22"/>
        </w:rPr>
        <w:t> </w:t>
      </w:r>
      <w:r>
        <w:rPr>
          <w:rFonts w:ascii="Arial"/>
          <w:b/>
          <w:color w:val="333333"/>
          <w:spacing w:val="-2"/>
          <w:sz w:val="22"/>
        </w:rPr>
        <w:t>Update</w:t>
      </w:r>
    </w:p>
    <w:p>
      <w:pPr>
        <w:pStyle w:val="BodyText"/>
        <w:spacing w:before="5"/>
        <w:rPr>
          <w:rFonts w:ascii="Arial"/>
          <w:b/>
          <w:sz w:val="20"/>
        </w:rPr>
      </w:pPr>
    </w:p>
    <w:p>
      <w:pPr>
        <w:spacing w:before="0"/>
        <w:ind w:left="486" w:right="0" w:firstLine="0"/>
        <w:jc w:val="left"/>
        <w:rPr>
          <w:rFonts w:ascii="Arial"/>
          <w:i/>
          <w:sz w:val="17"/>
        </w:rPr>
      </w:pPr>
      <w:r>
        <w:rPr>
          <w:rFonts w:ascii="Arial"/>
          <w:i/>
          <w:color w:val="333333"/>
          <w:w w:val="105"/>
          <w:sz w:val="17"/>
        </w:rPr>
        <w:t>Steve</w:t>
      </w:r>
      <w:r>
        <w:rPr>
          <w:rFonts w:ascii="Arial"/>
          <w:i/>
          <w:color w:val="333333"/>
          <w:spacing w:val="-10"/>
          <w:w w:val="105"/>
          <w:sz w:val="17"/>
        </w:rPr>
        <w:t> </w:t>
      </w:r>
      <w:r>
        <w:rPr>
          <w:rFonts w:ascii="Arial"/>
          <w:i/>
          <w:color w:val="333333"/>
          <w:spacing w:val="-2"/>
          <w:w w:val="105"/>
          <w:sz w:val="17"/>
        </w:rPr>
        <w:t>Wyndham</w:t>
      </w:r>
    </w:p>
    <w:p>
      <w:pPr>
        <w:spacing w:before="136"/>
        <w:ind w:left="133" w:right="0" w:firstLine="0"/>
        <w:jc w:val="left"/>
        <w:rPr>
          <w:rFonts w:ascii="Arial" w:hAnsi="Arial"/>
          <w:sz w:val="17"/>
        </w:rPr>
      </w:pPr>
      <w:r>
        <w:rPr>
          <w:rFonts w:ascii="Arial" w:hAnsi="Arial"/>
          <w:color w:val="878787"/>
          <w:spacing w:val="-2"/>
          <w:w w:val="105"/>
          <w:sz w:val="17"/>
        </w:rPr>
        <w:t></w:t>
      </w:r>
      <w:r>
        <w:rPr>
          <w:rFonts w:ascii="Arial" w:hAnsi="Arial"/>
          <w:color w:val="878787"/>
          <w:spacing w:val="72"/>
          <w:w w:val="105"/>
          <w:sz w:val="17"/>
        </w:rPr>
        <w:t> </w:t>
      </w:r>
      <w:r>
        <w:rPr>
          <w:rFonts w:ascii="Arial" w:hAnsi="Arial"/>
          <w:color w:val="333333"/>
          <w:spacing w:val="-2"/>
          <w:w w:val="105"/>
          <w:sz w:val="17"/>
        </w:rPr>
        <w:t>3.1</w:t>
      </w:r>
      <w:r>
        <w:rPr>
          <w:rFonts w:ascii="Arial" w:hAnsi="Arial"/>
          <w:color w:val="333333"/>
          <w:spacing w:val="-9"/>
          <w:w w:val="105"/>
          <w:sz w:val="17"/>
        </w:rPr>
        <w:t> </w:t>
      </w:r>
      <w:r>
        <w:rPr>
          <w:rFonts w:ascii="Arial" w:hAnsi="Arial"/>
          <w:color w:val="333333"/>
          <w:spacing w:val="-2"/>
          <w:w w:val="105"/>
          <w:sz w:val="17"/>
        </w:rPr>
        <w:t>Audit</w:t>
      </w:r>
      <w:r>
        <w:rPr>
          <w:rFonts w:ascii="Arial" w:hAnsi="Arial"/>
          <w:color w:val="333333"/>
          <w:spacing w:val="-9"/>
          <w:w w:val="105"/>
          <w:sz w:val="17"/>
        </w:rPr>
        <w:t> </w:t>
      </w:r>
      <w:r>
        <w:rPr>
          <w:rFonts w:ascii="Arial" w:hAnsi="Arial"/>
          <w:color w:val="333333"/>
          <w:spacing w:val="-2"/>
          <w:w w:val="105"/>
          <w:sz w:val="17"/>
        </w:rPr>
        <w:t>Wales</w:t>
      </w:r>
      <w:r>
        <w:rPr>
          <w:rFonts w:ascii="Arial" w:hAnsi="Arial"/>
          <w:color w:val="333333"/>
          <w:spacing w:val="-10"/>
          <w:w w:val="105"/>
          <w:sz w:val="17"/>
        </w:rPr>
        <w:t> </w:t>
      </w:r>
      <w:r>
        <w:rPr>
          <w:rFonts w:ascii="Arial" w:hAnsi="Arial"/>
          <w:color w:val="333333"/>
          <w:spacing w:val="-2"/>
          <w:w w:val="105"/>
          <w:sz w:val="17"/>
        </w:rPr>
        <w:t>update</w:t>
      </w:r>
      <w:r>
        <w:rPr>
          <w:rFonts w:ascii="Arial" w:hAnsi="Arial"/>
          <w:color w:val="333333"/>
          <w:spacing w:val="-9"/>
          <w:w w:val="105"/>
          <w:sz w:val="17"/>
        </w:rPr>
        <w:t> </w:t>
      </w:r>
      <w:r>
        <w:rPr>
          <w:rFonts w:ascii="Arial" w:hAnsi="Arial"/>
          <w:color w:val="333333"/>
          <w:spacing w:val="-2"/>
          <w:w w:val="105"/>
          <w:sz w:val="17"/>
        </w:rPr>
        <w:t>paper</w:t>
      </w:r>
      <w:r>
        <w:rPr>
          <w:rFonts w:ascii="Arial" w:hAnsi="Arial"/>
          <w:color w:val="333333"/>
          <w:spacing w:val="-9"/>
          <w:w w:val="105"/>
          <w:sz w:val="17"/>
        </w:rPr>
        <w:t> </w:t>
      </w:r>
      <w:r>
        <w:rPr>
          <w:rFonts w:ascii="Arial" w:hAnsi="Arial"/>
          <w:color w:val="333333"/>
          <w:spacing w:val="-2"/>
          <w:w w:val="105"/>
          <w:sz w:val="17"/>
        </w:rPr>
        <w:t>-</w:t>
      </w:r>
      <w:r>
        <w:rPr>
          <w:rFonts w:ascii="Arial" w:hAnsi="Arial"/>
          <w:color w:val="333333"/>
          <w:spacing w:val="-9"/>
          <w:w w:val="105"/>
          <w:sz w:val="17"/>
        </w:rPr>
        <w:t> </w:t>
      </w:r>
      <w:r>
        <w:rPr>
          <w:rFonts w:ascii="Arial" w:hAnsi="Arial"/>
          <w:color w:val="333333"/>
          <w:spacing w:val="-2"/>
          <w:w w:val="105"/>
          <w:sz w:val="17"/>
        </w:rPr>
        <w:t>NWSSP</w:t>
      </w:r>
      <w:r>
        <w:rPr>
          <w:rFonts w:ascii="Arial" w:hAnsi="Arial"/>
          <w:color w:val="333333"/>
          <w:spacing w:val="-10"/>
          <w:w w:val="105"/>
          <w:sz w:val="17"/>
        </w:rPr>
        <w:t> </w:t>
      </w:r>
      <w:r>
        <w:rPr>
          <w:rFonts w:ascii="Arial" w:hAnsi="Arial"/>
          <w:color w:val="333333"/>
          <w:spacing w:val="-2"/>
          <w:w w:val="105"/>
          <w:sz w:val="17"/>
        </w:rPr>
        <w:t>January</w:t>
      </w:r>
      <w:r>
        <w:rPr>
          <w:rFonts w:ascii="Arial" w:hAnsi="Arial"/>
          <w:color w:val="333333"/>
          <w:spacing w:val="-9"/>
          <w:w w:val="105"/>
          <w:sz w:val="17"/>
        </w:rPr>
        <w:t> </w:t>
      </w:r>
      <w:r>
        <w:rPr>
          <w:rFonts w:ascii="Arial" w:hAnsi="Arial"/>
          <w:color w:val="333333"/>
          <w:spacing w:val="-2"/>
          <w:w w:val="105"/>
          <w:sz w:val="17"/>
        </w:rPr>
        <w:t>2023</w:t>
      </w:r>
      <w:r>
        <w:rPr>
          <w:rFonts w:ascii="Arial" w:hAnsi="Arial"/>
          <w:color w:val="333333"/>
          <w:spacing w:val="-9"/>
          <w:w w:val="105"/>
          <w:sz w:val="17"/>
        </w:rPr>
        <w:t> </w:t>
      </w:r>
      <w:r>
        <w:rPr>
          <w:rFonts w:ascii="Arial" w:hAnsi="Arial"/>
          <w:color w:val="333333"/>
          <w:spacing w:val="-2"/>
          <w:w w:val="105"/>
          <w:sz w:val="17"/>
        </w:rPr>
        <w:t>AC</w:t>
      </w:r>
      <w:r>
        <w:rPr>
          <w:rFonts w:ascii="Arial" w:hAnsi="Arial"/>
          <w:color w:val="333333"/>
          <w:spacing w:val="-10"/>
          <w:w w:val="105"/>
          <w:sz w:val="17"/>
        </w:rPr>
        <w:t> </w:t>
      </w:r>
      <w:r>
        <w:rPr>
          <w:rFonts w:ascii="Arial" w:hAnsi="Arial"/>
          <w:color w:val="333333"/>
          <w:spacing w:val="-2"/>
          <w:w w:val="105"/>
          <w:sz w:val="17"/>
        </w:rPr>
        <w:t>meeting.pdf</w:t>
      </w:r>
      <w:r>
        <w:rPr>
          <w:rFonts w:ascii="Arial" w:hAnsi="Arial"/>
          <w:color w:val="333333"/>
          <w:spacing w:val="-4"/>
          <w:w w:val="105"/>
          <w:sz w:val="17"/>
        </w:rPr>
        <w:t> </w:t>
      </w:r>
      <w:r>
        <w:rPr>
          <w:rFonts w:ascii="Arial" w:hAnsi="Arial"/>
          <w:color w:val="333333"/>
          <w:spacing w:val="-2"/>
          <w:w w:val="105"/>
          <w:sz w:val="17"/>
        </w:rPr>
        <w:t>(3</w:t>
      </w:r>
      <w:r>
        <w:rPr>
          <w:rFonts w:ascii="Arial" w:hAnsi="Arial"/>
          <w:color w:val="333333"/>
          <w:spacing w:val="-7"/>
          <w:w w:val="105"/>
          <w:sz w:val="17"/>
        </w:rPr>
        <w:t> </w:t>
      </w:r>
      <w:r>
        <w:rPr>
          <w:rFonts w:ascii="Arial" w:hAnsi="Arial"/>
          <w:color w:val="333333"/>
          <w:spacing w:val="-2"/>
          <w:w w:val="105"/>
          <w:sz w:val="17"/>
        </w:rPr>
        <w:t>pages)</w:t>
      </w:r>
    </w:p>
    <w:p>
      <w:pPr>
        <w:pStyle w:val="BodyText"/>
        <w:rPr>
          <w:rFonts w:ascii="Arial"/>
          <w:sz w:val="20"/>
        </w:rPr>
      </w:pPr>
    </w:p>
    <w:p>
      <w:pPr>
        <w:pStyle w:val="BodyText"/>
        <w:rPr>
          <w:rFonts w:ascii="Arial"/>
          <w:sz w:val="20"/>
        </w:rPr>
      </w:pPr>
    </w:p>
    <w:p>
      <w:pPr>
        <w:pStyle w:val="BodyText"/>
        <w:spacing w:before="1"/>
        <w:rPr>
          <w:rFonts w:ascii="Arial"/>
          <w:sz w:val="19"/>
        </w:rPr>
      </w:pPr>
    </w:p>
    <w:p>
      <w:pPr>
        <w:pStyle w:val="ListParagraph"/>
        <w:numPr>
          <w:ilvl w:val="0"/>
          <w:numId w:val="1"/>
        </w:numPr>
        <w:tabs>
          <w:tab w:pos="432" w:val="left" w:leader="none"/>
        </w:tabs>
        <w:spacing w:line="240" w:lineRule="auto" w:before="0" w:after="0"/>
        <w:ind w:left="431" w:right="0" w:hanging="299"/>
        <w:jc w:val="left"/>
        <w:rPr>
          <w:rFonts w:ascii="Arial"/>
          <w:b/>
          <w:sz w:val="26"/>
        </w:rPr>
      </w:pPr>
      <w:r>
        <w:rPr>
          <w:rFonts w:ascii="Arial"/>
          <w:b/>
          <w:color w:val="333333"/>
          <w:sz w:val="26"/>
        </w:rPr>
        <w:t>Internal</w:t>
      </w:r>
      <w:r>
        <w:rPr>
          <w:rFonts w:ascii="Arial"/>
          <w:b/>
          <w:color w:val="333333"/>
          <w:spacing w:val="19"/>
          <w:sz w:val="26"/>
        </w:rPr>
        <w:t> </w:t>
      </w:r>
      <w:r>
        <w:rPr>
          <w:rFonts w:ascii="Arial"/>
          <w:b/>
          <w:color w:val="333333"/>
          <w:spacing w:val="-2"/>
          <w:sz w:val="26"/>
        </w:rPr>
        <w:t>Audit</w:t>
      </w:r>
    </w:p>
    <w:p>
      <w:pPr>
        <w:pStyle w:val="BodyText"/>
        <w:spacing w:before="11"/>
        <w:rPr>
          <w:rFonts w:ascii="Arial"/>
          <w:b/>
          <w:sz w:val="32"/>
        </w:rPr>
      </w:pPr>
    </w:p>
    <w:p>
      <w:pPr>
        <w:pStyle w:val="ListParagraph"/>
        <w:numPr>
          <w:ilvl w:val="1"/>
          <w:numId w:val="1"/>
        </w:numPr>
        <w:tabs>
          <w:tab w:pos="575" w:val="left" w:leader="none"/>
        </w:tabs>
        <w:spacing w:line="240" w:lineRule="auto" w:before="0" w:after="0"/>
        <w:ind w:left="575" w:right="0" w:hanging="442"/>
        <w:jc w:val="left"/>
        <w:rPr>
          <w:rFonts w:ascii="Arial"/>
          <w:b/>
          <w:sz w:val="22"/>
        </w:rPr>
      </w:pPr>
      <w:bookmarkStart w:name=" 4.1. Progress Report" w:id="11"/>
      <w:bookmarkEnd w:id="11"/>
      <w:r>
        <w:rPr>
          <w:rFonts w:ascii="Arial"/>
          <w:b/>
          <w:color w:val="333333"/>
          <w:sz w:val="22"/>
        </w:rPr>
        <w:t>Progres</w:t>
      </w:r>
      <w:r>
        <w:rPr>
          <w:rFonts w:ascii="Arial"/>
          <w:b/>
          <w:color w:val="333333"/>
          <w:sz w:val="22"/>
        </w:rPr>
        <w:t>s</w:t>
      </w:r>
      <w:r>
        <w:rPr>
          <w:rFonts w:ascii="Arial"/>
          <w:b/>
          <w:color w:val="333333"/>
          <w:spacing w:val="-9"/>
          <w:sz w:val="22"/>
        </w:rPr>
        <w:t> </w:t>
      </w:r>
      <w:r>
        <w:rPr>
          <w:rFonts w:ascii="Arial"/>
          <w:b/>
          <w:color w:val="333333"/>
          <w:spacing w:val="-2"/>
          <w:sz w:val="22"/>
        </w:rPr>
        <w:t>Report</w:t>
      </w:r>
    </w:p>
    <w:p>
      <w:pPr>
        <w:spacing w:after="0" w:line="240" w:lineRule="auto"/>
        <w:jc w:val="left"/>
        <w:rPr>
          <w:rFonts w:ascii="Arial"/>
          <w:sz w:val="22"/>
        </w:rPr>
        <w:sectPr>
          <w:type w:val="continuous"/>
          <w:pgSz w:w="11900" w:h="16840"/>
          <w:pgMar w:top="740" w:bottom="280" w:left="0" w:right="0"/>
          <w:cols w:num="2" w:equalWidth="0">
            <w:col w:w="1749" w:space="40"/>
            <w:col w:w="10111"/>
          </w:cols>
        </w:sectPr>
      </w:pPr>
    </w:p>
    <w:p>
      <w:pPr>
        <w:spacing w:before="76"/>
        <w:ind w:left="2275" w:right="0" w:firstLine="0"/>
        <w:jc w:val="left"/>
        <w:rPr>
          <w:rFonts w:ascii="Arial"/>
          <w:i/>
          <w:sz w:val="17"/>
        </w:rPr>
      </w:pPr>
      <w:r>
        <w:rPr>
          <w:rFonts w:ascii="Arial"/>
          <w:i/>
          <w:color w:val="333333"/>
          <w:w w:val="105"/>
          <w:sz w:val="17"/>
        </w:rPr>
        <w:t>James</w:t>
      </w:r>
      <w:r>
        <w:rPr>
          <w:rFonts w:ascii="Arial"/>
          <w:i/>
          <w:color w:val="333333"/>
          <w:spacing w:val="-10"/>
          <w:w w:val="105"/>
          <w:sz w:val="17"/>
        </w:rPr>
        <w:t> </w:t>
      </w:r>
      <w:r>
        <w:rPr>
          <w:rFonts w:ascii="Arial"/>
          <w:i/>
          <w:color w:val="333333"/>
          <w:spacing w:val="-4"/>
          <w:w w:val="105"/>
          <w:sz w:val="17"/>
        </w:rPr>
        <w:t>Johns</w:t>
      </w:r>
    </w:p>
    <w:p>
      <w:pPr>
        <w:spacing w:before="135"/>
        <w:ind w:left="1922" w:right="0" w:firstLine="0"/>
        <w:jc w:val="left"/>
        <w:rPr>
          <w:rFonts w:ascii="Arial" w:hAnsi="Arial"/>
          <w:sz w:val="17"/>
        </w:rPr>
      </w:pPr>
      <w:r>
        <w:rPr>
          <w:rFonts w:ascii="Arial" w:hAnsi="Arial"/>
          <w:color w:val="878787"/>
          <w:spacing w:val="-2"/>
          <w:w w:val="105"/>
          <w:sz w:val="17"/>
        </w:rPr>
        <w:t></w:t>
      </w:r>
      <w:r>
        <w:rPr>
          <w:rFonts w:ascii="Arial" w:hAnsi="Arial"/>
          <w:color w:val="878787"/>
          <w:spacing w:val="71"/>
          <w:w w:val="105"/>
          <w:sz w:val="17"/>
        </w:rPr>
        <w:t> </w:t>
      </w:r>
      <w:r>
        <w:rPr>
          <w:rFonts w:ascii="Arial" w:hAnsi="Arial"/>
          <w:color w:val="333333"/>
          <w:spacing w:val="-2"/>
          <w:w w:val="105"/>
          <w:sz w:val="17"/>
        </w:rPr>
        <w:t>4.1</w:t>
      </w:r>
      <w:r>
        <w:rPr>
          <w:rFonts w:ascii="Arial" w:hAnsi="Arial"/>
          <w:color w:val="333333"/>
          <w:spacing w:val="-8"/>
          <w:w w:val="105"/>
          <w:sz w:val="17"/>
        </w:rPr>
        <w:t> </w:t>
      </w:r>
      <w:r>
        <w:rPr>
          <w:rFonts w:ascii="Arial" w:hAnsi="Arial"/>
          <w:color w:val="333333"/>
          <w:spacing w:val="-2"/>
          <w:w w:val="105"/>
          <w:sz w:val="17"/>
        </w:rPr>
        <w:t>A&amp;A</w:t>
      </w:r>
      <w:r>
        <w:rPr>
          <w:rFonts w:ascii="Arial" w:hAnsi="Arial"/>
          <w:color w:val="333333"/>
          <w:spacing w:val="-10"/>
          <w:w w:val="105"/>
          <w:sz w:val="17"/>
        </w:rPr>
        <w:t> </w:t>
      </w:r>
      <w:r>
        <w:rPr>
          <w:rFonts w:ascii="Arial" w:hAnsi="Arial"/>
          <w:color w:val="333333"/>
          <w:spacing w:val="-2"/>
          <w:w w:val="105"/>
          <w:sz w:val="17"/>
        </w:rPr>
        <w:t>NWSSP</w:t>
      </w:r>
      <w:r>
        <w:rPr>
          <w:rFonts w:ascii="Arial" w:hAnsi="Arial"/>
          <w:color w:val="333333"/>
          <w:spacing w:val="-9"/>
          <w:w w:val="105"/>
          <w:sz w:val="17"/>
        </w:rPr>
        <w:t> </w:t>
      </w:r>
      <w:r>
        <w:rPr>
          <w:rFonts w:ascii="Arial" w:hAnsi="Arial"/>
          <w:color w:val="333333"/>
          <w:spacing w:val="-2"/>
          <w:w w:val="105"/>
          <w:sz w:val="17"/>
        </w:rPr>
        <w:t>Audit</w:t>
      </w:r>
      <w:r>
        <w:rPr>
          <w:rFonts w:ascii="Arial" w:hAnsi="Arial"/>
          <w:color w:val="333333"/>
          <w:spacing w:val="-9"/>
          <w:w w:val="105"/>
          <w:sz w:val="17"/>
        </w:rPr>
        <w:t> </w:t>
      </w:r>
      <w:r>
        <w:rPr>
          <w:rFonts w:ascii="Arial" w:hAnsi="Arial"/>
          <w:color w:val="333333"/>
          <w:spacing w:val="-2"/>
          <w:w w:val="105"/>
          <w:sz w:val="17"/>
        </w:rPr>
        <w:t>Cttee</w:t>
      </w:r>
      <w:r>
        <w:rPr>
          <w:rFonts w:ascii="Arial" w:hAnsi="Arial"/>
          <w:color w:val="333333"/>
          <w:spacing w:val="-9"/>
          <w:w w:val="105"/>
          <w:sz w:val="17"/>
        </w:rPr>
        <w:t> </w:t>
      </w:r>
      <w:r>
        <w:rPr>
          <w:rFonts w:ascii="Arial" w:hAnsi="Arial"/>
          <w:color w:val="333333"/>
          <w:spacing w:val="-2"/>
          <w:w w:val="105"/>
          <w:sz w:val="17"/>
        </w:rPr>
        <w:t>Progress</w:t>
      </w:r>
      <w:r>
        <w:rPr>
          <w:rFonts w:ascii="Arial" w:hAnsi="Arial"/>
          <w:color w:val="333333"/>
          <w:spacing w:val="-9"/>
          <w:w w:val="105"/>
          <w:sz w:val="17"/>
        </w:rPr>
        <w:t> </w:t>
      </w:r>
      <w:r>
        <w:rPr>
          <w:rFonts w:ascii="Arial" w:hAnsi="Arial"/>
          <w:color w:val="333333"/>
          <w:spacing w:val="-2"/>
          <w:w w:val="105"/>
          <w:sz w:val="17"/>
        </w:rPr>
        <w:t>Report</w:t>
      </w:r>
      <w:r>
        <w:rPr>
          <w:rFonts w:ascii="Arial" w:hAnsi="Arial"/>
          <w:color w:val="333333"/>
          <w:spacing w:val="-9"/>
          <w:w w:val="105"/>
          <w:sz w:val="17"/>
        </w:rPr>
        <w:t> </w:t>
      </w:r>
      <w:r>
        <w:rPr>
          <w:rFonts w:ascii="Arial" w:hAnsi="Arial"/>
          <w:color w:val="333333"/>
          <w:spacing w:val="-2"/>
          <w:w w:val="105"/>
          <w:sz w:val="17"/>
        </w:rPr>
        <w:t>January</w:t>
      </w:r>
      <w:r>
        <w:rPr>
          <w:rFonts w:ascii="Arial" w:hAnsi="Arial"/>
          <w:color w:val="333333"/>
          <w:spacing w:val="-9"/>
          <w:w w:val="105"/>
          <w:sz w:val="17"/>
        </w:rPr>
        <w:t> </w:t>
      </w:r>
      <w:r>
        <w:rPr>
          <w:rFonts w:ascii="Arial" w:hAnsi="Arial"/>
          <w:color w:val="333333"/>
          <w:spacing w:val="-2"/>
          <w:w w:val="105"/>
          <w:sz w:val="17"/>
        </w:rPr>
        <w:t>23.pdf</w:t>
      </w:r>
      <w:r>
        <w:rPr>
          <w:rFonts w:ascii="Arial" w:hAnsi="Arial"/>
          <w:color w:val="333333"/>
          <w:spacing w:val="-4"/>
          <w:w w:val="105"/>
          <w:sz w:val="17"/>
        </w:rPr>
        <w:t> </w:t>
      </w:r>
      <w:r>
        <w:rPr>
          <w:rFonts w:ascii="Arial" w:hAnsi="Arial"/>
          <w:color w:val="333333"/>
          <w:spacing w:val="-2"/>
          <w:w w:val="105"/>
          <w:sz w:val="17"/>
        </w:rPr>
        <w:t>(7</w:t>
      </w:r>
      <w:r>
        <w:rPr>
          <w:rFonts w:ascii="Arial" w:hAnsi="Arial"/>
          <w:color w:val="333333"/>
          <w:spacing w:val="-7"/>
          <w:w w:val="105"/>
          <w:sz w:val="17"/>
        </w:rPr>
        <w:t> </w:t>
      </w:r>
      <w:r>
        <w:rPr>
          <w:rFonts w:ascii="Arial" w:hAnsi="Arial"/>
          <w:color w:val="333333"/>
          <w:spacing w:val="-2"/>
          <w:w w:val="105"/>
          <w:sz w:val="17"/>
        </w:rPr>
        <w:t>pages)</w:t>
      </w:r>
    </w:p>
    <w:p>
      <w:pPr>
        <w:pStyle w:val="BodyText"/>
        <w:spacing w:before="10"/>
        <w:rPr>
          <w:rFonts w:ascii="Arial"/>
          <w:sz w:val="26"/>
        </w:rPr>
      </w:pPr>
    </w:p>
    <w:p>
      <w:pPr>
        <w:pStyle w:val="ListParagraph"/>
        <w:numPr>
          <w:ilvl w:val="1"/>
          <w:numId w:val="1"/>
        </w:numPr>
        <w:tabs>
          <w:tab w:pos="2364" w:val="left" w:leader="none"/>
        </w:tabs>
        <w:spacing w:line="240" w:lineRule="auto" w:before="1" w:after="0"/>
        <w:ind w:left="2363" w:right="0" w:hanging="442"/>
        <w:jc w:val="left"/>
        <w:rPr>
          <w:rFonts w:ascii="Arial"/>
          <w:b/>
          <w:sz w:val="22"/>
        </w:rPr>
      </w:pPr>
      <w:bookmarkStart w:name=" 4.2. Audit Reports" w:id="12"/>
      <w:bookmarkEnd w:id="12"/>
      <w:r>
        <w:rPr>
          <w:rFonts w:ascii="Arial"/>
          <w:b/>
          <w:color w:val="333333"/>
          <w:sz w:val="22"/>
        </w:rPr>
        <w:t>Audi</w:t>
      </w:r>
      <w:r>
        <w:rPr>
          <w:rFonts w:ascii="Arial"/>
          <w:b/>
          <w:color w:val="333333"/>
          <w:sz w:val="22"/>
        </w:rPr>
        <w:t>t</w:t>
      </w:r>
      <w:r>
        <w:rPr>
          <w:rFonts w:ascii="Arial"/>
          <w:b/>
          <w:color w:val="333333"/>
          <w:spacing w:val="-12"/>
          <w:sz w:val="22"/>
        </w:rPr>
        <w:t> </w:t>
      </w:r>
      <w:r>
        <w:rPr>
          <w:rFonts w:ascii="Arial"/>
          <w:b/>
          <w:color w:val="333333"/>
          <w:spacing w:val="-2"/>
          <w:sz w:val="22"/>
        </w:rPr>
        <w:t>Reports</w:t>
      </w:r>
    </w:p>
    <w:p>
      <w:pPr>
        <w:pStyle w:val="BodyText"/>
        <w:spacing w:before="5"/>
        <w:rPr>
          <w:rFonts w:ascii="Arial"/>
          <w:b/>
          <w:sz w:val="20"/>
        </w:rPr>
      </w:pPr>
    </w:p>
    <w:p>
      <w:pPr>
        <w:spacing w:before="0"/>
        <w:ind w:left="2275" w:right="0" w:firstLine="0"/>
        <w:jc w:val="left"/>
        <w:rPr>
          <w:rFonts w:ascii="Arial"/>
          <w:i/>
          <w:sz w:val="17"/>
        </w:rPr>
      </w:pPr>
      <w:r>
        <w:rPr>
          <w:rFonts w:ascii="Arial"/>
          <w:i/>
          <w:color w:val="333333"/>
          <w:sz w:val="17"/>
        </w:rPr>
        <w:t>James</w:t>
      </w:r>
      <w:r>
        <w:rPr>
          <w:rFonts w:ascii="Arial"/>
          <w:i/>
          <w:color w:val="333333"/>
          <w:spacing w:val="23"/>
          <w:sz w:val="17"/>
        </w:rPr>
        <w:t> </w:t>
      </w:r>
      <w:r>
        <w:rPr>
          <w:rFonts w:ascii="Arial"/>
          <w:i/>
          <w:color w:val="333333"/>
          <w:sz w:val="17"/>
        </w:rPr>
        <w:t>John/Sophie</w:t>
      </w:r>
      <w:r>
        <w:rPr>
          <w:rFonts w:ascii="Arial"/>
          <w:i/>
          <w:color w:val="333333"/>
          <w:spacing w:val="24"/>
          <w:sz w:val="17"/>
        </w:rPr>
        <w:t> </w:t>
      </w:r>
      <w:r>
        <w:rPr>
          <w:rFonts w:ascii="Arial"/>
          <w:i/>
          <w:color w:val="333333"/>
          <w:spacing w:val="-2"/>
          <w:sz w:val="17"/>
        </w:rPr>
        <w:t>Corbett</w:t>
      </w:r>
    </w:p>
    <w:p>
      <w:pPr>
        <w:pStyle w:val="BodyText"/>
        <w:spacing w:before="7"/>
        <w:rPr>
          <w:rFonts w:ascii="Arial"/>
          <w:i/>
          <w:sz w:val="26"/>
        </w:rPr>
      </w:pPr>
    </w:p>
    <w:p>
      <w:pPr>
        <w:pStyle w:val="ListParagraph"/>
        <w:numPr>
          <w:ilvl w:val="2"/>
          <w:numId w:val="1"/>
        </w:numPr>
        <w:tabs>
          <w:tab w:pos="2474" w:val="left" w:leader="none"/>
        </w:tabs>
        <w:spacing w:line="240" w:lineRule="auto" w:before="0" w:after="0"/>
        <w:ind w:left="2473" w:right="0" w:hanging="552"/>
        <w:jc w:val="left"/>
        <w:rPr>
          <w:rFonts w:ascii="Arial"/>
          <w:b/>
          <w:sz w:val="20"/>
        </w:rPr>
      </w:pPr>
      <w:bookmarkStart w:name=" 4.2.1. Recruitment Services" w:id="13"/>
      <w:bookmarkEnd w:id="13"/>
      <w:r>
        <w:rPr>
          <w:rFonts w:ascii="Arial"/>
          <w:b/>
          <w:color w:val="333333"/>
          <w:sz w:val="20"/>
        </w:rPr>
        <w:t>Recruitmen</w:t>
      </w:r>
      <w:r>
        <w:rPr>
          <w:rFonts w:ascii="Arial"/>
          <w:b/>
          <w:color w:val="333333"/>
          <w:sz w:val="20"/>
        </w:rPr>
        <w:t>t</w:t>
      </w:r>
      <w:r>
        <w:rPr>
          <w:rFonts w:ascii="Arial"/>
          <w:b/>
          <w:color w:val="333333"/>
          <w:spacing w:val="24"/>
          <w:sz w:val="20"/>
        </w:rPr>
        <w:t> </w:t>
      </w:r>
      <w:r>
        <w:rPr>
          <w:rFonts w:ascii="Arial"/>
          <w:b/>
          <w:color w:val="333333"/>
          <w:spacing w:val="-2"/>
          <w:sz w:val="20"/>
        </w:rPr>
        <w:t>Services</w:t>
      </w:r>
    </w:p>
    <w:p>
      <w:pPr>
        <w:pStyle w:val="BodyText"/>
        <w:spacing w:before="10"/>
        <w:rPr>
          <w:rFonts w:ascii="Arial"/>
          <w:b/>
          <w:sz w:val="19"/>
        </w:rPr>
      </w:pPr>
    </w:p>
    <w:p>
      <w:pPr>
        <w:spacing w:before="0"/>
        <w:ind w:left="2275" w:right="0" w:firstLine="0"/>
        <w:jc w:val="left"/>
        <w:rPr>
          <w:rFonts w:ascii="Arial"/>
          <w:i/>
          <w:sz w:val="17"/>
        </w:rPr>
      </w:pPr>
      <w:r>
        <w:rPr>
          <w:rFonts w:ascii="Arial"/>
          <w:i/>
          <w:color w:val="333333"/>
          <w:sz w:val="17"/>
        </w:rPr>
        <w:t>James</w:t>
      </w:r>
      <w:r>
        <w:rPr>
          <w:rFonts w:ascii="Arial"/>
          <w:i/>
          <w:color w:val="333333"/>
          <w:spacing w:val="24"/>
          <w:sz w:val="17"/>
        </w:rPr>
        <w:t> </w:t>
      </w:r>
      <w:r>
        <w:rPr>
          <w:rFonts w:ascii="Arial"/>
          <w:i/>
          <w:color w:val="333333"/>
          <w:sz w:val="17"/>
        </w:rPr>
        <w:t>Johns/Sophie</w:t>
      </w:r>
      <w:r>
        <w:rPr>
          <w:rFonts w:ascii="Arial"/>
          <w:i/>
          <w:color w:val="333333"/>
          <w:spacing w:val="25"/>
          <w:sz w:val="17"/>
        </w:rPr>
        <w:t> </w:t>
      </w:r>
      <w:r>
        <w:rPr>
          <w:rFonts w:ascii="Arial"/>
          <w:i/>
          <w:color w:val="333333"/>
          <w:spacing w:val="-2"/>
          <w:sz w:val="17"/>
        </w:rPr>
        <w:t>Corbett</w:t>
      </w:r>
    </w:p>
    <w:p>
      <w:pPr>
        <w:spacing w:before="136"/>
        <w:ind w:left="1922" w:right="0" w:firstLine="0"/>
        <w:jc w:val="left"/>
        <w:rPr>
          <w:rFonts w:ascii="Arial" w:hAnsi="Arial"/>
          <w:sz w:val="17"/>
        </w:rPr>
      </w:pPr>
      <w:r>
        <w:rPr>
          <w:rFonts w:ascii="Arial" w:hAnsi="Arial"/>
          <w:color w:val="878787"/>
          <w:spacing w:val="-4"/>
          <w:w w:val="105"/>
          <w:sz w:val="17"/>
        </w:rPr>
        <w:t></w:t>
      </w:r>
      <w:r>
        <w:rPr>
          <w:rFonts w:ascii="Arial" w:hAnsi="Arial"/>
          <w:color w:val="878787"/>
          <w:spacing w:val="66"/>
          <w:w w:val="150"/>
          <w:sz w:val="17"/>
        </w:rPr>
        <w:t> </w:t>
      </w:r>
      <w:r>
        <w:rPr>
          <w:rFonts w:ascii="Arial" w:hAnsi="Arial"/>
          <w:color w:val="333333"/>
          <w:spacing w:val="-4"/>
          <w:w w:val="105"/>
          <w:sz w:val="17"/>
        </w:rPr>
        <w:t>4.2.1</w:t>
      </w:r>
      <w:r>
        <w:rPr>
          <w:rFonts w:ascii="Arial" w:hAnsi="Arial"/>
          <w:color w:val="333333"/>
          <w:spacing w:val="-2"/>
          <w:sz w:val="17"/>
        </w:rPr>
        <w:t> </w:t>
      </w:r>
      <w:r>
        <w:rPr>
          <w:rFonts w:ascii="Arial" w:hAnsi="Arial"/>
          <w:color w:val="333333"/>
          <w:spacing w:val="-4"/>
          <w:w w:val="105"/>
          <w:sz w:val="17"/>
        </w:rPr>
        <w:t>NWSSP-2223-02</w:t>
      </w:r>
      <w:r>
        <w:rPr>
          <w:rFonts w:ascii="Arial" w:hAnsi="Arial"/>
          <w:color w:val="333333"/>
          <w:spacing w:val="-1"/>
          <w:sz w:val="17"/>
        </w:rPr>
        <w:t> </w:t>
      </w:r>
      <w:r>
        <w:rPr>
          <w:rFonts w:ascii="Arial" w:hAnsi="Arial"/>
          <w:color w:val="333333"/>
          <w:spacing w:val="-4"/>
          <w:w w:val="105"/>
          <w:sz w:val="17"/>
        </w:rPr>
        <w:t>Recruitment</w:t>
      </w:r>
      <w:r>
        <w:rPr>
          <w:rFonts w:ascii="Arial" w:hAnsi="Arial"/>
          <w:color w:val="333333"/>
          <w:spacing w:val="-5"/>
          <w:w w:val="105"/>
          <w:sz w:val="17"/>
        </w:rPr>
        <w:t> </w:t>
      </w:r>
      <w:r>
        <w:rPr>
          <w:rFonts w:ascii="Arial" w:hAnsi="Arial"/>
          <w:color w:val="333333"/>
          <w:spacing w:val="-4"/>
          <w:w w:val="105"/>
          <w:sz w:val="17"/>
        </w:rPr>
        <w:t>Services</w:t>
      </w:r>
      <w:r>
        <w:rPr>
          <w:rFonts w:ascii="Arial" w:hAnsi="Arial"/>
          <w:color w:val="333333"/>
          <w:spacing w:val="-1"/>
          <w:sz w:val="17"/>
        </w:rPr>
        <w:t> </w:t>
      </w:r>
      <w:r>
        <w:rPr>
          <w:rFonts w:ascii="Arial" w:hAnsi="Arial"/>
          <w:color w:val="333333"/>
          <w:spacing w:val="-4"/>
          <w:w w:val="105"/>
          <w:sz w:val="17"/>
        </w:rPr>
        <w:t>Final</w:t>
      </w:r>
      <w:r>
        <w:rPr>
          <w:rFonts w:ascii="Arial" w:hAnsi="Arial"/>
          <w:color w:val="333333"/>
          <w:spacing w:val="-5"/>
          <w:w w:val="105"/>
          <w:sz w:val="17"/>
        </w:rPr>
        <w:t> </w:t>
      </w:r>
      <w:r>
        <w:rPr>
          <w:rFonts w:ascii="Arial" w:hAnsi="Arial"/>
          <w:color w:val="333333"/>
          <w:spacing w:val="-4"/>
          <w:w w:val="105"/>
          <w:sz w:val="17"/>
        </w:rPr>
        <w:t>IA</w:t>
      </w:r>
      <w:r>
        <w:rPr>
          <w:rFonts w:ascii="Arial" w:hAnsi="Arial"/>
          <w:color w:val="333333"/>
          <w:spacing w:val="-2"/>
          <w:sz w:val="17"/>
        </w:rPr>
        <w:t> </w:t>
      </w:r>
      <w:r>
        <w:rPr>
          <w:rFonts w:ascii="Arial" w:hAnsi="Arial"/>
          <w:color w:val="333333"/>
          <w:spacing w:val="-4"/>
          <w:w w:val="105"/>
          <w:sz w:val="17"/>
        </w:rPr>
        <w:t>Report.pdf</w:t>
      </w:r>
      <w:r>
        <w:rPr>
          <w:rFonts w:ascii="Arial" w:hAnsi="Arial"/>
          <w:color w:val="333333"/>
          <w:spacing w:val="2"/>
          <w:w w:val="105"/>
          <w:sz w:val="17"/>
        </w:rPr>
        <w:t> </w:t>
      </w:r>
      <w:r>
        <w:rPr>
          <w:rFonts w:ascii="Arial" w:hAnsi="Arial"/>
          <w:color w:val="333333"/>
          <w:spacing w:val="-4"/>
          <w:w w:val="105"/>
          <w:sz w:val="17"/>
        </w:rPr>
        <w:t>(11</w:t>
      </w:r>
      <w:r>
        <w:rPr>
          <w:rFonts w:ascii="Arial" w:hAnsi="Arial"/>
          <w:color w:val="333333"/>
          <w:spacing w:val="-3"/>
          <w:w w:val="105"/>
          <w:sz w:val="17"/>
        </w:rPr>
        <w:t> </w:t>
      </w:r>
      <w:r>
        <w:rPr>
          <w:rFonts w:ascii="Arial" w:hAnsi="Arial"/>
          <w:color w:val="333333"/>
          <w:spacing w:val="-4"/>
          <w:w w:val="105"/>
          <w:sz w:val="17"/>
        </w:rPr>
        <w:t>pages)</w:t>
      </w:r>
    </w:p>
    <w:p>
      <w:pPr>
        <w:pStyle w:val="BodyText"/>
        <w:spacing w:before="7"/>
        <w:rPr>
          <w:rFonts w:ascii="Arial"/>
          <w:sz w:val="26"/>
        </w:rPr>
      </w:pPr>
    </w:p>
    <w:p>
      <w:pPr>
        <w:pStyle w:val="ListParagraph"/>
        <w:numPr>
          <w:ilvl w:val="2"/>
          <w:numId w:val="1"/>
        </w:numPr>
        <w:tabs>
          <w:tab w:pos="2474" w:val="left" w:leader="none"/>
        </w:tabs>
        <w:spacing w:line="240" w:lineRule="auto" w:before="0" w:after="0"/>
        <w:ind w:left="2473" w:right="0" w:hanging="552"/>
        <w:jc w:val="left"/>
        <w:rPr>
          <w:rFonts w:ascii="Arial"/>
          <w:b/>
          <w:sz w:val="20"/>
        </w:rPr>
      </w:pPr>
      <w:bookmarkStart w:name=" 4.2.2. Laundry Services - Glan Clwyd" w:id="14"/>
      <w:bookmarkEnd w:id="14"/>
      <w:r>
        <w:rPr>
          <w:rFonts w:ascii="Arial"/>
          <w:b/>
          <w:color w:val="333333"/>
          <w:sz w:val="20"/>
        </w:rPr>
        <w:t>Laundr</w:t>
      </w:r>
      <w:r>
        <w:rPr>
          <w:rFonts w:ascii="Arial"/>
          <w:b/>
          <w:color w:val="333333"/>
          <w:sz w:val="20"/>
        </w:rPr>
        <w:t>y</w:t>
      </w:r>
      <w:r>
        <w:rPr>
          <w:rFonts w:ascii="Arial"/>
          <w:b/>
          <w:color w:val="333333"/>
          <w:spacing w:val="6"/>
          <w:sz w:val="20"/>
        </w:rPr>
        <w:t> </w:t>
      </w:r>
      <w:r>
        <w:rPr>
          <w:rFonts w:ascii="Arial"/>
          <w:b/>
          <w:color w:val="333333"/>
          <w:sz w:val="20"/>
        </w:rPr>
        <w:t>Services</w:t>
      </w:r>
      <w:r>
        <w:rPr>
          <w:rFonts w:ascii="Arial"/>
          <w:b/>
          <w:color w:val="333333"/>
          <w:spacing w:val="6"/>
          <w:sz w:val="20"/>
        </w:rPr>
        <w:t> </w:t>
      </w:r>
      <w:r>
        <w:rPr>
          <w:rFonts w:ascii="Arial"/>
          <w:b/>
          <w:color w:val="333333"/>
          <w:sz w:val="20"/>
        </w:rPr>
        <w:t>-</w:t>
      </w:r>
      <w:r>
        <w:rPr>
          <w:rFonts w:ascii="Arial"/>
          <w:b/>
          <w:color w:val="333333"/>
          <w:spacing w:val="7"/>
          <w:sz w:val="20"/>
        </w:rPr>
        <w:t> </w:t>
      </w:r>
      <w:r>
        <w:rPr>
          <w:rFonts w:ascii="Arial"/>
          <w:b/>
          <w:color w:val="333333"/>
          <w:sz w:val="20"/>
        </w:rPr>
        <w:t>Glan</w:t>
      </w:r>
      <w:r>
        <w:rPr>
          <w:rFonts w:ascii="Arial"/>
          <w:b/>
          <w:color w:val="333333"/>
          <w:spacing w:val="6"/>
          <w:sz w:val="20"/>
        </w:rPr>
        <w:t> </w:t>
      </w:r>
      <w:r>
        <w:rPr>
          <w:rFonts w:ascii="Arial"/>
          <w:b/>
          <w:color w:val="333333"/>
          <w:spacing w:val="-2"/>
          <w:sz w:val="20"/>
        </w:rPr>
        <w:t>Clwyd</w:t>
      </w:r>
    </w:p>
    <w:p>
      <w:pPr>
        <w:pStyle w:val="BodyText"/>
        <w:spacing w:before="10"/>
        <w:rPr>
          <w:rFonts w:ascii="Arial"/>
          <w:b/>
          <w:sz w:val="19"/>
        </w:rPr>
      </w:pPr>
    </w:p>
    <w:p>
      <w:pPr>
        <w:spacing w:before="0"/>
        <w:ind w:left="2275" w:right="0" w:firstLine="0"/>
        <w:jc w:val="left"/>
        <w:rPr>
          <w:rFonts w:ascii="Arial"/>
          <w:i/>
          <w:sz w:val="17"/>
        </w:rPr>
      </w:pPr>
      <w:r>
        <w:rPr>
          <w:rFonts w:ascii="Arial"/>
          <w:i/>
          <w:color w:val="333333"/>
          <w:sz w:val="17"/>
        </w:rPr>
        <w:t>James</w:t>
      </w:r>
      <w:r>
        <w:rPr>
          <w:rFonts w:ascii="Arial"/>
          <w:i/>
          <w:color w:val="333333"/>
          <w:spacing w:val="24"/>
          <w:sz w:val="17"/>
        </w:rPr>
        <w:t> </w:t>
      </w:r>
      <w:r>
        <w:rPr>
          <w:rFonts w:ascii="Arial"/>
          <w:i/>
          <w:color w:val="333333"/>
          <w:sz w:val="17"/>
        </w:rPr>
        <w:t>Johns/Sophie</w:t>
      </w:r>
      <w:r>
        <w:rPr>
          <w:rFonts w:ascii="Arial"/>
          <w:i/>
          <w:color w:val="333333"/>
          <w:spacing w:val="25"/>
          <w:sz w:val="17"/>
        </w:rPr>
        <w:t> </w:t>
      </w:r>
      <w:r>
        <w:rPr>
          <w:rFonts w:ascii="Arial"/>
          <w:i/>
          <w:color w:val="333333"/>
          <w:spacing w:val="-2"/>
          <w:sz w:val="17"/>
        </w:rPr>
        <w:t>Corbett</w:t>
      </w:r>
    </w:p>
    <w:p>
      <w:pPr>
        <w:spacing w:before="135"/>
        <w:ind w:left="1922" w:right="0" w:firstLine="0"/>
        <w:jc w:val="left"/>
        <w:rPr>
          <w:rFonts w:ascii="Arial" w:hAnsi="Arial"/>
          <w:sz w:val="17"/>
        </w:rPr>
      </w:pPr>
      <w:r>
        <w:rPr>
          <w:rFonts w:ascii="Arial" w:hAnsi="Arial"/>
          <w:color w:val="878787"/>
          <w:spacing w:val="-2"/>
          <w:w w:val="105"/>
          <w:sz w:val="17"/>
        </w:rPr>
        <w:t></w:t>
      </w:r>
      <w:r>
        <w:rPr>
          <w:rFonts w:ascii="Arial" w:hAnsi="Arial"/>
          <w:color w:val="878787"/>
          <w:spacing w:val="37"/>
          <w:w w:val="105"/>
          <w:sz w:val="17"/>
        </w:rPr>
        <w:t> </w:t>
      </w:r>
      <w:r>
        <w:rPr>
          <w:rFonts w:ascii="Arial" w:hAnsi="Arial"/>
          <w:color w:val="333333"/>
          <w:spacing w:val="-2"/>
          <w:w w:val="105"/>
          <w:sz w:val="17"/>
        </w:rPr>
        <w:t>4.2.2</w:t>
      </w:r>
      <w:r>
        <w:rPr>
          <w:rFonts w:ascii="Arial" w:hAnsi="Arial"/>
          <w:color w:val="333333"/>
          <w:spacing w:val="-10"/>
          <w:w w:val="105"/>
          <w:sz w:val="17"/>
        </w:rPr>
        <w:t> </w:t>
      </w:r>
      <w:r>
        <w:rPr>
          <w:rFonts w:ascii="Arial" w:hAnsi="Arial"/>
          <w:color w:val="333333"/>
          <w:spacing w:val="-2"/>
          <w:w w:val="105"/>
          <w:sz w:val="17"/>
        </w:rPr>
        <w:t>NWSSP-2223-05b</w:t>
      </w:r>
      <w:r>
        <w:rPr>
          <w:rFonts w:ascii="Arial" w:hAnsi="Arial"/>
          <w:color w:val="333333"/>
          <w:spacing w:val="-11"/>
          <w:w w:val="105"/>
          <w:sz w:val="17"/>
        </w:rPr>
        <w:t> </w:t>
      </w:r>
      <w:r>
        <w:rPr>
          <w:rFonts w:ascii="Arial" w:hAnsi="Arial"/>
          <w:color w:val="333333"/>
          <w:spacing w:val="-2"/>
          <w:w w:val="105"/>
          <w:sz w:val="17"/>
        </w:rPr>
        <w:t>Laundry</w:t>
      </w:r>
      <w:r>
        <w:rPr>
          <w:rFonts w:ascii="Arial" w:hAnsi="Arial"/>
          <w:color w:val="333333"/>
          <w:spacing w:val="-10"/>
          <w:w w:val="105"/>
          <w:sz w:val="17"/>
        </w:rPr>
        <w:t> </w:t>
      </w:r>
      <w:r>
        <w:rPr>
          <w:rFonts w:ascii="Arial" w:hAnsi="Arial"/>
          <w:color w:val="333333"/>
          <w:spacing w:val="-2"/>
          <w:w w:val="105"/>
          <w:sz w:val="17"/>
        </w:rPr>
        <w:t>Service</w:t>
      </w:r>
      <w:r>
        <w:rPr>
          <w:rFonts w:ascii="Arial" w:hAnsi="Arial"/>
          <w:color w:val="333333"/>
          <w:spacing w:val="-10"/>
          <w:w w:val="105"/>
          <w:sz w:val="17"/>
        </w:rPr>
        <w:t> </w:t>
      </w:r>
      <w:r>
        <w:rPr>
          <w:rFonts w:ascii="Arial" w:hAnsi="Arial"/>
          <w:color w:val="333333"/>
          <w:spacing w:val="-2"/>
          <w:w w:val="105"/>
          <w:sz w:val="17"/>
        </w:rPr>
        <w:t>-</w:t>
      </w:r>
      <w:r>
        <w:rPr>
          <w:rFonts w:ascii="Arial" w:hAnsi="Arial"/>
          <w:color w:val="333333"/>
          <w:spacing w:val="-11"/>
          <w:w w:val="105"/>
          <w:sz w:val="17"/>
        </w:rPr>
        <w:t> </w:t>
      </w:r>
      <w:r>
        <w:rPr>
          <w:rFonts w:ascii="Arial" w:hAnsi="Arial"/>
          <w:color w:val="333333"/>
          <w:spacing w:val="-2"/>
          <w:w w:val="105"/>
          <w:sz w:val="17"/>
        </w:rPr>
        <w:t>Glan</w:t>
      </w:r>
      <w:r>
        <w:rPr>
          <w:rFonts w:ascii="Arial" w:hAnsi="Arial"/>
          <w:color w:val="333333"/>
          <w:spacing w:val="-10"/>
          <w:w w:val="105"/>
          <w:sz w:val="17"/>
        </w:rPr>
        <w:t> </w:t>
      </w:r>
      <w:r>
        <w:rPr>
          <w:rFonts w:ascii="Arial" w:hAnsi="Arial"/>
          <w:color w:val="333333"/>
          <w:spacing w:val="-2"/>
          <w:w w:val="105"/>
          <w:sz w:val="17"/>
        </w:rPr>
        <w:t>Clwyd</w:t>
      </w:r>
      <w:r>
        <w:rPr>
          <w:rFonts w:ascii="Arial" w:hAnsi="Arial"/>
          <w:color w:val="333333"/>
          <w:spacing w:val="-11"/>
          <w:w w:val="105"/>
          <w:sz w:val="17"/>
        </w:rPr>
        <w:t> </w:t>
      </w:r>
      <w:r>
        <w:rPr>
          <w:rFonts w:ascii="Arial" w:hAnsi="Arial"/>
          <w:color w:val="333333"/>
          <w:spacing w:val="-2"/>
          <w:w w:val="105"/>
          <w:sz w:val="17"/>
        </w:rPr>
        <w:t>-</w:t>
      </w:r>
      <w:r>
        <w:rPr>
          <w:rFonts w:ascii="Arial" w:hAnsi="Arial"/>
          <w:color w:val="333333"/>
          <w:spacing w:val="-10"/>
          <w:w w:val="105"/>
          <w:sz w:val="17"/>
        </w:rPr>
        <w:t> </w:t>
      </w:r>
      <w:r>
        <w:rPr>
          <w:rFonts w:ascii="Arial" w:hAnsi="Arial"/>
          <w:color w:val="333333"/>
          <w:spacing w:val="-2"/>
          <w:w w:val="105"/>
          <w:sz w:val="17"/>
        </w:rPr>
        <w:t>Final</w:t>
      </w:r>
      <w:r>
        <w:rPr>
          <w:rFonts w:ascii="Arial" w:hAnsi="Arial"/>
          <w:color w:val="333333"/>
          <w:spacing w:val="-10"/>
          <w:w w:val="105"/>
          <w:sz w:val="17"/>
        </w:rPr>
        <w:t> </w:t>
      </w:r>
      <w:r>
        <w:rPr>
          <w:rFonts w:ascii="Arial" w:hAnsi="Arial"/>
          <w:color w:val="333333"/>
          <w:spacing w:val="-2"/>
          <w:w w:val="105"/>
          <w:sz w:val="17"/>
        </w:rPr>
        <w:t>Report.pdf</w:t>
      </w:r>
      <w:r>
        <w:rPr>
          <w:rFonts w:ascii="Arial" w:hAnsi="Arial"/>
          <w:color w:val="333333"/>
          <w:spacing w:val="-9"/>
          <w:w w:val="105"/>
          <w:sz w:val="17"/>
        </w:rPr>
        <w:t> </w:t>
      </w:r>
      <w:r>
        <w:rPr>
          <w:rFonts w:ascii="Arial" w:hAnsi="Arial"/>
          <w:color w:val="333333"/>
          <w:spacing w:val="-2"/>
          <w:w w:val="105"/>
          <w:sz w:val="17"/>
        </w:rPr>
        <w:t>(13</w:t>
      </w:r>
      <w:r>
        <w:rPr>
          <w:rFonts w:ascii="Arial" w:hAnsi="Arial"/>
          <w:color w:val="333333"/>
          <w:spacing w:val="-11"/>
          <w:w w:val="105"/>
          <w:sz w:val="17"/>
        </w:rPr>
        <w:t> </w:t>
      </w:r>
      <w:r>
        <w:rPr>
          <w:rFonts w:ascii="Arial" w:hAnsi="Arial"/>
          <w:color w:val="333333"/>
          <w:spacing w:val="-2"/>
          <w:w w:val="105"/>
          <w:sz w:val="17"/>
        </w:rPr>
        <w:t>pages)</w:t>
      </w:r>
    </w:p>
    <w:p>
      <w:pPr>
        <w:pStyle w:val="BodyText"/>
        <w:spacing w:before="7"/>
        <w:rPr>
          <w:rFonts w:ascii="Arial"/>
          <w:sz w:val="26"/>
        </w:rPr>
      </w:pPr>
    </w:p>
    <w:p>
      <w:pPr>
        <w:pStyle w:val="ListParagraph"/>
        <w:numPr>
          <w:ilvl w:val="2"/>
          <w:numId w:val="1"/>
        </w:numPr>
        <w:tabs>
          <w:tab w:pos="2474" w:val="left" w:leader="none"/>
        </w:tabs>
        <w:spacing w:line="240" w:lineRule="auto" w:before="1" w:after="0"/>
        <w:ind w:left="2473" w:right="0" w:hanging="552"/>
        <w:jc w:val="left"/>
        <w:rPr>
          <w:rFonts w:ascii="Arial"/>
          <w:b/>
          <w:sz w:val="20"/>
        </w:rPr>
      </w:pPr>
      <w:bookmarkStart w:name=" 4.2.3. Accounts Payable" w:id="15"/>
      <w:bookmarkEnd w:id="15"/>
      <w:r>
        <w:rPr>
          <w:rFonts w:ascii="Arial"/>
          <w:b/>
          <w:color w:val="333333"/>
          <w:sz w:val="20"/>
        </w:rPr>
        <w:t>Account</w:t>
      </w:r>
      <w:r>
        <w:rPr>
          <w:rFonts w:ascii="Arial"/>
          <w:b/>
          <w:color w:val="333333"/>
          <w:sz w:val="20"/>
        </w:rPr>
        <w:t>s</w:t>
      </w:r>
      <w:r>
        <w:rPr>
          <w:rFonts w:ascii="Arial"/>
          <w:b/>
          <w:color w:val="333333"/>
          <w:spacing w:val="-1"/>
          <w:sz w:val="20"/>
        </w:rPr>
        <w:t> </w:t>
      </w:r>
      <w:r>
        <w:rPr>
          <w:rFonts w:ascii="Arial"/>
          <w:b/>
          <w:color w:val="333333"/>
          <w:spacing w:val="-2"/>
          <w:sz w:val="20"/>
        </w:rPr>
        <w:t>Payable</w:t>
      </w:r>
    </w:p>
    <w:p>
      <w:pPr>
        <w:pStyle w:val="BodyText"/>
        <w:spacing w:before="9"/>
        <w:rPr>
          <w:rFonts w:ascii="Arial"/>
          <w:b/>
          <w:sz w:val="19"/>
        </w:rPr>
      </w:pPr>
    </w:p>
    <w:p>
      <w:pPr>
        <w:spacing w:before="1"/>
        <w:ind w:left="2275" w:right="0" w:firstLine="0"/>
        <w:jc w:val="left"/>
        <w:rPr>
          <w:rFonts w:ascii="Arial"/>
          <w:i/>
          <w:sz w:val="17"/>
        </w:rPr>
      </w:pPr>
      <w:r>
        <w:rPr>
          <w:rFonts w:ascii="Arial"/>
          <w:i/>
          <w:color w:val="333333"/>
          <w:sz w:val="17"/>
        </w:rPr>
        <w:t>James</w:t>
      </w:r>
      <w:r>
        <w:rPr>
          <w:rFonts w:ascii="Arial"/>
          <w:i/>
          <w:color w:val="333333"/>
          <w:spacing w:val="24"/>
          <w:sz w:val="17"/>
        </w:rPr>
        <w:t> </w:t>
      </w:r>
      <w:r>
        <w:rPr>
          <w:rFonts w:ascii="Arial"/>
          <w:i/>
          <w:color w:val="333333"/>
          <w:sz w:val="17"/>
        </w:rPr>
        <w:t>Johns/Sophie</w:t>
      </w:r>
      <w:r>
        <w:rPr>
          <w:rFonts w:ascii="Arial"/>
          <w:i/>
          <w:color w:val="333333"/>
          <w:spacing w:val="25"/>
          <w:sz w:val="17"/>
        </w:rPr>
        <w:t> </w:t>
      </w:r>
      <w:r>
        <w:rPr>
          <w:rFonts w:ascii="Arial"/>
          <w:i/>
          <w:color w:val="333333"/>
          <w:spacing w:val="-2"/>
          <w:sz w:val="17"/>
        </w:rPr>
        <w:t>Corbett</w:t>
      </w:r>
    </w:p>
    <w:p>
      <w:pPr>
        <w:spacing w:before="135"/>
        <w:ind w:left="1922" w:right="0" w:firstLine="0"/>
        <w:jc w:val="left"/>
        <w:rPr>
          <w:rFonts w:ascii="Arial" w:hAnsi="Arial"/>
          <w:sz w:val="17"/>
        </w:rPr>
      </w:pPr>
      <w:r>
        <w:rPr>
          <w:rFonts w:ascii="Arial" w:hAnsi="Arial"/>
          <w:color w:val="878787"/>
          <w:spacing w:val="-4"/>
          <w:w w:val="105"/>
          <w:sz w:val="17"/>
        </w:rPr>
        <w:t></w:t>
      </w:r>
      <w:r>
        <w:rPr>
          <w:rFonts w:ascii="Arial" w:hAnsi="Arial"/>
          <w:color w:val="878787"/>
          <w:spacing w:val="66"/>
          <w:w w:val="150"/>
          <w:sz w:val="17"/>
        </w:rPr>
        <w:t> </w:t>
      </w:r>
      <w:r>
        <w:rPr>
          <w:rFonts w:ascii="Arial" w:hAnsi="Arial"/>
          <w:color w:val="333333"/>
          <w:spacing w:val="-4"/>
          <w:w w:val="105"/>
          <w:sz w:val="17"/>
        </w:rPr>
        <w:t>4.2.3</w:t>
      </w:r>
      <w:r>
        <w:rPr>
          <w:rFonts w:ascii="Arial" w:hAnsi="Arial"/>
          <w:color w:val="333333"/>
          <w:spacing w:val="-2"/>
          <w:sz w:val="17"/>
        </w:rPr>
        <w:t> </w:t>
      </w:r>
      <w:r>
        <w:rPr>
          <w:rFonts w:ascii="Arial" w:hAnsi="Arial"/>
          <w:color w:val="333333"/>
          <w:spacing w:val="-4"/>
          <w:w w:val="105"/>
          <w:sz w:val="17"/>
        </w:rPr>
        <w:t>NWSSP-2223-12</w:t>
      </w:r>
      <w:r>
        <w:rPr>
          <w:rFonts w:ascii="Arial" w:hAnsi="Arial"/>
          <w:color w:val="333333"/>
          <w:spacing w:val="-1"/>
          <w:sz w:val="17"/>
        </w:rPr>
        <w:t> </w:t>
      </w:r>
      <w:r>
        <w:rPr>
          <w:rFonts w:ascii="Arial" w:hAnsi="Arial"/>
          <w:color w:val="333333"/>
          <w:spacing w:val="-4"/>
          <w:w w:val="105"/>
          <w:sz w:val="17"/>
        </w:rPr>
        <w:t>Accounts</w:t>
      </w:r>
      <w:r>
        <w:rPr>
          <w:rFonts w:ascii="Arial" w:hAnsi="Arial"/>
          <w:color w:val="333333"/>
          <w:spacing w:val="-5"/>
          <w:w w:val="105"/>
          <w:sz w:val="17"/>
        </w:rPr>
        <w:t> </w:t>
      </w:r>
      <w:r>
        <w:rPr>
          <w:rFonts w:ascii="Arial" w:hAnsi="Arial"/>
          <w:color w:val="333333"/>
          <w:spacing w:val="-4"/>
          <w:w w:val="105"/>
          <w:sz w:val="17"/>
        </w:rPr>
        <w:t>Payable</w:t>
      </w:r>
      <w:r>
        <w:rPr>
          <w:rFonts w:ascii="Arial" w:hAnsi="Arial"/>
          <w:color w:val="333333"/>
          <w:spacing w:val="-2"/>
          <w:sz w:val="17"/>
        </w:rPr>
        <w:t> </w:t>
      </w:r>
      <w:r>
        <w:rPr>
          <w:rFonts w:ascii="Arial" w:hAnsi="Arial"/>
          <w:color w:val="333333"/>
          <w:spacing w:val="-4"/>
          <w:w w:val="105"/>
          <w:sz w:val="17"/>
        </w:rPr>
        <w:t>Final</w:t>
      </w:r>
      <w:r>
        <w:rPr>
          <w:rFonts w:ascii="Arial" w:hAnsi="Arial"/>
          <w:color w:val="333333"/>
          <w:spacing w:val="-1"/>
          <w:sz w:val="17"/>
        </w:rPr>
        <w:t> </w:t>
      </w:r>
      <w:r>
        <w:rPr>
          <w:rFonts w:ascii="Arial" w:hAnsi="Arial"/>
          <w:color w:val="333333"/>
          <w:spacing w:val="-4"/>
          <w:w w:val="105"/>
          <w:sz w:val="17"/>
        </w:rPr>
        <w:t>Internal</w:t>
      </w:r>
      <w:r>
        <w:rPr>
          <w:rFonts w:ascii="Arial" w:hAnsi="Arial"/>
          <w:color w:val="333333"/>
          <w:spacing w:val="-5"/>
          <w:w w:val="105"/>
          <w:sz w:val="17"/>
        </w:rPr>
        <w:t> </w:t>
      </w:r>
      <w:r>
        <w:rPr>
          <w:rFonts w:ascii="Arial" w:hAnsi="Arial"/>
          <w:color w:val="333333"/>
          <w:spacing w:val="-4"/>
          <w:w w:val="105"/>
          <w:sz w:val="17"/>
        </w:rPr>
        <w:t>Audit</w:t>
      </w:r>
      <w:r>
        <w:rPr>
          <w:rFonts w:ascii="Arial" w:hAnsi="Arial"/>
          <w:color w:val="333333"/>
          <w:spacing w:val="-2"/>
          <w:sz w:val="17"/>
        </w:rPr>
        <w:t> </w:t>
      </w:r>
      <w:r>
        <w:rPr>
          <w:rFonts w:ascii="Arial" w:hAnsi="Arial"/>
          <w:color w:val="333333"/>
          <w:spacing w:val="-4"/>
          <w:w w:val="105"/>
          <w:sz w:val="17"/>
        </w:rPr>
        <w:t>Report.pdf</w:t>
      </w:r>
      <w:r>
        <w:rPr>
          <w:rFonts w:ascii="Arial" w:hAnsi="Arial"/>
          <w:color w:val="333333"/>
          <w:spacing w:val="8"/>
          <w:w w:val="105"/>
          <w:sz w:val="17"/>
        </w:rPr>
        <w:t> </w:t>
      </w:r>
      <w:r>
        <w:rPr>
          <w:rFonts w:ascii="Arial" w:hAnsi="Arial"/>
          <w:color w:val="333333"/>
          <w:spacing w:val="-4"/>
          <w:w w:val="105"/>
          <w:sz w:val="17"/>
        </w:rPr>
        <w:t>(16</w:t>
      </w:r>
      <w:r>
        <w:rPr>
          <w:rFonts w:ascii="Arial" w:hAnsi="Arial"/>
          <w:color w:val="333333"/>
          <w:spacing w:val="-2"/>
          <w:w w:val="105"/>
          <w:sz w:val="17"/>
        </w:rPr>
        <w:t> </w:t>
      </w:r>
      <w:r>
        <w:rPr>
          <w:rFonts w:ascii="Arial" w:hAnsi="Arial"/>
          <w:color w:val="333333"/>
          <w:spacing w:val="-4"/>
          <w:w w:val="105"/>
          <w:sz w:val="17"/>
        </w:rPr>
        <w:t>pages)</w:t>
      </w:r>
    </w:p>
    <w:p>
      <w:pPr>
        <w:pStyle w:val="BodyText"/>
        <w:rPr>
          <w:rFonts w:ascii="Arial"/>
          <w:sz w:val="20"/>
        </w:rPr>
      </w:pPr>
    </w:p>
    <w:p>
      <w:pPr>
        <w:pStyle w:val="BodyText"/>
        <w:spacing w:before="1"/>
        <w:rPr>
          <w:rFonts w:ascii="Arial"/>
          <w:sz w:val="14"/>
        </w:rPr>
      </w:pPr>
      <w:r>
        <w:rPr/>
        <w:pict>
          <v:rect style="position:absolute;margin-left:15pt;margin-top:9.343415pt;width:565.000183pt;height:.551758pt;mso-position-horizontal-relative:page;mso-position-vertical-relative:paragraph;z-index:-15726592;mso-wrap-distance-left:0;mso-wrap-distance-right:0" id="docshape5" filled="true" fillcolor="#ededed" stroked="false">
            <v:fill type="solid"/>
            <w10:wrap type="topAndBottom"/>
          </v:rect>
        </w:pict>
      </w:r>
    </w:p>
    <w:p>
      <w:pPr>
        <w:pStyle w:val="BodyText"/>
        <w:spacing w:before="7"/>
        <w:rPr>
          <w:rFonts w:ascii="Arial"/>
          <w:sz w:val="13"/>
        </w:rPr>
      </w:pPr>
    </w:p>
    <w:p>
      <w:pPr>
        <w:spacing w:after="0"/>
        <w:rPr>
          <w:rFonts w:ascii="Arial"/>
          <w:sz w:val="13"/>
        </w:rPr>
        <w:sectPr>
          <w:pgSz w:w="11900" w:h="16840"/>
          <w:pgMar w:top="460" w:bottom="280" w:left="0" w:right="0"/>
        </w:sectPr>
      </w:pPr>
    </w:p>
    <w:p>
      <w:pPr>
        <w:spacing w:before="125"/>
        <w:ind w:left="0" w:right="0" w:firstLine="0"/>
        <w:jc w:val="right"/>
        <w:rPr>
          <w:rFonts w:ascii="Arial"/>
          <w:b/>
          <w:sz w:val="17"/>
        </w:rPr>
      </w:pPr>
      <w:bookmarkStart w:name=" 5. Counter Fraud" w:id="16"/>
      <w:bookmarkEnd w:id="16"/>
      <w:r>
        <w:rPr/>
      </w:r>
      <w:r>
        <w:rPr>
          <w:rFonts w:ascii="Arial"/>
          <w:b/>
          <w:color w:val="333333"/>
          <w:sz w:val="17"/>
        </w:rPr>
        <w:t>15:00</w:t>
      </w:r>
      <w:r>
        <w:rPr>
          <w:rFonts w:ascii="Arial"/>
          <w:b/>
          <w:color w:val="333333"/>
          <w:spacing w:val="7"/>
          <w:sz w:val="17"/>
        </w:rPr>
        <w:t> </w:t>
      </w:r>
      <w:r>
        <w:rPr>
          <w:rFonts w:ascii="Arial"/>
          <w:color w:val="333333"/>
          <w:sz w:val="17"/>
        </w:rPr>
        <w:t>-</w:t>
      </w:r>
      <w:r>
        <w:rPr>
          <w:rFonts w:ascii="Arial"/>
          <w:color w:val="333333"/>
          <w:spacing w:val="4"/>
          <w:sz w:val="17"/>
        </w:rPr>
        <w:t> </w:t>
      </w:r>
      <w:r>
        <w:rPr>
          <w:rFonts w:ascii="Arial"/>
          <w:b/>
          <w:color w:val="333333"/>
          <w:spacing w:val="-2"/>
          <w:sz w:val="17"/>
        </w:rPr>
        <w:t>15:15</w:t>
      </w:r>
    </w:p>
    <w:p>
      <w:pPr>
        <w:spacing w:before="55"/>
        <w:ind w:left="0" w:right="0" w:firstLine="0"/>
        <w:jc w:val="right"/>
        <w:rPr>
          <w:rFonts w:ascii="Arial"/>
          <w:sz w:val="15"/>
        </w:rPr>
      </w:pPr>
      <w:r>
        <w:rPr>
          <w:rFonts w:ascii="Arial"/>
          <w:sz w:val="15"/>
        </w:rPr>
        <w:t>15</w:t>
      </w:r>
      <w:r>
        <w:rPr>
          <w:rFonts w:ascii="Arial"/>
          <w:spacing w:val="3"/>
          <w:sz w:val="15"/>
        </w:rPr>
        <w:t> </w:t>
      </w:r>
      <w:r>
        <w:rPr>
          <w:rFonts w:ascii="Arial"/>
          <w:spacing w:val="-5"/>
          <w:sz w:val="15"/>
        </w:rPr>
        <w:t>min</w:t>
      </w: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spacing w:before="11"/>
        <w:rPr>
          <w:rFonts w:ascii="Arial"/>
          <w:sz w:val="13"/>
        </w:rPr>
      </w:pPr>
    </w:p>
    <w:p>
      <w:pPr>
        <w:spacing w:before="0"/>
        <w:ind w:left="0" w:right="0" w:firstLine="0"/>
        <w:jc w:val="right"/>
        <w:rPr>
          <w:rFonts w:ascii="Arial"/>
          <w:b/>
          <w:sz w:val="17"/>
        </w:rPr>
      </w:pPr>
      <w:r>
        <w:rPr/>
        <w:pict>
          <v:rect style="position:absolute;margin-left:15pt;margin-top:-14.649164pt;width:565.000183pt;height:.551758pt;mso-position-horizontal-relative:page;mso-position-vertical-relative:paragraph;z-index:15731200" id="docshape6" filled="true" fillcolor="#ededed" stroked="false">
            <v:fill type="solid"/>
            <w10:wrap type="none"/>
          </v:rect>
        </w:pict>
      </w:r>
      <w:bookmarkStart w:name=" 5.1. Progress Update" w:id="17"/>
      <w:bookmarkEnd w:id="17"/>
      <w:r>
        <w:rPr/>
      </w:r>
      <w:bookmarkStart w:name=" 5.1.1. Fraud Awareness Week Summary" w:id="18"/>
      <w:bookmarkEnd w:id="18"/>
      <w:r>
        <w:rPr/>
      </w:r>
      <w:bookmarkStart w:name=" 5.1.2. NWSSP Staff Fraud Survey Results" w:id="19"/>
      <w:bookmarkEnd w:id="19"/>
      <w:r>
        <w:rPr/>
      </w:r>
      <w:bookmarkStart w:name=" 6. Governance, Assurance &amp; Risk" w:id="20"/>
      <w:bookmarkEnd w:id="20"/>
      <w:r>
        <w:rPr/>
      </w:r>
      <w:r>
        <w:rPr>
          <w:rFonts w:ascii="Arial"/>
          <w:b/>
          <w:color w:val="333333"/>
          <w:sz w:val="17"/>
        </w:rPr>
        <w:t>15:15</w:t>
      </w:r>
      <w:r>
        <w:rPr>
          <w:rFonts w:ascii="Arial"/>
          <w:b/>
          <w:color w:val="333333"/>
          <w:spacing w:val="7"/>
          <w:sz w:val="17"/>
        </w:rPr>
        <w:t> </w:t>
      </w:r>
      <w:r>
        <w:rPr>
          <w:rFonts w:ascii="Arial"/>
          <w:color w:val="333333"/>
          <w:sz w:val="17"/>
        </w:rPr>
        <w:t>-</w:t>
      </w:r>
      <w:r>
        <w:rPr>
          <w:rFonts w:ascii="Arial"/>
          <w:color w:val="333333"/>
          <w:spacing w:val="4"/>
          <w:sz w:val="17"/>
        </w:rPr>
        <w:t> </w:t>
      </w:r>
      <w:r>
        <w:rPr>
          <w:rFonts w:ascii="Arial"/>
          <w:b/>
          <w:color w:val="333333"/>
          <w:spacing w:val="-2"/>
          <w:sz w:val="17"/>
        </w:rPr>
        <w:t>15:45</w:t>
      </w:r>
    </w:p>
    <w:p>
      <w:pPr>
        <w:spacing w:before="55"/>
        <w:ind w:left="0" w:right="0" w:firstLine="0"/>
        <w:jc w:val="right"/>
        <w:rPr>
          <w:rFonts w:ascii="Arial"/>
          <w:sz w:val="15"/>
        </w:rPr>
      </w:pPr>
      <w:r>
        <w:rPr>
          <w:rFonts w:ascii="Arial"/>
          <w:sz w:val="15"/>
        </w:rPr>
        <w:t>30</w:t>
      </w:r>
      <w:r>
        <w:rPr>
          <w:rFonts w:ascii="Arial"/>
          <w:spacing w:val="3"/>
          <w:sz w:val="15"/>
        </w:rPr>
        <w:t> </w:t>
      </w:r>
      <w:r>
        <w:rPr>
          <w:rFonts w:ascii="Arial"/>
          <w:spacing w:val="-5"/>
          <w:sz w:val="15"/>
        </w:rPr>
        <w:t>min</w:t>
      </w:r>
    </w:p>
    <w:p>
      <w:pPr>
        <w:pStyle w:val="ListParagraph"/>
        <w:numPr>
          <w:ilvl w:val="0"/>
          <w:numId w:val="1"/>
        </w:numPr>
        <w:tabs>
          <w:tab w:pos="432" w:val="left" w:leader="none"/>
        </w:tabs>
        <w:spacing w:line="240" w:lineRule="auto" w:before="96" w:after="0"/>
        <w:ind w:left="431" w:right="0" w:hanging="299"/>
        <w:jc w:val="left"/>
        <w:rPr>
          <w:rFonts w:ascii="Arial"/>
          <w:b/>
          <w:sz w:val="26"/>
        </w:rPr>
      </w:pPr>
      <w:r>
        <w:rPr/>
        <w:br w:type="column"/>
      </w:r>
      <w:r>
        <w:rPr>
          <w:rFonts w:ascii="Arial"/>
          <w:b/>
          <w:color w:val="333333"/>
          <w:sz w:val="26"/>
        </w:rPr>
        <w:t>Counter</w:t>
      </w:r>
      <w:r>
        <w:rPr>
          <w:rFonts w:ascii="Arial"/>
          <w:b/>
          <w:color w:val="333333"/>
          <w:spacing w:val="11"/>
          <w:sz w:val="26"/>
        </w:rPr>
        <w:t> </w:t>
      </w:r>
      <w:r>
        <w:rPr>
          <w:rFonts w:ascii="Arial"/>
          <w:b/>
          <w:color w:val="333333"/>
          <w:spacing w:val="-2"/>
          <w:sz w:val="26"/>
        </w:rPr>
        <w:t>Fraud</w:t>
      </w:r>
    </w:p>
    <w:p>
      <w:pPr>
        <w:spacing w:before="249"/>
        <w:ind w:left="486" w:right="0" w:firstLine="0"/>
        <w:jc w:val="left"/>
        <w:rPr>
          <w:rFonts w:ascii="Arial"/>
          <w:i/>
          <w:sz w:val="17"/>
        </w:rPr>
      </w:pPr>
      <w:r>
        <w:rPr>
          <w:rFonts w:ascii="Arial"/>
          <w:i/>
          <w:color w:val="333333"/>
          <w:w w:val="105"/>
          <w:sz w:val="17"/>
        </w:rPr>
        <w:t>Mark</w:t>
      </w:r>
      <w:r>
        <w:rPr>
          <w:rFonts w:ascii="Arial"/>
          <w:i/>
          <w:color w:val="333333"/>
          <w:spacing w:val="-12"/>
          <w:w w:val="105"/>
          <w:sz w:val="17"/>
        </w:rPr>
        <w:t> </w:t>
      </w:r>
      <w:r>
        <w:rPr>
          <w:rFonts w:ascii="Arial"/>
          <w:i/>
          <w:color w:val="333333"/>
          <w:spacing w:val="-2"/>
          <w:w w:val="105"/>
          <w:sz w:val="17"/>
        </w:rPr>
        <w:t>Weston</w:t>
      </w:r>
    </w:p>
    <w:p>
      <w:pPr>
        <w:pStyle w:val="BodyText"/>
        <w:spacing w:before="10"/>
        <w:rPr>
          <w:rFonts w:ascii="Arial"/>
          <w:i/>
          <w:sz w:val="26"/>
        </w:rPr>
      </w:pPr>
    </w:p>
    <w:p>
      <w:pPr>
        <w:pStyle w:val="ListParagraph"/>
        <w:numPr>
          <w:ilvl w:val="1"/>
          <w:numId w:val="1"/>
        </w:numPr>
        <w:tabs>
          <w:tab w:pos="575" w:val="left" w:leader="none"/>
        </w:tabs>
        <w:spacing w:line="240" w:lineRule="auto" w:before="0" w:after="0"/>
        <w:ind w:left="575" w:right="0" w:hanging="442"/>
        <w:jc w:val="left"/>
        <w:rPr>
          <w:rFonts w:ascii="Arial"/>
          <w:b/>
          <w:sz w:val="22"/>
        </w:rPr>
      </w:pPr>
      <w:r>
        <w:rPr>
          <w:rFonts w:ascii="Arial"/>
          <w:b/>
          <w:color w:val="333333"/>
          <w:sz w:val="22"/>
        </w:rPr>
        <w:t>Progress</w:t>
      </w:r>
      <w:r>
        <w:rPr>
          <w:rFonts w:ascii="Arial"/>
          <w:b/>
          <w:color w:val="333333"/>
          <w:spacing w:val="-9"/>
          <w:sz w:val="22"/>
        </w:rPr>
        <w:t> </w:t>
      </w:r>
      <w:r>
        <w:rPr>
          <w:rFonts w:ascii="Arial"/>
          <w:b/>
          <w:color w:val="333333"/>
          <w:spacing w:val="-2"/>
          <w:sz w:val="22"/>
        </w:rPr>
        <w:t>Update</w:t>
      </w:r>
    </w:p>
    <w:p>
      <w:pPr>
        <w:pStyle w:val="BodyText"/>
        <w:spacing w:before="5"/>
        <w:rPr>
          <w:rFonts w:ascii="Arial"/>
          <w:b/>
          <w:sz w:val="20"/>
        </w:rPr>
      </w:pPr>
    </w:p>
    <w:p>
      <w:pPr>
        <w:spacing w:before="1"/>
        <w:ind w:left="133" w:right="0" w:firstLine="0"/>
        <w:jc w:val="left"/>
        <w:rPr>
          <w:rFonts w:ascii="Arial" w:hAnsi="Arial"/>
          <w:sz w:val="17"/>
        </w:rPr>
      </w:pPr>
      <w:r>
        <w:rPr>
          <w:rFonts w:ascii="Arial" w:hAnsi="Arial"/>
          <w:color w:val="878787"/>
          <w:w w:val="105"/>
          <w:sz w:val="17"/>
        </w:rPr>
        <w:t></w:t>
      </w:r>
      <w:r>
        <w:rPr>
          <w:rFonts w:ascii="Arial" w:hAnsi="Arial"/>
          <w:color w:val="878787"/>
          <w:spacing w:val="58"/>
          <w:w w:val="105"/>
          <w:sz w:val="17"/>
        </w:rPr>
        <w:t> </w:t>
      </w:r>
      <w:r>
        <w:rPr>
          <w:rFonts w:ascii="Arial" w:hAnsi="Arial"/>
          <w:color w:val="333333"/>
          <w:w w:val="105"/>
          <w:sz w:val="17"/>
        </w:rPr>
        <w:t>5.1</w:t>
      </w:r>
      <w:r>
        <w:rPr>
          <w:rFonts w:ascii="Arial" w:hAnsi="Arial"/>
          <w:color w:val="333333"/>
          <w:spacing w:val="-12"/>
          <w:w w:val="105"/>
          <w:sz w:val="17"/>
        </w:rPr>
        <w:t> </w:t>
      </w:r>
      <w:r>
        <w:rPr>
          <w:rFonts w:ascii="Arial" w:hAnsi="Arial"/>
          <w:color w:val="333333"/>
          <w:w w:val="105"/>
          <w:sz w:val="17"/>
        </w:rPr>
        <w:t>NWSSP</w:t>
      </w:r>
      <w:r>
        <w:rPr>
          <w:rFonts w:ascii="Arial" w:hAnsi="Arial"/>
          <w:color w:val="333333"/>
          <w:spacing w:val="-12"/>
          <w:w w:val="105"/>
          <w:sz w:val="17"/>
        </w:rPr>
        <w:t> </w:t>
      </w:r>
      <w:r>
        <w:rPr>
          <w:rFonts w:ascii="Arial" w:hAnsi="Arial"/>
          <w:color w:val="333333"/>
          <w:w w:val="105"/>
          <w:sz w:val="17"/>
        </w:rPr>
        <w:t>Period</w:t>
      </w:r>
      <w:r>
        <w:rPr>
          <w:rFonts w:ascii="Arial" w:hAnsi="Arial"/>
          <w:color w:val="333333"/>
          <w:spacing w:val="-12"/>
          <w:w w:val="105"/>
          <w:sz w:val="17"/>
        </w:rPr>
        <w:t> </w:t>
      </w:r>
      <w:r>
        <w:rPr>
          <w:rFonts w:ascii="Arial" w:hAnsi="Arial"/>
          <w:color w:val="333333"/>
          <w:w w:val="105"/>
          <w:sz w:val="17"/>
        </w:rPr>
        <w:t>3</w:t>
      </w:r>
      <w:r>
        <w:rPr>
          <w:rFonts w:ascii="Arial" w:hAnsi="Arial"/>
          <w:color w:val="333333"/>
          <w:spacing w:val="-12"/>
          <w:w w:val="105"/>
          <w:sz w:val="17"/>
        </w:rPr>
        <w:t> </w:t>
      </w:r>
      <w:r>
        <w:rPr>
          <w:rFonts w:ascii="Arial" w:hAnsi="Arial"/>
          <w:color w:val="333333"/>
          <w:w w:val="105"/>
          <w:sz w:val="17"/>
        </w:rPr>
        <w:t>draft</w:t>
      </w:r>
      <w:r>
        <w:rPr>
          <w:rFonts w:ascii="Arial" w:hAnsi="Arial"/>
          <w:color w:val="333333"/>
          <w:spacing w:val="-13"/>
          <w:w w:val="105"/>
          <w:sz w:val="17"/>
        </w:rPr>
        <w:t> </w:t>
      </w:r>
      <w:r>
        <w:rPr>
          <w:rFonts w:ascii="Arial" w:hAnsi="Arial"/>
          <w:color w:val="333333"/>
          <w:w w:val="105"/>
          <w:sz w:val="17"/>
        </w:rPr>
        <w:t>2022</w:t>
      </w:r>
      <w:r>
        <w:rPr>
          <w:rFonts w:ascii="Arial" w:hAnsi="Arial"/>
          <w:color w:val="333333"/>
          <w:spacing w:val="-12"/>
          <w:w w:val="105"/>
          <w:sz w:val="17"/>
        </w:rPr>
        <w:t> </w:t>
      </w:r>
      <w:r>
        <w:rPr>
          <w:rFonts w:ascii="Arial" w:hAnsi="Arial"/>
          <w:color w:val="333333"/>
          <w:w w:val="105"/>
          <w:sz w:val="17"/>
        </w:rPr>
        <w:t>LCFS</w:t>
      </w:r>
      <w:r>
        <w:rPr>
          <w:rFonts w:ascii="Arial" w:hAnsi="Arial"/>
          <w:color w:val="333333"/>
          <w:spacing w:val="-12"/>
          <w:w w:val="105"/>
          <w:sz w:val="17"/>
        </w:rPr>
        <w:t> </w:t>
      </w:r>
      <w:r>
        <w:rPr>
          <w:rFonts w:ascii="Arial" w:hAnsi="Arial"/>
          <w:color w:val="333333"/>
          <w:w w:val="105"/>
          <w:sz w:val="17"/>
        </w:rPr>
        <w:t>Progress</w:t>
      </w:r>
      <w:r>
        <w:rPr>
          <w:rFonts w:ascii="Arial" w:hAnsi="Arial"/>
          <w:color w:val="333333"/>
          <w:spacing w:val="-12"/>
          <w:w w:val="105"/>
          <w:sz w:val="17"/>
        </w:rPr>
        <w:t> </w:t>
      </w:r>
      <w:r>
        <w:rPr>
          <w:rFonts w:ascii="Arial" w:hAnsi="Arial"/>
          <w:color w:val="333333"/>
          <w:w w:val="105"/>
          <w:sz w:val="17"/>
        </w:rPr>
        <w:t>Report</w:t>
      </w:r>
      <w:r>
        <w:rPr>
          <w:rFonts w:ascii="Arial" w:hAnsi="Arial"/>
          <w:color w:val="333333"/>
          <w:spacing w:val="-13"/>
          <w:w w:val="105"/>
          <w:sz w:val="17"/>
        </w:rPr>
        <w:t> </w:t>
      </w:r>
      <w:r>
        <w:rPr>
          <w:rFonts w:ascii="Arial" w:hAnsi="Arial"/>
          <w:color w:val="333333"/>
          <w:w w:val="105"/>
          <w:sz w:val="17"/>
        </w:rPr>
        <w:t>(002).pdf</w:t>
      </w:r>
      <w:r>
        <w:rPr>
          <w:rFonts w:ascii="Arial" w:hAnsi="Arial"/>
          <w:color w:val="333333"/>
          <w:spacing w:val="-8"/>
          <w:w w:val="105"/>
          <w:sz w:val="17"/>
        </w:rPr>
        <w:t> </w:t>
      </w:r>
      <w:r>
        <w:rPr>
          <w:rFonts w:ascii="Arial" w:hAnsi="Arial"/>
          <w:color w:val="333333"/>
          <w:w w:val="105"/>
          <w:sz w:val="17"/>
        </w:rPr>
        <w:t>(8</w:t>
      </w:r>
      <w:r>
        <w:rPr>
          <w:rFonts w:ascii="Arial" w:hAnsi="Arial"/>
          <w:color w:val="333333"/>
          <w:spacing w:val="-11"/>
          <w:w w:val="105"/>
          <w:sz w:val="17"/>
        </w:rPr>
        <w:t> </w:t>
      </w:r>
      <w:r>
        <w:rPr>
          <w:rFonts w:ascii="Arial" w:hAnsi="Arial"/>
          <w:color w:val="333333"/>
          <w:spacing w:val="-2"/>
          <w:w w:val="105"/>
          <w:sz w:val="17"/>
        </w:rPr>
        <w:t>pages)</w:t>
      </w:r>
    </w:p>
    <w:p>
      <w:pPr>
        <w:pStyle w:val="BodyText"/>
        <w:spacing w:before="6"/>
        <w:rPr>
          <w:rFonts w:ascii="Arial"/>
          <w:sz w:val="26"/>
        </w:rPr>
      </w:pPr>
    </w:p>
    <w:p>
      <w:pPr>
        <w:pStyle w:val="ListParagraph"/>
        <w:numPr>
          <w:ilvl w:val="2"/>
          <w:numId w:val="1"/>
        </w:numPr>
        <w:tabs>
          <w:tab w:pos="686" w:val="left" w:leader="none"/>
        </w:tabs>
        <w:spacing w:line="240" w:lineRule="auto" w:before="1" w:after="0"/>
        <w:ind w:left="685" w:right="0" w:hanging="553"/>
        <w:jc w:val="left"/>
        <w:rPr>
          <w:rFonts w:ascii="Arial"/>
          <w:b/>
          <w:sz w:val="20"/>
        </w:rPr>
      </w:pPr>
      <w:r>
        <w:rPr>
          <w:rFonts w:ascii="Arial"/>
          <w:b/>
          <w:color w:val="333333"/>
          <w:sz w:val="20"/>
        </w:rPr>
        <w:t>Fraud</w:t>
      </w:r>
      <w:r>
        <w:rPr>
          <w:rFonts w:ascii="Arial"/>
          <w:b/>
          <w:color w:val="333333"/>
          <w:spacing w:val="10"/>
          <w:sz w:val="20"/>
        </w:rPr>
        <w:t> </w:t>
      </w:r>
      <w:r>
        <w:rPr>
          <w:rFonts w:ascii="Arial"/>
          <w:b/>
          <w:color w:val="333333"/>
          <w:sz w:val="20"/>
        </w:rPr>
        <w:t>Awareness</w:t>
      </w:r>
      <w:r>
        <w:rPr>
          <w:rFonts w:ascii="Arial"/>
          <w:b/>
          <w:color w:val="333333"/>
          <w:spacing w:val="12"/>
          <w:sz w:val="20"/>
        </w:rPr>
        <w:t> </w:t>
      </w:r>
      <w:r>
        <w:rPr>
          <w:rFonts w:ascii="Arial"/>
          <w:b/>
          <w:color w:val="333333"/>
          <w:sz w:val="20"/>
        </w:rPr>
        <w:t>Week</w:t>
      </w:r>
      <w:r>
        <w:rPr>
          <w:rFonts w:ascii="Arial"/>
          <w:b/>
          <w:color w:val="333333"/>
          <w:spacing w:val="10"/>
          <w:sz w:val="20"/>
        </w:rPr>
        <w:t> </w:t>
      </w:r>
      <w:r>
        <w:rPr>
          <w:rFonts w:ascii="Arial"/>
          <w:b/>
          <w:color w:val="333333"/>
          <w:spacing w:val="-2"/>
          <w:sz w:val="20"/>
        </w:rPr>
        <w:t>Summary</w:t>
      </w:r>
    </w:p>
    <w:p>
      <w:pPr>
        <w:pStyle w:val="BodyText"/>
        <w:spacing w:before="10"/>
        <w:rPr>
          <w:rFonts w:ascii="Arial"/>
          <w:b/>
          <w:sz w:val="19"/>
        </w:rPr>
      </w:pPr>
    </w:p>
    <w:p>
      <w:pPr>
        <w:spacing w:before="0"/>
        <w:ind w:left="486" w:right="0" w:firstLine="0"/>
        <w:jc w:val="left"/>
        <w:rPr>
          <w:rFonts w:ascii="Arial"/>
          <w:i/>
          <w:sz w:val="17"/>
        </w:rPr>
      </w:pPr>
      <w:r>
        <w:rPr>
          <w:rFonts w:ascii="Arial"/>
          <w:i/>
          <w:color w:val="333333"/>
          <w:w w:val="105"/>
          <w:sz w:val="17"/>
        </w:rPr>
        <w:t>Mark</w:t>
      </w:r>
      <w:r>
        <w:rPr>
          <w:rFonts w:ascii="Arial"/>
          <w:i/>
          <w:color w:val="333333"/>
          <w:spacing w:val="-12"/>
          <w:w w:val="105"/>
          <w:sz w:val="17"/>
        </w:rPr>
        <w:t> </w:t>
      </w:r>
      <w:r>
        <w:rPr>
          <w:rFonts w:ascii="Arial"/>
          <w:i/>
          <w:color w:val="333333"/>
          <w:spacing w:val="-2"/>
          <w:w w:val="105"/>
          <w:sz w:val="17"/>
        </w:rPr>
        <w:t>Weston</w:t>
      </w:r>
    </w:p>
    <w:p>
      <w:pPr>
        <w:spacing w:before="135"/>
        <w:ind w:left="133" w:right="0" w:firstLine="0"/>
        <w:jc w:val="left"/>
        <w:rPr>
          <w:rFonts w:ascii="Arial" w:hAnsi="Arial"/>
          <w:sz w:val="17"/>
        </w:rPr>
      </w:pPr>
      <w:r>
        <w:rPr>
          <w:rFonts w:ascii="Arial" w:hAnsi="Arial"/>
          <w:color w:val="878787"/>
          <w:spacing w:val="-2"/>
          <w:w w:val="105"/>
          <w:sz w:val="17"/>
        </w:rPr>
        <w:t></w:t>
      </w:r>
      <w:r>
        <w:rPr>
          <w:rFonts w:ascii="Arial" w:hAnsi="Arial"/>
          <w:color w:val="878787"/>
          <w:spacing w:val="54"/>
          <w:w w:val="105"/>
          <w:sz w:val="17"/>
        </w:rPr>
        <w:t> </w:t>
      </w:r>
      <w:r>
        <w:rPr>
          <w:rFonts w:ascii="Arial" w:hAnsi="Arial"/>
          <w:color w:val="333333"/>
          <w:spacing w:val="-2"/>
          <w:w w:val="105"/>
          <w:sz w:val="17"/>
        </w:rPr>
        <w:t>5.1.1</w:t>
      </w:r>
      <w:r>
        <w:rPr>
          <w:rFonts w:ascii="Arial" w:hAnsi="Arial"/>
          <w:color w:val="333333"/>
          <w:spacing w:val="-10"/>
          <w:w w:val="105"/>
          <w:sz w:val="17"/>
        </w:rPr>
        <w:t> </w:t>
      </w:r>
      <w:r>
        <w:rPr>
          <w:rFonts w:ascii="Arial" w:hAnsi="Arial"/>
          <w:color w:val="333333"/>
          <w:spacing w:val="-2"/>
          <w:w w:val="105"/>
          <w:sz w:val="17"/>
        </w:rPr>
        <w:t>Fraud</w:t>
      </w:r>
      <w:r>
        <w:rPr>
          <w:rFonts w:ascii="Arial" w:hAnsi="Arial"/>
          <w:color w:val="333333"/>
          <w:spacing w:val="-11"/>
          <w:w w:val="105"/>
          <w:sz w:val="17"/>
        </w:rPr>
        <w:t> </w:t>
      </w:r>
      <w:r>
        <w:rPr>
          <w:rFonts w:ascii="Arial" w:hAnsi="Arial"/>
          <w:color w:val="333333"/>
          <w:spacing w:val="-2"/>
          <w:w w:val="105"/>
          <w:sz w:val="17"/>
        </w:rPr>
        <w:t>awareness</w:t>
      </w:r>
      <w:r>
        <w:rPr>
          <w:rFonts w:ascii="Arial" w:hAnsi="Arial"/>
          <w:color w:val="333333"/>
          <w:spacing w:val="-10"/>
          <w:w w:val="105"/>
          <w:sz w:val="17"/>
        </w:rPr>
        <w:t> </w:t>
      </w:r>
      <w:r>
        <w:rPr>
          <w:rFonts w:ascii="Arial" w:hAnsi="Arial"/>
          <w:color w:val="333333"/>
          <w:spacing w:val="-2"/>
          <w:w w:val="105"/>
          <w:sz w:val="17"/>
        </w:rPr>
        <w:t>week</w:t>
      </w:r>
      <w:r>
        <w:rPr>
          <w:rFonts w:ascii="Arial" w:hAnsi="Arial"/>
          <w:color w:val="333333"/>
          <w:spacing w:val="-11"/>
          <w:w w:val="105"/>
          <w:sz w:val="17"/>
        </w:rPr>
        <w:t> </w:t>
      </w:r>
      <w:r>
        <w:rPr>
          <w:rFonts w:ascii="Arial" w:hAnsi="Arial"/>
          <w:color w:val="333333"/>
          <w:spacing w:val="-2"/>
          <w:w w:val="105"/>
          <w:sz w:val="17"/>
        </w:rPr>
        <w:t>summary.pdf</w:t>
      </w:r>
      <w:r>
        <w:rPr>
          <w:rFonts w:ascii="Arial" w:hAnsi="Arial"/>
          <w:color w:val="333333"/>
          <w:spacing w:val="-9"/>
          <w:w w:val="105"/>
          <w:sz w:val="17"/>
        </w:rPr>
        <w:t> </w:t>
      </w:r>
      <w:r>
        <w:rPr>
          <w:rFonts w:ascii="Arial" w:hAnsi="Arial"/>
          <w:color w:val="333333"/>
          <w:spacing w:val="-2"/>
          <w:w w:val="105"/>
          <w:sz w:val="17"/>
        </w:rPr>
        <w:t>(1</w:t>
      </w:r>
      <w:r>
        <w:rPr>
          <w:rFonts w:ascii="Arial" w:hAnsi="Arial"/>
          <w:color w:val="333333"/>
          <w:spacing w:val="-9"/>
          <w:w w:val="105"/>
          <w:sz w:val="17"/>
        </w:rPr>
        <w:t> </w:t>
      </w:r>
      <w:r>
        <w:rPr>
          <w:rFonts w:ascii="Arial" w:hAnsi="Arial"/>
          <w:color w:val="333333"/>
          <w:spacing w:val="-2"/>
          <w:w w:val="105"/>
          <w:sz w:val="17"/>
        </w:rPr>
        <w:t>pages)</w:t>
      </w:r>
    </w:p>
    <w:p>
      <w:pPr>
        <w:pStyle w:val="BodyText"/>
        <w:spacing w:before="7"/>
        <w:rPr>
          <w:rFonts w:ascii="Arial"/>
          <w:sz w:val="26"/>
        </w:rPr>
      </w:pPr>
    </w:p>
    <w:p>
      <w:pPr>
        <w:pStyle w:val="ListParagraph"/>
        <w:numPr>
          <w:ilvl w:val="2"/>
          <w:numId w:val="1"/>
        </w:numPr>
        <w:tabs>
          <w:tab w:pos="686" w:val="left" w:leader="none"/>
        </w:tabs>
        <w:spacing w:line="240" w:lineRule="auto" w:before="0" w:after="0"/>
        <w:ind w:left="685" w:right="0" w:hanging="553"/>
        <w:jc w:val="left"/>
        <w:rPr>
          <w:rFonts w:ascii="Arial"/>
          <w:b/>
          <w:sz w:val="20"/>
        </w:rPr>
      </w:pPr>
      <w:r>
        <w:rPr>
          <w:rFonts w:ascii="Arial"/>
          <w:b/>
          <w:color w:val="333333"/>
          <w:sz w:val="20"/>
        </w:rPr>
        <w:t>NWSSP</w:t>
      </w:r>
      <w:r>
        <w:rPr>
          <w:rFonts w:ascii="Arial"/>
          <w:b/>
          <w:color w:val="333333"/>
          <w:spacing w:val="-2"/>
          <w:sz w:val="20"/>
        </w:rPr>
        <w:t> </w:t>
      </w:r>
      <w:r>
        <w:rPr>
          <w:rFonts w:ascii="Arial"/>
          <w:b/>
          <w:color w:val="333333"/>
          <w:sz w:val="20"/>
        </w:rPr>
        <w:t>Staff Fraud Survey</w:t>
      </w:r>
      <w:r>
        <w:rPr>
          <w:rFonts w:ascii="Arial"/>
          <w:b/>
          <w:color w:val="333333"/>
          <w:spacing w:val="1"/>
          <w:sz w:val="20"/>
        </w:rPr>
        <w:t> </w:t>
      </w:r>
      <w:r>
        <w:rPr>
          <w:rFonts w:ascii="Arial"/>
          <w:b/>
          <w:color w:val="333333"/>
          <w:spacing w:val="-2"/>
          <w:sz w:val="20"/>
        </w:rPr>
        <w:t>Results</w:t>
      </w:r>
    </w:p>
    <w:p>
      <w:pPr>
        <w:pStyle w:val="BodyText"/>
        <w:spacing w:before="10"/>
        <w:rPr>
          <w:rFonts w:ascii="Arial"/>
          <w:b/>
          <w:sz w:val="19"/>
        </w:rPr>
      </w:pPr>
    </w:p>
    <w:p>
      <w:pPr>
        <w:spacing w:before="0"/>
        <w:ind w:left="486" w:right="0" w:firstLine="0"/>
        <w:jc w:val="left"/>
        <w:rPr>
          <w:rFonts w:ascii="Arial"/>
          <w:i/>
          <w:sz w:val="17"/>
        </w:rPr>
      </w:pPr>
      <w:r>
        <w:rPr>
          <w:rFonts w:ascii="Arial"/>
          <w:i/>
          <w:color w:val="333333"/>
          <w:w w:val="105"/>
          <w:sz w:val="17"/>
        </w:rPr>
        <w:t>Mark</w:t>
      </w:r>
      <w:r>
        <w:rPr>
          <w:rFonts w:ascii="Arial"/>
          <w:i/>
          <w:color w:val="333333"/>
          <w:spacing w:val="-12"/>
          <w:w w:val="105"/>
          <w:sz w:val="17"/>
        </w:rPr>
        <w:t> </w:t>
      </w:r>
      <w:r>
        <w:rPr>
          <w:rFonts w:ascii="Arial"/>
          <w:i/>
          <w:color w:val="333333"/>
          <w:spacing w:val="-2"/>
          <w:w w:val="105"/>
          <w:sz w:val="17"/>
        </w:rPr>
        <w:t>Weston</w:t>
      </w:r>
    </w:p>
    <w:p>
      <w:pPr>
        <w:spacing w:before="136"/>
        <w:ind w:left="133" w:right="0" w:firstLine="0"/>
        <w:jc w:val="left"/>
        <w:rPr>
          <w:rFonts w:ascii="Arial" w:hAnsi="Arial"/>
          <w:sz w:val="17"/>
        </w:rPr>
      </w:pPr>
      <w:r>
        <w:rPr>
          <w:rFonts w:ascii="Arial" w:hAnsi="Arial"/>
          <w:color w:val="878787"/>
          <w:spacing w:val="-2"/>
          <w:w w:val="105"/>
          <w:sz w:val="17"/>
        </w:rPr>
        <w:t></w:t>
      </w:r>
      <w:r>
        <w:rPr>
          <w:rFonts w:ascii="Arial" w:hAnsi="Arial"/>
          <w:color w:val="878787"/>
          <w:spacing w:val="51"/>
          <w:w w:val="105"/>
          <w:sz w:val="17"/>
        </w:rPr>
        <w:t> </w:t>
      </w:r>
      <w:r>
        <w:rPr>
          <w:rFonts w:ascii="Arial" w:hAnsi="Arial"/>
          <w:color w:val="333333"/>
          <w:spacing w:val="-2"/>
          <w:w w:val="105"/>
          <w:sz w:val="17"/>
        </w:rPr>
        <w:t>5.1.2</w:t>
      </w:r>
      <w:r>
        <w:rPr>
          <w:rFonts w:ascii="Arial" w:hAnsi="Arial"/>
          <w:color w:val="333333"/>
          <w:spacing w:val="-10"/>
          <w:w w:val="105"/>
          <w:sz w:val="17"/>
        </w:rPr>
        <w:t> </w:t>
      </w:r>
      <w:r>
        <w:rPr>
          <w:rFonts w:ascii="Arial" w:hAnsi="Arial"/>
          <w:color w:val="333333"/>
          <w:spacing w:val="-2"/>
          <w:w w:val="105"/>
          <w:sz w:val="17"/>
        </w:rPr>
        <w:t>NWSSP</w:t>
      </w:r>
      <w:r>
        <w:rPr>
          <w:rFonts w:ascii="Arial" w:hAnsi="Arial"/>
          <w:color w:val="333333"/>
          <w:spacing w:val="-10"/>
          <w:w w:val="105"/>
          <w:sz w:val="17"/>
        </w:rPr>
        <w:t> </w:t>
      </w:r>
      <w:r>
        <w:rPr>
          <w:rFonts w:ascii="Arial" w:hAnsi="Arial"/>
          <w:color w:val="333333"/>
          <w:spacing w:val="-2"/>
          <w:w w:val="105"/>
          <w:sz w:val="17"/>
        </w:rPr>
        <w:t>Staff</w:t>
      </w:r>
      <w:r>
        <w:rPr>
          <w:rFonts w:ascii="Arial" w:hAnsi="Arial"/>
          <w:color w:val="333333"/>
          <w:spacing w:val="-11"/>
          <w:w w:val="105"/>
          <w:sz w:val="17"/>
        </w:rPr>
        <w:t> </w:t>
      </w:r>
      <w:r>
        <w:rPr>
          <w:rFonts w:ascii="Arial" w:hAnsi="Arial"/>
          <w:color w:val="333333"/>
          <w:spacing w:val="-2"/>
          <w:w w:val="105"/>
          <w:sz w:val="17"/>
        </w:rPr>
        <w:t>Fraud</w:t>
      </w:r>
      <w:r>
        <w:rPr>
          <w:rFonts w:ascii="Arial" w:hAnsi="Arial"/>
          <w:color w:val="333333"/>
          <w:spacing w:val="-10"/>
          <w:w w:val="105"/>
          <w:sz w:val="17"/>
        </w:rPr>
        <w:t> </w:t>
      </w:r>
      <w:r>
        <w:rPr>
          <w:rFonts w:ascii="Arial" w:hAnsi="Arial"/>
          <w:color w:val="333333"/>
          <w:spacing w:val="-2"/>
          <w:w w:val="105"/>
          <w:sz w:val="17"/>
        </w:rPr>
        <w:t>Survey</w:t>
      </w:r>
      <w:r>
        <w:rPr>
          <w:rFonts w:ascii="Arial" w:hAnsi="Arial"/>
          <w:color w:val="333333"/>
          <w:spacing w:val="-11"/>
          <w:w w:val="105"/>
          <w:sz w:val="17"/>
        </w:rPr>
        <w:t> </w:t>
      </w:r>
      <w:r>
        <w:rPr>
          <w:rFonts w:ascii="Arial" w:hAnsi="Arial"/>
          <w:color w:val="333333"/>
          <w:spacing w:val="-2"/>
          <w:w w:val="105"/>
          <w:sz w:val="17"/>
        </w:rPr>
        <w:t>Results.pdf</w:t>
      </w:r>
      <w:r>
        <w:rPr>
          <w:rFonts w:ascii="Arial" w:hAnsi="Arial"/>
          <w:color w:val="333333"/>
          <w:spacing w:val="-7"/>
          <w:w w:val="105"/>
          <w:sz w:val="17"/>
        </w:rPr>
        <w:t> </w:t>
      </w:r>
      <w:r>
        <w:rPr>
          <w:rFonts w:ascii="Arial" w:hAnsi="Arial"/>
          <w:color w:val="333333"/>
          <w:spacing w:val="-2"/>
          <w:w w:val="105"/>
          <w:sz w:val="17"/>
        </w:rPr>
        <w:t>(5</w:t>
      </w:r>
      <w:r>
        <w:rPr>
          <w:rFonts w:ascii="Arial" w:hAnsi="Arial"/>
          <w:color w:val="333333"/>
          <w:spacing w:val="-10"/>
          <w:w w:val="105"/>
          <w:sz w:val="17"/>
        </w:rPr>
        <w:t> </w:t>
      </w:r>
      <w:r>
        <w:rPr>
          <w:rFonts w:ascii="Arial" w:hAnsi="Arial"/>
          <w:color w:val="333333"/>
          <w:spacing w:val="-2"/>
          <w:w w:val="105"/>
          <w:sz w:val="17"/>
        </w:rPr>
        <w:t>pages)</w:t>
      </w:r>
    </w:p>
    <w:p>
      <w:pPr>
        <w:pStyle w:val="BodyText"/>
        <w:rPr>
          <w:rFonts w:ascii="Arial"/>
          <w:sz w:val="20"/>
        </w:rPr>
      </w:pPr>
    </w:p>
    <w:p>
      <w:pPr>
        <w:pStyle w:val="BodyText"/>
        <w:rPr>
          <w:rFonts w:ascii="Arial"/>
          <w:sz w:val="20"/>
        </w:rPr>
      </w:pPr>
    </w:p>
    <w:p>
      <w:pPr>
        <w:pStyle w:val="BodyText"/>
        <w:spacing w:before="2"/>
        <w:rPr>
          <w:rFonts w:ascii="Arial"/>
          <w:sz w:val="19"/>
        </w:rPr>
      </w:pPr>
    </w:p>
    <w:p>
      <w:pPr>
        <w:pStyle w:val="ListParagraph"/>
        <w:numPr>
          <w:ilvl w:val="0"/>
          <w:numId w:val="1"/>
        </w:numPr>
        <w:tabs>
          <w:tab w:pos="432" w:val="left" w:leader="none"/>
        </w:tabs>
        <w:spacing w:line="240" w:lineRule="auto" w:before="0" w:after="0"/>
        <w:ind w:left="431" w:right="0" w:hanging="299"/>
        <w:jc w:val="left"/>
        <w:rPr>
          <w:rFonts w:ascii="Arial"/>
          <w:b/>
          <w:sz w:val="26"/>
        </w:rPr>
      </w:pPr>
      <w:r>
        <w:rPr>
          <w:rFonts w:ascii="Arial"/>
          <w:b/>
          <w:color w:val="333333"/>
          <w:sz w:val="26"/>
        </w:rPr>
        <w:t>Governance,</w:t>
      </w:r>
      <w:r>
        <w:rPr>
          <w:rFonts w:ascii="Arial"/>
          <w:b/>
          <w:color w:val="333333"/>
          <w:spacing w:val="3"/>
          <w:sz w:val="26"/>
        </w:rPr>
        <w:t> </w:t>
      </w:r>
      <w:r>
        <w:rPr>
          <w:rFonts w:ascii="Arial"/>
          <w:b/>
          <w:color w:val="333333"/>
          <w:sz w:val="26"/>
        </w:rPr>
        <w:t>Assurance</w:t>
      </w:r>
      <w:r>
        <w:rPr>
          <w:rFonts w:ascii="Arial"/>
          <w:b/>
          <w:color w:val="333333"/>
          <w:spacing w:val="3"/>
          <w:sz w:val="26"/>
        </w:rPr>
        <w:t> </w:t>
      </w:r>
      <w:r>
        <w:rPr>
          <w:rFonts w:ascii="Arial"/>
          <w:b/>
          <w:color w:val="333333"/>
          <w:sz w:val="26"/>
        </w:rPr>
        <w:t>&amp;</w:t>
      </w:r>
      <w:r>
        <w:rPr>
          <w:rFonts w:ascii="Arial"/>
          <w:b/>
          <w:color w:val="333333"/>
          <w:spacing w:val="3"/>
          <w:sz w:val="26"/>
        </w:rPr>
        <w:t> </w:t>
      </w:r>
      <w:r>
        <w:rPr>
          <w:rFonts w:ascii="Arial"/>
          <w:b/>
          <w:color w:val="333333"/>
          <w:spacing w:val="-4"/>
          <w:sz w:val="26"/>
        </w:rPr>
        <w:t>Risk</w:t>
      </w:r>
    </w:p>
    <w:p>
      <w:pPr>
        <w:pStyle w:val="BodyText"/>
        <w:spacing w:before="10"/>
        <w:rPr>
          <w:rFonts w:ascii="Arial"/>
          <w:b/>
          <w:sz w:val="32"/>
        </w:rPr>
      </w:pPr>
    </w:p>
    <w:p>
      <w:pPr>
        <w:pStyle w:val="ListParagraph"/>
        <w:numPr>
          <w:ilvl w:val="1"/>
          <w:numId w:val="1"/>
        </w:numPr>
        <w:tabs>
          <w:tab w:pos="575" w:val="left" w:leader="none"/>
        </w:tabs>
        <w:spacing w:line="240" w:lineRule="auto" w:before="0" w:after="0"/>
        <w:ind w:left="575" w:right="0" w:hanging="442"/>
        <w:jc w:val="left"/>
        <w:rPr>
          <w:rFonts w:ascii="Arial"/>
          <w:b/>
          <w:sz w:val="22"/>
        </w:rPr>
      </w:pPr>
      <w:bookmarkStart w:name=" 6.1. Update on Surplus Beds" w:id="21"/>
      <w:bookmarkEnd w:id="21"/>
      <w:r>
        <w:rPr>
          <w:rFonts w:ascii="Arial"/>
          <w:b/>
          <w:color w:val="333333"/>
          <w:sz w:val="22"/>
        </w:rPr>
        <w:t>Updat</w:t>
      </w:r>
      <w:r>
        <w:rPr>
          <w:rFonts w:ascii="Arial"/>
          <w:b/>
          <w:color w:val="333333"/>
          <w:sz w:val="22"/>
        </w:rPr>
        <w:t>e</w:t>
      </w:r>
      <w:r>
        <w:rPr>
          <w:rFonts w:ascii="Arial"/>
          <w:b/>
          <w:color w:val="333333"/>
          <w:spacing w:val="-13"/>
          <w:sz w:val="22"/>
        </w:rPr>
        <w:t> </w:t>
      </w:r>
      <w:r>
        <w:rPr>
          <w:rFonts w:ascii="Arial"/>
          <w:b/>
          <w:color w:val="333333"/>
          <w:sz w:val="22"/>
        </w:rPr>
        <w:t>on</w:t>
      </w:r>
      <w:r>
        <w:rPr>
          <w:rFonts w:ascii="Arial"/>
          <w:b/>
          <w:color w:val="333333"/>
          <w:spacing w:val="-11"/>
          <w:sz w:val="22"/>
        </w:rPr>
        <w:t> </w:t>
      </w:r>
      <w:r>
        <w:rPr>
          <w:rFonts w:ascii="Arial"/>
          <w:b/>
          <w:color w:val="333333"/>
          <w:sz w:val="22"/>
        </w:rPr>
        <w:t>Surplus</w:t>
      </w:r>
      <w:r>
        <w:rPr>
          <w:rFonts w:ascii="Arial"/>
          <w:b/>
          <w:color w:val="333333"/>
          <w:spacing w:val="-11"/>
          <w:sz w:val="22"/>
        </w:rPr>
        <w:t> </w:t>
      </w:r>
      <w:r>
        <w:rPr>
          <w:rFonts w:ascii="Arial"/>
          <w:b/>
          <w:color w:val="333333"/>
          <w:spacing w:val="-4"/>
          <w:sz w:val="22"/>
        </w:rPr>
        <w:t>Beds</w:t>
      </w:r>
    </w:p>
    <w:p>
      <w:pPr>
        <w:pStyle w:val="BodyText"/>
        <w:spacing w:before="5"/>
        <w:rPr>
          <w:rFonts w:ascii="Arial"/>
          <w:b/>
          <w:sz w:val="20"/>
        </w:rPr>
      </w:pPr>
    </w:p>
    <w:p>
      <w:pPr>
        <w:spacing w:before="1"/>
        <w:ind w:left="486" w:right="0" w:firstLine="0"/>
        <w:jc w:val="left"/>
        <w:rPr>
          <w:rFonts w:ascii="Arial"/>
          <w:i/>
          <w:sz w:val="17"/>
        </w:rPr>
      </w:pPr>
      <w:r>
        <w:rPr>
          <w:rFonts w:ascii="Arial"/>
          <w:i/>
          <w:color w:val="333333"/>
          <w:w w:val="105"/>
          <w:sz w:val="17"/>
        </w:rPr>
        <w:t>Andy</w:t>
      </w:r>
      <w:r>
        <w:rPr>
          <w:rFonts w:ascii="Arial"/>
          <w:i/>
          <w:color w:val="333333"/>
          <w:spacing w:val="-13"/>
          <w:w w:val="105"/>
          <w:sz w:val="17"/>
        </w:rPr>
        <w:t> </w:t>
      </w:r>
      <w:r>
        <w:rPr>
          <w:rFonts w:ascii="Arial"/>
          <w:i/>
          <w:color w:val="333333"/>
          <w:spacing w:val="-2"/>
          <w:w w:val="105"/>
          <w:sz w:val="17"/>
        </w:rPr>
        <w:t>butler</w:t>
      </w:r>
    </w:p>
    <w:p>
      <w:pPr>
        <w:spacing w:before="135"/>
        <w:ind w:left="133" w:right="0" w:firstLine="0"/>
        <w:jc w:val="left"/>
        <w:rPr>
          <w:rFonts w:ascii="Arial" w:hAnsi="Arial"/>
          <w:sz w:val="17"/>
        </w:rPr>
      </w:pPr>
      <w:r>
        <w:rPr>
          <w:rFonts w:ascii="Arial" w:hAnsi="Arial"/>
          <w:color w:val="878787"/>
          <w:spacing w:val="-2"/>
          <w:w w:val="105"/>
          <w:sz w:val="17"/>
        </w:rPr>
        <w:t></w:t>
      </w:r>
      <w:r>
        <w:rPr>
          <w:rFonts w:ascii="Arial" w:hAnsi="Arial"/>
          <w:color w:val="878787"/>
          <w:spacing w:val="56"/>
          <w:w w:val="105"/>
          <w:sz w:val="17"/>
        </w:rPr>
        <w:t> </w:t>
      </w:r>
      <w:r>
        <w:rPr>
          <w:rFonts w:ascii="Arial" w:hAnsi="Arial"/>
          <w:color w:val="333333"/>
          <w:spacing w:val="-2"/>
          <w:w w:val="105"/>
          <w:sz w:val="17"/>
        </w:rPr>
        <w:t>6.1</w:t>
      </w:r>
      <w:r>
        <w:rPr>
          <w:rFonts w:ascii="Arial" w:hAnsi="Arial"/>
          <w:color w:val="333333"/>
          <w:spacing w:val="-11"/>
          <w:w w:val="105"/>
          <w:sz w:val="17"/>
        </w:rPr>
        <w:t> </w:t>
      </w:r>
      <w:r>
        <w:rPr>
          <w:rFonts w:ascii="Arial" w:hAnsi="Arial"/>
          <w:color w:val="333333"/>
          <w:spacing w:val="-2"/>
          <w:w w:val="105"/>
          <w:sz w:val="17"/>
        </w:rPr>
        <w:t>Audit</w:t>
      </w:r>
      <w:r>
        <w:rPr>
          <w:rFonts w:ascii="Arial" w:hAnsi="Arial"/>
          <w:color w:val="333333"/>
          <w:spacing w:val="-10"/>
          <w:w w:val="105"/>
          <w:sz w:val="17"/>
        </w:rPr>
        <w:t> </w:t>
      </w:r>
      <w:r>
        <w:rPr>
          <w:rFonts w:ascii="Arial" w:hAnsi="Arial"/>
          <w:color w:val="333333"/>
          <w:spacing w:val="-2"/>
          <w:w w:val="105"/>
          <w:sz w:val="17"/>
        </w:rPr>
        <w:t>Committee</w:t>
      </w:r>
      <w:r>
        <w:rPr>
          <w:rFonts w:ascii="Arial" w:hAnsi="Arial"/>
          <w:color w:val="333333"/>
          <w:spacing w:val="-11"/>
          <w:w w:val="105"/>
          <w:sz w:val="17"/>
        </w:rPr>
        <w:t> </w:t>
      </w:r>
      <w:r>
        <w:rPr>
          <w:rFonts w:ascii="Arial" w:hAnsi="Arial"/>
          <w:color w:val="333333"/>
          <w:spacing w:val="-2"/>
          <w:w w:val="105"/>
          <w:sz w:val="17"/>
        </w:rPr>
        <w:t>-</w:t>
      </w:r>
      <w:r>
        <w:rPr>
          <w:rFonts w:ascii="Arial" w:hAnsi="Arial"/>
          <w:color w:val="333333"/>
          <w:spacing w:val="-10"/>
          <w:w w:val="105"/>
          <w:sz w:val="17"/>
        </w:rPr>
        <w:t> </w:t>
      </w:r>
      <w:r>
        <w:rPr>
          <w:rFonts w:ascii="Arial" w:hAnsi="Arial"/>
          <w:color w:val="333333"/>
          <w:spacing w:val="-2"/>
          <w:w w:val="105"/>
          <w:sz w:val="17"/>
        </w:rPr>
        <w:t>update</w:t>
      </w:r>
      <w:r>
        <w:rPr>
          <w:rFonts w:ascii="Arial" w:hAnsi="Arial"/>
          <w:color w:val="333333"/>
          <w:spacing w:val="-10"/>
          <w:w w:val="105"/>
          <w:sz w:val="17"/>
        </w:rPr>
        <w:t> </w:t>
      </w:r>
      <w:r>
        <w:rPr>
          <w:rFonts w:ascii="Arial" w:hAnsi="Arial"/>
          <w:color w:val="333333"/>
          <w:spacing w:val="-2"/>
          <w:w w:val="105"/>
          <w:sz w:val="17"/>
        </w:rPr>
        <w:t>on</w:t>
      </w:r>
      <w:r>
        <w:rPr>
          <w:rFonts w:ascii="Arial" w:hAnsi="Arial"/>
          <w:color w:val="333333"/>
          <w:spacing w:val="-11"/>
          <w:w w:val="105"/>
          <w:sz w:val="17"/>
        </w:rPr>
        <w:t> </w:t>
      </w:r>
      <w:r>
        <w:rPr>
          <w:rFonts w:ascii="Arial" w:hAnsi="Arial"/>
          <w:color w:val="333333"/>
          <w:spacing w:val="-2"/>
          <w:w w:val="105"/>
          <w:sz w:val="17"/>
        </w:rPr>
        <w:t>surplus</w:t>
      </w:r>
      <w:r>
        <w:rPr>
          <w:rFonts w:ascii="Arial" w:hAnsi="Arial"/>
          <w:color w:val="333333"/>
          <w:spacing w:val="-10"/>
          <w:w w:val="105"/>
          <w:sz w:val="17"/>
        </w:rPr>
        <w:t> </w:t>
      </w:r>
      <w:r>
        <w:rPr>
          <w:rFonts w:ascii="Arial" w:hAnsi="Arial"/>
          <w:color w:val="333333"/>
          <w:spacing w:val="-2"/>
          <w:w w:val="105"/>
          <w:sz w:val="17"/>
        </w:rPr>
        <w:t>beds</w:t>
      </w:r>
      <w:r>
        <w:rPr>
          <w:rFonts w:ascii="Arial" w:hAnsi="Arial"/>
          <w:color w:val="333333"/>
          <w:spacing w:val="-11"/>
          <w:w w:val="105"/>
          <w:sz w:val="17"/>
        </w:rPr>
        <w:t> </w:t>
      </w:r>
      <w:r>
        <w:rPr>
          <w:rFonts w:ascii="Arial" w:hAnsi="Arial"/>
          <w:color w:val="333333"/>
          <w:spacing w:val="-2"/>
          <w:w w:val="105"/>
          <w:sz w:val="17"/>
        </w:rPr>
        <w:t>January</w:t>
      </w:r>
      <w:r>
        <w:rPr>
          <w:rFonts w:ascii="Arial" w:hAnsi="Arial"/>
          <w:color w:val="333333"/>
          <w:spacing w:val="-10"/>
          <w:w w:val="105"/>
          <w:sz w:val="17"/>
        </w:rPr>
        <w:t> </w:t>
      </w:r>
      <w:r>
        <w:rPr>
          <w:rFonts w:ascii="Arial" w:hAnsi="Arial"/>
          <w:color w:val="333333"/>
          <w:spacing w:val="-2"/>
          <w:w w:val="105"/>
          <w:sz w:val="17"/>
        </w:rPr>
        <w:t>2023.pdf</w:t>
      </w:r>
      <w:r>
        <w:rPr>
          <w:rFonts w:ascii="Arial" w:hAnsi="Arial"/>
          <w:color w:val="333333"/>
          <w:spacing w:val="-9"/>
          <w:w w:val="105"/>
          <w:sz w:val="17"/>
        </w:rPr>
        <w:t> </w:t>
      </w:r>
      <w:r>
        <w:rPr>
          <w:rFonts w:ascii="Arial" w:hAnsi="Arial"/>
          <w:color w:val="333333"/>
          <w:spacing w:val="-2"/>
          <w:w w:val="105"/>
          <w:sz w:val="17"/>
        </w:rPr>
        <w:t>(5</w:t>
      </w:r>
      <w:r>
        <w:rPr>
          <w:rFonts w:ascii="Arial" w:hAnsi="Arial"/>
          <w:color w:val="333333"/>
          <w:spacing w:val="-9"/>
          <w:w w:val="105"/>
          <w:sz w:val="17"/>
        </w:rPr>
        <w:t> </w:t>
      </w:r>
      <w:r>
        <w:rPr>
          <w:rFonts w:ascii="Arial" w:hAnsi="Arial"/>
          <w:color w:val="333333"/>
          <w:spacing w:val="-2"/>
          <w:w w:val="105"/>
          <w:sz w:val="17"/>
        </w:rPr>
        <w:t>pages)</w:t>
      </w:r>
    </w:p>
    <w:p>
      <w:pPr>
        <w:pStyle w:val="BodyText"/>
        <w:spacing w:before="10"/>
        <w:rPr>
          <w:rFonts w:ascii="Arial"/>
          <w:sz w:val="26"/>
        </w:rPr>
      </w:pPr>
    </w:p>
    <w:p>
      <w:pPr>
        <w:pStyle w:val="ListParagraph"/>
        <w:numPr>
          <w:ilvl w:val="1"/>
          <w:numId w:val="1"/>
        </w:numPr>
        <w:tabs>
          <w:tab w:pos="575" w:val="left" w:leader="none"/>
        </w:tabs>
        <w:spacing w:line="240" w:lineRule="auto" w:before="1" w:after="0"/>
        <w:ind w:left="575" w:right="0" w:hanging="442"/>
        <w:jc w:val="left"/>
        <w:rPr>
          <w:rFonts w:ascii="Arial"/>
          <w:b/>
          <w:sz w:val="22"/>
        </w:rPr>
      </w:pPr>
      <w:bookmarkStart w:name=" 6.2. Risk Management" w:id="22"/>
      <w:bookmarkEnd w:id="22"/>
      <w:r>
        <w:rPr>
          <w:rFonts w:ascii="Arial"/>
          <w:b/>
          <w:color w:val="333333"/>
          <w:sz w:val="22"/>
        </w:rPr>
        <w:t>Ris</w:t>
      </w:r>
      <w:r>
        <w:rPr>
          <w:rFonts w:ascii="Arial"/>
          <w:b/>
          <w:color w:val="333333"/>
          <w:sz w:val="22"/>
        </w:rPr>
        <w:t>k</w:t>
      </w:r>
      <w:r>
        <w:rPr>
          <w:rFonts w:ascii="Arial"/>
          <w:b/>
          <w:color w:val="333333"/>
          <w:spacing w:val="-10"/>
          <w:sz w:val="22"/>
        </w:rPr>
        <w:t> </w:t>
      </w:r>
      <w:r>
        <w:rPr>
          <w:rFonts w:ascii="Arial"/>
          <w:b/>
          <w:color w:val="333333"/>
          <w:spacing w:val="-2"/>
          <w:sz w:val="22"/>
        </w:rPr>
        <w:t>Management</w:t>
      </w:r>
    </w:p>
    <w:p>
      <w:pPr>
        <w:pStyle w:val="BodyText"/>
        <w:spacing w:before="5"/>
        <w:rPr>
          <w:rFonts w:ascii="Arial"/>
          <w:b/>
          <w:sz w:val="20"/>
        </w:rPr>
      </w:pPr>
    </w:p>
    <w:p>
      <w:pPr>
        <w:spacing w:before="0"/>
        <w:ind w:left="486" w:right="0" w:firstLine="0"/>
        <w:jc w:val="left"/>
        <w:rPr>
          <w:rFonts w:ascii="Arial"/>
          <w:i/>
          <w:sz w:val="17"/>
        </w:rPr>
      </w:pPr>
      <w:r>
        <w:rPr>
          <w:rFonts w:ascii="Arial"/>
          <w:i/>
          <w:color w:val="333333"/>
          <w:spacing w:val="-2"/>
          <w:w w:val="105"/>
          <w:sz w:val="17"/>
        </w:rPr>
        <w:t>Peter</w:t>
      </w:r>
      <w:r>
        <w:rPr>
          <w:rFonts w:ascii="Arial"/>
          <w:i/>
          <w:color w:val="333333"/>
          <w:spacing w:val="-4"/>
          <w:w w:val="105"/>
          <w:sz w:val="17"/>
        </w:rPr>
        <w:t> </w:t>
      </w:r>
      <w:r>
        <w:rPr>
          <w:rFonts w:ascii="Arial"/>
          <w:i/>
          <w:color w:val="333333"/>
          <w:spacing w:val="-2"/>
          <w:w w:val="105"/>
          <w:sz w:val="17"/>
        </w:rPr>
        <w:t>Stephenson</w:t>
      </w:r>
    </w:p>
    <w:p>
      <w:pPr>
        <w:pStyle w:val="BodyText"/>
        <w:spacing w:before="7"/>
        <w:rPr>
          <w:rFonts w:ascii="Arial"/>
          <w:i/>
          <w:sz w:val="26"/>
        </w:rPr>
      </w:pPr>
    </w:p>
    <w:p>
      <w:pPr>
        <w:pStyle w:val="ListParagraph"/>
        <w:numPr>
          <w:ilvl w:val="2"/>
          <w:numId w:val="1"/>
        </w:numPr>
        <w:tabs>
          <w:tab w:pos="686" w:val="left" w:leader="none"/>
        </w:tabs>
        <w:spacing w:line="240" w:lineRule="auto" w:before="0" w:after="0"/>
        <w:ind w:left="685" w:right="0" w:hanging="553"/>
        <w:jc w:val="left"/>
        <w:rPr>
          <w:rFonts w:ascii="Arial"/>
          <w:b/>
          <w:sz w:val="20"/>
        </w:rPr>
      </w:pPr>
      <w:bookmarkStart w:name=" 6.2.1. Risk Appetite Statement" w:id="23"/>
      <w:bookmarkEnd w:id="23"/>
      <w:r>
        <w:rPr>
          <w:rFonts w:ascii="Arial"/>
          <w:b/>
          <w:color w:val="333333"/>
          <w:sz w:val="20"/>
        </w:rPr>
        <w:t>Ris</w:t>
      </w:r>
      <w:r>
        <w:rPr>
          <w:rFonts w:ascii="Arial"/>
          <w:b/>
          <w:color w:val="333333"/>
          <w:sz w:val="20"/>
        </w:rPr>
        <w:t>k</w:t>
      </w:r>
      <w:r>
        <w:rPr>
          <w:rFonts w:ascii="Arial"/>
          <w:b/>
          <w:color w:val="333333"/>
          <w:spacing w:val="7"/>
          <w:sz w:val="20"/>
        </w:rPr>
        <w:t> </w:t>
      </w:r>
      <w:r>
        <w:rPr>
          <w:rFonts w:ascii="Arial"/>
          <w:b/>
          <w:color w:val="333333"/>
          <w:sz w:val="20"/>
        </w:rPr>
        <w:t>Appetite</w:t>
      </w:r>
      <w:r>
        <w:rPr>
          <w:rFonts w:ascii="Arial"/>
          <w:b/>
          <w:color w:val="333333"/>
          <w:spacing w:val="8"/>
          <w:sz w:val="20"/>
        </w:rPr>
        <w:t> </w:t>
      </w:r>
      <w:r>
        <w:rPr>
          <w:rFonts w:ascii="Arial"/>
          <w:b/>
          <w:color w:val="333333"/>
          <w:spacing w:val="-2"/>
          <w:sz w:val="20"/>
        </w:rPr>
        <w:t>Statement</w:t>
      </w:r>
    </w:p>
    <w:p>
      <w:pPr>
        <w:pStyle w:val="BodyText"/>
        <w:spacing w:before="10"/>
        <w:rPr>
          <w:rFonts w:ascii="Arial"/>
          <w:b/>
          <w:sz w:val="19"/>
        </w:rPr>
      </w:pPr>
    </w:p>
    <w:p>
      <w:pPr>
        <w:spacing w:before="0"/>
        <w:ind w:left="486" w:right="0" w:firstLine="0"/>
        <w:jc w:val="left"/>
        <w:rPr>
          <w:rFonts w:ascii="Arial"/>
          <w:i/>
          <w:sz w:val="17"/>
        </w:rPr>
      </w:pPr>
      <w:r>
        <w:rPr>
          <w:rFonts w:ascii="Arial"/>
          <w:i/>
          <w:color w:val="333333"/>
          <w:spacing w:val="-2"/>
          <w:w w:val="105"/>
          <w:sz w:val="17"/>
        </w:rPr>
        <w:t>Peter</w:t>
      </w:r>
      <w:r>
        <w:rPr>
          <w:rFonts w:ascii="Arial"/>
          <w:i/>
          <w:color w:val="333333"/>
          <w:spacing w:val="-4"/>
          <w:w w:val="105"/>
          <w:sz w:val="17"/>
        </w:rPr>
        <w:t> </w:t>
      </w:r>
      <w:r>
        <w:rPr>
          <w:rFonts w:ascii="Arial"/>
          <w:i/>
          <w:color w:val="333333"/>
          <w:spacing w:val="-2"/>
          <w:w w:val="105"/>
          <w:sz w:val="17"/>
        </w:rPr>
        <w:t>Stephenson</w:t>
      </w:r>
    </w:p>
    <w:p>
      <w:pPr>
        <w:spacing w:before="136"/>
        <w:ind w:left="133" w:right="0" w:firstLine="0"/>
        <w:jc w:val="left"/>
        <w:rPr>
          <w:rFonts w:ascii="Arial" w:hAnsi="Arial"/>
          <w:sz w:val="17"/>
        </w:rPr>
      </w:pPr>
      <w:r>
        <w:rPr>
          <w:rFonts w:ascii="Arial" w:hAnsi="Arial"/>
          <w:color w:val="878787"/>
          <w:spacing w:val="-2"/>
          <w:w w:val="105"/>
          <w:sz w:val="17"/>
        </w:rPr>
        <w:t></w:t>
      </w:r>
      <w:r>
        <w:rPr>
          <w:rFonts w:ascii="Arial" w:hAnsi="Arial"/>
          <w:color w:val="878787"/>
          <w:spacing w:val="71"/>
          <w:w w:val="105"/>
          <w:sz w:val="17"/>
        </w:rPr>
        <w:t> </w:t>
      </w:r>
      <w:r>
        <w:rPr>
          <w:rFonts w:ascii="Arial" w:hAnsi="Arial"/>
          <w:color w:val="333333"/>
          <w:spacing w:val="-2"/>
          <w:w w:val="105"/>
          <w:sz w:val="17"/>
        </w:rPr>
        <w:t>6.2.1</w:t>
      </w:r>
      <w:r>
        <w:rPr>
          <w:rFonts w:ascii="Arial" w:hAnsi="Arial"/>
          <w:color w:val="333333"/>
          <w:spacing w:val="-9"/>
          <w:w w:val="105"/>
          <w:sz w:val="17"/>
        </w:rPr>
        <w:t> </w:t>
      </w:r>
      <w:r>
        <w:rPr>
          <w:rFonts w:ascii="Arial" w:hAnsi="Arial"/>
          <w:color w:val="333333"/>
          <w:spacing w:val="-2"/>
          <w:w w:val="105"/>
          <w:sz w:val="17"/>
        </w:rPr>
        <w:t>Risk</w:t>
      </w:r>
      <w:r>
        <w:rPr>
          <w:rFonts w:ascii="Arial" w:hAnsi="Arial"/>
          <w:color w:val="333333"/>
          <w:spacing w:val="-10"/>
          <w:w w:val="105"/>
          <w:sz w:val="17"/>
        </w:rPr>
        <w:t> </w:t>
      </w:r>
      <w:r>
        <w:rPr>
          <w:rFonts w:ascii="Arial" w:hAnsi="Arial"/>
          <w:color w:val="333333"/>
          <w:spacing w:val="-2"/>
          <w:w w:val="105"/>
          <w:sz w:val="17"/>
        </w:rPr>
        <w:t>Appetite</w:t>
      </w:r>
      <w:r>
        <w:rPr>
          <w:rFonts w:ascii="Arial" w:hAnsi="Arial"/>
          <w:color w:val="333333"/>
          <w:spacing w:val="-10"/>
          <w:w w:val="105"/>
          <w:sz w:val="17"/>
        </w:rPr>
        <w:t> </w:t>
      </w:r>
      <w:r>
        <w:rPr>
          <w:rFonts w:ascii="Arial" w:hAnsi="Arial"/>
          <w:color w:val="333333"/>
          <w:spacing w:val="-2"/>
          <w:w w:val="105"/>
          <w:sz w:val="17"/>
        </w:rPr>
        <w:t>Statement</w:t>
      </w:r>
      <w:r>
        <w:rPr>
          <w:rFonts w:ascii="Arial" w:hAnsi="Arial"/>
          <w:color w:val="333333"/>
          <w:spacing w:val="-9"/>
          <w:w w:val="105"/>
          <w:sz w:val="17"/>
        </w:rPr>
        <w:t> </w:t>
      </w:r>
      <w:r>
        <w:rPr>
          <w:rFonts w:ascii="Arial" w:hAnsi="Arial"/>
          <w:color w:val="333333"/>
          <w:spacing w:val="-2"/>
          <w:w w:val="105"/>
          <w:sz w:val="17"/>
        </w:rPr>
        <w:t>cover</w:t>
      </w:r>
      <w:r>
        <w:rPr>
          <w:rFonts w:ascii="Arial" w:hAnsi="Arial"/>
          <w:color w:val="333333"/>
          <w:spacing w:val="-9"/>
          <w:w w:val="105"/>
          <w:sz w:val="17"/>
        </w:rPr>
        <w:t> </w:t>
      </w:r>
      <w:r>
        <w:rPr>
          <w:rFonts w:ascii="Arial" w:hAnsi="Arial"/>
          <w:color w:val="333333"/>
          <w:spacing w:val="-2"/>
          <w:w w:val="105"/>
          <w:sz w:val="17"/>
        </w:rPr>
        <w:t>paper.pdf</w:t>
      </w:r>
      <w:r>
        <w:rPr>
          <w:rFonts w:ascii="Arial" w:hAnsi="Arial"/>
          <w:color w:val="333333"/>
          <w:spacing w:val="-3"/>
          <w:w w:val="105"/>
          <w:sz w:val="17"/>
        </w:rPr>
        <w:t> </w:t>
      </w:r>
      <w:r>
        <w:rPr>
          <w:rFonts w:ascii="Arial" w:hAnsi="Arial"/>
          <w:color w:val="333333"/>
          <w:spacing w:val="-2"/>
          <w:w w:val="105"/>
          <w:sz w:val="17"/>
        </w:rPr>
        <w:t>(1</w:t>
      </w:r>
      <w:r>
        <w:rPr>
          <w:rFonts w:ascii="Arial" w:hAnsi="Arial"/>
          <w:color w:val="333333"/>
          <w:spacing w:val="-7"/>
          <w:w w:val="105"/>
          <w:sz w:val="17"/>
        </w:rPr>
        <w:t> </w:t>
      </w:r>
      <w:r>
        <w:rPr>
          <w:rFonts w:ascii="Arial" w:hAnsi="Arial"/>
          <w:color w:val="333333"/>
          <w:spacing w:val="-2"/>
          <w:w w:val="105"/>
          <w:sz w:val="17"/>
        </w:rPr>
        <w:t>pages)</w:t>
      </w:r>
    </w:p>
    <w:p>
      <w:pPr>
        <w:spacing w:after="0"/>
        <w:jc w:val="left"/>
        <w:rPr>
          <w:rFonts w:ascii="Arial" w:hAnsi="Arial"/>
          <w:sz w:val="17"/>
        </w:rPr>
        <w:sectPr>
          <w:type w:val="continuous"/>
          <w:pgSz w:w="11900" w:h="16840"/>
          <w:pgMar w:top="740" w:bottom="280" w:left="0" w:right="0"/>
          <w:cols w:num="2" w:equalWidth="0">
            <w:col w:w="1749" w:space="40"/>
            <w:col w:w="10111"/>
          </w:cols>
        </w:sectPr>
      </w:pPr>
    </w:p>
    <w:p>
      <w:pPr>
        <w:spacing w:before="86"/>
        <w:ind w:left="1922" w:right="0" w:firstLine="0"/>
        <w:jc w:val="left"/>
        <w:rPr>
          <w:rFonts w:ascii="Arial" w:hAnsi="Arial"/>
          <w:sz w:val="17"/>
        </w:rPr>
      </w:pPr>
      <w:r>
        <w:rPr>
          <w:rFonts w:ascii="Arial" w:hAnsi="Arial"/>
          <w:color w:val="878787"/>
          <w:spacing w:val="-2"/>
          <w:w w:val="105"/>
          <w:sz w:val="17"/>
        </w:rPr>
        <w:t></w:t>
      </w:r>
      <w:r>
        <w:rPr>
          <w:rFonts w:ascii="Arial" w:hAnsi="Arial"/>
          <w:color w:val="878787"/>
          <w:spacing w:val="72"/>
          <w:w w:val="105"/>
          <w:sz w:val="17"/>
        </w:rPr>
        <w:t> </w:t>
      </w:r>
      <w:r>
        <w:rPr>
          <w:rFonts w:ascii="Arial" w:hAnsi="Arial"/>
          <w:color w:val="333333"/>
          <w:spacing w:val="-2"/>
          <w:w w:val="105"/>
          <w:sz w:val="17"/>
        </w:rPr>
        <w:t>6.2.1</w:t>
      </w:r>
      <w:r>
        <w:rPr>
          <w:rFonts w:ascii="Arial" w:hAnsi="Arial"/>
          <w:color w:val="333333"/>
          <w:spacing w:val="-8"/>
          <w:w w:val="105"/>
          <w:sz w:val="17"/>
        </w:rPr>
        <w:t> </w:t>
      </w:r>
      <w:r>
        <w:rPr>
          <w:rFonts w:ascii="Arial" w:hAnsi="Arial"/>
          <w:color w:val="333333"/>
          <w:spacing w:val="-2"/>
          <w:w w:val="105"/>
          <w:sz w:val="17"/>
        </w:rPr>
        <w:t>NWSSP</w:t>
      </w:r>
      <w:r>
        <w:rPr>
          <w:rFonts w:ascii="Arial" w:hAnsi="Arial"/>
          <w:color w:val="333333"/>
          <w:spacing w:val="-9"/>
          <w:w w:val="105"/>
          <w:sz w:val="17"/>
        </w:rPr>
        <w:t> </w:t>
      </w:r>
      <w:r>
        <w:rPr>
          <w:rFonts w:ascii="Arial" w:hAnsi="Arial"/>
          <w:color w:val="333333"/>
          <w:spacing w:val="-2"/>
          <w:w w:val="105"/>
          <w:sz w:val="17"/>
        </w:rPr>
        <w:t>Risk</w:t>
      </w:r>
      <w:r>
        <w:rPr>
          <w:rFonts w:ascii="Arial" w:hAnsi="Arial"/>
          <w:color w:val="333333"/>
          <w:spacing w:val="-8"/>
          <w:w w:val="105"/>
          <w:sz w:val="17"/>
        </w:rPr>
        <w:t> </w:t>
      </w:r>
      <w:r>
        <w:rPr>
          <w:rFonts w:ascii="Arial" w:hAnsi="Arial"/>
          <w:color w:val="333333"/>
          <w:spacing w:val="-2"/>
          <w:w w:val="105"/>
          <w:sz w:val="17"/>
        </w:rPr>
        <w:t>Appetite</w:t>
      </w:r>
      <w:r>
        <w:rPr>
          <w:rFonts w:ascii="Arial" w:hAnsi="Arial"/>
          <w:color w:val="333333"/>
          <w:spacing w:val="-9"/>
          <w:w w:val="105"/>
          <w:sz w:val="17"/>
        </w:rPr>
        <w:t> </w:t>
      </w:r>
      <w:r>
        <w:rPr>
          <w:rFonts w:ascii="Arial" w:hAnsi="Arial"/>
          <w:color w:val="333333"/>
          <w:spacing w:val="-2"/>
          <w:w w:val="105"/>
          <w:sz w:val="17"/>
        </w:rPr>
        <w:t>Statement</w:t>
      </w:r>
      <w:r>
        <w:rPr>
          <w:rFonts w:ascii="Arial" w:hAnsi="Arial"/>
          <w:color w:val="333333"/>
          <w:spacing w:val="-8"/>
          <w:w w:val="105"/>
          <w:sz w:val="17"/>
        </w:rPr>
        <w:t> </w:t>
      </w:r>
      <w:r>
        <w:rPr>
          <w:rFonts w:ascii="Arial" w:hAnsi="Arial"/>
          <w:color w:val="333333"/>
          <w:spacing w:val="-2"/>
          <w:w w:val="105"/>
          <w:sz w:val="17"/>
        </w:rPr>
        <w:t>November</w:t>
      </w:r>
      <w:r>
        <w:rPr>
          <w:rFonts w:ascii="Arial" w:hAnsi="Arial"/>
          <w:color w:val="333333"/>
          <w:spacing w:val="-9"/>
          <w:w w:val="105"/>
          <w:sz w:val="17"/>
        </w:rPr>
        <w:t> </w:t>
      </w:r>
      <w:r>
        <w:rPr>
          <w:rFonts w:ascii="Arial" w:hAnsi="Arial"/>
          <w:color w:val="333333"/>
          <w:spacing w:val="-2"/>
          <w:w w:val="105"/>
          <w:sz w:val="17"/>
        </w:rPr>
        <w:t>2022.pdf</w:t>
      </w:r>
      <w:r>
        <w:rPr>
          <w:rFonts w:ascii="Arial" w:hAnsi="Arial"/>
          <w:color w:val="333333"/>
          <w:spacing w:val="-3"/>
          <w:w w:val="105"/>
          <w:sz w:val="17"/>
        </w:rPr>
        <w:t> </w:t>
      </w:r>
      <w:r>
        <w:rPr>
          <w:rFonts w:ascii="Arial" w:hAnsi="Arial"/>
          <w:color w:val="333333"/>
          <w:spacing w:val="-2"/>
          <w:w w:val="105"/>
          <w:sz w:val="17"/>
        </w:rPr>
        <w:t>(4</w:t>
      </w:r>
      <w:r>
        <w:rPr>
          <w:rFonts w:ascii="Arial" w:hAnsi="Arial"/>
          <w:color w:val="333333"/>
          <w:spacing w:val="-6"/>
          <w:w w:val="105"/>
          <w:sz w:val="17"/>
        </w:rPr>
        <w:t> </w:t>
      </w:r>
      <w:r>
        <w:rPr>
          <w:rFonts w:ascii="Arial" w:hAnsi="Arial"/>
          <w:color w:val="333333"/>
          <w:spacing w:val="-2"/>
          <w:w w:val="105"/>
          <w:sz w:val="17"/>
        </w:rPr>
        <w:t>pages)</w:t>
      </w:r>
    </w:p>
    <w:p>
      <w:pPr>
        <w:pStyle w:val="BodyText"/>
        <w:spacing w:before="7"/>
        <w:rPr>
          <w:rFonts w:ascii="Arial"/>
          <w:sz w:val="26"/>
        </w:rPr>
      </w:pPr>
    </w:p>
    <w:p>
      <w:pPr>
        <w:pStyle w:val="ListParagraph"/>
        <w:numPr>
          <w:ilvl w:val="2"/>
          <w:numId w:val="1"/>
        </w:numPr>
        <w:tabs>
          <w:tab w:pos="2474" w:val="left" w:leader="none"/>
        </w:tabs>
        <w:spacing w:line="240" w:lineRule="auto" w:before="0" w:after="0"/>
        <w:ind w:left="2473" w:right="0" w:hanging="552"/>
        <w:jc w:val="left"/>
        <w:rPr>
          <w:rFonts w:ascii="Arial"/>
          <w:b/>
          <w:sz w:val="20"/>
        </w:rPr>
      </w:pPr>
      <w:bookmarkStart w:name=" 6.2.2. Risk Register" w:id="24"/>
      <w:bookmarkEnd w:id="24"/>
      <w:r>
        <w:rPr>
          <w:rFonts w:ascii="Arial"/>
          <w:b/>
          <w:color w:val="333333"/>
          <w:sz w:val="20"/>
        </w:rPr>
        <w:t>Ris</w:t>
      </w:r>
      <w:r>
        <w:rPr>
          <w:rFonts w:ascii="Arial"/>
          <w:b/>
          <w:color w:val="333333"/>
          <w:sz w:val="20"/>
        </w:rPr>
        <w:t>k</w:t>
      </w:r>
      <w:r>
        <w:rPr>
          <w:rFonts w:ascii="Arial"/>
          <w:b/>
          <w:color w:val="333333"/>
          <w:spacing w:val="1"/>
          <w:sz w:val="20"/>
        </w:rPr>
        <w:t> </w:t>
      </w:r>
      <w:r>
        <w:rPr>
          <w:rFonts w:ascii="Arial"/>
          <w:b/>
          <w:color w:val="333333"/>
          <w:spacing w:val="-2"/>
          <w:sz w:val="20"/>
        </w:rPr>
        <w:t>Register</w:t>
      </w:r>
    </w:p>
    <w:p>
      <w:pPr>
        <w:pStyle w:val="BodyText"/>
        <w:spacing w:before="10"/>
        <w:rPr>
          <w:rFonts w:ascii="Arial"/>
          <w:b/>
          <w:sz w:val="19"/>
        </w:rPr>
      </w:pPr>
    </w:p>
    <w:p>
      <w:pPr>
        <w:spacing w:before="0"/>
        <w:ind w:left="2275" w:right="0" w:firstLine="0"/>
        <w:jc w:val="left"/>
        <w:rPr>
          <w:rFonts w:ascii="Arial"/>
          <w:i/>
          <w:sz w:val="17"/>
        </w:rPr>
      </w:pPr>
      <w:r>
        <w:rPr>
          <w:rFonts w:ascii="Arial"/>
          <w:i/>
          <w:color w:val="333333"/>
          <w:spacing w:val="-2"/>
          <w:w w:val="105"/>
          <w:sz w:val="17"/>
        </w:rPr>
        <w:t>Peter</w:t>
      </w:r>
      <w:r>
        <w:rPr>
          <w:rFonts w:ascii="Arial"/>
          <w:i/>
          <w:color w:val="333333"/>
          <w:spacing w:val="-4"/>
          <w:w w:val="105"/>
          <w:sz w:val="17"/>
        </w:rPr>
        <w:t> </w:t>
      </w:r>
      <w:r>
        <w:rPr>
          <w:rFonts w:ascii="Arial"/>
          <w:i/>
          <w:color w:val="333333"/>
          <w:spacing w:val="-2"/>
          <w:w w:val="105"/>
          <w:sz w:val="17"/>
        </w:rPr>
        <w:t>Stephenson</w:t>
      </w:r>
    </w:p>
    <w:p>
      <w:pPr>
        <w:spacing w:before="135"/>
        <w:ind w:left="1922" w:right="0" w:firstLine="0"/>
        <w:jc w:val="left"/>
        <w:rPr>
          <w:rFonts w:ascii="Arial" w:hAnsi="Arial"/>
          <w:sz w:val="17"/>
        </w:rPr>
      </w:pPr>
      <w:r>
        <w:rPr>
          <w:rFonts w:ascii="Arial" w:hAnsi="Arial"/>
          <w:color w:val="878787"/>
          <w:w w:val="105"/>
          <w:sz w:val="17"/>
        </w:rPr>
        <w:t></w:t>
      </w:r>
      <w:r>
        <w:rPr>
          <w:rFonts w:ascii="Arial" w:hAnsi="Arial"/>
          <w:color w:val="878787"/>
          <w:spacing w:val="47"/>
          <w:w w:val="105"/>
          <w:sz w:val="17"/>
        </w:rPr>
        <w:t> </w:t>
      </w:r>
      <w:r>
        <w:rPr>
          <w:rFonts w:ascii="Arial" w:hAnsi="Arial"/>
          <w:color w:val="333333"/>
          <w:w w:val="105"/>
          <w:sz w:val="17"/>
        </w:rPr>
        <w:t>6.2.2</w:t>
      </w:r>
      <w:r>
        <w:rPr>
          <w:rFonts w:ascii="Arial" w:hAnsi="Arial"/>
          <w:color w:val="333333"/>
          <w:spacing w:val="-13"/>
          <w:w w:val="105"/>
          <w:sz w:val="17"/>
        </w:rPr>
        <w:t> </w:t>
      </w:r>
      <w:r>
        <w:rPr>
          <w:rFonts w:ascii="Arial" w:hAnsi="Arial"/>
          <w:color w:val="333333"/>
          <w:w w:val="105"/>
          <w:sz w:val="17"/>
        </w:rPr>
        <w:t>Corporate</w:t>
      </w:r>
      <w:r>
        <w:rPr>
          <w:rFonts w:ascii="Arial" w:hAnsi="Arial"/>
          <w:color w:val="333333"/>
          <w:spacing w:val="-12"/>
          <w:w w:val="105"/>
          <w:sz w:val="17"/>
        </w:rPr>
        <w:t> </w:t>
      </w:r>
      <w:r>
        <w:rPr>
          <w:rFonts w:ascii="Arial" w:hAnsi="Arial"/>
          <w:color w:val="333333"/>
          <w:w w:val="105"/>
          <w:sz w:val="17"/>
        </w:rPr>
        <w:t>Risk</w:t>
      </w:r>
      <w:r>
        <w:rPr>
          <w:rFonts w:ascii="Arial" w:hAnsi="Arial"/>
          <w:color w:val="333333"/>
          <w:spacing w:val="-12"/>
          <w:w w:val="105"/>
          <w:sz w:val="17"/>
        </w:rPr>
        <w:t> </w:t>
      </w:r>
      <w:r>
        <w:rPr>
          <w:rFonts w:ascii="Arial" w:hAnsi="Arial"/>
          <w:color w:val="333333"/>
          <w:w w:val="105"/>
          <w:sz w:val="17"/>
        </w:rPr>
        <w:t>Register.pdf</w:t>
      </w:r>
      <w:r>
        <w:rPr>
          <w:rFonts w:ascii="Arial" w:hAnsi="Arial"/>
          <w:color w:val="333333"/>
          <w:spacing w:val="-13"/>
          <w:w w:val="105"/>
          <w:sz w:val="17"/>
        </w:rPr>
        <w:t> </w:t>
      </w:r>
      <w:r>
        <w:rPr>
          <w:rFonts w:ascii="Arial" w:hAnsi="Arial"/>
          <w:color w:val="333333"/>
          <w:w w:val="105"/>
          <w:sz w:val="17"/>
        </w:rPr>
        <w:t>(3</w:t>
      </w:r>
      <w:r>
        <w:rPr>
          <w:rFonts w:ascii="Arial" w:hAnsi="Arial"/>
          <w:color w:val="333333"/>
          <w:spacing w:val="-12"/>
          <w:w w:val="105"/>
          <w:sz w:val="17"/>
        </w:rPr>
        <w:t> </w:t>
      </w:r>
      <w:r>
        <w:rPr>
          <w:rFonts w:ascii="Arial" w:hAnsi="Arial"/>
          <w:color w:val="333333"/>
          <w:spacing w:val="-2"/>
          <w:w w:val="105"/>
          <w:sz w:val="17"/>
        </w:rPr>
        <w:t>pages)</w:t>
      </w:r>
    </w:p>
    <w:p>
      <w:pPr>
        <w:spacing w:before="48"/>
        <w:ind w:left="1922" w:right="0" w:firstLine="0"/>
        <w:jc w:val="left"/>
        <w:rPr>
          <w:rFonts w:ascii="Arial" w:hAnsi="Arial"/>
          <w:sz w:val="17"/>
        </w:rPr>
      </w:pPr>
      <w:r>
        <w:rPr>
          <w:rFonts w:ascii="Arial" w:hAnsi="Arial"/>
          <w:color w:val="878787"/>
          <w:spacing w:val="-2"/>
          <w:w w:val="105"/>
          <w:sz w:val="17"/>
        </w:rPr>
        <w:t></w:t>
      </w:r>
      <w:r>
        <w:rPr>
          <w:rFonts w:ascii="Arial" w:hAnsi="Arial"/>
          <w:color w:val="878787"/>
          <w:spacing w:val="75"/>
          <w:w w:val="105"/>
          <w:sz w:val="17"/>
        </w:rPr>
        <w:t> </w:t>
      </w:r>
      <w:r>
        <w:rPr>
          <w:rFonts w:ascii="Arial" w:hAnsi="Arial"/>
          <w:color w:val="333333"/>
          <w:spacing w:val="-2"/>
          <w:w w:val="105"/>
          <w:sz w:val="17"/>
        </w:rPr>
        <w:t>6.2.2</w:t>
      </w:r>
      <w:r>
        <w:rPr>
          <w:rFonts w:ascii="Arial" w:hAnsi="Arial"/>
          <w:color w:val="333333"/>
          <w:spacing w:val="-7"/>
          <w:w w:val="105"/>
          <w:sz w:val="17"/>
        </w:rPr>
        <w:t> </w:t>
      </w:r>
      <w:r>
        <w:rPr>
          <w:rFonts w:ascii="Arial" w:hAnsi="Arial"/>
          <w:color w:val="333333"/>
          <w:spacing w:val="-2"/>
          <w:w w:val="105"/>
          <w:sz w:val="17"/>
        </w:rPr>
        <w:t>Corporate</w:t>
      </w:r>
      <w:r>
        <w:rPr>
          <w:rFonts w:ascii="Arial" w:hAnsi="Arial"/>
          <w:color w:val="333333"/>
          <w:spacing w:val="-6"/>
          <w:w w:val="105"/>
          <w:sz w:val="17"/>
        </w:rPr>
        <w:t> </w:t>
      </w:r>
      <w:r>
        <w:rPr>
          <w:rFonts w:ascii="Arial" w:hAnsi="Arial"/>
          <w:color w:val="333333"/>
          <w:spacing w:val="-2"/>
          <w:w w:val="105"/>
          <w:sz w:val="17"/>
        </w:rPr>
        <w:t>Risk</w:t>
      </w:r>
      <w:r>
        <w:rPr>
          <w:rFonts w:ascii="Arial" w:hAnsi="Arial"/>
          <w:color w:val="333333"/>
          <w:spacing w:val="-7"/>
          <w:w w:val="105"/>
          <w:sz w:val="17"/>
        </w:rPr>
        <w:t> </w:t>
      </w:r>
      <w:r>
        <w:rPr>
          <w:rFonts w:ascii="Arial" w:hAnsi="Arial"/>
          <w:color w:val="333333"/>
          <w:spacing w:val="-2"/>
          <w:w w:val="105"/>
          <w:sz w:val="17"/>
        </w:rPr>
        <w:t>Register</w:t>
      </w:r>
      <w:r>
        <w:rPr>
          <w:rFonts w:ascii="Arial" w:hAnsi="Arial"/>
          <w:color w:val="333333"/>
          <w:spacing w:val="-6"/>
          <w:w w:val="105"/>
          <w:sz w:val="17"/>
        </w:rPr>
        <w:t> </w:t>
      </w:r>
      <w:r>
        <w:rPr>
          <w:rFonts w:ascii="Arial" w:hAnsi="Arial"/>
          <w:color w:val="333333"/>
          <w:spacing w:val="-2"/>
          <w:w w:val="105"/>
          <w:sz w:val="17"/>
        </w:rPr>
        <w:t>20230113.pdf</w:t>
      </w:r>
      <w:r>
        <w:rPr>
          <w:rFonts w:ascii="Arial" w:hAnsi="Arial"/>
          <w:color w:val="333333"/>
          <w:spacing w:val="-5"/>
          <w:w w:val="105"/>
          <w:sz w:val="17"/>
        </w:rPr>
        <w:t> </w:t>
      </w:r>
      <w:r>
        <w:rPr>
          <w:rFonts w:ascii="Arial" w:hAnsi="Arial"/>
          <w:color w:val="333333"/>
          <w:spacing w:val="-2"/>
          <w:w w:val="105"/>
          <w:sz w:val="17"/>
        </w:rPr>
        <w:t>(4</w:t>
      </w:r>
      <w:r>
        <w:rPr>
          <w:rFonts w:ascii="Arial" w:hAnsi="Arial"/>
          <w:color w:val="333333"/>
          <w:spacing w:val="-6"/>
          <w:w w:val="105"/>
          <w:sz w:val="17"/>
        </w:rPr>
        <w:t> </w:t>
      </w:r>
      <w:r>
        <w:rPr>
          <w:rFonts w:ascii="Arial" w:hAnsi="Arial"/>
          <w:color w:val="333333"/>
          <w:spacing w:val="-2"/>
          <w:w w:val="105"/>
          <w:sz w:val="17"/>
        </w:rPr>
        <w:t>pages)</w:t>
      </w:r>
    </w:p>
    <w:p>
      <w:pPr>
        <w:pStyle w:val="BodyText"/>
        <w:spacing w:before="7"/>
        <w:rPr>
          <w:rFonts w:ascii="Arial"/>
          <w:sz w:val="26"/>
        </w:rPr>
      </w:pPr>
    </w:p>
    <w:p>
      <w:pPr>
        <w:pStyle w:val="ListParagraph"/>
        <w:numPr>
          <w:ilvl w:val="2"/>
          <w:numId w:val="1"/>
        </w:numPr>
        <w:tabs>
          <w:tab w:pos="2474" w:val="left" w:leader="none"/>
        </w:tabs>
        <w:spacing w:line="240" w:lineRule="auto" w:before="0" w:after="0"/>
        <w:ind w:left="2473" w:right="0" w:hanging="552"/>
        <w:jc w:val="left"/>
        <w:rPr>
          <w:rFonts w:ascii="Arial"/>
          <w:b/>
          <w:sz w:val="20"/>
        </w:rPr>
      </w:pPr>
      <w:bookmarkStart w:name=" 6.2.3. Assurance Mapping" w:id="25"/>
      <w:bookmarkEnd w:id="25"/>
      <w:r>
        <w:rPr>
          <w:rFonts w:ascii="Arial"/>
          <w:b/>
          <w:color w:val="333333"/>
          <w:sz w:val="20"/>
        </w:rPr>
        <w:t>Assurance</w:t>
      </w:r>
      <w:r>
        <w:rPr>
          <w:rFonts w:ascii="Arial"/>
          <w:b/>
          <w:color w:val="333333"/>
          <w:spacing w:val="-11"/>
          <w:sz w:val="20"/>
        </w:rPr>
        <w:t> </w:t>
      </w:r>
      <w:r>
        <w:rPr>
          <w:rFonts w:ascii="Arial"/>
          <w:b/>
          <w:color w:val="333333"/>
          <w:spacing w:val="-2"/>
          <w:sz w:val="20"/>
        </w:rPr>
        <w:t>Mapping</w:t>
      </w:r>
    </w:p>
    <w:p>
      <w:pPr>
        <w:pStyle w:val="BodyText"/>
        <w:spacing w:before="10"/>
        <w:rPr>
          <w:rFonts w:ascii="Arial"/>
          <w:b/>
          <w:sz w:val="19"/>
        </w:rPr>
      </w:pPr>
    </w:p>
    <w:p>
      <w:pPr>
        <w:spacing w:before="0"/>
        <w:ind w:left="2275" w:right="0" w:firstLine="0"/>
        <w:jc w:val="left"/>
        <w:rPr>
          <w:rFonts w:ascii="Arial"/>
          <w:i/>
          <w:sz w:val="17"/>
        </w:rPr>
      </w:pPr>
      <w:r>
        <w:rPr>
          <w:rFonts w:ascii="Arial"/>
          <w:i/>
          <w:color w:val="333333"/>
          <w:spacing w:val="-2"/>
          <w:w w:val="105"/>
          <w:sz w:val="17"/>
        </w:rPr>
        <w:t>Peter</w:t>
      </w:r>
      <w:r>
        <w:rPr>
          <w:rFonts w:ascii="Arial"/>
          <w:i/>
          <w:color w:val="333333"/>
          <w:spacing w:val="-4"/>
          <w:w w:val="105"/>
          <w:sz w:val="17"/>
        </w:rPr>
        <w:t> </w:t>
      </w:r>
      <w:r>
        <w:rPr>
          <w:rFonts w:ascii="Arial"/>
          <w:i/>
          <w:color w:val="333333"/>
          <w:spacing w:val="-2"/>
          <w:w w:val="105"/>
          <w:sz w:val="17"/>
        </w:rPr>
        <w:t>Stephenson</w:t>
      </w:r>
    </w:p>
    <w:p>
      <w:pPr>
        <w:spacing w:before="135"/>
        <w:ind w:left="1922" w:right="0" w:firstLine="0"/>
        <w:jc w:val="left"/>
        <w:rPr>
          <w:rFonts w:ascii="Arial" w:hAnsi="Arial"/>
          <w:sz w:val="17"/>
        </w:rPr>
      </w:pPr>
      <w:r>
        <w:rPr>
          <w:rFonts w:ascii="Arial" w:hAnsi="Arial"/>
          <w:color w:val="878787"/>
          <w:w w:val="105"/>
          <w:sz w:val="17"/>
        </w:rPr>
        <w:t></w:t>
      </w:r>
      <w:r>
        <w:rPr>
          <w:rFonts w:ascii="Arial" w:hAnsi="Arial"/>
          <w:color w:val="878787"/>
          <w:spacing w:val="39"/>
          <w:w w:val="105"/>
          <w:sz w:val="17"/>
        </w:rPr>
        <w:t> </w:t>
      </w:r>
      <w:r>
        <w:rPr>
          <w:rFonts w:ascii="Arial" w:hAnsi="Arial"/>
          <w:color w:val="333333"/>
          <w:w w:val="105"/>
          <w:sz w:val="17"/>
        </w:rPr>
        <w:t>6.2.3</w:t>
      </w:r>
      <w:r>
        <w:rPr>
          <w:rFonts w:ascii="Arial" w:hAnsi="Arial"/>
          <w:color w:val="333333"/>
          <w:spacing w:val="-12"/>
          <w:w w:val="105"/>
          <w:sz w:val="17"/>
        </w:rPr>
        <w:t> </w:t>
      </w:r>
      <w:r>
        <w:rPr>
          <w:rFonts w:ascii="Arial" w:hAnsi="Arial"/>
          <w:color w:val="333333"/>
          <w:w w:val="105"/>
          <w:sz w:val="17"/>
        </w:rPr>
        <w:t>Assurance</w:t>
      </w:r>
      <w:r>
        <w:rPr>
          <w:rFonts w:ascii="Arial" w:hAnsi="Arial"/>
          <w:color w:val="333333"/>
          <w:spacing w:val="-12"/>
          <w:w w:val="105"/>
          <w:sz w:val="17"/>
        </w:rPr>
        <w:t> </w:t>
      </w:r>
      <w:r>
        <w:rPr>
          <w:rFonts w:ascii="Arial" w:hAnsi="Arial"/>
          <w:color w:val="333333"/>
          <w:w w:val="105"/>
          <w:sz w:val="17"/>
        </w:rPr>
        <w:t>Mapping</w:t>
      </w:r>
      <w:r>
        <w:rPr>
          <w:rFonts w:ascii="Arial" w:hAnsi="Arial"/>
          <w:color w:val="333333"/>
          <w:spacing w:val="-13"/>
          <w:w w:val="105"/>
          <w:sz w:val="17"/>
        </w:rPr>
        <w:t> </w:t>
      </w:r>
      <w:r>
        <w:rPr>
          <w:rFonts w:ascii="Arial" w:hAnsi="Arial"/>
          <w:color w:val="333333"/>
          <w:w w:val="105"/>
          <w:sz w:val="17"/>
        </w:rPr>
        <w:t>Jan</w:t>
      </w:r>
      <w:r>
        <w:rPr>
          <w:rFonts w:ascii="Arial" w:hAnsi="Arial"/>
          <w:color w:val="333333"/>
          <w:spacing w:val="-12"/>
          <w:w w:val="105"/>
          <w:sz w:val="17"/>
        </w:rPr>
        <w:t> </w:t>
      </w:r>
      <w:r>
        <w:rPr>
          <w:rFonts w:ascii="Arial" w:hAnsi="Arial"/>
          <w:color w:val="333333"/>
          <w:w w:val="105"/>
          <w:sz w:val="17"/>
        </w:rPr>
        <w:t>23.pdf</w:t>
      </w:r>
      <w:r>
        <w:rPr>
          <w:rFonts w:ascii="Arial" w:hAnsi="Arial"/>
          <w:color w:val="333333"/>
          <w:spacing w:val="-12"/>
          <w:w w:val="105"/>
          <w:sz w:val="17"/>
        </w:rPr>
        <w:t> </w:t>
      </w:r>
      <w:r>
        <w:rPr>
          <w:rFonts w:ascii="Arial" w:hAnsi="Arial"/>
          <w:color w:val="333333"/>
          <w:w w:val="105"/>
          <w:sz w:val="17"/>
        </w:rPr>
        <w:t>(23</w:t>
      </w:r>
      <w:r>
        <w:rPr>
          <w:rFonts w:ascii="Arial" w:hAnsi="Arial"/>
          <w:color w:val="333333"/>
          <w:spacing w:val="-12"/>
          <w:w w:val="105"/>
          <w:sz w:val="17"/>
        </w:rPr>
        <w:t> </w:t>
      </w:r>
      <w:r>
        <w:rPr>
          <w:rFonts w:ascii="Arial" w:hAnsi="Arial"/>
          <w:color w:val="333333"/>
          <w:spacing w:val="-2"/>
          <w:w w:val="105"/>
          <w:sz w:val="17"/>
        </w:rPr>
        <w:t>pages)</w:t>
      </w:r>
    </w:p>
    <w:p>
      <w:pPr>
        <w:pStyle w:val="BodyText"/>
        <w:spacing w:before="11"/>
        <w:rPr>
          <w:rFonts w:ascii="Arial"/>
          <w:sz w:val="26"/>
        </w:rPr>
      </w:pPr>
    </w:p>
    <w:p>
      <w:pPr>
        <w:pStyle w:val="ListParagraph"/>
        <w:numPr>
          <w:ilvl w:val="1"/>
          <w:numId w:val="1"/>
        </w:numPr>
        <w:tabs>
          <w:tab w:pos="2364" w:val="left" w:leader="none"/>
        </w:tabs>
        <w:spacing w:line="240" w:lineRule="auto" w:before="0" w:after="0"/>
        <w:ind w:left="2363" w:right="0" w:hanging="442"/>
        <w:jc w:val="left"/>
        <w:rPr>
          <w:rFonts w:ascii="Arial"/>
          <w:b/>
          <w:sz w:val="22"/>
        </w:rPr>
      </w:pPr>
      <w:bookmarkStart w:name=" 6.3. Health and Care Standards" w:id="26"/>
      <w:bookmarkEnd w:id="26"/>
      <w:r>
        <w:rPr>
          <w:rFonts w:ascii="Arial"/>
          <w:b/>
          <w:color w:val="333333"/>
          <w:sz w:val="22"/>
        </w:rPr>
        <w:t>Healt</w:t>
      </w:r>
      <w:r>
        <w:rPr>
          <w:rFonts w:ascii="Arial"/>
          <w:b/>
          <w:color w:val="333333"/>
          <w:sz w:val="22"/>
        </w:rPr>
        <w:t>h</w:t>
      </w:r>
      <w:r>
        <w:rPr>
          <w:rFonts w:ascii="Arial"/>
          <w:b/>
          <w:color w:val="333333"/>
          <w:spacing w:val="-6"/>
          <w:sz w:val="22"/>
        </w:rPr>
        <w:t> </w:t>
      </w:r>
      <w:r>
        <w:rPr>
          <w:rFonts w:ascii="Arial"/>
          <w:b/>
          <w:color w:val="333333"/>
          <w:sz w:val="22"/>
        </w:rPr>
        <w:t>and</w:t>
      </w:r>
      <w:r>
        <w:rPr>
          <w:rFonts w:ascii="Arial"/>
          <w:b/>
          <w:color w:val="333333"/>
          <w:spacing w:val="-5"/>
          <w:sz w:val="22"/>
        </w:rPr>
        <w:t> </w:t>
      </w:r>
      <w:r>
        <w:rPr>
          <w:rFonts w:ascii="Arial"/>
          <w:b/>
          <w:color w:val="333333"/>
          <w:sz w:val="22"/>
        </w:rPr>
        <w:t>Care</w:t>
      </w:r>
      <w:r>
        <w:rPr>
          <w:rFonts w:ascii="Arial"/>
          <w:b/>
          <w:color w:val="333333"/>
          <w:spacing w:val="-5"/>
          <w:sz w:val="22"/>
        </w:rPr>
        <w:t> </w:t>
      </w:r>
      <w:r>
        <w:rPr>
          <w:rFonts w:ascii="Arial"/>
          <w:b/>
          <w:color w:val="333333"/>
          <w:spacing w:val="-2"/>
          <w:sz w:val="22"/>
        </w:rPr>
        <w:t>Standards</w:t>
      </w:r>
    </w:p>
    <w:p>
      <w:pPr>
        <w:pStyle w:val="BodyText"/>
        <w:spacing w:before="5"/>
        <w:rPr>
          <w:rFonts w:ascii="Arial"/>
          <w:b/>
          <w:sz w:val="20"/>
        </w:rPr>
      </w:pPr>
    </w:p>
    <w:p>
      <w:pPr>
        <w:spacing w:before="0"/>
        <w:ind w:left="2275" w:right="0" w:firstLine="0"/>
        <w:jc w:val="left"/>
        <w:rPr>
          <w:rFonts w:ascii="Arial"/>
          <w:i/>
          <w:sz w:val="17"/>
        </w:rPr>
      </w:pPr>
      <w:r>
        <w:rPr>
          <w:rFonts w:ascii="Arial"/>
          <w:i/>
          <w:color w:val="333333"/>
          <w:spacing w:val="-2"/>
          <w:w w:val="105"/>
          <w:sz w:val="17"/>
        </w:rPr>
        <w:t>Peter</w:t>
      </w:r>
      <w:r>
        <w:rPr>
          <w:rFonts w:ascii="Arial"/>
          <w:i/>
          <w:color w:val="333333"/>
          <w:spacing w:val="-4"/>
          <w:w w:val="105"/>
          <w:sz w:val="17"/>
        </w:rPr>
        <w:t> </w:t>
      </w:r>
      <w:r>
        <w:rPr>
          <w:rFonts w:ascii="Arial"/>
          <w:i/>
          <w:color w:val="333333"/>
          <w:spacing w:val="-2"/>
          <w:w w:val="105"/>
          <w:sz w:val="17"/>
        </w:rPr>
        <w:t>Stephenson</w:t>
      </w:r>
    </w:p>
    <w:p>
      <w:pPr>
        <w:spacing w:before="136"/>
        <w:ind w:left="1922" w:right="0" w:firstLine="0"/>
        <w:jc w:val="left"/>
        <w:rPr>
          <w:rFonts w:ascii="Arial" w:hAnsi="Arial"/>
          <w:sz w:val="17"/>
        </w:rPr>
      </w:pPr>
      <w:r>
        <w:rPr>
          <w:rFonts w:ascii="Arial" w:hAnsi="Arial"/>
          <w:color w:val="878787"/>
          <w:spacing w:val="-2"/>
          <w:w w:val="105"/>
          <w:sz w:val="17"/>
        </w:rPr>
        <w:t></w:t>
      </w:r>
      <w:r>
        <w:rPr>
          <w:rFonts w:ascii="Arial" w:hAnsi="Arial"/>
          <w:color w:val="878787"/>
          <w:spacing w:val="73"/>
          <w:w w:val="105"/>
          <w:sz w:val="17"/>
        </w:rPr>
        <w:t> </w:t>
      </w:r>
      <w:r>
        <w:rPr>
          <w:rFonts w:ascii="Arial" w:hAnsi="Arial"/>
          <w:color w:val="333333"/>
          <w:spacing w:val="-2"/>
          <w:w w:val="105"/>
          <w:sz w:val="17"/>
        </w:rPr>
        <w:t>6.3</w:t>
      </w:r>
      <w:r>
        <w:rPr>
          <w:rFonts w:ascii="Arial" w:hAnsi="Arial"/>
          <w:color w:val="333333"/>
          <w:spacing w:val="-8"/>
          <w:w w:val="105"/>
          <w:sz w:val="17"/>
        </w:rPr>
        <w:t> </w:t>
      </w:r>
      <w:r>
        <w:rPr>
          <w:rFonts w:ascii="Arial" w:hAnsi="Arial"/>
          <w:color w:val="333333"/>
          <w:spacing w:val="-2"/>
          <w:w w:val="105"/>
          <w:sz w:val="17"/>
        </w:rPr>
        <w:t>Audit</w:t>
      </w:r>
      <w:r>
        <w:rPr>
          <w:rFonts w:ascii="Arial" w:hAnsi="Arial"/>
          <w:color w:val="333333"/>
          <w:spacing w:val="-8"/>
          <w:w w:val="105"/>
          <w:sz w:val="17"/>
        </w:rPr>
        <w:t> </w:t>
      </w:r>
      <w:r>
        <w:rPr>
          <w:rFonts w:ascii="Arial" w:hAnsi="Arial"/>
          <w:color w:val="333333"/>
          <w:spacing w:val="-2"/>
          <w:w w:val="105"/>
          <w:sz w:val="17"/>
        </w:rPr>
        <w:t>Committee</w:t>
      </w:r>
      <w:r>
        <w:rPr>
          <w:rFonts w:ascii="Arial" w:hAnsi="Arial"/>
          <w:color w:val="333333"/>
          <w:spacing w:val="-8"/>
          <w:w w:val="105"/>
          <w:sz w:val="17"/>
        </w:rPr>
        <w:t> </w:t>
      </w:r>
      <w:r>
        <w:rPr>
          <w:rFonts w:ascii="Arial" w:hAnsi="Arial"/>
          <w:color w:val="333333"/>
          <w:spacing w:val="-2"/>
          <w:w w:val="105"/>
          <w:sz w:val="17"/>
        </w:rPr>
        <w:t>NWSSP</w:t>
      </w:r>
      <w:r>
        <w:rPr>
          <w:rFonts w:ascii="Arial" w:hAnsi="Arial"/>
          <w:color w:val="333333"/>
          <w:spacing w:val="-8"/>
          <w:w w:val="105"/>
          <w:sz w:val="17"/>
        </w:rPr>
        <w:t> </w:t>
      </w:r>
      <w:r>
        <w:rPr>
          <w:rFonts w:ascii="Arial" w:hAnsi="Arial"/>
          <w:color w:val="333333"/>
          <w:spacing w:val="-2"/>
          <w:w w:val="105"/>
          <w:sz w:val="17"/>
        </w:rPr>
        <w:t>Health</w:t>
      </w:r>
      <w:r>
        <w:rPr>
          <w:rFonts w:ascii="Arial" w:hAnsi="Arial"/>
          <w:color w:val="333333"/>
          <w:spacing w:val="-8"/>
          <w:w w:val="105"/>
          <w:sz w:val="17"/>
        </w:rPr>
        <w:t> </w:t>
      </w:r>
      <w:r>
        <w:rPr>
          <w:rFonts w:ascii="Arial" w:hAnsi="Arial"/>
          <w:color w:val="333333"/>
          <w:spacing w:val="-2"/>
          <w:w w:val="105"/>
          <w:sz w:val="17"/>
        </w:rPr>
        <w:t>and</w:t>
      </w:r>
      <w:r>
        <w:rPr>
          <w:rFonts w:ascii="Arial" w:hAnsi="Arial"/>
          <w:color w:val="333333"/>
          <w:spacing w:val="-9"/>
          <w:w w:val="105"/>
          <w:sz w:val="17"/>
        </w:rPr>
        <w:t> </w:t>
      </w:r>
      <w:r>
        <w:rPr>
          <w:rFonts w:ascii="Arial" w:hAnsi="Arial"/>
          <w:color w:val="333333"/>
          <w:spacing w:val="-2"/>
          <w:w w:val="105"/>
          <w:sz w:val="17"/>
        </w:rPr>
        <w:t>Care</w:t>
      </w:r>
      <w:r>
        <w:rPr>
          <w:rFonts w:ascii="Arial" w:hAnsi="Arial"/>
          <w:color w:val="333333"/>
          <w:spacing w:val="-8"/>
          <w:w w:val="105"/>
          <w:sz w:val="17"/>
        </w:rPr>
        <w:t> </w:t>
      </w:r>
      <w:r>
        <w:rPr>
          <w:rFonts w:ascii="Arial" w:hAnsi="Arial"/>
          <w:color w:val="333333"/>
          <w:spacing w:val="-2"/>
          <w:w w:val="105"/>
          <w:sz w:val="17"/>
        </w:rPr>
        <w:t>Standards.pdf (3</w:t>
      </w:r>
      <w:r>
        <w:rPr>
          <w:rFonts w:ascii="Arial" w:hAnsi="Arial"/>
          <w:color w:val="333333"/>
          <w:spacing w:val="-6"/>
          <w:w w:val="105"/>
          <w:sz w:val="17"/>
        </w:rPr>
        <w:t> </w:t>
      </w:r>
      <w:r>
        <w:rPr>
          <w:rFonts w:ascii="Arial" w:hAnsi="Arial"/>
          <w:color w:val="333333"/>
          <w:spacing w:val="-2"/>
          <w:w w:val="105"/>
          <w:sz w:val="17"/>
        </w:rPr>
        <w:t>pages)</w:t>
      </w:r>
    </w:p>
    <w:p>
      <w:pPr>
        <w:pStyle w:val="BodyText"/>
        <w:spacing w:before="10"/>
        <w:rPr>
          <w:rFonts w:ascii="Arial"/>
          <w:sz w:val="26"/>
        </w:rPr>
      </w:pPr>
    </w:p>
    <w:p>
      <w:pPr>
        <w:pStyle w:val="ListParagraph"/>
        <w:numPr>
          <w:ilvl w:val="1"/>
          <w:numId w:val="1"/>
        </w:numPr>
        <w:tabs>
          <w:tab w:pos="2364" w:val="left" w:leader="none"/>
        </w:tabs>
        <w:spacing w:line="240" w:lineRule="auto" w:before="0" w:after="0"/>
        <w:ind w:left="2363" w:right="0" w:hanging="442"/>
        <w:jc w:val="left"/>
        <w:rPr>
          <w:rFonts w:ascii="Arial"/>
          <w:b/>
          <w:sz w:val="22"/>
        </w:rPr>
      </w:pPr>
      <w:bookmarkStart w:name=" 6.4. Governance Matters" w:id="27"/>
      <w:bookmarkEnd w:id="27"/>
      <w:r>
        <w:rPr>
          <w:rFonts w:ascii="Arial"/>
          <w:b/>
          <w:color w:val="333333"/>
          <w:sz w:val="22"/>
        </w:rPr>
        <w:t>Governance</w:t>
      </w:r>
      <w:r>
        <w:rPr>
          <w:rFonts w:ascii="Arial"/>
          <w:b/>
          <w:color w:val="333333"/>
          <w:sz w:val="22"/>
        </w:rPr>
        <w:t> </w:t>
      </w:r>
      <w:r>
        <w:rPr>
          <w:rFonts w:ascii="Arial"/>
          <w:b/>
          <w:color w:val="333333"/>
          <w:spacing w:val="-2"/>
          <w:sz w:val="22"/>
        </w:rPr>
        <w:t>Matters</w:t>
      </w:r>
    </w:p>
    <w:p>
      <w:pPr>
        <w:pStyle w:val="BodyText"/>
        <w:spacing w:before="5"/>
        <w:rPr>
          <w:rFonts w:ascii="Arial"/>
          <w:b/>
          <w:sz w:val="20"/>
        </w:rPr>
      </w:pPr>
    </w:p>
    <w:p>
      <w:pPr>
        <w:spacing w:before="1"/>
        <w:ind w:left="2275" w:right="0" w:firstLine="0"/>
        <w:jc w:val="left"/>
        <w:rPr>
          <w:rFonts w:ascii="Arial"/>
          <w:i/>
          <w:sz w:val="17"/>
        </w:rPr>
      </w:pPr>
      <w:r>
        <w:rPr>
          <w:rFonts w:ascii="Arial"/>
          <w:i/>
          <w:color w:val="333333"/>
          <w:w w:val="105"/>
          <w:sz w:val="17"/>
        </w:rPr>
        <w:t>Andy</w:t>
      </w:r>
      <w:r>
        <w:rPr>
          <w:rFonts w:ascii="Arial"/>
          <w:i/>
          <w:color w:val="333333"/>
          <w:spacing w:val="-9"/>
          <w:w w:val="105"/>
          <w:sz w:val="17"/>
        </w:rPr>
        <w:t> </w:t>
      </w:r>
      <w:r>
        <w:rPr>
          <w:rFonts w:ascii="Arial"/>
          <w:i/>
          <w:color w:val="333333"/>
          <w:spacing w:val="-2"/>
          <w:w w:val="105"/>
          <w:sz w:val="17"/>
        </w:rPr>
        <w:t>Butler</w:t>
      </w:r>
    </w:p>
    <w:p>
      <w:pPr>
        <w:spacing w:before="135"/>
        <w:ind w:left="1922" w:right="0" w:firstLine="0"/>
        <w:jc w:val="left"/>
        <w:rPr>
          <w:rFonts w:ascii="Arial" w:hAnsi="Arial"/>
          <w:sz w:val="17"/>
        </w:rPr>
      </w:pPr>
      <w:r>
        <w:rPr>
          <w:rFonts w:ascii="Arial" w:hAnsi="Arial"/>
          <w:color w:val="878787"/>
          <w:spacing w:val="-2"/>
          <w:w w:val="105"/>
          <w:sz w:val="17"/>
        </w:rPr>
        <w:t></w:t>
      </w:r>
      <w:r>
        <w:rPr>
          <w:rFonts w:ascii="Arial" w:hAnsi="Arial"/>
          <w:color w:val="878787"/>
          <w:spacing w:val="47"/>
          <w:w w:val="105"/>
          <w:sz w:val="17"/>
        </w:rPr>
        <w:t> </w:t>
      </w:r>
      <w:r>
        <w:rPr>
          <w:rFonts w:ascii="Arial" w:hAnsi="Arial"/>
          <w:color w:val="333333"/>
          <w:spacing w:val="-2"/>
          <w:w w:val="105"/>
          <w:sz w:val="17"/>
        </w:rPr>
        <w:t>6.4</w:t>
      </w:r>
      <w:r>
        <w:rPr>
          <w:rFonts w:ascii="Arial" w:hAnsi="Arial"/>
          <w:color w:val="333333"/>
          <w:spacing w:val="-10"/>
          <w:w w:val="105"/>
          <w:sz w:val="17"/>
        </w:rPr>
        <w:t> </w:t>
      </w:r>
      <w:r>
        <w:rPr>
          <w:rFonts w:ascii="Arial" w:hAnsi="Arial"/>
          <w:color w:val="333333"/>
          <w:spacing w:val="-2"/>
          <w:w w:val="105"/>
          <w:sz w:val="17"/>
        </w:rPr>
        <w:t>Final</w:t>
      </w:r>
      <w:r>
        <w:rPr>
          <w:rFonts w:ascii="Arial" w:hAnsi="Arial"/>
          <w:color w:val="333333"/>
          <w:spacing w:val="-10"/>
          <w:w w:val="105"/>
          <w:sz w:val="17"/>
        </w:rPr>
        <w:t> </w:t>
      </w:r>
      <w:r>
        <w:rPr>
          <w:rFonts w:ascii="Arial" w:hAnsi="Arial"/>
          <w:color w:val="333333"/>
          <w:spacing w:val="-2"/>
          <w:w w:val="105"/>
          <w:sz w:val="17"/>
        </w:rPr>
        <w:t>Governance</w:t>
      </w:r>
      <w:r>
        <w:rPr>
          <w:rFonts w:ascii="Arial" w:hAnsi="Arial"/>
          <w:color w:val="333333"/>
          <w:spacing w:val="-11"/>
          <w:w w:val="105"/>
          <w:sz w:val="17"/>
        </w:rPr>
        <w:t> </w:t>
      </w:r>
      <w:r>
        <w:rPr>
          <w:rFonts w:ascii="Arial" w:hAnsi="Arial"/>
          <w:color w:val="333333"/>
          <w:spacing w:val="-2"/>
          <w:w w:val="105"/>
          <w:sz w:val="17"/>
        </w:rPr>
        <w:t>Matters</w:t>
      </w:r>
      <w:r>
        <w:rPr>
          <w:rFonts w:ascii="Arial" w:hAnsi="Arial"/>
          <w:color w:val="333333"/>
          <w:spacing w:val="-10"/>
          <w:w w:val="105"/>
          <w:sz w:val="17"/>
        </w:rPr>
        <w:t> </w:t>
      </w:r>
      <w:r>
        <w:rPr>
          <w:rFonts w:ascii="Arial" w:hAnsi="Arial"/>
          <w:color w:val="333333"/>
          <w:spacing w:val="-2"/>
          <w:w w:val="105"/>
          <w:sz w:val="17"/>
        </w:rPr>
        <w:t>January</w:t>
      </w:r>
      <w:r>
        <w:rPr>
          <w:rFonts w:ascii="Arial" w:hAnsi="Arial"/>
          <w:color w:val="333333"/>
          <w:spacing w:val="-11"/>
          <w:w w:val="105"/>
          <w:sz w:val="17"/>
        </w:rPr>
        <w:t> </w:t>
      </w:r>
      <w:r>
        <w:rPr>
          <w:rFonts w:ascii="Arial" w:hAnsi="Arial"/>
          <w:color w:val="333333"/>
          <w:spacing w:val="-2"/>
          <w:w w:val="105"/>
          <w:sz w:val="17"/>
        </w:rPr>
        <w:t>2023.pdf</w:t>
      </w:r>
      <w:r>
        <w:rPr>
          <w:rFonts w:ascii="Arial" w:hAnsi="Arial"/>
          <w:color w:val="333333"/>
          <w:spacing w:val="-8"/>
          <w:w w:val="105"/>
          <w:sz w:val="17"/>
        </w:rPr>
        <w:t> </w:t>
      </w:r>
      <w:r>
        <w:rPr>
          <w:rFonts w:ascii="Arial" w:hAnsi="Arial"/>
          <w:color w:val="333333"/>
          <w:spacing w:val="-2"/>
          <w:w w:val="105"/>
          <w:sz w:val="17"/>
        </w:rPr>
        <w:t>(12</w:t>
      </w:r>
      <w:r>
        <w:rPr>
          <w:rFonts w:ascii="Arial" w:hAnsi="Arial"/>
          <w:color w:val="333333"/>
          <w:spacing w:val="-9"/>
          <w:w w:val="105"/>
          <w:sz w:val="17"/>
        </w:rPr>
        <w:t> </w:t>
      </w:r>
      <w:r>
        <w:rPr>
          <w:rFonts w:ascii="Arial" w:hAnsi="Arial"/>
          <w:color w:val="333333"/>
          <w:spacing w:val="-2"/>
          <w:w w:val="105"/>
          <w:sz w:val="17"/>
        </w:rPr>
        <w:t>pages)</w:t>
      </w:r>
    </w:p>
    <w:p>
      <w:pPr>
        <w:pStyle w:val="BodyText"/>
        <w:spacing w:before="10"/>
        <w:rPr>
          <w:rFonts w:ascii="Arial"/>
          <w:sz w:val="26"/>
        </w:rPr>
      </w:pPr>
    </w:p>
    <w:p>
      <w:pPr>
        <w:pStyle w:val="ListParagraph"/>
        <w:numPr>
          <w:ilvl w:val="1"/>
          <w:numId w:val="1"/>
        </w:numPr>
        <w:tabs>
          <w:tab w:pos="2364" w:val="left" w:leader="none"/>
        </w:tabs>
        <w:spacing w:line="240" w:lineRule="auto" w:before="1" w:after="0"/>
        <w:ind w:left="2363" w:right="0" w:hanging="442"/>
        <w:jc w:val="left"/>
        <w:rPr>
          <w:rFonts w:ascii="Arial"/>
          <w:b/>
          <w:sz w:val="22"/>
        </w:rPr>
      </w:pPr>
      <w:bookmarkStart w:name=" 6.5. Tracking of Audit Recommendations" w:id="28"/>
      <w:bookmarkEnd w:id="28"/>
      <w:r>
        <w:rPr>
          <w:rFonts w:ascii="Arial"/>
          <w:b/>
          <w:color w:val="333333"/>
          <w:spacing w:val="-2"/>
          <w:sz w:val="22"/>
        </w:rPr>
        <w:t>Trackin</w:t>
      </w:r>
      <w:r>
        <w:rPr>
          <w:rFonts w:ascii="Arial"/>
          <w:b/>
          <w:color w:val="333333"/>
          <w:spacing w:val="-2"/>
          <w:sz w:val="22"/>
        </w:rPr>
        <w:t>g</w:t>
      </w:r>
      <w:r>
        <w:rPr>
          <w:rFonts w:ascii="Arial"/>
          <w:b/>
          <w:color w:val="333333"/>
          <w:spacing w:val="-8"/>
          <w:sz w:val="22"/>
        </w:rPr>
        <w:t> </w:t>
      </w:r>
      <w:r>
        <w:rPr>
          <w:rFonts w:ascii="Arial"/>
          <w:b/>
          <w:color w:val="333333"/>
          <w:spacing w:val="-2"/>
          <w:sz w:val="22"/>
        </w:rPr>
        <w:t>of</w:t>
      </w:r>
      <w:r>
        <w:rPr>
          <w:rFonts w:ascii="Arial"/>
          <w:b/>
          <w:color w:val="333333"/>
          <w:spacing w:val="-6"/>
          <w:sz w:val="22"/>
        </w:rPr>
        <w:t> </w:t>
      </w:r>
      <w:r>
        <w:rPr>
          <w:rFonts w:ascii="Arial"/>
          <w:b/>
          <w:color w:val="333333"/>
          <w:spacing w:val="-2"/>
          <w:sz w:val="22"/>
        </w:rPr>
        <w:t>Audit</w:t>
      </w:r>
      <w:r>
        <w:rPr>
          <w:rFonts w:ascii="Arial"/>
          <w:b/>
          <w:color w:val="333333"/>
          <w:spacing w:val="-4"/>
          <w:sz w:val="22"/>
        </w:rPr>
        <w:t> </w:t>
      </w:r>
      <w:r>
        <w:rPr>
          <w:rFonts w:ascii="Arial"/>
          <w:b/>
          <w:color w:val="333333"/>
          <w:spacing w:val="-2"/>
          <w:sz w:val="22"/>
        </w:rPr>
        <w:t>Recommendations</w:t>
      </w:r>
    </w:p>
    <w:p>
      <w:pPr>
        <w:pStyle w:val="BodyText"/>
        <w:spacing w:before="5"/>
        <w:rPr>
          <w:rFonts w:ascii="Arial"/>
          <w:b/>
          <w:sz w:val="20"/>
        </w:rPr>
      </w:pPr>
    </w:p>
    <w:p>
      <w:pPr>
        <w:spacing w:before="0"/>
        <w:ind w:left="2275" w:right="0" w:firstLine="0"/>
        <w:jc w:val="left"/>
        <w:rPr>
          <w:rFonts w:ascii="Arial"/>
          <w:i/>
          <w:sz w:val="17"/>
        </w:rPr>
      </w:pPr>
      <w:r>
        <w:rPr>
          <w:rFonts w:ascii="Arial"/>
          <w:i/>
          <w:color w:val="333333"/>
          <w:spacing w:val="-2"/>
          <w:w w:val="105"/>
          <w:sz w:val="17"/>
        </w:rPr>
        <w:t>Peter</w:t>
      </w:r>
      <w:r>
        <w:rPr>
          <w:rFonts w:ascii="Arial"/>
          <w:i/>
          <w:color w:val="333333"/>
          <w:spacing w:val="-4"/>
          <w:w w:val="105"/>
          <w:sz w:val="17"/>
        </w:rPr>
        <w:t> </w:t>
      </w:r>
      <w:r>
        <w:rPr>
          <w:rFonts w:ascii="Arial"/>
          <w:i/>
          <w:color w:val="333333"/>
          <w:spacing w:val="-2"/>
          <w:w w:val="105"/>
          <w:sz w:val="17"/>
        </w:rPr>
        <w:t>Stephenson</w:t>
      </w:r>
    </w:p>
    <w:p>
      <w:pPr>
        <w:spacing w:before="135"/>
        <w:ind w:left="1922" w:right="0" w:firstLine="0"/>
        <w:jc w:val="left"/>
        <w:rPr>
          <w:rFonts w:ascii="Arial" w:hAnsi="Arial"/>
          <w:sz w:val="17"/>
        </w:rPr>
      </w:pPr>
      <w:r>
        <w:rPr>
          <w:rFonts w:ascii="Arial" w:hAnsi="Arial"/>
          <w:color w:val="878787"/>
          <w:spacing w:val="-4"/>
          <w:w w:val="105"/>
          <w:sz w:val="17"/>
        </w:rPr>
        <w:t></w:t>
      </w:r>
      <w:r>
        <w:rPr>
          <w:rFonts w:ascii="Arial" w:hAnsi="Arial"/>
          <w:color w:val="878787"/>
          <w:spacing w:val="68"/>
          <w:w w:val="150"/>
          <w:sz w:val="17"/>
        </w:rPr>
        <w:t> </w:t>
      </w:r>
      <w:r>
        <w:rPr>
          <w:rFonts w:ascii="Arial" w:hAnsi="Arial"/>
          <w:color w:val="333333"/>
          <w:spacing w:val="-4"/>
          <w:w w:val="105"/>
          <w:sz w:val="17"/>
        </w:rPr>
        <w:t>6.5</w:t>
      </w:r>
      <w:r>
        <w:rPr>
          <w:rFonts w:ascii="Arial" w:hAnsi="Arial"/>
          <w:color w:val="333333"/>
          <w:spacing w:val="-5"/>
          <w:w w:val="105"/>
          <w:sz w:val="17"/>
        </w:rPr>
        <w:t> </w:t>
      </w:r>
      <w:r>
        <w:rPr>
          <w:rFonts w:ascii="Arial" w:hAnsi="Arial"/>
          <w:color w:val="333333"/>
          <w:spacing w:val="-4"/>
          <w:w w:val="105"/>
          <w:sz w:val="17"/>
        </w:rPr>
        <w:t>Tracking</w:t>
      </w:r>
      <w:r>
        <w:rPr>
          <w:rFonts w:ascii="Arial" w:hAnsi="Arial"/>
          <w:color w:val="333333"/>
          <w:spacing w:val="-5"/>
          <w:w w:val="105"/>
          <w:sz w:val="17"/>
        </w:rPr>
        <w:t> </w:t>
      </w:r>
      <w:r>
        <w:rPr>
          <w:rFonts w:ascii="Arial" w:hAnsi="Arial"/>
          <w:color w:val="333333"/>
          <w:spacing w:val="-4"/>
          <w:w w:val="105"/>
          <w:sz w:val="17"/>
        </w:rPr>
        <w:t>of</w:t>
      </w:r>
      <w:r>
        <w:rPr>
          <w:rFonts w:ascii="Arial" w:hAnsi="Arial"/>
          <w:color w:val="333333"/>
          <w:spacing w:val="-5"/>
          <w:w w:val="105"/>
          <w:sz w:val="17"/>
        </w:rPr>
        <w:t> </w:t>
      </w:r>
      <w:r>
        <w:rPr>
          <w:rFonts w:ascii="Arial" w:hAnsi="Arial"/>
          <w:color w:val="333333"/>
          <w:spacing w:val="-4"/>
          <w:w w:val="105"/>
          <w:sz w:val="17"/>
        </w:rPr>
        <w:t>Audit</w:t>
      </w:r>
      <w:r>
        <w:rPr>
          <w:rFonts w:ascii="Arial" w:hAnsi="Arial"/>
          <w:color w:val="333333"/>
          <w:spacing w:val="-5"/>
          <w:w w:val="105"/>
          <w:sz w:val="17"/>
        </w:rPr>
        <w:t> </w:t>
      </w:r>
      <w:r>
        <w:rPr>
          <w:rFonts w:ascii="Arial" w:hAnsi="Arial"/>
          <w:color w:val="333333"/>
          <w:spacing w:val="-4"/>
          <w:w w:val="105"/>
          <w:sz w:val="17"/>
        </w:rPr>
        <w:t>recommendations</w:t>
      </w:r>
      <w:r>
        <w:rPr>
          <w:rFonts w:ascii="Arial" w:hAnsi="Arial"/>
          <w:color w:val="333333"/>
          <w:spacing w:val="-1"/>
          <w:sz w:val="17"/>
        </w:rPr>
        <w:t> </w:t>
      </w:r>
      <w:r>
        <w:rPr>
          <w:rFonts w:ascii="Arial" w:hAnsi="Arial"/>
          <w:color w:val="333333"/>
          <w:spacing w:val="-4"/>
          <w:w w:val="105"/>
          <w:sz w:val="17"/>
        </w:rPr>
        <w:t>report</w:t>
      </w:r>
      <w:r>
        <w:rPr>
          <w:rFonts w:ascii="Arial" w:hAnsi="Arial"/>
          <w:color w:val="333333"/>
          <w:spacing w:val="-2"/>
          <w:sz w:val="17"/>
        </w:rPr>
        <w:t> </w:t>
      </w:r>
      <w:r>
        <w:rPr>
          <w:rFonts w:ascii="Arial" w:hAnsi="Arial"/>
          <w:color w:val="333333"/>
          <w:spacing w:val="-4"/>
          <w:w w:val="105"/>
          <w:sz w:val="17"/>
        </w:rPr>
        <w:t>January</w:t>
      </w:r>
      <w:r>
        <w:rPr>
          <w:rFonts w:ascii="Arial" w:hAnsi="Arial"/>
          <w:color w:val="333333"/>
          <w:spacing w:val="-1"/>
          <w:sz w:val="17"/>
        </w:rPr>
        <w:t> </w:t>
      </w:r>
      <w:r>
        <w:rPr>
          <w:rFonts w:ascii="Arial" w:hAnsi="Arial"/>
          <w:color w:val="333333"/>
          <w:spacing w:val="-4"/>
          <w:w w:val="105"/>
          <w:sz w:val="17"/>
        </w:rPr>
        <w:t>2023.pdf</w:t>
      </w:r>
      <w:r>
        <w:rPr>
          <w:rFonts w:ascii="Arial" w:hAnsi="Arial"/>
          <w:color w:val="333333"/>
          <w:w w:val="105"/>
          <w:sz w:val="17"/>
        </w:rPr>
        <w:t> </w:t>
      </w:r>
      <w:r>
        <w:rPr>
          <w:rFonts w:ascii="Arial" w:hAnsi="Arial"/>
          <w:color w:val="333333"/>
          <w:spacing w:val="-4"/>
          <w:w w:val="105"/>
          <w:sz w:val="17"/>
        </w:rPr>
        <w:t>(3</w:t>
      </w:r>
      <w:r>
        <w:rPr>
          <w:rFonts w:ascii="Arial" w:hAnsi="Arial"/>
          <w:color w:val="333333"/>
          <w:spacing w:val="-1"/>
          <w:w w:val="105"/>
          <w:sz w:val="17"/>
        </w:rPr>
        <w:t> </w:t>
      </w:r>
      <w:r>
        <w:rPr>
          <w:rFonts w:ascii="Arial" w:hAnsi="Arial"/>
          <w:color w:val="333333"/>
          <w:spacing w:val="-4"/>
          <w:w w:val="105"/>
          <w:sz w:val="17"/>
        </w:rPr>
        <w:t>pages)</w:t>
      </w:r>
    </w:p>
    <w:p>
      <w:pPr>
        <w:spacing w:before="48"/>
        <w:ind w:left="1922" w:right="0" w:firstLine="0"/>
        <w:jc w:val="left"/>
        <w:rPr>
          <w:rFonts w:ascii="Arial" w:hAnsi="Arial"/>
          <w:sz w:val="17"/>
        </w:rPr>
      </w:pPr>
      <w:r>
        <w:rPr>
          <w:rFonts w:ascii="Arial" w:hAnsi="Arial"/>
          <w:color w:val="878787"/>
          <w:spacing w:val="-2"/>
          <w:w w:val="105"/>
          <w:sz w:val="17"/>
        </w:rPr>
        <w:t></w:t>
      </w:r>
      <w:r>
        <w:rPr>
          <w:rFonts w:ascii="Arial" w:hAnsi="Arial"/>
          <w:color w:val="878787"/>
          <w:spacing w:val="70"/>
          <w:w w:val="105"/>
          <w:sz w:val="17"/>
        </w:rPr>
        <w:t> </w:t>
      </w:r>
      <w:r>
        <w:rPr>
          <w:rFonts w:ascii="Arial" w:hAnsi="Arial"/>
          <w:color w:val="333333"/>
          <w:spacing w:val="-2"/>
          <w:w w:val="105"/>
          <w:sz w:val="17"/>
        </w:rPr>
        <w:t>6.5</w:t>
      </w:r>
      <w:r>
        <w:rPr>
          <w:rFonts w:ascii="Arial" w:hAnsi="Arial"/>
          <w:color w:val="333333"/>
          <w:spacing w:val="-9"/>
          <w:w w:val="105"/>
          <w:sz w:val="17"/>
        </w:rPr>
        <w:t> </w:t>
      </w:r>
      <w:r>
        <w:rPr>
          <w:rFonts w:ascii="Arial" w:hAnsi="Arial"/>
          <w:color w:val="333333"/>
          <w:spacing w:val="-2"/>
          <w:w w:val="105"/>
          <w:sz w:val="17"/>
        </w:rPr>
        <w:t>11012023</w:t>
      </w:r>
      <w:r>
        <w:rPr>
          <w:rFonts w:ascii="Arial" w:hAnsi="Arial"/>
          <w:color w:val="333333"/>
          <w:spacing w:val="-7"/>
          <w:w w:val="105"/>
          <w:sz w:val="17"/>
        </w:rPr>
        <w:t> </w:t>
      </w:r>
      <w:r>
        <w:rPr>
          <w:rFonts w:ascii="Arial" w:hAnsi="Arial"/>
          <w:color w:val="333333"/>
          <w:spacing w:val="-2"/>
          <w:w w:val="105"/>
          <w:sz w:val="17"/>
        </w:rPr>
        <w:t>Appendix</w:t>
      </w:r>
      <w:r>
        <w:rPr>
          <w:rFonts w:ascii="Arial" w:hAnsi="Arial"/>
          <w:color w:val="333333"/>
          <w:spacing w:val="-10"/>
          <w:w w:val="105"/>
          <w:sz w:val="17"/>
        </w:rPr>
        <w:t> </w:t>
      </w:r>
      <w:r>
        <w:rPr>
          <w:rFonts w:ascii="Arial" w:hAnsi="Arial"/>
          <w:color w:val="333333"/>
          <w:spacing w:val="-2"/>
          <w:w w:val="105"/>
          <w:sz w:val="17"/>
        </w:rPr>
        <w:t>A</w:t>
      </w:r>
      <w:r>
        <w:rPr>
          <w:rFonts w:ascii="Arial" w:hAnsi="Arial"/>
          <w:color w:val="333333"/>
          <w:spacing w:val="-10"/>
          <w:w w:val="105"/>
          <w:sz w:val="17"/>
        </w:rPr>
        <w:t> </w:t>
      </w:r>
      <w:r>
        <w:rPr>
          <w:rFonts w:ascii="Arial" w:hAnsi="Arial"/>
          <w:color w:val="333333"/>
          <w:spacing w:val="-2"/>
          <w:w w:val="105"/>
          <w:sz w:val="17"/>
        </w:rPr>
        <w:t>progress</w:t>
      </w:r>
      <w:r>
        <w:rPr>
          <w:rFonts w:ascii="Arial" w:hAnsi="Arial"/>
          <w:color w:val="333333"/>
          <w:spacing w:val="-9"/>
          <w:w w:val="105"/>
          <w:sz w:val="17"/>
        </w:rPr>
        <w:t> </w:t>
      </w:r>
      <w:r>
        <w:rPr>
          <w:rFonts w:ascii="Arial" w:hAnsi="Arial"/>
          <w:color w:val="333333"/>
          <w:spacing w:val="-2"/>
          <w:w w:val="105"/>
          <w:sz w:val="17"/>
        </w:rPr>
        <w:t>of</w:t>
      </w:r>
      <w:r>
        <w:rPr>
          <w:rFonts w:ascii="Arial" w:hAnsi="Arial"/>
          <w:color w:val="333333"/>
          <w:spacing w:val="-10"/>
          <w:w w:val="105"/>
          <w:sz w:val="17"/>
        </w:rPr>
        <w:t> </w:t>
      </w:r>
      <w:r>
        <w:rPr>
          <w:rFonts w:ascii="Arial" w:hAnsi="Arial"/>
          <w:color w:val="333333"/>
          <w:spacing w:val="-2"/>
          <w:w w:val="105"/>
          <w:sz w:val="17"/>
        </w:rPr>
        <w:t>recommendations.pdf</w:t>
      </w:r>
      <w:r>
        <w:rPr>
          <w:rFonts w:ascii="Arial" w:hAnsi="Arial"/>
          <w:color w:val="333333"/>
          <w:spacing w:val="-5"/>
          <w:w w:val="105"/>
          <w:sz w:val="17"/>
        </w:rPr>
        <w:t> </w:t>
      </w:r>
      <w:r>
        <w:rPr>
          <w:rFonts w:ascii="Arial" w:hAnsi="Arial"/>
          <w:color w:val="333333"/>
          <w:spacing w:val="-2"/>
          <w:w w:val="105"/>
          <w:sz w:val="17"/>
        </w:rPr>
        <w:t>(6</w:t>
      </w:r>
      <w:r>
        <w:rPr>
          <w:rFonts w:ascii="Arial" w:hAnsi="Arial"/>
          <w:color w:val="333333"/>
          <w:spacing w:val="-8"/>
          <w:w w:val="105"/>
          <w:sz w:val="17"/>
        </w:rPr>
        <w:t> </w:t>
      </w:r>
      <w:r>
        <w:rPr>
          <w:rFonts w:ascii="Arial" w:hAnsi="Arial"/>
          <w:color w:val="333333"/>
          <w:spacing w:val="-2"/>
          <w:w w:val="105"/>
          <w:sz w:val="17"/>
        </w:rPr>
        <w:t>pages)</w:t>
      </w:r>
    </w:p>
    <w:p>
      <w:pPr>
        <w:pStyle w:val="BodyText"/>
        <w:rPr>
          <w:rFonts w:ascii="Arial"/>
          <w:sz w:val="20"/>
        </w:rPr>
      </w:pPr>
    </w:p>
    <w:p>
      <w:pPr>
        <w:pStyle w:val="BodyText"/>
        <w:spacing w:before="1"/>
        <w:rPr>
          <w:rFonts w:ascii="Arial"/>
          <w:sz w:val="14"/>
        </w:rPr>
      </w:pPr>
      <w:r>
        <w:rPr/>
        <w:pict>
          <v:rect style="position:absolute;margin-left:15pt;margin-top:9.322919pt;width:565.000183pt;height:.551758pt;mso-position-horizontal-relative:page;mso-position-vertical-relative:paragraph;z-index:-15725568;mso-wrap-distance-left:0;mso-wrap-distance-right:0" id="docshape7" filled="true" fillcolor="#ededed" stroked="false">
            <v:fill type="solid"/>
            <w10:wrap type="topAndBottom"/>
          </v:rect>
        </w:pict>
      </w:r>
    </w:p>
    <w:p>
      <w:pPr>
        <w:pStyle w:val="BodyText"/>
        <w:spacing w:before="7"/>
        <w:rPr>
          <w:rFonts w:ascii="Arial"/>
          <w:sz w:val="13"/>
        </w:rPr>
      </w:pPr>
    </w:p>
    <w:p>
      <w:pPr>
        <w:spacing w:after="0"/>
        <w:rPr>
          <w:rFonts w:ascii="Arial"/>
          <w:sz w:val="13"/>
        </w:rPr>
        <w:sectPr>
          <w:pgSz w:w="11900" w:h="16840"/>
          <w:pgMar w:top="220" w:bottom="280" w:left="0" w:right="0"/>
        </w:sectPr>
      </w:pPr>
    </w:p>
    <w:p>
      <w:pPr>
        <w:spacing w:before="125"/>
        <w:ind w:left="0" w:right="0" w:firstLine="0"/>
        <w:jc w:val="right"/>
        <w:rPr>
          <w:rFonts w:ascii="Arial"/>
          <w:b/>
          <w:sz w:val="17"/>
        </w:rPr>
      </w:pPr>
      <w:bookmarkStart w:name=" 7. Items for Information" w:id="29"/>
      <w:bookmarkEnd w:id="29"/>
      <w:r>
        <w:rPr/>
      </w:r>
      <w:r>
        <w:rPr>
          <w:rFonts w:ascii="Arial"/>
          <w:b/>
          <w:color w:val="333333"/>
          <w:sz w:val="17"/>
        </w:rPr>
        <w:t>15:45</w:t>
      </w:r>
      <w:r>
        <w:rPr>
          <w:rFonts w:ascii="Arial"/>
          <w:b/>
          <w:color w:val="333333"/>
          <w:spacing w:val="7"/>
          <w:sz w:val="17"/>
        </w:rPr>
        <w:t> </w:t>
      </w:r>
      <w:r>
        <w:rPr>
          <w:rFonts w:ascii="Arial"/>
          <w:color w:val="333333"/>
          <w:sz w:val="17"/>
        </w:rPr>
        <w:t>-</w:t>
      </w:r>
      <w:r>
        <w:rPr>
          <w:rFonts w:ascii="Arial"/>
          <w:color w:val="333333"/>
          <w:spacing w:val="4"/>
          <w:sz w:val="17"/>
        </w:rPr>
        <w:t> </w:t>
      </w:r>
      <w:r>
        <w:rPr>
          <w:rFonts w:ascii="Arial"/>
          <w:b/>
          <w:color w:val="333333"/>
          <w:spacing w:val="-2"/>
          <w:sz w:val="17"/>
        </w:rPr>
        <w:t>16:00</w:t>
      </w:r>
    </w:p>
    <w:p>
      <w:pPr>
        <w:spacing w:before="55"/>
        <w:ind w:left="0" w:right="0" w:firstLine="0"/>
        <w:jc w:val="right"/>
        <w:rPr>
          <w:rFonts w:ascii="Arial"/>
          <w:sz w:val="15"/>
        </w:rPr>
      </w:pPr>
      <w:r>
        <w:rPr>
          <w:rFonts w:ascii="Arial"/>
          <w:sz w:val="15"/>
        </w:rPr>
        <w:t>15</w:t>
      </w:r>
      <w:r>
        <w:rPr>
          <w:rFonts w:ascii="Arial"/>
          <w:spacing w:val="3"/>
          <w:sz w:val="15"/>
        </w:rPr>
        <w:t> </w:t>
      </w:r>
      <w:r>
        <w:rPr>
          <w:rFonts w:ascii="Arial"/>
          <w:spacing w:val="-5"/>
          <w:sz w:val="15"/>
        </w:rPr>
        <w:t>min</w:t>
      </w: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spacing w:before="7"/>
        <w:rPr>
          <w:rFonts w:ascii="Arial"/>
          <w:sz w:val="14"/>
        </w:rPr>
      </w:pPr>
    </w:p>
    <w:p>
      <w:pPr>
        <w:spacing w:before="0"/>
        <w:ind w:left="0" w:right="0" w:firstLine="0"/>
        <w:jc w:val="right"/>
        <w:rPr>
          <w:rFonts w:ascii="Arial"/>
          <w:b/>
          <w:sz w:val="17"/>
        </w:rPr>
      </w:pPr>
      <w:r>
        <w:rPr/>
        <w:pict>
          <v:rect style="position:absolute;margin-left:15pt;margin-top:-14.649179pt;width:565.000183pt;height:.551758pt;mso-position-horizontal-relative:page;mso-position-vertical-relative:paragraph;z-index:15732224" id="docshape8" filled="true" fillcolor="#ededed" stroked="false">
            <v:fill type="solid"/>
            <w10:wrap type="none"/>
          </v:rect>
        </w:pict>
      </w:r>
      <w:bookmarkStart w:name=" 7.1. IMTP Plan on a Page" w:id="30"/>
      <w:bookmarkEnd w:id="30"/>
      <w:r>
        <w:rPr/>
      </w:r>
      <w:bookmarkStart w:name=" 7.2. Welsh Language Annual Report 2021-" w:id="31"/>
      <w:bookmarkEnd w:id="31"/>
      <w:r>
        <w:rPr/>
      </w:r>
      <w:bookmarkStart w:name=" 7.3. Forward Plan" w:id="32"/>
      <w:bookmarkEnd w:id="32"/>
      <w:r>
        <w:rPr/>
      </w:r>
      <w:bookmarkStart w:name=" 8. Any Other Business (By Prior Approva" w:id="33"/>
      <w:bookmarkEnd w:id="33"/>
      <w:r>
        <w:rPr/>
      </w:r>
      <w:r>
        <w:rPr>
          <w:rFonts w:ascii="Arial"/>
          <w:b/>
          <w:color w:val="333333"/>
          <w:sz w:val="17"/>
        </w:rPr>
        <w:t>16:00</w:t>
      </w:r>
      <w:r>
        <w:rPr>
          <w:rFonts w:ascii="Arial"/>
          <w:b/>
          <w:color w:val="333333"/>
          <w:spacing w:val="7"/>
          <w:sz w:val="17"/>
        </w:rPr>
        <w:t> </w:t>
      </w:r>
      <w:r>
        <w:rPr>
          <w:rFonts w:ascii="Arial"/>
          <w:color w:val="333333"/>
          <w:sz w:val="17"/>
        </w:rPr>
        <w:t>-</w:t>
      </w:r>
      <w:r>
        <w:rPr>
          <w:rFonts w:ascii="Arial"/>
          <w:color w:val="333333"/>
          <w:spacing w:val="4"/>
          <w:sz w:val="17"/>
        </w:rPr>
        <w:t> </w:t>
      </w:r>
      <w:r>
        <w:rPr>
          <w:rFonts w:ascii="Arial"/>
          <w:b/>
          <w:color w:val="333333"/>
          <w:spacing w:val="-2"/>
          <w:sz w:val="17"/>
        </w:rPr>
        <w:t>16:00</w:t>
      </w:r>
    </w:p>
    <w:p>
      <w:pPr>
        <w:spacing w:before="55"/>
        <w:ind w:left="0" w:right="1" w:firstLine="0"/>
        <w:jc w:val="right"/>
        <w:rPr>
          <w:rFonts w:ascii="Arial"/>
          <w:sz w:val="15"/>
        </w:rPr>
      </w:pPr>
      <w:r>
        <w:rPr>
          <w:rFonts w:ascii="Arial"/>
          <w:sz w:val="15"/>
        </w:rPr>
        <w:t>0 </w:t>
      </w:r>
      <w:r>
        <w:rPr>
          <w:rFonts w:ascii="Arial"/>
          <w:spacing w:val="-5"/>
          <w:sz w:val="15"/>
        </w:rPr>
        <w:t>min</w:t>
      </w:r>
    </w:p>
    <w:p>
      <w:pPr>
        <w:pStyle w:val="BodyText"/>
        <w:rPr>
          <w:rFonts w:ascii="Arial"/>
          <w:sz w:val="16"/>
        </w:rPr>
      </w:pPr>
    </w:p>
    <w:p>
      <w:pPr>
        <w:pStyle w:val="BodyText"/>
        <w:rPr>
          <w:rFonts w:ascii="Arial"/>
          <w:sz w:val="16"/>
        </w:rPr>
      </w:pPr>
    </w:p>
    <w:p>
      <w:pPr>
        <w:pStyle w:val="BodyText"/>
        <w:spacing w:before="4"/>
        <w:rPr>
          <w:rFonts w:ascii="Arial"/>
          <w:sz w:val="22"/>
        </w:rPr>
      </w:pPr>
    </w:p>
    <w:p>
      <w:pPr>
        <w:spacing w:before="1"/>
        <w:ind w:left="0" w:right="0" w:firstLine="0"/>
        <w:jc w:val="right"/>
        <w:rPr>
          <w:rFonts w:ascii="Arial"/>
          <w:b/>
          <w:sz w:val="17"/>
        </w:rPr>
      </w:pPr>
      <w:r>
        <w:rPr/>
        <w:pict>
          <v:rect style="position:absolute;margin-left:15pt;margin-top:-14.599177pt;width:565.000183pt;height:.551758pt;mso-position-horizontal-relative:page;mso-position-vertical-relative:paragraph;z-index:15732736" id="docshape9" filled="true" fillcolor="#ededed" stroked="false">
            <v:fill type="solid"/>
            <w10:wrap type="none"/>
          </v:rect>
        </w:pict>
      </w:r>
      <w:bookmarkStart w:name=" 9. Time and Date of Next Meeting, Wedne" w:id="34"/>
      <w:bookmarkEnd w:id="34"/>
      <w:r>
        <w:rPr/>
      </w:r>
      <w:r>
        <w:rPr>
          <w:rFonts w:ascii="Arial"/>
          <w:b/>
          <w:color w:val="333333"/>
          <w:sz w:val="17"/>
        </w:rPr>
        <w:t>16:00</w:t>
      </w:r>
      <w:r>
        <w:rPr>
          <w:rFonts w:ascii="Arial"/>
          <w:b/>
          <w:color w:val="333333"/>
          <w:spacing w:val="7"/>
          <w:sz w:val="17"/>
        </w:rPr>
        <w:t> </w:t>
      </w:r>
      <w:r>
        <w:rPr>
          <w:rFonts w:ascii="Arial"/>
          <w:color w:val="333333"/>
          <w:sz w:val="17"/>
        </w:rPr>
        <w:t>-</w:t>
      </w:r>
      <w:r>
        <w:rPr>
          <w:rFonts w:ascii="Arial"/>
          <w:color w:val="333333"/>
          <w:spacing w:val="4"/>
          <w:sz w:val="17"/>
        </w:rPr>
        <w:t> </w:t>
      </w:r>
      <w:r>
        <w:rPr>
          <w:rFonts w:ascii="Arial"/>
          <w:b/>
          <w:color w:val="333333"/>
          <w:spacing w:val="-2"/>
          <w:sz w:val="17"/>
        </w:rPr>
        <w:t>16:00</w:t>
      </w:r>
    </w:p>
    <w:p>
      <w:pPr>
        <w:spacing w:before="55"/>
        <w:ind w:left="0" w:right="1" w:firstLine="0"/>
        <w:jc w:val="right"/>
        <w:rPr>
          <w:rFonts w:ascii="Arial"/>
          <w:sz w:val="15"/>
        </w:rPr>
      </w:pPr>
      <w:r>
        <w:rPr>
          <w:rFonts w:ascii="Arial"/>
          <w:sz w:val="15"/>
        </w:rPr>
        <w:t>0 </w:t>
      </w:r>
      <w:r>
        <w:rPr>
          <w:rFonts w:ascii="Arial"/>
          <w:spacing w:val="-5"/>
          <w:sz w:val="15"/>
        </w:rPr>
        <w:t>min</w:t>
      </w:r>
    </w:p>
    <w:p>
      <w:pPr>
        <w:pStyle w:val="ListParagraph"/>
        <w:numPr>
          <w:ilvl w:val="0"/>
          <w:numId w:val="1"/>
        </w:numPr>
        <w:tabs>
          <w:tab w:pos="432" w:val="left" w:leader="none"/>
        </w:tabs>
        <w:spacing w:line="240" w:lineRule="auto" w:before="96" w:after="0"/>
        <w:ind w:left="431" w:right="0" w:hanging="299"/>
        <w:jc w:val="left"/>
        <w:rPr>
          <w:rFonts w:ascii="Arial"/>
          <w:b/>
          <w:sz w:val="26"/>
        </w:rPr>
      </w:pPr>
      <w:r>
        <w:rPr/>
        <w:br w:type="column"/>
      </w:r>
      <w:r>
        <w:rPr>
          <w:rFonts w:ascii="Arial"/>
          <w:b/>
          <w:color w:val="333333"/>
          <w:sz w:val="26"/>
        </w:rPr>
        <w:t>Items</w:t>
      </w:r>
      <w:r>
        <w:rPr>
          <w:rFonts w:ascii="Arial"/>
          <w:b/>
          <w:color w:val="333333"/>
          <w:spacing w:val="7"/>
          <w:sz w:val="26"/>
        </w:rPr>
        <w:t> </w:t>
      </w:r>
      <w:r>
        <w:rPr>
          <w:rFonts w:ascii="Arial"/>
          <w:b/>
          <w:color w:val="333333"/>
          <w:sz w:val="26"/>
        </w:rPr>
        <w:t>for</w:t>
      </w:r>
      <w:r>
        <w:rPr>
          <w:rFonts w:ascii="Arial"/>
          <w:b/>
          <w:color w:val="333333"/>
          <w:spacing w:val="7"/>
          <w:sz w:val="26"/>
        </w:rPr>
        <w:t> </w:t>
      </w:r>
      <w:r>
        <w:rPr>
          <w:rFonts w:ascii="Arial"/>
          <w:b/>
          <w:color w:val="333333"/>
          <w:spacing w:val="-2"/>
          <w:sz w:val="26"/>
        </w:rPr>
        <w:t>Information</w:t>
      </w:r>
    </w:p>
    <w:p>
      <w:pPr>
        <w:pStyle w:val="BodyText"/>
        <w:spacing w:before="10"/>
        <w:rPr>
          <w:rFonts w:ascii="Arial"/>
          <w:b/>
          <w:sz w:val="32"/>
        </w:rPr>
      </w:pPr>
    </w:p>
    <w:p>
      <w:pPr>
        <w:pStyle w:val="ListParagraph"/>
        <w:numPr>
          <w:ilvl w:val="1"/>
          <w:numId w:val="1"/>
        </w:numPr>
        <w:tabs>
          <w:tab w:pos="575" w:val="left" w:leader="none"/>
        </w:tabs>
        <w:spacing w:line="240" w:lineRule="auto" w:before="1" w:after="0"/>
        <w:ind w:left="575" w:right="0" w:hanging="442"/>
        <w:jc w:val="left"/>
        <w:rPr>
          <w:rFonts w:ascii="Arial"/>
          <w:b/>
          <w:sz w:val="22"/>
        </w:rPr>
      </w:pPr>
      <w:r>
        <w:rPr>
          <w:rFonts w:ascii="Arial"/>
          <w:b/>
          <w:color w:val="333333"/>
          <w:sz w:val="22"/>
        </w:rPr>
        <w:t>IMTP</w:t>
      </w:r>
      <w:r>
        <w:rPr>
          <w:rFonts w:ascii="Arial"/>
          <w:b/>
          <w:color w:val="333333"/>
          <w:spacing w:val="-3"/>
          <w:sz w:val="22"/>
        </w:rPr>
        <w:t> </w:t>
      </w:r>
      <w:r>
        <w:rPr>
          <w:rFonts w:ascii="Arial"/>
          <w:b/>
          <w:color w:val="333333"/>
          <w:sz w:val="22"/>
        </w:rPr>
        <w:t>Plan</w:t>
      </w:r>
      <w:r>
        <w:rPr>
          <w:rFonts w:ascii="Arial"/>
          <w:b/>
          <w:color w:val="333333"/>
          <w:spacing w:val="-3"/>
          <w:sz w:val="22"/>
        </w:rPr>
        <w:t> </w:t>
      </w:r>
      <w:r>
        <w:rPr>
          <w:rFonts w:ascii="Arial"/>
          <w:b/>
          <w:color w:val="333333"/>
          <w:sz w:val="22"/>
        </w:rPr>
        <w:t>on</w:t>
      </w:r>
      <w:r>
        <w:rPr>
          <w:rFonts w:ascii="Arial"/>
          <w:b/>
          <w:color w:val="333333"/>
          <w:spacing w:val="-3"/>
          <w:sz w:val="22"/>
        </w:rPr>
        <w:t> </w:t>
      </w:r>
      <w:r>
        <w:rPr>
          <w:rFonts w:ascii="Arial"/>
          <w:b/>
          <w:color w:val="333333"/>
          <w:sz w:val="22"/>
        </w:rPr>
        <w:t>a</w:t>
      </w:r>
      <w:r>
        <w:rPr>
          <w:rFonts w:ascii="Arial"/>
          <w:b/>
          <w:color w:val="333333"/>
          <w:spacing w:val="-2"/>
          <w:sz w:val="22"/>
        </w:rPr>
        <w:t> </w:t>
      </w:r>
      <w:r>
        <w:rPr>
          <w:rFonts w:ascii="Arial"/>
          <w:b/>
          <w:color w:val="333333"/>
          <w:spacing w:val="-4"/>
          <w:sz w:val="22"/>
        </w:rPr>
        <w:t>Page</w:t>
      </w:r>
    </w:p>
    <w:p>
      <w:pPr>
        <w:pStyle w:val="BodyText"/>
        <w:spacing w:before="5"/>
        <w:rPr>
          <w:rFonts w:ascii="Arial"/>
          <w:b/>
          <w:sz w:val="20"/>
        </w:rPr>
      </w:pPr>
    </w:p>
    <w:p>
      <w:pPr>
        <w:spacing w:before="0"/>
        <w:ind w:left="133" w:right="0" w:firstLine="0"/>
        <w:jc w:val="left"/>
        <w:rPr>
          <w:rFonts w:ascii="Arial" w:hAnsi="Arial"/>
          <w:sz w:val="17"/>
        </w:rPr>
      </w:pPr>
      <w:r>
        <w:rPr>
          <w:rFonts w:ascii="Arial" w:hAnsi="Arial"/>
          <w:color w:val="878787"/>
          <w:w w:val="105"/>
          <w:sz w:val="17"/>
        </w:rPr>
        <w:t></w:t>
      </w:r>
      <w:r>
        <w:rPr>
          <w:rFonts w:ascii="Arial" w:hAnsi="Arial"/>
          <w:color w:val="878787"/>
          <w:spacing w:val="44"/>
          <w:w w:val="105"/>
          <w:sz w:val="17"/>
        </w:rPr>
        <w:t> </w:t>
      </w:r>
      <w:r>
        <w:rPr>
          <w:rFonts w:ascii="Arial" w:hAnsi="Arial"/>
          <w:color w:val="333333"/>
          <w:w w:val="105"/>
          <w:sz w:val="17"/>
        </w:rPr>
        <w:t>7.1</w:t>
      </w:r>
      <w:r>
        <w:rPr>
          <w:rFonts w:ascii="Arial" w:hAnsi="Arial"/>
          <w:color w:val="333333"/>
          <w:spacing w:val="-12"/>
          <w:w w:val="105"/>
          <w:sz w:val="17"/>
        </w:rPr>
        <w:t> </w:t>
      </w:r>
      <w:r>
        <w:rPr>
          <w:rFonts w:ascii="Arial" w:hAnsi="Arial"/>
          <w:color w:val="333333"/>
          <w:w w:val="105"/>
          <w:sz w:val="17"/>
        </w:rPr>
        <w:t>NWSSP</w:t>
      </w:r>
      <w:r>
        <w:rPr>
          <w:rFonts w:ascii="Arial" w:hAnsi="Arial"/>
          <w:color w:val="333333"/>
          <w:spacing w:val="-13"/>
          <w:w w:val="105"/>
          <w:sz w:val="17"/>
        </w:rPr>
        <w:t> </w:t>
      </w:r>
      <w:r>
        <w:rPr>
          <w:rFonts w:ascii="Arial" w:hAnsi="Arial"/>
          <w:color w:val="333333"/>
          <w:w w:val="105"/>
          <w:sz w:val="17"/>
        </w:rPr>
        <w:t>Year</w:t>
      </w:r>
      <w:r>
        <w:rPr>
          <w:rFonts w:ascii="Arial" w:hAnsi="Arial"/>
          <w:color w:val="333333"/>
          <w:spacing w:val="-12"/>
          <w:w w:val="105"/>
          <w:sz w:val="17"/>
        </w:rPr>
        <w:t> </w:t>
      </w:r>
      <w:r>
        <w:rPr>
          <w:rFonts w:ascii="Arial" w:hAnsi="Arial"/>
          <w:color w:val="333333"/>
          <w:w w:val="105"/>
          <w:sz w:val="17"/>
        </w:rPr>
        <w:t>1</w:t>
      </w:r>
      <w:r>
        <w:rPr>
          <w:rFonts w:ascii="Arial" w:hAnsi="Arial"/>
          <w:color w:val="333333"/>
          <w:spacing w:val="-13"/>
          <w:w w:val="105"/>
          <w:sz w:val="17"/>
        </w:rPr>
        <w:t> </w:t>
      </w:r>
      <w:r>
        <w:rPr>
          <w:rFonts w:ascii="Arial" w:hAnsi="Arial"/>
          <w:color w:val="333333"/>
          <w:w w:val="105"/>
          <w:sz w:val="17"/>
        </w:rPr>
        <w:t>plan</w:t>
      </w:r>
      <w:r>
        <w:rPr>
          <w:rFonts w:ascii="Arial" w:hAnsi="Arial"/>
          <w:color w:val="333333"/>
          <w:spacing w:val="-12"/>
          <w:w w:val="105"/>
          <w:sz w:val="17"/>
        </w:rPr>
        <w:t> </w:t>
      </w:r>
      <w:r>
        <w:rPr>
          <w:rFonts w:ascii="Arial" w:hAnsi="Arial"/>
          <w:color w:val="333333"/>
          <w:w w:val="105"/>
          <w:sz w:val="17"/>
        </w:rPr>
        <w:t>on</w:t>
      </w:r>
      <w:r>
        <w:rPr>
          <w:rFonts w:ascii="Arial" w:hAnsi="Arial"/>
          <w:color w:val="333333"/>
          <w:spacing w:val="-12"/>
          <w:w w:val="105"/>
          <w:sz w:val="17"/>
        </w:rPr>
        <w:t> </w:t>
      </w:r>
      <w:r>
        <w:rPr>
          <w:rFonts w:ascii="Arial" w:hAnsi="Arial"/>
          <w:color w:val="333333"/>
          <w:w w:val="105"/>
          <w:sz w:val="17"/>
        </w:rPr>
        <w:t>a</w:t>
      </w:r>
      <w:r>
        <w:rPr>
          <w:rFonts w:ascii="Arial" w:hAnsi="Arial"/>
          <w:color w:val="333333"/>
          <w:spacing w:val="-13"/>
          <w:w w:val="105"/>
          <w:sz w:val="17"/>
        </w:rPr>
        <w:t> </w:t>
      </w:r>
      <w:r>
        <w:rPr>
          <w:rFonts w:ascii="Arial" w:hAnsi="Arial"/>
          <w:color w:val="333333"/>
          <w:w w:val="105"/>
          <w:sz w:val="17"/>
        </w:rPr>
        <w:t>page</w:t>
      </w:r>
      <w:r>
        <w:rPr>
          <w:rFonts w:ascii="Arial" w:hAnsi="Arial"/>
          <w:color w:val="333333"/>
          <w:spacing w:val="-12"/>
          <w:w w:val="105"/>
          <w:sz w:val="17"/>
        </w:rPr>
        <w:t> </w:t>
      </w:r>
      <w:r>
        <w:rPr>
          <w:rFonts w:ascii="Arial" w:hAnsi="Arial"/>
          <w:color w:val="333333"/>
          <w:w w:val="105"/>
          <w:sz w:val="17"/>
        </w:rPr>
        <w:t>.pdf</w:t>
      </w:r>
      <w:r>
        <w:rPr>
          <w:rFonts w:ascii="Arial" w:hAnsi="Arial"/>
          <w:color w:val="333333"/>
          <w:spacing w:val="-11"/>
          <w:w w:val="105"/>
          <w:sz w:val="17"/>
        </w:rPr>
        <w:t> </w:t>
      </w:r>
      <w:r>
        <w:rPr>
          <w:rFonts w:ascii="Arial" w:hAnsi="Arial"/>
          <w:color w:val="333333"/>
          <w:w w:val="105"/>
          <w:sz w:val="17"/>
        </w:rPr>
        <w:t>(1</w:t>
      </w:r>
      <w:r>
        <w:rPr>
          <w:rFonts w:ascii="Arial" w:hAnsi="Arial"/>
          <w:color w:val="333333"/>
          <w:spacing w:val="-10"/>
          <w:w w:val="105"/>
          <w:sz w:val="17"/>
        </w:rPr>
        <w:t> </w:t>
      </w:r>
      <w:r>
        <w:rPr>
          <w:rFonts w:ascii="Arial" w:hAnsi="Arial"/>
          <w:color w:val="333333"/>
          <w:spacing w:val="-2"/>
          <w:w w:val="105"/>
          <w:sz w:val="17"/>
        </w:rPr>
        <w:t>pages)</w:t>
      </w:r>
    </w:p>
    <w:p>
      <w:pPr>
        <w:pStyle w:val="BodyText"/>
        <w:spacing w:before="10"/>
        <w:rPr>
          <w:rFonts w:ascii="Arial"/>
          <w:sz w:val="26"/>
        </w:rPr>
      </w:pPr>
    </w:p>
    <w:p>
      <w:pPr>
        <w:pStyle w:val="ListParagraph"/>
        <w:numPr>
          <w:ilvl w:val="1"/>
          <w:numId w:val="1"/>
        </w:numPr>
        <w:tabs>
          <w:tab w:pos="575" w:val="left" w:leader="none"/>
        </w:tabs>
        <w:spacing w:line="240" w:lineRule="auto" w:before="0" w:after="0"/>
        <w:ind w:left="575" w:right="0" w:hanging="442"/>
        <w:jc w:val="left"/>
        <w:rPr>
          <w:rFonts w:ascii="Arial"/>
          <w:b/>
          <w:sz w:val="22"/>
        </w:rPr>
      </w:pPr>
      <w:r>
        <w:rPr>
          <w:rFonts w:ascii="Arial"/>
          <w:b/>
          <w:color w:val="333333"/>
          <w:spacing w:val="-2"/>
          <w:sz w:val="22"/>
        </w:rPr>
        <w:t>Welsh</w:t>
      </w:r>
      <w:r>
        <w:rPr>
          <w:rFonts w:ascii="Arial"/>
          <w:b/>
          <w:color w:val="333333"/>
          <w:spacing w:val="-1"/>
          <w:sz w:val="22"/>
        </w:rPr>
        <w:t> </w:t>
      </w:r>
      <w:r>
        <w:rPr>
          <w:rFonts w:ascii="Arial"/>
          <w:b/>
          <w:color w:val="333333"/>
          <w:spacing w:val="-2"/>
          <w:sz w:val="22"/>
        </w:rPr>
        <w:t>Language</w:t>
      </w:r>
      <w:r>
        <w:rPr>
          <w:rFonts w:ascii="Arial"/>
          <w:b/>
          <w:color w:val="333333"/>
          <w:spacing w:val="-1"/>
          <w:sz w:val="22"/>
        </w:rPr>
        <w:t> </w:t>
      </w:r>
      <w:r>
        <w:rPr>
          <w:rFonts w:ascii="Arial"/>
          <w:b/>
          <w:color w:val="333333"/>
          <w:spacing w:val="-2"/>
          <w:sz w:val="22"/>
        </w:rPr>
        <w:t>Annual</w:t>
      </w:r>
      <w:r>
        <w:rPr>
          <w:rFonts w:ascii="Arial"/>
          <w:b/>
          <w:color w:val="333333"/>
          <w:spacing w:val="-1"/>
          <w:sz w:val="22"/>
        </w:rPr>
        <w:t> </w:t>
      </w:r>
      <w:r>
        <w:rPr>
          <w:rFonts w:ascii="Arial"/>
          <w:b/>
          <w:color w:val="333333"/>
          <w:spacing w:val="-2"/>
          <w:sz w:val="22"/>
        </w:rPr>
        <w:t>Report</w:t>
      </w:r>
      <w:r>
        <w:rPr>
          <w:rFonts w:ascii="Arial"/>
          <w:b/>
          <w:color w:val="333333"/>
          <w:spacing w:val="-1"/>
          <w:sz w:val="22"/>
        </w:rPr>
        <w:t> </w:t>
      </w:r>
      <w:r>
        <w:rPr>
          <w:rFonts w:ascii="Arial"/>
          <w:b/>
          <w:color w:val="333333"/>
          <w:spacing w:val="-2"/>
          <w:sz w:val="22"/>
        </w:rPr>
        <w:t>2021-</w:t>
      </w:r>
      <w:r>
        <w:rPr>
          <w:rFonts w:ascii="Arial"/>
          <w:b/>
          <w:color w:val="333333"/>
          <w:spacing w:val="-5"/>
          <w:sz w:val="22"/>
        </w:rPr>
        <w:t>22</w:t>
      </w:r>
    </w:p>
    <w:p>
      <w:pPr>
        <w:pStyle w:val="BodyText"/>
        <w:spacing w:before="5"/>
        <w:rPr>
          <w:rFonts w:ascii="Arial"/>
          <w:b/>
          <w:sz w:val="20"/>
        </w:rPr>
      </w:pPr>
    </w:p>
    <w:p>
      <w:pPr>
        <w:spacing w:before="1"/>
        <w:ind w:left="133" w:right="0" w:firstLine="0"/>
        <w:jc w:val="left"/>
        <w:rPr>
          <w:rFonts w:ascii="Arial" w:hAnsi="Arial"/>
          <w:sz w:val="17"/>
        </w:rPr>
      </w:pPr>
      <w:r>
        <w:rPr>
          <w:rFonts w:ascii="Arial" w:hAnsi="Arial"/>
          <w:color w:val="878787"/>
          <w:spacing w:val="-4"/>
          <w:w w:val="105"/>
          <w:sz w:val="17"/>
        </w:rPr>
        <w:t></w:t>
      </w:r>
      <w:r>
        <w:rPr>
          <w:rFonts w:ascii="Arial" w:hAnsi="Arial"/>
          <w:color w:val="878787"/>
          <w:spacing w:val="65"/>
          <w:w w:val="150"/>
          <w:sz w:val="17"/>
        </w:rPr>
        <w:t> </w:t>
      </w:r>
      <w:r>
        <w:rPr>
          <w:rFonts w:ascii="Arial" w:hAnsi="Arial"/>
          <w:color w:val="333333"/>
          <w:spacing w:val="-4"/>
          <w:w w:val="105"/>
          <w:sz w:val="17"/>
        </w:rPr>
        <w:t>7.2</w:t>
      </w:r>
      <w:r>
        <w:rPr>
          <w:rFonts w:ascii="Arial" w:hAnsi="Arial"/>
          <w:color w:val="333333"/>
          <w:spacing w:val="-5"/>
          <w:w w:val="105"/>
          <w:sz w:val="17"/>
        </w:rPr>
        <w:t> </w:t>
      </w:r>
      <w:r>
        <w:rPr>
          <w:rFonts w:ascii="Arial" w:hAnsi="Arial"/>
          <w:color w:val="333333"/>
          <w:spacing w:val="-4"/>
          <w:w w:val="105"/>
          <w:sz w:val="17"/>
        </w:rPr>
        <w:t>.FINAL</w:t>
      </w:r>
      <w:r>
        <w:rPr>
          <w:rFonts w:ascii="Arial" w:hAnsi="Arial"/>
          <w:color w:val="333333"/>
          <w:spacing w:val="-5"/>
          <w:w w:val="105"/>
          <w:sz w:val="17"/>
        </w:rPr>
        <w:t> </w:t>
      </w:r>
      <w:r>
        <w:rPr>
          <w:rFonts w:ascii="Arial" w:hAnsi="Arial"/>
          <w:color w:val="333333"/>
          <w:spacing w:val="-4"/>
          <w:w w:val="105"/>
          <w:sz w:val="17"/>
        </w:rPr>
        <w:t>Welsh</w:t>
      </w:r>
      <w:r>
        <w:rPr>
          <w:rFonts w:ascii="Arial" w:hAnsi="Arial"/>
          <w:color w:val="333333"/>
          <w:spacing w:val="-5"/>
          <w:w w:val="105"/>
          <w:sz w:val="17"/>
        </w:rPr>
        <w:t> </w:t>
      </w:r>
      <w:r>
        <w:rPr>
          <w:rFonts w:ascii="Arial" w:hAnsi="Arial"/>
          <w:color w:val="333333"/>
          <w:spacing w:val="-4"/>
          <w:w w:val="105"/>
          <w:sz w:val="17"/>
        </w:rPr>
        <w:t>Language</w:t>
      </w:r>
      <w:r>
        <w:rPr>
          <w:rFonts w:ascii="Arial" w:hAnsi="Arial"/>
          <w:color w:val="333333"/>
          <w:spacing w:val="-2"/>
          <w:sz w:val="17"/>
        </w:rPr>
        <w:t> </w:t>
      </w:r>
      <w:r>
        <w:rPr>
          <w:rFonts w:ascii="Arial" w:hAnsi="Arial"/>
          <w:color w:val="333333"/>
          <w:spacing w:val="-4"/>
          <w:w w:val="105"/>
          <w:sz w:val="17"/>
        </w:rPr>
        <w:t>Performance</w:t>
      </w:r>
      <w:r>
        <w:rPr>
          <w:rFonts w:ascii="Arial" w:hAnsi="Arial"/>
          <w:color w:val="333333"/>
          <w:spacing w:val="-5"/>
          <w:w w:val="105"/>
          <w:sz w:val="17"/>
        </w:rPr>
        <w:t> </w:t>
      </w:r>
      <w:r>
        <w:rPr>
          <w:rFonts w:ascii="Arial" w:hAnsi="Arial"/>
          <w:color w:val="333333"/>
          <w:spacing w:val="-4"/>
          <w:w w:val="105"/>
          <w:sz w:val="17"/>
        </w:rPr>
        <w:t>Report</w:t>
      </w:r>
      <w:r>
        <w:rPr>
          <w:rFonts w:ascii="Arial" w:hAnsi="Arial"/>
          <w:color w:val="333333"/>
          <w:spacing w:val="-2"/>
          <w:sz w:val="17"/>
        </w:rPr>
        <w:t> </w:t>
      </w:r>
      <w:r>
        <w:rPr>
          <w:rFonts w:ascii="Arial" w:hAnsi="Arial"/>
          <w:color w:val="333333"/>
          <w:spacing w:val="-4"/>
          <w:w w:val="105"/>
          <w:sz w:val="17"/>
        </w:rPr>
        <w:t>2021.202.pdf</w:t>
      </w:r>
      <w:r>
        <w:rPr>
          <w:rFonts w:ascii="Arial" w:hAnsi="Arial"/>
          <w:color w:val="333333"/>
          <w:spacing w:val="5"/>
          <w:w w:val="105"/>
          <w:sz w:val="17"/>
        </w:rPr>
        <w:t> </w:t>
      </w:r>
      <w:r>
        <w:rPr>
          <w:rFonts w:ascii="Arial" w:hAnsi="Arial"/>
          <w:color w:val="333333"/>
          <w:spacing w:val="-4"/>
          <w:w w:val="105"/>
          <w:sz w:val="17"/>
        </w:rPr>
        <w:t>(15</w:t>
      </w:r>
      <w:r>
        <w:rPr>
          <w:rFonts w:ascii="Arial" w:hAnsi="Arial"/>
          <w:color w:val="333333"/>
          <w:spacing w:val="-1"/>
          <w:w w:val="105"/>
          <w:sz w:val="17"/>
        </w:rPr>
        <w:t> </w:t>
      </w:r>
      <w:r>
        <w:rPr>
          <w:rFonts w:ascii="Arial" w:hAnsi="Arial"/>
          <w:color w:val="333333"/>
          <w:spacing w:val="-4"/>
          <w:w w:val="105"/>
          <w:sz w:val="17"/>
        </w:rPr>
        <w:t>pages)</w:t>
      </w:r>
    </w:p>
    <w:p>
      <w:pPr>
        <w:spacing w:before="47"/>
        <w:ind w:left="133" w:right="0" w:firstLine="0"/>
        <w:jc w:val="left"/>
        <w:rPr>
          <w:rFonts w:ascii="Arial" w:hAnsi="Arial"/>
          <w:sz w:val="17"/>
        </w:rPr>
      </w:pPr>
      <w:r>
        <w:rPr>
          <w:rFonts w:ascii="Arial" w:hAnsi="Arial"/>
          <w:color w:val="878787"/>
          <w:spacing w:val="-2"/>
          <w:w w:val="105"/>
          <w:sz w:val="17"/>
        </w:rPr>
        <w:t></w:t>
      </w:r>
      <w:r>
        <w:rPr>
          <w:rFonts w:ascii="Arial" w:hAnsi="Arial"/>
          <w:color w:val="878787"/>
          <w:spacing w:val="41"/>
          <w:w w:val="105"/>
          <w:sz w:val="17"/>
        </w:rPr>
        <w:t> </w:t>
      </w:r>
      <w:r>
        <w:rPr>
          <w:rFonts w:ascii="Arial" w:hAnsi="Arial"/>
          <w:color w:val="333333"/>
          <w:spacing w:val="-2"/>
          <w:w w:val="105"/>
          <w:sz w:val="17"/>
        </w:rPr>
        <w:t>7.2</w:t>
      </w:r>
      <w:r>
        <w:rPr>
          <w:rFonts w:ascii="Arial" w:hAnsi="Arial"/>
          <w:color w:val="333333"/>
          <w:spacing w:val="-10"/>
          <w:w w:val="105"/>
          <w:sz w:val="17"/>
        </w:rPr>
        <w:t> </w:t>
      </w:r>
      <w:r>
        <w:rPr>
          <w:rFonts w:ascii="Arial" w:hAnsi="Arial"/>
          <w:color w:val="333333"/>
          <w:spacing w:val="-2"/>
          <w:w w:val="105"/>
          <w:sz w:val="17"/>
        </w:rPr>
        <w:t>FINAL</w:t>
      </w:r>
      <w:r>
        <w:rPr>
          <w:rFonts w:ascii="Arial" w:hAnsi="Arial"/>
          <w:color w:val="333333"/>
          <w:spacing w:val="-11"/>
          <w:w w:val="105"/>
          <w:sz w:val="17"/>
        </w:rPr>
        <w:t> </w:t>
      </w:r>
      <w:r>
        <w:rPr>
          <w:rFonts w:ascii="Arial" w:hAnsi="Arial"/>
          <w:color w:val="333333"/>
          <w:spacing w:val="-2"/>
          <w:w w:val="105"/>
          <w:sz w:val="17"/>
        </w:rPr>
        <w:t>Welsh</w:t>
      </w:r>
      <w:r>
        <w:rPr>
          <w:rFonts w:ascii="Arial" w:hAnsi="Arial"/>
          <w:color w:val="333333"/>
          <w:spacing w:val="-10"/>
          <w:w w:val="105"/>
          <w:sz w:val="17"/>
        </w:rPr>
        <w:t> </w:t>
      </w:r>
      <w:r>
        <w:rPr>
          <w:rFonts w:ascii="Arial" w:hAnsi="Arial"/>
          <w:color w:val="333333"/>
          <w:spacing w:val="-2"/>
          <w:w w:val="105"/>
          <w:sz w:val="17"/>
        </w:rPr>
        <w:t>Language</w:t>
      </w:r>
      <w:r>
        <w:rPr>
          <w:rFonts w:ascii="Arial" w:hAnsi="Arial"/>
          <w:color w:val="333333"/>
          <w:spacing w:val="-10"/>
          <w:w w:val="105"/>
          <w:sz w:val="17"/>
        </w:rPr>
        <w:t> </w:t>
      </w:r>
      <w:r>
        <w:rPr>
          <w:rFonts w:ascii="Arial" w:hAnsi="Arial"/>
          <w:color w:val="333333"/>
          <w:spacing w:val="-2"/>
          <w:w w:val="105"/>
          <w:sz w:val="17"/>
        </w:rPr>
        <w:t>Performance</w:t>
      </w:r>
      <w:r>
        <w:rPr>
          <w:rFonts w:ascii="Arial" w:hAnsi="Arial"/>
          <w:color w:val="333333"/>
          <w:spacing w:val="-11"/>
          <w:w w:val="105"/>
          <w:sz w:val="17"/>
        </w:rPr>
        <w:t> </w:t>
      </w:r>
      <w:r>
        <w:rPr>
          <w:rFonts w:ascii="Arial" w:hAnsi="Arial"/>
          <w:color w:val="333333"/>
          <w:spacing w:val="-2"/>
          <w:w w:val="105"/>
          <w:sz w:val="17"/>
        </w:rPr>
        <w:t>Report</w:t>
      </w:r>
      <w:r>
        <w:rPr>
          <w:rFonts w:ascii="Arial" w:hAnsi="Arial"/>
          <w:color w:val="333333"/>
          <w:spacing w:val="-7"/>
          <w:w w:val="105"/>
          <w:sz w:val="17"/>
        </w:rPr>
        <w:t> </w:t>
      </w:r>
      <w:r>
        <w:rPr>
          <w:rFonts w:ascii="Arial" w:hAnsi="Arial"/>
          <w:color w:val="333333"/>
          <w:spacing w:val="-2"/>
          <w:w w:val="105"/>
          <w:sz w:val="17"/>
        </w:rPr>
        <w:t>2021.2022</w:t>
      </w:r>
      <w:r>
        <w:rPr>
          <w:rFonts w:ascii="Arial" w:hAnsi="Arial"/>
          <w:color w:val="333333"/>
          <w:spacing w:val="-10"/>
          <w:w w:val="105"/>
          <w:sz w:val="17"/>
        </w:rPr>
        <w:t> </w:t>
      </w:r>
      <w:r>
        <w:rPr>
          <w:rFonts w:ascii="Arial" w:hAnsi="Arial"/>
          <w:color w:val="333333"/>
          <w:spacing w:val="-2"/>
          <w:w w:val="105"/>
          <w:sz w:val="17"/>
        </w:rPr>
        <w:t>Cymru.pdf</w:t>
      </w:r>
      <w:r>
        <w:rPr>
          <w:rFonts w:ascii="Arial" w:hAnsi="Arial"/>
          <w:color w:val="333333"/>
          <w:spacing w:val="-11"/>
          <w:w w:val="105"/>
          <w:sz w:val="17"/>
        </w:rPr>
        <w:t> </w:t>
      </w:r>
      <w:r>
        <w:rPr>
          <w:rFonts w:ascii="Arial" w:hAnsi="Arial"/>
          <w:color w:val="333333"/>
          <w:spacing w:val="-2"/>
          <w:w w:val="105"/>
          <w:sz w:val="17"/>
        </w:rPr>
        <w:t>(15</w:t>
      </w:r>
      <w:r>
        <w:rPr>
          <w:rFonts w:ascii="Arial" w:hAnsi="Arial"/>
          <w:color w:val="333333"/>
          <w:spacing w:val="-10"/>
          <w:w w:val="105"/>
          <w:sz w:val="17"/>
        </w:rPr>
        <w:t> </w:t>
      </w:r>
      <w:r>
        <w:rPr>
          <w:rFonts w:ascii="Arial" w:hAnsi="Arial"/>
          <w:color w:val="333333"/>
          <w:spacing w:val="-2"/>
          <w:w w:val="105"/>
          <w:sz w:val="17"/>
        </w:rPr>
        <w:t>pages)</w:t>
      </w:r>
    </w:p>
    <w:p>
      <w:pPr>
        <w:pStyle w:val="BodyText"/>
        <w:spacing w:before="10"/>
        <w:rPr>
          <w:rFonts w:ascii="Arial"/>
          <w:sz w:val="26"/>
        </w:rPr>
      </w:pPr>
    </w:p>
    <w:p>
      <w:pPr>
        <w:pStyle w:val="ListParagraph"/>
        <w:numPr>
          <w:ilvl w:val="1"/>
          <w:numId w:val="1"/>
        </w:numPr>
        <w:tabs>
          <w:tab w:pos="575" w:val="left" w:leader="none"/>
        </w:tabs>
        <w:spacing w:line="240" w:lineRule="auto" w:before="0" w:after="0"/>
        <w:ind w:left="575" w:right="0" w:hanging="442"/>
        <w:jc w:val="left"/>
        <w:rPr>
          <w:rFonts w:ascii="Arial"/>
          <w:b/>
          <w:sz w:val="22"/>
        </w:rPr>
      </w:pPr>
      <w:r>
        <w:rPr>
          <w:rFonts w:ascii="Arial"/>
          <w:b/>
          <w:color w:val="333333"/>
          <w:spacing w:val="-2"/>
          <w:sz w:val="22"/>
        </w:rPr>
        <w:t>Forward </w:t>
      </w:r>
      <w:r>
        <w:rPr>
          <w:rFonts w:ascii="Arial"/>
          <w:b/>
          <w:color w:val="333333"/>
          <w:spacing w:val="-4"/>
          <w:sz w:val="22"/>
        </w:rPr>
        <w:t>Plan</w:t>
      </w:r>
    </w:p>
    <w:p>
      <w:pPr>
        <w:pStyle w:val="BodyText"/>
        <w:spacing w:before="5"/>
        <w:rPr>
          <w:rFonts w:ascii="Arial"/>
          <w:b/>
          <w:sz w:val="20"/>
        </w:rPr>
      </w:pPr>
    </w:p>
    <w:p>
      <w:pPr>
        <w:spacing w:before="1"/>
        <w:ind w:left="133" w:right="0" w:firstLine="0"/>
        <w:jc w:val="left"/>
        <w:rPr>
          <w:rFonts w:ascii="Arial" w:hAnsi="Arial"/>
          <w:sz w:val="17"/>
        </w:rPr>
      </w:pPr>
      <w:r>
        <w:rPr>
          <w:rFonts w:ascii="Arial" w:hAnsi="Arial"/>
          <w:color w:val="878787"/>
          <w:w w:val="105"/>
          <w:sz w:val="17"/>
        </w:rPr>
        <w:t></w:t>
      </w:r>
      <w:r>
        <w:rPr>
          <w:rFonts w:ascii="Arial" w:hAnsi="Arial"/>
          <w:color w:val="878787"/>
          <w:spacing w:val="38"/>
          <w:w w:val="105"/>
          <w:sz w:val="17"/>
        </w:rPr>
        <w:t> </w:t>
      </w:r>
      <w:r>
        <w:rPr>
          <w:rFonts w:ascii="Arial" w:hAnsi="Arial"/>
          <w:color w:val="333333"/>
          <w:w w:val="105"/>
          <w:sz w:val="17"/>
        </w:rPr>
        <w:t>7.3</w:t>
      </w:r>
      <w:r>
        <w:rPr>
          <w:rFonts w:ascii="Arial" w:hAnsi="Arial"/>
          <w:color w:val="333333"/>
          <w:spacing w:val="-12"/>
          <w:w w:val="105"/>
          <w:sz w:val="17"/>
        </w:rPr>
        <w:t> </w:t>
      </w:r>
      <w:r>
        <w:rPr>
          <w:rFonts w:ascii="Arial" w:hAnsi="Arial"/>
          <w:color w:val="333333"/>
          <w:w w:val="105"/>
          <w:sz w:val="17"/>
        </w:rPr>
        <w:t>Audit</w:t>
      </w:r>
      <w:r>
        <w:rPr>
          <w:rFonts w:ascii="Arial" w:hAnsi="Arial"/>
          <w:color w:val="333333"/>
          <w:spacing w:val="-13"/>
          <w:w w:val="105"/>
          <w:sz w:val="17"/>
        </w:rPr>
        <w:t> </w:t>
      </w:r>
      <w:r>
        <w:rPr>
          <w:rFonts w:ascii="Arial" w:hAnsi="Arial"/>
          <w:color w:val="333333"/>
          <w:w w:val="105"/>
          <w:sz w:val="17"/>
        </w:rPr>
        <w:t>Committee</w:t>
      </w:r>
      <w:r>
        <w:rPr>
          <w:rFonts w:ascii="Arial" w:hAnsi="Arial"/>
          <w:color w:val="333333"/>
          <w:spacing w:val="-12"/>
          <w:w w:val="105"/>
          <w:sz w:val="17"/>
        </w:rPr>
        <w:t> </w:t>
      </w:r>
      <w:r>
        <w:rPr>
          <w:rFonts w:ascii="Arial" w:hAnsi="Arial"/>
          <w:color w:val="333333"/>
          <w:w w:val="105"/>
          <w:sz w:val="17"/>
        </w:rPr>
        <w:t>Forward</w:t>
      </w:r>
      <w:r>
        <w:rPr>
          <w:rFonts w:ascii="Arial" w:hAnsi="Arial"/>
          <w:color w:val="333333"/>
          <w:spacing w:val="-12"/>
          <w:w w:val="105"/>
          <w:sz w:val="17"/>
        </w:rPr>
        <w:t> </w:t>
      </w:r>
      <w:r>
        <w:rPr>
          <w:rFonts w:ascii="Arial" w:hAnsi="Arial"/>
          <w:color w:val="333333"/>
          <w:w w:val="105"/>
          <w:sz w:val="17"/>
        </w:rPr>
        <w:t>Plan.pdf</w:t>
      </w:r>
      <w:r>
        <w:rPr>
          <w:rFonts w:ascii="Arial" w:hAnsi="Arial"/>
          <w:color w:val="333333"/>
          <w:spacing w:val="-10"/>
          <w:w w:val="105"/>
          <w:sz w:val="17"/>
        </w:rPr>
        <w:t> </w:t>
      </w:r>
      <w:r>
        <w:rPr>
          <w:rFonts w:ascii="Arial" w:hAnsi="Arial"/>
          <w:color w:val="333333"/>
          <w:w w:val="105"/>
          <w:sz w:val="17"/>
        </w:rPr>
        <w:t>(3</w:t>
      </w:r>
      <w:r>
        <w:rPr>
          <w:rFonts w:ascii="Arial" w:hAnsi="Arial"/>
          <w:color w:val="333333"/>
          <w:spacing w:val="-13"/>
          <w:w w:val="105"/>
          <w:sz w:val="17"/>
        </w:rPr>
        <w:t> </w:t>
      </w:r>
      <w:r>
        <w:rPr>
          <w:rFonts w:ascii="Arial" w:hAnsi="Arial"/>
          <w:color w:val="333333"/>
          <w:spacing w:val="-2"/>
          <w:w w:val="105"/>
          <w:sz w:val="17"/>
        </w:rPr>
        <w:t>pages)</w:t>
      </w:r>
    </w:p>
    <w:p>
      <w:pPr>
        <w:pStyle w:val="BodyText"/>
        <w:rPr>
          <w:rFonts w:ascii="Arial"/>
          <w:sz w:val="20"/>
        </w:rPr>
      </w:pPr>
    </w:p>
    <w:p>
      <w:pPr>
        <w:pStyle w:val="BodyText"/>
        <w:rPr>
          <w:rFonts w:ascii="Arial"/>
          <w:sz w:val="20"/>
        </w:rPr>
      </w:pPr>
    </w:p>
    <w:p>
      <w:pPr>
        <w:pStyle w:val="BodyText"/>
        <w:spacing w:before="1"/>
        <w:rPr>
          <w:rFonts w:ascii="Arial"/>
          <w:sz w:val="19"/>
        </w:rPr>
      </w:pPr>
    </w:p>
    <w:p>
      <w:pPr>
        <w:pStyle w:val="ListParagraph"/>
        <w:numPr>
          <w:ilvl w:val="0"/>
          <w:numId w:val="1"/>
        </w:numPr>
        <w:tabs>
          <w:tab w:pos="432" w:val="left" w:leader="none"/>
        </w:tabs>
        <w:spacing w:line="240" w:lineRule="auto" w:before="0" w:after="0"/>
        <w:ind w:left="431" w:right="0" w:hanging="299"/>
        <w:jc w:val="left"/>
        <w:rPr>
          <w:rFonts w:ascii="Arial"/>
          <w:b/>
          <w:sz w:val="26"/>
        </w:rPr>
      </w:pPr>
      <w:r>
        <w:rPr>
          <w:rFonts w:ascii="Arial"/>
          <w:b/>
          <w:color w:val="333333"/>
          <w:sz w:val="26"/>
        </w:rPr>
        <w:t>Any</w:t>
      </w:r>
      <w:r>
        <w:rPr>
          <w:rFonts w:ascii="Arial"/>
          <w:b/>
          <w:color w:val="333333"/>
          <w:spacing w:val="3"/>
          <w:sz w:val="26"/>
        </w:rPr>
        <w:t> </w:t>
      </w:r>
      <w:r>
        <w:rPr>
          <w:rFonts w:ascii="Arial"/>
          <w:b/>
          <w:color w:val="333333"/>
          <w:sz w:val="26"/>
        </w:rPr>
        <w:t>Other</w:t>
      </w:r>
      <w:r>
        <w:rPr>
          <w:rFonts w:ascii="Arial"/>
          <w:b/>
          <w:color w:val="333333"/>
          <w:spacing w:val="3"/>
          <w:sz w:val="26"/>
        </w:rPr>
        <w:t> </w:t>
      </w:r>
      <w:r>
        <w:rPr>
          <w:rFonts w:ascii="Arial"/>
          <w:b/>
          <w:color w:val="333333"/>
          <w:sz w:val="26"/>
        </w:rPr>
        <w:t>Business</w:t>
      </w:r>
      <w:r>
        <w:rPr>
          <w:rFonts w:ascii="Arial"/>
          <w:b/>
          <w:color w:val="333333"/>
          <w:spacing w:val="3"/>
          <w:sz w:val="26"/>
        </w:rPr>
        <w:t> </w:t>
      </w:r>
      <w:r>
        <w:rPr>
          <w:rFonts w:ascii="Arial"/>
          <w:b/>
          <w:color w:val="333333"/>
          <w:sz w:val="26"/>
        </w:rPr>
        <w:t>(By</w:t>
      </w:r>
      <w:r>
        <w:rPr>
          <w:rFonts w:ascii="Arial"/>
          <w:b/>
          <w:color w:val="333333"/>
          <w:spacing w:val="3"/>
          <w:sz w:val="26"/>
        </w:rPr>
        <w:t> </w:t>
      </w:r>
      <w:r>
        <w:rPr>
          <w:rFonts w:ascii="Arial"/>
          <w:b/>
          <w:color w:val="333333"/>
          <w:sz w:val="26"/>
        </w:rPr>
        <w:t>Prior</w:t>
      </w:r>
      <w:r>
        <w:rPr>
          <w:rFonts w:ascii="Arial"/>
          <w:b/>
          <w:color w:val="333333"/>
          <w:spacing w:val="3"/>
          <w:sz w:val="26"/>
        </w:rPr>
        <w:t> </w:t>
      </w:r>
      <w:r>
        <w:rPr>
          <w:rFonts w:ascii="Arial"/>
          <w:b/>
          <w:color w:val="333333"/>
          <w:sz w:val="26"/>
        </w:rPr>
        <w:t>Approval</w:t>
      </w:r>
      <w:r>
        <w:rPr>
          <w:rFonts w:ascii="Arial"/>
          <w:b/>
          <w:color w:val="333333"/>
          <w:spacing w:val="3"/>
          <w:sz w:val="26"/>
        </w:rPr>
        <w:t> </w:t>
      </w:r>
      <w:r>
        <w:rPr>
          <w:rFonts w:ascii="Arial"/>
          <w:b/>
          <w:color w:val="333333"/>
          <w:spacing w:val="-2"/>
          <w:sz w:val="26"/>
        </w:rPr>
        <w:t>Only)</w:t>
      </w:r>
    </w:p>
    <w:p>
      <w:pPr>
        <w:pStyle w:val="BodyText"/>
        <w:rPr>
          <w:rFonts w:ascii="Arial"/>
          <w:b/>
          <w:sz w:val="30"/>
        </w:rPr>
      </w:pPr>
    </w:p>
    <w:p>
      <w:pPr>
        <w:pStyle w:val="BodyText"/>
        <w:spacing w:before="2"/>
        <w:rPr>
          <w:rFonts w:ascii="Arial"/>
          <w:b/>
          <w:sz w:val="35"/>
        </w:rPr>
      </w:pPr>
    </w:p>
    <w:p>
      <w:pPr>
        <w:pStyle w:val="ListParagraph"/>
        <w:numPr>
          <w:ilvl w:val="0"/>
          <w:numId w:val="1"/>
        </w:numPr>
        <w:tabs>
          <w:tab w:pos="432" w:val="left" w:leader="none"/>
        </w:tabs>
        <w:spacing w:line="240" w:lineRule="auto" w:before="0" w:after="0"/>
        <w:ind w:left="431" w:right="0" w:hanging="299"/>
        <w:jc w:val="left"/>
        <w:rPr>
          <w:rFonts w:ascii="Arial"/>
          <w:b/>
          <w:sz w:val="26"/>
        </w:rPr>
      </w:pPr>
      <w:r>
        <w:rPr>
          <w:rFonts w:ascii="Arial"/>
          <w:b/>
          <w:color w:val="333333"/>
          <w:sz w:val="26"/>
        </w:rPr>
        <w:t>Time</w:t>
      </w:r>
      <w:r>
        <w:rPr>
          <w:rFonts w:ascii="Arial"/>
          <w:b/>
          <w:color w:val="333333"/>
          <w:spacing w:val="2"/>
          <w:sz w:val="26"/>
        </w:rPr>
        <w:t> </w:t>
      </w:r>
      <w:r>
        <w:rPr>
          <w:rFonts w:ascii="Arial"/>
          <w:b/>
          <w:color w:val="333333"/>
          <w:sz w:val="26"/>
        </w:rPr>
        <w:t>and</w:t>
      </w:r>
      <w:r>
        <w:rPr>
          <w:rFonts w:ascii="Arial"/>
          <w:b/>
          <w:color w:val="333333"/>
          <w:spacing w:val="3"/>
          <w:sz w:val="26"/>
        </w:rPr>
        <w:t> </w:t>
      </w:r>
      <w:r>
        <w:rPr>
          <w:rFonts w:ascii="Arial"/>
          <w:b/>
          <w:color w:val="333333"/>
          <w:sz w:val="26"/>
        </w:rPr>
        <w:t>Date</w:t>
      </w:r>
      <w:r>
        <w:rPr>
          <w:rFonts w:ascii="Arial"/>
          <w:b/>
          <w:color w:val="333333"/>
          <w:spacing w:val="3"/>
          <w:sz w:val="26"/>
        </w:rPr>
        <w:t> </w:t>
      </w:r>
      <w:r>
        <w:rPr>
          <w:rFonts w:ascii="Arial"/>
          <w:b/>
          <w:color w:val="333333"/>
          <w:sz w:val="26"/>
        </w:rPr>
        <w:t>of</w:t>
      </w:r>
      <w:r>
        <w:rPr>
          <w:rFonts w:ascii="Arial"/>
          <w:b/>
          <w:color w:val="333333"/>
          <w:spacing w:val="4"/>
          <w:sz w:val="26"/>
        </w:rPr>
        <w:t> </w:t>
      </w:r>
      <w:r>
        <w:rPr>
          <w:rFonts w:ascii="Arial"/>
          <w:b/>
          <w:color w:val="333333"/>
          <w:sz w:val="26"/>
        </w:rPr>
        <w:t>Next</w:t>
      </w:r>
      <w:r>
        <w:rPr>
          <w:rFonts w:ascii="Arial"/>
          <w:b/>
          <w:color w:val="333333"/>
          <w:spacing w:val="3"/>
          <w:sz w:val="26"/>
        </w:rPr>
        <w:t> </w:t>
      </w:r>
      <w:r>
        <w:rPr>
          <w:rFonts w:ascii="Arial"/>
          <w:b/>
          <w:color w:val="333333"/>
          <w:sz w:val="26"/>
        </w:rPr>
        <w:t>Meeting,</w:t>
      </w:r>
      <w:r>
        <w:rPr>
          <w:rFonts w:ascii="Arial"/>
          <w:b/>
          <w:color w:val="333333"/>
          <w:spacing w:val="3"/>
          <w:sz w:val="26"/>
        </w:rPr>
        <w:t> </w:t>
      </w:r>
      <w:r>
        <w:rPr>
          <w:rFonts w:ascii="Arial"/>
          <w:b/>
          <w:color w:val="333333"/>
          <w:sz w:val="26"/>
        </w:rPr>
        <w:t>Wednesday</w:t>
      </w:r>
      <w:r>
        <w:rPr>
          <w:rFonts w:ascii="Arial"/>
          <w:b/>
          <w:color w:val="333333"/>
          <w:spacing w:val="3"/>
          <w:sz w:val="26"/>
        </w:rPr>
        <w:t> </w:t>
      </w:r>
      <w:r>
        <w:rPr>
          <w:rFonts w:ascii="Arial"/>
          <w:b/>
          <w:color w:val="333333"/>
          <w:sz w:val="26"/>
        </w:rPr>
        <w:t>19</w:t>
      </w:r>
      <w:r>
        <w:rPr>
          <w:rFonts w:ascii="Arial"/>
          <w:b/>
          <w:color w:val="333333"/>
          <w:spacing w:val="3"/>
          <w:sz w:val="26"/>
        </w:rPr>
        <w:t> </w:t>
      </w:r>
      <w:r>
        <w:rPr>
          <w:rFonts w:ascii="Arial"/>
          <w:b/>
          <w:color w:val="333333"/>
          <w:sz w:val="26"/>
        </w:rPr>
        <w:t>April</w:t>
      </w:r>
      <w:r>
        <w:rPr>
          <w:rFonts w:ascii="Arial"/>
          <w:b/>
          <w:color w:val="333333"/>
          <w:spacing w:val="3"/>
          <w:sz w:val="26"/>
        </w:rPr>
        <w:t> </w:t>
      </w:r>
      <w:r>
        <w:rPr>
          <w:rFonts w:ascii="Arial"/>
          <w:b/>
          <w:color w:val="333333"/>
          <w:spacing w:val="-4"/>
          <w:sz w:val="26"/>
        </w:rPr>
        <w:t>2023</w:t>
      </w:r>
    </w:p>
    <w:p>
      <w:pPr>
        <w:spacing w:after="0" w:line="240" w:lineRule="auto"/>
        <w:jc w:val="left"/>
        <w:rPr>
          <w:rFonts w:ascii="Arial"/>
          <w:sz w:val="26"/>
        </w:rPr>
        <w:sectPr>
          <w:type w:val="continuous"/>
          <w:pgSz w:w="11900" w:h="16840"/>
          <w:pgMar w:top="740" w:bottom="280" w:left="0" w:right="0"/>
          <w:cols w:num="2" w:equalWidth="0">
            <w:col w:w="1749" w:space="40"/>
            <w:col w:w="10111"/>
          </w:cols>
        </w:sectPr>
      </w:pPr>
    </w:p>
    <w:p>
      <w:pPr>
        <w:tabs>
          <w:tab w:pos="7297" w:val="left" w:leader="none"/>
        </w:tabs>
        <w:spacing w:line="240" w:lineRule="auto"/>
        <w:ind w:left="405" w:right="0" w:firstLine="0"/>
        <w:rPr>
          <w:rFonts w:ascii="Arial"/>
          <w:sz w:val="20"/>
        </w:rPr>
      </w:pPr>
      <w:r>
        <w:rPr>
          <w:rFonts w:ascii="Arial"/>
          <w:position w:val="5"/>
          <w:sz w:val="20"/>
        </w:rPr>
        <w:drawing>
          <wp:inline distT="0" distB="0" distL="0" distR="0">
            <wp:extent cx="2402963" cy="649604"/>
            <wp:effectExtent l="0" t="0" r="0" b="0"/>
            <wp:docPr id="1" name="image1.jpeg"/>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2402963" cy="649604"/>
                    </a:xfrm>
                    <a:prstGeom prst="rect">
                      <a:avLst/>
                    </a:prstGeom>
                  </pic:spPr>
                </pic:pic>
              </a:graphicData>
            </a:graphic>
          </wp:inline>
        </w:drawing>
      </w:r>
      <w:r>
        <w:rPr>
          <w:rFonts w:ascii="Arial"/>
          <w:position w:val="5"/>
          <w:sz w:val="20"/>
        </w:rPr>
      </w:r>
      <w:r>
        <w:rPr>
          <w:rFonts w:ascii="Arial"/>
          <w:position w:val="5"/>
          <w:sz w:val="20"/>
        </w:rPr>
        <w:tab/>
      </w:r>
      <w:r>
        <w:rPr>
          <w:rFonts w:ascii="Arial"/>
          <w:sz w:val="20"/>
        </w:rPr>
        <w:drawing>
          <wp:inline distT="0" distB="0" distL="0" distR="0">
            <wp:extent cx="2538063" cy="681037"/>
            <wp:effectExtent l="0" t="0" r="0" b="0"/>
            <wp:docPr id="3" name="image2.jpeg">
              <a:hlinkClick r:id="rId8"/>
            </wp:docP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2538063" cy="681037"/>
                    </a:xfrm>
                    <a:prstGeom prst="rect">
                      <a:avLst/>
                    </a:prstGeom>
                  </pic:spPr>
                </pic:pic>
              </a:graphicData>
            </a:graphic>
          </wp:inline>
        </w:drawing>
      </w:r>
      <w:r>
        <w:rPr>
          <w:rFonts w:ascii="Arial"/>
          <w:sz w:val="20"/>
        </w:rPr>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2"/>
        <w:rPr>
          <w:rFonts w:ascii="Arial"/>
          <w:b/>
          <w:sz w:val="18"/>
        </w:rPr>
      </w:pPr>
    </w:p>
    <w:p>
      <w:pPr>
        <w:spacing w:before="93"/>
        <w:ind w:left="3782" w:right="3913" w:firstLine="54"/>
        <w:jc w:val="center"/>
        <w:rPr>
          <w:rFonts w:ascii="Arial" w:hAnsi="Arial"/>
          <w:b/>
          <w:sz w:val="20"/>
        </w:rPr>
      </w:pPr>
      <w:r>
        <w:rPr/>
        <w:pict>
          <v:group style="position:absolute;margin-left:.0pt;margin-top:-90.106178pt;width:595pt;height:79.2pt;mso-position-horizontal-relative:page;mso-position-vertical-relative:paragraph;z-index:15733248" id="docshapegroup12" coordorigin="0,-1802" coordsize="11900,1584">
            <v:shape style="position:absolute;left:0;top:-1653;width:11900;height:1435" id="docshape13" coordorigin="0,-1653" coordsize="11900,1435" path="m0,-218l0,-416,501,-625,2669,-1206,6465,-1653,10435,-1573,6488,-1573,2668,-1070,484,-436,0,-218xm11900,-1492l6488,-1573,10435,-1573,11900,-1543,11900,-1492xe" filled="true" fillcolor="#cda96c" stroked="false">
              <v:path arrowok="t"/>
              <v:fill type="solid"/>
            </v:shape>
            <v:shape style="position:absolute;left:0;top:-1803;width:11900;height:1387" id="docshape14" coordorigin="0,-1802" coordsize="11900,1387" path="m0,-416l0,-1061,41,-1071,331,-1138,693,-1216,1088,-1293,1515,-1369,1976,-1442,2470,-1511,2999,-1575,3562,-1633,4238,-1690,4959,-1738,5725,-1773,6537,-1795,7396,-1802,8303,-1793,9366,-1762,10490,-1708,11327,-1653,6465,-1653,2669,-1206,501,-625,0,-416xm11900,-1543l6465,-1653,11327,-1653,11900,-1609,11900,-1543xe" filled="true" fillcolor="#203760" stroked="false">
              <v:path arrowok="t"/>
              <v:fill type="solid"/>
            </v:shape>
            <v:shape style="position:absolute;left:0;top:-1803;width:11900;height:1584" type="#_x0000_t202" id="docshape15" filled="false" stroked="false">
              <v:textbox inset="0,0,0,0">
                <w:txbxContent>
                  <w:p>
                    <w:pPr>
                      <w:spacing w:before="975"/>
                      <w:ind w:left="4424" w:right="1264" w:hanging="2761"/>
                      <w:jc w:val="left"/>
                      <w:rPr>
                        <w:rFonts w:ascii="Arial"/>
                        <w:b/>
                        <w:sz w:val="20"/>
                      </w:rPr>
                    </w:pPr>
                    <w:r>
                      <w:rPr>
                        <w:rFonts w:ascii="Arial"/>
                        <w:b/>
                        <w:sz w:val="20"/>
                      </w:rPr>
                      <w:t>VELINDRE</w:t>
                    </w:r>
                    <w:r>
                      <w:rPr>
                        <w:rFonts w:ascii="Arial"/>
                        <w:b/>
                        <w:spacing w:val="-4"/>
                        <w:sz w:val="20"/>
                      </w:rPr>
                      <w:t> </w:t>
                    </w:r>
                    <w:r>
                      <w:rPr>
                        <w:rFonts w:ascii="Arial"/>
                        <w:b/>
                        <w:sz w:val="20"/>
                      </w:rPr>
                      <w:t>UNIVERSITY</w:t>
                    </w:r>
                    <w:r>
                      <w:rPr>
                        <w:rFonts w:ascii="Arial"/>
                        <w:b/>
                        <w:spacing w:val="-5"/>
                        <w:sz w:val="20"/>
                      </w:rPr>
                      <w:t> </w:t>
                    </w:r>
                    <w:r>
                      <w:rPr>
                        <w:rFonts w:ascii="Arial"/>
                        <w:b/>
                        <w:sz w:val="20"/>
                      </w:rPr>
                      <w:t>NHS</w:t>
                    </w:r>
                    <w:r>
                      <w:rPr>
                        <w:rFonts w:ascii="Arial"/>
                        <w:b/>
                        <w:spacing w:val="-5"/>
                        <w:sz w:val="20"/>
                      </w:rPr>
                      <w:t> </w:t>
                    </w:r>
                    <w:r>
                      <w:rPr>
                        <w:rFonts w:ascii="Arial"/>
                        <w:b/>
                        <w:sz w:val="20"/>
                      </w:rPr>
                      <w:t>TRUST</w:t>
                    </w:r>
                    <w:r>
                      <w:rPr>
                        <w:rFonts w:ascii="Arial"/>
                        <w:b/>
                        <w:spacing w:val="-4"/>
                        <w:sz w:val="20"/>
                      </w:rPr>
                      <w:t> </w:t>
                    </w:r>
                    <w:r>
                      <w:rPr>
                        <w:rFonts w:ascii="Arial"/>
                        <w:b/>
                        <w:sz w:val="20"/>
                      </w:rPr>
                      <w:t>AUDIT</w:t>
                    </w:r>
                    <w:r>
                      <w:rPr>
                        <w:rFonts w:ascii="Arial"/>
                        <w:b/>
                        <w:spacing w:val="-5"/>
                        <w:sz w:val="20"/>
                      </w:rPr>
                      <w:t> </w:t>
                    </w:r>
                    <w:r>
                      <w:rPr>
                        <w:rFonts w:ascii="Arial"/>
                        <w:b/>
                        <w:sz w:val="20"/>
                      </w:rPr>
                      <w:t>COMMITTEE</w:t>
                    </w:r>
                    <w:r>
                      <w:rPr>
                        <w:rFonts w:ascii="Arial"/>
                        <w:b/>
                        <w:spacing w:val="-4"/>
                        <w:sz w:val="20"/>
                      </w:rPr>
                      <w:t> </w:t>
                    </w:r>
                    <w:r>
                      <w:rPr>
                        <w:rFonts w:ascii="Arial"/>
                        <w:b/>
                        <w:sz w:val="20"/>
                      </w:rPr>
                      <w:t>FOR</w:t>
                    </w:r>
                    <w:r>
                      <w:rPr>
                        <w:rFonts w:ascii="Arial"/>
                        <w:b/>
                        <w:spacing w:val="-4"/>
                        <w:sz w:val="20"/>
                      </w:rPr>
                      <w:t> </w:t>
                    </w:r>
                    <w:r>
                      <w:rPr>
                        <w:rFonts w:ascii="Arial"/>
                        <w:b/>
                        <w:sz w:val="20"/>
                      </w:rPr>
                      <w:t>NHS</w:t>
                    </w:r>
                    <w:r>
                      <w:rPr>
                        <w:rFonts w:ascii="Arial"/>
                        <w:b/>
                        <w:spacing w:val="-5"/>
                        <w:sz w:val="20"/>
                      </w:rPr>
                      <w:t> </w:t>
                    </w:r>
                    <w:r>
                      <w:rPr>
                        <w:rFonts w:ascii="Arial"/>
                        <w:b/>
                        <w:sz w:val="20"/>
                      </w:rPr>
                      <w:t>WALES</w:t>
                    </w:r>
                    <w:r>
                      <w:rPr>
                        <w:rFonts w:ascii="Arial"/>
                        <w:b/>
                        <w:spacing w:val="-5"/>
                        <w:sz w:val="20"/>
                      </w:rPr>
                      <w:t> </w:t>
                    </w:r>
                    <w:r>
                      <w:rPr>
                        <w:rFonts w:ascii="Arial"/>
                        <w:b/>
                        <w:sz w:val="20"/>
                      </w:rPr>
                      <w:t>SHARED SERVICES PARTNERSHIP</w:t>
                    </w:r>
                  </w:p>
                </w:txbxContent>
              </v:textbox>
              <w10:wrap type="none"/>
            </v:shape>
            <w10:wrap type="none"/>
          </v:group>
        </w:pict>
      </w:r>
      <w:bookmarkStart w:name=" 1.4 Approved Minutes 11102022.pdf" w:id="35"/>
      <w:bookmarkEnd w:id="35"/>
      <w:r>
        <w:rPr/>
      </w:r>
      <w:r>
        <w:rPr>
          <w:rFonts w:ascii="Arial" w:hAnsi="Arial"/>
          <w:b/>
          <w:sz w:val="20"/>
        </w:rPr>
        <w:t>MINUTES OF THE MEETING HELD ON TUESDAY</w:t>
      </w:r>
      <w:r>
        <w:rPr>
          <w:rFonts w:ascii="Arial" w:hAnsi="Arial"/>
          <w:b/>
          <w:spacing w:val="-6"/>
          <w:sz w:val="20"/>
        </w:rPr>
        <w:t> </w:t>
      </w:r>
      <w:r>
        <w:rPr>
          <w:rFonts w:ascii="Arial" w:hAnsi="Arial"/>
          <w:b/>
          <w:sz w:val="20"/>
        </w:rPr>
        <w:t>11</w:t>
      </w:r>
      <w:r>
        <w:rPr>
          <w:rFonts w:ascii="Arial" w:hAnsi="Arial"/>
          <w:b/>
          <w:spacing w:val="-7"/>
          <w:sz w:val="20"/>
        </w:rPr>
        <w:t> </w:t>
      </w:r>
      <w:r>
        <w:rPr>
          <w:rFonts w:ascii="Arial" w:hAnsi="Arial"/>
          <w:b/>
          <w:sz w:val="20"/>
        </w:rPr>
        <w:t>OCTOBER</w:t>
      </w:r>
      <w:r>
        <w:rPr>
          <w:rFonts w:ascii="Arial" w:hAnsi="Arial"/>
          <w:b/>
          <w:spacing w:val="-6"/>
          <w:sz w:val="20"/>
        </w:rPr>
        <w:t> </w:t>
      </w:r>
      <w:r>
        <w:rPr>
          <w:rFonts w:ascii="Arial" w:hAnsi="Arial"/>
          <w:b/>
          <w:sz w:val="20"/>
        </w:rPr>
        <w:t>2022</w:t>
      </w:r>
      <w:r>
        <w:rPr>
          <w:rFonts w:ascii="Arial" w:hAnsi="Arial"/>
          <w:b/>
          <w:spacing w:val="-6"/>
          <w:sz w:val="20"/>
        </w:rPr>
        <w:t> </w:t>
      </w:r>
      <w:r>
        <w:rPr>
          <w:rFonts w:ascii="Arial" w:hAnsi="Arial"/>
          <w:b/>
          <w:sz w:val="20"/>
        </w:rPr>
        <w:t>/</w:t>
      </w:r>
      <w:r>
        <w:rPr>
          <w:rFonts w:ascii="Arial" w:hAnsi="Arial"/>
          <w:b/>
          <w:spacing w:val="-6"/>
          <w:sz w:val="20"/>
        </w:rPr>
        <w:t> </w:t>
      </w:r>
      <w:r>
        <w:rPr>
          <w:rFonts w:ascii="Arial" w:hAnsi="Arial"/>
          <w:b/>
          <w:sz w:val="20"/>
        </w:rPr>
        <w:t>14:00</w:t>
      </w:r>
      <w:r>
        <w:rPr>
          <w:rFonts w:ascii="Arial" w:hAnsi="Arial"/>
          <w:b/>
          <w:spacing w:val="-6"/>
          <w:sz w:val="20"/>
        </w:rPr>
        <w:t> </w:t>
      </w:r>
      <w:r>
        <w:rPr>
          <w:rFonts w:ascii="Arial" w:hAnsi="Arial"/>
          <w:b/>
          <w:sz w:val="20"/>
        </w:rPr>
        <w:t>–</w:t>
      </w:r>
      <w:r>
        <w:rPr>
          <w:rFonts w:ascii="Arial" w:hAnsi="Arial"/>
          <w:b/>
          <w:spacing w:val="-6"/>
          <w:sz w:val="20"/>
        </w:rPr>
        <w:t> </w:t>
      </w:r>
      <w:r>
        <w:rPr>
          <w:rFonts w:ascii="Arial" w:hAnsi="Arial"/>
          <w:b/>
          <w:sz w:val="20"/>
        </w:rPr>
        <w:t>16:00 BY TEAMS</w:t>
      </w:r>
    </w:p>
    <w:p>
      <w:pPr>
        <w:pStyle w:val="BodyText"/>
        <w:rPr>
          <w:rFonts w:ascii="Arial"/>
          <w:b/>
          <w:sz w:val="20"/>
        </w:rPr>
      </w:pPr>
    </w:p>
    <w:tbl>
      <w:tblPr>
        <w:tblW w:w="0" w:type="auto"/>
        <w:jc w:val="left"/>
        <w:tblInd w:w="3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14"/>
        <w:gridCol w:w="5386"/>
        <w:gridCol w:w="2493"/>
      </w:tblGrid>
      <w:tr>
        <w:trPr>
          <w:trHeight w:val="486" w:hRule="atLeast"/>
        </w:trPr>
        <w:tc>
          <w:tcPr>
            <w:tcW w:w="10993" w:type="dxa"/>
            <w:gridSpan w:val="3"/>
            <w:shd w:val="clear" w:color="auto" w:fill="A6A6A6"/>
          </w:tcPr>
          <w:p>
            <w:pPr>
              <w:pStyle w:val="TableParagraph"/>
              <w:ind w:left="108"/>
              <w:rPr>
                <w:b/>
                <w:sz w:val="20"/>
              </w:rPr>
            </w:pPr>
            <w:r>
              <w:rPr>
                <w:b/>
                <w:sz w:val="20"/>
              </w:rPr>
              <w:t>EXPECTED</w:t>
            </w:r>
            <w:r>
              <w:rPr>
                <w:b/>
                <w:spacing w:val="-5"/>
                <w:sz w:val="20"/>
              </w:rPr>
              <w:t> </w:t>
            </w:r>
            <w:r>
              <w:rPr>
                <w:b/>
                <w:spacing w:val="-2"/>
                <w:sz w:val="20"/>
              </w:rPr>
              <w:t>ATTENDEES:</w:t>
            </w:r>
          </w:p>
        </w:tc>
      </w:tr>
      <w:tr>
        <w:trPr>
          <w:trHeight w:val="243" w:hRule="atLeast"/>
        </w:trPr>
        <w:tc>
          <w:tcPr>
            <w:tcW w:w="3114" w:type="dxa"/>
            <w:shd w:val="clear" w:color="auto" w:fill="D9D9D9"/>
          </w:tcPr>
          <w:p>
            <w:pPr>
              <w:pStyle w:val="TableParagraph"/>
              <w:spacing w:line="223" w:lineRule="exact"/>
              <w:ind w:left="108"/>
              <w:rPr>
                <w:b/>
                <w:sz w:val="20"/>
              </w:rPr>
            </w:pPr>
            <w:r>
              <w:rPr>
                <w:b/>
                <w:spacing w:val="-2"/>
                <w:sz w:val="20"/>
              </w:rPr>
              <w:t>ATTENDANCE</w:t>
            </w:r>
          </w:p>
        </w:tc>
        <w:tc>
          <w:tcPr>
            <w:tcW w:w="7879" w:type="dxa"/>
            <w:gridSpan w:val="2"/>
            <w:shd w:val="clear" w:color="auto" w:fill="D9D9D9"/>
          </w:tcPr>
          <w:p>
            <w:pPr>
              <w:pStyle w:val="TableParagraph"/>
              <w:spacing w:line="223" w:lineRule="exact"/>
              <w:ind w:left="107"/>
              <w:rPr>
                <w:b/>
                <w:sz w:val="20"/>
              </w:rPr>
            </w:pPr>
            <w:r>
              <w:rPr>
                <w:b/>
                <w:spacing w:val="-2"/>
                <w:sz w:val="20"/>
              </w:rPr>
              <w:t>DESIGNATION</w:t>
            </w:r>
          </w:p>
        </w:tc>
      </w:tr>
      <w:tr>
        <w:trPr>
          <w:trHeight w:val="243" w:hRule="atLeast"/>
        </w:trPr>
        <w:tc>
          <w:tcPr>
            <w:tcW w:w="10993" w:type="dxa"/>
            <w:gridSpan w:val="3"/>
            <w:shd w:val="clear" w:color="auto" w:fill="D9D9D9"/>
          </w:tcPr>
          <w:p>
            <w:pPr>
              <w:pStyle w:val="TableParagraph"/>
              <w:spacing w:line="223" w:lineRule="exact"/>
              <w:ind w:left="108"/>
              <w:rPr>
                <w:b/>
                <w:sz w:val="20"/>
              </w:rPr>
            </w:pPr>
            <w:r>
              <w:rPr>
                <w:b/>
                <w:sz w:val="20"/>
              </w:rPr>
              <w:t>INDEPENDENT</w:t>
            </w:r>
            <w:r>
              <w:rPr>
                <w:b/>
                <w:spacing w:val="-5"/>
                <w:sz w:val="20"/>
              </w:rPr>
              <w:t> </w:t>
            </w:r>
            <w:r>
              <w:rPr>
                <w:b/>
                <w:spacing w:val="-2"/>
                <w:sz w:val="20"/>
              </w:rPr>
              <w:t>MEMBERS:</w:t>
            </w:r>
          </w:p>
        </w:tc>
      </w:tr>
      <w:tr>
        <w:trPr>
          <w:trHeight w:val="243" w:hRule="atLeast"/>
        </w:trPr>
        <w:tc>
          <w:tcPr>
            <w:tcW w:w="3114" w:type="dxa"/>
            <w:tcBorders>
              <w:right w:val="dashed" w:sz="4" w:space="0" w:color="000000"/>
            </w:tcBorders>
          </w:tcPr>
          <w:p>
            <w:pPr>
              <w:pStyle w:val="TableParagraph"/>
              <w:spacing w:line="223" w:lineRule="exact"/>
              <w:ind w:left="108"/>
              <w:rPr>
                <w:sz w:val="20"/>
              </w:rPr>
            </w:pPr>
            <w:r>
              <w:rPr>
                <w:sz w:val="20"/>
              </w:rPr>
              <w:t>Martin</w:t>
            </w:r>
            <w:r>
              <w:rPr>
                <w:spacing w:val="-4"/>
                <w:sz w:val="20"/>
              </w:rPr>
              <w:t> </w:t>
            </w:r>
            <w:r>
              <w:rPr>
                <w:sz w:val="20"/>
              </w:rPr>
              <w:t>Veale</w:t>
            </w:r>
            <w:r>
              <w:rPr>
                <w:spacing w:val="-1"/>
                <w:sz w:val="20"/>
              </w:rPr>
              <w:t> </w:t>
            </w:r>
            <w:r>
              <w:rPr>
                <w:spacing w:val="-2"/>
                <w:sz w:val="20"/>
              </w:rPr>
              <w:t>(Chair)</w:t>
            </w:r>
          </w:p>
        </w:tc>
        <w:tc>
          <w:tcPr>
            <w:tcW w:w="7879" w:type="dxa"/>
            <w:gridSpan w:val="2"/>
            <w:tcBorders>
              <w:left w:val="dashed" w:sz="4" w:space="0" w:color="000000"/>
            </w:tcBorders>
          </w:tcPr>
          <w:p>
            <w:pPr>
              <w:pStyle w:val="TableParagraph"/>
              <w:spacing w:line="223" w:lineRule="exact"/>
              <w:ind w:left="107"/>
              <w:rPr>
                <w:sz w:val="20"/>
              </w:rPr>
            </w:pPr>
            <w:r>
              <w:rPr>
                <w:sz w:val="20"/>
              </w:rPr>
              <w:t>Chair</w:t>
            </w:r>
            <w:r>
              <w:rPr>
                <w:spacing w:val="-3"/>
                <w:sz w:val="20"/>
              </w:rPr>
              <w:t> </w:t>
            </w:r>
            <w:r>
              <w:rPr>
                <w:sz w:val="20"/>
              </w:rPr>
              <w:t>&amp;</w:t>
            </w:r>
            <w:r>
              <w:rPr>
                <w:spacing w:val="-2"/>
                <w:sz w:val="20"/>
              </w:rPr>
              <w:t> </w:t>
            </w:r>
            <w:r>
              <w:rPr>
                <w:sz w:val="20"/>
              </w:rPr>
              <w:t>Independent</w:t>
            </w:r>
            <w:r>
              <w:rPr>
                <w:spacing w:val="-2"/>
                <w:sz w:val="20"/>
              </w:rPr>
              <w:t> Member</w:t>
            </w:r>
          </w:p>
        </w:tc>
      </w:tr>
      <w:tr>
        <w:trPr>
          <w:trHeight w:val="243" w:hRule="atLeast"/>
        </w:trPr>
        <w:tc>
          <w:tcPr>
            <w:tcW w:w="3114" w:type="dxa"/>
            <w:tcBorders>
              <w:right w:val="dashed" w:sz="4" w:space="0" w:color="000000"/>
            </w:tcBorders>
          </w:tcPr>
          <w:p>
            <w:pPr>
              <w:pStyle w:val="TableParagraph"/>
              <w:spacing w:line="223" w:lineRule="exact"/>
              <w:ind w:left="108"/>
              <w:rPr>
                <w:sz w:val="20"/>
              </w:rPr>
            </w:pPr>
            <w:r>
              <w:rPr>
                <w:sz w:val="20"/>
              </w:rPr>
              <w:t>Gareth</w:t>
            </w:r>
            <w:r>
              <w:rPr>
                <w:spacing w:val="-3"/>
                <w:sz w:val="20"/>
              </w:rPr>
              <w:t> </w:t>
            </w:r>
            <w:r>
              <w:rPr>
                <w:sz w:val="20"/>
              </w:rPr>
              <w:t>Jones</w:t>
            </w:r>
            <w:r>
              <w:rPr>
                <w:spacing w:val="-3"/>
                <w:sz w:val="20"/>
              </w:rPr>
              <w:t> </w:t>
            </w:r>
            <w:r>
              <w:rPr>
                <w:spacing w:val="-4"/>
                <w:sz w:val="20"/>
              </w:rPr>
              <w:t>(GJ)</w:t>
            </w:r>
          </w:p>
        </w:tc>
        <w:tc>
          <w:tcPr>
            <w:tcW w:w="7879" w:type="dxa"/>
            <w:gridSpan w:val="2"/>
            <w:tcBorders>
              <w:left w:val="dashed" w:sz="4" w:space="0" w:color="000000"/>
            </w:tcBorders>
          </w:tcPr>
          <w:p>
            <w:pPr>
              <w:pStyle w:val="TableParagraph"/>
              <w:spacing w:line="223" w:lineRule="exact"/>
              <w:ind w:left="107"/>
              <w:rPr>
                <w:sz w:val="20"/>
              </w:rPr>
            </w:pPr>
            <w:r>
              <w:rPr>
                <w:sz w:val="20"/>
              </w:rPr>
              <w:t>Independent</w:t>
            </w:r>
            <w:r>
              <w:rPr>
                <w:spacing w:val="-3"/>
                <w:sz w:val="20"/>
              </w:rPr>
              <w:t> </w:t>
            </w:r>
            <w:r>
              <w:rPr>
                <w:spacing w:val="-2"/>
                <w:sz w:val="20"/>
              </w:rPr>
              <w:t>Member</w:t>
            </w:r>
          </w:p>
        </w:tc>
      </w:tr>
      <w:tr>
        <w:trPr>
          <w:trHeight w:val="243" w:hRule="atLeast"/>
        </w:trPr>
        <w:tc>
          <w:tcPr>
            <w:tcW w:w="3114" w:type="dxa"/>
            <w:tcBorders>
              <w:right w:val="dashed" w:sz="4" w:space="0" w:color="000000"/>
            </w:tcBorders>
          </w:tcPr>
          <w:p>
            <w:pPr>
              <w:pStyle w:val="TableParagraph"/>
              <w:spacing w:line="223" w:lineRule="exact"/>
              <w:ind w:left="108"/>
              <w:rPr>
                <w:sz w:val="20"/>
              </w:rPr>
            </w:pPr>
            <w:r>
              <w:rPr>
                <w:sz w:val="20"/>
              </w:rPr>
              <w:t>Vicky</w:t>
            </w:r>
            <w:r>
              <w:rPr>
                <w:spacing w:val="-3"/>
                <w:sz w:val="20"/>
              </w:rPr>
              <w:t> </w:t>
            </w:r>
            <w:r>
              <w:rPr>
                <w:sz w:val="20"/>
              </w:rPr>
              <w:t>Morris</w:t>
            </w:r>
            <w:r>
              <w:rPr>
                <w:spacing w:val="-1"/>
                <w:sz w:val="20"/>
              </w:rPr>
              <w:t> </w:t>
            </w:r>
            <w:r>
              <w:rPr>
                <w:spacing w:val="-4"/>
                <w:sz w:val="20"/>
              </w:rPr>
              <w:t>(VM)</w:t>
            </w:r>
          </w:p>
        </w:tc>
        <w:tc>
          <w:tcPr>
            <w:tcW w:w="7879" w:type="dxa"/>
            <w:gridSpan w:val="2"/>
            <w:tcBorders>
              <w:left w:val="dashed" w:sz="4" w:space="0" w:color="000000"/>
            </w:tcBorders>
          </w:tcPr>
          <w:p>
            <w:pPr>
              <w:pStyle w:val="TableParagraph"/>
              <w:spacing w:line="223" w:lineRule="exact"/>
              <w:ind w:left="107"/>
              <w:rPr>
                <w:sz w:val="20"/>
              </w:rPr>
            </w:pPr>
            <w:r>
              <w:rPr>
                <w:sz w:val="20"/>
              </w:rPr>
              <w:t>Independent</w:t>
            </w:r>
            <w:r>
              <w:rPr>
                <w:spacing w:val="-3"/>
                <w:sz w:val="20"/>
              </w:rPr>
              <w:t> </w:t>
            </w:r>
            <w:r>
              <w:rPr>
                <w:spacing w:val="-2"/>
                <w:sz w:val="20"/>
              </w:rPr>
              <w:t>member</w:t>
            </w:r>
          </w:p>
        </w:tc>
      </w:tr>
      <w:tr>
        <w:trPr>
          <w:trHeight w:val="243" w:hRule="atLeast"/>
        </w:trPr>
        <w:tc>
          <w:tcPr>
            <w:tcW w:w="3114" w:type="dxa"/>
            <w:tcBorders>
              <w:right w:val="dashed" w:sz="4" w:space="0" w:color="000000"/>
            </w:tcBorders>
            <w:shd w:val="clear" w:color="auto" w:fill="D9D9D9"/>
          </w:tcPr>
          <w:p>
            <w:pPr>
              <w:pStyle w:val="TableParagraph"/>
              <w:spacing w:line="223" w:lineRule="exact"/>
              <w:ind w:left="108"/>
              <w:rPr>
                <w:b/>
                <w:sz w:val="20"/>
              </w:rPr>
            </w:pPr>
            <w:r>
              <w:rPr>
                <w:b/>
                <w:spacing w:val="-2"/>
                <w:sz w:val="20"/>
              </w:rPr>
              <w:t>ATTENDANCE</w:t>
            </w:r>
          </w:p>
        </w:tc>
        <w:tc>
          <w:tcPr>
            <w:tcW w:w="5386" w:type="dxa"/>
            <w:tcBorders>
              <w:left w:val="dashed" w:sz="4" w:space="0" w:color="000000"/>
              <w:right w:val="dashed" w:sz="4" w:space="0" w:color="000000"/>
            </w:tcBorders>
            <w:shd w:val="clear" w:color="auto" w:fill="D9D9D9"/>
          </w:tcPr>
          <w:p>
            <w:pPr>
              <w:pStyle w:val="TableParagraph"/>
              <w:spacing w:line="223" w:lineRule="exact"/>
              <w:ind w:left="107"/>
              <w:rPr>
                <w:b/>
                <w:sz w:val="20"/>
              </w:rPr>
            </w:pPr>
            <w:r>
              <w:rPr>
                <w:b/>
                <w:spacing w:val="-2"/>
                <w:sz w:val="20"/>
              </w:rPr>
              <w:t>DESIGNATION</w:t>
            </w:r>
          </w:p>
        </w:tc>
        <w:tc>
          <w:tcPr>
            <w:tcW w:w="2493" w:type="dxa"/>
            <w:tcBorders>
              <w:left w:val="dashed" w:sz="4" w:space="0" w:color="000000"/>
            </w:tcBorders>
            <w:shd w:val="clear" w:color="auto" w:fill="D9D9D9"/>
          </w:tcPr>
          <w:p>
            <w:pPr>
              <w:pStyle w:val="TableParagraph"/>
              <w:spacing w:line="223" w:lineRule="exact"/>
              <w:ind w:left="108"/>
              <w:rPr>
                <w:b/>
                <w:sz w:val="20"/>
              </w:rPr>
            </w:pPr>
            <w:r>
              <w:rPr>
                <w:b/>
                <w:spacing w:val="-2"/>
                <w:sz w:val="20"/>
              </w:rPr>
              <w:t>ORGANISATION</w:t>
            </w:r>
          </w:p>
        </w:tc>
      </w:tr>
      <w:tr>
        <w:trPr>
          <w:trHeight w:val="243" w:hRule="atLeast"/>
        </w:trPr>
        <w:tc>
          <w:tcPr>
            <w:tcW w:w="3114" w:type="dxa"/>
            <w:tcBorders>
              <w:right w:val="dashed" w:sz="4" w:space="0" w:color="000000"/>
            </w:tcBorders>
          </w:tcPr>
          <w:p>
            <w:pPr>
              <w:pStyle w:val="TableParagraph"/>
              <w:spacing w:line="223" w:lineRule="exact"/>
              <w:ind w:left="108"/>
              <w:rPr>
                <w:sz w:val="20"/>
              </w:rPr>
            </w:pPr>
            <w:r>
              <w:rPr>
                <w:sz w:val="20"/>
              </w:rPr>
              <w:t>Neil Frow </w:t>
            </w:r>
            <w:r>
              <w:rPr>
                <w:spacing w:val="-4"/>
                <w:sz w:val="20"/>
              </w:rPr>
              <w:t>(NF)</w:t>
            </w:r>
          </w:p>
        </w:tc>
        <w:tc>
          <w:tcPr>
            <w:tcW w:w="5386" w:type="dxa"/>
            <w:tcBorders>
              <w:left w:val="dashed" w:sz="4" w:space="0" w:color="000000"/>
              <w:right w:val="dashed" w:sz="4" w:space="0" w:color="000000"/>
            </w:tcBorders>
          </w:tcPr>
          <w:p>
            <w:pPr>
              <w:pStyle w:val="TableParagraph"/>
              <w:spacing w:line="223" w:lineRule="exact"/>
              <w:ind w:left="107"/>
              <w:rPr>
                <w:sz w:val="20"/>
              </w:rPr>
            </w:pPr>
            <w:r>
              <w:rPr>
                <w:sz w:val="20"/>
              </w:rPr>
              <w:t>Managing</w:t>
            </w:r>
            <w:r>
              <w:rPr>
                <w:spacing w:val="-1"/>
                <w:sz w:val="20"/>
              </w:rPr>
              <w:t> </w:t>
            </w:r>
            <w:r>
              <w:rPr>
                <w:spacing w:val="-2"/>
                <w:sz w:val="20"/>
              </w:rPr>
              <w:t>Director</w:t>
            </w:r>
          </w:p>
        </w:tc>
        <w:tc>
          <w:tcPr>
            <w:tcW w:w="2493" w:type="dxa"/>
            <w:tcBorders>
              <w:left w:val="dashed" w:sz="4" w:space="0" w:color="000000"/>
            </w:tcBorders>
          </w:tcPr>
          <w:p>
            <w:pPr>
              <w:pStyle w:val="TableParagraph"/>
              <w:spacing w:line="223" w:lineRule="exact"/>
              <w:ind w:left="108"/>
              <w:rPr>
                <w:sz w:val="20"/>
              </w:rPr>
            </w:pPr>
            <w:r>
              <w:rPr>
                <w:spacing w:val="-2"/>
                <w:sz w:val="20"/>
              </w:rPr>
              <w:t>NWSSP</w:t>
            </w:r>
          </w:p>
        </w:tc>
      </w:tr>
      <w:tr>
        <w:trPr>
          <w:trHeight w:val="243" w:hRule="atLeast"/>
        </w:trPr>
        <w:tc>
          <w:tcPr>
            <w:tcW w:w="3114" w:type="dxa"/>
            <w:tcBorders>
              <w:right w:val="dashed" w:sz="4" w:space="0" w:color="000000"/>
            </w:tcBorders>
          </w:tcPr>
          <w:p>
            <w:pPr>
              <w:pStyle w:val="TableParagraph"/>
              <w:spacing w:line="223" w:lineRule="exact"/>
              <w:ind w:left="108"/>
              <w:rPr>
                <w:sz w:val="20"/>
              </w:rPr>
            </w:pPr>
            <w:r>
              <w:rPr>
                <w:sz w:val="20"/>
              </w:rPr>
              <w:t>Tracy</w:t>
            </w:r>
            <w:r>
              <w:rPr>
                <w:spacing w:val="-4"/>
                <w:sz w:val="20"/>
              </w:rPr>
              <w:t> </w:t>
            </w:r>
            <w:r>
              <w:rPr>
                <w:sz w:val="20"/>
              </w:rPr>
              <w:t>Myhill</w:t>
            </w:r>
            <w:r>
              <w:rPr>
                <w:spacing w:val="-3"/>
                <w:sz w:val="20"/>
              </w:rPr>
              <w:t> </w:t>
            </w:r>
            <w:r>
              <w:rPr>
                <w:spacing w:val="-4"/>
                <w:sz w:val="20"/>
              </w:rPr>
              <w:t>(TM)</w:t>
            </w:r>
          </w:p>
        </w:tc>
        <w:tc>
          <w:tcPr>
            <w:tcW w:w="5386" w:type="dxa"/>
            <w:tcBorders>
              <w:left w:val="dashed" w:sz="4" w:space="0" w:color="000000"/>
              <w:right w:val="dashed" w:sz="4" w:space="0" w:color="000000"/>
            </w:tcBorders>
          </w:tcPr>
          <w:p>
            <w:pPr>
              <w:pStyle w:val="TableParagraph"/>
              <w:spacing w:line="223" w:lineRule="exact"/>
              <w:ind w:left="107"/>
              <w:rPr>
                <w:sz w:val="20"/>
              </w:rPr>
            </w:pPr>
            <w:r>
              <w:rPr>
                <w:sz w:val="20"/>
              </w:rPr>
              <w:t>NWSSP</w:t>
            </w:r>
            <w:r>
              <w:rPr>
                <w:spacing w:val="-1"/>
                <w:sz w:val="20"/>
              </w:rPr>
              <w:t> </w:t>
            </w:r>
            <w:r>
              <w:rPr>
                <w:spacing w:val="-2"/>
                <w:sz w:val="20"/>
              </w:rPr>
              <w:t>Chair</w:t>
            </w:r>
          </w:p>
        </w:tc>
        <w:tc>
          <w:tcPr>
            <w:tcW w:w="2493" w:type="dxa"/>
            <w:tcBorders>
              <w:left w:val="dashed" w:sz="4" w:space="0" w:color="000000"/>
            </w:tcBorders>
          </w:tcPr>
          <w:p>
            <w:pPr>
              <w:pStyle w:val="TableParagraph"/>
              <w:spacing w:line="223" w:lineRule="exact"/>
              <w:ind w:left="108"/>
              <w:rPr>
                <w:sz w:val="20"/>
              </w:rPr>
            </w:pPr>
            <w:r>
              <w:rPr>
                <w:spacing w:val="-2"/>
                <w:sz w:val="20"/>
              </w:rPr>
              <w:t>NWSSP</w:t>
            </w:r>
          </w:p>
        </w:tc>
      </w:tr>
      <w:tr>
        <w:trPr>
          <w:trHeight w:val="243" w:hRule="atLeast"/>
        </w:trPr>
        <w:tc>
          <w:tcPr>
            <w:tcW w:w="3114" w:type="dxa"/>
            <w:tcBorders>
              <w:right w:val="dashed" w:sz="4" w:space="0" w:color="000000"/>
            </w:tcBorders>
          </w:tcPr>
          <w:p>
            <w:pPr>
              <w:pStyle w:val="TableParagraph"/>
              <w:spacing w:line="223" w:lineRule="exact"/>
              <w:ind w:left="108"/>
              <w:rPr>
                <w:sz w:val="20"/>
              </w:rPr>
            </w:pPr>
            <w:r>
              <w:rPr>
                <w:sz w:val="20"/>
              </w:rPr>
              <w:t>Andy</w:t>
            </w:r>
            <w:r>
              <w:rPr>
                <w:spacing w:val="-2"/>
                <w:sz w:val="20"/>
              </w:rPr>
              <w:t> </w:t>
            </w:r>
            <w:r>
              <w:rPr>
                <w:sz w:val="20"/>
              </w:rPr>
              <w:t>Butler</w:t>
            </w:r>
            <w:r>
              <w:rPr>
                <w:spacing w:val="-2"/>
                <w:sz w:val="20"/>
              </w:rPr>
              <w:t> </w:t>
            </w:r>
            <w:r>
              <w:rPr>
                <w:spacing w:val="-4"/>
                <w:sz w:val="20"/>
              </w:rPr>
              <w:t>(AB)</w:t>
            </w:r>
          </w:p>
        </w:tc>
        <w:tc>
          <w:tcPr>
            <w:tcW w:w="5386" w:type="dxa"/>
            <w:tcBorders>
              <w:left w:val="dashed" w:sz="4" w:space="0" w:color="000000"/>
              <w:right w:val="dashed" w:sz="4" w:space="0" w:color="000000"/>
            </w:tcBorders>
          </w:tcPr>
          <w:p>
            <w:pPr>
              <w:pStyle w:val="TableParagraph"/>
              <w:spacing w:line="223" w:lineRule="exact"/>
              <w:ind w:left="107"/>
              <w:rPr>
                <w:sz w:val="20"/>
              </w:rPr>
            </w:pPr>
            <w:r>
              <w:rPr>
                <w:sz w:val="20"/>
              </w:rPr>
              <w:t>Director</w:t>
            </w:r>
            <w:r>
              <w:rPr>
                <w:spacing w:val="-2"/>
                <w:sz w:val="20"/>
              </w:rPr>
              <w:t> </w:t>
            </w:r>
            <w:r>
              <w:rPr>
                <w:sz w:val="20"/>
              </w:rPr>
              <w:t>of</w:t>
            </w:r>
            <w:r>
              <w:rPr>
                <w:spacing w:val="-3"/>
                <w:sz w:val="20"/>
              </w:rPr>
              <w:t> </w:t>
            </w:r>
            <w:r>
              <w:rPr>
                <w:sz w:val="20"/>
              </w:rPr>
              <w:t>Finance</w:t>
            </w:r>
            <w:r>
              <w:rPr>
                <w:spacing w:val="-2"/>
                <w:sz w:val="20"/>
              </w:rPr>
              <w:t> </w:t>
            </w:r>
            <w:r>
              <w:rPr>
                <w:sz w:val="20"/>
              </w:rPr>
              <w:t>&amp;</w:t>
            </w:r>
            <w:r>
              <w:rPr>
                <w:spacing w:val="-2"/>
                <w:sz w:val="20"/>
              </w:rPr>
              <w:t> </w:t>
            </w:r>
            <w:r>
              <w:rPr>
                <w:sz w:val="20"/>
              </w:rPr>
              <w:t>Corporate</w:t>
            </w:r>
            <w:r>
              <w:rPr>
                <w:spacing w:val="-1"/>
                <w:sz w:val="20"/>
              </w:rPr>
              <w:t> </w:t>
            </w:r>
            <w:r>
              <w:rPr>
                <w:spacing w:val="-2"/>
                <w:sz w:val="20"/>
              </w:rPr>
              <w:t>Services</w:t>
            </w:r>
          </w:p>
        </w:tc>
        <w:tc>
          <w:tcPr>
            <w:tcW w:w="2493" w:type="dxa"/>
            <w:tcBorders>
              <w:left w:val="dashed" w:sz="4" w:space="0" w:color="000000"/>
            </w:tcBorders>
          </w:tcPr>
          <w:p>
            <w:pPr>
              <w:pStyle w:val="TableParagraph"/>
              <w:spacing w:line="223" w:lineRule="exact"/>
              <w:ind w:left="108"/>
              <w:rPr>
                <w:sz w:val="20"/>
              </w:rPr>
            </w:pPr>
            <w:r>
              <w:rPr>
                <w:spacing w:val="-2"/>
                <w:sz w:val="20"/>
              </w:rPr>
              <w:t>NWSSP</w:t>
            </w:r>
          </w:p>
        </w:tc>
      </w:tr>
      <w:tr>
        <w:trPr>
          <w:trHeight w:val="243" w:hRule="atLeast"/>
        </w:trPr>
        <w:tc>
          <w:tcPr>
            <w:tcW w:w="3114" w:type="dxa"/>
            <w:tcBorders>
              <w:right w:val="dashed" w:sz="4" w:space="0" w:color="000000"/>
            </w:tcBorders>
          </w:tcPr>
          <w:p>
            <w:pPr>
              <w:pStyle w:val="TableParagraph"/>
              <w:spacing w:line="223" w:lineRule="exact"/>
              <w:ind w:left="108"/>
              <w:rPr>
                <w:sz w:val="20"/>
              </w:rPr>
            </w:pPr>
            <w:r>
              <w:rPr>
                <w:sz w:val="20"/>
              </w:rPr>
              <w:t>Peter</w:t>
            </w:r>
            <w:r>
              <w:rPr>
                <w:spacing w:val="-2"/>
                <w:sz w:val="20"/>
              </w:rPr>
              <w:t> </w:t>
            </w:r>
            <w:r>
              <w:rPr>
                <w:sz w:val="20"/>
              </w:rPr>
              <w:t>Stephenson</w:t>
            </w:r>
            <w:r>
              <w:rPr>
                <w:spacing w:val="-1"/>
                <w:sz w:val="20"/>
              </w:rPr>
              <w:t> </w:t>
            </w:r>
            <w:r>
              <w:rPr>
                <w:spacing w:val="-4"/>
                <w:sz w:val="20"/>
              </w:rPr>
              <w:t>(PS)</w:t>
            </w:r>
          </w:p>
        </w:tc>
        <w:tc>
          <w:tcPr>
            <w:tcW w:w="5386" w:type="dxa"/>
            <w:tcBorders>
              <w:left w:val="dashed" w:sz="4" w:space="0" w:color="000000"/>
              <w:right w:val="dashed" w:sz="4" w:space="0" w:color="000000"/>
            </w:tcBorders>
          </w:tcPr>
          <w:p>
            <w:pPr>
              <w:pStyle w:val="TableParagraph"/>
              <w:spacing w:line="223" w:lineRule="exact"/>
              <w:ind w:left="107"/>
              <w:rPr>
                <w:sz w:val="20"/>
              </w:rPr>
            </w:pPr>
            <w:r>
              <w:rPr>
                <w:sz w:val="20"/>
              </w:rPr>
              <w:t>Head</w:t>
            </w:r>
            <w:r>
              <w:rPr>
                <w:spacing w:val="-2"/>
                <w:sz w:val="20"/>
              </w:rPr>
              <w:t> </w:t>
            </w:r>
            <w:r>
              <w:rPr>
                <w:sz w:val="20"/>
              </w:rPr>
              <w:t>of</w:t>
            </w:r>
            <w:r>
              <w:rPr>
                <w:spacing w:val="-2"/>
                <w:sz w:val="20"/>
              </w:rPr>
              <w:t> </w:t>
            </w:r>
            <w:r>
              <w:rPr>
                <w:sz w:val="20"/>
              </w:rPr>
              <w:t>Finance</w:t>
            </w:r>
            <w:r>
              <w:rPr>
                <w:spacing w:val="-2"/>
                <w:sz w:val="20"/>
              </w:rPr>
              <w:t> </w:t>
            </w:r>
            <w:r>
              <w:rPr>
                <w:sz w:val="20"/>
              </w:rPr>
              <w:t>&amp;</w:t>
            </w:r>
            <w:r>
              <w:rPr>
                <w:spacing w:val="-1"/>
                <w:sz w:val="20"/>
              </w:rPr>
              <w:t> </w:t>
            </w:r>
            <w:r>
              <w:rPr>
                <w:sz w:val="20"/>
              </w:rPr>
              <w:t>Business </w:t>
            </w:r>
            <w:r>
              <w:rPr>
                <w:spacing w:val="-2"/>
                <w:sz w:val="20"/>
              </w:rPr>
              <w:t>Improvement</w:t>
            </w:r>
          </w:p>
        </w:tc>
        <w:tc>
          <w:tcPr>
            <w:tcW w:w="2493" w:type="dxa"/>
            <w:tcBorders>
              <w:left w:val="dashed" w:sz="4" w:space="0" w:color="000000"/>
            </w:tcBorders>
          </w:tcPr>
          <w:p>
            <w:pPr>
              <w:pStyle w:val="TableParagraph"/>
              <w:spacing w:line="223" w:lineRule="exact"/>
              <w:ind w:left="108"/>
              <w:rPr>
                <w:sz w:val="20"/>
              </w:rPr>
            </w:pPr>
            <w:r>
              <w:rPr>
                <w:spacing w:val="-2"/>
                <w:sz w:val="20"/>
              </w:rPr>
              <w:t>NWSSP</w:t>
            </w:r>
          </w:p>
        </w:tc>
      </w:tr>
      <w:tr>
        <w:trPr>
          <w:trHeight w:val="243" w:hRule="atLeast"/>
        </w:trPr>
        <w:tc>
          <w:tcPr>
            <w:tcW w:w="3114" w:type="dxa"/>
            <w:tcBorders>
              <w:right w:val="dashed" w:sz="4" w:space="0" w:color="000000"/>
            </w:tcBorders>
          </w:tcPr>
          <w:p>
            <w:pPr>
              <w:pStyle w:val="TableParagraph"/>
              <w:spacing w:line="223" w:lineRule="exact"/>
              <w:ind w:left="108"/>
              <w:rPr>
                <w:sz w:val="20"/>
              </w:rPr>
            </w:pPr>
            <w:r>
              <w:rPr>
                <w:sz w:val="20"/>
              </w:rPr>
              <w:t>Carly</w:t>
            </w:r>
            <w:r>
              <w:rPr>
                <w:spacing w:val="-6"/>
                <w:sz w:val="20"/>
              </w:rPr>
              <w:t> </w:t>
            </w:r>
            <w:r>
              <w:rPr>
                <w:sz w:val="20"/>
              </w:rPr>
              <w:t>Wilce</w:t>
            </w:r>
            <w:r>
              <w:rPr>
                <w:spacing w:val="-4"/>
                <w:sz w:val="20"/>
              </w:rPr>
              <w:t> (CW)</w:t>
            </w:r>
          </w:p>
        </w:tc>
        <w:tc>
          <w:tcPr>
            <w:tcW w:w="5386" w:type="dxa"/>
            <w:tcBorders>
              <w:left w:val="dashed" w:sz="4" w:space="0" w:color="000000"/>
              <w:right w:val="dashed" w:sz="4" w:space="0" w:color="000000"/>
            </w:tcBorders>
          </w:tcPr>
          <w:p>
            <w:pPr>
              <w:pStyle w:val="TableParagraph"/>
              <w:spacing w:line="223" w:lineRule="exact"/>
              <w:ind w:left="107"/>
              <w:rPr>
                <w:sz w:val="20"/>
              </w:rPr>
            </w:pPr>
            <w:r>
              <w:rPr>
                <w:sz w:val="20"/>
              </w:rPr>
              <w:t>Corporate</w:t>
            </w:r>
            <w:r>
              <w:rPr>
                <w:spacing w:val="-6"/>
                <w:sz w:val="20"/>
              </w:rPr>
              <w:t> </w:t>
            </w:r>
            <w:r>
              <w:rPr>
                <w:sz w:val="20"/>
              </w:rPr>
              <w:t>Services</w:t>
            </w:r>
            <w:r>
              <w:rPr>
                <w:spacing w:val="-5"/>
                <w:sz w:val="20"/>
              </w:rPr>
              <w:t> </w:t>
            </w:r>
            <w:r>
              <w:rPr>
                <w:spacing w:val="-2"/>
                <w:sz w:val="20"/>
              </w:rPr>
              <w:t>Manager</w:t>
            </w:r>
          </w:p>
        </w:tc>
        <w:tc>
          <w:tcPr>
            <w:tcW w:w="2493" w:type="dxa"/>
            <w:tcBorders>
              <w:left w:val="dashed" w:sz="4" w:space="0" w:color="000000"/>
            </w:tcBorders>
          </w:tcPr>
          <w:p>
            <w:pPr>
              <w:pStyle w:val="TableParagraph"/>
              <w:spacing w:line="223" w:lineRule="exact"/>
              <w:ind w:left="108"/>
              <w:rPr>
                <w:sz w:val="20"/>
              </w:rPr>
            </w:pPr>
            <w:r>
              <w:rPr>
                <w:spacing w:val="-2"/>
                <w:sz w:val="20"/>
              </w:rPr>
              <w:t>NWSSP</w:t>
            </w:r>
          </w:p>
        </w:tc>
      </w:tr>
      <w:tr>
        <w:trPr>
          <w:trHeight w:val="243" w:hRule="atLeast"/>
        </w:trPr>
        <w:tc>
          <w:tcPr>
            <w:tcW w:w="3114" w:type="dxa"/>
            <w:tcBorders>
              <w:right w:val="dashed" w:sz="4" w:space="0" w:color="000000"/>
            </w:tcBorders>
          </w:tcPr>
          <w:p>
            <w:pPr>
              <w:pStyle w:val="TableParagraph"/>
              <w:spacing w:line="223" w:lineRule="exact"/>
              <w:ind w:left="108"/>
              <w:rPr>
                <w:sz w:val="20"/>
              </w:rPr>
            </w:pPr>
            <w:r>
              <w:rPr>
                <w:sz w:val="20"/>
              </w:rPr>
              <w:t>Simon</w:t>
            </w:r>
            <w:r>
              <w:rPr>
                <w:spacing w:val="-4"/>
                <w:sz w:val="20"/>
              </w:rPr>
              <w:t> </w:t>
            </w:r>
            <w:r>
              <w:rPr>
                <w:sz w:val="20"/>
              </w:rPr>
              <w:t>Cookson</w:t>
            </w:r>
            <w:r>
              <w:rPr>
                <w:spacing w:val="-4"/>
                <w:sz w:val="20"/>
              </w:rPr>
              <w:t> (SC)</w:t>
            </w:r>
          </w:p>
        </w:tc>
        <w:tc>
          <w:tcPr>
            <w:tcW w:w="5386" w:type="dxa"/>
            <w:tcBorders>
              <w:left w:val="dashed" w:sz="4" w:space="0" w:color="000000"/>
              <w:right w:val="dashed" w:sz="4" w:space="0" w:color="000000"/>
            </w:tcBorders>
          </w:tcPr>
          <w:p>
            <w:pPr>
              <w:pStyle w:val="TableParagraph"/>
              <w:spacing w:line="223" w:lineRule="exact"/>
              <w:ind w:left="107"/>
              <w:rPr>
                <w:sz w:val="20"/>
              </w:rPr>
            </w:pPr>
            <w:r>
              <w:rPr>
                <w:sz w:val="20"/>
              </w:rPr>
              <w:t>Director</w:t>
            </w:r>
            <w:r>
              <w:rPr>
                <w:spacing w:val="-1"/>
                <w:sz w:val="20"/>
              </w:rPr>
              <w:t> </w:t>
            </w:r>
            <w:r>
              <w:rPr>
                <w:sz w:val="20"/>
              </w:rPr>
              <w:t>of</w:t>
            </w:r>
            <w:r>
              <w:rPr>
                <w:spacing w:val="-1"/>
                <w:sz w:val="20"/>
              </w:rPr>
              <w:t> </w:t>
            </w:r>
            <w:r>
              <w:rPr>
                <w:sz w:val="20"/>
              </w:rPr>
              <w:t>Audit</w:t>
            </w:r>
            <w:r>
              <w:rPr>
                <w:spacing w:val="-2"/>
                <w:sz w:val="20"/>
              </w:rPr>
              <w:t> </w:t>
            </w:r>
            <w:r>
              <w:rPr>
                <w:sz w:val="20"/>
              </w:rPr>
              <w:t>&amp; </w:t>
            </w:r>
            <w:r>
              <w:rPr>
                <w:spacing w:val="-2"/>
                <w:sz w:val="20"/>
              </w:rPr>
              <w:t>Assurance</w:t>
            </w:r>
          </w:p>
        </w:tc>
        <w:tc>
          <w:tcPr>
            <w:tcW w:w="2493" w:type="dxa"/>
            <w:tcBorders>
              <w:left w:val="dashed" w:sz="4" w:space="0" w:color="000000"/>
            </w:tcBorders>
          </w:tcPr>
          <w:p>
            <w:pPr>
              <w:pStyle w:val="TableParagraph"/>
              <w:spacing w:line="223" w:lineRule="exact"/>
              <w:ind w:left="108"/>
              <w:rPr>
                <w:sz w:val="20"/>
              </w:rPr>
            </w:pPr>
            <w:r>
              <w:rPr>
                <w:spacing w:val="-2"/>
                <w:sz w:val="20"/>
              </w:rPr>
              <w:t>NWSSP</w:t>
            </w:r>
          </w:p>
        </w:tc>
      </w:tr>
      <w:tr>
        <w:trPr>
          <w:trHeight w:val="243" w:hRule="atLeast"/>
        </w:trPr>
        <w:tc>
          <w:tcPr>
            <w:tcW w:w="3114" w:type="dxa"/>
            <w:tcBorders>
              <w:right w:val="dashed" w:sz="4" w:space="0" w:color="000000"/>
            </w:tcBorders>
          </w:tcPr>
          <w:p>
            <w:pPr>
              <w:pStyle w:val="TableParagraph"/>
              <w:spacing w:line="223" w:lineRule="exact"/>
              <w:ind w:left="108"/>
              <w:rPr>
                <w:sz w:val="20"/>
              </w:rPr>
            </w:pPr>
            <w:r>
              <w:rPr>
                <w:sz w:val="20"/>
              </w:rPr>
              <w:t>James</w:t>
            </w:r>
            <w:r>
              <w:rPr>
                <w:spacing w:val="-3"/>
                <w:sz w:val="20"/>
              </w:rPr>
              <w:t> </w:t>
            </w:r>
            <w:r>
              <w:rPr>
                <w:sz w:val="20"/>
              </w:rPr>
              <w:t>John</w:t>
            </w:r>
            <w:r>
              <w:rPr>
                <w:spacing w:val="-1"/>
                <w:sz w:val="20"/>
              </w:rPr>
              <w:t> </w:t>
            </w:r>
            <w:r>
              <w:rPr>
                <w:spacing w:val="-4"/>
                <w:sz w:val="20"/>
              </w:rPr>
              <w:t>(JJ)</w:t>
            </w:r>
          </w:p>
        </w:tc>
        <w:tc>
          <w:tcPr>
            <w:tcW w:w="5386" w:type="dxa"/>
            <w:tcBorders>
              <w:left w:val="dashed" w:sz="4" w:space="0" w:color="000000"/>
              <w:right w:val="dashed" w:sz="4" w:space="0" w:color="000000"/>
            </w:tcBorders>
          </w:tcPr>
          <w:p>
            <w:pPr>
              <w:pStyle w:val="TableParagraph"/>
              <w:spacing w:line="223" w:lineRule="exact"/>
              <w:ind w:left="107"/>
              <w:rPr>
                <w:sz w:val="20"/>
              </w:rPr>
            </w:pPr>
            <w:r>
              <w:rPr>
                <w:sz w:val="20"/>
              </w:rPr>
              <w:t>Head</w:t>
            </w:r>
            <w:r>
              <w:rPr>
                <w:spacing w:val="-3"/>
                <w:sz w:val="20"/>
              </w:rPr>
              <w:t> </w:t>
            </w:r>
            <w:r>
              <w:rPr>
                <w:sz w:val="20"/>
              </w:rPr>
              <w:t>of</w:t>
            </w:r>
            <w:r>
              <w:rPr>
                <w:spacing w:val="-2"/>
                <w:sz w:val="20"/>
              </w:rPr>
              <w:t> </w:t>
            </w:r>
            <w:r>
              <w:rPr>
                <w:sz w:val="20"/>
              </w:rPr>
              <w:t>Internal</w:t>
            </w:r>
            <w:r>
              <w:rPr>
                <w:spacing w:val="-1"/>
                <w:sz w:val="20"/>
              </w:rPr>
              <w:t> </w:t>
            </w:r>
            <w:r>
              <w:rPr>
                <w:spacing w:val="-2"/>
                <w:sz w:val="20"/>
              </w:rPr>
              <w:t>Audit</w:t>
            </w:r>
          </w:p>
        </w:tc>
        <w:tc>
          <w:tcPr>
            <w:tcW w:w="2493" w:type="dxa"/>
            <w:tcBorders>
              <w:left w:val="dashed" w:sz="4" w:space="0" w:color="000000"/>
            </w:tcBorders>
          </w:tcPr>
          <w:p>
            <w:pPr>
              <w:pStyle w:val="TableParagraph"/>
              <w:spacing w:line="223" w:lineRule="exact"/>
              <w:ind w:left="108"/>
              <w:rPr>
                <w:sz w:val="20"/>
              </w:rPr>
            </w:pPr>
            <w:r>
              <w:rPr>
                <w:spacing w:val="-2"/>
                <w:sz w:val="20"/>
              </w:rPr>
              <w:t>NWSSP</w:t>
            </w:r>
          </w:p>
        </w:tc>
      </w:tr>
      <w:tr>
        <w:trPr>
          <w:trHeight w:val="243" w:hRule="atLeast"/>
        </w:trPr>
        <w:tc>
          <w:tcPr>
            <w:tcW w:w="3114" w:type="dxa"/>
            <w:tcBorders>
              <w:right w:val="dashed" w:sz="4" w:space="0" w:color="000000"/>
            </w:tcBorders>
          </w:tcPr>
          <w:p>
            <w:pPr>
              <w:pStyle w:val="TableParagraph"/>
              <w:spacing w:line="223" w:lineRule="exact"/>
              <w:ind w:left="108"/>
              <w:rPr>
                <w:sz w:val="20"/>
              </w:rPr>
            </w:pPr>
            <w:r>
              <w:rPr>
                <w:sz w:val="20"/>
              </w:rPr>
              <w:t>Sophie</w:t>
            </w:r>
            <w:r>
              <w:rPr>
                <w:spacing w:val="-4"/>
                <w:sz w:val="20"/>
              </w:rPr>
              <w:t> </w:t>
            </w:r>
            <w:r>
              <w:rPr>
                <w:sz w:val="20"/>
              </w:rPr>
              <w:t>Corbett</w:t>
            </w:r>
            <w:r>
              <w:rPr>
                <w:spacing w:val="-4"/>
                <w:sz w:val="20"/>
              </w:rPr>
              <w:t> </w:t>
            </w:r>
            <w:r>
              <w:rPr>
                <w:spacing w:val="-2"/>
                <w:sz w:val="20"/>
              </w:rPr>
              <w:t>(SCo)</w:t>
            </w:r>
          </w:p>
        </w:tc>
        <w:tc>
          <w:tcPr>
            <w:tcW w:w="5386" w:type="dxa"/>
            <w:tcBorders>
              <w:left w:val="dashed" w:sz="4" w:space="0" w:color="000000"/>
              <w:right w:val="dashed" w:sz="4" w:space="0" w:color="000000"/>
            </w:tcBorders>
          </w:tcPr>
          <w:p>
            <w:pPr>
              <w:pStyle w:val="TableParagraph"/>
              <w:spacing w:line="223" w:lineRule="exact"/>
              <w:ind w:left="107"/>
              <w:rPr>
                <w:sz w:val="20"/>
              </w:rPr>
            </w:pPr>
            <w:r>
              <w:rPr>
                <w:sz w:val="20"/>
              </w:rPr>
              <w:t>Deputy</w:t>
            </w:r>
            <w:r>
              <w:rPr>
                <w:spacing w:val="-3"/>
                <w:sz w:val="20"/>
              </w:rPr>
              <w:t> </w:t>
            </w:r>
            <w:r>
              <w:rPr>
                <w:sz w:val="20"/>
              </w:rPr>
              <w:t>Head</w:t>
            </w:r>
            <w:r>
              <w:rPr>
                <w:spacing w:val="-1"/>
                <w:sz w:val="20"/>
              </w:rPr>
              <w:t> </w:t>
            </w:r>
            <w:r>
              <w:rPr>
                <w:sz w:val="20"/>
              </w:rPr>
              <w:t>of</w:t>
            </w:r>
            <w:r>
              <w:rPr>
                <w:spacing w:val="-3"/>
                <w:sz w:val="20"/>
              </w:rPr>
              <w:t> </w:t>
            </w:r>
            <w:r>
              <w:rPr>
                <w:sz w:val="20"/>
              </w:rPr>
              <w:t>Internal</w:t>
            </w:r>
            <w:r>
              <w:rPr>
                <w:spacing w:val="-1"/>
                <w:sz w:val="20"/>
              </w:rPr>
              <w:t> </w:t>
            </w:r>
            <w:r>
              <w:rPr>
                <w:spacing w:val="-2"/>
                <w:sz w:val="20"/>
              </w:rPr>
              <w:t>Audit</w:t>
            </w:r>
          </w:p>
        </w:tc>
        <w:tc>
          <w:tcPr>
            <w:tcW w:w="2493" w:type="dxa"/>
            <w:tcBorders>
              <w:left w:val="dashed" w:sz="4" w:space="0" w:color="000000"/>
            </w:tcBorders>
          </w:tcPr>
          <w:p>
            <w:pPr>
              <w:pStyle w:val="TableParagraph"/>
              <w:spacing w:line="223" w:lineRule="exact"/>
              <w:ind w:left="108"/>
              <w:rPr>
                <w:sz w:val="20"/>
              </w:rPr>
            </w:pPr>
            <w:r>
              <w:rPr>
                <w:spacing w:val="-2"/>
                <w:sz w:val="20"/>
              </w:rPr>
              <w:t>NWSSP</w:t>
            </w:r>
          </w:p>
        </w:tc>
      </w:tr>
      <w:tr>
        <w:trPr>
          <w:trHeight w:val="243" w:hRule="atLeast"/>
        </w:trPr>
        <w:tc>
          <w:tcPr>
            <w:tcW w:w="3114" w:type="dxa"/>
            <w:tcBorders>
              <w:right w:val="dashed" w:sz="4" w:space="0" w:color="000000"/>
            </w:tcBorders>
          </w:tcPr>
          <w:p>
            <w:pPr>
              <w:pStyle w:val="TableParagraph"/>
              <w:spacing w:line="223" w:lineRule="exact"/>
              <w:ind w:left="108"/>
              <w:rPr>
                <w:sz w:val="20"/>
              </w:rPr>
            </w:pPr>
            <w:r>
              <w:rPr>
                <w:sz w:val="20"/>
              </w:rPr>
              <w:t>Mark</w:t>
            </w:r>
            <w:r>
              <w:rPr>
                <w:spacing w:val="-4"/>
                <w:sz w:val="20"/>
              </w:rPr>
              <w:t> </w:t>
            </w:r>
            <w:r>
              <w:rPr>
                <w:sz w:val="20"/>
              </w:rPr>
              <w:t>Weston</w:t>
            </w:r>
            <w:r>
              <w:rPr>
                <w:spacing w:val="-1"/>
                <w:sz w:val="20"/>
              </w:rPr>
              <w:t> </w:t>
            </w:r>
            <w:r>
              <w:rPr>
                <w:spacing w:val="-4"/>
                <w:sz w:val="20"/>
              </w:rPr>
              <w:t>(MW)</w:t>
            </w:r>
          </w:p>
        </w:tc>
        <w:tc>
          <w:tcPr>
            <w:tcW w:w="5386" w:type="dxa"/>
            <w:tcBorders>
              <w:left w:val="dashed" w:sz="4" w:space="0" w:color="000000"/>
              <w:right w:val="dashed" w:sz="4" w:space="0" w:color="000000"/>
            </w:tcBorders>
          </w:tcPr>
          <w:p>
            <w:pPr>
              <w:pStyle w:val="TableParagraph"/>
              <w:spacing w:line="223" w:lineRule="exact"/>
              <w:ind w:left="107"/>
              <w:rPr>
                <w:sz w:val="20"/>
              </w:rPr>
            </w:pPr>
            <w:r>
              <w:rPr>
                <w:sz w:val="20"/>
              </w:rPr>
              <w:t>Local</w:t>
            </w:r>
            <w:r>
              <w:rPr>
                <w:spacing w:val="-3"/>
                <w:sz w:val="20"/>
              </w:rPr>
              <w:t> </w:t>
            </w:r>
            <w:r>
              <w:rPr>
                <w:sz w:val="20"/>
              </w:rPr>
              <w:t>Counter</w:t>
            </w:r>
            <w:r>
              <w:rPr>
                <w:spacing w:val="-4"/>
                <w:sz w:val="20"/>
              </w:rPr>
              <w:t> </w:t>
            </w:r>
            <w:r>
              <w:rPr>
                <w:sz w:val="20"/>
              </w:rPr>
              <w:t>Fraud</w:t>
            </w:r>
            <w:r>
              <w:rPr>
                <w:spacing w:val="-2"/>
                <w:sz w:val="20"/>
              </w:rPr>
              <w:t> Specialist</w:t>
            </w:r>
          </w:p>
        </w:tc>
        <w:tc>
          <w:tcPr>
            <w:tcW w:w="2493" w:type="dxa"/>
            <w:tcBorders>
              <w:left w:val="dashed" w:sz="4" w:space="0" w:color="000000"/>
            </w:tcBorders>
          </w:tcPr>
          <w:p>
            <w:pPr>
              <w:pStyle w:val="TableParagraph"/>
              <w:spacing w:line="223" w:lineRule="exact"/>
              <w:ind w:left="108"/>
              <w:rPr>
                <w:sz w:val="20"/>
              </w:rPr>
            </w:pPr>
            <w:r>
              <w:rPr>
                <w:spacing w:val="-2"/>
                <w:sz w:val="20"/>
              </w:rPr>
              <w:t>NWSSP</w:t>
            </w:r>
          </w:p>
        </w:tc>
      </w:tr>
      <w:tr>
        <w:trPr>
          <w:trHeight w:val="243" w:hRule="atLeast"/>
        </w:trPr>
        <w:tc>
          <w:tcPr>
            <w:tcW w:w="3114" w:type="dxa"/>
            <w:tcBorders>
              <w:right w:val="dashed" w:sz="4" w:space="0" w:color="000000"/>
            </w:tcBorders>
          </w:tcPr>
          <w:p>
            <w:pPr>
              <w:pStyle w:val="TableParagraph"/>
              <w:spacing w:line="223" w:lineRule="exact"/>
              <w:ind w:left="108"/>
              <w:rPr>
                <w:sz w:val="20"/>
              </w:rPr>
            </w:pPr>
            <w:r>
              <w:rPr>
                <w:sz w:val="20"/>
              </w:rPr>
              <w:t>Linsay</w:t>
            </w:r>
            <w:r>
              <w:rPr>
                <w:spacing w:val="-1"/>
                <w:sz w:val="20"/>
              </w:rPr>
              <w:t> </w:t>
            </w:r>
            <w:r>
              <w:rPr>
                <w:sz w:val="20"/>
              </w:rPr>
              <w:t>Payne</w:t>
            </w:r>
            <w:r>
              <w:rPr>
                <w:spacing w:val="-2"/>
                <w:sz w:val="20"/>
              </w:rPr>
              <w:t> </w:t>
            </w:r>
            <w:r>
              <w:rPr>
                <w:spacing w:val="-4"/>
                <w:sz w:val="20"/>
              </w:rPr>
              <w:t>(LP)</w:t>
            </w:r>
          </w:p>
        </w:tc>
        <w:tc>
          <w:tcPr>
            <w:tcW w:w="5386" w:type="dxa"/>
            <w:tcBorders>
              <w:left w:val="dashed" w:sz="4" w:space="0" w:color="000000"/>
              <w:right w:val="dashed" w:sz="4" w:space="0" w:color="000000"/>
            </w:tcBorders>
          </w:tcPr>
          <w:p>
            <w:pPr>
              <w:pStyle w:val="TableParagraph"/>
              <w:spacing w:line="223" w:lineRule="exact"/>
              <w:ind w:left="107"/>
              <w:rPr>
                <w:sz w:val="20"/>
              </w:rPr>
            </w:pPr>
            <w:r>
              <w:rPr>
                <w:sz w:val="20"/>
              </w:rPr>
              <w:t>Deputy</w:t>
            </w:r>
            <w:r>
              <w:rPr>
                <w:spacing w:val="-3"/>
                <w:sz w:val="20"/>
              </w:rPr>
              <w:t> </w:t>
            </w:r>
            <w:r>
              <w:rPr>
                <w:sz w:val="20"/>
              </w:rPr>
              <w:t>Director</w:t>
            </w:r>
            <w:r>
              <w:rPr>
                <w:spacing w:val="-2"/>
                <w:sz w:val="20"/>
              </w:rPr>
              <w:t> </w:t>
            </w:r>
            <w:r>
              <w:rPr>
                <w:sz w:val="20"/>
              </w:rPr>
              <w:t>of</w:t>
            </w:r>
            <w:r>
              <w:rPr>
                <w:spacing w:val="-3"/>
                <w:sz w:val="20"/>
              </w:rPr>
              <w:t> </w:t>
            </w:r>
            <w:r>
              <w:rPr>
                <w:sz w:val="20"/>
              </w:rPr>
              <w:t>Finance</w:t>
            </w:r>
            <w:r>
              <w:rPr>
                <w:spacing w:val="-3"/>
                <w:sz w:val="20"/>
              </w:rPr>
              <w:t> </w:t>
            </w:r>
            <w:r>
              <w:rPr>
                <w:sz w:val="20"/>
              </w:rPr>
              <w:t>&amp;</w:t>
            </w:r>
            <w:r>
              <w:rPr>
                <w:spacing w:val="-3"/>
                <w:sz w:val="20"/>
              </w:rPr>
              <w:t> </w:t>
            </w:r>
            <w:r>
              <w:rPr>
                <w:sz w:val="20"/>
              </w:rPr>
              <w:t>Corporate</w:t>
            </w:r>
            <w:r>
              <w:rPr>
                <w:spacing w:val="-2"/>
                <w:sz w:val="20"/>
              </w:rPr>
              <w:t> Services</w:t>
            </w:r>
          </w:p>
        </w:tc>
        <w:tc>
          <w:tcPr>
            <w:tcW w:w="2493" w:type="dxa"/>
            <w:tcBorders>
              <w:left w:val="dashed" w:sz="4" w:space="0" w:color="000000"/>
            </w:tcBorders>
          </w:tcPr>
          <w:p>
            <w:pPr>
              <w:pStyle w:val="TableParagraph"/>
              <w:spacing w:line="223" w:lineRule="exact"/>
              <w:ind w:left="108"/>
              <w:rPr>
                <w:sz w:val="20"/>
              </w:rPr>
            </w:pPr>
            <w:r>
              <w:rPr>
                <w:spacing w:val="-2"/>
                <w:sz w:val="20"/>
              </w:rPr>
              <w:t>NWSSP</w:t>
            </w:r>
          </w:p>
        </w:tc>
      </w:tr>
      <w:tr>
        <w:trPr>
          <w:trHeight w:val="243" w:hRule="atLeast"/>
        </w:trPr>
        <w:tc>
          <w:tcPr>
            <w:tcW w:w="3114" w:type="dxa"/>
            <w:tcBorders>
              <w:right w:val="dashed" w:sz="4" w:space="0" w:color="000000"/>
            </w:tcBorders>
          </w:tcPr>
          <w:p>
            <w:pPr>
              <w:pStyle w:val="TableParagraph"/>
              <w:spacing w:line="223" w:lineRule="exact"/>
              <w:ind w:left="108"/>
              <w:rPr>
                <w:sz w:val="20"/>
              </w:rPr>
            </w:pPr>
            <w:r>
              <w:rPr>
                <w:sz w:val="20"/>
              </w:rPr>
              <w:t>Murray</w:t>
            </w:r>
            <w:r>
              <w:rPr>
                <w:spacing w:val="-3"/>
                <w:sz w:val="20"/>
              </w:rPr>
              <w:t> </w:t>
            </w:r>
            <w:r>
              <w:rPr>
                <w:sz w:val="20"/>
              </w:rPr>
              <w:t>Gard</w:t>
            </w:r>
            <w:r>
              <w:rPr>
                <w:spacing w:val="-3"/>
                <w:sz w:val="20"/>
              </w:rPr>
              <w:t> </w:t>
            </w:r>
            <w:r>
              <w:rPr>
                <w:sz w:val="20"/>
              </w:rPr>
              <w:t>(item</w:t>
            </w:r>
            <w:r>
              <w:rPr>
                <w:spacing w:val="-3"/>
                <w:sz w:val="20"/>
              </w:rPr>
              <w:t> </w:t>
            </w:r>
            <w:r>
              <w:rPr>
                <w:sz w:val="20"/>
              </w:rPr>
              <w:t>4.2</w:t>
            </w:r>
            <w:r>
              <w:rPr>
                <w:spacing w:val="-2"/>
                <w:sz w:val="20"/>
              </w:rPr>
              <w:t> only)</w:t>
            </w:r>
          </w:p>
        </w:tc>
        <w:tc>
          <w:tcPr>
            <w:tcW w:w="5386" w:type="dxa"/>
            <w:tcBorders>
              <w:left w:val="dashed" w:sz="4" w:space="0" w:color="000000"/>
              <w:right w:val="dashed" w:sz="4" w:space="0" w:color="000000"/>
            </w:tcBorders>
          </w:tcPr>
          <w:p>
            <w:pPr>
              <w:pStyle w:val="TableParagraph"/>
              <w:spacing w:line="223" w:lineRule="exact"/>
              <w:ind w:left="107"/>
              <w:rPr>
                <w:sz w:val="20"/>
              </w:rPr>
            </w:pPr>
            <w:r>
              <w:rPr>
                <w:sz w:val="20"/>
              </w:rPr>
              <w:t>Audit</w:t>
            </w:r>
            <w:r>
              <w:rPr>
                <w:spacing w:val="-2"/>
                <w:sz w:val="20"/>
              </w:rPr>
              <w:t> Manager</w:t>
            </w:r>
          </w:p>
        </w:tc>
        <w:tc>
          <w:tcPr>
            <w:tcW w:w="2493" w:type="dxa"/>
            <w:tcBorders>
              <w:left w:val="dashed" w:sz="4" w:space="0" w:color="000000"/>
            </w:tcBorders>
          </w:tcPr>
          <w:p>
            <w:pPr>
              <w:pStyle w:val="TableParagraph"/>
              <w:spacing w:line="223" w:lineRule="exact"/>
              <w:ind w:left="108"/>
              <w:rPr>
                <w:sz w:val="20"/>
              </w:rPr>
            </w:pPr>
            <w:r>
              <w:rPr>
                <w:spacing w:val="-2"/>
                <w:sz w:val="20"/>
              </w:rPr>
              <w:t>NWSSP</w:t>
            </w:r>
          </w:p>
        </w:tc>
      </w:tr>
      <w:tr>
        <w:trPr>
          <w:trHeight w:val="243" w:hRule="atLeast"/>
        </w:trPr>
        <w:tc>
          <w:tcPr>
            <w:tcW w:w="3114" w:type="dxa"/>
            <w:tcBorders>
              <w:right w:val="dashed" w:sz="4" w:space="0" w:color="000000"/>
            </w:tcBorders>
          </w:tcPr>
          <w:p>
            <w:pPr>
              <w:pStyle w:val="TableParagraph"/>
              <w:spacing w:line="223" w:lineRule="exact"/>
              <w:ind w:left="108"/>
              <w:rPr>
                <w:sz w:val="20"/>
              </w:rPr>
            </w:pPr>
            <w:r>
              <w:rPr>
                <w:sz w:val="20"/>
              </w:rPr>
              <w:t>Steve</w:t>
            </w:r>
            <w:r>
              <w:rPr>
                <w:spacing w:val="-4"/>
                <w:sz w:val="20"/>
              </w:rPr>
              <w:t> </w:t>
            </w:r>
            <w:r>
              <w:rPr>
                <w:sz w:val="20"/>
              </w:rPr>
              <w:t>Ham</w:t>
            </w:r>
            <w:r>
              <w:rPr>
                <w:spacing w:val="-1"/>
                <w:sz w:val="20"/>
              </w:rPr>
              <w:t> </w:t>
            </w:r>
            <w:r>
              <w:rPr>
                <w:spacing w:val="-4"/>
                <w:sz w:val="20"/>
              </w:rPr>
              <w:t>(SH)</w:t>
            </w:r>
          </w:p>
        </w:tc>
        <w:tc>
          <w:tcPr>
            <w:tcW w:w="5386" w:type="dxa"/>
            <w:tcBorders>
              <w:left w:val="dashed" w:sz="4" w:space="0" w:color="000000"/>
              <w:right w:val="dashed" w:sz="4" w:space="0" w:color="000000"/>
            </w:tcBorders>
          </w:tcPr>
          <w:p>
            <w:pPr>
              <w:pStyle w:val="TableParagraph"/>
              <w:spacing w:line="223" w:lineRule="exact"/>
              <w:ind w:left="107"/>
              <w:rPr>
                <w:sz w:val="20"/>
              </w:rPr>
            </w:pPr>
            <w:r>
              <w:rPr>
                <w:sz w:val="20"/>
              </w:rPr>
              <w:t>Chief</w:t>
            </w:r>
            <w:r>
              <w:rPr>
                <w:spacing w:val="-5"/>
                <w:sz w:val="20"/>
              </w:rPr>
              <w:t> </w:t>
            </w:r>
            <w:r>
              <w:rPr>
                <w:spacing w:val="-2"/>
                <w:sz w:val="20"/>
              </w:rPr>
              <w:t>Executive</w:t>
            </w:r>
          </w:p>
        </w:tc>
        <w:tc>
          <w:tcPr>
            <w:tcW w:w="2493" w:type="dxa"/>
            <w:tcBorders>
              <w:left w:val="dashed" w:sz="4" w:space="0" w:color="000000"/>
            </w:tcBorders>
          </w:tcPr>
          <w:p>
            <w:pPr>
              <w:pStyle w:val="TableParagraph"/>
              <w:spacing w:line="223" w:lineRule="exact"/>
              <w:ind w:left="108"/>
              <w:rPr>
                <w:sz w:val="20"/>
              </w:rPr>
            </w:pPr>
            <w:r>
              <w:rPr>
                <w:spacing w:val="-2"/>
                <w:sz w:val="20"/>
              </w:rPr>
              <w:t>Velindre</w:t>
            </w:r>
          </w:p>
        </w:tc>
      </w:tr>
      <w:tr>
        <w:trPr>
          <w:trHeight w:val="243" w:hRule="atLeast"/>
        </w:trPr>
        <w:tc>
          <w:tcPr>
            <w:tcW w:w="3114" w:type="dxa"/>
            <w:tcBorders>
              <w:right w:val="dashed" w:sz="4" w:space="0" w:color="000000"/>
            </w:tcBorders>
          </w:tcPr>
          <w:p>
            <w:pPr>
              <w:pStyle w:val="TableParagraph"/>
              <w:spacing w:line="223" w:lineRule="exact"/>
              <w:ind w:left="108"/>
              <w:rPr>
                <w:sz w:val="20"/>
              </w:rPr>
            </w:pPr>
            <w:r>
              <w:rPr>
                <w:sz w:val="20"/>
              </w:rPr>
              <w:t>Lauren</w:t>
            </w:r>
            <w:r>
              <w:rPr>
                <w:spacing w:val="-2"/>
                <w:sz w:val="20"/>
              </w:rPr>
              <w:t> </w:t>
            </w:r>
            <w:r>
              <w:rPr>
                <w:sz w:val="20"/>
              </w:rPr>
              <w:t>Fear</w:t>
            </w:r>
            <w:r>
              <w:rPr>
                <w:spacing w:val="-1"/>
                <w:sz w:val="20"/>
              </w:rPr>
              <w:t> </w:t>
            </w:r>
            <w:r>
              <w:rPr>
                <w:spacing w:val="-4"/>
                <w:sz w:val="20"/>
              </w:rPr>
              <w:t>(LF)</w:t>
            </w:r>
          </w:p>
        </w:tc>
        <w:tc>
          <w:tcPr>
            <w:tcW w:w="5386" w:type="dxa"/>
            <w:tcBorders>
              <w:left w:val="dashed" w:sz="4" w:space="0" w:color="000000"/>
              <w:right w:val="dashed" w:sz="4" w:space="0" w:color="000000"/>
            </w:tcBorders>
          </w:tcPr>
          <w:p>
            <w:pPr>
              <w:pStyle w:val="TableParagraph"/>
              <w:spacing w:line="223" w:lineRule="exact"/>
              <w:ind w:left="107"/>
              <w:rPr>
                <w:sz w:val="20"/>
              </w:rPr>
            </w:pPr>
            <w:r>
              <w:rPr>
                <w:sz w:val="20"/>
              </w:rPr>
              <w:t>Director</w:t>
            </w:r>
            <w:r>
              <w:rPr>
                <w:spacing w:val="-3"/>
                <w:sz w:val="20"/>
              </w:rPr>
              <w:t> </w:t>
            </w:r>
            <w:r>
              <w:rPr>
                <w:sz w:val="20"/>
              </w:rPr>
              <w:t>of</w:t>
            </w:r>
            <w:r>
              <w:rPr>
                <w:spacing w:val="-3"/>
                <w:sz w:val="20"/>
              </w:rPr>
              <w:t> </w:t>
            </w:r>
            <w:r>
              <w:rPr>
                <w:sz w:val="20"/>
              </w:rPr>
              <w:t>Corporate</w:t>
            </w:r>
            <w:r>
              <w:rPr>
                <w:spacing w:val="-2"/>
                <w:sz w:val="20"/>
              </w:rPr>
              <w:t> Governance</w:t>
            </w:r>
          </w:p>
        </w:tc>
        <w:tc>
          <w:tcPr>
            <w:tcW w:w="2493" w:type="dxa"/>
            <w:tcBorders>
              <w:left w:val="dashed" w:sz="4" w:space="0" w:color="000000"/>
            </w:tcBorders>
          </w:tcPr>
          <w:p>
            <w:pPr>
              <w:pStyle w:val="TableParagraph"/>
              <w:spacing w:line="223" w:lineRule="exact"/>
              <w:ind w:left="108"/>
              <w:rPr>
                <w:sz w:val="20"/>
              </w:rPr>
            </w:pPr>
            <w:r>
              <w:rPr>
                <w:spacing w:val="-2"/>
                <w:sz w:val="20"/>
              </w:rPr>
              <w:t>Velindre</w:t>
            </w:r>
          </w:p>
        </w:tc>
      </w:tr>
      <w:tr>
        <w:trPr>
          <w:trHeight w:val="243" w:hRule="atLeast"/>
        </w:trPr>
        <w:tc>
          <w:tcPr>
            <w:tcW w:w="3114" w:type="dxa"/>
            <w:tcBorders>
              <w:right w:val="dashed" w:sz="4" w:space="0" w:color="000000"/>
            </w:tcBorders>
          </w:tcPr>
          <w:p>
            <w:pPr>
              <w:pStyle w:val="TableParagraph"/>
              <w:spacing w:line="223" w:lineRule="exact"/>
              <w:ind w:left="108"/>
              <w:rPr>
                <w:sz w:val="20"/>
              </w:rPr>
            </w:pPr>
            <w:r>
              <w:rPr>
                <w:sz w:val="20"/>
              </w:rPr>
              <w:t>Matthew</w:t>
            </w:r>
            <w:r>
              <w:rPr>
                <w:spacing w:val="-4"/>
                <w:sz w:val="20"/>
              </w:rPr>
              <w:t> </w:t>
            </w:r>
            <w:r>
              <w:rPr>
                <w:sz w:val="20"/>
              </w:rPr>
              <w:t>Bunce</w:t>
            </w:r>
            <w:r>
              <w:rPr>
                <w:spacing w:val="-3"/>
                <w:sz w:val="20"/>
              </w:rPr>
              <w:t> </w:t>
            </w:r>
            <w:r>
              <w:rPr>
                <w:spacing w:val="-4"/>
                <w:sz w:val="20"/>
              </w:rPr>
              <w:t>(MB)</w:t>
            </w:r>
          </w:p>
        </w:tc>
        <w:tc>
          <w:tcPr>
            <w:tcW w:w="5386" w:type="dxa"/>
            <w:tcBorders>
              <w:left w:val="dashed" w:sz="4" w:space="0" w:color="000000"/>
              <w:right w:val="dashed" w:sz="4" w:space="0" w:color="000000"/>
            </w:tcBorders>
          </w:tcPr>
          <w:p>
            <w:pPr>
              <w:pStyle w:val="TableParagraph"/>
              <w:spacing w:line="223" w:lineRule="exact"/>
              <w:ind w:left="107"/>
              <w:rPr>
                <w:sz w:val="20"/>
              </w:rPr>
            </w:pPr>
            <w:r>
              <w:rPr>
                <w:sz w:val="20"/>
              </w:rPr>
              <w:t>Velindre</w:t>
            </w:r>
            <w:r>
              <w:rPr>
                <w:spacing w:val="-5"/>
                <w:sz w:val="20"/>
              </w:rPr>
              <w:t> </w:t>
            </w:r>
            <w:r>
              <w:rPr>
                <w:sz w:val="20"/>
              </w:rPr>
              <w:t>NHS</w:t>
            </w:r>
            <w:r>
              <w:rPr>
                <w:spacing w:val="-3"/>
                <w:sz w:val="20"/>
              </w:rPr>
              <w:t> </w:t>
            </w:r>
            <w:r>
              <w:rPr>
                <w:sz w:val="20"/>
              </w:rPr>
              <w:t>Trust</w:t>
            </w:r>
            <w:r>
              <w:rPr>
                <w:spacing w:val="-2"/>
                <w:sz w:val="20"/>
              </w:rPr>
              <w:t> </w:t>
            </w:r>
            <w:r>
              <w:rPr>
                <w:sz w:val="20"/>
              </w:rPr>
              <w:t>Director</w:t>
            </w:r>
            <w:r>
              <w:rPr>
                <w:spacing w:val="-3"/>
                <w:sz w:val="20"/>
              </w:rPr>
              <w:t> </w:t>
            </w:r>
            <w:r>
              <w:rPr>
                <w:sz w:val="20"/>
              </w:rPr>
              <w:t>of</w:t>
            </w:r>
            <w:r>
              <w:rPr>
                <w:spacing w:val="-2"/>
                <w:sz w:val="20"/>
              </w:rPr>
              <w:t> Finance</w:t>
            </w:r>
          </w:p>
        </w:tc>
        <w:tc>
          <w:tcPr>
            <w:tcW w:w="2493" w:type="dxa"/>
            <w:tcBorders>
              <w:left w:val="dashed" w:sz="4" w:space="0" w:color="000000"/>
            </w:tcBorders>
          </w:tcPr>
          <w:p>
            <w:pPr>
              <w:pStyle w:val="TableParagraph"/>
              <w:spacing w:line="223" w:lineRule="exact"/>
              <w:ind w:left="108"/>
              <w:rPr>
                <w:sz w:val="20"/>
              </w:rPr>
            </w:pPr>
            <w:r>
              <w:rPr>
                <w:spacing w:val="-2"/>
                <w:sz w:val="20"/>
              </w:rPr>
              <w:t>Velindre</w:t>
            </w:r>
          </w:p>
        </w:tc>
      </w:tr>
      <w:tr>
        <w:trPr>
          <w:trHeight w:val="243" w:hRule="atLeast"/>
        </w:trPr>
        <w:tc>
          <w:tcPr>
            <w:tcW w:w="3114" w:type="dxa"/>
            <w:tcBorders>
              <w:right w:val="dashed" w:sz="4" w:space="0" w:color="000000"/>
            </w:tcBorders>
          </w:tcPr>
          <w:p>
            <w:pPr>
              <w:pStyle w:val="TableParagraph"/>
              <w:spacing w:line="223" w:lineRule="exact"/>
              <w:ind w:left="108"/>
              <w:rPr>
                <w:sz w:val="20"/>
              </w:rPr>
            </w:pPr>
            <w:r>
              <w:rPr>
                <w:sz w:val="20"/>
              </w:rPr>
              <w:t>Steve</w:t>
            </w:r>
            <w:r>
              <w:rPr>
                <w:spacing w:val="-4"/>
                <w:sz w:val="20"/>
              </w:rPr>
              <w:t> </w:t>
            </w:r>
            <w:r>
              <w:rPr>
                <w:sz w:val="20"/>
              </w:rPr>
              <w:t>Wyndham</w:t>
            </w:r>
            <w:r>
              <w:rPr>
                <w:spacing w:val="-1"/>
                <w:sz w:val="20"/>
              </w:rPr>
              <w:t> </w:t>
            </w:r>
            <w:r>
              <w:rPr>
                <w:spacing w:val="-4"/>
                <w:sz w:val="20"/>
              </w:rPr>
              <w:t>(SW)</w:t>
            </w:r>
          </w:p>
        </w:tc>
        <w:tc>
          <w:tcPr>
            <w:tcW w:w="5386" w:type="dxa"/>
            <w:tcBorders>
              <w:left w:val="dashed" w:sz="4" w:space="0" w:color="000000"/>
              <w:right w:val="dashed" w:sz="4" w:space="0" w:color="000000"/>
            </w:tcBorders>
          </w:tcPr>
          <w:p>
            <w:pPr>
              <w:pStyle w:val="TableParagraph"/>
              <w:spacing w:line="223" w:lineRule="exact"/>
              <w:ind w:left="107"/>
              <w:rPr>
                <w:sz w:val="20"/>
              </w:rPr>
            </w:pPr>
            <w:r>
              <w:rPr>
                <w:sz w:val="20"/>
              </w:rPr>
              <w:t>Audit</w:t>
            </w:r>
            <w:r>
              <w:rPr>
                <w:spacing w:val="-2"/>
                <w:sz w:val="20"/>
              </w:rPr>
              <w:t> </w:t>
            </w:r>
            <w:r>
              <w:rPr>
                <w:spacing w:val="-4"/>
                <w:sz w:val="20"/>
              </w:rPr>
              <w:t>Lead</w:t>
            </w:r>
          </w:p>
        </w:tc>
        <w:tc>
          <w:tcPr>
            <w:tcW w:w="2493" w:type="dxa"/>
            <w:tcBorders>
              <w:left w:val="dashed" w:sz="4" w:space="0" w:color="000000"/>
            </w:tcBorders>
          </w:tcPr>
          <w:p>
            <w:pPr>
              <w:pStyle w:val="TableParagraph"/>
              <w:spacing w:line="223" w:lineRule="exact"/>
              <w:ind w:left="108"/>
              <w:rPr>
                <w:sz w:val="20"/>
              </w:rPr>
            </w:pPr>
            <w:r>
              <w:rPr>
                <w:sz w:val="20"/>
              </w:rPr>
              <w:t>Audit</w:t>
            </w:r>
            <w:r>
              <w:rPr>
                <w:spacing w:val="-2"/>
                <w:sz w:val="20"/>
              </w:rPr>
              <w:t> Wales</w:t>
            </w:r>
          </w:p>
        </w:tc>
      </w:tr>
    </w:tbl>
    <w:p>
      <w:pPr>
        <w:pStyle w:val="BodyText"/>
        <w:spacing w:before="1"/>
        <w:rPr>
          <w:rFonts w:ascii="Arial"/>
          <w:b/>
          <w:sz w:val="20"/>
        </w:rPr>
      </w:pPr>
    </w:p>
    <w:tbl>
      <w:tblPr>
        <w:tblW w:w="0" w:type="auto"/>
        <w:jc w:val="left"/>
        <w:tblInd w:w="3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55"/>
        <w:gridCol w:w="8128"/>
        <w:gridCol w:w="1535"/>
      </w:tblGrid>
      <w:tr>
        <w:trPr>
          <w:trHeight w:val="275" w:hRule="atLeast"/>
        </w:trPr>
        <w:tc>
          <w:tcPr>
            <w:tcW w:w="1355" w:type="dxa"/>
          </w:tcPr>
          <w:p>
            <w:pPr>
              <w:pStyle w:val="TableParagraph"/>
              <w:spacing w:line="255" w:lineRule="exact"/>
              <w:ind w:left="108"/>
              <w:rPr>
                <w:b/>
                <w:sz w:val="22"/>
              </w:rPr>
            </w:pPr>
            <w:r>
              <w:rPr>
                <w:b/>
                <w:spacing w:val="-4"/>
                <w:sz w:val="22"/>
              </w:rPr>
              <w:t>Item</w:t>
            </w:r>
          </w:p>
        </w:tc>
        <w:tc>
          <w:tcPr>
            <w:tcW w:w="8128" w:type="dxa"/>
          </w:tcPr>
          <w:p>
            <w:pPr>
              <w:pStyle w:val="TableParagraph"/>
              <w:rPr>
                <w:rFonts w:ascii="Times New Roman"/>
                <w:sz w:val="20"/>
              </w:rPr>
            </w:pPr>
          </w:p>
        </w:tc>
        <w:tc>
          <w:tcPr>
            <w:tcW w:w="1535" w:type="dxa"/>
          </w:tcPr>
          <w:p>
            <w:pPr>
              <w:pStyle w:val="TableParagraph"/>
              <w:spacing w:line="255" w:lineRule="exact"/>
              <w:ind w:left="107"/>
              <w:rPr>
                <w:b/>
                <w:sz w:val="22"/>
              </w:rPr>
            </w:pPr>
            <w:r>
              <w:rPr>
                <w:b/>
                <w:spacing w:val="-2"/>
                <w:sz w:val="22"/>
              </w:rPr>
              <w:t>Action</w:t>
            </w:r>
          </w:p>
        </w:tc>
      </w:tr>
      <w:tr>
        <w:trPr>
          <w:trHeight w:val="534" w:hRule="atLeast"/>
        </w:trPr>
        <w:tc>
          <w:tcPr>
            <w:tcW w:w="11018" w:type="dxa"/>
            <w:gridSpan w:val="3"/>
            <w:shd w:val="clear" w:color="auto" w:fill="BFBFBF"/>
          </w:tcPr>
          <w:p>
            <w:pPr>
              <w:pStyle w:val="TableParagraph"/>
              <w:ind w:left="467"/>
              <w:rPr>
                <w:b/>
                <w:sz w:val="22"/>
              </w:rPr>
            </w:pPr>
            <w:r>
              <w:rPr>
                <w:b/>
                <w:sz w:val="22"/>
              </w:rPr>
              <w:t>1.</w:t>
            </w:r>
            <w:r>
              <w:rPr>
                <w:b/>
                <w:spacing w:val="47"/>
                <w:sz w:val="22"/>
              </w:rPr>
              <w:t> </w:t>
            </w:r>
            <w:r>
              <w:rPr>
                <w:b/>
                <w:sz w:val="22"/>
              </w:rPr>
              <w:t>STANDARD </w:t>
            </w:r>
            <w:r>
              <w:rPr>
                <w:b/>
                <w:spacing w:val="-2"/>
                <w:sz w:val="22"/>
              </w:rPr>
              <w:t>BUSINESS</w:t>
            </w:r>
          </w:p>
        </w:tc>
      </w:tr>
      <w:tr>
        <w:trPr>
          <w:trHeight w:val="1336" w:hRule="atLeast"/>
        </w:trPr>
        <w:tc>
          <w:tcPr>
            <w:tcW w:w="1355" w:type="dxa"/>
          </w:tcPr>
          <w:p>
            <w:pPr>
              <w:pStyle w:val="TableParagraph"/>
              <w:ind w:left="108"/>
              <w:rPr>
                <w:b/>
                <w:sz w:val="22"/>
              </w:rPr>
            </w:pPr>
            <w:r>
              <w:rPr>
                <w:b/>
                <w:spacing w:val="-5"/>
                <w:sz w:val="22"/>
              </w:rPr>
              <w:t>1.1</w:t>
            </w:r>
          </w:p>
        </w:tc>
        <w:tc>
          <w:tcPr>
            <w:tcW w:w="8128" w:type="dxa"/>
          </w:tcPr>
          <w:p>
            <w:pPr>
              <w:pStyle w:val="TableParagraph"/>
              <w:ind w:left="108"/>
              <w:jc w:val="both"/>
              <w:rPr>
                <w:b/>
                <w:sz w:val="22"/>
              </w:rPr>
            </w:pPr>
            <w:r>
              <w:rPr>
                <w:b/>
                <w:sz w:val="22"/>
              </w:rPr>
              <w:t>Welcome</w:t>
            </w:r>
            <w:r>
              <w:rPr>
                <w:b/>
                <w:spacing w:val="-4"/>
                <w:sz w:val="22"/>
              </w:rPr>
              <w:t> </w:t>
            </w:r>
            <w:r>
              <w:rPr>
                <w:b/>
                <w:sz w:val="22"/>
              </w:rPr>
              <w:t>and</w:t>
            </w:r>
            <w:r>
              <w:rPr>
                <w:b/>
                <w:spacing w:val="-4"/>
                <w:sz w:val="22"/>
              </w:rPr>
              <w:t> </w:t>
            </w:r>
            <w:r>
              <w:rPr>
                <w:b/>
                <w:sz w:val="22"/>
              </w:rPr>
              <w:t>Opening</w:t>
            </w:r>
            <w:r>
              <w:rPr>
                <w:b/>
                <w:spacing w:val="-4"/>
                <w:sz w:val="22"/>
              </w:rPr>
              <w:t> </w:t>
            </w:r>
            <w:r>
              <w:rPr>
                <w:b/>
                <w:spacing w:val="-2"/>
                <w:sz w:val="22"/>
              </w:rPr>
              <w:t>Remarks</w:t>
            </w:r>
          </w:p>
          <w:p>
            <w:pPr>
              <w:pStyle w:val="TableParagraph"/>
              <w:ind w:left="108" w:right="95"/>
              <w:jc w:val="both"/>
              <w:rPr>
                <w:sz w:val="22"/>
              </w:rPr>
            </w:pPr>
            <w:r>
              <w:rPr>
                <w:sz w:val="22"/>
              </w:rPr>
              <w:t>Welcome</w:t>
            </w:r>
            <w:r>
              <w:rPr>
                <w:spacing w:val="-6"/>
                <w:sz w:val="22"/>
              </w:rPr>
              <w:t> </w:t>
            </w:r>
            <w:r>
              <w:rPr>
                <w:sz w:val="22"/>
              </w:rPr>
              <w:t>was</w:t>
            </w:r>
            <w:r>
              <w:rPr>
                <w:spacing w:val="-6"/>
                <w:sz w:val="22"/>
              </w:rPr>
              <w:t> </w:t>
            </w:r>
            <w:r>
              <w:rPr>
                <w:sz w:val="22"/>
              </w:rPr>
              <w:t>given</w:t>
            </w:r>
            <w:r>
              <w:rPr>
                <w:spacing w:val="-6"/>
                <w:sz w:val="22"/>
              </w:rPr>
              <w:t> </w:t>
            </w:r>
            <w:r>
              <w:rPr>
                <w:sz w:val="22"/>
              </w:rPr>
              <w:t>to</w:t>
            </w:r>
            <w:r>
              <w:rPr>
                <w:spacing w:val="-6"/>
                <w:sz w:val="22"/>
              </w:rPr>
              <w:t> </w:t>
            </w:r>
            <w:r>
              <w:rPr>
                <w:sz w:val="22"/>
              </w:rPr>
              <w:t>Murray</w:t>
            </w:r>
            <w:r>
              <w:rPr>
                <w:spacing w:val="-6"/>
                <w:sz w:val="22"/>
              </w:rPr>
              <w:t> </w:t>
            </w:r>
            <w:r>
              <w:rPr>
                <w:sz w:val="22"/>
              </w:rPr>
              <w:t>Gard,</w:t>
            </w:r>
            <w:r>
              <w:rPr>
                <w:spacing w:val="-6"/>
                <w:sz w:val="22"/>
              </w:rPr>
              <w:t> </w:t>
            </w:r>
            <w:r>
              <w:rPr>
                <w:sz w:val="22"/>
              </w:rPr>
              <w:t>Audit</w:t>
            </w:r>
            <w:r>
              <w:rPr>
                <w:spacing w:val="-6"/>
                <w:sz w:val="22"/>
              </w:rPr>
              <w:t> </w:t>
            </w:r>
            <w:r>
              <w:rPr>
                <w:sz w:val="22"/>
              </w:rPr>
              <w:t>Manager</w:t>
            </w:r>
            <w:r>
              <w:rPr>
                <w:spacing w:val="-6"/>
                <w:sz w:val="22"/>
              </w:rPr>
              <w:t> </w:t>
            </w:r>
            <w:r>
              <w:rPr>
                <w:sz w:val="22"/>
              </w:rPr>
              <w:t>for</w:t>
            </w:r>
            <w:r>
              <w:rPr>
                <w:spacing w:val="-6"/>
                <w:sz w:val="22"/>
              </w:rPr>
              <w:t> </w:t>
            </w:r>
            <w:r>
              <w:rPr>
                <w:sz w:val="22"/>
              </w:rPr>
              <w:t>NWSSP</w:t>
            </w:r>
            <w:r>
              <w:rPr>
                <w:spacing w:val="-6"/>
                <w:sz w:val="22"/>
              </w:rPr>
              <w:t> </w:t>
            </w:r>
            <w:r>
              <w:rPr>
                <w:sz w:val="22"/>
              </w:rPr>
              <w:t>Internal Audit who was attending the meeting to present two Advisory Reports to the Audit Committee.</w:t>
            </w:r>
          </w:p>
        </w:tc>
        <w:tc>
          <w:tcPr>
            <w:tcW w:w="1535" w:type="dxa"/>
          </w:tcPr>
          <w:p>
            <w:pPr>
              <w:pStyle w:val="TableParagraph"/>
              <w:rPr>
                <w:rFonts w:ascii="Times New Roman"/>
                <w:sz w:val="20"/>
              </w:rPr>
            </w:pPr>
          </w:p>
        </w:tc>
      </w:tr>
      <w:tr>
        <w:trPr>
          <w:trHeight w:val="802" w:hRule="atLeast"/>
        </w:trPr>
        <w:tc>
          <w:tcPr>
            <w:tcW w:w="1355" w:type="dxa"/>
          </w:tcPr>
          <w:p>
            <w:pPr>
              <w:pStyle w:val="TableParagraph"/>
              <w:ind w:left="108"/>
              <w:rPr>
                <w:b/>
                <w:sz w:val="22"/>
              </w:rPr>
            </w:pPr>
            <w:r>
              <w:rPr>
                <w:b/>
                <w:spacing w:val="-5"/>
                <w:sz w:val="22"/>
              </w:rPr>
              <w:t>1.2</w:t>
            </w:r>
          </w:p>
        </w:tc>
        <w:tc>
          <w:tcPr>
            <w:tcW w:w="8128" w:type="dxa"/>
          </w:tcPr>
          <w:p>
            <w:pPr>
              <w:pStyle w:val="TableParagraph"/>
              <w:ind w:left="108"/>
              <w:rPr>
                <w:b/>
                <w:sz w:val="22"/>
              </w:rPr>
            </w:pPr>
            <w:r>
              <w:rPr>
                <w:b/>
                <w:spacing w:val="-2"/>
                <w:sz w:val="22"/>
              </w:rPr>
              <w:t>Apologies</w:t>
            </w:r>
          </w:p>
          <w:p>
            <w:pPr>
              <w:pStyle w:val="TableParagraph"/>
              <w:ind w:left="108"/>
              <w:rPr>
                <w:sz w:val="22"/>
              </w:rPr>
            </w:pPr>
            <w:r>
              <w:rPr>
                <w:sz w:val="22"/>
              </w:rPr>
              <w:t>No</w:t>
            </w:r>
            <w:r>
              <w:rPr>
                <w:spacing w:val="-3"/>
                <w:sz w:val="22"/>
              </w:rPr>
              <w:t> </w:t>
            </w:r>
            <w:r>
              <w:rPr>
                <w:sz w:val="22"/>
              </w:rPr>
              <w:t>apologies</w:t>
            </w:r>
            <w:r>
              <w:rPr>
                <w:spacing w:val="-4"/>
                <w:sz w:val="22"/>
              </w:rPr>
              <w:t> </w:t>
            </w:r>
            <w:r>
              <w:rPr>
                <w:sz w:val="22"/>
              </w:rPr>
              <w:t>were</w:t>
            </w:r>
            <w:r>
              <w:rPr>
                <w:spacing w:val="-3"/>
                <w:sz w:val="22"/>
              </w:rPr>
              <w:t> </w:t>
            </w:r>
            <w:r>
              <w:rPr>
                <w:spacing w:val="-2"/>
                <w:sz w:val="22"/>
              </w:rPr>
              <w:t>received.</w:t>
            </w:r>
          </w:p>
        </w:tc>
        <w:tc>
          <w:tcPr>
            <w:tcW w:w="1535" w:type="dxa"/>
          </w:tcPr>
          <w:p>
            <w:pPr>
              <w:pStyle w:val="TableParagraph"/>
              <w:rPr>
                <w:rFonts w:ascii="Times New Roman"/>
                <w:sz w:val="20"/>
              </w:rPr>
            </w:pPr>
          </w:p>
        </w:tc>
      </w:tr>
      <w:tr>
        <w:trPr>
          <w:trHeight w:val="802" w:hRule="atLeast"/>
        </w:trPr>
        <w:tc>
          <w:tcPr>
            <w:tcW w:w="1355" w:type="dxa"/>
          </w:tcPr>
          <w:p>
            <w:pPr>
              <w:pStyle w:val="TableParagraph"/>
              <w:ind w:left="108"/>
              <w:rPr>
                <w:b/>
                <w:sz w:val="22"/>
              </w:rPr>
            </w:pPr>
            <w:r>
              <w:rPr>
                <w:b/>
                <w:spacing w:val="-5"/>
                <w:sz w:val="22"/>
              </w:rPr>
              <w:t>1.3</w:t>
            </w:r>
          </w:p>
        </w:tc>
        <w:tc>
          <w:tcPr>
            <w:tcW w:w="8128" w:type="dxa"/>
          </w:tcPr>
          <w:p>
            <w:pPr>
              <w:pStyle w:val="TableParagraph"/>
              <w:ind w:left="108"/>
              <w:rPr>
                <w:b/>
                <w:sz w:val="22"/>
              </w:rPr>
            </w:pPr>
            <w:r>
              <w:rPr>
                <w:b/>
                <w:sz w:val="22"/>
              </w:rPr>
              <w:t>Declarations</w:t>
            </w:r>
            <w:r>
              <w:rPr>
                <w:b/>
                <w:spacing w:val="-4"/>
                <w:sz w:val="22"/>
              </w:rPr>
              <w:t> </w:t>
            </w:r>
            <w:r>
              <w:rPr>
                <w:b/>
                <w:sz w:val="22"/>
              </w:rPr>
              <w:t>of</w:t>
            </w:r>
            <w:r>
              <w:rPr>
                <w:b/>
                <w:spacing w:val="-3"/>
                <w:sz w:val="22"/>
              </w:rPr>
              <w:t> </w:t>
            </w:r>
            <w:r>
              <w:rPr>
                <w:b/>
                <w:spacing w:val="-2"/>
                <w:sz w:val="22"/>
              </w:rPr>
              <w:t>Interest</w:t>
            </w:r>
          </w:p>
          <w:p>
            <w:pPr>
              <w:pStyle w:val="TableParagraph"/>
              <w:ind w:left="108"/>
              <w:rPr>
                <w:sz w:val="22"/>
              </w:rPr>
            </w:pPr>
            <w:r>
              <w:rPr>
                <w:sz w:val="22"/>
              </w:rPr>
              <w:t>None</w:t>
            </w:r>
            <w:r>
              <w:rPr>
                <w:spacing w:val="-4"/>
                <w:sz w:val="22"/>
              </w:rPr>
              <w:t> </w:t>
            </w:r>
            <w:r>
              <w:rPr>
                <w:spacing w:val="-2"/>
                <w:sz w:val="22"/>
              </w:rPr>
              <w:t>received.</w:t>
            </w:r>
          </w:p>
        </w:tc>
        <w:tc>
          <w:tcPr>
            <w:tcW w:w="1535" w:type="dxa"/>
          </w:tcPr>
          <w:p>
            <w:pPr>
              <w:pStyle w:val="TableParagraph"/>
              <w:rPr>
                <w:rFonts w:ascii="Times New Roman"/>
                <w:sz w:val="20"/>
              </w:rPr>
            </w:pPr>
          </w:p>
        </w:tc>
      </w:tr>
      <w:tr>
        <w:trPr>
          <w:trHeight w:val="802" w:hRule="atLeast"/>
        </w:trPr>
        <w:tc>
          <w:tcPr>
            <w:tcW w:w="1355" w:type="dxa"/>
          </w:tcPr>
          <w:p>
            <w:pPr>
              <w:pStyle w:val="TableParagraph"/>
              <w:ind w:left="108"/>
              <w:rPr>
                <w:b/>
                <w:sz w:val="22"/>
              </w:rPr>
            </w:pPr>
            <w:r>
              <w:rPr>
                <w:b/>
                <w:spacing w:val="-5"/>
                <w:sz w:val="22"/>
              </w:rPr>
              <w:t>1.4</w:t>
            </w:r>
          </w:p>
        </w:tc>
        <w:tc>
          <w:tcPr>
            <w:tcW w:w="8128" w:type="dxa"/>
          </w:tcPr>
          <w:p>
            <w:pPr>
              <w:pStyle w:val="TableParagraph"/>
              <w:ind w:left="108"/>
              <w:rPr>
                <w:b/>
                <w:sz w:val="22"/>
              </w:rPr>
            </w:pPr>
            <w:r>
              <w:rPr>
                <w:b/>
                <w:sz w:val="22"/>
              </w:rPr>
              <w:t>Minutes</w:t>
            </w:r>
            <w:r>
              <w:rPr>
                <w:b/>
                <w:spacing w:val="-3"/>
                <w:sz w:val="22"/>
              </w:rPr>
              <w:t> </w:t>
            </w:r>
            <w:r>
              <w:rPr>
                <w:b/>
                <w:sz w:val="22"/>
              </w:rPr>
              <w:t>of</w:t>
            </w:r>
            <w:r>
              <w:rPr>
                <w:b/>
                <w:spacing w:val="-1"/>
                <w:sz w:val="22"/>
              </w:rPr>
              <w:t> </w:t>
            </w:r>
            <w:r>
              <w:rPr>
                <w:b/>
                <w:sz w:val="22"/>
              </w:rPr>
              <w:t>Meeting</w:t>
            </w:r>
            <w:r>
              <w:rPr>
                <w:b/>
                <w:spacing w:val="-1"/>
                <w:sz w:val="22"/>
              </w:rPr>
              <w:t> </w:t>
            </w:r>
            <w:r>
              <w:rPr>
                <w:b/>
                <w:sz w:val="22"/>
              </w:rPr>
              <w:t>held on</w:t>
            </w:r>
            <w:r>
              <w:rPr>
                <w:b/>
                <w:spacing w:val="-2"/>
                <w:sz w:val="22"/>
              </w:rPr>
              <w:t> </w:t>
            </w:r>
            <w:r>
              <w:rPr>
                <w:b/>
                <w:sz w:val="22"/>
              </w:rPr>
              <w:t>13</w:t>
            </w:r>
            <w:r>
              <w:rPr>
                <w:b/>
                <w:spacing w:val="-1"/>
                <w:sz w:val="22"/>
              </w:rPr>
              <w:t> </w:t>
            </w:r>
            <w:r>
              <w:rPr>
                <w:b/>
                <w:sz w:val="22"/>
              </w:rPr>
              <w:t>July</w:t>
            </w:r>
            <w:r>
              <w:rPr>
                <w:b/>
                <w:spacing w:val="-1"/>
                <w:sz w:val="22"/>
              </w:rPr>
              <w:t> </w:t>
            </w:r>
            <w:r>
              <w:rPr>
                <w:b/>
                <w:spacing w:val="-4"/>
                <w:sz w:val="22"/>
              </w:rPr>
              <w:t>2022</w:t>
            </w:r>
          </w:p>
          <w:p>
            <w:pPr>
              <w:pStyle w:val="TableParagraph"/>
              <w:spacing w:line="260" w:lineRule="atLeast"/>
              <w:ind w:left="108"/>
              <w:rPr>
                <w:sz w:val="22"/>
              </w:rPr>
            </w:pPr>
            <w:r>
              <w:rPr>
                <w:sz w:val="22"/>
              </w:rPr>
              <w:t>The minutes of the meeting held in July 2022 were AGREED as a true and accurate record of the meeting.</w:t>
            </w:r>
          </w:p>
        </w:tc>
        <w:tc>
          <w:tcPr>
            <w:tcW w:w="1535" w:type="dxa"/>
          </w:tcPr>
          <w:p>
            <w:pPr>
              <w:pStyle w:val="TableParagraph"/>
              <w:rPr>
                <w:rFonts w:ascii="Times New Roman"/>
                <w:sz w:val="20"/>
              </w:rPr>
            </w:pPr>
          </w:p>
        </w:tc>
      </w:tr>
    </w:tbl>
    <w:p>
      <w:pPr>
        <w:pStyle w:val="BodyText"/>
        <w:spacing w:before="1"/>
        <w:rPr>
          <w:rFonts w:ascii="Arial"/>
          <w:b/>
          <w:sz w:val="19"/>
        </w:rPr>
      </w:pPr>
    </w:p>
    <w:p>
      <w:pPr>
        <w:pStyle w:val="BodyText"/>
        <w:spacing w:before="1"/>
        <w:ind w:left="850"/>
      </w:pPr>
      <w:r>
        <w:rPr/>
        <w:t>NWSSP</w:t>
      </w:r>
      <w:r>
        <w:rPr>
          <w:spacing w:val="-4"/>
        </w:rPr>
        <w:t> </w:t>
      </w:r>
      <w:r>
        <w:rPr/>
        <w:t>Audit</w:t>
      </w:r>
      <w:r>
        <w:rPr>
          <w:spacing w:val="-2"/>
        </w:rPr>
        <w:t> Committee</w:t>
      </w:r>
    </w:p>
    <w:p>
      <w:pPr>
        <w:pStyle w:val="BodyText"/>
        <w:tabs>
          <w:tab w:pos="10914" w:val="right" w:leader="none"/>
        </w:tabs>
        <w:ind w:left="850"/>
      </w:pPr>
      <w:r>
        <w:rPr/>
        <w:t>11</w:t>
      </w:r>
      <w:r>
        <w:rPr>
          <w:spacing w:val="-4"/>
        </w:rPr>
        <w:t> </w:t>
      </w:r>
      <w:r>
        <w:rPr/>
        <w:t>October</w:t>
      </w:r>
      <w:r>
        <w:rPr>
          <w:spacing w:val="-4"/>
        </w:rPr>
        <w:t> 2022</w:t>
      </w:r>
      <w:r>
        <w:rPr/>
        <w:tab/>
      </w:r>
      <w:r>
        <w:rPr>
          <w:spacing w:val="-10"/>
        </w:rPr>
        <w:t>1</w:t>
      </w:r>
    </w:p>
    <w:p>
      <w:pPr>
        <w:spacing w:after="0"/>
        <w:sectPr>
          <w:footerReference w:type="default" r:id="rId5"/>
          <w:pgSz w:w="11900" w:h="16840"/>
          <w:pgMar w:footer="173" w:header="0" w:top="240" w:bottom="360" w:left="0" w:right="0"/>
          <w:pgNumType w:start="1"/>
        </w:sectPr>
      </w:pPr>
    </w:p>
    <w:tbl>
      <w:tblPr>
        <w:tblW w:w="0" w:type="auto"/>
        <w:jc w:val="left"/>
        <w:tblInd w:w="3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55"/>
        <w:gridCol w:w="8128"/>
        <w:gridCol w:w="1535"/>
      </w:tblGrid>
      <w:tr>
        <w:trPr>
          <w:trHeight w:val="275" w:hRule="atLeast"/>
        </w:trPr>
        <w:tc>
          <w:tcPr>
            <w:tcW w:w="1355" w:type="dxa"/>
          </w:tcPr>
          <w:p>
            <w:pPr>
              <w:pStyle w:val="TableParagraph"/>
              <w:spacing w:line="255" w:lineRule="exact"/>
              <w:ind w:left="108"/>
              <w:rPr>
                <w:b/>
                <w:sz w:val="22"/>
              </w:rPr>
            </w:pPr>
            <w:r>
              <w:rPr>
                <w:b/>
                <w:spacing w:val="-4"/>
                <w:sz w:val="22"/>
              </w:rPr>
              <w:t>Item</w:t>
            </w:r>
          </w:p>
        </w:tc>
        <w:tc>
          <w:tcPr>
            <w:tcW w:w="8128" w:type="dxa"/>
          </w:tcPr>
          <w:p>
            <w:pPr>
              <w:pStyle w:val="TableParagraph"/>
              <w:rPr>
                <w:rFonts w:ascii="Times New Roman"/>
                <w:sz w:val="20"/>
              </w:rPr>
            </w:pPr>
          </w:p>
        </w:tc>
        <w:tc>
          <w:tcPr>
            <w:tcW w:w="1535" w:type="dxa"/>
          </w:tcPr>
          <w:p>
            <w:pPr>
              <w:pStyle w:val="TableParagraph"/>
              <w:spacing w:line="255" w:lineRule="exact"/>
              <w:ind w:left="107"/>
              <w:rPr>
                <w:b/>
                <w:sz w:val="22"/>
              </w:rPr>
            </w:pPr>
            <w:r>
              <w:rPr>
                <w:b/>
                <w:spacing w:val="-2"/>
                <w:sz w:val="22"/>
              </w:rPr>
              <w:t>Action</w:t>
            </w:r>
          </w:p>
        </w:tc>
      </w:tr>
      <w:tr>
        <w:trPr>
          <w:trHeight w:val="2406" w:hRule="atLeast"/>
        </w:trPr>
        <w:tc>
          <w:tcPr>
            <w:tcW w:w="1355" w:type="dxa"/>
          </w:tcPr>
          <w:p>
            <w:pPr>
              <w:pStyle w:val="TableParagraph"/>
              <w:ind w:left="108"/>
              <w:rPr>
                <w:b/>
                <w:sz w:val="22"/>
              </w:rPr>
            </w:pPr>
            <w:r>
              <w:rPr>
                <w:b/>
                <w:spacing w:val="-5"/>
                <w:sz w:val="22"/>
              </w:rPr>
              <w:t>1.5</w:t>
            </w:r>
          </w:p>
        </w:tc>
        <w:tc>
          <w:tcPr>
            <w:tcW w:w="8128" w:type="dxa"/>
          </w:tcPr>
          <w:p>
            <w:pPr>
              <w:pStyle w:val="TableParagraph"/>
              <w:ind w:left="108"/>
              <w:rPr>
                <w:b/>
                <w:sz w:val="22"/>
              </w:rPr>
            </w:pPr>
            <w:r>
              <w:rPr>
                <w:b/>
                <w:sz w:val="22"/>
              </w:rPr>
              <w:t>Matters</w:t>
            </w:r>
            <w:r>
              <w:rPr>
                <w:b/>
                <w:spacing w:val="-4"/>
                <w:sz w:val="22"/>
              </w:rPr>
              <w:t> </w:t>
            </w:r>
            <w:r>
              <w:rPr>
                <w:b/>
                <w:sz w:val="22"/>
              </w:rPr>
              <w:t>Arising</w:t>
            </w:r>
            <w:r>
              <w:rPr>
                <w:b/>
                <w:spacing w:val="-3"/>
                <w:sz w:val="22"/>
              </w:rPr>
              <w:t> </w:t>
            </w:r>
            <w:r>
              <w:rPr>
                <w:b/>
                <w:sz w:val="22"/>
              </w:rPr>
              <w:t>from</w:t>
            </w:r>
            <w:r>
              <w:rPr>
                <w:b/>
                <w:spacing w:val="-3"/>
                <w:sz w:val="22"/>
              </w:rPr>
              <w:t> </w:t>
            </w:r>
            <w:r>
              <w:rPr>
                <w:b/>
                <w:sz w:val="22"/>
              </w:rPr>
              <w:t>Meeting</w:t>
            </w:r>
            <w:r>
              <w:rPr>
                <w:b/>
                <w:spacing w:val="-2"/>
                <w:sz w:val="22"/>
              </w:rPr>
              <w:t> </w:t>
            </w:r>
            <w:r>
              <w:rPr>
                <w:b/>
                <w:sz w:val="22"/>
              </w:rPr>
              <w:t>on</w:t>
            </w:r>
            <w:r>
              <w:rPr>
                <w:b/>
                <w:spacing w:val="-2"/>
                <w:sz w:val="22"/>
              </w:rPr>
              <w:t> </w:t>
            </w:r>
            <w:r>
              <w:rPr>
                <w:b/>
                <w:sz w:val="22"/>
              </w:rPr>
              <w:t>13</w:t>
            </w:r>
            <w:r>
              <w:rPr>
                <w:b/>
                <w:spacing w:val="-2"/>
                <w:sz w:val="22"/>
              </w:rPr>
              <w:t> </w:t>
            </w:r>
            <w:r>
              <w:rPr>
                <w:b/>
                <w:sz w:val="22"/>
              </w:rPr>
              <w:t>July</w:t>
            </w:r>
            <w:r>
              <w:rPr>
                <w:b/>
                <w:spacing w:val="-2"/>
                <w:sz w:val="22"/>
              </w:rPr>
              <w:t> </w:t>
            </w:r>
            <w:r>
              <w:rPr>
                <w:b/>
                <w:spacing w:val="-4"/>
                <w:sz w:val="22"/>
              </w:rPr>
              <w:t>2022</w:t>
            </w:r>
          </w:p>
          <w:p>
            <w:pPr>
              <w:pStyle w:val="TableParagraph"/>
              <w:ind w:left="108"/>
              <w:rPr>
                <w:sz w:val="22"/>
              </w:rPr>
            </w:pPr>
            <w:r>
              <w:rPr>
                <w:sz w:val="22"/>
              </w:rPr>
              <w:t>All</w:t>
            </w:r>
            <w:r>
              <w:rPr>
                <w:spacing w:val="-4"/>
                <w:sz w:val="22"/>
              </w:rPr>
              <w:t> </w:t>
            </w:r>
            <w:r>
              <w:rPr>
                <w:sz w:val="22"/>
              </w:rPr>
              <w:t>matters</w:t>
            </w:r>
            <w:r>
              <w:rPr>
                <w:spacing w:val="-3"/>
                <w:sz w:val="22"/>
              </w:rPr>
              <w:t> </w:t>
            </w:r>
            <w:r>
              <w:rPr>
                <w:sz w:val="22"/>
              </w:rPr>
              <w:t>arising</w:t>
            </w:r>
            <w:r>
              <w:rPr>
                <w:spacing w:val="-2"/>
                <w:sz w:val="22"/>
              </w:rPr>
              <w:t> </w:t>
            </w:r>
            <w:r>
              <w:rPr>
                <w:sz w:val="22"/>
              </w:rPr>
              <w:t>are</w:t>
            </w:r>
            <w:r>
              <w:rPr>
                <w:spacing w:val="-2"/>
                <w:sz w:val="22"/>
              </w:rPr>
              <w:t> </w:t>
            </w:r>
            <w:r>
              <w:rPr>
                <w:sz w:val="22"/>
              </w:rPr>
              <w:t>complete,</w:t>
            </w:r>
            <w:r>
              <w:rPr>
                <w:spacing w:val="-3"/>
                <w:sz w:val="22"/>
              </w:rPr>
              <w:t> </w:t>
            </w:r>
            <w:r>
              <w:rPr>
                <w:sz w:val="22"/>
              </w:rPr>
              <w:t>in</w:t>
            </w:r>
            <w:r>
              <w:rPr>
                <w:spacing w:val="-3"/>
                <w:sz w:val="22"/>
              </w:rPr>
              <w:t> </w:t>
            </w:r>
            <w:r>
              <w:rPr>
                <w:sz w:val="22"/>
              </w:rPr>
              <w:t>progress</w:t>
            </w:r>
            <w:r>
              <w:rPr>
                <w:spacing w:val="-2"/>
                <w:sz w:val="22"/>
              </w:rPr>
              <w:t> </w:t>
            </w:r>
            <w:r>
              <w:rPr>
                <w:sz w:val="22"/>
              </w:rPr>
              <w:t>or</w:t>
            </w:r>
            <w:r>
              <w:rPr>
                <w:spacing w:val="-3"/>
                <w:sz w:val="22"/>
              </w:rPr>
              <w:t> </w:t>
            </w:r>
            <w:r>
              <w:rPr>
                <w:sz w:val="22"/>
              </w:rPr>
              <w:t>on</w:t>
            </w:r>
            <w:r>
              <w:rPr>
                <w:spacing w:val="-3"/>
                <w:sz w:val="22"/>
              </w:rPr>
              <w:t> </w:t>
            </w:r>
            <w:r>
              <w:rPr>
                <w:sz w:val="22"/>
              </w:rPr>
              <w:t>the</w:t>
            </w:r>
            <w:r>
              <w:rPr>
                <w:spacing w:val="-1"/>
                <w:sz w:val="22"/>
              </w:rPr>
              <w:t> </w:t>
            </w:r>
            <w:r>
              <w:rPr>
                <w:spacing w:val="-2"/>
                <w:sz w:val="22"/>
              </w:rPr>
              <w:t>agenda.</w:t>
            </w:r>
          </w:p>
          <w:p>
            <w:pPr>
              <w:pStyle w:val="TableParagraph"/>
              <w:rPr>
                <w:sz w:val="20"/>
              </w:rPr>
            </w:pPr>
          </w:p>
          <w:p>
            <w:pPr>
              <w:pStyle w:val="TableParagraph"/>
              <w:numPr>
                <w:ilvl w:val="0"/>
                <w:numId w:val="2"/>
              </w:numPr>
              <w:tabs>
                <w:tab w:pos="828" w:val="left" w:leader="none"/>
              </w:tabs>
              <w:spacing w:line="268" w:lineRule="exact" w:before="0" w:after="0"/>
              <w:ind w:left="827" w:right="95" w:hanging="360"/>
              <w:jc w:val="both"/>
              <w:rPr>
                <w:sz w:val="22"/>
              </w:rPr>
            </w:pPr>
            <w:r>
              <w:rPr>
                <w:sz w:val="22"/>
              </w:rPr>
              <w:t>VM queried as to when the Health &amp; Care Standards would be brought to the Velindre Quality and Safety Committee. It was confirmed that the standards are currently being finalised and </w:t>
            </w:r>
            <w:r>
              <w:rPr>
                <w:spacing w:val="-2"/>
                <w:sz w:val="22"/>
              </w:rPr>
              <w:t>would</w:t>
            </w:r>
            <w:r>
              <w:rPr>
                <w:spacing w:val="-13"/>
                <w:sz w:val="22"/>
              </w:rPr>
              <w:t> </w:t>
            </w:r>
            <w:r>
              <w:rPr>
                <w:spacing w:val="-2"/>
                <w:sz w:val="22"/>
              </w:rPr>
              <w:t>be</w:t>
            </w:r>
            <w:r>
              <w:rPr>
                <w:spacing w:val="-13"/>
                <w:sz w:val="22"/>
              </w:rPr>
              <w:t> </w:t>
            </w:r>
            <w:r>
              <w:rPr>
                <w:spacing w:val="-2"/>
                <w:sz w:val="22"/>
              </w:rPr>
              <w:t>taken</w:t>
            </w:r>
            <w:r>
              <w:rPr>
                <w:spacing w:val="-13"/>
                <w:sz w:val="22"/>
              </w:rPr>
              <w:t> </w:t>
            </w:r>
            <w:r>
              <w:rPr>
                <w:spacing w:val="-2"/>
                <w:sz w:val="22"/>
              </w:rPr>
              <w:t>to</w:t>
            </w:r>
            <w:r>
              <w:rPr>
                <w:spacing w:val="-13"/>
                <w:sz w:val="22"/>
              </w:rPr>
              <w:t> </w:t>
            </w:r>
            <w:r>
              <w:rPr>
                <w:spacing w:val="-2"/>
                <w:sz w:val="22"/>
              </w:rPr>
              <w:t>the</w:t>
            </w:r>
            <w:r>
              <w:rPr>
                <w:spacing w:val="-13"/>
                <w:sz w:val="22"/>
              </w:rPr>
              <w:t> </w:t>
            </w:r>
            <w:r>
              <w:rPr>
                <w:spacing w:val="-2"/>
                <w:sz w:val="22"/>
              </w:rPr>
              <w:t>next</w:t>
            </w:r>
            <w:r>
              <w:rPr>
                <w:spacing w:val="-13"/>
                <w:sz w:val="22"/>
              </w:rPr>
              <w:t> </w:t>
            </w:r>
            <w:r>
              <w:rPr>
                <w:spacing w:val="-2"/>
                <w:sz w:val="22"/>
              </w:rPr>
              <w:t>Quality</w:t>
            </w:r>
            <w:r>
              <w:rPr>
                <w:spacing w:val="-13"/>
                <w:sz w:val="22"/>
              </w:rPr>
              <w:t> </w:t>
            </w:r>
            <w:r>
              <w:rPr>
                <w:spacing w:val="-2"/>
                <w:sz w:val="22"/>
              </w:rPr>
              <w:t>and</w:t>
            </w:r>
            <w:r>
              <w:rPr>
                <w:spacing w:val="-13"/>
                <w:sz w:val="22"/>
              </w:rPr>
              <w:t> </w:t>
            </w:r>
            <w:r>
              <w:rPr>
                <w:spacing w:val="-2"/>
                <w:sz w:val="22"/>
              </w:rPr>
              <w:t>Safety</w:t>
            </w:r>
            <w:r>
              <w:rPr>
                <w:spacing w:val="-13"/>
                <w:sz w:val="22"/>
              </w:rPr>
              <w:t> </w:t>
            </w:r>
            <w:r>
              <w:rPr>
                <w:spacing w:val="-2"/>
                <w:sz w:val="22"/>
              </w:rPr>
              <w:t>Committee</w:t>
            </w:r>
            <w:r>
              <w:rPr>
                <w:spacing w:val="-13"/>
                <w:sz w:val="22"/>
              </w:rPr>
              <w:t> </w:t>
            </w:r>
            <w:r>
              <w:rPr>
                <w:spacing w:val="-2"/>
                <w:sz w:val="22"/>
              </w:rPr>
              <w:t>meeting </w:t>
            </w:r>
            <w:r>
              <w:rPr>
                <w:sz w:val="22"/>
              </w:rPr>
              <w:t>in November and would also come to the next Audit Committee in January 2023.</w:t>
            </w:r>
          </w:p>
        </w:tc>
        <w:tc>
          <w:tcPr>
            <w:tcW w:w="1535" w:type="dxa"/>
          </w:tcPr>
          <w:p>
            <w:pPr>
              <w:pStyle w:val="TableParagraph"/>
              <w:rPr>
                <w:sz w:val="26"/>
              </w:rPr>
            </w:pPr>
          </w:p>
          <w:p>
            <w:pPr>
              <w:pStyle w:val="TableParagraph"/>
              <w:rPr>
                <w:sz w:val="26"/>
              </w:rPr>
            </w:pPr>
          </w:p>
          <w:p>
            <w:pPr>
              <w:pStyle w:val="TableParagraph"/>
              <w:rPr>
                <w:sz w:val="26"/>
              </w:rPr>
            </w:pPr>
          </w:p>
          <w:p>
            <w:pPr>
              <w:pStyle w:val="TableParagraph"/>
              <w:rPr>
                <w:sz w:val="26"/>
              </w:rPr>
            </w:pPr>
          </w:p>
          <w:p>
            <w:pPr>
              <w:pStyle w:val="TableParagraph"/>
              <w:rPr>
                <w:sz w:val="26"/>
              </w:rPr>
            </w:pPr>
          </w:p>
          <w:p>
            <w:pPr>
              <w:pStyle w:val="TableParagraph"/>
              <w:rPr>
                <w:sz w:val="24"/>
              </w:rPr>
            </w:pPr>
          </w:p>
          <w:p>
            <w:pPr>
              <w:pStyle w:val="TableParagraph"/>
              <w:ind w:left="107"/>
              <w:rPr>
                <w:b/>
                <w:sz w:val="22"/>
              </w:rPr>
            </w:pPr>
            <w:r>
              <w:rPr>
                <w:b/>
                <w:spacing w:val="-5"/>
                <w:sz w:val="22"/>
              </w:rPr>
              <w:t>PS</w:t>
            </w:r>
          </w:p>
        </w:tc>
      </w:tr>
      <w:tr>
        <w:trPr>
          <w:trHeight w:val="10427" w:hRule="atLeast"/>
        </w:trPr>
        <w:tc>
          <w:tcPr>
            <w:tcW w:w="1355" w:type="dxa"/>
          </w:tcPr>
          <w:p>
            <w:pPr>
              <w:pStyle w:val="TableParagraph"/>
              <w:ind w:left="108"/>
              <w:rPr>
                <w:b/>
                <w:sz w:val="22"/>
              </w:rPr>
            </w:pPr>
            <w:r>
              <w:rPr>
                <w:b/>
                <w:spacing w:val="-5"/>
                <w:sz w:val="22"/>
              </w:rPr>
              <w:t>2.0</w:t>
            </w:r>
          </w:p>
        </w:tc>
        <w:tc>
          <w:tcPr>
            <w:tcW w:w="8128" w:type="dxa"/>
          </w:tcPr>
          <w:p>
            <w:pPr>
              <w:pStyle w:val="TableParagraph"/>
              <w:ind w:left="108"/>
              <w:rPr>
                <w:b/>
                <w:sz w:val="22"/>
              </w:rPr>
            </w:pPr>
            <w:r>
              <w:rPr>
                <w:b/>
                <w:sz w:val="22"/>
              </w:rPr>
              <w:t>NWSSP</w:t>
            </w:r>
            <w:r>
              <w:rPr>
                <w:b/>
                <w:spacing w:val="-2"/>
                <w:sz w:val="22"/>
              </w:rPr>
              <w:t> Update</w:t>
            </w:r>
          </w:p>
          <w:p>
            <w:pPr>
              <w:pStyle w:val="TableParagraph"/>
              <w:ind w:left="108"/>
              <w:rPr>
                <w:sz w:val="22"/>
              </w:rPr>
            </w:pPr>
            <w:r>
              <w:rPr>
                <w:sz w:val="22"/>
              </w:rPr>
              <w:t>NF</w:t>
            </w:r>
            <w:r>
              <w:rPr>
                <w:spacing w:val="31"/>
                <w:sz w:val="22"/>
              </w:rPr>
              <w:t> </w:t>
            </w:r>
            <w:r>
              <w:rPr>
                <w:sz w:val="22"/>
              </w:rPr>
              <w:t>provided</w:t>
            </w:r>
            <w:r>
              <w:rPr>
                <w:spacing w:val="31"/>
                <w:sz w:val="22"/>
              </w:rPr>
              <w:t> </w:t>
            </w:r>
            <w:r>
              <w:rPr>
                <w:sz w:val="22"/>
              </w:rPr>
              <w:t>an</w:t>
            </w:r>
            <w:r>
              <w:rPr>
                <w:spacing w:val="31"/>
                <w:sz w:val="22"/>
              </w:rPr>
              <w:t> </w:t>
            </w:r>
            <w:r>
              <w:rPr>
                <w:sz w:val="22"/>
              </w:rPr>
              <w:t>update</w:t>
            </w:r>
            <w:r>
              <w:rPr>
                <w:spacing w:val="31"/>
                <w:sz w:val="22"/>
              </w:rPr>
              <w:t> </w:t>
            </w:r>
            <w:r>
              <w:rPr>
                <w:sz w:val="22"/>
              </w:rPr>
              <w:t>to</w:t>
            </w:r>
            <w:r>
              <w:rPr>
                <w:spacing w:val="31"/>
                <w:sz w:val="22"/>
              </w:rPr>
              <w:t> </w:t>
            </w:r>
            <w:r>
              <w:rPr>
                <w:sz w:val="22"/>
              </w:rPr>
              <w:t>the</w:t>
            </w:r>
            <w:r>
              <w:rPr>
                <w:spacing w:val="31"/>
                <w:sz w:val="22"/>
              </w:rPr>
              <w:t> </w:t>
            </w:r>
            <w:r>
              <w:rPr>
                <w:sz w:val="22"/>
              </w:rPr>
              <w:t>Committee</w:t>
            </w:r>
            <w:r>
              <w:rPr>
                <w:spacing w:val="31"/>
                <w:sz w:val="22"/>
              </w:rPr>
              <w:t> </w:t>
            </w:r>
            <w:r>
              <w:rPr>
                <w:sz w:val="22"/>
              </w:rPr>
              <w:t>as</w:t>
            </w:r>
            <w:r>
              <w:rPr>
                <w:spacing w:val="31"/>
                <w:sz w:val="22"/>
              </w:rPr>
              <w:t> </w:t>
            </w:r>
            <w:r>
              <w:rPr>
                <w:sz w:val="22"/>
              </w:rPr>
              <w:t>to</w:t>
            </w:r>
            <w:r>
              <w:rPr>
                <w:spacing w:val="31"/>
                <w:sz w:val="22"/>
              </w:rPr>
              <w:t> </w:t>
            </w:r>
            <w:r>
              <w:rPr>
                <w:sz w:val="22"/>
              </w:rPr>
              <w:t>recent</w:t>
            </w:r>
            <w:r>
              <w:rPr>
                <w:spacing w:val="31"/>
                <w:sz w:val="22"/>
              </w:rPr>
              <w:t> </w:t>
            </w:r>
            <w:r>
              <w:rPr>
                <w:sz w:val="22"/>
              </w:rPr>
              <w:t>developments within NWSSP since the last meeting:</w:t>
            </w:r>
          </w:p>
          <w:p>
            <w:pPr>
              <w:pStyle w:val="TableParagraph"/>
              <w:rPr>
                <w:sz w:val="22"/>
              </w:rPr>
            </w:pPr>
          </w:p>
          <w:p>
            <w:pPr>
              <w:pStyle w:val="TableParagraph"/>
              <w:numPr>
                <w:ilvl w:val="0"/>
                <w:numId w:val="3"/>
              </w:numPr>
              <w:tabs>
                <w:tab w:pos="828" w:val="left" w:leader="none"/>
              </w:tabs>
              <w:spacing w:line="240" w:lineRule="auto" w:before="0" w:after="0"/>
              <w:ind w:left="827" w:right="95" w:hanging="360"/>
              <w:jc w:val="both"/>
              <w:rPr>
                <w:sz w:val="22"/>
              </w:rPr>
            </w:pPr>
            <w:r>
              <w:rPr>
                <w:sz w:val="22"/>
              </w:rPr>
              <w:t>The</w:t>
            </w:r>
            <w:r>
              <w:rPr>
                <w:spacing w:val="-8"/>
                <w:sz w:val="22"/>
              </w:rPr>
              <w:t> </w:t>
            </w:r>
            <w:r>
              <w:rPr>
                <w:sz w:val="22"/>
              </w:rPr>
              <w:t>Integrated</w:t>
            </w:r>
            <w:r>
              <w:rPr>
                <w:spacing w:val="-8"/>
                <w:sz w:val="22"/>
              </w:rPr>
              <w:t> </w:t>
            </w:r>
            <w:r>
              <w:rPr>
                <w:sz w:val="22"/>
              </w:rPr>
              <w:t>Medium-Term</w:t>
            </w:r>
            <w:r>
              <w:rPr>
                <w:spacing w:val="-8"/>
                <w:sz w:val="22"/>
              </w:rPr>
              <w:t> </w:t>
            </w:r>
            <w:r>
              <w:rPr>
                <w:sz w:val="22"/>
              </w:rPr>
              <w:t>Plan</w:t>
            </w:r>
            <w:r>
              <w:rPr>
                <w:spacing w:val="-8"/>
                <w:sz w:val="22"/>
              </w:rPr>
              <w:t> </w:t>
            </w:r>
            <w:r>
              <w:rPr>
                <w:sz w:val="22"/>
              </w:rPr>
              <w:t>(IMTP)</w:t>
            </w:r>
            <w:r>
              <w:rPr>
                <w:spacing w:val="-8"/>
                <w:sz w:val="22"/>
              </w:rPr>
              <w:t> </w:t>
            </w:r>
            <w:r>
              <w:rPr>
                <w:sz w:val="22"/>
              </w:rPr>
              <w:t>acceptance</w:t>
            </w:r>
            <w:r>
              <w:rPr>
                <w:spacing w:val="-8"/>
                <w:sz w:val="22"/>
              </w:rPr>
              <w:t> </w:t>
            </w:r>
            <w:r>
              <w:rPr>
                <w:sz w:val="22"/>
              </w:rPr>
              <w:t>letter</w:t>
            </w:r>
            <w:r>
              <w:rPr>
                <w:spacing w:val="-8"/>
                <w:sz w:val="22"/>
              </w:rPr>
              <w:t> </w:t>
            </w:r>
            <w:r>
              <w:rPr>
                <w:sz w:val="22"/>
              </w:rPr>
              <w:t>from Judith Paget had been received and was on the agenda for information.</w:t>
            </w:r>
            <w:r>
              <w:rPr>
                <w:spacing w:val="-10"/>
                <w:sz w:val="22"/>
              </w:rPr>
              <w:t> </w:t>
            </w:r>
            <w:r>
              <w:rPr>
                <w:sz w:val="22"/>
              </w:rPr>
              <w:t>The</w:t>
            </w:r>
            <w:r>
              <w:rPr>
                <w:spacing w:val="-10"/>
                <w:sz w:val="22"/>
              </w:rPr>
              <w:t> </w:t>
            </w:r>
            <w:r>
              <w:rPr>
                <w:sz w:val="22"/>
              </w:rPr>
              <w:t>letter</w:t>
            </w:r>
            <w:r>
              <w:rPr>
                <w:spacing w:val="-10"/>
                <w:sz w:val="22"/>
              </w:rPr>
              <w:t> </w:t>
            </w:r>
            <w:r>
              <w:rPr>
                <w:sz w:val="22"/>
              </w:rPr>
              <w:t>confirmed</w:t>
            </w:r>
            <w:r>
              <w:rPr>
                <w:spacing w:val="-10"/>
                <w:sz w:val="22"/>
              </w:rPr>
              <w:t> </w:t>
            </w:r>
            <w:r>
              <w:rPr>
                <w:sz w:val="22"/>
              </w:rPr>
              <w:t>acceptance</w:t>
            </w:r>
            <w:r>
              <w:rPr>
                <w:spacing w:val="-10"/>
                <w:sz w:val="22"/>
              </w:rPr>
              <w:t> </w:t>
            </w:r>
            <w:r>
              <w:rPr>
                <w:sz w:val="22"/>
              </w:rPr>
              <w:t>of</w:t>
            </w:r>
            <w:r>
              <w:rPr>
                <w:spacing w:val="-10"/>
                <w:sz w:val="22"/>
              </w:rPr>
              <w:t> </w:t>
            </w:r>
            <w:r>
              <w:rPr>
                <w:sz w:val="22"/>
              </w:rPr>
              <w:t>the</w:t>
            </w:r>
            <w:r>
              <w:rPr>
                <w:spacing w:val="-10"/>
                <w:sz w:val="22"/>
              </w:rPr>
              <w:t> </w:t>
            </w:r>
            <w:r>
              <w:rPr>
                <w:sz w:val="22"/>
              </w:rPr>
              <w:t>NWSSP</w:t>
            </w:r>
            <w:r>
              <w:rPr>
                <w:spacing w:val="-10"/>
                <w:sz w:val="22"/>
              </w:rPr>
              <w:t> </w:t>
            </w:r>
            <w:r>
              <w:rPr>
                <w:sz w:val="22"/>
              </w:rPr>
              <w:t>IMTP which</w:t>
            </w:r>
            <w:r>
              <w:rPr>
                <w:spacing w:val="-6"/>
                <w:sz w:val="22"/>
              </w:rPr>
              <w:t> </w:t>
            </w:r>
            <w:r>
              <w:rPr>
                <w:sz w:val="22"/>
              </w:rPr>
              <w:t>was</w:t>
            </w:r>
            <w:r>
              <w:rPr>
                <w:spacing w:val="-6"/>
                <w:sz w:val="22"/>
              </w:rPr>
              <w:t> </w:t>
            </w:r>
            <w:r>
              <w:rPr>
                <w:sz w:val="22"/>
              </w:rPr>
              <w:t>described</w:t>
            </w:r>
            <w:r>
              <w:rPr>
                <w:spacing w:val="-6"/>
                <w:sz w:val="22"/>
              </w:rPr>
              <w:t> </w:t>
            </w:r>
            <w:r>
              <w:rPr>
                <w:sz w:val="22"/>
              </w:rPr>
              <w:t>as</w:t>
            </w:r>
            <w:r>
              <w:rPr>
                <w:spacing w:val="-6"/>
                <w:sz w:val="22"/>
              </w:rPr>
              <w:t> </w:t>
            </w:r>
            <w:r>
              <w:rPr>
                <w:sz w:val="22"/>
              </w:rPr>
              <w:t>robust</w:t>
            </w:r>
            <w:r>
              <w:rPr>
                <w:spacing w:val="-6"/>
                <w:sz w:val="22"/>
              </w:rPr>
              <w:t> </w:t>
            </w:r>
            <w:r>
              <w:rPr>
                <w:sz w:val="22"/>
              </w:rPr>
              <w:t>and</w:t>
            </w:r>
            <w:r>
              <w:rPr>
                <w:spacing w:val="-6"/>
                <w:sz w:val="22"/>
              </w:rPr>
              <w:t> </w:t>
            </w:r>
            <w:r>
              <w:rPr>
                <w:sz w:val="22"/>
              </w:rPr>
              <w:t>ambitious,</w:t>
            </w:r>
            <w:r>
              <w:rPr>
                <w:spacing w:val="-6"/>
                <w:sz w:val="22"/>
              </w:rPr>
              <w:t> </w:t>
            </w:r>
            <w:r>
              <w:rPr>
                <w:sz w:val="22"/>
              </w:rPr>
              <w:t>and</w:t>
            </w:r>
            <w:r>
              <w:rPr>
                <w:spacing w:val="-6"/>
                <w:sz w:val="22"/>
              </w:rPr>
              <w:t> </w:t>
            </w:r>
            <w:r>
              <w:rPr>
                <w:sz w:val="22"/>
              </w:rPr>
              <w:t>identified</w:t>
            </w:r>
            <w:r>
              <w:rPr>
                <w:spacing w:val="-6"/>
                <w:sz w:val="22"/>
              </w:rPr>
              <w:t> </w:t>
            </w:r>
            <w:r>
              <w:rPr>
                <w:sz w:val="22"/>
              </w:rPr>
              <w:t>that NWSSP</w:t>
            </w:r>
            <w:r>
              <w:rPr>
                <w:spacing w:val="-17"/>
                <w:sz w:val="22"/>
              </w:rPr>
              <w:t> </w:t>
            </w:r>
            <w:r>
              <w:rPr>
                <w:sz w:val="22"/>
              </w:rPr>
              <w:t>needs</w:t>
            </w:r>
            <w:r>
              <w:rPr>
                <w:spacing w:val="-17"/>
                <w:sz w:val="22"/>
              </w:rPr>
              <w:t> </w:t>
            </w:r>
            <w:r>
              <w:rPr>
                <w:sz w:val="22"/>
              </w:rPr>
              <w:t>to</w:t>
            </w:r>
            <w:r>
              <w:rPr>
                <w:spacing w:val="-17"/>
                <w:sz w:val="22"/>
              </w:rPr>
              <w:t> </w:t>
            </w:r>
            <w:r>
              <w:rPr>
                <w:sz w:val="22"/>
              </w:rPr>
              <w:t>become</w:t>
            </w:r>
            <w:r>
              <w:rPr>
                <w:spacing w:val="-17"/>
                <w:sz w:val="22"/>
              </w:rPr>
              <w:t> </w:t>
            </w:r>
            <w:r>
              <w:rPr>
                <w:sz w:val="22"/>
              </w:rPr>
              <w:t>the</w:t>
            </w:r>
            <w:r>
              <w:rPr>
                <w:spacing w:val="-17"/>
                <w:sz w:val="22"/>
              </w:rPr>
              <w:t> </w:t>
            </w:r>
            <w:r>
              <w:rPr>
                <w:sz w:val="22"/>
              </w:rPr>
              <w:t>catalyst</w:t>
            </w:r>
            <w:r>
              <w:rPr>
                <w:spacing w:val="-17"/>
                <w:sz w:val="22"/>
              </w:rPr>
              <w:t> </w:t>
            </w:r>
            <w:r>
              <w:rPr>
                <w:sz w:val="22"/>
              </w:rPr>
              <w:t>for</w:t>
            </w:r>
            <w:r>
              <w:rPr>
                <w:spacing w:val="-17"/>
                <w:sz w:val="22"/>
              </w:rPr>
              <w:t> </w:t>
            </w:r>
            <w:r>
              <w:rPr>
                <w:sz w:val="22"/>
              </w:rPr>
              <w:t>change</w:t>
            </w:r>
            <w:r>
              <w:rPr>
                <w:spacing w:val="-17"/>
                <w:sz w:val="22"/>
              </w:rPr>
              <w:t> </w:t>
            </w:r>
            <w:r>
              <w:rPr>
                <w:sz w:val="22"/>
              </w:rPr>
              <w:t>in</w:t>
            </w:r>
            <w:r>
              <w:rPr>
                <w:spacing w:val="-17"/>
                <w:sz w:val="22"/>
              </w:rPr>
              <w:t> </w:t>
            </w:r>
            <w:r>
              <w:rPr>
                <w:sz w:val="22"/>
              </w:rPr>
              <w:t>leading</w:t>
            </w:r>
            <w:r>
              <w:rPr>
                <w:spacing w:val="-17"/>
                <w:sz w:val="22"/>
              </w:rPr>
              <w:t> </w:t>
            </w:r>
            <w:r>
              <w:rPr>
                <w:sz w:val="22"/>
              </w:rPr>
              <w:t>on</w:t>
            </w:r>
            <w:r>
              <w:rPr>
                <w:spacing w:val="-17"/>
                <w:sz w:val="22"/>
              </w:rPr>
              <w:t> </w:t>
            </w:r>
            <w:r>
              <w:rPr>
                <w:sz w:val="22"/>
              </w:rPr>
              <w:t>the transformation agenda.</w:t>
            </w:r>
          </w:p>
          <w:p>
            <w:pPr>
              <w:pStyle w:val="TableParagraph"/>
              <w:spacing w:before="10"/>
              <w:rPr>
                <w:sz w:val="21"/>
              </w:rPr>
            </w:pPr>
          </w:p>
          <w:p>
            <w:pPr>
              <w:pStyle w:val="TableParagraph"/>
              <w:numPr>
                <w:ilvl w:val="0"/>
                <w:numId w:val="3"/>
              </w:numPr>
              <w:tabs>
                <w:tab w:pos="828" w:val="left" w:leader="none"/>
              </w:tabs>
              <w:spacing w:line="240" w:lineRule="auto" w:before="0" w:after="0"/>
              <w:ind w:left="827" w:right="94" w:hanging="360"/>
              <w:jc w:val="both"/>
              <w:rPr>
                <w:sz w:val="22"/>
              </w:rPr>
            </w:pPr>
            <w:r>
              <w:rPr>
                <w:sz w:val="22"/>
              </w:rPr>
              <w:t>The</w:t>
            </w:r>
            <w:r>
              <w:rPr>
                <w:spacing w:val="-20"/>
                <w:sz w:val="22"/>
              </w:rPr>
              <w:t> </w:t>
            </w:r>
            <w:r>
              <w:rPr>
                <w:sz w:val="22"/>
              </w:rPr>
              <w:t>Financial</w:t>
            </w:r>
            <w:r>
              <w:rPr>
                <w:spacing w:val="-19"/>
                <w:sz w:val="22"/>
              </w:rPr>
              <w:t> </w:t>
            </w:r>
            <w:r>
              <w:rPr>
                <w:sz w:val="22"/>
              </w:rPr>
              <w:t>position</w:t>
            </w:r>
            <w:r>
              <w:rPr>
                <w:spacing w:val="-19"/>
                <w:sz w:val="22"/>
              </w:rPr>
              <w:t> </w:t>
            </w:r>
            <w:r>
              <w:rPr>
                <w:sz w:val="22"/>
              </w:rPr>
              <w:t>is</w:t>
            </w:r>
            <w:r>
              <w:rPr>
                <w:spacing w:val="-20"/>
                <w:sz w:val="22"/>
              </w:rPr>
              <w:t> </w:t>
            </w:r>
            <w:r>
              <w:rPr>
                <w:sz w:val="22"/>
              </w:rPr>
              <w:t>on</w:t>
            </w:r>
            <w:r>
              <w:rPr>
                <w:spacing w:val="-19"/>
                <w:sz w:val="22"/>
              </w:rPr>
              <w:t> </w:t>
            </w:r>
            <w:r>
              <w:rPr>
                <w:sz w:val="22"/>
              </w:rPr>
              <w:t>track</w:t>
            </w:r>
            <w:r>
              <w:rPr>
                <w:spacing w:val="-20"/>
                <w:sz w:val="22"/>
              </w:rPr>
              <w:t> </w:t>
            </w:r>
            <w:r>
              <w:rPr>
                <w:sz w:val="22"/>
              </w:rPr>
              <w:t>and</w:t>
            </w:r>
            <w:r>
              <w:rPr>
                <w:spacing w:val="-19"/>
                <w:sz w:val="22"/>
              </w:rPr>
              <w:t> </w:t>
            </w:r>
            <w:r>
              <w:rPr>
                <w:sz w:val="22"/>
              </w:rPr>
              <w:t>the</w:t>
            </w:r>
            <w:r>
              <w:rPr>
                <w:spacing w:val="-19"/>
                <w:sz w:val="22"/>
              </w:rPr>
              <w:t> </w:t>
            </w:r>
            <w:r>
              <w:rPr>
                <w:sz w:val="22"/>
              </w:rPr>
              <w:t>forecast</w:t>
            </w:r>
            <w:r>
              <w:rPr>
                <w:spacing w:val="-20"/>
                <w:sz w:val="22"/>
              </w:rPr>
              <w:t> </w:t>
            </w:r>
            <w:r>
              <w:rPr>
                <w:sz w:val="22"/>
              </w:rPr>
              <w:t>outturn</w:t>
            </w:r>
            <w:r>
              <w:rPr>
                <w:spacing w:val="-19"/>
                <w:sz w:val="22"/>
              </w:rPr>
              <w:t> </w:t>
            </w:r>
            <w:r>
              <w:rPr>
                <w:sz w:val="22"/>
              </w:rPr>
              <w:t>remains at a break-even position. The 2022-23 Welsh Risk Pool Risk Sharing</w:t>
            </w:r>
            <w:r>
              <w:rPr>
                <w:spacing w:val="-5"/>
                <w:sz w:val="22"/>
              </w:rPr>
              <w:t> </w:t>
            </w:r>
            <w:r>
              <w:rPr>
                <w:sz w:val="22"/>
              </w:rPr>
              <w:t>Agreement</w:t>
            </w:r>
            <w:r>
              <w:rPr>
                <w:spacing w:val="-5"/>
                <w:sz w:val="22"/>
              </w:rPr>
              <w:t> </w:t>
            </w:r>
            <w:r>
              <w:rPr>
                <w:sz w:val="22"/>
              </w:rPr>
              <w:t>will</w:t>
            </w:r>
            <w:r>
              <w:rPr>
                <w:spacing w:val="-5"/>
                <w:sz w:val="22"/>
              </w:rPr>
              <w:t> </w:t>
            </w:r>
            <w:r>
              <w:rPr>
                <w:sz w:val="22"/>
              </w:rPr>
              <w:t>be</w:t>
            </w:r>
            <w:r>
              <w:rPr>
                <w:spacing w:val="-5"/>
                <w:sz w:val="22"/>
              </w:rPr>
              <w:t> </w:t>
            </w:r>
            <w:r>
              <w:rPr>
                <w:sz w:val="22"/>
              </w:rPr>
              <w:t>invoked</w:t>
            </w:r>
            <w:r>
              <w:rPr>
                <w:spacing w:val="-5"/>
                <w:sz w:val="22"/>
              </w:rPr>
              <w:t> </w:t>
            </w:r>
            <w:r>
              <w:rPr>
                <w:sz w:val="22"/>
              </w:rPr>
              <w:t>in</w:t>
            </w:r>
            <w:r>
              <w:rPr>
                <w:spacing w:val="-5"/>
                <w:sz w:val="22"/>
              </w:rPr>
              <w:t> </w:t>
            </w:r>
            <w:r>
              <w:rPr>
                <w:sz w:val="22"/>
              </w:rPr>
              <w:t>line</w:t>
            </w:r>
            <w:r>
              <w:rPr>
                <w:spacing w:val="-5"/>
                <w:sz w:val="22"/>
              </w:rPr>
              <w:t> </w:t>
            </w:r>
            <w:r>
              <w:rPr>
                <w:sz w:val="22"/>
              </w:rPr>
              <w:t>with</w:t>
            </w:r>
            <w:r>
              <w:rPr>
                <w:spacing w:val="-5"/>
                <w:sz w:val="22"/>
              </w:rPr>
              <w:t> </w:t>
            </w:r>
            <w:r>
              <w:rPr>
                <w:sz w:val="22"/>
              </w:rPr>
              <w:t>the</w:t>
            </w:r>
            <w:r>
              <w:rPr>
                <w:spacing w:val="-5"/>
                <w:sz w:val="22"/>
              </w:rPr>
              <w:t> </w:t>
            </w:r>
            <w:r>
              <w:rPr>
                <w:sz w:val="22"/>
              </w:rPr>
              <w:t>IMTP.</w:t>
            </w:r>
            <w:r>
              <w:rPr>
                <w:spacing w:val="40"/>
                <w:sz w:val="22"/>
              </w:rPr>
              <w:t> </w:t>
            </w:r>
            <w:r>
              <w:rPr>
                <w:sz w:val="22"/>
              </w:rPr>
              <w:t>Capital continues to be a challenge, as the allocation of capital funding was not increased following the transfer of the All Wales Laundries. However, funding for the Welsh Healthcare Student Hub (Student Bursary and streamlining) was approved by Welsh Government in September.</w:t>
            </w:r>
          </w:p>
          <w:p>
            <w:pPr>
              <w:pStyle w:val="TableParagraph"/>
              <w:spacing w:before="10"/>
              <w:rPr>
                <w:sz w:val="21"/>
              </w:rPr>
            </w:pPr>
          </w:p>
          <w:p>
            <w:pPr>
              <w:pStyle w:val="TableParagraph"/>
              <w:numPr>
                <w:ilvl w:val="0"/>
                <w:numId w:val="3"/>
              </w:numPr>
              <w:tabs>
                <w:tab w:pos="828" w:val="left" w:leader="none"/>
              </w:tabs>
              <w:spacing w:line="240" w:lineRule="auto" w:before="0" w:after="0"/>
              <w:ind w:left="827" w:right="94" w:hanging="360"/>
              <w:jc w:val="both"/>
              <w:rPr>
                <w:sz w:val="22"/>
              </w:rPr>
            </w:pPr>
            <w:r>
              <w:rPr>
                <w:sz w:val="22"/>
              </w:rPr>
              <w:t>Technology</w:t>
            </w:r>
            <w:r>
              <w:rPr>
                <w:spacing w:val="-17"/>
                <w:sz w:val="22"/>
              </w:rPr>
              <w:t> </w:t>
            </w:r>
            <w:r>
              <w:rPr>
                <w:sz w:val="22"/>
              </w:rPr>
              <w:t>is</w:t>
            </w:r>
            <w:r>
              <w:rPr>
                <w:spacing w:val="-17"/>
                <w:sz w:val="22"/>
              </w:rPr>
              <w:t> </w:t>
            </w:r>
            <w:r>
              <w:rPr>
                <w:sz w:val="22"/>
              </w:rPr>
              <w:t>being</w:t>
            </w:r>
            <w:r>
              <w:rPr>
                <w:spacing w:val="-17"/>
                <w:sz w:val="22"/>
              </w:rPr>
              <w:t> </w:t>
            </w:r>
            <w:r>
              <w:rPr>
                <w:sz w:val="22"/>
              </w:rPr>
              <w:t>introduced</w:t>
            </w:r>
            <w:r>
              <w:rPr>
                <w:spacing w:val="-17"/>
                <w:sz w:val="22"/>
              </w:rPr>
              <w:t> </w:t>
            </w:r>
            <w:r>
              <w:rPr>
                <w:sz w:val="22"/>
              </w:rPr>
              <w:t>from</w:t>
            </w:r>
            <w:r>
              <w:rPr>
                <w:spacing w:val="-17"/>
                <w:sz w:val="22"/>
              </w:rPr>
              <w:t> </w:t>
            </w:r>
            <w:r>
              <w:rPr>
                <w:sz w:val="22"/>
              </w:rPr>
              <w:t>the</w:t>
            </w:r>
            <w:r>
              <w:rPr>
                <w:spacing w:val="-17"/>
                <w:sz w:val="22"/>
              </w:rPr>
              <w:t> </w:t>
            </w:r>
            <w:r>
              <w:rPr>
                <w:sz w:val="22"/>
              </w:rPr>
              <w:t>1</w:t>
            </w:r>
            <w:r>
              <w:rPr>
                <w:position w:val="7"/>
                <w:sz w:val="14"/>
              </w:rPr>
              <w:t>st</w:t>
            </w:r>
            <w:r>
              <w:rPr>
                <w:spacing w:val="11"/>
                <w:position w:val="7"/>
                <w:sz w:val="14"/>
              </w:rPr>
              <w:t> </w:t>
            </w:r>
            <w:r>
              <w:rPr>
                <w:sz w:val="22"/>
              </w:rPr>
              <w:t>of</w:t>
            </w:r>
            <w:r>
              <w:rPr>
                <w:spacing w:val="-17"/>
                <w:sz w:val="22"/>
              </w:rPr>
              <w:t> </w:t>
            </w:r>
            <w:r>
              <w:rPr>
                <w:sz w:val="22"/>
              </w:rPr>
              <w:t>October</w:t>
            </w:r>
            <w:r>
              <w:rPr>
                <w:spacing w:val="-17"/>
                <w:sz w:val="22"/>
              </w:rPr>
              <w:t> </w:t>
            </w:r>
            <w:r>
              <w:rPr>
                <w:sz w:val="22"/>
              </w:rPr>
              <w:t>in</w:t>
            </w:r>
            <w:r>
              <w:rPr>
                <w:spacing w:val="-17"/>
                <w:sz w:val="22"/>
              </w:rPr>
              <w:t> </w:t>
            </w:r>
            <w:r>
              <w:rPr>
                <w:sz w:val="22"/>
              </w:rPr>
              <w:t>line</w:t>
            </w:r>
            <w:r>
              <w:rPr>
                <w:spacing w:val="-17"/>
                <w:sz w:val="22"/>
              </w:rPr>
              <w:t> </w:t>
            </w:r>
            <w:r>
              <w:rPr>
                <w:sz w:val="22"/>
              </w:rPr>
              <w:t>with Home Office guidance which allows NWSSP to continue to undertake virtual pre-employment checks for successful applicants</w:t>
            </w:r>
            <w:r>
              <w:rPr>
                <w:spacing w:val="-14"/>
                <w:sz w:val="22"/>
              </w:rPr>
              <w:t> </w:t>
            </w:r>
            <w:r>
              <w:rPr>
                <w:sz w:val="22"/>
              </w:rPr>
              <w:t>with</w:t>
            </w:r>
            <w:r>
              <w:rPr>
                <w:spacing w:val="-14"/>
                <w:sz w:val="22"/>
              </w:rPr>
              <w:t> </w:t>
            </w:r>
            <w:r>
              <w:rPr>
                <w:sz w:val="22"/>
              </w:rPr>
              <w:t>a</w:t>
            </w:r>
            <w:r>
              <w:rPr>
                <w:spacing w:val="-14"/>
                <w:sz w:val="22"/>
              </w:rPr>
              <w:t> </w:t>
            </w:r>
            <w:r>
              <w:rPr>
                <w:sz w:val="22"/>
              </w:rPr>
              <w:t>UK</w:t>
            </w:r>
            <w:r>
              <w:rPr>
                <w:spacing w:val="-14"/>
                <w:sz w:val="22"/>
              </w:rPr>
              <w:t> </w:t>
            </w:r>
            <w:r>
              <w:rPr>
                <w:sz w:val="22"/>
              </w:rPr>
              <w:t>or</w:t>
            </w:r>
            <w:r>
              <w:rPr>
                <w:spacing w:val="-14"/>
                <w:sz w:val="22"/>
              </w:rPr>
              <w:t> </w:t>
            </w:r>
            <w:r>
              <w:rPr>
                <w:sz w:val="22"/>
              </w:rPr>
              <w:t>Irish</w:t>
            </w:r>
            <w:r>
              <w:rPr>
                <w:spacing w:val="-14"/>
                <w:sz w:val="22"/>
              </w:rPr>
              <w:t> </w:t>
            </w:r>
            <w:r>
              <w:rPr>
                <w:sz w:val="22"/>
              </w:rPr>
              <w:t>passport.</w:t>
            </w:r>
            <w:r>
              <w:rPr>
                <w:spacing w:val="-14"/>
                <w:sz w:val="22"/>
              </w:rPr>
              <w:t> </w:t>
            </w:r>
            <w:r>
              <w:rPr>
                <w:sz w:val="22"/>
              </w:rPr>
              <w:t>All</w:t>
            </w:r>
            <w:r>
              <w:rPr>
                <w:spacing w:val="-14"/>
                <w:sz w:val="22"/>
              </w:rPr>
              <w:t> </w:t>
            </w:r>
            <w:r>
              <w:rPr>
                <w:sz w:val="22"/>
              </w:rPr>
              <w:t>other</w:t>
            </w:r>
            <w:r>
              <w:rPr>
                <w:spacing w:val="-14"/>
                <w:sz w:val="22"/>
              </w:rPr>
              <w:t> </w:t>
            </w:r>
            <w:r>
              <w:rPr>
                <w:sz w:val="22"/>
              </w:rPr>
              <w:t>new</w:t>
            </w:r>
            <w:r>
              <w:rPr>
                <w:spacing w:val="-14"/>
                <w:sz w:val="22"/>
              </w:rPr>
              <w:t> </w:t>
            </w:r>
            <w:r>
              <w:rPr>
                <w:sz w:val="22"/>
              </w:rPr>
              <w:t>staff</w:t>
            </w:r>
            <w:r>
              <w:rPr>
                <w:spacing w:val="-14"/>
                <w:sz w:val="22"/>
              </w:rPr>
              <w:t> </w:t>
            </w:r>
            <w:r>
              <w:rPr>
                <w:sz w:val="22"/>
              </w:rPr>
              <w:t>will</w:t>
            </w:r>
            <w:r>
              <w:rPr>
                <w:spacing w:val="-14"/>
                <w:sz w:val="22"/>
              </w:rPr>
              <w:t> </w:t>
            </w:r>
            <w:r>
              <w:rPr>
                <w:sz w:val="22"/>
              </w:rPr>
              <w:t>now have to attend a face-to-face check.</w:t>
            </w:r>
          </w:p>
          <w:p>
            <w:pPr>
              <w:pStyle w:val="TableParagraph"/>
              <w:spacing w:before="10"/>
              <w:rPr>
                <w:sz w:val="21"/>
              </w:rPr>
            </w:pPr>
          </w:p>
          <w:p>
            <w:pPr>
              <w:pStyle w:val="TableParagraph"/>
              <w:numPr>
                <w:ilvl w:val="0"/>
                <w:numId w:val="3"/>
              </w:numPr>
              <w:tabs>
                <w:tab w:pos="828" w:val="left" w:leader="none"/>
              </w:tabs>
              <w:spacing w:line="240" w:lineRule="auto" w:before="0" w:after="0"/>
              <w:ind w:left="827" w:right="94" w:hanging="360"/>
              <w:jc w:val="both"/>
              <w:rPr>
                <w:sz w:val="22"/>
              </w:rPr>
            </w:pPr>
            <w:r>
              <w:rPr>
                <w:sz w:val="22"/>
              </w:rPr>
              <w:t>198 surplus critical care beds have been sent to a hospital in Moldova to support Ukrainian refugees following a request from a Charity which was authorised by Welsh Government.</w:t>
            </w:r>
          </w:p>
          <w:p>
            <w:pPr>
              <w:pStyle w:val="TableParagraph"/>
              <w:spacing w:before="10"/>
              <w:rPr>
                <w:sz w:val="21"/>
              </w:rPr>
            </w:pPr>
          </w:p>
          <w:p>
            <w:pPr>
              <w:pStyle w:val="TableParagraph"/>
              <w:numPr>
                <w:ilvl w:val="0"/>
                <w:numId w:val="3"/>
              </w:numPr>
              <w:tabs>
                <w:tab w:pos="828" w:val="left" w:leader="none"/>
              </w:tabs>
              <w:spacing w:line="240" w:lineRule="auto" w:before="0" w:after="0"/>
              <w:ind w:left="827" w:right="93" w:hanging="360"/>
              <w:jc w:val="both"/>
              <w:rPr>
                <w:sz w:val="22"/>
              </w:rPr>
            </w:pPr>
            <w:r>
              <w:rPr>
                <w:sz w:val="22"/>
              </w:rPr>
              <w:t>A recruitment exercise had recently taken place for the role of Director of Specialist Estates Services, where the current Director,</w:t>
            </w:r>
            <w:r>
              <w:rPr>
                <w:spacing w:val="-9"/>
                <w:sz w:val="22"/>
              </w:rPr>
              <w:t> </w:t>
            </w:r>
            <w:r>
              <w:rPr>
                <w:sz w:val="22"/>
              </w:rPr>
              <w:t>Neil</w:t>
            </w:r>
            <w:r>
              <w:rPr>
                <w:spacing w:val="-9"/>
                <w:sz w:val="22"/>
              </w:rPr>
              <w:t> </w:t>
            </w:r>
            <w:r>
              <w:rPr>
                <w:sz w:val="22"/>
              </w:rPr>
              <w:t>Davies,</w:t>
            </w:r>
            <w:r>
              <w:rPr>
                <w:spacing w:val="-9"/>
                <w:sz w:val="22"/>
              </w:rPr>
              <w:t> </w:t>
            </w:r>
            <w:r>
              <w:rPr>
                <w:sz w:val="22"/>
              </w:rPr>
              <w:t>has</w:t>
            </w:r>
            <w:r>
              <w:rPr>
                <w:spacing w:val="-9"/>
                <w:sz w:val="22"/>
              </w:rPr>
              <w:t> </w:t>
            </w:r>
            <w:r>
              <w:rPr>
                <w:sz w:val="22"/>
              </w:rPr>
              <w:t>announced</w:t>
            </w:r>
            <w:r>
              <w:rPr>
                <w:spacing w:val="-9"/>
                <w:sz w:val="22"/>
              </w:rPr>
              <w:t> </w:t>
            </w:r>
            <w:r>
              <w:rPr>
                <w:sz w:val="22"/>
              </w:rPr>
              <w:t>his</w:t>
            </w:r>
            <w:r>
              <w:rPr>
                <w:spacing w:val="-9"/>
                <w:sz w:val="22"/>
              </w:rPr>
              <w:t> </w:t>
            </w:r>
            <w:r>
              <w:rPr>
                <w:sz w:val="22"/>
              </w:rPr>
              <w:t>intention</w:t>
            </w:r>
            <w:r>
              <w:rPr>
                <w:spacing w:val="-9"/>
                <w:sz w:val="22"/>
              </w:rPr>
              <w:t> </w:t>
            </w:r>
            <w:r>
              <w:rPr>
                <w:sz w:val="22"/>
              </w:rPr>
              <w:t>to</w:t>
            </w:r>
            <w:r>
              <w:rPr>
                <w:spacing w:val="-9"/>
                <w:sz w:val="22"/>
              </w:rPr>
              <w:t> </w:t>
            </w:r>
            <w:r>
              <w:rPr>
                <w:sz w:val="22"/>
              </w:rPr>
              <w:t>retire</w:t>
            </w:r>
            <w:r>
              <w:rPr>
                <w:spacing w:val="-9"/>
                <w:sz w:val="22"/>
              </w:rPr>
              <w:t> </w:t>
            </w:r>
            <w:r>
              <w:rPr>
                <w:sz w:val="22"/>
              </w:rPr>
              <w:t>at</w:t>
            </w:r>
            <w:r>
              <w:rPr>
                <w:spacing w:val="-9"/>
                <w:sz w:val="22"/>
              </w:rPr>
              <w:t> </w:t>
            </w:r>
            <w:r>
              <w:rPr>
                <w:sz w:val="22"/>
              </w:rPr>
              <w:t>the end</w:t>
            </w:r>
            <w:r>
              <w:rPr>
                <w:spacing w:val="-16"/>
                <w:sz w:val="22"/>
              </w:rPr>
              <w:t> </w:t>
            </w:r>
            <w:r>
              <w:rPr>
                <w:sz w:val="22"/>
              </w:rPr>
              <w:t>of</w:t>
            </w:r>
            <w:r>
              <w:rPr>
                <w:spacing w:val="-16"/>
                <w:sz w:val="22"/>
              </w:rPr>
              <w:t> </w:t>
            </w:r>
            <w:r>
              <w:rPr>
                <w:sz w:val="22"/>
              </w:rPr>
              <w:t>this</w:t>
            </w:r>
            <w:r>
              <w:rPr>
                <w:spacing w:val="-16"/>
                <w:sz w:val="22"/>
              </w:rPr>
              <w:t> </w:t>
            </w:r>
            <w:r>
              <w:rPr>
                <w:sz w:val="22"/>
              </w:rPr>
              <w:t>financial</w:t>
            </w:r>
            <w:r>
              <w:rPr>
                <w:spacing w:val="-16"/>
                <w:sz w:val="22"/>
              </w:rPr>
              <w:t> </w:t>
            </w:r>
            <w:r>
              <w:rPr>
                <w:sz w:val="22"/>
              </w:rPr>
              <w:t>year.</w:t>
            </w:r>
            <w:r>
              <w:rPr>
                <w:spacing w:val="-16"/>
                <w:sz w:val="22"/>
              </w:rPr>
              <w:t> </w:t>
            </w:r>
            <w:r>
              <w:rPr>
                <w:sz w:val="22"/>
              </w:rPr>
              <w:t>Interviews</w:t>
            </w:r>
            <w:r>
              <w:rPr>
                <w:spacing w:val="-16"/>
                <w:sz w:val="22"/>
              </w:rPr>
              <w:t> </w:t>
            </w:r>
            <w:r>
              <w:rPr>
                <w:sz w:val="22"/>
              </w:rPr>
              <w:t>took</w:t>
            </w:r>
            <w:r>
              <w:rPr>
                <w:spacing w:val="-16"/>
                <w:sz w:val="22"/>
              </w:rPr>
              <w:t> </w:t>
            </w:r>
            <w:r>
              <w:rPr>
                <w:sz w:val="22"/>
              </w:rPr>
              <w:t>place</w:t>
            </w:r>
            <w:r>
              <w:rPr>
                <w:spacing w:val="-16"/>
                <w:sz w:val="22"/>
              </w:rPr>
              <w:t> </w:t>
            </w:r>
            <w:r>
              <w:rPr>
                <w:sz w:val="22"/>
              </w:rPr>
              <w:t>recently</w:t>
            </w:r>
            <w:r>
              <w:rPr>
                <w:spacing w:val="-16"/>
                <w:sz w:val="22"/>
              </w:rPr>
              <w:t> </w:t>
            </w:r>
            <w:r>
              <w:rPr>
                <w:sz w:val="22"/>
              </w:rPr>
              <w:t>and</w:t>
            </w:r>
            <w:r>
              <w:rPr>
                <w:spacing w:val="-16"/>
                <w:sz w:val="22"/>
              </w:rPr>
              <w:t> </w:t>
            </w:r>
            <w:r>
              <w:rPr>
                <w:sz w:val="22"/>
              </w:rPr>
              <w:t>from a strong field, the current Deputy Director, Stuart Douglas, has been appointed.</w:t>
            </w:r>
          </w:p>
          <w:p>
            <w:pPr>
              <w:pStyle w:val="TableParagraph"/>
              <w:spacing w:before="10"/>
              <w:rPr>
                <w:sz w:val="21"/>
              </w:rPr>
            </w:pPr>
          </w:p>
          <w:p>
            <w:pPr>
              <w:pStyle w:val="TableParagraph"/>
              <w:ind w:left="108"/>
              <w:rPr>
                <w:sz w:val="22"/>
              </w:rPr>
            </w:pPr>
            <w:r>
              <w:rPr>
                <w:sz w:val="22"/>
              </w:rPr>
              <w:t>The</w:t>
            </w:r>
            <w:r>
              <w:rPr>
                <w:spacing w:val="-4"/>
                <w:sz w:val="22"/>
              </w:rPr>
              <w:t> </w:t>
            </w:r>
            <w:r>
              <w:rPr>
                <w:sz w:val="22"/>
              </w:rPr>
              <w:t>Committee</w:t>
            </w:r>
            <w:r>
              <w:rPr>
                <w:spacing w:val="-1"/>
                <w:sz w:val="22"/>
              </w:rPr>
              <w:t> </w:t>
            </w:r>
            <w:r>
              <w:rPr>
                <w:b/>
                <w:sz w:val="22"/>
              </w:rPr>
              <w:t>NOTED</w:t>
            </w:r>
            <w:r>
              <w:rPr>
                <w:b/>
                <w:spacing w:val="1"/>
                <w:sz w:val="22"/>
              </w:rPr>
              <w:t> </w:t>
            </w:r>
            <w:r>
              <w:rPr>
                <w:sz w:val="22"/>
              </w:rPr>
              <w:t>the</w:t>
            </w:r>
            <w:r>
              <w:rPr>
                <w:spacing w:val="-2"/>
                <w:sz w:val="22"/>
              </w:rPr>
              <w:t> </w:t>
            </w:r>
            <w:r>
              <w:rPr>
                <w:sz w:val="22"/>
              </w:rPr>
              <w:t>Update</w:t>
            </w:r>
            <w:r>
              <w:rPr>
                <w:spacing w:val="-2"/>
                <w:sz w:val="22"/>
              </w:rPr>
              <w:t> Report.</w:t>
            </w:r>
          </w:p>
        </w:tc>
        <w:tc>
          <w:tcPr>
            <w:tcW w:w="1535" w:type="dxa"/>
          </w:tcPr>
          <w:p>
            <w:pPr>
              <w:pStyle w:val="TableParagraph"/>
              <w:rPr>
                <w:rFonts w:ascii="Times New Roman"/>
                <w:sz w:val="22"/>
              </w:rPr>
            </w:pPr>
          </w:p>
        </w:tc>
      </w:tr>
      <w:tr>
        <w:trPr>
          <w:trHeight w:val="645" w:hRule="atLeast"/>
        </w:trPr>
        <w:tc>
          <w:tcPr>
            <w:tcW w:w="11018" w:type="dxa"/>
            <w:gridSpan w:val="3"/>
            <w:shd w:val="clear" w:color="auto" w:fill="BFBFBF"/>
          </w:tcPr>
          <w:p>
            <w:pPr>
              <w:pStyle w:val="TableParagraph"/>
              <w:ind w:left="467"/>
              <w:rPr>
                <w:b/>
                <w:sz w:val="22"/>
              </w:rPr>
            </w:pPr>
            <w:r>
              <w:rPr>
                <w:b/>
                <w:sz w:val="22"/>
              </w:rPr>
              <w:t>3.</w:t>
            </w:r>
            <w:r>
              <w:rPr>
                <w:b/>
                <w:spacing w:val="43"/>
                <w:sz w:val="22"/>
              </w:rPr>
              <w:t> </w:t>
            </w:r>
            <w:r>
              <w:rPr>
                <w:b/>
                <w:sz w:val="22"/>
              </w:rPr>
              <w:t>EXTERNAL</w:t>
            </w:r>
            <w:r>
              <w:rPr>
                <w:b/>
                <w:spacing w:val="-2"/>
                <w:sz w:val="22"/>
              </w:rPr>
              <w:t> AUDIT</w:t>
            </w:r>
          </w:p>
        </w:tc>
      </w:tr>
    </w:tbl>
    <w:p>
      <w:pPr>
        <w:pStyle w:val="BodyText"/>
        <w:spacing w:before="7"/>
        <w:rPr>
          <w:sz w:val="8"/>
        </w:rPr>
      </w:pPr>
    </w:p>
    <w:p>
      <w:pPr>
        <w:pStyle w:val="BodyText"/>
        <w:spacing w:before="100"/>
        <w:ind w:left="850"/>
      </w:pPr>
      <w:r>
        <w:rPr/>
        <w:t>NWSSP</w:t>
      </w:r>
      <w:r>
        <w:rPr>
          <w:spacing w:val="-4"/>
        </w:rPr>
        <w:t> </w:t>
      </w:r>
      <w:r>
        <w:rPr/>
        <w:t>Audit</w:t>
      </w:r>
      <w:r>
        <w:rPr>
          <w:spacing w:val="-2"/>
        </w:rPr>
        <w:t> Committee</w:t>
      </w:r>
    </w:p>
    <w:p>
      <w:pPr>
        <w:pStyle w:val="BodyText"/>
        <w:tabs>
          <w:tab w:pos="10914" w:val="right" w:leader="none"/>
        </w:tabs>
        <w:ind w:left="850"/>
      </w:pPr>
      <w:r>
        <w:rPr/>
        <w:t>11</w:t>
      </w:r>
      <w:r>
        <w:rPr>
          <w:spacing w:val="-4"/>
        </w:rPr>
        <w:t> </w:t>
      </w:r>
      <w:r>
        <w:rPr/>
        <w:t>October</w:t>
      </w:r>
      <w:r>
        <w:rPr>
          <w:spacing w:val="-4"/>
        </w:rPr>
        <w:t> 2022</w:t>
      </w:r>
      <w:r>
        <w:rPr/>
        <w:tab/>
      </w:r>
      <w:r>
        <w:rPr>
          <w:spacing w:val="-10"/>
        </w:rPr>
        <w:t>2</w:t>
      </w:r>
    </w:p>
    <w:p>
      <w:pPr>
        <w:spacing w:after="0"/>
        <w:sectPr>
          <w:pgSz w:w="11900" w:h="16840"/>
          <w:pgMar w:header="0" w:footer="173" w:top="1260" w:bottom="360" w:left="0" w:right="0"/>
        </w:sectPr>
      </w:pPr>
    </w:p>
    <w:tbl>
      <w:tblPr>
        <w:tblW w:w="0" w:type="auto"/>
        <w:jc w:val="left"/>
        <w:tblInd w:w="3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55"/>
        <w:gridCol w:w="8128"/>
        <w:gridCol w:w="1535"/>
      </w:tblGrid>
      <w:tr>
        <w:trPr>
          <w:trHeight w:val="275" w:hRule="atLeast"/>
        </w:trPr>
        <w:tc>
          <w:tcPr>
            <w:tcW w:w="1355" w:type="dxa"/>
          </w:tcPr>
          <w:p>
            <w:pPr>
              <w:pStyle w:val="TableParagraph"/>
              <w:spacing w:line="255" w:lineRule="exact"/>
              <w:ind w:left="108"/>
              <w:rPr>
                <w:b/>
                <w:sz w:val="22"/>
              </w:rPr>
            </w:pPr>
            <w:r>
              <w:rPr>
                <w:b/>
                <w:spacing w:val="-4"/>
                <w:sz w:val="22"/>
              </w:rPr>
              <w:t>Item</w:t>
            </w:r>
          </w:p>
        </w:tc>
        <w:tc>
          <w:tcPr>
            <w:tcW w:w="8128" w:type="dxa"/>
          </w:tcPr>
          <w:p>
            <w:pPr>
              <w:pStyle w:val="TableParagraph"/>
              <w:rPr>
                <w:rFonts w:ascii="Times New Roman"/>
                <w:sz w:val="20"/>
              </w:rPr>
            </w:pPr>
          </w:p>
        </w:tc>
        <w:tc>
          <w:tcPr>
            <w:tcW w:w="1535" w:type="dxa"/>
          </w:tcPr>
          <w:p>
            <w:pPr>
              <w:pStyle w:val="TableParagraph"/>
              <w:spacing w:line="255" w:lineRule="exact"/>
              <w:ind w:left="107"/>
              <w:rPr>
                <w:b/>
                <w:sz w:val="22"/>
              </w:rPr>
            </w:pPr>
            <w:r>
              <w:rPr>
                <w:b/>
                <w:spacing w:val="-2"/>
                <w:sz w:val="22"/>
              </w:rPr>
              <w:t>Action</w:t>
            </w:r>
          </w:p>
        </w:tc>
      </w:tr>
      <w:tr>
        <w:trPr>
          <w:trHeight w:val="3475" w:hRule="atLeast"/>
        </w:trPr>
        <w:tc>
          <w:tcPr>
            <w:tcW w:w="1355" w:type="dxa"/>
          </w:tcPr>
          <w:p>
            <w:pPr>
              <w:pStyle w:val="TableParagraph"/>
              <w:ind w:left="108"/>
              <w:rPr>
                <w:b/>
                <w:sz w:val="22"/>
              </w:rPr>
            </w:pPr>
            <w:r>
              <w:rPr>
                <w:b/>
                <w:spacing w:val="-5"/>
                <w:sz w:val="22"/>
              </w:rPr>
              <w:t>3.1</w:t>
            </w:r>
          </w:p>
        </w:tc>
        <w:tc>
          <w:tcPr>
            <w:tcW w:w="8128" w:type="dxa"/>
          </w:tcPr>
          <w:p>
            <w:pPr>
              <w:pStyle w:val="TableParagraph"/>
              <w:ind w:left="108"/>
              <w:jc w:val="both"/>
              <w:rPr>
                <w:b/>
                <w:sz w:val="22"/>
              </w:rPr>
            </w:pPr>
            <w:r>
              <w:rPr>
                <w:b/>
                <w:sz w:val="22"/>
              </w:rPr>
              <w:t>Audit</w:t>
            </w:r>
            <w:r>
              <w:rPr>
                <w:b/>
                <w:spacing w:val="-4"/>
                <w:sz w:val="22"/>
              </w:rPr>
              <w:t> </w:t>
            </w:r>
            <w:r>
              <w:rPr>
                <w:b/>
                <w:sz w:val="22"/>
              </w:rPr>
              <w:t>Wales</w:t>
            </w:r>
            <w:r>
              <w:rPr>
                <w:b/>
                <w:spacing w:val="-2"/>
                <w:sz w:val="22"/>
              </w:rPr>
              <w:t> Update</w:t>
            </w:r>
          </w:p>
          <w:p>
            <w:pPr>
              <w:pStyle w:val="TableParagraph"/>
              <w:ind w:left="108" w:right="93"/>
              <w:jc w:val="both"/>
              <w:rPr>
                <w:sz w:val="22"/>
              </w:rPr>
            </w:pPr>
            <w:r>
              <w:rPr>
                <w:sz w:val="22"/>
              </w:rPr>
              <w:t>SW presented the latest position statement detailing current and planned work. He confirmed that the audit work for NWSSP would commence in January, and when questioned as to whether this was rather late, answered that unfortunately completing the 2021/22 Local Authority</w:t>
            </w:r>
            <w:r>
              <w:rPr>
                <w:spacing w:val="-11"/>
                <w:sz w:val="22"/>
              </w:rPr>
              <w:t> </w:t>
            </w:r>
            <w:r>
              <w:rPr>
                <w:sz w:val="22"/>
              </w:rPr>
              <w:t>audits</w:t>
            </w:r>
            <w:r>
              <w:rPr>
                <w:spacing w:val="-11"/>
                <w:sz w:val="22"/>
              </w:rPr>
              <w:t> </w:t>
            </w:r>
            <w:r>
              <w:rPr>
                <w:sz w:val="22"/>
              </w:rPr>
              <w:t>are</w:t>
            </w:r>
            <w:r>
              <w:rPr>
                <w:spacing w:val="-12"/>
                <w:sz w:val="22"/>
              </w:rPr>
              <w:t> </w:t>
            </w:r>
            <w:r>
              <w:rPr>
                <w:sz w:val="22"/>
              </w:rPr>
              <w:t>currently</w:t>
            </w:r>
            <w:r>
              <w:rPr>
                <w:spacing w:val="-11"/>
                <w:sz w:val="22"/>
              </w:rPr>
              <w:t> </w:t>
            </w:r>
            <w:r>
              <w:rPr>
                <w:sz w:val="22"/>
              </w:rPr>
              <w:t>the</w:t>
            </w:r>
            <w:r>
              <w:rPr>
                <w:spacing w:val="-11"/>
                <w:sz w:val="22"/>
              </w:rPr>
              <w:t> </w:t>
            </w:r>
            <w:r>
              <w:rPr>
                <w:sz w:val="22"/>
              </w:rPr>
              <w:t>priority,</w:t>
            </w:r>
            <w:r>
              <w:rPr>
                <w:spacing w:val="-11"/>
                <w:sz w:val="22"/>
              </w:rPr>
              <w:t> </w:t>
            </w:r>
            <w:r>
              <w:rPr>
                <w:sz w:val="22"/>
              </w:rPr>
              <w:t>resulting</w:t>
            </w:r>
            <w:r>
              <w:rPr>
                <w:spacing w:val="-11"/>
                <w:sz w:val="22"/>
              </w:rPr>
              <w:t> </w:t>
            </w:r>
            <w:r>
              <w:rPr>
                <w:sz w:val="22"/>
              </w:rPr>
              <w:t>in</w:t>
            </w:r>
            <w:r>
              <w:rPr>
                <w:spacing w:val="-11"/>
                <w:sz w:val="22"/>
              </w:rPr>
              <w:t> </w:t>
            </w:r>
            <w:r>
              <w:rPr>
                <w:sz w:val="22"/>
              </w:rPr>
              <w:t>the</w:t>
            </w:r>
            <w:r>
              <w:rPr>
                <w:spacing w:val="-11"/>
                <w:sz w:val="22"/>
              </w:rPr>
              <w:t> </w:t>
            </w:r>
            <w:r>
              <w:rPr>
                <w:sz w:val="22"/>
              </w:rPr>
              <w:t>2022/23</w:t>
            </w:r>
            <w:r>
              <w:rPr>
                <w:spacing w:val="-11"/>
                <w:sz w:val="22"/>
              </w:rPr>
              <w:t> </w:t>
            </w:r>
            <w:r>
              <w:rPr>
                <w:sz w:val="22"/>
              </w:rPr>
              <w:t>NHS audits being unable to start earlier.</w:t>
            </w:r>
          </w:p>
          <w:p>
            <w:pPr>
              <w:pStyle w:val="TableParagraph"/>
              <w:rPr>
                <w:sz w:val="22"/>
              </w:rPr>
            </w:pPr>
          </w:p>
          <w:p>
            <w:pPr>
              <w:pStyle w:val="TableParagraph"/>
              <w:ind w:left="108" w:right="96"/>
              <w:jc w:val="both"/>
              <w:rPr>
                <w:sz w:val="22"/>
              </w:rPr>
            </w:pPr>
            <w:r>
              <w:rPr>
                <w:sz w:val="22"/>
              </w:rPr>
              <w:t>MV</w:t>
            </w:r>
            <w:r>
              <w:rPr>
                <w:spacing w:val="-9"/>
                <w:sz w:val="22"/>
              </w:rPr>
              <w:t> </w:t>
            </w:r>
            <w:r>
              <w:rPr>
                <w:sz w:val="22"/>
              </w:rPr>
              <w:t>queried</w:t>
            </w:r>
            <w:r>
              <w:rPr>
                <w:spacing w:val="-9"/>
                <w:sz w:val="22"/>
              </w:rPr>
              <w:t> </w:t>
            </w:r>
            <w:r>
              <w:rPr>
                <w:sz w:val="22"/>
              </w:rPr>
              <w:t>if</w:t>
            </w:r>
            <w:r>
              <w:rPr>
                <w:spacing w:val="-9"/>
                <w:sz w:val="22"/>
              </w:rPr>
              <w:t> </w:t>
            </w:r>
            <w:r>
              <w:rPr>
                <w:sz w:val="22"/>
              </w:rPr>
              <w:t>responses</w:t>
            </w:r>
            <w:r>
              <w:rPr>
                <w:spacing w:val="-9"/>
                <w:sz w:val="22"/>
              </w:rPr>
              <w:t> </w:t>
            </w:r>
            <w:r>
              <w:rPr>
                <w:sz w:val="22"/>
              </w:rPr>
              <w:t>to</w:t>
            </w:r>
            <w:r>
              <w:rPr>
                <w:spacing w:val="-9"/>
                <w:sz w:val="22"/>
              </w:rPr>
              <w:t> </w:t>
            </w:r>
            <w:r>
              <w:rPr>
                <w:sz w:val="22"/>
              </w:rPr>
              <w:t>the</w:t>
            </w:r>
            <w:r>
              <w:rPr>
                <w:spacing w:val="-9"/>
                <w:sz w:val="22"/>
              </w:rPr>
              <w:t> </w:t>
            </w:r>
            <w:r>
              <w:rPr>
                <w:sz w:val="22"/>
              </w:rPr>
              <w:t>recent</w:t>
            </w:r>
            <w:r>
              <w:rPr>
                <w:spacing w:val="-9"/>
                <w:sz w:val="22"/>
              </w:rPr>
              <w:t> </w:t>
            </w:r>
            <w:r>
              <w:rPr>
                <w:sz w:val="22"/>
              </w:rPr>
              <w:t>fee</w:t>
            </w:r>
            <w:r>
              <w:rPr>
                <w:spacing w:val="-9"/>
                <w:sz w:val="22"/>
              </w:rPr>
              <w:t> </w:t>
            </w:r>
            <w:r>
              <w:rPr>
                <w:sz w:val="22"/>
              </w:rPr>
              <w:t>consultation</w:t>
            </w:r>
            <w:r>
              <w:rPr>
                <w:spacing w:val="-9"/>
                <w:sz w:val="22"/>
              </w:rPr>
              <w:t> </w:t>
            </w:r>
            <w:r>
              <w:rPr>
                <w:sz w:val="22"/>
              </w:rPr>
              <w:t>would</w:t>
            </w:r>
            <w:r>
              <w:rPr>
                <w:spacing w:val="-9"/>
                <w:sz w:val="22"/>
              </w:rPr>
              <w:t> </w:t>
            </w:r>
            <w:r>
              <w:rPr>
                <w:sz w:val="22"/>
              </w:rPr>
              <w:t>be</w:t>
            </w:r>
            <w:r>
              <w:rPr>
                <w:spacing w:val="-9"/>
                <w:sz w:val="22"/>
              </w:rPr>
              <w:t> </w:t>
            </w:r>
            <w:r>
              <w:rPr>
                <w:sz w:val="22"/>
              </w:rPr>
              <w:t>shared. SW agreed to provide members with the responses once available.</w:t>
            </w:r>
          </w:p>
          <w:p>
            <w:pPr>
              <w:pStyle w:val="TableParagraph"/>
              <w:rPr>
                <w:sz w:val="22"/>
              </w:rPr>
            </w:pPr>
          </w:p>
          <w:p>
            <w:pPr>
              <w:pStyle w:val="TableParagraph"/>
              <w:ind w:left="108"/>
              <w:jc w:val="both"/>
              <w:rPr>
                <w:sz w:val="22"/>
              </w:rPr>
            </w:pPr>
            <w:r>
              <w:rPr>
                <w:sz w:val="22"/>
              </w:rPr>
              <w:t>The</w:t>
            </w:r>
            <w:r>
              <w:rPr>
                <w:spacing w:val="-3"/>
                <w:sz w:val="22"/>
              </w:rPr>
              <w:t> </w:t>
            </w:r>
            <w:r>
              <w:rPr>
                <w:sz w:val="22"/>
              </w:rPr>
              <w:t>Committee</w:t>
            </w:r>
            <w:r>
              <w:rPr>
                <w:spacing w:val="-1"/>
                <w:sz w:val="22"/>
              </w:rPr>
              <w:t> </w:t>
            </w:r>
            <w:r>
              <w:rPr>
                <w:b/>
                <w:sz w:val="22"/>
              </w:rPr>
              <w:t>NOTED</w:t>
            </w:r>
            <w:r>
              <w:rPr>
                <w:b/>
                <w:spacing w:val="1"/>
                <w:sz w:val="22"/>
              </w:rPr>
              <w:t> </w:t>
            </w:r>
            <w:r>
              <w:rPr>
                <w:sz w:val="22"/>
              </w:rPr>
              <w:t>the</w:t>
            </w:r>
            <w:r>
              <w:rPr>
                <w:spacing w:val="-2"/>
                <w:sz w:val="22"/>
              </w:rPr>
              <w:t> Update.</w:t>
            </w:r>
          </w:p>
        </w:tc>
        <w:tc>
          <w:tcPr>
            <w:tcW w:w="1535" w:type="dxa"/>
          </w:tcPr>
          <w:p>
            <w:pPr>
              <w:pStyle w:val="TableParagraph"/>
              <w:rPr>
                <w:sz w:val="26"/>
              </w:rPr>
            </w:pPr>
          </w:p>
          <w:p>
            <w:pPr>
              <w:pStyle w:val="TableParagraph"/>
              <w:rPr>
                <w:sz w:val="26"/>
              </w:rPr>
            </w:pPr>
          </w:p>
          <w:p>
            <w:pPr>
              <w:pStyle w:val="TableParagraph"/>
              <w:rPr>
                <w:sz w:val="26"/>
              </w:rPr>
            </w:pPr>
          </w:p>
          <w:p>
            <w:pPr>
              <w:pStyle w:val="TableParagraph"/>
              <w:rPr>
                <w:sz w:val="26"/>
              </w:rPr>
            </w:pPr>
          </w:p>
          <w:p>
            <w:pPr>
              <w:pStyle w:val="TableParagraph"/>
              <w:rPr>
                <w:sz w:val="26"/>
              </w:rPr>
            </w:pPr>
          </w:p>
          <w:p>
            <w:pPr>
              <w:pStyle w:val="TableParagraph"/>
              <w:rPr>
                <w:sz w:val="26"/>
              </w:rPr>
            </w:pPr>
          </w:p>
          <w:p>
            <w:pPr>
              <w:pStyle w:val="TableParagraph"/>
              <w:rPr>
                <w:sz w:val="26"/>
              </w:rPr>
            </w:pPr>
          </w:p>
          <w:p>
            <w:pPr>
              <w:pStyle w:val="TableParagraph"/>
              <w:spacing w:before="194"/>
              <w:ind w:right="553"/>
              <w:jc w:val="right"/>
              <w:rPr>
                <w:b/>
                <w:sz w:val="22"/>
              </w:rPr>
            </w:pPr>
            <w:r>
              <w:rPr>
                <w:b/>
                <w:spacing w:val="-5"/>
                <w:sz w:val="22"/>
              </w:rPr>
              <w:t>SW</w:t>
            </w:r>
          </w:p>
        </w:tc>
      </w:tr>
      <w:tr>
        <w:trPr>
          <w:trHeight w:val="534" w:hRule="atLeast"/>
        </w:trPr>
        <w:tc>
          <w:tcPr>
            <w:tcW w:w="11018" w:type="dxa"/>
            <w:gridSpan w:val="3"/>
            <w:shd w:val="clear" w:color="auto" w:fill="BFBFBF"/>
          </w:tcPr>
          <w:p>
            <w:pPr>
              <w:pStyle w:val="TableParagraph"/>
              <w:ind w:left="467"/>
              <w:rPr>
                <w:b/>
                <w:sz w:val="22"/>
              </w:rPr>
            </w:pPr>
            <w:r>
              <w:rPr>
                <w:b/>
                <w:sz w:val="22"/>
              </w:rPr>
              <w:t>4.</w:t>
            </w:r>
            <w:r>
              <w:rPr>
                <w:b/>
                <w:spacing w:val="48"/>
                <w:sz w:val="22"/>
              </w:rPr>
              <w:t> </w:t>
            </w:r>
            <w:r>
              <w:rPr>
                <w:b/>
                <w:sz w:val="22"/>
              </w:rPr>
              <w:t>INTERNAL </w:t>
            </w:r>
            <w:r>
              <w:rPr>
                <w:b/>
                <w:spacing w:val="-2"/>
                <w:sz w:val="22"/>
              </w:rPr>
              <w:t>AUDIT</w:t>
            </w:r>
          </w:p>
        </w:tc>
      </w:tr>
      <w:tr>
        <w:trPr>
          <w:trHeight w:val="2673" w:hRule="atLeast"/>
        </w:trPr>
        <w:tc>
          <w:tcPr>
            <w:tcW w:w="1355" w:type="dxa"/>
          </w:tcPr>
          <w:p>
            <w:pPr>
              <w:pStyle w:val="TableParagraph"/>
              <w:ind w:left="108"/>
              <w:rPr>
                <w:b/>
                <w:sz w:val="22"/>
              </w:rPr>
            </w:pPr>
            <w:r>
              <w:rPr>
                <w:b/>
                <w:spacing w:val="-5"/>
                <w:sz w:val="22"/>
              </w:rPr>
              <w:t>4.1</w:t>
            </w:r>
          </w:p>
        </w:tc>
        <w:tc>
          <w:tcPr>
            <w:tcW w:w="8128" w:type="dxa"/>
          </w:tcPr>
          <w:p>
            <w:pPr>
              <w:pStyle w:val="TableParagraph"/>
              <w:ind w:left="108"/>
              <w:jc w:val="both"/>
              <w:rPr>
                <w:b/>
                <w:sz w:val="22"/>
              </w:rPr>
            </w:pPr>
            <w:r>
              <w:rPr>
                <w:b/>
                <w:sz w:val="22"/>
              </w:rPr>
              <w:t>Internal</w:t>
            </w:r>
            <w:r>
              <w:rPr>
                <w:b/>
                <w:spacing w:val="-2"/>
                <w:sz w:val="22"/>
              </w:rPr>
              <w:t> </w:t>
            </w:r>
            <w:r>
              <w:rPr>
                <w:b/>
                <w:sz w:val="22"/>
              </w:rPr>
              <w:t>Audit</w:t>
            </w:r>
            <w:r>
              <w:rPr>
                <w:b/>
                <w:spacing w:val="-2"/>
                <w:sz w:val="22"/>
              </w:rPr>
              <w:t> </w:t>
            </w:r>
            <w:r>
              <w:rPr>
                <w:b/>
                <w:sz w:val="22"/>
              </w:rPr>
              <w:t>Position</w:t>
            </w:r>
            <w:r>
              <w:rPr>
                <w:b/>
                <w:spacing w:val="-1"/>
                <w:sz w:val="22"/>
              </w:rPr>
              <w:t> </w:t>
            </w:r>
            <w:r>
              <w:rPr>
                <w:b/>
                <w:spacing w:val="-2"/>
                <w:sz w:val="22"/>
              </w:rPr>
              <w:t>Statement</w:t>
            </w:r>
          </w:p>
          <w:p>
            <w:pPr>
              <w:pStyle w:val="TableParagraph"/>
              <w:ind w:left="108" w:right="93"/>
              <w:jc w:val="both"/>
              <w:rPr>
                <w:sz w:val="22"/>
              </w:rPr>
            </w:pPr>
            <w:r>
              <w:rPr>
                <w:sz w:val="22"/>
              </w:rPr>
              <w:t>JJ presented the latest Internal Audit Position Statement together with an overview of other activity undertaken since the previous meeting. Four audits from the 2022-23 audit plan are complete and are on the agenda, together with the one remaining report from 2021-22. Fieldwork</w:t>
            </w:r>
            <w:r>
              <w:rPr>
                <w:spacing w:val="-8"/>
                <w:sz w:val="22"/>
              </w:rPr>
              <w:t> </w:t>
            </w:r>
            <w:r>
              <w:rPr>
                <w:sz w:val="22"/>
              </w:rPr>
              <w:t>on</w:t>
            </w:r>
            <w:r>
              <w:rPr>
                <w:spacing w:val="-8"/>
                <w:sz w:val="22"/>
              </w:rPr>
              <w:t> </w:t>
            </w:r>
            <w:r>
              <w:rPr>
                <w:sz w:val="22"/>
              </w:rPr>
              <w:t>the</w:t>
            </w:r>
            <w:r>
              <w:rPr>
                <w:spacing w:val="-8"/>
                <w:sz w:val="22"/>
              </w:rPr>
              <w:t> </w:t>
            </w:r>
            <w:r>
              <w:rPr>
                <w:sz w:val="22"/>
              </w:rPr>
              <w:t>Recruitment</w:t>
            </w:r>
            <w:r>
              <w:rPr>
                <w:spacing w:val="-8"/>
                <w:sz w:val="22"/>
              </w:rPr>
              <w:t> </w:t>
            </w:r>
            <w:r>
              <w:rPr>
                <w:sz w:val="22"/>
              </w:rPr>
              <w:t>services</w:t>
            </w:r>
            <w:r>
              <w:rPr>
                <w:spacing w:val="-8"/>
                <w:sz w:val="22"/>
              </w:rPr>
              <w:t> </w:t>
            </w:r>
            <w:r>
              <w:rPr>
                <w:sz w:val="22"/>
              </w:rPr>
              <w:t>audit</w:t>
            </w:r>
            <w:r>
              <w:rPr>
                <w:spacing w:val="-8"/>
                <w:sz w:val="22"/>
              </w:rPr>
              <w:t> </w:t>
            </w:r>
            <w:r>
              <w:rPr>
                <w:sz w:val="22"/>
              </w:rPr>
              <w:t>is</w:t>
            </w:r>
            <w:r>
              <w:rPr>
                <w:spacing w:val="-8"/>
                <w:sz w:val="22"/>
              </w:rPr>
              <w:t> </w:t>
            </w:r>
            <w:r>
              <w:rPr>
                <w:sz w:val="22"/>
              </w:rPr>
              <w:t>complete,</w:t>
            </w:r>
            <w:r>
              <w:rPr>
                <w:spacing w:val="-8"/>
                <w:sz w:val="22"/>
              </w:rPr>
              <w:t> </w:t>
            </w:r>
            <w:r>
              <w:rPr>
                <w:sz w:val="22"/>
              </w:rPr>
              <w:t>and</w:t>
            </w:r>
            <w:r>
              <w:rPr>
                <w:spacing w:val="-8"/>
                <w:sz w:val="22"/>
              </w:rPr>
              <w:t> </w:t>
            </w:r>
            <w:r>
              <w:rPr>
                <w:sz w:val="22"/>
              </w:rPr>
              <w:t>the</w:t>
            </w:r>
            <w:r>
              <w:rPr>
                <w:spacing w:val="-8"/>
                <w:sz w:val="22"/>
              </w:rPr>
              <w:t> </w:t>
            </w:r>
            <w:r>
              <w:rPr>
                <w:sz w:val="22"/>
              </w:rPr>
              <w:t>report would be brought to the next Audit Committee.</w:t>
            </w:r>
          </w:p>
          <w:p>
            <w:pPr>
              <w:pStyle w:val="TableParagraph"/>
              <w:rPr>
                <w:sz w:val="22"/>
              </w:rPr>
            </w:pPr>
          </w:p>
          <w:p>
            <w:pPr>
              <w:pStyle w:val="TableParagraph"/>
              <w:ind w:left="108"/>
              <w:jc w:val="both"/>
              <w:rPr>
                <w:sz w:val="22"/>
              </w:rPr>
            </w:pPr>
            <w:r>
              <w:rPr>
                <w:sz w:val="22"/>
              </w:rPr>
              <w:t>The</w:t>
            </w:r>
            <w:r>
              <w:rPr>
                <w:spacing w:val="-3"/>
                <w:sz w:val="22"/>
              </w:rPr>
              <w:t> </w:t>
            </w:r>
            <w:r>
              <w:rPr>
                <w:sz w:val="22"/>
              </w:rPr>
              <w:t>Committee</w:t>
            </w:r>
            <w:r>
              <w:rPr>
                <w:spacing w:val="-2"/>
                <w:sz w:val="22"/>
              </w:rPr>
              <w:t> </w:t>
            </w:r>
            <w:r>
              <w:rPr>
                <w:b/>
                <w:sz w:val="22"/>
              </w:rPr>
              <w:t>NOTED</w:t>
            </w:r>
            <w:r>
              <w:rPr>
                <w:b/>
                <w:spacing w:val="1"/>
                <w:sz w:val="22"/>
              </w:rPr>
              <w:t> </w:t>
            </w:r>
            <w:r>
              <w:rPr>
                <w:sz w:val="22"/>
              </w:rPr>
              <w:t>the</w:t>
            </w:r>
            <w:r>
              <w:rPr>
                <w:spacing w:val="-3"/>
                <w:sz w:val="22"/>
              </w:rPr>
              <w:t> </w:t>
            </w:r>
            <w:r>
              <w:rPr>
                <w:sz w:val="22"/>
              </w:rPr>
              <w:t>Position</w:t>
            </w:r>
            <w:r>
              <w:rPr>
                <w:spacing w:val="-1"/>
                <w:sz w:val="22"/>
              </w:rPr>
              <w:t> </w:t>
            </w:r>
            <w:r>
              <w:rPr>
                <w:spacing w:val="-2"/>
                <w:sz w:val="22"/>
              </w:rPr>
              <w:t>Statement.</w:t>
            </w:r>
          </w:p>
        </w:tc>
        <w:tc>
          <w:tcPr>
            <w:tcW w:w="1535" w:type="dxa"/>
          </w:tcPr>
          <w:p>
            <w:pPr>
              <w:pStyle w:val="TableParagraph"/>
              <w:rPr>
                <w:rFonts w:ascii="Times New Roman"/>
                <w:sz w:val="22"/>
              </w:rPr>
            </w:pPr>
          </w:p>
        </w:tc>
      </w:tr>
      <w:tr>
        <w:trPr>
          <w:trHeight w:val="6951" w:hRule="atLeast"/>
        </w:trPr>
        <w:tc>
          <w:tcPr>
            <w:tcW w:w="1355" w:type="dxa"/>
          </w:tcPr>
          <w:p>
            <w:pPr>
              <w:pStyle w:val="TableParagraph"/>
              <w:ind w:left="108"/>
              <w:rPr>
                <w:b/>
                <w:sz w:val="22"/>
              </w:rPr>
            </w:pPr>
            <w:r>
              <w:rPr>
                <w:b/>
                <w:spacing w:val="-5"/>
                <w:sz w:val="22"/>
              </w:rPr>
              <w:t>4.2</w:t>
            </w:r>
          </w:p>
        </w:tc>
        <w:tc>
          <w:tcPr>
            <w:tcW w:w="8128" w:type="dxa"/>
          </w:tcPr>
          <w:p>
            <w:pPr>
              <w:pStyle w:val="TableParagraph"/>
              <w:ind w:left="108"/>
              <w:jc w:val="both"/>
              <w:rPr>
                <w:b/>
                <w:sz w:val="22"/>
              </w:rPr>
            </w:pPr>
            <w:r>
              <w:rPr>
                <w:b/>
                <w:sz w:val="22"/>
              </w:rPr>
              <w:t>Internal</w:t>
            </w:r>
            <w:r>
              <w:rPr>
                <w:b/>
                <w:spacing w:val="-2"/>
                <w:sz w:val="22"/>
              </w:rPr>
              <w:t> </w:t>
            </w:r>
            <w:r>
              <w:rPr>
                <w:b/>
                <w:sz w:val="22"/>
              </w:rPr>
              <w:t>Audit</w:t>
            </w:r>
            <w:r>
              <w:rPr>
                <w:b/>
                <w:spacing w:val="-2"/>
                <w:sz w:val="22"/>
              </w:rPr>
              <w:t> Reports</w:t>
            </w:r>
          </w:p>
          <w:p>
            <w:pPr>
              <w:pStyle w:val="TableParagraph"/>
              <w:rPr>
                <w:sz w:val="22"/>
              </w:rPr>
            </w:pPr>
          </w:p>
          <w:p>
            <w:pPr>
              <w:pStyle w:val="TableParagraph"/>
              <w:ind w:left="108"/>
              <w:jc w:val="both"/>
              <w:rPr>
                <w:sz w:val="22"/>
              </w:rPr>
            </w:pPr>
            <w:r>
              <w:rPr>
                <w:sz w:val="22"/>
              </w:rPr>
              <w:t>The</w:t>
            </w:r>
            <w:r>
              <w:rPr>
                <w:spacing w:val="-6"/>
                <w:sz w:val="22"/>
              </w:rPr>
              <w:t> </w:t>
            </w:r>
            <w:r>
              <w:rPr>
                <w:sz w:val="22"/>
              </w:rPr>
              <w:t>following</w:t>
            </w:r>
            <w:r>
              <w:rPr>
                <w:spacing w:val="-2"/>
                <w:sz w:val="22"/>
              </w:rPr>
              <w:t> </w:t>
            </w:r>
            <w:r>
              <w:rPr>
                <w:sz w:val="22"/>
              </w:rPr>
              <w:t>Internal</w:t>
            </w:r>
            <w:r>
              <w:rPr>
                <w:spacing w:val="-2"/>
                <w:sz w:val="22"/>
              </w:rPr>
              <w:t> </w:t>
            </w:r>
            <w:r>
              <w:rPr>
                <w:sz w:val="22"/>
              </w:rPr>
              <w:t>Audit</w:t>
            </w:r>
            <w:r>
              <w:rPr>
                <w:spacing w:val="-2"/>
                <w:sz w:val="22"/>
              </w:rPr>
              <w:t> </w:t>
            </w:r>
            <w:r>
              <w:rPr>
                <w:sz w:val="22"/>
              </w:rPr>
              <w:t>Reports</w:t>
            </w:r>
            <w:r>
              <w:rPr>
                <w:spacing w:val="-4"/>
                <w:sz w:val="22"/>
              </w:rPr>
              <w:t> </w:t>
            </w:r>
            <w:r>
              <w:rPr>
                <w:sz w:val="22"/>
              </w:rPr>
              <w:t>were</w:t>
            </w:r>
            <w:r>
              <w:rPr>
                <w:spacing w:val="-3"/>
                <w:sz w:val="22"/>
              </w:rPr>
              <w:t> </w:t>
            </w:r>
            <w:r>
              <w:rPr>
                <w:sz w:val="22"/>
              </w:rPr>
              <w:t>presented</w:t>
            </w:r>
            <w:r>
              <w:rPr>
                <w:spacing w:val="-2"/>
                <w:sz w:val="22"/>
              </w:rPr>
              <w:t> </w:t>
            </w:r>
            <w:r>
              <w:rPr>
                <w:sz w:val="22"/>
              </w:rPr>
              <w:t>to</w:t>
            </w:r>
            <w:r>
              <w:rPr>
                <w:spacing w:val="-3"/>
                <w:sz w:val="22"/>
              </w:rPr>
              <w:t> </w:t>
            </w:r>
            <w:r>
              <w:rPr>
                <w:sz w:val="22"/>
              </w:rPr>
              <w:t>the</w:t>
            </w:r>
            <w:r>
              <w:rPr>
                <w:spacing w:val="-3"/>
                <w:sz w:val="22"/>
              </w:rPr>
              <w:t> </w:t>
            </w:r>
            <w:r>
              <w:rPr>
                <w:spacing w:val="-2"/>
                <w:sz w:val="22"/>
              </w:rPr>
              <w:t>Committee:</w:t>
            </w:r>
          </w:p>
          <w:p>
            <w:pPr>
              <w:pStyle w:val="TableParagraph"/>
              <w:rPr>
                <w:sz w:val="22"/>
              </w:rPr>
            </w:pPr>
          </w:p>
          <w:p>
            <w:pPr>
              <w:pStyle w:val="TableParagraph"/>
              <w:ind w:left="108"/>
              <w:jc w:val="both"/>
              <w:rPr>
                <w:b/>
                <w:sz w:val="22"/>
              </w:rPr>
            </w:pPr>
            <w:r>
              <w:rPr>
                <w:b/>
                <w:sz w:val="22"/>
              </w:rPr>
              <w:t>Capital</w:t>
            </w:r>
            <w:r>
              <w:rPr>
                <w:b/>
                <w:spacing w:val="-1"/>
                <w:sz w:val="22"/>
              </w:rPr>
              <w:t> </w:t>
            </w:r>
            <w:r>
              <w:rPr>
                <w:b/>
                <w:sz w:val="22"/>
              </w:rPr>
              <w:t>Governance</w:t>
            </w:r>
            <w:r>
              <w:rPr>
                <w:b/>
                <w:spacing w:val="-1"/>
                <w:sz w:val="22"/>
              </w:rPr>
              <w:t> </w:t>
            </w:r>
            <w:r>
              <w:rPr>
                <w:b/>
                <w:spacing w:val="-2"/>
                <w:sz w:val="22"/>
              </w:rPr>
              <w:t>Arrangements</w:t>
            </w:r>
          </w:p>
          <w:p>
            <w:pPr>
              <w:pStyle w:val="TableParagraph"/>
              <w:ind w:left="108" w:right="93"/>
              <w:jc w:val="both"/>
              <w:rPr>
                <w:sz w:val="22"/>
              </w:rPr>
            </w:pPr>
            <w:r>
              <w:rPr>
                <w:sz w:val="22"/>
              </w:rPr>
              <w:t>Murray</w:t>
            </w:r>
            <w:r>
              <w:rPr>
                <w:spacing w:val="-13"/>
                <w:sz w:val="22"/>
              </w:rPr>
              <w:t> </w:t>
            </w:r>
            <w:r>
              <w:rPr>
                <w:sz w:val="22"/>
              </w:rPr>
              <w:t>Gard</w:t>
            </w:r>
            <w:r>
              <w:rPr>
                <w:spacing w:val="-13"/>
                <w:sz w:val="22"/>
              </w:rPr>
              <w:t> </w:t>
            </w:r>
            <w:r>
              <w:rPr>
                <w:sz w:val="22"/>
              </w:rPr>
              <w:t>presented</w:t>
            </w:r>
            <w:r>
              <w:rPr>
                <w:spacing w:val="-13"/>
                <w:sz w:val="22"/>
              </w:rPr>
              <w:t> </w:t>
            </w:r>
            <w:r>
              <w:rPr>
                <w:sz w:val="22"/>
              </w:rPr>
              <w:t>this</w:t>
            </w:r>
            <w:r>
              <w:rPr>
                <w:spacing w:val="-13"/>
                <w:sz w:val="22"/>
              </w:rPr>
              <w:t> </w:t>
            </w:r>
            <w:r>
              <w:rPr>
                <w:sz w:val="22"/>
              </w:rPr>
              <w:t>advisory</w:t>
            </w:r>
            <w:r>
              <w:rPr>
                <w:spacing w:val="-13"/>
                <w:sz w:val="22"/>
              </w:rPr>
              <w:t> </w:t>
            </w:r>
            <w:r>
              <w:rPr>
                <w:sz w:val="22"/>
              </w:rPr>
              <w:t>report</w:t>
            </w:r>
            <w:r>
              <w:rPr>
                <w:spacing w:val="-13"/>
                <w:sz w:val="22"/>
              </w:rPr>
              <w:t> </w:t>
            </w:r>
            <w:r>
              <w:rPr>
                <w:sz w:val="22"/>
              </w:rPr>
              <w:t>and</w:t>
            </w:r>
            <w:r>
              <w:rPr>
                <w:spacing w:val="-13"/>
                <w:sz w:val="22"/>
              </w:rPr>
              <w:t> </w:t>
            </w:r>
            <w:r>
              <w:rPr>
                <w:sz w:val="22"/>
              </w:rPr>
              <w:t>stated</w:t>
            </w:r>
            <w:r>
              <w:rPr>
                <w:spacing w:val="-13"/>
                <w:sz w:val="22"/>
              </w:rPr>
              <w:t> </w:t>
            </w:r>
            <w:r>
              <w:rPr>
                <w:sz w:val="22"/>
              </w:rPr>
              <w:t>that</w:t>
            </w:r>
            <w:r>
              <w:rPr>
                <w:spacing w:val="-13"/>
                <w:sz w:val="22"/>
              </w:rPr>
              <w:t> </w:t>
            </w:r>
            <w:r>
              <w:rPr>
                <w:sz w:val="22"/>
              </w:rPr>
              <w:t>the</w:t>
            </w:r>
            <w:r>
              <w:rPr>
                <w:spacing w:val="-13"/>
                <w:sz w:val="22"/>
              </w:rPr>
              <w:t> </w:t>
            </w:r>
            <w:r>
              <w:rPr>
                <w:sz w:val="22"/>
              </w:rPr>
              <w:t>scope</w:t>
            </w:r>
            <w:r>
              <w:rPr>
                <w:spacing w:val="-13"/>
                <w:sz w:val="22"/>
              </w:rPr>
              <w:t> </w:t>
            </w:r>
            <w:r>
              <w:rPr>
                <w:sz w:val="22"/>
              </w:rPr>
              <w:t>of the</w:t>
            </w:r>
            <w:r>
              <w:rPr>
                <w:spacing w:val="-8"/>
                <w:sz w:val="22"/>
              </w:rPr>
              <w:t> </w:t>
            </w:r>
            <w:r>
              <w:rPr>
                <w:sz w:val="22"/>
              </w:rPr>
              <w:t>review</w:t>
            </w:r>
            <w:r>
              <w:rPr>
                <w:spacing w:val="-8"/>
                <w:sz w:val="22"/>
              </w:rPr>
              <w:t> </w:t>
            </w:r>
            <w:r>
              <w:rPr>
                <w:sz w:val="22"/>
              </w:rPr>
              <w:t>was</w:t>
            </w:r>
            <w:r>
              <w:rPr>
                <w:spacing w:val="-8"/>
                <w:sz w:val="22"/>
              </w:rPr>
              <w:t> </w:t>
            </w:r>
            <w:r>
              <w:rPr>
                <w:sz w:val="22"/>
              </w:rPr>
              <w:t>to</w:t>
            </w:r>
            <w:r>
              <w:rPr>
                <w:spacing w:val="-8"/>
                <w:sz w:val="22"/>
              </w:rPr>
              <w:t> </w:t>
            </w:r>
            <w:r>
              <w:rPr>
                <w:sz w:val="22"/>
              </w:rPr>
              <w:t>assess</w:t>
            </w:r>
            <w:r>
              <w:rPr>
                <w:spacing w:val="-8"/>
                <w:sz w:val="22"/>
              </w:rPr>
              <w:t> </w:t>
            </w:r>
            <w:r>
              <w:rPr>
                <w:sz w:val="22"/>
              </w:rPr>
              <w:t>the</w:t>
            </w:r>
            <w:r>
              <w:rPr>
                <w:spacing w:val="-8"/>
                <w:sz w:val="22"/>
              </w:rPr>
              <w:t> </w:t>
            </w:r>
            <w:r>
              <w:rPr>
                <w:sz w:val="22"/>
              </w:rPr>
              <w:t>governance</w:t>
            </w:r>
            <w:r>
              <w:rPr>
                <w:spacing w:val="-8"/>
                <w:sz w:val="22"/>
              </w:rPr>
              <w:t> </w:t>
            </w:r>
            <w:r>
              <w:rPr>
                <w:sz w:val="22"/>
              </w:rPr>
              <w:t>arrangements</w:t>
            </w:r>
            <w:r>
              <w:rPr>
                <w:spacing w:val="-8"/>
                <w:sz w:val="22"/>
              </w:rPr>
              <w:t> </w:t>
            </w:r>
            <w:r>
              <w:rPr>
                <w:sz w:val="22"/>
              </w:rPr>
              <w:t>over</w:t>
            </w:r>
            <w:r>
              <w:rPr>
                <w:spacing w:val="-8"/>
                <w:sz w:val="22"/>
              </w:rPr>
              <w:t> </w:t>
            </w:r>
            <w:r>
              <w:rPr>
                <w:sz w:val="22"/>
              </w:rPr>
              <w:t>two</w:t>
            </w:r>
            <w:r>
              <w:rPr>
                <w:spacing w:val="-8"/>
                <w:sz w:val="22"/>
              </w:rPr>
              <w:t> </w:t>
            </w:r>
            <w:r>
              <w:rPr>
                <w:sz w:val="22"/>
              </w:rPr>
              <w:t>major investment</w:t>
            </w:r>
            <w:r>
              <w:rPr>
                <w:spacing w:val="-14"/>
                <w:sz w:val="22"/>
              </w:rPr>
              <w:t> </w:t>
            </w:r>
            <w:r>
              <w:rPr>
                <w:sz w:val="22"/>
              </w:rPr>
              <w:t>programmes,</w:t>
            </w:r>
            <w:r>
              <w:rPr>
                <w:spacing w:val="-14"/>
                <w:sz w:val="22"/>
              </w:rPr>
              <w:t> </w:t>
            </w:r>
            <w:r>
              <w:rPr>
                <w:sz w:val="22"/>
              </w:rPr>
              <w:t>Transforming</w:t>
            </w:r>
            <w:r>
              <w:rPr>
                <w:spacing w:val="-14"/>
                <w:sz w:val="22"/>
              </w:rPr>
              <w:t> </w:t>
            </w:r>
            <w:r>
              <w:rPr>
                <w:sz w:val="22"/>
              </w:rPr>
              <w:t>Access</w:t>
            </w:r>
            <w:r>
              <w:rPr>
                <w:spacing w:val="-14"/>
                <w:sz w:val="22"/>
              </w:rPr>
              <w:t> </w:t>
            </w:r>
            <w:r>
              <w:rPr>
                <w:sz w:val="22"/>
              </w:rPr>
              <w:t>to</w:t>
            </w:r>
            <w:r>
              <w:rPr>
                <w:spacing w:val="-14"/>
                <w:sz w:val="22"/>
              </w:rPr>
              <w:t> </w:t>
            </w:r>
            <w:r>
              <w:rPr>
                <w:sz w:val="22"/>
              </w:rPr>
              <w:t>Medicine</w:t>
            </w:r>
            <w:r>
              <w:rPr>
                <w:spacing w:val="-14"/>
                <w:sz w:val="22"/>
              </w:rPr>
              <w:t> </w:t>
            </w:r>
            <w:r>
              <w:rPr>
                <w:sz w:val="22"/>
              </w:rPr>
              <w:t>(TrAMS)</w:t>
            </w:r>
            <w:r>
              <w:rPr>
                <w:spacing w:val="-14"/>
                <w:sz w:val="22"/>
              </w:rPr>
              <w:t> </w:t>
            </w:r>
            <w:r>
              <w:rPr>
                <w:sz w:val="22"/>
              </w:rPr>
              <w:t>and the</w:t>
            </w:r>
            <w:r>
              <w:rPr>
                <w:spacing w:val="-8"/>
                <w:sz w:val="22"/>
              </w:rPr>
              <w:t> </w:t>
            </w:r>
            <w:r>
              <w:rPr>
                <w:sz w:val="22"/>
              </w:rPr>
              <w:t>All-Wales</w:t>
            </w:r>
            <w:r>
              <w:rPr>
                <w:spacing w:val="-9"/>
                <w:sz w:val="22"/>
              </w:rPr>
              <w:t> </w:t>
            </w:r>
            <w:r>
              <w:rPr>
                <w:sz w:val="22"/>
              </w:rPr>
              <w:t>Laundry</w:t>
            </w:r>
            <w:r>
              <w:rPr>
                <w:spacing w:val="-8"/>
                <w:sz w:val="22"/>
              </w:rPr>
              <w:t> </w:t>
            </w:r>
            <w:r>
              <w:rPr>
                <w:sz w:val="22"/>
              </w:rPr>
              <w:t>service.</w:t>
            </w:r>
            <w:r>
              <w:rPr>
                <w:spacing w:val="-8"/>
                <w:sz w:val="22"/>
              </w:rPr>
              <w:t> </w:t>
            </w:r>
            <w:r>
              <w:rPr>
                <w:sz w:val="22"/>
              </w:rPr>
              <w:t>The</w:t>
            </w:r>
            <w:r>
              <w:rPr>
                <w:spacing w:val="-9"/>
                <w:sz w:val="22"/>
              </w:rPr>
              <w:t> </w:t>
            </w:r>
            <w:r>
              <w:rPr>
                <w:sz w:val="22"/>
              </w:rPr>
              <w:t>review</w:t>
            </w:r>
            <w:r>
              <w:rPr>
                <w:spacing w:val="-8"/>
                <w:sz w:val="22"/>
              </w:rPr>
              <w:t> </w:t>
            </w:r>
            <w:r>
              <w:rPr>
                <w:sz w:val="22"/>
              </w:rPr>
              <w:t>of</w:t>
            </w:r>
            <w:r>
              <w:rPr>
                <w:spacing w:val="-8"/>
                <w:sz w:val="22"/>
              </w:rPr>
              <w:t> </w:t>
            </w:r>
            <w:r>
              <w:rPr>
                <w:sz w:val="22"/>
              </w:rPr>
              <w:t>the</w:t>
            </w:r>
            <w:r>
              <w:rPr>
                <w:spacing w:val="-9"/>
                <w:sz w:val="22"/>
              </w:rPr>
              <w:t> </w:t>
            </w:r>
            <w:r>
              <w:rPr>
                <w:sz w:val="22"/>
              </w:rPr>
              <w:t>programmes</w:t>
            </w:r>
            <w:r>
              <w:rPr>
                <w:spacing w:val="-8"/>
                <w:sz w:val="22"/>
              </w:rPr>
              <w:t> </w:t>
            </w:r>
            <w:r>
              <w:rPr>
                <w:sz w:val="22"/>
              </w:rPr>
              <w:t>generally was positive, but it was noted in both cases that the initial estimated costs had been revised significantly upwards. The report contains a number</w:t>
            </w:r>
            <w:r>
              <w:rPr>
                <w:spacing w:val="-4"/>
                <w:sz w:val="22"/>
              </w:rPr>
              <w:t> </w:t>
            </w:r>
            <w:r>
              <w:rPr>
                <w:sz w:val="22"/>
              </w:rPr>
              <w:t>of</w:t>
            </w:r>
            <w:r>
              <w:rPr>
                <w:spacing w:val="-4"/>
                <w:sz w:val="22"/>
              </w:rPr>
              <w:t> </w:t>
            </w:r>
            <w:r>
              <w:rPr>
                <w:sz w:val="22"/>
              </w:rPr>
              <w:t>recommendations</w:t>
            </w:r>
            <w:r>
              <w:rPr>
                <w:spacing w:val="-3"/>
                <w:sz w:val="22"/>
              </w:rPr>
              <w:t> </w:t>
            </w:r>
            <w:r>
              <w:rPr>
                <w:sz w:val="22"/>
              </w:rPr>
              <w:t>which</w:t>
            </w:r>
            <w:r>
              <w:rPr>
                <w:spacing w:val="-4"/>
                <w:sz w:val="22"/>
              </w:rPr>
              <w:t> </w:t>
            </w:r>
            <w:r>
              <w:rPr>
                <w:sz w:val="22"/>
              </w:rPr>
              <w:t>management</w:t>
            </w:r>
            <w:r>
              <w:rPr>
                <w:spacing w:val="-4"/>
                <w:sz w:val="22"/>
              </w:rPr>
              <w:t> </w:t>
            </w:r>
            <w:r>
              <w:rPr>
                <w:sz w:val="22"/>
              </w:rPr>
              <w:t>had</w:t>
            </w:r>
            <w:r>
              <w:rPr>
                <w:spacing w:val="-3"/>
                <w:sz w:val="22"/>
              </w:rPr>
              <w:t> </w:t>
            </w:r>
            <w:r>
              <w:rPr>
                <w:sz w:val="22"/>
              </w:rPr>
              <w:t>agreed</w:t>
            </w:r>
            <w:r>
              <w:rPr>
                <w:spacing w:val="-4"/>
                <w:sz w:val="22"/>
              </w:rPr>
              <w:t> </w:t>
            </w:r>
            <w:r>
              <w:rPr>
                <w:sz w:val="22"/>
              </w:rPr>
              <w:t>to</w:t>
            </w:r>
            <w:r>
              <w:rPr>
                <w:spacing w:val="-4"/>
                <w:sz w:val="22"/>
              </w:rPr>
              <w:t> </w:t>
            </w:r>
            <w:r>
              <w:rPr>
                <w:sz w:val="22"/>
              </w:rPr>
              <w:t>act</w:t>
            </w:r>
            <w:r>
              <w:rPr>
                <w:spacing w:val="-3"/>
                <w:sz w:val="22"/>
              </w:rPr>
              <w:t> </w:t>
            </w:r>
            <w:r>
              <w:rPr>
                <w:sz w:val="22"/>
              </w:rPr>
              <w:t>on. However as this is an advisory report there is no detailed action plan with names and dates for completion so the question was asked as to how</w:t>
            </w:r>
            <w:r>
              <w:rPr>
                <w:spacing w:val="-11"/>
                <w:sz w:val="22"/>
              </w:rPr>
              <w:t> </w:t>
            </w:r>
            <w:r>
              <w:rPr>
                <w:sz w:val="22"/>
              </w:rPr>
              <w:t>the</w:t>
            </w:r>
            <w:r>
              <w:rPr>
                <w:spacing w:val="-12"/>
                <w:sz w:val="22"/>
              </w:rPr>
              <w:t> </w:t>
            </w:r>
            <w:r>
              <w:rPr>
                <w:sz w:val="22"/>
              </w:rPr>
              <w:t>Audit</w:t>
            </w:r>
            <w:r>
              <w:rPr>
                <w:spacing w:val="-11"/>
                <w:sz w:val="22"/>
              </w:rPr>
              <w:t> </w:t>
            </w:r>
            <w:r>
              <w:rPr>
                <w:sz w:val="22"/>
              </w:rPr>
              <w:t>Committee</w:t>
            </w:r>
            <w:r>
              <w:rPr>
                <w:spacing w:val="-11"/>
                <w:sz w:val="22"/>
              </w:rPr>
              <w:t> </w:t>
            </w:r>
            <w:r>
              <w:rPr>
                <w:sz w:val="22"/>
              </w:rPr>
              <w:t>should</w:t>
            </w:r>
            <w:r>
              <w:rPr>
                <w:spacing w:val="-12"/>
                <w:sz w:val="22"/>
              </w:rPr>
              <w:t> </w:t>
            </w:r>
            <w:r>
              <w:rPr>
                <w:sz w:val="22"/>
              </w:rPr>
              <w:t>monitor</w:t>
            </w:r>
            <w:r>
              <w:rPr>
                <w:spacing w:val="-11"/>
                <w:sz w:val="22"/>
              </w:rPr>
              <w:t> </w:t>
            </w:r>
            <w:r>
              <w:rPr>
                <w:sz w:val="22"/>
              </w:rPr>
              <w:t>this</w:t>
            </w:r>
            <w:r>
              <w:rPr>
                <w:spacing w:val="-11"/>
                <w:sz w:val="22"/>
              </w:rPr>
              <w:t> </w:t>
            </w:r>
            <w:r>
              <w:rPr>
                <w:sz w:val="22"/>
              </w:rPr>
              <w:t>report.</w:t>
            </w:r>
            <w:r>
              <w:rPr>
                <w:spacing w:val="-11"/>
                <w:sz w:val="22"/>
              </w:rPr>
              <w:t> </w:t>
            </w:r>
            <w:r>
              <w:rPr>
                <w:sz w:val="22"/>
              </w:rPr>
              <w:t>TM</w:t>
            </w:r>
            <w:r>
              <w:rPr>
                <w:spacing w:val="-11"/>
                <w:sz w:val="22"/>
              </w:rPr>
              <w:t> </w:t>
            </w:r>
            <w:r>
              <w:rPr>
                <w:sz w:val="22"/>
              </w:rPr>
              <w:t>stated</w:t>
            </w:r>
            <w:r>
              <w:rPr>
                <w:spacing w:val="-11"/>
                <w:sz w:val="22"/>
              </w:rPr>
              <w:t> </w:t>
            </w:r>
            <w:r>
              <w:rPr>
                <w:sz w:val="22"/>
              </w:rPr>
              <w:t>that</w:t>
            </w:r>
            <w:r>
              <w:rPr>
                <w:spacing w:val="-11"/>
                <w:sz w:val="22"/>
              </w:rPr>
              <w:t> </w:t>
            </w:r>
            <w:r>
              <w:rPr>
                <w:sz w:val="22"/>
              </w:rPr>
              <w:t>the actions</w:t>
            </w:r>
            <w:r>
              <w:rPr>
                <w:spacing w:val="-20"/>
                <w:sz w:val="22"/>
              </w:rPr>
              <w:t> </w:t>
            </w:r>
            <w:r>
              <w:rPr>
                <w:sz w:val="22"/>
              </w:rPr>
              <w:t>will</w:t>
            </w:r>
            <w:r>
              <w:rPr>
                <w:spacing w:val="-19"/>
                <w:sz w:val="22"/>
              </w:rPr>
              <w:t> </w:t>
            </w:r>
            <w:r>
              <w:rPr>
                <w:sz w:val="22"/>
              </w:rPr>
              <w:t>be</w:t>
            </w:r>
            <w:r>
              <w:rPr>
                <w:spacing w:val="-19"/>
                <w:sz w:val="22"/>
              </w:rPr>
              <w:t> </w:t>
            </w:r>
            <w:r>
              <w:rPr>
                <w:sz w:val="22"/>
              </w:rPr>
              <w:t>monitored</w:t>
            </w:r>
            <w:r>
              <w:rPr>
                <w:spacing w:val="-20"/>
                <w:sz w:val="22"/>
              </w:rPr>
              <w:t> </w:t>
            </w:r>
            <w:r>
              <w:rPr>
                <w:sz w:val="22"/>
              </w:rPr>
              <w:t>at</w:t>
            </w:r>
            <w:r>
              <w:rPr>
                <w:spacing w:val="-19"/>
                <w:sz w:val="22"/>
              </w:rPr>
              <w:t> </w:t>
            </w:r>
            <w:r>
              <w:rPr>
                <w:sz w:val="22"/>
              </w:rPr>
              <w:t>the</w:t>
            </w:r>
            <w:r>
              <w:rPr>
                <w:spacing w:val="-20"/>
                <w:sz w:val="22"/>
              </w:rPr>
              <w:t> </w:t>
            </w:r>
            <w:r>
              <w:rPr>
                <w:sz w:val="22"/>
              </w:rPr>
              <w:t>relevant</w:t>
            </w:r>
            <w:r>
              <w:rPr>
                <w:spacing w:val="-19"/>
                <w:sz w:val="22"/>
              </w:rPr>
              <w:t> </w:t>
            </w:r>
            <w:r>
              <w:rPr>
                <w:sz w:val="22"/>
              </w:rPr>
              <w:t>Programme</w:t>
            </w:r>
            <w:r>
              <w:rPr>
                <w:spacing w:val="-19"/>
                <w:sz w:val="22"/>
              </w:rPr>
              <w:t> </w:t>
            </w:r>
            <w:r>
              <w:rPr>
                <w:sz w:val="22"/>
              </w:rPr>
              <w:t>Governance</w:t>
            </w:r>
            <w:r>
              <w:rPr>
                <w:spacing w:val="-20"/>
                <w:sz w:val="22"/>
              </w:rPr>
              <w:t> </w:t>
            </w:r>
            <w:r>
              <w:rPr>
                <w:sz w:val="22"/>
              </w:rPr>
              <w:t>Boards and suggested that a progress report from the Governance Boards be brought back to the Committee to demonstrate progress, rather than the detail of each recommendation being added to the Audit Tracker. This approach was agreed, and CW will add to the agenda for the January Committee meeting.</w:t>
            </w:r>
          </w:p>
          <w:p>
            <w:pPr>
              <w:pStyle w:val="TableParagraph"/>
              <w:rPr>
                <w:sz w:val="22"/>
              </w:rPr>
            </w:pPr>
          </w:p>
          <w:p>
            <w:pPr>
              <w:pStyle w:val="TableParagraph"/>
              <w:ind w:left="108"/>
              <w:jc w:val="both"/>
              <w:rPr>
                <w:b/>
                <w:sz w:val="22"/>
              </w:rPr>
            </w:pPr>
            <w:r>
              <w:rPr>
                <w:b/>
                <w:sz w:val="22"/>
              </w:rPr>
              <w:t>Health</w:t>
            </w:r>
            <w:r>
              <w:rPr>
                <w:b/>
                <w:spacing w:val="-6"/>
                <w:sz w:val="22"/>
              </w:rPr>
              <w:t> </w:t>
            </w:r>
            <w:r>
              <w:rPr>
                <w:b/>
                <w:sz w:val="22"/>
              </w:rPr>
              <w:t>Courier</w:t>
            </w:r>
            <w:r>
              <w:rPr>
                <w:b/>
                <w:spacing w:val="-4"/>
                <w:sz w:val="22"/>
              </w:rPr>
              <w:t> </w:t>
            </w:r>
            <w:r>
              <w:rPr>
                <w:b/>
                <w:spacing w:val="-2"/>
                <w:sz w:val="22"/>
              </w:rPr>
              <w:t>Service</w:t>
            </w:r>
          </w:p>
          <w:p>
            <w:pPr>
              <w:pStyle w:val="TableParagraph"/>
              <w:spacing w:line="260" w:lineRule="atLeast"/>
              <w:ind w:left="108" w:right="94"/>
              <w:jc w:val="both"/>
              <w:rPr>
                <w:sz w:val="22"/>
              </w:rPr>
            </w:pPr>
            <w:r>
              <w:rPr>
                <w:sz w:val="22"/>
              </w:rPr>
              <w:t>SCo presented the report to the Audit Committee, which had been awarded reasonable assurance. There was one high priority recommendation</w:t>
            </w:r>
            <w:r>
              <w:rPr>
                <w:spacing w:val="15"/>
                <w:sz w:val="22"/>
              </w:rPr>
              <w:t> </w:t>
            </w:r>
            <w:r>
              <w:rPr>
                <w:sz w:val="22"/>
              </w:rPr>
              <w:t>relating</w:t>
            </w:r>
            <w:r>
              <w:rPr>
                <w:spacing w:val="17"/>
                <w:sz w:val="22"/>
              </w:rPr>
              <w:t> </w:t>
            </w:r>
            <w:r>
              <w:rPr>
                <w:sz w:val="22"/>
              </w:rPr>
              <w:t>to</w:t>
            </w:r>
            <w:r>
              <w:rPr>
                <w:spacing w:val="17"/>
                <w:sz w:val="22"/>
              </w:rPr>
              <w:t> </w:t>
            </w:r>
            <w:r>
              <w:rPr>
                <w:sz w:val="22"/>
              </w:rPr>
              <w:t>the</w:t>
            </w:r>
            <w:r>
              <w:rPr>
                <w:spacing w:val="18"/>
                <w:sz w:val="22"/>
              </w:rPr>
              <w:t> </w:t>
            </w:r>
            <w:r>
              <w:rPr>
                <w:sz w:val="22"/>
              </w:rPr>
              <w:t>reporting,</w:t>
            </w:r>
            <w:r>
              <w:rPr>
                <w:spacing w:val="17"/>
                <w:sz w:val="22"/>
              </w:rPr>
              <w:t> </w:t>
            </w:r>
            <w:r>
              <w:rPr>
                <w:sz w:val="22"/>
              </w:rPr>
              <w:t>recording</w:t>
            </w:r>
            <w:r>
              <w:rPr>
                <w:spacing w:val="17"/>
                <w:sz w:val="22"/>
              </w:rPr>
              <w:t> </w:t>
            </w:r>
            <w:r>
              <w:rPr>
                <w:sz w:val="22"/>
              </w:rPr>
              <w:t>and</w:t>
            </w:r>
            <w:r>
              <w:rPr>
                <w:spacing w:val="18"/>
                <w:sz w:val="22"/>
              </w:rPr>
              <w:t> </w:t>
            </w:r>
            <w:r>
              <w:rPr>
                <w:spacing w:val="-2"/>
                <w:sz w:val="22"/>
              </w:rPr>
              <w:t>investigation</w:t>
            </w:r>
          </w:p>
        </w:tc>
        <w:tc>
          <w:tcPr>
            <w:tcW w:w="1535" w:type="dxa"/>
          </w:tcPr>
          <w:p>
            <w:pPr>
              <w:pStyle w:val="TableParagraph"/>
              <w:rPr>
                <w:sz w:val="26"/>
              </w:rPr>
            </w:pPr>
          </w:p>
          <w:p>
            <w:pPr>
              <w:pStyle w:val="TableParagraph"/>
              <w:rPr>
                <w:sz w:val="26"/>
              </w:rPr>
            </w:pPr>
          </w:p>
          <w:p>
            <w:pPr>
              <w:pStyle w:val="TableParagraph"/>
              <w:rPr>
                <w:sz w:val="26"/>
              </w:rPr>
            </w:pPr>
          </w:p>
          <w:p>
            <w:pPr>
              <w:pStyle w:val="TableParagraph"/>
              <w:rPr>
                <w:sz w:val="26"/>
              </w:rPr>
            </w:pPr>
          </w:p>
          <w:p>
            <w:pPr>
              <w:pStyle w:val="TableParagraph"/>
              <w:rPr>
                <w:sz w:val="26"/>
              </w:rPr>
            </w:pPr>
          </w:p>
          <w:p>
            <w:pPr>
              <w:pStyle w:val="TableParagraph"/>
              <w:rPr>
                <w:sz w:val="26"/>
              </w:rPr>
            </w:pPr>
          </w:p>
          <w:p>
            <w:pPr>
              <w:pStyle w:val="TableParagraph"/>
              <w:rPr>
                <w:sz w:val="26"/>
              </w:rPr>
            </w:pPr>
          </w:p>
          <w:p>
            <w:pPr>
              <w:pStyle w:val="TableParagraph"/>
              <w:rPr>
                <w:sz w:val="26"/>
              </w:rPr>
            </w:pPr>
          </w:p>
          <w:p>
            <w:pPr>
              <w:pStyle w:val="TableParagraph"/>
              <w:rPr>
                <w:sz w:val="26"/>
              </w:rPr>
            </w:pPr>
          </w:p>
          <w:p>
            <w:pPr>
              <w:pStyle w:val="TableParagraph"/>
              <w:rPr>
                <w:sz w:val="26"/>
              </w:rPr>
            </w:pPr>
          </w:p>
          <w:p>
            <w:pPr>
              <w:pStyle w:val="TableParagraph"/>
              <w:rPr>
                <w:sz w:val="26"/>
              </w:rPr>
            </w:pPr>
          </w:p>
          <w:p>
            <w:pPr>
              <w:pStyle w:val="TableParagraph"/>
              <w:rPr>
                <w:sz w:val="26"/>
              </w:rPr>
            </w:pPr>
          </w:p>
          <w:p>
            <w:pPr>
              <w:pStyle w:val="TableParagraph"/>
              <w:rPr>
                <w:sz w:val="26"/>
              </w:rPr>
            </w:pPr>
          </w:p>
          <w:p>
            <w:pPr>
              <w:pStyle w:val="TableParagraph"/>
              <w:rPr>
                <w:sz w:val="26"/>
              </w:rPr>
            </w:pPr>
          </w:p>
          <w:p>
            <w:pPr>
              <w:pStyle w:val="TableParagraph"/>
              <w:rPr>
                <w:sz w:val="26"/>
              </w:rPr>
            </w:pPr>
          </w:p>
          <w:p>
            <w:pPr>
              <w:pStyle w:val="TableParagraph"/>
              <w:rPr>
                <w:sz w:val="26"/>
              </w:rPr>
            </w:pPr>
          </w:p>
          <w:p>
            <w:pPr>
              <w:pStyle w:val="TableParagraph"/>
              <w:rPr>
                <w:sz w:val="24"/>
              </w:rPr>
            </w:pPr>
          </w:p>
          <w:p>
            <w:pPr>
              <w:pStyle w:val="TableParagraph"/>
              <w:ind w:right="551"/>
              <w:jc w:val="right"/>
              <w:rPr>
                <w:b/>
                <w:sz w:val="22"/>
              </w:rPr>
            </w:pPr>
            <w:r>
              <w:rPr>
                <w:b/>
                <w:spacing w:val="-5"/>
                <w:sz w:val="22"/>
              </w:rPr>
              <w:t>CW</w:t>
            </w:r>
          </w:p>
        </w:tc>
      </w:tr>
    </w:tbl>
    <w:p>
      <w:pPr>
        <w:pStyle w:val="BodyText"/>
        <w:spacing w:before="39"/>
        <w:ind w:left="850"/>
      </w:pPr>
      <w:r>
        <w:rPr/>
        <w:t>NWSSP</w:t>
      </w:r>
      <w:r>
        <w:rPr>
          <w:spacing w:val="-4"/>
        </w:rPr>
        <w:t> </w:t>
      </w:r>
      <w:r>
        <w:rPr/>
        <w:t>Audit</w:t>
      </w:r>
      <w:r>
        <w:rPr>
          <w:spacing w:val="-2"/>
        </w:rPr>
        <w:t> Committee</w:t>
      </w:r>
    </w:p>
    <w:p>
      <w:pPr>
        <w:pStyle w:val="BodyText"/>
        <w:tabs>
          <w:tab w:pos="10762" w:val="left" w:leader="none"/>
        </w:tabs>
        <w:ind w:left="850"/>
      </w:pPr>
      <w:r>
        <w:rPr/>
        <w:t>11</w:t>
      </w:r>
      <w:r>
        <w:rPr>
          <w:spacing w:val="-4"/>
        </w:rPr>
        <w:t> </w:t>
      </w:r>
      <w:r>
        <w:rPr/>
        <w:t>October</w:t>
      </w:r>
      <w:r>
        <w:rPr>
          <w:spacing w:val="-4"/>
        </w:rPr>
        <w:t> 2022</w:t>
      </w:r>
      <w:r>
        <w:rPr/>
        <w:tab/>
      </w:r>
      <w:r>
        <w:rPr>
          <w:spacing w:val="-10"/>
        </w:rPr>
        <w:t>3</w:t>
      </w:r>
    </w:p>
    <w:p>
      <w:pPr>
        <w:spacing w:after="0"/>
        <w:sectPr>
          <w:pgSz w:w="11900" w:h="16840"/>
          <w:pgMar w:header="0" w:footer="173" w:top="1260" w:bottom="360" w:left="0" w:right="0"/>
        </w:sectPr>
      </w:pPr>
    </w:p>
    <w:tbl>
      <w:tblPr>
        <w:tblW w:w="0" w:type="auto"/>
        <w:jc w:val="left"/>
        <w:tblInd w:w="3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55"/>
        <w:gridCol w:w="8128"/>
        <w:gridCol w:w="1535"/>
      </w:tblGrid>
      <w:tr>
        <w:trPr>
          <w:trHeight w:val="275" w:hRule="atLeast"/>
        </w:trPr>
        <w:tc>
          <w:tcPr>
            <w:tcW w:w="1355" w:type="dxa"/>
          </w:tcPr>
          <w:p>
            <w:pPr>
              <w:pStyle w:val="TableParagraph"/>
              <w:spacing w:line="255" w:lineRule="exact"/>
              <w:ind w:left="108"/>
              <w:rPr>
                <w:b/>
                <w:sz w:val="22"/>
              </w:rPr>
            </w:pPr>
            <w:r>
              <w:rPr>
                <w:b/>
                <w:spacing w:val="-4"/>
                <w:sz w:val="22"/>
              </w:rPr>
              <w:t>Item</w:t>
            </w:r>
          </w:p>
        </w:tc>
        <w:tc>
          <w:tcPr>
            <w:tcW w:w="8128" w:type="dxa"/>
          </w:tcPr>
          <w:p>
            <w:pPr>
              <w:pStyle w:val="TableParagraph"/>
              <w:rPr>
                <w:rFonts w:ascii="Times New Roman"/>
                <w:sz w:val="20"/>
              </w:rPr>
            </w:pPr>
          </w:p>
        </w:tc>
        <w:tc>
          <w:tcPr>
            <w:tcW w:w="1535" w:type="dxa"/>
          </w:tcPr>
          <w:p>
            <w:pPr>
              <w:pStyle w:val="TableParagraph"/>
              <w:spacing w:line="255" w:lineRule="exact"/>
              <w:ind w:left="107"/>
              <w:rPr>
                <w:b/>
                <w:sz w:val="22"/>
              </w:rPr>
            </w:pPr>
            <w:r>
              <w:rPr>
                <w:b/>
                <w:spacing w:val="-2"/>
                <w:sz w:val="22"/>
              </w:rPr>
              <w:t>Action</w:t>
            </w:r>
          </w:p>
        </w:tc>
      </w:tr>
      <w:tr>
        <w:trPr>
          <w:trHeight w:val="9090" w:hRule="atLeast"/>
        </w:trPr>
        <w:tc>
          <w:tcPr>
            <w:tcW w:w="1355" w:type="dxa"/>
          </w:tcPr>
          <w:p>
            <w:pPr>
              <w:pStyle w:val="TableParagraph"/>
              <w:rPr>
                <w:rFonts w:ascii="Times New Roman"/>
                <w:sz w:val="22"/>
              </w:rPr>
            </w:pPr>
          </w:p>
        </w:tc>
        <w:tc>
          <w:tcPr>
            <w:tcW w:w="8128" w:type="dxa"/>
          </w:tcPr>
          <w:p>
            <w:pPr>
              <w:pStyle w:val="TableParagraph"/>
              <w:ind w:left="108" w:right="98"/>
              <w:jc w:val="both"/>
              <w:rPr>
                <w:sz w:val="22"/>
              </w:rPr>
            </w:pPr>
            <w:r>
              <w:rPr>
                <w:sz w:val="22"/>
              </w:rPr>
              <w:t>of road traffic incidents, where inconsistencies were noted in current practice at the time of the audit, but which have now been addressed.</w:t>
            </w:r>
          </w:p>
          <w:p>
            <w:pPr>
              <w:pStyle w:val="TableParagraph"/>
              <w:rPr>
                <w:sz w:val="22"/>
              </w:rPr>
            </w:pPr>
          </w:p>
          <w:p>
            <w:pPr>
              <w:pStyle w:val="TableParagraph"/>
              <w:ind w:left="108"/>
              <w:jc w:val="both"/>
              <w:rPr>
                <w:b/>
                <w:sz w:val="22"/>
              </w:rPr>
            </w:pPr>
            <w:r>
              <w:rPr>
                <w:b/>
                <w:sz w:val="22"/>
              </w:rPr>
              <w:t>Laundry</w:t>
            </w:r>
            <w:r>
              <w:rPr>
                <w:b/>
                <w:spacing w:val="-8"/>
                <w:sz w:val="22"/>
              </w:rPr>
              <w:t> </w:t>
            </w:r>
            <w:r>
              <w:rPr>
                <w:b/>
                <w:spacing w:val="-2"/>
                <w:sz w:val="22"/>
              </w:rPr>
              <w:t>Services</w:t>
            </w:r>
          </w:p>
          <w:p>
            <w:pPr>
              <w:pStyle w:val="TableParagraph"/>
              <w:ind w:left="108" w:right="94"/>
              <w:jc w:val="both"/>
              <w:rPr>
                <w:sz w:val="22"/>
              </w:rPr>
            </w:pPr>
            <w:r>
              <w:rPr>
                <w:sz w:val="22"/>
              </w:rPr>
              <w:t>The</w:t>
            </w:r>
            <w:r>
              <w:rPr>
                <w:spacing w:val="-20"/>
                <w:sz w:val="22"/>
              </w:rPr>
              <w:t> </w:t>
            </w:r>
            <w:r>
              <w:rPr>
                <w:sz w:val="22"/>
              </w:rPr>
              <w:t>objective</w:t>
            </w:r>
            <w:r>
              <w:rPr>
                <w:spacing w:val="-19"/>
                <w:sz w:val="22"/>
              </w:rPr>
              <w:t> </w:t>
            </w:r>
            <w:r>
              <w:rPr>
                <w:sz w:val="22"/>
              </w:rPr>
              <w:t>of</w:t>
            </w:r>
            <w:r>
              <w:rPr>
                <w:spacing w:val="-19"/>
                <w:sz w:val="22"/>
              </w:rPr>
              <w:t> </w:t>
            </w:r>
            <w:r>
              <w:rPr>
                <w:sz w:val="22"/>
              </w:rPr>
              <w:t>the</w:t>
            </w:r>
            <w:r>
              <w:rPr>
                <w:spacing w:val="-20"/>
                <w:sz w:val="22"/>
              </w:rPr>
              <w:t> </w:t>
            </w:r>
            <w:r>
              <w:rPr>
                <w:sz w:val="22"/>
              </w:rPr>
              <w:t>review</w:t>
            </w:r>
            <w:r>
              <w:rPr>
                <w:spacing w:val="-19"/>
                <w:sz w:val="22"/>
              </w:rPr>
              <w:t> </w:t>
            </w:r>
            <w:r>
              <w:rPr>
                <w:sz w:val="22"/>
              </w:rPr>
              <w:t>was</w:t>
            </w:r>
            <w:r>
              <w:rPr>
                <w:spacing w:val="-20"/>
                <w:sz w:val="22"/>
              </w:rPr>
              <w:t> </w:t>
            </w:r>
            <w:r>
              <w:rPr>
                <w:sz w:val="22"/>
              </w:rPr>
              <w:t>to</w:t>
            </w:r>
            <w:r>
              <w:rPr>
                <w:spacing w:val="-19"/>
                <w:sz w:val="22"/>
              </w:rPr>
              <w:t> </w:t>
            </w:r>
            <w:r>
              <w:rPr>
                <w:sz w:val="22"/>
              </w:rPr>
              <w:t>establish</w:t>
            </w:r>
            <w:r>
              <w:rPr>
                <w:spacing w:val="-19"/>
                <w:sz w:val="22"/>
              </w:rPr>
              <w:t> </w:t>
            </w:r>
            <w:r>
              <w:rPr>
                <w:sz w:val="22"/>
              </w:rPr>
              <w:t>a</w:t>
            </w:r>
            <w:r>
              <w:rPr>
                <w:spacing w:val="-20"/>
                <w:sz w:val="22"/>
              </w:rPr>
              <w:t> </w:t>
            </w:r>
            <w:r>
              <w:rPr>
                <w:sz w:val="22"/>
              </w:rPr>
              <w:t>baseline</w:t>
            </w:r>
            <w:r>
              <w:rPr>
                <w:spacing w:val="-19"/>
                <w:sz w:val="22"/>
              </w:rPr>
              <w:t> </w:t>
            </w:r>
            <w:r>
              <w:rPr>
                <w:sz w:val="22"/>
              </w:rPr>
              <w:t>position</w:t>
            </w:r>
            <w:r>
              <w:rPr>
                <w:spacing w:val="-19"/>
                <w:sz w:val="22"/>
              </w:rPr>
              <w:t> </w:t>
            </w:r>
            <w:r>
              <w:rPr>
                <w:sz w:val="22"/>
              </w:rPr>
              <w:t>for</w:t>
            </w:r>
            <w:r>
              <w:rPr>
                <w:spacing w:val="-20"/>
                <w:sz w:val="22"/>
              </w:rPr>
              <w:t> </w:t>
            </w:r>
            <w:r>
              <w:rPr>
                <w:sz w:val="22"/>
              </w:rPr>
              <w:t>Green Vale Laundry following the transfer of services to NWSSP. The audit report achieved a rating of reasonable assurance with five medium recommendations</w:t>
            </w:r>
            <w:r>
              <w:rPr>
                <w:spacing w:val="-20"/>
                <w:sz w:val="22"/>
              </w:rPr>
              <w:t> </w:t>
            </w:r>
            <w:r>
              <w:rPr>
                <w:sz w:val="22"/>
              </w:rPr>
              <w:t>for</w:t>
            </w:r>
            <w:r>
              <w:rPr>
                <w:spacing w:val="-19"/>
                <w:sz w:val="22"/>
              </w:rPr>
              <w:t> </w:t>
            </w:r>
            <w:r>
              <w:rPr>
                <w:sz w:val="22"/>
              </w:rPr>
              <w:t>action.</w:t>
            </w:r>
            <w:r>
              <w:rPr>
                <w:spacing w:val="-19"/>
                <w:sz w:val="22"/>
              </w:rPr>
              <w:t> </w:t>
            </w:r>
            <w:r>
              <w:rPr>
                <w:sz w:val="22"/>
              </w:rPr>
              <w:t>The</w:t>
            </w:r>
            <w:r>
              <w:rPr>
                <w:spacing w:val="-20"/>
                <w:sz w:val="22"/>
              </w:rPr>
              <w:t> </w:t>
            </w:r>
            <w:r>
              <w:rPr>
                <w:sz w:val="22"/>
              </w:rPr>
              <w:t>audit</w:t>
            </w:r>
            <w:r>
              <w:rPr>
                <w:spacing w:val="-19"/>
                <w:sz w:val="22"/>
              </w:rPr>
              <w:t> </w:t>
            </w:r>
            <w:r>
              <w:rPr>
                <w:sz w:val="22"/>
              </w:rPr>
              <w:t>was</w:t>
            </w:r>
            <w:r>
              <w:rPr>
                <w:spacing w:val="-20"/>
                <w:sz w:val="22"/>
              </w:rPr>
              <w:t> </w:t>
            </w:r>
            <w:r>
              <w:rPr>
                <w:sz w:val="22"/>
              </w:rPr>
              <w:t>in</w:t>
            </w:r>
            <w:r>
              <w:rPr>
                <w:spacing w:val="-19"/>
                <w:sz w:val="22"/>
              </w:rPr>
              <w:t> </w:t>
            </w:r>
            <w:r>
              <w:rPr>
                <w:sz w:val="22"/>
              </w:rPr>
              <w:t>line</w:t>
            </w:r>
            <w:r>
              <w:rPr>
                <w:spacing w:val="-19"/>
                <w:sz w:val="22"/>
              </w:rPr>
              <w:t> </w:t>
            </w:r>
            <w:r>
              <w:rPr>
                <w:sz w:val="22"/>
              </w:rPr>
              <w:t>with</w:t>
            </w:r>
            <w:r>
              <w:rPr>
                <w:spacing w:val="-20"/>
                <w:sz w:val="22"/>
              </w:rPr>
              <w:t> </w:t>
            </w:r>
            <w:r>
              <w:rPr>
                <w:sz w:val="22"/>
              </w:rPr>
              <w:t>last</w:t>
            </w:r>
            <w:r>
              <w:rPr>
                <w:spacing w:val="-19"/>
                <w:sz w:val="22"/>
              </w:rPr>
              <w:t> </w:t>
            </w:r>
            <w:r>
              <w:rPr>
                <w:sz w:val="22"/>
              </w:rPr>
              <w:t>year’s</w:t>
            </w:r>
            <w:r>
              <w:rPr>
                <w:spacing w:val="-19"/>
                <w:sz w:val="22"/>
              </w:rPr>
              <w:t> </w:t>
            </w:r>
            <w:r>
              <w:rPr>
                <w:sz w:val="22"/>
              </w:rPr>
              <w:t>review of the Llansamlet Laundry and management are aware of the issues identified in the report, which will be addressed as part of the Laundry Modernisation Programme.</w:t>
            </w:r>
          </w:p>
          <w:p>
            <w:pPr>
              <w:pStyle w:val="TableParagraph"/>
              <w:rPr>
                <w:sz w:val="22"/>
              </w:rPr>
            </w:pPr>
          </w:p>
          <w:p>
            <w:pPr>
              <w:pStyle w:val="TableParagraph"/>
              <w:ind w:left="108"/>
              <w:jc w:val="both"/>
              <w:rPr>
                <w:b/>
                <w:sz w:val="22"/>
              </w:rPr>
            </w:pPr>
            <w:r>
              <w:rPr>
                <w:b/>
                <w:sz w:val="22"/>
              </w:rPr>
              <w:t>Surgical</w:t>
            </w:r>
            <w:r>
              <w:rPr>
                <w:b/>
                <w:spacing w:val="-7"/>
                <w:sz w:val="22"/>
              </w:rPr>
              <w:t> </w:t>
            </w:r>
            <w:r>
              <w:rPr>
                <w:b/>
                <w:sz w:val="22"/>
              </w:rPr>
              <w:t>Materials</w:t>
            </w:r>
            <w:r>
              <w:rPr>
                <w:b/>
                <w:spacing w:val="-4"/>
                <w:sz w:val="22"/>
              </w:rPr>
              <w:t> </w:t>
            </w:r>
            <w:r>
              <w:rPr>
                <w:b/>
                <w:sz w:val="22"/>
              </w:rPr>
              <w:t>Testing</w:t>
            </w:r>
            <w:r>
              <w:rPr>
                <w:b/>
                <w:spacing w:val="-5"/>
                <w:sz w:val="22"/>
              </w:rPr>
              <w:t> </w:t>
            </w:r>
            <w:r>
              <w:rPr>
                <w:b/>
                <w:spacing w:val="-2"/>
                <w:sz w:val="22"/>
              </w:rPr>
              <w:t>Laboratory</w:t>
            </w:r>
          </w:p>
          <w:p>
            <w:pPr>
              <w:pStyle w:val="TableParagraph"/>
              <w:ind w:left="108" w:right="94"/>
              <w:jc w:val="both"/>
              <w:rPr>
                <w:sz w:val="22"/>
              </w:rPr>
            </w:pPr>
            <w:r>
              <w:rPr>
                <w:sz w:val="22"/>
              </w:rPr>
              <w:t>SCo presented the Surgical Materials Testing Laboratory report to the Committee, which assessed the governance, financial and risk management arrangements. The audit achieved substantial assurance and no recommendations were raised. The Committee were pleased to note such a positive audit report.</w:t>
            </w:r>
          </w:p>
          <w:p>
            <w:pPr>
              <w:pStyle w:val="TableParagraph"/>
              <w:rPr>
                <w:sz w:val="22"/>
              </w:rPr>
            </w:pPr>
          </w:p>
          <w:p>
            <w:pPr>
              <w:pStyle w:val="TableParagraph"/>
              <w:ind w:left="108"/>
              <w:jc w:val="both"/>
              <w:rPr>
                <w:b/>
                <w:sz w:val="22"/>
              </w:rPr>
            </w:pPr>
            <w:r>
              <w:rPr>
                <w:b/>
                <w:sz w:val="22"/>
              </w:rPr>
              <w:t>Decarbonisation</w:t>
            </w:r>
            <w:r>
              <w:rPr>
                <w:b/>
                <w:spacing w:val="-8"/>
                <w:sz w:val="22"/>
              </w:rPr>
              <w:t> </w:t>
            </w:r>
            <w:r>
              <w:rPr>
                <w:b/>
                <w:sz w:val="22"/>
              </w:rPr>
              <w:t>Advisory</w:t>
            </w:r>
            <w:r>
              <w:rPr>
                <w:b/>
                <w:spacing w:val="-7"/>
                <w:sz w:val="22"/>
              </w:rPr>
              <w:t> </w:t>
            </w:r>
            <w:r>
              <w:rPr>
                <w:b/>
                <w:spacing w:val="-2"/>
                <w:sz w:val="22"/>
              </w:rPr>
              <w:t>report</w:t>
            </w:r>
          </w:p>
          <w:p>
            <w:pPr>
              <w:pStyle w:val="TableParagraph"/>
              <w:ind w:left="108" w:right="95"/>
              <w:jc w:val="both"/>
              <w:rPr>
                <w:sz w:val="22"/>
              </w:rPr>
            </w:pPr>
            <w:r>
              <w:rPr>
                <w:sz w:val="22"/>
              </w:rPr>
              <w:t>MG</w:t>
            </w:r>
            <w:r>
              <w:rPr>
                <w:spacing w:val="-8"/>
                <w:sz w:val="22"/>
              </w:rPr>
              <w:t> </w:t>
            </w:r>
            <w:r>
              <w:rPr>
                <w:sz w:val="22"/>
              </w:rPr>
              <w:t>presented</w:t>
            </w:r>
            <w:r>
              <w:rPr>
                <w:spacing w:val="-8"/>
                <w:sz w:val="22"/>
              </w:rPr>
              <w:t> </w:t>
            </w:r>
            <w:r>
              <w:rPr>
                <w:sz w:val="22"/>
              </w:rPr>
              <w:t>the</w:t>
            </w:r>
            <w:r>
              <w:rPr>
                <w:spacing w:val="-8"/>
                <w:sz w:val="22"/>
              </w:rPr>
              <w:t> </w:t>
            </w:r>
            <w:r>
              <w:rPr>
                <w:sz w:val="22"/>
              </w:rPr>
              <w:t>report,</w:t>
            </w:r>
            <w:r>
              <w:rPr>
                <w:spacing w:val="-8"/>
                <w:sz w:val="22"/>
              </w:rPr>
              <w:t> </w:t>
            </w:r>
            <w:r>
              <w:rPr>
                <w:sz w:val="22"/>
              </w:rPr>
              <w:t>which</w:t>
            </w:r>
            <w:r>
              <w:rPr>
                <w:spacing w:val="-8"/>
                <w:sz w:val="22"/>
              </w:rPr>
              <w:t> </w:t>
            </w:r>
            <w:r>
              <w:rPr>
                <w:sz w:val="22"/>
              </w:rPr>
              <w:t>is</w:t>
            </w:r>
            <w:r>
              <w:rPr>
                <w:spacing w:val="-8"/>
                <w:sz w:val="22"/>
              </w:rPr>
              <w:t> </w:t>
            </w:r>
            <w:r>
              <w:rPr>
                <w:sz w:val="22"/>
              </w:rPr>
              <w:t>intended</w:t>
            </w:r>
            <w:r>
              <w:rPr>
                <w:spacing w:val="-8"/>
                <w:sz w:val="22"/>
              </w:rPr>
              <w:t> </w:t>
            </w:r>
            <w:r>
              <w:rPr>
                <w:sz w:val="22"/>
              </w:rPr>
              <w:t>to</w:t>
            </w:r>
            <w:r>
              <w:rPr>
                <w:spacing w:val="-8"/>
                <w:sz w:val="22"/>
              </w:rPr>
              <w:t> </w:t>
            </w:r>
            <w:r>
              <w:rPr>
                <w:sz w:val="22"/>
              </w:rPr>
              <w:t>be</w:t>
            </w:r>
            <w:r>
              <w:rPr>
                <w:spacing w:val="-8"/>
                <w:sz w:val="22"/>
              </w:rPr>
              <w:t> </w:t>
            </w:r>
            <w:r>
              <w:rPr>
                <w:sz w:val="22"/>
              </w:rPr>
              <w:t>undertaken</w:t>
            </w:r>
            <w:r>
              <w:rPr>
                <w:spacing w:val="-8"/>
                <w:sz w:val="22"/>
              </w:rPr>
              <w:t> </w:t>
            </w:r>
            <w:r>
              <w:rPr>
                <w:sz w:val="22"/>
              </w:rPr>
              <w:t>at</w:t>
            </w:r>
            <w:r>
              <w:rPr>
                <w:spacing w:val="-8"/>
                <w:sz w:val="22"/>
              </w:rPr>
              <w:t> </w:t>
            </w:r>
            <w:r>
              <w:rPr>
                <w:sz w:val="22"/>
              </w:rPr>
              <w:t>all</w:t>
            </w:r>
            <w:r>
              <w:rPr>
                <w:spacing w:val="-8"/>
                <w:sz w:val="22"/>
              </w:rPr>
              <w:t> </w:t>
            </w:r>
            <w:r>
              <w:rPr>
                <w:sz w:val="22"/>
              </w:rPr>
              <w:t>NHS Wales</w:t>
            </w:r>
            <w:r>
              <w:rPr>
                <w:spacing w:val="-7"/>
                <w:sz w:val="22"/>
              </w:rPr>
              <w:t> </w:t>
            </w:r>
            <w:r>
              <w:rPr>
                <w:sz w:val="22"/>
              </w:rPr>
              <w:t>organisations.</w:t>
            </w:r>
            <w:r>
              <w:rPr>
                <w:spacing w:val="-8"/>
                <w:sz w:val="22"/>
              </w:rPr>
              <w:t> </w:t>
            </w:r>
            <w:r>
              <w:rPr>
                <w:sz w:val="22"/>
              </w:rPr>
              <w:t>To</w:t>
            </w:r>
            <w:r>
              <w:rPr>
                <w:spacing w:val="-8"/>
                <w:sz w:val="22"/>
              </w:rPr>
              <w:t> </w:t>
            </w:r>
            <w:r>
              <w:rPr>
                <w:sz w:val="22"/>
              </w:rPr>
              <w:t>date</w:t>
            </w:r>
            <w:r>
              <w:rPr>
                <w:spacing w:val="-8"/>
                <w:sz w:val="22"/>
              </w:rPr>
              <w:t> </w:t>
            </w:r>
            <w:r>
              <w:rPr>
                <w:sz w:val="22"/>
              </w:rPr>
              <w:t>five</w:t>
            </w:r>
            <w:r>
              <w:rPr>
                <w:spacing w:val="-8"/>
                <w:sz w:val="22"/>
              </w:rPr>
              <w:t> </w:t>
            </w:r>
            <w:r>
              <w:rPr>
                <w:sz w:val="22"/>
              </w:rPr>
              <w:t>reviews,</w:t>
            </w:r>
            <w:r>
              <w:rPr>
                <w:spacing w:val="-8"/>
                <w:sz w:val="22"/>
              </w:rPr>
              <w:t> </w:t>
            </w:r>
            <w:r>
              <w:rPr>
                <w:sz w:val="22"/>
              </w:rPr>
              <w:t>including</w:t>
            </w:r>
            <w:r>
              <w:rPr>
                <w:spacing w:val="-7"/>
                <w:sz w:val="22"/>
              </w:rPr>
              <w:t> </w:t>
            </w:r>
            <w:r>
              <w:rPr>
                <w:sz w:val="22"/>
              </w:rPr>
              <w:t>NWSSP,</w:t>
            </w:r>
            <w:r>
              <w:rPr>
                <w:spacing w:val="-8"/>
                <w:sz w:val="22"/>
              </w:rPr>
              <w:t> </w:t>
            </w:r>
            <w:r>
              <w:rPr>
                <w:sz w:val="22"/>
              </w:rPr>
              <w:t>have</w:t>
            </w:r>
            <w:r>
              <w:rPr>
                <w:spacing w:val="-8"/>
                <w:sz w:val="22"/>
              </w:rPr>
              <w:t> </w:t>
            </w:r>
            <w:r>
              <w:rPr>
                <w:sz w:val="22"/>
              </w:rPr>
              <w:t>been concluded. The audit was an early-stage review intended to provide advice</w:t>
            </w:r>
            <w:r>
              <w:rPr>
                <w:spacing w:val="-17"/>
                <w:sz w:val="22"/>
              </w:rPr>
              <w:t> </w:t>
            </w:r>
            <w:r>
              <w:rPr>
                <w:sz w:val="22"/>
              </w:rPr>
              <w:t>and</w:t>
            </w:r>
            <w:r>
              <w:rPr>
                <w:spacing w:val="-17"/>
                <w:sz w:val="22"/>
              </w:rPr>
              <w:t> </w:t>
            </w:r>
            <w:r>
              <w:rPr>
                <w:sz w:val="22"/>
              </w:rPr>
              <w:t>share</w:t>
            </w:r>
            <w:r>
              <w:rPr>
                <w:spacing w:val="-17"/>
                <w:sz w:val="22"/>
              </w:rPr>
              <w:t> </w:t>
            </w:r>
            <w:r>
              <w:rPr>
                <w:sz w:val="22"/>
              </w:rPr>
              <w:t>best</w:t>
            </w:r>
            <w:r>
              <w:rPr>
                <w:spacing w:val="-17"/>
                <w:sz w:val="22"/>
              </w:rPr>
              <w:t> </w:t>
            </w:r>
            <w:r>
              <w:rPr>
                <w:sz w:val="22"/>
              </w:rPr>
              <w:t>practice.</w:t>
            </w:r>
            <w:r>
              <w:rPr>
                <w:spacing w:val="-18"/>
                <w:sz w:val="22"/>
              </w:rPr>
              <w:t> </w:t>
            </w:r>
            <w:r>
              <w:rPr>
                <w:sz w:val="22"/>
              </w:rPr>
              <w:t>The</w:t>
            </w:r>
            <w:r>
              <w:rPr>
                <w:spacing w:val="-17"/>
                <w:sz w:val="22"/>
              </w:rPr>
              <w:t> </w:t>
            </w:r>
            <w:r>
              <w:rPr>
                <w:sz w:val="22"/>
              </w:rPr>
              <w:t>report</w:t>
            </w:r>
            <w:r>
              <w:rPr>
                <w:spacing w:val="-17"/>
                <w:sz w:val="22"/>
              </w:rPr>
              <w:t> </w:t>
            </w:r>
            <w:r>
              <w:rPr>
                <w:sz w:val="22"/>
              </w:rPr>
              <w:t>included</w:t>
            </w:r>
            <w:r>
              <w:rPr>
                <w:spacing w:val="-18"/>
                <w:sz w:val="22"/>
              </w:rPr>
              <w:t> </w:t>
            </w:r>
            <w:r>
              <w:rPr>
                <w:sz w:val="22"/>
              </w:rPr>
              <w:t>both</w:t>
            </w:r>
            <w:r>
              <w:rPr>
                <w:spacing w:val="-17"/>
                <w:sz w:val="22"/>
              </w:rPr>
              <w:t> </w:t>
            </w:r>
            <w:r>
              <w:rPr>
                <w:sz w:val="22"/>
              </w:rPr>
              <w:t>overall</w:t>
            </w:r>
            <w:r>
              <w:rPr>
                <w:spacing w:val="-17"/>
                <w:sz w:val="22"/>
              </w:rPr>
              <w:t> </w:t>
            </w:r>
            <w:r>
              <w:rPr>
                <w:sz w:val="22"/>
              </w:rPr>
              <w:t>national recommendations and a set of NWSSP-specific recommendations. SC confirmed</w:t>
            </w:r>
            <w:r>
              <w:rPr>
                <w:spacing w:val="-10"/>
                <w:sz w:val="22"/>
              </w:rPr>
              <w:t> </w:t>
            </w:r>
            <w:r>
              <w:rPr>
                <w:sz w:val="22"/>
              </w:rPr>
              <w:t>that</w:t>
            </w:r>
            <w:r>
              <w:rPr>
                <w:spacing w:val="-10"/>
                <w:sz w:val="22"/>
              </w:rPr>
              <w:t> </w:t>
            </w:r>
            <w:r>
              <w:rPr>
                <w:sz w:val="22"/>
              </w:rPr>
              <w:t>the</w:t>
            </w:r>
            <w:r>
              <w:rPr>
                <w:spacing w:val="-11"/>
                <w:sz w:val="22"/>
              </w:rPr>
              <w:t> </w:t>
            </w:r>
            <w:r>
              <w:rPr>
                <w:sz w:val="22"/>
              </w:rPr>
              <w:t>summary</w:t>
            </w:r>
            <w:r>
              <w:rPr>
                <w:spacing w:val="-11"/>
                <w:sz w:val="22"/>
              </w:rPr>
              <w:t> </w:t>
            </w:r>
            <w:r>
              <w:rPr>
                <w:sz w:val="22"/>
              </w:rPr>
              <w:t>report</w:t>
            </w:r>
            <w:r>
              <w:rPr>
                <w:spacing w:val="-10"/>
                <w:sz w:val="22"/>
              </w:rPr>
              <w:t> </w:t>
            </w:r>
            <w:r>
              <w:rPr>
                <w:sz w:val="22"/>
              </w:rPr>
              <w:t>would</w:t>
            </w:r>
            <w:r>
              <w:rPr>
                <w:spacing w:val="-11"/>
                <w:sz w:val="22"/>
              </w:rPr>
              <w:t> </w:t>
            </w:r>
            <w:r>
              <w:rPr>
                <w:sz w:val="22"/>
              </w:rPr>
              <w:t>be</w:t>
            </w:r>
            <w:r>
              <w:rPr>
                <w:spacing w:val="-10"/>
                <w:sz w:val="22"/>
              </w:rPr>
              <w:t> </w:t>
            </w:r>
            <w:r>
              <w:rPr>
                <w:sz w:val="22"/>
              </w:rPr>
              <w:t>shared</w:t>
            </w:r>
            <w:r>
              <w:rPr>
                <w:spacing w:val="-11"/>
                <w:sz w:val="22"/>
              </w:rPr>
              <w:t> </w:t>
            </w:r>
            <w:r>
              <w:rPr>
                <w:sz w:val="22"/>
              </w:rPr>
              <w:t>with</w:t>
            </w:r>
            <w:r>
              <w:rPr>
                <w:spacing w:val="-11"/>
                <w:sz w:val="22"/>
              </w:rPr>
              <w:t> </w:t>
            </w:r>
            <w:r>
              <w:rPr>
                <w:sz w:val="22"/>
              </w:rPr>
              <w:t>all</w:t>
            </w:r>
            <w:r>
              <w:rPr>
                <w:spacing w:val="-11"/>
                <w:sz w:val="22"/>
              </w:rPr>
              <w:t> </w:t>
            </w:r>
            <w:r>
              <w:rPr>
                <w:sz w:val="22"/>
              </w:rPr>
              <w:t>NHS</w:t>
            </w:r>
            <w:r>
              <w:rPr>
                <w:spacing w:val="-11"/>
                <w:sz w:val="22"/>
              </w:rPr>
              <w:t> </w:t>
            </w:r>
            <w:r>
              <w:rPr>
                <w:sz w:val="22"/>
              </w:rPr>
              <w:t>Wales organisations and that the team would be linking in with Chief Executives and Audit Committee chairs to ensure messages are fully communicated.</w:t>
            </w:r>
            <w:r>
              <w:rPr>
                <w:spacing w:val="-5"/>
                <w:sz w:val="22"/>
              </w:rPr>
              <w:t> </w:t>
            </w:r>
            <w:r>
              <w:rPr>
                <w:sz w:val="22"/>
              </w:rPr>
              <w:t>Of</w:t>
            </w:r>
            <w:r>
              <w:rPr>
                <w:spacing w:val="-5"/>
                <w:sz w:val="22"/>
              </w:rPr>
              <w:t> </w:t>
            </w:r>
            <w:r>
              <w:rPr>
                <w:sz w:val="22"/>
              </w:rPr>
              <w:t>the</w:t>
            </w:r>
            <w:r>
              <w:rPr>
                <w:spacing w:val="-5"/>
                <w:sz w:val="22"/>
              </w:rPr>
              <w:t> </w:t>
            </w:r>
            <w:r>
              <w:rPr>
                <w:sz w:val="22"/>
              </w:rPr>
              <w:t>specific</w:t>
            </w:r>
            <w:r>
              <w:rPr>
                <w:spacing w:val="-5"/>
                <w:sz w:val="22"/>
              </w:rPr>
              <w:t> </w:t>
            </w:r>
            <w:r>
              <w:rPr>
                <w:sz w:val="22"/>
              </w:rPr>
              <w:t>recommendations</w:t>
            </w:r>
            <w:r>
              <w:rPr>
                <w:spacing w:val="-5"/>
                <w:sz w:val="22"/>
              </w:rPr>
              <w:t> </w:t>
            </w:r>
            <w:r>
              <w:rPr>
                <w:sz w:val="22"/>
              </w:rPr>
              <w:t>raised</w:t>
            </w:r>
            <w:r>
              <w:rPr>
                <w:spacing w:val="-5"/>
                <w:sz w:val="22"/>
              </w:rPr>
              <w:t> </w:t>
            </w:r>
            <w:r>
              <w:rPr>
                <w:sz w:val="22"/>
              </w:rPr>
              <w:t>in</w:t>
            </w:r>
            <w:r>
              <w:rPr>
                <w:spacing w:val="-5"/>
                <w:sz w:val="22"/>
              </w:rPr>
              <w:t> </w:t>
            </w:r>
            <w:r>
              <w:rPr>
                <w:sz w:val="22"/>
              </w:rPr>
              <w:t>the</w:t>
            </w:r>
            <w:r>
              <w:rPr>
                <w:spacing w:val="-5"/>
                <w:sz w:val="22"/>
              </w:rPr>
              <w:t> </w:t>
            </w:r>
            <w:r>
              <w:rPr>
                <w:sz w:val="22"/>
              </w:rPr>
              <w:t>report,</w:t>
            </w:r>
            <w:r>
              <w:rPr>
                <w:spacing w:val="-5"/>
                <w:sz w:val="22"/>
              </w:rPr>
              <w:t> </w:t>
            </w:r>
            <w:r>
              <w:rPr>
                <w:sz w:val="22"/>
              </w:rPr>
              <w:t>it was</w:t>
            </w:r>
            <w:r>
              <w:rPr>
                <w:spacing w:val="-19"/>
                <w:sz w:val="22"/>
              </w:rPr>
              <w:t> </w:t>
            </w:r>
            <w:r>
              <w:rPr>
                <w:sz w:val="22"/>
              </w:rPr>
              <w:t>noted</w:t>
            </w:r>
            <w:r>
              <w:rPr>
                <w:spacing w:val="-19"/>
                <w:sz w:val="22"/>
              </w:rPr>
              <w:t> </w:t>
            </w:r>
            <w:r>
              <w:rPr>
                <w:sz w:val="22"/>
              </w:rPr>
              <w:t>that</w:t>
            </w:r>
            <w:r>
              <w:rPr>
                <w:spacing w:val="-19"/>
                <w:sz w:val="22"/>
              </w:rPr>
              <w:t> </w:t>
            </w:r>
            <w:r>
              <w:rPr>
                <w:sz w:val="22"/>
              </w:rPr>
              <w:t>NWSSP</w:t>
            </w:r>
            <w:r>
              <w:rPr>
                <w:spacing w:val="-19"/>
                <w:sz w:val="22"/>
              </w:rPr>
              <w:t> </w:t>
            </w:r>
            <w:r>
              <w:rPr>
                <w:sz w:val="22"/>
              </w:rPr>
              <w:t>need</w:t>
            </w:r>
            <w:r>
              <w:rPr>
                <w:spacing w:val="-19"/>
                <w:sz w:val="22"/>
              </w:rPr>
              <w:t> </w:t>
            </w:r>
            <w:r>
              <w:rPr>
                <w:sz w:val="22"/>
              </w:rPr>
              <w:t>to</w:t>
            </w:r>
            <w:r>
              <w:rPr>
                <w:spacing w:val="-19"/>
                <w:sz w:val="22"/>
              </w:rPr>
              <w:t> </w:t>
            </w:r>
            <w:r>
              <w:rPr>
                <w:sz w:val="22"/>
              </w:rPr>
              <w:t>ensure</w:t>
            </w:r>
            <w:r>
              <w:rPr>
                <w:spacing w:val="-19"/>
                <w:sz w:val="22"/>
              </w:rPr>
              <w:t> </w:t>
            </w:r>
            <w:r>
              <w:rPr>
                <w:sz w:val="22"/>
              </w:rPr>
              <w:t>that</w:t>
            </w:r>
            <w:r>
              <w:rPr>
                <w:spacing w:val="-19"/>
                <w:sz w:val="22"/>
              </w:rPr>
              <w:t> </w:t>
            </w:r>
            <w:r>
              <w:rPr>
                <w:sz w:val="22"/>
              </w:rPr>
              <w:t>sufficient</w:t>
            </w:r>
            <w:r>
              <w:rPr>
                <w:spacing w:val="-19"/>
                <w:sz w:val="22"/>
              </w:rPr>
              <w:t> </w:t>
            </w:r>
            <w:r>
              <w:rPr>
                <w:sz w:val="22"/>
              </w:rPr>
              <w:t>resource</w:t>
            </w:r>
            <w:r>
              <w:rPr>
                <w:spacing w:val="-19"/>
                <w:sz w:val="22"/>
              </w:rPr>
              <w:t> </w:t>
            </w:r>
            <w:r>
              <w:rPr>
                <w:sz w:val="22"/>
              </w:rPr>
              <w:t>is</w:t>
            </w:r>
            <w:r>
              <w:rPr>
                <w:spacing w:val="-19"/>
                <w:sz w:val="22"/>
              </w:rPr>
              <w:t> </w:t>
            </w:r>
            <w:r>
              <w:rPr>
                <w:sz w:val="22"/>
              </w:rPr>
              <w:t>in</w:t>
            </w:r>
            <w:r>
              <w:rPr>
                <w:spacing w:val="-19"/>
                <w:sz w:val="22"/>
              </w:rPr>
              <w:t> </w:t>
            </w:r>
            <w:r>
              <w:rPr>
                <w:sz w:val="22"/>
              </w:rPr>
              <w:t>place to undertake the work detailed in the NWSSP Decarbonisation Action </w:t>
            </w:r>
            <w:r>
              <w:rPr>
                <w:spacing w:val="-2"/>
                <w:sz w:val="22"/>
              </w:rPr>
              <w:t>Plan.</w:t>
            </w:r>
          </w:p>
          <w:p>
            <w:pPr>
              <w:pStyle w:val="TableParagraph"/>
              <w:rPr>
                <w:sz w:val="22"/>
              </w:rPr>
            </w:pPr>
          </w:p>
          <w:p>
            <w:pPr>
              <w:pStyle w:val="TableParagraph"/>
              <w:spacing w:line="247" w:lineRule="exact"/>
              <w:ind w:left="108"/>
              <w:jc w:val="both"/>
              <w:rPr>
                <w:sz w:val="22"/>
              </w:rPr>
            </w:pPr>
            <w:r>
              <w:rPr>
                <w:sz w:val="22"/>
              </w:rPr>
              <w:t>The</w:t>
            </w:r>
            <w:r>
              <w:rPr>
                <w:spacing w:val="-3"/>
                <w:sz w:val="22"/>
              </w:rPr>
              <w:t> </w:t>
            </w:r>
            <w:r>
              <w:rPr>
                <w:sz w:val="22"/>
              </w:rPr>
              <w:t>Committee</w:t>
            </w:r>
            <w:r>
              <w:rPr>
                <w:spacing w:val="-1"/>
                <w:sz w:val="22"/>
              </w:rPr>
              <w:t> </w:t>
            </w:r>
            <w:r>
              <w:rPr>
                <w:b/>
                <w:sz w:val="22"/>
              </w:rPr>
              <w:t>NOTED</w:t>
            </w:r>
            <w:r>
              <w:rPr>
                <w:b/>
                <w:spacing w:val="1"/>
                <w:sz w:val="22"/>
              </w:rPr>
              <w:t> </w:t>
            </w:r>
            <w:r>
              <w:rPr>
                <w:sz w:val="22"/>
              </w:rPr>
              <w:t>the</w:t>
            </w:r>
            <w:r>
              <w:rPr>
                <w:spacing w:val="-3"/>
                <w:sz w:val="22"/>
              </w:rPr>
              <w:t> </w:t>
            </w:r>
            <w:r>
              <w:rPr>
                <w:sz w:val="22"/>
              </w:rPr>
              <w:t>Internal</w:t>
            </w:r>
            <w:r>
              <w:rPr>
                <w:spacing w:val="-1"/>
                <w:sz w:val="22"/>
              </w:rPr>
              <w:t> </w:t>
            </w:r>
            <w:r>
              <w:rPr>
                <w:sz w:val="22"/>
              </w:rPr>
              <w:t>Audit</w:t>
            </w:r>
            <w:r>
              <w:rPr>
                <w:spacing w:val="-2"/>
                <w:sz w:val="22"/>
              </w:rPr>
              <w:t> Reports.</w:t>
            </w:r>
          </w:p>
        </w:tc>
        <w:tc>
          <w:tcPr>
            <w:tcW w:w="1535" w:type="dxa"/>
          </w:tcPr>
          <w:p>
            <w:pPr>
              <w:pStyle w:val="TableParagraph"/>
              <w:rPr>
                <w:rFonts w:ascii="Times New Roman"/>
                <w:sz w:val="22"/>
              </w:rPr>
            </w:pPr>
          </w:p>
        </w:tc>
      </w:tr>
      <w:tr>
        <w:trPr>
          <w:trHeight w:val="645" w:hRule="atLeast"/>
        </w:trPr>
        <w:tc>
          <w:tcPr>
            <w:tcW w:w="11018" w:type="dxa"/>
            <w:gridSpan w:val="3"/>
            <w:shd w:val="clear" w:color="auto" w:fill="BFBFBF"/>
          </w:tcPr>
          <w:p>
            <w:pPr>
              <w:pStyle w:val="TableParagraph"/>
              <w:ind w:left="467"/>
              <w:rPr>
                <w:b/>
                <w:sz w:val="22"/>
              </w:rPr>
            </w:pPr>
            <w:r>
              <w:rPr>
                <w:b/>
                <w:sz w:val="22"/>
              </w:rPr>
              <w:t>5.</w:t>
            </w:r>
            <w:r>
              <w:rPr>
                <w:b/>
                <w:spacing w:val="47"/>
                <w:sz w:val="22"/>
              </w:rPr>
              <w:t> </w:t>
            </w:r>
            <w:r>
              <w:rPr>
                <w:b/>
                <w:sz w:val="22"/>
              </w:rPr>
              <w:t>COUNTER</w:t>
            </w:r>
            <w:r>
              <w:rPr>
                <w:b/>
                <w:spacing w:val="-1"/>
                <w:sz w:val="22"/>
              </w:rPr>
              <w:t> </w:t>
            </w:r>
            <w:r>
              <w:rPr>
                <w:b/>
                <w:spacing w:val="-4"/>
                <w:sz w:val="22"/>
              </w:rPr>
              <w:t>FRAUD</w:t>
            </w:r>
          </w:p>
        </w:tc>
      </w:tr>
      <w:tr>
        <w:trPr>
          <w:trHeight w:val="3743" w:hRule="atLeast"/>
        </w:trPr>
        <w:tc>
          <w:tcPr>
            <w:tcW w:w="1355" w:type="dxa"/>
          </w:tcPr>
          <w:p>
            <w:pPr>
              <w:pStyle w:val="TableParagraph"/>
              <w:ind w:left="108"/>
              <w:rPr>
                <w:b/>
                <w:sz w:val="22"/>
              </w:rPr>
            </w:pPr>
            <w:r>
              <w:rPr>
                <w:b/>
                <w:spacing w:val="-5"/>
                <w:sz w:val="22"/>
              </w:rPr>
              <w:t>5.1</w:t>
            </w:r>
          </w:p>
        </w:tc>
        <w:tc>
          <w:tcPr>
            <w:tcW w:w="8128" w:type="dxa"/>
          </w:tcPr>
          <w:p>
            <w:pPr>
              <w:pStyle w:val="TableParagraph"/>
              <w:ind w:left="108"/>
              <w:jc w:val="both"/>
              <w:rPr>
                <w:b/>
                <w:sz w:val="22"/>
              </w:rPr>
            </w:pPr>
            <w:r>
              <w:rPr>
                <w:b/>
                <w:sz w:val="22"/>
              </w:rPr>
              <w:t>Counter</w:t>
            </w:r>
            <w:r>
              <w:rPr>
                <w:b/>
                <w:spacing w:val="-4"/>
                <w:sz w:val="22"/>
              </w:rPr>
              <w:t> </w:t>
            </w:r>
            <w:r>
              <w:rPr>
                <w:b/>
                <w:sz w:val="22"/>
              </w:rPr>
              <w:t>Fraud</w:t>
            </w:r>
            <w:r>
              <w:rPr>
                <w:b/>
                <w:spacing w:val="-3"/>
                <w:sz w:val="22"/>
              </w:rPr>
              <w:t> </w:t>
            </w:r>
            <w:r>
              <w:rPr>
                <w:b/>
                <w:sz w:val="22"/>
              </w:rPr>
              <w:t>Position</w:t>
            </w:r>
            <w:r>
              <w:rPr>
                <w:b/>
                <w:spacing w:val="-2"/>
                <w:sz w:val="22"/>
              </w:rPr>
              <w:t> Statement</w:t>
            </w:r>
          </w:p>
          <w:p>
            <w:pPr>
              <w:pStyle w:val="TableParagraph"/>
              <w:ind w:left="108" w:right="95"/>
              <w:jc w:val="both"/>
              <w:rPr>
                <w:sz w:val="22"/>
              </w:rPr>
            </w:pPr>
            <w:r>
              <w:rPr>
                <w:sz w:val="22"/>
              </w:rPr>
              <w:t>MW presented the Counter Fraud Position Statement with an overview of</w:t>
            </w:r>
            <w:r>
              <w:rPr>
                <w:spacing w:val="-10"/>
                <w:sz w:val="22"/>
              </w:rPr>
              <w:t> </w:t>
            </w:r>
            <w:r>
              <w:rPr>
                <w:sz w:val="22"/>
              </w:rPr>
              <w:t>activity</w:t>
            </w:r>
            <w:r>
              <w:rPr>
                <w:spacing w:val="-10"/>
                <w:sz w:val="22"/>
              </w:rPr>
              <w:t> </w:t>
            </w:r>
            <w:r>
              <w:rPr>
                <w:sz w:val="22"/>
              </w:rPr>
              <w:t>since</w:t>
            </w:r>
            <w:r>
              <w:rPr>
                <w:spacing w:val="-10"/>
                <w:sz w:val="22"/>
              </w:rPr>
              <w:t> </w:t>
            </w:r>
            <w:r>
              <w:rPr>
                <w:sz w:val="22"/>
              </w:rPr>
              <w:t>the</w:t>
            </w:r>
            <w:r>
              <w:rPr>
                <w:spacing w:val="-10"/>
                <w:sz w:val="22"/>
              </w:rPr>
              <w:t> </w:t>
            </w:r>
            <w:r>
              <w:rPr>
                <w:sz w:val="22"/>
              </w:rPr>
              <w:t>last</w:t>
            </w:r>
            <w:r>
              <w:rPr>
                <w:spacing w:val="-10"/>
                <w:sz w:val="22"/>
              </w:rPr>
              <w:t> </w:t>
            </w:r>
            <w:r>
              <w:rPr>
                <w:sz w:val="22"/>
              </w:rPr>
              <w:t>meeting.</w:t>
            </w:r>
            <w:r>
              <w:rPr>
                <w:spacing w:val="-10"/>
                <w:sz w:val="22"/>
              </w:rPr>
              <w:t> </w:t>
            </w:r>
            <w:r>
              <w:rPr>
                <w:sz w:val="22"/>
              </w:rPr>
              <w:t>A</w:t>
            </w:r>
            <w:r>
              <w:rPr>
                <w:spacing w:val="-10"/>
                <w:sz w:val="22"/>
              </w:rPr>
              <w:t> </w:t>
            </w:r>
            <w:r>
              <w:rPr>
                <w:sz w:val="22"/>
              </w:rPr>
              <w:t>fraud</w:t>
            </w:r>
            <w:r>
              <w:rPr>
                <w:spacing w:val="-10"/>
                <w:sz w:val="22"/>
              </w:rPr>
              <w:t> </w:t>
            </w:r>
            <w:r>
              <w:rPr>
                <w:sz w:val="22"/>
              </w:rPr>
              <w:t>awareness</w:t>
            </w:r>
            <w:r>
              <w:rPr>
                <w:spacing w:val="-10"/>
                <w:sz w:val="22"/>
              </w:rPr>
              <w:t> </w:t>
            </w:r>
            <w:r>
              <w:rPr>
                <w:sz w:val="22"/>
              </w:rPr>
              <w:t>survey</w:t>
            </w:r>
            <w:r>
              <w:rPr>
                <w:spacing w:val="-10"/>
                <w:sz w:val="22"/>
              </w:rPr>
              <w:t> </w:t>
            </w:r>
            <w:r>
              <w:rPr>
                <w:sz w:val="22"/>
              </w:rPr>
              <w:t>was</w:t>
            </w:r>
            <w:r>
              <w:rPr>
                <w:spacing w:val="-10"/>
                <w:sz w:val="22"/>
              </w:rPr>
              <w:t> </w:t>
            </w:r>
            <w:r>
              <w:rPr>
                <w:sz w:val="22"/>
              </w:rPr>
              <w:t>sent</w:t>
            </w:r>
            <w:r>
              <w:rPr>
                <w:spacing w:val="-10"/>
                <w:sz w:val="22"/>
              </w:rPr>
              <w:t> </w:t>
            </w:r>
            <w:r>
              <w:rPr>
                <w:sz w:val="22"/>
              </w:rPr>
              <w:t>to all staff together with an informative video, and over 300 responses have been received to date. This will provide a useful benchmark to monitor how effective MW’s appointment will be in terms of helping to raise fraud awareness amongst NWSSP staff.</w:t>
            </w:r>
          </w:p>
          <w:p>
            <w:pPr>
              <w:pStyle w:val="TableParagraph"/>
              <w:spacing w:before="4"/>
              <w:rPr>
                <w:sz w:val="20"/>
              </w:rPr>
            </w:pPr>
          </w:p>
          <w:p>
            <w:pPr>
              <w:pStyle w:val="TableParagraph"/>
              <w:spacing w:line="260" w:lineRule="atLeast"/>
              <w:ind w:left="108" w:right="94"/>
              <w:jc w:val="both"/>
              <w:rPr>
                <w:sz w:val="22"/>
              </w:rPr>
            </w:pPr>
            <w:r>
              <w:rPr>
                <w:sz w:val="22"/>
              </w:rPr>
              <w:t>MW gave an update regarding the Counter Fraud national e-learning training module which is almost complete, and discussions are continuing to assess whether this training can be made mandatory, at least for certain groups of staff, by the end of the financial year. Bank Mandate</w:t>
            </w:r>
            <w:r>
              <w:rPr>
                <w:spacing w:val="-13"/>
                <w:sz w:val="22"/>
              </w:rPr>
              <w:t> </w:t>
            </w:r>
            <w:r>
              <w:rPr>
                <w:sz w:val="22"/>
              </w:rPr>
              <w:t>fraud</w:t>
            </w:r>
            <w:r>
              <w:rPr>
                <w:spacing w:val="-13"/>
                <w:sz w:val="22"/>
              </w:rPr>
              <w:t> </w:t>
            </w:r>
            <w:r>
              <w:rPr>
                <w:sz w:val="22"/>
              </w:rPr>
              <w:t>is</w:t>
            </w:r>
            <w:r>
              <w:rPr>
                <w:spacing w:val="-13"/>
                <w:sz w:val="22"/>
              </w:rPr>
              <w:t> </w:t>
            </w:r>
            <w:r>
              <w:rPr>
                <w:sz w:val="22"/>
              </w:rPr>
              <w:t>still</w:t>
            </w:r>
            <w:r>
              <w:rPr>
                <w:spacing w:val="-13"/>
                <w:sz w:val="22"/>
              </w:rPr>
              <w:t> </w:t>
            </w:r>
            <w:r>
              <w:rPr>
                <w:sz w:val="22"/>
              </w:rPr>
              <w:t>prevalent</w:t>
            </w:r>
            <w:r>
              <w:rPr>
                <w:spacing w:val="-13"/>
                <w:sz w:val="22"/>
              </w:rPr>
              <w:t> </w:t>
            </w:r>
            <w:r>
              <w:rPr>
                <w:sz w:val="22"/>
              </w:rPr>
              <w:t>across</w:t>
            </w:r>
            <w:r>
              <w:rPr>
                <w:spacing w:val="-13"/>
                <w:sz w:val="22"/>
              </w:rPr>
              <w:t> </w:t>
            </w:r>
            <w:r>
              <w:rPr>
                <w:sz w:val="22"/>
              </w:rPr>
              <w:t>the</w:t>
            </w:r>
            <w:r>
              <w:rPr>
                <w:spacing w:val="-13"/>
                <w:sz w:val="22"/>
              </w:rPr>
              <w:t> </w:t>
            </w:r>
            <w:r>
              <w:rPr>
                <w:sz w:val="22"/>
              </w:rPr>
              <w:t>NHS,</w:t>
            </w:r>
            <w:r>
              <w:rPr>
                <w:spacing w:val="-13"/>
                <w:sz w:val="22"/>
              </w:rPr>
              <w:t> </w:t>
            </w:r>
            <w:r>
              <w:rPr>
                <w:sz w:val="22"/>
              </w:rPr>
              <w:t>but</w:t>
            </w:r>
            <w:r>
              <w:rPr>
                <w:spacing w:val="-13"/>
                <w:sz w:val="22"/>
              </w:rPr>
              <w:t> </w:t>
            </w:r>
            <w:r>
              <w:rPr>
                <w:sz w:val="22"/>
              </w:rPr>
              <w:t>NWSSP</w:t>
            </w:r>
            <w:r>
              <w:rPr>
                <w:spacing w:val="-13"/>
                <w:sz w:val="22"/>
              </w:rPr>
              <w:t> </w:t>
            </w:r>
            <w:r>
              <w:rPr>
                <w:sz w:val="22"/>
              </w:rPr>
              <w:t>have</w:t>
            </w:r>
            <w:r>
              <w:rPr>
                <w:spacing w:val="-13"/>
                <w:sz w:val="22"/>
              </w:rPr>
              <w:t> </w:t>
            </w:r>
            <w:r>
              <w:rPr>
                <w:sz w:val="22"/>
              </w:rPr>
              <w:t>robust controls</w:t>
            </w:r>
            <w:r>
              <w:rPr>
                <w:spacing w:val="74"/>
                <w:sz w:val="22"/>
              </w:rPr>
              <w:t> </w:t>
            </w:r>
            <w:r>
              <w:rPr>
                <w:sz w:val="22"/>
              </w:rPr>
              <w:t>in</w:t>
            </w:r>
            <w:r>
              <w:rPr>
                <w:spacing w:val="74"/>
                <w:sz w:val="22"/>
              </w:rPr>
              <w:t> </w:t>
            </w:r>
            <w:r>
              <w:rPr>
                <w:sz w:val="22"/>
              </w:rPr>
              <w:t>place</w:t>
            </w:r>
            <w:r>
              <w:rPr>
                <w:spacing w:val="74"/>
                <w:sz w:val="22"/>
              </w:rPr>
              <w:t> </w:t>
            </w:r>
            <w:r>
              <w:rPr>
                <w:sz w:val="22"/>
              </w:rPr>
              <w:t>and</w:t>
            </w:r>
            <w:r>
              <w:rPr>
                <w:spacing w:val="75"/>
                <w:sz w:val="22"/>
              </w:rPr>
              <w:t> </w:t>
            </w:r>
            <w:r>
              <w:rPr>
                <w:sz w:val="22"/>
              </w:rPr>
              <w:t>there</w:t>
            </w:r>
            <w:r>
              <w:rPr>
                <w:spacing w:val="74"/>
                <w:sz w:val="22"/>
              </w:rPr>
              <w:t> </w:t>
            </w:r>
            <w:r>
              <w:rPr>
                <w:sz w:val="22"/>
              </w:rPr>
              <w:t>have</w:t>
            </w:r>
            <w:r>
              <w:rPr>
                <w:spacing w:val="74"/>
                <w:sz w:val="22"/>
              </w:rPr>
              <w:t> </w:t>
            </w:r>
            <w:r>
              <w:rPr>
                <w:sz w:val="22"/>
              </w:rPr>
              <w:t>been</w:t>
            </w:r>
            <w:r>
              <w:rPr>
                <w:spacing w:val="75"/>
                <w:sz w:val="22"/>
              </w:rPr>
              <w:t> </w:t>
            </w:r>
            <w:r>
              <w:rPr>
                <w:sz w:val="22"/>
              </w:rPr>
              <w:t>no</w:t>
            </w:r>
            <w:r>
              <w:rPr>
                <w:spacing w:val="74"/>
                <w:sz w:val="22"/>
              </w:rPr>
              <w:t> </w:t>
            </w:r>
            <w:r>
              <w:rPr>
                <w:sz w:val="22"/>
              </w:rPr>
              <w:t>recent</w:t>
            </w:r>
            <w:r>
              <w:rPr>
                <w:spacing w:val="74"/>
                <w:sz w:val="22"/>
              </w:rPr>
              <w:t> </w:t>
            </w:r>
            <w:r>
              <w:rPr>
                <w:sz w:val="22"/>
              </w:rPr>
              <w:t>successful</w:t>
            </w:r>
            <w:r>
              <w:rPr>
                <w:spacing w:val="75"/>
                <w:sz w:val="22"/>
              </w:rPr>
              <w:t> </w:t>
            </w:r>
            <w:r>
              <w:rPr>
                <w:spacing w:val="-2"/>
                <w:sz w:val="22"/>
              </w:rPr>
              <w:t>fraud</w:t>
            </w:r>
          </w:p>
        </w:tc>
        <w:tc>
          <w:tcPr>
            <w:tcW w:w="1535" w:type="dxa"/>
          </w:tcPr>
          <w:p>
            <w:pPr>
              <w:pStyle w:val="TableParagraph"/>
              <w:rPr>
                <w:rFonts w:ascii="Times New Roman"/>
                <w:sz w:val="22"/>
              </w:rPr>
            </w:pPr>
          </w:p>
        </w:tc>
      </w:tr>
    </w:tbl>
    <w:p>
      <w:pPr>
        <w:pStyle w:val="BodyText"/>
        <w:spacing w:before="204"/>
        <w:ind w:left="850"/>
      </w:pPr>
      <w:r>
        <w:rPr/>
        <w:t>NWSSP</w:t>
      </w:r>
      <w:r>
        <w:rPr>
          <w:spacing w:val="-4"/>
        </w:rPr>
        <w:t> </w:t>
      </w:r>
      <w:r>
        <w:rPr/>
        <w:t>Audit</w:t>
      </w:r>
      <w:r>
        <w:rPr>
          <w:spacing w:val="-2"/>
        </w:rPr>
        <w:t> Committee</w:t>
      </w:r>
    </w:p>
    <w:p>
      <w:pPr>
        <w:pStyle w:val="BodyText"/>
        <w:tabs>
          <w:tab w:pos="10762" w:val="left" w:leader="none"/>
        </w:tabs>
        <w:ind w:left="850"/>
      </w:pPr>
      <w:r>
        <w:rPr/>
        <w:t>11</w:t>
      </w:r>
      <w:r>
        <w:rPr>
          <w:spacing w:val="-4"/>
        </w:rPr>
        <w:t> </w:t>
      </w:r>
      <w:r>
        <w:rPr/>
        <w:t>October</w:t>
      </w:r>
      <w:r>
        <w:rPr>
          <w:spacing w:val="-4"/>
        </w:rPr>
        <w:t> 2022</w:t>
      </w:r>
      <w:r>
        <w:rPr/>
        <w:tab/>
      </w:r>
      <w:r>
        <w:rPr>
          <w:spacing w:val="-10"/>
        </w:rPr>
        <w:t>4</w:t>
      </w:r>
    </w:p>
    <w:p>
      <w:pPr>
        <w:spacing w:after="0"/>
        <w:sectPr>
          <w:pgSz w:w="11900" w:h="16840"/>
          <w:pgMar w:header="0" w:footer="173" w:top="1260" w:bottom="360" w:left="0" w:right="0"/>
        </w:sectPr>
      </w:pPr>
    </w:p>
    <w:tbl>
      <w:tblPr>
        <w:tblW w:w="0" w:type="auto"/>
        <w:jc w:val="left"/>
        <w:tblInd w:w="3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55"/>
        <w:gridCol w:w="8128"/>
        <w:gridCol w:w="1535"/>
      </w:tblGrid>
      <w:tr>
        <w:trPr>
          <w:trHeight w:val="275" w:hRule="atLeast"/>
        </w:trPr>
        <w:tc>
          <w:tcPr>
            <w:tcW w:w="1355" w:type="dxa"/>
          </w:tcPr>
          <w:p>
            <w:pPr>
              <w:pStyle w:val="TableParagraph"/>
              <w:spacing w:line="255" w:lineRule="exact"/>
              <w:ind w:left="108"/>
              <w:rPr>
                <w:b/>
                <w:sz w:val="22"/>
              </w:rPr>
            </w:pPr>
            <w:r>
              <w:rPr>
                <w:b/>
                <w:spacing w:val="-4"/>
                <w:sz w:val="22"/>
              </w:rPr>
              <w:t>Item</w:t>
            </w:r>
          </w:p>
        </w:tc>
        <w:tc>
          <w:tcPr>
            <w:tcW w:w="8128" w:type="dxa"/>
          </w:tcPr>
          <w:p>
            <w:pPr>
              <w:pStyle w:val="TableParagraph"/>
              <w:rPr>
                <w:rFonts w:ascii="Times New Roman"/>
                <w:sz w:val="20"/>
              </w:rPr>
            </w:pPr>
          </w:p>
        </w:tc>
        <w:tc>
          <w:tcPr>
            <w:tcW w:w="1535" w:type="dxa"/>
          </w:tcPr>
          <w:p>
            <w:pPr>
              <w:pStyle w:val="TableParagraph"/>
              <w:spacing w:line="255" w:lineRule="exact"/>
              <w:ind w:left="107"/>
              <w:rPr>
                <w:b/>
                <w:sz w:val="22"/>
              </w:rPr>
            </w:pPr>
            <w:r>
              <w:rPr>
                <w:b/>
                <w:spacing w:val="-2"/>
                <w:sz w:val="22"/>
              </w:rPr>
              <w:t>Action</w:t>
            </w:r>
          </w:p>
        </w:tc>
      </w:tr>
      <w:tr>
        <w:trPr>
          <w:trHeight w:val="1069" w:hRule="atLeast"/>
        </w:trPr>
        <w:tc>
          <w:tcPr>
            <w:tcW w:w="1355" w:type="dxa"/>
          </w:tcPr>
          <w:p>
            <w:pPr>
              <w:pStyle w:val="TableParagraph"/>
              <w:rPr>
                <w:rFonts w:ascii="Times New Roman"/>
                <w:sz w:val="22"/>
              </w:rPr>
            </w:pPr>
          </w:p>
        </w:tc>
        <w:tc>
          <w:tcPr>
            <w:tcW w:w="8128" w:type="dxa"/>
          </w:tcPr>
          <w:p>
            <w:pPr>
              <w:pStyle w:val="TableParagraph"/>
              <w:ind w:left="108"/>
              <w:rPr>
                <w:sz w:val="22"/>
              </w:rPr>
            </w:pPr>
            <w:r>
              <w:rPr>
                <w:sz w:val="22"/>
              </w:rPr>
              <w:t>attempts for over 18 months. Salary overpayments are a concern, and this is a particular are of focus at present.</w:t>
            </w:r>
          </w:p>
          <w:p>
            <w:pPr>
              <w:pStyle w:val="TableParagraph"/>
              <w:rPr>
                <w:sz w:val="22"/>
              </w:rPr>
            </w:pPr>
          </w:p>
          <w:p>
            <w:pPr>
              <w:pStyle w:val="TableParagraph"/>
              <w:spacing w:line="247" w:lineRule="exact"/>
              <w:ind w:left="108"/>
              <w:rPr>
                <w:sz w:val="22"/>
              </w:rPr>
            </w:pPr>
            <w:r>
              <w:rPr>
                <w:sz w:val="22"/>
              </w:rPr>
              <w:t>The</w:t>
            </w:r>
            <w:r>
              <w:rPr>
                <w:spacing w:val="-3"/>
                <w:sz w:val="22"/>
              </w:rPr>
              <w:t> </w:t>
            </w:r>
            <w:r>
              <w:rPr>
                <w:sz w:val="22"/>
              </w:rPr>
              <w:t>Committee</w:t>
            </w:r>
            <w:r>
              <w:rPr>
                <w:spacing w:val="-2"/>
                <w:sz w:val="22"/>
              </w:rPr>
              <w:t> </w:t>
            </w:r>
            <w:r>
              <w:rPr>
                <w:b/>
                <w:sz w:val="22"/>
              </w:rPr>
              <w:t>NOTED</w:t>
            </w:r>
            <w:r>
              <w:rPr>
                <w:b/>
                <w:spacing w:val="1"/>
                <w:sz w:val="22"/>
              </w:rPr>
              <w:t> </w:t>
            </w:r>
            <w:r>
              <w:rPr>
                <w:sz w:val="22"/>
              </w:rPr>
              <w:t>the</w:t>
            </w:r>
            <w:r>
              <w:rPr>
                <w:spacing w:val="-3"/>
                <w:sz w:val="22"/>
              </w:rPr>
              <w:t> </w:t>
            </w:r>
            <w:r>
              <w:rPr>
                <w:sz w:val="22"/>
              </w:rPr>
              <w:t>Position</w:t>
            </w:r>
            <w:r>
              <w:rPr>
                <w:spacing w:val="-1"/>
                <w:sz w:val="22"/>
              </w:rPr>
              <w:t> </w:t>
            </w:r>
            <w:r>
              <w:rPr>
                <w:spacing w:val="-2"/>
                <w:sz w:val="22"/>
              </w:rPr>
              <w:t>Statement.</w:t>
            </w:r>
          </w:p>
        </w:tc>
        <w:tc>
          <w:tcPr>
            <w:tcW w:w="1535" w:type="dxa"/>
          </w:tcPr>
          <w:p>
            <w:pPr>
              <w:pStyle w:val="TableParagraph"/>
              <w:rPr>
                <w:rFonts w:ascii="Times New Roman"/>
                <w:sz w:val="22"/>
              </w:rPr>
            </w:pPr>
          </w:p>
        </w:tc>
      </w:tr>
      <w:tr>
        <w:trPr>
          <w:trHeight w:val="645" w:hRule="atLeast"/>
        </w:trPr>
        <w:tc>
          <w:tcPr>
            <w:tcW w:w="11018" w:type="dxa"/>
            <w:gridSpan w:val="3"/>
            <w:shd w:val="clear" w:color="auto" w:fill="BFBFBF"/>
          </w:tcPr>
          <w:p>
            <w:pPr>
              <w:pStyle w:val="TableParagraph"/>
              <w:ind w:left="467"/>
              <w:rPr>
                <w:b/>
                <w:sz w:val="22"/>
              </w:rPr>
            </w:pPr>
            <w:r>
              <w:rPr>
                <w:b/>
                <w:sz w:val="22"/>
              </w:rPr>
              <w:t>6.</w:t>
            </w:r>
            <w:r>
              <w:rPr>
                <w:b/>
                <w:spacing w:val="42"/>
                <w:sz w:val="22"/>
              </w:rPr>
              <w:t> </w:t>
            </w:r>
            <w:r>
              <w:rPr>
                <w:b/>
                <w:sz w:val="22"/>
              </w:rPr>
              <w:t>GOVERNANCE,</w:t>
            </w:r>
            <w:r>
              <w:rPr>
                <w:b/>
                <w:spacing w:val="-2"/>
                <w:sz w:val="22"/>
              </w:rPr>
              <w:t> </w:t>
            </w:r>
            <w:r>
              <w:rPr>
                <w:b/>
                <w:sz w:val="22"/>
              </w:rPr>
              <w:t>ASSURANCE</w:t>
            </w:r>
            <w:r>
              <w:rPr>
                <w:b/>
                <w:spacing w:val="-2"/>
                <w:sz w:val="22"/>
              </w:rPr>
              <w:t> </w:t>
            </w:r>
            <w:r>
              <w:rPr>
                <w:b/>
                <w:sz w:val="22"/>
              </w:rPr>
              <w:t>AND</w:t>
            </w:r>
            <w:r>
              <w:rPr>
                <w:b/>
                <w:spacing w:val="-1"/>
                <w:sz w:val="22"/>
              </w:rPr>
              <w:t> </w:t>
            </w:r>
            <w:r>
              <w:rPr>
                <w:b/>
                <w:spacing w:val="-4"/>
                <w:sz w:val="22"/>
              </w:rPr>
              <w:t>RISK</w:t>
            </w:r>
          </w:p>
        </w:tc>
      </w:tr>
      <w:tr>
        <w:trPr>
          <w:trHeight w:val="2941" w:hRule="atLeast"/>
        </w:trPr>
        <w:tc>
          <w:tcPr>
            <w:tcW w:w="1355" w:type="dxa"/>
          </w:tcPr>
          <w:p>
            <w:pPr>
              <w:pStyle w:val="TableParagraph"/>
              <w:ind w:left="108"/>
              <w:rPr>
                <w:b/>
                <w:sz w:val="22"/>
              </w:rPr>
            </w:pPr>
            <w:r>
              <w:rPr>
                <w:b/>
                <w:spacing w:val="-5"/>
                <w:sz w:val="22"/>
              </w:rPr>
              <w:t>6.1</w:t>
            </w:r>
          </w:p>
        </w:tc>
        <w:tc>
          <w:tcPr>
            <w:tcW w:w="8128" w:type="dxa"/>
          </w:tcPr>
          <w:p>
            <w:pPr>
              <w:pStyle w:val="TableParagraph"/>
              <w:ind w:left="108"/>
              <w:jc w:val="both"/>
              <w:rPr>
                <w:b/>
                <w:sz w:val="22"/>
              </w:rPr>
            </w:pPr>
            <w:r>
              <w:rPr>
                <w:b/>
                <w:sz w:val="22"/>
              </w:rPr>
              <w:t>NWSSP</w:t>
            </w:r>
            <w:r>
              <w:rPr>
                <w:b/>
                <w:spacing w:val="-5"/>
                <w:sz w:val="22"/>
              </w:rPr>
              <w:t> </w:t>
            </w:r>
            <w:r>
              <w:rPr>
                <w:b/>
                <w:sz w:val="22"/>
              </w:rPr>
              <w:t>Audit</w:t>
            </w:r>
            <w:r>
              <w:rPr>
                <w:b/>
                <w:spacing w:val="-4"/>
                <w:sz w:val="22"/>
              </w:rPr>
              <w:t> </w:t>
            </w:r>
            <w:r>
              <w:rPr>
                <w:b/>
                <w:sz w:val="22"/>
              </w:rPr>
              <w:t>Committee</w:t>
            </w:r>
            <w:r>
              <w:rPr>
                <w:b/>
                <w:spacing w:val="-3"/>
                <w:sz w:val="22"/>
              </w:rPr>
              <w:t> </w:t>
            </w:r>
            <w:r>
              <w:rPr>
                <w:b/>
                <w:sz w:val="22"/>
              </w:rPr>
              <w:t>Annual</w:t>
            </w:r>
            <w:r>
              <w:rPr>
                <w:b/>
                <w:spacing w:val="-4"/>
                <w:sz w:val="22"/>
              </w:rPr>
              <w:t> </w:t>
            </w:r>
            <w:r>
              <w:rPr>
                <w:b/>
                <w:sz w:val="22"/>
              </w:rPr>
              <w:t>Report</w:t>
            </w:r>
            <w:r>
              <w:rPr>
                <w:b/>
                <w:spacing w:val="-3"/>
                <w:sz w:val="22"/>
              </w:rPr>
              <w:t> </w:t>
            </w:r>
            <w:r>
              <w:rPr>
                <w:b/>
                <w:sz w:val="22"/>
              </w:rPr>
              <w:t>2021-</w:t>
            </w:r>
            <w:r>
              <w:rPr>
                <w:b/>
                <w:spacing w:val="-5"/>
                <w:sz w:val="22"/>
              </w:rPr>
              <w:t>22</w:t>
            </w:r>
          </w:p>
          <w:p>
            <w:pPr>
              <w:pStyle w:val="TableParagraph"/>
              <w:ind w:left="108" w:right="94"/>
              <w:jc w:val="both"/>
              <w:rPr>
                <w:sz w:val="22"/>
              </w:rPr>
            </w:pPr>
            <w:r>
              <w:rPr>
                <w:sz w:val="22"/>
              </w:rPr>
              <w:t>MV presented the 2021-22 Audit Committee Annual Report, which outlines</w:t>
            </w:r>
            <w:r>
              <w:rPr>
                <w:spacing w:val="-6"/>
                <w:sz w:val="22"/>
              </w:rPr>
              <w:t> </w:t>
            </w:r>
            <w:r>
              <w:rPr>
                <w:sz w:val="22"/>
              </w:rPr>
              <w:t>the</w:t>
            </w:r>
            <w:r>
              <w:rPr>
                <w:spacing w:val="-6"/>
                <w:sz w:val="22"/>
              </w:rPr>
              <w:t> </w:t>
            </w:r>
            <w:r>
              <w:rPr>
                <w:sz w:val="22"/>
              </w:rPr>
              <w:t>areas</w:t>
            </w:r>
            <w:r>
              <w:rPr>
                <w:spacing w:val="-6"/>
                <w:sz w:val="22"/>
              </w:rPr>
              <w:t> </w:t>
            </w:r>
            <w:r>
              <w:rPr>
                <w:sz w:val="22"/>
              </w:rPr>
              <w:t>reviewed</w:t>
            </w:r>
            <w:r>
              <w:rPr>
                <w:spacing w:val="-6"/>
                <w:sz w:val="22"/>
              </w:rPr>
              <w:t> </w:t>
            </w:r>
            <w:r>
              <w:rPr>
                <w:sz w:val="22"/>
              </w:rPr>
              <w:t>by</w:t>
            </w:r>
            <w:r>
              <w:rPr>
                <w:spacing w:val="-6"/>
                <w:sz w:val="22"/>
              </w:rPr>
              <w:t> </w:t>
            </w:r>
            <w:r>
              <w:rPr>
                <w:sz w:val="22"/>
              </w:rPr>
              <w:t>the</w:t>
            </w:r>
            <w:r>
              <w:rPr>
                <w:spacing w:val="-6"/>
                <w:sz w:val="22"/>
              </w:rPr>
              <w:t> </w:t>
            </w:r>
            <w:r>
              <w:rPr>
                <w:sz w:val="22"/>
              </w:rPr>
              <w:t>committee</w:t>
            </w:r>
            <w:r>
              <w:rPr>
                <w:spacing w:val="-6"/>
                <w:sz w:val="22"/>
              </w:rPr>
              <w:t> </w:t>
            </w:r>
            <w:r>
              <w:rPr>
                <w:sz w:val="22"/>
              </w:rPr>
              <w:t>during</w:t>
            </w:r>
            <w:r>
              <w:rPr>
                <w:spacing w:val="-6"/>
                <w:sz w:val="22"/>
              </w:rPr>
              <w:t> </w:t>
            </w:r>
            <w:r>
              <w:rPr>
                <w:sz w:val="22"/>
              </w:rPr>
              <w:t>the</w:t>
            </w:r>
            <w:r>
              <w:rPr>
                <w:spacing w:val="-6"/>
                <w:sz w:val="22"/>
              </w:rPr>
              <w:t> </w:t>
            </w:r>
            <w:r>
              <w:rPr>
                <w:sz w:val="22"/>
              </w:rPr>
              <w:t>year</w:t>
            </w:r>
            <w:r>
              <w:rPr>
                <w:spacing w:val="-6"/>
                <w:sz w:val="22"/>
              </w:rPr>
              <w:t> </w:t>
            </w:r>
            <w:r>
              <w:rPr>
                <w:sz w:val="22"/>
              </w:rPr>
              <w:t>including the results of all internal audit activity. The majority of audits were positive</w:t>
            </w:r>
            <w:r>
              <w:rPr>
                <w:spacing w:val="-1"/>
                <w:sz w:val="22"/>
              </w:rPr>
              <w:t> </w:t>
            </w:r>
            <w:r>
              <w:rPr>
                <w:sz w:val="22"/>
              </w:rPr>
              <w:t>achieving</w:t>
            </w:r>
            <w:r>
              <w:rPr>
                <w:spacing w:val="-1"/>
                <w:sz w:val="22"/>
              </w:rPr>
              <w:t> </w:t>
            </w:r>
            <w:r>
              <w:rPr>
                <w:sz w:val="22"/>
              </w:rPr>
              <w:t>a</w:t>
            </w:r>
            <w:r>
              <w:rPr>
                <w:spacing w:val="-1"/>
                <w:sz w:val="22"/>
              </w:rPr>
              <w:t> </w:t>
            </w:r>
            <w:r>
              <w:rPr>
                <w:sz w:val="22"/>
              </w:rPr>
              <w:t>rating</w:t>
            </w:r>
            <w:r>
              <w:rPr>
                <w:spacing w:val="-1"/>
                <w:sz w:val="22"/>
              </w:rPr>
              <w:t> </w:t>
            </w:r>
            <w:r>
              <w:rPr>
                <w:sz w:val="22"/>
              </w:rPr>
              <w:t>of</w:t>
            </w:r>
            <w:r>
              <w:rPr>
                <w:spacing w:val="-1"/>
                <w:sz w:val="22"/>
              </w:rPr>
              <w:t> </w:t>
            </w:r>
            <w:r>
              <w:rPr>
                <w:sz w:val="22"/>
              </w:rPr>
              <w:t>reasonable</w:t>
            </w:r>
            <w:r>
              <w:rPr>
                <w:spacing w:val="-1"/>
                <w:sz w:val="22"/>
              </w:rPr>
              <w:t> </w:t>
            </w:r>
            <w:r>
              <w:rPr>
                <w:sz w:val="22"/>
              </w:rPr>
              <w:t>or</w:t>
            </w:r>
            <w:r>
              <w:rPr>
                <w:spacing w:val="-1"/>
                <w:sz w:val="22"/>
              </w:rPr>
              <w:t> </w:t>
            </w:r>
            <w:r>
              <w:rPr>
                <w:sz w:val="22"/>
              </w:rPr>
              <w:t>substantial</w:t>
            </w:r>
            <w:r>
              <w:rPr>
                <w:spacing w:val="-1"/>
                <w:sz w:val="22"/>
              </w:rPr>
              <w:t> </w:t>
            </w:r>
            <w:r>
              <w:rPr>
                <w:sz w:val="22"/>
              </w:rPr>
              <w:t>assurance,</w:t>
            </w:r>
            <w:r>
              <w:rPr>
                <w:spacing w:val="-1"/>
                <w:sz w:val="22"/>
              </w:rPr>
              <w:t> </w:t>
            </w:r>
            <w:r>
              <w:rPr>
                <w:sz w:val="22"/>
              </w:rPr>
              <w:t>with exception</w:t>
            </w:r>
            <w:r>
              <w:rPr>
                <w:spacing w:val="-16"/>
                <w:sz w:val="22"/>
              </w:rPr>
              <w:t> </w:t>
            </w:r>
            <w:r>
              <w:rPr>
                <w:sz w:val="22"/>
              </w:rPr>
              <w:t>of</w:t>
            </w:r>
            <w:r>
              <w:rPr>
                <w:spacing w:val="-16"/>
                <w:sz w:val="22"/>
              </w:rPr>
              <w:t> </w:t>
            </w:r>
            <w:r>
              <w:rPr>
                <w:sz w:val="22"/>
              </w:rPr>
              <w:t>one</w:t>
            </w:r>
            <w:r>
              <w:rPr>
                <w:spacing w:val="-16"/>
                <w:sz w:val="22"/>
              </w:rPr>
              <w:t> </w:t>
            </w:r>
            <w:r>
              <w:rPr>
                <w:sz w:val="22"/>
              </w:rPr>
              <w:t>audit,</w:t>
            </w:r>
            <w:r>
              <w:rPr>
                <w:spacing w:val="-16"/>
                <w:sz w:val="22"/>
              </w:rPr>
              <w:t> </w:t>
            </w:r>
            <w:r>
              <w:rPr>
                <w:sz w:val="22"/>
              </w:rPr>
              <w:t>which</w:t>
            </w:r>
            <w:r>
              <w:rPr>
                <w:spacing w:val="-16"/>
                <w:sz w:val="22"/>
              </w:rPr>
              <w:t> </w:t>
            </w:r>
            <w:r>
              <w:rPr>
                <w:sz w:val="22"/>
              </w:rPr>
              <w:t>was</w:t>
            </w:r>
            <w:r>
              <w:rPr>
                <w:spacing w:val="-16"/>
                <w:sz w:val="22"/>
              </w:rPr>
              <w:t> </w:t>
            </w:r>
            <w:r>
              <w:rPr>
                <w:sz w:val="22"/>
              </w:rPr>
              <w:t>rated</w:t>
            </w:r>
            <w:r>
              <w:rPr>
                <w:spacing w:val="-16"/>
                <w:sz w:val="22"/>
              </w:rPr>
              <w:t> </w:t>
            </w:r>
            <w:r>
              <w:rPr>
                <w:sz w:val="22"/>
              </w:rPr>
              <w:t>as</w:t>
            </w:r>
            <w:r>
              <w:rPr>
                <w:spacing w:val="-16"/>
                <w:sz w:val="22"/>
              </w:rPr>
              <w:t> </w:t>
            </w:r>
            <w:r>
              <w:rPr>
                <w:sz w:val="22"/>
              </w:rPr>
              <w:t>limited.</w:t>
            </w:r>
            <w:r>
              <w:rPr>
                <w:spacing w:val="-16"/>
                <w:sz w:val="22"/>
              </w:rPr>
              <w:t> </w:t>
            </w:r>
            <w:r>
              <w:rPr>
                <w:sz w:val="22"/>
              </w:rPr>
              <w:t>No</w:t>
            </w:r>
            <w:r>
              <w:rPr>
                <w:spacing w:val="-16"/>
                <w:sz w:val="22"/>
              </w:rPr>
              <w:t> </w:t>
            </w:r>
            <w:r>
              <w:rPr>
                <w:sz w:val="22"/>
              </w:rPr>
              <w:t>audits</w:t>
            </w:r>
            <w:r>
              <w:rPr>
                <w:spacing w:val="-16"/>
                <w:sz w:val="22"/>
              </w:rPr>
              <w:t> </w:t>
            </w:r>
            <w:r>
              <w:rPr>
                <w:sz w:val="22"/>
              </w:rPr>
              <w:t>were</w:t>
            </w:r>
            <w:r>
              <w:rPr>
                <w:spacing w:val="-16"/>
                <w:sz w:val="22"/>
              </w:rPr>
              <w:t> </w:t>
            </w:r>
            <w:r>
              <w:rPr>
                <w:sz w:val="22"/>
              </w:rPr>
              <w:t>given no assurance and the vast majority of audit actions were implemented within agreed timescales. The Head of Internal Audit Opinion provided a rating of reasonable assurance.</w:t>
            </w:r>
          </w:p>
          <w:p>
            <w:pPr>
              <w:pStyle w:val="TableParagraph"/>
              <w:rPr>
                <w:sz w:val="22"/>
              </w:rPr>
            </w:pPr>
          </w:p>
          <w:p>
            <w:pPr>
              <w:pStyle w:val="TableParagraph"/>
              <w:spacing w:line="247" w:lineRule="exact"/>
              <w:ind w:left="108"/>
              <w:jc w:val="both"/>
              <w:rPr>
                <w:sz w:val="22"/>
              </w:rPr>
            </w:pPr>
            <w:r>
              <w:rPr>
                <w:sz w:val="22"/>
              </w:rPr>
              <w:t>The</w:t>
            </w:r>
            <w:r>
              <w:rPr>
                <w:spacing w:val="-5"/>
                <w:sz w:val="22"/>
              </w:rPr>
              <w:t> </w:t>
            </w:r>
            <w:r>
              <w:rPr>
                <w:sz w:val="22"/>
              </w:rPr>
              <w:t>Committee</w:t>
            </w:r>
            <w:r>
              <w:rPr>
                <w:spacing w:val="-2"/>
                <w:sz w:val="22"/>
              </w:rPr>
              <w:t> </w:t>
            </w:r>
            <w:r>
              <w:rPr>
                <w:b/>
                <w:sz w:val="22"/>
              </w:rPr>
              <w:t>NOTED</w:t>
            </w:r>
            <w:r>
              <w:rPr>
                <w:b/>
                <w:spacing w:val="1"/>
                <w:sz w:val="22"/>
              </w:rPr>
              <w:t> </w:t>
            </w:r>
            <w:r>
              <w:rPr>
                <w:sz w:val="22"/>
              </w:rPr>
              <w:t>the</w:t>
            </w:r>
            <w:r>
              <w:rPr>
                <w:spacing w:val="-3"/>
                <w:sz w:val="22"/>
              </w:rPr>
              <w:t> </w:t>
            </w:r>
            <w:r>
              <w:rPr>
                <w:sz w:val="22"/>
              </w:rPr>
              <w:t>2021/22</w:t>
            </w:r>
            <w:r>
              <w:rPr>
                <w:spacing w:val="-2"/>
                <w:sz w:val="22"/>
              </w:rPr>
              <w:t> </w:t>
            </w:r>
            <w:r>
              <w:rPr>
                <w:sz w:val="22"/>
              </w:rPr>
              <w:t>Audit</w:t>
            </w:r>
            <w:r>
              <w:rPr>
                <w:spacing w:val="-1"/>
                <w:sz w:val="22"/>
              </w:rPr>
              <w:t> </w:t>
            </w:r>
            <w:r>
              <w:rPr>
                <w:sz w:val="22"/>
              </w:rPr>
              <w:t>Committee</w:t>
            </w:r>
            <w:r>
              <w:rPr>
                <w:spacing w:val="-3"/>
                <w:sz w:val="22"/>
              </w:rPr>
              <w:t> </w:t>
            </w:r>
            <w:r>
              <w:rPr>
                <w:sz w:val="22"/>
              </w:rPr>
              <w:t>Annual</w:t>
            </w:r>
            <w:r>
              <w:rPr>
                <w:spacing w:val="-2"/>
                <w:sz w:val="22"/>
              </w:rPr>
              <w:t> Report.</w:t>
            </w:r>
          </w:p>
        </w:tc>
        <w:tc>
          <w:tcPr>
            <w:tcW w:w="1535" w:type="dxa"/>
          </w:tcPr>
          <w:p>
            <w:pPr>
              <w:pStyle w:val="TableParagraph"/>
              <w:rPr>
                <w:rFonts w:ascii="Times New Roman"/>
                <w:sz w:val="22"/>
              </w:rPr>
            </w:pPr>
          </w:p>
        </w:tc>
      </w:tr>
      <w:tr>
        <w:trPr>
          <w:trHeight w:val="3208" w:hRule="atLeast"/>
        </w:trPr>
        <w:tc>
          <w:tcPr>
            <w:tcW w:w="1355" w:type="dxa"/>
          </w:tcPr>
          <w:p>
            <w:pPr>
              <w:pStyle w:val="TableParagraph"/>
              <w:ind w:left="108"/>
              <w:rPr>
                <w:b/>
                <w:sz w:val="22"/>
              </w:rPr>
            </w:pPr>
            <w:r>
              <w:rPr>
                <w:b/>
                <w:spacing w:val="-5"/>
                <w:sz w:val="22"/>
              </w:rPr>
              <w:t>6.2</w:t>
            </w:r>
          </w:p>
        </w:tc>
        <w:tc>
          <w:tcPr>
            <w:tcW w:w="8128" w:type="dxa"/>
          </w:tcPr>
          <w:p>
            <w:pPr>
              <w:pStyle w:val="TableParagraph"/>
              <w:ind w:left="108"/>
              <w:jc w:val="both"/>
              <w:rPr>
                <w:b/>
                <w:sz w:val="22"/>
              </w:rPr>
            </w:pPr>
            <w:r>
              <w:rPr>
                <w:b/>
                <w:sz w:val="22"/>
              </w:rPr>
              <w:t>Audit</w:t>
            </w:r>
            <w:r>
              <w:rPr>
                <w:b/>
                <w:spacing w:val="-8"/>
                <w:sz w:val="22"/>
              </w:rPr>
              <w:t> </w:t>
            </w:r>
            <w:r>
              <w:rPr>
                <w:b/>
                <w:sz w:val="22"/>
              </w:rPr>
              <w:t>Committee</w:t>
            </w:r>
            <w:r>
              <w:rPr>
                <w:b/>
                <w:spacing w:val="-5"/>
                <w:sz w:val="22"/>
              </w:rPr>
              <w:t> </w:t>
            </w:r>
            <w:r>
              <w:rPr>
                <w:b/>
                <w:sz w:val="22"/>
              </w:rPr>
              <w:t>Effectiveness</w:t>
            </w:r>
            <w:r>
              <w:rPr>
                <w:b/>
                <w:spacing w:val="-5"/>
                <w:sz w:val="22"/>
              </w:rPr>
              <w:t> </w:t>
            </w:r>
            <w:r>
              <w:rPr>
                <w:b/>
                <w:sz w:val="22"/>
              </w:rPr>
              <w:t>Survey</w:t>
            </w:r>
            <w:r>
              <w:rPr>
                <w:b/>
                <w:spacing w:val="-5"/>
                <w:sz w:val="22"/>
              </w:rPr>
              <w:t> </w:t>
            </w:r>
            <w:r>
              <w:rPr>
                <w:b/>
                <w:sz w:val="22"/>
              </w:rPr>
              <w:t>Results</w:t>
            </w:r>
            <w:r>
              <w:rPr>
                <w:b/>
                <w:spacing w:val="-4"/>
                <w:sz w:val="22"/>
              </w:rPr>
              <w:t> 2022</w:t>
            </w:r>
          </w:p>
          <w:p>
            <w:pPr>
              <w:pStyle w:val="TableParagraph"/>
              <w:ind w:left="108" w:right="94"/>
              <w:jc w:val="both"/>
              <w:rPr>
                <w:sz w:val="22"/>
              </w:rPr>
            </w:pPr>
            <w:r>
              <w:rPr>
                <w:sz w:val="22"/>
              </w:rPr>
              <w:t>CW presented the results of the recent 2022 Audit Committee Effectiveness</w:t>
            </w:r>
            <w:r>
              <w:rPr>
                <w:spacing w:val="-15"/>
                <w:sz w:val="22"/>
              </w:rPr>
              <w:t> </w:t>
            </w:r>
            <w:r>
              <w:rPr>
                <w:sz w:val="22"/>
              </w:rPr>
              <w:t>Survey.</w:t>
            </w:r>
            <w:r>
              <w:rPr>
                <w:spacing w:val="-15"/>
                <w:sz w:val="22"/>
              </w:rPr>
              <w:t> </w:t>
            </w:r>
            <w:r>
              <w:rPr>
                <w:sz w:val="22"/>
              </w:rPr>
              <w:t>The</w:t>
            </w:r>
            <w:r>
              <w:rPr>
                <w:spacing w:val="-15"/>
                <w:sz w:val="22"/>
              </w:rPr>
              <w:t> </w:t>
            </w:r>
            <w:r>
              <w:rPr>
                <w:sz w:val="22"/>
              </w:rPr>
              <w:t>anonymised</w:t>
            </w:r>
            <w:r>
              <w:rPr>
                <w:spacing w:val="-14"/>
                <w:sz w:val="22"/>
              </w:rPr>
              <w:t> </w:t>
            </w:r>
            <w:r>
              <w:rPr>
                <w:sz w:val="22"/>
              </w:rPr>
              <w:t>survey</w:t>
            </w:r>
            <w:r>
              <w:rPr>
                <w:spacing w:val="-15"/>
                <w:sz w:val="22"/>
              </w:rPr>
              <w:t> </w:t>
            </w:r>
            <w:r>
              <w:rPr>
                <w:sz w:val="22"/>
              </w:rPr>
              <w:t>was</w:t>
            </w:r>
            <w:r>
              <w:rPr>
                <w:spacing w:val="-15"/>
                <w:sz w:val="22"/>
              </w:rPr>
              <w:t> </w:t>
            </w:r>
            <w:r>
              <w:rPr>
                <w:sz w:val="22"/>
              </w:rPr>
              <w:t>undertaken</w:t>
            </w:r>
            <w:r>
              <w:rPr>
                <w:spacing w:val="-15"/>
                <w:sz w:val="22"/>
              </w:rPr>
              <w:t> </w:t>
            </w:r>
            <w:r>
              <w:rPr>
                <w:sz w:val="22"/>
              </w:rPr>
              <w:t>to</w:t>
            </w:r>
            <w:r>
              <w:rPr>
                <w:spacing w:val="-15"/>
                <w:sz w:val="22"/>
              </w:rPr>
              <w:t> </w:t>
            </w:r>
            <w:r>
              <w:rPr>
                <w:sz w:val="22"/>
              </w:rPr>
              <w:t>obtain feedback</w:t>
            </w:r>
            <w:r>
              <w:rPr>
                <w:spacing w:val="-20"/>
                <w:sz w:val="22"/>
              </w:rPr>
              <w:t> </w:t>
            </w:r>
            <w:r>
              <w:rPr>
                <w:sz w:val="22"/>
              </w:rPr>
              <w:t>from</w:t>
            </w:r>
            <w:r>
              <w:rPr>
                <w:spacing w:val="-18"/>
                <w:sz w:val="22"/>
              </w:rPr>
              <w:t> </w:t>
            </w:r>
            <w:r>
              <w:rPr>
                <w:sz w:val="22"/>
              </w:rPr>
              <w:t>Committee</w:t>
            </w:r>
            <w:r>
              <w:rPr>
                <w:spacing w:val="-19"/>
                <w:sz w:val="22"/>
              </w:rPr>
              <w:t> </w:t>
            </w:r>
            <w:r>
              <w:rPr>
                <w:sz w:val="22"/>
              </w:rPr>
              <w:t>members</w:t>
            </w:r>
            <w:r>
              <w:rPr>
                <w:spacing w:val="-18"/>
                <w:sz w:val="22"/>
              </w:rPr>
              <w:t> </w:t>
            </w:r>
            <w:r>
              <w:rPr>
                <w:sz w:val="22"/>
              </w:rPr>
              <w:t>on</w:t>
            </w:r>
            <w:r>
              <w:rPr>
                <w:spacing w:val="-20"/>
                <w:sz w:val="22"/>
              </w:rPr>
              <w:t> </w:t>
            </w:r>
            <w:r>
              <w:rPr>
                <w:sz w:val="22"/>
              </w:rPr>
              <w:t>performance</w:t>
            </w:r>
            <w:r>
              <w:rPr>
                <w:spacing w:val="-19"/>
                <w:sz w:val="22"/>
              </w:rPr>
              <w:t> </w:t>
            </w:r>
            <w:r>
              <w:rPr>
                <w:sz w:val="22"/>
              </w:rPr>
              <w:t>and</w:t>
            </w:r>
            <w:r>
              <w:rPr>
                <w:spacing w:val="-19"/>
                <w:sz w:val="22"/>
              </w:rPr>
              <w:t> </w:t>
            </w:r>
            <w:r>
              <w:rPr>
                <w:sz w:val="22"/>
              </w:rPr>
              <w:t>potential</w:t>
            </w:r>
            <w:r>
              <w:rPr>
                <w:spacing w:val="-19"/>
                <w:sz w:val="22"/>
              </w:rPr>
              <w:t> </w:t>
            </w:r>
            <w:r>
              <w:rPr>
                <w:sz w:val="22"/>
              </w:rPr>
              <w:t>areas of development and was issued to all members in August 2022. The number</w:t>
            </w:r>
            <w:r>
              <w:rPr>
                <w:spacing w:val="-3"/>
                <w:sz w:val="22"/>
              </w:rPr>
              <w:t> </w:t>
            </w:r>
            <w:r>
              <w:rPr>
                <w:sz w:val="22"/>
              </w:rPr>
              <w:t>of</w:t>
            </w:r>
            <w:r>
              <w:rPr>
                <w:spacing w:val="-3"/>
                <w:sz w:val="22"/>
              </w:rPr>
              <w:t> </w:t>
            </w:r>
            <w:r>
              <w:rPr>
                <w:sz w:val="22"/>
              </w:rPr>
              <w:t>responses</w:t>
            </w:r>
            <w:r>
              <w:rPr>
                <w:spacing w:val="-3"/>
                <w:sz w:val="22"/>
              </w:rPr>
              <w:t> </w:t>
            </w:r>
            <w:r>
              <w:rPr>
                <w:sz w:val="22"/>
              </w:rPr>
              <w:t>received</w:t>
            </w:r>
            <w:r>
              <w:rPr>
                <w:spacing w:val="-3"/>
                <w:sz w:val="22"/>
              </w:rPr>
              <w:t> </w:t>
            </w:r>
            <w:r>
              <w:rPr>
                <w:sz w:val="22"/>
              </w:rPr>
              <w:t>was</w:t>
            </w:r>
            <w:r>
              <w:rPr>
                <w:spacing w:val="-3"/>
                <w:sz w:val="22"/>
              </w:rPr>
              <w:t> </w:t>
            </w:r>
            <w:r>
              <w:rPr>
                <w:sz w:val="22"/>
              </w:rPr>
              <w:t>up</w:t>
            </w:r>
            <w:r>
              <w:rPr>
                <w:spacing w:val="-3"/>
                <w:sz w:val="22"/>
              </w:rPr>
              <w:t> </w:t>
            </w:r>
            <w:r>
              <w:rPr>
                <w:sz w:val="22"/>
              </w:rPr>
              <w:t>from</w:t>
            </w:r>
            <w:r>
              <w:rPr>
                <w:spacing w:val="-3"/>
                <w:sz w:val="22"/>
              </w:rPr>
              <w:t> </w:t>
            </w:r>
            <w:r>
              <w:rPr>
                <w:sz w:val="22"/>
              </w:rPr>
              <w:t>the</w:t>
            </w:r>
            <w:r>
              <w:rPr>
                <w:spacing w:val="-3"/>
                <w:sz w:val="22"/>
              </w:rPr>
              <w:t> </w:t>
            </w:r>
            <w:r>
              <w:rPr>
                <w:sz w:val="22"/>
              </w:rPr>
              <w:t>previous</w:t>
            </w:r>
            <w:r>
              <w:rPr>
                <w:spacing w:val="-3"/>
                <w:sz w:val="22"/>
              </w:rPr>
              <w:t> </w:t>
            </w:r>
            <w:r>
              <w:rPr>
                <w:sz w:val="22"/>
              </w:rPr>
              <w:t>year</w:t>
            </w:r>
            <w:r>
              <w:rPr>
                <w:spacing w:val="-3"/>
                <w:sz w:val="22"/>
              </w:rPr>
              <w:t> </w:t>
            </w:r>
            <w:r>
              <w:rPr>
                <w:sz w:val="22"/>
              </w:rPr>
              <w:t>and</w:t>
            </w:r>
            <w:r>
              <w:rPr>
                <w:spacing w:val="-3"/>
                <w:sz w:val="22"/>
              </w:rPr>
              <w:t> </w:t>
            </w:r>
            <w:r>
              <w:rPr>
                <w:sz w:val="22"/>
              </w:rPr>
              <w:t>were very positive with no significant areas to address.</w:t>
            </w:r>
            <w:r>
              <w:rPr>
                <w:spacing w:val="40"/>
                <w:sz w:val="22"/>
              </w:rPr>
              <w:t> </w:t>
            </w:r>
            <w:r>
              <w:rPr>
                <w:sz w:val="22"/>
              </w:rPr>
              <w:t>Some members are keen for a face-to-face meeting and therefore CW would arrange a physical meeting for one of the four meetings planned for 2023.</w:t>
            </w:r>
          </w:p>
          <w:p>
            <w:pPr>
              <w:pStyle w:val="TableParagraph"/>
              <w:rPr>
                <w:sz w:val="22"/>
              </w:rPr>
            </w:pPr>
          </w:p>
          <w:p>
            <w:pPr>
              <w:pStyle w:val="TableParagraph"/>
              <w:ind w:left="108"/>
              <w:jc w:val="both"/>
              <w:rPr>
                <w:sz w:val="22"/>
              </w:rPr>
            </w:pPr>
            <w:r>
              <w:rPr>
                <w:sz w:val="22"/>
              </w:rPr>
              <w:t>The</w:t>
            </w:r>
            <w:r>
              <w:rPr>
                <w:spacing w:val="-5"/>
                <w:sz w:val="22"/>
              </w:rPr>
              <w:t> </w:t>
            </w:r>
            <w:r>
              <w:rPr>
                <w:sz w:val="22"/>
              </w:rPr>
              <w:t>Committee</w:t>
            </w:r>
            <w:r>
              <w:rPr>
                <w:spacing w:val="-1"/>
                <w:sz w:val="22"/>
              </w:rPr>
              <w:t> </w:t>
            </w:r>
            <w:r>
              <w:rPr>
                <w:b/>
                <w:sz w:val="22"/>
              </w:rPr>
              <w:t>NOTED</w:t>
            </w:r>
            <w:r>
              <w:rPr>
                <w:b/>
                <w:spacing w:val="1"/>
                <w:sz w:val="22"/>
              </w:rPr>
              <w:t> </w:t>
            </w:r>
            <w:r>
              <w:rPr>
                <w:sz w:val="22"/>
              </w:rPr>
              <w:t>the</w:t>
            </w:r>
            <w:r>
              <w:rPr>
                <w:spacing w:val="-2"/>
                <w:sz w:val="22"/>
              </w:rPr>
              <w:t> Report.</w:t>
            </w:r>
          </w:p>
        </w:tc>
        <w:tc>
          <w:tcPr>
            <w:tcW w:w="1535" w:type="dxa"/>
          </w:tcPr>
          <w:p>
            <w:pPr>
              <w:pStyle w:val="TableParagraph"/>
              <w:rPr>
                <w:sz w:val="26"/>
              </w:rPr>
            </w:pPr>
          </w:p>
          <w:p>
            <w:pPr>
              <w:pStyle w:val="TableParagraph"/>
              <w:rPr>
                <w:sz w:val="26"/>
              </w:rPr>
            </w:pPr>
          </w:p>
          <w:p>
            <w:pPr>
              <w:pStyle w:val="TableParagraph"/>
              <w:rPr>
                <w:sz w:val="26"/>
              </w:rPr>
            </w:pPr>
          </w:p>
          <w:p>
            <w:pPr>
              <w:pStyle w:val="TableParagraph"/>
              <w:rPr>
                <w:sz w:val="26"/>
              </w:rPr>
            </w:pPr>
          </w:p>
          <w:p>
            <w:pPr>
              <w:pStyle w:val="TableParagraph"/>
              <w:rPr>
                <w:sz w:val="26"/>
              </w:rPr>
            </w:pPr>
          </w:p>
          <w:p>
            <w:pPr>
              <w:pStyle w:val="TableParagraph"/>
              <w:rPr>
                <w:sz w:val="26"/>
              </w:rPr>
            </w:pPr>
          </w:p>
          <w:p>
            <w:pPr>
              <w:pStyle w:val="TableParagraph"/>
              <w:rPr>
                <w:sz w:val="20"/>
              </w:rPr>
            </w:pPr>
          </w:p>
          <w:p>
            <w:pPr>
              <w:pStyle w:val="TableParagraph"/>
              <w:ind w:left="548" w:right="538"/>
              <w:jc w:val="center"/>
              <w:rPr>
                <w:b/>
                <w:sz w:val="22"/>
              </w:rPr>
            </w:pPr>
            <w:r>
              <w:rPr>
                <w:b/>
                <w:spacing w:val="-5"/>
                <w:sz w:val="22"/>
              </w:rPr>
              <w:t>CW</w:t>
            </w:r>
          </w:p>
        </w:tc>
      </w:tr>
      <w:tr>
        <w:trPr>
          <w:trHeight w:val="5080" w:hRule="atLeast"/>
        </w:trPr>
        <w:tc>
          <w:tcPr>
            <w:tcW w:w="1355" w:type="dxa"/>
          </w:tcPr>
          <w:p>
            <w:pPr>
              <w:pStyle w:val="TableParagraph"/>
              <w:ind w:left="108"/>
              <w:rPr>
                <w:b/>
                <w:sz w:val="22"/>
              </w:rPr>
            </w:pPr>
            <w:r>
              <w:rPr>
                <w:b/>
                <w:spacing w:val="-5"/>
                <w:sz w:val="22"/>
              </w:rPr>
              <w:t>6.3</w:t>
            </w:r>
          </w:p>
        </w:tc>
        <w:tc>
          <w:tcPr>
            <w:tcW w:w="8128" w:type="dxa"/>
          </w:tcPr>
          <w:p>
            <w:pPr>
              <w:pStyle w:val="TableParagraph"/>
              <w:ind w:left="108"/>
              <w:jc w:val="both"/>
              <w:rPr>
                <w:b/>
                <w:sz w:val="22"/>
              </w:rPr>
            </w:pPr>
            <w:r>
              <w:rPr>
                <w:b/>
                <w:sz w:val="22"/>
              </w:rPr>
              <w:t>Governance</w:t>
            </w:r>
            <w:r>
              <w:rPr>
                <w:b/>
                <w:spacing w:val="-5"/>
                <w:sz w:val="22"/>
              </w:rPr>
              <w:t> </w:t>
            </w:r>
            <w:r>
              <w:rPr>
                <w:b/>
                <w:spacing w:val="-2"/>
                <w:sz w:val="22"/>
              </w:rPr>
              <w:t>Matters</w:t>
            </w:r>
          </w:p>
          <w:p>
            <w:pPr>
              <w:pStyle w:val="TableParagraph"/>
              <w:ind w:left="108" w:right="94"/>
              <w:jc w:val="both"/>
              <w:rPr>
                <w:sz w:val="22"/>
              </w:rPr>
            </w:pPr>
            <w:r>
              <w:rPr>
                <w:sz w:val="22"/>
              </w:rPr>
              <w:t>AB presented the paper, which provides the Committee with the contracting activity from 21 June to 20 September 2022.</w:t>
            </w:r>
            <w:r>
              <w:rPr>
                <w:spacing w:val="80"/>
                <w:sz w:val="22"/>
              </w:rPr>
              <w:t> </w:t>
            </w:r>
            <w:r>
              <w:rPr>
                <w:sz w:val="22"/>
              </w:rPr>
              <w:t>The report summarises that:</w:t>
            </w:r>
          </w:p>
          <w:p>
            <w:pPr>
              <w:pStyle w:val="TableParagraph"/>
              <w:rPr>
                <w:sz w:val="22"/>
              </w:rPr>
            </w:pPr>
          </w:p>
          <w:p>
            <w:pPr>
              <w:pStyle w:val="TableParagraph"/>
              <w:numPr>
                <w:ilvl w:val="0"/>
                <w:numId w:val="4"/>
              </w:numPr>
              <w:tabs>
                <w:tab w:pos="827" w:val="left" w:leader="none"/>
                <w:tab w:pos="828" w:val="left" w:leader="none"/>
              </w:tabs>
              <w:spacing w:line="268" w:lineRule="exact" w:before="0" w:after="0"/>
              <w:ind w:left="827" w:right="0" w:hanging="361"/>
              <w:jc w:val="left"/>
              <w:rPr>
                <w:sz w:val="22"/>
              </w:rPr>
            </w:pPr>
            <w:r>
              <w:rPr>
                <w:sz w:val="22"/>
              </w:rPr>
              <w:t>There</w:t>
            </w:r>
            <w:r>
              <w:rPr>
                <w:spacing w:val="-2"/>
                <w:sz w:val="22"/>
              </w:rPr>
              <w:t> </w:t>
            </w:r>
            <w:r>
              <w:rPr>
                <w:sz w:val="22"/>
              </w:rPr>
              <w:t>were</w:t>
            </w:r>
            <w:r>
              <w:rPr>
                <w:spacing w:val="-3"/>
                <w:sz w:val="22"/>
              </w:rPr>
              <w:t> </w:t>
            </w:r>
            <w:r>
              <w:rPr>
                <w:sz w:val="22"/>
              </w:rPr>
              <w:t>no</w:t>
            </w:r>
            <w:r>
              <w:rPr>
                <w:spacing w:val="-2"/>
                <w:sz w:val="22"/>
              </w:rPr>
              <w:t> </w:t>
            </w:r>
            <w:r>
              <w:rPr>
                <w:sz w:val="22"/>
              </w:rPr>
              <w:t>departures</w:t>
            </w:r>
            <w:r>
              <w:rPr>
                <w:spacing w:val="-3"/>
                <w:sz w:val="22"/>
              </w:rPr>
              <w:t> </w:t>
            </w:r>
            <w:r>
              <w:rPr>
                <w:sz w:val="22"/>
              </w:rPr>
              <w:t>from</w:t>
            </w:r>
            <w:r>
              <w:rPr>
                <w:spacing w:val="-2"/>
                <w:sz w:val="22"/>
              </w:rPr>
              <w:t> </w:t>
            </w:r>
            <w:r>
              <w:rPr>
                <w:sz w:val="22"/>
              </w:rPr>
              <w:t>the</w:t>
            </w:r>
            <w:r>
              <w:rPr>
                <w:spacing w:val="-3"/>
                <w:sz w:val="22"/>
              </w:rPr>
              <w:t> </w:t>
            </w:r>
            <w:r>
              <w:rPr>
                <w:sz w:val="22"/>
              </w:rPr>
              <w:t>Standing</w:t>
            </w:r>
            <w:r>
              <w:rPr>
                <w:spacing w:val="-1"/>
                <w:sz w:val="22"/>
              </w:rPr>
              <w:t> </w:t>
            </w:r>
            <w:r>
              <w:rPr>
                <w:spacing w:val="-2"/>
                <w:sz w:val="22"/>
              </w:rPr>
              <w:t>Orders;</w:t>
            </w:r>
          </w:p>
          <w:p>
            <w:pPr>
              <w:pStyle w:val="TableParagraph"/>
              <w:numPr>
                <w:ilvl w:val="0"/>
                <w:numId w:val="4"/>
              </w:numPr>
              <w:tabs>
                <w:tab w:pos="827" w:val="left" w:leader="none"/>
                <w:tab w:pos="828" w:val="left" w:leader="none"/>
              </w:tabs>
              <w:spacing w:line="267" w:lineRule="exact" w:before="0" w:after="0"/>
              <w:ind w:left="827" w:right="0" w:hanging="361"/>
              <w:jc w:val="left"/>
              <w:rPr>
                <w:sz w:val="22"/>
              </w:rPr>
            </w:pPr>
            <w:r>
              <w:rPr>
                <w:sz w:val="22"/>
              </w:rPr>
              <w:t>NWSSP</w:t>
            </w:r>
            <w:r>
              <w:rPr>
                <w:spacing w:val="-2"/>
                <w:sz w:val="22"/>
              </w:rPr>
              <w:t> </w:t>
            </w:r>
            <w:r>
              <w:rPr>
                <w:sz w:val="22"/>
              </w:rPr>
              <w:t>have</w:t>
            </w:r>
            <w:r>
              <w:rPr>
                <w:spacing w:val="-2"/>
                <w:sz w:val="22"/>
              </w:rPr>
              <w:t> </w:t>
            </w:r>
            <w:r>
              <w:rPr>
                <w:sz w:val="22"/>
              </w:rPr>
              <w:t>let</w:t>
            </w:r>
            <w:r>
              <w:rPr>
                <w:spacing w:val="-2"/>
                <w:sz w:val="22"/>
              </w:rPr>
              <w:t> </w:t>
            </w:r>
            <w:r>
              <w:rPr>
                <w:sz w:val="22"/>
              </w:rPr>
              <w:t>21</w:t>
            </w:r>
            <w:r>
              <w:rPr>
                <w:spacing w:val="-2"/>
                <w:sz w:val="22"/>
              </w:rPr>
              <w:t> </w:t>
            </w:r>
            <w:r>
              <w:rPr>
                <w:sz w:val="22"/>
              </w:rPr>
              <w:t>contracts</w:t>
            </w:r>
            <w:r>
              <w:rPr>
                <w:spacing w:val="-2"/>
                <w:sz w:val="22"/>
              </w:rPr>
              <w:t> </w:t>
            </w:r>
            <w:r>
              <w:rPr>
                <w:sz w:val="22"/>
              </w:rPr>
              <w:t>during</w:t>
            </w:r>
            <w:r>
              <w:rPr>
                <w:spacing w:val="-3"/>
                <w:sz w:val="22"/>
              </w:rPr>
              <w:t> </w:t>
            </w:r>
            <w:r>
              <w:rPr>
                <w:sz w:val="22"/>
              </w:rPr>
              <w:t>the</w:t>
            </w:r>
            <w:r>
              <w:rPr>
                <w:spacing w:val="-2"/>
                <w:sz w:val="22"/>
              </w:rPr>
              <w:t> </w:t>
            </w:r>
            <w:r>
              <w:rPr>
                <w:sz w:val="22"/>
              </w:rPr>
              <w:t>reporting</w:t>
            </w:r>
            <w:r>
              <w:rPr>
                <w:spacing w:val="-2"/>
                <w:sz w:val="22"/>
              </w:rPr>
              <w:t> period;</w:t>
            </w:r>
          </w:p>
          <w:p>
            <w:pPr>
              <w:pStyle w:val="TableParagraph"/>
              <w:numPr>
                <w:ilvl w:val="0"/>
                <w:numId w:val="4"/>
              </w:numPr>
              <w:tabs>
                <w:tab w:pos="827" w:val="left" w:leader="none"/>
                <w:tab w:pos="828" w:val="left" w:leader="none"/>
              </w:tabs>
              <w:spacing w:line="267" w:lineRule="exact" w:before="0" w:after="0"/>
              <w:ind w:left="827" w:right="0" w:hanging="361"/>
              <w:jc w:val="left"/>
              <w:rPr>
                <w:sz w:val="22"/>
              </w:rPr>
            </w:pPr>
            <w:r>
              <w:rPr>
                <w:sz w:val="22"/>
              </w:rPr>
              <w:t>In</w:t>
            </w:r>
            <w:r>
              <w:rPr>
                <w:spacing w:val="-5"/>
                <w:sz w:val="22"/>
              </w:rPr>
              <w:t> </w:t>
            </w:r>
            <w:r>
              <w:rPr>
                <w:sz w:val="22"/>
              </w:rPr>
              <w:t>addition</w:t>
            </w:r>
            <w:r>
              <w:rPr>
                <w:spacing w:val="-3"/>
                <w:sz w:val="22"/>
              </w:rPr>
              <w:t> </w:t>
            </w:r>
            <w:r>
              <w:rPr>
                <w:sz w:val="22"/>
              </w:rPr>
              <w:t>22</w:t>
            </w:r>
            <w:r>
              <w:rPr>
                <w:spacing w:val="-3"/>
                <w:sz w:val="22"/>
              </w:rPr>
              <w:t> </w:t>
            </w:r>
            <w:r>
              <w:rPr>
                <w:sz w:val="22"/>
              </w:rPr>
              <w:t>All-Wales</w:t>
            </w:r>
            <w:r>
              <w:rPr>
                <w:spacing w:val="-2"/>
                <w:sz w:val="22"/>
              </w:rPr>
              <w:t> </w:t>
            </w:r>
            <w:r>
              <w:rPr>
                <w:sz w:val="22"/>
              </w:rPr>
              <w:t>contracts</w:t>
            </w:r>
            <w:r>
              <w:rPr>
                <w:spacing w:val="-2"/>
                <w:sz w:val="22"/>
              </w:rPr>
              <w:t> </w:t>
            </w:r>
            <w:r>
              <w:rPr>
                <w:sz w:val="22"/>
              </w:rPr>
              <w:t>were</w:t>
            </w:r>
            <w:r>
              <w:rPr>
                <w:spacing w:val="-3"/>
                <w:sz w:val="22"/>
              </w:rPr>
              <w:t> </w:t>
            </w:r>
            <w:r>
              <w:rPr>
                <w:sz w:val="22"/>
              </w:rPr>
              <w:t>let</w:t>
            </w:r>
            <w:r>
              <w:rPr>
                <w:spacing w:val="-3"/>
                <w:sz w:val="22"/>
              </w:rPr>
              <w:t> </w:t>
            </w:r>
            <w:r>
              <w:rPr>
                <w:sz w:val="22"/>
              </w:rPr>
              <w:t>for</w:t>
            </w:r>
            <w:r>
              <w:rPr>
                <w:spacing w:val="-3"/>
                <w:sz w:val="22"/>
              </w:rPr>
              <w:t> </w:t>
            </w:r>
            <w:r>
              <w:rPr>
                <w:sz w:val="22"/>
              </w:rPr>
              <w:t>the</w:t>
            </w:r>
            <w:r>
              <w:rPr>
                <w:spacing w:val="-3"/>
                <w:sz w:val="22"/>
              </w:rPr>
              <w:t> </w:t>
            </w:r>
            <w:r>
              <w:rPr>
                <w:spacing w:val="-2"/>
                <w:sz w:val="22"/>
              </w:rPr>
              <w:t>period;</w:t>
            </w:r>
          </w:p>
          <w:p>
            <w:pPr>
              <w:pStyle w:val="TableParagraph"/>
              <w:numPr>
                <w:ilvl w:val="0"/>
                <w:numId w:val="4"/>
              </w:numPr>
              <w:tabs>
                <w:tab w:pos="828" w:val="left" w:leader="none"/>
              </w:tabs>
              <w:spacing w:line="237" w:lineRule="auto" w:before="1" w:after="0"/>
              <w:ind w:left="827" w:right="94" w:hanging="360"/>
              <w:jc w:val="both"/>
              <w:rPr>
                <w:sz w:val="22"/>
              </w:rPr>
            </w:pPr>
            <w:r>
              <w:rPr>
                <w:sz w:val="22"/>
              </w:rPr>
              <w:t>There were three declarations of gifts, hospitality, and sponsorship during the reporting period;</w:t>
            </w:r>
          </w:p>
          <w:p>
            <w:pPr>
              <w:pStyle w:val="TableParagraph"/>
              <w:numPr>
                <w:ilvl w:val="0"/>
                <w:numId w:val="4"/>
              </w:numPr>
              <w:tabs>
                <w:tab w:pos="828" w:val="left" w:leader="none"/>
              </w:tabs>
              <w:spacing w:line="240" w:lineRule="auto" w:before="1" w:after="0"/>
              <w:ind w:left="827" w:right="95" w:hanging="360"/>
              <w:jc w:val="both"/>
              <w:rPr>
                <w:sz w:val="22"/>
              </w:rPr>
            </w:pPr>
            <w:r>
              <w:rPr>
                <w:sz w:val="22"/>
              </w:rPr>
              <w:t>77% of NWSSP have now completed a Declaration of Interest – the</w:t>
            </w:r>
            <w:r>
              <w:rPr>
                <w:spacing w:val="-8"/>
                <w:sz w:val="22"/>
              </w:rPr>
              <w:t> </w:t>
            </w:r>
            <w:r>
              <w:rPr>
                <w:sz w:val="22"/>
              </w:rPr>
              <w:t>first</w:t>
            </w:r>
            <w:r>
              <w:rPr>
                <w:spacing w:val="-8"/>
                <w:sz w:val="22"/>
              </w:rPr>
              <w:t> </w:t>
            </w:r>
            <w:r>
              <w:rPr>
                <w:sz w:val="22"/>
              </w:rPr>
              <w:t>time</w:t>
            </w:r>
            <w:r>
              <w:rPr>
                <w:spacing w:val="-8"/>
                <w:sz w:val="22"/>
              </w:rPr>
              <w:t> </w:t>
            </w:r>
            <w:r>
              <w:rPr>
                <w:sz w:val="22"/>
              </w:rPr>
              <w:t>that</w:t>
            </w:r>
            <w:r>
              <w:rPr>
                <w:spacing w:val="-8"/>
                <w:sz w:val="22"/>
              </w:rPr>
              <w:t> </w:t>
            </w:r>
            <w:r>
              <w:rPr>
                <w:sz w:val="22"/>
              </w:rPr>
              <w:t>all</w:t>
            </w:r>
            <w:r>
              <w:rPr>
                <w:spacing w:val="-8"/>
                <w:sz w:val="22"/>
              </w:rPr>
              <w:t> </w:t>
            </w:r>
            <w:r>
              <w:rPr>
                <w:sz w:val="22"/>
              </w:rPr>
              <w:t>NWSSP</w:t>
            </w:r>
            <w:r>
              <w:rPr>
                <w:spacing w:val="-8"/>
                <w:sz w:val="22"/>
              </w:rPr>
              <w:t> </w:t>
            </w:r>
            <w:r>
              <w:rPr>
                <w:sz w:val="22"/>
              </w:rPr>
              <w:t>staff</w:t>
            </w:r>
            <w:r>
              <w:rPr>
                <w:spacing w:val="-8"/>
                <w:sz w:val="22"/>
              </w:rPr>
              <w:t> </w:t>
            </w:r>
            <w:r>
              <w:rPr>
                <w:sz w:val="22"/>
              </w:rPr>
              <w:t>have</w:t>
            </w:r>
            <w:r>
              <w:rPr>
                <w:spacing w:val="-8"/>
                <w:sz w:val="22"/>
              </w:rPr>
              <w:t> </w:t>
            </w:r>
            <w:r>
              <w:rPr>
                <w:sz w:val="22"/>
              </w:rPr>
              <w:t>been</w:t>
            </w:r>
            <w:r>
              <w:rPr>
                <w:spacing w:val="-8"/>
                <w:sz w:val="22"/>
              </w:rPr>
              <w:t> </w:t>
            </w:r>
            <w:r>
              <w:rPr>
                <w:sz w:val="22"/>
              </w:rPr>
              <w:t>asked</w:t>
            </w:r>
            <w:r>
              <w:rPr>
                <w:spacing w:val="-8"/>
                <w:sz w:val="22"/>
              </w:rPr>
              <w:t> </w:t>
            </w:r>
            <w:r>
              <w:rPr>
                <w:sz w:val="22"/>
              </w:rPr>
              <w:t>to</w:t>
            </w:r>
            <w:r>
              <w:rPr>
                <w:spacing w:val="-8"/>
                <w:sz w:val="22"/>
              </w:rPr>
              <w:t> </w:t>
            </w:r>
            <w:r>
              <w:rPr>
                <w:sz w:val="22"/>
              </w:rPr>
              <w:t>participate in this exercise; and</w:t>
            </w:r>
          </w:p>
          <w:p>
            <w:pPr>
              <w:pStyle w:val="TableParagraph"/>
              <w:numPr>
                <w:ilvl w:val="0"/>
                <w:numId w:val="4"/>
              </w:numPr>
              <w:tabs>
                <w:tab w:pos="828" w:val="left" w:leader="none"/>
              </w:tabs>
              <w:spacing w:line="240" w:lineRule="auto" w:before="0" w:after="0"/>
              <w:ind w:left="827" w:right="96" w:hanging="360"/>
              <w:jc w:val="both"/>
              <w:rPr>
                <w:sz w:val="22"/>
              </w:rPr>
            </w:pPr>
            <w:r>
              <w:rPr>
                <w:sz w:val="22"/>
              </w:rPr>
              <w:t>NWSSP have submitted a nil return to Welsh Government in respect of the quarterly update on limited and no assurance Internal Audit reports.</w:t>
            </w:r>
          </w:p>
          <w:p>
            <w:pPr>
              <w:pStyle w:val="TableParagraph"/>
              <w:spacing w:before="8"/>
              <w:rPr>
                <w:sz w:val="21"/>
              </w:rPr>
            </w:pPr>
          </w:p>
          <w:p>
            <w:pPr>
              <w:pStyle w:val="TableParagraph"/>
              <w:ind w:left="108"/>
              <w:jc w:val="both"/>
              <w:rPr>
                <w:sz w:val="22"/>
              </w:rPr>
            </w:pPr>
            <w:r>
              <w:rPr>
                <w:sz w:val="22"/>
              </w:rPr>
              <w:t>The</w:t>
            </w:r>
            <w:r>
              <w:rPr>
                <w:spacing w:val="-5"/>
                <w:sz w:val="22"/>
              </w:rPr>
              <w:t> </w:t>
            </w:r>
            <w:r>
              <w:rPr>
                <w:sz w:val="22"/>
              </w:rPr>
              <w:t>Committee</w:t>
            </w:r>
            <w:r>
              <w:rPr>
                <w:spacing w:val="-1"/>
                <w:sz w:val="22"/>
              </w:rPr>
              <w:t> </w:t>
            </w:r>
            <w:r>
              <w:rPr>
                <w:b/>
                <w:sz w:val="22"/>
              </w:rPr>
              <w:t>NOTED</w:t>
            </w:r>
            <w:r>
              <w:rPr>
                <w:b/>
                <w:spacing w:val="1"/>
                <w:sz w:val="22"/>
              </w:rPr>
              <w:t> </w:t>
            </w:r>
            <w:r>
              <w:rPr>
                <w:sz w:val="22"/>
              </w:rPr>
              <w:t>the</w:t>
            </w:r>
            <w:r>
              <w:rPr>
                <w:spacing w:val="-2"/>
                <w:sz w:val="22"/>
              </w:rPr>
              <w:t> Report.</w:t>
            </w:r>
          </w:p>
        </w:tc>
        <w:tc>
          <w:tcPr>
            <w:tcW w:w="1535" w:type="dxa"/>
          </w:tcPr>
          <w:p>
            <w:pPr>
              <w:pStyle w:val="TableParagraph"/>
              <w:rPr>
                <w:rFonts w:ascii="Times New Roman"/>
                <w:sz w:val="22"/>
              </w:rPr>
            </w:pPr>
          </w:p>
        </w:tc>
      </w:tr>
      <w:tr>
        <w:trPr>
          <w:trHeight w:val="683" w:hRule="atLeast"/>
        </w:trPr>
        <w:tc>
          <w:tcPr>
            <w:tcW w:w="1355" w:type="dxa"/>
          </w:tcPr>
          <w:p>
            <w:pPr>
              <w:pStyle w:val="TableParagraph"/>
              <w:ind w:left="108"/>
              <w:rPr>
                <w:b/>
                <w:sz w:val="22"/>
              </w:rPr>
            </w:pPr>
            <w:r>
              <w:rPr>
                <w:b/>
                <w:spacing w:val="-5"/>
                <w:sz w:val="22"/>
              </w:rPr>
              <w:t>6.4</w:t>
            </w:r>
          </w:p>
        </w:tc>
        <w:tc>
          <w:tcPr>
            <w:tcW w:w="8128" w:type="dxa"/>
          </w:tcPr>
          <w:p>
            <w:pPr>
              <w:pStyle w:val="TableParagraph"/>
              <w:ind w:left="108"/>
              <w:rPr>
                <w:b/>
                <w:sz w:val="22"/>
              </w:rPr>
            </w:pPr>
            <w:r>
              <w:rPr>
                <w:b/>
                <w:sz w:val="22"/>
              </w:rPr>
              <w:t>Utilisation</w:t>
            </w:r>
            <w:r>
              <w:rPr>
                <w:b/>
                <w:spacing w:val="-4"/>
                <w:sz w:val="22"/>
              </w:rPr>
              <w:t> </w:t>
            </w:r>
            <w:r>
              <w:rPr>
                <w:b/>
                <w:sz w:val="22"/>
              </w:rPr>
              <w:t>of</w:t>
            </w:r>
            <w:r>
              <w:rPr>
                <w:b/>
                <w:spacing w:val="-2"/>
                <w:sz w:val="22"/>
              </w:rPr>
              <w:t> </w:t>
            </w:r>
            <w:r>
              <w:rPr>
                <w:b/>
                <w:sz w:val="22"/>
              </w:rPr>
              <w:t>Surplus</w:t>
            </w:r>
            <w:r>
              <w:rPr>
                <w:b/>
                <w:spacing w:val="-2"/>
                <w:sz w:val="22"/>
              </w:rPr>
              <w:t> </w:t>
            </w:r>
            <w:r>
              <w:rPr>
                <w:b/>
                <w:spacing w:val="-4"/>
                <w:sz w:val="22"/>
              </w:rPr>
              <w:t>Beds</w:t>
            </w:r>
          </w:p>
        </w:tc>
        <w:tc>
          <w:tcPr>
            <w:tcW w:w="1535" w:type="dxa"/>
          </w:tcPr>
          <w:p>
            <w:pPr>
              <w:pStyle w:val="TableParagraph"/>
              <w:rPr>
                <w:rFonts w:ascii="Times New Roman"/>
                <w:sz w:val="22"/>
              </w:rPr>
            </w:pPr>
          </w:p>
        </w:tc>
      </w:tr>
    </w:tbl>
    <w:p>
      <w:pPr>
        <w:pStyle w:val="BodyText"/>
        <w:spacing w:before="26"/>
        <w:ind w:left="850"/>
      </w:pPr>
      <w:r>
        <w:rPr/>
        <w:t>NWSSP</w:t>
      </w:r>
      <w:r>
        <w:rPr>
          <w:spacing w:val="-4"/>
        </w:rPr>
        <w:t> </w:t>
      </w:r>
      <w:r>
        <w:rPr/>
        <w:t>Audit</w:t>
      </w:r>
      <w:r>
        <w:rPr>
          <w:spacing w:val="-2"/>
        </w:rPr>
        <w:t> Committee</w:t>
      </w:r>
    </w:p>
    <w:p>
      <w:pPr>
        <w:pStyle w:val="BodyText"/>
        <w:tabs>
          <w:tab w:pos="10762" w:val="left" w:leader="none"/>
        </w:tabs>
        <w:ind w:left="850"/>
      </w:pPr>
      <w:r>
        <w:rPr/>
        <w:t>11</w:t>
      </w:r>
      <w:r>
        <w:rPr>
          <w:spacing w:val="-4"/>
        </w:rPr>
        <w:t> </w:t>
      </w:r>
      <w:r>
        <w:rPr/>
        <w:t>October</w:t>
      </w:r>
      <w:r>
        <w:rPr>
          <w:spacing w:val="-4"/>
        </w:rPr>
        <w:t> 2022</w:t>
      </w:r>
      <w:r>
        <w:rPr/>
        <w:tab/>
      </w:r>
      <w:r>
        <w:rPr>
          <w:spacing w:val="-10"/>
        </w:rPr>
        <w:t>5</w:t>
      </w:r>
    </w:p>
    <w:p>
      <w:pPr>
        <w:spacing w:after="0"/>
        <w:sectPr>
          <w:pgSz w:w="11900" w:h="16840"/>
          <w:pgMar w:header="0" w:footer="173" w:top="1260" w:bottom="360" w:left="0" w:right="0"/>
        </w:sectPr>
      </w:pPr>
    </w:p>
    <w:tbl>
      <w:tblPr>
        <w:tblW w:w="0" w:type="auto"/>
        <w:jc w:val="left"/>
        <w:tblInd w:w="3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55"/>
        <w:gridCol w:w="8128"/>
        <w:gridCol w:w="1535"/>
      </w:tblGrid>
      <w:tr>
        <w:trPr>
          <w:trHeight w:val="275" w:hRule="atLeast"/>
        </w:trPr>
        <w:tc>
          <w:tcPr>
            <w:tcW w:w="1355" w:type="dxa"/>
          </w:tcPr>
          <w:p>
            <w:pPr>
              <w:pStyle w:val="TableParagraph"/>
              <w:spacing w:line="255" w:lineRule="exact"/>
              <w:ind w:left="108"/>
              <w:rPr>
                <w:b/>
                <w:sz w:val="22"/>
              </w:rPr>
            </w:pPr>
            <w:r>
              <w:rPr>
                <w:b/>
                <w:spacing w:val="-4"/>
                <w:sz w:val="22"/>
              </w:rPr>
              <w:t>Item</w:t>
            </w:r>
          </w:p>
        </w:tc>
        <w:tc>
          <w:tcPr>
            <w:tcW w:w="8128" w:type="dxa"/>
          </w:tcPr>
          <w:p>
            <w:pPr>
              <w:pStyle w:val="TableParagraph"/>
              <w:rPr>
                <w:rFonts w:ascii="Times New Roman"/>
                <w:sz w:val="20"/>
              </w:rPr>
            </w:pPr>
          </w:p>
        </w:tc>
        <w:tc>
          <w:tcPr>
            <w:tcW w:w="1535" w:type="dxa"/>
          </w:tcPr>
          <w:p>
            <w:pPr>
              <w:pStyle w:val="TableParagraph"/>
              <w:spacing w:line="255" w:lineRule="exact"/>
              <w:ind w:right="631"/>
              <w:jc w:val="right"/>
              <w:rPr>
                <w:b/>
                <w:sz w:val="22"/>
              </w:rPr>
            </w:pPr>
            <w:r>
              <w:rPr>
                <w:b/>
                <w:spacing w:val="-2"/>
                <w:sz w:val="22"/>
              </w:rPr>
              <w:t>Action</w:t>
            </w:r>
          </w:p>
        </w:tc>
      </w:tr>
      <w:tr>
        <w:trPr>
          <w:trHeight w:val="4545" w:hRule="atLeast"/>
        </w:trPr>
        <w:tc>
          <w:tcPr>
            <w:tcW w:w="1355" w:type="dxa"/>
          </w:tcPr>
          <w:p>
            <w:pPr>
              <w:pStyle w:val="TableParagraph"/>
              <w:rPr>
                <w:rFonts w:ascii="Times New Roman"/>
                <w:sz w:val="22"/>
              </w:rPr>
            </w:pPr>
          </w:p>
        </w:tc>
        <w:tc>
          <w:tcPr>
            <w:tcW w:w="8128" w:type="dxa"/>
          </w:tcPr>
          <w:p>
            <w:pPr>
              <w:pStyle w:val="TableParagraph"/>
              <w:ind w:left="108" w:right="95"/>
              <w:jc w:val="both"/>
              <w:rPr>
                <w:sz w:val="22"/>
              </w:rPr>
            </w:pPr>
            <w:r>
              <w:rPr>
                <w:sz w:val="22"/>
              </w:rPr>
              <w:t>LP</w:t>
            </w:r>
            <w:r>
              <w:rPr>
                <w:spacing w:val="-19"/>
                <w:sz w:val="22"/>
              </w:rPr>
              <w:t> </w:t>
            </w:r>
            <w:r>
              <w:rPr>
                <w:sz w:val="22"/>
              </w:rPr>
              <w:t>presented</w:t>
            </w:r>
            <w:r>
              <w:rPr>
                <w:spacing w:val="-19"/>
                <w:sz w:val="22"/>
              </w:rPr>
              <w:t> </w:t>
            </w:r>
            <w:r>
              <w:rPr>
                <w:sz w:val="22"/>
              </w:rPr>
              <w:t>the</w:t>
            </w:r>
            <w:r>
              <w:rPr>
                <w:spacing w:val="-19"/>
                <w:sz w:val="22"/>
              </w:rPr>
              <w:t> </w:t>
            </w:r>
            <w:r>
              <w:rPr>
                <w:sz w:val="22"/>
              </w:rPr>
              <w:t>report</w:t>
            </w:r>
            <w:r>
              <w:rPr>
                <w:spacing w:val="-19"/>
                <w:sz w:val="22"/>
              </w:rPr>
              <w:t> </w:t>
            </w:r>
            <w:r>
              <w:rPr>
                <w:sz w:val="22"/>
              </w:rPr>
              <w:t>to</w:t>
            </w:r>
            <w:r>
              <w:rPr>
                <w:spacing w:val="-19"/>
                <w:sz w:val="22"/>
              </w:rPr>
              <w:t> </w:t>
            </w:r>
            <w:r>
              <w:rPr>
                <w:sz w:val="22"/>
              </w:rPr>
              <w:t>the</w:t>
            </w:r>
            <w:r>
              <w:rPr>
                <w:spacing w:val="-19"/>
                <w:sz w:val="22"/>
              </w:rPr>
              <w:t> </w:t>
            </w:r>
            <w:r>
              <w:rPr>
                <w:sz w:val="22"/>
              </w:rPr>
              <w:t>Audit</w:t>
            </w:r>
            <w:r>
              <w:rPr>
                <w:spacing w:val="-19"/>
                <w:sz w:val="22"/>
              </w:rPr>
              <w:t> </w:t>
            </w:r>
            <w:r>
              <w:rPr>
                <w:sz w:val="22"/>
              </w:rPr>
              <w:t>Committee</w:t>
            </w:r>
            <w:r>
              <w:rPr>
                <w:spacing w:val="-19"/>
                <w:sz w:val="22"/>
              </w:rPr>
              <w:t> </w:t>
            </w:r>
            <w:r>
              <w:rPr>
                <w:sz w:val="22"/>
              </w:rPr>
              <w:t>providing</w:t>
            </w:r>
            <w:r>
              <w:rPr>
                <w:spacing w:val="-19"/>
                <w:sz w:val="22"/>
              </w:rPr>
              <w:t> </w:t>
            </w:r>
            <w:r>
              <w:rPr>
                <w:sz w:val="22"/>
              </w:rPr>
              <w:t>members</w:t>
            </w:r>
            <w:r>
              <w:rPr>
                <w:spacing w:val="-19"/>
                <w:sz w:val="22"/>
              </w:rPr>
              <w:t> </w:t>
            </w:r>
            <w:r>
              <w:rPr>
                <w:sz w:val="22"/>
              </w:rPr>
              <w:t>with an update on</w:t>
            </w:r>
            <w:r>
              <w:rPr>
                <w:spacing w:val="-1"/>
                <w:sz w:val="22"/>
              </w:rPr>
              <w:t> </w:t>
            </w:r>
            <w:r>
              <w:rPr>
                <w:sz w:val="22"/>
              </w:rPr>
              <w:t>the</w:t>
            </w:r>
            <w:r>
              <w:rPr>
                <w:spacing w:val="-1"/>
                <w:sz w:val="22"/>
              </w:rPr>
              <w:t> </w:t>
            </w:r>
            <w:r>
              <w:rPr>
                <w:sz w:val="22"/>
              </w:rPr>
              <w:t>utilisation of surplus bed</w:t>
            </w:r>
            <w:r>
              <w:rPr>
                <w:spacing w:val="-1"/>
                <w:sz w:val="22"/>
              </w:rPr>
              <w:t> </w:t>
            </w:r>
            <w:r>
              <w:rPr>
                <w:sz w:val="22"/>
              </w:rPr>
              <w:t>stock that resulted from the NHS</w:t>
            </w:r>
            <w:r>
              <w:rPr>
                <w:spacing w:val="-3"/>
                <w:sz w:val="22"/>
              </w:rPr>
              <w:t> </w:t>
            </w:r>
            <w:r>
              <w:rPr>
                <w:sz w:val="22"/>
              </w:rPr>
              <w:t>Wales</w:t>
            </w:r>
            <w:r>
              <w:rPr>
                <w:spacing w:val="-3"/>
                <w:sz w:val="22"/>
              </w:rPr>
              <w:t> </w:t>
            </w:r>
            <w:r>
              <w:rPr>
                <w:sz w:val="22"/>
              </w:rPr>
              <w:t>Covid</w:t>
            </w:r>
            <w:r>
              <w:rPr>
                <w:spacing w:val="-3"/>
                <w:sz w:val="22"/>
              </w:rPr>
              <w:t> </w:t>
            </w:r>
            <w:r>
              <w:rPr>
                <w:sz w:val="22"/>
              </w:rPr>
              <w:t>response.</w:t>
            </w:r>
            <w:r>
              <w:rPr>
                <w:spacing w:val="-2"/>
                <w:sz w:val="22"/>
              </w:rPr>
              <w:t> </w:t>
            </w:r>
            <w:r>
              <w:rPr>
                <w:sz w:val="22"/>
              </w:rPr>
              <w:t>In</w:t>
            </w:r>
            <w:r>
              <w:rPr>
                <w:spacing w:val="-2"/>
                <w:sz w:val="22"/>
              </w:rPr>
              <w:t> </w:t>
            </w:r>
            <w:r>
              <w:rPr>
                <w:sz w:val="22"/>
              </w:rPr>
              <w:t>2021</w:t>
            </w:r>
            <w:r>
              <w:rPr>
                <w:spacing w:val="-3"/>
                <w:sz w:val="22"/>
              </w:rPr>
              <w:t> </w:t>
            </w:r>
            <w:r>
              <w:rPr>
                <w:sz w:val="22"/>
              </w:rPr>
              <w:t>the</w:t>
            </w:r>
            <w:r>
              <w:rPr>
                <w:spacing w:val="-3"/>
                <w:sz w:val="22"/>
              </w:rPr>
              <w:t> </w:t>
            </w:r>
            <w:r>
              <w:rPr>
                <w:sz w:val="22"/>
              </w:rPr>
              <w:t>Audit</w:t>
            </w:r>
            <w:r>
              <w:rPr>
                <w:spacing w:val="-3"/>
                <w:sz w:val="22"/>
              </w:rPr>
              <w:t> </w:t>
            </w:r>
            <w:r>
              <w:rPr>
                <w:sz w:val="22"/>
              </w:rPr>
              <w:t>Committee</w:t>
            </w:r>
            <w:r>
              <w:rPr>
                <w:spacing w:val="-2"/>
                <w:sz w:val="22"/>
              </w:rPr>
              <w:t> </w:t>
            </w:r>
            <w:r>
              <w:rPr>
                <w:sz w:val="22"/>
              </w:rPr>
              <w:t>was</w:t>
            </w:r>
            <w:r>
              <w:rPr>
                <w:spacing w:val="-3"/>
                <w:sz w:val="22"/>
              </w:rPr>
              <w:t> </w:t>
            </w:r>
            <w:r>
              <w:rPr>
                <w:sz w:val="22"/>
              </w:rPr>
              <w:t>asked</w:t>
            </w:r>
            <w:r>
              <w:rPr>
                <w:spacing w:val="-3"/>
                <w:sz w:val="22"/>
              </w:rPr>
              <w:t> </w:t>
            </w:r>
            <w:r>
              <w:rPr>
                <w:sz w:val="22"/>
              </w:rPr>
              <w:t>to approve</w:t>
            </w:r>
            <w:r>
              <w:rPr>
                <w:spacing w:val="-10"/>
                <w:sz w:val="22"/>
              </w:rPr>
              <w:t> </w:t>
            </w:r>
            <w:r>
              <w:rPr>
                <w:sz w:val="22"/>
              </w:rPr>
              <w:t>on</w:t>
            </w:r>
            <w:r>
              <w:rPr>
                <w:spacing w:val="-10"/>
                <w:sz w:val="22"/>
              </w:rPr>
              <w:t> </w:t>
            </w:r>
            <w:r>
              <w:rPr>
                <w:sz w:val="22"/>
              </w:rPr>
              <w:t>behalf</w:t>
            </w:r>
            <w:r>
              <w:rPr>
                <w:spacing w:val="-10"/>
                <w:sz w:val="22"/>
              </w:rPr>
              <w:t> </w:t>
            </w:r>
            <w:r>
              <w:rPr>
                <w:sz w:val="22"/>
              </w:rPr>
              <w:t>of</w:t>
            </w:r>
            <w:r>
              <w:rPr>
                <w:spacing w:val="-10"/>
                <w:sz w:val="22"/>
              </w:rPr>
              <w:t> </w:t>
            </w:r>
            <w:r>
              <w:rPr>
                <w:sz w:val="22"/>
              </w:rPr>
              <w:t>Welsh</w:t>
            </w:r>
            <w:r>
              <w:rPr>
                <w:spacing w:val="-9"/>
                <w:sz w:val="22"/>
              </w:rPr>
              <w:t> </w:t>
            </w:r>
            <w:r>
              <w:rPr>
                <w:sz w:val="22"/>
              </w:rPr>
              <w:t>Government</w:t>
            </w:r>
            <w:r>
              <w:rPr>
                <w:spacing w:val="-10"/>
                <w:sz w:val="22"/>
              </w:rPr>
              <w:t> </w:t>
            </w:r>
            <w:r>
              <w:rPr>
                <w:sz w:val="22"/>
              </w:rPr>
              <w:t>the</w:t>
            </w:r>
            <w:r>
              <w:rPr>
                <w:spacing w:val="-10"/>
                <w:sz w:val="22"/>
              </w:rPr>
              <w:t> </w:t>
            </w:r>
            <w:r>
              <w:rPr>
                <w:sz w:val="22"/>
              </w:rPr>
              <w:t>write-off</w:t>
            </w:r>
            <w:r>
              <w:rPr>
                <w:spacing w:val="-10"/>
                <w:sz w:val="22"/>
              </w:rPr>
              <w:t> </w:t>
            </w:r>
            <w:r>
              <w:rPr>
                <w:sz w:val="22"/>
              </w:rPr>
              <w:t>of</w:t>
            </w:r>
            <w:r>
              <w:rPr>
                <w:spacing w:val="-10"/>
                <w:sz w:val="22"/>
              </w:rPr>
              <w:t> </w:t>
            </w:r>
            <w:r>
              <w:rPr>
                <w:sz w:val="22"/>
              </w:rPr>
              <w:t>£5.7</w:t>
            </w:r>
            <w:r>
              <w:rPr>
                <w:spacing w:val="-10"/>
                <w:sz w:val="22"/>
              </w:rPr>
              <w:t> </w:t>
            </w:r>
            <w:r>
              <w:rPr>
                <w:sz w:val="22"/>
              </w:rPr>
              <w:t>million</w:t>
            </w:r>
            <w:r>
              <w:rPr>
                <w:spacing w:val="-10"/>
                <w:sz w:val="22"/>
              </w:rPr>
              <w:t> </w:t>
            </w:r>
            <w:r>
              <w:rPr>
                <w:sz w:val="22"/>
              </w:rPr>
              <w:t>for surplus</w:t>
            </w:r>
            <w:r>
              <w:rPr>
                <w:spacing w:val="-1"/>
                <w:sz w:val="22"/>
              </w:rPr>
              <w:t> </w:t>
            </w:r>
            <w:r>
              <w:rPr>
                <w:sz w:val="22"/>
              </w:rPr>
              <w:t>beds.</w:t>
            </w:r>
            <w:r>
              <w:rPr>
                <w:spacing w:val="-1"/>
                <w:sz w:val="22"/>
              </w:rPr>
              <w:t> </w:t>
            </w:r>
            <w:r>
              <w:rPr>
                <w:sz w:val="22"/>
              </w:rPr>
              <w:t>2,328</w:t>
            </w:r>
            <w:r>
              <w:rPr>
                <w:spacing w:val="-1"/>
                <w:sz w:val="22"/>
              </w:rPr>
              <w:t> </w:t>
            </w:r>
            <w:r>
              <w:rPr>
                <w:sz w:val="22"/>
              </w:rPr>
              <w:t>beds</w:t>
            </w:r>
            <w:r>
              <w:rPr>
                <w:spacing w:val="-1"/>
                <w:sz w:val="22"/>
              </w:rPr>
              <w:t> </w:t>
            </w:r>
            <w:r>
              <w:rPr>
                <w:sz w:val="22"/>
              </w:rPr>
              <w:t>were</w:t>
            </w:r>
            <w:r>
              <w:rPr>
                <w:spacing w:val="-1"/>
                <w:sz w:val="22"/>
              </w:rPr>
              <w:t> </w:t>
            </w:r>
            <w:r>
              <w:rPr>
                <w:sz w:val="22"/>
              </w:rPr>
              <w:t>held</w:t>
            </w:r>
            <w:r>
              <w:rPr>
                <w:spacing w:val="-1"/>
                <w:sz w:val="22"/>
              </w:rPr>
              <w:t> </w:t>
            </w:r>
            <w:r>
              <w:rPr>
                <w:sz w:val="22"/>
              </w:rPr>
              <w:t>in</w:t>
            </w:r>
            <w:r>
              <w:rPr>
                <w:spacing w:val="-1"/>
                <w:sz w:val="22"/>
              </w:rPr>
              <w:t> </w:t>
            </w:r>
            <w:r>
              <w:rPr>
                <w:sz w:val="22"/>
              </w:rPr>
              <w:t>storage,</w:t>
            </w:r>
            <w:r>
              <w:rPr>
                <w:spacing w:val="-1"/>
                <w:sz w:val="22"/>
              </w:rPr>
              <w:t> </w:t>
            </w:r>
            <w:r>
              <w:rPr>
                <w:sz w:val="22"/>
              </w:rPr>
              <w:t>and</w:t>
            </w:r>
            <w:r>
              <w:rPr>
                <w:spacing w:val="-1"/>
                <w:sz w:val="22"/>
              </w:rPr>
              <w:t> </w:t>
            </w:r>
            <w:r>
              <w:rPr>
                <w:sz w:val="22"/>
              </w:rPr>
              <w:t>Welsh</w:t>
            </w:r>
            <w:r>
              <w:rPr>
                <w:spacing w:val="-1"/>
                <w:sz w:val="22"/>
              </w:rPr>
              <w:t> </w:t>
            </w:r>
            <w:r>
              <w:rPr>
                <w:sz w:val="22"/>
              </w:rPr>
              <w:t>Government was recently approached by a Charity who wanted to repurpose 198 critical</w:t>
            </w:r>
            <w:r>
              <w:rPr>
                <w:spacing w:val="-14"/>
                <w:sz w:val="22"/>
              </w:rPr>
              <w:t> </w:t>
            </w:r>
            <w:r>
              <w:rPr>
                <w:sz w:val="22"/>
              </w:rPr>
              <w:t>care</w:t>
            </w:r>
            <w:r>
              <w:rPr>
                <w:spacing w:val="-14"/>
                <w:sz w:val="22"/>
              </w:rPr>
              <w:t> </w:t>
            </w:r>
            <w:r>
              <w:rPr>
                <w:sz w:val="22"/>
              </w:rPr>
              <w:t>beds</w:t>
            </w:r>
            <w:r>
              <w:rPr>
                <w:spacing w:val="-14"/>
                <w:sz w:val="22"/>
              </w:rPr>
              <w:t> </w:t>
            </w:r>
            <w:r>
              <w:rPr>
                <w:sz w:val="22"/>
              </w:rPr>
              <w:t>and</w:t>
            </w:r>
            <w:r>
              <w:rPr>
                <w:spacing w:val="-14"/>
                <w:sz w:val="22"/>
              </w:rPr>
              <w:t> </w:t>
            </w:r>
            <w:r>
              <w:rPr>
                <w:sz w:val="22"/>
              </w:rPr>
              <w:t>transport</w:t>
            </w:r>
            <w:r>
              <w:rPr>
                <w:spacing w:val="-14"/>
                <w:sz w:val="22"/>
              </w:rPr>
              <w:t> </w:t>
            </w:r>
            <w:r>
              <w:rPr>
                <w:sz w:val="22"/>
              </w:rPr>
              <w:t>them</w:t>
            </w:r>
            <w:r>
              <w:rPr>
                <w:spacing w:val="-14"/>
                <w:sz w:val="22"/>
              </w:rPr>
              <w:t> </w:t>
            </w:r>
            <w:r>
              <w:rPr>
                <w:sz w:val="22"/>
              </w:rPr>
              <w:t>to</w:t>
            </w:r>
            <w:r>
              <w:rPr>
                <w:spacing w:val="-14"/>
                <w:sz w:val="22"/>
              </w:rPr>
              <w:t> </w:t>
            </w:r>
            <w:r>
              <w:rPr>
                <w:sz w:val="22"/>
              </w:rPr>
              <w:t>Moldova</w:t>
            </w:r>
            <w:r>
              <w:rPr>
                <w:spacing w:val="-14"/>
                <w:sz w:val="22"/>
              </w:rPr>
              <w:t> </w:t>
            </w:r>
            <w:r>
              <w:rPr>
                <w:sz w:val="22"/>
              </w:rPr>
              <w:t>for</w:t>
            </w:r>
            <w:r>
              <w:rPr>
                <w:spacing w:val="-14"/>
                <w:sz w:val="22"/>
              </w:rPr>
              <w:t> </w:t>
            </w:r>
            <w:r>
              <w:rPr>
                <w:sz w:val="22"/>
              </w:rPr>
              <w:t>Ukrainian</w:t>
            </w:r>
            <w:r>
              <w:rPr>
                <w:spacing w:val="-14"/>
                <w:sz w:val="22"/>
              </w:rPr>
              <w:t> </w:t>
            </w:r>
            <w:r>
              <w:rPr>
                <w:sz w:val="22"/>
              </w:rPr>
              <w:t>refugees. Welsh Government agreed to the donation and all governance documentation was completed in conjunction with the Shared Services Partnership</w:t>
            </w:r>
            <w:r>
              <w:rPr>
                <w:spacing w:val="-20"/>
                <w:sz w:val="22"/>
              </w:rPr>
              <w:t> </w:t>
            </w:r>
            <w:r>
              <w:rPr>
                <w:sz w:val="22"/>
              </w:rPr>
              <w:t>Legal</w:t>
            </w:r>
            <w:r>
              <w:rPr>
                <w:spacing w:val="-19"/>
                <w:sz w:val="22"/>
              </w:rPr>
              <w:t> </w:t>
            </w:r>
            <w:r>
              <w:rPr>
                <w:sz w:val="22"/>
              </w:rPr>
              <w:t>and</w:t>
            </w:r>
            <w:r>
              <w:rPr>
                <w:spacing w:val="-19"/>
                <w:sz w:val="22"/>
              </w:rPr>
              <w:t> </w:t>
            </w:r>
            <w:r>
              <w:rPr>
                <w:sz w:val="22"/>
              </w:rPr>
              <w:t>Risk</w:t>
            </w:r>
            <w:r>
              <w:rPr>
                <w:spacing w:val="-20"/>
                <w:sz w:val="22"/>
              </w:rPr>
              <w:t> </w:t>
            </w:r>
            <w:r>
              <w:rPr>
                <w:sz w:val="22"/>
              </w:rPr>
              <w:t>team.</w:t>
            </w:r>
            <w:r>
              <w:rPr>
                <w:spacing w:val="-19"/>
                <w:sz w:val="22"/>
              </w:rPr>
              <w:t> </w:t>
            </w:r>
            <w:r>
              <w:rPr>
                <w:sz w:val="22"/>
              </w:rPr>
              <w:t>To</w:t>
            </w:r>
            <w:r>
              <w:rPr>
                <w:spacing w:val="-20"/>
                <w:sz w:val="22"/>
              </w:rPr>
              <w:t> </w:t>
            </w:r>
            <w:r>
              <w:rPr>
                <w:sz w:val="22"/>
              </w:rPr>
              <w:t>date,</w:t>
            </w:r>
            <w:r>
              <w:rPr>
                <w:spacing w:val="-19"/>
                <w:sz w:val="22"/>
              </w:rPr>
              <w:t> </w:t>
            </w:r>
            <w:r>
              <w:rPr>
                <w:sz w:val="22"/>
              </w:rPr>
              <w:t>there</w:t>
            </w:r>
            <w:r>
              <w:rPr>
                <w:spacing w:val="-19"/>
                <w:sz w:val="22"/>
              </w:rPr>
              <w:t> </w:t>
            </w:r>
            <w:r>
              <w:rPr>
                <w:sz w:val="22"/>
              </w:rPr>
              <w:t>has</w:t>
            </w:r>
            <w:r>
              <w:rPr>
                <w:spacing w:val="-20"/>
                <w:sz w:val="22"/>
              </w:rPr>
              <w:t> </w:t>
            </w:r>
            <w:r>
              <w:rPr>
                <w:sz w:val="22"/>
              </w:rPr>
              <w:t>been</w:t>
            </w:r>
            <w:r>
              <w:rPr>
                <w:spacing w:val="-19"/>
                <w:sz w:val="22"/>
              </w:rPr>
              <w:t> </w:t>
            </w:r>
            <w:r>
              <w:rPr>
                <w:sz w:val="22"/>
              </w:rPr>
              <w:t>two</w:t>
            </w:r>
            <w:r>
              <w:rPr>
                <w:spacing w:val="-19"/>
                <w:sz w:val="22"/>
              </w:rPr>
              <w:t> </w:t>
            </w:r>
            <w:r>
              <w:rPr>
                <w:sz w:val="22"/>
              </w:rPr>
              <w:t>collections and one further collection date has been scheduled to take place week commencing 24 October 2022. NWSSP staff are working with local authorises to see whether the remaining beds could be utilised </w:t>
            </w:r>
            <w:r>
              <w:rPr>
                <w:spacing w:val="-2"/>
                <w:sz w:val="22"/>
              </w:rPr>
              <w:t>elsewhere.</w:t>
            </w:r>
          </w:p>
          <w:p>
            <w:pPr>
              <w:pStyle w:val="TableParagraph"/>
              <w:rPr>
                <w:sz w:val="22"/>
              </w:rPr>
            </w:pPr>
          </w:p>
          <w:p>
            <w:pPr>
              <w:pStyle w:val="TableParagraph"/>
              <w:ind w:left="108"/>
              <w:jc w:val="both"/>
              <w:rPr>
                <w:sz w:val="22"/>
              </w:rPr>
            </w:pPr>
            <w:r>
              <w:rPr>
                <w:sz w:val="22"/>
              </w:rPr>
              <w:t>The</w:t>
            </w:r>
            <w:r>
              <w:rPr>
                <w:spacing w:val="-5"/>
                <w:sz w:val="22"/>
              </w:rPr>
              <w:t> </w:t>
            </w:r>
            <w:r>
              <w:rPr>
                <w:sz w:val="22"/>
              </w:rPr>
              <w:t>Committee</w:t>
            </w:r>
            <w:r>
              <w:rPr>
                <w:spacing w:val="-1"/>
                <w:sz w:val="22"/>
              </w:rPr>
              <w:t> </w:t>
            </w:r>
            <w:r>
              <w:rPr>
                <w:b/>
                <w:sz w:val="22"/>
              </w:rPr>
              <w:t>NOTED</w:t>
            </w:r>
            <w:r>
              <w:rPr>
                <w:b/>
                <w:spacing w:val="1"/>
                <w:sz w:val="22"/>
              </w:rPr>
              <w:t> </w:t>
            </w:r>
            <w:r>
              <w:rPr>
                <w:sz w:val="22"/>
              </w:rPr>
              <w:t>the</w:t>
            </w:r>
            <w:r>
              <w:rPr>
                <w:spacing w:val="-2"/>
                <w:sz w:val="22"/>
              </w:rPr>
              <w:t> Report.</w:t>
            </w:r>
          </w:p>
        </w:tc>
        <w:tc>
          <w:tcPr>
            <w:tcW w:w="1535" w:type="dxa"/>
          </w:tcPr>
          <w:p>
            <w:pPr>
              <w:pStyle w:val="TableParagraph"/>
              <w:rPr>
                <w:rFonts w:ascii="Times New Roman"/>
                <w:sz w:val="22"/>
              </w:rPr>
            </w:pPr>
          </w:p>
        </w:tc>
      </w:tr>
      <w:tr>
        <w:trPr>
          <w:trHeight w:val="6684" w:hRule="atLeast"/>
        </w:trPr>
        <w:tc>
          <w:tcPr>
            <w:tcW w:w="1355" w:type="dxa"/>
          </w:tcPr>
          <w:p>
            <w:pPr>
              <w:pStyle w:val="TableParagraph"/>
              <w:ind w:left="108"/>
              <w:rPr>
                <w:b/>
                <w:sz w:val="22"/>
              </w:rPr>
            </w:pPr>
            <w:r>
              <w:rPr>
                <w:b/>
                <w:spacing w:val="-5"/>
                <w:sz w:val="22"/>
              </w:rPr>
              <w:t>6.5</w:t>
            </w:r>
          </w:p>
        </w:tc>
        <w:tc>
          <w:tcPr>
            <w:tcW w:w="8128" w:type="dxa"/>
          </w:tcPr>
          <w:p>
            <w:pPr>
              <w:pStyle w:val="TableParagraph"/>
              <w:ind w:left="108"/>
              <w:jc w:val="both"/>
              <w:rPr>
                <w:b/>
                <w:sz w:val="22"/>
              </w:rPr>
            </w:pPr>
            <w:r>
              <w:rPr>
                <w:b/>
                <w:sz w:val="22"/>
              </w:rPr>
              <w:t>Corporate</w:t>
            </w:r>
            <w:r>
              <w:rPr>
                <w:b/>
                <w:spacing w:val="-5"/>
                <w:sz w:val="22"/>
              </w:rPr>
              <w:t> </w:t>
            </w:r>
            <w:r>
              <w:rPr>
                <w:b/>
                <w:sz w:val="22"/>
              </w:rPr>
              <w:t>Risk</w:t>
            </w:r>
            <w:r>
              <w:rPr>
                <w:b/>
                <w:spacing w:val="-5"/>
                <w:sz w:val="22"/>
              </w:rPr>
              <w:t> </w:t>
            </w:r>
            <w:r>
              <w:rPr>
                <w:b/>
                <w:spacing w:val="-2"/>
                <w:sz w:val="22"/>
              </w:rPr>
              <w:t>Register</w:t>
            </w:r>
          </w:p>
          <w:p>
            <w:pPr>
              <w:pStyle w:val="TableParagraph"/>
              <w:ind w:left="108" w:right="95"/>
              <w:jc w:val="both"/>
              <w:rPr>
                <w:sz w:val="22"/>
              </w:rPr>
            </w:pPr>
            <w:r>
              <w:rPr>
                <w:sz w:val="22"/>
              </w:rPr>
              <w:t>PS presented the Corporate Risk Register which contains one red risk concerning the inflationary impact on goods and services, particularly relating to energy. This continues to be mitigated as far as possible through the actions of the Energy Price Risk Management Group.</w:t>
            </w:r>
          </w:p>
          <w:p>
            <w:pPr>
              <w:pStyle w:val="TableParagraph"/>
              <w:rPr>
                <w:sz w:val="22"/>
              </w:rPr>
            </w:pPr>
          </w:p>
          <w:p>
            <w:pPr>
              <w:pStyle w:val="TableParagraph"/>
              <w:ind w:left="108" w:right="96"/>
              <w:jc w:val="both"/>
              <w:rPr>
                <w:sz w:val="22"/>
              </w:rPr>
            </w:pPr>
            <w:r>
              <w:rPr>
                <w:sz w:val="22"/>
              </w:rPr>
              <w:t>There have been three new risks added to the register since the last Audit Committee meeting. These are as follows:</w:t>
            </w:r>
          </w:p>
          <w:p>
            <w:pPr>
              <w:pStyle w:val="TableParagraph"/>
              <w:spacing w:before="2"/>
              <w:rPr>
                <w:sz w:val="22"/>
              </w:rPr>
            </w:pPr>
          </w:p>
          <w:p>
            <w:pPr>
              <w:pStyle w:val="TableParagraph"/>
              <w:numPr>
                <w:ilvl w:val="0"/>
                <w:numId w:val="5"/>
              </w:numPr>
              <w:tabs>
                <w:tab w:pos="828" w:val="left" w:leader="none"/>
              </w:tabs>
              <w:spacing w:line="237" w:lineRule="auto" w:before="0" w:after="0"/>
              <w:ind w:left="827" w:right="96" w:hanging="360"/>
              <w:jc w:val="both"/>
              <w:rPr>
                <w:sz w:val="22"/>
              </w:rPr>
            </w:pPr>
            <w:r>
              <w:rPr>
                <w:sz w:val="22"/>
              </w:rPr>
              <w:t>The</w:t>
            </w:r>
            <w:r>
              <w:rPr>
                <w:spacing w:val="-20"/>
                <w:sz w:val="22"/>
              </w:rPr>
              <w:t> </w:t>
            </w:r>
            <w:r>
              <w:rPr>
                <w:sz w:val="22"/>
              </w:rPr>
              <w:t>threat</w:t>
            </w:r>
            <w:r>
              <w:rPr>
                <w:spacing w:val="-19"/>
                <w:sz w:val="22"/>
              </w:rPr>
              <w:t> </w:t>
            </w:r>
            <w:r>
              <w:rPr>
                <w:sz w:val="22"/>
              </w:rPr>
              <w:t>of</w:t>
            </w:r>
            <w:r>
              <w:rPr>
                <w:spacing w:val="-19"/>
                <w:sz w:val="22"/>
              </w:rPr>
              <w:t> </w:t>
            </w:r>
            <w:r>
              <w:rPr>
                <w:sz w:val="22"/>
              </w:rPr>
              <w:t>industrial</w:t>
            </w:r>
            <w:r>
              <w:rPr>
                <w:spacing w:val="-20"/>
                <w:sz w:val="22"/>
              </w:rPr>
              <w:t> </w:t>
            </w:r>
            <w:r>
              <w:rPr>
                <w:sz w:val="22"/>
              </w:rPr>
              <w:t>action</w:t>
            </w:r>
            <w:r>
              <w:rPr>
                <w:spacing w:val="-19"/>
                <w:sz w:val="22"/>
              </w:rPr>
              <w:t> </w:t>
            </w:r>
            <w:r>
              <w:rPr>
                <w:sz w:val="22"/>
              </w:rPr>
              <w:t>and</w:t>
            </w:r>
            <w:r>
              <w:rPr>
                <w:spacing w:val="-20"/>
                <w:sz w:val="22"/>
              </w:rPr>
              <w:t> </w:t>
            </w:r>
            <w:r>
              <w:rPr>
                <w:sz w:val="22"/>
              </w:rPr>
              <w:t>the</w:t>
            </w:r>
            <w:r>
              <w:rPr>
                <w:spacing w:val="-19"/>
                <w:sz w:val="22"/>
              </w:rPr>
              <w:t> </w:t>
            </w:r>
            <w:r>
              <w:rPr>
                <w:sz w:val="22"/>
              </w:rPr>
              <w:t>resulting</w:t>
            </w:r>
            <w:r>
              <w:rPr>
                <w:spacing w:val="-19"/>
                <w:sz w:val="22"/>
              </w:rPr>
              <w:t> </w:t>
            </w:r>
            <w:r>
              <w:rPr>
                <w:sz w:val="22"/>
              </w:rPr>
              <w:t>impact</w:t>
            </w:r>
            <w:r>
              <w:rPr>
                <w:spacing w:val="-20"/>
                <w:sz w:val="22"/>
              </w:rPr>
              <w:t> </w:t>
            </w:r>
            <w:r>
              <w:rPr>
                <w:sz w:val="22"/>
              </w:rPr>
              <w:t>on</w:t>
            </w:r>
            <w:r>
              <w:rPr>
                <w:spacing w:val="-19"/>
                <w:sz w:val="22"/>
              </w:rPr>
              <w:t> </w:t>
            </w:r>
            <w:r>
              <w:rPr>
                <w:sz w:val="22"/>
              </w:rPr>
              <w:t>delivery of services;</w:t>
            </w:r>
          </w:p>
          <w:p>
            <w:pPr>
              <w:pStyle w:val="TableParagraph"/>
              <w:numPr>
                <w:ilvl w:val="0"/>
                <w:numId w:val="5"/>
              </w:numPr>
              <w:tabs>
                <w:tab w:pos="828" w:val="left" w:leader="none"/>
              </w:tabs>
              <w:spacing w:line="240" w:lineRule="auto" w:before="1" w:after="0"/>
              <w:ind w:left="827" w:right="94" w:hanging="360"/>
              <w:jc w:val="both"/>
              <w:rPr>
                <w:sz w:val="22"/>
              </w:rPr>
            </w:pPr>
            <w:r>
              <w:rPr>
                <w:sz w:val="22"/>
              </w:rPr>
              <w:t>A current dispute with the supplier of the new Legal &amp; Risk Case Management</w:t>
            </w:r>
            <w:r>
              <w:rPr>
                <w:spacing w:val="-15"/>
                <w:sz w:val="22"/>
              </w:rPr>
              <w:t> </w:t>
            </w:r>
            <w:r>
              <w:rPr>
                <w:sz w:val="22"/>
              </w:rPr>
              <w:t>system</w:t>
            </w:r>
            <w:r>
              <w:rPr>
                <w:spacing w:val="-15"/>
                <w:sz w:val="22"/>
              </w:rPr>
              <w:t> </w:t>
            </w:r>
            <w:r>
              <w:rPr>
                <w:sz w:val="22"/>
              </w:rPr>
              <w:t>which</w:t>
            </w:r>
            <w:r>
              <w:rPr>
                <w:spacing w:val="-15"/>
                <w:sz w:val="22"/>
              </w:rPr>
              <w:t> </w:t>
            </w:r>
            <w:r>
              <w:rPr>
                <w:sz w:val="22"/>
              </w:rPr>
              <w:t>may</w:t>
            </w:r>
            <w:r>
              <w:rPr>
                <w:spacing w:val="-15"/>
                <w:sz w:val="22"/>
              </w:rPr>
              <w:t> </w:t>
            </w:r>
            <w:r>
              <w:rPr>
                <w:sz w:val="22"/>
              </w:rPr>
              <w:t>have</w:t>
            </w:r>
            <w:r>
              <w:rPr>
                <w:spacing w:val="-15"/>
                <w:sz w:val="22"/>
              </w:rPr>
              <w:t> </w:t>
            </w:r>
            <w:r>
              <w:rPr>
                <w:sz w:val="22"/>
              </w:rPr>
              <w:t>both</w:t>
            </w:r>
            <w:r>
              <w:rPr>
                <w:spacing w:val="-15"/>
                <w:sz w:val="22"/>
              </w:rPr>
              <w:t> </w:t>
            </w:r>
            <w:r>
              <w:rPr>
                <w:sz w:val="22"/>
              </w:rPr>
              <w:t>a</w:t>
            </w:r>
            <w:r>
              <w:rPr>
                <w:spacing w:val="-15"/>
                <w:sz w:val="22"/>
              </w:rPr>
              <w:t> </w:t>
            </w:r>
            <w:r>
              <w:rPr>
                <w:sz w:val="22"/>
              </w:rPr>
              <w:t>financial</w:t>
            </w:r>
            <w:r>
              <w:rPr>
                <w:spacing w:val="-15"/>
                <w:sz w:val="22"/>
              </w:rPr>
              <w:t> </w:t>
            </w:r>
            <w:r>
              <w:rPr>
                <w:sz w:val="22"/>
              </w:rPr>
              <w:t>and</w:t>
            </w:r>
            <w:r>
              <w:rPr>
                <w:spacing w:val="-15"/>
                <w:sz w:val="22"/>
              </w:rPr>
              <w:t> </w:t>
            </w:r>
            <w:r>
              <w:rPr>
                <w:sz w:val="22"/>
              </w:rPr>
              <w:t>service delivery impact; and</w:t>
            </w:r>
          </w:p>
          <w:p>
            <w:pPr>
              <w:pStyle w:val="TableParagraph"/>
              <w:numPr>
                <w:ilvl w:val="0"/>
                <w:numId w:val="5"/>
              </w:numPr>
              <w:tabs>
                <w:tab w:pos="828" w:val="left" w:leader="none"/>
              </w:tabs>
              <w:spacing w:line="237" w:lineRule="auto" w:before="0" w:after="0"/>
              <w:ind w:left="827" w:right="94" w:hanging="360"/>
              <w:jc w:val="both"/>
              <w:rPr>
                <w:sz w:val="22"/>
              </w:rPr>
            </w:pPr>
            <w:r>
              <w:rPr>
                <w:sz w:val="22"/>
              </w:rPr>
              <w:t>Difficulties in obtaining sufficient financial and staff resource to take forward the agreed plans for the Clinical Pharmacy service.</w:t>
            </w:r>
          </w:p>
          <w:p>
            <w:pPr>
              <w:pStyle w:val="TableParagraph"/>
              <w:spacing w:before="1"/>
              <w:rPr>
                <w:sz w:val="22"/>
              </w:rPr>
            </w:pPr>
          </w:p>
          <w:p>
            <w:pPr>
              <w:pStyle w:val="TableParagraph"/>
              <w:ind w:left="108" w:right="94"/>
              <w:jc w:val="both"/>
              <w:rPr>
                <w:sz w:val="22"/>
              </w:rPr>
            </w:pPr>
            <w:r>
              <w:rPr>
                <w:sz w:val="22"/>
              </w:rPr>
              <w:t>In addition to the above, one risk relating to Covid-19 Pandemic has been</w:t>
            </w:r>
            <w:r>
              <w:rPr>
                <w:spacing w:val="-11"/>
                <w:sz w:val="22"/>
              </w:rPr>
              <w:t> </w:t>
            </w:r>
            <w:r>
              <w:rPr>
                <w:sz w:val="22"/>
              </w:rPr>
              <w:t>re-escalated</w:t>
            </w:r>
            <w:r>
              <w:rPr>
                <w:spacing w:val="-11"/>
                <w:sz w:val="22"/>
              </w:rPr>
              <w:t> </w:t>
            </w:r>
            <w:r>
              <w:rPr>
                <w:sz w:val="22"/>
              </w:rPr>
              <w:t>from</w:t>
            </w:r>
            <w:r>
              <w:rPr>
                <w:spacing w:val="-11"/>
                <w:sz w:val="22"/>
              </w:rPr>
              <w:t> </w:t>
            </w:r>
            <w:r>
              <w:rPr>
                <w:sz w:val="22"/>
              </w:rPr>
              <w:t>monitoring</w:t>
            </w:r>
            <w:r>
              <w:rPr>
                <w:spacing w:val="-11"/>
                <w:sz w:val="22"/>
              </w:rPr>
              <w:t> </w:t>
            </w:r>
            <w:r>
              <w:rPr>
                <w:sz w:val="22"/>
              </w:rPr>
              <w:t>to</w:t>
            </w:r>
            <w:r>
              <w:rPr>
                <w:spacing w:val="-11"/>
                <w:sz w:val="22"/>
              </w:rPr>
              <w:t> </w:t>
            </w:r>
            <w:r>
              <w:rPr>
                <w:sz w:val="22"/>
              </w:rPr>
              <w:t>a</w:t>
            </w:r>
            <w:r>
              <w:rPr>
                <w:spacing w:val="-11"/>
                <w:sz w:val="22"/>
              </w:rPr>
              <w:t> </w:t>
            </w:r>
            <w:r>
              <w:rPr>
                <w:sz w:val="22"/>
              </w:rPr>
              <w:t>risk</w:t>
            </w:r>
            <w:r>
              <w:rPr>
                <w:spacing w:val="-11"/>
                <w:sz w:val="22"/>
              </w:rPr>
              <w:t> </w:t>
            </w:r>
            <w:r>
              <w:rPr>
                <w:sz w:val="22"/>
              </w:rPr>
              <w:t>for</w:t>
            </w:r>
            <w:r>
              <w:rPr>
                <w:spacing w:val="-11"/>
                <w:sz w:val="22"/>
              </w:rPr>
              <w:t> </w:t>
            </w:r>
            <w:r>
              <w:rPr>
                <w:sz w:val="22"/>
              </w:rPr>
              <w:t>action</w:t>
            </w:r>
            <w:r>
              <w:rPr>
                <w:spacing w:val="-11"/>
                <w:sz w:val="22"/>
              </w:rPr>
              <w:t> </w:t>
            </w:r>
            <w:r>
              <w:rPr>
                <w:sz w:val="22"/>
              </w:rPr>
              <w:t>and</w:t>
            </w:r>
            <w:r>
              <w:rPr>
                <w:spacing w:val="-11"/>
                <w:sz w:val="22"/>
              </w:rPr>
              <w:t> </w:t>
            </w:r>
            <w:r>
              <w:rPr>
                <w:sz w:val="22"/>
              </w:rPr>
              <w:t>relates</w:t>
            </w:r>
            <w:r>
              <w:rPr>
                <w:spacing w:val="-11"/>
                <w:sz w:val="22"/>
              </w:rPr>
              <w:t> </w:t>
            </w:r>
            <w:r>
              <w:rPr>
                <w:sz w:val="22"/>
              </w:rPr>
              <w:t>to</w:t>
            </w:r>
            <w:r>
              <w:rPr>
                <w:spacing w:val="-11"/>
                <w:sz w:val="22"/>
              </w:rPr>
              <w:t> </w:t>
            </w:r>
            <w:r>
              <w:rPr>
                <w:sz w:val="22"/>
              </w:rPr>
              <w:t>the temporary fixed term posts of staff recruited through the Pandemic. At present</w:t>
            </w:r>
            <w:r>
              <w:rPr>
                <w:spacing w:val="-18"/>
                <w:sz w:val="22"/>
              </w:rPr>
              <w:t> </w:t>
            </w:r>
            <w:r>
              <w:rPr>
                <w:sz w:val="22"/>
              </w:rPr>
              <w:t>there</w:t>
            </w:r>
            <w:r>
              <w:rPr>
                <w:spacing w:val="-18"/>
                <w:sz w:val="22"/>
              </w:rPr>
              <w:t> </w:t>
            </w:r>
            <w:r>
              <w:rPr>
                <w:sz w:val="22"/>
              </w:rPr>
              <w:t>is</w:t>
            </w:r>
            <w:r>
              <w:rPr>
                <w:spacing w:val="-18"/>
                <w:sz w:val="22"/>
              </w:rPr>
              <w:t> </w:t>
            </w:r>
            <w:r>
              <w:rPr>
                <w:sz w:val="22"/>
              </w:rPr>
              <w:t>lack</w:t>
            </w:r>
            <w:r>
              <w:rPr>
                <w:spacing w:val="-19"/>
                <w:sz w:val="22"/>
              </w:rPr>
              <w:t> </w:t>
            </w:r>
            <w:r>
              <w:rPr>
                <w:sz w:val="22"/>
              </w:rPr>
              <w:t>of</w:t>
            </w:r>
            <w:r>
              <w:rPr>
                <w:spacing w:val="-18"/>
                <w:sz w:val="22"/>
              </w:rPr>
              <w:t> </w:t>
            </w:r>
            <w:r>
              <w:rPr>
                <w:sz w:val="22"/>
              </w:rPr>
              <w:t>uncertainly</w:t>
            </w:r>
            <w:r>
              <w:rPr>
                <w:spacing w:val="-18"/>
                <w:sz w:val="22"/>
              </w:rPr>
              <w:t> </w:t>
            </w:r>
            <w:r>
              <w:rPr>
                <w:sz w:val="22"/>
              </w:rPr>
              <w:t>as</w:t>
            </w:r>
            <w:r>
              <w:rPr>
                <w:spacing w:val="-18"/>
                <w:sz w:val="22"/>
              </w:rPr>
              <w:t> </w:t>
            </w:r>
            <w:r>
              <w:rPr>
                <w:sz w:val="22"/>
              </w:rPr>
              <w:t>to</w:t>
            </w:r>
            <w:r>
              <w:rPr>
                <w:spacing w:val="-18"/>
                <w:sz w:val="22"/>
              </w:rPr>
              <w:t> </w:t>
            </w:r>
            <w:r>
              <w:rPr>
                <w:sz w:val="22"/>
              </w:rPr>
              <w:t>whether</w:t>
            </w:r>
            <w:r>
              <w:rPr>
                <w:spacing w:val="-18"/>
                <w:sz w:val="22"/>
              </w:rPr>
              <w:t> </w:t>
            </w:r>
            <w:r>
              <w:rPr>
                <w:sz w:val="22"/>
              </w:rPr>
              <w:t>the</w:t>
            </w:r>
            <w:r>
              <w:rPr>
                <w:spacing w:val="-18"/>
                <w:sz w:val="22"/>
              </w:rPr>
              <w:t> </w:t>
            </w:r>
            <w:r>
              <w:rPr>
                <w:sz w:val="22"/>
              </w:rPr>
              <w:t>Welsh</w:t>
            </w:r>
            <w:r>
              <w:rPr>
                <w:spacing w:val="-18"/>
                <w:sz w:val="22"/>
              </w:rPr>
              <w:t> </w:t>
            </w:r>
            <w:r>
              <w:rPr>
                <w:sz w:val="22"/>
              </w:rPr>
              <w:t>Government would</w:t>
            </w:r>
            <w:r>
              <w:rPr>
                <w:spacing w:val="-18"/>
                <w:sz w:val="22"/>
              </w:rPr>
              <w:t> </w:t>
            </w:r>
            <w:r>
              <w:rPr>
                <w:sz w:val="22"/>
              </w:rPr>
              <w:t>continue</w:t>
            </w:r>
            <w:r>
              <w:rPr>
                <w:spacing w:val="-19"/>
                <w:sz w:val="22"/>
              </w:rPr>
              <w:t> </w:t>
            </w:r>
            <w:r>
              <w:rPr>
                <w:sz w:val="22"/>
              </w:rPr>
              <w:t>to</w:t>
            </w:r>
            <w:r>
              <w:rPr>
                <w:spacing w:val="-18"/>
                <w:sz w:val="22"/>
              </w:rPr>
              <w:t> </w:t>
            </w:r>
            <w:r>
              <w:rPr>
                <w:sz w:val="22"/>
              </w:rPr>
              <w:t>fund</w:t>
            </w:r>
            <w:r>
              <w:rPr>
                <w:spacing w:val="-18"/>
                <w:sz w:val="22"/>
              </w:rPr>
              <w:t> </w:t>
            </w:r>
            <w:r>
              <w:rPr>
                <w:sz w:val="22"/>
              </w:rPr>
              <w:t>the</w:t>
            </w:r>
            <w:r>
              <w:rPr>
                <w:spacing w:val="-18"/>
                <w:sz w:val="22"/>
              </w:rPr>
              <w:t> </w:t>
            </w:r>
            <w:r>
              <w:rPr>
                <w:sz w:val="22"/>
              </w:rPr>
              <w:t>additional</w:t>
            </w:r>
            <w:r>
              <w:rPr>
                <w:spacing w:val="-18"/>
                <w:sz w:val="22"/>
              </w:rPr>
              <w:t> </w:t>
            </w:r>
            <w:r>
              <w:rPr>
                <w:sz w:val="22"/>
              </w:rPr>
              <w:t>posts</w:t>
            </w:r>
            <w:r>
              <w:rPr>
                <w:spacing w:val="-18"/>
                <w:sz w:val="22"/>
              </w:rPr>
              <w:t> </w:t>
            </w:r>
            <w:r>
              <w:rPr>
                <w:sz w:val="22"/>
              </w:rPr>
              <w:t>appointed</w:t>
            </w:r>
            <w:r>
              <w:rPr>
                <w:spacing w:val="-18"/>
                <w:sz w:val="22"/>
              </w:rPr>
              <w:t> </w:t>
            </w:r>
            <w:r>
              <w:rPr>
                <w:sz w:val="22"/>
              </w:rPr>
              <w:t>pre-covid,</w:t>
            </w:r>
            <w:r>
              <w:rPr>
                <w:spacing w:val="-18"/>
                <w:sz w:val="22"/>
              </w:rPr>
              <w:t> </w:t>
            </w:r>
            <w:r>
              <w:rPr>
                <w:sz w:val="22"/>
              </w:rPr>
              <w:t>despite the roles still being needed.</w:t>
            </w:r>
          </w:p>
          <w:p>
            <w:pPr>
              <w:pStyle w:val="TableParagraph"/>
              <w:rPr>
                <w:sz w:val="22"/>
              </w:rPr>
            </w:pPr>
          </w:p>
          <w:p>
            <w:pPr>
              <w:pStyle w:val="TableParagraph"/>
              <w:spacing w:line="247" w:lineRule="exact"/>
              <w:ind w:left="108"/>
              <w:jc w:val="both"/>
              <w:rPr>
                <w:sz w:val="22"/>
              </w:rPr>
            </w:pPr>
            <w:r>
              <w:rPr>
                <w:sz w:val="22"/>
              </w:rPr>
              <w:t>The</w:t>
            </w:r>
            <w:r>
              <w:rPr>
                <w:spacing w:val="-5"/>
                <w:sz w:val="22"/>
              </w:rPr>
              <w:t> </w:t>
            </w:r>
            <w:r>
              <w:rPr>
                <w:sz w:val="22"/>
              </w:rPr>
              <w:t>Committee</w:t>
            </w:r>
            <w:r>
              <w:rPr>
                <w:spacing w:val="-1"/>
                <w:sz w:val="22"/>
              </w:rPr>
              <w:t> </w:t>
            </w:r>
            <w:r>
              <w:rPr>
                <w:b/>
                <w:sz w:val="22"/>
              </w:rPr>
              <w:t>NOTED</w:t>
            </w:r>
            <w:r>
              <w:rPr>
                <w:b/>
                <w:spacing w:val="1"/>
                <w:sz w:val="22"/>
              </w:rPr>
              <w:t> </w:t>
            </w:r>
            <w:r>
              <w:rPr>
                <w:sz w:val="22"/>
              </w:rPr>
              <w:t>the</w:t>
            </w:r>
            <w:r>
              <w:rPr>
                <w:spacing w:val="-2"/>
                <w:sz w:val="22"/>
              </w:rPr>
              <w:t> Report.</w:t>
            </w:r>
          </w:p>
        </w:tc>
        <w:tc>
          <w:tcPr>
            <w:tcW w:w="1535" w:type="dxa"/>
          </w:tcPr>
          <w:p>
            <w:pPr>
              <w:pStyle w:val="TableParagraph"/>
              <w:rPr>
                <w:rFonts w:ascii="Times New Roman"/>
                <w:sz w:val="22"/>
              </w:rPr>
            </w:pPr>
          </w:p>
        </w:tc>
      </w:tr>
      <w:tr>
        <w:trPr>
          <w:trHeight w:val="2406" w:hRule="atLeast"/>
        </w:trPr>
        <w:tc>
          <w:tcPr>
            <w:tcW w:w="1355" w:type="dxa"/>
          </w:tcPr>
          <w:p>
            <w:pPr>
              <w:pStyle w:val="TableParagraph"/>
              <w:ind w:left="108"/>
              <w:rPr>
                <w:b/>
                <w:sz w:val="22"/>
              </w:rPr>
            </w:pPr>
            <w:r>
              <w:rPr>
                <w:b/>
                <w:spacing w:val="-5"/>
                <w:sz w:val="22"/>
              </w:rPr>
              <w:t>6.6</w:t>
            </w:r>
          </w:p>
        </w:tc>
        <w:tc>
          <w:tcPr>
            <w:tcW w:w="8128" w:type="dxa"/>
          </w:tcPr>
          <w:p>
            <w:pPr>
              <w:pStyle w:val="TableParagraph"/>
              <w:ind w:left="108"/>
              <w:jc w:val="both"/>
              <w:rPr>
                <w:b/>
                <w:sz w:val="22"/>
              </w:rPr>
            </w:pPr>
            <w:r>
              <w:rPr>
                <w:b/>
                <w:sz w:val="22"/>
              </w:rPr>
              <w:t>Tracking</w:t>
            </w:r>
            <w:r>
              <w:rPr>
                <w:b/>
                <w:spacing w:val="-3"/>
                <w:sz w:val="22"/>
              </w:rPr>
              <w:t> </w:t>
            </w:r>
            <w:r>
              <w:rPr>
                <w:b/>
                <w:sz w:val="22"/>
              </w:rPr>
              <w:t>of</w:t>
            </w:r>
            <w:r>
              <w:rPr>
                <w:b/>
                <w:spacing w:val="-1"/>
                <w:sz w:val="22"/>
              </w:rPr>
              <w:t> </w:t>
            </w:r>
            <w:r>
              <w:rPr>
                <w:b/>
                <w:sz w:val="22"/>
              </w:rPr>
              <w:t>Audit</w:t>
            </w:r>
            <w:r>
              <w:rPr>
                <w:b/>
                <w:spacing w:val="-2"/>
                <w:sz w:val="22"/>
              </w:rPr>
              <w:t> Recommendations</w:t>
            </w:r>
          </w:p>
          <w:p>
            <w:pPr>
              <w:pStyle w:val="TableParagraph"/>
              <w:ind w:left="108" w:right="95"/>
              <w:jc w:val="both"/>
              <w:rPr>
                <w:sz w:val="22"/>
              </w:rPr>
            </w:pPr>
            <w:r>
              <w:rPr>
                <w:sz w:val="22"/>
              </w:rPr>
              <w:t>PS presented the paper and noted that there were currently no outstanding recommendations although there are four recommendations</w:t>
            </w:r>
            <w:r>
              <w:rPr>
                <w:spacing w:val="-2"/>
                <w:sz w:val="22"/>
              </w:rPr>
              <w:t> </w:t>
            </w:r>
            <w:r>
              <w:rPr>
                <w:sz w:val="22"/>
              </w:rPr>
              <w:t>where</w:t>
            </w:r>
            <w:r>
              <w:rPr>
                <w:spacing w:val="-2"/>
                <w:sz w:val="22"/>
              </w:rPr>
              <w:t> </w:t>
            </w:r>
            <w:r>
              <w:rPr>
                <w:sz w:val="22"/>
              </w:rPr>
              <w:t>the</w:t>
            </w:r>
            <w:r>
              <w:rPr>
                <w:spacing w:val="-2"/>
                <w:sz w:val="22"/>
              </w:rPr>
              <w:t> </w:t>
            </w:r>
            <w:r>
              <w:rPr>
                <w:sz w:val="22"/>
              </w:rPr>
              <w:t>agreed</w:t>
            </w:r>
            <w:r>
              <w:rPr>
                <w:spacing w:val="-2"/>
                <w:sz w:val="22"/>
              </w:rPr>
              <w:t> </w:t>
            </w:r>
            <w:r>
              <w:rPr>
                <w:sz w:val="22"/>
              </w:rPr>
              <w:t>date</w:t>
            </w:r>
            <w:r>
              <w:rPr>
                <w:spacing w:val="-2"/>
                <w:sz w:val="22"/>
              </w:rPr>
              <w:t> </w:t>
            </w:r>
            <w:r>
              <w:rPr>
                <w:sz w:val="22"/>
              </w:rPr>
              <w:t>has</w:t>
            </w:r>
            <w:r>
              <w:rPr>
                <w:spacing w:val="-2"/>
                <w:sz w:val="22"/>
              </w:rPr>
              <w:t> </w:t>
            </w:r>
            <w:r>
              <w:rPr>
                <w:sz w:val="22"/>
              </w:rPr>
              <w:t>passed</w:t>
            </w:r>
            <w:r>
              <w:rPr>
                <w:spacing w:val="-2"/>
                <w:sz w:val="22"/>
              </w:rPr>
              <w:t> </w:t>
            </w:r>
            <w:r>
              <w:rPr>
                <w:sz w:val="22"/>
              </w:rPr>
              <w:t>but</w:t>
            </w:r>
            <w:r>
              <w:rPr>
                <w:spacing w:val="-2"/>
                <w:sz w:val="22"/>
              </w:rPr>
              <w:t> </w:t>
            </w:r>
            <w:r>
              <w:rPr>
                <w:sz w:val="22"/>
              </w:rPr>
              <w:t>completion</w:t>
            </w:r>
            <w:r>
              <w:rPr>
                <w:spacing w:val="-2"/>
                <w:sz w:val="22"/>
              </w:rPr>
              <w:t> </w:t>
            </w:r>
            <w:r>
              <w:rPr>
                <w:sz w:val="22"/>
              </w:rPr>
              <w:t>of the actions is dependent upon third parties. It was agreed that these would be shared with the Shared Services Partnership Committee to obtain appropriate updates.</w:t>
            </w:r>
          </w:p>
          <w:p>
            <w:pPr>
              <w:pStyle w:val="TableParagraph"/>
              <w:rPr>
                <w:sz w:val="22"/>
              </w:rPr>
            </w:pPr>
          </w:p>
          <w:p>
            <w:pPr>
              <w:pStyle w:val="TableParagraph"/>
              <w:spacing w:line="247" w:lineRule="exact"/>
              <w:ind w:left="108"/>
              <w:jc w:val="both"/>
              <w:rPr>
                <w:sz w:val="22"/>
              </w:rPr>
            </w:pPr>
            <w:r>
              <w:rPr>
                <w:sz w:val="22"/>
              </w:rPr>
              <w:t>The</w:t>
            </w:r>
            <w:r>
              <w:rPr>
                <w:spacing w:val="-5"/>
                <w:sz w:val="22"/>
              </w:rPr>
              <w:t> </w:t>
            </w:r>
            <w:r>
              <w:rPr>
                <w:sz w:val="22"/>
              </w:rPr>
              <w:t>Committee</w:t>
            </w:r>
            <w:r>
              <w:rPr>
                <w:spacing w:val="-1"/>
                <w:sz w:val="22"/>
              </w:rPr>
              <w:t> </w:t>
            </w:r>
            <w:r>
              <w:rPr>
                <w:b/>
                <w:sz w:val="22"/>
              </w:rPr>
              <w:t>NOTED</w:t>
            </w:r>
            <w:r>
              <w:rPr>
                <w:b/>
                <w:spacing w:val="1"/>
                <w:sz w:val="22"/>
              </w:rPr>
              <w:t> </w:t>
            </w:r>
            <w:r>
              <w:rPr>
                <w:sz w:val="22"/>
              </w:rPr>
              <w:t>the</w:t>
            </w:r>
            <w:r>
              <w:rPr>
                <w:spacing w:val="-2"/>
                <w:sz w:val="22"/>
              </w:rPr>
              <w:t> Report.</w:t>
            </w:r>
          </w:p>
        </w:tc>
        <w:tc>
          <w:tcPr>
            <w:tcW w:w="1535" w:type="dxa"/>
          </w:tcPr>
          <w:p>
            <w:pPr>
              <w:pStyle w:val="TableParagraph"/>
              <w:rPr>
                <w:sz w:val="26"/>
              </w:rPr>
            </w:pPr>
          </w:p>
          <w:p>
            <w:pPr>
              <w:pStyle w:val="TableParagraph"/>
              <w:rPr>
                <w:sz w:val="26"/>
              </w:rPr>
            </w:pPr>
          </w:p>
          <w:p>
            <w:pPr>
              <w:pStyle w:val="TableParagraph"/>
              <w:rPr>
                <w:sz w:val="26"/>
              </w:rPr>
            </w:pPr>
          </w:p>
          <w:p>
            <w:pPr>
              <w:pStyle w:val="TableParagraph"/>
              <w:rPr>
                <w:sz w:val="26"/>
              </w:rPr>
            </w:pPr>
          </w:p>
          <w:p>
            <w:pPr>
              <w:pStyle w:val="TableParagraph"/>
              <w:rPr>
                <w:sz w:val="28"/>
              </w:rPr>
            </w:pPr>
          </w:p>
          <w:p>
            <w:pPr>
              <w:pStyle w:val="TableParagraph"/>
              <w:ind w:right="596"/>
              <w:jc w:val="right"/>
              <w:rPr>
                <w:b/>
                <w:sz w:val="22"/>
              </w:rPr>
            </w:pPr>
            <w:r>
              <w:rPr>
                <w:b/>
                <w:spacing w:val="-5"/>
                <w:sz w:val="22"/>
              </w:rPr>
              <w:t>PS</w:t>
            </w:r>
          </w:p>
        </w:tc>
      </w:tr>
    </w:tbl>
    <w:p>
      <w:pPr>
        <w:pStyle w:val="BodyText"/>
        <w:spacing w:before="47"/>
        <w:ind w:left="850"/>
      </w:pPr>
      <w:r>
        <w:rPr/>
        <w:t>NWSSP</w:t>
      </w:r>
      <w:r>
        <w:rPr>
          <w:spacing w:val="-4"/>
        </w:rPr>
        <w:t> </w:t>
      </w:r>
      <w:r>
        <w:rPr/>
        <w:t>Audit</w:t>
      </w:r>
      <w:r>
        <w:rPr>
          <w:spacing w:val="-2"/>
        </w:rPr>
        <w:t> Committee</w:t>
      </w:r>
    </w:p>
    <w:p>
      <w:pPr>
        <w:pStyle w:val="BodyText"/>
        <w:tabs>
          <w:tab w:pos="10762" w:val="left" w:leader="none"/>
        </w:tabs>
        <w:ind w:left="850"/>
      </w:pPr>
      <w:r>
        <w:rPr/>
        <w:t>11</w:t>
      </w:r>
      <w:r>
        <w:rPr>
          <w:spacing w:val="-4"/>
        </w:rPr>
        <w:t> </w:t>
      </w:r>
      <w:r>
        <w:rPr/>
        <w:t>October</w:t>
      </w:r>
      <w:r>
        <w:rPr>
          <w:spacing w:val="-4"/>
        </w:rPr>
        <w:t> 2022</w:t>
      </w:r>
      <w:r>
        <w:rPr/>
        <w:tab/>
      </w:r>
      <w:r>
        <w:rPr>
          <w:spacing w:val="-10"/>
        </w:rPr>
        <w:t>6</w:t>
      </w:r>
    </w:p>
    <w:p>
      <w:pPr>
        <w:spacing w:after="0"/>
        <w:sectPr>
          <w:pgSz w:w="11900" w:h="16840"/>
          <w:pgMar w:header="0" w:footer="173" w:top="1260" w:bottom="360" w:left="0" w:right="0"/>
        </w:sectPr>
      </w:pPr>
    </w:p>
    <w:tbl>
      <w:tblPr>
        <w:tblW w:w="0" w:type="auto"/>
        <w:jc w:val="left"/>
        <w:tblInd w:w="3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55"/>
        <w:gridCol w:w="8128"/>
        <w:gridCol w:w="1535"/>
      </w:tblGrid>
      <w:tr>
        <w:trPr>
          <w:trHeight w:val="275" w:hRule="atLeast"/>
        </w:trPr>
        <w:tc>
          <w:tcPr>
            <w:tcW w:w="1355" w:type="dxa"/>
          </w:tcPr>
          <w:p>
            <w:pPr>
              <w:pStyle w:val="TableParagraph"/>
              <w:spacing w:line="255" w:lineRule="exact"/>
              <w:ind w:left="108"/>
              <w:rPr>
                <w:b/>
                <w:sz w:val="22"/>
              </w:rPr>
            </w:pPr>
            <w:r>
              <w:rPr>
                <w:b/>
                <w:spacing w:val="-4"/>
                <w:sz w:val="22"/>
              </w:rPr>
              <w:t>Item</w:t>
            </w:r>
          </w:p>
        </w:tc>
        <w:tc>
          <w:tcPr>
            <w:tcW w:w="8128" w:type="dxa"/>
          </w:tcPr>
          <w:p>
            <w:pPr>
              <w:pStyle w:val="TableParagraph"/>
              <w:rPr>
                <w:rFonts w:ascii="Times New Roman"/>
                <w:sz w:val="20"/>
              </w:rPr>
            </w:pPr>
          </w:p>
        </w:tc>
        <w:tc>
          <w:tcPr>
            <w:tcW w:w="1535" w:type="dxa"/>
          </w:tcPr>
          <w:p>
            <w:pPr>
              <w:pStyle w:val="TableParagraph"/>
              <w:spacing w:line="255" w:lineRule="exact"/>
              <w:ind w:left="107"/>
              <w:rPr>
                <w:b/>
                <w:sz w:val="22"/>
              </w:rPr>
            </w:pPr>
            <w:r>
              <w:rPr>
                <w:b/>
                <w:spacing w:val="-2"/>
                <w:sz w:val="22"/>
              </w:rPr>
              <w:t>Action</w:t>
            </w:r>
          </w:p>
        </w:tc>
      </w:tr>
      <w:tr>
        <w:trPr>
          <w:trHeight w:val="267" w:hRule="atLeast"/>
        </w:trPr>
        <w:tc>
          <w:tcPr>
            <w:tcW w:w="1355" w:type="dxa"/>
          </w:tcPr>
          <w:p>
            <w:pPr>
              <w:pStyle w:val="TableParagraph"/>
              <w:rPr>
                <w:rFonts w:ascii="Times New Roman"/>
                <w:sz w:val="18"/>
              </w:rPr>
            </w:pPr>
          </w:p>
        </w:tc>
        <w:tc>
          <w:tcPr>
            <w:tcW w:w="8128" w:type="dxa"/>
          </w:tcPr>
          <w:p>
            <w:pPr>
              <w:pStyle w:val="TableParagraph"/>
              <w:rPr>
                <w:rFonts w:ascii="Times New Roman"/>
                <w:sz w:val="18"/>
              </w:rPr>
            </w:pPr>
          </w:p>
        </w:tc>
        <w:tc>
          <w:tcPr>
            <w:tcW w:w="1535" w:type="dxa"/>
          </w:tcPr>
          <w:p>
            <w:pPr>
              <w:pStyle w:val="TableParagraph"/>
              <w:rPr>
                <w:rFonts w:ascii="Times New Roman"/>
                <w:sz w:val="18"/>
              </w:rPr>
            </w:pPr>
          </w:p>
        </w:tc>
      </w:tr>
      <w:tr>
        <w:trPr>
          <w:trHeight w:val="534" w:hRule="atLeast"/>
        </w:trPr>
        <w:tc>
          <w:tcPr>
            <w:tcW w:w="11018" w:type="dxa"/>
            <w:gridSpan w:val="3"/>
            <w:shd w:val="clear" w:color="auto" w:fill="BFBFBF"/>
          </w:tcPr>
          <w:p>
            <w:pPr>
              <w:pStyle w:val="TableParagraph"/>
              <w:ind w:left="467"/>
              <w:rPr>
                <w:b/>
                <w:sz w:val="22"/>
              </w:rPr>
            </w:pPr>
            <w:r>
              <w:rPr>
                <w:b/>
                <w:sz w:val="22"/>
              </w:rPr>
              <w:t>7.</w:t>
            </w:r>
            <w:r>
              <w:rPr>
                <w:b/>
                <w:spacing w:val="47"/>
                <w:sz w:val="22"/>
              </w:rPr>
              <w:t> </w:t>
            </w:r>
            <w:r>
              <w:rPr>
                <w:b/>
                <w:sz w:val="22"/>
              </w:rPr>
              <w:t>ITEMS</w:t>
            </w:r>
            <w:r>
              <w:rPr>
                <w:b/>
                <w:spacing w:val="-1"/>
                <w:sz w:val="22"/>
              </w:rPr>
              <w:t> </w:t>
            </w:r>
            <w:r>
              <w:rPr>
                <w:b/>
                <w:sz w:val="22"/>
              </w:rPr>
              <w:t>FOR </w:t>
            </w:r>
            <w:r>
              <w:rPr>
                <w:b/>
                <w:spacing w:val="-2"/>
                <w:sz w:val="22"/>
              </w:rPr>
              <w:t>INFORMATION</w:t>
            </w:r>
          </w:p>
        </w:tc>
      </w:tr>
      <w:tr>
        <w:trPr>
          <w:trHeight w:val="1871" w:hRule="atLeast"/>
        </w:trPr>
        <w:tc>
          <w:tcPr>
            <w:tcW w:w="1355" w:type="dxa"/>
          </w:tcPr>
          <w:p>
            <w:pPr>
              <w:pStyle w:val="TableParagraph"/>
              <w:rPr>
                <w:rFonts w:ascii="Times New Roman"/>
                <w:sz w:val="22"/>
              </w:rPr>
            </w:pPr>
          </w:p>
        </w:tc>
        <w:tc>
          <w:tcPr>
            <w:tcW w:w="8128" w:type="dxa"/>
          </w:tcPr>
          <w:p>
            <w:pPr>
              <w:pStyle w:val="TableParagraph"/>
              <w:ind w:left="108"/>
              <w:rPr>
                <w:sz w:val="22"/>
              </w:rPr>
            </w:pPr>
            <w:r>
              <w:rPr>
                <w:sz w:val="22"/>
              </w:rPr>
              <w:t>The</w:t>
            </w:r>
            <w:r>
              <w:rPr>
                <w:spacing w:val="-6"/>
                <w:sz w:val="22"/>
              </w:rPr>
              <w:t> </w:t>
            </w:r>
            <w:r>
              <w:rPr>
                <w:sz w:val="22"/>
              </w:rPr>
              <w:t>following</w:t>
            </w:r>
            <w:r>
              <w:rPr>
                <w:spacing w:val="-3"/>
                <w:sz w:val="22"/>
              </w:rPr>
              <w:t> </w:t>
            </w:r>
            <w:r>
              <w:rPr>
                <w:sz w:val="22"/>
              </w:rPr>
              <w:t>items</w:t>
            </w:r>
            <w:r>
              <w:rPr>
                <w:spacing w:val="-3"/>
                <w:sz w:val="22"/>
              </w:rPr>
              <w:t> </w:t>
            </w:r>
            <w:r>
              <w:rPr>
                <w:sz w:val="22"/>
              </w:rPr>
              <w:t>were</w:t>
            </w:r>
            <w:r>
              <w:rPr>
                <w:spacing w:val="-4"/>
                <w:sz w:val="22"/>
              </w:rPr>
              <w:t> </w:t>
            </w:r>
            <w:r>
              <w:rPr>
                <w:sz w:val="22"/>
              </w:rPr>
              <w:t>provided</w:t>
            </w:r>
            <w:r>
              <w:rPr>
                <w:spacing w:val="-4"/>
                <w:sz w:val="22"/>
              </w:rPr>
              <w:t> </w:t>
            </w:r>
            <w:r>
              <w:rPr>
                <w:sz w:val="22"/>
              </w:rPr>
              <w:t>for</w:t>
            </w:r>
            <w:r>
              <w:rPr>
                <w:spacing w:val="-2"/>
                <w:sz w:val="22"/>
              </w:rPr>
              <w:t> information:</w:t>
            </w:r>
          </w:p>
          <w:p>
            <w:pPr>
              <w:pStyle w:val="TableParagraph"/>
              <w:rPr>
                <w:sz w:val="22"/>
              </w:rPr>
            </w:pPr>
          </w:p>
          <w:p>
            <w:pPr>
              <w:pStyle w:val="TableParagraph"/>
              <w:numPr>
                <w:ilvl w:val="0"/>
                <w:numId w:val="6"/>
              </w:numPr>
              <w:tabs>
                <w:tab w:pos="827" w:val="left" w:leader="none"/>
                <w:tab w:pos="828" w:val="left" w:leader="none"/>
              </w:tabs>
              <w:spacing w:line="268" w:lineRule="exact" w:before="0" w:after="0"/>
              <w:ind w:left="827" w:right="0" w:hanging="361"/>
              <w:jc w:val="left"/>
              <w:rPr>
                <w:sz w:val="22"/>
              </w:rPr>
            </w:pPr>
            <w:r>
              <w:rPr>
                <w:sz w:val="22"/>
              </w:rPr>
              <w:t>NWSSP</w:t>
            </w:r>
            <w:r>
              <w:rPr>
                <w:spacing w:val="-4"/>
                <w:sz w:val="22"/>
              </w:rPr>
              <w:t> </w:t>
            </w:r>
            <w:r>
              <w:rPr>
                <w:sz w:val="22"/>
              </w:rPr>
              <w:t>Annual</w:t>
            </w:r>
            <w:r>
              <w:rPr>
                <w:spacing w:val="-3"/>
                <w:sz w:val="22"/>
              </w:rPr>
              <w:t> </w:t>
            </w:r>
            <w:r>
              <w:rPr>
                <w:sz w:val="22"/>
              </w:rPr>
              <w:t>Review</w:t>
            </w:r>
            <w:r>
              <w:rPr>
                <w:spacing w:val="-3"/>
                <w:sz w:val="22"/>
              </w:rPr>
              <w:t> </w:t>
            </w:r>
            <w:r>
              <w:rPr>
                <w:sz w:val="22"/>
              </w:rPr>
              <w:t>2021-</w:t>
            </w:r>
            <w:r>
              <w:rPr>
                <w:spacing w:val="-5"/>
                <w:sz w:val="22"/>
              </w:rPr>
              <w:t>22;</w:t>
            </w:r>
          </w:p>
          <w:p>
            <w:pPr>
              <w:pStyle w:val="TableParagraph"/>
              <w:numPr>
                <w:ilvl w:val="0"/>
                <w:numId w:val="6"/>
              </w:numPr>
              <w:tabs>
                <w:tab w:pos="827" w:val="left" w:leader="none"/>
                <w:tab w:pos="828" w:val="left" w:leader="none"/>
              </w:tabs>
              <w:spacing w:line="267" w:lineRule="exact" w:before="0" w:after="0"/>
              <w:ind w:left="827" w:right="0" w:hanging="361"/>
              <w:jc w:val="left"/>
              <w:rPr>
                <w:sz w:val="22"/>
              </w:rPr>
            </w:pPr>
            <w:r>
              <w:rPr>
                <w:sz w:val="22"/>
              </w:rPr>
              <w:t>Information</w:t>
            </w:r>
            <w:r>
              <w:rPr>
                <w:spacing w:val="-5"/>
                <w:sz w:val="22"/>
              </w:rPr>
              <w:t> </w:t>
            </w:r>
            <w:r>
              <w:rPr>
                <w:sz w:val="22"/>
              </w:rPr>
              <w:t>Governance</w:t>
            </w:r>
            <w:r>
              <w:rPr>
                <w:spacing w:val="-4"/>
                <w:sz w:val="22"/>
              </w:rPr>
              <w:t> </w:t>
            </w:r>
            <w:r>
              <w:rPr>
                <w:sz w:val="22"/>
              </w:rPr>
              <w:t>Annual</w:t>
            </w:r>
            <w:r>
              <w:rPr>
                <w:spacing w:val="-3"/>
                <w:sz w:val="22"/>
              </w:rPr>
              <w:t> </w:t>
            </w:r>
            <w:r>
              <w:rPr>
                <w:sz w:val="22"/>
              </w:rPr>
              <w:t>Report</w:t>
            </w:r>
            <w:r>
              <w:rPr>
                <w:spacing w:val="-3"/>
                <w:sz w:val="22"/>
              </w:rPr>
              <w:t> </w:t>
            </w:r>
            <w:r>
              <w:rPr>
                <w:sz w:val="22"/>
              </w:rPr>
              <w:t>2021-</w:t>
            </w:r>
            <w:r>
              <w:rPr>
                <w:spacing w:val="-5"/>
                <w:sz w:val="22"/>
              </w:rPr>
              <w:t>22;</w:t>
            </w:r>
          </w:p>
          <w:p>
            <w:pPr>
              <w:pStyle w:val="TableParagraph"/>
              <w:numPr>
                <w:ilvl w:val="0"/>
                <w:numId w:val="6"/>
              </w:numPr>
              <w:tabs>
                <w:tab w:pos="827" w:val="left" w:leader="none"/>
                <w:tab w:pos="828" w:val="left" w:leader="none"/>
              </w:tabs>
              <w:spacing w:line="267" w:lineRule="exact" w:before="0" w:after="0"/>
              <w:ind w:left="827" w:right="0" w:hanging="361"/>
              <w:jc w:val="left"/>
              <w:rPr>
                <w:sz w:val="22"/>
              </w:rPr>
            </w:pPr>
            <w:r>
              <w:rPr>
                <w:sz w:val="22"/>
              </w:rPr>
              <w:t>IMTP</w:t>
            </w:r>
            <w:r>
              <w:rPr>
                <w:spacing w:val="-4"/>
                <w:sz w:val="22"/>
              </w:rPr>
              <w:t> </w:t>
            </w:r>
            <w:r>
              <w:rPr>
                <w:sz w:val="22"/>
              </w:rPr>
              <w:t>Outcome</w:t>
            </w:r>
            <w:r>
              <w:rPr>
                <w:spacing w:val="-4"/>
                <w:sz w:val="22"/>
              </w:rPr>
              <w:t> </w:t>
            </w:r>
            <w:r>
              <w:rPr>
                <w:sz w:val="22"/>
              </w:rPr>
              <w:t>letter;</w:t>
            </w:r>
            <w:r>
              <w:rPr>
                <w:spacing w:val="-4"/>
                <w:sz w:val="22"/>
              </w:rPr>
              <w:t> </w:t>
            </w:r>
            <w:r>
              <w:rPr>
                <w:spacing w:val="-5"/>
                <w:sz w:val="22"/>
              </w:rPr>
              <w:t>and</w:t>
            </w:r>
          </w:p>
          <w:p>
            <w:pPr>
              <w:pStyle w:val="TableParagraph"/>
              <w:numPr>
                <w:ilvl w:val="0"/>
                <w:numId w:val="6"/>
              </w:numPr>
              <w:tabs>
                <w:tab w:pos="827" w:val="left" w:leader="none"/>
                <w:tab w:pos="828" w:val="left" w:leader="none"/>
              </w:tabs>
              <w:spacing w:line="268" w:lineRule="exact" w:before="0" w:after="0"/>
              <w:ind w:left="827" w:right="0" w:hanging="361"/>
              <w:jc w:val="left"/>
              <w:rPr>
                <w:sz w:val="22"/>
              </w:rPr>
            </w:pPr>
            <w:r>
              <w:rPr>
                <w:sz w:val="22"/>
              </w:rPr>
              <w:t>Audit</w:t>
            </w:r>
            <w:r>
              <w:rPr>
                <w:spacing w:val="-4"/>
                <w:sz w:val="22"/>
              </w:rPr>
              <w:t> </w:t>
            </w:r>
            <w:r>
              <w:rPr>
                <w:sz w:val="22"/>
              </w:rPr>
              <w:t>Committee</w:t>
            </w:r>
            <w:r>
              <w:rPr>
                <w:spacing w:val="-3"/>
                <w:sz w:val="22"/>
              </w:rPr>
              <w:t> </w:t>
            </w:r>
            <w:r>
              <w:rPr>
                <w:sz w:val="22"/>
              </w:rPr>
              <w:t>Forward</w:t>
            </w:r>
            <w:r>
              <w:rPr>
                <w:spacing w:val="-2"/>
                <w:sz w:val="22"/>
              </w:rPr>
              <w:t> </w:t>
            </w:r>
            <w:r>
              <w:rPr>
                <w:spacing w:val="-4"/>
                <w:sz w:val="22"/>
              </w:rPr>
              <w:t>Plan.</w:t>
            </w:r>
          </w:p>
        </w:tc>
        <w:tc>
          <w:tcPr>
            <w:tcW w:w="1535" w:type="dxa"/>
          </w:tcPr>
          <w:p>
            <w:pPr>
              <w:pStyle w:val="TableParagraph"/>
              <w:rPr>
                <w:rFonts w:ascii="Times New Roman"/>
                <w:sz w:val="22"/>
              </w:rPr>
            </w:pPr>
          </w:p>
        </w:tc>
      </w:tr>
      <w:tr>
        <w:trPr>
          <w:trHeight w:val="534" w:hRule="atLeast"/>
        </w:trPr>
        <w:tc>
          <w:tcPr>
            <w:tcW w:w="11018" w:type="dxa"/>
            <w:gridSpan w:val="3"/>
            <w:shd w:val="clear" w:color="auto" w:fill="BFBFBF"/>
          </w:tcPr>
          <w:p>
            <w:pPr>
              <w:pStyle w:val="TableParagraph"/>
              <w:ind w:left="467"/>
              <w:rPr>
                <w:b/>
                <w:sz w:val="22"/>
              </w:rPr>
            </w:pPr>
            <w:r>
              <w:rPr>
                <w:b/>
                <w:sz w:val="22"/>
              </w:rPr>
              <w:t>8.</w:t>
            </w:r>
            <w:r>
              <w:rPr>
                <w:b/>
                <w:spacing w:val="43"/>
                <w:sz w:val="22"/>
              </w:rPr>
              <w:t> </w:t>
            </w:r>
            <w:r>
              <w:rPr>
                <w:b/>
                <w:sz w:val="22"/>
              </w:rPr>
              <w:t>ANY</w:t>
            </w:r>
            <w:r>
              <w:rPr>
                <w:b/>
                <w:spacing w:val="-1"/>
                <w:sz w:val="22"/>
              </w:rPr>
              <w:t> </w:t>
            </w:r>
            <w:r>
              <w:rPr>
                <w:b/>
                <w:sz w:val="22"/>
              </w:rPr>
              <w:t>OTHER</w:t>
            </w:r>
            <w:r>
              <w:rPr>
                <w:b/>
                <w:spacing w:val="-1"/>
                <w:sz w:val="22"/>
              </w:rPr>
              <w:t> </w:t>
            </w:r>
            <w:r>
              <w:rPr>
                <w:b/>
                <w:spacing w:val="-2"/>
                <w:sz w:val="22"/>
              </w:rPr>
              <w:t>BUSINESS</w:t>
            </w:r>
          </w:p>
        </w:tc>
      </w:tr>
      <w:tr>
        <w:trPr>
          <w:trHeight w:val="534" w:hRule="atLeast"/>
        </w:trPr>
        <w:tc>
          <w:tcPr>
            <w:tcW w:w="1355" w:type="dxa"/>
          </w:tcPr>
          <w:p>
            <w:pPr>
              <w:pStyle w:val="TableParagraph"/>
              <w:ind w:left="108"/>
              <w:rPr>
                <w:b/>
                <w:sz w:val="22"/>
              </w:rPr>
            </w:pPr>
            <w:r>
              <w:rPr>
                <w:b/>
                <w:spacing w:val="-5"/>
                <w:sz w:val="22"/>
              </w:rPr>
              <w:t>8.1</w:t>
            </w:r>
          </w:p>
        </w:tc>
        <w:tc>
          <w:tcPr>
            <w:tcW w:w="8128" w:type="dxa"/>
          </w:tcPr>
          <w:p>
            <w:pPr>
              <w:pStyle w:val="TableParagraph"/>
              <w:ind w:left="108"/>
              <w:rPr>
                <w:b/>
                <w:sz w:val="22"/>
              </w:rPr>
            </w:pPr>
            <w:r>
              <w:rPr>
                <w:b/>
                <w:sz w:val="22"/>
              </w:rPr>
              <w:t>Any</w:t>
            </w:r>
            <w:r>
              <w:rPr>
                <w:b/>
                <w:spacing w:val="-5"/>
                <w:sz w:val="22"/>
              </w:rPr>
              <w:t> </w:t>
            </w:r>
            <w:r>
              <w:rPr>
                <w:b/>
                <w:sz w:val="22"/>
              </w:rPr>
              <w:t>Other</w:t>
            </w:r>
            <w:r>
              <w:rPr>
                <w:b/>
                <w:spacing w:val="-2"/>
                <w:sz w:val="22"/>
              </w:rPr>
              <w:t> Business</w:t>
            </w:r>
          </w:p>
          <w:p>
            <w:pPr>
              <w:pStyle w:val="TableParagraph"/>
              <w:spacing w:line="247" w:lineRule="exact"/>
              <w:ind w:left="108"/>
              <w:rPr>
                <w:sz w:val="22"/>
              </w:rPr>
            </w:pPr>
            <w:r>
              <w:rPr>
                <w:sz w:val="22"/>
              </w:rPr>
              <w:t>No</w:t>
            </w:r>
            <w:r>
              <w:rPr>
                <w:spacing w:val="-4"/>
                <w:sz w:val="22"/>
              </w:rPr>
              <w:t> </w:t>
            </w:r>
            <w:r>
              <w:rPr>
                <w:sz w:val="22"/>
              </w:rPr>
              <w:t>issues</w:t>
            </w:r>
            <w:r>
              <w:rPr>
                <w:spacing w:val="-3"/>
                <w:sz w:val="22"/>
              </w:rPr>
              <w:t> </w:t>
            </w:r>
            <w:r>
              <w:rPr>
                <w:sz w:val="22"/>
              </w:rPr>
              <w:t>were</w:t>
            </w:r>
            <w:r>
              <w:rPr>
                <w:spacing w:val="-3"/>
                <w:sz w:val="22"/>
              </w:rPr>
              <w:t> </w:t>
            </w:r>
            <w:r>
              <w:rPr>
                <w:spacing w:val="-2"/>
                <w:sz w:val="22"/>
              </w:rPr>
              <w:t>raised.</w:t>
            </w:r>
          </w:p>
        </w:tc>
        <w:tc>
          <w:tcPr>
            <w:tcW w:w="1535" w:type="dxa"/>
          </w:tcPr>
          <w:p>
            <w:pPr>
              <w:pStyle w:val="TableParagraph"/>
              <w:rPr>
                <w:rFonts w:ascii="Times New Roman"/>
                <w:sz w:val="22"/>
              </w:rPr>
            </w:pPr>
          </w:p>
        </w:tc>
      </w:tr>
      <w:tr>
        <w:trPr>
          <w:trHeight w:val="802" w:hRule="atLeast"/>
        </w:trPr>
        <w:tc>
          <w:tcPr>
            <w:tcW w:w="11018" w:type="dxa"/>
            <w:gridSpan w:val="3"/>
            <w:shd w:val="clear" w:color="auto" w:fill="BFBFBF"/>
          </w:tcPr>
          <w:p>
            <w:pPr>
              <w:pStyle w:val="TableParagraph"/>
              <w:ind w:left="2702" w:right="2692"/>
              <w:jc w:val="center"/>
              <w:rPr>
                <w:b/>
                <w:sz w:val="22"/>
              </w:rPr>
            </w:pPr>
            <w:r>
              <w:rPr>
                <w:b/>
                <w:sz w:val="22"/>
              </w:rPr>
              <w:t>DATE</w:t>
            </w:r>
            <w:r>
              <w:rPr>
                <w:b/>
                <w:spacing w:val="-2"/>
                <w:sz w:val="22"/>
              </w:rPr>
              <w:t> </w:t>
            </w:r>
            <w:r>
              <w:rPr>
                <w:b/>
                <w:sz w:val="22"/>
              </w:rPr>
              <w:t>OF</w:t>
            </w:r>
            <w:r>
              <w:rPr>
                <w:b/>
                <w:spacing w:val="-1"/>
                <w:sz w:val="22"/>
              </w:rPr>
              <w:t> </w:t>
            </w:r>
            <w:r>
              <w:rPr>
                <w:b/>
                <w:sz w:val="22"/>
              </w:rPr>
              <w:t>NEXT</w:t>
            </w:r>
            <w:r>
              <w:rPr>
                <w:b/>
                <w:spacing w:val="-2"/>
                <w:sz w:val="22"/>
              </w:rPr>
              <w:t> MEETING:</w:t>
            </w:r>
          </w:p>
          <w:p>
            <w:pPr>
              <w:pStyle w:val="TableParagraph"/>
              <w:ind w:left="2702" w:right="2692"/>
              <w:jc w:val="center"/>
              <w:rPr>
                <w:sz w:val="22"/>
              </w:rPr>
            </w:pPr>
            <w:r>
              <w:rPr>
                <w:sz w:val="22"/>
              </w:rPr>
              <w:t>Tuesday,</w:t>
            </w:r>
            <w:r>
              <w:rPr>
                <w:spacing w:val="-3"/>
                <w:sz w:val="22"/>
              </w:rPr>
              <w:t> </w:t>
            </w:r>
            <w:r>
              <w:rPr>
                <w:sz w:val="22"/>
              </w:rPr>
              <w:t>24</w:t>
            </w:r>
            <w:r>
              <w:rPr>
                <w:spacing w:val="-3"/>
                <w:sz w:val="22"/>
              </w:rPr>
              <w:t> </w:t>
            </w:r>
            <w:r>
              <w:rPr>
                <w:sz w:val="22"/>
              </w:rPr>
              <w:t>January</w:t>
            </w:r>
            <w:r>
              <w:rPr>
                <w:spacing w:val="-2"/>
                <w:sz w:val="22"/>
              </w:rPr>
              <w:t> </w:t>
            </w:r>
            <w:r>
              <w:rPr>
                <w:sz w:val="22"/>
              </w:rPr>
              <w:t>from</w:t>
            </w:r>
            <w:r>
              <w:rPr>
                <w:spacing w:val="-3"/>
                <w:sz w:val="22"/>
              </w:rPr>
              <w:t> </w:t>
            </w:r>
            <w:r>
              <w:rPr>
                <w:sz w:val="22"/>
              </w:rPr>
              <w:t>14:00-16:00</w:t>
            </w:r>
            <w:r>
              <w:rPr>
                <w:spacing w:val="-3"/>
                <w:sz w:val="22"/>
              </w:rPr>
              <w:t> </w:t>
            </w:r>
            <w:r>
              <w:rPr>
                <w:sz w:val="22"/>
              </w:rPr>
              <w:t>via</w:t>
            </w:r>
            <w:r>
              <w:rPr>
                <w:spacing w:val="-1"/>
                <w:sz w:val="22"/>
              </w:rPr>
              <w:t> </w:t>
            </w:r>
            <w:r>
              <w:rPr>
                <w:spacing w:val="-2"/>
                <w:sz w:val="22"/>
              </w:rPr>
              <w:t>Teams</w:t>
            </w:r>
          </w:p>
        </w:tc>
      </w:tr>
    </w:tbl>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7"/>
        <w:rPr>
          <w:sz w:val="21"/>
        </w:rPr>
      </w:pPr>
    </w:p>
    <w:p>
      <w:pPr>
        <w:pStyle w:val="BodyText"/>
        <w:ind w:left="850"/>
      </w:pPr>
      <w:r>
        <w:rPr/>
        <w:t>NWSSP</w:t>
      </w:r>
      <w:r>
        <w:rPr>
          <w:spacing w:val="-4"/>
        </w:rPr>
        <w:t> </w:t>
      </w:r>
      <w:r>
        <w:rPr/>
        <w:t>Audit</w:t>
      </w:r>
      <w:r>
        <w:rPr>
          <w:spacing w:val="-2"/>
        </w:rPr>
        <w:t> Committee</w:t>
      </w:r>
    </w:p>
    <w:p>
      <w:pPr>
        <w:pStyle w:val="BodyText"/>
        <w:tabs>
          <w:tab w:pos="10762" w:val="left" w:leader="none"/>
        </w:tabs>
        <w:ind w:left="850"/>
      </w:pPr>
      <w:r>
        <w:rPr/>
        <w:t>11</w:t>
      </w:r>
      <w:r>
        <w:rPr>
          <w:spacing w:val="-4"/>
        </w:rPr>
        <w:t> </w:t>
      </w:r>
      <w:r>
        <w:rPr/>
        <w:t>October</w:t>
      </w:r>
      <w:r>
        <w:rPr>
          <w:spacing w:val="-4"/>
        </w:rPr>
        <w:t> 2022</w:t>
      </w:r>
      <w:r>
        <w:rPr/>
        <w:tab/>
      </w:r>
      <w:r>
        <w:rPr>
          <w:spacing w:val="-10"/>
        </w:rPr>
        <w:t>7</w:t>
      </w:r>
    </w:p>
    <w:p>
      <w:pPr>
        <w:spacing w:after="0"/>
        <w:sectPr>
          <w:pgSz w:w="11900" w:h="16840"/>
          <w:pgMar w:header="0" w:footer="173" w:top="1260" w:bottom="360" w:left="0" w:right="0"/>
        </w:sectPr>
      </w:pPr>
    </w:p>
    <w:p>
      <w:pPr>
        <w:spacing w:before="498"/>
        <w:ind w:left="0" w:right="779" w:firstLine="0"/>
        <w:jc w:val="right"/>
        <w:rPr>
          <w:rFonts w:ascii="Arial"/>
          <w:b/>
          <w:sz w:val="24"/>
        </w:rPr>
      </w:pPr>
      <w:r>
        <w:rPr/>
        <w:drawing>
          <wp:anchor distT="0" distB="0" distL="0" distR="0" allowOverlap="1" layoutInCell="1" locked="0" behindDoc="0" simplePos="0" relativeHeight="15733760">
            <wp:simplePos x="0" y="0"/>
            <wp:positionH relativeFrom="page">
              <wp:posOffset>240029</wp:posOffset>
            </wp:positionH>
            <wp:positionV relativeFrom="paragraph">
              <wp:posOffset>-3811</wp:posOffset>
            </wp:positionV>
            <wp:extent cx="2489835" cy="679450"/>
            <wp:effectExtent l="0" t="0" r="0" b="0"/>
            <wp:wrapNone/>
            <wp:docPr id="5" name="image3.png"/>
            <wp:cNvGraphicFramePr>
              <a:graphicFrameLocks noChangeAspect="1"/>
            </wp:cNvGraphicFramePr>
            <a:graphic>
              <a:graphicData uri="http://schemas.openxmlformats.org/drawingml/2006/picture">
                <pic:pic>
                  <pic:nvPicPr>
                    <pic:cNvPr id="6" name="image3.png"/>
                    <pic:cNvPicPr/>
                  </pic:nvPicPr>
                  <pic:blipFill>
                    <a:blip r:embed="rId10" cstate="print"/>
                    <a:stretch>
                      <a:fillRect/>
                    </a:stretch>
                  </pic:blipFill>
                  <pic:spPr>
                    <a:xfrm>
                      <a:off x="0" y="0"/>
                      <a:ext cx="2489835" cy="679450"/>
                    </a:xfrm>
                    <a:prstGeom prst="rect">
                      <a:avLst/>
                    </a:prstGeom>
                  </pic:spPr>
                </pic:pic>
              </a:graphicData>
            </a:graphic>
          </wp:anchor>
        </w:drawing>
      </w:r>
      <w:bookmarkStart w:name=" 1.5 Matters Arising.pdf" w:id="36"/>
      <w:bookmarkEnd w:id="36"/>
      <w:r>
        <w:rPr/>
      </w:r>
      <w:r>
        <w:rPr>
          <w:rFonts w:ascii="Arial"/>
          <w:b/>
          <w:sz w:val="24"/>
          <w:u w:val="single"/>
        </w:rPr>
        <w:t>Velindre</w:t>
      </w:r>
      <w:r>
        <w:rPr>
          <w:rFonts w:ascii="Arial"/>
          <w:b/>
          <w:spacing w:val="-6"/>
          <w:sz w:val="24"/>
          <w:u w:val="single"/>
        </w:rPr>
        <w:t> </w:t>
      </w:r>
      <w:r>
        <w:rPr>
          <w:rFonts w:ascii="Arial"/>
          <w:b/>
          <w:sz w:val="24"/>
          <w:u w:val="single"/>
        </w:rPr>
        <w:t>University</w:t>
      </w:r>
      <w:r>
        <w:rPr>
          <w:rFonts w:ascii="Arial"/>
          <w:b/>
          <w:spacing w:val="-3"/>
          <w:sz w:val="24"/>
          <w:u w:val="single"/>
        </w:rPr>
        <w:t> </w:t>
      </w:r>
      <w:r>
        <w:rPr>
          <w:rFonts w:ascii="Arial"/>
          <w:b/>
          <w:sz w:val="24"/>
          <w:u w:val="single"/>
        </w:rPr>
        <w:t>NHS</w:t>
      </w:r>
      <w:r>
        <w:rPr>
          <w:rFonts w:ascii="Arial"/>
          <w:b/>
          <w:spacing w:val="-3"/>
          <w:sz w:val="24"/>
          <w:u w:val="single"/>
        </w:rPr>
        <w:t> </w:t>
      </w:r>
      <w:r>
        <w:rPr>
          <w:rFonts w:ascii="Arial"/>
          <w:b/>
          <w:sz w:val="24"/>
          <w:u w:val="single"/>
        </w:rPr>
        <w:t>Trust</w:t>
      </w:r>
      <w:r>
        <w:rPr>
          <w:rFonts w:ascii="Arial"/>
          <w:b/>
          <w:spacing w:val="-2"/>
          <w:sz w:val="24"/>
          <w:u w:val="single"/>
        </w:rPr>
        <w:t> </w:t>
      </w:r>
      <w:r>
        <w:rPr>
          <w:rFonts w:ascii="Arial"/>
          <w:b/>
          <w:sz w:val="24"/>
          <w:u w:val="single"/>
        </w:rPr>
        <w:t>Audit</w:t>
      </w:r>
      <w:r>
        <w:rPr>
          <w:rFonts w:ascii="Arial"/>
          <w:b/>
          <w:spacing w:val="-3"/>
          <w:sz w:val="24"/>
          <w:u w:val="single"/>
        </w:rPr>
        <w:t> </w:t>
      </w:r>
      <w:r>
        <w:rPr>
          <w:rFonts w:ascii="Arial"/>
          <w:b/>
          <w:sz w:val="24"/>
          <w:u w:val="single"/>
        </w:rPr>
        <w:t>Committee</w:t>
      </w:r>
      <w:r>
        <w:rPr>
          <w:rFonts w:ascii="Arial"/>
          <w:b/>
          <w:spacing w:val="-4"/>
          <w:sz w:val="24"/>
          <w:u w:val="single"/>
        </w:rPr>
        <w:t> </w:t>
      </w:r>
      <w:r>
        <w:rPr>
          <w:rFonts w:ascii="Arial"/>
          <w:b/>
          <w:sz w:val="24"/>
          <w:u w:val="single"/>
        </w:rPr>
        <w:t>for</w:t>
      </w:r>
      <w:r>
        <w:rPr>
          <w:rFonts w:ascii="Arial"/>
          <w:b/>
          <w:spacing w:val="-2"/>
          <w:sz w:val="24"/>
          <w:u w:val="single"/>
        </w:rPr>
        <w:t> </w:t>
      </w:r>
      <w:r>
        <w:rPr>
          <w:rFonts w:ascii="Arial"/>
          <w:b/>
          <w:sz w:val="24"/>
          <w:u w:val="single"/>
        </w:rPr>
        <w:t>NHS</w:t>
      </w:r>
      <w:r>
        <w:rPr>
          <w:rFonts w:ascii="Arial"/>
          <w:b/>
          <w:spacing w:val="-3"/>
          <w:sz w:val="24"/>
          <w:u w:val="single"/>
        </w:rPr>
        <w:t> </w:t>
      </w:r>
      <w:r>
        <w:rPr>
          <w:rFonts w:ascii="Arial"/>
          <w:b/>
          <w:sz w:val="24"/>
          <w:u w:val="single"/>
        </w:rPr>
        <w:t>Wales</w:t>
      </w:r>
      <w:r>
        <w:rPr>
          <w:rFonts w:ascii="Arial"/>
          <w:b/>
          <w:spacing w:val="-2"/>
          <w:sz w:val="24"/>
          <w:u w:val="single"/>
        </w:rPr>
        <w:t> </w:t>
      </w:r>
      <w:r>
        <w:rPr>
          <w:rFonts w:ascii="Arial"/>
          <w:b/>
          <w:sz w:val="24"/>
          <w:u w:val="single"/>
        </w:rPr>
        <w:t>Shared</w:t>
      </w:r>
      <w:r>
        <w:rPr>
          <w:rFonts w:ascii="Arial"/>
          <w:b/>
          <w:spacing w:val="-2"/>
          <w:sz w:val="24"/>
          <w:u w:val="single"/>
        </w:rPr>
        <w:t> </w:t>
      </w:r>
      <w:r>
        <w:rPr>
          <w:rFonts w:ascii="Arial"/>
          <w:b/>
          <w:sz w:val="24"/>
          <w:u w:val="single"/>
        </w:rPr>
        <w:t>Services</w:t>
      </w:r>
      <w:r>
        <w:rPr>
          <w:rFonts w:ascii="Arial"/>
          <w:b/>
          <w:spacing w:val="-2"/>
          <w:sz w:val="24"/>
          <w:u w:val="single"/>
        </w:rPr>
        <w:t> Partnership</w:t>
      </w:r>
    </w:p>
    <w:p>
      <w:pPr>
        <w:spacing w:before="276"/>
        <w:ind w:left="0" w:right="778" w:firstLine="0"/>
        <w:jc w:val="right"/>
        <w:rPr>
          <w:rFonts w:ascii="Arial"/>
          <w:b/>
          <w:sz w:val="24"/>
        </w:rPr>
      </w:pPr>
      <w:r>
        <w:rPr>
          <w:rFonts w:ascii="Arial"/>
          <w:b/>
          <w:sz w:val="24"/>
          <w:u w:val="single"/>
        </w:rPr>
        <w:t>Matters </w:t>
      </w:r>
      <w:r>
        <w:rPr>
          <w:rFonts w:ascii="Arial"/>
          <w:b/>
          <w:spacing w:val="-2"/>
          <w:sz w:val="24"/>
          <w:u w:val="single"/>
        </w:rPr>
        <w:t>Arising</w:t>
      </w:r>
    </w:p>
    <w:p>
      <w:pPr>
        <w:pStyle w:val="BodyText"/>
        <w:rPr>
          <w:rFonts w:ascii="Arial"/>
          <w:b/>
          <w:sz w:val="20"/>
        </w:rPr>
      </w:pPr>
    </w:p>
    <w:p>
      <w:pPr>
        <w:pStyle w:val="BodyText"/>
        <w:spacing w:before="11"/>
        <w:rPr>
          <w:rFonts w:ascii="Arial"/>
          <w:b/>
          <w:sz w:val="23"/>
        </w:rPr>
      </w:pPr>
    </w:p>
    <w:tbl>
      <w:tblPr>
        <w:tblW w:w="0" w:type="auto"/>
        <w:jc w:val="left"/>
        <w:tblInd w:w="4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6"/>
        <w:gridCol w:w="1955"/>
        <w:gridCol w:w="8644"/>
        <w:gridCol w:w="3922"/>
      </w:tblGrid>
      <w:tr>
        <w:trPr>
          <w:trHeight w:val="534" w:hRule="atLeast"/>
        </w:trPr>
        <w:tc>
          <w:tcPr>
            <w:tcW w:w="15337" w:type="dxa"/>
            <w:gridSpan w:val="4"/>
            <w:shd w:val="clear" w:color="auto" w:fill="9CC2E5"/>
          </w:tcPr>
          <w:p>
            <w:pPr>
              <w:pStyle w:val="TableParagraph"/>
              <w:ind w:left="108"/>
              <w:rPr>
                <w:b/>
                <w:sz w:val="22"/>
              </w:rPr>
            </w:pPr>
            <w:r>
              <w:rPr>
                <w:b/>
                <w:sz w:val="22"/>
              </w:rPr>
              <w:t>Actions</w:t>
            </w:r>
            <w:r>
              <w:rPr>
                <w:b/>
                <w:spacing w:val="-2"/>
                <w:sz w:val="22"/>
              </w:rPr>
              <w:t> </w:t>
            </w:r>
            <w:r>
              <w:rPr>
                <w:b/>
                <w:sz w:val="22"/>
              </w:rPr>
              <w:t>arising</w:t>
            </w:r>
            <w:r>
              <w:rPr>
                <w:b/>
                <w:spacing w:val="-2"/>
                <w:sz w:val="22"/>
              </w:rPr>
              <w:t> </w:t>
            </w:r>
            <w:r>
              <w:rPr>
                <w:b/>
                <w:sz w:val="22"/>
              </w:rPr>
              <w:t>from</w:t>
            </w:r>
            <w:r>
              <w:rPr>
                <w:b/>
                <w:spacing w:val="-2"/>
                <w:sz w:val="22"/>
              </w:rPr>
              <w:t> </w:t>
            </w:r>
            <w:r>
              <w:rPr>
                <w:b/>
                <w:sz w:val="22"/>
              </w:rPr>
              <w:t>the</w:t>
            </w:r>
            <w:r>
              <w:rPr>
                <w:b/>
                <w:spacing w:val="-2"/>
                <w:sz w:val="22"/>
              </w:rPr>
              <w:t> </w:t>
            </w:r>
            <w:r>
              <w:rPr>
                <w:b/>
                <w:sz w:val="22"/>
              </w:rPr>
              <w:t>meeting</w:t>
            </w:r>
            <w:r>
              <w:rPr>
                <w:b/>
                <w:spacing w:val="-2"/>
                <w:sz w:val="22"/>
              </w:rPr>
              <w:t> </w:t>
            </w:r>
            <w:r>
              <w:rPr>
                <w:b/>
                <w:sz w:val="22"/>
              </w:rPr>
              <w:t>held</w:t>
            </w:r>
            <w:r>
              <w:rPr>
                <w:b/>
                <w:spacing w:val="-2"/>
                <w:sz w:val="22"/>
              </w:rPr>
              <w:t> </w:t>
            </w:r>
            <w:r>
              <w:rPr>
                <w:b/>
                <w:sz w:val="22"/>
              </w:rPr>
              <w:t>on</w:t>
            </w:r>
            <w:r>
              <w:rPr>
                <w:b/>
                <w:spacing w:val="-2"/>
                <w:sz w:val="22"/>
              </w:rPr>
              <w:t> </w:t>
            </w:r>
            <w:r>
              <w:rPr>
                <w:b/>
                <w:sz w:val="22"/>
              </w:rPr>
              <w:t>11</w:t>
            </w:r>
            <w:r>
              <w:rPr>
                <w:b/>
                <w:spacing w:val="-2"/>
                <w:sz w:val="22"/>
              </w:rPr>
              <w:t> </w:t>
            </w:r>
            <w:r>
              <w:rPr>
                <w:b/>
                <w:sz w:val="22"/>
              </w:rPr>
              <w:t>October</w:t>
            </w:r>
            <w:r>
              <w:rPr>
                <w:b/>
                <w:spacing w:val="-1"/>
                <w:sz w:val="22"/>
              </w:rPr>
              <w:t> </w:t>
            </w:r>
            <w:r>
              <w:rPr>
                <w:b/>
                <w:spacing w:val="-4"/>
                <w:sz w:val="22"/>
              </w:rPr>
              <w:t>2022</w:t>
            </w:r>
          </w:p>
        </w:tc>
      </w:tr>
      <w:tr>
        <w:trPr>
          <w:trHeight w:val="2941" w:hRule="atLeast"/>
        </w:trPr>
        <w:tc>
          <w:tcPr>
            <w:tcW w:w="816" w:type="dxa"/>
          </w:tcPr>
          <w:p>
            <w:pPr>
              <w:pStyle w:val="TableParagraph"/>
              <w:ind w:left="108"/>
              <w:rPr>
                <w:sz w:val="22"/>
              </w:rPr>
            </w:pPr>
            <w:r>
              <w:rPr>
                <w:spacing w:val="-5"/>
                <w:sz w:val="22"/>
              </w:rPr>
              <w:t>1.</w:t>
            </w:r>
          </w:p>
        </w:tc>
        <w:tc>
          <w:tcPr>
            <w:tcW w:w="1955" w:type="dxa"/>
          </w:tcPr>
          <w:p>
            <w:pPr>
              <w:pStyle w:val="TableParagraph"/>
              <w:ind w:left="107"/>
              <w:rPr>
                <w:sz w:val="22"/>
              </w:rPr>
            </w:pPr>
            <w:r>
              <w:rPr>
                <w:spacing w:val="-5"/>
                <w:sz w:val="22"/>
              </w:rPr>
              <w:t>SW</w:t>
            </w:r>
          </w:p>
        </w:tc>
        <w:tc>
          <w:tcPr>
            <w:tcW w:w="8644" w:type="dxa"/>
          </w:tcPr>
          <w:p>
            <w:pPr>
              <w:pStyle w:val="TableParagraph"/>
              <w:ind w:left="108"/>
              <w:jc w:val="both"/>
              <w:rPr>
                <w:b/>
                <w:sz w:val="22"/>
              </w:rPr>
            </w:pPr>
            <w:r>
              <w:rPr>
                <w:b/>
                <w:sz w:val="22"/>
              </w:rPr>
              <w:t>External</w:t>
            </w:r>
            <w:r>
              <w:rPr>
                <w:b/>
                <w:spacing w:val="-5"/>
                <w:sz w:val="22"/>
              </w:rPr>
              <w:t> </w:t>
            </w:r>
            <w:r>
              <w:rPr>
                <w:b/>
                <w:sz w:val="22"/>
              </w:rPr>
              <w:t>Audit</w:t>
            </w:r>
            <w:r>
              <w:rPr>
                <w:b/>
                <w:spacing w:val="-3"/>
                <w:sz w:val="22"/>
              </w:rPr>
              <w:t> </w:t>
            </w:r>
            <w:r>
              <w:rPr>
                <w:b/>
                <w:sz w:val="22"/>
              </w:rPr>
              <w:t>-</w:t>
            </w:r>
            <w:r>
              <w:rPr>
                <w:b/>
                <w:spacing w:val="-2"/>
                <w:sz w:val="22"/>
              </w:rPr>
              <w:t> </w:t>
            </w:r>
            <w:r>
              <w:rPr>
                <w:b/>
                <w:sz w:val="22"/>
              </w:rPr>
              <w:t>Nationally</w:t>
            </w:r>
            <w:r>
              <w:rPr>
                <w:b/>
                <w:spacing w:val="-3"/>
                <w:sz w:val="22"/>
              </w:rPr>
              <w:t> </w:t>
            </w:r>
            <w:r>
              <w:rPr>
                <w:b/>
                <w:sz w:val="22"/>
              </w:rPr>
              <w:t>Hosted</w:t>
            </w:r>
            <w:r>
              <w:rPr>
                <w:b/>
                <w:spacing w:val="-3"/>
                <w:sz w:val="22"/>
              </w:rPr>
              <w:t> </w:t>
            </w:r>
            <w:r>
              <w:rPr>
                <w:b/>
                <w:sz w:val="22"/>
              </w:rPr>
              <w:t>NHS</w:t>
            </w:r>
            <w:r>
              <w:rPr>
                <w:b/>
                <w:spacing w:val="-3"/>
                <w:sz w:val="22"/>
              </w:rPr>
              <w:t> </w:t>
            </w:r>
            <w:r>
              <w:rPr>
                <w:b/>
                <w:sz w:val="22"/>
              </w:rPr>
              <w:t>IT</w:t>
            </w:r>
            <w:r>
              <w:rPr>
                <w:b/>
                <w:spacing w:val="-3"/>
                <w:sz w:val="22"/>
              </w:rPr>
              <w:t> </w:t>
            </w:r>
            <w:r>
              <w:rPr>
                <w:b/>
                <w:sz w:val="22"/>
              </w:rPr>
              <w:t>Systems</w:t>
            </w:r>
            <w:r>
              <w:rPr>
                <w:b/>
                <w:spacing w:val="-2"/>
                <w:sz w:val="22"/>
              </w:rPr>
              <w:t> Report</w:t>
            </w:r>
          </w:p>
          <w:p>
            <w:pPr>
              <w:pStyle w:val="TableParagraph"/>
              <w:ind w:left="108" w:right="95"/>
              <w:jc w:val="both"/>
              <w:rPr>
                <w:sz w:val="22"/>
              </w:rPr>
            </w:pPr>
            <w:r>
              <w:rPr>
                <w:sz w:val="22"/>
              </w:rPr>
              <w:t>To review the Audit Wales risk category priority risk ratings and bring back an update to the October 2022 Committee meeting, for clarity on the </w:t>
            </w:r>
            <w:r>
              <w:rPr>
                <w:spacing w:val="-2"/>
                <w:sz w:val="22"/>
              </w:rPr>
              <w:t>matter.</w:t>
            </w:r>
          </w:p>
        </w:tc>
        <w:tc>
          <w:tcPr>
            <w:tcW w:w="3922" w:type="dxa"/>
            <w:shd w:val="clear" w:color="auto" w:fill="FFC000"/>
          </w:tcPr>
          <w:p>
            <w:pPr>
              <w:pStyle w:val="TableParagraph"/>
              <w:ind w:left="108"/>
              <w:rPr>
                <w:b/>
                <w:sz w:val="22"/>
              </w:rPr>
            </w:pPr>
            <w:r>
              <w:rPr>
                <w:b/>
                <w:sz w:val="22"/>
              </w:rPr>
              <w:t>In </w:t>
            </w:r>
            <w:r>
              <w:rPr>
                <w:b/>
                <w:spacing w:val="-2"/>
                <w:sz w:val="22"/>
              </w:rPr>
              <w:t>progress</w:t>
            </w:r>
          </w:p>
          <w:p>
            <w:pPr>
              <w:pStyle w:val="TableParagraph"/>
              <w:ind w:left="108" w:right="106"/>
              <w:rPr>
                <w:sz w:val="22"/>
              </w:rPr>
            </w:pPr>
            <w:r>
              <w:rPr>
                <w:sz w:val="22"/>
              </w:rPr>
              <w:t>Audit</w:t>
            </w:r>
            <w:r>
              <w:rPr>
                <w:spacing w:val="-8"/>
                <w:sz w:val="22"/>
              </w:rPr>
              <w:t> </w:t>
            </w:r>
            <w:r>
              <w:rPr>
                <w:sz w:val="22"/>
              </w:rPr>
              <w:t>Wales</w:t>
            </w:r>
            <w:r>
              <w:rPr>
                <w:spacing w:val="-8"/>
                <w:sz w:val="22"/>
              </w:rPr>
              <w:t> </w:t>
            </w:r>
            <w:r>
              <w:rPr>
                <w:sz w:val="22"/>
              </w:rPr>
              <w:t>priority</w:t>
            </w:r>
            <w:r>
              <w:rPr>
                <w:spacing w:val="-8"/>
                <w:sz w:val="22"/>
              </w:rPr>
              <w:t> </w:t>
            </w:r>
            <w:r>
              <w:rPr>
                <w:sz w:val="22"/>
              </w:rPr>
              <w:t>ratings</w:t>
            </w:r>
            <w:r>
              <w:rPr>
                <w:spacing w:val="-8"/>
                <w:sz w:val="22"/>
              </w:rPr>
              <w:t> </w:t>
            </w:r>
            <w:r>
              <w:rPr>
                <w:sz w:val="22"/>
              </w:rPr>
              <w:t>are</w:t>
            </w:r>
            <w:r>
              <w:rPr>
                <w:spacing w:val="-8"/>
                <w:sz w:val="22"/>
              </w:rPr>
              <w:t> </w:t>
            </w:r>
            <w:r>
              <w:rPr>
                <w:sz w:val="22"/>
              </w:rPr>
              <w:t>a judgement based</w:t>
            </w:r>
            <w:r>
              <w:rPr>
                <w:spacing w:val="-1"/>
                <w:sz w:val="22"/>
              </w:rPr>
              <w:t> </w:t>
            </w:r>
            <w:r>
              <w:rPr>
                <w:sz w:val="22"/>
              </w:rPr>
              <w:t>on significance and</w:t>
            </w:r>
            <w:r>
              <w:rPr>
                <w:spacing w:val="-4"/>
                <w:sz w:val="22"/>
              </w:rPr>
              <w:t> </w:t>
            </w:r>
            <w:r>
              <w:rPr>
                <w:sz w:val="22"/>
              </w:rPr>
              <w:t>time</w:t>
            </w:r>
            <w:r>
              <w:rPr>
                <w:spacing w:val="-5"/>
                <w:sz w:val="22"/>
              </w:rPr>
              <w:t> </w:t>
            </w:r>
            <w:r>
              <w:rPr>
                <w:sz w:val="22"/>
              </w:rPr>
              <w:t>(i.e.</w:t>
            </w:r>
            <w:r>
              <w:rPr>
                <w:spacing w:val="-4"/>
                <w:sz w:val="22"/>
              </w:rPr>
              <w:t> </w:t>
            </w:r>
            <w:r>
              <w:rPr>
                <w:sz w:val="22"/>
              </w:rPr>
              <w:t>based</w:t>
            </w:r>
            <w:r>
              <w:rPr>
                <w:spacing w:val="-4"/>
                <w:sz w:val="22"/>
              </w:rPr>
              <w:t> </w:t>
            </w:r>
            <w:r>
              <w:rPr>
                <w:sz w:val="22"/>
              </w:rPr>
              <w:t>on</w:t>
            </w:r>
            <w:r>
              <w:rPr>
                <w:spacing w:val="-4"/>
                <w:sz w:val="22"/>
              </w:rPr>
              <w:t> </w:t>
            </w:r>
            <w:r>
              <w:rPr>
                <w:sz w:val="22"/>
              </w:rPr>
              <w:t>urgency) however</w:t>
            </w:r>
            <w:r>
              <w:rPr>
                <w:spacing w:val="-4"/>
                <w:sz w:val="22"/>
              </w:rPr>
              <w:t> </w:t>
            </w:r>
            <w:r>
              <w:rPr>
                <w:sz w:val="22"/>
              </w:rPr>
              <w:t>it</w:t>
            </w:r>
            <w:r>
              <w:rPr>
                <w:spacing w:val="-5"/>
                <w:sz w:val="22"/>
              </w:rPr>
              <w:t> </w:t>
            </w:r>
            <w:r>
              <w:rPr>
                <w:sz w:val="22"/>
              </w:rPr>
              <w:t>is</w:t>
            </w:r>
            <w:r>
              <w:rPr>
                <w:spacing w:val="-5"/>
                <w:sz w:val="22"/>
              </w:rPr>
              <w:t> </w:t>
            </w:r>
            <w:r>
              <w:rPr>
                <w:sz w:val="22"/>
              </w:rPr>
              <w:t>something</w:t>
            </w:r>
            <w:r>
              <w:rPr>
                <w:spacing w:val="-4"/>
                <w:sz w:val="22"/>
              </w:rPr>
              <w:t> </w:t>
            </w:r>
            <w:r>
              <w:rPr>
                <w:sz w:val="22"/>
              </w:rPr>
              <w:t>they</w:t>
            </w:r>
            <w:r>
              <w:rPr>
                <w:spacing w:val="-4"/>
                <w:sz w:val="22"/>
              </w:rPr>
              <w:t> </w:t>
            </w:r>
            <w:r>
              <w:rPr>
                <w:sz w:val="22"/>
              </w:rPr>
              <w:t>are reviewing</w:t>
            </w:r>
            <w:r>
              <w:rPr>
                <w:spacing w:val="-1"/>
                <w:sz w:val="22"/>
              </w:rPr>
              <w:t> </w:t>
            </w:r>
            <w:r>
              <w:rPr>
                <w:sz w:val="22"/>
              </w:rPr>
              <w:t>(as relates to</w:t>
            </w:r>
            <w:r>
              <w:rPr>
                <w:spacing w:val="-1"/>
                <w:sz w:val="22"/>
              </w:rPr>
              <w:t> </w:t>
            </w:r>
            <w:r>
              <w:rPr>
                <w:sz w:val="22"/>
              </w:rPr>
              <w:t>both</w:t>
            </w:r>
            <w:r>
              <w:rPr>
                <w:spacing w:val="-1"/>
                <w:sz w:val="22"/>
              </w:rPr>
              <w:t> </w:t>
            </w:r>
            <w:r>
              <w:rPr>
                <w:sz w:val="22"/>
              </w:rPr>
              <w:t>our performance audit and financial audit work) however no significant</w:t>
            </w:r>
            <w:r>
              <w:rPr>
                <w:spacing w:val="-7"/>
                <w:sz w:val="22"/>
              </w:rPr>
              <w:t> </w:t>
            </w:r>
            <w:r>
              <w:rPr>
                <w:sz w:val="22"/>
              </w:rPr>
              <w:t>progress</w:t>
            </w:r>
            <w:r>
              <w:rPr>
                <w:spacing w:val="-8"/>
                <w:sz w:val="22"/>
              </w:rPr>
              <w:t> </w:t>
            </w:r>
            <w:r>
              <w:rPr>
                <w:sz w:val="22"/>
              </w:rPr>
              <w:t>has</w:t>
            </w:r>
            <w:r>
              <w:rPr>
                <w:spacing w:val="-8"/>
                <w:sz w:val="22"/>
              </w:rPr>
              <w:t> </w:t>
            </w:r>
            <w:r>
              <w:rPr>
                <w:sz w:val="22"/>
              </w:rPr>
              <w:t>yet</w:t>
            </w:r>
            <w:r>
              <w:rPr>
                <w:spacing w:val="-8"/>
                <w:sz w:val="22"/>
              </w:rPr>
              <w:t> </w:t>
            </w:r>
            <w:r>
              <w:rPr>
                <w:sz w:val="22"/>
              </w:rPr>
              <w:t>been </w:t>
            </w:r>
            <w:r>
              <w:rPr>
                <w:spacing w:val="-2"/>
                <w:sz w:val="22"/>
              </w:rPr>
              <w:t>made.</w:t>
            </w:r>
          </w:p>
        </w:tc>
      </w:tr>
      <w:tr>
        <w:trPr>
          <w:trHeight w:val="4545" w:hRule="atLeast"/>
        </w:trPr>
        <w:tc>
          <w:tcPr>
            <w:tcW w:w="816" w:type="dxa"/>
          </w:tcPr>
          <w:p>
            <w:pPr>
              <w:pStyle w:val="TableParagraph"/>
              <w:ind w:left="108"/>
              <w:rPr>
                <w:sz w:val="22"/>
              </w:rPr>
            </w:pPr>
            <w:r>
              <w:rPr>
                <w:spacing w:val="-5"/>
                <w:sz w:val="22"/>
              </w:rPr>
              <w:t>2.</w:t>
            </w:r>
          </w:p>
        </w:tc>
        <w:tc>
          <w:tcPr>
            <w:tcW w:w="1955" w:type="dxa"/>
          </w:tcPr>
          <w:p>
            <w:pPr>
              <w:pStyle w:val="TableParagraph"/>
              <w:ind w:left="107"/>
              <w:rPr>
                <w:sz w:val="22"/>
              </w:rPr>
            </w:pPr>
            <w:r>
              <w:rPr>
                <w:spacing w:val="-5"/>
                <w:sz w:val="22"/>
              </w:rPr>
              <w:t>MW</w:t>
            </w:r>
          </w:p>
        </w:tc>
        <w:tc>
          <w:tcPr>
            <w:tcW w:w="8644" w:type="dxa"/>
          </w:tcPr>
          <w:p>
            <w:pPr>
              <w:pStyle w:val="TableParagraph"/>
              <w:ind w:left="108"/>
              <w:rPr>
                <w:b/>
                <w:sz w:val="22"/>
              </w:rPr>
            </w:pPr>
            <w:r>
              <w:rPr>
                <w:b/>
                <w:sz w:val="22"/>
              </w:rPr>
              <w:t>Counter</w:t>
            </w:r>
            <w:r>
              <w:rPr>
                <w:b/>
                <w:spacing w:val="-6"/>
                <w:sz w:val="22"/>
              </w:rPr>
              <w:t> </w:t>
            </w:r>
            <w:r>
              <w:rPr>
                <w:b/>
                <w:sz w:val="22"/>
              </w:rPr>
              <w:t>Fraud</w:t>
            </w:r>
            <w:r>
              <w:rPr>
                <w:b/>
                <w:spacing w:val="-3"/>
                <w:sz w:val="22"/>
              </w:rPr>
              <w:t> </w:t>
            </w:r>
            <w:r>
              <w:rPr>
                <w:b/>
                <w:sz w:val="22"/>
              </w:rPr>
              <w:t>Annual</w:t>
            </w:r>
            <w:r>
              <w:rPr>
                <w:b/>
                <w:spacing w:val="-4"/>
                <w:sz w:val="22"/>
              </w:rPr>
              <w:t> </w:t>
            </w:r>
            <w:r>
              <w:rPr>
                <w:b/>
                <w:sz w:val="22"/>
              </w:rPr>
              <w:t>Plan</w:t>
            </w:r>
            <w:r>
              <w:rPr>
                <w:b/>
                <w:spacing w:val="-2"/>
                <w:sz w:val="22"/>
              </w:rPr>
              <w:t> </w:t>
            </w:r>
            <w:r>
              <w:rPr>
                <w:b/>
                <w:sz w:val="22"/>
              </w:rPr>
              <w:t>2022-</w:t>
            </w:r>
            <w:r>
              <w:rPr>
                <w:b/>
                <w:spacing w:val="-5"/>
                <w:sz w:val="22"/>
              </w:rPr>
              <w:t>23</w:t>
            </w:r>
          </w:p>
          <w:p>
            <w:pPr>
              <w:pStyle w:val="TableParagraph"/>
              <w:ind w:left="108"/>
              <w:rPr>
                <w:sz w:val="22"/>
              </w:rPr>
            </w:pPr>
            <w:r>
              <w:rPr>
                <w:sz w:val="22"/>
              </w:rPr>
              <w:t>MW to bring details of the new e-learning package back to the Committee, once complete.</w:t>
            </w:r>
          </w:p>
        </w:tc>
        <w:tc>
          <w:tcPr>
            <w:tcW w:w="3922" w:type="dxa"/>
            <w:shd w:val="clear" w:color="auto" w:fill="FFC000"/>
          </w:tcPr>
          <w:p>
            <w:pPr>
              <w:pStyle w:val="TableParagraph"/>
              <w:ind w:left="108"/>
              <w:rPr>
                <w:b/>
                <w:sz w:val="22"/>
              </w:rPr>
            </w:pPr>
            <w:r>
              <w:rPr>
                <w:b/>
                <w:sz w:val="22"/>
              </w:rPr>
              <w:t>In </w:t>
            </w:r>
            <w:r>
              <w:rPr>
                <w:b/>
                <w:spacing w:val="-2"/>
                <w:sz w:val="22"/>
              </w:rPr>
              <w:t>progress</w:t>
            </w:r>
          </w:p>
          <w:p>
            <w:pPr>
              <w:pStyle w:val="TableParagraph"/>
              <w:spacing w:line="260" w:lineRule="atLeast"/>
              <w:ind w:left="108" w:right="134"/>
              <w:rPr>
                <w:sz w:val="22"/>
              </w:rPr>
            </w:pPr>
            <w:r>
              <w:rPr>
                <w:sz w:val="22"/>
              </w:rPr>
              <w:t>The e-learning package is complete and was presented to the Finance Academy Governance Steering Group on 7</w:t>
            </w:r>
            <w:r>
              <w:rPr>
                <w:position w:val="7"/>
                <w:sz w:val="14"/>
              </w:rPr>
              <w:t>th</w:t>
            </w:r>
            <w:r>
              <w:rPr>
                <w:spacing w:val="40"/>
                <w:position w:val="7"/>
                <w:sz w:val="14"/>
              </w:rPr>
              <w:t> </w:t>
            </w:r>
            <w:r>
              <w:rPr>
                <w:sz w:val="22"/>
              </w:rPr>
              <w:t>November, members provided very positive and constructive</w:t>
            </w:r>
            <w:r>
              <w:rPr>
                <w:spacing w:val="-20"/>
                <w:sz w:val="22"/>
              </w:rPr>
              <w:t> </w:t>
            </w:r>
            <w:r>
              <w:rPr>
                <w:sz w:val="22"/>
              </w:rPr>
              <w:t>feedback.</w:t>
            </w:r>
            <w:r>
              <w:rPr>
                <w:spacing w:val="-18"/>
                <w:sz w:val="22"/>
              </w:rPr>
              <w:t> </w:t>
            </w:r>
            <w:r>
              <w:rPr>
                <w:sz w:val="22"/>
              </w:rPr>
              <w:t>Additional feedback has also been obtained from other stakeholders and amendments are currently being made</w:t>
            </w:r>
            <w:r>
              <w:rPr>
                <w:spacing w:val="-6"/>
                <w:sz w:val="22"/>
              </w:rPr>
              <w:t> </w:t>
            </w:r>
            <w:r>
              <w:rPr>
                <w:sz w:val="22"/>
              </w:rPr>
              <w:t>to</w:t>
            </w:r>
            <w:r>
              <w:rPr>
                <w:spacing w:val="-7"/>
                <w:sz w:val="22"/>
              </w:rPr>
              <w:t> </w:t>
            </w:r>
            <w:r>
              <w:rPr>
                <w:sz w:val="22"/>
              </w:rPr>
              <w:t>conclude</w:t>
            </w:r>
            <w:r>
              <w:rPr>
                <w:spacing w:val="-7"/>
                <w:sz w:val="22"/>
              </w:rPr>
              <w:t> </w:t>
            </w:r>
            <w:r>
              <w:rPr>
                <w:sz w:val="22"/>
              </w:rPr>
              <w:t>the</w:t>
            </w:r>
            <w:r>
              <w:rPr>
                <w:spacing w:val="-7"/>
                <w:sz w:val="22"/>
              </w:rPr>
              <w:t> </w:t>
            </w:r>
            <w:r>
              <w:rPr>
                <w:sz w:val="22"/>
              </w:rPr>
              <w:t>package</w:t>
            </w:r>
            <w:r>
              <w:rPr>
                <w:spacing w:val="-7"/>
                <w:sz w:val="22"/>
              </w:rPr>
              <w:t> </w:t>
            </w:r>
            <w:r>
              <w:rPr>
                <w:sz w:val="22"/>
              </w:rPr>
              <w:t>in the next few weeks. Planned meeting with ESR team to facilitate amendments and therefore a verbal update will be given at the meeting.</w:t>
            </w:r>
          </w:p>
        </w:tc>
      </w:tr>
      <w:tr>
        <w:trPr>
          <w:trHeight w:val="267" w:hRule="atLeast"/>
        </w:trPr>
        <w:tc>
          <w:tcPr>
            <w:tcW w:w="816" w:type="dxa"/>
          </w:tcPr>
          <w:p>
            <w:pPr>
              <w:pStyle w:val="TableParagraph"/>
              <w:spacing w:line="247" w:lineRule="exact"/>
              <w:ind w:left="108"/>
              <w:rPr>
                <w:sz w:val="22"/>
              </w:rPr>
            </w:pPr>
            <w:r>
              <w:rPr>
                <w:spacing w:val="-5"/>
                <w:sz w:val="22"/>
              </w:rPr>
              <w:t>3.</w:t>
            </w:r>
          </w:p>
        </w:tc>
        <w:tc>
          <w:tcPr>
            <w:tcW w:w="1955" w:type="dxa"/>
          </w:tcPr>
          <w:p>
            <w:pPr>
              <w:pStyle w:val="TableParagraph"/>
              <w:spacing w:line="247" w:lineRule="exact"/>
              <w:ind w:left="107"/>
              <w:rPr>
                <w:b/>
                <w:sz w:val="22"/>
              </w:rPr>
            </w:pPr>
            <w:r>
              <w:rPr>
                <w:b/>
                <w:spacing w:val="-5"/>
                <w:sz w:val="22"/>
              </w:rPr>
              <w:t>PS</w:t>
            </w:r>
          </w:p>
        </w:tc>
        <w:tc>
          <w:tcPr>
            <w:tcW w:w="8644" w:type="dxa"/>
          </w:tcPr>
          <w:p>
            <w:pPr>
              <w:pStyle w:val="TableParagraph"/>
              <w:spacing w:line="247" w:lineRule="exact"/>
              <w:ind w:left="108"/>
              <w:rPr>
                <w:sz w:val="22"/>
              </w:rPr>
            </w:pPr>
            <w:r>
              <w:rPr>
                <w:sz w:val="22"/>
              </w:rPr>
              <w:t>To</w:t>
            </w:r>
            <w:r>
              <w:rPr>
                <w:spacing w:val="19"/>
                <w:sz w:val="22"/>
              </w:rPr>
              <w:t> </w:t>
            </w:r>
            <w:r>
              <w:rPr>
                <w:sz w:val="22"/>
              </w:rPr>
              <w:t>take</w:t>
            </w:r>
            <w:r>
              <w:rPr>
                <w:spacing w:val="20"/>
                <w:sz w:val="22"/>
              </w:rPr>
              <w:t> </w:t>
            </w:r>
            <w:r>
              <w:rPr>
                <w:sz w:val="22"/>
              </w:rPr>
              <w:t>the</w:t>
            </w:r>
            <w:r>
              <w:rPr>
                <w:spacing w:val="20"/>
                <w:sz w:val="22"/>
              </w:rPr>
              <w:t> </w:t>
            </w:r>
            <w:r>
              <w:rPr>
                <w:sz w:val="22"/>
              </w:rPr>
              <w:t>Health</w:t>
            </w:r>
            <w:r>
              <w:rPr>
                <w:spacing w:val="20"/>
                <w:sz w:val="22"/>
              </w:rPr>
              <w:t> </w:t>
            </w:r>
            <w:r>
              <w:rPr>
                <w:sz w:val="22"/>
              </w:rPr>
              <w:t>and</w:t>
            </w:r>
            <w:r>
              <w:rPr>
                <w:spacing w:val="20"/>
                <w:sz w:val="22"/>
              </w:rPr>
              <w:t> </w:t>
            </w:r>
            <w:r>
              <w:rPr>
                <w:sz w:val="22"/>
              </w:rPr>
              <w:t>Care</w:t>
            </w:r>
            <w:r>
              <w:rPr>
                <w:spacing w:val="20"/>
                <w:sz w:val="22"/>
              </w:rPr>
              <w:t> </w:t>
            </w:r>
            <w:r>
              <w:rPr>
                <w:sz w:val="22"/>
              </w:rPr>
              <w:t>Standards</w:t>
            </w:r>
            <w:r>
              <w:rPr>
                <w:spacing w:val="19"/>
                <w:sz w:val="22"/>
              </w:rPr>
              <w:t> </w:t>
            </w:r>
            <w:r>
              <w:rPr>
                <w:sz w:val="22"/>
              </w:rPr>
              <w:t>to</w:t>
            </w:r>
            <w:r>
              <w:rPr>
                <w:spacing w:val="20"/>
                <w:sz w:val="22"/>
              </w:rPr>
              <w:t> </w:t>
            </w:r>
            <w:r>
              <w:rPr>
                <w:sz w:val="22"/>
              </w:rPr>
              <w:t>the</w:t>
            </w:r>
            <w:r>
              <w:rPr>
                <w:spacing w:val="20"/>
                <w:sz w:val="22"/>
              </w:rPr>
              <w:t> </w:t>
            </w:r>
            <w:r>
              <w:rPr>
                <w:sz w:val="22"/>
              </w:rPr>
              <w:t>next</w:t>
            </w:r>
            <w:r>
              <w:rPr>
                <w:spacing w:val="20"/>
                <w:sz w:val="22"/>
              </w:rPr>
              <w:t> </w:t>
            </w:r>
            <w:r>
              <w:rPr>
                <w:sz w:val="22"/>
              </w:rPr>
              <w:t>Velindre</w:t>
            </w:r>
            <w:r>
              <w:rPr>
                <w:spacing w:val="20"/>
                <w:sz w:val="22"/>
              </w:rPr>
              <w:t> </w:t>
            </w:r>
            <w:r>
              <w:rPr>
                <w:sz w:val="22"/>
              </w:rPr>
              <w:t>UNHT</w:t>
            </w:r>
            <w:r>
              <w:rPr>
                <w:spacing w:val="20"/>
                <w:sz w:val="22"/>
              </w:rPr>
              <w:t> </w:t>
            </w:r>
            <w:r>
              <w:rPr>
                <w:spacing w:val="-2"/>
                <w:sz w:val="22"/>
              </w:rPr>
              <w:t>Quality</w:t>
            </w:r>
          </w:p>
        </w:tc>
        <w:tc>
          <w:tcPr>
            <w:tcW w:w="3922" w:type="dxa"/>
            <w:shd w:val="clear" w:color="auto" w:fill="92D050"/>
          </w:tcPr>
          <w:p>
            <w:pPr>
              <w:pStyle w:val="TableParagraph"/>
              <w:spacing w:line="247" w:lineRule="exact"/>
              <w:ind w:left="108"/>
              <w:rPr>
                <w:b/>
                <w:sz w:val="22"/>
              </w:rPr>
            </w:pPr>
            <w:r>
              <w:rPr>
                <w:b/>
                <w:sz w:val="22"/>
              </w:rPr>
              <w:t>Complete</w:t>
            </w:r>
            <w:r>
              <w:rPr>
                <w:b/>
                <w:spacing w:val="-2"/>
                <w:sz w:val="22"/>
              </w:rPr>
              <w:t> </w:t>
            </w:r>
            <w:r>
              <w:rPr>
                <w:b/>
                <w:sz w:val="22"/>
              </w:rPr>
              <w:t>and</w:t>
            </w:r>
            <w:r>
              <w:rPr>
                <w:b/>
                <w:spacing w:val="-2"/>
                <w:sz w:val="22"/>
              </w:rPr>
              <w:t> </w:t>
            </w:r>
            <w:r>
              <w:rPr>
                <w:b/>
                <w:sz w:val="22"/>
              </w:rPr>
              <w:t>on</w:t>
            </w:r>
            <w:r>
              <w:rPr>
                <w:b/>
                <w:spacing w:val="-2"/>
                <w:sz w:val="22"/>
              </w:rPr>
              <w:t> agenda</w:t>
            </w:r>
          </w:p>
        </w:tc>
      </w:tr>
    </w:tbl>
    <w:p>
      <w:pPr>
        <w:spacing w:after="0" w:line="247" w:lineRule="exact"/>
        <w:rPr>
          <w:sz w:val="22"/>
        </w:rPr>
        <w:sectPr>
          <w:footerReference w:type="default" r:id="rId9"/>
          <w:pgSz w:w="16840" w:h="11910" w:orient="landscape"/>
          <w:pgMar w:footer="1091" w:header="0" w:top="340" w:bottom="1280" w:left="260" w:right="660"/>
        </w:sectPr>
      </w:pPr>
    </w:p>
    <w:tbl>
      <w:tblPr>
        <w:tblW w:w="0" w:type="auto"/>
        <w:jc w:val="left"/>
        <w:tblInd w:w="4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6"/>
        <w:gridCol w:w="1955"/>
        <w:gridCol w:w="8644"/>
        <w:gridCol w:w="3922"/>
      </w:tblGrid>
      <w:tr>
        <w:trPr>
          <w:trHeight w:val="534" w:hRule="atLeast"/>
        </w:trPr>
        <w:tc>
          <w:tcPr>
            <w:tcW w:w="816" w:type="dxa"/>
          </w:tcPr>
          <w:p>
            <w:pPr>
              <w:pStyle w:val="TableParagraph"/>
              <w:rPr>
                <w:rFonts w:ascii="Times New Roman"/>
                <w:sz w:val="22"/>
              </w:rPr>
            </w:pPr>
          </w:p>
        </w:tc>
        <w:tc>
          <w:tcPr>
            <w:tcW w:w="1955" w:type="dxa"/>
          </w:tcPr>
          <w:p>
            <w:pPr>
              <w:pStyle w:val="TableParagraph"/>
              <w:rPr>
                <w:rFonts w:ascii="Times New Roman"/>
                <w:sz w:val="22"/>
              </w:rPr>
            </w:pPr>
          </w:p>
        </w:tc>
        <w:tc>
          <w:tcPr>
            <w:tcW w:w="8644" w:type="dxa"/>
          </w:tcPr>
          <w:p>
            <w:pPr>
              <w:pStyle w:val="TableParagraph"/>
              <w:spacing w:line="260" w:lineRule="atLeast"/>
              <w:ind w:left="108"/>
              <w:rPr>
                <w:sz w:val="22"/>
              </w:rPr>
            </w:pPr>
            <w:r>
              <w:rPr>
                <w:sz w:val="22"/>
              </w:rPr>
              <w:t>and</w:t>
            </w:r>
            <w:r>
              <w:rPr>
                <w:spacing w:val="30"/>
                <w:sz w:val="22"/>
              </w:rPr>
              <w:t> </w:t>
            </w:r>
            <w:r>
              <w:rPr>
                <w:sz w:val="22"/>
              </w:rPr>
              <w:t>Safety</w:t>
            </w:r>
            <w:r>
              <w:rPr>
                <w:spacing w:val="30"/>
                <w:sz w:val="22"/>
              </w:rPr>
              <w:t> </w:t>
            </w:r>
            <w:r>
              <w:rPr>
                <w:sz w:val="22"/>
              </w:rPr>
              <w:t>Committee</w:t>
            </w:r>
            <w:r>
              <w:rPr>
                <w:spacing w:val="30"/>
                <w:sz w:val="22"/>
              </w:rPr>
              <w:t> </w:t>
            </w:r>
            <w:r>
              <w:rPr>
                <w:sz w:val="22"/>
              </w:rPr>
              <w:t>meeting</w:t>
            </w:r>
            <w:r>
              <w:rPr>
                <w:spacing w:val="30"/>
                <w:sz w:val="22"/>
              </w:rPr>
              <w:t> </w:t>
            </w:r>
            <w:r>
              <w:rPr>
                <w:sz w:val="22"/>
              </w:rPr>
              <w:t>in</w:t>
            </w:r>
            <w:r>
              <w:rPr>
                <w:spacing w:val="30"/>
                <w:sz w:val="22"/>
              </w:rPr>
              <w:t> </w:t>
            </w:r>
            <w:r>
              <w:rPr>
                <w:sz w:val="22"/>
              </w:rPr>
              <w:t>November</w:t>
            </w:r>
            <w:r>
              <w:rPr>
                <w:spacing w:val="30"/>
                <w:sz w:val="22"/>
              </w:rPr>
              <w:t> </w:t>
            </w:r>
            <w:r>
              <w:rPr>
                <w:sz w:val="22"/>
              </w:rPr>
              <w:t>and</w:t>
            </w:r>
            <w:r>
              <w:rPr>
                <w:spacing w:val="30"/>
                <w:sz w:val="22"/>
              </w:rPr>
              <w:t> </w:t>
            </w:r>
            <w:r>
              <w:rPr>
                <w:sz w:val="22"/>
              </w:rPr>
              <w:t>bring</w:t>
            </w:r>
            <w:r>
              <w:rPr>
                <w:spacing w:val="30"/>
                <w:sz w:val="22"/>
              </w:rPr>
              <w:t> </w:t>
            </w:r>
            <w:r>
              <w:rPr>
                <w:sz w:val="22"/>
              </w:rPr>
              <w:t>them</w:t>
            </w:r>
            <w:r>
              <w:rPr>
                <w:spacing w:val="30"/>
                <w:sz w:val="22"/>
              </w:rPr>
              <w:t> </w:t>
            </w:r>
            <w:r>
              <w:rPr>
                <w:sz w:val="22"/>
              </w:rPr>
              <w:t>back</w:t>
            </w:r>
            <w:r>
              <w:rPr>
                <w:spacing w:val="30"/>
                <w:sz w:val="22"/>
              </w:rPr>
              <w:t> </w:t>
            </w:r>
            <w:r>
              <w:rPr>
                <w:sz w:val="22"/>
              </w:rPr>
              <w:t>to</w:t>
            </w:r>
            <w:r>
              <w:rPr>
                <w:spacing w:val="30"/>
                <w:sz w:val="22"/>
              </w:rPr>
              <w:t> </w:t>
            </w:r>
            <w:r>
              <w:rPr>
                <w:sz w:val="22"/>
              </w:rPr>
              <w:t>the next Audit Committee in January 2023.</w:t>
            </w:r>
          </w:p>
        </w:tc>
        <w:tc>
          <w:tcPr>
            <w:tcW w:w="3922" w:type="dxa"/>
            <w:shd w:val="clear" w:color="auto" w:fill="92D050"/>
          </w:tcPr>
          <w:p>
            <w:pPr>
              <w:pStyle w:val="TableParagraph"/>
              <w:rPr>
                <w:rFonts w:ascii="Times New Roman"/>
                <w:sz w:val="22"/>
              </w:rPr>
            </w:pPr>
          </w:p>
        </w:tc>
      </w:tr>
      <w:tr>
        <w:trPr>
          <w:trHeight w:val="7486" w:hRule="atLeast"/>
        </w:trPr>
        <w:tc>
          <w:tcPr>
            <w:tcW w:w="816" w:type="dxa"/>
          </w:tcPr>
          <w:p>
            <w:pPr>
              <w:pStyle w:val="TableParagraph"/>
              <w:ind w:left="108"/>
              <w:rPr>
                <w:sz w:val="22"/>
              </w:rPr>
            </w:pPr>
            <w:r>
              <w:rPr>
                <w:spacing w:val="-5"/>
                <w:sz w:val="22"/>
              </w:rPr>
              <w:t>4.</w:t>
            </w:r>
          </w:p>
        </w:tc>
        <w:tc>
          <w:tcPr>
            <w:tcW w:w="1955" w:type="dxa"/>
          </w:tcPr>
          <w:p>
            <w:pPr>
              <w:pStyle w:val="TableParagraph"/>
              <w:ind w:left="107"/>
              <w:rPr>
                <w:b/>
                <w:sz w:val="22"/>
              </w:rPr>
            </w:pPr>
            <w:r>
              <w:rPr>
                <w:b/>
                <w:spacing w:val="-5"/>
                <w:sz w:val="22"/>
              </w:rPr>
              <w:t>SW</w:t>
            </w:r>
          </w:p>
        </w:tc>
        <w:tc>
          <w:tcPr>
            <w:tcW w:w="8644" w:type="dxa"/>
          </w:tcPr>
          <w:p>
            <w:pPr>
              <w:pStyle w:val="TableParagraph"/>
              <w:ind w:left="108"/>
              <w:rPr>
                <w:sz w:val="22"/>
              </w:rPr>
            </w:pPr>
            <w:r>
              <w:rPr>
                <w:sz w:val="22"/>
              </w:rPr>
              <w:t>Audit</w:t>
            </w:r>
            <w:r>
              <w:rPr>
                <w:spacing w:val="80"/>
                <w:sz w:val="22"/>
              </w:rPr>
              <w:t> </w:t>
            </w:r>
            <w:r>
              <w:rPr>
                <w:sz w:val="22"/>
              </w:rPr>
              <w:t>Wales</w:t>
            </w:r>
            <w:r>
              <w:rPr>
                <w:spacing w:val="80"/>
                <w:sz w:val="22"/>
              </w:rPr>
              <w:t> </w:t>
            </w:r>
            <w:r>
              <w:rPr>
                <w:sz w:val="22"/>
              </w:rPr>
              <w:t>to</w:t>
            </w:r>
            <w:r>
              <w:rPr>
                <w:spacing w:val="80"/>
                <w:sz w:val="22"/>
              </w:rPr>
              <w:t> </w:t>
            </w:r>
            <w:r>
              <w:rPr>
                <w:sz w:val="22"/>
              </w:rPr>
              <w:t>share</w:t>
            </w:r>
            <w:r>
              <w:rPr>
                <w:spacing w:val="80"/>
                <w:sz w:val="22"/>
              </w:rPr>
              <w:t> </w:t>
            </w:r>
            <w:r>
              <w:rPr>
                <w:sz w:val="22"/>
              </w:rPr>
              <w:t>responses</w:t>
            </w:r>
            <w:r>
              <w:rPr>
                <w:spacing w:val="80"/>
                <w:sz w:val="22"/>
              </w:rPr>
              <w:t> </w:t>
            </w:r>
            <w:r>
              <w:rPr>
                <w:sz w:val="22"/>
              </w:rPr>
              <w:t>to</w:t>
            </w:r>
            <w:r>
              <w:rPr>
                <w:spacing w:val="80"/>
                <w:sz w:val="22"/>
              </w:rPr>
              <w:t> </w:t>
            </w:r>
            <w:r>
              <w:rPr>
                <w:sz w:val="22"/>
              </w:rPr>
              <w:t>the</w:t>
            </w:r>
            <w:r>
              <w:rPr>
                <w:spacing w:val="80"/>
                <w:sz w:val="22"/>
              </w:rPr>
              <w:t> </w:t>
            </w:r>
            <w:r>
              <w:rPr>
                <w:sz w:val="22"/>
              </w:rPr>
              <w:t>recent</w:t>
            </w:r>
            <w:r>
              <w:rPr>
                <w:spacing w:val="80"/>
                <w:sz w:val="22"/>
              </w:rPr>
              <w:t> </w:t>
            </w:r>
            <w:r>
              <w:rPr>
                <w:sz w:val="22"/>
              </w:rPr>
              <w:t>fee</w:t>
            </w:r>
            <w:r>
              <w:rPr>
                <w:spacing w:val="80"/>
                <w:sz w:val="22"/>
              </w:rPr>
              <w:t> </w:t>
            </w:r>
            <w:r>
              <w:rPr>
                <w:sz w:val="22"/>
              </w:rPr>
              <w:t>consultation</w:t>
            </w:r>
            <w:r>
              <w:rPr>
                <w:spacing w:val="80"/>
                <w:sz w:val="22"/>
              </w:rPr>
              <w:t> </w:t>
            </w:r>
            <w:r>
              <w:rPr>
                <w:sz w:val="22"/>
              </w:rPr>
              <w:t>once </w:t>
            </w:r>
            <w:r>
              <w:rPr>
                <w:spacing w:val="-2"/>
                <w:sz w:val="22"/>
              </w:rPr>
              <w:t>available.</w:t>
            </w:r>
          </w:p>
        </w:tc>
        <w:tc>
          <w:tcPr>
            <w:tcW w:w="3922" w:type="dxa"/>
            <w:shd w:val="clear" w:color="auto" w:fill="FFC000"/>
          </w:tcPr>
          <w:p>
            <w:pPr>
              <w:pStyle w:val="TableParagraph"/>
              <w:ind w:left="108"/>
              <w:rPr>
                <w:b/>
                <w:sz w:val="22"/>
              </w:rPr>
            </w:pPr>
            <w:r>
              <w:rPr>
                <w:b/>
                <w:sz w:val="22"/>
              </w:rPr>
              <w:t>In </w:t>
            </w:r>
            <w:r>
              <w:rPr>
                <w:b/>
                <w:spacing w:val="-2"/>
                <w:sz w:val="22"/>
              </w:rPr>
              <w:t>progress</w:t>
            </w:r>
          </w:p>
          <w:p>
            <w:pPr>
              <w:pStyle w:val="TableParagraph"/>
              <w:spacing w:line="260" w:lineRule="atLeast"/>
              <w:ind w:left="108" w:right="106"/>
              <w:rPr>
                <w:sz w:val="22"/>
              </w:rPr>
            </w:pPr>
            <w:r>
              <w:rPr>
                <w:sz w:val="22"/>
              </w:rPr>
              <w:t>SW is unaware of any consultation responses from either Velindre Trust of NWSSP, Audit Wales have summarised their consultation responses in the draft Fee Scheme that was included within our Estimate for 2023-24 that was reported to</w:t>
            </w:r>
            <w:r>
              <w:rPr>
                <w:spacing w:val="40"/>
                <w:sz w:val="22"/>
              </w:rPr>
              <w:t> </w:t>
            </w:r>
            <w:r>
              <w:rPr>
                <w:sz w:val="22"/>
              </w:rPr>
              <w:t>the Senedd Finance Committee in November 2022 – </w:t>
            </w:r>
            <w:hyperlink r:id="rId12">
              <w:r>
                <w:rPr>
                  <w:color w:val="0463C1"/>
                  <w:sz w:val="22"/>
                  <w:u w:val="single" w:color="0463C1"/>
                </w:rPr>
                <w:t>(Public</w:t>
              </w:r>
            </w:hyperlink>
            <w:r>
              <w:rPr>
                <w:color w:val="0463C1"/>
                <w:sz w:val="22"/>
              </w:rPr>
              <w:t> </w:t>
            </w:r>
            <w:hyperlink r:id="rId12">
              <w:r>
                <w:rPr>
                  <w:color w:val="0463C1"/>
                  <w:sz w:val="22"/>
                  <w:u w:val="single" w:color="0463C1"/>
                </w:rPr>
                <w:t>Pack)Agenda Document for</w:t>
              </w:r>
            </w:hyperlink>
            <w:r>
              <w:rPr>
                <w:color w:val="0463C1"/>
                <w:sz w:val="22"/>
              </w:rPr>
              <w:t> </w:t>
            </w:r>
            <w:hyperlink r:id="rId12">
              <w:r>
                <w:rPr>
                  <w:color w:val="0463C1"/>
                  <w:sz w:val="22"/>
                  <w:u w:val="single" w:color="0463C1"/>
                </w:rPr>
                <w:t>Finance Committee, 09/11/2022</w:t>
              </w:r>
            </w:hyperlink>
            <w:r>
              <w:rPr>
                <w:color w:val="0463C1"/>
                <w:sz w:val="22"/>
              </w:rPr>
              <w:t> </w:t>
            </w:r>
            <w:hyperlink r:id="rId12">
              <w:r>
                <w:rPr>
                  <w:color w:val="0463C1"/>
                  <w:sz w:val="22"/>
                  <w:u w:val="single" w:color="0463C1"/>
                </w:rPr>
                <w:t>09:30 (senedd.wales)</w:t>
              </w:r>
            </w:hyperlink>
            <w:r>
              <w:rPr>
                <w:sz w:val="22"/>
              </w:rPr>
              <w:t>. In response to the consultation – and also to reflect the reduction in NI rates announced in the ‘mini-budget’ the expected increase in fee rates was</w:t>
            </w:r>
            <w:r>
              <w:rPr>
                <w:spacing w:val="40"/>
                <w:sz w:val="22"/>
              </w:rPr>
              <w:t> </w:t>
            </w:r>
            <w:r>
              <w:rPr>
                <w:sz w:val="22"/>
              </w:rPr>
              <w:t>reduced to 4.8%. (note the</w:t>
            </w:r>
            <w:r>
              <w:rPr>
                <w:spacing w:val="40"/>
                <w:sz w:val="22"/>
              </w:rPr>
              <w:t> </w:t>
            </w:r>
            <w:r>
              <w:rPr>
                <w:sz w:val="22"/>
              </w:rPr>
              <w:t>initial consultation proposed 5.5%). Finance Committee are considering Audit Wales final fee scheme for 2023-24 today (12</w:t>
            </w:r>
            <w:r>
              <w:rPr>
                <w:position w:val="7"/>
                <w:sz w:val="14"/>
              </w:rPr>
              <w:t>th </w:t>
            </w:r>
            <w:r>
              <w:rPr>
                <w:sz w:val="22"/>
              </w:rPr>
              <w:t>January) and once approved this will</w:t>
            </w:r>
            <w:r>
              <w:rPr>
                <w:spacing w:val="-8"/>
                <w:sz w:val="22"/>
              </w:rPr>
              <w:t> </w:t>
            </w:r>
            <w:r>
              <w:rPr>
                <w:sz w:val="22"/>
              </w:rPr>
              <w:t>be</w:t>
            </w:r>
            <w:r>
              <w:rPr>
                <w:spacing w:val="-9"/>
                <w:sz w:val="22"/>
              </w:rPr>
              <w:t> </w:t>
            </w:r>
            <w:r>
              <w:rPr>
                <w:sz w:val="22"/>
              </w:rPr>
              <w:t>published</w:t>
            </w:r>
            <w:r>
              <w:rPr>
                <w:spacing w:val="-9"/>
                <w:sz w:val="22"/>
              </w:rPr>
              <w:t> </w:t>
            </w:r>
            <w:r>
              <w:rPr>
                <w:sz w:val="22"/>
              </w:rPr>
              <w:t>on</w:t>
            </w:r>
            <w:r>
              <w:rPr>
                <w:spacing w:val="-8"/>
                <w:sz w:val="22"/>
              </w:rPr>
              <w:t> </w:t>
            </w:r>
            <w:r>
              <w:rPr>
                <w:sz w:val="22"/>
              </w:rPr>
              <w:t>their</w:t>
            </w:r>
            <w:r>
              <w:rPr>
                <w:spacing w:val="-9"/>
                <w:sz w:val="22"/>
              </w:rPr>
              <w:t> </w:t>
            </w:r>
            <w:r>
              <w:rPr>
                <w:sz w:val="22"/>
              </w:rPr>
              <w:t>website and a communication sent to all audited bodies to advise.</w:t>
            </w:r>
          </w:p>
        </w:tc>
      </w:tr>
      <w:tr>
        <w:trPr>
          <w:trHeight w:val="1604" w:hRule="atLeast"/>
        </w:trPr>
        <w:tc>
          <w:tcPr>
            <w:tcW w:w="816" w:type="dxa"/>
          </w:tcPr>
          <w:p>
            <w:pPr>
              <w:pStyle w:val="TableParagraph"/>
              <w:ind w:left="108"/>
              <w:rPr>
                <w:sz w:val="22"/>
              </w:rPr>
            </w:pPr>
            <w:r>
              <w:rPr>
                <w:spacing w:val="-5"/>
                <w:sz w:val="22"/>
              </w:rPr>
              <w:t>5.</w:t>
            </w:r>
          </w:p>
        </w:tc>
        <w:tc>
          <w:tcPr>
            <w:tcW w:w="1955" w:type="dxa"/>
          </w:tcPr>
          <w:p>
            <w:pPr>
              <w:pStyle w:val="TableParagraph"/>
              <w:ind w:left="107"/>
              <w:rPr>
                <w:b/>
                <w:sz w:val="22"/>
              </w:rPr>
            </w:pPr>
            <w:r>
              <w:rPr>
                <w:b/>
                <w:spacing w:val="-5"/>
                <w:sz w:val="22"/>
              </w:rPr>
              <w:t>CW</w:t>
            </w:r>
          </w:p>
        </w:tc>
        <w:tc>
          <w:tcPr>
            <w:tcW w:w="8644" w:type="dxa"/>
          </w:tcPr>
          <w:p>
            <w:pPr>
              <w:pStyle w:val="TableParagraph"/>
              <w:ind w:left="108" w:right="94"/>
              <w:jc w:val="both"/>
              <w:rPr>
                <w:sz w:val="22"/>
              </w:rPr>
            </w:pPr>
            <w:r>
              <w:rPr>
                <w:sz w:val="22"/>
              </w:rPr>
              <w:t>To obtain an update on progress from the Programme Governance Board regarding the action plan being monitored by the Group. A progress report from the Governance Boards would be brought back to the January Committee to demonstrate progress.</w:t>
            </w:r>
          </w:p>
          <w:p>
            <w:pPr>
              <w:pStyle w:val="TableParagraph"/>
              <w:spacing w:before="2"/>
              <w:rPr>
                <w:rFonts w:ascii="Arial"/>
                <w:b/>
                <w:sz w:val="23"/>
              </w:rPr>
            </w:pPr>
          </w:p>
          <w:p>
            <w:pPr>
              <w:pStyle w:val="TableParagraph"/>
              <w:spacing w:line="247" w:lineRule="exact" w:before="1"/>
              <w:ind w:left="108"/>
              <w:jc w:val="both"/>
              <w:rPr>
                <w:sz w:val="22"/>
              </w:rPr>
            </w:pPr>
            <w:r>
              <w:rPr>
                <w:sz w:val="22"/>
              </w:rPr>
              <w:t>CW</w:t>
            </w:r>
            <w:r>
              <w:rPr>
                <w:spacing w:val="-6"/>
                <w:sz w:val="22"/>
              </w:rPr>
              <w:t> </w:t>
            </w:r>
            <w:r>
              <w:rPr>
                <w:sz w:val="22"/>
              </w:rPr>
              <w:t>to</w:t>
            </w:r>
            <w:r>
              <w:rPr>
                <w:spacing w:val="-3"/>
                <w:sz w:val="22"/>
              </w:rPr>
              <w:t> </w:t>
            </w:r>
            <w:r>
              <w:rPr>
                <w:sz w:val="22"/>
              </w:rPr>
              <w:t>add</w:t>
            </w:r>
            <w:r>
              <w:rPr>
                <w:spacing w:val="-2"/>
                <w:sz w:val="22"/>
              </w:rPr>
              <w:t> </w:t>
            </w:r>
            <w:r>
              <w:rPr>
                <w:sz w:val="22"/>
              </w:rPr>
              <w:t>the</w:t>
            </w:r>
            <w:r>
              <w:rPr>
                <w:spacing w:val="-4"/>
                <w:sz w:val="22"/>
              </w:rPr>
              <w:t> </w:t>
            </w:r>
            <w:r>
              <w:rPr>
                <w:sz w:val="22"/>
              </w:rPr>
              <w:t>progress</w:t>
            </w:r>
            <w:r>
              <w:rPr>
                <w:spacing w:val="-3"/>
                <w:sz w:val="22"/>
              </w:rPr>
              <w:t> </w:t>
            </w:r>
            <w:r>
              <w:rPr>
                <w:sz w:val="22"/>
              </w:rPr>
              <w:t>update</w:t>
            </w:r>
            <w:r>
              <w:rPr>
                <w:spacing w:val="-3"/>
                <w:sz w:val="22"/>
              </w:rPr>
              <w:t> </w:t>
            </w:r>
            <w:r>
              <w:rPr>
                <w:sz w:val="22"/>
              </w:rPr>
              <w:t>to</w:t>
            </w:r>
            <w:r>
              <w:rPr>
                <w:spacing w:val="-2"/>
                <w:sz w:val="22"/>
              </w:rPr>
              <w:t> </w:t>
            </w:r>
            <w:r>
              <w:rPr>
                <w:sz w:val="22"/>
              </w:rPr>
              <w:t>the</w:t>
            </w:r>
            <w:r>
              <w:rPr>
                <w:spacing w:val="-3"/>
                <w:sz w:val="22"/>
              </w:rPr>
              <w:t> </w:t>
            </w:r>
            <w:r>
              <w:rPr>
                <w:sz w:val="22"/>
              </w:rPr>
              <w:t>January</w:t>
            </w:r>
            <w:r>
              <w:rPr>
                <w:spacing w:val="-2"/>
                <w:sz w:val="22"/>
              </w:rPr>
              <w:t> </w:t>
            </w:r>
            <w:r>
              <w:rPr>
                <w:sz w:val="22"/>
              </w:rPr>
              <w:t>Committee</w:t>
            </w:r>
            <w:r>
              <w:rPr>
                <w:spacing w:val="-3"/>
                <w:sz w:val="22"/>
              </w:rPr>
              <w:t> </w:t>
            </w:r>
            <w:r>
              <w:rPr>
                <w:sz w:val="22"/>
              </w:rPr>
              <w:t>meeting</w:t>
            </w:r>
            <w:r>
              <w:rPr>
                <w:spacing w:val="-2"/>
                <w:sz w:val="22"/>
              </w:rPr>
              <w:t> agenda.</w:t>
            </w:r>
          </w:p>
        </w:tc>
        <w:tc>
          <w:tcPr>
            <w:tcW w:w="3922" w:type="dxa"/>
            <w:shd w:val="clear" w:color="auto" w:fill="FFC000"/>
          </w:tcPr>
          <w:p>
            <w:pPr>
              <w:pStyle w:val="TableParagraph"/>
              <w:ind w:left="108"/>
              <w:rPr>
                <w:b/>
                <w:sz w:val="22"/>
              </w:rPr>
            </w:pPr>
            <w:r>
              <w:rPr>
                <w:b/>
                <w:sz w:val="22"/>
              </w:rPr>
              <w:t>In </w:t>
            </w:r>
            <w:r>
              <w:rPr>
                <w:b/>
                <w:spacing w:val="-2"/>
                <w:sz w:val="22"/>
              </w:rPr>
              <w:t>progress</w:t>
            </w:r>
          </w:p>
          <w:p>
            <w:pPr>
              <w:pStyle w:val="TableParagraph"/>
              <w:ind w:left="108" w:right="106"/>
              <w:rPr>
                <w:sz w:val="22"/>
              </w:rPr>
            </w:pPr>
            <w:r>
              <w:rPr>
                <w:sz w:val="22"/>
              </w:rPr>
              <w:t>The action plan has been prepared</w:t>
            </w:r>
            <w:r>
              <w:rPr>
                <w:spacing w:val="-7"/>
                <w:sz w:val="22"/>
              </w:rPr>
              <w:t> </w:t>
            </w:r>
            <w:r>
              <w:rPr>
                <w:sz w:val="22"/>
              </w:rPr>
              <w:t>and</w:t>
            </w:r>
            <w:r>
              <w:rPr>
                <w:spacing w:val="-6"/>
                <w:sz w:val="22"/>
              </w:rPr>
              <w:t> </w:t>
            </w:r>
            <w:r>
              <w:rPr>
                <w:sz w:val="22"/>
              </w:rPr>
              <w:t>is</w:t>
            </w:r>
            <w:r>
              <w:rPr>
                <w:spacing w:val="-7"/>
                <w:sz w:val="22"/>
              </w:rPr>
              <w:t> </w:t>
            </w:r>
            <w:r>
              <w:rPr>
                <w:sz w:val="22"/>
              </w:rPr>
              <w:t>due</w:t>
            </w:r>
            <w:r>
              <w:rPr>
                <w:spacing w:val="-7"/>
                <w:sz w:val="22"/>
              </w:rPr>
              <w:t> </w:t>
            </w:r>
            <w:r>
              <w:rPr>
                <w:sz w:val="22"/>
              </w:rPr>
              <w:t>to</w:t>
            </w:r>
            <w:r>
              <w:rPr>
                <w:spacing w:val="-6"/>
                <w:sz w:val="22"/>
              </w:rPr>
              <w:t> </w:t>
            </w:r>
            <w:r>
              <w:rPr>
                <w:sz w:val="22"/>
              </w:rPr>
              <w:t>be</w:t>
            </w:r>
            <w:r>
              <w:rPr>
                <w:spacing w:val="-7"/>
                <w:sz w:val="22"/>
              </w:rPr>
              <w:t> </w:t>
            </w:r>
            <w:r>
              <w:rPr>
                <w:sz w:val="22"/>
              </w:rPr>
              <w:t>taken to the next meeting of the two Governance Boards.</w:t>
            </w:r>
          </w:p>
        </w:tc>
      </w:tr>
    </w:tbl>
    <w:p>
      <w:pPr>
        <w:spacing w:after="0"/>
        <w:rPr>
          <w:sz w:val="22"/>
        </w:rPr>
        <w:sectPr>
          <w:footerReference w:type="default" r:id="rId11"/>
          <w:pgSz w:w="16840" w:h="11910" w:orient="landscape"/>
          <w:pgMar w:footer="1091" w:header="0" w:top="820" w:bottom="1280" w:left="260" w:right="660"/>
        </w:sectPr>
      </w:pPr>
    </w:p>
    <w:tbl>
      <w:tblPr>
        <w:tblW w:w="0" w:type="auto"/>
        <w:jc w:val="left"/>
        <w:tblInd w:w="4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6"/>
        <w:gridCol w:w="1955"/>
        <w:gridCol w:w="8644"/>
        <w:gridCol w:w="3922"/>
      </w:tblGrid>
      <w:tr>
        <w:trPr>
          <w:trHeight w:val="267" w:hRule="atLeast"/>
        </w:trPr>
        <w:tc>
          <w:tcPr>
            <w:tcW w:w="816" w:type="dxa"/>
          </w:tcPr>
          <w:p>
            <w:pPr>
              <w:pStyle w:val="TableParagraph"/>
              <w:rPr>
                <w:rFonts w:ascii="Times New Roman"/>
                <w:sz w:val="18"/>
              </w:rPr>
            </w:pPr>
          </w:p>
        </w:tc>
        <w:tc>
          <w:tcPr>
            <w:tcW w:w="1955" w:type="dxa"/>
          </w:tcPr>
          <w:p>
            <w:pPr>
              <w:pStyle w:val="TableParagraph"/>
              <w:rPr>
                <w:rFonts w:ascii="Times New Roman"/>
                <w:sz w:val="18"/>
              </w:rPr>
            </w:pPr>
          </w:p>
        </w:tc>
        <w:tc>
          <w:tcPr>
            <w:tcW w:w="8644" w:type="dxa"/>
          </w:tcPr>
          <w:p>
            <w:pPr>
              <w:pStyle w:val="TableParagraph"/>
              <w:rPr>
                <w:rFonts w:ascii="Times New Roman"/>
                <w:sz w:val="18"/>
              </w:rPr>
            </w:pPr>
          </w:p>
        </w:tc>
        <w:tc>
          <w:tcPr>
            <w:tcW w:w="3922" w:type="dxa"/>
            <w:shd w:val="clear" w:color="auto" w:fill="FFC000"/>
          </w:tcPr>
          <w:p>
            <w:pPr>
              <w:pStyle w:val="TableParagraph"/>
              <w:rPr>
                <w:rFonts w:ascii="Times New Roman"/>
                <w:sz w:val="18"/>
              </w:rPr>
            </w:pPr>
          </w:p>
        </w:tc>
      </w:tr>
      <w:tr>
        <w:trPr>
          <w:trHeight w:val="1069" w:hRule="atLeast"/>
        </w:trPr>
        <w:tc>
          <w:tcPr>
            <w:tcW w:w="816" w:type="dxa"/>
          </w:tcPr>
          <w:p>
            <w:pPr>
              <w:pStyle w:val="TableParagraph"/>
              <w:ind w:left="108"/>
              <w:rPr>
                <w:sz w:val="22"/>
              </w:rPr>
            </w:pPr>
            <w:r>
              <w:rPr>
                <w:spacing w:val="-5"/>
                <w:sz w:val="22"/>
              </w:rPr>
              <w:t>6.</w:t>
            </w:r>
          </w:p>
        </w:tc>
        <w:tc>
          <w:tcPr>
            <w:tcW w:w="1955" w:type="dxa"/>
          </w:tcPr>
          <w:p>
            <w:pPr>
              <w:pStyle w:val="TableParagraph"/>
              <w:ind w:left="107"/>
              <w:rPr>
                <w:b/>
                <w:sz w:val="22"/>
              </w:rPr>
            </w:pPr>
            <w:r>
              <w:rPr>
                <w:b/>
                <w:spacing w:val="-5"/>
                <w:sz w:val="22"/>
              </w:rPr>
              <w:t>CW</w:t>
            </w:r>
          </w:p>
        </w:tc>
        <w:tc>
          <w:tcPr>
            <w:tcW w:w="8644" w:type="dxa"/>
          </w:tcPr>
          <w:p>
            <w:pPr>
              <w:pStyle w:val="TableParagraph"/>
              <w:ind w:left="108"/>
              <w:rPr>
                <w:sz w:val="22"/>
              </w:rPr>
            </w:pPr>
            <w:r>
              <w:rPr>
                <w:sz w:val="22"/>
              </w:rPr>
              <w:t>To</w:t>
            </w:r>
            <w:r>
              <w:rPr>
                <w:spacing w:val="-2"/>
                <w:sz w:val="22"/>
              </w:rPr>
              <w:t> </w:t>
            </w:r>
            <w:r>
              <w:rPr>
                <w:sz w:val="22"/>
              </w:rPr>
              <w:t>arrange</w:t>
            </w:r>
            <w:r>
              <w:rPr>
                <w:spacing w:val="-2"/>
                <w:sz w:val="22"/>
              </w:rPr>
              <w:t> </w:t>
            </w:r>
            <w:r>
              <w:rPr>
                <w:sz w:val="22"/>
              </w:rPr>
              <w:t>a</w:t>
            </w:r>
            <w:r>
              <w:rPr>
                <w:spacing w:val="-2"/>
                <w:sz w:val="22"/>
              </w:rPr>
              <w:t> </w:t>
            </w:r>
            <w:r>
              <w:rPr>
                <w:sz w:val="22"/>
              </w:rPr>
              <w:t>face-to-face</w:t>
            </w:r>
            <w:r>
              <w:rPr>
                <w:spacing w:val="-1"/>
                <w:sz w:val="22"/>
              </w:rPr>
              <w:t> </w:t>
            </w:r>
            <w:r>
              <w:rPr>
                <w:sz w:val="22"/>
              </w:rPr>
              <w:t>Audit</w:t>
            </w:r>
            <w:r>
              <w:rPr>
                <w:spacing w:val="-3"/>
                <w:sz w:val="22"/>
              </w:rPr>
              <w:t> </w:t>
            </w:r>
            <w:r>
              <w:rPr>
                <w:sz w:val="22"/>
              </w:rPr>
              <w:t>Committee</w:t>
            </w:r>
            <w:r>
              <w:rPr>
                <w:spacing w:val="-1"/>
                <w:sz w:val="22"/>
              </w:rPr>
              <w:t> </w:t>
            </w:r>
            <w:r>
              <w:rPr>
                <w:sz w:val="22"/>
              </w:rPr>
              <w:t>meeting</w:t>
            </w:r>
            <w:r>
              <w:rPr>
                <w:spacing w:val="-2"/>
                <w:sz w:val="22"/>
              </w:rPr>
              <w:t> </w:t>
            </w:r>
            <w:r>
              <w:rPr>
                <w:sz w:val="22"/>
              </w:rPr>
              <w:t>in</w:t>
            </w:r>
            <w:r>
              <w:rPr>
                <w:spacing w:val="-2"/>
                <w:sz w:val="22"/>
              </w:rPr>
              <w:t> 2023.</w:t>
            </w:r>
          </w:p>
        </w:tc>
        <w:tc>
          <w:tcPr>
            <w:tcW w:w="3922" w:type="dxa"/>
            <w:shd w:val="clear" w:color="auto" w:fill="FFC000"/>
          </w:tcPr>
          <w:p>
            <w:pPr>
              <w:pStyle w:val="TableParagraph"/>
              <w:ind w:left="108"/>
              <w:rPr>
                <w:b/>
                <w:sz w:val="22"/>
              </w:rPr>
            </w:pPr>
            <w:r>
              <w:rPr>
                <w:b/>
                <w:sz w:val="22"/>
              </w:rPr>
              <w:t>In </w:t>
            </w:r>
            <w:r>
              <w:rPr>
                <w:b/>
                <w:spacing w:val="-2"/>
                <w:sz w:val="22"/>
              </w:rPr>
              <w:t>progress</w:t>
            </w:r>
          </w:p>
          <w:p>
            <w:pPr>
              <w:pStyle w:val="TableParagraph"/>
              <w:spacing w:line="260" w:lineRule="atLeast"/>
              <w:ind w:left="108"/>
              <w:rPr>
                <w:sz w:val="22"/>
              </w:rPr>
            </w:pPr>
            <w:r>
              <w:rPr>
                <w:sz w:val="22"/>
              </w:rPr>
              <w:t>Audit</w:t>
            </w:r>
            <w:r>
              <w:rPr>
                <w:spacing w:val="-10"/>
                <w:sz w:val="22"/>
              </w:rPr>
              <w:t> </w:t>
            </w:r>
            <w:r>
              <w:rPr>
                <w:sz w:val="22"/>
              </w:rPr>
              <w:t>Committee</w:t>
            </w:r>
            <w:r>
              <w:rPr>
                <w:spacing w:val="-9"/>
                <w:sz w:val="22"/>
              </w:rPr>
              <w:t> </w:t>
            </w:r>
            <w:r>
              <w:rPr>
                <w:sz w:val="22"/>
              </w:rPr>
              <w:t>Chair</w:t>
            </w:r>
            <w:r>
              <w:rPr>
                <w:spacing w:val="-9"/>
                <w:sz w:val="22"/>
              </w:rPr>
              <w:t> </w:t>
            </w:r>
            <w:r>
              <w:rPr>
                <w:sz w:val="22"/>
              </w:rPr>
              <w:t>to</w:t>
            </w:r>
            <w:r>
              <w:rPr>
                <w:spacing w:val="-10"/>
                <w:sz w:val="22"/>
              </w:rPr>
              <w:t> </w:t>
            </w:r>
            <w:r>
              <w:rPr>
                <w:sz w:val="22"/>
              </w:rPr>
              <w:t>consult with members on options at the January meeting.</w:t>
            </w:r>
          </w:p>
        </w:tc>
      </w:tr>
    </w:tbl>
    <w:p>
      <w:pPr>
        <w:spacing w:after="0" w:line="260" w:lineRule="atLeast"/>
        <w:rPr>
          <w:sz w:val="22"/>
        </w:rPr>
        <w:sectPr>
          <w:footerReference w:type="default" r:id="rId13"/>
          <w:pgSz w:w="16840" w:h="11910" w:orient="landscape"/>
          <w:pgMar w:footer="1091" w:header="0" w:top="820" w:bottom="1280" w:left="260" w:right="660"/>
        </w:sectPr>
      </w:pPr>
    </w:p>
    <w:p>
      <w:pPr>
        <w:pStyle w:val="BodyText"/>
        <w:spacing w:before="2"/>
        <w:rPr>
          <w:rFonts w:ascii="Arial"/>
          <w:b/>
          <w:sz w:val="2"/>
        </w:rPr>
      </w:pPr>
    </w:p>
    <w:tbl>
      <w:tblPr>
        <w:tblW w:w="0" w:type="auto"/>
        <w:jc w:val="left"/>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52"/>
        <w:gridCol w:w="6095"/>
      </w:tblGrid>
      <w:tr>
        <w:trPr>
          <w:trHeight w:val="583" w:hRule="atLeast"/>
        </w:trPr>
        <w:tc>
          <w:tcPr>
            <w:tcW w:w="3652" w:type="dxa"/>
          </w:tcPr>
          <w:p>
            <w:pPr>
              <w:pStyle w:val="TableParagraph"/>
              <w:ind w:left="108"/>
              <w:rPr>
                <w:b/>
                <w:sz w:val="24"/>
              </w:rPr>
            </w:pPr>
            <w:bookmarkStart w:name=" 2 MD Update January 23.pdf" w:id="37"/>
            <w:bookmarkEnd w:id="37"/>
            <w:r>
              <w:rPr/>
            </w:r>
            <w:r>
              <w:rPr>
                <w:b/>
                <w:spacing w:val="-2"/>
                <w:sz w:val="24"/>
              </w:rPr>
              <w:t>MEETING</w:t>
            </w:r>
          </w:p>
        </w:tc>
        <w:tc>
          <w:tcPr>
            <w:tcW w:w="6095" w:type="dxa"/>
          </w:tcPr>
          <w:p>
            <w:pPr>
              <w:pStyle w:val="TableParagraph"/>
              <w:spacing w:line="290" w:lineRule="atLeast"/>
              <w:ind w:left="430" w:hanging="238"/>
              <w:rPr>
                <w:sz w:val="24"/>
              </w:rPr>
            </w:pPr>
            <w:r>
              <w:rPr>
                <w:sz w:val="24"/>
              </w:rPr>
              <w:t>Velindre</w:t>
            </w:r>
            <w:r>
              <w:rPr>
                <w:spacing w:val="-8"/>
                <w:sz w:val="24"/>
              </w:rPr>
              <w:t> </w:t>
            </w:r>
            <w:r>
              <w:rPr>
                <w:sz w:val="24"/>
              </w:rPr>
              <w:t>University</w:t>
            </w:r>
            <w:r>
              <w:rPr>
                <w:spacing w:val="-8"/>
                <w:sz w:val="24"/>
              </w:rPr>
              <w:t> </w:t>
            </w:r>
            <w:r>
              <w:rPr>
                <w:sz w:val="24"/>
              </w:rPr>
              <w:t>NHS</w:t>
            </w:r>
            <w:r>
              <w:rPr>
                <w:spacing w:val="-8"/>
                <w:sz w:val="24"/>
              </w:rPr>
              <w:t> </w:t>
            </w:r>
            <w:r>
              <w:rPr>
                <w:sz w:val="24"/>
              </w:rPr>
              <w:t>Trust</w:t>
            </w:r>
            <w:r>
              <w:rPr>
                <w:spacing w:val="-8"/>
                <w:sz w:val="24"/>
              </w:rPr>
              <w:t> </w:t>
            </w:r>
            <w:r>
              <w:rPr>
                <w:sz w:val="24"/>
              </w:rPr>
              <w:t>Audit</w:t>
            </w:r>
            <w:r>
              <w:rPr>
                <w:spacing w:val="-7"/>
                <w:sz w:val="24"/>
              </w:rPr>
              <w:t> </w:t>
            </w:r>
            <w:r>
              <w:rPr>
                <w:sz w:val="24"/>
              </w:rPr>
              <w:t>Committee for NHS Wales Shared Services Partnership</w:t>
            </w:r>
          </w:p>
        </w:tc>
      </w:tr>
      <w:tr>
        <w:trPr>
          <w:trHeight w:val="538" w:hRule="atLeast"/>
        </w:trPr>
        <w:tc>
          <w:tcPr>
            <w:tcW w:w="3652" w:type="dxa"/>
          </w:tcPr>
          <w:p>
            <w:pPr>
              <w:pStyle w:val="TableParagraph"/>
              <w:ind w:left="108"/>
              <w:rPr>
                <w:b/>
                <w:sz w:val="24"/>
              </w:rPr>
            </w:pPr>
            <w:r>
              <w:rPr>
                <w:b/>
                <w:spacing w:val="-4"/>
                <w:sz w:val="24"/>
              </w:rPr>
              <w:t>DATE</w:t>
            </w:r>
          </w:p>
        </w:tc>
        <w:tc>
          <w:tcPr>
            <w:tcW w:w="6095" w:type="dxa"/>
          </w:tcPr>
          <w:p>
            <w:pPr>
              <w:pStyle w:val="TableParagraph"/>
              <w:ind w:left="580" w:right="570"/>
              <w:jc w:val="center"/>
              <w:rPr>
                <w:sz w:val="24"/>
              </w:rPr>
            </w:pPr>
            <w:r>
              <w:rPr>
                <w:sz w:val="24"/>
              </w:rPr>
              <w:t>24</w:t>
            </w:r>
            <w:r>
              <w:rPr>
                <w:spacing w:val="-4"/>
                <w:sz w:val="24"/>
              </w:rPr>
              <w:t> </w:t>
            </w:r>
            <w:r>
              <w:rPr>
                <w:sz w:val="24"/>
              </w:rPr>
              <w:t>January</w:t>
            </w:r>
            <w:r>
              <w:rPr>
                <w:spacing w:val="-1"/>
                <w:sz w:val="24"/>
              </w:rPr>
              <w:t> </w:t>
            </w:r>
            <w:r>
              <w:rPr>
                <w:spacing w:val="-4"/>
                <w:sz w:val="24"/>
              </w:rPr>
              <w:t>2023</w:t>
            </w:r>
          </w:p>
        </w:tc>
      </w:tr>
      <w:tr>
        <w:trPr>
          <w:trHeight w:val="538" w:hRule="atLeast"/>
        </w:trPr>
        <w:tc>
          <w:tcPr>
            <w:tcW w:w="3652" w:type="dxa"/>
          </w:tcPr>
          <w:p>
            <w:pPr>
              <w:pStyle w:val="TableParagraph"/>
              <w:ind w:left="108"/>
              <w:rPr>
                <w:b/>
                <w:sz w:val="24"/>
              </w:rPr>
            </w:pPr>
            <w:r>
              <w:rPr>
                <w:b/>
                <w:sz w:val="24"/>
              </w:rPr>
              <w:t>AGENDA</w:t>
            </w:r>
            <w:r>
              <w:rPr>
                <w:b/>
                <w:spacing w:val="-4"/>
                <w:sz w:val="24"/>
              </w:rPr>
              <w:t> ITEM</w:t>
            </w:r>
          </w:p>
        </w:tc>
        <w:tc>
          <w:tcPr>
            <w:tcW w:w="6095" w:type="dxa"/>
          </w:tcPr>
          <w:p>
            <w:pPr>
              <w:pStyle w:val="TableParagraph"/>
              <w:ind w:left="580" w:right="570"/>
              <w:jc w:val="center"/>
              <w:rPr>
                <w:sz w:val="24"/>
              </w:rPr>
            </w:pPr>
            <w:r>
              <w:rPr>
                <w:spacing w:val="-5"/>
                <w:sz w:val="24"/>
              </w:rPr>
              <w:t>2.0</w:t>
            </w:r>
          </w:p>
        </w:tc>
      </w:tr>
      <w:tr>
        <w:trPr>
          <w:trHeight w:val="583" w:hRule="atLeast"/>
        </w:trPr>
        <w:tc>
          <w:tcPr>
            <w:tcW w:w="3652" w:type="dxa"/>
          </w:tcPr>
          <w:p>
            <w:pPr>
              <w:pStyle w:val="TableParagraph"/>
              <w:ind w:left="108"/>
              <w:rPr>
                <w:b/>
                <w:sz w:val="24"/>
              </w:rPr>
            </w:pPr>
            <w:r>
              <w:rPr>
                <w:b/>
                <w:sz w:val="24"/>
              </w:rPr>
              <w:t>PREPARED</w:t>
            </w:r>
            <w:r>
              <w:rPr>
                <w:b/>
                <w:spacing w:val="-3"/>
                <w:sz w:val="24"/>
              </w:rPr>
              <w:t> </w:t>
            </w:r>
            <w:r>
              <w:rPr>
                <w:b/>
                <w:spacing w:val="-5"/>
                <w:sz w:val="24"/>
              </w:rPr>
              <w:t>BY</w:t>
            </w:r>
          </w:p>
        </w:tc>
        <w:tc>
          <w:tcPr>
            <w:tcW w:w="6095" w:type="dxa"/>
          </w:tcPr>
          <w:p>
            <w:pPr>
              <w:pStyle w:val="TableParagraph"/>
              <w:spacing w:line="290" w:lineRule="atLeast"/>
              <w:ind w:left="1680" w:hanging="1019"/>
              <w:rPr>
                <w:sz w:val="24"/>
              </w:rPr>
            </w:pPr>
            <w:r>
              <w:rPr>
                <w:sz w:val="24"/>
              </w:rPr>
              <w:t>Peter</w:t>
            </w:r>
            <w:r>
              <w:rPr>
                <w:spacing w:val="-8"/>
                <w:sz w:val="24"/>
              </w:rPr>
              <w:t> </w:t>
            </w:r>
            <w:r>
              <w:rPr>
                <w:sz w:val="24"/>
              </w:rPr>
              <w:t>Stephenson,</w:t>
            </w:r>
            <w:r>
              <w:rPr>
                <w:spacing w:val="-8"/>
                <w:sz w:val="24"/>
              </w:rPr>
              <w:t> </w:t>
            </w:r>
            <w:r>
              <w:rPr>
                <w:sz w:val="24"/>
              </w:rPr>
              <w:t>Head</w:t>
            </w:r>
            <w:r>
              <w:rPr>
                <w:spacing w:val="-8"/>
                <w:sz w:val="24"/>
              </w:rPr>
              <w:t> </w:t>
            </w:r>
            <w:r>
              <w:rPr>
                <w:sz w:val="24"/>
              </w:rPr>
              <w:t>of</w:t>
            </w:r>
            <w:r>
              <w:rPr>
                <w:spacing w:val="-9"/>
                <w:sz w:val="24"/>
              </w:rPr>
              <w:t> </w:t>
            </w:r>
            <w:r>
              <w:rPr>
                <w:sz w:val="24"/>
              </w:rPr>
              <w:t>Finance</w:t>
            </w:r>
            <w:r>
              <w:rPr>
                <w:spacing w:val="-8"/>
                <w:sz w:val="24"/>
              </w:rPr>
              <w:t> </w:t>
            </w:r>
            <w:r>
              <w:rPr>
                <w:sz w:val="24"/>
              </w:rPr>
              <w:t>and Business Development</w:t>
            </w:r>
          </w:p>
        </w:tc>
      </w:tr>
      <w:tr>
        <w:trPr>
          <w:trHeight w:val="291" w:hRule="atLeast"/>
        </w:trPr>
        <w:tc>
          <w:tcPr>
            <w:tcW w:w="3652" w:type="dxa"/>
          </w:tcPr>
          <w:p>
            <w:pPr>
              <w:pStyle w:val="TableParagraph"/>
              <w:spacing w:line="272" w:lineRule="exact"/>
              <w:ind w:left="108"/>
              <w:rPr>
                <w:b/>
                <w:sz w:val="24"/>
              </w:rPr>
            </w:pPr>
            <w:r>
              <w:rPr>
                <w:b/>
                <w:sz w:val="24"/>
              </w:rPr>
              <w:t>PRESENTED</w:t>
            </w:r>
            <w:r>
              <w:rPr>
                <w:b/>
                <w:spacing w:val="-2"/>
                <w:sz w:val="24"/>
              </w:rPr>
              <w:t> </w:t>
            </w:r>
            <w:r>
              <w:rPr>
                <w:b/>
                <w:spacing w:val="-5"/>
                <w:sz w:val="24"/>
              </w:rPr>
              <w:t>BY</w:t>
            </w:r>
          </w:p>
        </w:tc>
        <w:tc>
          <w:tcPr>
            <w:tcW w:w="6095" w:type="dxa"/>
          </w:tcPr>
          <w:p>
            <w:pPr>
              <w:pStyle w:val="TableParagraph"/>
              <w:spacing w:line="272" w:lineRule="exact"/>
              <w:ind w:left="580" w:right="569"/>
              <w:jc w:val="center"/>
              <w:rPr>
                <w:sz w:val="24"/>
              </w:rPr>
            </w:pPr>
            <w:r>
              <w:rPr>
                <w:sz w:val="24"/>
              </w:rPr>
              <w:t>Neil</w:t>
            </w:r>
            <w:r>
              <w:rPr>
                <w:spacing w:val="-2"/>
                <w:sz w:val="24"/>
              </w:rPr>
              <w:t> </w:t>
            </w:r>
            <w:r>
              <w:rPr>
                <w:sz w:val="24"/>
              </w:rPr>
              <w:t>Frow,</w:t>
            </w:r>
            <w:r>
              <w:rPr>
                <w:spacing w:val="-1"/>
                <w:sz w:val="24"/>
              </w:rPr>
              <w:t> </w:t>
            </w:r>
            <w:r>
              <w:rPr>
                <w:sz w:val="24"/>
              </w:rPr>
              <w:t>Managing</w:t>
            </w:r>
            <w:r>
              <w:rPr>
                <w:spacing w:val="-1"/>
                <w:sz w:val="24"/>
              </w:rPr>
              <w:t> </w:t>
            </w:r>
            <w:r>
              <w:rPr>
                <w:spacing w:val="-2"/>
                <w:sz w:val="24"/>
              </w:rPr>
              <w:t>Director</w:t>
            </w:r>
          </w:p>
        </w:tc>
      </w:tr>
      <w:tr>
        <w:trPr>
          <w:trHeight w:val="583" w:hRule="atLeast"/>
        </w:trPr>
        <w:tc>
          <w:tcPr>
            <w:tcW w:w="3652" w:type="dxa"/>
          </w:tcPr>
          <w:p>
            <w:pPr>
              <w:pStyle w:val="TableParagraph"/>
              <w:spacing w:line="290" w:lineRule="atLeast"/>
              <w:ind w:left="108" w:right="919"/>
              <w:rPr>
                <w:b/>
                <w:sz w:val="24"/>
              </w:rPr>
            </w:pPr>
            <w:r>
              <w:rPr>
                <w:b/>
                <w:spacing w:val="-2"/>
                <w:sz w:val="24"/>
              </w:rPr>
              <w:t>RESPONSIBLE </w:t>
            </w:r>
            <w:r>
              <w:rPr>
                <w:b/>
                <w:sz w:val="24"/>
              </w:rPr>
              <w:t>HEAD</w:t>
            </w:r>
            <w:r>
              <w:rPr>
                <w:b/>
                <w:spacing w:val="-20"/>
                <w:sz w:val="24"/>
              </w:rPr>
              <w:t> </w:t>
            </w:r>
            <w:r>
              <w:rPr>
                <w:b/>
                <w:sz w:val="24"/>
              </w:rPr>
              <w:t>OF</w:t>
            </w:r>
            <w:r>
              <w:rPr>
                <w:b/>
                <w:spacing w:val="-19"/>
                <w:sz w:val="24"/>
              </w:rPr>
              <w:t> </w:t>
            </w:r>
            <w:r>
              <w:rPr>
                <w:b/>
                <w:sz w:val="24"/>
              </w:rPr>
              <w:t>SERVICE</w:t>
            </w:r>
          </w:p>
        </w:tc>
        <w:tc>
          <w:tcPr>
            <w:tcW w:w="6095" w:type="dxa"/>
          </w:tcPr>
          <w:p>
            <w:pPr>
              <w:pStyle w:val="TableParagraph"/>
              <w:ind w:left="580" w:right="569"/>
              <w:jc w:val="center"/>
              <w:rPr>
                <w:sz w:val="24"/>
              </w:rPr>
            </w:pPr>
            <w:r>
              <w:rPr>
                <w:sz w:val="24"/>
              </w:rPr>
              <w:t>Neil</w:t>
            </w:r>
            <w:r>
              <w:rPr>
                <w:spacing w:val="-2"/>
                <w:sz w:val="24"/>
              </w:rPr>
              <w:t> </w:t>
            </w:r>
            <w:r>
              <w:rPr>
                <w:sz w:val="24"/>
              </w:rPr>
              <w:t>Frow,</w:t>
            </w:r>
            <w:r>
              <w:rPr>
                <w:spacing w:val="-1"/>
                <w:sz w:val="24"/>
              </w:rPr>
              <w:t> </w:t>
            </w:r>
            <w:r>
              <w:rPr>
                <w:sz w:val="24"/>
              </w:rPr>
              <w:t>Managing</w:t>
            </w:r>
            <w:r>
              <w:rPr>
                <w:spacing w:val="-1"/>
                <w:sz w:val="24"/>
              </w:rPr>
              <w:t> </w:t>
            </w:r>
            <w:r>
              <w:rPr>
                <w:spacing w:val="-2"/>
                <w:sz w:val="24"/>
              </w:rPr>
              <w:t>Director</w:t>
            </w:r>
          </w:p>
        </w:tc>
      </w:tr>
      <w:tr>
        <w:trPr>
          <w:trHeight w:val="627" w:hRule="atLeast"/>
        </w:trPr>
        <w:tc>
          <w:tcPr>
            <w:tcW w:w="3652" w:type="dxa"/>
          </w:tcPr>
          <w:p>
            <w:pPr>
              <w:pStyle w:val="TableParagraph"/>
              <w:ind w:left="108"/>
              <w:rPr>
                <w:b/>
                <w:sz w:val="24"/>
              </w:rPr>
            </w:pPr>
            <w:r>
              <w:rPr>
                <w:b/>
                <w:sz w:val="24"/>
              </w:rPr>
              <w:t>TITLE</w:t>
            </w:r>
            <w:r>
              <w:rPr>
                <w:b/>
                <w:spacing w:val="-2"/>
                <w:sz w:val="24"/>
              </w:rPr>
              <w:t> </w:t>
            </w:r>
            <w:r>
              <w:rPr>
                <w:b/>
                <w:sz w:val="24"/>
              </w:rPr>
              <w:t>OF</w:t>
            </w:r>
            <w:r>
              <w:rPr>
                <w:b/>
                <w:spacing w:val="-1"/>
                <w:sz w:val="24"/>
              </w:rPr>
              <w:t> </w:t>
            </w:r>
            <w:r>
              <w:rPr>
                <w:b/>
                <w:spacing w:val="-2"/>
                <w:sz w:val="24"/>
              </w:rPr>
              <w:t>REPORT</w:t>
            </w:r>
          </w:p>
        </w:tc>
        <w:tc>
          <w:tcPr>
            <w:tcW w:w="6095" w:type="dxa"/>
          </w:tcPr>
          <w:p>
            <w:pPr>
              <w:pStyle w:val="TableParagraph"/>
              <w:ind w:left="580" w:right="486"/>
              <w:jc w:val="center"/>
              <w:rPr>
                <w:sz w:val="24"/>
              </w:rPr>
            </w:pPr>
            <w:r>
              <w:rPr>
                <w:sz w:val="24"/>
              </w:rPr>
              <w:t>NWSSP</w:t>
            </w:r>
            <w:r>
              <w:rPr>
                <w:spacing w:val="-2"/>
                <w:sz w:val="24"/>
              </w:rPr>
              <w:t> Update</w:t>
            </w:r>
          </w:p>
        </w:tc>
      </w:tr>
    </w:tbl>
    <w:p>
      <w:pPr>
        <w:pStyle w:val="BodyText"/>
        <w:rPr>
          <w:rFonts w:ascii="Arial"/>
          <w:b/>
          <w:sz w:val="20"/>
        </w:rPr>
      </w:pPr>
    </w:p>
    <w:p>
      <w:pPr>
        <w:pStyle w:val="BodyText"/>
        <w:spacing w:before="10"/>
        <w:rPr>
          <w:rFonts w:ascii="Arial"/>
          <w:b/>
          <w:sz w:val="28"/>
        </w:rPr>
      </w:pPr>
      <w:r>
        <w:rPr/>
        <w:pict>
          <v:shape style="position:absolute;margin-left:54.450001pt;margin-top:18.089043pt;width:487.35pt;height:56.3pt;mso-position-horizontal-relative:page;mso-position-vertical-relative:paragraph;z-index:-15723008;mso-wrap-distance-left:0;mso-wrap-distance-right:0" type="#_x0000_t202" id="docshape31" filled="false" stroked="true" strokeweight=".5pt" strokecolor="#000000">
            <v:textbox inset="0,0,0,0">
              <w:txbxContent>
                <w:p>
                  <w:pPr>
                    <w:pStyle w:val="BodyText"/>
                    <w:spacing w:before="10"/>
                    <w:rPr>
                      <w:rFonts w:ascii="Arial"/>
                      <w:b/>
                      <w:sz w:val="20"/>
                    </w:rPr>
                  </w:pPr>
                </w:p>
                <w:p>
                  <w:pPr>
                    <w:spacing w:before="0"/>
                    <w:ind w:left="103" w:right="0" w:firstLine="0"/>
                    <w:jc w:val="left"/>
                    <w:rPr>
                      <w:b/>
                      <w:sz w:val="22"/>
                    </w:rPr>
                  </w:pPr>
                  <w:r>
                    <w:rPr>
                      <w:b/>
                      <w:spacing w:val="-2"/>
                      <w:sz w:val="22"/>
                    </w:rPr>
                    <w:t>PURPOSE</w:t>
                  </w:r>
                </w:p>
                <w:p>
                  <w:pPr>
                    <w:spacing w:before="0"/>
                    <w:ind w:left="103" w:right="0" w:firstLine="0"/>
                    <w:jc w:val="left"/>
                    <w:rPr>
                      <w:sz w:val="22"/>
                    </w:rPr>
                  </w:pPr>
                  <w:r>
                    <w:rPr>
                      <w:sz w:val="22"/>
                    </w:rPr>
                    <w:t>To</w:t>
                  </w:r>
                  <w:r>
                    <w:rPr>
                      <w:spacing w:val="-5"/>
                      <w:sz w:val="22"/>
                    </w:rPr>
                    <w:t> </w:t>
                  </w:r>
                  <w:r>
                    <w:rPr>
                      <w:sz w:val="22"/>
                    </w:rPr>
                    <w:t>update</w:t>
                  </w:r>
                  <w:r>
                    <w:rPr>
                      <w:spacing w:val="-3"/>
                      <w:sz w:val="22"/>
                    </w:rPr>
                    <w:t> </w:t>
                  </w:r>
                  <w:r>
                    <w:rPr>
                      <w:sz w:val="22"/>
                    </w:rPr>
                    <w:t>the</w:t>
                  </w:r>
                  <w:r>
                    <w:rPr>
                      <w:spacing w:val="-3"/>
                      <w:sz w:val="22"/>
                    </w:rPr>
                    <w:t> </w:t>
                  </w:r>
                  <w:r>
                    <w:rPr>
                      <w:sz w:val="22"/>
                    </w:rPr>
                    <w:t>Committee</w:t>
                  </w:r>
                  <w:r>
                    <w:rPr>
                      <w:spacing w:val="-3"/>
                      <w:sz w:val="22"/>
                    </w:rPr>
                    <w:t> </w:t>
                  </w:r>
                  <w:r>
                    <w:rPr>
                      <w:sz w:val="22"/>
                    </w:rPr>
                    <w:t>on</w:t>
                  </w:r>
                  <w:r>
                    <w:rPr>
                      <w:spacing w:val="-2"/>
                      <w:sz w:val="22"/>
                    </w:rPr>
                    <w:t> </w:t>
                  </w:r>
                  <w:r>
                    <w:rPr>
                      <w:sz w:val="22"/>
                    </w:rPr>
                    <w:t>recent</w:t>
                  </w:r>
                  <w:r>
                    <w:rPr>
                      <w:spacing w:val="-4"/>
                      <w:sz w:val="22"/>
                    </w:rPr>
                    <w:t> </w:t>
                  </w:r>
                  <w:r>
                    <w:rPr>
                      <w:sz w:val="22"/>
                    </w:rPr>
                    <w:t>developments</w:t>
                  </w:r>
                  <w:r>
                    <w:rPr>
                      <w:spacing w:val="-3"/>
                      <w:sz w:val="22"/>
                    </w:rPr>
                    <w:t> </w:t>
                  </w:r>
                  <w:r>
                    <w:rPr>
                      <w:sz w:val="22"/>
                    </w:rPr>
                    <w:t>within</w:t>
                  </w:r>
                  <w:r>
                    <w:rPr>
                      <w:spacing w:val="-3"/>
                      <w:sz w:val="22"/>
                    </w:rPr>
                    <w:t> </w:t>
                  </w:r>
                  <w:r>
                    <w:rPr>
                      <w:spacing w:val="-2"/>
                      <w:sz w:val="22"/>
                    </w:rPr>
                    <w:t>NWSSP.</w:t>
                  </w:r>
                </w:p>
              </w:txbxContent>
            </v:textbox>
            <v:stroke dashstyle="solid"/>
            <w10:wrap type="topAndBottom"/>
          </v:shape>
        </w:pict>
      </w:r>
    </w:p>
    <w:p>
      <w:pPr>
        <w:pStyle w:val="BodyText"/>
        <w:spacing w:before="1"/>
        <w:rPr>
          <w:rFonts w:ascii="Arial"/>
          <w:b/>
          <w:sz w:val="17"/>
        </w:rPr>
      </w:pPr>
    </w:p>
    <w:p>
      <w:pPr>
        <w:spacing w:before="100"/>
        <w:ind w:left="880" w:right="0" w:firstLine="0"/>
        <w:jc w:val="left"/>
        <w:rPr>
          <w:b/>
          <w:sz w:val="24"/>
        </w:rPr>
      </w:pPr>
      <w:bookmarkStart w:name="_TOC_250005" w:id="38"/>
      <w:bookmarkEnd w:id="38"/>
      <w:r>
        <w:rPr>
          <w:b/>
          <w:spacing w:val="-2"/>
          <w:sz w:val="24"/>
        </w:rPr>
        <w:t>Introduction</w:t>
      </w:r>
    </w:p>
    <w:p>
      <w:pPr>
        <w:pStyle w:val="BodyText"/>
        <w:rPr>
          <w:b/>
        </w:rPr>
      </w:pPr>
    </w:p>
    <w:p>
      <w:pPr>
        <w:pStyle w:val="BodyText"/>
        <w:ind w:left="880" w:right="904"/>
        <w:jc w:val="both"/>
      </w:pPr>
      <w:r>
        <w:rPr/>
        <w:t>This</w:t>
      </w:r>
      <w:r>
        <w:rPr>
          <w:spacing w:val="-6"/>
        </w:rPr>
        <w:t> </w:t>
      </w:r>
      <w:r>
        <w:rPr/>
        <w:t>paper</w:t>
      </w:r>
      <w:r>
        <w:rPr>
          <w:spacing w:val="-6"/>
        </w:rPr>
        <w:t> </w:t>
      </w:r>
      <w:r>
        <w:rPr/>
        <w:t>provides</w:t>
      </w:r>
      <w:r>
        <w:rPr>
          <w:spacing w:val="-6"/>
        </w:rPr>
        <w:t> </w:t>
      </w:r>
      <w:r>
        <w:rPr/>
        <w:t>an</w:t>
      </w:r>
      <w:r>
        <w:rPr>
          <w:spacing w:val="-6"/>
        </w:rPr>
        <w:t> </w:t>
      </w:r>
      <w:r>
        <w:rPr/>
        <w:t>update</w:t>
      </w:r>
      <w:r>
        <w:rPr>
          <w:spacing w:val="-6"/>
        </w:rPr>
        <w:t> </w:t>
      </w:r>
      <w:r>
        <w:rPr/>
        <w:t>into</w:t>
      </w:r>
      <w:r>
        <w:rPr>
          <w:spacing w:val="-6"/>
        </w:rPr>
        <w:t> </w:t>
      </w:r>
      <w:r>
        <w:rPr/>
        <w:t>the</w:t>
      </w:r>
      <w:r>
        <w:rPr>
          <w:spacing w:val="-6"/>
        </w:rPr>
        <w:t> </w:t>
      </w:r>
      <w:r>
        <w:rPr/>
        <w:t>key</w:t>
      </w:r>
      <w:r>
        <w:rPr>
          <w:spacing w:val="-6"/>
        </w:rPr>
        <w:t> </w:t>
      </w:r>
      <w:r>
        <w:rPr/>
        <w:t>issues</w:t>
      </w:r>
      <w:r>
        <w:rPr>
          <w:spacing w:val="-6"/>
        </w:rPr>
        <w:t> </w:t>
      </w:r>
      <w:r>
        <w:rPr/>
        <w:t>that</w:t>
      </w:r>
      <w:r>
        <w:rPr>
          <w:spacing w:val="-6"/>
        </w:rPr>
        <w:t> </w:t>
      </w:r>
      <w:r>
        <w:rPr/>
        <w:t>have</w:t>
      </w:r>
      <w:r>
        <w:rPr>
          <w:spacing w:val="-6"/>
        </w:rPr>
        <w:t> </w:t>
      </w:r>
      <w:r>
        <w:rPr/>
        <w:t>impacted</w:t>
      </w:r>
      <w:r>
        <w:rPr>
          <w:spacing w:val="-6"/>
        </w:rPr>
        <w:t> </w:t>
      </w:r>
      <w:r>
        <w:rPr/>
        <w:t>upon, and</w:t>
      </w:r>
      <w:r>
        <w:rPr>
          <w:spacing w:val="-6"/>
        </w:rPr>
        <w:t> </w:t>
      </w:r>
      <w:r>
        <w:rPr/>
        <w:t>the</w:t>
      </w:r>
      <w:r>
        <w:rPr>
          <w:spacing w:val="-6"/>
        </w:rPr>
        <w:t> </w:t>
      </w:r>
      <w:r>
        <w:rPr/>
        <w:t>activities</w:t>
      </w:r>
      <w:r>
        <w:rPr>
          <w:spacing w:val="-5"/>
        </w:rPr>
        <w:t> </w:t>
      </w:r>
      <w:r>
        <w:rPr/>
        <w:t>undertaken</w:t>
      </w:r>
      <w:r>
        <w:rPr>
          <w:spacing w:val="-5"/>
        </w:rPr>
        <w:t> </w:t>
      </w:r>
      <w:r>
        <w:rPr/>
        <w:t>by,</w:t>
      </w:r>
      <w:r>
        <w:rPr>
          <w:spacing w:val="-6"/>
        </w:rPr>
        <w:t> </w:t>
      </w:r>
      <w:r>
        <w:rPr/>
        <w:t>NWSSP,</w:t>
      </w:r>
      <w:r>
        <w:rPr>
          <w:spacing w:val="-6"/>
        </w:rPr>
        <w:t> </w:t>
      </w:r>
      <w:r>
        <w:rPr/>
        <w:t>since</w:t>
      </w:r>
      <w:r>
        <w:rPr>
          <w:spacing w:val="-6"/>
        </w:rPr>
        <w:t> </w:t>
      </w:r>
      <w:r>
        <w:rPr/>
        <w:t>the</w:t>
      </w:r>
      <w:r>
        <w:rPr>
          <w:spacing w:val="-6"/>
        </w:rPr>
        <w:t> </w:t>
      </w:r>
      <w:r>
        <w:rPr/>
        <w:t>date</w:t>
      </w:r>
      <w:r>
        <w:rPr>
          <w:spacing w:val="-6"/>
        </w:rPr>
        <w:t> </w:t>
      </w:r>
      <w:r>
        <w:rPr/>
        <w:t>of</w:t>
      </w:r>
      <w:r>
        <w:rPr>
          <w:spacing w:val="-6"/>
        </w:rPr>
        <w:t> </w:t>
      </w:r>
      <w:r>
        <w:rPr/>
        <w:t>the</w:t>
      </w:r>
      <w:r>
        <w:rPr>
          <w:spacing w:val="-6"/>
        </w:rPr>
        <w:t> </w:t>
      </w:r>
      <w:r>
        <w:rPr/>
        <w:t>last</w:t>
      </w:r>
      <w:r>
        <w:rPr>
          <w:spacing w:val="-6"/>
        </w:rPr>
        <w:t> </w:t>
      </w:r>
      <w:r>
        <w:rPr/>
        <w:t>meeting in September.</w:t>
      </w:r>
    </w:p>
    <w:p>
      <w:pPr>
        <w:pStyle w:val="BodyText"/>
      </w:pPr>
    </w:p>
    <w:p>
      <w:pPr>
        <w:spacing w:before="0"/>
        <w:ind w:left="880" w:right="0" w:firstLine="0"/>
        <w:jc w:val="both"/>
        <w:rPr>
          <w:b/>
          <w:sz w:val="24"/>
        </w:rPr>
      </w:pPr>
      <w:r>
        <w:rPr>
          <w:b/>
          <w:sz w:val="24"/>
        </w:rPr>
        <w:t>COVID</w:t>
      </w:r>
      <w:r>
        <w:rPr>
          <w:b/>
          <w:spacing w:val="-4"/>
          <w:sz w:val="24"/>
        </w:rPr>
        <w:t> </w:t>
      </w:r>
      <w:r>
        <w:rPr>
          <w:b/>
          <w:sz w:val="24"/>
        </w:rPr>
        <w:t>Response</w:t>
      </w:r>
      <w:r>
        <w:rPr>
          <w:b/>
          <w:spacing w:val="-4"/>
          <w:sz w:val="24"/>
        </w:rPr>
        <w:t> </w:t>
      </w:r>
      <w:r>
        <w:rPr>
          <w:b/>
          <w:spacing w:val="-2"/>
          <w:sz w:val="24"/>
        </w:rPr>
        <w:t>Funding</w:t>
      </w:r>
    </w:p>
    <w:p>
      <w:pPr>
        <w:pStyle w:val="BodyText"/>
        <w:rPr>
          <w:b/>
        </w:rPr>
      </w:pPr>
    </w:p>
    <w:p>
      <w:pPr>
        <w:pStyle w:val="BodyText"/>
        <w:ind w:left="880" w:right="902"/>
        <w:jc w:val="both"/>
      </w:pPr>
      <w:r>
        <w:rPr/>
        <w:t>NWSSP continues to provide products and services to support the ongoing NHS</w:t>
      </w:r>
      <w:r>
        <w:rPr>
          <w:spacing w:val="-22"/>
        </w:rPr>
        <w:t> </w:t>
      </w:r>
      <w:r>
        <w:rPr/>
        <w:t>Wales</w:t>
      </w:r>
      <w:r>
        <w:rPr>
          <w:spacing w:val="-21"/>
        </w:rPr>
        <w:t> </w:t>
      </w:r>
      <w:r>
        <w:rPr/>
        <w:t>and</w:t>
      </w:r>
      <w:r>
        <w:rPr>
          <w:spacing w:val="-21"/>
        </w:rPr>
        <w:t> </w:t>
      </w:r>
      <w:r>
        <w:rPr/>
        <w:t>Social</w:t>
      </w:r>
      <w:r>
        <w:rPr>
          <w:spacing w:val="-21"/>
        </w:rPr>
        <w:t> </w:t>
      </w:r>
      <w:r>
        <w:rPr/>
        <w:t>Care</w:t>
      </w:r>
      <w:r>
        <w:rPr>
          <w:spacing w:val="-21"/>
        </w:rPr>
        <w:t> </w:t>
      </w:r>
      <w:r>
        <w:rPr/>
        <w:t>response</w:t>
      </w:r>
      <w:r>
        <w:rPr>
          <w:spacing w:val="-21"/>
        </w:rPr>
        <w:t> </w:t>
      </w:r>
      <w:r>
        <w:rPr/>
        <w:t>to</w:t>
      </w:r>
      <w:r>
        <w:rPr>
          <w:spacing w:val="-21"/>
        </w:rPr>
        <w:t> </w:t>
      </w:r>
      <w:r>
        <w:rPr/>
        <w:t>the</w:t>
      </w:r>
      <w:r>
        <w:rPr>
          <w:spacing w:val="-21"/>
        </w:rPr>
        <w:t> </w:t>
      </w:r>
      <w:r>
        <w:rPr/>
        <w:t>COVID</w:t>
      </w:r>
      <w:r>
        <w:rPr>
          <w:spacing w:val="-21"/>
        </w:rPr>
        <w:t> </w:t>
      </w:r>
      <w:r>
        <w:rPr/>
        <w:t>pandemic.</w:t>
      </w:r>
      <w:r>
        <w:rPr>
          <w:spacing w:val="80"/>
        </w:rPr>
        <w:t> </w:t>
      </w:r>
      <w:r>
        <w:rPr/>
        <w:t>The</w:t>
      </w:r>
      <w:r>
        <w:rPr>
          <w:spacing w:val="-22"/>
        </w:rPr>
        <w:t> </w:t>
      </w:r>
      <w:r>
        <w:rPr/>
        <w:t>additional operational services being provided across NWSSP above our business-as- usual funded baseline include:</w:t>
      </w:r>
    </w:p>
    <w:p>
      <w:pPr>
        <w:pStyle w:val="BodyText"/>
      </w:pPr>
    </w:p>
    <w:p>
      <w:pPr>
        <w:pStyle w:val="ListParagraph"/>
        <w:numPr>
          <w:ilvl w:val="0"/>
          <w:numId w:val="7"/>
        </w:numPr>
        <w:tabs>
          <w:tab w:pos="1600" w:val="left" w:leader="none"/>
        </w:tabs>
        <w:spacing w:line="240" w:lineRule="auto" w:before="0" w:after="0"/>
        <w:ind w:left="1600" w:right="905" w:hanging="360"/>
        <w:jc w:val="both"/>
        <w:rPr>
          <w:sz w:val="24"/>
        </w:rPr>
      </w:pPr>
      <w:r>
        <w:rPr>
          <w:sz w:val="24"/>
        </w:rPr>
        <w:t>COVID PPE: procurement, purchase, storage, pick &amp; pack, and distribution to Healthcare settings (Secondary care);</w:t>
      </w:r>
    </w:p>
    <w:p>
      <w:pPr>
        <w:pStyle w:val="BodyText"/>
      </w:pPr>
    </w:p>
    <w:p>
      <w:pPr>
        <w:pStyle w:val="ListParagraph"/>
        <w:numPr>
          <w:ilvl w:val="0"/>
          <w:numId w:val="7"/>
        </w:numPr>
        <w:tabs>
          <w:tab w:pos="1600" w:val="left" w:leader="none"/>
        </w:tabs>
        <w:spacing w:line="240" w:lineRule="auto" w:before="0" w:after="0"/>
        <w:ind w:left="1600" w:right="904" w:hanging="360"/>
        <w:jc w:val="both"/>
        <w:rPr>
          <w:sz w:val="24"/>
        </w:rPr>
      </w:pPr>
      <w:r>
        <w:rPr>
          <w:sz w:val="24"/>
        </w:rPr>
        <w:t>COVID PPE: procurement, purchase, storage, pick &amp; pack, and distribution to Healthcare settings (Primary Care contractors: GPs / Dentists / Opticians / Community Pharmacies);</w:t>
      </w:r>
    </w:p>
    <w:p>
      <w:pPr>
        <w:pStyle w:val="BodyText"/>
      </w:pPr>
    </w:p>
    <w:p>
      <w:pPr>
        <w:pStyle w:val="ListParagraph"/>
        <w:numPr>
          <w:ilvl w:val="0"/>
          <w:numId w:val="7"/>
        </w:numPr>
        <w:tabs>
          <w:tab w:pos="1600" w:val="left" w:leader="none"/>
        </w:tabs>
        <w:spacing w:line="240" w:lineRule="auto" w:before="0" w:after="0"/>
        <w:ind w:left="1600" w:right="905" w:hanging="360"/>
        <w:jc w:val="both"/>
        <w:rPr>
          <w:sz w:val="24"/>
        </w:rPr>
      </w:pPr>
      <w:r>
        <w:rPr>
          <w:sz w:val="24"/>
        </w:rPr>
        <w:t>COVID PPE: procurement, purchase, storage, pick &amp; pack, and distribution to Social care settings;</w:t>
      </w:r>
    </w:p>
    <w:p>
      <w:pPr>
        <w:pStyle w:val="BodyText"/>
      </w:pPr>
    </w:p>
    <w:p>
      <w:pPr>
        <w:pStyle w:val="ListParagraph"/>
        <w:numPr>
          <w:ilvl w:val="0"/>
          <w:numId w:val="7"/>
        </w:numPr>
        <w:tabs>
          <w:tab w:pos="1601" w:val="left" w:leader="none"/>
        </w:tabs>
        <w:spacing w:line="240" w:lineRule="auto" w:before="0" w:after="0"/>
        <w:ind w:left="1600" w:right="903" w:hanging="360"/>
        <w:jc w:val="both"/>
        <w:rPr>
          <w:b/>
          <w:sz w:val="24"/>
        </w:rPr>
      </w:pPr>
      <w:r>
        <w:rPr>
          <w:sz w:val="24"/>
        </w:rPr>
        <w:t>Lateral</w:t>
      </w:r>
      <w:r>
        <w:rPr>
          <w:spacing w:val="-1"/>
          <w:sz w:val="24"/>
        </w:rPr>
        <w:t> </w:t>
      </w:r>
      <w:r>
        <w:rPr>
          <w:sz w:val="24"/>
        </w:rPr>
        <w:t>Flow Devices: storage,</w:t>
      </w:r>
      <w:r>
        <w:rPr>
          <w:spacing w:val="-1"/>
          <w:sz w:val="24"/>
        </w:rPr>
        <w:t> </w:t>
      </w:r>
      <w:r>
        <w:rPr>
          <w:sz w:val="24"/>
        </w:rPr>
        <w:t>pick</w:t>
      </w:r>
      <w:r>
        <w:rPr>
          <w:spacing w:val="-1"/>
          <w:sz w:val="24"/>
        </w:rPr>
        <w:t> </w:t>
      </w:r>
      <w:r>
        <w:rPr>
          <w:sz w:val="24"/>
        </w:rPr>
        <w:t>&amp;</w:t>
      </w:r>
      <w:r>
        <w:rPr>
          <w:spacing w:val="-1"/>
          <w:sz w:val="24"/>
        </w:rPr>
        <w:t> </w:t>
      </w:r>
      <w:r>
        <w:rPr>
          <w:sz w:val="24"/>
        </w:rPr>
        <w:t>pack,</w:t>
      </w:r>
      <w:r>
        <w:rPr>
          <w:spacing w:val="-1"/>
          <w:sz w:val="24"/>
        </w:rPr>
        <w:t> </w:t>
      </w:r>
      <w:r>
        <w:rPr>
          <w:sz w:val="24"/>
        </w:rPr>
        <w:t>and</w:t>
      </w:r>
      <w:r>
        <w:rPr>
          <w:spacing w:val="-1"/>
          <w:sz w:val="24"/>
        </w:rPr>
        <w:t> </w:t>
      </w:r>
      <w:r>
        <w:rPr>
          <w:sz w:val="24"/>
        </w:rPr>
        <w:t>distribution,</w:t>
      </w:r>
      <w:r>
        <w:rPr>
          <w:spacing w:val="-1"/>
          <w:sz w:val="24"/>
        </w:rPr>
        <w:t> </w:t>
      </w:r>
      <w:r>
        <w:rPr>
          <w:sz w:val="24"/>
        </w:rPr>
        <w:t>primarily to Healthcare settings but have provided cross public sector</w:t>
      </w:r>
      <w:r>
        <w:rPr>
          <w:b/>
          <w:sz w:val="24"/>
        </w:rPr>
        <w:t>;</w:t>
      </w:r>
    </w:p>
    <w:p>
      <w:pPr>
        <w:spacing w:after="0" w:line="240" w:lineRule="auto"/>
        <w:jc w:val="both"/>
        <w:rPr>
          <w:sz w:val="24"/>
        </w:rPr>
        <w:sectPr>
          <w:footerReference w:type="default" r:id="rId14"/>
          <w:pgSz w:w="11910" w:h="16840"/>
          <w:pgMar w:footer="976" w:header="0" w:top="1600" w:bottom="1160" w:left="380" w:right="559"/>
        </w:sectPr>
      </w:pPr>
    </w:p>
    <w:p>
      <w:pPr>
        <w:pStyle w:val="ListParagraph"/>
        <w:numPr>
          <w:ilvl w:val="0"/>
          <w:numId w:val="7"/>
        </w:numPr>
        <w:tabs>
          <w:tab w:pos="1600" w:val="left" w:leader="none"/>
        </w:tabs>
        <w:spacing w:line="240" w:lineRule="auto" w:before="74" w:after="0"/>
        <w:ind w:left="1600" w:right="904" w:hanging="360"/>
        <w:jc w:val="left"/>
        <w:rPr>
          <w:sz w:val="24"/>
        </w:rPr>
      </w:pPr>
      <w:r>
        <w:rPr>
          <w:sz w:val="24"/>
        </w:rPr>
        <w:t>Vaccination support - provision of consumable packs: procurement,</w:t>
      </w:r>
      <w:r>
        <w:rPr>
          <w:spacing w:val="40"/>
          <w:sz w:val="24"/>
        </w:rPr>
        <w:t> </w:t>
      </w:r>
      <w:r>
        <w:rPr>
          <w:sz w:val="24"/>
        </w:rPr>
        <w:t>purchase, storage, pick &amp; pack, and distribution to vaccination sites;</w:t>
      </w:r>
    </w:p>
    <w:p>
      <w:pPr>
        <w:pStyle w:val="BodyText"/>
        <w:spacing w:before="12"/>
        <w:rPr>
          <w:sz w:val="23"/>
        </w:rPr>
      </w:pPr>
    </w:p>
    <w:p>
      <w:pPr>
        <w:pStyle w:val="ListParagraph"/>
        <w:numPr>
          <w:ilvl w:val="0"/>
          <w:numId w:val="7"/>
        </w:numPr>
        <w:tabs>
          <w:tab w:pos="1600" w:val="left" w:leader="none"/>
        </w:tabs>
        <w:spacing w:line="240" w:lineRule="auto" w:before="0" w:after="0"/>
        <w:ind w:left="1600" w:right="903" w:hanging="360"/>
        <w:jc w:val="left"/>
        <w:rPr>
          <w:sz w:val="24"/>
        </w:rPr>
      </w:pPr>
      <w:r>
        <w:rPr>
          <w:sz w:val="24"/>
        </w:rPr>
        <w:t>Vaccination</w:t>
      </w:r>
      <w:r>
        <w:rPr>
          <w:spacing w:val="80"/>
          <w:sz w:val="24"/>
        </w:rPr>
        <w:t> </w:t>
      </w:r>
      <w:r>
        <w:rPr>
          <w:sz w:val="24"/>
        </w:rPr>
        <w:t>support</w:t>
      </w:r>
      <w:r>
        <w:rPr>
          <w:spacing w:val="80"/>
          <w:sz w:val="24"/>
        </w:rPr>
        <w:t> </w:t>
      </w:r>
      <w:r>
        <w:rPr>
          <w:sz w:val="24"/>
        </w:rPr>
        <w:t>-</w:t>
      </w:r>
      <w:r>
        <w:rPr>
          <w:spacing w:val="80"/>
          <w:sz w:val="24"/>
        </w:rPr>
        <w:t> </w:t>
      </w:r>
      <w:r>
        <w:rPr>
          <w:sz w:val="24"/>
        </w:rPr>
        <w:t>provision</w:t>
      </w:r>
      <w:r>
        <w:rPr>
          <w:spacing w:val="80"/>
          <w:sz w:val="24"/>
        </w:rPr>
        <w:t> </w:t>
      </w:r>
      <w:r>
        <w:rPr>
          <w:sz w:val="24"/>
        </w:rPr>
        <w:t>of</w:t>
      </w:r>
      <w:r>
        <w:rPr>
          <w:spacing w:val="80"/>
          <w:sz w:val="24"/>
        </w:rPr>
        <w:t> </w:t>
      </w:r>
      <w:r>
        <w:rPr>
          <w:sz w:val="24"/>
        </w:rPr>
        <w:t>vaccines</w:t>
      </w:r>
      <w:r>
        <w:rPr>
          <w:spacing w:val="80"/>
          <w:sz w:val="24"/>
        </w:rPr>
        <w:t> </w:t>
      </w:r>
      <w:r>
        <w:rPr>
          <w:sz w:val="24"/>
        </w:rPr>
        <w:t>to</w:t>
      </w:r>
      <w:r>
        <w:rPr>
          <w:spacing w:val="80"/>
          <w:sz w:val="24"/>
        </w:rPr>
        <w:t> </w:t>
      </w:r>
      <w:r>
        <w:rPr>
          <w:sz w:val="24"/>
        </w:rPr>
        <w:t>vaccination</w:t>
      </w:r>
      <w:r>
        <w:rPr>
          <w:spacing w:val="80"/>
          <w:sz w:val="24"/>
        </w:rPr>
        <w:t> </w:t>
      </w:r>
      <w:r>
        <w:rPr>
          <w:sz w:val="24"/>
        </w:rPr>
        <w:t>sites: distribution service;</w:t>
      </w:r>
    </w:p>
    <w:p>
      <w:pPr>
        <w:pStyle w:val="BodyText"/>
      </w:pPr>
    </w:p>
    <w:p>
      <w:pPr>
        <w:pStyle w:val="ListParagraph"/>
        <w:numPr>
          <w:ilvl w:val="0"/>
          <w:numId w:val="7"/>
        </w:numPr>
        <w:tabs>
          <w:tab w:pos="1600" w:val="left" w:leader="none"/>
        </w:tabs>
        <w:spacing w:line="240" w:lineRule="auto" w:before="0" w:after="0"/>
        <w:ind w:left="1600" w:right="902" w:hanging="360"/>
        <w:jc w:val="left"/>
        <w:rPr>
          <w:sz w:val="24"/>
        </w:rPr>
      </w:pPr>
      <w:r>
        <w:rPr>
          <w:sz w:val="24"/>
        </w:rPr>
        <w:t>Vaccination</w:t>
      </w:r>
      <w:r>
        <w:rPr>
          <w:spacing w:val="36"/>
          <w:sz w:val="24"/>
        </w:rPr>
        <w:t> </w:t>
      </w:r>
      <w:r>
        <w:rPr>
          <w:sz w:val="24"/>
        </w:rPr>
        <w:t>support</w:t>
      </w:r>
      <w:r>
        <w:rPr>
          <w:spacing w:val="36"/>
          <w:sz w:val="24"/>
        </w:rPr>
        <w:t> </w:t>
      </w:r>
      <w:r>
        <w:rPr>
          <w:sz w:val="24"/>
        </w:rPr>
        <w:t>–</w:t>
      </w:r>
      <w:r>
        <w:rPr>
          <w:spacing w:val="36"/>
          <w:sz w:val="24"/>
        </w:rPr>
        <w:t> </w:t>
      </w:r>
      <w:r>
        <w:rPr>
          <w:sz w:val="24"/>
        </w:rPr>
        <w:t>part</w:t>
      </w:r>
      <w:r>
        <w:rPr>
          <w:spacing w:val="36"/>
          <w:sz w:val="24"/>
        </w:rPr>
        <w:t> </w:t>
      </w:r>
      <w:r>
        <w:rPr>
          <w:sz w:val="24"/>
        </w:rPr>
        <w:t>funding</w:t>
      </w:r>
      <w:r>
        <w:rPr>
          <w:spacing w:val="36"/>
          <w:sz w:val="24"/>
        </w:rPr>
        <w:t> </w:t>
      </w:r>
      <w:r>
        <w:rPr>
          <w:sz w:val="24"/>
        </w:rPr>
        <w:t>of</w:t>
      </w:r>
      <w:r>
        <w:rPr>
          <w:spacing w:val="36"/>
          <w:sz w:val="24"/>
        </w:rPr>
        <w:t> </w:t>
      </w:r>
      <w:r>
        <w:rPr>
          <w:sz w:val="24"/>
        </w:rPr>
        <w:t>Senior</w:t>
      </w:r>
      <w:r>
        <w:rPr>
          <w:spacing w:val="36"/>
          <w:sz w:val="24"/>
        </w:rPr>
        <w:t> </w:t>
      </w:r>
      <w:r>
        <w:rPr>
          <w:sz w:val="24"/>
        </w:rPr>
        <w:t>Manager</w:t>
      </w:r>
      <w:r>
        <w:rPr>
          <w:spacing w:val="36"/>
          <w:sz w:val="24"/>
        </w:rPr>
        <w:t> </w:t>
      </w:r>
      <w:r>
        <w:rPr>
          <w:sz w:val="24"/>
        </w:rPr>
        <w:t>to</w:t>
      </w:r>
      <w:r>
        <w:rPr>
          <w:spacing w:val="36"/>
          <w:sz w:val="24"/>
        </w:rPr>
        <w:t> </w:t>
      </w:r>
      <w:r>
        <w:rPr>
          <w:sz w:val="24"/>
        </w:rPr>
        <w:t>work</w:t>
      </w:r>
      <w:r>
        <w:rPr>
          <w:spacing w:val="36"/>
          <w:sz w:val="24"/>
        </w:rPr>
        <w:t> </w:t>
      </w:r>
      <w:r>
        <w:rPr>
          <w:sz w:val="24"/>
        </w:rPr>
        <w:t>with Welsh Government to plan vaccination distribution;</w:t>
      </w:r>
    </w:p>
    <w:p>
      <w:pPr>
        <w:pStyle w:val="BodyText"/>
      </w:pPr>
    </w:p>
    <w:p>
      <w:pPr>
        <w:pStyle w:val="ListParagraph"/>
        <w:numPr>
          <w:ilvl w:val="0"/>
          <w:numId w:val="7"/>
        </w:numPr>
        <w:tabs>
          <w:tab w:pos="1600" w:val="left" w:leader="none"/>
        </w:tabs>
        <w:spacing w:line="240" w:lineRule="auto" w:before="0" w:after="0"/>
        <w:ind w:left="1600" w:right="905" w:hanging="360"/>
        <w:jc w:val="left"/>
        <w:rPr>
          <w:sz w:val="24"/>
        </w:rPr>
      </w:pPr>
      <w:r>
        <w:rPr>
          <w:sz w:val="24"/>
        </w:rPr>
        <w:t>COVID</w:t>
      </w:r>
      <w:r>
        <w:rPr>
          <w:spacing w:val="-15"/>
          <w:sz w:val="24"/>
        </w:rPr>
        <w:t> </w:t>
      </w:r>
      <w:r>
        <w:rPr>
          <w:sz w:val="24"/>
        </w:rPr>
        <w:t>Medicines:</w:t>
      </w:r>
      <w:r>
        <w:rPr>
          <w:spacing w:val="-15"/>
          <w:sz w:val="24"/>
        </w:rPr>
        <w:t> </w:t>
      </w:r>
      <w:r>
        <w:rPr>
          <w:sz w:val="24"/>
        </w:rPr>
        <w:t>storage,</w:t>
      </w:r>
      <w:r>
        <w:rPr>
          <w:spacing w:val="-15"/>
          <w:sz w:val="24"/>
        </w:rPr>
        <w:t> </w:t>
      </w:r>
      <w:r>
        <w:rPr>
          <w:sz w:val="24"/>
        </w:rPr>
        <w:t>pick</w:t>
      </w:r>
      <w:r>
        <w:rPr>
          <w:spacing w:val="-15"/>
          <w:sz w:val="24"/>
        </w:rPr>
        <w:t> </w:t>
      </w:r>
      <w:r>
        <w:rPr>
          <w:sz w:val="24"/>
        </w:rPr>
        <w:t>&amp;</w:t>
      </w:r>
      <w:r>
        <w:rPr>
          <w:spacing w:val="-15"/>
          <w:sz w:val="24"/>
        </w:rPr>
        <w:t> </w:t>
      </w:r>
      <w:r>
        <w:rPr>
          <w:sz w:val="24"/>
        </w:rPr>
        <w:t>pack,</w:t>
      </w:r>
      <w:r>
        <w:rPr>
          <w:spacing w:val="-15"/>
          <w:sz w:val="24"/>
        </w:rPr>
        <w:t> </w:t>
      </w:r>
      <w:r>
        <w:rPr>
          <w:sz w:val="24"/>
        </w:rPr>
        <w:t>and</w:t>
      </w:r>
      <w:r>
        <w:rPr>
          <w:spacing w:val="-15"/>
          <w:sz w:val="24"/>
        </w:rPr>
        <w:t> </w:t>
      </w:r>
      <w:r>
        <w:rPr>
          <w:sz w:val="24"/>
        </w:rPr>
        <w:t>distribution</w:t>
      </w:r>
      <w:r>
        <w:rPr>
          <w:spacing w:val="-15"/>
          <w:sz w:val="24"/>
        </w:rPr>
        <w:t> </w:t>
      </w:r>
      <w:r>
        <w:rPr>
          <w:sz w:val="24"/>
        </w:rPr>
        <w:t>to</w:t>
      </w:r>
      <w:r>
        <w:rPr>
          <w:spacing w:val="-15"/>
          <w:sz w:val="24"/>
        </w:rPr>
        <w:t> </w:t>
      </w:r>
      <w:r>
        <w:rPr>
          <w:sz w:val="24"/>
        </w:rPr>
        <w:t>Health</w:t>
      </w:r>
      <w:r>
        <w:rPr>
          <w:spacing w:val="-15"/>
          <w:sz w:val="24"/>
        </w:rPr>
        <w:t> </w:t>
      </w:r>
      <w:r>
        <w:rPr>
          <w:sz w:val="24"/>
        </w:rPr>
        <w:t>care settings (Secondary care);</w:t>
      </w:r>
    </w:p>
    <w:p>
      <w:pPr>
        <w:pStyle w:val="BodyText"/>
      </w:pPr>
    </w:p>
    <w:p>
      <w:pPr>
        <w:pStyle w:val="ListParagraph"/>
        <w:numPr>
          <w:ilvl w:val="0"/>
          <w:numId w:val="7"/>
        </w:numPr>
        <w:tabs>
          <w:tab w:pos="1600" w:val="left" w:leader="none"/>
        </w:tabs>
        <w:spacing w:line="240" w:lineRule="auto" w:before="0" w:after="0"/>
        <w:ind w:left="1600" w:right="1499" w:hanging="360"/>
        <w:jc w:val="left"/>
        <w:rPr>
          <w:sz w:val="24"/>
        </w:rPr>
      </w:pPr>
      <w:r>
        <w:rPr>
          <w:sz w:val="24"/>
        </w:rPr>
        <w:t>COVID</w:t>
      </w:r>
      <w:r>
        <w:rPr>
          <w:spacing w:val="-5"/>
          <w:sz w:val="24"/>
        </w:rPr>
        <w:t> </w:t>
      </w:r>
      <w:r>
        <w:rPr>
          <w:sz w:val="24"/>
        </w:rPr>
        <w:t>Field</w:t>
      </w:r>
      <w:r>
        <w:rPr>
          <w:spacing w:val="-4"/>
          <w:sz w:val="24"/>
        </w:rPr>
        <w:t> </w:t>
      </w:r>
      <w:r>
        <w:rPr>
          <w:sz w:val="24"/>
        </w:rPr>
        <w:t>Hospital</w:t>
      </w:r>
      <w:r>
        <w:rPr>
          <w:spacing w:val="-4"/>
          <w:sz w:val="24"/>
        </w:rPr>
        <w:t> </w:t>
      </w:r>
      <w:r>
        <w:rPr>
          <w:sz w:val="24"/>
        </w:rPr>
        <w:t>equipment:</w:t>
      </w:r>
      <w:r>
        <w:rPr>
          <w:spacing w:val="-4"/>
          <w:sz w:val="24"/>
        </w:rPr>
        <w:t> </w:t>
      </w:r>
      <w:r>
        <w:rPr>
          <w:sz w:val="24"/>
        </w:rPr>
        <w:t>storage</w:t>
      </w:r>
      <w:r>
        <w:rPr>
          <w:spacing w:val="-5"/>
          <w:sz w:val="24"/>
        </w:rPr>
        <w:t> </w:t>
      </w:r>
      <w:r>
        <w:rPr>
          <w:sz w:val="24"/>
        </w:rPr>
        <w:t>of</w:t>
      </w:r>
      <w:r>
        <w:rPr>
          <w:spacing w:val="-5"/>
          <w:sz w:val="24"/>
        </w:rPr>
        <w:t> </w:t>
      </w:r>
      <w:r>
        <w:rPr>
          <w:sz w:val="24"/>
        </w:rPr>
        <w:t>surplus</w:t>
      </w:r>
      <w:r>
        <w:rPr>
          <w:spacing w:val="-5"/>
          <w:sz w:val="24"/>
        </w:rPr>
        <w:t> </w:t>
      </w:r>
      <w:r>
        <w:rPr>
          <w:sz w:val="24"/>
        </w:rPr>
        <w:t>field</w:t>
      </w:r>
      <w:r>
        <w:rPr>
          <w:spacing w:val="-4"/>
          <w:sz w:val="24"/>
        </w:rPr>
        <w:t> </w:t>
      </w:r>
      <w:r>
        <w:rPr>
          <w:sz w:val="24"/>
        </w:rPr>
        <w:t>hospital equipment, and distribution where required;</w:t>
      </w:r>
    </w:p>
    <w:p>
      <w:pPr>
        <w:pStyle w:val="BodyText"/>
      </w:pPr>
    </w:p>
    <w:p>
      <w:pPr>
        <w:pStyle w:val="ListParagraph"/>
        <w:numPr>
          <w:ilvl w:val="0"/>
          <w:numId w:val="7"/>
        </w:numPr>
        <w:tabs>
          <w:tab w:pos="1601" w:val="left" w:leader="none"/>
        </w:tabs>
        <w:spacing w:line="240" w:lineRule="auto" w:before="0" w:after="0"/>
        <w:ind w:left="1600" w:right="0" w:hanging="438"/>
        <w:jc w:val="left"/>
        <w:rPr>
          <w:sz w:val="24"/>
        </w:rPr>
      </w:pPr>
      <w:r>
        <w:rPr>
          <w:sz w:val="24"/>
        </w:rPr>
        <w:t>COVID</w:t>
      </w:r>
      <w:r>
        <w:rPr>
          <w:spacing w:val="-6"/>
          <w:sz w:val="24"/>
        </w:rPr>
        <w:t> </w:t>
      </w:r>
      <w:r>
        <w:rPr>
          <w:sz w:val="24"/>
        </w:rPr>
        <w:t>pathology</w:t>
      </w:r>
      <w:r>
        <w:rPr>
          <w:spacing w:val="-4"/>
          <w:sz w:val="24"/>
        </w:rPr>
        <w:t> </w:t>
      </w:r>
      <w:r>
        <w:rPr>
          <w:sz w:val="24"/>
        </w:rPr>
        <w:t>sample</w:t>
      </w:r>
      <w:r>
        <w:rPr>
          <w:spacing w:val="-4"/>
          <w:sz w:val="24"/>
        </w:rPr>
        <w:t> </w:t>
      </w:r>
      <w:r>
        <w:rPr>
          <w:spacing w:val="-2"/>
          <w:sz w:val="24"/>
        </w:rPr>
        <w:t>transport;</w:t>
      </w:r>
    </w:p>
    <w:p>
      <w:pPr>
        <w:pStyle w:val="BodyText"/>
      </w:pPr>
    </w:p>
    <w:p>
      <w:pPr>
        <w:pStyle w:val="ListParagraph"/>
        <w:numPr>
          <w:ilvl w:val="0"/>
          <w:numId w:val="7"/>
        </w:numPr>
        <w:tabs>
          <w:tab w:pos="1601" w:val="left" w:leader="none"/>
        </w:tabs>
        <w:spacing w:line="240" w:lineRule="auto" w:before="0" w:after="0"/>
        <w:ind w:left="1599" w:right="902" w:hanging="436"/>
        <w:jc w:val="both"/>
        <w:rPr>
          <w:sz w:val="24"/>
        </w:rPr>
      </w:pPr>
      <w:r>
        <w:rPr>
          <w:sz w:val="24"/>
        </w:rPr>
        <w:t>Surgical Material Testing Laboratory PPE testing support – date life management of PPE stocks, ongoing stockpile management and further PPE procurement;</w:t>
      </w:r>
    </w:p>
    <w:p>
      <w:pPr>
        <w:pStyle w:val="BodyText"/>
      </w:pPr>
    </w:p>
    <w:p>
      <w:pPr>
        <w:pStyle w:val="ListParagraph"/>
        <w:numPr>
          <w:ilvl w:val="0"/>
          <w:numId w:val="7"/>
        </w:numPr>
        <w:tabs>
          <w:tab w:pos="1601" w:val="left" w:leader="none"/>
        </w:tabs>
        <w:spacing w:line="240" w:lineRule="auto" w:before="0" w:after="0"/>
        <w:ind w:left="1599" w:right="901" w:hanging="436"/>
        <w:jc w:val="both"/>
        <w:rPr>
          <w:sz w:val="24"/>
        </w:rPr>
      </w:pPr>
      <w:r>
        <w:rPr>
          <w:sz w:val="24"/>
        </w:rPr>
        <w:t>Medicines Unit support to mass vaccination – bulk delivery, storage and repackaging of vaccines ready for distribution; and</w:t>
      </w:r>
    </w:p>
    <w:p>
      <w:pPr>
        <w:pStyle w:val="BodyText"/>
      </w:pPr>
    </w:p>
    <w:p>
      <w:pPr>
        <w:pStyle w:val="ListParagraph"/>
        <w:numPr>
          <w:ilvl w:val="0"/>
          <w:numId w:val="7"/>
        </w:numPr>
        <w:tabs>
          <w:tab w:pos="1601" w:val="left" w:leader="none"/>
        </w:tabs>
        <w:spacing w:line="240" w:lineRule="auto" w:before="0" w:after="0"/>
        <w:ind w:left="1599" w:right="902" w:hanging="436"/>
        <w:jc w:val="both"/>
        <w:rPr>
          <w:sz w:val="24"/>
        </w:rPr>
      </w:pPr>
      <w:r>
        <w:rPr>
          <w:sz w:val="24"/>
        </w:rPr>
        <w:t>Management</w:t>
      </w:r>
      <w:r>
        <w:rPr>
          <w:spacing w:val="-6"/>
          <w:sz w:val="24"/>
        </w:rPr>
        <w:t> </w:t>
      </w:r>
      <w:r>
        <w:rPr>
          <w:sz w:val="24"/>
        </w:rPr>
        <w:t>of</w:t>
      </w:r>
      <w:r>
        <w:rPr>
          <w:spacing w:val="-6"/>
          <w:sz w:val="24"/>
        </w:rPr>
        <w:t> </w:t>
      </w:r>
      <w:r>
        <w:rPr>
          <w:sz w:val="24"/>
        </w:rPr>
        <w:t>the</w:t>
      </w:r>
      <w:r>
        <w:rPr>
          <w:spacing w:val="-6"/>
          <w:sz w:val="24"/>
        </w:rPr>
        <w:t> </w:t>
      </w:r>
      <w:r>
        <w:rPr>
          <w:sz w:val="24"/>
        </w:rPr>
        <w:t>feeder</w:t>
      </w:r>
      <w:r>
        <w:rPr>
          <w:spacing w:val="-6"/>
          <w:sz w:val="24"/>
        </w:rPr>
        <w:t> </w:t>
      </w:r>
      <w:r>
        <w:rPr>
          <w:sz w:val="24"/>
        </w:rPr>
        <w:t>entries</w:t>
      </w:r>
      <w:r>
        <w:rPr>
          <w:spacing w:val="-6"/>
          <w:sz w:val="24"/>
        </w:rPr>
        <w:t> </w:t>
      </w:r>
      <w:r>
        <w:rPr>
          <w:sz w:val="24"/>
        </w:rPr>
        <w:t>for</w:t>
      </w:r>
      <w:r>
        <w:rPr>
          <w:spacing w:val="-6"/>
          <w:sz w:val="24"/>
        </w:rPr>
        <w:t> </w:t>
      </w:r>
      <w:r>
        <w:rPr>
          <w:sz w:val="24"/>
        </w:rPr>
        <w:t>the</w:t>
      </w:r>
      <w:r>
        <w:rPr>
          <w:spacing w:val="-6"/>
          <w:sz w:val="24"/>
        </w:rPr>
        <w:t> </w:t>
      </w:r>
      <w:r>
        <w:rPr>
          <w:sz w:val="24"/>
        </w:rPr>
        <w:t>Primary</w:t>
      </w:r>
      <w:r>
        <w:rPr>
          <w:spacing w:val="-6"/>
          <w:sz w:val="24"/>
        </w:rPr>
        <w:t> </w:t>
      </w:r>
      <w:r>
        <w:rPr>
          <w:sz w:val="24"/>
        </w:rPr>
        <w:t>&amp;</w:t>
      </w:r>
      <w:r>
        <w:rPr>
          <w:spacing w:val="-6"/>
          <w:sz w:val="24"/>
        </w:rPr>
        <w:t> </w:t>
      </w:r>
      <w:r>
        <w:rPr>
          <w:sz w:val="24"/>
        </w:rPr>
        <w:t>Social</w:t>
      </w:r>
      <w:r>
        <w:rPr>
          <w:spacing w:val="-6"/>
          <w:sz w:val="24"/>
        </w:rPr>
        <w:t> </w:t>
      </w:r>
      <w:r>
        <w:rPr>
          <w:sz w:val="24"/>
        </w:rPr>
        <w:t>care</w:t>
      </w:r>
      <w:r>
        <w:rPr>
          <w:spacing w:val="-6"/>
          <w:sz w:val="24"/>
        </w:rPr>
        <w:t> </w:t>
      </w:r>
      <w:r>
        <w:rPr>
          <w:sz w:val="24"/>
        </w:rPr>
        <w:t>stores issues and recharge of issues to Welsh Government. Cash management related to additional stock balances.</w:t>
      </w:r>
    </w:p>
    <w:p>
      <w:pPr>
        <w:pStyle w:val="BodyText"/>
      </w:pPr>
    </w:p>
    <w:p>
      <w:pPr>
        <w:spacing w:before="0"/>
        <w:ind w:left="880" w:right="0" w:firstLine="0"/>
        <w:jc w:val="both"/>
        <w:rPr>
          <w:b/>
          <w:sz w:val="24"/>
        </w:rPr>
      </w:pPr>
      <w:r>
        <w:rPr>
          <w:b/>
          <w:sz w:val="24"/>
        </w:rPr>
        <w:t>Surplus</w:t>
      </w:r>
      <w:r>
        <w:rPr>
          <w:b/>
          <w:spacing w:val="-5"/>
          <w:sz w:val="24"/>
        </w:rPr>
        <w:t> </w:t>
      </w:r>
      <w:r>
        <w:rPr>
          <w:b/>
          <w:spacing w:val="-4"/>
          <w:sz w:val="24"/>
        </w:rPr>
        <w:t>Beds</w:t>
      </w:r>
    </w:p>
    <w:p>
      <w:pPr>
        <w:pStyle w:val="BodyText"/>
        <w:rPr>
          <w:b/>
        </w:rPr>
      </w:pPr>
    </w:p>
    <w:p>
      <w:pPr>
        <w:pStyle w:val="BodyText"/>
        <w:ind w:left="880" w:right="905"/>
        <w:jc w:val="both"/>
      </w:pPr>
      <w:r>
        <w:rPr/>
        <w:t>Throughout</w:t>
      </w:r>
      <w:r>
        <w:rPr>
          <w:spacing w:val="-18"/>
        </w:rPr>
        <w:t> </w:t>
      </w:r>
      <w:r>
        <w:rPr/>
        <w:t>Quarter</w:t>
      </w:r>
      <w:r>
        <w:rPr>
          <w:spacing w:val="-18"/>
        </w:rPr>
        <w:t> </w:t>
      </w:r>
      <w:r>
        <w:rPr/>
        <w:t>3</w:t>
      </w:r>
      <w:r>
        <w:rPr>
          <w:spacing w:val="-18"/>
        </w:rPr>
        <w:t> </w:t>
      </w:r>
      <w:r>
        <w:rPr/>
        <w:t>we</w:t>
      </w:r>
      <w:r>
        <w:rPr>
          <w:spacing w:val="-18"/>
        </w:rPr>
        <w:t> </w:t>
      </w:r>
      <w:r>
        <w:rPr/>
        <w:t>have</w:t>
      </w:r>
      <w:r>
        <w:rPr>
          <w:spacing w:val="-18"/>
        </w:rPr>
        <w:t> </w:t>
      </w:r>
      <w:r>
        <w:rPr/>
        <w:t>been</w:t>
      </w:r>
      <w:r>
        <w:rPr>
          <w:spacing w:val="-18"/>
        </w:rPr>
        <w:t> </w:t>
      </w:r>
      <w:r>
        <w:rPr/>
        <w:t>working</w:t>
      </w:r>
      <w:r>
        <w:rPr>
          <w:spacing w:val="-18"/>
        </w:rPr>
        <w:t> </w:t>
      </w:r>
      <w:r>
        <w:rPr/>
        <w:t>closely</w:t>
      </w:r>
      <w:r>
        <w:rPr>
          <w:spacing w:val="-18"/>
        </w:rPr>
        <w:t> </w:t>
      </w:r>
      <w:r>
        <w:rPr/>
        <w:t>with</w:t>
      </w:r>
      <w:r>
        <w:rPr>
          <w:spacing w:val="-18"/>
        </w:rPr>
        <w:t> </w:t>
      </w:r>
      <w:r>
        <w:rPr/>
        <w:t>Welsh</w:t>
      </w:r>
      <w:r>
        <w:rPr>
          <w:spacing w:val="-18"/>
        </w:rPr>
        <w:t> </w:t>
      </w:r>
      <w:r>
        <w:rPr/>
        <w:t>Government officials to arrange the distribution of surplus COVID Field Hospital beds to Social Care Homes and Joint Equipment Stores Services throughout Wales. Through that period, roughly 1600 beds have been allocated out across various</w:t>
      </w:r>
      <w:r>
        <w:rPr>
          <w:spacing w:val="-6"/>
        </w:rPr>
        <w:t> </w:t>
      </w:r>
      <w:r>
        <w:rPr/>
        <w:t>parts</w:t>
      </w:r>
      <w:r>
        <w:rPr>
          <w:spacing w:val="-4"/>
        </w:rPr>
        <w:t> </w:t>
      </w:r>
      <w:r>
        <w:rPr/>
        <w:t>of</w:t>
      </w:r>
      <w:r>
        <w:rPr>
          <w:spacing w:val="-4"/>
        </w:rPr>
        <w:t> </w:t>
      </w:r>
      <w:r>
        <w:rPr/>
        <w:t>Wales,</w:t>
      </w:r>
      <w:r>
        <w:rPr>
          <w:spacing w:val="-4"/>
        </w:rPr>
        <w:t> </w:t>
      </w:r>
      <w:r>
        <w:rPr/>
        <w:t>and</w:t>
      </w:r>
      <w:r>
        <w:rPr>
          <w:spacing w:val="-4"/>
        </w:rPr>
        <w:t> </w:t>
      </w:r>
      <w:r>
        <w:rPr/>
        <w:t>the</w:t>
      </w:r>
      <w:r>
        <w:rPr>
          <w:spacing w:val="-3"/>
        </w:rPr>
        <w:t> </w:t>
      </w:r>
      <w:r>
        <w:rPr/>
        <w:t>programme</w:t>
      </w:r>
      <w:r>
        <w:rPr>
          <w:spacing w:val="-4"/>
        </w:rPr>
        <w:t> </w:t>
      </w:r>
      <w:r>
        <w:rPr/>
        <w:t>continues</w:t>
      </w:r>
      <w:r>
        <w:rPr>
          <w:spacing w:val="-4"/>
        </w:rPr>
        <w:t> </w:t>
      </w:r>
      <w:r>
        <w:rPr/>
        <w:t>into</w:t>
      </w:r>
      <w:r>
        <w:rPr>
          <w:spacing w:val="-4"/>
        </w:rPr>
        <w:t> </w:t>
      </w:r>
      <w:r>
        <w:rPr/>
        <w:t>the</w:t>
      </w:r>
      <w:r>
        <w:rPr>
          <w:spacing w:val="-4"/>
        </w:rPr>
        <w:t> </w:t>
      </w:r>
      <w:r>
        <w:rPr/>
        <w:t>next</w:t>
      </w:r>
      <w:r>
        <w:rPr>
          <w:spacing w:val="-3"/>
        </w:rPr>
        <w:t> </w:t>
      </w:r>
      <w:r>
        <w:rPr>
          <w:spacing w:val="-2"/>
        </w:rPr>
        <w:t>quarter.</w:t>
      </w:r>
    </w:p>
    <w:p>
      <w:pPr>
        <w:pStyle w:val="BodyText"/>
      </w:pPr>
    </w:p>
    <w:p>
      <w:pPr>
        <w:spacing w:before="0"/>
        <w:ind w:left="880" w:right="0" w:firstLine="0"/>
        <w:jc w:val="left"/>
        <w:rPr>
          <w:b/>
          <w:sz w:val="24"/>
        </w:rPr>
      </w:pPr>
      <w:r>
        <w:rPr>
          <w:b/>
          <w:spacing w:val="-2"/>
          <w:sz w:val="24"/>
        </w:rPr>
        <w:t>Recruitment</w:t>
      </w:r>
    </w:p>
    <w:p>
      <w:pPr>
        <w:pStyle w:val="BodyText"/>
        <w:rPr>
          <w:b/>
        </w:rPr>
      </w:pPr>
    </w:p>
    <w:p>
      <w:pPr>
        <w:pStyle w:val="BodyText"/>
        <w:ind w:left="880" w:right="904"/>
        <w:jc w:val="both"/>
      </w:pPr>
      <w:r>
        <w:rPr/>
        <w:t>Trust ID was implemented on 30</w:t>
      </w:r>
      <w:r>
        <w:rPr>
          <w:position w:val="7"/>
          <w:sz w:val="16"/>
        </w:rPr>
        <w:t>th</w:t>
      </w:r>
      <w:r>
        <w:rPr>
          <w:spacing w:val="40"/>
          <w:position w:val="7"/>
          <w:sz w:val="16"/>
        </w:rPr>
        <w:t> </w:t>
      </w:r>
      <w:r>
        <w:rPr/>
        <w:t>Sept across NHS Wales in line with legislative changes from the Home Office. The system removes the need to face to face pre-employment checks for those with an in-date UK or Irish Passport or Share Code.</w:t>
      </w:r>
    </w:p>
    <w:p>
      <w:pPr>
        <w:pStyle w:val="BodyText"/>
      </w:pPr>
    </w:p>
    <w:p>
      <w:pPr>
        <w:pStyle w:val="BodyText"/>
        <w:ind w:left="880"/>
      </w:pPr>
      <w:r>
        <w:rPr/>
        <w:t>The</w:t>
      </w:r>
      <w:r>
        <w:rPr>
          <w:spacing w:val="-16"/>
        </w:rPr>
        <w:t> </w:t>
      </w:r>
      <w:r>
        <w:rPr/>
        <w:t>majority</w:t>
      </w:r>
      <w:r>
        <w:rPr>
          <w:spacing w:val="-16"/>
        </w:rPr>
        <w:t> </w:t>
      </w:r>
      <w:r>
        <w:rPr/>
        <w:t>of</w:t>
      </w:r>
      <w:r>
        <w:rPr>
          <w:spacing w:val="-16"/>
        </w:rPr>
        <w:t> </w:t>
      </w:r>
      <w:r>
        <w:rPr/>
        <w:t>organisation</w:t>
      </w:r>
      <w:r>
        <w:rPr>
          <w:spacing w:val="-16"/>
        </w:rPr>
        <w:t> </w:t>
      </w:r>
      <w:r>
        <w:rPr/>
        <w:t>in</w:t>
      </w:r>
      <w:r>
        <w:rPr>
          <w:spacing w:val="-16"/>
        </w:rPr>
        <w:t> </w:t>
      </w:r>
      <w:r>
        <w:rPr/>
        <w:t>NHS</w:t>
      </w:r>
      <w:r>
        <w:rPr>
          <w:spacing w:val="-16"/>
        </w:rPr>
        <w:t> </w:t>
      </w:r>
      <w:r>
        <w:rPr/>
        <w:t>Wales</w:t>
      </w:r>
      <w:r>
        <w:rPr>
          <w:spacing w:val="-16"/>
        </w:rPr>
        <w:t> </w:t>
      </w:r>
      <w:r>
        <w:rPr/>
        <w:t>are</w:t>
      </w:r>
      <w:r>
        <w:rPr>
          <w:spacing w:val="-16"/>
        </w:rPr>
        <w:t> </w:t>
      </w:r>
      <w:r>
        <w:rPr/>
        <w:t>live</w:t>
      </w:r>
      <w:r>
        <w:rPr>
          <w:spacing w:val="-16"/>
        </w:rPr>
        <w:t> </w:t>
      </w:r>
      <w:r>
        <w:rPr/>
        <w:t>with</w:t>
      </w:r>
      <w:r>
        <w:rPr>
          <w:spacing w:val="-16"/>
        </w:rPr>
        <w:t> </w:t>
      </w:r>
      <w:r>
        <w:rPr/>
        <w:t>the</w:t>
      </w:r>
      <w:r>
        <w:rPr>
          <w:spacing w:val="-16"/>
        </w:rPr>
        <w:t> </w:t>
      </w:r>
      <w:r>
        <w:rPr/>
        <w:t>following</w:t>
      </w:r>
      <w:r>
        <w:rPr>
          <w:spacing w:val="-16"/>
        </w:rPr>
        <w:t> </w:t>
      </w:r>
      <w:r>
        <w:rPr/>
        <w:t>process changes, with others having agreed go live dates:</w:t>
      </w:r>
    </w:p>
    <w:p>
      <w:pPr>
        <w:pStyle w:val="BodyText"/>
      </w:pPr>
    </w:p>
    <w:p>
      <w:pPr>
        <w:pStyle w:val="ListParagraph"/>
        <w:numPr>
          <w:ilvl w:val="1"/>
          <w:numId w:val="7"/>
        </w:numPr>
        <w:tabs>
          <w:tab w:pos="1599" w:val="left" w:leader="none"/>
          <w:tab w:pos="1600" w:val="left" w:leader="none"/>
        </w:tabs>
        <w:spacing w:line="240" w:lineRule="auto" w:before="0" w:after="0"/>
        <w:ind w:left="1600" w:right="0" w:hanging="360"/>
        <w:jc w:val="left"/>
        <w:rPr>
          <w:sz w:val="24"/>
        </w:rPr>
      </w:pPr>
      <w:r>
        <w:rPr>
          <w:sz w:val="24"/>
        </w:rPr>
        <w:t>Include</w:t>
      </w:r>
      <w:r>
        <w:rPr>
          <w:spacing w:val="-6"/>
          <w:sz w:val="24"/>
        </w:rPr>
        <w:t> </w:t>
      </w:r>
      <w:r>
        <w:rPr>
          <w:sz w:val="24"/>
        </w:rPr>
        <w:t>a</w:t>
      </w:r>
      <w:r>
        <w:rPr>
          <w:spacing w:val="-2"/>
          <w:sz w:val="24"/>
        </w:rPr>
        <w:t> </w:t>
      </w:r>
      <w:r>
        <w:rPr>
          <w:sz w:val="24"/>
        </w:rPr>
        <w:t>proposed</w:t>
      </w:r>
      <w:r>
        <w:rPr>
          <w:spacing w:val="-2"/>
          <w:sz w:val="24"/>
        </w:rPr>
        <w:t> </w:t>
      </w:r>
      <w:r>
        <w:rPr>
          <w:sz w:val="24"/>
        </w:rPr>
        <w:t>start</w:t>
      </w:r>
      <w:r>
        <w:rPr>
          <w:spacing w:val="-2"/>
          <w:sz w:val="24"/>
        </w:rPr>
        <w:t> </w:t>
      </w:r>
      <w:r>
        <w:rPr>
          <w:sz w:val="24"/>
        </w:rPr>
        <w:t>date</w:t>
      </w:r>
      <w:r>
        <w:rPr>
          <w:spacing w:val="-2"/>
          <w:sz w:val="24"/>
        </w:rPr>
        <w:t> </w:t>
      </w:r>
      <w:r>
        <w:rPr>
          <w:sz w:val="24"/>
        </w:rPr>
        <w:t>in</w:t>
      </w:r>
      <w:r>
        <w:rPr>
          <w:spacing w:val="-3"/>
          <w:sz w:val="24"/>
        </w:rPr>
        <w:t> </w:t>
      </w:r>
      <w:r>
        <w:rPr>
          <w:sz w:val="24"/>
        </w:rPr>
        <w:t>the</w:t>
      </w:r>
      <w:r>
        <w:rPr>
          <w:spacing w:val="-2"/>
          <w:sz w:val="24"/>
        </w:rPr>
        <w:t> </w:t>
      </w:r>
      <w:r>
        <w:rPr>
          <w:sz w:val="24"/>
        </w:rPr>
        <w:t>offer</w:t>
      </w:r>
      <w:r>
        <w:rPr>
          <w:spacing w:val="-2"/>
          <w:sz w:val="24"/>
        </w:rPr>
        <w:t> letter</w:t>
      </w:r>
    </w:p>
    <w:p>
      <w:pPr>
        <w:spacing w:after="0" w:line="240" w:lineRule="auto"/>
        <w:jc w:val="left"/>
        <w:rPr>
          <w:sz w:val="24"/>
        </w:rPr>
        <w:sectPr>
          <w:footerReference w:type="default" r:id="rId15"/>
          <w:pgSz w:w="11910" w:h="16840"/>
          <w:pgMar w:footer="976" w:header="0" w:top="1260" w:bottom="1160" w:left="380" w:right="559"/>
          <w:pgNumType w:start="2"/>
        </w:sectPr>
      </w:pPr>
    </w:p>
    <w:p>
      <w:pPr>
        <w:pStyle w:val="ListParagraph"/>
        <w:numPr>
          <w:ilvl w:val="1"/>
          <w:numId w:val="7"/>
        </w:numPr>
        <w:tabs>
          <w:tab w:pos="1599" w:val="left" w:leader="none"/>
          <w:tab w:pos="1600" w:val="left" w:leader="none"/>
        </w:tabs>
        <w:spacing w:line="237" w:lineRule="auto" w:before="76" w:after="0"/>
        <w:ind w:left="1600" w:right="904" w:hanging="360"/>
        <w:jc w:val="left"/>
        <w:rPr>
          <w:sz w:val="24"/>
        </w:rPr>
      </w:pPr>
      <w:r>
        <w:rPr>
          <w:sz w:val="24"/>
        </w:rPr>
        <w:t>Reduction</w:t>
      </w:r>
      <w:r>
        <w:rPr>
          <w:spacing w:val="40"/>
          <w:sz w:val="24"/>
        </w:rPr>
        <w:t> </w:t>
      </w:r>
      <w:r>
        <w:rPr>
          <w:sz w:val="24"/>
        </w:rPr>
        <w:t>of</w:t>
      </w:r>
      <w:r>
        <w:rPr>
          <w:spacing w:val="40"/>
          <w:sz w:val="24"/>
        </w:rPr>
        <w:t> </w:t>
      </w:r>
      <w:r>
        <w:rPr>
          <w:sz w:val="24"/>
        </w:rPr>
        <w:t>Mandatory</w:t>
      </w:r>
      <w:r>
        <w:rPr>
          <w:spacing w:val="40"/>
          <w:sz w:val="24"/>
        </w:rPr>
        <w:t> </w:t>
      </w:r>
      <w:r>
        <w:rPr>
          <w:sz w:val="24"/>
        </w:rPr>
        <w:t>Pre-employment</w:t>
      </w:r>
      <w:r>
        <w:rPr>
          <w:spacing w:val="40"/>
          <w:sz w:val="24"/>
        </w:rPr>
        <w:t> </w:t>
      </w:r>
      <w:r>
        <w:rPr>
          <w:sz w:val="24"/>
        </w:rPr>
        <w:t>checks</w:t>
      </w:r>
      <w:r>
        <w:rPr>
          <w:spacing w:val="40"/>
          <w:sz w:val="24"/>
        </w:rPr>
        <w:t> </w:t>
      </w:r>
      <w:r>
        <w:rPr>
          <w:sz w:val="24"/>
        </w:rPr>
        <w:t>prior</w:t>
      </w:r>
      <w:r>
        <w:rPr>
          <w:spacing w:val="40"/>
          <w:sz w:val="24"/>
        </w:rPr>
        <w:t> </w:t>
      </w:r>
      <w:r>
        <w:rPr>
          <w:sz w:val="24"/>
        </w:rPr>
        <w:t>to</w:t>
      </w:r>
      <w:r>
        <w:rPr>
          <w:spacing w:val="40"/>
          <w:sz w:val="24"/>
        </w:rPr>
        <w:t> </w:t>
      </w:r>
      <w:r>
        <w:rPr>
          <w:sz w:val="24"/>
        </w:rPr>
        <w:t>start</w:t>
      </w:r>
      <w:r>
        <w:rPr>
          <w:spacing w:val="40"/>
          <w:sz w:val="24"/>
        </w:rPr>
        <w:t> </w:t>
      </w:r>
      <w:r>
        <w:rPr>
          <w:sz w:val="24"/>
        </w:rPr>
        <w:t>date (references and qualifications can be completed after start).</w:t>
      </w:r>
    </w:p>
    <w:p>
      <w:pPr>
        <w:pStyle w:val="ListParagraph"/>
        <w:numPr>
          <w:ilvl w:val="1"/>
          <w:numId w:val="7"/>
        </w:numPr>
        <w:tabs>
          <w:tab w:pos="1599" w:val="left" w:leader="none"/>
          <w:tab w:pos="1600" w:val="left" w:leader="none"/>
        </w:tabs>
        <w:spacing w:line="237" w:lineRule="auto" w:before="4" w:after="0"/>
        <w:ind w:left="1600" w:right="904" w:hanging="360"/>
        <w:jc w:val="left"/>
        <w:rPr>
          <w:sz w:val="24"/>
        </w:rPr>
      </w:pPr>
      <w:r>
        <w:rPr>
          <w:sz w:val="24"/>
        </w:rPr>
        <w:t>More streamlined internal employment checks process where dates</w:t>
      </w:r>
      <w:r>
        <w:rPr>
          <w:spacing w:val="80"/>
          <w:sz w:val="24"/>
        </w:rPr>
        <w:t> </w:t>
      </w:r>
      <w:r>
        <w:rPr>
          <w:sz w:val="24"/>
        </w:rPr>
        <w:t>from</w:t>
      </w:r>
      <w:r>
        <w:rPr>
          <w:spacing w:val="-15"/>
          <w:sz w:val="24"/>
        </w:rPr>
        <w:t> </w:t>
      </w:r>
      <w:r>
        <w:rPr>
          <w:sz w:val="24"/>
        </w:rPr>
        <w:t>ESR</w:t>
      </w:r>
      <w:r>
        <w:rPr>
          <w:spacing w:val="-15"/>
          <w:sz w:val="24"/>
        </w:rPr>
        <w:t> </w:t>
      </w:r>
      <w:r>
        <w:rPr>
          <w:sz w:val="24"/>
        </w:rPr>
        <w:t>are</w:t>
      </w:r>
      <w:r>
        <w:rPr>
          <w:spacing w:val="-15"/>
          <w:sz w:val="24"/>
        </w:rPr>
        <w:t> </w:t>
      </w:r>
      <w:r>
        <w:rPr>
          <w:sz w:val="24"/>
        </w:rPr>
        <w:t>used</w:t>
      </w:r>
      <w:r>
        <w:rPr>
          <w:spacing w:val="-15"/>
          <w:sz w:val="24"/>
        </w:rPr>
        <w:t> </w:t>
      </w:r>
      <w:r>
        <w:rPr>
          <w:sz w:val="24"/>
        </w:rPr>
        <w:t>to</w:t>
      </w:r>
      <w:r>
        <w:rPr>
          <w:spacing w:val="-15"/>
          <w:sz w:val="24"/>
        </w:rPr>
        <w:t> </w:t>
      </w:r>
      <w:r>
        <w:rPr>
          <w:sz w:val="24"/>
        </w:rPr>
        <w:t>evidence</w:t>
      </w:r>
      <w:r>
        <w:rPr>
          <w:spacing w:val="-15"/>
          <w:sz w:val="24"/>
        </w:rPr>
        <w:t> </w:t>
      </w:r>
      <w:r>
        <w:rPr>
          <w:sz w:val="24"/>
        </w:rPr>
        <w:t>some</w:t>
      </w:r>
      <w:r>
        <w:rPr>
          <w:spacing w:val="-15"/>
          <w:sz w:val="24"/>
        </w:rPr>
        <w:t> </w:t>
      </w:r>
      <w:r>
        <w:rPr>
          <w:sz w:val="24"/>
        </w:rPr>
        <w:t>existing</w:t>
      </w:r>
      <w:r>
        <w:rPr>
          <w:spacing w:val="-15"/>
          <w:sz w:val="24"/>
        </w:rPr>
        <w:t> </w:t>
      </w:r>
      <w:r>
        <w:rPr>
          <w:sz w:val="24"/>
        </w:rPr>
        <w:t>pre-employment</w:t>
      </w:r>
      <w:r>
        <w:rPr>
          <w:spacing w:val="-15"/>
          <w:sz w:val="24"/>
        </w:rPr>
        <w:t> </w:t>
      </w:r>
      <w:r>
        <w:rPr>
          <w:sz w:val="24"/>
        </w:rPr>
        <w:t>checks.</w:t>
      </w:r>
    </w:p>
    <w:p>
      <w:pPr>
        <w:pStyle w:val="ListParagraph"/>
        <w:numPr>
          <w:ilvl w:val="1"/>
          <w:numId w:val="7"/>
        </w:numPr>
        <w:tabs>
          <w:tab w:pos="1599" w:val="left" w:leader="none"/>
          <w:tab w:pos="1600" w:val="left" w:leader="none"/>
        </w:tabs>
        <w:spacing w:line="240" w:lineRule="auto" w:before="1" w:after="0"/>
        <w:ind w:left="1600" w:right="0" w:hanging="360"/>
        <w:jc w:val="left"/>
        <w:rPr>
          <w:sz w:val="24"/>
        </w:rPr>
      </w:pPr>
      <w:r>
        <w:rPr>
          <w:sz w:val="24"/>
        </w:rPr>
        <w:t>Removal</w:t>
      </w:r>
      <w:r>
        <w:rPr>
          <w:spacing w:val="-2"/>
          <w:sz w:val="24"/>
        </w:rPr>
        <w:t> </w:t>
      </w:r>
      <w:r>
        <w:rPr>
          <w:sz w:val="24"/>
        </w:rPr>
        <w:t>of</w:t>
      </w:r>
      <w:r>
        <w:rPr>
          <w:spacing w:val="-3"/>
          <w:sz w:val="24"/>
        </w:rPr>
        <w:t> </w:t>
      </w:r>
      <w:r>
        <w:rPr>
          <w:sz w:val="24"/>
        </w:rPr>
        <w:t>the</w:t>
      </w:r>
      <w:r>
        <w:rPr>
          <w:spacing w:val="-3"/>
          <w:sz w:val="24"/>
        </w:rPr>
        <w:t> </w:t>
      </w:r>
      <w:r>
        <w:rPr>
          <w:sz w:val="24"/>
        </w:rPr>
        <w:t>unconditional</w:t>
      </w:r>
      <w:r>
        <w:rPr>
          <w:spacing w:val="-2"/>
          <w:sz w:val="24"/>
        </w:rPr>
        <w:t> </w:t>
      </w:r>
      <w:r>
        <w:rPr>
          <w:sz w:val="24"/>
        </w:rPr>
        <w:t>offer</w:t>
      </w:r>
      <w:r>
        <w:rPr>
          <w:spacing w:val="-2"/>
          <w:sz w:val="24"/>
        </w:rPr>
        <w:t> letter.</w:t>
      </w:r>
    </w:p>
    <w:p>
      <w:pPr>
        <w:pStyle w:val="BodyText"/>
        <w:spacing w:before="9"/>
        <w:rPr>
          <w:sz w:val="23"/>
        </w:rPr>
      </w:pPr>
    </w:p>
    <w:p>
      <w:pPr>
        <w:pStyle w:val="BodyText"/>
        <w:ind w:left="880" w:right="905"/>
        <w:jc w:val="both"/>
      </w:pPr>
      <w:r>
        <w:rPr/>
        <w:t>Although data is limited currently due to the short time the changes have been live in some organisations, improvements can be seen already in relation to reducing the time to hire.</w:t>
      </w:r>
    </w:p>
    <w:p>
      <w:pPr>
        <w:pStyle w:val="BodyText"/>
      </w:pPr>
    </w:p>
    <w:p>
      <w:pPr>
        <w:pStyle w:val="Heading9"/>
        <w:ind w:left="880" w:firstLine="0"/>
      </w:pPr>
      <w:r>
        <w:rPr>
          <w:spacing w:val="-2"/>
        </w:rPr>
        <w:t>CIVAS</w:t>
      </w:r>
    </w:p>
    <w:p>
      <w:pPr>
        <w:pStyle w:val="BodyText"/>
        <w:rPr>
          <w:b/>
        </w:rPr>
      </w:pPr>
    </w:p>
    <w:p>
      <w:pPr>
        <w:pStyle w:val="BodyText"/>
        <w:ind w:left="880" w:right="903"/>
        <w:jc w:val="both"/>
      </w:pPr>
      <w:r>
        <w:rPr/>
        <w:t>In light of the national Penicillin V shortage for treatment of Strep A infections the CIVAS@IP5 Medicines Unit, utilising its national portfolio and MHRA Wholesale Dealer licence, procured direct from the manufacture significant numbers of the Penicillin V liquid (11000 bottles in total). This stock</w:t>
      </w:r>
      <w:r>
        <w:rPr>
          <w:spacing w:val="-2"/>
        </w:rPr>
        <w:t> </w:t>
      </w:r>
      <w:r>
        <w:rPr/>
        <w:t>was</w:t>
      </w:r>
      <w:r>
        <w:rPr>
          <w:spacing w:val="-2"/>
        </w:rPr>
        <w:t> </w:t>
      </w:r>
      <w:r>
        <w:rPr/>
        <w:t>received</w:t>
      </w:r>
      <w:r>
        <w:rPr>
          <w:spacing w:val="-2"/>
        </w:rPr>
        <w:t> </w:t>
      </w:r>
      <w:r>
        <w:rPr/>
        <w:t>and</w:t>
      </w:r>
      <w:r>
        <w:rPr>
          <w:spacing w:val="-2"/>
        </w:rPr>
        <w:t> </w:t>
      </w:r>
      <w:r>
        <w:rPr/>
        <w:t>processed</w:t>
      </w:r>
      <w:r>
        <w:rPr>
          <w:spacing w:val="-2"/>
        </w:rPr>
        <w:t> </w:t>
      </w:r>
      <w:r>
        <w:rPr/>
        <w:t>for</w:t>
      </w:r>
      <w:r>
        <w:rPr>
          <w:spacing w:val="-2"/>
        </w:rPr>
        <w:t> </w:t>
      </w:r>
      <w:r>
        <w:rPr/>
        <w:t>distribution</w:t>
      </w:r>
      <w:r>
        <w:rPr>
          <w:spacing w:val="-2"/>
        </w:rPr>
        <w:t> </w:t>
      </w:r>
      <w:r>
        <w:rPr/>
        <w:t>to</w:t>
      </w:r>
      <w:r>
        <w:rPr>
          <w:spacing w:val="-2"/>
        </w:rPr>
        <w:t> </w:t>
      </w:r>
      <w:r>
        <w:rPr/>
        <w:t>primary</w:t>
      </w:r>
      <w:r>
        <w:rPr>
          <w:spacing w:val="-2"/>
        </w:rPr>
        <w:t> </w:t>
      </w:r>
      <w:r>
        <w:rPr/>
        <w:t>and</w:t>
      </w:r>
      <w:r>
        <w:rPr>
          <w:spacing w:val="-2"/>
        </w:rPr>
        <w:t> </w:t>
      </w:r>
      <w:r>
        <w:rPr/>
        <w:t>secondary care sites across all UHBs in collaboration with HCS within 48 hours to provide resilience in stock to health boards. The service subsequently took delivery of a further 8000 bottles of Clarithromycin and these were distributed</w:t>
      </w:r>
      <w:r>
        <w:rPr>
          <w:spacing w:val="-4"/>
        </w:rPr>
        <w:t> </w:t>
      </w:r>
      <w:r>
        <w:rPr/>
        <w:t>to</w:t>
      </w:r>
      <w:r>
        <w:rPr>
          <w:spacing w:val="-4"/>
        </w:rPr>
        <w:t> </w:t>
      </w:r>
      <w:r>
        <w:rPr/>
        <w:t>UHBs</w:t>
      </w:r>
      <w:r>
        <w:rPr>
          <w:spacing w:val="-4"/>
        </w:rPr>
        <w:t> </w:t>
      </w:r>
      <w:r>
        <w:rPr/>
        <w:t>and</w:t>
      </w:r>
      <w:r>
        <w:rPr>
          <w:spacing w:val="-4"/>
        </w:rPr>
        <w:t> </w:t>
      </w:r>
      <w:r>
        <w:rPr/>
        <w:t>primary</w:t>
      </w:r>
      <w:r>
        <w:rPr>
          <w:spacing w:val="-4"/>
        </w:rPr>
        <w:t> </w:t>
      </w:r>
      <w:r>
        <w:rPr/>
        <w:t>care</w:t>
      </w:r>
      <w:r>
        <w:rPr>
          <w:spacing w:val="-4"/>
        </w:rPr>
        <w:t> </w:t>
      </w:r>
      <w:r>
        <w:rPr/>
        <w:t>sites</w:t>
      </w:r>
      <w:r>
        <w:rPr>
          <w:spacing w:val="-4"/>
        </w:rPr>
        <w:t> </w:t>
      </w:r>
      <w:r>
        <w:rPr/>
        <w:t>in</w:t>
      </w:r>
      <w:r>
        <w:rPr>
          <w:spacing w:val="-4"/>
        </w:rPr>
        <w:t> </w:t>
      </w:r>
      <w:r>
        <w:rPr/>
        <w:t>the</w:t>
      </w:r>
      <w:r>
        <w:rPr>
          <w:spacing w:val="-4"/>
        </w:rPr>
        <w:t> </w:t>
      </w:r>
      <w:r>
        <w:rPr/>
        <w:t>week</w:t>
      </w:r>
      <w:r>
        <w:rPr>
          <w:spacing w:val="-4"/>
        </w:rPr>
        <w:t> </w:t>
      </w:r>
      <w:r>
        <w:rPr/>
        <w:t>leading</w:t>
      </w:r>
      <w:r>
        <w:rPr>
          <w:spacing w:val="-4"/>
        </w:rPr>
        <w:t> </w:t>
      </w:r>
      <w:r>
        <w:rPr/>
        <w:t>to</w:t>
      </w:r>
      <w:r>
        <w:rPr>
          <w:spacing w:val="-4"/>
        </w:rPr>
        <w:t> </w:t>
      </w:r>
      <w:r>
        <w:rPr/>
        <w:t>Christmas provided further resilience of supply.</w:t>
      </w:r>
    </w:p>
    <w:p>
      <w:pPr>
        <w:pStyle w:val="BodyText"/>
      </w:pPr>
    </w:p>
    <w:p>
      <w:pPr>
        <w:pStyle w:val="BodyText"/>
        <w:ind w:left="880" w:right="905"/>
        <w:jc w:val="both"/>
      </w:pPr>
      <w:r>
        <w:rPr/>
        <w:t>Emergency planning / pandemic medicines storage of Welsh Government owned stock in Wales</w:t>
      </w:r>
    </w:p>
    <w:p>
      <w:pPr>
        <w:pStyle w:val="BodyText"/>
      </w:pPr>
    </w:p>
    <w:p>
      <w:pPr>
        <w:pStyle w:val="BodyText"/>
        <w:ind w:left="880" w:right="904"/>
        <w:jc w:val="both"/>
      </w:pPr>
      <w:r>
        <w:rPr/>
        <w:t>From April 1</w:t>
      </w:r>
      <w:r>
        <w:rPr>
          <w:position w:val="7"/>
          <w:sz w:val="16"/>
        </w:rPr>
        <w:t>st</w:t>
      </w:r>
      <w:r>
        <w:rPr/>
        <w:t>, 2023, the management of the above stock will transfer to NWSSP.</w:t>
      </w:r>
      <w:r>
        <w:rPr>
          <w:spacing w:val="40"/>
        </w:rPr>
        <w:t> </w:t>
      </w:r>
      <w:r>
        <w:rPr/>
        <w:t>This includes:</w:t>
      </w:r>
    </w:p>
    <w:p>
      <w:pPr>
        <w:pStyle w:val="BodyText"/>
      </w:pPr>
    </w:p>
    <w:p>
      <w:pPr>
        <w:pStyle w:val="ListParagraph"/>
        <w:numPr>
          <w:ilvl w:val="1"/>
          <w:numId w:val="7"/>
        </w:numPr>
        <w:tabs>
          <w:tab w:pos="1600" w:val="left" w:leader="none"/>
        </w:tabs>
        <w:spacing w:line="240" w:lineRule="auto" w:before="0" w:after="0"/>
        <w:ind w:left="1600" w:right="903" w:hanging="360"/>
        <w:jc w:val="both"/>
        <w:rPr>
          <w:sz w:val="24"/>
        </w:rPr>
      </w:pPr>
      <w:r>
        <w:rPr>
          <w:sz w:val="24"/>
        </w:rPr>
        <w:t>CBRN</w:t>
      </w:r>
      <w:r>
        <w:rPr>
          <w:spacing w:val="-9"/>
          <w:sz w:val="24"/>
        </w:rPr>
        <w:t> </w:t>
      </w:r>
      <w:r>
        <w:rPr>
          <w:sz w:val="24"/>
        </w:rPr>
        <w:t>(Chemical,</w:t>
      </w:r>
      <w:r>
        <w:rPr>
          <w:spacing w:val="-9"/>
          <w:sz w:val="24"/>
        </w:rPr>
        <w:t> </w:t>
      </w:r>
      <w:r>
        <w:rPr>
          <w:sz w:val="24"/>
        </w:rPr>
        <w:t>Biological,</w:t>
      </w:r>
      <w:r>
        <w:rPr>
          <w:spacing w:val="-9"/>
          <w:sz w:val="24"/>
        </w:rPr>
        <w:t> </w:t>
      </w:r>
      <w:r>
        <w:rPr>
          <w:sz w:val="24"/>
        </w:rPr>
        <w:t>Radiological</w:t>
      </w:r>
      <w:r>
        <w:rPr>
          <w:spacing w:val="-9"/>
          <w:sz w:val="24"/>
        </w:rPr>
        <w:t> </w:t>
      </w:r>
      <w:r>
        <w:rPr>
          <w:sz w:val="24"/>
        </w:rPr>
        <w:t>and</w:t>
      </w:r>
      <w:r>
        <w:rPr>
          <w:spacing w:val="-9"/>
          <w:sz w:val="24"/>
        </w:rPr>
        <w:t> </w:t>
      </w:r>
      <w:r>
        <w:rPr>
          <w:sz w:val="24"/>
        </w:rPr>
        <w:t>Nuclear)</w:t>
      </w:r>
      <w:r>
        <w:rPr>
          <w:spacing w:val="-9"/>
          <w:sz w:val="24"/>
        </w:rPr>
        <w:t> </w:t>
      </w:r>
      <w:r>
        <w:rPr>
          <w:sz w:val="24"/>
        </w:rPr>
        <w:t>stock,</w:t>
      </w:r>
      <w:r>
        <w:rPr>
          <w:spacing w:val="-9"/>
          <w:sz w:val="24"/>
        </w:rPr>
        <w:t> </w:t>
      </w:r>
      <w:r>
        <w:rPr>
          <w:sz w:val="24"/>
        </w:rPr>
        <w:t>including antidotes</w:t>
      </w:r>
      <w:r>
        <w:rPr>
          <w:spacing w:val="-16"/>
          <w:sz w:val="24"/>
        </w:rPr>
        <w:t> </w:t>
      </w:r>
      <w:r>
        <w:rPr>
          <w:sz w:val="24"/>
        </w:rPr>
        <w:t>for</w:t>
      </w:r>
      <w:r>
        <w:rPr>
          <w:spacing w:val="-16"/>
          <w:sz w:val="24"/>
        </w:rPr>
        <w:t> </w:t>
      </w:r>
      <w:r>
        <w:rPr>
          <w:sz w:val="24"/>
        </w:rPr>
        <w:t>use</w:t>
      </w:r>
      <w:r>
        <w:rPr>
          <w:spacing w:val="-16"/>
          <w:sz w:val="24"/>
        </w:rPr>
        <w:t> </w:t>
      </w:r>
      <w:r>
        <w:rPr>
          <w:sz w:val="24"/>
        </w:rPr>
        <w:t>against</w:t>
      </w:r>
      <w:r>
        <w:rPr>
          <w:spacing w:val="-16"/>
          <w:sz w:val="24"/>
        </w:rPr>
        <w:t> </w:t>
      </w:r>
      <w:r>
        <w:rPr>
          <w:sz w:val="24"/>
        </w:rPr>
        <w:t>specific</w:t>
      </w:r>
      <w:r>
        <w:rPr>
          <w:spacing w:val="-16"/>
          <w:sz w:val="24"/>
        </w:rPr>
        <w:t> </w:t>
      </w:r>
      <w:r>
        <w:rPr>
          <w:sz w:val="24"/>
        </w:rPr>
        <w:t>chemical,</w:t>
      </w:r>
      <w:r>
        <w:rPr>
          <w:spacing w:val="-16"/>
          <w:sz w:val="24"/>
        </w:rPr>
        <w:t> </w:t>
      </w:r>
      <w:r>
        <w:rPr>
          <w:sz w:val="24"/>
        </w:rPr>
        <w:t>biological,</w:t>
      </w:r>
      <w:r>
        <w:rPr>
          <w:spacing w:val="-16"/>
          <w:sz w:val="24"/>
        </w:rPr>
        <w:t> </w:t>
      </w:r>
      <w:r>
        <w:rPr>
          <w:sz w:val="24"/>
        </w:rPr>
        <w:t>radiological,</w:t>
      </w:r>
      <w:r>
        <w:rPr>
          <w:spacing w:val="-16"/>
          <w:sz w:val="24"/>
        </w:rPr>
        <w:t> </w:t>
      </w:r>
      <w:r>
        <w:rPr>
          <w:sz w:val="24"/>
        </w:rPr>
        <w:t>and nuclear threats as determined at UK level.</w:t>
      </w:r>
    </w:p>
    <w:p>
      <w:pPr>
        <w:pStyle w:val="BodyText"/>
      </w:pPr>
    </w:p>
    <w:p>
      <w:pPr>
        <w:pStyle w:val="ListParagraph"/>
        <w:numPr>
          <w:ilvl w:val="1"/>
          <w:numId w:val="7"/>
        </w:numPr>
        <w:tabs>
          <w:tab w:pos="1600" w:val="left" w:leader="none"/>
        </w:tabs>
        <w:spacing w:line="237" w:lineRule="auto" w:before="1" w:after="0"/>
        <w:ind w:left="1600" w:right="904" w:hanging="360"/>
        <w:jc w:val="both"/>
        <w:rPr>
          <w:sz w:val="24"/>
        </w:rPr>
      </w:pPr>
      <w:r>
        <w:rPr>
          <w:sz w:val="24"/>
        </w:rPr>
        <w:t>PIPP</w:t>
      </w:r>
      <w:r>
        <w:rPr>
          <w:spacing w:val="-18"/>
          <w:sz w:val="24"/>
        </w:rPr>
        <w:t> </w:t>
      </w:r>
      <w:r>
        <w:rPr>
          <w:sz w:val="24"/>
        </w:rPr>
        <w:t>(Pandemic</w:t>
      </w:r>
      <w:r>
        <w:rPr>
          <w:spacing w:val="-17"/>
          <w:sz w:val="24"/>
        </w:rPr>
        <w:t> </w:t>
      </w:r>
      <w:r>
        <w:rPr>
          <w:sz w:val="24"/>
        </w:rPr>
        <w:t>influenza)</w:t>
      </w:r>
      <w:r>
        <w:rPr>
          <w:spacing w:val="-18"/>
          <w:sz w:val="24"/>
        </w:rPr>
        <w:t> </w:t>
      </w:r>
      <w:r>
        <w:rPr>
          <w:sz w:val="24"/>
        </w:rPr>
        <w:t>-</w:t>
      </w:r>
      <w:r>
        <w:rPr>
          <w:spacing w:val="-18"/>
          <w:sz w:val="24"/>
        </w:rPr>
        <w:t> </w:t>
      </w:r>
      <w:r>
        <w:rPr>
          <w:sz w:val="24"/>
        </w:rPr>
        <w:t>NWSSP</w:t>
      </w:r>
      <w:r>
        <w:rPr>
          <w:spacing w:val="-18"/>
          <w:sz w:val="24"/>
        </w:rPr>
        <w:t> </w:t>
      </w:r>
      <w:r>
        <w:rPr>
          <w:sz w:val="24"/>
        </w:rPr>
        <w:t>will</w:t>
      </w:r>
      <w:r>
        <w:rPr>
          <w:spacing w:val="-18"/>
          <w:sz w:val="24"/>
        </w:rPr>
        <w:t> </w:t>
      </w:r>
      <w:r>
        <w:rPr>
          <w:sz w:val="24"/>
        </w:rPr>
        <w:t>take</w:t>
      </w:r>
      <w:r>
        <w:rPr>
          <w:spacing w:val="-18"/>
          <w:sz w:val="24"/>
        </w:rPr>
        <w:t> </w:t>
      </w:r>
      <w:r>
        <w:rPr>
          <w:sz w:val="24"/>
        </w:rPr>
        <w:t>over</w:t>
      </w:r>
      <w:r>
        <w:rPr>
          <w:spacing w:val="-18"/>
          <w:sz w:val="24"/>
        </w:rPr>
        <w:t> </w:t>
      </w:r>
      <w:r>
        <w:rPr>
          <w:sz w:val="24"/>
        </w:rPr>
        <w:t>the</w:t>
      </w:r>
      <w:r>
        <w:rPr>
          <w:spacing w:val="-18"/>
          <w:sz w:val="24"/>
        </w:rPr>
        <w:t> </w:t>
      </w:r>
      <w:r>
        <w:rPr>
          <w:sz w:val="24"/>
        </w:rPr>
        <w:t>responsibility</w:t>
      </w:r>
      <w:r>
        <w:rPr>
          <w:spacing w:val="-18"/>
          <w:sz w:val="24"/>
        </w:rPr>
        <w:t> </w:t>
      </w:r>
      <w:r>
        <w:rPr>
          <w:sz w:val="24"/>
        </w:rPr>
        <w:t>for the Wholesale Dealing Authorisation from Cardiff and Vale UHB.</w:t>
      </w:r>
    </w:p>
    <w:p>
      <w:pPr>
        <w:pStyle w:val="BodyText"/>
      </w:pPr>
    </w:p>
    <w:p>
      <w:pPr>
        <w:pStyle w:val="ListParagraph"/>
        <w:numPr>
          <w:ilvl w:val="1"/>
          <w:numId w:val="7"/>
        </w:numPr>
        <w:tabs>
          <w:tab w:pos="1600" w:val="left" w:leader="none"/>
        </w:tabs>
        <w:spacing w:line="240" w:lineRule="auto" w:before="1" w:after="0"/>
        <w:ind w:left="1600" w:right="901" w:hanging="360"/>
        <w:jc w:val="both"/>
        <w:rPr>
          <w:sz w:val="24"/>
        </w:rPr>
      </w:pPr>
      <w:r>
        <w:rPr>
          <w:sz w:val="24"/>
        </w:rPr>
        <w:t>Medicines Buffer Stock programme will commence within NWSSP which will include medicines previously included in the COVID Medicines Stockpile. NWSSP will take over the responsibility for the Wholesale</w:t>
      </w:r>
      <w:r>
        <w:rPr>
          <w:spacing w:val="-7"/>
          <w:sz w:val="24"/>
        </w:rPr>
        <w:t> </w:t>
      </w:r>
      <w:r>
        <w:rPr>
          <w:sz w:val="24"/>
        </w:rPr>
        <w:t>Dealing</w:t>
      </w:r>
      <w:r>
        <w:rPr>
          <w:spacing w:val="-7"/>
          <w:sz w:val="24"/>
        </w:rPr>
        <w:t> </w:t>
      </w:r>
      <w:r>
        <w:rPr>
          <w:sz w:val="24"/>
        </w:rPr>
        <w:t>Authorisation</w:t>
      </w:r>
      <w:r>
        <w:rPr>
          <w:spacing w:val="-7"/>
          <w:sz w:val="24"/>
        </w:rPr>
        <w:t> </w:t>
      </w:r>
      <w:r>
        <w:rPr>
          <w:sz w:val="24"/>
        </w:rPr>
        <w:t>from</w:t>
      </w:r>
      <w:r>
        <w:rPr>
          <w:spacing w:val="-7"/>
          <w:sz w:val="24"/>
        </w:rPr>
        <w:t> </w:t>
      </w:r>
      <w:r>
        <w:rPr>
          <w:sz w:val="24"/>
        </w:rPr>
        <w:t>Cardiff</w:t>
      </w:r>
      <w:r>
        <w:rPr>
          <w:spacing w:val="-7"/>
          <w:sz w:val="24"/>
        </w:rPr>
        <w:t> </w:t>
      </w:r>
      <w:r>
        <w:rPr>
          <w:sz w:val="24"/>
        </w:rPr>
        <w:t>and</w:t>
      </w:r>
      <w:r>
        <w:rPr>
          <w:spacing w:val="-7"/>
          <w:sz w:val="24"/>
        </w:rPr>
        <w:t> </w:t>
      </w:r>
      <w:r>
        <w:rPr>
          <w:sz w:val="24"/>
        </w:rPr>
        <w:t>Vale</w:t>
      </w:r>
      <w:r>
        <w:rPr>
          <w:spacing w:val="-7"/>
          <w:sz w:val="24"/>
        </w:rPr>
        <w:t> </w:t>
      </w:r>
      <w:r>
        <w:rPr>
          <w:sz w:val="24"/>
        </w:rPr>
        <w:t>UHB.</w:t>
      </w:r>
      <w:r>
        <w:rPr>
          <w:spacing w:val="40"/>
          <w:sz w:val="24"/>
        </w:rPr>
        <w:t> </w:t>
      </w:r>
      <w:r>
        <w:rPr>
          <w:sz w:val="24"/>
        </w:rPr>
        <w:t>This</w:t>
      </w:r>
      <w:r>
        <w:rPr>
          <w:spacing w:val="-7"/>
          <w:sz w:val="24"/>
        </w:rPr>
        <w:t> </w:t>
      </w:r>
      <w:r>
        <w:rPr>
          <w:sz w:val="24"/>
        </w:rPr>
        <w:t>new programme will avoid unnecessary waste as these medicines will be distributed routinely across Wales and replenished with longer dated </w:t>
      </w:r>
      <w:r>
        <w:rPr>
          <w:spacing w:val="-2"/>
          <w:sz w:val="24"/>
        </w:rPr>
        <w:t>stock.</w:t>
      </w:r>
    </w:p>
    <w:p>
      <w:pPr>
        <w:pStyle w:val="BodyText"/>
        <w:spacing w:before="9"/>
        <w:rPr>
          <w:sz w:val="23"/>
        </w:rPr>
      </w:pPr>
    </w:p>
    <w:p>
      <w:pPr>
        <w:pStyle w:val="ListParagraph"/>
        <w:numPr>
          <w:ilvl w:val="1"/>
          <w:numId w:val="7"/>
        </w:numPr>
        <w:tabs>
          <w:tab w:pos="1600" w:val="left" w:leader="none"/>
        </w:tabs>
        <w:spacing w:line="240" w:lineRule="auto" w:before="0" w:after="0"/>
        <w:ind w:left="1600" w:right="904" w:hanging="360"/>
        <w:jc w:val="both"/>
        <w:rPr>
          <w:sz w:val="24"/>
        </w:rPr>
      </w:pPr>
      <w:r>
        <w:rPr>
          <w:sz w:val="24"/>
        </w:rPr>
        <w:t>New COVID-19 treatment medicines - NWSSP will take over the responsibility</w:t>
      </w:r>
      <w:r>
        <w:rPr>
          <w:spacing w:val="-13"/>
          <w:sz w:val="24"/>
        </w:rPr>
        <w:t> </w:t>
      </w:r>
      <w:r>
        <w:rPr>
          <w:sz w:val="24"/>
        </w:rPr>
        <w:t>for</w:t>
      </w:r>
      <w:r>
        <w:rPr>
          <w:spacing w:val="-13"/>
          <w:sz w:val="24"/>
        </w:rPr>
        <w:t> </w:t>
      </w:r>
      <w:r>
        <w:rPr>
          <w:sz w:val="24"/>
        </w:rPr>
        <w:t>the</w:t>
      </w:r>
      <w:r>
        <w:rPr>
          <w:spacing w:val="-13"/>
          <w:sz w:val="24"/>
        </w:rPr>
        <w:t> </w:t>
      </w:r>
      <w:r>
        <w:rPr>
          <w:sz w:val="24"/>
        </w:rPr>
        <w:t>Wholesale</w:t>
      </w:r>
      <w:r>
        <w:rPr>
          <w:spacing w:val="-13"/>
          <w:sz w:val="24"/>
        </w:rPr>
        <w:t> </w:t>
      </w:r>
      <w:r>
        <w:rPr>
          <w:sz w:val="24"/>
        </w:rPr>
        <w:t>Dealing</w:t>
      </w:r>
      <w:r>
        <w:rPr>
          <w:spacing w:val="-13"/>
          <w:sz w:val="24"/>
        </w:rPr>
        <w:t> </w:t>
      </w:r>
      <w:r>
        <w:rPr>
          <w:sz w:val="24"/>
        </w:rPr>
        <w:t>Authorisation</w:t>
      </w:r>
      <w:r>
        <w:rPr>
          <w:spacing w:val="-13"/>
          <w:sz w:val="24"/>
        </w:rPr>
        <w:t> </w:t>
      </w:r>
      <w:r>
        <w:rPr>
          <w:sz w:val="24"/>
        </w:rPr>
        <w:t>from</w:t>
      </w:r>
      <w:r>
        <w:rPr>
          <w:spacing w:val="-13"/>
          <w:sz w:val="24"/>
        </w:rPr>
        <w:t> </w:t>
      </w:r>
      <w:r>
        <w:rPr>
          <w:sz w:val="24"/>
        </w:rPr>
        <w:t>Cardiff</w:t>
      </w:r>
      <w:r>
        <w:rPr>
          <w:spacing w:val="-13"/>
          <w:sz w:val="24"/>
        </w:rPr>
        <w:t> </w:t>
      </w:r>
      <w:r>
        <w:rPr>
          <w:sz w:val="24"/>
        </w:rPr>
        <w:t>and Vale UHB.</w:t>
      </w:r>
    </w:p>
    <w:p>
      <w:pPr>
        <w:spacing w:after="0" w:line="240" w:lineRule="auto"/>
        <w:jc w:val="both"/>
        <w:rPr>
          <w:sz w:val="24"/>
        </w:rPr>
        <w:sectPr>
          <w:pgSz w:w="11910" w:h="16840"/>
          <w:pgMar w:header="0" w:footer="976" w:top="1260" w:bottom="1160" w:left="380" w:right="559"/>
        </w:sectPr>
      </w:pPr>
    </w:p>
    <w:p>
      <w:pPr>
        <w:spacing w:before="74"/>
        <w:ind w:left="880" w:right="0" w:firstLine="0"/>
        <w:jc w:val="both"/>
        <w:rPr>
          <w:b/>
          <w:sz w:val="24"/>
        </w:rPr>
      </w:pPr>
      <w:r>
        <w:rPr>
          <w:b/>
          <w:sz w:val="24"/>
        </w:rPr>
        <w:t>Low</w:t>
      </w:r>
      <w:r>
        <w:rPr>
          <w:b/>
          <w:spacing w:val="-3"/>
          <w:sz w:val="24"/>
        </w:rPr>
        <w:t> </w:t>
      </w:r>
      <w:r>
        <w:rPr>
          <w:b/>
          <w:sz w:val="24"/>
        </w:rPr>
        <w:t>Vision</w:t>
      </w:r>
      <w:r>
        <w:rPr>
          <w:b/>
          <w:spacing w:val="-2"/>
          <w:sz w:val="24"/>
        </w:rPr>
        <w:t> Service</w:t>
      </w:r>
    </w:p>
    <w:p>
      <w:pPr>
        <w:pStyle w:val="BodyText"/>
        <w:spacing w:before="12"/>
        <w:rPr>
          <w:b/>
          <w:sz w:val="23"/>
        </w:rPr>
      </w:pPr>
    </w:p>
    <w:p>
      <w:pPr>
        <w:pStyle w:val="BodyText"/>
        <w:ind w:left="880" w:right="901"/>
        <w:jc w:val="both"/>
      </w:pPr>
      <w:r>
        <w:rPr/>
        <w:t>On 22</w:t>
      </w:r>
      <w:r>
        <w:rPr>
          <w:position w:val="7"/>
          <w:sz w:val="16"/>
        </w:rPr>
        <w:t>nd</w:t>
      </w:r>
      <w:r>
        <w:rPr>
          <w:spacing w:val="40"/>
          <w:position w:val="7"/>
          <w:sz w:val="16"/>
        </w:rPr>
        <w:t> </w:t>
      </w:r>
      <w:r>
        <w:rPr/>
        <w:t>December 2022 Welsh Government confirmed that, subject to full consultation, all aspects of the Low Vision Service Wales (LVSW), currently undertaken through the hosting arrangement with Hywel Dda University Health Board (HDuHB) will transfer to NWSSP.</w:t>
      </w:r>
    </w:p>
    <w:p>
      <w:pPr>
        <w:pStyle w:val="BodyText"/>
      </w:pPr>
    </w:p>
    <w:p>
      <w:pPr>
        <w:pStyle w:val="BodyText"/>
        <w:ind w:left="880" w:right="903"/>
        <w:jc w:val="both"/>
      </w:pPr>
      <w:r>
        <w:rPr/>
        <w:t>Welsh Government requested that HDuHB in collaboration with NWSSP, commence detailed discussion as part of the Transfer of Undertakings/Protection of Employment process from December 2022 with an expected completion date of 31</w:t>
      </w:r>
      <w:r>
        <w:rPr>
          <w:position w:val="7"/>
          <w:sz w:val="16"/>
        </w:rPr>
        <w:t>st</w:t>
      </w:r>
      <w:r>
        <w:rPr>
          <w:spacing w:val="40"/>
          <w:position w:val="7"/>
          <w:sz w:val="16"/>
        </w:rPr>
        <w:t> </w:t>
      </w:r>
      <w:r>
        <w:rPr/>
        <w:t>March 2023.</w:t>
      </w:r>
    </w:p>
    <w:p>
      <w:pPr>
        <w:pStyle w:val="BodyText"/>
      </w:pPr>
    </w:p>
    <w:p>
      <w:pPr>
        <w:pStyle w:val="BodyText"/>
        <w:ind w:left="880" w:right="904"/>
        <w:jc w:val="both"/>
      </w:pPr>
      <w:r>
        <w:rPr/>
        <w:t>NWSSP have contacted HDuHB to confirm that we are supportive of these arrangements and will work in partnership with the Health Board to ensure a smooth transition to the new arrangements. HDuHB now need to commence a consultation process with the LVSW team, so that they can advise NWSSP on next steps regarding all TUPE transfer requirements.</w:t>
      </w:r>
    </w:p>
    <w:p>
      <w:pPr>
        <w:pStyle w:val="BodyText"/>
      </w:pPr>
    </w:p>
    <w:p>
      <w:pPr>
        <w:spacing w:before="0"/>
        <w:ind w:left="880" w:right="0" w:firstLine="0"/>
        <w:jc w:val="left"/>
        <w:rPr>
          <w:b/>
          <w:sz w:val="24"/>
        </w:rPr>
      </w:pPr>
      <w:r>
        <w:rPr>
          <w:b/>
          <w:spacing w:val="-2"/>
          <w:sz w:val="24"/>
        </w:rPr>
        <w:t>TrAMS</w:t>
      </w:r>
    </w:p>
    <w:p>
      <w:pPr>
        <w:pStyle w:val="BodyText"/>
        <w:rPr>
          <w:b/>
        </w:rPr>
      </w:pPr>
    </w:p>
    <w:p>
      <w:pPr>
        <w:pStyle w:val="BodyText"/>
        <w:ind w:left="880" w:right="902"/>
        <w:jc w:val="both"/>
      </w:pPr>
      <w:r>
        <w:rPr/>
        <w:t>The first meeting of the All-Wales TrAMS Finance representatives is taking place on the 20</w:t>
      </w:r>
      <w:r>
        <w:rPr>
          <w:position w:val="7"/>
          <w:sz w:val="16"/>
        </w:rPr>
        <w:t>th</w:t>
      </w:r>
      <w:r>
        <w:rPr>
          <w:spacing w:val="40"/>
          <w:position w:val="7"/>
          <w:sz w:val="16"/>
        </w:rPr>
        <w:t> </w:t>
      </w:r>
      <w:r>
        <w:rPr/>
        <w:t>of January. The intention is for the Group to meet every few months. It is important that Health Boards/Trusts are appropriately represented</w:t>
      </w:r>
      <w:r>
        <w:rPr>
          <w:spacing w:val="-11"/>
        </w:rPr>
        <w:t> </w:t>
      </w:r>
      <w:r>
        <w:rPr/>
        <w:t>as</w:t>
      </w:r>
      <w:r>
        <w:rPr>
          <w:spacing w:val="-10"/>
        </w:rPr>
        <w:t> </w:t>
      </w:r>
      <w:r>
        <w:rPr/>
        <w:t>we</w:t>
      </w:r>
      <w:r>
        <w:rPr>
          <w:spacing w:val="-11"/>
        </w:rPr>
        <w:t> </w:t>
      </w:r>
      <w:r>
        <w:rPr/>
        <w:t>move</w:t>
      </w:r>
      <w:r>
        <w:rPr>
          <w:spacing w:val="-10"/>
        </w:rPr>
        <w:t> </w:t>
      </w:r>
      <w:r>
        <w:rPr/>
        <w:t>through</w:t>
      </w:r>
      <w:r>
        <w:rPr>
          <w:spacing w:val="-11"/>
        </w:rPr>
        <w:t> </w:t>
      </w:r>
      <w:r>
        <w:rPr/>
        <w:t>the</w:t>
      </w:r>
      <w:r>
        <w:rPr>
          <w:spacing w:val="-11"/>
        </w:rPr>
        <w:t> </w:t>
      </w:r>
      <w:r>
        <w:rPr/>
        <w:t>programme</w:t>
      </w:r>
      <w:r>
        <w:rPr>
          <w:spacing w:val="-10"/>
        </w:rPr>
        <w:t> </w:t>
      </w:r>
      <w:r>
        <w:rPr/>
        <w:t>completing</w:t>
      </w:r>
      <w:r>
        <w:rPr>
          <w:spacing w:val="-11"/>
        </w:rPr>
        <w:t> </w:t>
      </w:r>
      <w:r>
        <w:rPr/>
        <w:t>business</w:t>
      </w:r>
      <w:r>
        <w:rPr>
          <w:spacing w:val="-11"/>
        </w:rPr>
        <w:t> </w:t>
      </w:r>
      <w:r>
        <w:rPr/>
        <w:t>cases for the South East, South West and North Hubs and ultimately identifying budgets to be transferred on the opening of the hubs.</w:t>
      </w:r>
    </w:p>
    <w:p>
      <w:pPr>
        <w:pStyle w:val="BodyText"/>
      </w:pPr>
    </w:p>
    <w:p>
      <w:pPr>
        <w:spacing w:before="0"/>
        <w:ind w:left="880" w:right="0" w:firstLine="0"/>
        <w:jc w:val="both"/>
        <w:rPr>
          <w:b/>
          <w:sz w:val="24"/>
        </w:rPr>
      </w:pPr>
      <w:r>
        <w:rPr>
          <w:b/>
          <w:sz w:val="24"/>
        </w:rPr>
        <w:t>Citizens’</w:t>
      </w:r>
      <w:r>
        <w:rPr>
          <w:b/>
          <w:spacing w:val="-3"/>
          <w:sz w:val="24"/>
        </w:rPr>
        <w:t> </w:t>
      </w:r>
      <w:r>
        <w:rPr>
          <w:b/>
          <w:sz w:val="24"/>
        </w:rPr>
        <w:t>Voice</w:t>
      </w:r>
      <w:r>
        <w:rPr>
          <w:b/>
          <w:spacing w:val="-2"/>
          <w:sz w:val="24"/>
        </w:rPr>
        <w:t> </w:t>
      </w:r>
      <w:r>
        <w:rPr>
          <w:b/>
          <w:sz w:val="24"/>
        </w:rPr>
        <w:t>Body</w:t>
      </w:r>
      <w:r>
        <w:rPr>
          <w:b/>
          <w:spacing w:val="-1"/>
          <w:sz w:val="24"/>
        </w:rPr>
        <w:t> </w:t>
      </w:r>
      <w:r>
        <w:rPr>
          <w:b/>
          <w:spacing w:val="-2"/>
          <w:sz w:val="24"/>
        </w:rPr>
        <w:t>(CVB)</w:t>
      </w:r>
    </w:p>
    <w:p>
      <w:pPr>
        <w:pStyle w:val="BodyText"/>
        <w:rPr>
          <w:b/>
        </w:rPr>
      </w:pPr>
    </w:p>
    <w:p>
      <w:pPr>
        <w:pStyle w:val="BodyText"/>
        <w:ind w:left="880" w:right="902"/>
        <w:jc w:val="both"/>
      </w:pPr>
      <w:r>
        <w:rPr/>
        <w:t>Work</w:t>
      </w:r>
      <w:r>
        <w:rPr>
          <w:spacing w:val="-8"/>
        </w:rPr>
        <w:t> </w:t>
      </w:r>
      <w:r>
        <w:rPr/>
        <w:t>is</w:t>
      </w:r>
      <w:r>
        <w:rPr>
          <w:spacing w:val="-8"/>
        </w:rPr>
        <w:t> </w:t>
      </w:r>
      <w:r>
        <w:rPr/>
        <w:t>progressing</w:t>
      </w:r>
      <w:r>
        <w:rPr>
          <w:spacing w:val="-8"/>
        </w:rPr>
        <w:t> </w:t>
      </w:r>
      <w:r>
        <w:rPr/>
        <w:t>on</w:t>
      </w:r>
      <w:r>
        <w:rPr>
          <w:spacing w:val="-8"/>
        </w:rPr>
        <w:t> </w:t>
      </w:r>
      <w:r>
        <w:rPr/>
        <w:t>the</w:t>
      </w:r>
      <w:r>
        <w:rPr>
          <w:spacing w:val="-8"/>
        </w:rPr>
        <w:t> </w:t>
      </w:r>
      <w:r>
        <w:rPr/>
        <w:t>establishment</w:t>
      </w:r>
      <w:r>
        <w:rPr>
          <w:spacing w:val="-8"/>
        </w:rPr>
        <w:t> </w:t>
      </w:r>
      <w:r>
        <w:rPr/>
        <w:t>of</w:t>
      </w:r>
      <w:r>
        <w:rPr>
          <w:spacing w:val="-8"/>
        </w:rPr>
        <w:t> </w:t>
      </w:r>
      <w:r>
        <w:rPr/>
        <w:t>the</w:t>
      </w:r>
      <w:r>
        <w:rPr>
          <w:spacing w:val="-8"/>
        </w:rPr>
        <w:t> </w:t>
      </w:r>
      <w:r>
        <w:rPr/>
        <w:t>CVB,</w:t>
      </w:r>
      <w:r>
        <w:rPr>
          <w:spacing w:val="-7"/>
        </w:rPr>
        <w:t> </w:t>
      </w:r>
      <w:r>
        <w:rPr/>
        <w:t>and</w:t>
      </w:r>
      <w:r>
        <w:rPr>
          <w:spacing w:val="-8"/>
        </w:rPr>
        <w:t> </w:t>
      </w:r>
      <w:r>
        <w:rPr/>
        <w:t>a</w:t>
      </w:r>
      <w:r>
        <w:rPr>
          <w:spacing w:val="-8"/>
        </w:rPr>
        <w:t> </w:t>
      </w:r>
      <w:r>
        <w:rPr/>
        <w:t>separate</w:t>
      </w:r>
      <w:r>
        <w:rPr>
          <w:spacing w:val="-8"/>
        </w:rPr>
        <w:t> </w:t>
      </w:r>
      <w:r>
        <w:rPr/>
        <w:t>Virtual Private</w:t>
      </w:r>
      <w:r>
        <w:rPr>
          <w:spacing w:val="-2"/>
        </w:rPr>
        <w:t> </w:t>
      </w:r>
      <w:r>
        <w:rPr/>
        <w:t>Database</w:t>
      </w:r>
      <w:r>
        <w:rPr>
          <w:spacing w:val="-2"/>
        </w:rPr>
        <w:t> </w:t>
      </w:r>
      <w:r>
        <w:rPr/>
        <w:t>(VPD)</w:t>
      </w:r>
      <w:r>
        <w:rPr>
          <w:spacing w:val="-1"/>
        </w:rPr>
        <w:t> </w:t>
      </w:r>
      <w:r>
        <w:rPr/>
        <w:t>code</w:t>
      </w:r>
      <w:r>
        <w:rPr>
          <w:spacing w:val="-2"/>
        </w:rPr>
        <w:t> </w:t>
      </w:r>
      <w:r>
        <w:rPr/>
        <w:t>has</w:t>
      </w:r>
      <w:r>
        <w:rPr>
          <w:spacing w:val="-1"/>
        </w:rPr>
        <w:t> </w:t>
      </w:r>
      <w:r>
        <w:rPr/>
        <w:t>been</w:t>
      </w:r>
      <w:r>
        <w:rPr>
          <w:spacing w:val="-1"/>
        </w:rPr>
        <w:t> </w:t>
      </w:r>
      <w:r>
        <w:rPr/>
        <w:t>set</w:t>
      </w:r>
      <w:r>
        <w:rPr>
          <w:spacing w:val="-1"/>
        </w:rPr>
        <w:t> </w:t>
      </w:r>
      <w:r>
        <w:rPr/>
        <w:t>up.</w:t>
      </w:r>
      <w:r>
        <w:rPr>
          <w:spacing w:val="-2"/>
        </w:rPr>
        <w:t> </w:t>
      </w:r>
      <w:r>
        <w:rPr/>
        <w:t>The</w:t>
      </w:r>
      <w:r>
        <w:rPr>
          <w:spacing w:val="-2"/>
        </w:rPr>
        <w:t> </w:t>
      </w:r>
      <w:r>
        <w:rPr/>
        <w:t>Audit</w:t>
      </w:r>
      <w:r>
        <w:rPr>
          <w:spacing w:val="-2"/>
        </w:rPr>
        <w:t> </w:t>
      </w:r>
      <w:r>
        <w:rPr/>
        <w:t>&amp;</w:t>
      </w:r>
      <w:r>
        <w:rPr>
          <w:spacing w:val="-1"/>
        </w:rPr>
        <w:t> </w:t>
      </w:r>
      <w:r>
        <w:rPr/>
        <w:t>Assurance</w:t>
      </w:r>
      <w:r>
        <w:rPr>
          <w:spacing w:val="-2"/>
        </w:rPr>
        <w:t> </w:t>
      </w:r>
      <w:r>
        <w:rPr/>
        <w:t>Team are undertaking analysis of the consultation exercise by Welsh Government that is due to end on 5</w:t>
      </w:r>
      <w:r>
        <w:rPr>
          <w:position w:val="7"/>
          <w:sz w:val="16"/>
        </w:rPr>
        <w:t>th</w:t>
      </w:r>
      <w:r>
        <w:rPr>
          <w:spacing w:val="40"/>
          <w:position w:val="7"/>
          <w:sz w:val="16"/>
        </w:rPr>
        <w:t> </w:t>
      </w:r>
      <w:r>
        <w:rPr/>
        <w:t>March and will produce a report summarising the </w:t>
      </w:r>
      <w:r>
        <w:rPr>
          <w:spacing w:val="-2"/>
        </w:rPr>
        <w:t>findings.</w:t>
      </w:r>
    </w:p>
    <w:p>
      <w:pPr>
        <w:pStyle w:val="BodyText"/>
      </w:pPr>
    </w:p>
    <w:p>
      <w:pPr>
        <w:spacing w:before="0"/>
        <w:ind w:left="880" w:right="0" w:firstLine="0"/>
        <w:jc w:val="both"/>
        <w:rPr>
          <w:b/>
          <w:sz w:val="24"/>
        </w:rPr>
      </w:pPr>
      <w:r>
        <w:rPr>
          <w:b/>
          <w:sz w:val="24"/>
        </w:rPr>
        <w:t>Laundry</w:t>
      </w:r>
      <w:r>
        <w:rPr>
          <w:b/>
          <w:spacing w:val="-6"/>
          <w:sz w:val="24"/>
        </w:rPr>
        <w:t> </w:t>
      </w:r>
      <w:r>
        <w:rPr>
          <w:b/>
          <w:spacing w:val="-2"/>
          <w:sz w:val="24"/>
        </w:rPr>
        <w:t>Services</w:t>
      </w:r>
    </w:p>
    <w:p>
      <w:pPr>
        <w:pStyle w:val="BodyText"/>
        <w:rPr>
          <w:b/>
        </w:rPr>
      </w:pPr>
    </w:p>
    <w:p>
      <w:pPr>
        <w:pStyle w:val="BodyText"/>
        <w:ind w:left="880" w:right="904"/>
        <w:jc w:val="both"/>
      </w:pPr>
      <w:r>
        <w:rPr/>
        <w:t>Following</w:t>
      </w:r>
      <w:r>
        <w:rPr>
          <w:spacing w:val="-7"/>
        </w:rPr>
        <w:t> </w:t>
      </w:r>
      <w:r>
        <w:rPr/>
        <w:t>submission</w:t>
      </w:r>
      <w:r>
        <w:rPr>
          <w:spacing w:val="-7"/>
        </w:rPr>
        <w:t> </w:t>
      </w:r>
      <w:r>
        <w:rPr/>
        <w:t>of</w:t>
      </w:r>
      <w:r>
        <w:rPr>
          <w:spacing w:val="-7"/>
        </w:rPr>
        <w:t> </w:t>
      </w:r>
      <w:r>
        <w:rPr/>
        <w:t>the</w:t>
      </w:r>
      <w:r>
        <w:rPr>
          <w:spacing w:val="-7"/>
        </w:rPr>
        <w:t> </w:t>
      </w:r>
      <w:r>
        <w:rPr/>
        <w:t>Outline</w:t>
      </w:r>
      <w:r>
        <w:rPr>
          <w:spacing w:val="-7"/>
        </w:rPr>
        <w:t> </w:t>
      </w:r>
      <w:r>
        <w:rPr/>
        <w:t>Business</w:t>
      </w:r>
      <w:r>
        <w:rPr>
          <w:spacing w:val="-7"/>
        </w:rPr>
        <w:t> </w:t>
      </w:r>
      <w:r>
        <w:rPr/>
        <w:t>Case</w:t>
      </w:r>
      <w:r>
        <w:rPr>
          <w:spacing w:val="-8"/>
        </w:rPr>
        <w:t> </w:t>
      </w:r>
      <w:r>
        <w:rPr/>
        <w:t>to</w:t>
      </w:r>
      <w:r>
        <w:rPr>
          <w:spacing w:val="-7"/>
        </w:rPr>
        <w:t> </w:t>
      </w:r>
      <w:r>
        <w:rPr/>
        <w:t>Welsh</w:t>
      </w:r>
      <w:r>
        <w:rPr>
          <w:spacing w:val="-7"/>
        </w:rPr>
        <w:t> </w:t>
      </w:r>
      <w:r>
        <w:rPr/>
        <w:t>Government</w:t>
      </w:r>
      <w:r>
        <w:rPr>
          <w:spacing w:val="-7"/>
        </w:rPr>
        <w:t> </w:t>
      </w:r>
      <w:r>
        <w:rPr/>
        <w:t>we are currently working through a number of queries that they have raised. However, given the challenging position with regards to availability of capital, we are also currently working up alternative options to provide a different</w:t>
      </w:r>
      <w:r>
        <w:rPr>
          <w:spacing w:val="-16"/>
        </w:rPr>
        <w:t> </w:t>
      </w:r>
      <w:r>
        <w:rPr/>
        <w:t>approach</w:t>
      </w:r>
      <w:r>
        <w:rPr>
          <w:spacing w:val="-16"/>
        </w:rPr>
        <w:t> </w:t>
      </w:r>
      <w:r>
        <w:rPr/>
        <w:t>for</w:t>
      </w:r>
      <w:r>
        <w:rPr>
          <w:spacing w:val="-16"/>
        </w:rPr>
        <w:t> </w:t>
      </w:r>
      <w:r>
        <w:rPr/>
        <w:t>the</w:t>
      </w:r>
      <w:r>
        <w:rPr>
          <w:spacing w:val="-16"/>
        </w:rPr>
        <w:t> </w:t>
      </w:r>
      <w:r>
        <w:rPr/>
        <w:t>next</w:t>
      </w:r>
      <w:r>
        <w:rPr>
          <w:spacing w:val="-16"/>
        </w:rPr>
        <w:t> </w:t>
      </w:r>
      <w:r>
        <w:rPr/>
        <w:t>five</w:t>
      </w:r>
      <w:r>
        <w:rPr>
          <w:spacing w:val="-16"/>
        </w:rPr>
        <w:t> </w:t>
      </w:r>
      <w:r>
        <w:rPr/>
        <w:t>years</w:t>
      </w:r>
      <w:r>
        <w:rPr>
          <w:spacing w:val="-16"/>
        </w:rPr>
        <w:t> </w:t>
      </w:r>
      <w:r>
        <w:rPr/>
        <w:t>which</w:t>
      </w:r>
      <w:r>
        <w:rPr>
          <w:spacing w:val="-16"/>
        </w:rPr>
        <w:t> </w:t>
      </w:r>
      <w:r>
        <w:rPr/>
        <w:t>allows</w:t>
      </w:r>
      <w:r>
        <w:rPr>
          <w:spacing w:val="-16"/>
        </w:rPr>
        <w:t> </w:t>
      </w:r>
      <w:r>
        <w:rPr/>
        <w:t>us</w:t>
      </w:r>
      <w:r>
        <w:rPr>
          <w:spacing w:val="-16"/>
        </w:rPr>
        <w:t> </w:t>
      </w:r>
      <w:r>
        <w:rPr/>
        <w:t>to</w:t>
      </w:r>
      <w:r>
        <w:rPr>
          <w:spacing w:val="-16"/>
        </w:rPr>
        <w:t> </w:t>
      </w:r>
      <w:r>
        <w:rPr/>
        <w:t>push</w:t>
      </w:r>
      <w:r>
        <w:rPr>
          <w:spacing w:val="-16"/>
        </w:rPr>
        <w:t> </w:t>
      </w:r>
      <w:r>
        <w:rPr/>
        <w:t>ahead</w:t>
      </w:r>
      <w:r>
        <w:rPr>
          <w:spacing w:val="-16"/>
        </w:rPr>
        <w:t> </w:t>
      </w:r>
      <w:r>
        <w:rPr/>
        <w:t>with the</w:t>
      </w:r>
      <w:r>
        <w:rPr>
          <w:spacing w:val="-14"/>
        </w:rPr>
        <w:t> </w:t>
      </w:r>
      <w:r>
        <w:rPr/>
        <w:t>consolidation</w:t>
      </w:r>
      <w:r>
        <w:rPr>
          <w:spacing w:val="-15"/>
        </w:rPr>
        <w:t> </w:t>
      </w:r>
      <w:r>
        <w:rPr/>
        <w:t>of</w:t>
      </w:r>
      <w:r>
        <w:rPr>
          <w:spacing w:val="-14"/>
        </w:rPr>
        <w:t> </w:t>
      </w:r>
      <w:r>
        <w:rPr/>
        <w:t>laundry</w:t>
      </w:r>
      <w:r>
        <w:rPr>
          <w:spacing w:val="-14"/>
        </w:rPr>
        <w:t> </w:t>
      </w:r>
      <w:r>
        <w:rPr/>
        <w:t>sites</w:t>
      </w:r>
      <w:r>
        <w:rPr>
          <w:spacing w:val="-14"/>
        </w:rPr>
        <w:t> </w:t>
      </w:r>
      <w:r>
        <w:rPr/>
        <w:t>and</w:t>
      </w:r>
      <w:r>
        <w:rPr>
          <w:spacing w:val="-14"/>
        </w:rPr>
        <w:t> </w:t>
      </w:r>
      <w:r>
        <w:rPr/>
        <w:t>meet</w:t>
      </w:r>
      <w:r>
        <w:rPr>
          <w:spacing w:val="-14"/>
        </w:rPr>
        <w:t> </w:t>
      </w:r>
      <w:r>
        <w:rPr/>
        <w:t>the</w:t>
      </w:r>
      <w:r>
        <w:rPr>
          <w:spacing w:val="-14"/>
        </w:rPr>
        <w:t> </w:t>
      </w:r>
      <w:r>
        <w:rPr/>
        <w:t>required</w:t>
      </w:r>
      <w:r>
        <w:rPr>
          <w:spacing w:val="-14"/>
        </w:rPr>
        <w:t> </w:t>
      </w:r>
      <w:r>
        <w:rPr/>
        <w:t>minimum</w:t>
      </w:r>
      <w:r>
        <w:rPr>
          <w:spacing w:val="-15"/>
        </w:rPr>
        <w:t> </w:t>
      </w:r>
      <w:r>
        <w:rPr/>
        <w:t>standards in</w:t>
      </w:r>
      <w:r>
        <w:rPr>
          <w:spacing w:val="-9"/>
        </w:rPr>
        <w:t> </w:t>
      </w:r>
      <w:r>
        <w:rPr/>
        <w:t>terms</w:t>
      </w:r>
      <w:r>
        <w:rPr>
          <w:spacing w:val="-9"/>
        </w:rPr>
        <w:t> </w:t>
      </w:r>
      <w:r>
        <w:rPr/>
        <w:t>of</w:t>
      </w:r>
      <w:r>
        <w:rPr>
          <w:spacing w:val="-9"/>
        </w:rPr>
        <w:t> </w:t>
      </w:r>
      <w:r>
        <w:rPr/>
        <w:t>hygiene</w:t>
      </w:r>
      <w:r>
        <w:rPr>
          <w:spacing w:val="-9"/>
        </w:rPr>
        <w:t> </w:t>
      </w:r>
      <w:r>
        <w:rPr/>
        <w:t>regulations.</w:t>
      </w:r>
      <w:r>
        <w:rPr>
          <w:spacing w:val="-9"/>
        </w:rPr>
        <w:t> </w:t>
      </w:r>
      <w:r>
        <w:rPr/>
        <w:t>However,</w:t>
      </w:r>
      <w:r>
        <w:rPr>
          <w:spacing w:val="-9"/>
        </w:rPr>
        <w:t> </w:t>
      </w:r>
      <w:r>
        <w:rPr/>
        <w:t>this</w:t>
      </w:r>
      <w:r>
        <w:rPr>
          <w:spacing w:val="-9"/>
        </w:rPr>
        <w:t> </w:t>
      </w:r>
      <w:r>
        <w:rPr/>
        <w:t>will</w:t>
      </w:r>
      <w:r>
        <w:rPr>
          <w:spacing w:val="-9"/>
        </w:rPr>
        <w:t> </w:t>
      </w:r>
      <w:r>
        <w:rPr/>
        <w:t>not</w:t>
      </w:r>
      <w:r>
        <w:rPr>
          <w:spacing w:val="-9"/>
        </w:rPr>
        <w:t> </w:t>
      </w:r>
      <w:r>
        <w:rPr/>
        <w:t>deliver</w:t>
      </w:r>
      <w:r>
        <w:rPr>
          <w:spacing w:val="-9"/>
        </w:rPr>
        <w:t> </w:t>
      </w:r>
      <w:r>
        <w:rPr/>
        <w:t>the</w:t>
      </w:r>
      <w:r>
        <w:rPr>
          <w:spacing w:val="-9"/>
        </w:rPr>
        <w:t> </w:t>
      </w:r>
      <w:r>
        <w:rPr/>
        <w:t>significant changes planned to support the decarbonisation agenda.</w:t>
      </w:r>
    </w:p>
    <w:p>
      <w:pPr>
        <w:pStyle w:val="BodyText"/>
      </w:pPr>
    </w:p>
    <w:p>
      <w:pPr>
        <w:spacing w:before="0"/>
        <w:ind w:left="880" w:right="0" w:firstLine="0"/>
        <w:jc w:val="left"/>
        <w:rPr>
          <w:b/>
          <w:sz w:val="24"/>
        </w:rPr>
      </w:pPr>
      <w:r>
        <w:rPr>
          <w:b/>
          <w:spacing w:val="-2"/>
          <w:sz w:val="24"/>
        </w:rPr>
        <w:t>Decarbonisation</w:t>
      </w:r>
    </w:p>
    <w:p>
      <w:pPr>
        <w:spacing w:after="0"/>
        <w:jc w:val="left"/>
        <w:rPr>
          <w:sz w:val="24"/>
        </w:rPr>
        <w:sectPr>
          <w:pgSz w:w="11910" w:h="16840"/>
          <w:pgMar w:header="0" w:footer="976" w:top="1260" w:bottom="1160" w:left="380" w:right="559"/>
        </w:sectPr>
      </w:pPr>
    </w:p>
    <w:p>
      <w:pPr>
        <w:pStyle w:val="BodyText"/>
        <w:spacing w:before="74"/>
        <w:ind w:left="880" w:right="901"/>
        <w:jc w:val="both"/>
      </w:pPr>
      <w:r>
        <w:rPr/>
        <w:t>We are working with Welsh Government on decarbonisation following the allocation</w:t>
      </w:r>
      <w:r>
        <w:rPr>
          <w:spacing w:val="-8"/>
        </w:rPr>
        <w:t> </w:t>
      </w:r>
      <w:r>
        <w:rPr/>
        <w:t>of</w:t>
      </w:r>
      <w:r>
        <w:rPr>
          <w:spacing w:val="-8"/>
        </w:rPr>
        <w:t> </w:t>
      </w:r>
      <w:r>
        <w:rPr/>
        <w:t>funding</w:t>
      </w:r>
      <w:r>
        <w:rPr>
          <w:spacing w:val="-8"/>
        </w:rPr>
        <w:t> </w:t>
      </w:r>
      <w:r>
        <w:rPr/>
        <w:t>to</w:t>
      </w:r>
      <w:r>
        <w:rPr>
          <w:spacing w:val="-8"/>
        </w:rPr>
        <w:t> </w:t>
      </w:r>
      <w:r>
        <w:rPr/>
        <w:t>support</w:t>
      </w:r>
      <w:r>
        <w:rPr>
          <w:spacing w:val="-8"/>
        </w:rPr>
        <w:t> </w:t>
      </w:r>
      <w:r>
        <w:rPr/>
        <w:t>the</w:t>
      </w:r>
      <w:r>
        <w:rPr>
          <w:spacing w:val="-8"/>
        </w:rPr>
        <w:t> </w:t>
      </w:r>
      <w:r>
        <w:rPr/>
        <w:t>programme.</w:t>
      </w:r>
      <w:r>
        <w:rPr>
          <w:spacing w:val="-8"/>
        </w:rPr>
        <w:t> </w:t>
      </w:r>
      <w:r>
        <w:rPr/>
        <w:t>A</w:t>
      </w:r>
      <w:r>
        <w:rPr>
          <w:spacing w:val="-8"/>
        </w:rPr>
        <w:t> </w:t>
      </w:r>
      <w:r>
        <w:rPr/>
        <w:t>number</w:t>
      </w:r>
      <w:r>
        <w:rPr>
          <w:spacing w:val="-8"/>
        </w:rPr>
        <w:t> </w:t>
      </w:r>
      <w:r>
        <w:rPr/>
        <w:t>of</w:t>
      </w:r>
      <w:r>
        <w:rPr>
          <w:spacing w:val="-8"/>
        </w:rPr>
        <w:t> </w:t>
      </w:r>
      <w:r>
        <w:rPr/>
        <w:t>positions</w:t>
      </w:r>
      <w:r>
        <w:rPr>
          <w:spacing w:val="-8"/>
        </w:rPr>
        <w:t> </w:t>
      </w:r>
      <w:r>
        <w:rPr/>
        <w:t>have already been appointed to, and plans are in place with Welsh Government to fill the remaining vacancies.</w:t>
      </w:r>
    </w:p>
    <w:p>
      <w:pPr>
        <w:pStyle w:val="BodyText"/>
        <w:spacing w:before="12"/>
        <w:rPr>
          <w:sz w:val="23"/>
        </w:rPr>
      </w:pPr>
    </w:p>
    <w:p>
      <w:pPr>
        <w:spacing w:before="0"/>
        <w:ind w:left="880" w:right="0" w:firstLine="0"/>
        <w:jc w:val="left"/>
        <w:rPr>
          <w:b/>
          <w:sz w:val="24"/>
        </w:rPr>
      </w:pPr>
      <w:r>
        <w:rPr>
          <w:b/>
          <w:spacing w:val="-2"/>
          <w:sz w:val="24"/>
        </w:rPr>
        <w:t>Premises</w:t>
      </w:r>
    </w:p>
    <w:p>
      <w:pPr>
        <w:pStyle w:val="BodyText"/>
        <w:rPr>
          <w:b/>
        </w:rPr>
      </w:pPr>
    </w:p>
    <w:p>
      <w:pPr>
        <w:pStyle w:val="BodyText"/>
        <w:ind w:left="880" w:right="901"/>
        <w:jc w:val="both"/>
        <w:rPr>
          <w:b/>
        </w:rPr>
      </w:pPr>
      <w:r>
        <w:rPr/>
        <w:t>Issues with Reinforced Autoclaved Aerated Concrete (RAAC) have been noted at Brecon House in Mamhilad affecting our Primary Care Directorate. RAAC was used between the 1960s and 1990s in schools and hospitals to speed up the construction process, but there is a high volume of air within RAAC, making it vulnerable to moisture ingress and losing strength. This is particularly</w:t>
      </w:r>
      <w:r>
        <w:rPr>
          <w:spacing w:val="-9"/>
        </w:rPr>
        <w:t> </w:t>
      </w:r>
      <w:r>
        <w:rPr/>
        <w:t>affecting</w:t>
      </w:r>
      <w:r>
        <w:rPr>
          <w:spacing w:val="-9"/>
        </w:rPr>
        <w:t> </w:t>
      </w:r>
      <w:r>
        <w:rPr/>
        <w:t>the</w:t>
      </w:r>
      <w:r>
        <w:rPr>
          <w:spacing w:val="-9"/>
        </w:rPr>
        <w:t> </w:t>
      </w:r>
      <w:r>
        <w:rPr/>
        <w:t>roof</w:t>
      </w:r>
      <w:r>
        <w:rPr>
          <w:spacing w:val="-9"/>
        </w:rPr>
        <w:t> </w:t>
      </w:r>
      <w:r>
        <w:rPr/>
        <w:t>of</w:t>
      </w:r>
      <w:r>
        <w:rPr>
          <w:spacing w:val="-9"/>
        </w:rPr>
        <w:t> </w:t>
      </w:r>
      <w:r>
        <w:rPr/>
        <w:t>Brecon</w:t>
      </w:r>
      <w:r>
        <w:rPr>
          <w:spacing w:val="-9"/>
        </w:rPr>
        <w:t> </w:t>
      </w:r>
      <w:r>
        <w:rPr/>
        <w:t>House</w:t>
      </w:r>
      <w:r>
        <w:rPr>
          <w:spacing w:val="-9"/>
        </w:rPr>
        <w:t> </w:t>
      </w:r>
      <w:r>
        <w:rPr/>
        <w:t>where</w:t>
      </w:r>
      <w:r>
        <w:rPr>
          <w:spacing w:val="-9"/>
        </w:rPr>
        <w:t> </w:t>
      </w:r>
      <w:r>
        <w:rPr/>
        <w:t>there</w:t>
      </w:r>
      <w:r>
        <w:rPr>
          <w:spacing w:val="-9"/>
        </w:rPr>
        <w:t> </w:t>
      </w:r>
      <w:r>
        <w:rPr/>
        <w:t>are</w:t>
      </w:r>
      <w:r>
        <w:rPr>
          <w:spacing w:val="-9"/>
        </w:rPr>
        <w:t> </w:t>
      </w:r>
      <w:r>
        <w:rPr/>
        <w:t>regular</w:t>
      </w:r>
      <w:r>
        <w:rPr>
          <w:spacing w:val="-9"/>
        </w:rPr>
        <w:t> </w:t>
      </w:r>
      <w:r>
        <w:rPr/>
        <w:t>leaks and some falls of concrete. Immediate safety measures have been put in place to protect staff, and we are in discussion with the Landlord to move out of this building at the end of the current financial year, and to relocate in a building that is not affected by RAAC. RAAC has also been identified in Companies House but currently the state of that building does not give any cause for concern</w:t>
      </w:r>
      <w:r>
        <w:rPr>
          <w:b/>
        </w:rPr>
        <w:t>.</w:t>
      </w:r>
    </w:p>
    <w:p>
      <w:pPr>
        <w:pStyle w:val="BodyText"/>
        <w:rPr>
          <w:b/>
        </w:rPr>
      </w:pPr>
    </w:p>
    <w:p>
      <w:pPr>
        <w:spacing w:before="0"/>
        <w:ind w:left="880" w:right="0" w:firstLine="0"/>
        <w:jc w:val="left"/>
        <w:rPr>
          <w:b/>
          <w:sz w:val="24"/>
        </w:rPr>
      </w:pPr>
      <w:r>
        <w:rPr>
          <w:b/>
          <w:sz w:val="24"/>
        </w:rPr>
        <w:t>Oracle</w:t>
      </w:r>
      <w:r>
        <w:rPr>
          <w:b/>
          <w:spacing w:val="-4"/>
          <w:sz w:val="24"/>
        </w:rPr>
        <w:t> </w:t>
      </w:r>
      <w:r>
        <w:rPr>
          <w:b/>
          <w:sz w:val="24"/>
        </w:rPr>
        <w:t>Upgrade</w:t>
      </w:r>
      <w:r>
        <w:rPr>
          <w:b/>
          <w:spacing w:val="-3"/>
          <w:sz w:val="24"/>
        </w:rPr>
        <w:t> </w:t>
      </w:r>
      <w:r>
        <w:rPr>
          <w:b/>
          <w:sz w:val="24"/>
        </w:rPr>
        <w:t>and</w:t>
      </w:r>
      <w:r>
        <w:rPr>
          <w:b/>
          <w:spacing w:val="-3"/>
          <w:sz w:val="24"/>
        </w:rPr>
        <w:t> </w:t>
      </w:r>
      <w:r>
        <w:rPr>
          <w:b/>
          <w:sz w:val="24"/>
        </w:rPr>
        <w:t>reporting</w:t>
      </w:r>
      <w:r>
        <w:rPr>
          <w:b/>
          <w:spacing w:val="-4"/>
          <w:sz w:val="24"/>
        </w:rPr>
        <w:t> tool</w:t>
      </w:r>
    </w:p>
    <w:p>
      <w:pPr>
        <w:pStyle w:val="BodyText"/>
        <w:rPr>
          <w:b/>
        </w:rPr>
      </w:pPr>
    </w:p>
    <w:p>
      <w:pPr>
        <w:pStyle w:val="BodyText"/>
        <w:ind w:left="880" w:right="1006"/>
      </w:pPr>
      <w:r>
        <w:rPr/>
        <w:t>NWSSP</w:t>
      </w:r>
      <w:r>
        <w:rPr>
          <w:spacing w:val="-3"/>
        </w:rPr>
        <w:t> </w:t>
      </w:r>
      <w:r>
        <w:rPr/>
        <w:t>run</w:t>
      </w:r>
      <w:r>
        <w:rPr>
          <w:spacing w:val="-3"/>
        </w:rPr>
        <w:t> </w:t>
      </w:r>
      <w:r>
        <w:rPr/>
        <w:t>all</w:t>
      </w:r>
      <w:r>
        <w:rPr>
          <w:spacing w:val="-4"/>
        </w:rPr>
        <w:t> </w:t>
      </w:r>
      <w:r>
        <w:rPr/>
        <w:t>Wales</w:t>
      </w:r>
      <w:r>
        <w:rPr>
          <w:spacing w:val="-3"/>
        </w:rPr>
        <w:t> </w:t>
      </w:r>
      <w:r>
        <w:rPr/>
        <w:t>Oracle</w:t>
      </w:r>
      <w:r>
        <w:rPr>
          <w:spacing w:val="-4"/>
        </w:rPr>
        <w:t> </w:t>
      </w:r>
      <w:r>
        <w:rPr/>
        <w:t>Procurement</w:t>
      </w:r>
      <w:r>
        <w:rPr>
          <w:spacing w:val="-3"/>
        </w:rPr>
        <w:t> </w:t>
      </w:r>
      <w:r>
        <w:rPr/>
        <w:t>and</w:t>
      </w:r>
      <w:r>
        <w:rPr>
          <w:spacing w:val="-3"/>
        </w:rPr>
        <w:t> </w:t>
      </w:r>
      <w:r>
        <w:rPr/>
        <w:t>Finance</w:t>
      </w:r>
      <w:r>
        <w:rPr>
          <w:spacing w:val="-4"/>
        </w:rPr>
        <w:t> </w:t>
      </w:r>
      <w:r>
        <w:rPr/>
        <w:t>system.</w:t>
      </w:r>
      <w:r>
        <w:rPr>
          <w:spacing w:val="40"/>
        </w:rPr>
        <w:t> </w:t>
      </w:r>
      <w:r>
        <w:rPr/>
        <w:t>Following on from the decision made in September 2022 to migrate the All-Wales Oracle system into the cloud, there is requirement to also replace the current reporting tool (Qlikview).</w:t>
      </w:r>
    </w:p>
    <w:p>
      <w:pPr>
        <w:pStyle w:val="BodyText"/>
      </w:pPr>
    </w:p>
    <w:p>
      <w:pPr>
        <w:pStyle w:val="BodyText"/>
        <w:ind w:left="880" w:right="903"/>
        <w:jc w:val="both"/>
        <w:rPr>
          <w:b/>
        </w:rPr>
      </w:pPr>
      <w:r>
        <w:rPr/>
        <w:t>Considerable work has been undertaken in recent months by the NWSSP Central team, working in collaboration with Health Board and Trust colleagues,</w:t>
      </w:r>
      <w:r>
        <w:rPr>
          <w:spacing w:val="-1"/>
        </w:rPr>
        <w:t> </w:t>
      </w:r>
      <w:r>
        <w:rPr/>
        <w:t>to</w:t>
      </w:r>
      <w:r>
        <w:rPr>
          <w:spacing w:val="-1"/>
        </w:rPr>
        <w:t> </w:t>
      </w:r>
      <w:r>
        <w:rPr/>
        <w:t>identify</w:t>
      </w:r>
      <w:r>
        <w:rPr>
          <w:spacing w:val="-2"/>
        </w:rPr>
        <w:t> </w:t>
      </w:r>
      <w:r>
        <w:rPr/>
        <w:t>a</w:t>
      </w:r>
      <w:r>
        <w:rPr>
          <w:spacing w:val="-1"/>
        </w:rPr>
        <w:t> </w:t>
      </w:r>
      <w:r>
        <w:rPr/>
        <w:t>replacement.</w:t>
      </w:r>
      <w:r>
        <w:rPr>
          <w:spacing w:val="-1"/>
        </w:rPr>
        <w:t> </w:t>
      </w:r>
      <w:r>
        <w:rPr/>
        <w:t>This</w:t>
      </w:r>
      <w:r>
        <w:rPr>
          <w:spacing w:val="-1"/>
        </w:rPr>
        <w:t> </w:t>
      </w:r>
      <w:r>
        <w:rPr/>
        <w:t>work</w:t>
      </w:r>
      <w:r>
        <w:rPr>
          <w:spacing w:val="-2"/>
        </w:rPr>
        <w:t> </w:t>
      </w:r>
      <w:r>
        <w:rPr/>
        <w:t>has</w:t>
      </w:r>
      <w:r>
        <w:rPr>
          <w:spacing w:val="-1"/>
        </w:rPr>
        <w:t> </w:t>
      </w:r>
      <w:r>
        <w:rPr/>
        <w:t>identified</w:t>
      </w:r>
      <w:r>
        <w:rPr>
          <w:spacing w:val="-2"/>
        </w:rPr>
        <w:t> </w:t>
      </w:r>
      <w:r>
        <w:rPr/>
        <w:t>two</w:t>
      </w:r>
      <w:r>
        <w:rPr>
          <w:spacing w:val="-1"/>
        </w:rPr>
        <w:t> </w:t>
      </w:r>
      <w:r>
        <w:rPr/>
        <w:t>potential solutions,</w:t>
      </w:r>
      <w:r>
        <w:rPr>
          <w:spacing w:val="-12"/>
        </w:rPr>
        <w:t> </w:t>
      </w:r>
      <w:r>
        <w:rPr/>
        <w:t>both</w:t>
      </w:r>
      <w:r>
        <w:rPr>
          <w:spacing w:val="-12"/>
        </w:rPr>
        <w:t> </w:t>
      </w:r>
      <w:r>
        <w:rPr/>
        <w:t>of</w:t>
      </w:r>
      <w:r>
        <w:rPr>
          <w:spacing w:val="-12"/>
        </w:rPr>
        <w:t> </w:t>
      </w:r>
      <w:r>
        <w:rPr/>
        <w:t>which</w:t>
      </w:r>
      <w:r>
        <w:rPr>
          <w:spacing w:val="-12"/>
        </w:rPr>
        <w:t> </w:t>
      </w:r>
      <w:r>
        <w:rPr/>
        <w:t>will</w:t>
      </w:r>
      <w:r>
        <w:rPr>
          <w:spacing w:val="-12"/>
        </w:rPr>
        <w:t> </w:t>
      </w:r>
      <w:r>
        <w:rPr/>
        <w:t>offer</w:t>
      </w:r>
      <w:r>
        <w:rPr>
          <w:spacing w:val="-12"/>
        </w:rPr>
        <w:t> </w:t>
      </w:r>
      <w:r>
        <w:rPr/>
        <w:t>a</w:t>
      </w:r>
      <w:r>
        <w:rPr>
          <w:spacing w:val="-12"/>
        </w:rPr>
        <w:t> </w:t>
      </w:r>
      <w:r>
        <w:rPr/>
        <w:t>significant</w:t>
      </w:r>
      <w:r>
        <w:rPr>
          <w:spacing w:val="-11"/>
        </w:rPr>
        <w:t> </w:t>
      </w:r>
      <w:r>
        <w:rPr/>
        <w:t>improvement</w:t>
      </w:r>
      <w:r>
        <w:rPr>
          <w:spacing w:val="-11"/>
        </w:rPr>
        <w:t> </w:t>
      </w:r>
      <w:r>
        <w:rPr/>
        <w:t>over</w:t>
      </w:r>
      <w:r>
        <w:rPr>
          <w:spacing w:val="-12"/>
        </w:rPr>
        <w:t> </w:t>
      </w:r>
      <w:r>
        <w:rPr/>
        <w:t>the</w:t>
      </w:r>
      <w:r>
        <w:rPr>
          <w:spacing w:val="-12"/>
        </w:rPr>
        <w:t> </w:t>
      </w:r>
      <w:r>
        <w:rPr/>
        <w:t>current Qlikview</w:t>
      </w:r>
      <w:r>
        <w:rPr>
          <w:spacing w:val="-17"/>
        </w:rPr>
        <w:t> </w:t>
      </w:r>
      <w:r>
        <w:rPr/>
        <w:t>system.</w:t>
      </w:r>
      <w:r>
        <w:rPr>
          <w:spacing w:val="-17"/>
        </w:rPr>
        <w:t> </w:t>
      </w:r>
      <w:r>
        <w:rPr/>
        <w:t>NHS</w:t>
      </w:r>
      <w:r>
        <w:rPr>
          <w:spacing w:val="-17"/>
        </w:rPr>
        <w:t> </w:t>
      </w:r>
      <w:r>
        <w:rPr/>
        <w:t>bodies</w:t>
      </w:r>
      <w:r>
        <w:rPr>
          <w:spacing w:val="-17"/>
        </w:rPr>
        <w:t> </w:t>
      </w:r>
      <w:r>
        <w:rPr/>
        <w:t>have</w:t>
      </w:r>
      <w:r>
        <w:rPr>
          <w:spacing w:val="-17"/>
        </w:rPr>
        <w:t> </w:t>
      </w:r>
      <w:r>
        <w:rPr/>
        <w:t>not</w:t>
      </w:r>
      <w:r>
        <w:rPr>
          <w:spacing w:val="-17"/>
        </w:rPr>
        <w:t> </w:t>
      </w:r>
      <w:r>
        <w:rPr/>
        <w:t>as</w:t>
      </w:r>
      <w:r>
        <w:rPr>
          <w:spacing w:val="-17"/>
        </w:rPr>
        <w:t> </w:t>
      </w:r>
      <w:r>
        <w:rPr/>
        <w:t>yet</w:t>
      </w:r>
      <w:r>
        <w:rPr>
          <w:spacing w:val="-17"/>
        </w:rPr>
        <w:t> </w:t>
      </w:r>
      <w:r>
        <w:rPr/>
        <w:t>been</w:t>
      </w:r>
      <w:r>
        <w:rPr>
          <w:spacing w:val="-17"/>
        </w:rPr>
        <w:t> </w:t>
      </w:r>
      <w:r>
        <w:rPr/>
        <w:t>able</w:t>
      </w:r>
      <w:r>
        <w:rPr>
          <w:spacing w:val="-17"/>
        </w:rPr>
        <w:t> </w:t>
      </w:r>
      <w:r>
        <w:rPr/>
        <w:t>to</w:t>
      </w:r>
      <w:r>
        <w:rPr>
          <w:spacing w:val="-17"/>
        </w:rPr>
        <w:t> </w:t>
      </w:r>
      <w:r>
        <w:rPr/>
        <w:t>reach</w:t>
      </w:r>
      <w:r>
        <w:rPr>
          <w:spacing w:val="-17"/>
        </w:rPr>
        <w:t> </w:t>
      </w:r>
      <w:r>
        <w:rPr/>
        <w:t>a</w:t>
      </w:r>
      <w:r>
        <w:rPr>
          <w:spacing w:val="-17"/>
        </w:rPr>
        <w:t> </w:t>
      </w:r>
      <w:r>
        <w:rPr/>
        <w:t>consensus on</w:t>
      </w:r>
      <w:r>
        <w:rPr>
          <w:spacing w:val="-21"/>
        </w:rPr>
        <w:t> </w:t>
      </w:r>
      <w:r>
        <w:rPr/>
        <w:t>selecting</w:t>
      </w:r>
      <w:r>
        <w:rPr>
          <w:spacing w:val="-20"/>
        </w:rPr>
        <w:t> </w:t>
      </w:r>
      <w:r>
        <w:rPr/>
        <w:t>the</w:t>
      </w:r>
      <w:r>
        <w:rPr>
          <w:spacing w:val="-20"/>
        </w:rPr>
        <w:t> </w:t>
      </w:r>
      <w:r>
        <w:rPr/>
        <w:t>replacement.</w:t>
      </w:r>
      <w:r>
        <w:rPr>
          <w:spacing w:val="-21"/>
        </w:rPr>
        <w:t> </w:t>
      </w:r>
      <w:r>
        <w:rPr/>
        <w:t>As</w:t>
      </w:r>
      <w:r>
        <w:rPr>
          <w:spacing w:val="-20"/>
        </w:rPr>
        <w:t> </w:t>
      </w:r>
      <w:r>
        <w:rPr/>
        <w:t>a</w:t>
      </w:r>
      <w:r>
        <w:rPr>
          <w:spacing w:val="-20"/>
        </w:rPr>
        <w:t> </w:t>
      </w:r>
      <w:r>
        <w:rPr/>
        <w:t>consequence</w:t>
      </w:r>
      <w:r>
        <w:rPr>
          <w:spacing w:val="-21"/>
        </w:rPr>
        <w:t> </w:t>
      </w:r>
      <w:r>
        <w:rPr/>
        <w:t>a</w:t>
      </w:r>
      <w:r>
        <w:rPr>
          <w:spacing w:val="-21"/>
        </w:rPr>
        <w:t> </w:t>
      </w:r>
      <w:r>
        <w:rPr/>
        <w:t>sub-group</w:t>
      </w:r>
      <w:r>
        <w:rPr>
          <w:spacing w:val="-21"/>
        </w:rPr>
        <w:t> </w:t>
      </w:r>
      <w:r>
        <w:rPr/>
        <w:t>of</w:t>
      </w:r>
      <w:r>
        <w:rPr>
          <w:spacing w:val="-21"/>
        </w:rPr>
        <w:t> </w:t>
      </w:r>
      <w:r>
        <w:rPr/>
        <w:t>the</w:t>
      </w:r>
      <w:r>
        <w:rPr>
          <w:spacing w:val="-21"/>
        </w:rPr>
        <w:t> </w:t>
      </w:r>
      <w:r>
        <w:rPr/>
        <w:t>All-Wales STRAD group, working with Procurement colleagues, have developed</w:t>
      </w:r>
      <w:r>
        <w:rPr>
          <w:spacing w:val="40"/>
        </w:rPr>
        <w:t> </w:t>
      </w:r>
      <w:r>
        <w:rPr/>
        <w:t>a robust evaluation model to select the replacement</w:t>
      </w:r>
      <w:r>
        <w:rPr>
          <w:b/>
        </w:rPr>
        <w:t>.</w:t>
      </w:r>
    </w:p>
    <w:p>
      <w:pPr>
        <w:pStyle w:val="BodyText"/>
        <w:rPr>
          <w:b/>
        </w:rPr>
      </w:pPr>
    </w:p>
    <w:p>
      <w:pPr>
        <w:pStyle w:val="BodyText"/>
        <w:ind w:left="880" w:right="900"/>
        <w:jc w:val="both"/>
      </w:pPr>
      <w:r>
        <w:rPr/>
        <w:t>Health Organisations and Procurement have been heavily engaged in the assessments</w:t>
      </w:r>
      <w:r>
        <w:rPr>
          <w:spacing w:val="-10"/>
        </w:rPr>
        <w:t> </w:t>
      </w:r>
      <w:r>
        <w:rPr/>
        <w:t>and</w:t>
      </w:r>
      <w:r>
        <w:rPr>
          <w:spacing w:val="-10"/>
        </w:rPr>
        <w:t> </w:t>
      </w:r>
      <w:r>
        <w:rPr/>
        <w:t>discussions</w:t>
      </w:r>
      <w:r>
        <w:rPr>
          <w:spacing w:val="-10"/>
        </w:rPr>
        <w:t> </w:t>
      </w:r>
      <w:r>
        <w:rPr/>
        <w:t>at</w:t>
      </w:r>
      <w:r>
        <w:rPr>
          <w:spacing w:val="-10"/>
        </w:rPr>
        <w:t> </w:t>
      </w:r>
      <w:r>
        <w:rPr/>
        <w:t>all</w:t>
      </w:r>
      <w:r>
        <w:rPr>
          <w:spacing w:val="-10"/>
        </w:rPr>
        <w:t> </w:t>
      </w:r>
      <w:r>
        <w:rPr/>
        <w:t>levels,</w:t>
      </w:r>
      <w:r>
        <w:rPr>
          <w:spacing w:val="-10"/>
        </w:rPr>
        <w:t> </w:t>
      </w:r>
      <w:r>
        <w:rPr/>
        <w:t>and</w:t>
      </w:r>
      <w:r>
        <w:rPr>
          <w:spacing w:val="-10"/>
        </w:rPr>
        <w:t> </w:t>
      </w:r>
      <w:r>
        <w:rPr/>
        <w:t>more</w:t>
      </w:r>
      <w:r>
        <w:rPr>
          <w:spacing w:val="-10"/>
        </w:rPr>
        <w:t> </w:t>
      </w:r>
      <w:r>
        <w:rPr/>
        <w:t>recently,</w:t>
      </w:r>
      <w:r>
        <w:rPr>
          <w:spacing w:val="-10"/>
        </w:rPr>
        <w:t> </w:t>
      </w:r>
      <w:r>
        <w:rPr/>
        <w:t>a</w:t>
      </w:r>
      <w:r>
        <w:rPr>
          <w:spacing w:val="-10"/>
        </w:rPr>
        <w:t> </w:t>
      </w:r>
      <w:r>
        <w:rPr/>
        <w:t>presentation was made to the Deputy Directors of Finance on the 13</w:t>
      </w:r>
      <w:r>
        <w:rPr>
          <w:position w:val="7"/>
          <w:sz w:val="16"/>
        </w:rPr>
        <w:t>th</w:t>
      </w:r>
      <w:r>
        <w:rPr>
          <w:spacing w:val="40"/>
          <w:position w:val="7"/>
          <w:sz w:val="16"/>
        </w:rPr>
        <w:t> </w:t>
      </w:r>
      <w:r>
        <w:rPr/>
        <w:t>January.</w:t>
      </w:r>
      <w:r>
        <w:rPr>
          <w:spacing w:val="40"/>
        </w:rPr>
        <w:t> </w:t>
      </w:r>
      <w:r>
        <w:rPr/>
        <w:t>It is expected STRAD will review the outcomes of the task finish group on the 17</w:t>
      </w:r>
      <w:r>
        <w:rPr>
          <w:position w:val="7"/>
          <w:sz w:val="16"/>
        </w:rPr>
        <w:t>th</w:t>
      </w:r>
      <w:r>
        <w:rPr>
          <w:spacing w:val="38"/>
          <w:position w:val="7"/>
          <w:sz w:val="16"/>
        </w:rPr>
        <w:t> </w:t>
      </w:r>
      <w:r>
        <w:rPr/>
        <w:t>January and further soundings will be taken at the All-Wales Directors of Finance group.</w:t>
      </w:r>
    </w:p>
    <w:p>
      <w:pPr>
        <w:pStyle w:val="BodyText"/>
      </w:pPr>
    </w:p>
    <w:p>
      <w:pPr>
        <w:pStyle w:val="BodyText"/>
        <w:ind w:left="880" w:right="902"/>
        <w:jc w:val="both"/>
      </w:pPr>
      <w:r>
        <w:rPr/>
        <w:t>It is vital that a decision is made promptly to avoid introducing significant risk to the Oracle cloud migration, by removing the safety net of a contingency date prior to the expiry of the warranty on the FMS Hardware.</w:t>
      </w:r>
    </w:p>
    <w:p>
      <w:pPr>
        <w:pStyle w:val="BodyText"/>
      </w:pPr>
    </w:p>
    <w:p>
      <w:pPr>
        <w:spacing w:before="0"/>
        <w:ind w:left="880" w:right="0" w:firstLine="0"/>
        <w:jc w:val="left"/>
        <w:rPr>
          <w:b/>
          <w:sz w:val="24"/>
        </w:rPr>
      </w:pPr>
      <w:r>
        <w:rPr>
          <w:b/>
          <w:sz w:val="24"/>
        </w:rPr>
        <w:t>Energy</w:t>
      </w:r>
      <w:r>
        <w:rPr>
          <w:b/>
          <w:spacing w:val="-7"/>
          <w:sz w:val="24"/>
        </w:rPr>
        <w:t> </w:t>
      </w:r>
      <w:r>
        <w:rPr>
          <w:b/>
          <w:sz w:val="24"/>
        </w:rPr>
        <w:t>Arrangements</w:t>
      </w:r>
      <w:r>
        <w:rPr>
          <w:b/>
          <w:spacing w:val="-7"/>
          <w:sz w:val="24"/>
        </w:rPr>
        <w:t> </w:t>
      </w:r>
      <w:r>
        <w:rPr>
          <w:b/>
          <w:spacing w:val="-2"/>
          <w:sz w:val="24"/>
        </w:rPr>
        <w:t>Update</w:t>
      </w:r>
    </w:p>
    <w:p>
      <w:pPr>
        <w:spacing w:after="0"/>
        <w:jc w:val="left"/>
        <w:rPr>
          <w:sz w:val="24"/>
        </w:rPr>
        <w:sectPr>
          <w:pgSz w:w="11910" w:h="16840"/>
          <w:pgMar w:header="0" w:footer="976" w:top="1260" w:bottom="1160" w:left="380" w:right="559"/>
        </w:sectPr>
      </w:pPr>
    </w:p>
    <w:p>
      <w:pPr>
        <w:pStyle w:val="BodyText"/>
        <w:spacing w:before="85"/>
        <w:ind w:left="880" w:right="903"/>
        <w:jc w:val="both"/>
      </w:pPr>
      <w:r>
        <w:rPr/>
        <w:t>Procurement for All Wales Energy contracts is undertaken by NWSSP and purchasing decisions are made through the Energy Price Management Risk Group (EPMRG). The EPMRG arrangements have been in place since 2005 and pre-date the current NHS organisational structure.</w:t>
      </w:r>
    </w:p>
    <w:p>
      <w:pPr>
        <w:pStyle w:val="BodyText"/>
      </w:pPr>
    </w:p>
    <w:p>
      <w:pPr>
        <w:pStyle w:val="BodyText"/>
        <w:ind w:left="880" w:right="901"/>
        <w:jc w:val="both"/>
      </w:pPr>
      <w:r>
        <w:rPr/>
        <w:t>In June 2022 our Energy supplier announced that they were not taking any more business in the industrial and commercial exceptional energy price increases. This announcement alongside the volatility in energy markets experienced during 2022/23, resulted in a review being undertaken by the All Wales Directors of Finance group to consider current arrangements and how they may be strengthened and made more sustainable for the future. The review has identified a number of proposals for consideration including the introduction of new management arrangements and establishing a new and</w:t>
      </w:r>
      <w:r>
        <w:rPr>
          <w:spacing w:val="-13"/>
        </w:rPr>
        <w:t> </w:t>
      </w:r>
      <w:r>
        <w:rPr/>
        <w:t>compliant</w:t>
      </w:r>
      <w:r>
        <w:rPr>
          <w:spacing w:val="-13"/>
        </w:rPr>
        <w:t> </w:t>
      </w:r>
      <w:r>
        <w:rPr/>
        <w:t>procurement</w:t>
      </w:r>
      <w:r>
        <w:rPr>
          <w:spacing w:val="-13"/>
        </w:rPr>
        <w:t> </w:t>
      </w:r>
      <w:r>
        <w:rPr/>
        <w:t>arrangement</w:t>
      </w:r>
      <w:r>
        <w:rPr>
          <w:spacing w:val="-13"/>
        </w:rPr>
        <w:t> </w:t>
      </w:r>
      <w:r>
        <w:rPr/>
        <w:t>with</w:t>
      </w:r>
      <w:r>
        <w:rPr>
          <w:spacing w:val="-13"/>
        </w:rPr>
        <w:t> </w:t>
      </w:r>
      <w:r>
        <w:rPr/>
        <w:t>a</w:t>
      </w:r>
      <w:r>
        <w:rPr>
          <w:spacing w:val="-13"/>
        </w:rPr>
        <w:t> </w:t>
      </w:r>
      <w:r>
        <w:rPr/>
        <w:t>new</w:t>
      </w:r>
      <w:r>
        <w:rPr>
          <w:spacing w:val="-13"/>
        </w:rPr>
        <w:t> </w:t>
      </w:r>
      <w:r>
        <w:rPr/>
        <w:t>energy</w:t>
      </w:r>
      <w:r>
        <w:rPr>
          <w:spacing w:val="-13"/>
        </w:rPr>
        <w:t> </w:t>
      </w:r>
      <w:r>
        <w:rPr/>
        <w:t>provider.</w:t>
      </w:r>
      <w:r>
        <w:rPr>
          <w:spacing w:val="-13"/>
        </w:rPr>
        <w:t> </w:t>
      </w:r>
      <w:r>
        <w:rPr/>
        <w:t>These proposals are to be considered by the All Wales Directors of Finance group and if implemented will have implications on NWSSP. A further update will be provided at the next Committee meeting in March 2022.</w:t>
      </w:r>
    </w:p>
    <w:p>
      <w:pPr>
        <w:pStyle w:val="BodyText"/>
      </w:pPr>
    </w:p>
    <w:p>
      <w:pPr>
        <w:spacing w:before="0"/>
        <w:ind w:left="880" w:right="0" w:firstLine="0"/>
        <w:jc w:val="both"/>
        <w:rPr>
          <w:b/>
          <w:sz w:val="24"/>
        </w:rPr>
      </w:pPr>
      <w:r>
        <w:rPr>
          <w:b/>
          <w:sz w:val="24"/>
        </w:rPr>
        <w:t>Corporate</w:t>
      </w:r>
      <w:r>
        <w:rPr>
          <w:b/>
          <w:spacing w:val="-8"/>
          <w:sz w:val="24"/>
        </w:rPr>
        <w:t> </w:t>
      </w:r>
      <w:r>
        <w:rPr>
          <w:b/>
          <w:sz w:val="24"/>
        </w:rPr>
        <w:t>Risk</w:t>
      </w:r>
      <w:r>
        <w:rPr>
          <w:b/>
          <w:spacing w:val="-5"/>
          <w:sz w:val="24"/>
        </w:rPr>
        <w:t> </w:t>
      </w:r>
      <w:r>
        <w:rPr>
          <w:b/>
          <w:spacing w:val="-2"/>
          <w:sz w:val="24"/>
        </w:rPr>
        <w:t>Register</w:t>
      </w:r>
    </w:p>
    <w:p>
      <w:pPr>
        <w:pStyle w:val="BodyText"/>
        <w:rPr>
          <w:b/>
        </w:rPr>
      </w:pPr>
    </w:p>
    <w:p>
      <w:pPr>
        <w:pStyle w:val="BodyText"/>
        <w:ind w:left="880" w:right="903"/>
        <w:jc w:val="both"/>
      </w:pPr>
      <w:r>
        <w:rPr/>
        <w:t>Following a detailed review of the Corporate Risk Register at the November SLG, a number of risks have been escalated to red and some new red risks </w:t>
      </w:r>
      <w:r>
        <w:rPr>
          <w:spacing w:val="-2"/>
        </w:rPr>
        <w:t>added.</w:t>
      </w:r>
    </w:p>
    <w:p>
      <w:pPr>
        <w:pStyle w:val="BodyText"/>
      </w:pPr>
    </w:p>
    <w:p>
      <w:pPr>
        <w:pStyle w:val="ListParagraph"/>
        <w:numPr>
          <w:ilvl w:val="0"/>
          <w:numId w:val="8"/>
        </w:numPr>
        <w:tabs>
          <w:tab w:pos="1600" w:val="left" w:leader="none"/>
        </w:tabs>
        <w:spacing w:line="240" w:lineRule="auto" w:before="0" w:after="0"/>
        <w:ind w:left="1600" w:right="904" w:hanging="360"/>
        <w:jc w:val="both"/>
        <w:rPr>
          <w:sz w:val="24"/>
        </w:rPr>
      </w:pPr>
      <w:r>
        <w:rPr>
          <w:sz w:val="24"/>
        </w:rPr>
        <w:t>The existing red risk relating to the inflationary consequences of the situation</w:t>
      </w:r>
      <w:r>
        <w:rPr>
          <w:spacing w:val="-13"/>
          <w:sz w:val="24"/>
        </w:rPr>
        <w:t> </w:t>
      </w:r>
      <w:r>
        <w:rPr>
          <w:sz w:val="24"/>
        </w:rPr>
        <w:t>in</w:t>
      </w:r>
      <w:r>
        <w:rPr>
          <w:spacing w:val="-13"/>
          <w:sz w:val="24"/>
        </w:rPr>
        <w:t> </w:t>
      </w:r>
      <w:r>
        <w:rPr>
          <w:sz w:val="24"/>
        </w:rPr>
        <w:t>Ukraine</w:t>
      </w:r>
      <w:r>
        <w:rPr>
          <w:spacing w:val="-13"/>
          <w:sz w:val="24"/>
        </w:rPr>
        <w:t> </w:t>
      </w:r>
      <w:r>
        <w:rPr>
          <w:sz w:val="24"/>
        </w:rPr>
        <w:t>and</w:t>
      </w:r>
      <w:r>
        <w:rPr>
          <w:spacing w:val="-13"/>
          <w:sz w:val="24"/>
        </w:rPr>
        <w:t> </w:t>
      </w:r>
      <w:r>
        <w:rPr>
          <w:sz w:val="24"/>
        </w:rPr>
        <w:t>the</w:t>
      </w:r>
      <w:r>
        <w:rPr>
          <w:spacing w:val="-13"/>
          <w:sz w:val="24"/>
        </w:rPr>
        <w:t> </w:t>
      </w:r>
      <w:r>
        <w:rPr>
          <w:sz w:val="24"/>
        </w:rPr>
        <w:t>resultant</w:t>
      </w:r>
      <w:r>
        <w:rPr>
          <w:spacing w:val="-13"/>
          <w:sz w:val="24"/>
        </w:rPr>
        <w:t> </w:t>
      </w:r>
      <w:r>
        <w:rPr>
          <w:sz w:val="24"/>
        </w:rPr>
        <w:t>impact</w:t>
      </w:r>
      <w:r>
        <w:rPr>
          <w:spacing w:val="-13"/>
          <w:sz w:val="24"/>
        </w:rPr>
        <w:t> </w:t>
      </w:r>
      <w:r>
        <w:rPr>
          <w:sz w:val="24"/>
        </w:rPr>
        <w:t>on</w:t>
      </w:r>
      <w:r>
        <w:rPr>
          <w:spacing w:val="-13"/>
          <w:sz w:val="24"/>
        </w:rPr>
        <w:t> </w:t>
      </w:r>
      <w:r>
        <w:rPr>
          <w:sz w:val="24"/>
        </w:rPr>
        <w:t>energy</w:t>
      </w:r>
      <w:r>
        <w:rPr>
          <w:spacing w:val="-13"/>
          <w:sz w:val="24"/>
        </w:rPr>
        <w:t> </w:t>
      </w:r>
      <w:r>
        <w:rPr>
          <w:sz w:val="24"/>
        </w:rPr>
        <w:t>prices</w:t>
      </w:r>
      <w:r>
        <w:rPr>
          <w:spacing w:val="-13"/>
          <w:sz w:val="24"/>
        </w:rPr>
        <w:t> </w:t>
      </w:r>
      <w:r>
        <w:rPr>
          <w:sz w:val="24"/>
        </w:rPr>
        <w:t>remains red. This is currently being mitigated through the role of the Energy Price</w:t>
      </w:r>
      <w:r>
        <w:rPr>
          <w:spacing w:val="-20"/>
          <w:sz w:val="24"/>
        </w:rPr>
        <w:t> </w:t>
      </w:r>
      <w:r>
        <w:rPr>
          <w:sz w:val="24"/>
        </w:rPr>
        <w:t>Risk</w:t>
      </w:r>
      <w:r>
        <w:rPr>
          <w:spacing w:val="-20"/>
          <w:sz w:val="24"/>
        </w:rPr>
        <w:t> </w:t>
      </w:r>
      <w:r>
        <w:rPr>
          <w:sz w:val="24"/>
        </w:rPr>
        <w:t>Management</w:t>
      </w:r>
      <w:r>
        <w:rPr>
          <w:spacing w:val="-20"/>
          <w:sz w:val="24"/>
        </w:rPr>
        <w:t> </w:t>
      </w:r>
      <w:r>
        <w:rPr>
          <w:sz w:val="24"/>
        </w:rPr>
        <w:t>Group</w:t>
      </w:r>
      <w:r>
        <w:rPr>
          <w:spacing w:val="-20"/>
          <w:sz w:val="24"/>
        </w:rPr>
        <w:t> </w:t>
      </w:r>
      <w:r>
        <w:rPr>
          <w:sz w:val="24"/>
        </w:rPr>
        <w:t>(EPRMG),</w:t>
      </w:r>
      <w:r>
        <w:rPr>
          <w:spacing w:val="-20"/>
          <w:sz w:val="24"/>
        </w:rPr>
        <w:t> </w:t>
      </w:r>
      <w:r>
        <w:rPr>
          <w:sz w:val="24"/>
        </w:rPr>
        <w:t>but</w:t>
      </w:r>
      <w:r>
        <w:rPr>
          <w:spacing w:val="-20"/>
          <w:sz w:val="24"/>
        </w:rPr>
        <w:t> </w:t>
      </w:r>
      <w:r>
        <w:rPr>
          <w:sz w:val="24"/>
        </w:rPr>
        <w:t>energy</w:t>
      </w:r>
      <w:r>
        <w:rPr>
          <w:spacing w:val="-20"/>
          <w:sz w:val="24"/>
        </w:rPr>
        <w:t> </w:t>
      </w:r>
      <w:r>
        <w:rPr>
          <w:sz w:val="24"/>
        </w:rPr>
        <w:t>prices</w:t>
      </w:r>
      <w:r>
        <w:rPr>
          <w:spacing w:val="-20"/>
          <w:sz w:val="24"/>
        </w:rPr>
        <w:t> </w:t>
      </w:r>
      <w:r>
        <w:rPr>
          <w:sz w:val="24"/>
        </w:rPr>
        <w:t>remain</w:t>
      </w:r>
      <w:r>
        <w:rPr>
          <w:spacing w:val="-20"/>
          <w:sz w:val="24"/>
        </w:rPr>
        <w:t> </w:t>
      </w:r>
      <w:r>
        <w:rPr>
          <w:sz w:val="24"/>
        </w:rPr>
        <w:t>very </w:t>
      </w:r>
      <w:r>
        <w:rPr>
          <w:spacing w:val="-2"/>
          <w:sz w:val="24"/>
        </w:rPr>
        <w:t>volatile.</w:t>
      </w:r>
    </w:p>
    <w:p>
      <w:pPr>
        <w:pStyle w:val="ListParagraph"/>
        <w:numPr>
          <w:ilvl w:val="0"/>
          <w:numId w:val="8"/>
        </w:numPr>
        <w:tabs>
          <w:tab w:pos="1600" w:val="left" w:leader="none"/>
        </w:tabs>
        <w:spacing w:line="240" w:lineRule="auto" w:before="0" w:after="0"/>
        <w:ind w:left="1600" w:right="904" w:hanging="360"/>
        <w:jc w:val="both"/>
        <w:rPr>
          <w:sz w:val="24"/>
        </w:rPr>
      </w:pPr>
      <w:r>
        <w:rPr>
          <w:sz w:val="24"/>
        </w:rPr>
        <w:t>The above risk has also been articulated into a second risk which considers</w:t>
      </w:r>
      <w:r>
        <w:rPr>
          <w:spacing w:val="-1"/>
          <w:sz w:val="24"/>
        </w:rPr>
        <w:t> </w:t>
      </w:r>
      <w:r>
        <w:rPr>
          <w:sz w:val="24"/>
        </w:rPr>
        <w:t>the</w:t>
      </w:r>
      <w:r>
        <w:rPr>
          <w:spacing w:val="-1"/>
          <w:sz w:val="24"/>
        </w:rPr>
        <w:t> </w:t>
      </w:r>
      <w:r>
        <w:rPr>
          <w:sz w:val="24"/>
        </w:rPr>
        <w:t>role</w:t>
      </w:r>
      <w:r>
        <w:rPr>
          <w:spacing w:val="-1"/>
          <w:sz w:val="24"/>
        </w:rPr>
        <w:t> </w:t>
      </w:r>
      <w:r>
        <w:rPr>
          <w:sz w:val="24"/>
        </w:rPr>
        <w:t>that</w:t>
      </w:r>
      <w:r>
        <w:rPr>
          <w:spacing w:val="-1"/>
          <w:sz w:val="24"/>
        </w:rPr>
        <w:t> </w:t>
      </w:r>
      <w:r>
        <w:rPr>
          <w:sz w:val="24"/>
        </w:rPr>
        <w:t>NWSSP</w:t>
      </w:r>
      <w:r>
        <w:rPr>
          <w:spacing w:val="-1"/>
          <w:sz w:val="24"/>
        </w:rPr>
        <w:t> </w:t>
      </w:r>
      <w:r>
        <w:rPr>
          <w:sz w:val="24"/>
        </w:rPr>
        <w:t>plays</w:t>
      </w:r>
      <w:r>
        <w:rPr>
          <w:spacing w:val="-1"/>
          <w:sz w:val="24"/>
        </w:rPr>
        <w:t> </w:t>
      </w:r>
      <w:r>
        <w:rPr>
          <w:sz w:val="24"/>
        </w:rPr>
        <w:t>as</w:t>
      </w:r>
      <w:r>
        <w:rPr>
          <w:spacing w:val="-1"/>
          <w:sz w:val="24"/>
        </w:rPr>
        <w:t> </w:t>
      </w:r>
      <w:r>
        <w:rPr>
          <w:sz w:val="24"/>
        </w:rPr>
        <w:t>the</w:t>
      </w:r>
      <w:r>
        <w:rPr>
          <w:spacing w:val="-1"/>
          <w:sz w:val="24"/>
        </w:rPr>
        <w:t> </w:t>
      </w:r>
      <w:r>
        <w:rPr>
          <w:sz w:val="24"/>
        </w:rPr>
        <w:t>lead</w:t>
      </w:r>
      <w:r>
        <w:rPr>
          <w:spacing w:val="-1"/>
          <w:sz w:val="24"/>
        </w:rPr>
        <w:t> </w:t>
      </w:r>
      <w:r>
        <w:rPr>
          <w:sz w:val="24"/>
        </w:rPr>
        <w:t>energy</w:t>
      </w:r>
      <w:r>
        <w:rPr>
          <w:spacing w:val="-1"/>
          <w:sz w:val="24"/>
        </w:rPr>
        <w:t> </w:t>
      </w:r>
      <w:r>
        <w:rPr>
          <w:sz w:val="24"/>
        </w:rPr>
        <w:t>purchaser</w:t>
      </w:r>
      <w:r>
        <w:rPr>
          <w:spacing w:val="-1"/>
          <w:sz w:val="24"/>
        </w:rPr>
        <w:t> </w:t>
      </w:r>
      <w:r>
        <w:rPr>
          <w:sz w:val="24"/>
        </w:rPr>
        <w:t>for the whole of NHS Wales, and the reputational risk that is associated with that role.</w:t>
      </w:r>
    </w:p>
    <w:p>
      <w:pPr>
        <w:pStyle w:val="ListParagraph"/>
        <w:numPr>
          <w:ilvl w:val="0"/>
          <w:numId w:val="8"/>
        </w:numPr>
        <w:tabs>
          <w:tab w:pos="1600" w:val="left" w:leader="none"/>
        </w:tabs>
        <w:spacing w:line="240" w:lineRule="auto" w:before="0" w:after="0"/>
        <w:ind w:left="1600" w:right="903" w:hanging="360"/>
        <w:jc w:val="both"/>
        <w:rPr>
          <w:sz w:val="24"/>
        </w:rPr>
      </w:pPr>
      <w:r>
        <w:rPr>
          <w:sz w:val="24"/>
        </w:rPr>
        <w:t>The existing risk of the impact of potential industrial action has been escalated</w:t>
      </w:r>
      <w:r>
        <w:rPr>
          <w:spacing w:val="-7"/>
          <w:sz w:val="24"/>
        </w:rPr>
        <w:t> </w:t>
      </w:r>
      <w:r>
        <w:rPr>
          <w:sz w:val="24"/>
        </w:rPr>
        <w:t>from</w:t>
      </w:r>
      <w:r>
        <w:rPr>
          <w:spacing w:val="-7"/>
          <w:sz w:val="24"/>
        </w:rPr>
        <w:t> </w:t>
      </w:r>
      <w:r>
        <w:rPr>
          <w:sz w:val="24"/>
        </w:rPr>
        <w:t>amber</w:t>
      </w:r>
      <w:r>
        <w:rPr>
          <w:spacing w:val="-7"/>
          <w:sz w:val="24"/>
        </w:rPr>
        <w:t> </w:t>
      </w:r>
      <w:r>
        <w:rPr>
          <w:sz w:val="24"/>
        </w:rPr>
        <w:t>to</w:t>
      </w:r>
      <w:r>
        <w:rPr>
          <w:spacing w:val="-7"/>
          <w:sz w:val="24"/>
        </w:rPr>
        <w:t> </w:t>
      </w:r>
      <w:r>
        <w:rPr>
          <w:sz w:val="24"/>
        </w:rPr>
        <w:t>red</w:t>
      </w:r>
      <w:r>
        <w:rPr>
          <w:spacing w:val="-7"/>
          <w:sz w:val="24"/>
        </w:rPr>
        <w:t> </w:t>
      </w:r>
      <w:r>
        <w:rPr>
          <w:sz w:val="24"/>
        </w:rPr>
        <w:t>as</w:t>
      </w:r>
      <w:r>
        <w:rPr>
          <w:spacing w:val="-7"/>
          <w:sz w:val="24"/>
        </w:rPr>
        <w:t> </w:t>
      </w:r>
      <w:r>
        <w:rPr>
          <w:sz w:val="24"/>
        </w:rPr>
        <w:t>strike</w:t>
      </w:r>
      <w:r>
        <w:rPr>
          <w:spacing w:val="-7"/>
          <w:sz w:val="24"/>
        </w:rPr>
        <w:t> </w:t>
      </w:r>
      <w:r>
        <w:rPr>
          <w:sz w:val="24"/>
        </w:rPr>
        <w:t>action</w:t>
      </w:r>
      <w:r>
        <w:rPr>
          <w:spacing w:val="-7"/>
          <w:sz w:val="24"/>
        </w:rPr>
        <w:t> </w:t>
      </w:r>
      <w:r>
        <w:rPr>
          <w:sz w:val="24"/>
        </w:rPr>
        <w:t>has</w:t>
      </w:r>
      <w:r>
        <w:rPr>
          <w:spacing w:val="-7"/>
          <w:sz w:val="24"/>
        </w:rPr>
        <w:t> </w:t>
      </w:r>
      <w:r>
        <w:rPr>
          <w:sz w:val="24"/>
        </w:rPr>
        <w:t>now</w:t>
      </w:r>
      <w:r>
        <w:rPr>
          <w:spacing w:val="-7"/>
          <w:sz w:val="24"/>
        </w:rPr>
        <w:t> </w:t>
      </w:r>
      <w:r>
        <w:rPr>
          <w:sz w:val="24"/>
        </w:rPr>
        <w:t>been</w:t>
      </w:r>
      <w:r>
        <w:rPr>
          <w:spacing w:val="-7"/>
          <w:sz w:val="24"/>
        </w:rPr>
        <w:t> </w:t>
      </w:r>
      <w:r>
        <w:rPr>
          <w:sz w:val="24"/>
        </w:rPr>
        <w:t>confirmed. While the strikes currently called by the RCN are not likely to have a significant impact on NWSSP, the likely industrial action from other Trade Unions will have a greater impact.</w:t>
      </w:r>
    </w:p>
    <w:p>
      <w:pPr>
        <w:pStyle w:val="ListParagraph"/>
        <w:numPr>
          <w:ilvl w:val="0"/>
          <w:numId w:val="8"/>
        </w:numPr>
        <w:tabs>
          <w:tab w:pos="1600" w:val="left" w:leader="none"/>
        </w:tabs>
        <w:spacing w:line="240" w:lineRule="auto" w:before="0" w:after="0"/>
        <w:ind w:left="1600" w:right="900" w:hanging="360"/>
        <w:jc w:val="both"/>
        <w:rPr>
          <w:sz w:val="24"/>
        </w:rPr>
      </w:pPr>
      <w:r>
        <w:rPr>
          <w:sz w:val="24"/>
        </w:rPr>
        <w:t>Similarly the existing risk of having insufficient staff resource to meet demand</w:t>
      </w:r>
      <w:r>
        <w:rPr>
          <w:spacing w:val="-14"/>
          <w:sz w:val="24"/>
        </w:rPr>
        <w:t> </w:t>
      </w:r>
      <w:r>
        <w:rPr>
          <w:sz w:val="24"/>
        </w:rPr>
        <w:t>has</w:t>
      </w:r>
      <w:r>
        <w:rPr>
          <w:spacing w:val="-14"/>
          <w:sz w:val="24"/>
        </w:rPr>
        <w:t> </w:t>
      </w:r>
      <w:r>
        <w:rPr>
          <w:sz w:val="24"/>
        </w:rPr>
        <w:t>also</w:t>
      </w:r>
      <w:r>
        <w:rPr>
          <w:spacing w:val="-14"/>
          <w:sz w:val="24"/>
        </w:rPr>
        <w:t> </w:t>
      </w:r>
      <w:r>
        <w:rPr>
          <w:sz w:val="24"/>
        </w:rPr>
        <w:t>been</w:t>
      </w:r>
      <w:r>
        <w:rPr>
          <w:spacing w:val="-14"/>
          <w:sz w:val="24"/>
        </w:rPr>
        <w:t> </w:t>
      </w:r>
      <w:r>
        <w:rPr>
          <w:sz w:val="24"/>
        </w:rPr>
        <w:t>escalated</w:t>
      </w:r>
      <w:r>
        <w:rPr>
          <w:spacing w:val="-14"/>
          <w:sz w:val="24"/>
        </w:rPr>
        <w:t> </w:t>
      </w:r>
      <w:r>
        <w:rPr>
          <w:sz w:val="24"/>
        </w:rPr>
        <w:t>from</w:t>
      </w:r>
      <w:r>
        <w:rPr>
          <w:spacing w:val="-14"/>
          <w:sz w:val="24"/>
        </w:rPr>
        <w:t> </w:t>
      </w:r>
      <w:r>
        <w:rPr>
          <w:sz w:val="24"/>
        </w:rPr>
        <w:t>amber</w:t>
      </w:r>
      <w:r>
        <w:rPr>
          <w:spacing w:val="-14"/>
          <w:sz w:val="24"/>
        </w:rPr>
        <w:t> </w:t>
      </w:r>
      <w:r>
        <w:rPr>
          <w:sz w:val="24"/>
        </w:rPr>
        <w:t>to</w:t>
      </w:r>
      <w:r>
        <w:rPr>
          <w:spacing w:val="-14"/>
          <w:sz w:val="24"/>
        </w:rPr>
        <w:t> </w:t>
      </w:r>
      <w:r>
        <w:rPr>
          <w:sz w:val="24"/>
        </w:rPr>
        <w:t>red.</w:t>
      </w:r>
      <w:r>
        <w:rPr>
          <w:spacing w:val="-14"/>
          <w:sz w:val="24"/>
        </w:rPr>
        <w:t> </w:t>
      </w:r>
      <w:r>
        <w:rPr>
          <w:sz w:val="24"/>
        </w:rPr>
        <w:t>NWSSP</w:t>
      </w:r>
      <w:r>
        <w:rPr>
          <w:spacing w:val="-14"/>
          <w:sz w:val="24"/>
        </w:rPr>
        <w:t> </w:t>
      </w:r>
      <w:r>
        <w:rPr>
          <w:sz w:val="24"/>
        </w:rPr>
        <w:t>have</w:t>
      </w:r>
      <w:r>
        <w:rPr>
          <w:spacing w:val="-14"/>
          <w:sz w:val="24"/>
        </w:rPr>
        <w:t> </w:t>
      </w:r>
      <w:r>
        <w:rPr>
          <w:sz w:val="24"/>
        </w:rPr>
        <w:t>a</w:t>
      </w:r>
      <w:r>
        <w:rPr>
          <w:spacing w:val="-14"/>
          <w:sz w:val="24"/>
        </w:rPr>
        <w:t> </w:t>
      </w:r>
      <w:r>
        <w:rPr>
          <w:sz w:val="24"/>
        </w:rPr>
        <w:t>lot of</w:t>
      </w:r>
      <w:r>
        <w:rPr>
          <w:spacing w:val="-13"/>
          <w:sz w:val="24"/>
        </w:rPr>
        <w:t> </w:t>
      </w:r>
      <w:r>
        <w:rPr>
          <w:sz w:val="24"/>
        </w:rPr>
        <w:t>staff</w:t>
      </w:r>
      <w:r>
        <w:rPr>
          <w:spacing w:val="-13"/>
          <w:sz w:val="24"/>
        </w:rPr>
        <w:t> </w:t>
      </w:r>
      <w:r>
        <w:rPr>
          <w:sz w:val="24"/>
        </w:rPr>
        <w:t>on</w:t>
      </w:r>
      <w:r>
        <w:rPr>
          <w:spacing w:val="-13"/>
          <w:sz w:val="24"/>
        </w:rPr>
        <w:t> </w:t>
      </w:r>
      <w:r>
        <w:rPr>
          <w:sz w:val="24"/>
        </w:rPr>
        <w:t>bank</w:t>
      </w:r>
      <w:r>
        <w:rPr>
          <w:spacing w:val="-13"/>
          <w:sz w:val="24"/>
        </w:rPr>
        <w:t> </w:t>
      </w:r>
      <w:r>
        <w:rPr>
          <w:sz w:val="24"/>
        </w:rPr>
        <w:t>contracts</w:t>
      </w:r>
      <w:r>
        <w:rPr>
          <w:spacing w:val="-13"/>
          <w:sz w:val="24"/>
        </w:rPr>
        <w:t> </w:t>
      </w:r>
      <w:r>
        <w:rPr>
          <w:sz w:val="24"/>
        </w:rPr>
        <w:t>who</w:t>
      </w:r>
      <w:r>
        <w:rPr>
          <w:spacing w:val="-13"/>
          <w:sz w:val="24"/>
        </w:rPr>
        <w:t> </w:t>
      </w:r>
      <w:r>
        <w:rPr>
          <w:sz w:val="24"/>
        </w:rPr>
        <w:t>help</w:t>
      </w:r>
      <w:r>
        <w:rPr>
          <w:spacing w:val="-12"/>
          <w:sz w:val="24"/>
        </w:rPr>
        <w:t> </w:t>
      </w:r>
      <w:r>
        <w:rPr>
          <w:sz w:val="24"/>
        </w:rPr>
        <w:t>to</w:t>
      </w:r>
      <w:r>
        <w:rPr>
          <w:spacing w:val="-13"/>
          <w:sz w:val="24"/>
        </w:rPr>
        <w:t> </w:t>
      </w:r>
      <w:r>
        <w:rPr>
          <w:sz w:val="24"/>
        </w:rPr>
        <w:t>deliver</w:t>
      </w:r>
      <w:r>
        <w:rPr>
          <w:spacing w:val="-13"/>
          <w:sz w:val="24"/>
        </w:rPr>
        <w:t> </w:t>
      </w:r>
      <w:r>
        <w:rPr>
          <w:sz w:val="24"/>
        </w:rPr>
        <w:t>essential</w:t>
      </w:r>
      <w:r>
        <w:rPr>
          <w:spacing w:val="-13"/>
          <w:sz w:val="24"/>
        </w:rPr>
        <w:t> </w:t>
      </w:r>
      <w:r>
        <w:rPr>
          <w:sz w:val="24"/>
        </w:rPr>
        <w:t>services</w:t>
      </w:r>
      <w:r>
        <w:rPr>
          <w:spacing w:val="-13"/>
          <w:sz w:val="24"/>
        </w:rPr>
        <w:t> </w:t>
      </w:r>
      <w:r>
        <w:rPr>
          <w:sz w:val="24"/>
        </w:rPr>
        <w:t>but</w:t>
      </w:r>
      <w:r>
        <w:rPr>
          <w:spacing w:val="-13"/>
          <w:sz w:val="24"/>
        </w:rPr>
        <w:t> </w:t>
      </w:r>
      <w:r>
        <w:rPr>
          <w:sz w:val="24"/>
        </w:rPr>
        <w:t>for whom we are unable to guarantee security of employment due to Welsh</w:t>
      </w:r>
      <w:r>
        <w:rPr>
          <w:spacing w:val="-2"/>
          <w:sz w:val="24"/>
        </w:rPr>
        <w:t> </w:t>
      </w:r>
      <w:r>
        <w:rPr>
          <w:sz w:val="24"/>
        </w:rPr>
        <w:t>Government</w:t>
      </w:r>
      <w:r>
        <w:rPr>
          <w:spacing w:val="-2"/>
          <w:sz w:val="24"/>
        </w:rPr>
        <w:t> </w:t>
      </w:r>
      <w:r>
        <w:rPr>
          <w:sz w:val="24"/>
        </w:rPr>
        <w:t>not</w:t>
      </w:r>
      <w:r>
        <w:rPr>
          <w:spacing w:val="-2"/>
          <w:sz w:val="24"/>
        </w:rPr>
        <w:t> </w:t>
      </w:r>
      <w:r>
        <w:rPr>
          <w:sz w:val="24"/>
        </w:rPr>
        <w:t>confirming</w:t>
      </w:r>
      <w:r>
        <w:rPr>
          <w:spacing w:val="-2"/>
          <w:sz w:val="24"/>
        </w:rPr>
        <w:t> </w:t>
      </w:r>
      <w:r>
        <w:rPr>
          <w:sz w:val="24"/>
        </w:rPr>
        <w:t>whether</w:t>
      </w:r>
      <w:r>
        <w:rPr>
          <w:spacing w:val="-3"/>
          <w:sz w:val="24"/>
        </w:rPr>
        <w:t> </w:t>
      </w:r>
      <w:r>
        <w:rPr>
          <w:sz w:val="24"/>
        </w:rPr>
        <w:t>these</w:t>
      </w:r>
      <w:r>
        <w:rPr>
          <w:spacing w:val="-2"/>
          <w:sz w:val="24"/>
        </w:rPr>
        <w:t> </w:t>
      </w:r>
      <w:r>
        <w:rPr>
          <w:sz w:val="24"/>
        </w:rPr>
        <w:t>posts</w:t>
      </w:r>
      <w:r>
        <w:rPr>
          <w:spacing w:val="-2"/>
          <w:sz w:val="24"/>
        </w:rPr>
        <w:t> </w:t>
      </w:r>
      <w:r>
        <w:rPr>
          <w:sz w:val="24"/>
        </w:rPr>
        <w:t>will</w:t>
      </w:r>
      <w:r>
        <w:rPr>
          <w:spacing w:val="-2"/>
          <w:sz w:val="24"/>
        </w:rPr>
        <w:t> </w:t>
      </w:r>
      <w:r>
        <w:rPr>
          <w:sz w:val="24"/>
        </w:rPr>
        <w:t>be</w:t>
      </w:r>
      <w:r>
        <w:rPr>
          <w:spacing w:val="-2"/>
          <w:sz w:val="24"/>
        </w:rPr>
        <w:t> </w:t>
      </w:r>
      <w:r>
        <w:rPr>
          <w:sz w:val="24"/>
        </w:rPr>
        <w:t>funded into 2023/24.</w:t>
      </w:r>
    </w:p>
    <w:p>
      <w:pPr>
        <w:pStyle w:val="ListParagraph"/>
        <w:numPr>
          <w:ilvl w:val="0"/>
          <w:numId w:val="8"/>
        </w:numPr>
        <w:tabs>
          <w:tab w:pos="1600" w:val="left" w:leader="none"/>
        </w:tabs>
        <w:spacing w:line="237" w:lineRule="auto" w:before="0" w:after="0"/>
        <w:ind w:left="1600" w:right="904" w:hanging="360"/>
        <w:jc w:val="both"/>
        <w:rPr>
          <w:sz w:val="24"/>
        </w:rPr>
      </w:pPr>
      <w:r>
        <w:rPr>
          <w:sz w:val="24"/>
        </w:rPr>
        <w:t>The</w:t>
      </w:r>
      <w:r>
        <w:rPr>
          <w:spacing w:val="-5"/>
          <w:sz w:val="24"/>
        </w:rPr>
        <w:t> </w:t>
      </w:r>
      <w:r>
        <w:rPr>
          <w:sz w:val="24"/>
        </w:rPr>
        <w:t>contractual</w:t>
      </w:r>
      <w:r>
        <w:rPr>
          <w:spacing w:val="-4"/>
          <w:sz w:val="24"/>
        </w:rPr>
        <w:t> </w:t>
      </w:r>
      <w:r>
        <w:rPr>
          <w:sz w:val="24"/>
        </w:rPr>
        <w:t>dispute</w:t>
      </w:r>
      <w:r>
        <w:rPr>
          <w:spacing w:val="-5"/>
          <w:sz w:val="24"/>
        </w:rPr>
        <w:t> </w:t>
      </w:r>
      <w:r>
        <w:rPr>
          <w:sz w:val="24"/>
        </w:rPr>
        <w:t>affecting</w:t>
      </w:r>
      <w:r>
        <w:rPr>
          <w:spacing w:val="-4"/>
          <w:sz w:val="24"/>
        </w:rPr>
        <w:t> </w:t>
      </w:r>
      <w:r>
        <w:rPr>
          <w:sz w:val="24"/>
        </w:rPr>
        <w:t>the</w:t>
      </w:r>
      <w:r>
        <w:rPr>
          <w:spacing w:val="-5"/>
          <w:sz w:val="24"/>
        </w:rPr>
        <w:t> </w:t>
      </w:r>
      <w:r>
        <w:rPr>
          <w:sz w:val="24"/>
        </w:rPr>
        <w:t>replacement</w:t>
      </w:r>
      <w:r>
        <w:rPr>
          <w:spacing w:val="-4"/>
          <w:sz w:val="24"/>
        </w:rPr>
        <w:t> </w:t>
      </w:r>
      <w:r>
        <w:rPr>
          <w:sz w:val="24"/>
        </w:rPr>
        <w:t>for</w:t>
      </w:r>
      <w:r>
        <w:rPr>
          <w:spacing w:val="-5"/>
          <w:sz w:val="24"/>
        </w:rPr>
        <w:t> </w:t>
      </w:r>
      <w:r>
        <w:rPr>
          <w:sz w:val="24"/>
        </w:rPr>
        <w:t>the</w:t>
      </w:r>
      <w:r>
        <w:rPr>
          <w:spacing w:val="-5"/>
          <w:sz w:val="24"/>
        </w:rPr>
        <w:t> </w:t>
      </w:r>
      <w:r>
        <w:rPr>
          <w:sz w:val="24"/>
        </w:rPr>
        <w:t>Legal</w:t>
      </w:r>
      <w:r>
        <w:rPr>
          <w:spacing w:val="-4"/>
          <w:sz w:val="24"/>
        </w:rPr>
        <w:t> </w:t>
      </w:r>
      <w:r>
        <w:rPr>
          <w:sz w:val="24"/>
        </w:rPr>
        <w:t>&amp;</w:t>
      </w:r>
      <w:r>
        <w:rPr>
          <w:spacing w:val="-4"/>
          <w:sz w:val="24"/>
        </w:rPr>
        <w:t> </w:t>
      </w:r>
      <w:r>
        <w:rPr>
          <w:sz w:val="24"/>
        </w:rPr>
        <w:t>Risk Case</w:t>
      </w:r>
      <w:r>
        <w:rPr>
          <w:spacing w:val="-11"/>
          <w:sz w:val="24"/>
        </w:rPr>
        <w:t> </w:t>
      </w:r>
      <w:r>
        <w:rPr>
          <w:sz w:val="24"/>
        </w:rPr>
        <w:t>Management</w:t>
      </w:r>
      <w:r>
        <w:rPr>
          <w:spacing w:val="-11"/>
          <w:sz w:val="24"/>
        </w:rPr>
        <w:t> </w:t>
      </w:r>
      <w:r>
        <w:rPr>
          <w:sz w:val="24"/>
        </w:rPr>
        <w:t>system</w:t>
      </w:r>
      <w:r>
        <w:rPr>
          <w:spacing w:val="-12"/>
          <w:sz w:val="24"/>
        </w:rPr>
        <w:t> </w:t>
      </w:r>
      <w:r>
        <w:rPr>
          <w:sz w:val="24"/>
        </w:rPr>
        <w:t>has</w:t>
      </w:r>
      <w:r>
        <w:rPr>
          <w:spacing w:val="-11"/>
          <w:sz w:val="24"/>
        </w:rPr>
        <w:t> </w:t>
      </w:r>
      <w:r>
        <w:rPr>
          <w:sz w:val="24"/>
        </w:rPr>
        <w:t>also</w:t>
      </w:r>
      <w:r>
        <w:rPr>
          <w:spacing w:val="-11"/>
          <w:sz w:val="24"/>
        </w:rPr>
        <w:t> </w:t>
      </w:r>
      <w:r>
        <w:rPr>
          <w:sz w:val="24"/>
        </w:rPr>
        <w:t>been</w:t>
      </w:r>
      <w:r>
        <w:rPr>
          <w:spacing w:val="-11"/>
          <w:sz w:val="24"/>
        </w:rPr>
        <w:t> </w:t>
      </w:r>
      <w:r>
        <w:rPr>
          <w:sz w:val="24"/>
        </w:rPr>
        <w:t>escalated</w:t>
      </w:r>
      <w:r>
        <w:rPr>
          <w:spacing w:val="-11"/>
          <w:sz w:val="24"/>
        </w:rPr>
        <w:t> </w:t>
      </w:r>
      <w:r>
        <w:rPr>
          <w:sz w:val="24"/>
        </w:rPr>
        <w:t>from</w:t>
      </w:r>
      <w:r>
        <w:rPr>
          <w:spacing w:val="-11"/>
          <w:sz w:val="24"/>
        </w:rPr>
        <w:t> </w:t>
      </w:r>
      <w:r>
        <w:rPr>
          <w:sz w:val="24"/>
        </w:rPr>
        <w:t>amber</w:t>
      </w:r>
      <w:r>
        <w:rPr>
          <w:spacing w:val="-11"/>
          <w:sz w:val="24"/>
        </w:rPr>
        <w:t> </w:t>
      </w:r>
      <w:r>
        <w:rPr>
          <w:sz w:val="24"/>
        </w:rPr>
        <w:t>to</w:t>
      </w:r>
      <w:r>
        <w:rPr>
          <w:spacing w:val="-11"/>
          <w:sz w:val="24"/>
        </w:rPr>
        <w:t> </w:t>
      </w:r>
      <w:r>
        <w:rPr>
          <w:sz w:val="24"/>
        </w:rPr>
        <w:t>red.</w:t>
      </w:r>
    </w:p>
    <w:p>
      <w:pPr>
        <w:spacing w:after="0" w:line="237" w:lineRule="auto"/>
        <w:jc w:val="both"/>
        <w:rPr>
          <w:sz w:val="24"/>
        </w:rPr>
        <w:sectPr>
          <w:pgSz w:w="11910" w:h="16840"/>
          <w:pgMar w:header="0" w:footer="976" w:top="1540" w:bottom="1160" w:left="380" w:right="559"/>
        </w:sectPr>
      </w:pPr>
    </w:p>
    <w:p>
      <w:pPr>
        <w:pStyle w:val="BodyText"/>
        <w:spacing w:before="74"/>
        <w:ind w:left="1600" w:right="902"/>
        <w:jc w:val="both"/>
      </w:pPr>
      <w:r>
        <w:rPr/>
        <w:t>While there are contingency arrangements in place to maintain services, the potential financial loss could be significant.</w:t>
      </w:r>
    </w:p>
    <w:p>
      <w:pPr>
        <w:pStyle w:val="ListParagraph"/>
        <w:numPr>
          <w:ilvl w:val="0"/>
          <w:numId w:val="8"/>
        </w:numPr>
        <w:tabs>
          <w:tab w:pos="1600" w:val="left" w:leader="none"/>
        </w:tabs>
        <w:spacing w:line="240" w:lineRule="auto" w:before="0" w:after="0"/>
        <w:ind w:left="1600" w:right="903" w:hanging="360"/>
        <w:jc w:val="both"/>
        <w:rPr>
          <w:sz w:val="24"/>
        </w:rPr>
      </w:pPr>
      <w:r>
        <w:rPr>
          <w:sz w:val="24"/>
        </w:rPr>
        <w:t>The</w:t>
      </w:r>
      <w:r>
        <w:rPr>
          <w:spacing w:val="-6"/>
          <w:sz w:val="24"/>
        </w:rPr>
        <w:t> </w:t>
      </w:r>
      <w:r>
        <w:rPr>
          <w:sz w:val="24"/>
        </w:rPr>
        <w:t>Laundry</w:t>
      </w:r>
      <w:r>
        <w:rPr>
          <w:spacing w:val="-6"/>
          <w:sz w:val="24"/>
        </w:rPr>
        <w:t> </w:t>
      </w:r>
      <w:r>
        <w:rPr>
          <w:sz w:val="24"/>
        </w:rPr>
        <w:t>Transformation</w:t>
      </w:r>
      <w:r>
        <w:rPr>
          <w:spacing w:val="-6"/>
          <w:sz w:val="24"/>
        </w:rPr>
        <w:t> </w:t>
      </w:r>
      <w:r>
        <w:rPr>
          <w:sz w:val="24"/>
        </w:rPr>
        <w:t>Programme</w:t>
      </w:r>
      <w:r>
        <w:rPr>
          <w:spacing w:val="-6"/>
          <w:sz w:val="24"/>
        </w:rPr>
        <w:t> </w:t>
      </w:r>
      <w:r>
        <w:rPr>
          <w:sz w:val="24"/>
        </w:rPr>
        <w:t>has</w:t>
      </w:r>
      <w:r>
        <w:rPr>
          <w:spacing w:val="-6"/>
          <w:sz w:val="24"/>
        </w:rPr>
        <w:t> </w:t>
      </w:r>
      <w:r>
        <w:rPr>
          <w:sz w:val="24"/>
        </w:rPr>
        <w:t>been</w:t>
      </w:r>
      <w:r>
        <w:rPr>
          <w:spacing w:val="-6"/>
          <w:sz w:val="24"/>
        </w:rPr>
        <w:t> </w:t>
      </w:r>
      <w:r>
        <w:rPr>
          <w:sz w:val="24"/>
        </w:rPr>
        <w:t>added</w:t>
      </w:r>
      <w:r>
        <w:rPr>
          <w:spacing w:val="-6"/>
          <w:sz w:val="24"/>
        </w:rPr>
        <w:t> </w:t>
      </w:r>
      <w:r>
        <w:rPr>
          <w:sz w:val="24"/>
        </w:rPr>
        <w:t>as</w:t>
      </w:r>
      <w:r>
        <w:rPr>
          <w:spacing w:val="-6"/>
          <w:sz w:val="24"/>
        </w:rPr>
        <w:t> </w:t>
      </w:r>
      <w:r>
        <w:rPr>
          <w:sz w:val="24"/>
        </w:rPr>
        <w:t>a</w:t>
      </w:r>
      <w:r>
        <w:rPr>
          <w:spacing w:val="-6"/>
          <w:sz w:val="24"/>
        </w:rPr>
        <w:t> </w:t>
      </w:r>
      <w:r>
        <w:rPr>
          <w:sz w:val="24"/>
        </w:rPr>
        <w:t>red</w:t>
      </w:r>
      <w:r>
        <w:rPr>
          <w:spacing w:val="-6"/>
          <w:sz w:val="24"/>
        </w:rPr>
        <w:t> </w:t>
      </w:r>
      <w:r>
        <w:rPr>
          <w:sz w:val="24"/>
        </w:rPr>
        <w:t>risk due to uncertainty over whether the required capital funding for the scheme will be available to complete it.</w:t>
      </w:r>
    </w:p>
    <w:p>
      <w:pPr>
        <w:pStyle w:val="ListParagraph"/>
        <w:numPr>
          <w:ilvl w:val="0"/>
          <w:numId w:val="8"/>
        </w:numPr>
        <w:tabs>
          <w:tab w:pos="1600" w:val="left" w:leader="none"/>
        </w:tabs>
        <w:spacing w:line="240" w:lineRule="auto" w:before="0" w:after="0"/>
        <w:ind w:left="1600" w:right="902" w:hanging="360"/>
        <w:jc w:val="both"/>
        <w:rPr>
          <w:sz w:val="24"/>
        </w:rPr>
      </w:pPr>
      <w:r>
        <w:rPr>
          <w:sz w:val="24"/>
        </w:rPr>
        <w:t>The</w:t>
      </w:r>
      <w:r>
        <w:rPr>
          <w:spacing w:val="-4"/>
          <w:sz w:val="24"/>
        </w:rPr>
        <w:t> </w:t>
      </w:r>
      <w:r>
        <w:rPr>
          <w:sz w:val="24"/>
        </w:rPr>
        <w:t>Brecon</w:t>
      </w:r>
      <w:r>
        <w:rPr>
          <w:spacing w:val="-3"/>
          <w:sz w:val="24"/>
        </w:rPr>
        <w:t> </w:t>
      </w:r>
      <w:r>
        <w:rPr>
          <w:sz w:val="24"/>
        </w:rPr>
        <w:t>House</w:t>
      </w:r>
      <w:r>
        <w:rPr>
          <w:spacing w:val="-4"/>
          <w:sz w:val="24"/>
        </w:rPr>
        <w:t> </w:t>
      </w:r>
      <w:r>
        <w:rPr>
          <w:sz w:val="24"/>
        </w:rPr>
        <w:t>roof</w:t>
      </w:r>
      <w:r>
        <w:rPr>
          <w:spacing w:val="-4"/>
          <w:sz w:val="24"/>
        </w:rPr>
        <w:t> </w:t>
      </w:r>
      <w:r>
        <w:rPr>
          <w:sz w:val="24"/>
        </w:rPr>
        <w:t>at</w:t>
      </w:r>
      <w:r>
        <w:rPr>
          <w:spacing w:val="-3"/>
          <w:sz w:val="24"/>
        </w:rPr>
        <w:t> </w:t>
      </w:r>
      <w:r>
        <w:rPr>
          <w:sz w:val="24"/>
        </w:rPr>
        <w:t>Mamhilad</w:t>
      </w:r>
      <w:r>
        <w:rPr>
          <w:spacing w:val="-3"/>
          <w:sz w:val="24"/>
        </w:rPr>
        <w:t> </w:t>
      </w:r>
      <w:r>
        <w:rPr>
          <w:sz w:val="24"/>
        </w:rPr>
        <w:t>has</w:t>
      </w:r>
      <w:r>
        <w:rPr>
          <w:spacing w:val="-3"/>
          <w:sz w:val="24"/>
        </w:rPr>
        <w:t> </w:t>
      </w:r>
      <w:r>
        <w:rPr>
          <w:sz w:val="24"/>
        </w:rPr>
        <w:t>also</w:t>
      </w:r>
      <w:r>
        <w:rPr>
          <w:spacing w:val="-3"/>
          <w:sz w:val="24"/>
        </w:rPr>
        <w:t> </w:t>
      </w:r>
      <w:r>
        <w:rPr>
          <w:sz w:val="24"/>
        </w:rPr>
        <w:t>been</w:t>
      </w:r>
      <w:r>
        <w:rPr>
          <w:spacing w:val="-3"/>
          <w:sz w:val="24"/>
        </w:rPr>
        <w:t> </w:t>
      </w:r>
      <w:r>
        <w:rPr>
          <w:sz w:val="24"/>
        </w:rPr>
        <w:t>added</w:t>
      </w:r>
      <w:r>
        <w:rPr>
          <w:spacing w:val="-4"/>
          <w:sz w:val="24"/>
        </w:rPr>
        <w:t> </w:t>
      </w:r>
      <w:r>
        <w:rPr>
          <w:sz w:val="24"/>
        </w:rPr>
        <w:t>as</w:t>
      </w:r>
      <w:r>
        <w:rPr>
          <w:spacing w:val="-3"/>
          <w:sz w:val="24"/>
        </w:rPr>
        <w:t> </w:t>
      </w:r>
      <w:r>
        <w:rPr>
          <w:sz w:val="24"/>
        </w:rPr>
        <w:t>a</w:t>
      </w:r>
      <w:r>
        <w:rPr>
          <w:spacing w:val="-4"/>
          <w:sz w:val="24"/>
        </w:rPr>
        <w:t> </w:t>
      </w:r>
      <w:r>
        <w:rPr>
          <w:sz w:val="24"/>
        </w:rPr>
        <w:t>red</w:t>
      </w:r>
      <w:r>
        <w:rPr>
          <w:spacing w:val="-3"/>
          <w:sz w:val="24"/>
        </w:rPr>
        <w:t> </w:t>
      </w:r>
      <w:r>
        <w:rPr>
          <w:sz w:val="24"/>
        </w:rPr>
        <w:t>risk due to serious issues with water ingress and falling masonry, making the building unsafe for staff.</w:t>
      </w:r>
    </w:p>
    <w:p>
      <w:pPr>
        <w:pStyle w:val="BodyText"/>
        <w:spacing w:before="7"/>
        <w:rPr>
          <w:sz w:val="23"/>
        </w:rPr>
      </w:pPr>
    </w:p>
    <w:p>
      <w:pPr>
        <w:spacing w:before="0"/>
        <w:ind w:left="880" w:right="0" w:firstLine="0"/>
        <w:jc w:val="both"/>
        <w:rPr>
          <w:b/>
          <w:sz w:val="24"/>
        </w:rPr>
      </w:pPr>
      <w:r>
        <w:rPr>
          <w:b/>
          <w:sz w:val="24"/>
        </w:rPr>
        <w:t>Senior</w:t>
      </w:r>
      <w:r>
        <w:rPr>
          <w:b/>
          <w:spacing w:val="-3"/>
          <w:sz w:val="24"/>
        </w:rPr>
        <w:t> </w:t>
      </w:r>
      <w:r>
        <w:rPr>
          <w:b/>
          <w:sz w:val="24"/>
        </w:rPr>
        <w:t>Staff</w:t>
      </w:r>
      <w:r>
        <w:rPr>
          <w:b/>
          <w:spacing w:val="-3"/>
          <w:sz w:val="24"/>
        </w:rPr>
        <w:t> </w:t>
      </w:r>
      <w:r>
        <w:rPr>
          <w:b/>
          <w:spacing w:val="-2"/>
          <w:sz w:val="24"/>
        </w:rPr>
        <w:t>Changes</w:t>
      </w:r>
    </w:p>
    <w:p>
      <w:pPr>
        <w:pStyle w:val="BodyText"/>
        <w:rPr>
          <w:b/>
        </w:rPr>
      </w:pPr>
    </w:p>
    <w:p>
      <w:pPr>
        <w:pStyle w:val="BodyText"/>
        <w:ind w:left="880" w:right="903"/>
        <w:jc w:val="both"/>
      </w:pPr>
      <w:r>
        <w:rPr/>
        <w:t>Neil Davies, Director, Specialist Estates Services is retiring in March and following</w:t>
      </w:r>
      <w:r>
        <w:rPr>
          <w:spacing w:val="-6"/>
        </w:rPr>
        <w:t> </w:t>
      </w:r>
      <w:r>
        <w:rPr/>
        <w:t>a</w:t>
      </w:r>
      <w:r>
        <w:rPr>
          <w:spacing w:val="-6"/>
        </w:rPr>
        <w:t> </w:t>
      </w:r>
      <w:r>
        <w:rPr/>
        <w:t>comprehensive</w:t>
      </w:r>
      <w:r>
        <w:rPr>
          <w:spacing w:val="-5"/>
        </w:rPr>
        <w:t> </w:t>
      </w:r>
      <w:r>
        <w:rPr/>
        <w:t>recruitment</w:t>
      </w:r>
      <w:r>
        <w:rPr>
          <w:spacing w:val="-6"/>
        </w:rPr>
        <w:t> </w:t>
      </w:r>
      <w:r>
        <w:rPr/>
        <w:t>process,</w:t>
      </w:r>
      <w:r>
        <w:rPr>
          <w:spacing w:val="-6"/>
        </w:rPr>
        <w:t> </w:t>
      </w:r>
      <w:r>
        <w:rPr/>
        <w:t>Stuart</w:t>
      </w:r>
      <w:r>
        <w:rPr>
          <w:spacing w:val="-6"/>
        </w:rPr>
        <w:t> </w:t>
      </w:r>
      <w:r>
        <w:rPr/>
        <w:t>Douglas,</w:t>
      </w:r>
      <w:r>
        <w:rPr>
          <w:spacing w:val="-6"/>
        </w:rPr>
        <w:t> </w:t>
      </w:r>
      <w:r>
        <w:rPr/>
        <w:t>the</w:t>
      </w:r>
      <w:r>
        <w:rPr>
          <w:spacing w:val="-6"/>
        </w:rPr>
        <w:t> </w:t>
      </w:r>
      <w:r>
        <w:rPr/>
        <w:t>current Deputy Director, will take on this role with effect from 1</w:t>
      </w:r>
      <w:r>
        <w:rPr>
          <w:position w:val="7"/>
          <w:sz w:val="16"/>
        </w:rPr>
        <w:t>st</w:t>
      </w:r>
      <w:r>
        <w:rPr>
          <w:spacing w:val="35"/>
          <w:position w:val="7"/>
          <w:sz w:val="16"/>
        </w:rPr>
        <w:t> </w:t>
      </w:r>
      <w:r>
        <w:rPr/>
        <w:t>of February. This allows an appropriate handover period between Neil and Stuart.</w:t>
      </w:r>
    </w:p>
    <w:p>
      <w:pPr>
        <w:pStyle w:val="BodyText"/>
        <w:rPr>
          <w:sz w:val="28"/>
        </w:rPr>
      </w:pPr>
    </w:p>
    <w:p>
      <w:pPr>
        <w:spacing w:before="243"/>
        <w:ind w:left="880" w:right="0" w:firstLine="0"/>
        <w:jc w:val="both"/>
        <w:rPr>
          <w:b/>
          <w:sz w:val="24"/>
        </w:rPr>
      </w:pPr>
      <w:r>
        <w:rPr>
          <w:b/>
          <w:sz w:val="24"/>
        </w:rPr>
        <w:t>Neil</w:t>
      </w:r>
      <w:r>
        <w:rPr>
          <w:b/>
          <w:spacing w:val="-1"/>
          <w:sz w:val="24"/>
        </w:rPr>
        <w:t> </w:t>
      </w:r>
      <w:r>
        <w:rPr>
          <w:b/>
          <w:spacing w:val="-2"/>
          <w:sz w:val="24"/>
        </w:rPr>
        <w:t>Frow,</w:t>
      </w:r>
    </w:p>
    <w:p>
      <w:pPr>
        <w:spacing w:before="0"/>
        <w:ind w:left="880" w:right="5343" w:firstLine="0"/>
        <w:jc w:val="left"/>
        <w:rPr>
          <w:b/>
          <w:sz w:val="24"/>
        </w:rPr>
      </w:pPr>
      <w:r>
        <w:rPr>
          <w:b/>
          <w:sz w:val="24"/>
        </w:rPr>
        <w:t>Managing</w:t>
      </w:r>
      <w:r>
        <w:rPr>
          <w:b/>
          <w:spacing w:val="-17"/>
          <w:sz w:val="24"/>
        </w:rPr>
        <w:t> </w:t>
      </w:r>
      <w:r>
        <w:rPr>
          <w:b/>
          <w:sz w:val="24"/>
        </w:rPr>
        <w:t>Director,</w:t>
      </w:r>
      <w:r>
        <w:rPr>
          <w:b/>
          <w:spacing w:val="-17"/>
          <w:sz w:val="24"/>
        </w:rPr>
        <w:t> </w:t>
      </w:r>
      <w:r>
        <w:rPr>
          <w:b/>
          <w:sz w:val="24"/>
        </w:rPr>
        <w:t>NWSSP, January 2023</w:t>
      </w:r>
    </w:p>
    <w:p>
      <w:pPr>
        <w:spacing w:after="0"/>
        <w:jc w:val="left"/>
        <w:rPr>
          <w:sz w:val="24"/>
        </w:rPr>
        <w:sectPr>
          <w:pgSz w:w="11910" w:h="16840"/>
          <w:pgMar w:header="0" w:footer="976" w:top="1260" w:bottom="1160" w:left="380" w:right="559"/>
        </w:sectPr>
      </w:pPr>
    </w:p>
    <w:p>
      <w:pPr>
        <w:pStyle w:val="BodyText"/>
        <w:rPr>
          <w:b/>
          <w:sz w:val="20"/>
        </w:rPr>
      </w:pPr>
      <w:r>
        <w:rPr/>
        <w:drawing>
          <wp:anchor distT="0" distB="0" distL="0" distR="0" allowOverlap="1" layoutInCell="1" locked="0" behindDoc="0" simplePos="0" relativeHeight="15734784">
            <wp:simplePos x="0" y="0"/>
            <wp:positionH relativeFrom="page">
              <wp:posOffset>0</wp:posOffset>
            </wp:positionH>
            <wp:positionV relativeFrom="page">
              <wp:posOffset>0</wp:posOffset>
            </wp:positionV>
            <wp:extent cx="7560563" cy="1986914"/>
            <wp:effectExtent l="0" t="0" r="0" b="0"/>
            <wp:wrapNone/>
            <wp:docPr id="7" name="image4.jpeg"/>
            <wp:cNvGraphicFramePr>
              <a:graphicFrameLocks noChangeAspect="1"/>
            </wp:cNvGraphicFramePr>
            <a:graphic>
              <a:graphicData uri="http://schemas.openxmlformats.org/drawingml/2006/picture">
                <pic:pic>
                  <pic:nvPicPr>
                    <pic:cNvPr id="8" name="image4.jpeg"/>
                    <pic:cNvPicPr/>
                  </pic:nvPicPr>
                  <pic:blipFill>
                    <a:blip r:embed="rId17" cstate="print"/>
                    <a:stretch>
                      <a:fillRect/>
                    </a:stretch>
                  </pic:blipFill>
                  <pic:spPr>
                    <a:xfrm>
                      <a:off x="0" y="0"/>
                      <a:ext cx="7560563" cy="1986914"/>
                    </a:xfrm>
                    <a:prstGeom prst="rect">
                      <a:avLst/>
                    </a:prstGeom>
                  </pic:spPr>
                </pic:pic>
              </a:graphicData>
            </a:graphic>
          </wp:anchor>
        </w:drawing>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19"/>
        </w:rPr>
      </w:pPr>
    </w:p>
    <w:p>
      <w:pPr>
        <w:spacing w:before="93"/>
        <w:ind w:left="472" w:right="0" w:firstLine="0"/>
        <w:jc w:val="left"/>
        <w:rPr>
          <w:rFonts w:ascii="Arial"/>
          <w:sz w:val="20"/>
        </w:rPr>
      </w:pPr>
      <w:bookmarkStart w:name=" 3.1 Audit Wales update paper - NWSSP Ja" w:id="39"/>
      <w:bookmarkEnd w:id="39"/>
      <w:r>
        <w:rPr/>
      </w:r>
      <w:r>
        <w:rPr>
          <w:rFonts w:ascii="Arial"/>
          <w:b/>
          <w:color w:val="515253"/>
          <w:sz w:val="20"/>
        </w:rPr>
        <w:t>Date</w:t>
      </w:r>
      <w:r>
        <w:rPr>
          <w:rFonts w:ascii="Arial"/>
          <w:b/>
          <w:color w:val="515253"/>
          <w:spacing w:val="-9"/>
          <w:sz w:val="20"/>
        </w:rPr>
        <w:t> </w:t>
      </w:r>
      <w:r>
        <w:rPr>
          <w:rFonts w:ascii="Arial"/>
          <w:b/>
          <w:color w:val="515253"/>
          <w:sz w:val="20"/>
        </w:rPr>
        <w:t>issued:</w:t>
      </w:r>
      <w:r>
        <w:rPr>
          <w:rFonts w:ascii="Arial"/>
          <w:b/>
          <w:color w:val="515253"/>
          <w:spacing w:val="-6"/>
          <w:sz w:val="20"/>
        </w:rPr>
        <w:t> </w:t>
      </w:r>
      <w:r>
        <w:rPr>
          <w:rFonts w:ascii="Arial"/>
          <w:color w:val="515253"/>
          <w:sz w:val="20"/>
        </w:rPr>
        <w:t>January</w:t>
      </w:r>
      <w:r>
        <w:rPr>
          <w:rFonts w:ascii="Arial"/>
          <w:color w:val="515253"/>
          <w:spacing w:val="-7"/>
          <w:sz w:val="20"/>
        </w:rPr>
        <w:t> </w:t>
      </w:r>
      <w:r>
        <w:rPr>
          <w:rFonts w:ascii="Arial"/>
          <w:color w:val="515253"/>
          <w:spacing w:val="-4"/>
          <w:sz w:val="20"/>
        </w:rPr>
        <w:t>2023</w:t>
      </w:r>
    </w:p>
    <w:p>
      <w:pPr>
        <w:pStyle w:val="BodyText"/>
        <w:rPr>
          <w:rFonts w:ascii="Arial"/>
          <w:sz w:val="22"/>
        </w:rPr>
      </w:pPr>
    </w:p>
    <w:p>
      <w:pPr>
        <w:pStyle w:val="BodyText"/>
        <w:spacing w:before="5"/>
        <w:rPr>
          <w:rFonts w:ascii="Arial"/>
          <w:sz w:val="19"/>
        </w:rPr>
      </w:pPr>
    </w:p>
    <w:p>
      <w:pPr>
        <w:pStyle w:val="Heading4"/>
        <w:spacing w:line="242" w:lineRule="auto" w:before="0"/>
        <w:ind w:left="472" w:right="2744"/>
        <w:rPr>
          <w:rFonts w:ascii="Arial" w:hAnsi="Arial"/>
        </w:rPr>
      </w:pPr>
      <w:r>
        <w:rPr>
          <w:rFonts w:ascii="Arial" w:hAnsi="Arial"/>
          <w:color w:val="F46239"/>
        </w:rPr>
        <w:t>Audit</w:t>
      </w:r>
      <w:r>
        <w:rPr>
          <w:rFonts w:ascii="Arial" w:hAnsi="Arial"/>
          <w:color w:val="F46239"/>
          <w:spacing w:val="-5"/>
        </w:rPr>
        <w:t> </w:t>
      </w:r>
      <w:r>
        <w:rPr>
          <w:rFonts w:ascii="Arial" w:hAnsi="Arial"/>
          <w:color w:val="F46239"/>
        </w:rPr>
        <w:t>Wales</w:t>
      </w:r>
      <w:r>
        <w:rPr>
          <w:rFonts w:ascii="Arial" w:hAnsi="Arial"/>
          <w:color w:val="F46239"/>
          <w:spacing w:val="-6"/>
        </w:rPr>
        <w:t> </w:t>
      </w:r>
      <w:r>
        <w:rPr>
          <w:rFonts w:ascii="Arial" w:hAnsi="Arial"/>
          <w:color w:val="F46239"/>
        </w:rPr>
        <w:t>update</w:t>
      </w:r>
      <w:r>
        <w:rPr>
          <w:rFonts w:ascii="Arial" w:hAnsi="Arial"/>
          <w:color w:val="F46239"/>
          <w:spacing w:val="-6"/>
        </w:rPr>
        <w:t> </w:t>
      </w:r>
      <w:r>
        <w:rPr>
          <w:rFonts w:ascii="Arial" w:hAnsi="Arial"/>
          <w:color w:val="F46239"/>
        </w:rPr>
        <w:t>for</w:t>
      </w:r>
      <w:r>
        <w:rPr>
          <w:rFonts w:ascii="Arial" w:hAnsi="Arial"/>
          <w:color w:val="F46239"/>
          <w:spacing w:val="-7"/>
        </w:rPr>
        <w:t> </w:t>
      </w:r>
      <w:r>
        <w:rPr>
          <w:rFonts w:ascii="Arial" w:hAnsi="Arial"/>
          <w:color w:val="F46239"/>
        </w:rPr>
        <w:t>the</w:t>
      </w:r>
      <w:r>
        <w:rPr>
          <w:rFonts w:ascii="Arial" w:hAnsi="Arial"/>
          <w:color w:val="F46239"/>
          <w:spacing w:val="-5"/>
        </w:rPr>
        <w:t> </w:t>
      </w:r>
      <w:r>
        <w:rPr>
          <w:rFonts w:ascii="Arial" w:hAnsi="Arial"/>
          <w:color w:val="F46239"/>
        </w:rPr>
        <w:t>NWSSP</w:t>
      </w:r>
      <w:r>
        <w:rPr>
          <w:rFonts w:ascii="Arial" w:hAnsi="Arial"/>
          <w:color w:val="F46239"/>
          <w:spacing w:val="-5"/>
        </w:rPr>
        <w:t> </w:t>
      </w:r>
      <w:r>
        <w:rPr>
          <w:rFonts w:ascii="Arial" w:hAnsi="Arial"/>
          <w:color w:val="F46239"/>
        </w:rPr>
        <w:t>Audit Committee – January 2023</w:t>
      </w:r>
    </w:p>
    <w:p>
      <w:pPr>
        <w:pStyle w:val="BodyText"/>
        <w:spacing w:before="2"/>
        <w:rPr>
          <w:rFonts w:ascii="Arial"/>
          <w:sz w:val="38"/>
        </w:rPr>
      </w:pPr>
    </w:p>
    <w:p>
      <w:pPr>
        <w:spacing w:before="0"/>
        <w:ind w:left="472" w:right="0" w:firstLine="0"/>
        <w:jc w:val="left"/>
        <w:rPr>
          <w:rFonts w:ascii="Arial"/>
          <w:b/>
          <w:sz w:val="24"/>
        </w:rPr>
      </w:pPr>
      <w:r>
        <w:rPr>
          <w:rFonts w:ascii="Arial"/>
          <w:b/>
          <w:color w:val="515253"/>
          <w:spacing w:val="-2"/>
          <w:sz w:val="24"/>
        </w:rPr>
        <w:t>Introduction</w:t>
      </w:r>
    </w:p>
    <w:p>
      <w:pPr>
        <w:pStyle w:val="ListParagraph"/>
        <w:numPr>
          <w:ilvl w:val="0"/>
          <w:numId w:val="9"/>
        </w:numPr>
        <w:tabs>
          <w:tab w:pos="1038" w:val="left" w:leader="none"/>
          <w:tab w:pos="1039" w:val="left" w:leader="none"/>
        </w:tabs>
        <w:spacing w:line="292" w:lineRule="auto" w:before="170" w:after="0"/>
        <w:ind w:left="1038" w:right="2600" w:hanging="567"/>
        <w:jc w:val="left"/>
        <w:rPr>
          <w:rFonts w:ascii="Arial" w:hAnsi="Arial"/>
          <w:sz w:val="20"/>
        </w:rPr>
      </w:pPr>
      <w:r>
        <w:rPr>
          <w:rFonts w:ascii="Arial" w:hAnsi="Arial"/>
          <w:color w:val="515253"/>
          <w:sz w:val="20"/>
        </w:rPr>
        <w:t>This document provides the NWSSP Audit Committee with an update on current and planned Audit Wales work, together with information on the Auditor General’s planned</w:t>
      </w:r>
      <w:r>
        <w:rPr>
          <w:rFonts w:ascii="Arial" w:hAnsi="Arial"/>
          <w:color w:val="515253"/>
          <w:spacing w:val="-4"/>
          <w:sz w:val="20"/>
        </w:rPr>
        <w:t> </w:t>
      </w:r>
      <w:r>
        <w:rPr>
          <w:rFonts w:ascii="Arial" w:hAnsi="Arial"/>
          <w:color w:val="515253"/>
          <w:sz w:val="20"/>
        </w:rPr>
        <w:t>programme</w:t>
      </w:r>
      <w:r>
        <w:rPr>
          <w:rFonts w:ascii="Arial" w:hAnsi="Arial"/>
          <w:color w:val="515253"/>
          <w:spacing w:val="-4"/>
          <w:sz w:val="20"/>
        </w:rPr>
        <w:t> </w:t>
      </w:r>
      <w:r>
        <w:rPr>
          <w:rFonts w:ascii="Arial" w:hAnsi="Arial"/>
          <w:color w:val="515253"/>
          <w:sz w:val="20"/>
        </w:rPr>
        <w:t>of</w:t>
      </w:r>
      <w:r>
        <w:rPr>
          <w:rFonts w:ascii="Arial" w:hAnsi="Arial"/>
          <w:color w:val="515253"/>
          <w:spacing w:val="-4"/>
          <w:sz w:val="20"/>
        </w:rPr>
        <w:t> </w:t>
      </w:r>
      <w:r>
        <w:rPr>
          <w:rFonts w:ascii="Arial" w:hAnsi="Arial"/>
          <w:color w:val="515253"/>
          <w:sz w:val="20"/>
        </w:rPr>
        <w:t>studies</w:t>
      </w:r>
      <w:r>
        <w:rPr>
          <w:rFonts w:ascii="Arial" w:hAnsi="Arial"/>
          <w:color w:val="515253"/>
          <w:spacing w:val="-4"/>
          <w:sz w:val="20"/>
        </w:rPr>
        <w:t> </w:t>
      </w:r>
      <w:r>
        <w:rPr>
          <w:rFonts w:ascii="Arial" w:hAnsi="Arial"/>
          <w:color w:val="515253"/>
          <w:sz w:val="20"/>
        </w:rPr>
        <w:t>and</w:t>
      </w:r>
      <w:r>
        <w:rPr>
          <w:rFonts w:ascii="Arial" w:hAnsi="Arial"/>
          <w:color w:val="515253"/>
          <w:spacing w:val="-4"/>
          <w:sz w:val="20"/>
        </w:rPr>
        <w:t> </w:t>
      </w:r>
      <w:r>
        <w:rPr>
          <w:rFonts w:ascii="Arial" w:hAnsi="Arial"/>
          <w:color w:val="515253"/>
          <w:sz w:val="20"/>
        </w:rPr>
        <w:t>publications together</w:t>
      </w:r>
      <w:r>
        <w:rPr>
          <w:rFonts w:ascii="Arial" w:hAnsi="Arial"/>
          <w:color w:val="515253"/>
          <w:spacing w:val="-4"/>
          <w:sz w:val="20"/>
        </w:rPr>
        <w:t> </w:t>
      </w:r>
      <w:r>
        <w:rPr>
          <w:rFonts w:ascii="Arial" w:hAnsi="Arial"/>
          <w:color w:val="515253"/>
          <w:sz w:val="20"/>
        </w:rPr>
        <w:t>with</w:t>
      </w:r>
      <w:r>
        <w:rPr>
          <w:rFonts w:ascii="Arial" w:hAnsi="Arial"/>
          <w:color w:val="515253"/>
          <w:spacing w:val="-3"/>
          <w:sz w:val="20"/>
        </w:rPr>
        <w:t> </w:t>
      </w:r>
      <w:r>
        <w:rPr>
          <w:rFonts w:ascii="Arial" w:hAnsi="Arial"/>
          <w:color w:val="515253"/>
          <w:sz w:val="20"/>
        </w:rPr>
        <w:t>the</w:t>
      </w:r>
      <w:r>
        <w:rPr>
          <w:rFonts w:ascii="Arial" w:hAnsi="Arial"/>
          <w:color w:val="515253"/>
          <w:spacing w:val="-3"/>
          <w:sz w:val="20"/>
        </w:rPr>
        <w:t> </w:t>
      </w:r>
      <w:r>
        <w:rPr>
          <w:rFonts w:ascii="Arial" w:hAnsi="Arial"/>
          <w:color w:val="515253"/>
          <w:sz w:val="20"/>
        </w:rPr>
        <w:t>work</w:t>
      </w:r>
      <w:r>
        <w:rPr>
          <w:rFonts w:ascii="Arial" w:hAnsi="Arial"/>
          <w:color w:val="515253"/>
          <w:spacing w:val="-3"/>
          <w:sz w:val="20"/>
        </w:rPr>
        <w:t> </w:t>
      </w:r>
      <w:r>
        <w:rPr>
          <w:rFonts w:ascii="Arial" w:hAnsi="Arial"/>
          <w:color w:val="515253"/>
          <w:sz w:val="20"/>
        </w:rPr>
        <w:t>of</w:t>
      </w:r>
      <w:r>
        <w:rPr>
          <w:rFonts w:ascii="Arial" w:hAnsi="Arial"/>
          <w:color w:val="515253"/>
          <w:spacing w:val="-4"/>
          <w:sz w:val="20"/>
        </w:rPr>
        <w:t> </w:t>
      </w:r>
      <w:r>
        <w:rPr>
          <w:rFonts w:ascii="Arial" w:hAnsi="Arial"/>
          <w:color w:val="515253"/>
          <w:sz w:val="20"/>
        </w:rPr>
        <w:t>our</w:t>
      </w:r>
      <w:r>
        <w:rPr>
          <w:rFonts w:ascii="Arial" w:hAnsi="Arial"/>
          <w:color w:val="515253"/>
          <w:spacing w:val="-4"/>
          <w:sz w:val="20"/>
        </w:rPr>
        <w:t> </w:t>
      </w:r>
      <w:r>
        <w:rPr>
          <w:rFonts w:ascii="Arial" w:hAnsi="Arial"/>
          <w:color w:val="515253"/>
          <w:sz w:val="20"/>
        </w:rPr>
        <w:t>Good Practice Exchange (GPX).</w:t>
      </w:r>
    </w:p>
    <w:p>
      <w:pPr>
        <w:pStyle w:val="BodyText"/>
        <w:rPr>
          <w:rFonts w:ascii="Arial"/>
          <w:sz w:val="22"/>
        </w:rPr>
      </w:pPr>
    </w:p>
    <w:p>
      <w:pPr>
        <w:spacing w:before="140"/>
        <w:ind w:left="472" w:right="0" w:firstLine="0"/>
        <w:jc w:val="left"/>
        <w:rPr>
          <w:rFonts w:ascii="Arial"/>
          <w:b/>
          <w:sz w:val="24"/>
        </w:rPr>
      </w:pPr>
      <w:r>
        <w:rPr>
          <w:rFonts w:ascii="Arial"/>
          <w:b/>
          <w:color w:val="515253"/>
          <w:sz w:val="24"/>
        </w:rPr>
        <w:t>2022-23</w:t>
      </w:r>
      <w:r>
        <w:rPr>
          <w:rFonts w:ascii="Arial"/>
          <w:b/>
          <w:color w:val="515253"/>
          <w:spacing w:val="-9"/>
          <w:sz w:val="24"/>
        </w:rPr>
        <w:t> </w:t>
      </w:r>
      <w:r>
        <w:rPr>
          <w:rFonts w:ascii="Arial"/>
          <w:b/>
          <w:color w:val="515253"/>
          <w:sz w:val="24"/>
        </w:rPr>
        <w:t>Audit</w:t>
      </w:r>
      <w:r>
        <w:rPr>
          <w:rFonts w:ascii="Arial"/>
          <w:b/>
          <w:color w:val="515253"/>
          <w:spacing w:val="-8"/>
          <w:sz w:val="24"/>
        </w:rPr>
        <w:t> </w:t>
      </w:r>
      <w:r>
        <w:rPr>
          <w:rFonts w:ascii="Arial"/>
          <w:b/>
          <w:color w:val="515253"/>
          <w:sz w:val="24"/>
        </w:rPr>
        <w:t>Progress</w:t>
      </w:r>
      <w:r>
        <w:rPr>
          <w:rFonts w:ascii="Arial"/>
          <w:b/>
          <w:color w:val="515253"/>
          <w:spacing w:val="-7"/>
          <w:sz w:val="24"/>
        </w:rPr>
        <w:t> </w:t>
      </w:r>
      <w:r>
        <w:rPr>
          <w:rFonts w:ascii="Arial"/>
          <w:b/>
          <w:color w:val="515253"/>
          <w:spacing w:val="-2"/>
          <w:sz w:val="24"/>
        </w:rPr>
        <w:t>update</w:t>
      </w:r>
    </w:p>
    <w:p>
      <w:pPr>
        <w:pStyle w:val="ListParagraph"/>
        <w:numPr>
          <w:ilvl w:val="0"/>
          <w:numId w:val="9"/>
        </w:numPr>
        <w:tabs>
          <w:tab w:pos="1038" w:val="left" w:leader="none"/>
          <w:tab w:pos="1039" w:val="left" w:leader="none"/>
        </w:tabs>
        <w:spacing w:line="292" w:lineRule="auto" w:before="167" w:after="0"/>
        <w:ind w:left="1038" w:right="2734" w:hanging="567"/>
        <w:jc w:val="left"/>
        <w:rPr>
          <w:rFonts w:ascii="Arial"/>
          <w:sz w:val="20"/>
        </w:rPr>
      </w:pPr>
      <w:r>
        <w:rPr>
          <w:rFonts w:ascii="Arial"/>
          <w:color w:val="515253"/>
          <w:sz w:val="20"/>
        </w:rPr>
        <w:t>At</w:t>
      </w:r>
      <w:r>
        <w:rPr>
          <w:rFonts w:ascii="Arial"/>
          <w:color w:val="515253"/>
          <w:spacing w:val="-5"/>
          <w:sz w:val="20"/>
        </w:rPr>
        <w:t> </w:t>
      </w:r>
      <w:r>
        <w:rPr>
          <w:rFonts w:ascii="Arial"/>
          <w:color w:val="515253"/>
          <w:sz w:val="20"/>
        </w:rPr>
        <w:t>the</w:t>
      </w:r>
      <w:r>
        <w:rPr>
          <w:rFonts w:ascii="Arial"/>
          <w:color w:val="515253"/>
          <w:spacing w:val="-5"/>
          <w:sz w:val="20"/>
        </w:rPr>
        <w:t> </w:t>
      </w:r>
      <w:r>
        <w:rPr>
          <w:rFonts w:ascii="Arial"/>
          <w:color w:val="515253"/>
          <w:sz w:val="20"/>
        </w:rPr>
        <w:t>equivalent</w:t>
      </w:r>
      <w:r>
        <w:rPr>
          <w:rFonts w:ascii="Arial"/>
          <w:color w:val="515253"/>
          <w:spacing w:val="-3"/>
          <w:sz w:val="20"/>
        </w:rPr>
        <w:t> </w:t>
      </w:r>
      <w:r>
        <w:rPr>
          <w:rFonts w:ascii="Arial"/>
          <w:color w:val="515253"/>
          <w:sz w:val="20"/>
        </w:rPr>
        <w:t>Shared</w:t>
      </w:r>
      <w:r>
        <w:rPr>
          <w:rFonts w:ascii="Arial"/>
          <w:color w:val="515253"/>
          <w:spacing w:val="-5"/>
          <w:sz w:val="20"/>
        </w:rPr>
        <w:t> </w:t>
      </w:r>
      <w:r>
        <w:rPr>
          <w:rFonts w:ascii="Arial"/>
          <w:color w:val="515253"/>
          <w:sz w:val="20"/>
        </w:rPr>
        <w:t>Services</w:t>
      </w:r>
      <w:r>
        <w:rPr>
          <w:rFonts w:ascii="Arial"/>
          <w:color w:val="515253"/>
          <w:spacing w:val="-4"/>
          <w:sz w:val="20"/>
        </w:rPr>
        <w:t> </w:t>
      </w:r>
      <w:r>
        <w:rPr>
          <w:rFonts w:ascii="Arial"/>
          <w:color w:val="515253"/>
          <w:sz w:val="20"/>
        </w:rPr>
        <w:t>Audit</w:t>
      </w:r>
      <w:r>
        <w:rPr>
          <w:rFonts w:ascii="Arial"/>
          <w:color w:val="515253"/>
          <w:spacing w:val="-5"/>
          <w:sz w:val="20"/>
        </w:rPr>
        <w:t> </w:t>
      </w:r>
      <w:r>
        <w:rPr>
          <w:rFonts w:ascii="Arial"/>
          <w:color w:val="515253"/>
          <w:sz w:val="20"/>
        </w:rPr>
        <w:t>Committee</w:t>
      </w:r>
      <w:r>
        <w:rPr>
          <w:rFonts w:ascii="Arial"/>
          <w:color w:val="515253"/>
          <w:spacing w:val="-3"/>
          <w:sz w:val="20"/>
        </w:rPr>
        <w:t> </w:t>
      </w:r>
      <w:r>
        <w:rPr>
          <w:rFonts w:ascii="Arial"/>
          <w:color w:val="515253"/>
          <w:sz w:val="20"/>
        </w:rPr>
        <w:t>meeting</w:t>
      </w:r>
      <w:r>
        <w:rPr>
          <w:rFonts w:ascii="Arial"/>
          <w:color w:val="515253"/>
          <w:spacing w:val="-3"/>
          <w:sz w:val="20"/>
        </w:rPr>
        <w:t> </w:t>
      </w:r>
      <w:r>
        <w:rPr>
          <w:rFonts w:ascii="Arial"/>
          <w:color w:val="515253"/>
          <w:sz w:val="20"/>
        </w:rPr>
        <w:t>during</w:t>
      </w:r>
      <w:r>
        <w:rPr>
          <w:rFonts w:ascii="Arial"/>
          <w:color w:val="515253"/>
          <w:spacing w:val="-5"/>
          <w:sz w:val="20"/>
        </w:rPr>
        <w:t> </w:t>
      </w:r>
      <w:r>
        <w:rPr>
          <w:rFonts w:ascii="Arial"/>
          <w:color w:val="515253"/>
          <w:sz w:val="20"/>
        </w:rPr>
        <w:t>January</w:t>
      </w:r>
      <w:r>
        <w:rPr>
          <w:rFonts w:ascii="Arial"/>
          <w:color w:val="515253"/>
          <w:spacing w:val="-4"/>
          <w:sz w:val="20"/>
        </w:rPr>
        <w:t> </w:t>
      </w:r>
      <w:r>
        <w:rPr>
          <w:rFonts w:ascii="Arial"/>
          <w:color w:val="515253"/>
          <w:sz w:val="20"/>
        </w:rPr>
        <w:t>2022 we presented a paper setting out our planned programme of work at NWSSP for 2022. We are unable, at this stage, to produce a similar paper for our 2023 programme of work.</w:t>
      </w:r>
    </w:p>
    <w:p>
      <w:pPr>
        <w:pStyle w:val="ListParagraph"/>
        <w:numPr>
          <w:ilvl w:val="0"/>
          <w:numId w:val="9"/>
        </w:numPr>
        <w:tabs>
          <w:tab w:pos="1038" w:val="left" w:leader="none"/>
          <w:tab w:pos="1039" w:val="left" w:leader="none"/>
        </w:tabs>
        <w:spacing w:line="292" w:lineRule="auto" w:before="59" w:after="0"/>
        <w:ind w:left="1038" w:right="2700" w:hanging="567"/>
        <w:jc w:val="left"/>
        <w:rPr>
          <w:rFonts w:ascii="Arial"/>
          <w:sz w:val="20"/>
        </w:rPr>
      </w:pPr>
      <w:r>
        <w:rPr>
          <w:rFonts w:ascii="Arial"/>
          <w:color w:val="515253"/>
          <w:sz w:val="20"/>
        </w:rPr>
        <w:t>This is due to the fact that 2021-22 audit work is continuing at many of our client sites, particularly in the local government sector, and in addition we are working through the impact of a new significant auditing standard (ISA 315) that requires external auditors to fundamentally review their approach to audit risk at audited bodies. ISA315 will therefore influence the scope of our work at NWSSP that we undertake on behalf of the various auditors of NHS Wales bodies. Both of these factors</w:t>
      </w:r>
      <w:r>
        <w:rPr>
          <w:rFonts w:ascii="Arial"/>
          <w:color w:val="515253"/>
          <w:spacing w:val="-2"/>
          <w:sz w:val="20"/>
        </w:rPr>
        <w:t> </w:t>
      </w:r>
      <w:r>
        <w:rPr>
          <w:rFonts w:ascii="Arial"/>
          <w:color w:val="515253"/>
          <w:sz w:val="20"/>
        </w:rPr>
        <w:t>could</w:t>
      </w:r>
      <w:r>
        <w:rPr>
          <w:rFonts w:ascii="Arial"/>
          <w:color w:val="515253"/>
          <w:spacing w:val="-2"/>
          <w:sz w:val="20"/>
        </w:rPr>
        <w:t> </w:t>
      </w:r>
      <w:r>
        <w:rPr>
          <w:rFonts w:ascii="Arial"/>
          <w:color w:val="515253"/>
          <w:sz w:val="20"/>
        </w:rPr>
        <w:t>result</w:t>
      </w:r>
      <w:r>
        <w:rPr>
          <w:rFonts w:ascii="Arial"/>
          <w:color w:val="515253"/>
          <w:spacing w:val="-2"/>
          <w:sz w:val="20"/>
        </w:rPr>
        <w:t> </w:t>
      </w:r>
      <w:r>
        <w:rPr>
          <w:rFonts w:ascii="Arial"/>
          <w:color w:val="515253"/>
          <w:sz w:val="20"/>
        </w:rPr>
        <w:t>in</w:t>
      </w:r>
      <w:r>
        <w:rPr>
          <w:rFonts w:ascii="Arial"/>
          <w:color w:val="515253"/>
          <w:spacing w:val="-2"/>
          <w:sz w:val="20"/>
        </w:rPr>
        <w:t> </w:t>
      </w:r>
      <w:r>
        <w:rPr>
          <w:rFonts w:ascii="Arial"/>
          <w:color w:val="515253"/>
          <w:sz w:val="20"/>
        </w:rPr>
        <w:t>a</w:t>
      </w:r>
      <w:r>
        <w:rPr>
          <w:rFonts w:ascii="Arial"/>
          <w:color w:val="515253"/>
          <w:spacing w:val="-5"/>
          <w:sz w:val="20"/>
        </w:rPr>
        <w:t> </w:t>
      </w:r>
      <w:r>
        <w:rPr>
          <w:rFonts w:ascii="Arial"/>
          <w:color w:val="515253"/>
          <w:sz w:val="20"/>
        </w:rPr>
        <w:t>delay</w:t>
      </w:r>
      <w:r>
        <w:rPr>
          <w:rFonts w:ascii="Arial"/>
          <w:color w:val="515253"/>
          <w:spacing w:val="-3"/>
          <w:sz w:val="20"/>
        </w:rPr>
        <w:t> </w:t>
      </w:r>
      <w:r>
        <w:rPr>
          <w:rFonts w:ascii="Arial"/>
          <w:color w:val="515253"/>
          <w:sz w:val="20"/>
        </w:rPr>
        <w:t>to</w:t>
      </w:r>
      <w:r>
        <w:rPr>
          <w:rFonts w:ascii="Arial"/>
          <w:color w:val="515253"/>
          <w:spacing w:val="-4"/>
          <w:sz w:val="20"/>
        </w:rPr>
        <w:t> </w:t>
      </w:r>
      <w:r>
        <w:rPr>
          <w:rFonts w:ascii="Arial"/>
          <w:color w:val="515253"/>
          <w:sz w:val="20"/>
        </w:rPr>
        <w:t>our</w:t>
      </w:r>
      <w:r>
        <w:rPr>
          <w:rFonts w:ascii="Arial"/>
          <w:color w:val="515253"/>
          <w:spacing w:val="-4"/>
          <w:sz w:val="20"/>
        </w:rPr>
        <w:t> </w:t>
      </w:r>
      <w:r>
        <w:rPr>
          <w:rFonts w:ascii="Arial"/>
          <w:color w:val="515253"/>
          <w:sz w:val="20"/>
        </w:rPr>
        <w:t>2022-23</w:t>
      </w:r>
      <w:r>
        <w:rPr>
          <w:rFonts w:ascii="Arial"/>
          <w:color w:val="515253"/>
          <w:spacing w:val="-2"/>
          <w:sz w:val="20"/>
        </w:rPr>
        <w:t> </w:t>
      </w:r>
      <w:r>
        <w:rPr>
          <w:rFonts w:ascii="Arial"/>
          <w:color w:val="515253"/>
          <w:sz w:val="20"/>
        </w:rPr>
        <w:t>audit</w:t>
      </w:r>
      <w:r>
        <w:rPr>
          <w:rFonts w:ascii="Arial"/>
          <w:color w:val="515253"/>
          <w:spacing w:val="-2"/>
          <w:sz w:val="20"/>
        </w:rPr>
        <w:t> </w:t>
      </w:r>
      <w:r>
        <w:rPr>
          <w:rFonts w:ascii="Arial"/>
          <w:color w:val="515253"/>
          <w:sz w:val="20"/>
        </w:rPr>
        <w:t>work</w:t>
      </w:r>
      <w:r>
        <w:rPr>
          <w:rFonts w:ascii="Arial"/>
          <w:color w:val="515253"/>
          <w:spacing w:val="-1"/>
          <w:sz w:val="20"/>
        </w:rPr>
        <w:t> </w:t>
      </w:r>
      <w:r>
        <w:rPr>
          <w:rFonts w:ascii="Arial"/>
          <w:color w:val="515253"/>
          <w:sz w:val="20"/>
        </w:rPr>
        <w:t>at</w:t>
      </w:r>
      <w:r>
        <w:rPr>
          <w:rFonts w:ascii="Arial"/>
          <w:color w:val="515253"/>
          <w:spacing w:val="-4"/>
          <w:sz w:val="20"/>
        </w:rPr>
        <w:t> </w:t>
      </w:r>
      <w:r>
        <w:rPr>
          <w:rFonts w:ascii="Arial"/>
          <w:color w:val="515253"/>
          <w:sz w:val="20"/>
        </w:rPr>
        <w:t>all</w:t>
      </w:r>
      <w:r>
        <w:rPr>
          <w:rFonts w:ascii="Arial"/>
          <w:color w:val="515253"/>
          <w:spacing w:val="-5"/>
          <w:sz w:val="20"/>
        </w:rPr>
        <w:t> </w:t>
      </w:r>
      <w:r>
        <w:rPr>
          <w:rFonts w:ascii="Arial"/>
          <w:color w:val="515253"/>
          <w:sz w:val="20"/>
        </w:rPr>
        <w:t>client</w:t>
      </w:r>
      <w:r>
        <w:rPr>
          <w:rFonts w:ascii="Arial"/>
          <w:color w:val="515253"/>
          <w:spacing w:val="-4"/>
          <w:sz w:val="20"/>
        </w:rPr>
        <w:t> </w:t>
      </w:r>
      <w:r>
        <w:rPr>
          <w:rFonts w:ascii="Arial"/>
          <w:color w:val="515253"/>
          <w:sz w:val="20"/>
        </w:rPr>
        <w:t>sites including </w:t>
      </w:r>
      <w:r>
        <w:rPr>
          <w:rFonts w:ascii="Arial"/>
          <w:color w:val="515253"/>
          <w:spacing w:val="-2"/>
          <w:sz w:val="20"/>
        </w:rPr>
        <w:t>NWSSP.</w:t>
      </w:r>
    </w:p>
    <w:p>
      <w:pPr>
        <w:pStyle w:val="BodyText"/>
        <w:rPr>
          <w:rFonts w:ascii="Arial"/>
          <w:sz w:val="22"/>
        </w:rPr>
      </w:pPr>
    </w:p>
    <w:p>
      <w:pPr>
        <w:spacing w:before="138"/>
        <w:ind w:left="472" w:right="0" w:firstLine="0"/>
        <w:jc w:val="left"/>
        <w:rPr>
          <w:rFonts w:ascii="Arial"/>
          <w:b/>
          <w:sz w:val="24"/>
        </w:rPr>
      </w:pPr>
      <w:r>
        <w:rPr>
          <w:rFonts w:ascii="Arial"/>
          <w:b/>
          <w:color w:val="515253"/>
          <w:sz w:val="24"/>
        </w:rPr>
        <w:t>General</w:t>
      </w:r>
      <w:r>
        <w:rPr>
          <w:rFonts w:ascii="Arial"/>
          <w:b/>
          <w:color w:val="515253"/>
          <w:spacing w:val="-3"/>
          <w:sz w:val="24"/>
        </w:rPr>
        <w:t> </w:t>
      </w:r>
      <w:r>
        <w:rPr>
          <w:rFonts w:ascii="Arial"/>
          <w:b/>
          <w:color w:val="515253"/>
          <w:sz w:val="24"/>
        </w:rPr>
        <w:t>Audit</w:t>
      </w:r>
      <w:r>
        <w:rPr>
          <w:rFonts w:ascii="Arial"/>
          <w:b/>
          <w:color w:val="515253"/>
          <w:spacing w:val="-2"/>
          <w:sz w:val="24"/>
        </w:rPr>
        <w:t> </w:t>
      </w:r>
      <w:r>
        <w:rPr>
          <w:rFonts w:ascii="Arial"/>
          <w:b/>
          <w:color w:val="515253"/>
          <w:sz w:val="24"/>
        </w:rPr>
        <w:t>Wales</w:t>
      </w:r>
      <w:r>
        <w:rPr>
          <w:rFonts w:ascii="Arial"/>
          <w:b/>
          <w:color w:val="515253"/>
          <w:spacing w:val="-6"/>
          <w:sz w:val="24"/>
        </w:rPr>
        <w:t> </w:t>
      </w:r>
      <w:r>
        <w:rPr>
          <w:rFonts w:ascii="Arial"/>
          <w:b/>
          <w:color w:val="515253"/>
          <w:spacing w:val="-2"/>
          <w:sz w:val="24"/>
        </w:rPr>
        <w:t>Update</w:t>
      </w:r>
    </w:p>
    <w:p>
      <w:pPr>
        <w:pStyle w:val="ListParagraph"/>
        <w:numPr>
          <w:ilvl w:val="0"/>
          <w:numId w:val="9"/>
        </w:numPr>
        <w:tabs>
          <w:tab w:pos="1038" w:val="left" w:leader="none"/>
          <w:tab w:pos="1039" w:val="left" w:leader="none"/>
        </w:tabs>
        <w:spacing w:line="292" w:lineRule="auto" w:before="167" w:after="0"/>
        <w:ind w:left="1038" w:right="2702" w:hanging="567"/>
        <w:jc w:val="left"/>
        <w:rPr>
          <w:rFonts w:ascii="Arial"/>
          <w:sz w:val="20"/>
        </w:rPr>
      </w:pPr>
      <w:r>
        <w:rPr>
          <w:rFonts w:ascii="Arial"/>
          <w:color w:val="404040"/>
          <w:sz w:val="20"/>
        </w:rPr>
        <w:t>Other</w:t>
      </w:r>
      <w:r>
        <w:rPr>
          <w:rFonts w:ascii="Arial"/>
          <w:color w:val="404040"/>
          <w:spacing w:val="-3"/>
          <w:sz w:val="20"/>
        </w:rPr>
        <w:t> </w:t>
      </w:r>
      <w:r>
        <w:rPr>
          <w:rFonts w:ascii="Arial"/>
          <w:color w:val="404040"/>
          <w:sz w:val="20"/>
        </w:rPr>
        <w:t>areas</w:t>
      </w:r>
      <w:r>
        <w:rPr>
          <w:rFonts w:ascii="Arial"/>
          <w:color w:val="404040"/>
          <w:spacing w:val="-1"/>
          <w:sz w:val="20"/>
        </w:rPr>
        <w:t> </w:t>
      </w:r>
      <w:r>
        <w:rPr>
          <w:rFonts w:ascii="Arial"/>
          <w:color w:val="404040"/>
          <w:sz w:val="20"/>
        </w:rPr>
        <w:t>of</w:t>
      </w:r>
      <w:r>
        <w:rPr>
          <w:rFonts w:ascii="Arial"/>
          <w:color w:val="404040"/>
          <w:spacing w:val="-4"/>
          <w:sz w:val="20"/>
        </w:rPr>
        <w:t> </w:t>
      </w:r>
      <w:r>
        <w:rPr>
          <w:rFonts w:ascii="Arial"/>
          <w:color w:val="404040"/>
          <w:sz w:val="20"/>
        </w:rPr>
        <w:t>Audit</w:t>
      </w:r>
      <w:r>
        <w:rPr>
          <w:rFonts w:ascii="Arial"/>
          <w:color w:val="404040"/>
          <w:spacing w:val="-2"/>
          <w:sz w:val="20"/>
        </w:rPr>
        <w:t> </w:t>
      </w:r>
      <w:r>
        <w:rPr>
          <w:rFonts w:ascii="Arial"/>
          <w:color w:val="404040"/>
          <w:sz w:val="20"/>
        </w:rPr>
        <w:t>Wales activity</w:t>
      </w:r>
      <w:r>
        <w:rPr>
          <w:rFonts w:ascii="Arial"/>
          <w:color w:val="404040"/>
          <w:spacing w:val="-3"/>
          <w:sz w:val="20"/>
        </w:rPr>
        <w:t> </w:t>
      </w:r>
      <w:r>
        <w:rPr>
          <w:rFonts w:ascii="Arial"/>
          <w:color w:val="404040"/>
          <w:sz w:val="20"/>
        </w:rPr>
        <w:t>of</w:t>
      </w:r>
      <w:r>
        <w:rPr>
          <w:rFonts w:ascii="Arial"/>
          <w:color w:val="404040"/>
          <w:spacing w:val="-4"/>
          <w:sz w:val="20"/>
        </w:rPr>
        <w:t> </w:t>
      </w:r>
      <w:r>
        <w:rPr>
          <w:rFonts w:ascii="Arial"/>
          <w:color w:val="404040"/>
          <w:sz w:val="20"/>
        </w:rPr>
        <w:t>potential</w:t>
      </w:r>
      <w:r>
        <w:rPr>
          <w:rFonts w:ascii="Arial"/>
          <w:color w:val="404040"/>
          <w:spacing w:val="-5"/>
          <w:sz w:val="20"/>
        </w:rPr>
        <w:t> </w:t>
      </w:r>
      <w:r>
        <w:rPr>
          <w:rFonts w:ascii="Arial"/>
          <w:color w:val="404040"/>
          <w:sz w:val="20"/>
        </w:rPr>
        <w:t>interest</w:t>
      </w:r>
      <w:r>
        <w:rPr>
          <w:rFonts w:ascii="Arial"/>
          <w:color w:val="404040"/>
          <w:spacing w:val="-2"/>
          <w:sz w:val="20"/>
        </w:rPr>
        <w:t> </w:t>
      </w:r>
      <w:r>
        <w:rPr>
          <w:rFonts w:ascii="Arial"/>
          <w:color w:val="404040"/>
          <w:sz w:val="20"/>
        </w:rPr>
        <w:t>are</w:t>
      </w:r>
      <w:r>
        <w:rPr>
          <w:rFonts w:ascii="Arial"/>
          <w:color w:val="404040"/>
          <w:spacing w:val="-4"/>
          <w:sz w:val="20"/>
        </w:rPr>
        <w:t> </w:t>
      </w:r>
      <w:r>
        <w:rPr>
          <w:rFonts w:ascii="Arial"/>
          <w:color w:val="404040"/>
          <w:sz w:val="20"/>
        </w:rPr>
        <w:t>outlined</w:t>
      </w:r>
      <w:r>
        <w:rPr>
          <w:rFonts w:ascii="Arial"/>
          <w:color w:val="404040"/>
          <w:spacing w:val="-4"/>
          <w:sz w:val="20"/>
        </w:rPr>
        <w:t> </w:t>
      </w:r>
      <w:r>
        <w:rPr>
          <w:rFonts w:ascii="Arial"/>
          <w:color w:val="404040"/>
          <w:sz w:val="20"/>
        </w:rPr>
        <w:t>below</w:t>
      </w:r>
      <w:r>
        <w:rPr>
          <w:rFonts w:ascii="Arial"/>
          <w:color w:val="404040"/>
          <w:spacing w:val="-4"/>
          <w:sz w:val="20"/>
        </w:rPr>
        <w:t> </w:t>
      </w:r>
      <w:r>
        <w:rPr>
          <w:rFonts w:ascii="Arial"/>
          <w:color w:val="404040"/>
          <w:sz w:val="20"/>
        </w:rPr>
        <w:t>for</w:t>
      </w:r>
      <w:r>
        <w:rPr>
          <w:rFonts w:ascii="Arial"/>
          <w:color w:val="404040"/>
          <w:spacing w:val="-4"/>
          <w:sz w:val="20"/>
        </w:rPr>
        <w:t> </w:t>
      </w:r>
      <w:r>
        <w:rPr>
          <w:rFonts w:ascii="Arial"/>
          <w:color w:val="404040"/>
          <w:sz w:val="20"/>
        </w:rPr>
        <w:t>your </w:t>
      </w:r>
      <w:r>
        <w:rPr>
          <w:rFonts w:ascii="Arial"/>
          <w:color w:val="404040"/>
          <w:spacing w:val="-2"/>
          <w:sz w:val="20"/>
        </w:rPr>
        <w:t>information.</w:t>
      </w:r>
    </w:p>
    <w:p>
      <w:pPr>
        <w:pStyle w:val="ListParagraph"/>
        <w:numPr>
          <w:ilvl w:val="0"/>
          <w:numId w:val="9"/>
        </w:numPr>
        <w:tabs>
          <w:tab w:pos="1038" w:val="left" w:leader="none"/>
          <w:tab w:pos="1039" w:val="left" w:leader="none"/>
        </w:tabs>
        <w:spacing w:line="240" w:lineRule="auto" w:before="61" w:after="0"/>
        <w:ind w:left="1038" w:right="0" w:hanging="567"/>
        <w:jc w:val="left"/>
        <w:rPr>
          <w:rFonts w:ascii="Arial"/>
          <w:b/>
          <w:sz w:val="20"/>
        </w:rPr>
      </w:pPr>
      <w:r>
        <w:rPr>
          <w:rFonts w:ascii="Arial"/>
          <w:color w:val="404040"/>
          <w:sz w:val="20"/>
        </w:rPr>
        <w:t>F</w:t>
      </w:r>
      <w:r>
        <w:rPr>
          <w:rFonts w:ascii="Arial"/>
          <w:color w:val="515253"/>
          <w:sz w:val="20"/>
        </w:rPr>
        <w:t>or</w:t>
      </w:r>
      <w:r>
        <w:rPr>
          <w:rFonts w:ascii="Arial"/>
          <w:color w:val="515253"/>
          <w:spacing w:val="-7"/>
          <w:sz w:val="20"/>
        </w:rPr>
        <w:t> </w:t>
      </w:r>
      <w:r>
        <w:rPr>
          <w:rFonts w:ascii="Arial"/>
          <w:color w:val="515253"/>
          <w:sz w:val="20"/>
        </w:rPr>
        <w:t>latest</w:t>
      </w:r>
      <w:r>
        <w:rPr>
          <w:rFonts w:ascii="Arial"/>
          <w:color w:val="515253"/>
          <w:spacing w:val="-6"/>
          <w:sz w:val="20"/>
        </w:rPr>
        <w:t> </w:t>
      </w:r>
      <w:r>
        <w:rPr>
          <w:rFonts w:ascii="Arial"/>
          <w:color w:val="515253"/>
          <w:sz w:val="20"/>
        </w:rPr>
        <w:t>news</w:t>
      </w:r>
      <w:r>
        <w:rPr>
          <w:rFonts w:ascii="Arial"/>
          <w:color w:val="515253"/>
          <w:spacing w:val="-4"/>
          <w:sz w:val="20"/>
        </w:rPr>
        <w:t> </w:t>
      </w:r>
      <w:r>
        <w:rPr>
          <w:rFonts w:ascii="Arial"/>
          <w:color w:val="515253"/>
          <w:sz w:val="20"/>
        </w:rPr>
        <w:t>and</w:t>
      </w:r>
      <w:r>
        <w:rPr>
          <w:rFonts w:ascii="Arial"/>
          <w:color w:val="515253"/>
          <w:spacing w:val="-4"/>
          <w:sz w:val="20"/>
        </w:rPr>
        <w:t> </w:t>
      </w:r>
      <w:r>
        <w:rPr>
          <w:rFonts w:ascii="Arial"/>
          <w:color w:val="515253"/>
          <w:sz w:val="20"/>
        </w:rPr>
        <w:t>updates</w:t>
      </w:r>
      <w:r>
        <w:rPr>
          <w:rFonts w:ascii="Arial"/>
          <w:color w:val="515253"/>
          <w:spacing w:val="-5"/>
          <w:sz w:val="20"/>
        </w:rPr>
        <w:t> </w:t>
      </w:r>
      <w:r>
        <w:rPr>
          <w:rFonts w:ascii="Arial"/>
          <w:color w:val="515253"/>
          <w:sz w:val="20"/>
        </w:rPr>
        <w:t>you</w:t>
      </w:r>
      <w:r>
        <w:rPr>
          <w:rFonts w:ascii="Arial"/>
          <w:color w:val="515253"/>
          <w:spacing w:val="-7"/>
          <w:sz w:val="20"/>
        </w:rPr>
        <w:t> </w:t>
      </w:r>
      <w:r>
        <w:rPr>
          <w:rFonts w:ascii="Arial"/>
          <w:color w:val="515253"/>
          <w:sz w:val="20"/>
        </w:rPr>
        <w:t>can</w:t>
      </w:r>
      <w:r>
        <w:rPr>
          <w:rFonts w:ascii="Arial"/>
          <w:color w:val="515253"/>
          <w:spacing w:val="-8"/>
          <w:sz w:val="20"/>
        </w:rPr>
        <w:t> </w:t>
      </w:r>
      <w:r>
        <w:rPr>
          <w:rFonts w:ascii="Arial"/>
          <w:color w:val="515253"/>
          <w:sz w:val="20"/>
        </w:rPr>
        <w:t>also</w:t>
      </w:r>
      <w:r>
        <w:rPr>
          <w:rFonts w:ascii="Arial"/>
          <w:color w:val="515253"/>
          <w:spacing w:val="-2"/>
          <w:sz w:val="20"/>
        </w:rPr>
        <w:t> </w:t>
      </w:r>
      <w:hyperlink r:id="rId18">
        <w:r>
          <w:rPr>
            <w:rFonts w:ascii="Arial"/>
            <w:b/>
            <w:color w:val="515253"/>
            <w:sz w:val="20"/>
            <w:u w:val="single" w:color="F46239"/>
          </w:rPr>
          <w:t>subscribe</w:t>
        </w:r>
        <w:r>
          <w:rPr>
            <w:rFonts w:ascii="Arial"/>
            <w:b/>
            <w:color w:val="515253"/>
            <w:spacing w:val="-6"/>
            <w:sz w:val="20"/>
            <w:u w:val="single" w:color="F46239"/>
          </w:rPr>
          <w:t> </w:t>
        </w:r>
        <w:r>
          <w:rPr>
            <w:rFonts w:ascii="Arial"/>
            <w:b/>
            <w:color w:val="515253"/>
            <w:sz w:val="20"/>
            <w:u w:val="single" w:color="F46239"/>
          </w:rPr>
          <w:t>to</w:t>
        </w:r>
        <w:r>
          <w:rPr>
            <w:rFonts w:ascii="Arial"/>
            <w:b/>
            <w:color w:val="515253"/>
            <w:spacing w:val="-6"/>
            <w:sz w:val="20"/>
            <w:u w:val="single" w:color="F46239"/>
          </w:rPr>
          <w:t> </w:t>
        </w:r>
        <w:r>
          <w:rPr>
            <w:rFonts w:ascii="Arial"/>
            <w:b/>
            <w:color w:val="515253"/>
            <w:sz w:val="20"/>
            <w:u w:val="single" w:color="F46239"/>
          </w:rPr>
          <w:t>our</w:t>
        </w:r>
        <w:r>
          <w:rPr>
            <w:rFonts w:ascii="Arial"/>
            <w:b/>
            <w:color w:val="515253"/>
            <w:spacing w:val="-6"/>
            <w:sz w:val="20"/>
            <w:u w:val="single" w:color="F46239"/>
          </w:rPr>
          <w:t> </w:t>
        </w:r>
        <w:r>
          <w:rPr>
            <w:rFonts w:ascii="Arial"/>
            <w:b/>
            <w:color w:val="515253"/>
            <w:spacing w:val="-2"/>
            <w:sz w:val="20"/>
            <w:u w:val="single" w:color="F46239"/>
          </w:rPr>
          <w:t>newsletter.</w:t>
        </w:r>
      </w:hyperlink>
    </w:p>
    <w:p>
      <w:pPr>
        <w:pStyle w:val="BodyText"/>
        <w:rPr>
          <w:rFonts w:ascii="Arial"/>
          <w:b/>
          <w:sz w:val="20"/>
        </w:rPr>
      </w:pPr>
    </w:p>
    <w:p>
      <w:pPr>
        <w:pStyle w:val="BodyText"/>
        <w:spacing w:before="7"/>
        <w:rPr>
          <w:rFonts w:ascii="Arial"/>
          <w:b/>
          <w:sz w:val="22"/>
        </w:rPr>
      </w:pPr>
    </w:p>
    <w:p>
      <w:pPr>
        <w:spacing w:before="0"/>
        <w:ind w:left="472" w:right="0" w:firstLine="0"/>
        <w:jc w:val="left"/>
        <w:rPr>
          <w:rFonts w:ascii="Arial"/>
          <w:b/>
          <w:sz w:val="20"/>
        </w:rPr>
      </w:pPr>
      <w:r>
        <w:rPr>
          <w:rFonts w:ascii="Arial"/>
          <w:b/>
          <w:color w:val="515253"/>
          <w:sz w:val="20"/>
        </w:rPr>
        <w:t>Good</w:t>
      </w:r>
      <w:r>
        <w:rPr>
          <w:rFonts w:ascii="Arial"/>
          <w:b/>
          <w:color w:val="515253"/>
          <w:spacing w:val="-7"/>
          <w:sz w:val="20"/>
        </w:rPr>
        <w:t> </w:t>
      </w:r>
      <w:r>
        <w:rPr>
          <w:rFonts w:ascii="Arial"/>
          <w:b/>
          <w:color w:val="515253"/>
          <w:sz w:val="20"/>
        </w:rPr>
        <w:t>practice</w:t>
      </w:r>
      <w:r>
        <w:rPr>
          <w:rFonts w:ascii="Arial"/>
          <w:b/>
          <w:color w:val="515253"/>
          <w:spacing w:val="-6"/>
          <w:sz w:val="20"/>
        </w:rPr>
        <w:t> </w:t>
      </w:r>
      <w:r>
        <w:rPr>
          <w:rFonts w:ascii="Arial"/>
          <w:b/>
          <w:color w:val="515253"/>
          <w:sz w:val="20"/>
        </w:rPr>
        <w:t>events</w:t>
      </w:r>
      <w:r>
        <w:rPr>
          <w:rFonts w:ascii="Arial"/>
          <w:b/>
          <w:color w:val="515253"/>
          <w:spacing w:val="-7"/>
          <w:sz w:val="20"/>
        </w:rPr>
        <w:t> </w:t>
      </w:r>
      <w:r>
        <w:rPr>
          <w:rFonts w:ascii="Arial"/>
          <w:b/>
          <w:color w:val="515253"/>
          <w:sz w:val="20"/>
        </w:rPr>
        <w:t>and</w:t>
      </w:r>
      <w:r>
        <w:rPr>
          <w:rFonts w:ascii="Arial"/>
          <w:b/>
          <w:color w:val="515253"/>
          <w:spacing w:val="-5"/>
          <w:sz w:val="20"/>
        </w:rPr>
        <w:t> </w:t>
      </w:r>
      <w:r>
        <w:rPr>
          <w:rFonts w:ascii="Arial"/>
          <w:b/>
          <w:color w:val="515253"/>
          <w:spacing w:val="-2"/>
          <w:sz w:val="20"/>
        </w:rPr>
        <w:t>products</w:t>
      </w:r>
    </w:p>
    <w:p>
      <w:pPr>
        <w:pStyle w:val="ListParagraph"/>
        <w:numPr>
          <w:ilvl w:val="0"/>
          <w:numId w:val="9"/>
        </w:numPr>
        <w:tabs>
          <w:tab w:pos="1038" w:val="left" w:leader="none"/>
          <w:tab w:pos="1039" w:val="left" w:leader="none"/>
        </w:tabs>
        <w:spacing w:line="292" w:lineRule="auto" w:before="169" w:after="0"/>
        <w:ind w:left="1038" w:right="2843" w:hanging="567"/>
        <w:jc w:val="left"/>
        <w:rPr>
          <w:rFonts w:ascii="Arial"/>
          <w:sz w:val="20"/>
        </w:rPr>
      </w:pPr>
      <w:r>
        <w:rPr>
          <w:rFonts w:ascii="Arial"/>
          <w:color w:val="515253"/>
          <w:sz w:val="20"/>
        </w:rPr>
        <w:t>We</w:t>
      </w:r>
      <w:r>
        <w:rPr>
          <w:rFonts w:ascii="Arial"/>
          <w:color w:val="515253"/>
          <w:spacing w:val="-4"/>
          <w:sz w:val="20"/>
        </w:rPr>
        <w:t> </w:t>
      </w:r>
      <w:r>
        <w:rPr>
          <w:rFonts w:ascii="Arial"/>
          <w:color w:val="515253"/>
          <w:sz w:val="20"/>
        </w:rPr>
        <w:t>continue</w:t>
      </w:r>
      <w:r>
        <w:rPr>
          <w:rFonts w:ascii="Arial"/>
          <w:color w:val="515253"/>
          <w:spacing w:val="-2"/>
          <w:sz w:val="20"/>
        </w:rPr>
        <w:t> </w:t>
      </w:r>
      <w:r>
        <w:rPr>
          <w:rFonts w:ascii="Arial"/>
          <w:color w:val="515253"/>
          <w:sz w:val="20"/>
        </w:rPr>
        <w:t>to</w:t>
      </w:r>
      <w:r>
        <w:rPr>
          <w:rFonts w:ascii="Arial"/>
          <w:color w:val="515253"/>
          <w:spacing w:val="-4"/>
          <w:sz w:val="20"/>
        </w:rPr>
        <w:t> </w:t>
      </w:r>
      <w:r>
        <w:rPr>
          <w:rFonts w:ascii="Arial"/>
          <w:color w:val="515253"/>
          <w:sz w:val="20"/>
        </w:rPr>
        <w:t>seek</w:t>
      </w:r>
      <w:r>
        <w:rPr>
          <w:rFonts w:ascii="Arial"/>
          <w:color w:val="515253"/>
          <w:spacing w:val="-1"/>
          <w:sz w:val="20"/>
        </w:rPr>
        <w:t> </w:t>
      </w:r>
      <w:r>
        <w:rPr>
          <w:rFonts w:ascii="Arial"/>
          <w:color w:val="515253"/>
          <w:sz w:val="20"/>
        </w:rPr>
        <w:t>opportunities</w:t>
      </w:r>
      <w:r>
        <w:rPr>
          <w:rFonts w:ascii="Arial"/>
          <w:color w:val="515253"/>
          <w:spacing w:val="-3"/>
          <w:sz w:val="20"/>
        </w:rPr>
        <w:t> </w:t>
      </w:r>
      <w:r>
        <w:rPr>
          <w:rFonts w:ascii="Arial"/>
          <w:color w:val="515253"/>
          <w:sz w:val="20"/>
        </w:rPr>
        <w:t>for</w:t>
      </w:r>
      <w:r>
        <w:rPr>
          <w:rFonts w:ascii="Arial"/>
          <w:color w:val="515253"/>
          <w:spacing w:val="-4"/>
          <w:sz w:val="20"/>
        </w:rPr>
        <w:t> </w:t>
      </w:r>
      <w:r>
        <w:rPr>
          <w:rFonts w:ascii="Arial"/>
          <w:color w:val="515253"/>
          <w:sz w:val="20"/>
        </w:rPr>
        <w:t>finding</w:t>
      </w:r>
      <w:r>
        <w:rPr>
          <w:rFonts w:ascii="Arial"/>
          <w:color w:val="515253"/>
          <w:spacing w:val="-3"/>
          <w:sz w:val="20"/>
        </w:rPr>
        <w:t> </w:t>
      </w:r>
      <w:r>
        <w:rPr>
          <w:rFonts w:ascii="Arial"/>
          <w:color w:val="515253"/>
          <w:sz w:val="20"/>
        </w:rPr>
        <w:t>and</w:t>
      </w:r>
      <w:r>
        <w:rPr>
          <w:rFonts w:ascii="Arial"/>
          <w:color w:val="515253"/>
          <w:spacing w:val="-4"/>
          <w:sz w:val="20"/>
        </w:rPr>
        <w:t> </w:t>
      </w:r>
      <w:r>
        <w:rPr>
          <w:rFonts w:ascii="Arial"/>
          <w:color w:val="515253"/>
          <w:sz w:val="20"/>
        </w:rPr>
        <w:t>sharing</w:t>
      </w:r>
      <w:r>
        <w:rPr>
          <w:rFonts w:ascii="Arial"/>
          <w:color w:val="515253"/>
          <w:spacing w:val="-5"/>
          <w:sz w:val="20"/>
        </w:rPr>
        <w:t> </w:t>
      </w:r>
      <w:r>
        <w:rPr>
          <w:rFonts w:ascii="Arial"/>
          <w:color w:val="515253"/>
          <w:sz w:val="20"/>
        </w:rPr>
        <w:t>good</w:t>
      </w:r>
      <w:r>
        <w:rPr>
          <w:rFonts w:ascii="Arial"/>
          <w:color w:val="515253"/>
          <w:spacing w:val="-2"/>
          <w:sz w:val="20"/>
        </w:rPr>
        <w:t> </w:t>
      </w:r>
      <w:r>
        <w:rPr>
          <w:rFonts w:ascii="Arial"/>
          <w:color w:val="515253"/>
          <w:sz w:val="20"/>
        </w:rPr>
        <w:t>practice</w:t>
      </w:r>
      <w:r>
        <w:rPr>
          <w:rFonts w:ascii="Arial"/>
          <w:color w:val="515253"/>
          <w:spacing w:val="-2"/>
          <w:sz w:val="20"/>
        </w:rPr>
        <w:t> </w:t>
      </w:r>
      <w:r>
        <w:rPr>
          <w:rFonts w:ascii="Arial"/>
          <w:color w:val="515253"/>
          <w:sz w:val="20"/>
        </w:rPr>
        <w:t>from</w:t>
      </w:r>
      <w:r>
        <w:rPr>
          <w:rFonts w:ascii="Arial"/>
          <w:color w:val="515253"/>
          <w:spacing w:val="-2"/>
          <w:sz w:val="20"/>
        </w:rPr>
        <w:t> </w:t>
      </w:r>
      <w:r>
        <w:rPr>
          <w:rFonts w:ascii="Arial"/>
          <w:color w:val="515253"/>
          <w:sz w:val="20"/>
        </w:rPr>
        <w:t>all- Wales audit work through our forward planning, programme design and good practice research. Up to date details of future events are available on our GPX </w:t>
      </w:r>
      <w:hyperlink r:id="rId19">
        <w:r>
          <w:rPr>
            <w:rFonts w:ascii="Arial"/>
            <w:color w:val="515253"/>
            <w:spacing w:val="-2"/>
            <w:sz w:val="20"/>
            <w:u w:val="single" w:color="F46239"/>
          </w:rPr>
          <w:t>webpages.</w:t>
        </w:r>
      </w:hyperlink>
    </w:p>
    <w:p>
      <w:pPr>
        <w:spacing w:before="161"/>
        <w:ind w:left="472" w:right="0" w:firstLine="0"/>
        <w:jc w:val="left"/>
        <w:rPr>
          <w:rFonts w:ascii="Arial" w:hAnsi="Arial"/>
          <w:sz w:val="18"/>
        </w:rPr>
      </w:pPr>
      <w:r>
        <w:rPr>
          <w:rFonts w:ascii="Arial" w:hAnsi="Arial"/>
          <w:color w:val="757575"/>
          <w:sz w:val="18"/>
        </w:rPr>
        <w:t>Page 1</w:t>
      </w:r>
      <w:r>
        <w:rPr>
          <w:rFonts w:ascii="Arial" w:hAnsi="Arial"/>
          <w:color w:val="757575"/>
          <w:spacing w:val="-3"/>
          <w:sz w:val="18"/>
        </w:rPr>
        <w:t> </w:t>
      </w:r>
      <w:r>
        <w:rPr>
          <w:rFonts w:ascii="Arial" w:hAnsi="Arial"/>
          <w:color w:val="757575"/>
          <w:sz w:val="18"/>
        </w:rPr>
        <w:t>of</w:t>
      </w:r>
      <w:r>
        <w:rPr>
          <w:rFonts w:ascii="Arial" w:hAnsi="Arial"/>
          <w:color w:val="757575"/>
          <w:spacing w:val="-1"/>
          <w:sz w:val="18"/>
        </w:rPr>
        <w:t> </w:t>
      </w:r>
      <w:r>
        <w:rPr>
          <w:rFonts w:ascii="Arial" w:hAnsi="Arial"/>
          <w:color w:val="757575"/>
          <w:sz w:val="18"/>
        </w:rPr>
        <w:t>3</w:t>
      </w:r>
      <w:r>
        <w:rPr>
          <w:rFonts w:ascii="Arial" w:hAnsi="Arial"/>
          <w:color w:val="757575"/>
          <w:spacing w:val="-3"/>
          <w:sz w:val="18"/>
        </w:rPr>
        <w:t> </w:t>
      </w:r>
      <w:r>
        <w:rPr>
          <w:rFonts w:ascii="Arial" w:hAnsi="Arial"/>
          <w:color w:val="757575"/>
          <w:sz w:val="18"/>
        </w:rPr>
        <w:t>-</w:t>
      </w:r>
      <w:r>
        <w:rPr>
          <w:rFonts w:ascii="Arial" w:hAnsi="Arial"/>
          <w:color w:val="757575"/>
          <w:spacing w:val="-1"/>
          <w:sz w:val="18"/>
        </w:rPr>
        <w:t> </w:t>
      </w:r>
      <w:r>
        <w:rPr>
          <w:rFonts w:ascii="Arial" w:hAnsi="Arial"/>
          <w:b/>
          <w:color w:val="757575"/>
          <w:sz w:val="18"/>
        </w:rPr>
        <w:t>Audit</w:t>
      </w:r>
      <w:r>
        <w:rPr>
          <w:rFonts w:ascii="Arial" w:hAnsi="Arial"/>
          <w:b/>
          <w:color w:val="757575"/>
          <w:spacing w:val="-1"/>
          <w:sz w:val="18"/>
        </w:rPr>
        <w:t> </w:t>
      </w:r>
      <w:r>
        <w:rPr>
          <w:rFonts w:ascii="Arial" w:hAnsi="Arial"/>
          <w:b/>
          <w:color w:val="757575"/>
          <w:sz w:val="18"/>
        </w:rPr>
        <w:t>Wales</w:t>
      </w:r>
      <w:r>
        <w:rPr>
          <w:rFonts w:ascii="Arial" w:hAnsi="Arial"/>
          <w:b/>
          <w:color w:val="757575"/>
          <w:spacing w:val="-3"/>
          <w:sz w:val="18"/>
        </w:rPr>
        <w:t> </w:t>
      </w:r>
      <w:r>
        <w:rPr>
          <w:rFonts w:ascii="Arial" w:hAnsi="Arial"/>
          <w:b/>
          <w:color w:val="757575"/>
          <w:sz w:val="18"/>
        </w:rPr>
        <w:t>update</w:t>
      </w:r>
      <w:r>
        <w:rPr>
          <w:rFonts w:ascii="Arial" w:hAnsi="Arial"/>
          <w:b/>
          <w:color w:val="757575"/>
          <w:spacing w:val="-1"/>
          <w:sz w:val="18"/>
        </w:rPr>
        <w:t> </w:t>
      </w:r>
      <w:r>
        <w:rPr>
          <w:rFonts w:ascii="Arial" w:hAnsi="Arial"/>
          <w:b/>
          <w:color w:val="757575"/>
          <w:sz w:val="18"/>
        </w:rPr>
        <w:t>for</w:t>
      </w:r>
      <w:r>
        <w:rPr>
          <w:rFonts w:ascii="Arial" w:hAnsi="Arial"/>
          <w:b/>
          <w:color w:val="757575"/>
          <w:spacing w:val="-2"/>
          <w:sz w:val="18"/>
        </w:rPr>
        <w:t> </w:t>
      </w:r>
      <w:r>
        <w:rPr>
          <w:rFonts w:ascii="Arial" w:hAnsi="Arial"/>
          <w:b/>
          <w:color w:val="757575"/>
          <w:sz w:val="18"/>
        </w:rPr>
        <w:t>the</w:t>
      </w:r>
      <w:r>
        <w:rPr>
          <w:rFonts w:ascii="Arial" w:hAnsi="Arial"/>
          <w:b/>
          <w:color w:val="757575"/>
          <w:spacing w:val="-1"/>
          <w:sz w:val="18"/>
        </w:rPr>
        <w:t> </w:t>
      </w:r>
      <w:r>
        <w:rPr>
          <w:rFonts w:ascii="Arial" w:hAnsi="Arial"/>
          <w:b/>
          <w:color w:val="757575"/>
          <w:sz w:val="18"/>
        </w:rPr>
        <w:t>NWSSP</w:t>
      </w:r>
      <w:r>
        <w:rPr>
          <w:rFonts w:ascii="Arial" w:hAnsi="Arial"/>
          <w:b/>
          <w:color w:val="757575"/>
          <w:spacing w:val="-1"/>
          <w:sz w:val="18"/>
        </w:rPr>
        <w:t> </w:t>
      </w:r>
      <w:r>
        <w:rPr>
          <w:rFonts w:ascii="Arial" w:hAnsi="Arial"/>
          <w:b/>
          <w:color w:val="757575"/>
          <w:sz w:val="18"/>
        </w:rPr>
        <w:t>Audit</w:t>
      </w:r>
      <w:r>
        <w:rPr>
          <w:rFonts w:ascii="Arial" w:hAnsi="Arial"/>
          <w:b/>
          <w:color w:val="757575"/>
          <w:spacing w:val="-1"/>
          <w:sz w:val="18"/>
        </w:rPr>
        <w:t> </w:t>
      </w:r>
      <w:r>
        <w:rPr>
          <w:rFonts w:ascii="Arial" w:hAnsi="Arial"/>
          <w:b/>
          <w:color w:val="757575"/>
          <w:sz w:val="18"/>
        </w:rPr>
        <w:t>Committee</w:t>
      </w:r>
      <w:r>
        <w:rPr>
          <w:rFonts w:ascii="Arial" w:hAnsi="Arial"/>
          <w:b/>
          <w:color w:val="757575"/>
          <w:spacing w:val="3"/>
          <w:sz w:val="18"/>
        </w:rPr>
        <w:t> </w:t>
      </w:r>
      <w:r>
        <w:rPr>
          <w:rFonts w:ascii="Arial" w:hAnsi="Arial"/>
          <w:b/>
          <w:color w:val="757575"/>
          <w:sz w:val="18"/>
        </w:rPr>
        <w:t>–</w:t>
      </w:r>
      <w:r>
        <w:rPr>
          <w:rFonts w:ascii="Arial" w:hAnsi="Arial"/>
          <w:b/>
          <w:color w:val="757575"/>
          <w:spacing w:val="-3"/>
          <w:sz w:val="18"/>
        </w:rPr>
        <w:t> </w:t>
      </w:r>
      <w:r>
        <w:rPr>
          <w:rFonts w:ascii="Arial" w:hAnsi="Arial"/>
          <w:color w:val="757575"/>
          <w:sz w:val="18"/>
        </w:rPr>
        <w:t>January</w:t>
      </w:r>
      <w:r>
        <w:rPr>
          <w:rFonts w:ascii="Arial" w:hAnsi="Arial"/>
          <w:color w:val="757575"/>
          <w:spacing w:val="-3"/>
          <w:sz w:val="18"/>
        </w:rPr>
        <w:t> </w:t>
      </w:r>
      <w:r>
        <w:rPr>
          <w:rFonts w:ascii="Arial" w:hAnsi="Arial"/>
          <w:color w:val="757575"/>
          <w:spacing w:val="-4"/>
          <w:sz w:val="18"/>
        </w:rPr>
        <w:t>2023</w:t>
      </w:r>
    </w:p>
    <w:p>
      <w:pPr>
        <w:spacing w:after="0"/>
        <w:jc w:val="left"/>
        <w:rPr>
          <w:rFonts w:ascii="Arial" w:hAnsi="Arial"/>
          <w:sz w:val="18"/>
        </w:rPr>
        <w:sectPr>
          <w:footerReference w:type="default" r:id="rId16"/>
          <w:pgSz w:w="11910" w:h="16840"/>
          <w:pgMar w:footer="173" w:header="0" w:top="0" w:bottom="360" w:left="380" w:right="560"/>
          <w:pgNumType w:start="18"/>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8"/>
        <w:rPr>
          <w:rFonts w:ascii="Arial"/>
          <w:sz w:val="22"/>
        </w:rPr>
      </w:pPr>
    </w:p>
    <w:p>
      <w:pPr>
        <w:spacing w:before="93"/>
        <w:ind w:left="472" w:right="0" w:firstLine="0"/>
        <w:jc w:val="left"/>
        <w:rPr>
          <w:rFonts w:ascii="Arial"/>
          <w:b/>
          <w:sz w:val="20"/>
        </w:rPr>
      </w:pPr>
      <w:r>
        <w:rPr>
          <w:rFonts w:ascii="Arial"/>
          <w:b/>
          <w:color w:val="515253"/>
          <w:sz w:val="20"/>
        </w:rPr>
        <w:t>Recent</w:t>
      </w:r>
      <w:r>
        <w:rPr>
          <w:rFonts w:ascii="Arial"/>
          <w:b/>
          <w:color w:val="515253"/>
          <w:spacing w:val="-7"/>
          <w:sz w:val="20"/>
        </w:rPr>
        <w:t> </w:t>
      </w:r>
      <w:r>
        <w:rPr>
          <w:rFonts w:ascii="Arial"/>
          <w:b/>
          <w:color w:val="515253"/>
          <w:sz w:val="20"/>
        </w:rPr>
        <w:t>Audit</w:t>
      </w:r>
      <w:r>
        <w:rPr>
          <w:rFonts w:ascii="Arial"/>
          <w:b/>
          <w:color w:val="515253"/>
          <w:spacing w:val="-5"/>
          <w:sz w:val="20"/>
        </w:rPr>
        <w:t> </w:t>
      </w:r>
      <w:r>
        <w:rPr>
          <w:rFonts w:ascii="Arial"/>
          <w:b/>
          <w:color w:val="515253"/>
          <w:sz w:val="20"/>
        </w:rPr>
        <w:t>Wales</w:t>
      </w:r>
      <w:r>
        <w:rPr>
          <w:rFonts w:ascii="Arial"/>
          <w:b/>
          <w:color w:val="515253"/>
          <w:spacing w:val="-7"/>
          <w:sz w:val="20"/>
        </w:rPr>
        <w:t> </w:t>
      </w:r>
      <w:r>
        <w:rPr>
          <w:rFonts w:ascii="Arial"/>
          <w:b/>
          <w:color w:val="515253"/>
          <w:spacing w:val="-2"/>
          <w:sz w:val="20"/>
        </w:rPr>
        <w:t>Publications</w:t>
      </w:r>
    </w:p>
    <w:p>
      <w:pPr>
        <w:pStyle w:val="ListParagraph"/>
        <w:numPr>
          <w:ilvl w:val="0"/>
          <w:numId w:val="9"/>
        </w:numPr>
        <w:tabs>
          <w:tab w:pos="1038" w:val="left" w:leader="none"/>
          <w:tab w:pos="1039" w:val="left" w:leader="none"/>
        </w:tabs>
        <w:spacing w:line="292" w:lineRule="auto" w:before="109" w:after="0"/>
        <w:ind w:left="1038" w:right="2644" w:hanging="567"/>
        <w:jc w:val="left"/>
        <w:rPr>
          <w:rFonts w:ascii="Arial"/>
          <w:sz w:val="20"/>
        </w:rPr>
      </w:pPr>
      <w:r>
        <w:rPr>
          <w:rFonts w:ascii="Arial"/>
          <w:color w:val="515253"/>
          <w:sz w:val="20"/>
        </w:rPr>
        <w:t>A</w:t>
      </w:r>
      <w:r>
        <w:rPr>
          <w:rFonts w:ascii="Arial"/>
          <w:color w:val="515253"/>
          <w:spacing w:val="-4"/>
          <w:sz w:val="20"/>
        </w:rPr>
        <w:t> </w:t>
      </w:r>
      <w:r>
        <w:rPr>
          <w:rFonts w:ascii="Arial"/>
          <w:color w:val="515253"/>
          <w:sz w:val="20"/>
        </w:rPr>
        <w:t>summary</w:t>
      </w:r>
      <w:r>
        <w:rPr>
          <w:rFonts w:ascii="Arial"/>
          <w:color w:val="515253"/>
          <w:spacing w:val="-3"/>
          <w:sz w:val="20"/>
        </w:rPr>
        <w:t> </w:t>
      </w:r>
      <w:r>
        <w:rPr>
          <w:rFonts w:ascii="Arial"/>
          <w:color w:val="515253"/>
          <w:sz w:val="20"/>
        </w:rPr>
        <w:t>is</w:t>
      </w:r>
      <w:r>
        <w:rPr>
          <w:rFonts w:ascii="Arial"/>
          <w:color w:val="515253"/>
          <w:spacing w:val="-3"/>
          <w:sz w:val="20"/>
        </w:rPr>
        <w:t> </w:t>
      </w:r>
      <w:r>
        <w:rPr>
          <w:rFonts w:ascii="Arial"/>
          <w:color w:val="515253"/>
          <w:sz w:val="20"/>
        </w:rPr>
        <w:t>provided</w:t>
      </w:r>
      <w:r>
        <w:rPr>
          <w:rFonts w:ascii="Arial"/>
          <w:color w:val="515253"/>
          <w:spacing w:val="-4"/>
          <w:sz w:val="20"/>
        </w:rPr>
        <w:t> </w:t>
      </w:r>
      <w:r>
        <w:rPr>
          <w:rFonts w:ascii="Arial"/>
          <w:color w:val="515253"/>
          <w:sz w:val="20"/>
        </w:rPr>
        <w:t>below</w:t>
      </w:r>
      <w:r>
        <w:rPr>
          <w:rFonts w:ascii="Arial"/>
          <w:color w:val="515253"/>
          <w:spacing w:val="-4"/>
          <w:sz w:val="20"/>
        </w:rPr>
        <w:t> </w:t>
      </w:r>
      <w:r>
        <w:rPr>
          <w:rFonts w:ascii="Arial"/>
          <w:color w:val="515253"/>
          <w:sz w:val="20"/>
        </w:rPr>
        <w:t>of</w:t>
      </w:r>
      <w:r>
        <w:rPr>
          <w:rFonts w:ascii="Arial"/>
          <w:color w:val="515253"/>
          <w:spacing w:val="-2"/>
          <w:sz w:val="20"/>
        </w:rPr>
        <w:t> </w:t>
      </w:r>
      <w:r>
        <w:rPr>
          <w:rFonts w:ascii="Arial"/>
          <w:color w:val="515253"/>
          <w:sz w:val="20"/>
        </w:rPr>
        <w:t>the</w:t>
      </w:r>
      <w:r>
        <w:rPr>
          <w:rFonts w:ascii="Arial"/>
          <w:color w:val="515253"/>
          <w:spacing w:val="-1"/>
          <w:sz w:val="20"/>
        </w:rPr>
        <w:t> </w:t>
      </w:r>
      <w:r>
        <w:rPr>
          <w:rFonts w:ascii="Arial"/>
          <w:color w:val="515253"/>
          <w:sz w:val="20"/>
        </w:rPr>
        <w:t>NHS-related</w:t>
      </w:r>
      <w:r>
        <w:rPr>
          <w:rFonts w:ascii="Arial"/>
          <w:color w:val="515253"/>
          <w:spacing w:val="-5"/>
          <w:sz w:val="20"/>
        </w:rPr>
        <w:t> </w:t>
      </w:r>
      <w:r>
        <w:rPr>
          <w:rFonts w:ascii="Arial"/>
          <w:color w:val="515253"/>
          <w:sz w:val="20"/>
        </w:rPr>
        <w:t>or</w:t>
      </w:r>
      <w:r>
        <w:rPr>
          <w:rFonts w:ascii="Arial"/>
          <w:color w:val="515253"/>
          <w:spacing w:val="-1"/>
          <w:sz w:val="20"/>
        </w:rPr>
        <w:t> </w:t>
      </w:r>
      <w:r>
        <w:rPr>
          <w:rFonts w:ascii="Arial"/>
          <w:color w:val="515253"/>
          <w:sz w:val="20"/>
        </w:rPr>
        <w:t>other</w:t>
      </w:r>
      <w:r>
        <w:rPr>
          <w:rFonts w:ascii="Arial"/>
          <w:color w:val="515253"/>
          <w:spacing w:val="-2"/>
          <w:sz w:val="20"/>
        </w:rPr>
        <w:t> </w:t>
      </w:r>
      <w:r>
        <w:rPr>
          <w:rFonts w:ascii="Arial"/>
          <w:color w:val="515253"/>
          <w:sz w:val="20"/>
        </w:rPr>
        <w:t>relevant</w:t>
      </w:r>
      <w:r>
        <w:rPr>
          <w:rFonts w:ascii="Arial"/>
          <w:color w:val="515253"/>
          <w:spacing w:val="-3"/>
          <w:sz w:val="20"/>
        </w:rPr>
        <w:t> </w:t>
      </w:r>
      <w:r>
        <w:rPr>
          <w:rFonts w:ascii="Arial"/>
          <w:color w:val="515253"/>
          <w:sz w:val="20"/>
        </w:rPr>
        <w:t>national</w:t>
      </w:r>
      <w:r>
        <w:rPr>
          <w:rFonts w:ascii="Arial"/>
          <w:color w:val="515253"/>
          <w:spacing w:val="-5"/>
          <w:sz w:val="20"/>
        </w:rPr>
        <w:t> </w:t>
      </w:r>
      <w:r>
        <w:rPr>
          <w:rFonts w:ascii="Arial"/>
          <w:color w:val="515253"/>
          <w:sz w:val="20"/>
        </w:rPr>
        <w:t>studies published in the last twelve months:</w:t>
      </w:r>
    </w:p>
    <w:p>
      <w:pPr>
        <w:pStyle w:val="BodyText"/>
        <w:rPr>
          <w:rFonts w:ascii="Arial"/>
          <w:sz w:val="20"/>
        </w:rPr>
      </w:pPr>
    </w:p>
    <w:p>
      <w:pPr>
        <w:pStyle w:val="BodyText"/>
        <w:spacing w:before="4"/>
        <w:rPr>
          <w:rFonts w:ascii="Arial"/>
          <w:sz w:val="10"/>
        </w:rPr>
      </w:pPr>
    </w:p>
    <w:tbl>
      <w:tblPr>
        <w:tblW w:w="0" w:type="auto"/>
        <w:jc w:val="left"/>
        <w:tblInd w:w="467" w:type="dxa"/>
        <w:tblBorders>
          <w:top w:val="single" w:sz="8" w:space="0" w:color="F46239"/>
          <w:left w:val="single" w:sz="8" w:space="0" w:color="F46239"/>
          <w:bottom w:val="single" w:sz="8" w:space="0" w:color="F46239"/>
          <w:right w:val="single" w:sz="8" w:space="0" w:color="F46239"/>
          <w:insideH w:val="single" w:sz="8" w:space="0" w:color="F46239"/>
          <w:insideV w:val="single" w:sz="8" w:space="0" w:color="F46239"/>
        </w:tblBorders>
        <w:tblLayout w:type="fixed"/>
        <w:tblCellMar>
          <w:top w:w="0" w:type="dxa"/>
          <w:left w:w="0" w:type="dxa"/>
          <w:bottom w:w="0" w:type="dxa"/>
          <w:right w:w="0" w:type="dxa"/>
        </w:tblCellMar>
        <w:tblLook w:val="01E0"/>
      </w:tblPr>
      <w:tblGrid>
        <w:gridCol w:w="5257"/>
        <w:gridCol w:w="2268"/>
      </w:tblGrid>
      <w:tr>
        <w:trPr>
          <w:trHeight w:val="230" w:hRule="atLeast"/>
        </w:trPr>
        <w:tc>
          <w:tcPr>
            <w:tcW w:w="7525" w:type="dxa"/>
            <w:gridSpan w:val="2"/>
            <w:tcBorders>
              <w:top w:val="nil"/>
              <w:left w:val="nil"/>
              <w:bottom w:val="nil"/>
              <w:right w:val="nil"/>
            </w:tcBorders>
            <w:shd w:val="clear" w:color="auto" w:fill="F1F1F1"/>
          </w:tcPr>
          <w:p>
            <w:pPr>
              <w:pStyle w:val="TableParagraph"/>
              <w:rPr>
                <w:rFonts w:ascii="Times New Roman"/>
                <w:sz w:val="16"/>
              </w:rPr>
            </w:pPr>
          </w:p>
        </w:tc>
      </w:tr>
      <w:tr>
        <w:trPr>
          <w:trHeight w:val="544" w:hRule="atLeast"/>
        </w:trPr>
        <w:tc>
          <w:tcPr>
            <w:tcW w:w="5257" w:type="dxa"/>
            <w:tcBorders>
              <w:top w:val="nil"/>
              <w:left w:val="nil"/>
            </w:tcBorders>
            <w:shd w:val="clear" w:color="auto" w:fill="F1F1F1"/>
          </w:tcPr>
          <w:p>
            <w:pPr>
              <w:pStyle w:val="TableParagraph"/>
              <w:spacing w:before="47"/>
              <w:ind w:left="227"/>
              <w:rPr>
                <w:rFonts w:ascii="Arial"/>
                <w:b/>
                <w:sz w:val="20"/>
              </w:rPr>
            </w:pPr>
            <w:r>
              <w:rPr>
                <w:rFonts w:ascii="Arial"/>
                <w:b/>
                <w:color w:val="515253"/>
                <w:spacing w:val="-2"/>
                <w:sz w:val="20"/>
              </w:rPr>
              <w:t>Title</w:t>
            </w:r>
          </w:p>
        </w:tc>
        <w:tc>
          <w:tcPr>
            <w:tcW w:w="2268" w:type="dxa"/>
            <w:tcBorders>
              <w:top w:val="nil"/>
              <w:right w:val="nil"/>
            </w:tcBorders>
            <w:shd w:val="clear" w:color="auto" w:fill="F1F1F1"/>
          </w:tcPr>
          <w:p>
            <w:pPr>
              <w:pStyle w:val="TableParagraph"/>
              <w:spacing w:before="47"/>
              <w:ind w:left="218"/>
              <w:rPr>
                <w:rFonts w:ascii="Arial"/>
                <w:b/>
                <w:sz w:val="20"/>
              </w:rPr>
            </w:pPr>
            <w:r>
              <w:rPr>
                <w:rFonts w:ascii="Arial"/>
                <w:b/>
                <w:color w:val="515253"/>
                <w:spacing w:val="-2"/>
                <w:sz w:val="20"/>
              </w:rPr>
              <w:t>Publication</w:t>
            </w:r>
            <w:r>
              <w:rPr>
                <w:rFonts w:ascii="Arial"/>
                <w:b/>
                <w:color w:val="515253"/>
                <w:spacing w:val="6"/>
                <w:sz w:val="20"/>
              </w:rPr>
              <w:t> </w:t>
            </w:r>
            <w:r>
              <w:rPr>
                <w:rFonts w:ascii="Arial"/>
                <w:b/>
                <w:color w:val="515253"/>
                <w:spacing w:val="-4"/>
                <w:sz w:val="20"/>
              </w:rPr>
              <w:t>Date</w:t>
            </w:r>
          </w:p>
        </w:tc>
      </w:tr>
      <w:tr>
        <w:trPr>
          <w:trHeight w:val="774" w:hRule="atLeast"/>
        </w:trPr>
        <w:tc>
          <w:tcPr>
            <w:tcW w:w="5257" w:type="dxa"/>
            <w:tcBorders>
              <w:left w:val="nil"/>
            </w:tcBorders>
            <w:shd w:val="clear" w:color="auto" w:fill="F1F1F1"/>
          </w:tcPr>
          <w:p>
            <w:pPr>
              <w:pStyle w:val="TableParagraph"/>
              <w:spacing w:before="1"/>
              <w:rPr>
                <w:rFonts w:ascii="Arial"/>
                <w:sz w:val="24"/>
              </w:rPr>
            </w:pPr>
          </w:p>
          <w:p>
            <w:pPr>
              <w:pStyle w:val="TableParagraph"/>
              <w:ind w:left="227"/>
              <w:rPr>
                <w:rFonts w:ascii="Arial"/>
                <w:sz w:val="20"/>
              </w:rPr>
            </w:pPr>
            <w:hyperlink r:id="rId20">
              <w:r>
                <w:rPr>
                  <w:rFonts w:ascii="Arial"/>
                  <w:color w:val="515253"/>
                  <w:sz w:val="20"/>
                  <w:u w:val="single" w:color="F46239"/>
                </w:rPr>
                <w:t>Flood</w:t>
              </w:r>
              <w:r>
                <w:rPr>
                  <w:rFonts w:ascii="Arial"/>
                  <w:color w:val="515253"/>
                  <w:spacing w:val="-6"/>
                  <w:sz w:val="20"/>
                  <w:u w:val="single" w:color="F46239"/>
                </w:rPr>
                <w:t> </w:t>
              </w:r>
              <w:r>
                <w:rPr>
                  <w:rFonts w:ascii="Arial"/>
                  <w:color w:val="515253"/>
                  <w:sz w:val="20"/>
                  <w:u w:val="single" w:color="F46239"/>
                </w:rPr>
                <w:t>risk</w:t>
              </w:r>
              <w:r>
                <w:rPr>
                  <w:rFonts w:ascii="Arial"/>
                  <w:color w:val="515253"/>
                  <w:spacing w:val="-6"/>
                  <w:sz w:val="20"/>
                  <w:u w:val="single" w:color="F46239"/>
                </w:rPr>
                <w:t> </w:t>
              </w:r>
              <w:r>
                <w:rPr>
                  <w:rFonts w:ascii="Arial"/>
                  <w:color w:val="515253"/>
                  <w:spacing w:val="-2"/>
                  <w:sz w:val="20"/>
                  <w:u w:val="single" w:color="F46239"/>
                </w:rPr>
                <w:t>management</w:t>
              </w:r>
            </w:hyperlink>
          </w:p>
        </w:tc>
        <w:tc>
          <w:tcPr>
            <w:tcW w:w="2268" w:type="dxa"/>
            <w:tcBorders>
              <w:right w:val="nil"/>
            </w:tcBorders>
            <w:shd w:val="clear" w:color="auto" w:fill="F1F1F1"/>
          </w:tcPr>
          <w:p>
            <w:pPr>
              <w:pStyle w:val="TableParagraph"/>
              <w:spacing w:before="1"/>
              <w:rPr>
                <w:rFonts w:ascii="Arial"/>
                <w:sz w:val="24"/>
              </w:rPr>
            </w:pPr>
          </w:p>
          <w:p>
            <w:pPr>
              <w:pStyle w:val="TableParagraph"/>
              <w:ind w:left="218"/>
              <w:rPr>
                <w:rFonts w:ascii="Arial"/>
                <w:sz w:val="20"/>
              </w:rPr>
            </w:pPr>
            <w:r>
              <w:rPr>
                <w:rFonts w:ascii="Arial"/>
                <w:color w:val="515253"/>
                <w:sz w:val="20"/>
              </w:rPr>
              <w:t>December</w:t>
            </w:r>
            <w:r>
              <w:rPr>
                <w:rFonts w:ascii="Arial"/>
                <w:color w:val="515253"/>
                <w:spacing w:val="-11"/>
                <w:sz w:val="20"/>
              </w:rPr>
              <w:t> </w:t>
            </w:r>
            <w:r>
              <w:rPr>
                <w:rFonts w:ascii="Arial"/>
                <w:color w:val="515253"/>
                <w:spacing w:val="-4"/>
                <w:sz w:val="20"/>
              </w:rPr>
              <w:t>2022</w:t>
            </w:r>
          </w:p>
        </w:tc>
      </w:tr>
      <w:tr>
        <w:trPr>
          <w:trHeight w:val="774" w:hRule="atLeast"/>
        </w:trPr>
        <w:tc>
          <w:tcPr>
            <w:tcW w:w="5257" w:type="dxa"/>
            <w:tcBorders>
              <w:left w:val="nil"/>
            </w:tcBorders>
            <w:shd w:val="clear" w:color="auto" w:fill="F1F1F1"/>
          </w:tcPr>
          <w:p>
            <w:pPr>
              <w:pStyle w:val="TableParagraph"/>
              <w:spacing w:before="1"/>
              <w:rPr>
                <w:rFonts w:ascii="Arial"/>
                <w:sz w:val="24"/>
              </w:rPr>
            </w:pPr>
          </w:p>
          <w:p>
            <w:pPr>
              <w:pStyle w:val="TableParagraph"/>
              <w:ind w:left="227"/>
              <w:rPr>
                <w:rFonts w:ascii="Arial" w:hAnsi="Arial"/>
                <w:sz w:val="20"/>
              </w:rPr>
            </w:pPr>
            <w:hyperlink r:id="rId21">
              <w:r>
                <w:rPr>
                  <w:rFonts w:ascii="Arial" w:hAnsi="Arial"/>
                  <w:color w:val="515253"/>
                  <w:sz w:val="20"/>
                  <w:u w:val="single" w:color="F46239"/>
                </w:rPr>
                <w:t>‘A</w:t>
              </w:r>
              <w:r>
                <w:rPr>
                  <w:rFonts w:ascii="Arial" w:hAnsi="Arial"/>
                  <w:color w:val="515253"/>
                  <w:spacing w:val="-6"/>
                  <w:sz w:val="20"/>
                  <w:u w:val="single" w:color="F46239"/>
                </w:rPr>
                <w:t> </w:t>
              </w:r>
              <w:r>
                <w:rPr>
                  <w:rFonts w:ascii="Arial" w:hAnsi="Arial"/>
                  <w:color w:val="515253"/>
                  <w:sz w:val="20"/>
                  <w:u w:val="single" w:color="F46239"/>
                </w:rPr>
                <w:t>missed</w:t>
              </w:r>
              <w:r>
                <w:rPr>
                  <w:rFonts w:ascii="Arial" w:hAnsi="Arial"/>
                  <w:color w:val="515253"/>
                  <w:spacing w:val="-7"/>
                  <w:sz w:val="20"/>
                  <w:u w:val="single" w:color="F46239"/>
                </w:rPr>
                <w:t> </w:t>
              </w:r>
              <w:r>
                <w:rPr>
                  <w:rFonts w:ascii="Arial" w:hAnsi="Arial"/>
                  <w:color w:val="515253"/>
                  <w:sz w:val="20"/>
                  <w:u w:val="single" w:color="F46239"/>
                </w:rPr>
                <w:t>opportunity’</w:t>
              </w:r>
              <w:r>
                <w:rPr>
                  <w:rFonts w:ascii="Arial" w:hAnsi="Arial"/>
                  <w:color w:val="515253"/>
                  <w:spacing w:val="-4"/>
                  <w:sz w:val="20"/>
                  <w:u w:val="single" w:color="F46239"/>
                </w:rPr>
                <w:t> </w:t>
              </w:r>
              <w:r>
                <w:rPr>
                  <w:rFonts w:ascii="Arial" w:hAnsi="Arial"/>
                  <w:color w:val="515253"/>
                  <w:sz w:val="20"/>
                  <w:u w:val="single" w:color="F46239"/>
                </w:rPr>
                <w:t>–</w:t>
              </w:r>
              <w:r>
                <w:rPr>
                  <w:rFonts w:ascii="Arial" w:hAnsi="Arial"/>
                  <w:color w:val="515253"/>
                  <w:spacing w:val="-8"/>
                  <w:sz w:val="20"/>
                  <w:u w:val="single" w:color="F46239"/>
                </w:rPr>
                <w:t> </w:t>
              </w:r>
              <w:r>
                <w:rPr>
                  <w:rFonts w:ascii="Arial" w:hAnsi="Arial"/>
                  <w:color w:val="515253"/>
                  <w:sz w:val="20"/>
                  <w:u w:val="single" w:color="F46239"/>
                </w:rPr>
                <w:t>Social</w:t>
              </w:r>
              <w:r>
                <w:rPr>
                  <w:rFonts w:ascii="Arial" w:hAnsi="Arial"/>
                  <w:color w:val="515253"/>
                  <w:spacing w:val="-7"/>
                  <w:sz w:val="20"/>
                  <w:u w:val="single" w:color="F46239"/>
                </w:rPr>
                <w:t> </w:t>
              </w:r>
              <w:r>
                <w:rPr>
                  <w:rFonts w:ascii="Arial" w:hAnsi="Arial"/>
                  <w:color w:val="515253"/>
                  <w:spacing w:val="-2"/>
                  <w:sz w:val="20"/>
                  <w:u w:val="single" w:color="F46239"/>
                </w:rPr>
                <w:t>Enterprises</w:t>
              </w:r>
            </w:hyperlink>
          </w:p>
        </w:tc>
        <w:tc>
          <w:tcPr>
            <w:tcW w:w="2268" w:type="dxa"/>
            <w:tcBorders>
              <w:right w:val="nil"/>
            </w:tcBorders>
            <w:shd w:val="clear" w:color="auto" w:fill="F1F1F1"/>
          </w:tcPr>
          <w:p>
            <w:pPr>
              <w:pStyle w:val="TableParagraph"/>
              <w:spacing w:before="1"/>
              <w:rPr>
                <w:rFonts w:ascii="Arial"/>
                <w:sz w:val="24"/>
              </w:rPr>
            </w:pPr>
          </w:p>
          <w:p>
            <w:pPr>
              <w:pStyle w:val="TableParagraph"/>
              <w:ind w:left="218"/>
              <w:rPr>
                <w:rFonts w:ascii="Arial"/>
                <w:sz w:val="20"/>
              </w:rPr>
            </w:pPr>
            <w:r>
              <w:rPr>
                <w:rFonts w:ascii="Arial"/>
                <w:color w:val="515253"/>
                <w:sz w:val="20"/>
              </w:rPr>
              <w:t>November</w:t>
            </w:r>
            <w:r>
              <w:rPr>
                <w:rFonts w:ascii="Arial"/>
                <w:color w:val="515253"/>
                <w:spacing w:val="-13"/>
                <w:sz w:val="20"/>
              </w:rPr>
              <w:t> </w:t>
            </w:r>
            <w:r>
              <w:rPr>
                <w:rFonts w:ascii="Arial"/>
                <w:color w:val="515253"/>
                <w:spacing w:val="-4"/>
                <w:sz w:val="20"/>
              </w:rPr>
              <w:t>2022</w:t>
            </w:r>
          </w:p>
        </w:tc>
      </w:tr>
      <w:tr>
        <w:trPr>
          <w:trHeight w:val="774" w:hRule="atLeast"/>
        </w:trPr>
        <w:tc>
          <w:tcPr>
            <w:tcW w:w="5257" w:type="dxa"/>
            <w:tcBorders>
              <w:left w:val="nil"/>
            </w:tcBorders>
            <w:shd w:val="clear" w:color="auto" w:fill="F1F1F1"/>
          </w:tcPr>
          <w:p>
            <w:pPr>
              <w:pStyle w:val="TableParagraph"/>
              <w:spacing w:before="1"/>
              <w:rPr>
                <w:rFonts w:ascii="Arial"/>
                <w:sz w:val="24"/>
              </w:rPr>
            </w:pPr>
          </w:p>
          <w:p>
            <w:pPr>
              <w:pStyle w:val="TableParagraph"/>
              <w:ind w:left="227"/>
              <w:rPr>
                <w:rFonts w:ascii="Arial" w:hAnsi="Arial"/>
                <w:sz w:val="20"/>
              </w:rPr>
            </w:pPr>
            <w:hyperlink r:id="rId22">
              <w:r>
                <w:rPr>
                  <w:rFonts w:ascii="Arial" w:hAnsi="Arial"/>
                  <w:color w:val="515253"/>
                  <w:sz w:val="20"/>
                  <w:u w:val="single" w:color="F46239"/>
                </w:rPr>
                <w:t>Time</w:t>
              </w:r>
              <w:r>
                <w:rPr>
                  <w:rFonts w:ascii="Arial" w:hAnsi="Arial"/>
                  <w:color w:val="515253"/>
                  <w:spacing w:val="-4"/>
                  <w:sz w:val="20"/>
                  <w:u w:val="single" w:color="F46239"/>
                </w:rPr>
                <w:t> </w:t>
              </w:r>
              <w:r>
                <w:rPr>
                  <w:rFonts w:ascii="Arial" w:hAnsi="Arial"/>
                  <w:color w:val="515253"/>
                  <w:sz w:val="20"/>
                  <w:u w:val="single" w:color="F46239"/>
                </w:rPr>
                <w:t>for</w:t>
              </w:r>
              <w:r>
                <w:rPr>
                  <w:rFonts w:ascii="Arial" w:hAnsi="Arial"/>
                  <w:color w:val="515253"/>
                  <w:spacing w:val="-6"/>
                  <w:sz w:val="20"/>
                  <w:u w:val="single" w:color="F46239"/>
                </w:rPr>
                <w:t> </w:t>
              </w:r>
              <w:r>
                <w:rPr>
                  <w:rFonts w:ascii="Arial" w:hAnsi="Arial"/>
                  <w:color w:val="515253"/>
                  <w:sz w:val="20"/>
                  <w:u w:val="single" w:color="F46239"/>
                </w:rPr>
                <w:t>change</w:t>
              </w:r>
              <w:r>
                <w:rPr>
                  <w:rFonts w:ascii="Arial" w:hAnsi="Arial"/>
                  <w:color w:val="515253"/>
                  <w:spacing w:val="-3"/>
                  <w:sz w:val="20"/>
                  <w:u w:val="single" w:color="F46239"/>
                </w:rPr>
                <w:t> </w:t>
              </w:r>
              <w:r>
                <w:rPr>
                  <w:rFonts w:ascii="Arial" w:hAnsi="Arial"/>
                  <w:color w:val="515253"/>
                  <w:sz w:val="20"/>
                  <w:u w:val="single" w:color="F46239"/>
                </w:rPr>
                <w:t>–</w:t>
              </w:r>
              <w:r>
                <w:rPr>
                  <w:rFonts w:ascii="Arial" w:hAnsi="Arial"/>
                  <w:color w:val="515253"/>
                  <w:spacing w:val="-6"/>
                  <w:sz w:val="20"/>
                  <w:u w:val="single" w:color="F46239"/>
                </w:rPr>
                <w:t> </w:t>
              </w:r>
              <w:r>
                <w:rPr>
                  <w:rFonts w:ascii="Arial" w:hAnsi="Arial"/>
                  <w:color w:val="515253"/>
                  <w:sz w:val="20"/>
                  <w:u w:val="single" w:color="F46239"/>
                </w:rPr>
                <w:t>Poverty</w:t>
              </w:r>
              <w:r>
                <w:rPr>
                  <w:rFonts w:ascii="Arial" w:hAnsi="Arial"/>
                  <w:color w:val="515253"/>
                  <w:spacing w:val="-4"/>
                  <w:sz w:val="20"/>
                  <w:u w:val="single" w:color="F46239"/>
                </w:rPr>
                <w:t> </w:t>
              </w:r>
              <w:r>
                <w:rPr>
                  <w:rFonts w:ascii="Arial" w:hAnsi="Arial"/>
                  <w:color w:val="515253"/>
                  <w:sz w:val="20"/>
                  <w:u w:val="single" w:color="F46239"/>
                </w:rPr>
                <w:t>in</w:t>
              </w:r>
              <w:r>
                <w:rPr>
                  <w:rFonts w:ascii="Arial" w:hAnsi="Arial"/>
                  <w:color w:val="515253"/>
                  <w:spacing w:val="-5"/>
                  <w:sz w:val="20"/>
                  <w:u w:val="single" w:color="F46239"/>
                </w:rPr>
                <w:t> </w:t>
              </w:r>
              <w:r>
                <w:rPr>
                  <w:rFonts w:ascii="Arial" w:hAnsi="Arial"/>
                  <w:color w:val="515253"/>
                  <w:spacing w:val="-4"/>
                  <w:sz w:val="20"/>
                  <w:u w:val="single" w:color="F46239"/>
                </w:rPr>
                <w:t>Wales</w:t>
              </w:r>
            </w:hyperlink>
          </w:p>
        </w:tc>
        <w:tc>
          <w:tcPr>
            <w:tcW w:w="2268" w:type="dxa"/>
            <w:tcBorders>
              <w:right w:val="nil"/>
            </w:tcBorders>
            <w:shd w:val="clear" w:color="auto" w:fill="F1F1F1"/>
          </w:tcPr>
          <w:p>
            <w:pPr>
              <w:pStyle w:val="TableParagraph"/>
              <w:spacing w:before="1"/>
              <w:rPr>
                <w:rFonts w:ascii="Arial"/>
                <w:sz w:val="24"/>
              </w:rPr>
            </w:pPr>
          </w:p>
          <w:p>
            <w:pPr>
              <w:pStyle w:val="TableParagraph"/>
              <w:ind w:left="218"/>
              <w:rPr>
                <w:rFonts w:ascii="Arial"/>
                <w:sz w:val="20"/>
              </w:rPr>
            </w:pPr>
            <w:r>
              <w:rPr>
                <w:rFonts w:ascii="Arial"/>
                <w:color w:val="515253"/>
                <w:sz w:val="20"/>
              </w:rPr>
              <w:t>November</w:t>
            </w:r>
            <w:r>
              <w:rPr>
                <w:rFonts w:ascii="Arial"/>
                <w:color w:val="515253"/>
                <w:spacing w:val="-13"/>
                <w:sz w:val="20"/>
              </w:rPr>
              <w:t> </w:t>
            </w:r>
            <w:r>
              <w:rPr>
                <w:rFonts w:ascii="Arial"/>
                <w:color w:val="515253"/>
                <w:spacing w:val="-4"/>
                <w:sz w:val="20"/>
              </w:rPr>
              <w:t>2022</w:t>
            </w:r>
          </w:p>
        </w:tc>
      </w:tr>
      <w:tr>
        <w:trPr>
          <w:trHeight w:val="772" w:hRule="atLeast"/>
        </w:trPr>
        <w:tc>
          <w:tcPr>
            <w:tcW w:w="5257" w:type="dxa"/>
            <w:tcBorders>
              <w:left w:val="nil"/>
            </w:tcBorders>
            <w:shd w:val="clear" w:color="auto" w:fill="F1F1F1"/>
          </w:tcPr>
          <w:p>
            <w:pPr>
              <w:pStyle w:val="TableParagraph"/>
              <w:spacing w:before="11"/>
              <w:rPr>
                <w:rFonts w:ascii="Arial"/>
                <w:sz w:val="23"/>
              </w:rPr>
            </w:pPr>
          </w:p>
          <w:p>
            <w:pPr>
              <w:pStyle w:val="TableParagraph"/>
              <w:ind w:left="227"/>
              <w:rPr>
                <w:rFonts w:ascii="Arial"/>
                <w:sz w:val="20"/>
              </w:rPr>
            </w:pPr>
            <w:r>
              <w:rPr>
                <w:rFonts w:ascii="Arial"/>
                <w:color w:val="515253"/>
                <w:sz w:val="20"/>
              </w:rPr>
              <w:t>Cyber</w:t>
            </w:r>
            <w:r>
              <w:rPr>
                <w:rFonts w:ascii="Arial"/>
                <w:color w:val="515253"/>
                <w:spacing w:val="-14"/>
                <w:sz w:val="20"/>
              </w:rPr>
              <w:t> </w:t>
            </w:r>
            <w:r>
              <w:rPr>
                <w:rFonts w:ascii="Arial"/>
                <w:color w:val="515253"/>
                <w:sz w:val="20"/>
              </w:rPr>
              <w:t>Resilience</w:t>
            </w:r>
            <w:r>
              <w:rPr>
                <w:rFonts w:ascii="Arial"/>
                <w:color w:val="515253"/>
                <w:spacing w:val="-11"/>
                <w:sz w:val="20"/>
              </w:rPr>
              <w:t> </w:t>
            </w:r>
            <w:r>
              <w:rPr>
                <w:rFonts w:ascii="Arial"/>
                <w:color w:val="515253"/>
                <w:sz w:val="20"/>
              </w:rPr>
              <w:t>Follow-</w:t>
            </w:r>
            <w:r>
              <w:rPr>
                <w:rFonts w:ascii="Arial"/>
                <w:color w:val="515253"/>
                <w:spacing w:val="-5"/>
                <w:sz w:val="20"/>
              </w:rPr>
              <w:t>up</w:t>
            </w:r>
          </w:p>
        </w:tc>
        <w:tc>
          <w:tcPr>
            <w:tcW w:w="2268" w:type="dxa"/>
            <w:tcBorders>
              <w:right w:val="nil"/>
            </w:tcBorders>
            <w:shd w:val="clear" w:color="auto" w:fill="F1F1F1"/>
          </w:tcPr>
          <w:p>
            <w:pPr>
              <w:pStyle w:val="TableParagraph"/>
              <w:spacing w:before="11"/>
              <w:rPr>
                <w:rFonts w:ascii="Arial"/>
                <w:sz w:val="23"/>
              </w:rPr>
            </w:pPr>
          </w:p>
          <w:p>
            <w:pPr>
              <w:pStyle w:val="TableParagraph"/>
              <w:ind w:left="218"/>
              <w:rPr>
                <w:rFonts w:ascii="Arial"/>
                <w:sz w:val="20"/>
              </w:rPr>
            </w:pPr>
            <w:r>
              <w:rPr>
                <w:rFonts w:ascii="Arial"/>
                <w:color w:val="515253"/>
                <w:sz w:val="20"/>
              </w:rPr>
              <w:t>October</w:t>
            </w:r>
            <w:r>
              <w:rPr>
                <w:rFonts w:ascii="Arial"/>
                <w:color w:val="515253"/>
                <w:spacing w:val="-10"/>
                <w:sz w:val="20"/>
              </w:rPr>
              <w:t> </w:t>
            </w:r>
            <w:r>
              <w:rPr>
                <w:rFonts w:ascii="Arial"/>
                <w:color w:val="515253"/>
                <w:spacing w:val="-4"/>
                <w:sz w:val="20"/>
              </w:rPr>
              <w:t>2022</w:t>
            </w:r>
          </w:p>
        </w:tc>
      </w:tr>
      <w:tr>
        <w:trPr>
          <w:trHeight w:val="774" w:hRule="atLeast"/>
        </w:trPr>
        <w:tc>
          <w:tcPr>
            <w:tcW w:w="5257" w:type="dxa"/>
            <w:tcBorders>
              <w:left w:val="nil"/>
            </w:tcBorders>
            <w:shd w:val="clear" w:color="auto" w:fill="F1F1F1"/>
          </w:tcPr>
          <w:p>
            <w:pPr>
              <w:pStyle w:val="TableParagraph"/>
              <w:spacing w:before="1"/>
              <w:rPr>
                <w:rFonts w:ascii="Arial"/>
                <w:sz w:val="24"/>
              </w:rPr>
            </w:pPr>
          </w:p>
          <w:p>
            <w:pPr>
              <w:pStyle w:val="TableParagraph"/>
              <w:ind w:left="227"/>
              <w:rPr>
                <w:rFonts w:ascii="Arial"/>
                <w:sz w:val="20"/>
              </w:rPr>
            </w:pPr>
            <w:hyperlink r:id="rId23">
              <w:r>
                <w:rPr>
                  <w:rFonts w:ascii="Arial"/>
                  <w:color w:val="515253"/>
                  <w:sz w:val="20"/>
                  <w:u w:val="single" w:color="F46239"/>
                </w:rPr>
                <w:t>National</w:t>
              </w:r>
              <w:r>
                <w:rPr>
                  <w:rFonts w:ascii="Arial"/>
                  <w:color w:val="515253"/>
                  <w:spacing w:val="-11"/>
                  <w:sz w:val="20"/>
                  <w:u w:val="single" w:color="F46239"/>
                </w:rPr>
                <w:t> </w:t>
              </w:r>
              <w:r>
                <w:rPr>
                  <w:rFonts w:ascii="Arial"/>
                  <w:color w:val="515253"/>
                  <w:sz w:val="20"/>
                  <w:u w:val="single" w:color="F46239"/>
                </w:rPr>
                <w:t>Fraud</w:t>
              </w:r>
              <w:r>
                <w:rPr>
                  <w:rFonts w:ascii="Arial"/>
                  <w:color w:val="515253"/>
                  <w:spacing w:val="-9"/>
                  <w:sz w:val="20"/>
                  <w:u w:val="single" w:color="F46239"/>
                </w:rPr>
                <w:t> </w:t>
              </w:r>
              <w:r>
                <w:rPr>
                  <w:rFonts w:ascii="Arial"/>
                  <w:color w:val="515253"/>
                  <w:sz w:val="20"/>
                  <w:u w:val="single" w:color="F46239"/>
                </w:rPr>
                <w:t>Initiative</w:t>
              </w:r>
              <w:r>
                <w:rPr>
                  <w:rFonts w:ascii="Arial"/>
                  <w:color w:val="515253"/>
                  <w:spacing w:val="-10"/>
                  <w:sz w:val="20"/>
                  <w:u w:val="single" w:color="F46239"/>
                </w:rPr>
                <w:t> </w:t>
              </w:r>
              <w:r>
                <w:rPr>
                  <w:rFonts w:ascii="Arial"/>
                  <w:color w:val="515253"/>
                  <w:sz w:val="20"/>
                  <w:u w:val="single" w:color="F46239"/>
                </w:rPr>
                <w:t>2020-</w:t>
              </w:r>
              <w:r>
                <w:rPr>
                  <w:rFonts w:ascii="Arial"/>
                  <w:color w:val="515253"/>
                  <w:spacing w:val="-5"/>
                  <w:sz w:val="20"/>
                  <w:u w:val="single" w:color="F46239"/>
                </w:rPr>
                <w:t>21</w:t>
              </w:r>
            </w:hyperlink>
          </w:p>
        </w:tc>
        <w:tc>
          <w:tcPr>
            <w:tcW w:w="2268" w:type="dxa"/>
            <w:tcBorders>
              <w:right w:val="nil"/>
            </w:tcBorders>
            <w:shd w:val="clear" w:color="auto" w:fill="F1F1F1"/>
          </w:tcPr>
          <w:p>
            <w:pPr>
              <w:pStyle w:val="TableParagraph"/>
              <w:spacing w:before="1"/>
              <w:rPr>
                <w:rFonts w:ascii="Arial"/>
                <w:sz w:val="24"/>
              </w:rPr>
            </w:pPr>
          </w:p>
          <w:p>
            <w:pPr>
              <w:pStyle w:val="TableParagraph"/>
              <w:ind w:left="218"/>
              <w:rPr>
                <w:rFonts w:ascii="Arial"/>
                <w:sz w:val="20"/>
              </w:rPr>
            </w:pPr>
            <w:r>
              <w:rPr>
                <w:rFonts w:ascii="Arial"/>
                <w:color w:val="515253"/>
                <w:sz w:val="20"/>
              </w:rPr>
              <w:t>October</w:t>
            </w:r>
            <w:r>
              <w:rPr>
                <w:rFonts w:ascii="Arial"/>
                <w:color w:val="515253"/>
                <w:spacing w:val="-9"/>
                <w:sz w:val="20"/>
              </w:rPr>
              <w:t> </w:t>
            </w:r>
            <w:r>
              <w:rPr>
                <w:rFonts w:ascii="Arial"/>
                <w:color w:val="515253"/>
                <w:spacing w:val="-4"/>
                <w:sz w:val="20"/>
              </w:rPr>
              <w:t>2022</w:t>
            </w:r>
          </w:p>
        </w:tc>
      </w:tr>
      <w:tr>
        <w:trPr>
          <w:trHeight w:val="774" w:hRule="atLeast"/>
        </w:trPr>
        <w:tc>
          <w:tcPr>
            <w:tcW w:w="5257" w:type="dxa"/>
            <w:tcBorders>
              <w:left w:val="nil"/>
            </w:tcBorders>
            <w:shd w:val="clear" w:color="auto" w:fill="F1F1F1"/>
          </w:tcPr>
          <w:p>
            <w:pPr>
              <w:pStyle w:val="TableParagraph"/>
              <w:spacing w:before="1"/>
              <w:rPr>
                <w:rFonts w:ascii="Arial"/>
                <w:sz w:val="24"/>
              </w:rPr>
            </w:pPr>
          </w:p>
          <w:p>
            <w:pPr>
              <w:pStyle w:val="TableParagraph"/>
              <w:ind w:left="227"/>
              <w:rPr>
                <w:rFonts w:ascii="Arial"/>
                <w:sz w:val="20"/>
              </w:rPr>
            </w:pPr>
            <w:hyperlink r:id="rId24">
              <w:r>
                <w:rPr>
                  <w:rFonts w:ascii="Arial"/>
                  <w:color w:val="515253"/>
                  <w:sz w:val="20"/>
                  <w:u w:val="single" w:color="F46239"/>
                </w:rPr>
                <w:t>Equality</w:t>
              </w:r>
              <w:r>
                <w:rPr>
                  <w:rFonts w:ascii="Arial"/>
                  <w:color w:val="515253"/>
                  <w:spacing w:val="-12"/>
                  <w:sz w:val="20"/>
                  <w:u w:val="single" w:color="F46239"/>
                </w:rPr>
                <w:t> </w:t>
              </w:r>
              <w:r>
                <w:rPr>
                  <w:rFonts w:ascii="Arial"/>
                  <w:color w:val="515253"/>
                  <w:sz w:val="20"/>
                  <w:u w:val="single" w:color="F46239"/>
                </w:rPr>
                <w:t>impact</w:t>
              </w:r>
              <w:r>
                <w:rPr>
                  <w:rFonts w:ascii="Arial"/>
                  <w:color w:val="515253"/>
                  <w:spacing w:val="-8"/>
                  <w:sz w:val="20"/>
                  <w:u w:val="single" w:color="F46239"/>
                </w:rPr>
                <w:t> </w:t>
              </w:r>
              <w:r>
                <w:rPr>
                  <w:rFonts w:ascii="Arial"/>
                  <w:color w:val="515253"/>
                  <w:spacing w:val="-2"/>
                  <w:sz w:val="20"/>
                  <w:u w:val="single" w:color="F46239"/>
                </w:rPr>
                <w:t>assessments</w:t>
              </w:r>
            </w:hyperlink>
          </w:p>
        </w:tc>
        <w:tc>
          <w:tcPr>
            <w:tcW w:w="2268" w:type="dxa"/>
            <w:tcBorders>
              <w:right w:val="nil"/>
            </w:tcBorders>
            <w:shd w:val="clear" w:color="auto" w:fill="F1F1F1"/>
          </w:tcPr>
          <w:p>
            <w:pPr>
              <w:pStyle w:val="TableParagraph"/>
              <w:spacing w:before="1"/>
              <w:rPr>
                <w:rFonts w:ascii="Arial"/>
                <w:sz w:val="24"/>
              </w:rPr>
            </w:pPr>
          </w:p>
          <w:p>
            <w:pPr>
              <w:pStyle w:val="TableParagraph"/>
              <w:ind w:left="218"/>
              <w:rPr>
                <w:rFonts w:ascii="Arial"/>
                <w:sz w:val="20"/>
              </w:rPr>
            </w:pPr>
            <w:r>
              <w:rPr>
                <w:rFonts w:ascii="Arial"/>
                <w:color w:val="515253"/>
                <w:sz w:val="20"/>
              </w:rPr>
              <w:t>September</w:t>
            </w:r>
            <w:r>
              <w:rPr>
                <w:rFonts w:ascii="Arial"/>
                <w:color w:val="515253"/>
                <w:spacing w:val="-13"/>
                <w:sz w:val="20"/>
              </w:rPr>
              <w:t> </w:t>
            </w:r>
            <w:r>
              <w:rPr>
                <w:rFonts w:ascii="Arial"/>
                <w:color w:val="515253"/>
                <w:spacing w:val="-4"/>
                <w:sz w:val="20"/>
              </w:rPr>
              <w:t>2022</w:t>
            </w:r>
          </w:p>
        </w:tc>
      </w:tr>
      <w:tr>
        <w:trPr>
          <w:trHeight w:val="774" w:hRule="atLeast"/>
        </w:trPr>
        <w:tc>
          <w:tcPr>
            <w:tcW w:w="5257" w:type="dxa"/>
            <w:tcBorders>
              <w:left w:val="nil"/>
            </w:tcBorders>
            <w:shd w:val="clear" w:color="auto" w:fill="F1F1F1"/>
          </w:tcPr>
          <w:p>
            <w:pPr>
              <w:pStyle w:val="TableParagraph"/>
              <w:spacing w:before="1"/>
              <w:rPr>
                <w:rFonts w:ascii="Arial"/>
                <w:sz w:val="24"/>
              </w:rPr>
            </w:pPr>
          </w:p>
          <w:p>
            <w:pPr>
              <w:pStyle w:val="TableParagraph"/>
              <w:ind w:left="227"/>
              <w:rPr>
                <w:rFonts w:ascii="Arial"/>
                <w:sz w:val="20"/>
              </w:rPr>
            </w:pPr>
            <w:hyperlink r:id="rId25">
              <w:r>
                <w:rPr>
                  <w:rFonts w:ascii="Arial"/>
                  <w:color w:val="515253"/>
                  <w:sz w:val="20"/>
                  <w:u w:val="single" w:color="F46239"/>
                </w:rPr>
                <w:t>Welsh</w:t>
              </w:r>
              <w:r>
                <w:rPr>
                  <w:rFonts w:ascii="Arial"/>
                  <w:color w:val="515253"/>
                  <w:spacing w:val="-10"/>
                  <w:sz w:val="20"/>
                  <w:u w:val="single" w:color="F46239"/>
                </w:rPr>
                <w:t> </w:t>
              </w:r>
              <w:r>
                <w:rPr>
                  <w:rFonts w:ascii="Arial"/>
                  <w:color w:val="515253"/>
                  <w:sz w:val="20"/>
                  <w:u w:val="single" w:color="F46239"/>
                </w:rPr>
                <w:t>Government</w:t>
              </w:r>
              <w:r>
                <w:rPr>
                  <w:rFonts w:ascii="Arial"/>
                  <w:color w:val="515253"/>
                  <w:spacing w:val="-9"/>
                  <w:sz w:val="20"/>
                  <w:u w:val="single" w:color="F46239"/>
                </w:rPr>
                <w:t> </w:t>
              </w:r>
              <w:r>
                <w:rPr>
                  <w:rFonts w:ascii="Arial"/>
                  <w:color w:val="515253"/>
                  <w:sz w:val="20"/>
                  <w:u w:val="single" w:color="F46239"/>
                </w:rPr>
                <w:t>workforce</w:t>
              </w:r>
              <w:r>
                <w:rPr>
                  <w:rFonts w:ascii="Arial"/>
                  <w:color w:val="515253"/>
                  <w:spacing w:val="-10"/>
                  <w:sz w:val="20"/>
                  <w:u w:val="single" w:color="F46239"/>
                </w:rPr>
                <w:t> </w:t>
              </w:r>
              <w:r>
                <w:rPr>
                  <w:rFonts w:ascii="Arial"/>
                  <w:color w:val="515253"/>
                  <w:spacing w:val="-2"/>
                  <w:sz w:val="20"/>
                  <w:u w:val="single" w:color="F46239"/>
                </w:rPr>
                <w:t>planning</w:t>
              </w:r>
            </w:hyperlink>
          </w:p>
        </w:tc>
        <w:tc>
          <w:tcPr>
            <w:tcW w:w="2268" w:type="dxa"/>
            <w:tcBorders>
              <w:right w:val="nil"/>
            </w:tcBorders>
            <w:shd w:val="clear" w:color="auto" w:fill="F1F1F1"/>
          </w:tcPr>
          <w:p>
            <w:pPr>
              <w:pStyle w:val="TableParagraph"/>
              <w:spacing w:before="1"/>
              <w:rPr>
                <w:rFonts w:ascii="Arial"/>
                <w:sz w:val="24"/>
              </w:rPr>
            </w:pPr>
          </w:p>
          <w:p>
            <w:pPr>
              <w:pStyle w:val="TableParagraph"/>
              <w:ind w:left="218"/>
              <w:rPr>
                <w:rFonts w:ascii="Arial"/>
                <w:sz w:val="20"/>
              </w:rPr>
            </w:pPr>
            <w:r>
              <w:rPr>
                <w:rFonts w:ascii="Arial"/>
                <w:color w:val="515253"/>
                <w:sz w:val="20"/>
              </w:rPr>
              <w:t>September</w:t>
            </w:r>
            <w:r>
              <w:rPr>
                <w:rFonts w:ascii="Arial"/>
                <w:color w:val="515253"/>
                <w:spacing w:val="-13"/>
                <w:sz w:val="20"/>
              </w:rPr>
              <w:t> </w:t>
            </w:r>
            <w:r>
              <w:rPr>
                <w:rFonts w:ascii="Arial"/>
                <w:color w:val="515253"/>
                <w:spacing w:val="-4"/>
                <w:sz w:val="20"/>
              </w:rPr>
              <w:t>2022</w:t>
            </w:r>
          </w:p>
        </w:tc>
      </w:tr>
      <w:tr>
        <w:trPr>
          <w:trHeight w:val="775" w:hRule="atLeast"/>
        </w:trPr>
        <w:tc>
          <w:tcPr>
            <w:tcW w:w="5257" w:type="dxa"/>
            <w:tcBorders>
              <w:left w:val="nil"/>
            </w:tcBorders>
            <w:shd w:val="clear" w:color="auto" w:fill="F1F1F1"/>
          </w:tcPr>
          <w:p>
            <w:pPr>
              <w:pStyle w:val="TableParagraph"/>
              <w:spacing w:before="1"/>
              <w:rPr>
                <w:rFonts w:ascii="Arial"/>
                <w:sz w:val="24"/>
              </w:rPr>
            </w:pPr>
          </w:p>
          <w:p>
            <w:pPr>
              <w:pStyle w:val="TableParagraph"/>
              <w:ind w:left="227"/>
              <w:rPr>
                <w:rFonts w:ascii="Arial"/>
                <w:sz w:val="20"/>
              </w:rPr>
            </w:pPr>
            <w:hyperlink r:id="rId26">
              <w:r>
                <w:rPr>
                  <w:rFonts w:ascii="Arial"/>
                  <w:color w:val="515253"/>
                  <w:sz w:val="20"/>
                  <w:u w:val="single" w:color="F46239"/>
                </w:rPr>
                <w:t>NHS</w:t>
              </w:r>
              <w:r>
                <w:rPr>
                  <w:rFonts w:ascii="Arial"/>
                  <w:color w:val="515253"/>
                  <w:spacing w:val="-5"/>
                  <w:sz w:val="20"/>
                  <w:u w:val="single" w:color="F46239"/>
                </w:rPr>
                <w:t> </w:t>
              </w:r>
              <w:r>
                <w:rPr>
                  <w:rFonts w:ascii="Arial"/>
                  <w:color w:val="515253"/>
                  <w:sz w:val="20"/>
                  <w:u w:val="single" w:color="F46239"/>
                </w:rPr>
                <w:t>Wales</w:t>
              </w:r>
              <w:r>
                <w:rPr>
                  <w:rFonts w:ascii="Arial"/>
                  <w:color w:val="515253"/>
                  <w:spacing w:val="-5"/>
                  <w:sz w:val="20"/>
                  <w:u w:val="single" w:color="F46239"/>
                </w:rPr>
                <w:t> </w:t>
              </w:r>
              <w:r>
                <w:rPr>
                  <w:rFonts w:ascii="Arial"/>
                  <w:color w:val="515253"/>
                  <w:sz w:val="20"/>
                  <w:u w:val="single" w:color="F46239"/>
                </w:rPr>
                <w:t>Finances</w:t>
              </w:r>
              <w:r>
                <w:rPr>
                  <w:rFonts w:ascii="Arial"/>
                  <w:color w:val="515253"/>
                  <w:spacing w:val="-5"/>
                  <w:sz w:val="20"/>
                  <w:u w:val="single" w:color="F46239"/>
                </w:rPr>
                <w:t> </w:t>
              </w:r>
              <w:r>
                <w:rPr>
                  <w:rFonts w:ascii="Arial"/>
                  <w:color w:val="515253"/>
                  <w:sz w:val="20"/>
                  <w:u w:val="single" w:color="F46239"/>
                </w:rPr>
                <w:t>Data</w:t>
              </w:r>
              <w:r>
                <w:rPr>
                  <w:rFonts w:ascii="Arial"/>
                  <w:color w:val="515253"/>
                  <w:spacing w:val="-5"/>
                  <w:sz w:val="20"/>
                  <w:u w:val="single" w:color="F46239"/>
                </w:rPr>
                <w:t> </w:t>
              </w:r>
              <w:r>
                <w:rPr>
                  <w:rFonts w:ascii="Arial"/>
                  <w:color w:val="515253"/>
                  <w:sz w:val="20"/>
                  <w:u w:val="single" w:color="F46239"/>
                </w:rPr>
                <w:t>Tool</w:t>
              </w:r>
              <w:r>
                <w:rPr>
                  <w:rFonts w:ascii="Arial"/>
                  <w:color w:val="515253"/>
                  <w:spacing w:val="-4"/>
                  <w:sz w:val="20"/>
                  <w:u w:val="single" w:color="F46239"/>
                </w:rPr>
                <w:t> </w:t>
              </w:r>
              <w:r>
                <w:rPr>
                  <w:rFonts w:ascii="Arial"/>
                  <w:color w:val="515253"/>
                  <w:sz w:val="20"/>
                  <w:u w:val="single" w:color="F46239"/>
                </w:rPr>
                <w:t>-</w:t>
              </w:r>
              <w:r>
                <w:rPr>
                  <w:rFonts w:ascii="Arial"/>
                  <w:color w:val="515253"/>
                  <w:spacing w:val="-3"/>
                  <w:sz w:val="20"/>
                  <w:u w:val="single" w:color="F46239"/>
                </w:rPr>
                <w:t> </w:t>
              </w:r>
              <w:r>
                <w:rPr>
                  <w:rFonts w:ascii="Arial"/>
                  <w:color w:val="515253"/>
                  <w:sz w:val="20"/>
                  <w:u w:val="single" w:color="F46239"/>
                </w:rPr>
                <w:t>up</w:t>
              </w:r>
              <w:r>
                <w:rPr>
                  <w:rFonts w:ascii="Arial"/>
                  <w:color w:val="515253"/>
                  <w:spacing w:val="-7"/>
                  <w:sz w:val="20"/>
                  <w:u w:val="single" w:color="F46239"/>
                </w:rPr>
                <w:t> </w:t>
              </w:r>
              <w:r>
                <w:rPr>
                  <w:rFonts w:ascii="Arial"/>
                  <w:color w:val="515253"/>
                  <w:sz w:val="20"/>
                  <w:u w:val="single" w:color="F46239"/>
                </w:rPr>
                <w:t>to</w:t>
              </w:r>
              <w:r>
                <w:rPr>
                  <w:rFonts w:ascii="Arial"/>
                  <w:color w:val="515253"/>
                  <w:spacing w:val="-6"/>
                  <w:sz w:val="20"/>
                  <w:u w:val="single" w:color="F46239"/>
                </w:rPr>
                <w:t> </w:t>
              </w:r>
              <w:r>
                <w:rPr>
                  <w:rFonts w:ascii="Arial"/>
                  <w:color w:val="515253"/>
                  <w:sz w:val="20"/>
                  <w:u w:val="single" w:color="F46239"/>
                </w:rPr>
                <w:t>March</w:t>
              </w:r>
              <w:r>
                <w:rPr>
                  <w:rFonts w:ascii="Arial"/>
                  <w:color w:val="515253"/>
                  <w:spacing w:val="-5"/>
                  <w:sz w:val="20"/>
                  <w:u w:val="single" w:color="F46239"/>
                </w:rPr>
                <w:t> </w:t>
              </w:r>
              <w:r>
                <w:rPr>
                  <w:rFonts w:ascii="Arial"/>
                  <w:color w:val="515253"/>
                  <w:spacing w:val="-4"/>
                  <w:sz w:val="20"/>
                  <w:u w:val="single" w:color="F46239"/>
                </w:rPr>
                <w:t>2022</w:t>
              </w:r>
            </w:hyperlink>
          </w:p>
        </w:tc>
        <w:tc>
          <w:tcPr>
            <w:tcW w:w="2268" w:type="dxa"/>
            <w:tcBorders>
              <w:right w:val="nil"/>
            </w:tcBorders>
            <w:shd w:val="clear" w:color="auto" w:fill="F1F1F1"/>
          </w:tcPr>
          <w:p>
            <w:pPr>
              <w:pStyle w:val="TableParagraph"/>
              <w:spacing w:before="1"/>
              <w:rPr>
                <w:rFonts w:ascii="Arial"/>
                <w:sz w:val="24"/>
              </w:rPr>
            </w:pPr>
          </w:p>
          <w:p>
            <w:pPr>
              <w:pStyle w:val="TableParagraph"/>
              <w:ind w:left="218"/>
              <w:rPr>
                <w:rFonts w:ascii="Arial"/>
                <w:sz w:val="20"/>
              </w:rPr>
            </w:pPr>
            <w:r>
              <w:rPr>
                <w:rFonts w:ascii="Arial"/>
                <w:color w:val="515253"/>
                <w:sz w:val="20"/>
              </w:rPr>
              <w:t>August</w:t>
            </w:r>
            <w:r>
              <w:rPr>
                <w:rFonts w:ascii="Arial"/>
                <w:color w:val="515253"/>
                <w:spacing w:val="-9"/>
                <w:sz w:val="20"/>
              </w:rPr>
              <w:t> </w:t>
            </w:r>
            <w:r>
              <w:rPr>
                <w:rFonts w:ascii="Arial"/>
                <w:color w:val="515253"/>
                <w:spacing w:val="-4"/>
                <w:sz w:val="20"/>
              </w:rPr>
              <w:t>2022</w:t>
            </w:r>
          </w:p>
        </w:tc>
      </w:tr>
      <w:tr>
        <w:trPr>
          <w:trHeight w:val="1014" w:hRule="atLeast"/>
        </w:trPr>
        <w:tc>
          <w:tcPr>
            <w:tcW w:w="5257" w:type="dxa"/>
            <w:tcBorders>
              <w:left w:val="nil"/>
            </w:tcBorders>
            <w:shd w:val="clear" w:color="auto" w:fill="F1F1F1"/>
          </w:tcPr>
          <w:p>
            <w:pPr>
              <w:pStyle w:val="TableParagraph"/>
              <w:spacing w:before="10"/>
              <w:rPr>
                <w:rFonts w:ascii="Arial"/>
                <w:sz w:val="23"/>
              </w:rPr>
            </w:pPr>
          </w:p>
          <w:p>
            <w:pPr>
              <w:pStyle w:val="TableParagraph"/>
              <w:spacing w:line="249" w:lineRule="auto"/>
              <w:ind w:left="227" w:right="303"/>
              <w:rPr>
                <w:rFonts w:ascii="Arial"/>
                <w:sz w:val="20"/>
              </w:rPr>
            </w:pPr>
            <w:hyperlink r:id="rId27">
              <w:r>
                <w:rPr>
                  <w:rFonts w:ascii="Arial"/>
                  <w:color w:val="515253"/>
                  <w:sz w:val="20"/>
                  <w:u w:val="single" w:color="F46239"/>
                </w:rPr>
                <w:t>Public</w:t>
              </w:r>
              <w:r>
                <w:rPr>
                  <w:rFonts w:ascii="Arial"/>
                  <w:color w:val="515253"/>
                  <w:spacing w:val="-4"/>
                  <w:sz w:val="20"/>
                  <w:u w:val="single" w:color="F46239"/>
                </w:rPr>
                <w:t> </w:t>
              </w:r>
              <w:r>
                <w:rPr>
                  <w:rFonts w:ascii="Arial"/>
                  <w:color w:val="515253"/>
                  <w:sz w:val="20"/>
                  <w:u w:val="single" w:color="F46239"/>
                </w:rPr>
                <w:t>Sector</w:t>
              </w:r>
              <w:r>
                <w:rPr>
                  <w:rFonts w:ascii="Arial"/>
                  <w:color w:val="515253"/>
                  <w:spacing w:val="-7"/>
                  <w:sz w:val="20"/>
                  <w:u w:val="single" w:color="F46239"/>
                </w:rPr>
                <w:t> </w:t>
              </w:r>
              <w:r>
                <w:rPr>
                  <w:rFonts w:ascii="Arial"/>
                  <w:color w:val="515253"/>
                  <w:sz w:val="20"/>
                  <w:u w:val="single" w:color="F46239"/>
                </w:rPr>
                <w:t>Readiness</w:t>
              </w:r>
              <w:r>
                <w:rPr>
                  <w:rFonts w:ascii="Arial"/>
                  <w:color w:val="515253"/>
                  <w:spacing w:val="-6"/>
                  <w:sz w:val="20"/>
                  <w:u w:val="single" w:color="F46239"/>
                </w:rPr>
                <w:t> </w:t>
              </w:r>
              <w:r>
                <w:rPr>
                  <w:rFonts w:ascii="Arial"/>
                  <w:color w:val="515253"/>
                  <w:sz w:val="20"/>
                  <w:u w:val="single" w:color="F46239"/>
                </w:rPr>
                <w:t>for</w:t>
              </w:r>
              <w:r>
                <w:rPr>
                  <w:rFonts w:ascii="Arial"/>
                  <w:color w:val="515253"/>
                  <w:spacing w:val="-6"/>
                  <w:sz w:val="20"/>
                  <w:u w:val="single" w:color="F46239"/>
                </w:rPr>
                <w:t> </w:t>
              </w:r>
              <w:r>
                <w:rPr>
                  <w:rFonts w:ascii="Arial"/>
                  <w:color w:val="515253"/>
                  <w:sz w:val="20"/>
                  <w:u w:val="single" w:color="F46239"/>
                </w:rPr>
                <w:t>Net</w:t>
              </w:r>
              <w:r>
                <w:rPr>
                  <w:rFonts w:ascii="Arial"/>
                  <w:color w:val="515253"/>
                  <w:spacing w:val="-7"/>
                  <w:sz w:val="20"/>
                  <w:u w:val="single" w:color="F46239"/>
                </w:rPr>
                <w:t> </w:t>
              </w:r>
              <w:r>
                <w:rPr>
                  <w:rFonts w:ascii="Arial"/>
                  <w:color w:val="515253"/>
                  <w:sz w:val="20"/>
                  <w:u w:val="single" w:color="F46239"/>
                </w:rPr>
                <w:t>Zero</w:t>
              </w:r>
              <w:r>
                <w:rPr>
                  <w:rFonts w:ascii="Arial"/>
                  <w:color w:val="515253"/>
                  <w:spacing w:val="-7"/>
                  <w:sz w:val="20"/>
                  <w:u w:val="single" w:color="F46239"/>
                </w:rPr>
                <w:t> </w:t>
              </w:r>
              <w:r>
                <w:rPr>
                  <w:rFonts w:ascii="Arial"/>
                  <w:color w:val="515253"/>
                  <w:sz w:val="20"/>
                  <w:u w:val="single" w:color="F46239"/>
                </w:rPr>
                <w:t>Carbon</w:t>
              </w:r>
              <w:r>
                <w:rPr>
                  <w:rFonts w:ascii="Arial"/>
                  <w:color w:val="515253"/>
                  <w:spacing w:val="-7"/>
                  <w:sz w:val="20"/>
                  <w:u w:val="single" w:color="F46239"/>
                </w:rPr>
                <w:t> </w:t>
              </w:r>
              <w:r>
                <w:rPr>
                  <w:rFonts w:ascii="Arial"/>
                  <w:color w:val="515253"/>
                  <w:sz w:val="20"/>
                  <w:u w:val="single" w:color="F46239"/>
                </w:rPr>
                <w:t>by</w:t>
              </w:r>
            </w:hyperlink>
            <w:r>
              <w:rPr>
                <w:rFonts w:ascii="Arial"/>
                <w:color w:val="515253"/>
                <w:sz w:val="20"/>
              </w:rPr>
              <w:t> </w:t>
            </w:r>
            <w:hyperlink r:id="rId27">
              <w:r>
                <w:rPr>
                  <w:rFonts w:ascii="Arial"/>
                  <w:color w:val="515253"/>
                  <w:sz w:val="20"/>
                  <w:u w:val="single" w:color="F46239"/>
                </w:rPr>
                <w:t>2030: Evidence Report</w:t>
              </w:r>
            </w:hyperlink>
          </w:p>
        </w:tc>
        <w:tc>
          <w:tcPr>
            <w:tcW w:w="2268" w:type="dxa"/>
            <w:tcBorders>
              <w:right w:val="nil"/>
            </w:tcBorders>
            <w:shd w:val="clear" w:color="auto" w:fill="F1F1F1"/>
          </w:tcPr>
          <w:p>
            <w:pPr>
              <w:pStyle w:val="TableParagraph"/>
              <w:spacing w:before="1"/>
              <w:rPr>
                <w:rFonts w:ascii="Arial"/>
                <w:sz w:val="24"/>
              </w:rPr>
            </w:pPr>
          </w:p>
          <w:p>
            <w:pPr>
              <w:pStyle w:val="TableParagraph"/>
              <w:ind w:left="218"/>
              <w:rPr>
                <w:rFonts w:ascii="Arial"/>
                <w:sz w:val="20"/>
              </w:rPr>
            </w:pPr>
            <w:r>
              <w:rPr>
                <w:rFonts w:ascii="Arial"/>
                <w:color w:val="515253"/>
                <w:sz w:val="20"/>
              </w:rPr>
              <w:t>July</w:t>
            </w:r>
            <w:r>
              <w:rPr>
                <w:rFonts w:ascii="Arial"/>
                <w:color w:val="515253"/>
                <w:spacing w:val="-6"/>
                <w:sz w:val="20"/>
              </w:rPr>
              <w:t> </w:t>
            </w:r>
            <w:r>
              <w:rPr>
                <w:rFonts w:ascii="Arial"/>
                <w:color w:val="515253"/>
                <w:spacing w:val="-4"/>
                <w:sz w:val="20"/>
              </w:rPr>
              <w:t>2022</w:t>
            </w:r>
          </w:p>
        </w:tc>
      </w:tr>
      <w:tr>
        <w:trPr>
          <w:trHeight w:val="774" w:hRule="atLeast"/>
        </w:trPr>
        <w:tc>
          <w:tcPr>
            <w:tcW w:w="5257" w:type="dxa"/>
            <w:tcBorders>
              <w:left w:val="nil"/>
              <w:bottom w:val="nil"/>
            </w:tcBorders>
            <w:shd w:val="clear" w:color="auto" w:fill="F1F1F1"/>
          </w:tcPr>
          <w:p>
            <w:pPr>
              <w:pStyle w:val="TableParagraph"/>
              <w:spacing w:before="10"/>
              <w:rPr>
                <w:rFonts w:ascii="Arial"/>
                <w:sz w:val="23"/>
              </w:rPr>
            </w:pPr>
          </w:p>
          <w:p>
            <w:pPr>
              <w:pStyle w:val="TableParagraph"/>
              <w:ind w:left="227"/>
              <w:rPr>
                <w:rFonts w:ascii="Arial"/>
                <w:sz w:val="20"/>
              </w:rPr>
            </w:pPr>
            <w:hyperlink r:id="rId28">
              <w:r>
                <w:rPr>
                  <w:rFonts w:ascii="Arial"/>
                  <w:color w:val="515253"/>
                  <w:sz w:val="20"/>
                  <w:u w:val="single" w:color="F46239"/>
                </w:rPr>
                <w:t>Public</w:t>
              </w:r>
              <w:r>
                <w:rPr>
                  <w:rFonts w:ascii="Arial"/>
                  <w:color w:val="515253"/>
                  <w:spacing w:val="-5"/>
                  <w:sz w:val="20"/>
                  <w:u w:val="single" w:color="F46239"/>
                </w:rPr>
                <w:t> </w:t>
              </w:r>
              <w:r>
                <w:rPr>
                  <w:rFonts w:ascii="Arial"/>
                  <w:color w:val="515253"/>
                  <w:sz w:val="20"/>
                  <w:u w:val="single" w:color="F46239"/>
                </w:rPr>
                <w:t>Sector</w:t>
              </w:r>
              <w:r>
                <w:rPr>
                  <w:rFonts w:ascii="Arial"/>
                  <w:color w:val="515253"/>
                  <w:spacing w:val="-7"/>
                  <w:sz w:val="20"/>
                  <w:u w:val="single" w:color="F46239"/>
                </w:rPr>
                <w:t> </w:t>
              </w:r>
              <w:r>
                <w:rPr>
                  <w:rFonts w:ascii="Arial"/>
                  <w:color w:val="515253"/>
                  <w:sz w:val="20"/>
                  <w:u w:val="single" w:color="F46239"/>
                </w:rPr>
                <w:t>Readiness</w:t>
              </w:r>
              <w:r>
                <w:rPr>
                  <w:rFonts w:ascii="Arial"/>
                  <w:color w:val="515253"/>
                  <w:spacing w:val="-6"/>
                  <w:sz w:val="20"/>
                  <w:u w:val="single" w:color="F46239"/>
                </w:rPr>
                <w:t> </w:t>
              </w:r>
              <w:r>
                <w:rPr>
                  <w:rFonts w:ascii="Arial"/>
                  <w:color w:val="515253"/>
                  <w:sz w:val="20"/>
                  <w:u w:val="single" w:color="F46239"/>
                </w:rPr>
                <w:t>for</w:t>
              </w:r>
              <w:r>
                <w:rPr>
                  <w:rFonts w:ascii="Arial"/>
                  <w:color w:val="515253"/>
                  <w:spacing w:val="-6"/>
                  <w:sz w:val="20"/>
                  <w:u w:val="single" w:color="F46239"/>
                </w:rPr>
                <w:t> </w:t>
              </w:r>
              <w:r>
                <w:rPr>
                  <w:rFonts w:ascii="Arial"/>
                  <w:color w:val="515253"/>
                  <w:sz w:val="20"/>
                  <w:u w:val="single" w:color="F46239"/>
                </w:rPr>
                <w:t>Net</w:t>
              </w:r>
              <w:r>
                <w:rPr>
                  <w:rFonts w:ascii="Arial"/>
                  <w:color w:val="515253"/>
                  <w:spacing w:val="-7"/>
                  <w:sz w:val="20"/>
                  <w:u w:val="single" w:color="F46239"/>
                </w:rPr>
                <w:t> </w:t>
              </w:r>
              <w:r>
                <w:rPr>
                  <w:rFonts w:ascii="Arial"/>
                  <w:color w:val="515253"/>
                  <w:sz w:val="20"/>
                  <w:u w:val="single" w:color="F46239"/>
                </w:rPr>
                <w:t>Zero</w:t>
              </w:r>
              <w:r>
                <w:rPr>
                  <w:rFonts w:ascii="Arial"/>
                  <w:color w:val="515253"/>
                  <w:spacing w:val="-7"/>
                  <w:sz w:val="20"/>
                  <w:u w:val="single" w:color="F46239"/>
                </w:rPr>
                <w:t> </w:t>
              </w:r>
              <w:r>
                <w:rPr>
                  <w:rFonts w:ascii="Arial"/>
                  <w:color w:val="515253"/>
                  <w:sz w:val="20"/>
                  <w:u w:val="single" w:color="F46239"/>
                </w:rPr>
                <w:t>Carbon</w:t>
              </w:r>
              <w:r>
                <w:rPr>
                  <w:rFonts w:ascii="Arial"/>
                  <w:color w:val="515253"/>
                  <w:spacing w:val="-7"/>
                  <w:sz w:val="20"/>
                  <w:u w:val="single" w:color="F46239"/>
                </w:rPr>
                <w:t> </w:t>
              </w:r>
              <w:r>
                <w:rPr>
                  <w:rFonts w:ascii="Arial"/>
                  <w:color w:val="515253"/>
                  <w:sz w:val="20"/>
                  <w:u w:val="single" w:color="F46239"/>
                </w:rPr>
                <w:t>by</w:t>
              </w:r>
              <w:r>
                <w:rPr>
                  <w:rFonts w:ascii="Arial"/>
                  <w:color w:val="515253"/>
                  <w:spacing w:val="-6"/>
                  <w:sz w:val="20"/>
                  <w:u w:val="single" w:color="F46239"/>
                </w:rPr>
                <w:t> </w:t>
              </w:r>
              <w:r>
                <w:rPr>
                  <w:rFonts w:ascii="Arial"/>
                  <w:color w:val="515253"/>
                  <w:spacing w:val="-4"/>
                  <w:sz w:val="20"/>
                  <w:u w:val="single" w:color="F46239"/>
                </w:rPr>
                <w:t>2030</w:t>
              </w:r>
            </w:hyperlink>
          </w:p>
        </w:tc>
        <w:tc>
          <w:tcPr>
            <w:tcW w:w="2268" w:type="dxa"/>
            <w:tcBorders>
              <w:bottom w:val="nil"/>
              <w:right w:val="nil"/>
            </w:tcBorders>
            <w:shd w:val="clear" w:color="auto" w:fill="F1F1F1"/>
          </w:tcPr>
          <w:p>
            <w:pPr>
              <w:pStyle w:val="TableParagraph"/>
              <w:spacing w:before="10"/>
              <w:rPr>
                <w:rFonts w:ascii="Arial"/>
                <w:sz w:val="23"/>
              </w:rPr>
            </w:pPr>
          </w:p>
          <w:p>
            <w:pPr>
              <w:pStyle w:val="TableParagraph"/>
              <w:ind w:left="218"/>
              <w:rPr>
                <w:rFonts w:ascii="Arial"/>
                <w:sz w:val="20"/>
              </w:rPr>
            </w:pPr>
            <w:r>
              <w:rPr>
                <w:rFonts w:ascii="Arial"/>
                <w:color w:val="515253"/>
                <w:sz w:val="20"/>
              </w:rPr>
              <w:t>July</w:t>
            </w:r>
            <w:r>
              <w:rPr>
                <w:rFonts w:ascii="Arial"/>
                <w:color w:val="515253"/>
                <w:spacing w:val="-6"/>
                <w:sz w:val="20"/>
              </w:rPr>
              <w:t> </w:t>
            </w:r>
            <w:r>
              <w:rPr>
                <w:rFonts w:ascii="Arial"/>
                <w:color w:val="515253"/>
                <w:spacing w:val="-4"/>
                <w:sz w:val="20"/>
              </w:rPr>
              <w:t>2022</w:t>
            </w:r>
          </w:p>
        </w:tc>
      </w:tr>
    </w:tbl>
    <w:p>
      <w:pPr>
        <w:pStyle w:val="BodyText"/>
        <w:rPr>
          <w:rFonts w:ascii="Arial"/>
          <w:sz w:val="22"/>
        </w:rPr>
      </w:pPr>
    </w:p>
    <w:p>
      <w:pPr>
        <w:pStyle w:val="BodyText"/>
        <w:rPr>
          <w:rFonts w:ascii="Arial"/>
          <w:sz w:val="22"/>
        </w:rPr>
      </w:pPr>
    </w:p>
    <w:p>
      <w:pPr>
        <w:pStyle w:val="BodyText"/>
        <w:spacing w:before="9"/>
        <w:rPr>
          <w:rFonts w:ascii="Arial"/>
          <w:sz w:val="29"/>
        </w:rPr>
      </w:pPr>
    </w:p>
    <w:p>
      <w:pPr>
        <w:spacing w:before="0"/>
        <w:ind w:left="472" w:right="0" w:firstLine="0"/>
        <w:jc w:val="left"/>
        <w:rPr>
          <w:rFonts w:ascii="Arial" w:hAnsi="Arial"/>
          <w:sz w:val="18"/>
        </w:rPr>
      </w:pPr>
      <w:r>
        <w:rPr>
          <w:rFonts w:ascii="Arial" w:hAnsi="Arial"/>
          <w:color w:val="757575"/>
          <w:sz w:val="18"/>
        </w:rPr>
        <w:t>Page 2</w:t>
      </w:r>
      <w:r>
        <w:rPr>
          <w:rFonts w:ascii="Arial" w:hAnsi="Arial"/>
          <w:color w:val="757575"/>
          <w:spacing w:val="-3"/>
          <w:sz w:val="18"/>
        </w:rPr>
        <w:t> </w:t>
      </w:r>
      <w:r>
        <w:rPr>
          <w:rFonts w:ascii="Arial" w:hAnsi="Arial"/>
          <w:color w:val="757575"/>
          <w:sz w:val="18"/>
        </w:rPr>
        <w:t>of</w:t>
      </w:r>
      <w:r>
        <w:rPr>
          <w:rFonts w:ascii="Arial" w:hAnsi="Arial"/>
          <w:color w:val="757575"/>
          <w:spacing w:val="-1"/>
          <w:sz w:val="18"/>
        </w:rPr>
        <w:t> </w:t>
      </w:r>
      <w:r>
        <w:rPr>
          <w:rFonts w:ascii="Arial" w:hAnsi="Arial"/>
          <w:color w:val="757575"/>
          <w:sz w:val="18"/>
        </w:rPr>
        <w:t>3</w:t>
      </w:r>
      <w:r>
        <w:rPr>
          <w:rFonts w:ascii="Arial" w:hAnsi="Arial"/>
          <w:color w:val="757575"/>
          <w:spacing w:val="-3"/>
          <w:sz w:val="18"/>
        </w:rPr>
        <w:t> </w:t>
      </w:r>
      <w:r>
        <w:rPr>
          <w:rFonts w:ascii="Arial" w:hAnsi="Arial"/>
          <w:color w:val="757575"/>
          <w:sz w:val="18"/>
        </w:rPr>
        <w:t>-</w:t>
      </w:r>
      <w:r>
        <w:rPr>
          <w:rFonts w:ascii="Arial" w:hAnsi="Arial"/>
          <w:color w:val="757575"/>
          <w:spacing w:val="-1"/>
          <w:sz w:val="18"/>
        </w:rPr>
        <w:t> </w:t>
      </w:r>
      <w:r>
        <w:rPr>
          <w:rFonts w:ascii="Arial" w:hAnsi="Arial"/>
          <w:b/>
          <w:color w:val="757575"/>
          <w:sz w:val="18"/>
        </w:rPr>
        <w:t>Audit</w:t>
      </w:r>
      <w:r>
        <w:rPr>
          <w:rFonts w:ascii="Arial" w:hAnsi="Arial"/>
          <w:b/>
          <w:color w:val="757575"/>
          <w:spacing w:val="-1"/>
          <w:sz w:val="18"/>
        </w:rPr>
        <w:t> </w:t>
      </w:r>
      <w:r>
        <w:rPr>
          <w:rFonts w:ascii="Arial" w:hAnsi="Arial"/>
          <w:b/>
          <w:color w:val="757575"/>
          <w:sz w:val="18"/>
        </w:rPr>
        <w:t>Wales</w:t>
      </w:r>
      <w:r>
        <w:rPr>
          <w:rFonts w:ascii="Arial" w:hAnsi="Arial"/>
          <w:b/>
          <w:color w:val="757575"/>
          <w:spacing w:val="-3"/>
          <w:sz w:val="18"/>
        </w:rPr>
        <w:t> </w:t>
      </w:r>
      <w:r>
        <w:rPr>
          <w:rFonts w:ascii="Arial" w:hAnsi="Arial"/>
          <w:b/>
          <w:color w:val="757575"/>
          <w:sz w:val="18"/>
        </w:rPr>
        <w:t>update</w:t>
      </w:r>
      <w:r>
        <w:rPr>
          <w:rFonts w:ascii="Arial" w:hAnsi="Arial"/>
          <w:b/>
          <w:color w:val="757575"/>
          <w:spacing w:val="-1"/>
          <w:sz w:val="18"/>
        </w:rPr>
        <w:t> </w:t>
      </w:r>
      <w:r>
        <w:rPr>
          <w:rFonts w:ascii="Arial" w:hAnsi="Arial"/>
          <w:b/>
          <w:color w:val="757575"/>
          <w:sz w:val="18"/>
        </w:rPr>
        <w:t>for</w:t>
      </w:r>
      <w:r>
        <w:rPr>
          <w:rFonts w:ascii="Arial" w:hAnsi="Arial"/>
          <w:b/>
          <w:color w:val="757575"/>
          <w:spacing w:val="-2"/>
          <w:sz w:val="18"/>
        </w:rPr>
        <w:t> </w:t>
      </w:r>
      <w:r>
        <w:rPr>
          <w:rFonts w:ascii="Arial" w:hAnsi="Arial"/>
          <w:b/>
          <w:color w:val="757575"/>
          <w:sz w:val="18"/>
        </w:rPr>
        <w:t>the</w:t>
      </w:r>
      <w:r>
        <w:rPr>
          <w:rFonts w:ascii="Arial" w:hAnsi="Arial"/>
          <w:b/>
          <w:color w:val="757575"/>
          <w:spacing w:val="-1"/>
          <w:sz w:val="18"/>
        </w:rPr>
        <w:t> </w:t>
      </w:r>
      <w:r>
        <w:rPr>
          <w:rFonts w:ascii="Arial" w:hAnsi="Arial"/>
          <w:b/>
          <w:color w:val="757575"/>
          <w:sz w:val="18"/>
        </w:rPr>
        <w:t>NWSSP</w:t>
      </w:r>
      <w:r>
        <w:rPr>
          <w:rFonts w:ascii="Arial" w:hAnsi="Arial"/>
          <w:b/>
          <w:color w:val="757575"/>
          <w:spacing w:val="-1"/>
          <w:sz w:val="18"/>
        </w:rPr>
        <w:t> </w:t>
      </w:r>
      <w:r>
        <w:rPr>
          <w:rFonts w:ascii="Arial" w:hAnsi="Arial"/>
          <w:b/>
          <w:color w:val="757575"/>
          <w:sz w:val="18"/>
        </w:rPr>
        <w:t>Audit</w:t>
      </w:r>
      <w:r>
        <w:rPr>
          <w:rFonts w:ascii="Arial" w:hAnsi="Arial"/>
          <w:b/>
          <w:color w:val="757575"/>
          <w:spacing w:val="-1"/>
          <w:sz w:val="18"/>
        </w:rPr>
        <w:t> </w:t>
      </w:r>
      <w:r>
        <w:rPr>
          <w:rFonts w:ascii="Arial" w:hAnsi="Arial"/>
          <w:b/>
          <w:color w:val="757575"/>
          <w:sz w:val="18"/>
        </w:rPr>
        <w:t>Committee</w:t>
      </w:r>
      <w:r>
        <w:rPr>
          <w:rFonts w:ascii="Arial" w:hAnsi="Arial"/>
          <w:b/>
          <w:color w:val="757575"/>
          <w:spacing w:val="2"/>
          <w:sz w:val="18"/>
        </w:rPr>
        <w:t> </w:t>
      </w:r>
      <w:r>
        <w:rPr>
          <w:rFonts w:ascii="Arial" w:hAnsi="Arial"/>
          <w:b/>
          <w:color w:val="757575"/>
          <w:sz w:val="18"/>
        </w:rPr>
        <w:t>–</w:t>
      </w:r>
      <w:r>
        <w:rPr>
          <w:rFonts w:ascii="Arial" w:hAnsi="Arial"/>
          <w:b/>
          <w:color w:val="757575"/>
          <w:spacing w:val="-3"/>
          <w:sz w:val="18"/>
        </w:rPr>
        <w:t> </w:t>
      </w:r>
      <w:r>
        <w:rPr>
          <w:rFonts w:ascii="Arial" w:hAnsi="Arial"/>
          <w:color w:val="757575"/>
          <w:sz w:val="18"/>
        </w:rPr>
        <w:t>January</w:t>
      </w:r>
      <w:r>
        <w:rPr>
          <w:rFonts w:ascii="Arial" w:hAnsi="Arial"/>
          <w:color w:val="757575"/>
          <w:spacing w:val="-3"/>
          <w:sz w:val="18"/>
        </w:rPr>
        <w:t> </w:t>
      </w:r>
      <w:r>
        <w:rPr>
          <w:rFonts w:ascii="Arial" w:hAnsi="Arial"/>
          <w:color w:val="757575"/>
          <w:spacing w:val="-4"/>
          <w:sz w:val="18"/>
        </w:rPr>
        <w:t>2023</w:t>
      </w:r>
    </w:p>
    <w:p>
      <w:pPr>
        <w:spacing w:after="0"/>
        <w:jc w:val="left"/>
        <w:rPr>
          <w:rFonts w:ascii="Arial" w:hAnsi="Arial"/>
          <w:sz w:val="18"/>
        </w:rPr>
        <w:sectPr>
          <w:pgSz w:w="11910" w:h="16840"/>
          <w:pgMar w:header="0" w:footer="173" w:top="1920" w:bottom="360" w:left="380" w:right="56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
        <w:rPr>
          <w:rFonts w:ascii="Arial"/>
          <w:sz w:val="27"/>
        </w:rPr>
      </w:pPr>
    </w:p>
    <w:tbl>
      <w:tblPr>
        <w:tblW w:w="0" w:type="auto"/>
        <w:jc w:val="left"/>
        <w:tblInd w:w="467" w:type="dxa"/>
        <w:tblBorders>
          <w:top w:val="single" w:sz="8" w:space="0" w:color="F46239"/>
          <w:left w:val="single" w:sz="8" w:space="0" w:color="F46239"/>
          <w:bottom w:val="single" w:sz="8" w:space="0" w:color="F46239"/>
          <w:right w:val="single" w:sz="8" w:space="0" w:color="F46239"/>
          <w:insideH w:val="single" w:sz="8" w:space="0" w:color="F46239"/>
          <w:insideV w:val="single" w:sz="8" w:space="0" w:color="F46239"/>
        </w:tblBorders>
        <w:tblLayout w:type="fixed"/>
        <w:tblCellMar>
          <w:top w:w="0" w:type="dxa"/>
          <w:left w:w="0" w:type="dxa"/>
          <w:bottom w:w="0" w:type="dxa"/>
          <w:right w:w="0" w:type="dxa"/>
        </w:tblCellMar>
        <w:tblLook w:val="01E0"/>
      </w:tblPr>
      <w:tblGrid>
        <w:gridCol w:w="5257"/>
        <w:gridCol w:w="2268"/>
      </w:tblGrid>
      <w:tr>
        <w:trPr>
          <w:trHeight w:val="230" w:hRule="atLeast"/>
        </w:trPr>
        <w:tc>
          <w:tcPr>
            <w:tcW w:w="7525" w:type="dxa"/>
            <w:gridSpan w:val="2"/>
            <w:tcBorders>
              <w:top w:val="nil"/>
              <w:left w:val="nil"/>
              <w:bottom w:val="nil"/>
              <w:right w:val="nil"/>
            </w:tcBorders>
            <w:shd w:val="clear" w:color="auto" w:fill="F1F1F1"/>
          </w:tcPr>
          <w:p>
            <w:pPr>
              <w:pStyle w:val="TableParagraph"/>
              <w:rPr>
                <w:rFonts w:ascii="Times New Roman"/>
                <w:sz w:val="16"/>
              </w:rPr>
            </w:pPr>
          </w:p>
        </w:tc>
      </w:tr>
      <w:tr>
        <w:trPr>
          <w:trHeight w:val="544" w:hRule="atLeast"/>
        </w:trPr>
        <w:tc>
          <w:tcPr>
            <w:tcW w:w="5257" w:type="dxa"/>
            <w:tcBorders>
              <w:top w:val="nil"/>
              <w:left w:val="nil"/>
            </w:tcBorders>
            <w:shd w:val="clear" w:color="auto" w:fill="F1F1F1"/>
          </w:tcPr>
          <w:p>
            <w:pPr>
              <w:pStyle w:val="TableParagraph"/>
              <w:spacing w:before="47"/>
              <w:ind w:left="227"/>
              <w:rPr>
                <w:rFonts w:ascii="Arial"/>
                <w:b/>
                <w:sz w:val="20"/>
              </w:rPr>
            </w:pPr>
            <w:r>
              <w:rPr>
                <w:rFonts w:ascii="Arial"/>
                <w:b/>
                <w:color w:val="515253"/>
                <w:spacing w:val="-2"/>
                <w:sz w:val="20"/>
              </w:rPr>
              <w:t>Title</w:t>
            </w:r>
          </w:p>
        </w:tc>
        <w:tc>
          <w:tcPr>
            <w:tcW w:w="2268" w:type="dxa"/>
            <w:tcBorders>
              <w:top w:val="nil"/>
              <w:right w:val="nil"/>
            </w:tcBorders>
            <w:shd w:val="clear" w:color="auto" w:fill="F1F1F1"/>
          </w:tcPr>
          <w:p>
            <w:pPr>
              <w:pStyle w:val="TableParagraph"/>
              <w:spacing w:before="47"/>
              <w:ind w:left="218"/>
              <w:rPr>
                <w:rFonts w:ascii="Arial"/>
                <w:b/>
                <w:sz w:val="20"/>
              </w:rPr>
            </w:pPr>
            <w:r>
              <w:rPr>
                <w:rFonts w:ascii="Arial"/>
                <w:b/>
                <w:color w:val="515253"/>
                <w:spacing w:val="-2"/>
                <w:sz w:val="20"/>
              </w:rPr>
              <w:t>Publication</w:t>
            </w:r>
            <w:r>
              <w:rPr>
                <w:rFonts w:ascii="Arial"/>
                <w:b/>
                <w:color w:val="515253"/>
                <w:spacing w:val="6"/>
                <w:sz w:val="20"/>
              </w:rPr>
              <w:t> </w:t>
            </w:r>
            <w:r>
              <w:rPr>
                <w:rFonts w:ascii="Arial"/>
                <w:b/>
                <w:color w:val="515253"/>
                <w:spacing w:val="-4"/>
                <w:sz w:val="20"/>
              </w:rPr>
              <w:t>Date</w:t>
            </w:r>
          </w:p>
        </w:tc>
      </w:tr>
      <w:tr>
        <w:trPr>
          <w:trHeight w:val="1014" w:hRule="atLeast"/>
        </w:trPr>
        <w:tc>
          <w:tcPr>
            <w:tcW w:w="5257" w:type="dxa"/>
            <w:tcBorders>
              <w:left w:val="nil"/>
            </w:tcBorders>
            <w:shd w:val="clear" w:color="auto" w:fill="F1F1F1"/>
          </w:tcPr>
          <w:p>
            <w:pPr>
              <w:pStyle w:val="TableParagraph"/>
              <w:spacing w:before="1"/>
              <w:rPr>
                <w:rFonts w:ascii="Arial"/>
                <w:sz w:val="24"/>
              </w:rPr>
            </w:pPr>
          </w:p>
          <w:p>
            <w:pPr>
              <w:pStyle w:val="TableParagraph"/>
              <w:spacing w:line="249" w:lineRule="auto"/>
              <w:ind w:left="227" w:right="303"/>
              <w:rPr>
                <w:rFonts w:ascii="Arial"/>
                <w:sz w:val="20"/>
              </w:rPr>
            </w:pPr>
            <w:hyperlink r:id="rId30">
              <w:r>
                <w:rPr>
                  <w:rFonts w:ascii="Arial"/>
                  <w:color w:val="515253"/>
                  <w:sz w:val="20"/>
                  <w:u w:val="single" w:color="F46239"/>
                </w:rPr>
                <w:t>The</w:t>
              </w:r>
              <w:r>
                <w:rPr>
                  <w:rFonts w:ascii="Arial"/>
                  <w:color w:val="515253"/>
                  <w:spacing w:val="-11"/>
                  <w:sz w:val="20"/>
                  <w:u w:val="single" w:color="F46239"/>
                </w:rPr>
                <w:t> </w:t>
              </w:r>
              <w:r>
                <w:rPr>
                  <w:rFonts w:ascii="Arial"/>
                  <w:color w:val="515253"/>
                  <w:sz w:val="20"/>
                  <w:u w:val="single" w:color="F46239"/>
                </w:rPr>
                <w:t>Welsh</w:t>
              </w:r>
              <w:r>
                <w:rPr>
                  <w:rFonts w:ascii="Arial"/>
                  <w:color w:val="515253"/>
                  <w:spacing w:val="-8"/>
                  <w:sz w:val="20"/>
                  <w:u w:val="single" w:color="F46239"/>
                </w:rPr>
                <w:t> </w:t>
              </w:r>
              <w:r>
                <w:rPr>
                  <w:rFonts w:ascii="Arial"/>
                  <w:color w:val="515253"/>
                  <w:sz w:val="20"/>
                  <w:u w:val="single" w:color="F46239"/>
                </w:rPr>
                <w:t>Community</w:t>
              </w:r>
              <w:r>
                <w:rPr>
                  <w:rFonts w:ascii="Arial"/>
                  <w:color w:val="515253"/>
                  <w:spacing w:val="-9"/>
                  <w:sz w:val="20"/>
                  <w:u w:val="single" w:color="F46239"/>
                </w:rPr>
                <w:t> </w:t>
              </w:r>
              <w:r>
                <w:rPr>
                  <w:rFonts w:ascii="Arial"/>
                  <w:color w:val="515253"/>
                  <w:sz w:val="20"/>
                  <w:u w:val="single" w:color="F46239"/>
                </w:rPr>
                <w:t>Care</w:t>
              </w:r>
              <w:r>
                <w:rPr>
                  <w:rFonts w:ascii="Arial"/>
                  <w:color w:val="515253"/>
                  <w:spacing w:val="-10"/>
                  <w:sz w:val="20"/>
                  <w:u w:val="single" w:color="F46239"/>
                </w:rPr>
                <w:t> </w:t>
              </w:r>
              <w:r>
                <w:rPr>
                  <w:rFonts w:ascii="Arial"/>
                  <w:color w:val="515253"/>
                  <w:sz w:val="20"/>
                  <w:u w:val="single" w:color="F46239"/>
                </w:rPr>
                <w:t>Information</w:t>
              </w:r>
              <w:r>
                <w:rPr>
                  <w:rFonts w:ascii="Arial"/>
                  <w:color w:val="515253"/>
                  <w:spacing w:val="-8"/>
                  <w:sz w:val="20"/>
                  <w:u w:val="single" w:color="F46239"/>
                </w:rPr>
                <w:t> </w:t>
              </w:r>
              <w:r>
                <w:rPr>
                  <w:rFonts w:ascii="Arial"/>
                  <w:color w:val="515253"/>
                  <w:sz w:val="20"/>
                  <w:u w:val="single" w:color="F46239"/>
                </w:rPr>
                <w:t>System</w:t>
              </w:r>
            </w:hyperlink>
            <w:r>
              <w:rPr>
                <w:rFonts w:ascii="Arial"/>
                <w:color w:val="515253"/>
                <w:sz w:val="20"/>
              </w:rPr>
              <w:t> </w:t>
            </w:r>
            <w:hyperlink r:id="rId30">
              <w:r>
                <w:rPr>
                  <w:rFonts w:ascii="Arial"/>
                  <w:color w:val="515253"/>
                  <w:spacing w:val="-2"/>
                  <w:sz w:val="20"/>
                  <w:u w:val="single" w:color="F46239"/>
                </w:rPr>
                <w:t>update</w:t>
              </w:r>
            </w:hyperlink>
          </w:p>
        </w:tc>
        <w:tc>
          <w:tcPr>
            <w:tcW w:w="2268" w:type="dxa"/>
            <w:tcBorders>
              <w:right w:val="nil"/>
            </w:tcBorders>
            <w:shd w:val="clear" w:color="auto" w:fill="F1F1F1"/>
          </w:tcPr>
          <w:p>
            <w:pPr>
              <w:pStyle w:val="TableParagraph"/>
              <w:spacing w:before="1"/>
              <w:rPr>
                <w:rFonts w:ascii="Arial"/>
                <w:sz w:val="24"/>
              </w:rPr>
            </w:pPr>
          </w:p>
          <w:p>
            <w:pPr>
              <w:pStyle w:val="TableParagraph"/>
              <w:ind w:left="218"/>
              <w:rPr>
                <w:rFonts w:ascii="Arial"/>
                <w:sz w:val="20"/>
              </w:rPr>
            </w:pPr>
            <w:r>
              <w:rPr>
                <w:rFonts w:ascii="Arial"/>
                <w:color w:val="515253"/>
                <w:sz w:val="20"/>
              </w:rPr>
              <w:t>July</w:t>
            </w:r>
            <w:r>
              <w:rPr>
                <w:rFonts w:ascii="Arial"/>
                <w:color w:val="515253"/>
                <w:spacing w:val="-6"/>
                <w:sz w:val="20"/>
              </w:rPr>
              <w:t> </w:t>
            </w:r>
            <w:r>
              <w:rPr>
                <w:rFonts w:ascii="Arial"/>
                <w:color w:val="515253"/>
                <w:spacing w:val="-4"/>
                <w:sz w:val="20"/>
              </w:rPr>
              <w:t>2022</w:t>
            </w:r>
          </w:p>
        </w:tc>
      </w:tr>
      <w:tr>
        <w:trPr>
          <w:trHeight w:val="774" w:hRule="atLeast"/>
        </w:trPr>
        <w:tc>
          <w:tcPr>
            <w:tcW w:w="5257" w:type="dxa"/>
            <w:tcBorders>
              <w:left w:val="nil"/>
            </w:tcBorders>
            <w:shd w:val="clear" w:color="auto" w:fill="F1F1F1"/>
          </w:tcPr>
          <w:p>
            <w:pPr>
              <w:pStyle w:val="TableParagraph"/>
              <w:spacing w:before="2"/>
              <w:rPr>
                <w:rFonts w:ascii="Arial"/>
                <w:sz w:val="24"/>
              </w:rPr>
            </w:pPr>
          </w:p>
          <w:p>
            <w:pPr>
              <w:pStyle w:val="TableParagraph"/>
              <w:ind w:left="227"/>
              <w:rPr>
                <w:rFonts w:ascii="Arial"/>
                <w:sz w:val="20"/>
              </w:rPr>
            </w:pPr>
            <w:hyperlink r:id="rId31">
              <w:r>
                <w:rPr>
                  <w:rFonts w:ascii="Arial"/>
                  <w:color w:val="515253"/>
                  <w:sz w:val="20"/>
                  <w:u w:val="single" w:color="F46239"/>
                </w:rPr>
                <w:t>Tackling</w:t>
              </w:r>
              <w:r>
                <w:rPr>
                  <w:rFonts w:ascii="Arial"/>
                  <w:color w:val="515253"/>
                  <w:spacing w:val="-8"/>
                  <w:sz w:val="20"/>
                  <w:u w:val="single" w:color="F46239"/>
                </w:rPr>
                <w:t> </w:t>
              </w:r>
              <w:r>
                <w:rPr>
                  <w:rFonts w:ascii="Arial"/>
                  <w:color w:val="515253"/>
                  <w:sz w:val="20"/>
                  <w:u w:val="single" w:color="F46239"/>
                </w:rPr>
                <w:t>the</w:t>
              </w:r>
              <w:r>
                <w:rPr>
                  <w:rFonts w:ascii="Arial"/>
                  <w:color w:val="515253"/>
                  <w:spacing w:val="-6"/>
                  <w:sz w:val="20"/>
                  <w:u w:val="single" w:color="F46239"/>
                </w:rPr>
                <w:t> </w:t>
              </w:r>
              <w:r>
                <w:rPr>
                  <w:rFonts w:ascii="Arial"/>
                  <w:color w:val="515253"/>
                  <w:sz w:val="20"/>
                  <w:u w:val="single" w:color="F46239"/>
                </w:rPr>
                <w:t>Planned</w:t>
              </w:r>
              <w:r>
                <w:rPr>
                  <w:rFonts w:ascii="Arial"/>
                  <w:color w:val="515253"/>
                  <w:spacing w:val="-6"/>
                  <w:sz w:val="20"/>
                  <w:u w:val="single" w:color="F46239"/>
                </w:rPr>
                <w:t> </w:t>
              </w:r>
              <w:r>
                <w:rPr>
                  <w:rFonts w:ascii="Arial"/>
                  <w:color w:val="515253"/>
                  <w:sz w:val="20"/>
                  <w:u w:val="single" w:color="F46239"/>
                </w:rPr>
                <w:t>Care</w:t>
              </w:r>
              <w:r>
                <w:rPr>
                  <w:rFonts w:ascii="Arial"/>
                  <w:color w:val="515253"/>
                  <w:spacing w:val="-6"/>
                  <w:sz w:val="20"/>
                  <w:u w:val="single" w:color="F46239"/>
                </w:rPr>
                <w:t> </w:t>
              </w:r>
              <w:r>
                <w:rPr>
                  <w:rFonts w:ascii="Arial"/>
                  <w:color w:val="515253"/>
                  <w:sz w:val="20"/>
                  <w:u w:val="single" w:color="F46239"/>
                </w:rPr>
                <w:t>Backlog</w:t>
              </w:r>
              <w:r>
                <w:rPr>
                  <w:rFonts w:ascii="Arial"/>
                  <w:color w:val="515253"/>
                  <w:spacing w:val="-6"/>
                  <w:sz w:val="20"/>
                  <w:u w:val="single" w:color="F46239"/>
                </w:rPr>
                <w:t> </w:t>
              </w:r>
              <w:r>
                <w:rPr>
                  <w:rFonts w:ascii="Arial"/>
                  <w:color w:val="515253"/>
                  <w:sz w:val="20"/>
                  <w:u w:val="single" w:color="F46239"/>
                </w:rPr>
                <w:t>in</w:t>
              </w:r>
              <w:r>
                <w:rPr>
                  <w:rFonts w:ascii="Arial"/>
                  <w:color w:val="515253"/>
                  <w:spacing w:val="-8"/>
                  <w:sz w:val="20"/>
                  <w:u w:val="single" w:color="F46239"/>
                </w:rPr>
                <w:t> </w:t>
              </w:r>
              <w:r>
                <w:rPr>
                  <w:rFonts w:ascii="Arial"/>
                  <w:color w:val="515253"/>
                  <w:spacing w:val="-4"/>
                  <w:sz w:val="20"/>
                  <w:u w:val="single" w:color="F46239"/>
                </w:rPr>
                <w:t>Wales</w:t>
              </w:r>
            </w:hyperlink>
          </w:p>
        </w:tc>
        <w:tc>
          <w:tcPr>
            <w:tcW w:w="2268" w:type="dxa"/>
            <w:tcBorders>
              <w:right w:val="nil"/>
            </w:tcBorders>
            <w:shd w:val="clear" w:color="auto" w:fill="F1F1F1"/>
          </w:tcPr>
          <w:p>
            <w:pPr>
              <w:pStyle w:val="TableParagraph"/>
              <w:spacing w:before="2"/>
              <w:rPr>
                <w:rFonts w:ascii="Arial"/>
                <w:sz w:val="24"/>
              </w:rPr>
            </w:pPr>
          </w:p>
          <w:p>
            <w:pPr>
              <w:pStyle w:val="TableParagraph"/>
              <w:ind w:left="218"/>
              <w:rPr>
                <w:rFonts w:ascii="Arial"/>
                <w:sz w:val="20"/>
              </w:rPr>
            </w:pPr>
            <w:r>
              <w:rPr>
                <w:rFonts w:ascii="Arial"/>
                <w:color w:val="515253"/>
                <w:sz w:val="20"/>
              </w:rPr>
              <w:t>May</w:t>
            </w:r>
            <w:r>
              <w:rPr>
                <w:rFonts w:ascii="Arial"/>
                <w:color w:val="515253"/>
                <w:spacing w:val="-5"/>
                <w:sz w:val="20"/>
              </w:rPr>
              <w:t> </w:t>
            </w:r>
            <w:r>
              <w:rPr>
                <w:rFonts w:ascii="Arial"/>
                <w:color w:val="515253"/>
                <w:spacing w:val="-4"/>
                <w:sz w:val="20"/>
              </w:rPr>
              <w:t>2022</w:t>
            </w:r>
          </w:p>
        </w:tc>
      </w:tr>
      <w:tr>
        <w:trPr>
          <w:trHeight w:val="774" w:hRule="atLeast"/>
        </w:trPr>
        <w:tc>
          <w:tcPr>
            <w:tcW w:w="5257" w:type="dxa"/>
            <w:tcBorders>
              <w:left w:val="nil"/>
            </w:tcBorders>
            <w:shd w:val="clear" w:color="auto" w:fill="F1F1F1"/>
          </w:tcPr>
          <w:p>
            <w:pPr>
              <w:pStyle w:val="TableParagraph"/>
              <w:spacing w:before="1"/>
              <w:rPr>
                <w:rFonts w:ascii="Arial"/>
                <w:sz w:val="24"/>
              </w:rPr>
            </w:pPr>
          </w:p>
          <w:p>
            <w:pPr>
              <w:pStyle w:val="TableParagraph"/>
              <w:ind w:left="227"/>
              <w:rPr>
                <w:rFonts w:ascii="Arial"/>
                <w:sz w:val="20"/>
              </w:rPr>
            </w:pPr>
            <w:hyperlink r:id="rId32">
              <w:r>
                <w:rPr>
                  <w:rFonts w:ascii="Arial"/>
                  <w:color w:val="515253"/>
                  <w:sz w:val="20"/>
                  <w:u w:val="single" w:color="F46239"/>
                </w:rPr>
                <w:t>Unscheduled</w:t>
              </w:r>
              <w:r>
                <w:rPr>
                  <w:rFonts w:ascii="Arial"/>
                  <w:color w:val="515253"/>
                  <w:spacing w:val="-6"/>
                  <w:sz w:val="20"/>
                  <w:u w:val="single" w:color="F46239"/>
                </w:rPr>
                <w:t> </w:t>
              </w:r>
              <w:r>
                <w:rPr>
                  <w:rFonts w:ascii="Arial"/>
                  <w:color w:val="515253"/>
                  <w:sz w:val="20"/>
                  <w:u w:val="single" w:color="F46239"/>
                </w:rPr>
                <w:t>Care</w:t>
              </w:r>
              <w:r>
                <w:rPr>
                  <w:rFonts w:ascii="Arial"/>
                  <w:color w:val="515253"/>
                  <w:spacing w:val="-7"/>
                  <w:sz w:val="20"/>
                  <w:u w:val="single" w:color="F46239"/>
                </w:rPr>
                <w:t> </w:t>
              </w:r>
              <w:r>
                <w:rPr>
                  <w:rFonts w:ascii="Arial"/>
                  <w:color w:val="515253"/>
                  <w:sz w:val="20"/>
                  <w:u w:val="single" w:color="F46239"/>
                </w:rPr>
                <w:t>in</w:t>
              </w:r>
              <w:r>
                <w:rPr>
                  <w:rFonts w:ascii="Arial"/>
                  <w:color w:val="515253"/>
                  <w:spacing w:val="-7"/>
                  <w:sz w:val="20"/>
                  <w:u w:val="single" w:color="F46239"/>
                </w:rPr>
                <w:t> </w:t>
              </w:r>
              <w:r>
                <w:rPr>
                  <w:rFonts w:ascii="Arial"/>
                  <w:color w:val="515253"/>
                  <w:spacing w:val="-4"/>
                  <w:sz w:val="20"/>
                  <w:u w:val="single" w:color="F46239"/>
                </w:rPr>
                <w:t>Wales</w:t>
              </w:r>
            </w:hyperlink>
          </w:p>
        </w:tc>
        <w:tc>
          <w:tcPr>
            <w:tcW w:w="2268" w:type="dxa"/>
            <w:tcBorders>
              <w:right w:val="nil"/>
            </w:tcBorders>
            <w:shd w:val="clear" w:color="auto" w:fill="F1F1F1"/>
          </w:tcPr>
          <w:p>
            <w:pPr>
              <w:pStyle w:val="TableParagraph"/>
              <w:spacing w:before="1"/>
              <w:rPr>
                <w:rFonts w:ascii="Arial"/>
                <w:sz w:val="24"/>
              </w:rPr>
            </w:pPr>
          </w:p>
          <w:p>
            <w:pPr>
              <w:pStyle w:val="TableParagraph"/>
              <w:ind w:left="218"/>
              <w:rPr>
                <w:rFonts w:ascii="Arial"/>
                <w:sz w:val="20"/>
              </w:rPr>
            </w:pPr>
            <w:r>
              <w:rPr>
                <w:rFonts w:ascii="Arial"/>
                <w:color w:val="515253"/>
                <w:sz w:val="20"/>
              </w:rPr>
              <w:t>April</w:t>
            </w:r>
            <w:r>
              <w:rPr>
                <w:rFonts w:ascii="Arial"/>
                <w:color w:val="515253"/>
                <w:spacing w:val="-10"/>
                <w:sz w:val="20"/>
              </w:rPr>
              <w:t> </w:t>
            </w:r>
            <w:r>
              <w:rPr>
                <w:rFonts w:ascii="Arial"/>
                <w:color w:val="515253"/>
                <w:spacing w:val="-4"/>
                <w:sz w:val="20"/>
              </w:rPr>
              <w:t>2022</w:t>
            </w:r>
          </w:p>
        </w:tc>
      </w:tr>
      <w:tr>
        <w:trPr>
          <w:trHeight w:val="774" w:hRule="atLeast"/>
        </w:trPr>
        <w:tc>
          <w:tcPr>
            <w:tcW w:w="5257" w:type="dxa"/>
            <w:tcBorders>
              <w:left w:val="nil"/>
              <w:bottom w:val="nil"/>
            </w:tcBorders>
            <w:shd w:val="clear" w:color="auto" w:fill="F1F1F1"/>
          </w:tcPr>
          <w:p>
            <w:pPr>
              <w:pStyle w:val="TableParagraph"/>
              <w:spacing w:before="10"/>
              <w:rPr>
                <w:rFonts w:ascii="Arial"/>
                <w:sz w:val="23"/>
              </w:rPr>
            </w:pPr>
          </w:p>
          <w:p>
            <w:pPr>
              <w:pStyle w:val="TableParagraph"/>
              <w:ind w:left="227"/>
              <w:rPr>
                <w:rFonts w:ascii="Arial"/>
                <w:sz w:val="20"/>
              </w:rPr>
            </w:pPr>
            <w:hyperlink r:id="rId33">
              <w:r>
                <w:rPr>
                  <w:rFonts w:ascii="Arial"/>
                  <w:color w:val="515253"/>
                  <w:sz w:val="20"/>
                  <w:u w:val="single" w:color="F46239"/>
                </w:rPr>
                <w:t>Joint</w:t>
              </w:r>
              <w:r>
                <w:rPr>
                  <w:rFonts w:ascii="Arial"/>
                  <w:color w:val="515253"/>
                  <w:spacing w:val="-11"/>
                  <w:sz w:val="20"/>
                  <w:u w:val="single" w:color="F46239"/>
                </w:rPr>
                <w:t> </w:t>
              </w:r>
              <w:r>
                <w:rPr>
                  <w:rFonts w:ascii="Arial"/>
                  <w:color w:val="515253"/>
                  <w:sz w:val="20"/>
                  <w:u w:val="single" w:color="F46239"/>
                </w:rPr>
                <w:t>working</w:t>
              </w:r>
              <w:r>
                <w:rPr>
                  <w:rFonts w:ascii="Arial"/>
                  <w:color w:val="515253"/>
                  <w:spacing w:val="-9"/>
                  <w:sz w:val="20"/>
                  <w:u w:val="single" w:color="F46239"/>
                </w:rPr>
                <w:t> </w:t>
              </w:r>
              <w:r>
                <w:rPr>
                  <w:rFonts w:ascii="Arial"/>
                  <w:color w:val="515253"/>
                  <w:sz w:val="20"/>
                  <w:u w:val="single" w:color="F46239"/>
                </w:rPr>
                <w:t>between</w:t>
              </w:r>
              <w:r>
                <w:rPr>
                  <w:rFonts w:ascii="Arial"/>
                  <w:color w:val="515253"/>
                  <w:spacing w:val="-10"/>
                  <w:sz w:val="20"/>
                  <w:u w:val="single" w:color="F46239"/>
                </w:rPr>
                <w:t> </w:t>
              </w:r>
              <w:r>
                <w:rPr>
                  <w:rFonts w:ascii="Arial"/>
                  <w:color w:val="515253"/>
                  <w:sz w:val="20"/>
                  <w:u w:val="single" w:color="F46239"/>
                </w:rPr>
                <w:t>Emergency</w:t>
              </w:r>
              <w:r>
                <w:rPr>
                  <w:rFonts w:ascii="Arial"/>
                  <w:color w:val="515253"/>
                  <w:spacing w:val="-9"/>
                  <w:sz w:val="20"/>
                  <w:u w:val="single" w:color="F46239"/>
                </w:rPr>
                <w:t> </w:t>
              </w:r>
              <w:r>
                <w:rPr>
                  <w:rFonts w:ascii="Arial"/>
                  <w:color w:val="515253"/>
                  <w:spacing w:val="-2"/>
                  <w:sz w:val="20"/>
                  <w:u w:val="single" w:color="F46239"/>
                </w:rPr>
                <w:t>Services</w:t>
              </w:r>
            </w:hyperlink>
          </w:p>
        </w:tc>
        <w:tc>
          <w:tcPr>
            <w:tcW w:w="2268" w:type="dxa"/>
            <w:tcBorders>
              <w:bottom w:val="nil"/>
              <w:right w:val="nil"/>
            </w:tcBorders>
            <w:shd w:val="clear" w:color="auto" w:fill="F1F1F1"/>
          </w:tcPr>
          <w:p>
            <w:pPr>
              <w:pStyle w:val="TableParagraph"/>
              <w:spacing w:before="10"/>
              <w:rPr>
                <w:rFonts w:ascii="Arial"/>
                <w:sz w:val="23"/>
              </w:rPr>
            </w:pPr>
          </w:p>
          <w:p>
            <w:pPr>
              <w:pStyle w:val="TableParagraph"/>
              <w:ind w:left="218"/>
              <w:rPr>
                <w:rFonts w:ascii="Arial"/>
                <w:sz w:val="20"/>
              </w:rPr>
            </w:pPr>
            <w:r>
              <w:rPr>
                <w:rFonts w:ascii="Arial"/>
                <w:color w:val="515253"/>
                <w:sz w:val="20"/>
              </w:rPr>
              <w:t>January</w:t>
            </w:r>
            <w:r>
              <w:rPr>
                <w:rFonts w:ascii="Arial"/>
                <w:color w:val="515253"/>
                <w:spacing w:val="-11"/>
                <w:sz w:val="20"/>
              </w:rPr>
              <w:t> </w:t>
            </w:r>
            <w:r>
              <w:rPr>
                <w:rFonts w:ascii="Arial"/>
                <w:color w:val="515253"/>
                <w:spacing w:val="-4"/>
                <w:sz w:val="20"/>
              </w:rPr>
              <w:t>2022</w:t>
            </w:r>
          </w:p>
        </w:tc>
      </w:tr>
    </w:tbl>
    <w:p>
      <w:pPr>
        <w:pStyle w:val="BodyText"/>
        <w:rPr>
          <w:rFonts w:ascii="Arial"/>
          <w:sz w:val="20"/>
        </w:rPr>
      </w:pPr>
    </w:p>
    <w:p>
      <w:pPr>
        <w:pStyle w:val="BodyText"/>
        <w:spacing w:before="3"/>
        <w:rPr>
          <w:rFonts w:ascii="Arial"/>
          <w:sz w:val="19"/>
        </w:rPr>
      </w:pPr>
    </w:p>
    <w:p>
      <w:pPr>
        <w:pStyle w:val="ListParagraph"/>
        <w:numPr>
          <w:ilvl w:val="0"/>
          <w:numId w:val="9"/>
        </w:numPr>
        <w:tabs>
          <w:tab w:pos="1038" w:val="left" w:leader="none"/>
          <w:tab w:pos="1039" w:val="left" w:leader="none"/>
        </w:tabs>
        <w:spacing w:line="240" w:lineRule="auto" w:before="0" w:after="0"/>
        <w:ind w:left="1038" w:right="0" w:hanging="567"/>
        <w:jc w:val="left"/>
        <w:rPr>
          <w:rFonts w:ascii="Arial"/>
          <w:sz w:val="20"/>
        </w:rPr>
      </w:pPr>
      <w:r>
        <w:rPr>
          <w:rFonts w:ascii="Arial"/>
          <w:color w:val="515253"/>
          <w:sz w:val="20"/>
        </w:rPr>
        <w:t>Other</w:t>
      </w:r>
      <w:r>
        <w:rPr>
          <w:rFonts w:ascii="Arial"/>
          <w:color w:val="515253"/>
          <w:spacing w:val="-7"/>
          <w:sz w:val="20"/>
        </w:rPr>
        <w:t> </w:t>
      </w:r>
      <w:r>
        <w:rPr>
          <w:rFonts w:ascii="Arial"/>
          <w:color w:val="515253"/>
          <w:sz w:val="20"/>
        </w:rPr>
        <w:t>NHS-related</w:t>
      </w:r>
      <w:r>
        <w:rPr>
          <w:rFonts w:ascii="Arial"/>
          <w:color w:val="515253"/>
          <w:spacing w:val="-8"/>
          <w:sz w:val="20"/>
        </w:rPr>
        <w:t> </w:t>
      </w:r>
      <w:r>
        <w:rPr>
          <w:rFonts w:ascii="Arial"/>
          <w:color w:val="515253"/>
          <w:sz w:val="20"/>
        </w:rPr>
        <w:t>work</w:t>
      </w:r>
      <w:r>
        <w:rPr>
          <w:rFonts w:ascii="Arial"/>
          <w:color w:val="515253"/>
          <w:spacing w:val="-5"/>
          <w:sz w:val="20"/>
        </w:rPr>
        <w:t> </w:t>
      </w:r>
      <w:r>
        <w:rPr>
          <w:rFonts w:ascii="Arial"/>
          <w:color w:val="515253"/>
          <w:sz w:val="20"/>
        </w:rPr>
        <w:t>is</w:t>
      </w:r>
      <w:r>
        <w:rPr>
          <w:rFonts w:ascii="Arial"/>
          <w:color w:val="515253"/>
          <w:spacing w:val="-6"/>
          <w:sz w:val="20"/>
        </w:rPr>
        <w:t> </w:t>
      </w:r>
      <w:r>
        <w:rPr>
          <w:rFonts w:ascii="Arial"/>
          <w:color w:val="515253"/>
          <w:sz w:val="20"/>
        </w:rPr>
        <w:t>in</w:t>
      </w:r>
      <w:r>
        <w:rPr>
          <w:rFonts w:ascii="Arial"/>
          <w:color w:val="515253"/>
          <w:spacing w:val="-8"/>
          <w:sz w:val="20"/>
        </w:rPr>
        <w:t> </w:t>
      </w:r>
      <w:r>
        <w:rPr>
          <w:rFonts w:ascii="Arial"/>
          <w:color w:val="515253"/>
          <w:sz w:val="20"/>
        </w:rPr>
        <w:t>progress</w:t>
      </w:r>
      <w:r>
        <w:rPr>
          <w:rFonts w:ascii="Arial"/>
          <w:color w:val="515253"/>
          <w:spacing w:val="-5"/>
          <w:sz w:val="20"/>
        </w:rPr>
        <w:t> </w:t>
      </w:r>
      <w:r>
        <w:rPr>
          <w:rFonts w:ascii="Arial"/>
          <w:color w:val="515253"/>
          <w:sz w:val="20"/>
        </w:rPr>
        <w:t>as</w:t>
      </w:r>
      <w:r>
        <w:rPr>
          <w:rFonts w:ascii="Arial"/>
          <w:color w:val="515253"/>
          <w:spacing w:val="-7"/>
          <w:sz w:val="20"/>
        </w:rPr>
        <w:t> </w:t>
      </w:r>
      <w:r>
        <w:rPr>
          <w:rFonts w:ascii="Arial"/>
          <w:color w:val="515253"/>
          <w:sz w:val="20"/>
        </w:rPr>
        <w:t>outlined</w:t>
      </w:r>
      <w:r>
        <w:rPr>
          <w:rFonts w:ascii="Arial"/>
          <w:color w:val="515253"/>
          <w:spacing w:val="-7"/>
          <w:sz w:val="20"/>
        </w:rPr>
        <w:t> </w:t>
      </w:r>
      <w:r>
        <w:rPr>
          <w:rFonts w:ascii="Arial"/>
          <w:color w:val="515253"/>
          <w:spacing w:val="-2"/>
          <w:sz w:val="20"/>
        </w:rPr>
        <w:t>below.</w:t>
      </w:r>
    </w:p>
    <w:p>
      <w:pPr>
        <w:pStyle w:val="BodyText"/>
        <w:rPr>
          <w:rFonts w:ascii="Arial"/>
          <w:sz w:val="20"/>
        </w:rPr>
      </w:pPr>
    </w:p>
    <w:p>
      <w:pPr>
        <w:pStyle w:val="BodyText"/>
        <w:spacing w:before="8"/>
        <w:rPr>
          <w:rFonts w:ascii="Arial"/>
          <w:sz w:val="14"/>
        </w:rPr>
      </w:pPr>
    </w:p>
    <w:tbl>
      <w:tblPr>
        <w:tblW w:w="0" w:type="auto"/>
        <w:jc w:val="left"/>
        <w:tblInd w:w="467" w:type="dxa"/>
        <w:tblBorders>
          <w:top w:val="single" w:sz="8" w:space="0" w:color="F46239"/>
          <w:left w:val="single" w:sz="8" w:space="0" w:color="F46239"/>
          <w:bottom w:val="single" w:sz="8" w:space="0" w:color="F46239"/>
          <w:right w:val="single" w:sz="8" w:space="0" w:color="F46239"/>
          <w:insideH w:val="single" w:sz="8" w:space="0" w:color="F46239"/>
          <w:insideV w:val="single" w:sz="8" w:space="0" w:color="F46239"/>
        </w:tblBorders>
        <w:tblLayout w:type="fixed"/>
        <w:tblCellMar>
          <w:top w:w="0" w:type="dxa"/>
          <w:left w:w="0" w:type="dxa"/>
          <w:bottom w:w="0" w:type="dxa"/>
          <w:right w:w="0" w:type="dxa"/>
        </w:tblCellMar>
        <w:tblLook w:val="01E0"/>
      </w:tblPr>
      <w:tblGrid>
        <w:gridCol w:w="5257"/>
        <w:gridCol w:w="2268"/>
      </w:tblGrid>
      <w:tr>
        <w:trPr>
          <w:trHeight w:val="228" w:hRule="atLeast"/>
        </w:trPr>
        <w:tc>
          <w:tcPr>
            <w:tcW w:w="7525" w:type="dxa"/>
            <w:gridSpan w:val="2"/>
            <w:tcBorders>
              <w:top w:val="nil"/>
              <w:left w:val="nil"/>
              <w:bottom w:val="nil"/>
              <w:right w:val="nil"/>
            </w:tcBorders>
            <w:shd w:val="clear" w:color="auto" w:fill="F1F1F1"/>
          </w:tcPr>
          <w:p>
            <w:pPr>
              <w:pStyle w:val="TableParagraph"/>
              <w:rPr>
                <w:rFonts w:ascii="Times New Roman"/>
                <w:sz w:val="16"/>
              </w:rPr>
            </w:pPr>
          </w:p>
        </w:tc>
      </w:tr>
      <w:tr>
        <w:trPr>
          <w:trHeight w:val="786" w:hRule="atLeast"/>
        </w:trPr>
        <w:tc>
          <w:tcPr>
            <w:tcW w:w="5257" w:type="dxa"/>
            <w:tcBorders>
              <w:top w:val="nil"/>
              <w:left w:val="nil"/>
            </w:tcBorders>
            <w:shd w:val="clear" w:color="auto" w:fill="F1F1F1"/>
          </w:tcPr>
          <w:p>
            <w:pPr>
              <w:pStyle w:val="TableParagraph"/>
              <w:spacing w:before="50"/>
              <w:ind w:left="227"/>
              <w:rPr>
                <w:rFonts w:ascii="Arial"/>
                <w:b/>
                <w:sz w:val="20"/>
              </w:rPr>
            </w:pPr>
            <w:r>
              <w:rPr>
                <w:rFonts w:ascii="Arial"/>
                <w:b/>
                <w:color w:val="515253"/>
                <w:spacing w:val="-2"/>
                <w:sz w:val="20"/>
              </w:rPr>
              <w:t>Title</w:t>
            </w:r>
          </w:p>
        </w:tc>
        <w:tc>
          <w:tcPr>
            <w:tcW w:w="2268" w:type="dxa"/>
            <w:tcBorders>
              <w:top w:val="nil"/>
              <w:right w:val="nil"/>
            </w:tcBorders>
            <w:shd w:val="clear" w:color="auto" w:fill="F1F1F1"/>
          </w:tcPr>
          <w:p>
            <w:pPr>
              <w:pStyle w:val="TableParagraph"/>
              <w:spacing w:line="249" w:lineRule="auto" w:before="50"/>
              <w:ind w:left="218" w:right="500"/>
              <w:rPr>
                <w:rFonts w:ascii="Arial"/>
                <w:b/>
                <w:sz w:val="20"/>
              </w:rPr>
            </w:pPr>
            <w:r>
              <w:rPr>
                <w:rFonts w:ascii="Arial"/>
                <w:b/>
                <w:color w:val="515253"/>
                <w:spacing w:val="-2"/>
                <w:sz w:val="20"/>
              </w:rPr>
              <w:t>Indicative </w:t>
            </w:r>
            <w:r>
              <w:rPr>
                <w:rFonts w:ascii="Arial"/>
                <w:b/>
                <w:color w:val="515253"/>
                <w:sz w:val="20"/>
              </w:rPr>
              <w:t>publication</w:t>
            </w:r>
            <w:r>
              <w:rPr>
                <w:rFonts w:ascii="Arial"/>
                <w:b/>
                <w:color w:val="515253"/>
                <w:spacing w:val="-14"/>
                <w:sz w:val="20"/>
              </w:rPr>
              <w:t> </w:t>
            </w:r>
            <w:r>
              <w:rPr>
                <w:rFonts w:ascii="Arial"/>
                <w:b/>
                <w:color w:val="515253"/>
                <w:sz w:val="20"/>
              </w:rPr>
              <w:t>date</w:t>
            </w:r>
          </w:p>
        </w:tc>
      </w:tr>
      <w:tr>
        <w:trPr>
          <w:trHeight w:val="774" w:hRule="atLeast"/>
        </w:trPr>
        <w:tc>
          <w:tcPr>
            <w:tcW w:w="5257" w:type="dxa"/>
            <w:tcBorders>
              <w:left w:val="nil"/>
            </w:tcBorders>
            <w:shd w:val="clear" w:color="auto" w:fill="F1F1F1"/>
          </w:tcPr>
          <w:p>
            <w:pPr>
              <w:pStyle w:val="TableParagraph"/>
              <w:spacing w:before="1"/>
              <w:rPr>
                <w:rFonts w:ascii="Arial"/>
                <w:sz w:val="24"/>
              </w:rPr>
            </w:pPr>
          </w:p>
          <w:p>
            <w:pPr>
              <w:pStyle w:val="TableParagraph"/>
              <w:ind w:left="227"/>
              <w:rPr>
                <w:rFonts w:ascii="Arial"/>
                <w:sz w:val="20"/>
              </w:rPr>
            </w:pPr>
            <w:r>
              <w:rPr>
                <w:rFonts w:ascii="Arial"/>
                <w:color w:val="515253"/>
                <w:spacing w:val="-2"/>
                <w:sz w:val="20"/>
              </w:rPr>
              <w:t>Orthopaedic</w:t>
            </w:r>
            <w:r>
              <w:rPr>
                <w:rFonts w:ascii="Arial"/>
                <w:color w:val="515253"/>
                <w:spacing w:val="6"/>
                <w:sz w:val="20"/>
              </w:rPr>
              <w:t> </w:t>
            </w:r>
            <w:r>
              <w:rPr>
                <w:rFonts w:ascii="Arial"/>
                <w:color w:val="515253"/>
                <w:spacing w:val="-2"/>
                <w:sz w:val="20"/>
              </w:rPr>
              <w:t>services</w:t>
            </w:r>
          </w:p>
        </w:tc>
        <w:tc>
          <w:tcPr>
            <w:tcW w:w="2268" w:type="dxa"/>
            <w:tcBorders>
              <w:right w:val="nil"/>
            </w:tcBorders>
            <w:shd w:val="clear" w:color="auto" w:fill="F1F1F1"/>
          </w:tcPr>
          <w:p>
            <w:pPr>
              <w:pStyle w:val="TableParagraph"/>
              <w:spacing w:before="1"/>
              <w:rPr>
                <w:rFonts w:ascii="Arial"/>
                <w:sz w:val="24"/>
              </w:rPr>
            </w:pPr>
          </w:p>
          <w:p>
            <w:pPr>
              <w:pStyle w:val="TableParagraph"/>
              <w:ind w:left="218"/>
              <w:rPr>
                <w:rFonts w:ascii="Arial"/>
                <w:sz w:val="20"/>
              </w:rPr>
            </w:pPr>
            <w:r>
              <w:rPr>
                <w:rFonts w:ascii="Arial"/>
                <w:color w:val="515253"/>
                <w:spacing w:val="-4"/>
                <w:sz w:val="20"/>
              </w:rPr>
              <w:t>2023</w:t>
            </w:r>
          </w:p>
        </w:tc>
      </w:tr>
      <w:tr>
        <w:trPr>
          <w:trHeight w:val="774" w:hRule="atLeast"/>
        </w:trPr>
        <w:tc>
          <w:tcPr>
            <w:tcW w:w="5257" w:type="dxa"/>
            <w:tcBorders>
              <w:left w:val="nil"/>
            </w:tcBorders>
            <w:shd w:val="clear" w:color="auto" w:fill="F1F1F1"/>
          </w:tcPr>
          <w:p>
            <w:pPr>
              <w:pStyle w:val="TableParagraph"/>
              <w:spacing w:before="1"/>
              <w:rPr>
                <w:rFonts w:ascii="Arial"/>
                <w:sz w:val="24"/>
              </w:rPr>
            </w:pPr>
          </w:p>
          <w:p>
            <w:pPr>
              <w:pStyle w:val="TableParagraph"/>
              <w:ind w:left="227"/>
              <w:rPr>
                <w:rFonts w:ascii="Arial"/>
                <w:sz w:val="20"/>
              </w:rPr>
            </w:pPr>
            <w:r>
              <w:rPr>
                <w:rFonts w:ascii="Arial"/>
                <w:color w:val="515253"/>
                <w:sz w:val="20"/>
              </w:rPr>
              <w:t>NHS</w:t>
            </w:r>
            <w:r>
              <w:rPr>
                <w:rFonts w:ascii="Arial"/>
                <w:color w:val="515253"/>
                <w:spacing w:val="-10"/>
                <w:sz w:val="20"/>
              </w:rPr>
              <w:t> </w:t>
            </w:r>
            <w:r>
              <w:rPr>
                <w:rFonts w:ascii="Arial"/>
                <w:color w:val="515253"/>
                <w:sz w:val="20"/>
              </w:rPr>
              <w:t>quality</w:t>
            </w:r>
            <w:r>
              <w:rPr>
                <w:rFonts w:ascii="Arial"/>
                <w:color w:val="515253"/>
                <w:spacing w:val="-4"/>
                <w:sz w:val="20"/>
              </w:rPr>
              <w:t> </w:t>
            </w:r>
            <w:r>
              <w:rPr>
                <w:rFonts w:ascii="Arial"/>
                <w:color w:val="515253"/>
                <w:spacing w:val="-2"/>
                <w:sz w:val="20"/>
              </w:rPr>
              <w:t>governance</w:t>
            </w:r>
          </w:p>
        </w:tc>
        <w:tc>
          <w:tcPr>
            <w:tcW w:w="2268" w:type="dxa"/>
            <w:tcBorders>
              <w:right w:val="nil"/>
            </w:tcBorders>
            <w:shd w:val="clear" w:color="auto" w:fill="F1F1F1"/>
          </w:tcPr>
          <w:p>
            <w:pPr>
              <w:pStyle w:val="TableParagraph"/>
              <w:spacing w:before="1"/>
              <w:rPr>
                <w:rFonts w:ascii="Arial"/>
                <w:sz w:val="24"/>
              </w:rPr>
            </w:pPr>
          </w:p>
          <w:p>
            <w:pPr>
              <w:pStyle w:val="TableParagraph"/>
              <w:ind w:left="218"/>
              <w:rPr>
                <w:rFonts w:ascii="Arial"/>
                <w:sz w:val="20"/>
              </w:rPr>
            </w:pPr>
            <w:r>
              <w:rPr>
                <w:rFonts w:ascii="Arial"/>
                <w:color w:val="515253"/>
                <w:spacing w:val="-4"/>
                <w:sz w:val="20"/>
              </w:rPr>
              <w:t>2023</w:t>
            </w:r>
          </w:p>
        </w:tc>
      </w:tr>
      <w:tr>
        <w:trPr>
          <w:trHeight w:val="1014" w:hRule="atLeast"/>
        </w:trPr>
        <w:tc>
          <w:tcPr>
            <w:tcW w:w="5257" w:type="dxa"/>
            <w:tcBorders>
              <w:left w:val="nil"/>
              <w:bottom w:val="nil"/>
            </w:tcBorders>
            <w:shd w:val="clear" w:color="auto" w:fill="F1F1F1"/>
          </w:tcPr>
          <w:p>
            <w:pPr>
              <w:pStyle w:val="TableParagraph"/>
              <w:spacing w:before="10"/>
              <w:rPr>
                <w:rFonts w:ascii="Arial"/>
                <w:sz w:val="23"/>
              </w:rPr>
            </w:pPr>
          </w:p>
          <w:p>
            <w:pPr>
              <w:pStyle w:val="TableParagraph"/>
              <w:spacing w:line="249" w:lineRule="auto"/>
              <w:ind w:left="227"/>
              <w:rPr>
                <w:rFonts w:ascii="Arial"/>
                <w:sz w:val="20"/>
              </w:rPr>
            </w:pPr>
            <w:r>
              <w:rPr>
                <w:rFonts w:ascii="Arial"/>
                <w:color w:val="515253"/>
                <w:sz w:val="20"/>
              </w:rPr>
              <w:t>Collaborative</w:t>
            </w:r>
            <w:r>
              <w:rPr>
                <w:rFonts w:ascii="Arial"/>
                <w:color w:val="515253"/>
                <w:spacing w:val="-8"/>
                <w:sz w:val="20"/>
              </w:rPr>
              <w:t> </w:t>
            </w:r>
            <w:r>
              <w:rPr>
                <w:rFonts w:ascii="Arial"/>
                <w:color w:val="515253"/>
                <w:sz w:val="20"/>
              </w:rPr>
              <w:t>arrangements</w:t>
            </w:r>
            <w:r>
              <w:rPr>
                <w:rFonts w:ascii="Arial"/>
                <w:color w:val="515253"/>
                <w:spacing w:val="-9"/>
                <w:sz w:val="20"/>
              </w:rPr>
              <w:t> </w:t>
            </w:r>
            <w:r>
              <w:rPr>
                <w:rFonts w:ascii="Arial"/>
                <w:color w:val="515253"/>
                <w:sz w:val="20"/>
              </w:rPr>
              <w:t>for</w:t>
            </w:r>
            <w:r>
              <w:rPr>
                <w:rFonts w:ascii="Arial"/>
                <w:color w:val="515253"/>
                <w:spacing w:val="-9"/>
                <w:sz w:val="20"/>
              </w:rPr>
              <w:t> </w:t>
            </w:r>
            <w:r>
              <w:rPr>
                <w:rFonts w:ascii="Arial"/>
                <w:color w:val="515253"/>
                <w:sz w:val="20"/>
              </w:rPr>
              <w:t>managing</w:t>
            </w:r>
            <w:r>
              <w:rPr>
                <w:rFonts w:ascii="Arial"/>
                <w:color w:val="515253"/>
                <w:spacing w:val="-9"/>
                <w:sz w:val="20"/>
              </w:rPr>
              <w:t> </w:t>
            </w:r>
            <w:r>
              <w:rPr>
                <w:rFonts w:ascii="Arial"/>
                <w:color w:val="515253"/>
                <w:sz w:val="20"/>
              </w:rPr>
              <w:t>local</w:t>
            </w:r>
            <w:r>
              <w:rPr>
                <w:rFonts w:ascii="Arial"/>
                <w:color w:val="515253"/>
                <w:spacing w:val="-11"/>
                <w:sz w:val="20"/>
              </w:rPr>
              <w:t> </w:t>
            </w:r>
            <w:r>
              <w:rPr>
                <w:rFonts w:ascii="Arial"/>
                <w:color w:val="515253"/>
                <w:sz w:val="20"/>
              </w:rPr>
              <w:t>public health resources</w:t>
            </w:r>
          </w:p>
        </w:tc>
        <w:tc>
          <w:tcPr>
            <w:tcW w:w="2268" w:type="dxa"/>
            <w:tcBorders>
              <w:bottom w:val="nil"/>
              <w:right w:val="nil"/>
            </w:tcBorders>
            <w:shd w:val="clear" w:color="auto" w:fill="F1F1F1"/>
          </w:tcPr>
          <w:p>
            <w:pPr>
              <w:pStyle w:val="TableParagraph"/>
              <w:spacing w:before="10"/>
              <w:rPr>
                <w:rFonts w:ascii="Arial"/>
                <w:sz w:val="23"/>
              </w:rPr>
            </w:pPr>
          </w:p>
          <w:p>
            <w:pPr>
              <w:pStyle w:val="TableParagraph"/>
              <w:ind w:left="218"/>
              <w:rPr>
                <w:rFonts w:ascii="Arial"/>
                <w:sz w:val="20"/>
              </w:rPr>
            </w:pPr>
            <w:r>
              <w:rPr>
                <w:rFonts w:ascii="Arial"/>
                <w:color w:val="515253"/>
                <w:spacing w:val="-4"/>
                <w:sz w:val="20"/>
              </w:rPr>
              <w:t>2023</w:t>
            </w:r>
          </w:p>
        </w:tc>
      </w:tr>
    </w:tbl>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30"/>
        </w:rPr>
      </w:pPr>
    </w:p>
    <w:p>
      <w:pPr>
        <w:spacing w:before="0"/>
        <w:ind w:left="472" w:right="0" w:firstLine="0"/>
        <w:jc w:val="left"/>
        <w:rPr>
          <w:rFonts w:ascii="Arial" w:hAnsi="Arial"/>
          <w:sz w:val="18"/>
        </w:rPr>
      </w:pPr>
      <w:r>
        <w:rPr>
          <w:rFonts w:ascii="Arial" w:hAnsi="Arial"/>
          <w:color w:val="757575"/>
          <w:sz w:val="18"/>
        </w:rPr>
        <w:t>Page 3</w:t>
      </w:r>
      <w:r>
        <w:rPr>
          <w:rFonts w:ascii="Arial" w:hAnsi="Arial"/>
          <w:color w:val="757575"/>
          <w:spacing w:val="-3"/>
          <w:sz w:val="18"/>
        </w:rPr>
        <w:t> </w:t>
      </w:r>
      <w:r>
        <w:rPr>
          <w:rFonts w:ascii="Arial" w:hAnsi="Arial"/>
          <w:color w:val="757575"/>
          <w:sz w:val="18"/>
        </w:rPr>
        <w:t>of</w:t>
      </w:r>
      <w:r>
        <w:rPr>
          <w:rFonts w:ascii="Arial" w:hAnsi="Arial"/>
          <w:color w:val="757575"/>
          <w:spacing w:val="-1"/>
          <w:sz w:val="18"/>
        </w:rPr>
        <w:t> </w:t>
      </w:r>
      <w:r>
        <w:rPr>
          <w:rFonts w:ascii="Arial" w:hAnsi="Arial"/>
          <w:color w:val="757575"/>
          <w:sz w:val="18"/>
        </w:rPr>
        <w:t>3</w:t>
      </w:r>
      <w:r>
        <w:rPr>
          <w:rFonts w:ascii="Arial" w:hAnsi="Arial"/>
          <w:color w:val="757575"/>
          <w:spacing w:val="-3"/>
          <w:sz w:val="18"/>
        </w:rPr>
        <w:t> </w:t>
      </w:r>
      <w:r>
        <w:rPr>
          <w:rFonts w:ascii="Arial" w:hAnsi="Arial"/>
          <w:color w:val="757575"/>
          <w:sz w:val="18"/>
        </w:rPr>
        <w:t>-</w:t>
      </w:r>
      <w:r>
        <w:rPr>
          <w:rFonts w:ascii="Arial" w:hAnsi="Arial"/>
          <w:color w:val="757575"/>
          <w:spacing w:val="-1"/>
          <w:sz w:val="18"/>
        </w:rPr>
        <w:t> </w:t>
      </w:r>
      <w:r>
        <w:rPr>
          <w:rFonts w:ascii="Arial" w:hAnsi="Arial"/>
          <w:b/>
          <w:color w:val="757575"/>
          <w:sz w:val="18"/>
        </w:rPr>
        <w:t>Audit</w:t>
      </w:r>
      <w:r>
        <w:rPr>
          <w:rFonts w:ascii="Arial" w:hAnsi="Arial"/>
          <w:b/>
          <w:color w:val="757575"/>
          <w:spacing w:val="-1"/>
          <w:sz w:val="18"/>
        </w:rPr>
        <w:t> </w:t>
      </w:r>
      <w:r>
        <w:rPr>
          <w:rFonts w:ascii="Arial" w:hAnsi="Arial"/>
          <w:b/>
          <w:color w:val="757575"/>
          <w:sz w:val="18"/>
        </w:rPr>
        <w:t>Wales</w:t>
      </w:r>
      <w:r>
        <w:rPr>
          <w:rFonts w:ascii="Arial" w:hAnsi="Arial"/>
          <w:b/>
          <w:color w:val="757575"/>
          <w:spacing w:val="-3"/>
          <w:sz w:val="18"/>
        </w:rPr>
        <w:t> </w:t>
      </w:r>
      <w:r>
        <w:rPr>
          <w:rFonts w:ascii="Arial" w:hAnsi="Arial"/>
          <w:b/>
          <w:color w:val="757575"/>
          <w:sz w:val="18"/>
        </w:rPr>
        <w:t>update</w:t>
      </w:r>
      <w:r>
        <w:rPr>
          <w:rFonts w:ascii="Arial" w:hAnsi="Arial"/>
          <w:b/>
          <w:color w:val="757575"/>
          <w:spacing w:val="-1"/>
          <w:sz w:val="18"/>
        </w:rPr>
        <w:t> </w:t>
      </w:r>
      <w:r>
        <w:rPr>
          <w:rFonts w:ascii="Arial" w:hAnsi="Arial"/>
          <w:b/>
          <w:color w:val="757575"/>
          <w:sz w:val="18"/>
        </w:rPr>
        <w:t>for</w:t>
      </w:r>
      <w:r>
        <w:rPr>
          <w:rFonts w:ascii="Arial" w:hAnsi="Arial"/>
          <w:b/>
          <w:color w:val="757575"/>
          <w:spacing w:val="-2"/>
          <w:sz w:val="18"/>
        </w:rPr>
        <w:t> </w:t>
      </w:r>
      <w:r>
        <w:rPr>
          <w:rFonts w:ascii="Arial" w:hAnsi="Arial"/>
          <w:b/>
          <w:color w:val="757575"/>
          <w:sz w:val="18"/>
        </w:rPr>
        <w:t>the</w:t>
      </w:r>
      <w:r>
        <w:rPr>
          <w:rFonts w:ascii="Arial" w:hAnsi="Arial"/>
          <w:b/>
          <w:color w:val="757575"/>
          <w:spacing w:val="-1"/>
          <w:sz w:val="18"/>
        </w:rPr>
        <w:t> </w:t>
      </w:r>
      <w:r>
        <w:rPr>
          <w:rFonts w:ascii="Arial" w:hAnsi="Arial"/>
          <w:b/>
          <w:color w:val="757575"/>
          <w:sz w:val="18"/>
        </w:rPr>
        <w:t>NWSSP</w:t>
      </w:r>
      <w:r>
        <w:rPr>
          <w:rFonts w:ascii="Arial" w:hAnsi="Arial"/>
          <w:b/>
          <w:color w:val="757575"/>
          <w:spacing w:val="-1"/>
          <w:sz w:val="18"/>
        </w:rPr>
        <w:t> </w:t>
      </w:r>
      <w:r>
        <w:rPr>
          <w:rFonts w:ascii="Arial" w:hAnsi="Arial"/>
          <w:b/>
          <w:color w:val="757575"/>
          <w:sz w:val="18"/>
        </w:rPr>
        <w:t>Audit</w:t>
      </w:r>
      <w:r>
        <w:rPr>
          <w:rFonts w:ascii="Arial" w:hAnsi="Arial"/>
          <w:b/>
          <w:color w:val="757575"/>
          <w:spacing w:val="-1"/>
          <w:sz w:val="18"/>
        </w:rPr>
        <w:t> </w:t>
      </w:r>
      <w:r>
        <w:rPr>
          <w:rFonts w:ascii="Arial" w:hAnsi="Arial"/>
          <w:b/>
          <w:color w:val="757575"/>
          <w:sz w:val="18"/>
        </w:rPr>
        <w:t>Committee</w:t>
      </w:r>
      <w:r>
        <w:rPr>
          <w:rFonts w:ascii="Arial" w:hAnsi="Arial"/>
          <w:b/>
          <w:color w:val="757575"/>
          <w:spacing w:val="3"/>
          <w:sz w:val="18"/>
        </w:rPr>
        <w:t> </w:t>
      </w:r>
      <w:r>
        <w:rPr>
          <w:rFonts w:ascii="Arial" w:hAnsi="Arial"/>
          <w:b/>
          <w:color w:val="757575"/>
          <w:sz w:val="18"/>
        </w:rPr>
        <w:t>–</w:t>
      </w:r>
      <w:r>
        <w:rPr>
          <w:rFonts w:ascii="Arial" w:hAnsi="Arial"/>
          <w:b/>
          <w:color w:val="757575"/>
          <w:spacing w:val="-3"/>
          <w:sz w:val="18"/>
        </w:rPr>
        <w:t> </w:t>
      </w:r>
      <w:r>
        <w:rPr>
          <w:rFonts w:ascii="Arial" w:hAnsi="Arial"/>
          <w:color w:val="757575"/>
          <w:sz w:val="18"/>
        </w:rPr>
        <w:t>January</w:t>
      </w:r>
      <w:r>
        <w:rPr>
          <w:rFonts w:ascii="Arial" w:hAnsi="Arial"/>
          <w:color w:val="757575"/>
          <w:spacing w:val="-3"/>
          <w:sz w:val="18"/>
        </w:rPr>
        <w:t> </w:t>
      </w:r>
      <w:r>
        <w:rPr>
          <w:rFonts w:ascii="Arial" w:hAnsi="Arial"/>
          <w:color w:val="757575"/>
          <w:spacing w:val="-4"/>
          <w:sz w:val="18"/>
        </w:rPr>
        <w:t>2023</w:t>
      </w:r>
    </w:p>
    <w:p>
      <w:pPr>
        <w:spacing w:after="0"/>
        <w:jc w:val="left"/>
        <w:rPr>
          <w:rFonts w:ascii="Arial" w:hAnsi="Arial"/>
          <w:sz w:val="18"/>
        </w:rPr>
        <w:sectPr>
          <w:footerReference w:type="default" r:id="rId29"/>
          <w:pgSz w:w="11910" w:h="16840"/>
          <w:pgMar w:footer="173" w:header="0" w:top="1920" w:bottom="360" w:left="380" w:right="560"/>
        </w:sectPr>
      </w:pPr>
    </w:p>
    <w:p>
      <w:pPr>
        <w:pStyle w:val="BodyText"/>
        <w:rPr>
          <w:rFonts w:ascii="Arial"/>
          <w:sz w:val="20"/>
        </w:rPr>
      </w:pPr>
      <w:r>
        <w:rPr/>
        <w:drawing>
          <wp:anchor distT="0" distB="0" distL="0" distR="0" allowOverlap="1" layoutInCell="1" locked="0" behindDoc="1" simplePos="0" relativeHeight="479132672">
            <wp:simplePos x="0" y="0"/>
            <wp:positionH relativeFrom="page">
              <wp:posOffset>0</wp:posOffset>
            </wp:positionH>
            <wp:positionV relativeFrom="page">
              <wp:posOffset>0</wp:posOffset>
            </wp:positionV>
            <wp:extent cx="7560564" cy="9363956"/>
            <wp:effectExtent l="0" t="0" r="0" b="0"/>
            <wp:wrapNone/>
            <wp:docPr id="9" name="image5.jpeg"/>
            <wp:cNvGraphicFramePr>
              <a:graphicFrameLocks noChangeAspect="1"/>
            </wp:cNvGraphicFramePr>
            <a:graphic>
              <a:graphicData uri="http://schemas.openxmlformats.org/drawingml/2006/picture">
                <pic:pic>
                  <pic:nvPicPr>
                    <pic:cNvPr id="10" name="image5.jpeg"/>
                    <pic:cNvPicPr/>
                  </pic:nvPicPr>
                  <pic:blipFill>
                    <a:blip r:embed="rId34" cstate="print"/>
                    <a:stretch>
                      <a:fillRect/>
                    </a:stretch>
                  </pic:blipFill>
                  <pic:spPr>
                    <a:xfrm>
                      <a:off x="0" y="0"/>
                      <a:ext cx="7560564" cy="9363956"/>
                    </a:xfrm>
                    <a:prstGeom prst="rect">
                      <a:avLst/>
                    </a:prstGeom>
                  </pic:spPr>
                </pic:pic>
              </a:graphicData>
            </a:graphic>
          </wp:anchor>
        </w:drawing>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3"/>
        <w:rPr>
          <w:rFonts w:ascii="Arial"/>
          <w:sz w:val="18"/>
        </w:rPr>
      </w:pPr>
    </w:p>
    <w:p>
      <w:pPr>
        <w:spacing w:before="100"/>
        <w:ind w:left="962" w:right="0" w:firstLine="0"/>
        <w:jc w:val="left"/>
        <w:rPr>
          <w:b/>
          <w:sz w:val="36"/>
        </w:rPr>
      </w:pPr>
      <w:bookmarkStart w:name=" 4.1 A&amp;A NWSSP Audit Cttee Progress Repo" w:id="40"/>
      <w:bookmarkEnd w:id="40"/>
      <w:r>
        <w:rPr/>
      </w:r>
      <w:r>
        <w:rPr>
          <w:b/>
          <w:color w:val="15254A"/>
          <w:sz w:val="36"/>
        </w:rPr>
        <w:t>NHS</w:t>
      </w:r>
      <w:r>
        <w:rPr>
          <w:b/>
          <w:color w:val="15254A"/>
          <w:spacing w:val="-3"/>
          <w:sz w:val="36"/>
        </w:rPr>
        <w:t> </w:t>
      </w:r>
      <w:r>
        <w:rPr>
          <w:b/>
          <w:color w:val="15254A"/>
          <w:sz w:val="36"/>
        </w:rPr>
        <w:t>WALES</w:t>
      </w:r>
      <w:r>
        <w:rPr>
          <w:b/>
          <w:color w:val="15254A"/>
          <w:spacing w:val="-4"/>
          <w:sz w:val="36"/>
        </w:rPr>
        <w:t> </w:t>
      </w:r>
      <w:r>
        <w:rPr>
          <w:b/>
          <w:color w:val="15254A"/>
          <w:sz w:val="36"/>
        </w:rPr>
        <w:t>SHARED</w:t>
      </w:r>
      <w:r>
        <w:rPr>
          <w:b/>
          <w:color w:val="15254A"/>
          <w:spacing w:val="-3"/>
          <w:sz w:val="36"/>
        </w:rPr>
        <w:t> </w:t>
      </w:r>
      <w:r>
        <w:rPr>
          <w:b/>
          <w:color w:val="15254A"/>
          <w:sz w:val="36"/>
        </w:rPr>
        <w:t>SERVICES</w:t>
      </w:r>
      <w:r>
        <w:rPr>
          <w:b/>
          <w:color w:val="15254A"/>
          <w:spacing w:val="-2"/>
          <w:sz w:val="36"/>
        </w:rPr>
        <w:t> PARTNERSHIP</w:t>
      </w:r>
    </w:p>
    <w:p>
      <w:pPr>
        <w:pStyle w:val="BodyText"/>
        <w:spacing w:before="1"/>
        <w:rPr>
          <w:b/>
          <w:sz w:val="40"/>
        </w:rPr>
      </w:pPr>
    </w:p>
    <w:p>
      <w:pPr>
        <w:spacing w:before="0"/>
        <w:ind w:left="3679" w:right="3502" w:firstLine="0"/>
        <w:jc w:val="center"/>
        <w:rPr>
          <w:b/>
          <w:sz w:val="40"/>
        </w:rPr>
      </w:pPr>
      <w:r>
        <w:rPr>
          <w:b/>
          <w:color w:val="15254A"/>
          <w:sz w:val="40"/>
        </w:rPr>
        <w:t>Audit</w:t>
      </w:r>
      <w:r>
        <w:rPr>
          <w:b/>
          <w:color w:val="15254A"/>
          <w:spacing w:val="-8"/>
          <w:sz w:val="40"/>
        </w:rPr>
        <w:t> </w:t>
      </w:r>
      <w:r>
        <w:rPr>
          <w:b/>
          <w:color w:val="15254A"/>
          <w:spacing w:val="-2"/>
          <w:sz w:val="40"/>
        </w:rPr>
        <w:t>Committee</w:t>
      </w:r>
    </w:p>
    <w:p>
      <w:pPr>
        <w:pStyle w:val="BodyText"/>
        <w:rPr>
          <w:b/>
          <w:sz w:val="48"/>
        </w:rPr>
      </w:pPr>
    </w:p>
    <w:p>
      <w:pPr>
        <w:pStyle w:val="BodyText"/>
        <w:rPr>
          <w:b/>
          <w:sz w:val="48"/>
        </w:rPr>
      </w:pPr>
    </w:p>
    <w:p>
      <w:pPr>
        <w:pStyle w:val="BodyText"/>
        <w:spacing w:before="1"/>
        <w:rPr>
          <w:b/>
          <w:sz w:val="64"/>
        </w:rPr>
      </w:pPr>
    </w:p>
    <w:p>
      <w:pPr>
        <w:spacing w:before="0"/>
        <w:ind w:left="3679" w:right="3495" w:firstLine="0"/>
        <w:jc w:val="center"/>
        <w:rPr>
          <w:b/>
          <w:sz w:val="40"/>
        </w:rPr>
      </w:pPr>
      <w:r>
        <w:rPr>
          <w:b/>
          <w:color w:val="0E233D"/>
          <w:sz w:val="40"/>
        </w:rPr>
        <w:t>January</w:t>
      </w:r>
      <w:r>
        <w:rPr>
          <w:b/>
          <w:color w:val="0E233D"/>
          <w:spacing w:val="-9"/>
          <w:sz w:val="40"/>
        </w:rPr>
        <w:t> </w:t>
      </w:r>
      <w:r>
        <w:rPr>
          <w:b/>
          <w:color w:val="0E233D"/>
          <w:spacing w:val="-4"/>
          <w:sz w:val="40"/>
        </w:rPr>
        <w:t>2023</w:t>
      </w:r>
    </w:p>
    <w:p>
      <w:pPr>
        <w:pStyle w:val="BodyText"/>
        <w:rPr>
          <w:b/>
          <w:sz w:val="40"/>
        </w:rPr>
      </w:pPr>
    </w:p>
    <w:p>
      <w:pPr>
        <w:spacing w:before="0"/>
        <w:ind w:left="2101" w:right="1916" w:hanging="6"/>
        <w:jc w:val="center"/>
        <w:rPr>
          <w:b/>
          <w:sz w:val="40"/>
        </w:rPr>
      </w:pPr>
      <w:r>
        <w:rPr>
          <w:b/>
          <w:color w:val="15254A"/>
          <w:sz w:val="40"/>
        </w:rPr>
        <w:t>Audit &amp; Assurance Services Internal</w:t>
      </w:r>
      <w:r>
        <w:rPr>
          <w:b/>
          <w:color w:val="15254A"/>
          <w:spacing w:val="-10"/>
          <w:sz w:val="40"/>
        </w:rPr>
        <w:t> </w:t>
      </w:r>
      <w:r>
        <w:rPr>
          <w:b/>
          <w:color w:val="15254A"/>
          <w:sz w:val="40"/>
        </w:rPr>
        <w:t>Audit</w:t>
      </w:r>
      <w:r>
        <w:rPr>
          <w:b/>
          <w:color w:val="15254A"/>
          <w:spacing w:val="-10"/>
          <w:sz w:val="40"/>
        </w:rPr>
        <w:t> </w:t>
      </w:r>
      <w:r>
        <w:rPr>
          <w:b/>
          <w:color w:val="15254A"/>
          <w:sz w:val="40"/>
        </w:rPr>
        <w:t>Progress</w:t>
      </w:r>
      <w:r>
        <w:rPr>
          <w:b/>
          <w:color w:val="15254A"/>
          <w:spacing w:val="-10"/>
          <w:sz w:val="40"/>
        </w:rPr>
        <w:t> </w:t>
      </w:r>
      <w:r>
        <w:rPr>
          <w:b/>
          <w:color w:val="15254A"/>
          <w:sz w:val="40"/>
        </w:rPr>
        <w:t>Report</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7"/>
        </w:rPr>
      </w:pPr>
      <w:r>
        <w:rPr/>
        <w:drawing>
          <wp:anchor distT="0" distB="0" distL="0" distR="0" allowOverlap="1" layoutInCell="1" locked="0" behindDoc="0" simplePos="0" relativeHeight="13">
            <wp:simplePos x="0" y="0"/>
            <wp:positionH relativeFrom="page">
              <wp:posOffset>314325</wp:posOffset>
            </wp:positionH>
            <wp:positionV relativeFrom="paragraph">
              <wp:posOffset>152785</wp:posOffset>
            </wp:positionV>
            <wp:extent cx="2337402" cy="731520"/>
            <wp:effectExtent l="0" t="0" r="0" b="0"/>
            <wp:wrapTopAndBottom/>
            <wp:docPr id="11" name="image6.jpeg"/>
            <wp:cNvGraphicFramePr>
              <a:graphicFrameLocks noChangeAspect="1"/>
            </wp:cNvGraphicFramePr>
            <a:graphic>
              <a:graphicData uri="http://schemas.openxmlformats.org/drawingml/2006/picture">
                <pic:pic>
                  <pic:nvPicPr>
                    <pic:cNvPr id="12" name="image6.jpeg"/>
                    <pic:cNvPicPr/>
                  </pic:nvPicPr>
                  <pic:blipFill>
                    <a:blip r:embed="rId35" cstate="print"/>
                    <a:stretch>
                      <a:fillRect/>
                    </a:stretch>
                  </pic:blipFill>
                  <pic:spPr>
                    <a:xfrm>
                      <a:off x="0" y="0"/>
                      <a:ext cx="2337402" cy="731520"/>
                    </a:xfrm>
                    <a:prstGeom prst="rect">
                      <a:avLst/>
                    </a:prstGeom>
                  </pic:spPr>
                </pic:pic>
              </a:graphicData>
            </a:graphic>
          </wp:anchor>
        </w:drawing>
      </w:r>
      <w:r>
        <w:rPr/>
        <w:drawing>
          <wp:anchor distT="0" distB="0" distL="0" distR="0" allowOverlap="1" layoutInCell="1" locked="0" behindDoc="0" simplePos="0" relativeHeight="14">
            <wp:simplePos x="0" y="0"/>
            <wp:positionH relativeFrom="page">
              <wp:posOffset>6338226</wp:posOffset>
            </wp:positionH>
            <wp:positionV relativeFrom="paragraph">
              <wp:posOffset>171574</wp:posOffset>
            </wp:positionV>
            <wp:extent cx="644759" cy="647128"/>
            <wp:effectExtent l="0" t="0" r="0" b="0"/>
            <wp:wrapTopAndBottom/>
            <wp:docPr id="13" name="image7.jpeg"/>
            <wp:cNvGraphicFramePr>
              <a:graphicFrameLocks noChangeAspect="1"/>
            </wp:cNvGraphicFramePr>
            <a:graphic>
              <a:graphicData uri="http://schemas.openxmlformats.org/drawingml/2006/picture">
                <pic:pic>
                  <pic:nvPicPr>
                    <pic:cNvPr id="14" name="image7.jpeg"/>
                    <pic:cNvPicPr/>
                  </pic:nvPicPr>
                  <pic:blipFill>
                    <a:blip r:embed="rId36" cstate="print"/>
                    <a:stretch>
                      <a:fillRect/>
                    </a:stretch>
                  </pic:blipFill>
                  <pic:spPr>
                    <a:xfrm>
                      <a:off x="0" y="0"/>
                      <a:ext cx="644759" cy="647128"/>
                    </a:xfrm>
                    <a:prstGeom prst="rect">
                      <a:avLst/>
                    </a:prstGeom>
                  </pic:spPr>
                </pic:pic>
              </a:graphicData>
            </a:graphic>
          </wp:anchor>
        </w:drawing>
      </w:r>
    </w:p>
    <w:p>
      <w:pPr>
        <w:spacing w:after="0"/>
        <w:rPr>
          <w:sz w:val="17"/>
        </w:rPr>
        <w:sectPr>
          <w:pgSz w:w="11910" w:h="16840"/>
          <w:pgMar w:header="0" w:footer="173" w:top="1920" w:bottom="360" w:left="380" w:right="560"/>
        </w:sectPr>
      </w:pPr>
    </w:p>
    <w:p>
      <w:pPr>
        <w:pStyle w:val="BodyText"/>
        <w:tabs>
          <w:tab w:pos="8789" w:val="left" w:leader="none"/>
        </w:tabs>
        <w:spacing w:before="76"/>
        <w:ind w:left="721"/>
      </w:pPr>
      <w:r>
        <w:rPr/>
        <w:t>Audit</w:t>
      </w:r>
      <w:r>
        <w:rPr>
          <w:spacing w:val="-3"/>
        </w:rPr>
        <w:t> </w:t>
      </w:r>
      <w:r>
        <w:rPr/>
        <w:t>Committee</w:t>
      </w:r>
      <w:r>
        <w:rPr>
          <w:spacing w:val="-2"/>
        </w:rPr>
        <w:t> </w:t>
      </w:r>
      <w:r>
        <w:rPr/>
        <w:t>Progress</w:t>
      </w:r>
      <w:r>
        <w:rPr>
          <w:spacing w:val="-3"/>
        </w:rPr>
        <w:t> </w:t>
      </w:r>
      <w:r>
        <w:rPr>
          <w:spacing w:val="-2"/>
        </w:rPr>
        <w:t>Report</w:t>
      </w:r>
      <w:r>
        <w:rPr/>
        <w:tab/>
      </w:r>
      <w:r>
        <w:rPr>
          <w:color w:val="15254A"/>
        </w:rPr>
        <w:t>January</w:t>
      </w:r>
      <w:r>
        <w:rPr>
          <w:color w:val="15254A"/>
          <w:spacing w:val="-7"/>
        </w:rPr>
        <w:t> </w:t>
      </w:r>
      <w:r>
        <w:rPr>
          <w:color w:val="15254A"/>
          <w:spacing w:val="-4"/>
        </w:rPr>
        <w:t>2023</w:t>
      </w:r>
    </w:p>
    <w:p>
      <w:pPr>
        <w:pStyle w:val="BodyText"/>
        <w:rPr>
          <w:sz w:val="28"/>
        </w:rPr>
      </w:pPr>
      <w:r>
        <w:rPr/>
        <w:pict>
          <v:shape style="position:absolute;margin-left:48.960003pt;margin-top:18.25598pt;width:496.9pt;height:1.45pt;mso-position-horizontal-relative:page;mso-position-vertical-relative:paragraph;z-index:-15720448;mso-wrap-distance-left:0;mso-wrap-distance-right:0" id="docshape42" coordorigin="979,365" coordsize="9938,29" path="m10917,365l7494,365,7480,365,7465,365,979,365,979,394,7465,394,7480,394,7494,394,10917,394,10917,365xe" filled="true" fillcolor="#000000" stroked="false">
            <v:path arrowok="t"/>
            <v:fill type="solid"/>
            <w10:wrap type="topAndBottom"/>
          </v:shape>
        </w:pict>
      </w:r>
    </w:p>
    <w:p>
      <w:pPr>
        <w:pStyle w:val="BodyText"/>
        <w:rPr>
          <w:sz w:val="20"/>
        </w:rPr>
      </w:pPr>
    </w:p>
    <w:p>
      <w:pPr>
        <w:pStyle w:val="BodyText"/>
        <w:rPr>
          <w:sz w:val="20"/>
        </w:rPr>
      </w:pPr>
    </w:p>
    <w:p>
      <w:pPr>
        <w:pStyle w:val="BodyText"/>
        <w:rPr>
          <w:sz w:val="20"/>
        </w:rPr>
      </w:pPr>
    </w:p>
    <w:p>
      <w:pPr>
        <w:pStyle w:val="BodyText"/>
        <w:spacing w:before="2"/>
        <w:rPr>
          <w:sz w:val="15"/>
        </w:rPr>
      </w:pPr>
    </w:p>
    <w:p>
      <w:pPr>
        <w:tabs>
          <w:tab w:pos="8631" w:val="left" w:leader="none"/>
        </w:tabs>
        <w:spacing w:before="101"/>
        <w:ind w:left="721" w:right="0" w:firstLine="0"/>
        <w:jc w:val="left"/>
        <w:rPr>
          <w:sz w:val="24"/>
        </w:rPr>
      </w:pPr>
      <w:r>
        <w:rPr>
          <w:b/>
          <w:color w:val="17365D"/>
          <w:spacing w:val="-2"/>
          <w:sz w:val="24"/>
        </w:rPr>
        <w:t>CONTENTS</w:t>
      </w:r>
      <w:r>
        <w:rPr>
          <w:b/>
          <w:color w:val="17365D"/>
          <w:sz w:val="24"/>
        </w:rPr>
        <w:tab/>
      </w:r>
      <w:r>
        <w:rPr>
          <w:color w:val="17365D"/>
          <w:spacing w:val="-4"/>
          <w:sz w:val="24"/>
        </w:rPr>
        <w:t>Page</w:t>
      </w:r>
    </w:p>
    <w:p>
      <w:pPr>
        <w:pStyle w:val="ListParagraph"/>
        <w:numPr>
          <w:ilvl w:val="0"/>
          <w:numId w:val="10"/>
        </w:numPr>
        <w:tabs>
          <w:tab w:pos="1741" w:val="left" w:leader="none"/>
          <w:tab w:pos="1742" w:val="left" w:leader="none"/>
          <w:tab w:pos="9124" w:val="right" w:leader="none"/>
        </w:tabs>
        <w:spacing w:line="240" w:lineRule="auto" w:before="159" w:after="0"/>
        <w:ind w:left="1742" w:right="0" w:hanging="569"/>
        <w:jc w:val="left"/>
        <w:rPr>
          <w:sz w:val="24"/>
        </w:rPr>
      </w:pPr>
      <w:r>
        <w:rPr>
          <w:color w:val="17365D"/>
          <w:spacing w:val="-2"/>
          <w:sz w:val="24"/>
        </w:rPr>
        <w:t>Introduction</w:t>
      </w:r>
      <w:r>
        <w:rPr>
          <w:color w:val="17365D"/>
          <w:sz w:val="24"/>
        </w:rPr>
        <w:tab/>
      </w:r>
      <w:r>
        <w:rPr>
          <w:color w:val="17365D"/>
          <w:spacing w:val="-10"/>
          <w:sz w:val="24"/>
        </w:rPr>
        <w:t>2</w:t>
      </w:r>
    </w:p>
    <w:p>
      <w:pPr>
        <w:pStyle w:val="ListParagraph"/>
        <w:numPr>
          <w:ilvl w:val="0"/>
          <w:numId w:val="10"/>
        </w:numPr>
        <w:tabs>
          <w:tab w:pos="1741" w:val="left" w:leader="none"/>
          <w:tab w:pos="1742" w:val="left" w:leader="none"/>
          <w:tab w:pos="9124" w:val="right" w:leader="none"/>
        </w:tabs>
        <w:spacing w:line="240" w:lineRule="auto" w:before="241" w:after="0"/>
        <w:ind w:left="1742" w:right="0" w:hanging="569"/>
        <w:jc w:val="left"/>
        <w:rPr>
          <w:sz w:val="24"/>
        </w:rPr>
      </w:pPr>
      <w:r>
        <w:rPr>
          <w:color w:val="17365D"/>
          <w:sz w:val="24"/>
        </w:rPr>
        <w:t>Outcomes</w:t>
      </w:r>
      <w:r>
        <w:rPr>
          <w:color w:val="17365D"/>
          <w:spacing w:val="-2"/>
          <w:sz w:val="24"/>
        </w:rPr>
        <w:t> </w:t>
      </w:r>
      <w:r>
        <w:rPr>
          <w:color w:val="17365D"/>
          <w:sz w:val="24"/>
        </w:rPr>
        <w:t>from</w:t>
      </w:r>
      <w:r>
        <w:rPr>
          <w:color w:val="17365D"/>
          <w:spacing w:val="-3"/>
          <w:sz w:val="24"/>
        </w:rPr>
        <w:t> </w:t>
      </w:r>
      <w:r>
        <w:rPr>
          <w:color w:val="17365D"/>
          <w:sz w:val="24"/>
        </w:rPr>
        <w:t>Finalised</w:t>
      </w:r>
      <w:r>
        <w:rPr>
          <w:color w:val="17365D"/>
          <w:spacing w:val="-2"/>
          <w:sz w:val="24"/>
        </w:rPr>
        <w:t> Audits</w:t>
      </w:r>
      <w:r>
        <w:rPr>
          <w:color w:val="17365D"/>
          <w:sz w:val="24"/>
        </w:rPr>
        <w:tab/>
      </w:r>
      <w:r>
        <w:rPr>
          <w:color w:val="17365D"/>
          <w:spacing w:val="-10"/>
          <w:sz w:val="24"/>
        </w:rPr>
        <w:t>2</w:t>
      </w:r>
    </w:p>
    <w:p>
      <w:pPr>
        <w:pStyle w:val="ListParagraph"/>
        <w:numPr>
          <w:ilvl w:val="0"/>
          <w:numId w:val="10"/>
        </w:numPr>
        <w:tabs>
          <w:tab w:pos="1741" w:val="left" w:leader="none"/>
          <w:tab w:pos="1742" w:val="left" w:leader="none"/>
          <w:tab w:pos="9124" w:val="right" w:leader="none"/>
        </w:tabs>
        <w:spacing w:line="240" w:lineRule="auto" w:before="239" w:after="0"/>
        <w:ind w:left="1742" w:right="0" w:hanging="569"/>
        <w:jc w:val="left"/>
        <w:rPr>
          <w:sz w:val="24"/>
        </w:rPr>
      </w:pPr>
      <w:r>
        <w:rPr>
          <w:color w:val="17365D"/>
          <w:sz w:val="24"/>
        </w:rPr>
        <w:t>Planning</w:t>
      </w:r>
      <w:r>
        <w:rPr>
          <w:color w:val="17365D"/>
          <w:spacing w:val="-2"/>
          <w:sz w:val="24"/>
        </w:rPr>
        <w:t> </w:t>
      </w:r>
      <w:r>
        <w:rPr>
          <w:color w:val="17365D"/>
          <w:sz w:val="24"/>
        </w:rPr>
        <w:t>&amp;</w:t>
      </w:r>
      <w:r>
        <w:rPr>
          <w:color w:val="17365D"/>
          <w:spacing w:val="-3"/>
          <w:sz w:val="24"/>
        </w:rPr>
        <w:t> </w:t>
      </w:r>
      <w:r>
        <w:rPr>
          <w:color w:val="17365D"/>
          <w:sz w:val="24"/>
        </w:rPr>
        <w:t>Delivery </w:t>
      </w:r>
      <w:r>
        <w:rPr>
          <w:color w:val="17365D"/>
          <w:spacing w:val="-2"/>
          <w:sz w:val="24"/>
        </w:rPr>
        <w:t>Update</w:t>
      </w:r>
      <w:r>
        <w:rPr>
          <w:color w:val="17365D"/>
          <w:sz w:val="24"/>
        </w:rPr>
        <w:tab/>
      </w:r>
      <w:r>
        <w:rPr>
          <w:color w:val="17365D"/>
          <w:spacing w:val="-10"/>
          <w:sz w:val="24"/>
        </w:rPr>
        <w:t>2</w:t>
      </w:r>
    </w:p>
    <w:p>
      <w:pPr>
        <w:pStyle w:val="ListParagraph"/>
        <w:numPr>
          <w:ilvl w:val="0"/>
          <w:numId w:val="10"/>
        </w:numPr>
        <w:tabs>
          <w:tab w:pos="1741" w:val="left" w:leader="none"/>
          <w:tab w:pos="1742" w:val="left" w:leader="none"/>
          <w:tab w:pos="9124" w:val="right" w:leader="none"/>
        </w:tabs>
        <w:spacing w:line="240" w:lineRule="auto" w:before="241" w:after="0"/>
        <w:ind w:left="1742" w:right="0" w:hanging="569"/>
        <w:jc w:val="left"/>
        <w:rPr>
          <w:sz w:val="24"/>
        </w:rPr>
      </w:pPr>
      <w:r>
        <w:rPr>
          <w:color w:val="17365D"/>
          <w:sz w:val="24"/>
        </w:rPr>
        <w:t>Other</w:t>
      </w:r>
      <w:r>
        <w:rPr>
          <w:color w:val="17365D"/>
          <w:spacing w:val="-2"/>
          <w:sz w:val="24"/>
        </w:rPr>
        <w:t> </w:t>
      </w:r>
      <w:r>
        <w:rPr>
          <w:color w:val="17365D"/>
          <w:sz w:val="24"/>
        </w:rPr>
        <w:t>Internal</w:t>
      </w:r>
      <w:r>
        <w:rPr>
          <w:color w:val="17365D"/>
          <w:spacing w:val="-4"/>
          <w:sz w:val="24"/>
        </w:rPr>
        <w:t> </w:t>
      </w:r>
      <w:r>
        <w:rPr>
          <w:color w:val="17365D"/>
          <w:sz w:val="24"/>
        </w:rPr>
        <w:t>Audit</w:t>
      </w:r>
      <w:r>
        <w:rPr>
          <w:color w:val="17365D"/>
          <w:spacing w:val="-1"/>
          <w:sz w:val="24"/>
        </w:rPr>
        <w:t> </w:t>
      </w:r>
      <w:r>
        <w:rPr>
          <w:color w:val="17365D"/>
          <w:sz w:val="24"/>
        </w:rPr>
        <w:t>Activity</w:t>
      </w:r>
      <w:r>
        <w:rPr>
          <w:color w:val="17365D"/>
          <w:spacing w:val="-3"/>
          <w:sz w:val="24"/>
        </w:rPr>
        <w:t> </w:t>
      </w:r>
      <w:r>
        <w:rPr>
          <w:color w:val="17365D"/>
          <w:sz w:val="24"/>
        </w:rPr>
        <w:t>and</w:t>
      </w:r>
      <w:r>
        <w:rPr>
          <w:color w:val="17365D"/>
          <w:spacing w:val="-2"/>
          <w:sz w:val="24"/>
        </w:rPr>
        <w:t> Engagement</w:t>
      </w:r>
      <w:r>
        <w:rPr>
          <w:color w:val="17365D"/>
          <w:sz w:val="24"/>
        </w:rPr>
        <w:tab/>
      </w:r>
      <w:r>
        <w:rPr>
          <w:color w:val="17365D"/>
          <w:spacing w:val="-10"/>
          <w:sz w:val="24"/>
        </w:rPr>
        <w:t>2</w:t>
      </w:r>
    </w:p>
    <w:p>
      <w:pPr>
        <w:pStyle w:val="ListParagraph"/>
        <w:numPr>
          <w:ilvl w:val="0"/>
          <w:numId w:val="10"/>
        </w:numPr>
        <w:tabs>
          <w:tab w:pos="1741" w:val="left" w:leader="none"/>
          <w:tab w:pos="1742" w:val="left" w:leader="none"/>
          <w:tab w:pos="9124" w:val="right" w:leader="none"/>
        </w:tabs>
        <w:spacing w:line="240" w:lineRule="auto" w:before="239" w:after="0"/>
        <w:ind w:left="1742" w:right="0" w:hanging="569"/>
        <w:jc w:val="left"/>
        <w:rPr>
          <w:sz w:val="24"/>
        </w:rPr>
      </w:pPr>
      <w:r>
        <w:rPr>
          <w:color w:val="17365D"/>
          <w:spacing w:val="-2"/>
          <w:sz w:val="24"/>
        </w:rPr>
        <w:t>Recommendation</w:t>
      </w:r>
      <w:r>
        <w:rPr>
          <w:color w:val="17365D"/>
          <w:sz w:val="24"/>
        </w:rPr>
        <w:tab/>
      </w:r>
      <w:r>
        <w:rPr>
          <w:color w:val="17365D"/>
          <w:spacing w:val="-10"/>
          <w:sz w:val="24"/>
        </w:rPr>
        <w:t>3</w:t>
      </w:r>
    </w:p>
    <w:p>
      <w:pPr>
        <w:tabs>
          <w:tab w:pos="9124" w:val="right" w:leader="none"/>
        </w:tabs>
        <w:spacing w:before="772"/>
        <w:ind w:left="1175" w:right="0" w:firstLine="0"/>
        <w:jc w:val="left"/>
        <w:rPr>
          <w:sz w:val="24"/>
        </w:rPr>
      </w:pPr>
      <w:r>
        <w:rPr>
          <w:b/>
          <w:color w:val="17365D"/>
          <w:sz w:val="24"/>
        </w:rPr>
        <w:t>Appendix</w:t>
      </w:r>
      <w:r>
        <w:rPr>
          <w:b/>
          <w:color w:val="17365D"/>
          <w:spacing w:val="-4"/>
          <w:sz w:val="24"/>
        </w:rPr>
        <w:t> </w:t>
      </w:r>
      <w:r>
        <w:rPr>
          <w:b/>
          <w:color w:val="17365D"/>
          <w:sz w:val="24"/>
        </w:rPr>
        <w:t>A </w:t>
      </w:r>
      <w:r>
        <w:rPr>
          <w:color w:val="17365D"/>
          <w:sz w:val="24"/>
        </w:rPr>
        <w:t>-</w:t>
      </w:r>
      <w:r>
        <w:rPr>
          <w:color w:val="17365D"/>
          <w:spacing w:val="-4"/>
          <w:sz w:val="24"/>
        </w:rPr>
        <w:t> </w:t>
      </w:r>
      <w:r>
        <w:rPr>
          <w:color w:val="17365D"/>
          <w:sz w:val="24"/>
        </w:rPr>
        <w:t>Assignment</w:t>
      </w:r>
      <w:r>
        <w:rPr>
          <w:color w:val="17365D"/>
          <w:spacing w:val="-3"/>
          <w:sz w:val="24"/>
        </w:rPr>
        <w:t> </w:t>
      </w:r>
      <w:r>
        <w:rPr>
          <w:color w:val="17365D"/>
          <w:sz w:val="24"/>
        </w:rPr>
        <w:t>Status</w:t>
      </w:r>
      <w:r>
        <w:rPr>
          <w:color w:val="17365D"/>
          <w:spacing w:val="-3"/>
          <w:sz w:val="24"/>
        </w:rPr>
        <w:t> </w:t>
      </w:r>
      <w:r>
        <w:rPr>
          <w:color w:val="17365D"/>
          <w:sz w:val="24"/>
        </w:rPr>
        <w:t>Schedule 2022-</w:t>
      </w:r>
      <w:r>
        <w:rPr>
          <w:color w:val="17365D"/>
          <w:spacing w:val="-5"/>
          <w:sz w:val="24"/>
        </w:rPr>
        <w:t>23</w:t>
      </w:r>
      <w:r>
        <w:rPr>
          <w:color w:val="17365D"/>
          <w:sz w:val="24"/>
        </w:rPr>
        <w:tab/>
      </w:r>
      <w:r>
        <w:rPr>
          <w:color w:val="17365D"/>
          <w:spacing w:val="-10"/>
          <w:sz w:val="24"/>
        </w:rPr>
        <w:t>4</w:t>
      </w:r>
    </w:p>
    <w:p>
      <w:pPr>
        <w:tabs>
          <w:tab w:pos="9124" w:val="right" w:leader="none"/>
        </w:tabs>
        <w:spacing w:before="241"/>
        <w:ind w:left="1175" w:right="0" w:firstLine="0"/>
        <w:jc w:val="left"/>
        <w:rPr>
          <w:sz w:val="24"/>
        </w:rPr>
      </w:pPr>
      <w:r>
        <w:rPr>
          <w:b/>
          <w:color w:val="17365D"/>
          <w:sz w:val="24"/>
        </w:rPr>
        <w:t>Appendix</w:t>
      </w:r>
      <w:r>
        <w:rPr>
          <w:b/>
          <w:color w:val="17365D"/>
          <w:spacing w:val="-3"/>
          <w:sz w:val="24"/>
        </w:rPr>
        <w:t> </w:t>
      </w:r>
      <w:r>
        <w:rPr>
          <w:b/>
          <w:color w:val="17365D"/>
          <w:sz w:val="24"/>
        </w:rPr>
        <w:t>B</w:t>
      </w:r>
      <w:r>
        <w:rPr>
          <w:b/>
          <w:color w:val="17365D"/>
          <w:spacing w:val="-3"/>
          <w:sz w:val="24"/>
        </w:rPr>
        <w:t> </w:t>
      </w:r>
      <w:r>
        <w:rPr>
          <w:b/>
          <w:color w:val="17365D"/>
          <w:sz w:val="24"/>
        </w:rPr>
        <w:t>–</w:t>
      </w:r>
      <w:r>
        <w:rPr>
          <w:b/>
          <w:color w:val="17365D"/>
          <w:spacing w:val="-3"/>
          <w:sz w:val="24"/>
        </w:rPr>
        <w:t> </w:t>
      </w:r>
      <w:r>
        <w:rPr>
          <w:color w:val="17365D"/>
          <w:sz w:val="24"/>
        </w:rPr>
        <w:t>Key Performance</w:t>
      </w:r>
      <w:r>
        <w:rPr>
          <w:color w:val="17365D"/>
          <w:spacing w:val="-2"/>
          <w:sz w:val="24"/>
        </w:rPr>
        <w:t> Indicators</w:t>
      </w:r>
      <w:r>
        <w:rPr>
          <w:color w:val="17365D"/>
          <w:sz w:val="24"/>
        </w:rPr>
        <w:tab/>
      </w:r>
      <w:r>
        <w:rPr>
          <w:color w:val="17365D"/>
          <w:spacing w:val="-10"/>
          <w:sz w:val="24"/>
        </w:rPr>
        <w:t>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8"/>
        </w:rPr>
      </w:pPr>
      <w:r>
        <w:rPr/>
        <w:pict>
          <v:rect style="position:absolute;margin-left:26.879999pt;margin-top:18.764648pt;width:527.5pt;height:1.44pt;mso-position-horizontal-relative:page;mso-position-vertical-relative:paragraph;z-index:-15719936;mso-wrap-distance-left:0;mso-wrap-distance-right:0" id="docshape43" filled="true" fillcolor="#000000" stroked="false">
            <v:fill type="solid"/>
            <w10:wrap type="topAndBottom"/>
          </v:rect>
        </w:pict>
      </w:r>
    </w:p>
    <w:p>
      <w:pPr>
        <w:spacing w:after="0"/>
        <w:rPr>
          <w:sz w:val="28"/>
        </w:rPr>
        <w:sectPr>
          <w:footerReference w:type="default" r:id="rId37"/>
          <w:pgSz w:w="11910" w:h="16840"/>
          <w:pgMar w:footer="555" w:header="0" w:top="600" w:bottom="740" w:left="380" w:right="560"/>
        </w:sectPr>
      </w:pPr>
    </w:p>
    <w:p>
      <w:pPr>
        <w:pStyle w:val="BodyText"/>
        <w:tabs>
          <w:tab w:pos="9056" w:val="left" w:leader="none"/>
        </w:tabs>
        <w:spacing w:before="82"/>
        <w:ind w:left="580"/>
      </w:pPr>
      <w:r>
        <w:rPr/>
        <w:t>Audit</w:t>
      </w:r>
      <w:r>
        <w:rPr>
          <w:spacing w:val="-3"/>
        </w:rPr>
        <w:t> </w:t>
      </w:r>
      <w:r>
        <w:rPr/>
        <w:t>Committee</w:t>
      </w:r>
      <w:r>
        <w:rPr>
          <w:spacing w:val="-2"/>
        </w:rPr>
        <w:t> </w:t>
      </w:r>
      <w:r>
        <w:rPr/>
        <w:t>Progress</w:t>
      </w:r>
      <w:r>
        <w:rPr>
          <w:spacing w:val="-3"/>
        </w:rPr>
        <w:t> </w:t>
      </w:r>
      <w:r>
        <w:rPr>
          <w:spacing w:val="-2"/>
        </w:rPr>
        <w:t>Report</w:t>
      </w:r>
      <w:r>
        <w:rPr/>
        <w:tab/>
        <w:t>January</w:t>
      </w:r>
      <w:r>
        <w:rPr>
          <w:spacing w:val="-4"/>
        </w:rPr>
        <w:t> 2023</w:t>
      </w:r>
    </w:p>
    <w:p>
      <w:pPr>
        <w:pStyle w:val="BodyText"/>
        <w:spacing w:before="11"/>
        <w:rPr>
          <w:sz w:val="9"/>
        </w:rPr>
      </w:pPr>
      <w:r>
        <w:rPr/>
        <w:pict>
          <v:shape style="position:absolute;margin-left:41.760002pt;margin-top:7.235979pt;width:517.4500pt;height:1.45pt;mso-position-horizontal-relative:page;mso-position-vertical-relative:paragraph;z-index:-15719424;mso-wrap-distance-left:0;mso-wrap-distance-right:0" id="docshape48" coordorigin="835,145" coordsize="10349,29" path="m11183,145l6683,145,6669,145,6654,145,835,145,835,174,6654,174,6669,174,6683,174,11183,174,11183,145xe" filled="true" fillcolor="#000000" stroked="false">
            <v:path arrowok="t"/>
            <v:fill type="solid"/>
            <w10:wrap type="topAndBottom"/>
          </v:shape>
        </w:pict>
      </w:r>
    </w:p>
    <w:p>
      <w:pPr>
        <w:pStyle w:val="BodyText"/>
        <w:rPr>
          <w:sz w:val="20"/>
        </w:rPr>
      </w:pPr>
    </w:p>
    <w:p>
      <w:pPr>
        <w:pStyle w:val="BodyText"/>
        <w:spacing w:before="3"/>
        <w:rPr>
          <w:sz w:val="17"/>
        </w:rPr>
      </w:pPr>
    </w:p>
    <w:p>
      <w:pPr>
        <w:pStyle w:val="ListParagraph"/>
        <w:numPr>
          <w:ilvl w:val="0"/>
          <w:numId w:val="11"/>
        </w:numPr>
        <w:tabs>
          <w:tab w:pos="1048" w:val="left" w:leader="none"/>
          <w:tab w:pos="1049" w:val="left" w:leader="none"/>
        </w:tabs>
        <w:spacing w:line="240" w:lineRule="auto" w:before="101" w:after="0"/>
        <w:ind w:left="1048" w:right="0" w:hanging="580"/>
        <w:jc w:val="left"/>
        <w:rPr>
          <w:b/>
          <w:sz w:val="28"/>
        </w:rPr>
      </w:pPr>
      <w:r>
        <w:rPr>
          <w:b/>
          <w:color w:val="17365D"/>
          <w:spacing w:val="-2"/>
          <w:sz w:val="28"/>
        </w:rPr>
        <w:t>Introduction</w:t>
      </w:r>
    </w:p>
    <w:p>
      <w:pPr>
        <w:pStyle w:val="BodyText"/>
        <w:spacing w:before="238"/>
        <w:ind w:left="1048" w:right="278"/>
        <w:jc w:val="both"/>
      </w:pPr>
      <w:r>
        <w:rPr/>
        <w:t>The</w:t>
      </w:r>
      <w:r>
        <w:rPr>
          <w:spacing w:val="-1"/>
        </w:rPr>
        <w:t> </w:t>
      </w:r>
      <w:r>
        <w:rPr/>
        <w:t>purpose</w:t>
      </w:r>
      <w:r>
        <w:rPr>
          <w:spacing w:val="-1"/>
        </w:rPr>
        <w:t> </w:t>
      </w:r>
      <w:r>
        <w:rPr/>
        <w:t>of</w:t>
      </w:r>
      <w:r>
        <w:rPr>
          <w:spacing w:val="-2"/>
        </w:rPr>
        <w:t> </w:t>
      </w:r>
      <w:r>
        <w:rPr/>
        <w:t>this</w:t>
      </w:r>
      <w:r>
        <w:rPr>
          <w:spacing w:val="-2"/>
        </w:rPr>
        <w:t> </w:t>
      </w:r>
      <w:r>
        <w:rPr/>
        <w:t>report</w:t>
      </w:r>
      <w:r>
        <w:rPr>
          <w:spacing w:val="-2"/>
        </w:rPr>
        <w:t> </w:t>
      </w:r>
      <w:r>
        <w:rPr/>
        <w:t>is</w:t>
      </w:r>
      <w:r>
        <w:rPr>
          <w:spacing w:val="-2"/>
        </w:rPr>
        <w:t> </w:t>
      </w:r>
      <w:r>
        <w:rPr/>
        <w:t>to highlight</w:t>
      </w:r>
      <w:r>
        <w:rPr>
          <w:spacing w:val="-2"/>
        </w:rPr>
        <w:t> </w:t>
      </w:r>
      <w:r>
        <w:rPr/>
        <w:t>the</w:t>
      </w:r>
      <w:r>
        <w:rPr>
          <w:spacing w:val="-1"/>
        </w:rPr>
        <w:t> </w:t>
      </w:r>
      <w:r>
        <w:rPr/>
        <w:t>progress</w:t>
      </w:r>
      <w:r>
        <w:rPr>
          <w:spacing w:val="-2"/>
        </w:rPr>
        <w:t> </w:t>
      </w:r>
      <w:r>
        <w:rPr/>
        <w:t>of</w:t>
      </w:r>
      <w:r>
        <w:rPr>
          <w:spacing w:val="-2"/>
        </w:rPr>
        <w:t> </w:t>
      </w:r>
      <w:r>
        <w:rPr/>
        <w:t>the</w:t>
      </w:r>
      <w:r>
        <w:rPr>
          <w:spacing w:val="-1"/>
        </w:rPr>
        <w:t> </w:t>
      </w:r>
      <w:r>
        <w:rPr/>
        <w:t>Internal</w:t>
      </w:r>
      <w:r>
        <w:rPr>
          <w:spacing w:val="-3"/>
        </w:rPr>
        <w:t> </w:t>
      </w:r>
      <w:r>
        <w:rPr/>
        <w:t>Audit</w:t>
      </w:r>
      <w:r>
        <w:rPr>
          <w:spacing w:val="-3"/>
        </w:rPr>
        <w:t> </w:t>
      </w:r>
      <w:r>
        <w:rPr/>
        <w:t>Plan to the Audit Committee and provide an overview of other activity undertaken since the previous meeting.</w:t>
      </w:r>
    </w:p>
    <w:p>
      <w:pPr>
        <w:pStyle w:val="BodyText"/>
        <w:rPr>
          <w:sz w:val="28"/>
        </w:rPr>
      </w:pPr>
    </w:p>
    <w:p>
      <w:pPr>
        <w:pStyle w:val="BodyText"/>
        <w:spacing w:before="10"/>
        <w:rPr>
          <w:sz w:val="25"/>
        </w:rPr>
      </w:pPr>
    </w:p>
    <w:p>
      <w:pPr>
        <w:pStyle w:val="ListParagraph"/>
        <w:numPr>
          <w:ilvl w:val="0"/>
          <w:numId w:val="11"/>
        </w:numPr>
        <w:tabs>
          <w:tab w:pos="1036" w:val="left" w:leader="none"/>
          <w:tab w:pos="1037" w:val="left" w:leader="none"/>
        </w:tabs>
        <w:spacing w:line="240" w:lineRule="auto" w:before="0" w:after="0"/>
        <w:ind w:left="1036" w:right="0" w:hanging="568"/>
        <w:jc w:val="left"/>
        <w:rPr>
          <w:b/>
          <w:sz w:val="28"/>
        </w:rPr>
      </w:pPr>
      <w:r>
        <w:rPr>
          <w:b/>
          <w:color w:val="17365D"/>
          <w:sz w:val="28"/>
        </w:rPr>
        <w:t>Outcomes</w:t>
      </w:r>
      <w:r>
        <w:rPr>
          <w:b/>
          <w:color w:val="17365D"/>
          <w:spacing w:val="-7"/>
          <w:sz w:val="28"/>
        </w:rPr>
        <w:t> </w:t>
      </w:r>
      <w:r>
        <w:rPr>
          <w:b/>
          <w:color w:val="17365D"/>
          <w:sz w:val="28"/>
        </w:rPr>
        <w:t>from</w:t>
      </w:r>
      <w:r>
        <w:rPr>
          <w:b/>
          <w:color w:val="17365D"/>
          <w:spacing w:val="-8"/>
          <w:sz w:val="28"/>
        </w:rPr>
        <w:t> </w:t>
      </w:r>
      <w:r>
        <w:rPr>
          <w:b/>
          <w:color w:val="17365D"/>
          <w:sz w:val="28"/>
        </w:rPr>
        <w:t>Finalised</w:t>
      </w:r>
      <w:r>
        <w:rPr>
          <w:b/>
          <w:color w:val="17365D"/>
          <w:spacing w:val="-8"/>
          <w:sz w:val="28"/>
        </w:rPr>
        <w:t> </w:t>
      </w:r>
      <w:r>
        <w:rPr>
          <w:b/>
          <w:color w:val="17365D"/>
          <w:spacing w:val="-2"/>
          <w:sz w:val="28"/>
        </w:rPr>
        <w:t>Audits</w:t>
      </w:r>
    </w:p>
    <w:p>
      <w:pPr>
        <w:pStyle w:val="BodyText"/>
        <w:spacing w:before="237"/>
        <w:ind w:left="1048" w:right="288"/>
        <w:jc w:val="both"/>
      </w:pPr>
      <w:r>
        <w:rPr/>
        <w:t>The</w:t>
      </w:r>
      <w:r>
        <w:rPr>
          <w:spacing w:val="-4"/>
        </w:rPr>
        <w:t> </w:t>
      </w:r>
      <w:r>
        <w:rPr/>
        <w:t>Internal</w:t>
      </w:r>
      <w:r>
        <w:rPr>
          <w:spacing w:val="-6"/>
        </w:rPr>
        <w:t> </w:t>
      </w:r>
      <w:r>
        <w:rPr/>
        <w:t>Audit</w:t>
      </w:r>
      <w:r>
        <w:rPr>
          <w:spacing w:val="-6"/>
        </w:rPr>
        <w:t> </w:t>
      </w:r>
      <w:r>
        <w:rPr/>
        <w:t>reports</w:t>
      </w:r>
      <w:r>
        <w:rPr>
          <w:spacing w:val="-5"/>
        </w:rPr>
        <w:t> </w:t>
      </w:r>
      <w:r>
        <w:rPr/>
        <w:t>from</w:t>
      </w:r>
      <w:r>
        <w:rPr>
          <w:spacing w:val="-6"/>
        </w:rPr>
        <w:t> </w:t>
      </w:r>
      <w:r>
        <w:rPr/>
        <w:t>the</w:t>
      </w:r>
      <w:r>
        <w:rPr>
          <w:spacing w:val="-4"/>
        </w:rPr>
        <w:t> </w:t>
      </w:r>
      <w:r>
        <w:rPr/>
        <w:t>2022/23</w:t>
      </w:r>
      <w:r>
        <w:rPr>
          <w:spacing w:val="-4"/>
        </w:rPr>
        <w:t> </w:t>
      </w:r>
      <w:r>
        <w:rPr/>
        <w:t>plan</w:t>
      </w:r>
      <w:r>
        <w:rPr>
          <w:spacing w:val="-6"/>
        </w:rPr>
        <w:t> </w:t>
      </w:r>
      <w:r>
        <w:rPr/>
        <w:t>that</w:t>
      </w:r>
      <w:r>
        <w:rPr>
          <w:spacing w:val="-4"/>
        </w:rPr>
        <w:t> </w:t>
      </w:r>
      <w:r>
        <w:rPr/>
        <w:t>have</w:t>
      </w:r>
      <w:r>
        <w:rPr>
          <w:spacing w:val="-3"/>
        </w:rPr>
        <w:t> </w:t>
      </w:r>
      <w:r>
        <w:rPr/>
        <w:t>been</w:t>
      </w:r>
      <w:r>
        <w:rPr>
          <w:spacing w:val="-6"/>
        </w:rPr>
        <w:t> </w:t>
      </w:r>
      <w:r>
        <w:rPr/>
        <w:t>finalised</w:t>
      </w:r>
      <w:r>
        <w:rPr>
          <w:spacing w:val="-4"/>
        </w:rPr>
        <w:t> </w:t>
      </w:r>
      <w:r>
        <w:rPr/>
        <w:t>since the</w:t>
      </w:r>
      <w:r>
        <w:rPr>
          <w:spacing w:val="-1"/>
        </w:rPr>
        <w:t> </w:t>
      </w:r>
      <w:r>
        <w:rPr/>
        <w:t>previous</w:t>
      </w:r>
      <w:r>
        <w:rPr>
          <w:spacing w:val="-2"/>
        </w:rPr>
        <w:t> </w:t>
      </w:r>
      <w:r>
        <w:rPr/>
        <w:t>meeting</w:t>
      </w:r>
      <w:r>
        <w:rPr>
          <w:spacing w:val="-2"/>
        </w:rPr>
        <w:t> </w:t>
      </w:r>
      <w:r>
        <w:rPr/>
        <w:t>of</w:t>
      </w:r>
      <w:r>
        <w:rPr>
          <w:spacing w:val="-2"/>
        </w:rPr>
        <w:t> </w:t>
      </w:r>
      <w:r>
        <w:rPr/>
        <w:t>the</w:t>
      </w:r>
      <w:r>
        <w:rPr>
          <w:spacing w:val="-1"/>
        </w:rPr>
        <w:t> </w:t>
      </w:r>
      <w:r>
        <w:rPr/>
        <w:t>committee are highlighted</w:t>
      </w:r>
      <w:r>
        <w:rPr>
          <w:spacing w:val="-2"/>
        </w:rPr>
        <w:t> </w:t>
      </w:r>
      <w:r>
        <w:rPr/>
        <w:t>in</w:t>
      </w:r>
      <w:r>
        <w:rPr>
          <w:spacing w:val="-2"/>
        </w:rPr>
        <w:t> </w:t>
      </w:r>
      <w:r>
        <w:rPr/>
        <w:t>the</w:t>
      </w:r>
      <w:r>
        <w:rPr>
          <w:spacing w:val="-1"/>
        </w:rPr>
        <w:t> </w:t>
      </w:r>
      <w:r>
        <w:rPr/>
        <w:t>table</w:t>
      </w:r>
      <w:r>
        <w:rPr>
          <w:spacing w:val="-1"/>
        </w:rPr>
        <w:t> </w:t>
      </w:r>
      <w:r>
        <w:rPr/>
        <w:t>below</w:t>
      </w:r>
      <w:r>
        <w:rPr>
          <w:spacing w:val="-1"/>
        </w:rPr>
        <w:t> </w:t>
      </w:r>
      <w:r>
        <w:rPr/>
        <w:t>along with</w:t>
      </w:r>
      <w:r>
        <w:rPr>
          <w:spacing w:val="-7"/>
        </w:rPr>
        <w:t> </w:t>
      </w:r>
      <w:r>
        <w:rPr/>
        <w:t>the</w:t>
      </w:r>
      <w:r>
        <w:rPr>
          <w:spacing w:val="-8"/>
        </w:rPr>
        <w:t> </w:t>
      </w:r>
      <w:r>
        <w:rPr/>
        <w:t>allocated</w:t>
      </w:r>
      <w:r>
        <w:rPr>
          <w:spacing w:val="-9"/>
        </w:rPr>
        <w:t> </w:t>
      </w:r>
      <w:r>
        <w:rPr/>
        <w:t>assurance</w:t>
      </w:r>
      <w:r>
        <w:rPr>
          <w:spacing w:val="-8"/>
        </w:rPr>
        <w:t> </w:t>
      </w:r>
      <w:r>
        <w:rPr/>
        <w:t>ratings</w:t>
      </w:r>
      <w:r>
        <w:rPr>
          <w:spacing w:val="-8"/>
        </w:rPr>
        <w:t> </w:t>
      </w:r>
      <w:r>
        <w:rPr/>
        <w:t>where</w:t>
      </w:r>
      <w:r>
        <w:rPr>
          <w:spacing w:val="-7"/>
        </w:rPr>
        <w:t> </w:t>
      </w:r>
      <w:r>
        <w:rPr/>
        <w:t>applicable.</w:t>
      </w:r>
      <w:r>
        <w:rPr>
          <w:spacing w:val="-8"/>
        </w:rPr>
        <w:t> </w:t>
      </w:r>
      <w:r>
        <w:rPr/>
        <w:t>The</w:t>
      </w:r>
      <w:r>
        <w:rPr>
          <w:spacing w:val="-8"/>
        </w:rPr>
        <w:t> </w:t>
      </w:r>
      <w:r>
        <w:rPr/>
        <w:t>full</w:t>
      </w:r>
      <w:r>
        <w:rPr>
          <w:spacing w:val="-8"/>
        </w:rPr>
        <w:t> </w:t>
      </w:r>
      <w:r>
        <w:rPr/>
        <w:t>versions</w:t>
      </w:r>
      <w:r>
        <w:rPr>
          <w:spacing w:val="-9"/>
        </w:rPr>
        <w:t> </w:t>
      </w:r>
      <w:r>
        <w:rPr/>
        <w:t>of</w:t>
      </w:r>
      <w:r>
        <w:rPr>
          <w:spacing w:val="-9"/>
        </w:rPr>
        <w:t> </w:t>
      </w:r>
      <w:r>
        <w:rPr/>
        <w:t>these reports are included on the agenda as separate items.</w:t>
      </w:r>
    </w:p>
    <w:p>
      <w:pPr>
        <w:pStyle w:val="BodyText"/>
        <w:rPr>
          <w:sz w:val="20"/>
        </w:rPr>
      </w:pPr>
    </w:p>
    <w:p>
      <w:pPr>
        <w:pStyle w:val="BodyText"/>
        <w:spacing w:before="2"/>
        <w:rPr>
          <w:sz w:val="26"/>
        </w:rPr>
      </w:pPr>
    </w:p>
    <w:tbl>
      <w:tblPr>
        <w:tblW w:w="0" w:type="auto"/>
        <w:jc w:val="left"/>
        <w:tblInd w:w="17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679"/>
        <w:gridCol w:w="2826"/>
      </w:tblGrid>
      <w:tr>
        <w:trPr>
          <w:trHeight w:val="267" w:hRule="atLeast"/>
        </w:trPr>
        <w:tc>
          <w:tcPr>
            <w:tcW w:w="4679" w:type="dxa"/>
            <w:shd w:val="clear" w:color="auto" w:fill="C5D9F0"/>
          </w:tcPr>
          <w:p>
            <w:pPr>
              <w:pStyle w:val="TableParagraph"/>
              <w:spacing w:line="248" w:lineRule="exact"/>
              <w:ind w:left="107"/>
              <w:rPr>
                <w:b/>
                <w:sz w:val="22"/>
              </w:rPr>
            </w:pPr>
            <w:r>
              <w:rPr>
                <w:b/>
                <w:spacing w:val="-2"/>
                <w:sz w:val="22"/>
              </w:rPr>
              <w:t>ASSIGNMENT</w:t>
            </w:r>
          </w:p>
        </w:tc>
        <w:tc>
          <w:tcPr>
            <w:tcW w:w="2826" w:type="dxa"/>
            <w:shd w:val="clear" w:color="auto" w:fill="C5D9F0"/>
          </w:tcPr>
          <w:p>
            <w:pPr>
              <w:pStyle w:val="TableParagraph"/>
              <w:spacing w:line="248" w:lineRule="exact"/>
              <w:ind w:left="124" w:right="108"/>
              <w:jc w:val="center"/>
              <w:rPr>
                <w:b/>
                <w:sz w:val="22"/>
              </w:rPr>
            </w:pPr>
            <w:r>
              <w:rPr>
                <w:b/>
                <w:sz w:val="22"/>
              </w:rPr>
              <w:t>ASSURANCE</w:t>
            </w:r>
            <w:r>
              <w:rPr>
                <w:b/>
                <w:spacing w:val="-8"/>
                <w:sz w:val="22"/>
              </w:rPr>
              <w:t> </w:t>
            </w:r>
            <w:r>
              <w:rPr>
                <w:b/>
                <w:spacing w:val="-2"/>
                <w:sz w:val="22"/>
              </w:rPr>
              <w:t>RATING</w:t>
            </w:r>
          </w:p>
        </w:tc>
      </w:tr>
      <w:tr>
        <w:trPr>
          <w:trHeight w:val="1077" w:hRule="atLeast"/>
        </w:trPr>
        <w:tc>
          <w:tcPr>
            <w:tcW w:w="4679" w:type="dxa"/>
            <w:tcBorders>
              <w:bottom w:val="single" w:sz="4" w:space="0" w:color="000000"/>
            </w:tcBorders>
          </w:tcPr>
          <w:p>
            <w:pPr>
              <w:pStyle w:val="TableParagraph"/>
              <w:spacing w:before="3"/>
              <w:rPr>
                <w:sz w:val="32"/>
              </w:rPr>
            </w:pPr>
          </w:p>
          <w:p>
            <w:pPr>
              <w:pStyle w:val="TableParagraph"/>
              <w:ind w:left="107"/>
              <w:rPr>
                <w:sz w:val="24"/>
              </w:rPr>
            </w:pPr>
            <w:r>
              <w:rPr>
                <w:sz w:val="24"/>
              </w:rPr>
              <w:t>Accounts</w:t>
            </w:r>
            <w:r>
              <w:rPr>
                <w:spacing w:val="-2"/>
                <w:sz w:val="24"/>
              </w:rPr>
              <w:t> Payable</w:t>
            </w:r>
          </w:p>
        </w:tc>
        <w:tc>
          <w:tcPr>
            <w:tcW w:w="2826" w:type="dxa"/>
            <w:tcBorders>
              <w:bottom w:val="single" w:sz="4" w:space="0" w:color="000000"/>
              <w:right w:val="single" w:sz="4" w:space="0" w:color="000000"/>
            </w:tcBorders>
          </w:tcPr>
          <w:p>
            <w:pPr>
              <w:pStyle w:val="TableParagraph"/>
              <w:spacing w:before="4"/>
              <w:rPr>
                <w:sz w:val="10"/>
              </w:rPr>
            </w:pPr>
          </w:p>
          <w:p>
            <w:pPr>
              <w:pStyle w:val="TableParagraph"/>
              <w:ind w:left="894"/>
              <w:rPr>
                <w:sz w:val="20"/>
              </w:rPr>
            </w:pPr>
            <w:r>
              <w:rPr>
                <w:sz w:val="20"/>
              </w:rPr>
              <w:drawing>
                <wp:inline distT="0" distB="0" distL="0" distR="0">
                  <wp:extent cx="657223" cy="368046"/>
                  <wp:effectExtent l="0" t="0" r="0" b="0"/>
                  <wp:docPr id="15" name="image8.png"/>
                  <wp:cNvGraphicFramePr>
                    <a:graphicFrameLocks noChangeAspect="1"/>
                  </wp:cNvGraphicFramePr>
                  <a:graphic>
                    <a:graphicData uri="http://schemas.openxmlformats.org/drawingml/2006/picture">
                      <pic:pic>
                        <pic:nvPicPr>
                          <pic:cNvPr id="16" name="image8.png"/>
                          <pic:cNvPicPr/>
                        </pic:nvPicPr>
                        <pic:blipFill>
                          <a:blip r:embed="rId39" cstate="print"/>
                          <a:stretch>
                            <a:fillRect/>
                          </a:stretch>
                        </pic:blipFill>
                        <pic:spPr>
                          <a:xfrm>
                            <a:off x="0" y="0"/>
                            <a:ext cx="657223" cy="368046"/>
                          </a:xfrm>
                          <a:prstGeom prst="rect">
                            <a:avLst/>
                          </a:prstGeom>
                        </pic:spPr>
                      </pic:pic>
                    </a:graphicData>
                  </a:graphic>
                </wp:inline>
              </w:drawing>
            </w:r>
            <w:r>
              <w:rPr>
                <w:sz w:val="20"/>
              </w:rPr>
            </w:r>
          </w:p>
          <w:p>
            <w:pPr>
              <w:pStyle w:val="TableParagraph"/>
              <w:ind w:left="825" w:right="815"/>
              <w:jc w:val="center"/>
              <w:rPr>
                <w:sz w:val="20"/>
              </w:rPr>
            </w:pPr>
            <w:r>
              <w:rPr>
                <w:spacing w:val="-2"/>
                <w:sz w:val="20"/>
              </w:rPr>
              <w:t>Reasonable</w:t>
            </w:r>
          </w:p>
        </w:tc>
      </w:tr>
      <w:tr>
        <w:trPr>
          <w:trHeight w:val="1077" w:hRule="atLeast"/>
        </w:trPr>
        <w:tc>
          <w:tcPr>
            <w:tcW w:w="4679" w:type="dxa"/>
            <w:tcBorders>
              <w:top w:val="single" w:sz="4" w:space="0" w:color="000000"/>
              <w:bottom w:val="single" w:sz="4" w:space="0" w:color="000000"/>
            </w:tcBorders>
          </w:tcPr>
          <w:p>
            <w:pPr>
              <w:pStyle w:val="TableParagraph"/>
              <w:spacing w:before="3"/>
              <w:rPr>
                <w:sz w:val="32"/>
              </w:rPr>
            </w:pPr>
          </w:p>
          <w:p>
            <w:pPr>
              <w:pStyle w:val="TableParagraph"/>
              <w:ind w:left="107"/>
              <w:rPr>
                <w:sz w:val="24"/>
              </w:rPr>
            </w:pPr>
            <w:r>
              <w:rPr>
                <w:sz w:val="24"/>
              </w:rPr>
              <w:t>Recruitment</w:t>
            </w:r>
            <w:r>
              <w:rPr>
                <w:spacing w:val="-5"/>
                <w:sz w:val="24"/>
              </w:rPr>
              <w:t> </w:t>
            </w:r>
            <w:r>
              <w:rPr>
                <w:spacing w:val="-2"/>
                <w:sz w:val="24"/>
              </w:rPr>
              <w:t>Services</w:t>
            </w:r>
          </w:p>
        </w:tc>
        <w:tc>
          <w:tcPr>
            <w:tcW w:w="2826" w:type="dxa"/>
            <w:tcBorders>
              <w:top w:val="single" w:sz="4" w:space="0" w:color="000000"/>
              <w:bottom w:val="single" w:sz="4" w:space="0" w:color="000000"/>
              <w:right w:val="single" w:sz="4" w:space="0" w:color="000000"/>
            </w:tcBorders>
          </w:tcPr>
          <w:p>
            <w:pPr>
              <w:pStyle w:val="TableParagraph"/>
              <w:spacing w:before="4"/>
              <w:rPr>
                <w:sz w:val="10"/>
              </w:rPr>
            </w:pPr>
          </w:p>
          <w:p>
            <w:pPr>
              <w:pStyle w:val="TableParagraph"/>
              <w:ind w:left="894"/>
              <w:rPr>
                <w:sz w:val="20"/>
              </w:rPr>
            </w:pPr>
            <w:r>
              <w:rPr>
                <w:sz w:val="20"/>
              </w:rPr>
              <w:drawing>
                <wp:inline distT="0" distB="0" distL="0" distR="0">
                  <wp:extent cx="657223" cy="368046"/>
                  <wp:effectExtent l="0" t="0" r="0" b="0"/>
                  <wp:docPr id="17" name="image8.png"/>
                  <wp:cNvGraphicFramePr>
                    <a:graphicFrameLocks noChangeAspect="1"/>
                  </wp:cNvGraphicFramePr>
                  <a:graphic>
                    <a:graphicData uri="http://schemas.openxmlformats.org/drawingml/2006/picture">
                      <pic:pic>
                        <pic:nvPicPr>
                          <pic:cNvPr id="18" name="image8.png"/>
                          <pic:cNvPicPr/>
                        </pic:nvPicPr>
                        <pic:blipFill>
                          <a:blip r:embed="rId39" cstate="print"/>
                          <a:stretch>
                            <a:fillRect/>
                          </a:stretch>
                        </pic:blipFill>
                        <pic:spPr>
                          <a:xfrm>
                            <a:off x="0" y="0"/>
                            <a:ext cx="657223" cy="368046"/>
                          </a:xfrm>
                          <a:prstGeom prst="rect">
                            <a:avLst/>
                          </a:prstGeom>
                        </pic:spPr>
                      </pic:pic>
                    </a:graphicData>
                  </a:graphic>
                </wp:inline>
              </w:drawing>
            </w:r>
            <w:r>
              <w:rPr>
                <w:sz w:val="20"/>
              </w:rPr>
            </w:r>
          </w:p>
          <w:p>
            <w:pPr>
              <w:pStyle w:val="TableParagraph"/>
              <w:ind w:left="825" w:right="815"/>
              <w:jc w:val="center"/>
              <w:rPr>
                <w:sz w:val="20"/>
              </w:rPr>
            </w:pPr>
            <w:r>
              <w:rPr>
                <w:spacing w:val="-2"/>
                <w:sz w:val="20"/>
              </w:rPr>
              <w:t>Reasonable</w:t>
            </w:r>
          </w:p>
        </w:tc>
      </w:tr>
      <w:tr>
        <w:trPr>
          <w:trHeight w:val="1077" w:hRule="atLeast"/>
        </w:trPr>
        <w:tc>
          <w:tcPr>
            <w:tcW w:w="4679" w:type="dxa"/>
            <w:tcBorders>
              <w:top w:val="single" w:sz="4" w:space="0" w:color="000000"/>
              <w:bottom w:val="single" w:sz="4" w:space="0" w:color="000000"/>
            </w:tcBorders>
          </w:tcPr>
          <w:p>
            <w:pPr>
              <w:pStyle w:val="TableParagraph"/>
              <w:spacing w:before="3"/>
              <w:rPr>
                <w:sz w:val="32"/>
              </w:rPr>
            </w:pPr>
          </w:p>
          <w:p>
            <w:pPr>
              <w:pStyle w:val="TableParagraph"/>
              <w:ind w:left="107"/>
              <w:rPr>
                <w:sz w:val="24"/>
              </w:rPr>
            </w:pPr>
            <w:r>
              <w:rPr>
                <w:sz w:val="24"/>
              </w:rPr>
              <w:t>Laundry</w:t>
            </w:r>
            <w:r>
              <w:rPr>
                <w:spacing w:val="-2"/>
                <w:sz w:val="24"/>
              </w:rPr>
              <w:t> </w:t>
            </w:r>
            <w:r>
              <w:rPr>
                <w:sz w:val="24"/>
              </w:rPr>
              <w:t>Service</w:t>
            </w:r>
            <w:r>
              <w:rPr>
                <w:spacing w:val="-1"/>
                <w:sz w:val="24"/>
              </w:rPr>
              <w:t> </w:t>
            </w:r>
            <w:r>
              <w:rPr>
                <w:sz w:val="24"/>
              </w:rPr>
              <w:t>(North</w:t>
            </w:r>
            <w:r>
              <w:rPr>
                <w:spacing w:val="-3"/>
                <w:sz w:val="24"/>
              </w:rPr>
              <w:t> </w:t>
            </w:r>
            <w:r>
              <w:rPr>
                <w:sz w:val="24"/>
              </w:rPr>
              <w:t>Wales</w:t>
            </w:r>
            <w:r>
              <w:rPr>
                <w:spacing w:val="-2"/>
                <w:sz w:val="24"/>
              </w:rPr>
              <w:t> </w:t>
            </w:r>
            <w:r>
              <w:rPr>
                <w:spacing w:val="-4"/>
                <w:sz w:val="24"/>
              </w:rPr>
              <w:t>Site)</w:t>
            </w:r>
          </w:p>
        </w:tc>
        <w:tc>
          <w:tcPr>
            <w:tcW w:w="2826" w:type="dxa"/>
            <w:tcBorders>
              <w:top w:val="single" w:sz="4" w:space="0" w:color="000000"/>
              <w:bottom w:val="single" w:sz="4" w:space="0" w:color="000000"/>
              <w:right w:val="single" w:sz="4" w:space="0" w:color="000000"/>
            </w:tcBorders>
          </w:tcPr>
          <w:p>
            <w:pPr>
              <w:pStyle w:val="TableParagraph"/>
              <w:spacing w:before="4"/>
              <w:rPr>
                <w:sz w:val="10"/>
              </w:rPr>
            </w:pPr>
          </w:p>
          <w:p>
            <w:pPr>
              <w:pStyle w:val="TableParagraph"/>
              <w:ind w:left="894"/>
              <w:rPr>
                <w:sz w:val="20"/>
              </w:rPr>
            </w:pPr>
            <w:r>
              <w:rPr>
                <w:sz w:val="20"/>
              </w:rPr>
              <w:drawing>
                <wp:inline distT="0" distB="0" distL="0" distR="0">
                  <wp:extent cx="657223" cy="368046"/>
                  <wp:effectExtent l="0" t="0" r="0" b="0"/>
                  <wp:docPr id="19" name="image8.png"/>
                  <wp:cNvGraphicFramePr>
                    <a:graphicFrameLocks noChangeAspect="1"/>
                  </wp:cNvGraphicFramePr>
                  <a:graphic>
                    <a:graphicData uri="http://schemas.openxmlformats.org/drawingml/2006/picture">
                      <pic:pic>
                        <pic:nvPicPr>
                          <pic:cNvPr id="20" name="image8.png"/>
                          <pic:cNvPicPr/>
                        </pic:nvPicPr>
                        <pic:blipFill>
                          <a:blip r:embed="rId39" cstate="print"/>
                          <a:stretch>
                            <a:fillRect/>
                          </a:stretch>
                        </pic:blipFill>
                        <pic:spPr>
                          <a:xfrm>
                            <a:off x="0" y="0"/>
                            <a:ext cx="657223" cy="368046"/>
                          </a:xfrm>
                          <a:prstGeom prst="rect">
                            <a:avLst/>
                          </a:prstGeom>
                        </pic:spPr>
                      </pic:pic>
                    </a:graphicData>
                  </a:graphic>
                </wp:inline>
              </w:drawing>
            </w:r>
            <w:r>
              <w:rPr>
                <w:sz w:val="20"/>
              </w:rPr>
            </w:r>
          </w:p>
          <w:p>
            <w:pPr>
              <w:pStyle w:val="TableParagraph"/>
              <w:ind w:left="825" w:right="815"/>
              <w:jc w:val="center"/>
              <w:rPr>
                <w:sz w:val="20"/>
              </w:rPr>
            </w:pPr>
            <w:r>
              <w:rPr>
                <w:spacing w:val="-2"/>
                <w:sz w:val="20"/>
              </w:rPr>
              <w:t>Reasonable</w:t>
            </w:r>
          </w:p>
        </w:tc>
      </w:tr>
    </w:tbl>
    <w:p>
      <w:pPr>
        <w:spacing w:after="0"/>
        <w:jc w:val="center"/>
        <w:rPr>
          <w:sz w:val="20"/>
        </w:rPr>
        <w:sectPr>
          <w:footerReference w:type="default" r:id="rId38"/>
          <w:pgSz w:w="11910" w:h="16840"/>
          <w:pgMar w:footer="1046" w:header="0" w:top="620" w:bottom="1240" w:left="380" w:right="560"/>
        </w:sectPr>
      </w:pPr>
    </w:p>
    <w:p>
      <w:pPr>
        <w:pStyle w:val="BodyText"/>
        <w:tabs>
          <w:tab w:pos="9056" w:val="left" w:leader="none"/>
        </w:tabs>
        <w:spacing w:before="82"/>
        <w:ind w:left="580"/>
      </w:pPr>
      <w:r>
        <w:rPr/>
        <w:t>Audit</w:t>
      </w:r>
      <w:r>
        <w:rPr>
          <w:spacing w:val="-3"/>
        </w:rPr>
        <w:t> </w:t>
      </w:r>
      <w:r>
        <w:rPr/>
        <w:t>Committee</w:t>
      </w:r>
      <w:r>
        <w:rPr>
          <w:spacing w:val="-2"/>
        </w:rPr>
        <w:t> </w:t>
      </w:r>
      <w:r>
        <w:rPr/>
        <w:t>Progress</w:t>
      </w:r>
      <w:r>
        <w:rPr>
          <w:spacing w:val="-3"/>
        </w:rPr>
        <w:t> </w:t>
      </w:r>
      <w:r>
        <w:rPr>
          <w:spacing w:val="-2"/>
        </w:rPr>
        <w:t>Report</w:t>
      </w:r>
      <w:r>
        <w:rPr/>
        <w:tab/>
        <w:t>January</w:t>
      </w:r>
      <w:r>
        <w:rPr>
          <w:spacing w:val="-4"/>
        </w:rPr>
        <w:t> 2023</w:t>
      </w:r>
    </w:p>
    <w:p>
      <w:pPr>
        <w:pStyle w:val="BodyText"/>
        <w:spacing w:before="11"/>
        <w:rPr>
          <w:sz w:val="9"/>
        </w:rPr>
      </w:pPr>
      <w:r>
        <w:rPr/>
        <w:pict>
          <v:shape style="position:absolute;margin-left:41.760002pt;margin-top:7.235979pt;width:517.4500pt;height:1.45pt;mso-position-horizontal-relative:page;mso-position-vertical-relative:paragraph;z-index:-15718912;mso-wrap-distance-left:0;mso-wrap-distance-right:0" id="docshape53" coordorigin="835,145" coordsize="10349,29" path="m11183,145l6683,145,6669,145,6654,145,835,145,835,174,6654,174,6669,174,6683,174,11183,174,11183,145xe" filled="true" fillcolor="#000000" stroked="false">
            <v:path arrowok="t"/>
            <v:fill type="solid"/>
            <w10:wrap type="topAndBottom"/>
          </v:shape>
        </w:pict>
      </w:r>
    </w:p>
    <w:p>
      <w:pPr>
        <w:pStyle w:val="BodyText"/>
        <w:rPr>
          <w:sz w:val="20"/>
        </w:rPr>
      </w:pPr>
    </w:p>
    <w:p>
      <w:pPr>
        <w:pStyle w:val="BodyText"/>
        <w:spacing w:before="3"/>
        <w:rPr>
          <w:sz w:val="17"/>
        </w:rPr>
      </w:pPr>
    </w:p>
    <w:p>
      <w:pPr>
        <w:pStyle w:val="ListParagraph"/>
        <w:numPr>
          <w:ilvl w:val="0"/>
          <w:numId w:val="11"/>
        </w:numPr>
        <w:tabs>
          <w:tab w:pos="1048" w:val="left" w:leader="none"/>
          <w:tab w:pos="1049" w:val="left" w:leader="none"/>
        </w:tabs>
        <w:spacing w:line="240" w:lineRule="auto" w:before="101" w:after="0"/>
        <w:ind w:left="1048" w:right="0" w:hanging="580"/>
        <w:jc w:val="left"/>
        <w:rPr>
          <w:b/>
          <w:sz w:val="28"/>
        </w:rPr>
      </w:pPr>
      <w:r>
        <w:rPr>
          <w:b/>
          <w:color w:val="17365D"/>
          <w:sz w:val="28"/>
        </w:rPr>
        <w:t>Planning</w:t>
      </w:r>
      <w:r>
        <w:rPr>
          <w:b/>
          <w:color w:val="17365D"/>
          <w:spacing w:val="-6"/>
          <w:sz w:val="28"/>
        </w:rPr>
        <w:t> </w:t>
      </w:r>
      <w:r>
        <w:rPr>
          <w:b/>
          <w:color w:val="17365D"/>
          <w:sz w:val="28"/>
        </w:rPr>
        <w:t>and</w:t>
      </w:r>
      <w:r>
        <w:rPr>
          <w:b/>
          <w:color w:val="17365D"/>
          <w:spacing w:val="-6"/>
          <w:sz w:val="28"/>
        </w:rPr>
        <w:t> </w:t>
      </w:r>
      <w:r>
        <w:rPr>
          <w:b/>
          <w:color w:val="17365D"/>
          <w:sz w:val="28"/>
        </w:rPr>
        <w:t>Delivery</w:t>
      </w:r>
      <w:r>
        <w:rPr>
          <w:b/>
          <w:color w:val="17365D"/>
          <w:spacing w:val="-4"/>
          <w:sz w:val="28"/>
        </w:rPr>
        <w:t> </w:t>
      </w:r>
      <w:r>
        <w:rPr>
          <w:b/>
          <w:color w:val="17365D"/>
          <w:spacing w:val="-2"/>
          <w:sz w:val="28"/>
        </w:rPr>
        <w:t>Update</w:t>
      </w:r>
    </w:p>
    <w:p>
      <w:pPr>
        <w:pStyle w:val="BodyText"/>
        <w:spacing w:before="238"/>
        <w:ind w:left="1048" w:right="285"/>
        <w:jc w:val="both"/>
      </w:pPr>
      <w:r>
        <w:rPr/>
        <w:t>The work to progress the delivery of the Internal Audit Plan for 2022/23 has been</w:t>
      </w:r>
      <w:r>
        <w:rPr>
          <w:spacing w:val="-12"/>
        </w:rPr>
        <w:t> </w:t>
      </w:r>
      <w:r>
        <w:rPr/>
        <w:t>continuing</w:t>
      </w:r>
      <w:r>
        <w:rPr>
          <w:spacing w:val="-10"/>
        </w:rPr>
        <w:t> </w:t>
      </w:r>
      <w:r>
        <w:rPr/>
        <w:t>broadly</w:t>
      </w:r>
      <w:r>
        <w:rPr>
          <w:spacing w:val="-10"/>
        </w:rPr>
        <w:t> </w:t>
      </w:r>
      <w:r>
        <w:rPr/>
        <w:t>to</w:t>
      </w:r>
      <w:r>
        <w:rPr>
          <w:spacing w:val="-11"/>
        </w:rPr>
        <w:t> </w:t>
      </w:r>
      <w:r>
        <w:rPr/>
        <w:t>plan</w:t>
      </w:r>
      <w:r>
        <w:rPr>
          <w:spacing w:val="-7"/>
        </w:rPr>
        <w:t> </w:t>
      </w:r>
      <w:r>
        <w:rPr/>
        <w:t>at</w:t>
      </w:r>
      <w:r>
        <w:rPr>
          <w:spacing w:val="-10"/>
        </w:rPr>
        <w:t> </w:t>
      </w:r>
      <w:r>
        <w:rPr/>
        <w:t>this</w:t>
      </w:r>
      <w:r>
        <w:rPr>
          <w:spacing w:val="-9"/>
        </w:rPr>
        <w:t> </w:t>
      </w:r>
      <w:r>
        <w:rPr/>
        <w:t>stage</w:t>
      </w:r>
      <w:r>
        <w:rPr>
          <w:spacing w:val="-10"/>
        </w:rPr>
        <w:t> </w:t>
      </w:r>
      <w:r>
        <w:rPr/>
        <w:t>of</w:t>
      </w:r>
      <w:r>
        <w:rPr>
          <w:spacing w:val="-11"/>
        </w:rPr>
        <w:t> </w:t>
      </w:r>
      <w:r>
        <w:rPr/>
        <w:t>the</w:t>
      </w:r>
      <w:r>
        <w:rPr>
          <w:spacing w:val="-10"/>
        </w:rPr>
        <w:t> </w:t>
      </w:r>
      <w:r>
        <w:rPr/>
        <w:t>year.</w:t>
      </w:r>
      <w:r>
        <w:rPr>
          <w:spacing w:val="-11"/>
        </w:rPr>
        <w:t> </w:t>
      </w:r>
      <w:r>
        <w:rPr/>
        <w:t>The</w:t>
      </w:r>
      <w:r>
        <w:rPr>
          <w:spacing w:val="-10"/>
        </w:rPr>
        <w:t> </w:t>
      </w:r>
      <w:r>
        <w:rPr/>
        <w:t>assignment</w:t>
      </w:r>
      <w:r>
        <w:rPr>
          <w:spacing w:val="-12"/>
        </w:rPr>
        <w:t> </w:t>
      </w:r>
      <w:r>
        <w:rPr/>
        <w:t>status schedule at Appendix</w:t>
      </w:r>
      <w:r>
        <w:rPr>
          <w:spacing w:val="-1"/>
        </w:rPr>
        <w:t> </w:t>
      </w:r>
      <w:r>
        <w:rPr/>
        <w:t>A</w:t>
      </w:r>
      <w:r>
        <w:rPr>
          <w:spacing w:val="-2"/>
        </w:rPr>
        <w:t> </w:t>
      </w:r>
      <w:r>
        <w:rPr/>
        <w:t>sets</w:t>
      </w:r>
      <w:r>
        <w:rPr>
          <w:spacing w:val="-1"/>
        </w:rPr>
        <w:t> </w:t>
      </w:r>
      <w:r>
        <w:rPr/>
        <w:t>out</w:t>
      </w:r>
      <w:r>
        <w:rPr>
          <w:spacing w:val="-2"/>
        </w:rPr>
        <w:t> </w:t>
      </w:r>
      <w:r>
        <w:rPr/>
        <w:t>the planned</w:t>
      </w:r>
      <w:r>
        <w:rPr>
          <w:spacing w:val="-1"/>
        </w:rPr>
        <w:t> </w:t>
      </w:r>
      <w:r>
        <w:rPr/>
        <w:t>audit</w:t>
      </w:r>
      <w:r>
        <w:rPr>
          <w:spacing w:val="-2"/>
        </w:rPr>
        <w:t> </w:t>
      </w:r>
      <w:r>
        <w:rPr/>
        <w:t>work for the year along</w:t>
      </w:r>
      <w:r>
        <w:rPr>
          <w:spacing w:val="-1"/>
        </w:rPr>
        <w:t> </w:t>
      </w:r>
      <w:r>
        <w:rPr/>
        <w:t>with current progress. Key Performance Indicators are reported at Appendix B.</w:t>
      </w:r>
    </w:p>
    <w:p>
      <w:pPr>
        <w:pStyle w:val="BodyText"/>
        <w:spacing w:before="122"/>
        <w:ind w:left="1048" w:right="288"/>
        <w:jc w:val="both"/>
      </w:pPr>
      <w:r>
        <w:rPr/>
        <w:t>In addition to the finalised audits in the table above, audit fieldwork is progressing on all remaining audits within the current year plan, including the main transactional systems Payroll, Procurement and Primary Care.</w:t>
      </w:r>
    </w:p>
    <w:p>
      <w:pPr>
        <w:pStyle w:val="BodyText"/>
        <w:spacing w:before="118"/>
        <w:ind w:left="1048" w:right="285"/>
        <w:jc w:val="both"/>
      </w:pPr>
      <w:r>
        <w:rPr/>
        <w:t>Following</w:t>
      </w:r>
      <w:r>
        <w:rPr>
          <w:spacing w:val="-5"/>
        </w:rPr>
        <w:t> </w:t>
      </w:r>
      <w:r>
        <w:rPr/>
        <w:t>discussions</w:t>
      </w:r>
      <w:r>
        <w:rPr>
          <w:spacing w:val="-5"/>
        </w:rPr>
        <w:t> </w:t>
      </w:r>
      <w:r>
        <w:rPr/>
        <w:t>with</w:t>
      </w:r>
      <w:r>
        <w:rPr>
          <w:spacing w:val="-5"/>
        </w:rPr>
        <w:t> </w:t>
      </w:r>
      <w:r>
        <w:rPr/>
        <w:t>management</w:t>
      </w:r>
      <w:r>
        <w:rPr>
          <w:spacing w:val="-1"/>
        </w:rPr>
        <w:t> </w:t>
      </w:r>
      <w:r>
        <w:rPr/>
        <w:t>regarding</w:t>
      </w:r>
      <w:r>
        <w:rPr>
          <w:spacing w:val="-5"/>
        </w:rPr>
        <w:t> </w:t>
      </w:r>
      <w:r>
        <w:rPr/>
        <w:t>the</w:t>
      </w:r>
      <w:r>
        <w:rPr>
          <w:spacing w:val="-4"/>
        </w:rPr>
        <w:t> </w:t>
      </w:r>
      <w:r>
        <w:rPr/>
        <w:t>implementation</w:t>
      </w:r>
      <w:r>
        <w:rPr>
          <w:spacing w:val="-4"/>
        </w:rPr>
        <w:t> </w:t>
      </w:r>
      <w:r>
        <w:rPr/>
        <w:t>of</w:t>
      </w:r>
      <w:r>
        <w:rPr>
          <w:spacing w:val="-5"/>
        </w:rPr>
        <w:t> </w:t>
      </w:r>
      <w:r>
        <w:rPr/>
        <w:t>a</w:t>
      </w:r>
      <w:r>
        <w:rPr>
          <w:spacing w:val="-5"/>
        </w:rPr>
        <w:t> </w:t>
      </w:r>
      <w:r>
        <w:rPr/>
        <w:t>new system</w:t>
      </w:r>
      <w:r>
        <w:rPr>
          <w:spacing w:val="-11"/>
        </w:rPr>
        <w:t> </w:t>
      </w:r>
      <w:r>
        <w:rPr/>
        <w:t>for</w:t>
      </w:r>
      <w:r>
        <w:rPr>
          <w:spacing w:val="-7"/>
        </w:rPr>
        <w:t> </w:t>
      </w:r>
      <w:r>
        <w:rPr/>
        <w:t>Student</w:t>
      </w:r>
      <w:r>
        <w:rPr>
          <w:spacing w:val="-5"/>
        </w:rPr>
        <w:t> </w:t>
      </w:r>
      <w:r>
        <w:rPr/>
        <w:t>Awards</w:t>
      </w:r>
      <w:r>
        <w:rPr>
          <w:spacing w:val="-10"/>
        </w:rPr>
        <w:t> </w:t>
      </w:r>
      <w:r>
        <w:rPr/>
        <w:t>the</w:t>
      </w:r>
      <w:r>
        <w:rPr>
          <w:spacing w:val="-9"/>
        </w:rPr>
        <w:t> </w:t>
      </w:r>
      <w:r>
        <w:rPr/>
        <w:t>main</w:t>
      </w:r>
      <w:r>
        <w:rPr>
          <w:spacing w:val="-9"/>
        </w:rPr>
        <w:t> </w:t>
      </w:r>
      <w:r>
        <w:rPr/>
        <w:t>audit</w:t>
      </w:r>
      <w:r>
        <w:rPr>
          <w:spacing w:val="-9"/>
        </w:rPr>
        <w:t> </w:t>
      </w:r>
      <w:r>
        <w:rPr/>
        <w:t>will</w:t>
      </w:r>
      <w:r>
        <w:rPr>
          <w:spacing w:val="-9"/>
        </w:rPr>
        <w:t> </w:t>
      </w:r>
      <w:r>
        <w:rPr/>
        <w:t>be</w:t>
      </w:r>
      <w:r>
        <w:rPr>
          <w:spacing w:val="-9"/>
        </w:rPr>
        <w:t> </w:t>
      </w:r>
      <w:r>
        <w:rPr/>
        <w:t>undertaken</w:t>
      </w:r>
      <w:r>
        <w:rPr>
          <w:spacing w:val="-11"/>
        </w:rPr>
        <w:t> </w:t>
      </w:r>
      <w:r>
        <w:rPr/>
        <w:t>in</w:t>
      </w:r>
      <w:r>
        <w:rPr>
          <w:spacing w:val="-6"/>
        </w:rPr>
        <w:t> </w:t>
      </w:r>
      <w:r>
        <w:rPr/>
        <w:t>the</w:t>
      </w:r>
      <w:r>
        <w:rPr>
          <w:spacing w:val="-9"/>
        </w:rPr>
        <w:t> </w:t>
      </w:r>
      <w:r>
        <w:rPr/>
        <w:t>23/24</w:t>
      </w:r>
      <w:r>
        <w:rPr>
          <w:spacing w:val="-9"/>
        </w:rPr>
        <w:t> </w:t>
      </w:r>
      <w:r>
        <w:rPr/>
        <w:t>audit year, however a further follow up of recommendations requiring full implementation form the previous audit will be undertaken in Q4 of 22/23.</w:t>
      </w:r>
    </w:p>
    <w:p>
      <w:pPr>
        <w:pStyle w:val="BodyText"/>
        <w:spacing w:before="121"/>
        <w:ind w:left="1048" w:right="287"/>
        <w:jc w:val="both"/>
      </w:pPr>
      <w:r>
        <w:rPr/>
        <w:t>The planning process to develop the Internal audit Plan for 23/24 has commenced. Preliminary discussions have taken place with Management and Audit Committee Chair, with the timeline to take the draft plan to the NWSSP Senior Leadership Group, together with further discussions with the Audit Committee Chair in March and to Audit Committee for formal review and approval in April.</w:t>
      </w:r>
    </w:p>
    <w:p>
      <w:pPr>
        <w:pStyle w:val="ListParagraph"/>
        <w:numPr>
          <w:ilvl w:val="0"/>
          <w:numId w:val="11"/>
        </w:numPr>
        <w:tabs>
          <w:tab w:pos="1048" w:val="left" w:leader="none"/>
          <w:tab w:pos="1049" w:val="left" w:leader="none"/>
        </w:tabs>
        <w:spacing w:line="240" w:lineRule="auto" w:before="242" w:after="0"/>
        <w:ind w:left="1048" w:right="0" w:hanging="580"/>
        <w:jc w:val="left"/>
        <w:rPr>
          <w:b/>
          <w:sz w:val="28"/>
        </w:rPr>
      </w:pPr>
      <w:r>
        <w:rPr>
          <w:b/>
          <w:color w:val="17365D"/>
          <w:sz w:val="28"/>
        </w:rPr>
        <w:t>Other</w:t>
      </w:r>
      <w:r>
        <w:rPr>
          <w:b/>
          <w:color w:val="17365D"/>
          <w:spacing w:val="-7"/>
          <w:sz w:val="28"/>
        </w:rPr>
        <w:t> </w:t>
      </w:r>
      <w:r>
        <w:rPr>
          <w:b/>
          <w:color w:val="17365D"/>
          <w:sz w:val="28"/>
        </w:rPr>
        <w:t>Internal</w:t>
      </w:r>
      <w:r>
        <w:rPr>
          <w:b/>
          <w:color w:val="17365D"/>
          <w:spacing w:val="-8"/>
          <w:sz w:val="28"/>
        </w:rPr>
        <w:t> </w:t>
      </w:r>
      <w:r>
        <w:rPr>
          <w:b/>
          <w:color w:val="17365D"/>
          <w:sz w:val="28"/>
        </w:rPr>
        <w:t>Audit</w:t>
      </w:r>
      <w:r>
        <w:rPr>
          <w:b/>
          <w:color w:val="17365D"/>
          <w:spacing w:val="-5"/>
          <w:sz w:val="28"/>
        </w:rPr>
        <w:t> </w:t>
      </w:r>
      <w:r>
        <w:rPr>
          <w:b/>
          <w:color w:val="17365D"/>
          <w:sz w:val="28"/>
        </w:rPr>
        <w:t>Activity</w:t>
      </w:r>
      <w:r>
        <w:rPr>
          <w:b/>
          <w:color w:val="17365D"/>
          <w:spacing w:val="-8"/>
          <w:sz w:val="28"/>
        </w:rPr>
        <w:t> </w:t>
      </w:r>
      <w:r>
        <w:rPr>
          <w:b/>
          <w:color w:val="17365D"/>
          <w:sz w:val="28"/>
        </w:rPr>
        <w:t>&amp;</w:t>
      </w:r>
      <w:r>
        <w:rPr>
          <w:b/>
          <w:color w:val="17365D"/>
          <w:spacing w:val="-4"/>
          <w:sz w:val="28"/>
        </w:rPr>
        <w:t> </w:t>
      </w:r>
      <w:r>
        <w:rPr>
          <w:b/>
          <w:color w:val="17365D"/>
          <w:spacing w:val="-2"/>
          <w:sz w:val="28"/>
        </w:rPr>
        <w:t>Engagement</w:t>
      </w:r>
    </w:p>
    <w:p>
      <w:pPr>
        <w:pStyle w:val="BodyText"/>
        <w:spacing w:before="238"/>
        <w:ind w:left="1048" w:right="285"/>
        <w:jc w:val="both"/>
      </w:pPr>
      <w:r>
        <w:rPr/>
        <w:t>Ongoing liaison and planning meetings have continued to take place in this period including with Head of Finance &amp; Business Development, Director of Finance and Corporate Services, Local Counter Fraud Specialist and Audit Committee</w:t>
      </w:r>
      <w:r>
        <w:rPr>
          <w:spacing w:val="-22"/>
        </w:rPr>
        <w:t> </w:t>
      </w:r>
      <w:r>
        <w:rPr/>
        <w:t>Chair.</w:t>
      </w:r>
      <w:r>
        <w:rPr>
          <w:spacing w:val="-21"/>
        </w:rPr>
        <w:t> </w:t>
      </w:r>
      <w:r>
        <w:rPr/>
        <w:t>Meetings</w:t>
      </w:r>
      <w:r>
        <w:rPr>
          <w:spacing w:val="-21"/>
        </w:rPr>
        <w:t> </w:t>
      </w:r>
      <w:r>
        <w:rPr/>
        <w:t>with</w:t>
      </w:r>
      <w:r>
        <w:rPr>
          <w:spacing w:val="-21"/>
        </w:rPr>
        <w:t> </w:t>
      </w:r>
      <w:r>
        <w:rPr/>
        <w:t>other</w:t>
      </w:r>
      <w:r>
        <w:rPr>
          <w:spacing w:val="-21"/>
        </w:rPr>
        <w:t> </w:t>
      </w:r>
      <w:r>
        <w:rPr/>
        <w:t>Directors</w:t>
      </w:r>
      <w:r>
        <w:rPr>
          <w:spacing w:val="-21"/>
        </w:rPr>
        <w:t> </w:t>
      </w:r>
      <w:r>
        <w:rPr/>
        <w:t>and</w:t>
      </w:r>
      <w:r>
        <w:rPr>
          <w:spacing w:val="-21"/>
        </w:rPr>
        <w:t> </w:t>
      </w:r>
      <w:r>
        <w:rPr/>
        <w:t>senior</w:t>
      </w:r>
      <w:r>
        <w:rPr>
          <w:spacing w:val="-21"/>
        </w:rPr>
        <w:t> </w:t>
      </w:r>
      <w:r>
        <w:rPr/>
        <w:t>managers</w:t>
      </w:r>
      <w:r>
        <w:rPr>
          <w:spacing w:val="-21"/>
        </w:rPr>
        <w:t> </w:t>
      </w:r>
      <w:r>
        <w:rPr/>
        <w:t>have</w:t>
      </w:r>
      <w:r>
        <w:rPr>
          <w:spacing w:val="-21"/>
        </w:rPr>
        <w:t> </w:t>
      </w:r>
      <w:r>
        <w:rPr/>
        <w:t>taken place as part of the planning and delivery of individual audits.</w:t>
      </w:r>
    </w:p>
    <w:p>
      <w:pPr>
        <w:pStyle w:val="BodyText"/>
        <w:rPr>
          <w:sz w:val="28"/>
        </w:rPr>
      </w:pPr>
    </w:p>
    <w:p>
      <w:pPr>
        <w:pStyle w:val="ListParagraph"/>
        <w:numPr>
          <w:ilvl w:val="0"/>
          <w:numId w:val="11"/>
        </w:numPr>
        <w:tabs>
          <w:tab w:pos="1048" w:val="left" w:leader="none"/>
          <w:tab w:pos="1049" w:val="left" w:leader="none"/>
        </w:tabs>
        <w:spacing w:line="240" w:lineRule="auto" w:before="194" w:after="0"/>
        <w:ind w:left="1048" w:right="0" w:hanging="580"/>
        <w:jc w:val="left"/>
        <w:rPr>
          <w:b/>
          <w:sz w:val="28"/>
        </w:rPr>
      </w:pPr>
      <w:r>
        <w:rPr>
          <w:b/>
          <w:color w:val="17365D"/>
          <w:spacing w:val="-2"/>
          <w:sz w:val="28"/>
        </w:rPr>
        <w:t>Recommendation</w:t>
      </w:r>
    </w:p>
    <w:p>
      <w:pPr>
        <w:pStyle w:val="BodyText"/>
        <w:spacing w:before="237"/>
        <w:ind w:left="1048" w:right="292"/>
        <w:jc w:val="both"/>
      </w:pPr>
      <w:r>
        <w:rPr/>
        <w:t>The Audit Committee is invited to note the progress with the delivery of the Internal Audit Plan.</w:t>
      </w:r>
    </w:p>
    <w:p>
      <w:pPr>
        <w:spacing w:after="0"/>
        <w:jc w:val="both"/>
        <w:sectPr>
          <w:footerReference w:type="default" r:id="rId40"/>
          <w:pgSz w:w="11910" w:h="16840"/>
          <w:pgMar w:footer="1046" w:header="0" w:top="620" w:bottom="1240" w:left="380" w:right="560"/>
          <w:pgNumType w:start="3"/>
        </w:sectPr>
      </w:pPr>
    </w:p>
    <w:p>
      <w:pPr>
        <w:pStyle w:val="BodyText"/>
        <w:tabs>
          <w:tab w:pos="9056" w:val="left" w:leader="none"/>
        </w:tabs>
        <w:spacing w:before="82"/>
        <w:ind w:left="580"/>
      </w:pPr>
      <w:r>
        <w:rPr/>
        <w:t>Audit</w:t>
      </w:r>
      <w:r>
        <w:rPr>
          <w:spacing w:val="-3"/>
        </w:rPr>
        <w:t> </w:t>
      </w:r>
      <w:r>
        <w:rPr/>
        <w:t>Committee</w:t>
      </w:r>
      <w:r>
        <w:rPr>
          <w:spacing w:val="-2"/>
        </w:rPr>
        <w:t> </w:t>
      </w:r>
      <w:r>
        <w:rPr/>
        <w:t>Progress</w:t>
      </w:r>
      <w:r>
        <w:rPr>
          <w:spacing w:val="-3"/>
        </w:rPr>
        <w:t> </w:t>
      </w:r>
      <w:r>
        <w:rPr>
          <w:spacing w:val="-2"/>
        </w:rPr>
        <w:t>Report</w:t>
      </w:r>
      <w:r>
        <w:rPr/>
        <w:tab/>
        <w:t>January</w:t>
      </w:r>
      <w:r>
        <w:rPr>
          <w:spacing w:val="-4"/>
        </w:rPr>
        <w:t> 2023</w:t>
      </w:r>
    </w:p>
    <w:p>
      <w:pPr>
        <w:pStyle w:val="BodyText"/>
        <w:spacing w:before="11"/>
        <w:rPr>
          <w:sz w:val="9"/>
        </w:rPr>
      </w:pPr>
      <w:r>
        <w:rPr/>
        <w:pict>
          <v:shape style="position:absolute;margin-left:41.760002pt;margin-top:7.235979pt;width:517.4500pt;height:1.45pt;mso-position-horizontal-relative:page;mso-position-vertical-relative:paragraph;z-index:-15718400;mso-wrap-distance-left:0;mso-wrap-distance-right:0" id="docshape57" coordorigin="835,145" coordsize="10349,29" path="m11183,145l6683,145,6669,145,6654,145,835,145,835,174,6654,174,6669,174,6683,174,11183,174,11183,145xe" filled="true" fillcolor="#000000" stroked="false">
            <v:path arrowok="t"/>
            <v:fill type="solid"/>
            <w10:wrap type="topAndBottom"/>
          </v:shape>
        </w:pict>
      </w:r>
    </w:p>
    <w:p>
      <w:pPr>
        <w:pStyle w:val="BodyText"/>
        <w:rPr>
          <w:sz w:val="20"/>
        </w:rPr>
      </w:pPr>
    </w:p>
    <w:p>
      <w:pPr>
        <w:pStyle w:val="BodyText"/>
        <w:spacing w:before="3"/>
        <w:rPr>
          <w:sz w:val="17"/>
        </w:rPr>
      </w:pPr>
    </w:p>
    <w:p>
      <w:pPr>
        <w:spacing w:before="99"/>
        <w:ind w:left="328" w:right="0" w:firstLine="0"/>
        <w:jc w:val="left"/>
        <w:rPr>
          <w:sz w:val="32"/>
        </w:rPr>
      </w:pPr>
      <w:r>
        <w:rPr>
          <w:color w:val="17365D"/>
          <w:sz w:val="32"/>
        </w:rPr>
        <w:t>Appendix</w:t>
      </w:r>
      <w:r>
        <w:rPr>
          <w:color w:val="17365D"/>
          <w:spacing w:val="-11"/>
          <w:sz w:val="32"/>
        </w:rPr>
        <w:t> </w:t>
      </w:r>
      <w:r>
        <w:rPr>
          <w:color w:val="17365D"/>
          <w:sz w:val="32"/>
        </w:rPr>
        <w:t>A:</w:t>
      </w:r>
      <w:r>
        <w:rPr>
          <w:color w:val="17365D"/>
          <w:spacing w:val="-9"/>
          <w:sz w:val="32"/>
        </w:rPr>
        <w:t> </w:t>
      </w:r>
      <w:r>
        <w:rPr>
          <w:color w:val="17365D"/>
          <w:sz w:val="32"/>
        </w:rPr>
        <w:t>Assignment</w:t>
      </w:r>
      <w:r>
        <w:rPr>
          <w:color w:val="17365D"/>
          <w:spacing w:val="-11"/>
          <w:sz w:val="32"/>
        </w:rPr>
        <w:t> </w:t>
      </w:r>
      <w:r>
        <w:rPr>
          <w:color w:val="17365D"/>
          <w:sz w:val="32"/>
        </w:rPr>
        <w:t>Status</w:t>
      </w:r>
      <w:r>
        <w:rPr>
          <w:color w:val="17365D"/>
          <w:spacing w:val="-8"/>
          <w:sz w:val="32"/>
        </w:rPr>
        <w:t> </w:t>
      </w:r>
      <w:r>
        <w:rPr>
          <w:color w:val="17365D"/>
          <w:sz w:val="32"/>
        </w:rPr>
        <w:t>-</w:t>
      </w:r>
      <w:r>
        <w:rPr>
          <w:color w:val="17365D"/>
          <w:spacing w:val="-11"/>
          <w:sz w:val="32"/>
        </w:rPr>
        <w:t> </w:t>
      </w:r>
      <w:r>
        <w:rPr>
          <w:color w:val="17365D"/>
          <w:sz w:val="32"/>
        </w:rPr>
        <w:t>2022/23</w:t>
      </w:r>
      <w:r>
        <w:rPr>
          <w:color w:val="17365D"/>
          <w:spacing w:val="-8"/>
          <w:sz w:val="32"/>
        </w:rPr>
        <w:t> </w:t>
      </w:r>
      <w:r>
        <w:rPr>
          <w:color w:val="17365D"/>
          <w:sz w:val="32"/>
        </w:rPr>
        <w:t>Internal</w:t>
      </w:r>
      <w:r>
        <w:rPr>
          <w:color w:val="17365D"/>
          <w:spacing w:val="-10"/>
          <w:sz w:val="32"/>
        </w:rPr>
        <w:t> </w:t>
      </w:r>
      <w:r>
        <w:rPr>
          <w:color w:val="17365D"/>
          <w:sz w:val="32"/>
        </w:rPr>
        <w:t>Audit</w:t>
      </w:r>
      <w:r>
        <w:rPr>
          <w:color w:val="17365D"/>
          <w:spacing w:val="-11"/>
          <w:sz w:val="32"/>
        </w:rPr>
        <w:t> </w:t>
      </w:r>
      <w:r>
        <w:rPr>
          <w:color w:val="17365D"/>
          <w:spacing w:val="-4"/>
          <w:sz w:val="32"/>
        </w:rPr>
        <w:t>Plan</w:t>
      </w:r>
    </w:p>
    <w:p>
      <w:pPr>
        <w:pStyle w:val="BodyText"/>
        <w:rPr>
          <w:sz w:val="20"/>
        </w:rPr>
      </w:pPr>
    </w:p>
    <w:p>
      <w:pPr>
        <w:pStyle w:val="BodyText"/>
        <w:rPr>
          <w:sz w:val="20"/>
        </w:rPr>
      </w:pPr>
    </w:p>
    <w:p>
      <w:pPr>
        <w:spacing w:after="0"/>
        <w:rPr>
          <w:sz w:val="20"/>
        </w:rPr>
        <w:sectPr>
          <w:footerReference w:type="default" r:id="rId41"/>
          <w:pgSz w:w="11910" w:h="16840"/>
          <w:pgMar w:footer="704" w:header="0" w:top="620" w:bottom="900" w:left="380" w:right="560"/>
        </w:sectPr>
      </w:pPr>
    </w:p>
    <w:p>
      <w:pPr>
        <w:pStyle w:val="BodyText"/>
      </w:pPr>
    </w:p>
    <w:p>
      <w:pPr>
        <w:pStyle w:val="BodyText"/>
        <w:spacing w:before="7"/>
        <w:rPr>
          <w:sz w:val="21"/>
        </w:rPr>
      </w:pPr>
    </w:p>
    <w:p>
      <w:pPr>
        <w:spacing w:before="0"/>
        <w:ind w:left="0" w:right="0" w:firstLine="0"/>
        <w:jc w:val="right"/>
        <w:rPr>
          <w:sz w:val="20"/>
        </w:rPr>
      </w:pPr>
      <w:r>
        <w:rPr>
          <w:color w:val="FFFFFF"/>
          <w:spacing w:val="-2"/>
          <w:sz w:val="20"/>
        </w:rPr>
        <w:t>Status</w:t>
      </w:r>
    </w:p>
    <w:p>
      <w:pPr>
        <w:spacing w:line="240" w:lineRule="auto" w:before="6"/>
        <w:rPr>
          <w:sz w:val="35"/>
        </w:rPr>
      </w:pPr>
      <w:r>
        <w:rPr/>
        <w:br w:type="column"/>
      </w:r>
      <w:r>
        <w:rPr>
          <w:sz w:val="35"/>
        </w:rPr>
      </w:r>
    </w:p>
    <w:p>
      <w:pPr>
        <w:spacing w:before="0"/>
        <w:ind w:left="804" w:right="-3" w:hanging="192"/>
        <w:jc w:val="left"/>
        <w:rPr>
          <w:sz w:val="20"/>
        </w:rPr>
      </w:pPr>
      <w:r>
        <w:rPr>
          <w:color w:val="FFFFFF"/>
          <w:spacing w:val="-2"/>
          <w:sz w:val="20"/>
        </w:rPr>
        <w:t>Assurance Rating</w:t>
      </w:r>
    </w:p>
    <w:p>
      <w:pPr>
        <w:tabs>
          <w:tab w:pos="3209" w:val="left" w:leader="none"/>
        </w:tabs>
        <w:spacing w:before="256"/>
        <w:ind w:left="818" w:right="0" w:firstLine="0"/>
        <w:jc w:val="left"/>
        <w:rPr>
          <w:sz w:val="20"/>
        </w:rPr>
      </w:pPr>
      <w:r>
        <w:rPr/>
        <w:br w:type="column"/>
      </w:r>
      <w:r>
        <w:rPr>
          <w:color w:val="FFFFFF"/>
          <w:sz w:val="20"/>
        </w:rPr>
        <w:t>Matters</w:t>
      </w:r>
      <w:r>
        <w:rPr>
          <w:color w:val="FFFFFF"/>
          <w:spacing w:val="-11"/>
          <w:sz w:val="20"/>
        </w:rPr>
        <w:t> </w:t>
      </w:r>
      <w:r>
        <w:rPr>
          <w:color w:val="FFFFFF"/>
          <w:spacing w:val="-2"/>
          <w:sz w:val="20"/>
        </w:rPr>
        <w:t>Arising</w:t>
      </w:r>
      <w:r>
        <w:rPr>
          <w:color w:val="FFFFFF"/>
          <w:sz w:val="20"/>
        </w:rPr>
        <w:tab/>
      </w:r>
      <w:r>
        <w:rPr>
          <w:color w:val="FFFFFF"/>
          <w:spacing w:val="-2"/>
          <w:position w:val="-5"/>
          <w:sz w:val="20"/>
        </w:rPr>
        <w:t>Anticipated</w:t>
      </w:r>
    </w:p>
    <w:p>
      <w:pPr>
        <w:spacing w:after="0"/>
        <w:jc w:val="left"/>
        <w:rPr>
          <w:sz w:val="20"/>
        </w:rPr>
        <w:sectPr>
          <w:type w:val="continuous"/>
          <w:pgSz w:w="11910" w:h="16840"/>
          <w:pgMar w:header="0" w:footer="704" w:top="740" w:bottom="280" w:left="380" w:right="560"/>
          <w:cols w:num="3" w:equalWidth="0">
            <w:col w:w="4479" w:space="40"/>
            <w:col w:w="1639" w:space="39"/>
            <w:col w:w="4773"/>
          </w:cols>
        </w:sectPr>
      </w:pPr>
    </w:p>
    <w:p>
      <w:pPr>
        <w:pStyle w:val="BodyText"/>
        <w:spacing w:before="8"/>
        <w:rPr>
          <w:sz w:val="25"/>
        </w:rPr>
      </w:pPr>
    </w:p>
    <w:p>
      <w:pPr>
        <w:spacing w:after="0"/>
        <w:rPr>
          <w:sz w:val="25"/>
        </w:rPr>
        <w:sectPr>
          <w:type w:val="continuous"/>
          <w:pgSz w:w="11910" w:h="16840"/>
          <w:pgMar w:header="0" w:footer="704" w:top="740" w:bottom="280" w:left="380" w:right="560"/>
        </w:sectPr>
      </w:pPr>
    </w:p>
    <w:p>
      <w:pPr>
        <w:spacing w:before="100"/>
        <w:ind w:left="440" w:right="0" w:firstLine="0"/>
        <w:jc w:val="left"/>
        <w:rPr>
          <w:sz w:val="20"/>
        </w:rPr>
      </w:pPr>
      <w:r>
        <w:rPr/>
        <w:pict>
          <v:group style="position:absolute;margin-left:34.919998pt;margin-top:-57.18626pt;width:525.1pt;height:58.95pt;mso-position-horizontal-relative:page;mso-position-vertical-relative:paragraph;z-index:-24178688" id="docshapegroup58" coordorigin="698,-1144" coordsize="10502,1179">
            <v:shape style="position:absolute;left:717;top:-1144;width:10478;height:1179" id="docshape59" coordorigin="718,-1144" coordsize="10478,1179" path="m3824,-1144l720,-1144,718,-1144,718,-1086,720,-1086,720,35,3824,35,3824,-1086,3824,-1144xm5245,-23l5240,-23,5240,-1086,5240,-1144,3834,-1144,3834,-1086,3834,-23,3829,-23,3829,35,3834,35,5240,35,5245,35,5245,-23xm6801,-1144l5252,-1144,5250,-1144,5250,-1086,5252,-1086,5252,35,6801,35,6801,-1086,6801,-1144xm9499,-618l9494,-618,9494,-1086,9494,-1144,6813,-1144,6810,-1144,6810,-1086,6813,-1086,6813,-618,6805,-618,6805,-561,6813,-561,6813,-558,9494,-558,9494,-561,9499,-561,9499,-618xm11196,-1144l9506,-1144,9504,-1144,9504,-1086,9506,-1086,9506,35,11196,35,11196,-1086,11196,-1144xe" filled="true" fillcolor="#2e5395" stroked="false">
              <v:path arrowok="t"/>
              <v:fill type="solid"/>
            </v:shape>
            <v:rect style="position:absolute;left:3824;top:-494;width:10;height:528" id="docshape60" filled="true" fillcolor="#ffffff" stroked="false">
              <v:fill type="solid"/>
            </v:rect>
            <v:rect style="position:absolute;left:5245;top:-23;width:1561;height:58" id="docshape61" filled="true" fillcolor="#2e5395" stroked="false">
              <v:fill type="solid"/>
            </v:rect>
            <v:shape style="position:absolute;left:5240;top:-494;width:4264;height:528" id="docshape62" coordorigin="5240,-493" coordsize="4264,528" path="m5250,-493l5240,-493,5240,35,5250,35,5250,-493xm6810,-493l6801,-493,6801,35,6810,35,6810,-493xm7518,-493l7509,-493,7509,35,7518,35,7518,-493xm8653,-493l8644,-493,8644,35,8653,35,8653,-493xm9504,-493l9494,-493,9494,35,9504,35,9504,-493xe" filled="true" fillcolor="#ffffff" stroked="false">
              <v:path arrowok="t"/>
              <v:fill type="solid"/>
            </v:shape>
            <v:shape style="position:absolute;left:9503;top:-551;width:1697;height:586" type="#_x0000_t202" id="docshape63" filled="true" fillcolor="#2e5395" stroked="false">
              <v:textbox inset="0,0,0,0">
                <w:txbxContent>
                  <w:p>
                    <w:pPr>
                      <w:spacing w:line="118" w:lineRule="exact" w:before="0"/>
                      <w:ind w:left="241" w:right="247" w:firstLine="0"/>
                      <w:jc w:val="center"/>
                      <w:rPr>
                        <w:color w:val="000000"/>
                        <w:sz w:val="20"/>
                      </w:rPr>
                    </w:pPr>
                    <w:r>
                      <w:rPr>
                        <w:color w:val="FFFFFF"/>
                        <w:spacing w:val="-2"/>
                        <w:sz w:val="20"/>
                      </w:rPr>
                      <w:t>Audit</w:t>
                    </w:r>
                  </w:p>
                  <w:p>
                    <w:pPr>
                      <w:spacing w:line="243" w:lineRule="exact" w:before="0"/>
                      <w:ind w:left="245" w:right="247" w:firstLine="0"/>
                      <w:jc w:val="center"/>
                      <w:rPr>
                        <w:color w:val="000000"/>
                        <w:sz w:val="13"/>
                      </w:rPr>
                    </w:pPr>
                    <w:r>
                      <w:rPr>
                        <w:color w:val="FFFFFF"/>
                        <w:spacing w:val="-2"/>
                        <w:sz w:val="20"/>
                      </w:rPr>
                      <w:t>Committee</w:t>
                    </w:r>
                    <w:r>
                      <w:rPr>
                        <w:color w:val="FFFFFF"/>
                        <w:spacing w:val="-2"/>
                        <w:position w:val="7"/>
                        <w:sz w:val="13"/>
                      </w:rPr>
                      <w:t>1</w:t>
                    </w:r>
                  </w:p>
                </w:txbxContent>
              </v:textbox>
              <v:fill type="solid"/>
              <w10:wrap type="none"/>
            </v:shape>
            <v:shape style="position:absolute;left:8648;top:-551;width:851;height:586" type="#_x0000_t202" id="docshape64" filled="true" fillcolor="#92d050" stroked="false">
              <v:textbox inset="0,0,0,0">
                <w:txbxContent>
                  <w:p>
                    <w:pPr>
                      <w:spacing w:before="171"/>
                      <w:ind w:left="228" w:right="0" w:firstLine="0"/>
                      <w:jc w:val="left"/>
                      <w:rPr>
                        <w:color w:val="000000"/>
                        <w:sz w:val="20"/>
                      </w:rPr>
                    </w:pPr>
                    <w:r>
                      <w:rPr>
                        <w:color w:val="000000"/>
                        <w:spacing w:val="-5"/>
                        <w:sz w:val="20"/>
                      </w:rPr>
                      <w:t>Low</w:t>
                    </w:r>
                  </w:p>
                </w:txbxContent>
              </v:textbox>
              <v:fill type="solid"/>
              <w10:wrap type="none"/>
            </v:shape>
            <v:shape style="position:absolute;left:7513;top:-551;width:1136;height:586" type="#_x0000_t202" id="docshape65" filled="true" fillcolor="#ffff00" stroked="false">
              <v:textbox inset="0,0,0,0">
                <w:txbxContent>
                  <w:p>
                    <w:pPr>
                      <w:spacing w:before="171"/>
                      <w:ind w:left="172" w:right="0" w:firstLine="0"/>
                      <w:jc w:val="left"/>
                      <w:rPr>
                        <w:color w:val="000000"/>
                        <w:sz w:val="20"/>
                      </w:rPr>
                    </w:pPr>
                    <w:r>
                      <w:rPr>
                        <w:color w:val="000000"/>
                        <w:spacing w:val="-2"/>
                        <w:sz w:val="20"/>
                      </w:rPr>
                      <w:t>Medium</w:t>
                    </w:r>
                  </w:p>
                </w:txbxContent>
              </v:textbox>
              <v:fill type="solid"/>
              <w10:wrap type="none"/>
            </v:shape>
            <v:shape style="position:absolute;left:6805;top:-551;width:708;height:586" type="#_x0000_t202" id="docshape66" filled="true" fillcolor="#ff0000" stroked="false">
              <v:textbox inset="0,0,0,0">
                <w:txbxContent>
                  <w:p>
                    <w:pPr>
                      <w:spacing w:before="171"/>
                      <w:ind w:left="124" w:right="0" w:firstLine="0"/>
                      <w:jc w:val="left"/>
                      <w:rPr>
                        <w:color w:val="000000"/>
                        <w:sz w:val="20"/>
                      </w:rPr>
                    </w:pPr>
                    <w:r>
                      <w:rPr>
                        <w:color w:val="FFFFFF"/>
                        <w:spacing w:val="-4"/>
                        <w:sz w:val="20"/>
                      </w:rPr>
                      <w:t>High</w:t>
                    </w:r>
                  </w:p>
                </w:txbxContent>
              </v:textbox>
              <v:fill type="solid"/>
              <w10:wrap type="none"/>
            </v:shape>
            <v:shape style="position:absolute;left:698;top:-551;width:3126;height:586" type="#_x0000_t202" id="docshape67" filled="true" fillcolor="#2e5395" stroked="false">
              <v:textbox inset="0,0,0,0">
                <w:txbxContent>
                  <w:p>
                    <w:pPr>
                      <w:spacing w:line="119" w:lineRule="exact" w:before="0"/>
                      <w:ind w:left="122" w:right="0" w:firstLine="0"/>
                      <w:jc w:val="left"/>
                      <w:rPr>
                        <w:color w:val="000000"/>
                        <w:sz w:val="20"/>
                      </w:rPr>
                    </w:pPr>
                    <w:r>
                      <w:rPr>
                        <w:color w:val="FFFFFF"/>
                        <w:spacing w:val="-2"/>
                        <w:sz w:val="20"/>
                      </w:rPr>
                      <w:t>Review</w:t>
                    </w:r>
                  </w:p>
                </w:txbxContent>
              </v:textbox>
              <v:fill type="solid"/>
              <w10:wrap type="none"/>
            </v:shape>
            <w10:wrap type="none"/>
          </v:group>
        </w:pict>
      </w:r>
      <w:r>
        <w:rPr>
          <w:color w:val="365F91"/>
          <w:sz w:val="20"/>
        </w:rPr>
        <w:t>Primary</w:t>
      </w:r>
      <w:r>
        <w:rPr>
          <w:color w:val="365F91"/>
          <w:spacing w:val="-18"/>
          <w:sz w:val="20"/>
        </w:rPr>
        <w:t> </w:t>
      </w:r>
      <w:r>
        <w:rPr>
          <w:color w:val="365F91"/>
          <w:sz w:val="20"/>
        </w:rPr>
        <w:t>Care</w:t>
      </w:r>
      <w:r>
        <w:rPr>
          <w:color w:val="365F91"/>
          <w:spacing w:val="-18"/>
          <w:sz w:val="20"/>
        </w:rPr>
        <w:t> </w:t>
      </w:r>
      <w:r>
        <w:rPr>
          <w:color w:val="365F91"/>
          <w:sz w:val="20"/>
        </w:rPr>
        <w:t>Contractor </w:t>
      </w:r>
      <w:r>
        <w:rPr>
          <w:color w:val="365F91"/>
          <w:spacing w:val="-2"/>
          <w:sz w:val="20"/>
        </w:rPr>
        <w:t>Payments</w:t>
      </w:r>
    </w:p>
    <w:p>
      <w:pPr>
        <w:spacing w:before="100"/>
        <w:ind w:left="440" w:right="35" w:firstLine="45"/>
        <w:jc w:val="left"/>
        <w:rPr>
          <w:sz w:val="20"/>
        </w:rPr>
      </w:pPr>
      <w:r>
        <w:rPr/>
        <w:br w:type="column"/>
      </w:r>
      <w:r>
        <w:rPr>
          <w:color w:val="365F91"/>
          <w:sz w:val="20"/>
        </w:rPr>
        <w:t>Work in </w:t>
      </w:r>
      <w:r>
        <w:rPr>
          <w:color w:val="365F91"/>
          <w:spacing w:val="-2"/>
          <w:sz w:val="20"/>
        </w:rPr>
        <w:t>Progress</w:t>
      </w:r>
    </w:p>
    <w:p>
      <w:pPr>
        <w:spacing w:line="240" w:lineRule="auto" w:before="3"/>
        <w:rPr>
          <w:sz w:val="18"/>
        </w:rPr>
      </w:pPr>
      <w:r>
        <w:rPr/>
        <w:br w:type="column"/>
      </w:r>
      <w:r>
        <w:rPr>
          <w:sz w:val="18"/>
        </w:rPr>
      </w:r>
    </w:p>
    <w:p>
      <w:pPr>
        <w:spacing w:before="0"/>
        <w:ind w:left="440" w:right="0" w:firstLine="0"/>
        <w:jc w:val="left"/>
        <w:rPr>
          <w:sz w:val="20"/>
        </w:rPr>
      </w:pPr>
      <w:r>
        <w:rPr>
          <w:color w:val="17365D"/>
          <w:sz w:val="20"/>
        </w:rPr>
        <w:t>April</w:t>
      </w:r>
      <w:r>
        <w:rPr>
          <w:color w:val="17365D"/>
          <w:spacing w:val="-5"/>
          <w:sz w:val="20"/>
        </w:rPr>
        <w:t> 23</w:t>
      </w:r>
    </w:p>
    <w:p>
      <w:pPr>
        <w:spacing w:after="0"/>
        <w:jc w:val="left"/>
        <w:rPr>
          <w:sz w:val="20"/>
        </w:rPr>
        <w:sectPr>
          <w:type w:val="continuous"/>
          <w:pgSz w:w="11910" w:h="16840"/>
          <w:pgMar w:header="0" w:footer="704" w:top="740" w:bottom="280" w:left="380" w:right="560"/>
          <w:cols w:num="3" w:equalWidth="0">
            <w:col w:w="2925" w:space="359"/>
            <w:col w:w="1344" w:space="4511"/>
            <w:col w:w="1831"/>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5"/>
        </w:rPr>
      </w:pPr>
    </w:p>
    <w:p>
      <w:pPr>
        <w:spacing w:before="99"/>
        <w:ind w:left="9579" w:right="0" w:firstLine="0"/>
        <w:jc w:val="left"/>
        <w:rPr>
          <w:sz w:val="20"/>
        </w:rPr>
      </w:pPr>
      <w:r>
        <w:rPr/>
        <w:pict>
          <v:shape style="position:absolute;margin-left:31.92pt;margin-top:-66.86628pt;width:531.1pt;height:243.1pt;mso-position-horizontal-relative:page;mso-position-vertical-relative:paragraph;z-index:15742976" type="#_x0000_t202" id="docshape68"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751"/>
                    <w:gridCol w:w="1712"/>
                    <w:gridCol w:w="1708"/>
                    <w:gridCol w:w="753"/>
                    <w:gridCol w:w="959"/>
                    <w:gridCol w:w="987"/>
                    <w:gridCol w:w="1639"/>
                  </w:tblGrid>
                  <w:tr>
                    <w:trPr>
                      <w:trHeight w:val="599" w:hRule="atLeast"/>
                    </w:trPr>
                    <w:tc>
                      <w:tcPr>
                        <w:tcW w:w="2751" w:type="dxa"/>
                        <w:tcBorders>
                          <w:top w:val="dotDash" w:sz="4" w:space="0" w:color="000000"/>
                          <w:bottom w:val="dotDash" w:sz="4" w:space="0" w:color="000000"/>
                        </w:tcBorders>
                      </w:tcPr>
                      <w:p>
                        <w:pPr>
                          <w:pStyle w:val="TableParagraph"/>
                          <w:spacing w:before="178"/>
                          <w:ind w:left="122"/>
                          <w:rPr>
                            <w:sz w:val="20"/>
                          </w:rPr>
                        </w:pPr>
                        <w:r>
                          <w:rPr>
                            <w:color w:val="365F91"/>
                            <w:spacing w:val="-2"/>
                            <w:sz w:val="20"/>
                          </w:rPr>
                          <w:t>Payroll</w:t>
                        </w:r>
                      </w:p>
                    </w:tc>
                    <w:tc>
                      <w:tcPr>
                        <w:tcW w:w="1712" w:type="dxa"/>
                        <w:tcBorders>
                          <w:top w:val="dotDash" w:sz="4" w:space="0" w:color="000000"/>
                          <w:bottom w:val="dotDash" w:sz="4" w:space="0" w:color="000000"/>
                        </w:tcBorders>
                      </w:tcPr>
                      <w:p>
                        <w:pPr>
                          <w:pStyle w:val="TableParagraph"/>
                          <w:spacing w:before="58"/>
                          <w:ind w:left="655" w:right="188" w:firstLine="45"/>
                          <w:rPr>
                            <w:sz w:val="20"/>
                          </w:rPr>
                        </w:pPr>
                        <w:r>
                          <w:rPr>
                            <w:color w:val="365F91"/>
                            <w:sz w:val="20"/>
                          </w:rPr>
                          <w:t>Work in </w:t>
                        </w:r>
                        <w:r>
                          <w:rPr>
                            <w:color w:val="365F91"/>
                            <w:spacing w:val="-2"/>
                            <w:sz w:val="20"/>
                          </w:rPr>
                          <w:t>Progress</w:t>
                        </w:r>
                      </w:p>
                    </w:tc>
                    <w:tc>
                      <w:tcPr>
                        <w:tcW w:w="1708" w:type="dxa"/>
                        <w:tcBorders>
                          <w:top w:val="dotDash" w:sz="4" w:space="0" w:color="000000"/>
                          <w:bottom w:val="dotDash" w:sz="4" w:space="0" w:color="000000"/>
                        </w:tcBorders>
                      </w:tcPr>
                      <w:p>
                        <w:pPr>
                          <w:pStyle w:val="TableParagraph"/>
                          <w:rPr>
                            <w:rFonts w:ascii="Times New Roman"/>
                            <w:sz w:val="20"/>
                          </w:rPr>
                        </w:pPr>
                      </w:p>
                    </w:tc>
                    <w:tc>
                      <w:tcPr>
                        <w:tcW w:w="753" w:type="dxa"/>
                        <w:tcBorders>
                          <w:top w:val="dotDash" w:sz="4" w:space="0" w:color="000000"/>
                          <w:bottom w:val="dotDash" w:sz="4" w:space="0" w:color="000000"/>
                        </w:tcBorders>
                      </w:tcPr>
                      <w:p>
                        <w:pPr>
                          <w:pStyle w:val="TableParagraph"/>
                          <w:rPr>
                            <w:rFonts w:ascii="Times New Roman"/>
                            <w:sz w:val="20"/>
                          </w:rPr>
                        </w:pPr>
                      </w:p>
                    </w:tc>
                    <w:tc>
                      <w:tcPr>
                        <w:tcW w:w="959" w:type="dxa"/>
                        <w:tcBorders>
                          <w:top w:val="dotDash" w:sz="4" w:space="0" w:color="000000"/>
                          <w:bottom w:val="dotDash" w:sz="4" w:space="0" w:color="000000"/>
                        </w:tcBorders>
                      </w:tcPr>
                      <w:p>
                        <w:pPr>
                          <w:pStyle w:val="TableParagraph"/>
                          <w:rPr>
                            <w:rFonts w:ascii="Times New Roman"/>
                            <w:sz w:val="20"/>
                          </w:rPr>
                        </w:pPr>
                      </w:p>
                    </w:tc>
                    <w:tc>
                      <w:tcPr>
                        <w:tcW w:w="987" w:type="dxa"/>
                        <w:tcBorders>
                          <w:top w:val="dotDash" w:sz="4" w:space="0" w:color="000000"/>
                          <w:bottom w:val="dotDash" w:sz="4" w:space="0" w:color="000000"/>
                        </w:tcBorders>
                      </w:tcPr>
                      <w:p>
                        <w:pPr>
                          <w:pStyle w:val="TableParagraph"/>
                          <w:rPr>
                            <w:rFonts w:ascii="Times New Roman"/>
                            <w:sz w:val="20"/>
                          </w:rPr>
                        </w:pPr>
                      </w:p>
                    </w:tc>
                    <w:tc>
                      <w:tcPr>
                        <w:tcW w:w="1639" w:type="dxa"/>
                        <w:tcBorders>
                          <w:top w:val="dotDash" w:sz="4" w:space="0" w:color="000000"/>
                          <w:bottom w:val="dotDash" w:sz="4" w:space="0" w:color="000000"/>
                        </w:tcBorders>
                      </w:tcPr>
                      <w:p>
                        <w:pPr>
                          <w:pStyle w:val="TableParagraph"/>
                          <w:spacing w:before="178"/>
                          <w:ind w:left="378" w:right="453"/>
                          <w:jc w:val="center"/>
                          <w:rPr>
                            <w:sz w:val="20"/>
                          </w:rPr>
                        </w:pPr>
                        <w:r>
                          <w:rPr>
                            <w:color w:val="17365D"/>
                            <w:sz w:val="20"/>
                          </w:rPr>
                          <w:t>April</w:t>
                        </w:r>
                        <w:r>
                          <w:rPr>
                            <w:color w:val="17365D"/>
                            <w:spacing w:val="-5"/>
                            <w:sz w:val="20"/>
                          </w:rPr>
                          <w:t> 23</w:t>
                        </w:r>
                      </w:p>
                    </w:tc>
                  </w:tr>
                  <w:tr>
                    <w:trPr>
                      <w:trHeight w:val="511" w:hRule="atLeast"/>
                    </w:trPr>
                    <w:tc>
                      <w:tcPr>
                        <w:tcW w:w="2751" w:type="dxa"/>
                        <w:tcBorders>
                          <w:top w:val="dotDash" w:sz="4" w:space="0" w:color="000000"/>
                          <w:bottom w:val="dotDash" w:sz="4" w:space="0" w:color="000000"/>
                        </w:tcBorders>
                      </w:tcPr>
                      <w:p>
                        <w:pPr>
                          <w:pStyle w:val="TableParagraph"/>
                          <w:spacing w:before="135"/>
                          <w:ind w:left="122"/>
                          <w:rPr>
                            <w:b/>
                            <w:sz w:val="20"/>
                          </w:rPr>
                        </w:pPr>
                        <w:r>
                          <w:rPr>
                            <w:b/>
                            <w:color w:val="365F91"/>
                            <w:sz w:val="20"/>
                          </w:rPr>
                          <w:t>Accounts</w:t>
                        </w:r>
                        <w:r>
                          <w:rPr>
                            <w:b/>
                            <w:color w:val="365F91"/>
                            <w:spacing w:val="-14"/>
                            <w:sz w:val="20"/>
                          </w:rPr>
                          <w:t> </w:t>
                        </w:r>
                        <w:r>
                          <w:rPr>
                            <w:b/>
                            <w:color w:val="365F91"/>
                            <w:spacing w:val="-2"/>
                            <w:sz w:val="20"/>
                          </w:rPr>
                          <w:t>Payable</w:t>
                        </w:r>
                      </w:p>
                    </w:tc>
                    <w:tc>
                      <w:tcPr>
                        <w:tcW w:w="1712" w:type="dxa"/>
                        <w:tcBorders>
                          <w:top w:val="dotDash" w:sz="4" w:space="0" w:color="000000"/>
                          <w:bottom w:val="dotDash" w:sz="4" w:space="0" w:color="000000"/>
                        </w:tcBorders>
                      </w:tcPr>
                      <w:p>
                        <w:pPr>
                          <w:pStyle w:val="TableParagraph"/>
                          <w:spacing w:before="135"/>
                          <w:ind w:right="279"/>
                          <w:jc w:val="right"/>
                          <w:rPr>
                            <w:b/>
                            <w:sz w:val="20"/>
                          </w:rPr>
                        </w:pPr>
                        <w:r>
                          <w:rPr>
                            <w:b/>
                            <w:color w:val="365F91"/>
                            <w:spacing w:val="-2"/>
                            <w:sz w:val="20"/>
                          </w:rPr>
                          <w:t>FINAL</w:t>
                        </w:r>
                      </w:p>
                    </w:tc>
                    <w:tc>
                      <w:tcPr>
                        <w:tcW w:w="1708" w:type="dxa"/>
                        <w:tcBorders>
                          <w:top w:val="dotDash" w:sz="4" w:space="0" w:color="000000"/>
                          <w:bottom w:val="dotDash" w:sz="4" w:space="0" w:color="000000"/>
                        </w:tcBorders>
                      </w:tcPr>
                      <w:p>
                        <w:pPr>
                          <w:pStyle w:val="TableParagraph"/>
                          <w:spacing w:before="135"/>
                          <w:ind w:left="191"/>
                          <w:rPr>
                            <w:b/>
                            <w:sz w:val="20"/>
                          </w:rPr>
                        </w:pPr>
                        <w:r>
                          <w:rPr>
                            <w:b/>
                            <w:color w:val="17365D"/>
                            <w:spacing w:val="-2"/>
                            <w:sz w:val="20"/>
                          </w:rPr>
                          <w:t>Reasonable</w:t>
                        </w:r>
                      </w:p>
                    </w:tc>
                    <w:tc>
                      <w:tcPr>
                        <w:tcW w:w="753" w:type="dxa"/>
                        <w:tcBorders>
                          <w:top w:val="dotDash" w:sz="4" w:space="0" w:color="000000"/>
                          <w:bottom w:val="dotDash" w:sz="4" w:space="0" w:color="000000"/>
                        </w:tcBorders>
                      </w:tcPr>
                      <w:p>
                        <w:pPr>
                          <w:pStyle w:val="TableParagraph"/>
                          <w:spacing w:before="135"/>
                          <w:ind w:left="240"/>
                          <w:rPr>
                            <w:b/>
                            <w:sz w:val="20"/>
                          </w:rPr>
                        </w:pPr>
                        <w:r>
                          <w:rPr>
                            <w:b/>
                            <w:color w:val="17365D"/>
                            <w:w w:val="99"/>
                            <w:sz w:val="20"/>
                          </w:rPr>
                          <w:t>-</w:t>
                        </w:r>
                      </w:p>
                    </w:tc>
                    <w:tc>
                      <w:tcPr>
                        <w:tcW w:w="959" w:type="dxa"/>
                        <w:tcBorders>
                          <w:top w:val="dotDash" w:sz="4" w:space="0" w:color="000000"/>
                          <w:bottom w:val="dotDash" w:sz="4" w:space="0" w:color="000000"/>
                        </w:tcBorders>
                      </w:tcPr>
                      <w:p>
                        <w:pPr>
                          <w:pStyle w:val="TableParagraph"/>
                          <w:spacing w:before="135"/>
                          <w:ind w:right="44"/>
                          <w:jc w:val="center"/>
                          <w:rPr>
                            <w:b/>
                            <w:sz w:val="20"/>
                          </w:rPr>
                        </w:pPr>
                        <w:r>
                          <w:rPr>
                            <w:b/>
                            <w:color w:val="17365D"/>
                            <w:w w:val="99"/>
                            <w:sz w:val="20"/>
                          </w:rPr>
                          <w:t>3</w:t>
                        </w:r>
                      </w:p>
                    </w:tc>
                    <w:tc>
                      <w:tcPr>
                        <w:tcW w:w="987" w:type="dxa"/>
                        <w:tcBorders>
                          <w:top w:val="dotDash" w:sz="4" w:space="0" w:color="000000"/>
                          <w:bottom w:val="dotDash" w:sz="4" w:space="0" w:color="000000"/>
                        </w:tcBorders>
                      </w:tcPr>
                      <w:p>
                        <w:pPr>
                          <w:pStyle w:val="TableParagraph"/>
                          <w:spacing w:before="135"/>
                          <w:jc w:val="center"/>
                          <w:rPr>
                            <w:b/>
                            <w:sz w:val="20"/>
                          </w:rPr>
                        </w:pPr>
                        <w:r>
                          <w:rPr>
                            <w:b/>
                            <w:color w:val="17365D"/>
                            <w:w w:val="99"/>
                            <w:sz w:val="20"/>
                          </w:rPr>
                          <w:t>1</w:t>
                        </w:r>
                      </w:p>
                    </w:tc>
                    <w:tc>
                      <w:tcPr>
                        <w:tcW w:w="1639" w:type="dxa"/>
                        <w:tcBorders>
                          <w:top w:val="dotDash" w:sz="4" w:space="0" w:color="000000"/>
                          <w:bottom w:val="dotDash" w:sz="4" w:space="0" w:color="000000"/>
                        </w:tcBorders>
                      </w:tcPr>
                      <w:p>
                        <w:pPr>
                          <w:pStyle w:val="TableParagraph"/>
                          <w:spacing w:before="135"/>
                          <w:ind w:left="374" w:right="453"/>
                          <w:jc w:val="center"/>
                          <w:rPr>
                            <w:b/>
                            <w:sz w:val="20"/>
                          </w:rPr>
                        </w:pPr>
                        <w:r>
                          <w:rPr>
                            <w:b/>
                            <w:color w:val="17365D"/>
                            <w:sz w:val="20"/>
                          </w:rPr>
                          <w:t>Jan</w:t>
                        </w:r>
                        <w:r>
                          <w:rPr>
                            <w:b/>
                            <w:color w:val="17365D"/>
                            <w:spacing w:val="-7"/>
                            <w:sz w:val="20"/>
                          </w:rPr>
                          <w:t> </w:t>
                        </w:r>
                        <w:r>
                          <w:rPr>
                            <w:b/>
                            <w:color w:val="17365D"/>
                            <w:spacing w:val="-5"/>
                            <w:sz w:val="20"/>
                          </w:rPr>
                          <w:t>23</w:t>
                        </w:r>
                      </w:p>
                    </w:tc>
                  </w:tr>
                  <w:tr>
                    <w:trPr>
                      <w:trHeight w:val="423" w:hRule="atLeast"/>
                    </w:trPr>
                    <w:tc>
                      <w:tcPr>
                        <w:tcW w:w="2751" w:type="dxa"/>
                        <w:tcBorders>
                          <w:top w:val="dotDash" w:sz="4" w:space="0" w:color="000000"/>
                        </w:tcBorders>
                      </w:tcPr>
                      <w:p>
                        <w:pPr>
                          <w:pStyle w:val="TableParagraph"/>
                          <w:spacing w:before="58"/>
                          <w:ind w:left="122"/>
                          <w:rPr>
                            <w:sz w:val="20"/>
                          </w:rPr>
                        </w:pPr>
                        <w:r>
                          <w:rPr>
                            <w:color w:val="365F91"/>
                            <w:sz w:val="20"/>
                          </w:rPr>
                          <w:t>Procurement</w:t>
                        </w:r>
                        <w:r>
                          <w:rPr>
                            <w:color w:val="365F91"/>
                            <w:spacing w:val="-7"/>
                            <w:sz w:val="20"/>
                          </w:rPr>
                          <w:t> </w:t>
                        </w:r>
                        <w:r>
                          <w:rPr>
                            <w:color w:val="365F91"/>
                            <w:sz w:val="20"/>
                          </w:rPr>
                          <w:t>–</w:t>
                        </w:r>
                        <w:r>
                          <w:rPr>
                            <w:color w:val="365F91"/>
                            <w:spacing w:val="-7"/>
                            <w:sz w:val="20"/>
                          </w:rPr>
                          <w:t> </w:t>
                        </w:r>
                        <w:r>
                          <w:rPr>
                            <w:color w:val="365F91"/>
                            <w:spacing w:val="-2"/>
                            <w:sz w:val="20"/>
                          </w:rPr>
                          <w:t>National</w:t>
                        </w:r>
                      </w:p>
                    </w:tc>
                    <w:tc>
                      <w:tcPr>
                        <w:tcW w:w="1712" w:type="dxa"/>
                        <w:tcBorders>
                          <w:top w:val="dotDash" w:sz="4" w:space="0" w:color="000000"/>
                        </w:tcBorders>
                      </w:tcPr>
                      <w:p>
                        <w:pPr>
                          <w:pStyle w:val="TableParagraph"/>
                          <w:spacing w:line="223" w:lineRule="exact" w:before="180"/>
                          <w:ind w:right="237"/>
                          <w:jc w:val="right"/>
                          <w:rPr>
                            <w:sz w:val="20"/>
                          </w:rPr>
                        </w:pPr>
                        <w:r>
                          <w:rPr>
                            <w:color w:val="365F91"/>
                            <w:sz w:val="20"/>
                          </w:rPr>
                          <w:t>Work</w:t>
                        </w:r>
                        <w:r>
                          <w:rPr>
                            <w:color w:val="365F91"/>
                            <w:spacing w:val="-7"/>
                            <w:sz w:val="20"/>
                          </w:rPr>
                          <w:t> </w:t>
                        </w:r>
                        <w:r>
                          <w:rPr>
                            <w:color w:val="365F91"/>
                            <w:spacing w:val="-5"/>
                            <w:sz w:val="20"/>
                          </w:rPr>
                          <w:t>in</w:t>
                        </w:r>
                      </w:p>
                    </w:tc>
                    <w:tc>
                      <w:tcPr>
                        <w:tcW w:w="1708" w:type="dxa"/>
                        <w:tcBorders>
                          <w:top w:val="dotDash" w:sz="4" w:space="0" w:color="000000"/>
                        </w:tcBorders>
                      </w:tcPr>
                      <w:p>
                        <w:pPr>
                          <w:pStyle w:val="TableParagraph"/>
                          <w:rPr>
                            <w:rFonts w:ascii="Times New Roman"/>
                            <w:sz w:val="20"/>
                          </w:rPr>
                        </w:pPr>
                      </w:p>
                    </w:tc>
                    <w:tc>
                      <w:tcPr>
                        <w:tcW w:w="753" w:type="dxa"/>
                        <w:tcBorders>
                          <w:top w:val="dotDash" w:sz="4" w:space="0" w:color="000000"/>
                        </w:tcBorders>
                      </w:tcPr>
                      <w:p>
                        <w:pPr>
                          <w:pStyle w:val="TableParagraph"/>
                          <w:rPr>
                            <w:rFonts w:ascii="Times New Roman"/>
                            <w:sz w:val="20"/>
                          </w:rPr>
                        </w:pPr>
                      </w:p>
                    </w:tc>
                    <w:tc>
                      <w:tcPr>
                        <w:tcW w:w="959" w:type="dxa"/>
                        <w:tcBorders>
                          <w:top w:val="dotDash" w:sz="4" w:space="0" w:color="000000"/>
                        </w:tcBorders>
                      </w:tcPr>
                      <w:p>
                        <w:pPr>
                          <w:pStyle w:val="TableParagraph"/>
                          <w:rPr>
                            <w:rFonts w:ascii="Times New Roman"/>
                            <w:sz w:val="20"/>
                          </w:rPr>
                        </w:pPr>
                      </w:p>
                    </w:tc>
                    <w:tc>
                      <w:tcPr>
                        <w:tcW w:w="987" w:type="dxa"/>
                        <w:tcBorders>
                          <w:top w:val="dotDash" w:sz="4" w:space="0" w:color="000000"/>
                        </w:tcBorders>
                      </w:tcPr>
                      <w:p>
                        <w:pPr>
                          <w:pStyle w:val="TableParagraph"/>
                          <w:rPr>
                            <w:rFonts w:ascii="Times New Roman"/>
                            <w:sz w:val="20"/>
                          </w:rPr>
                        </w:pPr>
                      </w:p>
                    </w:tc>
                    <w:tc>
                      <w:tcPr>
                        <w:tcW w:w="1639" w:type="dxa"/>
                        <w:tcBorders>
                          <w:top w:val="dotDash" w:sz="4" w:space="0" w:color="000000"/>
                        </w:tcBorders>
                      </w:tcPr>
                      <w:p>
                        <w:pPr>
                          <w:pStyle w:val="TableParagraph"/>
                          <w:rPr>
                            <w:rFonts w:ascii="Times New Roman"/>
                            <w:sz w:val="20"/>
                          </w:rPr>
                        </w:pPr>
                      </w:p>
                    </w:tc>
                  </w:tr>
                  <w:tr>
                    <w:trPr>
                      <w:trHeight w:val="421" w:hRule="atLeast"/>
                    </w:trPr>
                    <w:tc>
                      <w:tcPr>
                        <w:tcW w:w="4463" w:type="dxa"/>
                        <w:gridSpan w:val="2"/>
                        <w:tcBorders>
                          <w:bottom w:val="dotDash" w:sz="4" w:space="0" w:color="000000"/>
                        </w:tcBorders>
                      </w:tcPr>
                      <w:p>
                        <w:pPr>
                          <w:pStyle w:val="TableParagraph"/>
                          <w:tabs>
                            <w:tab w:pos="3406" w:val="left" w:leader="none"/>
                          </w:tabs>
                          <w:spacing w:line="91" w:lineRule="auto"/>
                          <w:ind w:left="122"/>
                          <w:rPr>
                            <w:sz w:val="20"/>
                          </w:rPr>
                        </w:pPr>
                        <w:r>
                          <w:rPr>
                            <w:color w:val="365F91"/>
                            <w:sz w:val="20"/>
                          </w:rPr>
                          <w:t>Sourcing</w:t>
                        </w:r>
                        <w:r>
                          <w:rPr>
                            <w:color w:val="365F91"/>
                            <w:spacing w:val="-6"/>
                            <w:sz w:val="20"/>
                          </w:rPr>
                          <w:t> </w:t>
                        </w:r>
                        <w:r>
                          <w:rPr>
                            <w:color w:val="365F91"/>
                            <w:sz w:val="20"/>
                          </w:rPr>
                          <w:t>–</w:t>
                        </w:r>
                        <w:r>
                          <w:rPr>
                            <w:color w:val="365F91"/>
                            <w:spacing w:val="-7"/>
                            <w:sz w:val="20"/>
                          </w:rPr>
                          <w:t> </w:t>
                        </w:r>
                        <w:r>
                          <w:rPr>
                            <w:color w:val="365F91"/>
                            <w:spacing w:val="-2"/>
                            <w:sz w:val="20"/>
                          </w:rPr>
                          <w:t>Integrated</w:t>
                        </w:r>
                        <w:r>
                          <w:rPr>
                            <w:color w:val="365F91"/>
                            <w:sz w:val="20"/>
                          </w:rPr>
                          <w:tab/>
                        </w:r>
                        <w:r>
                          <w:rPr>
                            <w:color w:val="365F91"/>
                            <w:spacing w:val="-2"/>
                            <w:position w:val="-11"/>
                            <w:sz w:val="20"/>
                          </w:rPr>
                          <w:t>Progress</w:t>
                        </w:r>
                      </w:p>
                    </w:tc>
                    <w:tc>
                      <w:tcPr>
                        <w:tcW w:w="1708" w:type="dxa"/>
                        <w:tcBorders>
                          <w:bottom w:val="dotDash" w:sz="4" w:space="0" w:color="000000"/>
                        </w:tcBorders>
                      </w:tcPr>
                      <w:p>
                        <w:pPr>
                          <w:pStyle w:val="TableParagraph"/>
                          <w:rPr>
                            <w:rFonts w:ascii="Times New Roman"/>
                            <w:sz w:val="20"/>
                          </w:rPr>
                        </w:pPr>
                      </w:p>
                    </w:tc>
                    <w:tc>
                      <w:tcPr>
                        <w:tcW w:w="753" w:type="dxa"/>
                        <w:tcBorders>
                          <w:bottom w:val="dotDash" w:sz="4" w:space="0" w:color="000000"/>
                        </w:tcBorders>
                      </w:tcPr>
                      <w:p>
                        <w:pPr>
                          <w:pStyle w:val="TableParagraph"/>
                          <w:rPr>
                            <w:rFonts w:ascii="Times New Roman"/>
                            <w:sz w:val="20"/>
                          </w:rPr>
                        </w:pPr>
                      </w:p>
                    </w:tc>
                    <w:tc>
                      <w:tcPr>
                        <w:tcW w:w="959" w:type="dxa"/>
                        <w:tcBorders>
                          <w:bottom w:val="dotDash" w:sz="4" w:space="0" w:color="000000"/>
                        </w:tcBorders>
                      </w:tcPr>
                      <w:p>
                        <w:pPr>
                          <w:pStyle w:val="TableParagraph"/>
                          <w:rPr>
                            <w:rFonts w:ascii="Times New Roman"/>
                            <w:sz w:val="20"/>
                          </w:rPr>
                        </w:pPr>
                      </w:p>
                    </w:tc>
                    <w:tc>
                      <w:tcPr>
                        <w:tcW w:w="987" w:type="dxa"/>
                        <w:tcBorders>
                          <w:bottom w:val="dotDash" w:sz="4" w:space="0" w:color="000000"/>
                        </w:tcBorders>
                      </w:tcPr>
                      <w:p>
                        <w:pPr>
                          <w:pStyle w:val="TableParagraph"/>
                          <w:rPr>
                            <w:rFonts w:ascii="Times New Roman"/>
                            <w:sz w:val="20"/>
                          </w:rPr>
                        </w:pPr>
                      </w:p>
                    </w:tc>
                    <w:tc>
                      <w:tcPr>
                        <w:tcW w:w="1639" w:type="dxa"/>
                        <w:tcBorders>
                          <w:bottom w:val="dotDash" w:sz="4" w:space="0" w:color="000000"/>
                        </w:tcBorders>
                      </w:tcPr>
                      <w:p>
                        <w:pPr>
                          <w:pStyle w:val="TableParagraph"/>
                          <w:rPr>
                            <w:rFonts w:ascii="Times New Roman"/>
                            <w:sz w:val="20"/>
                          </w:rPr>
                        </w:pPr>
                      </w:p>
                    </w:tc>
                  </w:tr>
                  <w:tr>
                    <w:trPr>
                      <w:trHeight w:val="510" w:hRule="atLeast"/>
                    </w:trPr>
                    <w:tc>
                      <w:tcPr>
                        <w:tcW w:w="4463" w:type="dxa"/>
                        <w:gridSpan w:val="2"/>
                        <w:tcBorders>
                          <w:top w:val="dotDash" w:sz="4" w:space="0" w:color="000000"/>
                          <w:bottom w:val="dotDash" w:sz="4" w:space="0" w:color="000000"/>
                        </w:tcBorders>
                      </w:tcPr>
                      <w:p>
                        <w:pPr>
                          <w:pStyle w:val="TableParagraph"/>
                          <w:tabs>
                            <w:tab w:pos="3538" w:val="left" w:leader="none"/>
                          </w:tabs>
                          <w:spacing w:before="134"/>
                          <w:ind w:left="122"/>
                          <w:rPr>
                            <w:sz w:val="20"/>
                          </w:rPr>
                        </w:pPr>
                        <w:r>
                          <w:rPr>
                            <w:color w:val="365F91"/>
                            <w:sz w:val="20"/>
                          </w:rPr>
                          <w:t>Health</w:t>
                        </w:r>
                        <w:r>
                          <w:rPr>
                            <w:color w:val="365F91"/>
                            <w:spacing w:val="-9"/>
                            <w:sz w:val="20"/>
                          </w:rPr>
                          <w:t> </w:t>
                        </w:r>
                        <w:r>
                          <w:rPr>
                            <w:color w:val="365F91"/>
                            <w:sz w:val="20"/>
                          </w:rPr>
                          <w:t>Courier</w:t>
                        </w:r>
                        <w:r>
                          <w:rPr>
                            <w:color w:val="365F91"/>
                            <w:spacing w:val="-7"/>
                            <w:sz w:val="20"/>
                          </w:rPr>
                          <w:t> </w:t>
                        </w:r>
                        <w:r>
                          <w:rPr>
                            <w:color w:val="365F91"/>
                            <w:spacing w:val="-2"/>
                            <w:sz w:val="20"/>
                          </w:rPr>
                          <w:t>Service</w:t>
                        </w:r>
                        <w:r>
                          <w:rPr>
                            <w:color w:val="365F91"/>
                            <w:sz w:val="20"/>
                          </w:rPr>
                          <w:tab/>
                        </w:r>
                        <w:r>
                          <w:rPr>
                            <w:color w:val="365F91"/>
                            <w:spacing w:val="-2"/>
                            <w:sz w:val="20"/>
                          </w:rPr>
                          <w:t>FINAL</w:t>
                        </w:r>
                      </w:p>
                    </w:tc>
                    <w:tc>
                      <w:tcPr>
                        <w:tcW w:w="1708" w:type="dxa"/>
                        <w:tcBorders>
                          <w:top w:val="dotDash" w:sz="4" w:space="0" w:color="000000"/>
                          <w:bottom w:val="dotDash" w:sz="4" w:space="0" w:color="000000"/>
                        </w:tcBorders>
                      </w:tcPr>
                      <w:p>
                        <w:pPr>
                          <w:pStyle w:val="TableParagraph"/>
                          <w:spacing w:before="134"/>
                          <w:ind w:left="191"/>
                          <w:rPr>
                            <w:sz w:val="20"/>
                          </w:rPr>
                        </w:pPr>
                        <w:r>
                          <w:rPr>
                            <w:color w:val="365F91"/>
                            <w:spacing w:val="-2"/>
                            <w:sz w:val="20"/>
                          </w:rPr>
                          <w:t>Reasonable</w:t>
                        </w:r>
                      </w:p>
                    </w:tc>
                    <w:tc>
                      <w:tcPr>
                        <w:tcW w:w="753" w:type="dxa"/>
                        <w:tcBorders>
                          <w:top w:val="dotDash" w:sz="4" w:space="0" w:color="000000"/>
                          <w:bottom w:val="dotDash" w:sz="4" w:space="0" w:color="000000"/>
                        </w:tcBorders>
                      </w:tcPr>
                      <w:p>
                        <w:pPr>
                          <w:pStyle w:val="TableParagraph"/>
                          <w:spacing w:before="134"/>
                          <w:ind w:left="226"/>
                          <w:rPr>
                            <w:sz w:val="20"/>
                          </w:rPr>
                        </w:pPr>
                        <w:r>
                          <w:rPr>
                            <w:color w:val="365F91"/>
                            <w:w w:val="99"/>
                            <w:sz w:val="20"/>
                          </w:rPr>
                          <w:t>1</w:t>
                        </w:r>
                      </w:p>
                    </w:tc>
                    <w:tc>
                      <w:tcPr>
                        <w:tcW w:w="959" w:type="dxa"/>
                        <w:tcBorders>
                          <w:top w:val="dotDash" w:sz="4" w:space="0" w:color="000000"/>
                          <w:bottom w:val="dotDash" w:sz="4" w:space="0" w:color="000000"/>
                        </w:tcBorders>
                      </w:tcPr>
                      <w:p>
                        <w:pPr>
                          <w:pStyle w:val="TableParagraph"/>
                          <w:spacing w:before="134"/>
                          <w:ind w:right="45"/>
                          <w:jc w:val="center"/>
                          <w:rPr>
                            <w:sz w:val="20"/>
                          </w:rPr>
                        </w:pPr>
                        <w:r>
                          <w:rPr>
                            <w:color w:val="365F91"/>
                            <w:w w:val="99"/>
                            <w:sz w:val="20"/>
                          </w:rPr>
                          <w:t>1</w:t>
                        </w:r>
                      </w:p>
                    </w:tc>
                    <w:tc>
                      <w:tcPr>
                        <w:tcW w:w="987" w:type="dxa"/>
                        <w:tcBorders>
                          <w:top w:val="dotDash" w:sz="4" w:space="0" w:color="000000"/>
                          <w:bottom w:val="dotDash" w:sz="4" w:space="0" w:color="000000"/>
                        </w:tcBorders>
                      </w:tcPr>
                      <w:p>
                        <w:pPr>
                          <w:pStyle w:val="TableParagraph"/>
                          <w:spacing w:before="134"/>
                          <w:jc w:val="center"/>
                          <w:rPr>
                            <w:sz w:val="20"/>
                          </w:rPr>
                        </w:pPr>
                        <w:r>
                          <w:rPr>
                            <w:color w:val="365F91"/>
                            <w:w w:val="99"/>
                            <w:sz w:val="20"/>
                          </w:rPr>
                          <w:t>-</w:t>
                        </w:r>
                      </w:p>
                    </w:tc>
                    <w:tc>
                      <w:tcPr>
                        <w:tcW w:w="1639" w:type="dxa"/>
                        <w:tcBorders>
                          <w:top w:val="dotDash" w:sz="4" w:space="0" w:color="000000"/>
                          <w:bottom w:val="dotDash" w:sz="4" w:space="0" w:color="000000"/>
                        </w:tcBorders>
                      </w:tcPr>
                      <w:p>
                        <w:pPr>
                          <w:pStyle w:val="TableParagraph"/>
                          <w:spacing w:before="134"/>
                          <w:ind w:left="376" w:right="453"/>
                          <w:jc w:val="center"/>
                          <w:rPr>
                            <w:sz w:val="20"/>
                          </w:rPr>
                        </w:pPr>
                        <w:r>
                          <w:rPr>
                            <w:color w:val="365F91"/>
                            <w:sz w:val="20"/>
                          </w:rPr>
                          <w:t>Oct</w:t>
                        </w:r>
                        <w:r>
                          <w:rPr>
                            <w:color w:val="365F91"/>
                            <w:spacing w:val="-6"/>
                            <w:sz w:val="20"/>
                          </w:rPr>
                          <w:t> </w:t>
                        </w:r>
                        <w:r>
                          <w:rPr>
                            <w:color w:val="365F91"/>
                            <w:spacing w:val="-5"/>
                            <w:sz w:val="20"/>
                          </w:rPr>
                          <w:t>22</w:t>
                        </w:r>
                      </w:p>
                    </w:tc>
                  </w:tr>
                  <w:tr>
                    <w:trPr>
                      <w:trHeight w:val="599" w:hRule="atLeast"/>
                    </w:trPr>
                    <w:tc>
                      <w:tcPr>
                        <w:tcW w:w="4463" w:type="dxa"/>
                        <w:gridSpan w:val="2"/>
                        <w:tcBorders>
                          <w:top w:val="dotDash" w:sz="4" w:space="0" w:color="000000"/>
                          <w:bottom w:val="dotDash" w:sz="4" w:space="0" w:color="000000"/>
                        </w:tcBorders>
                      </w:tcPr>
                      <w:p>
                        <w:pPr>
                          <w:pStyle w:val="TableParagraph"/>
                          <w:tabs>
                            <w:tab w:pos="3538" w:val="left" w:leader="none"/>
                          </w:tabs>
                          <w:spacing w:before="58"/>
                          <w:ind w:left="122"/>
                          <w:rPr>
                            <w:sz w:val="20"/>
                          </w:rPr>
                        </w:pPr>
                        <w:r>
                          <w:rPr>
                            <w:color w:val="365F91"/>
                            <w:sz w:val="20"/>
                          </w:rPr>
                          <w:t>Surgical</w:t>
                        </w:r>
                        <w:r>
                          <w:rPr>
                            <w:color w:val="365F91"/>
                            <w:spacing w:val="-10"/>
                            <w:sz w:val="20"/>
                          </w:rPr>
                          <w:t> </w:t>
                        </w:r>
                        <w:r>
                          <w:rPr>
                            <w:color w:val="365F91"/>
                            <w:sz w:val="20"/>
                          </w:rPr>
                          <w:t>Materials</w:t>
                        </w:r>
                        <w:r>
                          <w:rPr>
                            <w:color w:val="365F91"/>
                            <w:spacing w:val="-8"/>
                            <w:sz w:val="20"/>
                          </w:rPr>
                          <w:t> </w:t>
                        </w:r>
                        <w:r>
                          <w:rPr>
                            <w:color w:val="365F91"/>
                            <w:spacing w:val="-2"/>
                            <w:sz w:val="20"/>
                          </w:rPr>
                          <w:t>Testing</w:t>
                        </w:r>
                        <w:r>
                          <w:rPr>
                            <w:color w:val="365F91"/>
                            <w:sz w:val="20"/>
                          </w:rPr>
                          <w:tab/>
                        </w:r>
                        <w:r>
                          <w:rPr>
                            <w:color w:val="365F91"/>
                            <w:spacing w:val="-2"/>
                            <w:position w:val="-11"/>
                            <w:sz w:val="20"/>
                          </w:rPr>
                          <w:t>FINAL</w:t>
                        </w:r>
                      </w:p>
                    </w:tc>
                    <w:tc>
                      <w:tcPr>
                        <w:tcW w:w="1708" w:type="dxa"/>
                        <w:tcBorders>
                          <w:top w:val="dotDash" w:sz="4" w:space="0" w:color="000000"/>
                          <w:bottom w:val="dotDash" w:sz="4" w:space="0" w:color="000000"/>
                        </w:tcBorders>
                      </w:tcPr>
                      <w:p>
                        <w:pPr>
                          <w:pStyle w:val="TableParagraph"/>
                          <w:spacing w:before="178"/>
                          <w:ind w:left="191"/>
                          <w:rPr>
                            <w:sz w:val="20"/>
                          </w:rPr>
                        </w:pPr>
                        <w:r>
                          <w:rPr>
                            <w:color w:val="365F91"/>
                            <w:spacing w:val="-2"/>
                            <w:sz w:val="20"/>
                          </w:rPr>
                          <w:t>Substantial</w:t>
                        </w:r>
                      </w:p>
                    </w:tc>
                    <w:tc>
                      <w:tcPr>
                        <w:tcW w:w="753" w:type="dxa"/>
                        <w:tcBorders>
                          <w:top w:val="dotDash" w:sz="4" w:space="0" w:color="000000"/>
                          <w:bottom w:val="dotDash" w:sz="4" w:space="0" w:color="000000"/>
                        </w:tcBorders>
                      </w:tcPr>
                      <w:p>
                        <w:pPr>
                          <w:pStyle w:val="TableParagraph"/>
                          <w:spacing w:before="188"/>
                          <w:ind w:left="247"/>
                          <w:rPr>
                            <w:sz w:val="18"/>
                          </w:rPr>
                        </w:pPr>
                        <w:r>
                          <w:rPr>
                            <w:color w:val="365F91"/>
                            <w:sz w:val="18"/>
                          </w:rPr>
                          <w:t>-</w:t>
                        </w:r>
                      </w:p>
                    </w:tc>
                    <w:tc>
                      <w:tcPr>
                        <w:tcW w:w="959" w:type="dxa"/>
                        <w:tcBorders>
                          <w:top w:val="dotDash" w:sz="4" w:space="0" w:color="000000"/>
                          <w:bottom w:val="dotDash" w:sz="4" w:space="0" w:color="000000"/>
                        </w:tcBorders>
                      </w:tcPr>
                      <w:p>
                        <w:pPr>
                          <w:pStyle w:val="TableParagraph"/>
                          <w:spacing w:before="178"/>
                          <w:ind w:right="42"/>
                          <w:jc w:val="center"/>
                          <w:rPr>
                            <w:sz w:val="20"/>
                          </w:rPr>
                        </w:pPr>
                        <w:r>
                          <w:rPr>
                            <w:color w:val="365F91"/>
                            <w:w w:val="99"/>
                            <w:sz w:val="20"/>
                          </w:rPr>
                          <w:t>-</w:t>
                        </w:r>
                      </w:p>
                    </w:tc>
                    <w:tc>
                      <w:tcPr>
                        <w:tcW w:w="987" w:type="dxa"/>
                        <w:tcBorders>
                          <w:top w:val="dotDash" w:sz="4" w:space="0" w:color="000000"/>
                          <w:bottom w:val="dotDash" w:sz="4" w:space="0" w:color="000000"/>
                        </w:tcBorders>
                      </w:tcPr>
                      <w:p>
                        <w:pPr>
                          <w:pStyle w:val="TableParagraph"/>
                          <w:spacing w:before="178"/>
                          <w:jc w:val="center"/>
                          <w:rPr>
                            <w:sz w:val="20"/>
                          </w:rPr>
                        </w:pPr>
                        <w:r>
                          <w:rPr>
                            <w:color w:val="365F91"/>
                            <w:w w:val="99"/>
                            <w:sz w:val="20"/>
                          </w:rPr>
                          <w:t>-</w:t>
                        </w:r>
                      </w:p>
                    </w:tc>
                    <w:tc>
                      <w:tcPr>
                        <w:tcW w:w="1639" w:type="dxa"/>
                        <w:tcBorders>
                          <w:top w:val="dotDash" w:sz="4" w:space="0" w:color="000000"/>
                          <w:bottom w:val="dotDash" w:sz="4" w:space="0" w:color="000000"/>
                        </w:tcBorders>
                      </w:tcPr>
                      <w:p>
                        <w:pPr>
                          <w:pStyle w:val="TableParagraph"/>
                          <w:spacing w:before="178"/>
                          <w:ind w:left="376" w:right="453"/>
                          <w:jc w:val="center"/>
                          <w:rPr>
                            <w:sz w:val="20"/>
                          </w:rPr>
                        </w:pPr>
                        <w:r>
                          <w:rPr>
                            <w:color w:val="365F91"/>
                            <w:sz w:val="20"/>
                          </w:rPr>
                          <w:t>Oct</w:t>
                        </w:r>
                        <w:r>
                          <w:rPr>
                            <w:color w:val="365F91"/>
                            <w:spacing w:val="-6"/>
                            <w:sz w:val="20"/>
                          </w:rPr>
                          <w:t> </w:t>
                        </w:r>
                        <w:r>
                          <w:rPr>
                            <w:color w:val="365F91"/>
                            <w:spacing w:val="-5"/>
                            <w:sz w:val="20"/>
                          </w:rPr>
                          <w:t>22</w:t>
                        </w:r>
                      </w:p>
                    </w:tc>
                  </w:tr>
                  <w:tr>
                    <w:trPr>
                      <w:trHeight w:val="599" w:hRule="atLeast"/>
                    </w:trPr>
                    <w:tc>
                      <w:tcPr>
                        <w:tcW w:w="4463" w:type="dxa"/>
                        <w:gridSpan w:val="2"/>
                        <w:tcBorders>
                          <w:top w:val="dotDash" w:sz="4" w:space="0" w:color="000000"/>
                          <w:bottom w:val="dotDash" w:sz="4" w:space="0" w:color="000000"/>
                        </w:tcBorders>
                      </w:tcPr>
                      <w:p>
                        <w:pPr>
                          <w:pStyle w:val="TableParagraph"/>
                          <w:tabs>
                            <w:tab w:pos="3538" w:val="left" w:leader="none"/>
                          </w:tabs>
                          <w:spacing w:before="58"/>
                          <w:ind w:left="122"/>
                          <w:rPr>
                            <w:sz w:val="20"/>
                          </w:rPr>
                        </w:pPr>
                        <w:r>
                          <w:rPr>
                            <w:color w:val="365F91"/>
                            <w:sz w:val="20"/>
                          </w:rPr>
                          <w:t>Laundry</w:t>
                        </w:r>
                        <w:r>
                          <w:rPr>
                            <w:color w:val="365F91"/>
                            <w:spacing w:val="-10"/>
                            <w:sz w:val="20"/>
                          </w:rPr>
                          <w:t> </w:t>
                        </w:r>
                        <w:r>
                          <w:rPr>
                            <w:color w:val="365F91"/>
                            <w:spacing w:val="-2"/>
                            <w:sz w:val="20"/>
                          </w:rPr>
                          <w:t>Service</w:t>
                        </w:r>
                        <w:r>
                          <w:rPr>
                            <w:color w:val="365F91"/>
                            <w:sz w:val="20"/>
                          </w:rPr>
                          <w:tab/>
                        </w:r>
                        <w:r>
                          <w:rPr>
                            <w:color w:val="365F91"/>
                            <w:spacing w:val="-2"/>
                            <w:position w:val="-11"/>
                            <w:sz w:val="20"/>
                          </w:rPr>
                          <w:t>FINAL</w:t>
                        </w:r>
                      </w:p>
                    </w:tc>
                    <w:tc>
                      <w:tcPr>
                        <w:tcW w:w="1708" w:type="dxa"/>
                        <w:tcBorders>
                          <w:top w:val="dotDash" w:sz="4" w:space="0" w:color="000000"/>
                          <w:bottom w:val="dotDash" w:sz="4" w:space="0" w:color="000000"/>
                        </w:tcBorders>
                      </w:tcPr>
                      <w:p>
                        <w:pPr>
                          <w:pStyle w:val="TableParagraph"/>
                          <w:spacing w:before="178"/>
                          <w:ind w:left="191"/>
                          <w:rPr>
                            <w:sz w:val="20"/>
                          </w:rPr>
                        </w:pPr>
                        <w:r>
                          <w:rPr>
                            <w:color w:val="365F91"/>
                            <w:spacing w:val="-2"/>
                            <w:sz w:val="20"/>
                          </w:rPr>
                          <w:t>Reasonable</w:t>
                        </w:r>
                      </w:p>
                    </w:tc>
                    <w:tc>
                      <w:tcPr>
                        <w:tcW w:w="753" w:type="dxa"/>
                        <w:tcBorders>
                          <w:top w:val="dotDash" w:sz="4" w:space="0" w:color="000000"/>
                          <w:bottom w:val="dotDash" w:sz="4" w:space="0" w:color="000000"/>
                        </w:tcBorders>
                      </w:tcPr>
                      <w:p>
                        <w:pPr>
                          <w:pStyle w:val="TableParagraph"/>
                          <w:spacing w:before="178"/>
                          <w:ind w:left="243"/>
                          <w:rPr>
                            <w:sz w:val="20"/>
                          </w:rPr>
                        </w:pPr>
                        <w:r>
                          <w:rPr>
                            <w:color w:val="365F91"/>
                            <w:w w:val="99"/>
                            <w:sz w:val="20"/>
                          </w:rPr>
                          <w:t>-</w:t>
                        </w:r>
                      </w:p>
                    </w:tc>
                    <w:tc>
                      <w:tcPr>
                        <w:tcW w:w="959" w:type="dxa"/>
                        <w:tcBorders>
                          <w:top w:val="dotDash" w:sz="4" w:space="0" w:color="000000"/>
                          <w:bottom w:val="dotDash" w:sz="4" w:space="0" w:color="000000"/>
                        </w:tcBorders>
                      </w:tcPr>
                      <w:p>
                        <w:pPr>
                          <w:pStyle w:val="TableParagraph"/>
                          <w:spacing w:before="178"/>
                          <w:ind w:right="45"/>
                          <w:jc w:val="center"/>
                          <w:rPr>
                            <w:sz w:val="20"/>
                          </w:rPr>
                        </w:pPr>
                        <w:r>
                          <w:rPr>
                            <w:color w:val="365F91"/>
                            <w:w w:val="99"/>
                            <w:sz w:val="20"/>
                          </w:rPr>
                          <w:t>5</w:t>
                        </w:r>
                      </w:p>
                    </w:tc>
                    <w:tc>
                      <w:tcPr>
                        <w:tcW w:w="987" w:type="dxa"/>
                        <w:tcBorders>
                          <w:top w:val="dotDash" w:sz="4" w:space="0" w:color="000000"/>
                          <w:bottom w:val="dotDash" w:sz="4" w:space="0" w:color="000000"/>
                        </w:tcBorders>
                      </w:tcPr>
                      <w:p>
                        <w:pPr>
                          <w:pStyle w:val="TableParagraph"/>
                          <w:spacing w:before="178"/>
                          <w:jc w:val="center"/>
                          <w:rPr>
                            <w:sz w:val="20"/>
                          </w:rPr>
                        </w:pPr>
                        <w:r>
                          <w:rPr>
                            <w:color w:val="365F91"/>
                            <w:w w:val="99"/>
                            <w:sz w:val="20"/>
                          </w:rPr>
                          <w:t>-</w:t>
                        </w:r>
                      </w:p>
                    </w:tc>
                    <w:tc>
                      <w:tcPr>
                        <w:tcW w:w="1639" w:type="dxa"/>
                        <w:tcBorders>
                          <w:top w:val="dotDash" w:sz="4" w:space="0" w:color="000000"/>
                          <w:bottom w:val="dotDash" w:sz="4" w:space="0" w:color="000000"/>
                        </w:tcBorders>
                      </w:tcPr>
                      <w:p>
                        <w:pPr>
                          <w:pStyle w:val="TableParagraph"/>
                          <w:spacing w:before="178"/>
                          <w:ind w:left="376" w:right="453"/>
                          <w:jc w:val="center"/>
                          <w:rPr>
                            <w:sz w:val="20"/>
                          </w:rPr>
                        </w:pPr>
                        <w:r>
                          <w:rPr>
                            <w:color w:val="365F91"/>
                            <w:sz w:val="20"/>
                          </w:rPr>
                          <w:t>Oct</w:t>
                        </w:r>
                        <w:r>
                          <w:rPr>
                            <w:color w:val="365F91"/>
                            <w:spacing w:val="-6"/>
                            <w:sz w:val="20"/>
                          </w:rPr>
                          <w:t> </w:t>
                        </w:r>
                        <w:r>
                          <w:rPr>
                            <w:color w:val="365F91"/>
                            <w:spacing w:val="-5"/>
                            <w:sz w:val="20"/>
                          </w:rPr>
                          <w:t>22</w:t>
                        </w:r>
                      </w:p>
                    </w:tc>
                  </w:tr>
                  <w:tr>
                    <w:trPr>
                      <w:trHeight w:val="599" w:hRule="atLeast"/>
                    </w:trPr>
                    <w:tc>
                      <w:tcPr>
                        <w:tcW w:w="4463" w:type="dxa"/>
                        <w:gridSpan w:val="2"/>
                        <w:tcBorders>
                          <w:top w:val="dotDash" w:sz="4" w:space="0" w:color="000000"/>
                          <w:bottom w:val="dotDash" w:sz="4" w:space="0" w:color="000000"/>
                        </w:tcBorders>
                      </w:tcPr>
                      <w:p>
                        <w:pPr>
                          <w:pStyle w:val="TableParagraph"/>
                          <w:tabs>
                            <w:tab w:pos="3492" w:val="left" w:leader="none"/>
                          </w:tabs>
                          <w:spacing w:before="58"/>
                          <w:ind w:left="122"/>
                          <w:rPr>
                            <w:b/>
                            <w:sz w:val="20"/>
                          </w:rPr>
                        </w:pPr>
                        <w:r>
                          <w:rPr>
                            <w:b/>
                            <w:color w:val="365F91"/>
                            <w:sz w:val="20"/>
                          </w:rPr>
                          <w:t>Laundry</w:t>
                        </w:r>
                        <w:r>
                          <w:rPr>
                            <w:b/>
                            <w:color w:val="365F91"/>
                            <w:spacing w:val="-14"/>
                            <w:sz w:val="20"/>
                          </w:rPr>
                          <w:t> </w:t>
                        </w:r>
                        <w:r>
                          <w:rPr>
                            <w:b/>
                            <w:color w:val="365F91"/>
                            <w:spacing w:val="-2"/>
                            <w:sz w:val="20"/>
                          </w:rPr>
                          <w:t>Service</w:t>
                        </w:r>
                        <w:r>
                          <w:rPr>
                            <w:b/>
                            <w:color w:val="365F91"/>
                            <w:sz w:val="20"/>
                          </w:rPr>
                          <w:tab/>
                        </w:r>
                        <w:r>
                          <w:rPr>
                            <w:b/>
                            <w:color w:val="365F91"/>
                            <w:spacing w:val="-4"/>
                            <w:position w:val="-11"/>
                            <w:sz w:val="20"/>
                          </w:rPr>
                          <w:t>FINAL</w:t>
                        </w:r>
                      </w:p>
                    </w:tc>
                    <w:tc>
                      <w:tcPr>
                        <w:tcW w:w="1708" w:type="dxa"/>
                        <w:tcBorders>
                          <w:top w:val="dotDash" w:sz="4" w:space="0" w:color="000000"/>
                          <w:bottom w:val="dotDash" w:sz="4" w:space="0" w:color="000000"/>
                        </w:tcBorders>
                      </w:tcPr>
                      <w:p>
                        <w:pPr>
                          <w:pStyle w:val="TableParagraph"/>
                          <w:spacing w:before="180"/>
                          <w:ind w:left="191"/>
                          <w:rPr>
                            <w:b/>
                            <w:sz w:val="20"/>
                          </w:rPr>
                        </w:pPr>
                        <w:r>
                          <w:rPr>
                            <w:b/>
                            <w:color w:val="365F91"/>
                            <w:spacing w:val="-2"/>
                            <w:sz w:val="20"/>
                          </w:rPr>
                          <w:t>Reasonable</w:t>
                        </w:r>
                      </w:p>
                    </w:tc>
                    <w:tc>
                      <w:tcPr>
                        <w:tcW w:w="753" w:type="dxa"/>
                        <w:tcBorders>
                          <w:top w:val="dotDash" w:sz="4" w:space="0" w:color="000000"/>
                          <w:bottom w:val="dotDash" w:sz="4" w:space="0" w:color="000000"/>
                        </w:tcBorders>
                      </w:tcPr>
                      <w:p>
                        <w:pPr>
                          <w:pStyle w:val="TableParagraph"/>
                          <w:spacing w:before="180"/>
                          <w:ind w:left="219"/>
                          <w:rPr>
                            <w:b/>
                            <w:sz w:val="20"/>
                          </w:rPr>
                        </w:pPr>
                        <w:r>
                          <w:rPr>
                            <w:b/>
                            <w:color w:val="365F91"/>
                            <w:w w:val="99"/>
                            <w:sz w:val="20"/>
                          </w:rPr>
                          <w:t>1</w:t>
                        </w:r>
                      </w:p>
                    </w:tc>
                    <w:tc>
                      <w:tcPr>
                        <w:tcW w:w="959" w:type="dxa"/>
                        <w:tcBorders>
                          <w:top w:val="dotDash" w:sz="4" w:space="0" w:color="000000"/>
                          <w:bottom w:val="dotDash" w:sz="4" w:space="0" w:color="000000"/>
                        </w:tcBorders>
                      </w:tcPr>
                      <w:p>
                        <w:pPr>
                          <w:pStyle w:val="TableParagraph"/>
                          <w:spacing w:before="180"/>
                          <w:ind w:right="44"/>
                          <w:jc w:val="center"/>
                          <w:rPr>
                            <w:b/>
                            <w:sz w:val="20"/>
                          </w:rPr>
                        </w:pPr>
                        <w:r>
                          <w:rPr>
                            <w:b/>
                            <w:color w:val="365F91"/>
                            <w:w w:val="99"/>
                            <w:sz w:val="20"/>
                          </w:rPr>
                          <w:t>1</w:t>
                        </w:r>
                      </w:p>
                    </w:tc>
                    <w:tc>
                      <w:tcPr>
                        <w:tcW w:w="987" w:type="dxa"/>
                        <w:tcBorders>
                          <w:top w:val="dotDash" w:sz="4" w:space="0" w:color="000000"/>
                          <w:bottom w:val="dotDash" w:sz="4" w:space="0" w:color="000000"/>
                        </w:tcBorders>
                      </w:tcPr>
                      <w:p>
                        <w:pPr>
                          <w:pStyle w:val="TableParagraph"/>
                          <w:spacing w:before="180"/>
                          <w:jc w:val="center"/>
                          <w:rPr>
                            <w:b/>
                            <w:sz w:val="20"/>
                          </w:rPr>
                        </w:pPr>
                        <w:r>
                          <w:rPr>
                            <w:b/>
                            <w:color w:val="365F91"/>
                            <w:w w:val="99"/>
                            <w:sz w:val="20"/>
                          </w:rPr>
                          <w:t>1</w:t>
                        </w:r>
                      </w:p>
                    </w:tc>
                    <w:tc>
                      <w:tcPr>
                        <w:tcW w:w="1639" w:type="dxa"/>
                        <w:tcBorders>
                          <w:top w:val="dotDash" w:sz="4" w:space="0" w:color="000000"/>
                          <w:bottom w:val="dotDash" w:sz="4" w:space="0" w:color="000000"/>
                        </w:tcBorders>
                      </w:tcPr>
                      <w:p>
                        <w:pPr>
                          <w:pStyle w:val="TableParagraph"/>
                          <w:spacing w:before="180"/>
                          <w:ind w:left="374" w:right="453"/>
                          <w:jc w:val="center"/>
                          <w:rPr>
                            <w:b/>
                            <w:sz w:val="20"/>
                          </w:rPr>
                        </w:pPr>
                        <w:r>
                          <w:rPr>
                            <w:b/>
                            <w:color w:val="365F91"/>
                            <w:sz w:val="20"/>
                          </w:rPr>
                          <w:t>Jan</w:t>
                        </w:r>
                        <w:r>
                          <w:rPr>
                            <w:b/>
                            <w:color w:val="365F91"/>
                            <w:spacing w:val="-7"/>
                            <w:sz w:val="20"/>
                          </w:rPr>
                          <w:t> </w:t>
                        </w:r>
                        <w:r>
                          <w:rPr>
                            <w:b/>
                            <w:color w:val="365F91"/>
                            <w:spacing w:val="-5"/>
                            <w:sz w:val="20"/>
                          </w:rPr>
                          <w:t>23</w:t>
                        </w:r>
                      </w:p>
                    </w:tc>
                  </w:tr>
                  <w:tr>
                    <w:trPr>
                      <w:trHeight w:val="511" w:hRule="atLeast"/>
                    </w:trPr>
                    <w:tc>
                      <w:tcPr>
                        <w:tcW w:w="4463" w:type="dxa"/>
                        <w:gridSpan w:val="2"/>
                        <w:tcBorders>
                          <w:top w:val="dotDash" w:sz="4" w:space="0" w:color="000000"/>
                          <w:bottom w:val="dotDash" w:sz="4" w:space="0" w:color="000000"/>
                        </w:tcBorders>
                      </w:tcPr>
                      <w:p>
                        <w:pPr>
                          <w:pStyle w:val="TableParagraph"/>
                          <w:tabs>
                            <w:tab w:pos="3492" w:val="left" w:leader="none"/>
                          </w:tabs>
                          <w:spacing w:before="135"/>
                          <w:ind w:left="122"/>
                          <w:rPr>
                            <w:b/>
                            <w:sz w:val="20"/>
                          </w:rPr>
                        </w:pPr>
                        <w:r>
                          <w:rPr>
                            <w:b/>
                            <w:color w:val="365F91"/>
                            <w:spacing w:val="-2"/>
                            <w:sz w:val="20"/>
                          </w:rPr>
                          <w:t>Recruitment</w:t>
                        </w:r>
                        <w:r>
                          <w:rPr>
                            <w:b/>
                            <w:color w:val="365F91"/>
                            <w:spacing w:val="2"/>
                            <w:sz w:val="20"/>
                          </w:rPr>
                          <w:t> </w:t>
                        </w:r>
                        <w:r>
                          <w:rPr>
                            <w:b/>
                            <w:color w:val="365F91"/>
                            <w:spacing w:val="-2"/>
                            <w:sz w:val="20"/>
                          </w:rPr>
                          <w:t>Services</w:t>
                        </w:r>
                        <w:r>
                          <w:rPr>
                            <w:b/>
                            <w:color w:val="365F91"/>
                            <w:sz w:val="20"/>
                          </w:rPr>
                          <w:tab/>
                        </w:r>
                        <w:r>
                          <w:rPr>
                            <w:b/>
                            <w:color w:val="365F91"/>
                            <w:spacing w:val="-4"/>
                            <w:sz w:val="20"/>
                          </w:rPr>
                          <w:t>FINAL</w:t>
                        </w:r>
                      </w:p>
                    </w:tc>
                    <w:tc>
                      <w:tcPr>
                        <w:tcW w:w="1708" w:type="dxa"/>
                        <w:tcBorders>
                          <w:top w:val="dotDash" w:sz="4" w:space="0" w:color="000000"/>
                          <w:bottom w:val="dotDash" w:sz="4" w:space="0" w:color="000000"/>
                        </w:tcBorders>
                      </w:tcPr>
                      <w:p>
                        <w:pPr>
                          <w:pStyle w:val="TableParagraph"/>
                          <w:spacing w:before="135"/>
                          <w:ind w:left="191"/>
                          <w:rPr>
                            <w:b/>
                            <w:sz w:val="20"/>
                          </w:rPr>
                        </w:pPr>
                        <w:r>
                          <w:rPr>
                            <w:b/>
                            <w:color w:val="365F91"/>
                            <w:spacing w:val="-2"/>
                            <w:sz w:val="20"/>
                          </w:rPr>
                          <w:t>Reasonable</w:t>
                        </w:r>
                      </w:p>
                    </w:tc>
                    <w:tc>
                      <w:tcPr>
                        <w:tcW w:w="753" w:type="dxa"/>
                        <w:tcBorders>
                          <w:top w:val="dotDash" w:sz="4" w:space="0" w:color="000000"/>
                          <w:bottom w:val="dotDash" w:sz="4" w:space="0" w:color="000000"/>
                        </w:tcBorders>
                      </w:tcPr>
                      <w:p>
                        <w:pPr>
                          <w:pStyle w:val="TableParagraph"/>
                          <w:spacing w:before="135"/>
                          <w:ind w:left="240"/>
                          <w:rPr>
                            <w:b/>
                            <w:sz w:val="20"/>
                          </w:rPr>
                        </w:pPr>
                        <w:r>
                          <w:rPr>
                            <w:b/>
                            <w:color w:val="365F91"/>
                            <w:w w:val="99"/>
                            <w:sz w:val="20"/>
                          </w:rPr>
                          <w:t>-</w:t>
                        </w:r>
                      </w:p>
                    </w:tc>
                    <w:tc>
                      <w:tcPr>
                        <w:tcW w:w="959" w:type="dxa"/>
                        <w:tcBorders>
                          <w:top w:val="dotDash" w:sz="4" w:space="0" w:color="000000"/>
                          <w:bottom w:val="dotDash" w:sz="4" w:space="0" w:color="000000"/>
                        </w:tcBorders>
                      </w:tcPr>
                      <w:p>
                        <w:pPr>
                          <w:pStyle w:val="TableParagraph"/>
                          <w:spacing w:before="135"/>
                          <w:ind w:right="44"/>
                          <w:jc w:val="center"/>
                          <w:rPr>
                            <w:b/>
                            <w:sz w:val="20"/>
                          </w:rPr>
                        </w:pPr>
                        <w:r>
                          <w:rPr>
                            <w:b/>
                            <w:color w:val="365F91"/>
                            <w:w w:val="99"/>
                            <w:sz w:val="20"/>
                          </w:rPr>
                          <w:t>2</w:t>
                        </w:r>
                      </w:p>
                    </w:tc>
                    <w:tc>
                      <w:tcPr>
                        <w:tcW w:w="987" w:type="dxa"/>
                        <w:tcBorders>
                          <w:top w:val="dotDash" w:sz="4" w:space="0" w:color="000000"/>
                          <w:bottom w:val="dotDash" w:sz="4" w:space="0" w:color="000000"/>
                        </w:tcBorders>
                      </w:tcPr>
                      <w:p>
                        <w:pPr>
                          <w:pStyle w:val="TableParagraph"/>
                          <w:spacing w:before="135"/>
                          <w:jc w:val="center"/>
                          <w:rPr>
                            <w:b/>
                            <w:sz w:val="20"/>
                          </w:rPr>
                        </w:pPr>
                        <w:r>
                          <w:rPr>
                            <w:b/>
                            <w:color w:val="365F91"/>
                            <w:w w:val="99"/>
                            <w:sz w:val="20"/>
                          </w:rPr>
                          <w:t>-</w:t>
                        </w:r>
                      </w:p>
                    </w:tc>
                    <w:tc>
                      <w:tcPr>
                        <w:tcW w:w="1639" w:type="dxa"/>
                        <w:tcBorders>
                          <w:top w:val="dotDash" w:sz="4" w:space="0" w:color="000000"/>
                          <w:bottom w:val="dotDash" w:sz="4" w:space="0" w:color="000000"/>
                        </w:tcBorders>
                      </w:tcPr>
                      <w:p>
                        <w:pPr>
                          <w:pStyle w:val="TableParagraph"/>
                          <w:spacing w:before="135"/>
                          <w:ind w:left="374" w:right="453"/>
                          <w:jc w:val="center"/>
                          <w:rPr>
                            <w:b/>
                            <w:sz w:val="20"/>
                          </w:rPr>
                        </w:pPr>
                        <w:r>
                          <w:rPr>
                            <w:b/>
                            <w:color w:val="365F91"/>
                            <w:sz w:val="20"/>
                          </w:rPr>
                          <w:t>Jan</w:t>
                        </w:r>
                        <w:r>
                          <w:rPr>
                            <w:b/>
                            <w:color w:val="365F91"/>
                            <w:spacing w:val="-7"/>
                            <w:sz w:val="20"/>
                          </w:rPr>
                          <w:t> </w:t>
                        </w:r>
                        <w:r>
                          <w:rPr>
                            <w:b/>
                            <w:color w:val="365F91"/>
                            <w:spacing w:val="-5"/>
                            <w:sz w:val="20"/>
                          </w:rPr>
                          <w:t>23</w:t>
                        </w:r>
                      </w:p>
                    </w:tc>
                  </w:tr>
                </w:tbl>
                <w:p>
                  <w:pPr>
                    <w:pStyle w:val="BodyText"/>
                  </w:pPr>
                </w:p>
              </w:txbxContent>
            </v:textbox>
            <w10:wrap type="none"/>
          </v:shape>
        </w:pict>
      </w:r>
      <w:r>
        <w:rPr>
          <w:color w:val="17365D"/>
          <w:sz w:val="20"/>
        </w:rPr>
        <w:t>April</w:t>
      </w:r>
      <w:r>
        <w:rPr>
          <w:color w:val="17365D"/>
          <w:spacing w:val="-5"/>
          <w:sz w:val="20"/>
        </w:rPr>
        <w:t> 23</w:t>
      </w:r>
    </w:p>
    <w:p>
      <w:pPr>
        <w:spacing w:before="2"/>
        <w:ind w:left="440" w:right="0" w:firstLine="0"/>
        <w:jc w:val="left"/>
        <w:rPr>
          <w:sz w:val="20"/>
        </w:rPr>
      </w:pPr>
      <w:r>
        <w:rPr>
          <w:color w:val="365F91"/>
          <w:spacing w:val="-2"/>
          <w:sz w:val="20"/>
        </w:rPr>
        <w:t>Teams</w:t>
      </w:r>
    </w:p>
    <w:p>
      <w:pPr>
        <w:pStyle w:val="BodyText"/>
        <w:rPr>
          <w:sz w:val="20"/>
        </w:rPr>
      </w:pPr>
    </w:p>
    <w:p>
      <w:pPr>
        <w:pStyle w:val="BodyText"/>
        <w:rPr>
          <w:sz w:val="20"/>
        </w:rPr>
      </w:pPr>
    </w:p>
    <w:p>
      <w:pPr>
        <w:pStyle w:val="BodyText"/>
        <w:spacing w:before="10"/>
      </w:pPr>
    </w:p>
    <w:p>
      <w:pPr>
        <w:spacing w:line="602" w:lineRule="auto" w:before="100"/>
        <w:ind w:left="440" w:right="8787" w:firstLine="0"/>
        <w:jc w:val="left"/>
        <w:rPr>
          <w:b/>
          <w:sz w:val="20"/>
        </w:rPr>
      </w:pPr>
      <w:r>
        <w:rPr>
          <w:color w:val="365F91"/>
          <w:spacing w:val="-2"/>
          <w:sz w:val="20"/>
        </w:rPr>
        <w:t>Laboratory </w:t>
      </w:r>
      <w:r>
        <w:rPr>
          <w:color w:val="365F91"/>
          <w:sz w:val="20"/>
        </w:rPr>
        <w:t>(Green Vale) </w:t>
      </w:r>
      <w:r>
        <w:rPr>
          <w:b/>
          <w:color w:val="365F91"/>
          <w:sz w:val="20"/>
        </w:rPr>
        <w:t>(North</w:t>
      </w:r>
      <w:r>
        <w:rPr>
          <w:b/>
          <w:color w:val="365F91"/>
          <w:spacing w:val="-18"/>
          <w:sz w:val="20"/>
        </w:rPr>
        <w:t> </w:t>
      </w:r>
      <w:r>
        <w:rPr>
          <w:b/>
          <w:color w:val="365F91"/>
          <w:sz w:val="20"/>
        </w:rPr>
        <w:t>Wales)</w:t>
      </w:r>
    </w:p>
    <w:p>
      <w:pPr>
        <w:pStyle w:val="BodyText"/>
        <w:spacing w:before="7"/>
        <w:rPr>
          <w:b/>
          <w:sz w:val="14"/>
        </w:rPr>
      </w:pPr>
    </w:p>
    <w:p>
      <w:pPr>
        <w:spacing w:after="0"/>
        <w:rPr>
          <w:sz w:val="14"/>
        </w:rPr>
        <w:sectPr>
          <w:type w:val="continuous"/>
          <w:pgSz w:w="11910" w:h="16840"/>
          <w:pgMar w:header="0" w:footer="704" w:top="740" w:bottom="280" w:left="380" w:right="560"/>
        </w:sectPr>
      </w:pPr>
    </w:p>
    <w:p>
      <w:pPr>
        <w:tabs>
          <w:tab w:pos="3770" w:val="left" w:leader="none"/>
        </w:tabs>
        <w:spacing w:line="120" w:lineRule="auto" w:before="203"/>
        <w:ind w:left="3725" w:right="38" w:hanging="3285"/>
        <w:jc w:val="right"/>
        <w:rPr>
          <w:sz w:val="20"/>
        </w:rPr>
      </w:pPr>
      <w:r>
        <w:rPr>
          <w:color w:val="365F91"/>
          <w:sz w:val="20"/>
        </w:rPr>
        <w:t>Cyber Security</w:t>
        <w:tab/>
        <w:tab/>
      </w:r>
      <w:r>
        <w:rPr>
          <w:color w:val="365F91"/>
          <w:position w:val="12"/>
          <w:sz w:val="20"/>
        </w:rPr>
        <w:t>Work in </w:t>
      </w:r>
      <w:r>
        <w:rPr>
          <w:color w:val="365F91"/>
          <w:spacing w:val="-2"/>
          <w:sz w:val="20"/>
        </w:rPr>
        <w:t>Progress</w:t>
      </w:r>
    </w:p>
    <w:p>
      <w:pPr>
        <w:spacing w:line="240" w:lineRule="auto" w:before="3"/>
        <w:rPr>
          <w:sz w:val="18"/>
        </w:rPr>
      </w:pPr>
      <w:r>
        <w:rPr/>
        <w:br w:type="column"/>
      </w:r>
      <w:r>
        <w:rPr>
          <w:sz w:val="18"/>
        </w:rPr>
      </w:r>
    </w:p>
    <w:p>
      <w:pPr>
        <w:spacing w:before="0"/>
        <w:ind w:left="440" w:right="0" w:firstLine="0"/>
        <w:jc w:val="left"/>
        <w:rPr>
          <w:sz w:val="20"/>
        </w:rPr>
      </w:pPr>
      <w:r>
        <w:rPr>
          <w:color w:val="17365D"/>
          <w:sz w:val="20"/>
        </w:rPr>
        <w:t>Jan</w:t>
      </w:r>
      <w:r>
        <w:rPr>
          <w:color w:val="17365D"/>
          <w:spacing w:val="-4"/>
          <w:sz w:val="20"/>
        </w:rPr>
        <w:t> </w:t>
      </w:r>
      <w:r>
        <w:rPr>
          <w:color w:val="17365D"/>
          <w:spacing w:val="-5"/>
          <w:sz w:val="20"/>
        </w:rPr>
        <w:t>23</w:t>
      </w:r>
    </w:p>
    <w:p>
      <w:pPr>
        <w:spacing w:after="0"/>
        <w:jc w:val="left"/>
        <w:rPr>
          <w:sz w:val="20"/>
        </w:rPr>
        <w:sectPr>
          <w:type w:val="continuous"/>
          <w:pgSz w:w="11910" w:h="16840"/>
          <w:pgMar w:header="0" w:footer="704" w:top="740" w:bottom="280" w:left="380" w:right="560"/>
          <w:cols w:num="2" w:equalWidth="0">
            <w:col w:w="4628" w:space="4569"/>
            <w:col w:w="1773"/>
          </w:cols>
        </w:sectPr>
      </w:pPr>
    </w:p>
    <w:p>
      <w:pPr>
        <w:pStyle w:val="BodyText"/>
        <w:spacing w:before="5"/>
        <w:rPr>
          <w:sz w:val="6"/>
        </w:rPr>
      </w:pPr>
    </w:p>
    <w:p>
      <w:pPr>
        <w:pStyle w:val="BodyText"/>
        <w:spacing w:line="20" w:lineRule="exact"/>
        <w:ind w:left="327"/>
        <w:rPr>
          <w:sz w:val="2"/>
        </w:rPr>
      </w:pPr>
      <w:r>
        <w:rPr>
          <w:sz w:val="2"/>
        </w:rPr>
        <w:pict>
          <v:group style="width:524.4pt;height:.5pt;mso-position-horizontal-relative:char;mso-position-vertical-relative:line" id="docshapegroup69" coordorigin="0,0" coordsize="10488,10">
            <v:shape style="position:absolute;left:0;top:4;width:10488;height:2" id="docshape70" coordorigin="0,5" coordsize="10488,0" path="m0,5l3116,5m3116,5l3126,5m3126,5l4532,5m4532,5l4542,5m4542,5l6093,5m6093,5l6102,5m6102,5l6801,5m6801,5l6810,5m6810,5l7936,5m7936,5l7945,5m7945,5l8786,5m8786,5l8796,5m8796,5l10488,5e" filled="false" stroked="true" strokeweight=".48pt" strokecolor="#000000">
              <v:path arrowok="t"/>
              <v:stroke dashstyle="shortdashdot"/>
            </v:shape>
          </v:group>
        </w:pict>
      </w:r>
      <w:r>
        <w:rPr>
          <w:sz w:val="2"/>
        </w:rPr>
      </w:r>
    </w:p>
    <w:p>
      <w:pPr>
        <w:tabs>
          <w:tab w:pos="3856" w:val="left" w:leader="none"/>
          <w:tab w:pos="5474" w:val="left" w:leader="none"/>
          <w:tab w:pos="9637" w:val="left" w:leader="none"/>
        </w:tabs>
        <w:spacing w:before="125"/>
        <w:ind w:left="440" w:right="0" w:firstLine="0"/>
        <w:jc w:val="left"/>
        <w:rPr>
          <w:sz w:val="20"/>
        </w:rPr>
      </w:pPr>
      <w:r>
        <w:rPr>
          <w:color w:val="365F91"/>
          <w:sz w:val="20"/>
        </w:rPr>
        <w:t>Decarbonisation</w:t>
      </w:r>
      <w:r>
        <w:rPr>
          <w:color w:val="365F91"/>
          <w:spacing w:val="-15"/>
          <w:sz w:val="20"/>
        </w:rPr>
        <w:t> </w:t>
      </w:r>
      <w:r>
        <w:rPr>
          <w:color w:val="365F91"/>
          <w:spacing w:val="-2"/>
          <w:sz w:val="20"/>
        </w:rPr>
        <w:t>(Advisory)</w:t>
      </w:r>
      <w:r>
        <w:rPr>
          <w:color w:val="365F91"/>
          <w:sz w:val="20"/>
        </w:rPr>
        <w:tab/>
      </w:r>
      <w:r>
        <w:rPr>
          <w:color w:val="365F91"/>
          <w:spacing w:val="-2"/>
          <w:sz w:val="20"/>
        </w:rPr>
        <w:t>FINAL</w:t>
      </w:r>
      <w:r>
        <w:rPr>
          <w:color w:val="365F91"/>
          <w:sz w:val="20"/>
        </w:rPr>
        <w:tab/>
      </w:r>
      <w:r>
        <w:rPr>
          <w:color w:val="17365D"/>
          <w:spacing w:val="-5"/>
          <w:sz w:val="20"/>
        </w:rPr>
        <w:t>n/a</w:t>
      </w:r>
      <w:r>
        <w:rPr>
          <w:color w:val="17365D"/>
          <w:sz w:val="20"/>
        </w:rPr>
        <w:tab/>
        <w:t>Oct</w:t>
      </w:r>
      <w:r>
        <w:rPr>
          <w:color w:val="17365D"/>
          <w:spacing w:val="-6"/>
          <w:sz w:val="20"/>
        </w:rPr>
        <w:t> </w:t>
      </w:r>
      <w:r>
        <w:rPr>
          <w:color w:val="17365D"/>
          <w:spacing w:val="-5"/>
          <w:sz w:val="20"/>
        </w:rPr>
        <w:t>22</w:t>
      </w:r>
    </w:p>
    <w:p>
      <w:pPr>
        <w:pStyle w:val="BodyText"/>
        <w:spacing w:before="11"/>
        <w:rPr>
          <w:sz w:val="10"/>
        </w:rPr>
      </w:pPr>
    </w:p>
    <w:p>
      <w:pPr>
        <w:pStyle w:val="BodyText"/>
        <w:spacing w:line="20" w:lineRule="exact"/>
        <w:ind w:left="327"/>
        <w:rPr>
          <w:sz w:val="2"/>
        </w:rPr>
      </w:pPr>
      <w:r>
        <w:rPr>
          <w:sz w:val="2"/>
        </w:rPr>
        <w:pict>
          <v:group style="width:524.4pt;height:.5pt;mso-position-horizontal-relative:char;mso-position-vertical-relative:line" id="docshapegroup71" coordorigin="0,0" coordsize="10488,10">
            <v:shape style="position:absolute;left:0;top:4;width:10488;height:2" id="docshape72" coordorigin="0,5" coordsize="10488,0" path="m0,5l3116,5m3116,5l3126,5m3126,5l4532,5m4532,5l4542,5m4542,5l6093,5m6093,5l6102,5m6102,5l6801,5m6801,5l6810,5m6810,5l7936,5m7936,5l7945,5m7945,5l8786,5m8786,5l8796,5m8796,5l10488,5e" filled="false" stroked="true" strokeweight=".48pt" strokecolor="#000000">
              <v:path arrowok="t"/>
              <v:stroke dashstyle="shortdashdot"/>
            </v:shape>
          </v:group>
        </w:pict>
      </w:r>
      <w:r>
        <w:rPr>
          <w:sz w:val="2"/>
        </w:rPr>
      </w:r>
    </w:p>
    <w:p>
      <w:pPr>
        <w:spacing w:after="0" w:line="20" w:lineRule="exact"/>
        <w:rPr>
          <w:sz w:val="2"/>
        </w:rPr>
        <w:sectPr>
          <w:type w:val="continuous"/>
          <w:pgSz w:w="11910" w:h="16840"/>
          <w:pgMar w:header="0" w:footer="704" w:top="740" w:bottom="280" w:left="380" w:right="560"/>
        </w:sectPr>
      </w:pPr>
    </w:p>
    <w:p>
      <w:pPr>
        <w:spacing w:before="48"/>
        <w:ind w:left="440" w:right="0" w:firstLine="0"/>
        <w:jc w:val="left"/>
        <w:rPr>
          <w:sz w:val="20"/>
        </w:rPr>
      </w:pPr>
      <w:r>
        <w:rPr/>
        <w:pict>
          <v:shape style="position:absolute;margin-left:35.639999pt;margin-top:29.733723pt;width:524.4pt;height:.1pt;mso-position-horizontal-relative:page;mso-position-vertical-relative:paragraph;z-index:15741952" id="docshape73" coordorigin="713,595" coordsize="10488,0" path="m713,595l3829,595m3829,595l3839,595m3839,595l5245,595m5245,595l5255,595m5255,595l6805,595m6805,595l6815,595m6815,595l7513,595m7513,595l7523,595m7523,595l8649,595m8649,595l8658,595m8658,595l9499,595m9499,595l9508,595m9508,595l11200,595e" filled="false" stroked="true" strokeweight=".48pt" strokecolor="#000000">
            <v:path arrowok="t"/>
            <v:stroke dashstyle="shortdashdot"/>
            <w10:wrap type="none"/>
          </v:shape>
        </w:pict>
      </w:r>
      <w:r>
        <w:rPr>
          <w:color w:val="365F91"/>
          <w:sz w:val="20"/>
        </w:rPr>
        <w:t>Operational ICT Infrastructure</w:t>
      </w:r>
      <w:r>
        <w:rPr>
          <w:color w:val="365F91"/>
          <w:spacing w:val="-18"/>
          <w:sz w:val="20"/>
        </w:rPr>
        <w:t> </w:t>
      </w:r>
      <w:r>
        <w:rPr>
          <w:color w:val="365F91"/>
          <w:sz w:val="20"/>
        </w:rPr>
        <w:t>Follow</w:t>
      </w:r>
      <w:r>
        <w:rPr>
          <w:color w:val="365F91"/>
          <w:spacing w:val="-18"/>
          <w:sz w:val="20"/>
        </w:rPr>
        <w:t> </w:t>
      </w:r>
      <w:r>
        <w:rPr>
          <w:color w:val="365F91"/>
          <w:sz w:val="20"/>
        </w:rPr>
        <w:t>up</w:t>
      </w:r>
    </w:p>
    <w:p>
      <w:pPr>
        <w:spacing w:before="123"/>
        <w:ind w:left="440" w:right="0" w:firstLine="0"/>
        <w:jc w:val="left"/>
        <w:rPr>
          <w:sz w:val="20"/>
        </w:rPr>
      </w:pPr>
      <w:r>
        <w:rPr/>
        <w:pict>
          <v:shape style="position:absolute;margin-left:35.639999pt;margin-top:33.483711pt;width:524.4pt;height:.1pt;mso-position-horizontal-relative:page;mso-position-vertical-relative:paragraph;z-index:15742464" id="docshape74" coordorigin="713,670" coordsize="10488,0" path="m713,670l3829,670m3829,670l3839,670m3839,670l5245,670m5245,670l5255,670m5255,670l6805,670m6805,670l6815,670m6815,670l7513,670m7513,670l7523,670m7523,670l8649,670m8649,670l8658,670m8658,670l9499,670m9499,670l9508,670m9508,670l11200,670e" filled="false" stroked="true" strokeweight=".48pt" strokecolor="#000000">
            <v:path arrowok="t"/>
            <v:stroke dashstyle="shortdashdot"/>
            <w10:wrap type="none"/>
          </v:shape>
        </w:pict>
      </w:r>
      <w:r>
        <w:rPr>
          <w:color w:val="365F91"/>
          <w:sz w:val="20"/>
        </w:rPr>
        <w:t>Student</w:t>
      </w:r>
      <w:r>
        <w:rPr>
          <w:color w:val="365F91"/>
          <w:spacing w:val="-13"/>
          <w:sz w:val="20"/>
        </w:rPr>
        <w:t> </w:t>
      </w:r>
      <w:r>
        <w:rPr>
          <w:color w:val="365F91"/>
          <w:sz w:val="20"/>
        </w:rPr>
        <w:t>Awards</w:t>
      </w:r>
      <w:r>
        <w:rPr>
          <w:color w:val="365F91"/>
          <w:spacing w:val="-14"/>
          <w:sz w:val="20"/>
        </w:rPr>
        <w:t> </w:t>
      </w:r>
      <w:r>
        <w:rPr>
          <w:color w:val="365F91"/>
          <w:sz w:val="20"/>
        </w:rPr>
        <w:t>(2</w:t>
      </w:r>
      <w:r>
        <w:rPr>
          <w:color w:val="365F91"/>
          <w:position w:val="7"/>
          <w:sz w:val="13"/>
        </w:rPr>
        <w:t>nd</w:t>
      </w:r>
      <w:r>
        <w:rPr>
          <w:color w:val="365F91"/>
          <w:spacing w:val="11"/>
          <w:position w:val="7"/>
          <w:sz w:val="13"/>
        </w:rPr>
        <w:t> </w:t>
      </w:r>
      <w:r>
        <w:rPr>
          <w:color w:val="365F91"/>
          <w:sz w:val="20"/>
        </w:rPr>
        <w:t>Follow </w:t>
      </w:r>
      <w:r>
        <w:rPr>
          <w:color w:val="365F91"/>
          <w:spacing w:val="-4"/>
          <w:sz w:val="20"/>
        </w:rPr>
        <w:t>up)</w:t>
      </w:r>
    </w:p>
    <w:p>
      <w:pPr>
        <w:spacing w:before="124"/>
        <w:ind w:left="440" w:right="0" w:firstLine="0"/>
        <w:jc w:val="left"/>
        <w:rPr>
          <w:sz w:val="20"/>
        </w:rPr>
      </w:pPr>
      <w:r>
        <w:rPr>
          <w:color w:val="365F91"/>
          <w:sz w:val="20"/>
        </w:rPr>
        <w:t>Risk</w:t>
      </w:r>
      <w:r>
        <w:rPr>
          <w:color w:val="365F91"/>
          <w:spacing w:val="-18"/>
          <w:sz w:val="20"/>
        </w:rPr>
        <w:t> </w:t>
      </w:r>
      <w:r>
        <w:rPr>
          <w:color w:val="365F91"/>
          <w:sz w:val="20"/>
        </w:rPr>
        <w:t>Management</w:t>
      </w:r>
      <w:r>
        <w:rPr>
          <w:color w:val="365F91"/>
          <w:spacing w:val="-18"/>
          <w:sz w:val="20"/>
        </w:rPr>
        <w:t> </w:t>
      </w:r>
      <w:r>
        <w:rPr>
          <w:color w:val="365F91"/>
          <w:sz w:val="20"/>
        </w:rPr>
        <w:t>and Assurance Mapping</w:t>
      </w:r>
    </w:p>
    <w:p>
      <w:pPr>
        <w:spacing w:before="48"/>
        <w:ind w:left="440" w:right="35" w:firstLine="45"/>
        <w:jc w:val="left"/>
        <w:rPr>
          <w:sz w:val="20"/>
        </w:rPr>
      </w:pPr>
      <w:r>
        <w:rPr/>
        <w:br w:type="column"/>
      </w:r>
      <w:r>
        <w:rPr>
          <w:color w:val="365F91"/>
          <w:sz w:val="20"/>
        </w:rPr>
        <w:t>Work in </w:t>
      </w:r>
      <w:r>
        <w:rPr>
          <w:color w:val="365F91"/>
          <w:spacing w:val="-2"/>
          <w:sz w:val="20"/>
        </w:rPr>
        <w:t>Progress</w:t>
      </w:r>
    </w:p>
    <w:p>
      <w:pPr>
        <w:spacing w:before="123"/>
        <w:ind w:left="440" w:right="35" w:firstLine="45"/>
        <w:jc w:val="left"/>
        <w:rPr>
          <w:sz w:val="20"/>
        </w:rPr>
      </w:pPr>
      <w:r>
        <w:rPr>
          <w:color w:val="365F91"/>
          <w:sz w:val="20"/>
        </w:rPr>
        <w:t>Work in </w:t>
      </w:r>
      <w:r>
        <w:rPr>
          <w:color w:val="365F91"/>
          <w:spacing w:val="-2"/>
          <w:sz w:val="20"/>
        </w:rPr>
        <w:t>Progress</w:t>
      </w:r>
    </w:p>
    <w:p>
      <w:pPr>
        <w:spacing w:before="124"/>
        <w:ind w:left="440" w:right="35" w:firstLine="45"/>
        <w:jc w:val="left"/>
        <w:rPr>
          <w:sz w:val="20"/>
        </w:rPr>
      </w:pPr>
      <w:r>
        <w:rPr>
          <w:color w:val="365F91"/>
          <w:sz w:val="20"/>
        </w:rPr>
        <w:t>Work in </w:t>
      </w:r>
      <w:r>
        <w:rPr>
          <w:color w:val="365F91"/>
          <w:spacing w:val="-2"/>
          <w:sz w:val="20"/>
        </w:rPr>
        <w:t>Progress</w:t>
      </w:r>
    </w:p>
    <w:p>
      <w:pPr>
        <w:spacing w:before="168"/>
        <w:ind w:left="440" w:right="0" w:firstLine="0"/>
        <w:jc w:val="left"/>
        <w:rPr>
          <w:sz w:val="20"/>
        </w:rPr>
      </w:pPr>
      <w:r>
        <w:rPr/>
        <w:br w:type="column"/>
      </w:r>
      <w:r>
        <w:rPr>
          <w:color w:val="17365D"/>
          <w:sz w:val="20"/>
        </w:rPr>
        <w:t>April</w:t>
      </w:r>
      <w:r>
        <w:rPr>
          <w:color w:val="17365D"/>
          <w:spacing w:val="-5"/>
          <w:sz w:val="20"/>
        </w:rPr>
        <w:t> 23</w:t>
      </w:r>
    </w:p>
    <w:p>
      <w:pPr>
        <w:pStyle w:val="BodyText"/>
        <w:spacing w:before="1"/>
        <w:rPr>
          <w:sz w:val="30"/>
        </w:rPr>
      </w:pPr>
    </w:p>
    <w:p>
      <w:pPr>
        <w:spacing w:before="1"/>
        <w:ind w:left="440" w:right="0" w:firstLine="0"/>
        <w:jc w:val="left"/>
        <w:rPr>
          <w:sz w:val="20"/>
        </w:rPr>
      </w:pPr>
      <w:r>
        <w:rPr>
          <w:color w:val="17365D"/>
          <w:sz w:val="20"/>
        </w:rPr>
        <w:t>April</w:t>
      </w:r>
      <w:r>
        <w:rPr>
          <w:color w:val="17365D"/>
          <w:spacing w:val="-5"/>
          <w:sz w:val="20"/>
        </w:rPr>
        <w:t> 23</w:t>
      </w:r>
    </w:p>
    <w:p>
      <w:pPr>
        <w:pStyle w:val="BodyText"/>
        <w:spacing w:before="4"/>
        <w:rPr>
          <w:sz w:val="30"/>
        </w:rPr>
      </w:pPr>
    </w:p>
    <w:p>
      <w:pPr>
        <w:spacing w:before="0"/>
        <w:ind w:left="498" w:right="0" w:firstLine="0"/>
        <w:jc w:val="left"/>
        <w:rPr>
          <w:sz w:val="20"/>
        </w:rPr>
      </w:pPr>
      <w:r>
        <w:rPr>
          <w:color w:val="17365D"/>
          <w:sz w:val="20"/>
        </w:rPr>
        <w:t>Jan</w:t>
      </w:r>
      <w:r>
        <w:rPr>
          <w:color w:val="17365D"/>
          <w:spacing w:val="-4"/>
          <w:sz w:val="20"/>
        </w:rPr>
        <w:t> </w:t>
      </w:r>
      <w:r>
        <w:rPr>
          <w:color w:val="17365D"/>
          <w:spacing w:val="-5"/>
          <w:sz w:val="20"/>
        </w:rPr>
        <w:t>23</w:t>
      </w:r>
    </w:p>
    <w:p>
      <w:pPr>
        <w:spacing w:after="0"/>
        <w:jc w:val="left"/>
        <w:rPr>
          <w:sz w:val="20"/>
        </w:rPr>
        <w:sectPr>
          <w:type w:val="continuous"/>
          <w:pgSz w:w="11910" w:h="16840"/>
          <w:pgMar w:header="0" w:footer="704" w:top="740" w:bottom="280" w:left="380" w:right="560"/>
          <w:cols w:num="3" w:equalWidth="0">
            <w:col w:w="3229" w:space="56"/>
            <w:col w:w="1344" w:space="4510"/>
            <w:col w:w="1831"/>
          </w:cols>
        </w:sectPr>
      </w:pPr>
    </w:p>
    <w:p>
      <w:pPr>
        <w:pStyle w:val="BodyText"/>
        <w:spacing w:before="9"/>
        <w:rPr>
          <w:sz w:val="4"/>
        </w:rPr>
      </w:pPr>
    </w:p>
    <w:p>
      <w:pPr>
        <w:pStyle w:val="BodyText"/>
        <w:spacing w:line="20" w:lineRule="exact"/>
        <w:ind w:left="313"/>
        <w:rPr>
          <w:sz w:val="2"/>
        </w:rPr>
      </w:pPr>
      <w:r>
        <w:rPr>
          <w:sz w:val="2"/>
        </w:rPr>
        <w:pict>
          <v:group style="width:525.1pt;height:.5pt;mso-position-horizontal-relative:char;mso-position-vertical-relative:line" id="docshapegroup75" coordorigin="0,0" coordsize="10502,10">
            <v:shape style="position:absolute;left:0;top:4;width:10502;height:2" id="docshape76" coordorigin="0,5" coordsize="10502,0" path="m0,5l3131,5m3116,5l3126,5m3126,5l4547,5m4532,5l4542,5m4542,5l6107,5m6093,5l6102,5m6102,5l6815,5m6801,5l6810,5m6810,5l7950,5m7936,5l7945,5m7945,5l8800,5m8786,5l8796,5m8796,5l10502,5e" filled="false" stroked="true" strokeweight=".48pt" strokecolor="#000000">
              <v:path arrowok="t"/>
              <v:stroke dashstyle="shortdashdot"/>
            </v:shape>
          </v:group>
        </w:pict>
      </w:r>
      <w:r>
        <w:rPr>
          <w:sz w:val="2"/>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r>
        <w:rPr/>
        <w:pict>
          <v:rect style="position:absolute;margin-left:35.400002pt;margin-top:14.038851pt;width:144.020pt;height:.48004pt;mso-position-horizontal-relative:page;mso-position-vertical-relative:paragraph;z-index:-15716352;mso-wrap-distance-left:0;mso-wrap-distance-right:0" id="docshape77" filled="true" fillcolor="#000000" stroked="false">
            <v:fill type="solid"/>
            <w10:wrap type="topAndBottom"/>
          </v:rect>
        </w:pict>
      </w:r>
    </w:p>
    <w:p>
      <w:pPr>
        <w:tabs>
          <w:tab w:pos="10705" w:val="left" w:leader="none"/>
        </w:tabs>
        <w:spacing w:before="83"/>
        <w:ind w:left="328" w:right="0" w:firstLine="0"/>
        <w:jc w:val="left"/>
        <w:rPr>
          <w:sz w:val="18"/>
        </w:rPr>
      </w:pPr>
      <w:r>
        <w:rPr>
          <w:position w:val="6"/>
          <w:sz w:val="12"/>
        </w:rPr>
        <w:t>1</w:t>
      </w:r>
      <w:r>
        <w:rPr>
          <w:spacing w:val="19"/>
          <w:position w:val="6"/>
          <w:sz w:val="12"/>
        </w:rPr>
        <w:t> </w:t>
      </w:r>
      <w:r>
        <w:rPr>
          <w:sz w:val="18"/>
          <w:u w:val="thick"/>
        </w:rPr>
        <w:t>May</w:t>
      </w:r>
      <w:r>
        <w:rPr>
          <w:spacing w:val="-2"/>
          <w:sz w:val="18"/>
          <w:u w:val="thick"/>
        </w:rPr>
        <w:t> </w:t>
      </w:r>
      <w:r>
        <w:rPr>
          <w:sz w:val="18"/>
          <w:u w:val="thick"/>
        </w:rPr>
        <w:t>be</w:t>
      </w:r>
      <w:r>
        <w:rPr>
          <w:spacing w:val="-1"/>
          <w:sz w:val="18"/>
          <w:u w:val="thick"/>
        </w:rPr>
        <w:t> </w:t>
      </w:r>
      <w:r>
        <w:rPr>
          <w:sz w:val="18"/>
          <w:u w:val="thick"/>
        </w:rPr>
        <w:t>subject</w:t>
      </w:r>
      <w:r>
        <w:rPr>
          <w:spacing w:val="-1"/>
          <w:sz w:val="18"/>
          <w:u w:val="thick"/>
        </w:rPr>
        <w:t> </w:t>
      </w:r>
      <w:r>
        <w:rPr>
          <w:sz w:val="18"/>
          <w:u w:val="thick"/>
        </w:rPr>
        <w:t>to </w:t>
      </w:r>
      <w:r>
        <w:rPr>
          <w:spacing w:val="-2"/>
          <w:sz w:val="18"/>
          <w:u w:val="thick"/>
        </w:rPr>
        <w:t>change</w:t>
      </w:r>
      <w:r>
        <w:rPr>
          <w:sz w:val="18"/>
          <w:u w:val="thick"/>
        </w:rPr>
        <w:tab/>
      </w:r>
    </w:p>
    <w:p>
      <w:pPr>
        <w:spacing w:after="0"/>
        <w:jc w:val="left"/>
        <w:rPr>
          <w:sz w:val="18"/>
        </w:rPr>
        <w:sectPr>
          <w:type w:val="continuous"/>
          <w:pgSz w:w="11910" w:h="16840"/>
          <w:pgMar w:header="0" w:footer="704" w:top="740" w:bottom="280" w:left="380" w:right="560"/>
        </w:sectPr>
      </w:pPr>
    </w:p>
    <w:p>
      <w:pPr>
        <w:pStyle w:val="BodyText"/>
        <w:tabs>
          <w:tab w:pos="9056" w:val="left" w:leader="none"/>
        </w:tabs>
        <w:spacing w:before="82"/>
        <w:ind w:left="580"/>
      </w:pPr>
      <w:r>
        <w:rPr/>
        <w:t>Audit</w:t>
      </w:r>
      <w:r>
        <w:rPr>
          <w:spacing w:val="-3"/>
        </w:rPr>
        <w:t> </w:t>
      </w:r>
      <w:r>
        <w:rPr/>
        <w:t>Committee</w:t>
      </w:r>
      <w:r>
        <w:rPr>
          <w:spacing w:val="-2"/>
        </w:rPr>
        <w:t> </w:t>
      </w:r>
      <w:r>
        <w:rPr/>
        <w:t>Progress</w:t>
      </w:r>
      <w:r>
        <w:rPr>
          <w:spacing w:val="-3"/>
        </w:rPr>
        <w:t> </w:t>
      </w:r>
      <w:r>
        <w:rPr>
          <w:spacing w:val="-2"/>
        </w:rPr>
        <w:t>Report</w:t>
      </w:r>
      <w:r>
        <w:rPr/>
        <w:tab/>
        <w:t>January</w:t>
      </w:r>
      <w:r>
        <w:rPr>
          <w:spacing w:val="-4"/>
        </w:rPr>
        <w:t> 2023</w:t>
      </w:r>
    </w:p>
    <w:p>
      <w:pPr>
        <w:pStyle w:val="BodyText"/>
        <w:spacing w:before="11"/>
        <w:rPr>
          <w:sz w:val="9"/>
        </w:rPr>
      </w:pPr>
      <w:r>
        <w:rPr/>
        <w:pict>
          <v:shape style="position:absolute;margin-left:41.760002pt;margin-top:7.235979pt;width:517.4500pt;height:1.45pt;mso-position-horizontal-relative:page;mso-position-vertical-relative:paragraph;z-index:-15713792;mso-wrap-distance-left:0;mso-wrap-distance-right:0" id="docshape78" coordorigin="835,145" coordsize="10349,29" path="m11183,145l6683,145,6669,145,6654,145,835,145,835,174,6654,174,6669,174,6683,174,11183,174,11183,145xe" filled="true" fillcolor="#000000" stroked="false">
            <v:path arrowok="t"/>
            <v:fill type="solid"/>
            <w10:wrap type="topAndBottom"/>
          </v:shape>
        </w:pict>
      </w:r>
    </w:p>
    <w:p>
      <w:pPr>
        <w:pStyle w:val="BodyText"/>
        <w:rPr>
          <w:sz w:val="20"/>
        </w:rPr>
      </w:pPr>
    </w:p>
    <w:p>
      <w:pPr>
        <w:pStyle w:val="BodyText"/>
        <w:rPr>
          <w:sz w:val="20"/>
        </w:rPr>
      </w:pPr>
    </w:p>
    <w:p>
      <w:pPr>
        <w:pStyle w:val="BodyText"/>
        <w:rPr>
          <w:sz w:val="18"/>
        </w:rPr>
      </w:pPr>
    </w:p>
    <w:p>
      <w:pPr>
        <w:spacing w:before="101"/>
        <w:ind w:left="1048" w:right="0" w:firstLine="0"/>
        <w:jc w:val="left"/>
        <w:rPr>
          <w:b/>
          <w:sz w:val="28"/>
        </w:rPr>
      </w:pPr>
      <w:r>
        <w:rPr>
          <w:b/>
          <w:color w:val="375F92"/>
          <w:sz w:val="28"/>
        </w:rPr>
        <w:t>APPENDIX</w:t>
      </w:r>
      <w:r>
        <w:rPr>
          <w:b/>
          <w:color w:val="375F92"/>
          <w:spacing w:val="-10"/>
          <w:sz w:val="28"/>
        </w:rPr>
        <w:t> </w:t>
      </w:r>
      <w:r>
        <w:rPr>
          <w:b/>
          <w:color w:val="375F92"/>
          <w:sz w:val="28"/>
        </w:rPr>
        <w:t>B</w:t>
      </w:r>
      <w:r>
        <w:rPr>
          <w:b/>
          <w:color w:val="375F92"/>
          <w:spacing w:val="-4"/>
          <w:sz w:val="28"/>
        </w:rPr>
        <w:t> </w:t>
      </w:r>
      <w:r>
        <w:rPr>
          <w:b/>
          <w:color w:val="375F92"/>
          <w:sz w:val="28"/>
        </w:rPr>
        <w:t>–</w:t>
      </w:r>
      <w:r>
        <w:rPr>
          <w:b/>
          <w:color w:val="375F92"/>
          <w:spacing w:val="-6"/>
          <w:sz w:val="28"/>
        </w:rPr>
        <w:t> </w:t>
      </w:r>
      <w:r>
        <w:rPr>
          <w:b/>
          <w:color w:val="375F92"/>
          <w:sz w:val="28"/>
        </w:rPr>
        <w:t>KEY</w:t>
      </w:r>
      <w:r>
        <w:rPr>
          <w:b/>
          <w:color w:val="375F92"/>
          <w:spacing w:val="-5"/>
          <w:sz w:val="28"/>
        </w:rPr>
        <w:t> </w:t>
      </w:r>
      <w:r>
        <w:rPr>
          <w:b/>
          <w:color w:val="375F92"/>
          <w:sz w:val="28"/>
        </w:rPr>
        <w:t>PERFORMANCE</w:t>
      </w:r>
      <w:r>
        <w:rPr>
          <w:b/>
          <w:color w:val="375F92"/>
          <w:spacing w:val="-5"/>
          <w:sz w:val="28"/>
        </w:rPr>
        <w:t> </w:t>
      </w:r>
      <w:r>
        <w:rPr>
          <w:b/>
          <w:color w:val="375F92"/>
          <w:spacing w:val="-2"/>
          <w:sz w:val="28"/>
        </w:rPr>
        <w:t>INDICTORS</w:t>
      </w:r>
    </w:p>
    <w:p>
      <w:pPr>
        <w:pStyle w:val="BodyText"/>
        <w:rPr>
          <w:b/>
          <w:sz w:val="20"/>
        </w:rPr>
      </w:pPr>
    </w:p>
    <w:p>
      <w:pPr>
        <w:pStyle w:val="BodyText"/>
        <w:spacing w:before="7"/>
        <w:rPr>
          <w:b/>
          <w:sz w:val="21"/>
        </w:rPr>
      </w:pPr>
    </w:p>
    <w:tbl>
      <w:tblPr>
        <w:tblW w:w="0" w:type="auto"/>
        <w:jc w:val="left"/>
        <w:tblInd w:w="7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93"/>
        <w:gridCol w:w="1985"/>
        <w:gridCol w:w="1985"/>
      </w:tblGrid>
      <w:tr>
        <w:trPr>
          <w:trHeight w:val="645" w:hRule="atLeast"/>
        </w:trPr>
        <w:tc>
          <w:tcPr>
            <w:tcW w:w="4393" w:type="dxa"/>
            <w:shd w:val="clear" w:color="auto" w:fill="B8CCE3"/>
          </w:tcPr>
          <w:p>
            <w:pPr>
              <w:pStyle w:val="TableParagraph"/>
              <w:spacing w:before="102"/>
              <w:ind w:left="107" w:right="190"/>
              <w:rPr>
                <w:b/>
                <w:sz w:val="18"/>
              </w:rPr>
            </w:pPr>
            <w:r>
              <w:rPr>
                <w:b/>
                <w:sz w:val="18"/>
              </w:rPr>
              <w:t>Indicator</w:t>
            </w:r>
            <w:r>
              <w:rPr>
                <w:b/>
                <w:spacing w:val="-10"/>
                <w:sz w:val="18"/>
              </w:rPr>
              <w:t> </w:t>
            </w:r>
            <w:r>
              <w:rPr>
                <w:b/>
                <w:sz w:val="18"/>
              </w:rPr>
              <w:t>Reported</w:t>
            </w:r>
            <w:r>
              <w:rPr>
                <w:b/>
                <w:spacing w:val="-11"/>
                <w:sz w:val="18"/>
              </w:rPr>
              <w:t> </w:t>
            </w:r>
            <w:r>
              <w:rPr>
                <w:b/>
                <w:sz w:val="18"/>
              </w:rPr>
              <w:t>to</w:t>
            </w:r>
            <w:r>
              <w:rPr>
                <w:b/>
                <w:spacing w:val="-9"/>
                <w:sz w:val="18"/>
              </w:rPr>
              <w:t> </w:t>
            </w:r>
            <w:r>
              <w:rPr>
                <w:b/>
                <w:sz w:val="18"/>
              </w:rPr>
              <w:t>NWSSP</w:t>
            </w:r>
            <w:r>
              <w:rPr>
                <w:b/>
                <w:spacing w:val="-10"/>
                <w:sz w:val="18"/>
              </w:rPr>
              <w:t> </w:t>
            </w:r>
            <w:r>
              <w:rPr>
                <w:b/>
                <w:sz w:val="18"/>
              </w:rPr>
              <w:t>Audit </w:t>
            </w:r>
            <w:r>
              <w:rPr>
                <w:b/>
                <w:spacing w:val="-2"/>
                <w:sz w:val="18"/>
              </w:rPr>
              <w:t>Committee</w:t>
            </w:r>
          </w:p>
        </w:tc>
        <w:tc>
          <w:tcPr>
            <w:tcW w:w="1985" w:type="dxa"/>
            <w:shd w:val="clear" w:color="auto" w:fill="B8CCE3"/>
          </w:tcPr>
          <w:p>
            <w:pPr>
              <w:pStyle w:val="TableParagraph"/>
              <w:spacing w:before="5"/>
              <w:rPr>
                <w:b/>
                <w:sz w:val="17"/>
              </w:rPr>
            </w:pPr>
          </w:p>
          <w:p>
            <w:pPr>
              <w:pStyle w:val="TableParagraph"/>
              <w:spacing w:before="1"/>
              <w:ind w:left="604" w:right="694"/>
              <w:jc w:val="center"/>
              <w:rPr>
                <w:b/>
                <w:sz w:val="18"/>
              </w:rPr>
            </w:pPr>
            <w:r>
              <w:rPr>
                <w:b/>
                <w:spacing w:val="-2"/>
                <w:sz w:val="18"/>
              </w:rPr>
              <w:t>Status</w:t>
            </w:r>
          </w:p>
        </w:tc>
        <w:tc>
          <w:tcPr>
            <w:tcW w:w="1985" w:type="dxa"/>
            <w:shd w:val="clear" w:color="auto" w:fill="B8CCE3"/>
          </w:tcPr>
          <w:p>
            <w:pPr>
              <w:pStyle w:val="TableParagraph"/>
              <w:spacing w:before="5"/>
              <w:rPr>
                <w:b/>
                <w:sz w:val="17"/>
              </w:rPr>
            </w:pPr>
          </w:p>
          <w:p>
            <w:pPr>
              <w:pStyle w:val="TableParagraph"/>
              <w:spacing w:before="1"/>
              <w:ind w:left="600" w:right="694"/>
              <w:jc w:val="center"/>
              <w:rPr>
                <w:b/>
                <w:sz w:val="18"/>
              </w:rPr>
            </w:pPr>
            <w:r>
              <w:rPr>
                <w:b/>
                <w:spacing w:val="-2"/>
                <w:sz w:val="18"/>
              </w:rPr>
              <w:t>Actual</w:t>
            </w:r>
          </w:p>
        </w:tc>
      </w:tr>
      <w:tr>
        <w:trPr>
          <w:trHeight w:val="640" w:hRule="atLeast"/>
        </w:trPr>
        <w:tc>
          <w:tcPr>
            <w:tcW w:w="4393" w:type="dxa"/>
          </w:tcPr>
          <w:p>
            <w:pPr>
              <w:pStyle w:val="TableParagraph"/>
              <w:spacing w:before="77"/>
              <w:ind w:left="108" w:right="139"/>
              <w:rPr>
                <w:sz w:val="20"/>
              </w:rPr>
            </w:pPr>
            <w:r>
              <w:rPr>
                <w:color w:val="375F92"/>
                <w:sz w:val="20"/>
              </w:rPr>
              <w:t>Operational</w:t>
            </w:r>
            <w:r>
              <w:rPr>
                <w:color w:val="375F92"/>
                <w:spacing w:val="-11"/>
                <w:sz w:val="20"/>
              </w:rPr>
              <w:t> </w:t>
            </w:r>
            <w:r>
              <w:rPr>
                <w:color w:val="375F92"/>
                <w:sz w:val="20"/>
              </w:rPr>
              <w:t>Audit</w:t>
            </w:r>
            <w:r>
              <w:rPr>
                <w:color w:val="375F92"/>
                <w:spacing w:val="-11"/>
                <w:sz w:val="20"/>
              </w:rPr>
              <w:t> </w:t>
            </w:r>
            <w:r>
              <w:rPr>
                <w:color w:val="375F92"/>
                <w:sz w:val="20"/>
              </w:rPr>
              <w:t>Plan</w:t>
            </w:r>
            <w:r>
              <w:rPr>
                <w:color w:val="375F92"/>
                <w:spacing w:val="-10"/>
                <w:sz w:val="20"/>
              </w:rPr>
              <w:t> </w:t>
            </w:r>
            <w:r>
              <w:rPr>
                <w:color w:val="375F92"/>
                <w:sz w:val="20"/>
              </w:rPr>
              <w:t>agreed</w:t>
            </w:r>
            <w:r>
              <w:rPr>
                <w:color w:val="375F92"/>
                <w:spacing w:val="-11"/>
                <w:sz w:val="20"/>
              </w:rPr>
              <w:t> </w:t>
            </w:r>
            <w:r>
              <w:rPr>
                <w:color w:val="375F92"/>
                <w:sz w:val="20"/>
              </w:rPr>
              <w:t>for </w:t>
            </w:r>
            <w:r>
              <w:rPr>
                <w:color w:val="375F92"/>
                <w:spacing w:val="-2"/>
                <w:sz w:val="20"/>
              </w:rPr>
              <w:t>2022/23</w:t>
            </w:r>
          </w:p>
        </w:tc>
        <w:tc>
          <w:tcPr>
            <w:tcW w:w="1985" w:type="dxa"/>
            <w:shd w:val="clear" w:color="auto" w:fill="00AF50"/>
          </w:tcPr>
          <w:p>
            <w:pPr>
              <w:pStyle w:val="TableParagraph"/>
              <w:spacing w:before="199"/>
              <w:ind w:right="87"/>
              <w:jc w:val="center"/>
              <w:rPr>
                <w:b/>
                <w:sz w:val="20"/>
              </w:rPr>
            </w:pPr>
            <w:r>
              <w:rPr>
                <w:b/>
                <w:color w:val="375F92"/>
                <w:w w:val="99"/>
                <w:sz w:val="20"/>
              </w:rPr>
              <w:t>G</w:t>
            </w:r>
          </w:p>
        </w:tc>
        <w:tc>
          <w:tcPr>
            <w:tcW w:w="1985" w:type="dxa"/>
          </w:tcPr>
          <w:p>
            <w:pPr>
              <w:pStyle w:val="TableParagraph"/>
              <w:spacing w:before="199"/>
              <w:ind w:left="602" w:right="694"/>
              <w:jc w:val="center"/>
              <w:rPr>
                <w:sz w:val="20"/>
              </w:rPr>
            </w:pPr>
            <w:r>
              <w:rPr>
                <w:color w:val="375F92"/>
                <w:spacing w:val="-4"/>
                <w:sz w:val="20"/>
              </w:rPr>
              <w:t>April</w:t>
            </w:r>
          </w:p>
        </w:tc>
      </w:tr>
      <w:tr>
        <w:trPr>
          <w:trHeight w:val="599" w:hRule="atLeast"/>
        </w:trPr>
        <w:tc>
          <w:tcPr>
            <w:tcW w:w="4393" w:type="dxa"/>
          </w:tcPr>
          <w:p>
            <w:pPr>
              <w:pStyle w:val="TableParagraph"/>
              <w:spacing w:before="58"/>
              <w:ind w:left="108" w:right="190"/>
              <w:rPr>
                <w:sz w:val="20"/>
              </w:rPr>
            </w:pPr>
            <w:r>
              <w:rPr>
                <w:color w:val="375F92"/>
                <w:sz w:val="20"/>
              </w:rPr>
              <w:t>Audit</w:t>
            </w:r>
            <w:r>
              <w:rPr>
                <w:color w:val="375F92"/>
                <w:spacing w:val="-11"/>
                <w:sz w:val="20"/>
              </w:rPr>
              <w:t> </w:t>
            </w:r>
            <w:r>
              <w:rPr>
                <w:color w:val="375F92"/>
                <w:sz w:val="20"/>
              </w:rPr>
              <w:t>opinions/annual</w:t>
            </w:r>
            <w:r>
              <w:rPr>
                <w:color w:val="375F92"/>
                <w:spacing w:val="-11"/>
                <w:sz w:val="20"/>
              </w:rPr>
              <w:t> </w:t>
            </w:r>
            <w:r>
              <w:rPr>
                <w:color w:val="375F92"/>
                <w:sz w:val="20"/>
              </w:rPr>
              <w:t>reports</w:t>
            </w:r>
            <w:r>
              <w:rPr>
                <w:color w:val="375F92"/>
                <w:spacing w:val="-11"/>
                <w:sz w:val="20"/>
              </w:rPr>
              <w:t> </w:t>
            </w:r>
            <w:r>
              <w:rPr>
                <w:color w:val="375F92"/>
                <w:sz w:val="20"/>
              </w:rPr>
              <w:t>on</w:t>
            </w:r>
            <w:r>
              <w:rPr>
                <w:color w:val="375F92"/>
                <w:spacing w:val="-11"/>
                <w:sz w:val="20"/>
              </w:rPr>
              <w:t> </w:t>
            </w:r>
            <w:r>
              <w:rPr>
                <w:color w:val="375F92"/>
                <w:sz w:val="20"/>
              </w:rPr>
              <w:t>track </w:t>
            </w:r>
            <w:r>
              <w:rPr>
                <w:color w:val="375F92"/>
                <w:spacing w:val="-2"/>
                <w:sz w:val="20"/>
              </w:rPr>
              <w:t>2022/23</w:t>
            </w:r>
          </w:p>
        </w:tc>
        <w:tc>
          <w:tcPr>
            <w:tcW w:w="1985" w:type="dxa"/>
            <w:shd w:val="clear" w:color="auto" w:fill="00AF50"/>
          </w:tcPr>
          <w:p>
            <w:pPr>
              <w:pStyle w:val="TableParagraph"/>
              <w:spacing w:before="178"/>
              <w:ind w:right="87"/>
              <w:jc w:val="center"/>
              <w:rPr>
                <w:b/>
                <w:sz w:val="20"/>
              </w:rPr>
            </w:pPr>
            <w:r>
              <w:rPr>
                <w:b/>
                <w:color w:val="375F92"/>
                <w:w w:val="99"/>
                <w:sz w:val="20"/>
              </w:rPr>
              <w:t>G</w:t>
            </w:r>
          </w:p>
        </w:tc>
        <w:tc>
          <w:tcPr>
            <w:tcW w:w="1985" w:type="dxa"/>
          </w:tcPr>
          <w:p>
            <w:pPr>
              <w:pStyle w:val="TableParagraph"/>
              <w:spacing w:before="178"/>
              <w:ind w:left="601" w:right="694"/>
              <w:jc w:val="center"/>
              <w:rPr>
                <w:sz w:val="20"/>
              </w:rPr>
            </w:pPr>
            <w:r>
              <w:rPr>
                <w:color w:val="375F92"/>
                <w:spacing w:val="-5"/>
                <w:sz w:val="20"/>
              </w:rPr>
              <w:t>Yes</w:t>
            </w:r>
          </w:p>
        </w:tc>
      </w:tr>
      <w:tr>
        <w:trPr>
          <w:trHeight w:val="845" w:hRule="atLeast"/>
        </w:trPr>
        <w:tc>
          <w:tcPr>
            <w:tcW w:w="4393" w:type="dxa"/>
          </w:tcPr>
          <w:p>
            <w:pPr>
              <w:pStyle w:val="TableParagraph"/>
              <w:spacing w:before="58"/>
              <w:ind w:left="108" w:right="190"/>
              <w:rPr>
                <w:sz w:val="20"/>
              </w:rPr>
            </w:pPr>
            <w:r>
              <w:rPr>
                <w:color w:val="375F92"/>
                <w:sz w:val="20"/>
              </w:rPr>
              <w:t>Total</w:t>
            </w:r>
            <w:r>
              <w:rPr>
                <w:color w:val="375F92"/>
                <w:spacing w:val="-8"/>
                <w:sz w:val="20"/>
              </w:rPr>
              <w:t> </w:t>
            </w:r>
            <w:r>
              <w:rPr>
                <w:color w:val="375F92"/>
                <w:sz w:val="20"/>
              </w:rPr>
              <w:t>assignments</w:t>
            </w:r>
            <w:r>
              <w:rPr>
                <w:color w:val="375F92"/>
                <w:spacing w:val="-7"/>
                <w:sz w:val="20"/>
              </w:rPr>
              <w:t> </w:t>
            </w:r>
            <w:r>
              <w:rPr>
                <w:color w:val="375F92"/>
                <w:sz w:val="20"/>
              </w:rPr>
              <w:t>reported,</w:t>
            </w:r>
            <w:r>
              <w:rPr>
                <w:color w:val="375F92"/>
                <w:spacing w:val="-10"/>
                <w:sz w:val="20"/>
              </w:rPr>
              <w:t> </w:t>
            </w:r>
            <w:r>
              <w:rPr>
                <w:color w:val="375F92"/>
                <w:sz w:val="20"/>
              </w:rPr>
              <w:t>to</w:t>
            </w:r>
            <w:r>
              <w:rPr>
                <w:color w:val="375F92"/>
                <w:spacing w:val="-7"/>
                <w:sz w:val="20"/>
              </w:rPr>
              <w:t> </w:t>
            </w:r>
            <w:r>
              <w:rPr>
                <w:color w:val="375F92"/>
                <w:sz w:val="20"/>
              </w:rPr>
              <w:t>at</w:t>
            </w:r>
            <w:r>
              <w:rPr>
                <w:color w:val="375F92"/>
                <w:spacing w:val="-9"/>
                <w:sz w:val="20"/>
              </w:rPr>
              <w:t> </w:t>
            </w:r>
            <w:r>
              <w:rPr>
                <w:color w:val="375F92"/>
                <w:sz w:val="20"/>
              </w:rPr>
              <w:t>least draft stage, against adjusted plan to date for 2022/223</w:t>
            </w:r>
          </w:p>
        </w:tc>
        <w:tc>
          <w:tcPr>
            <w:tcW w:w="1985" w:type="dxa"/>
            <w:shd w:val="clear" w:color="auto" w:fill="FFC000"/>
          </w:tcPr>
          <w:p>
            <w:pPr>
              <w:pStyle w:val="TableParagraph"/>
              <w:spacing w:before="9"/>
              <w:rPr>
                <w:b/>
                <w:sz w:val="24"/>
              </w:rPr>
            </w:pPr>
          </w:p>
          <w:p>
            <w:pPr>
              <w:pStyle w:val="TableParagraph"/>
              <w:ind w:right="85"/>
              <w:jc w:val="center"/>
              <w:rPr>
                <w:b/>
                <w:sz w:val="20"/>
              </w:rPr>
            </w:pPr>
            <w:r>
              <w:rPr>
                <w:b/>
                <w:color w:val="375F92"/>
                <w:w w:val="99"/>
                <w:sz w:val="20"/>
              </w:rPr>
              <w:t>A</w:t>
            </w:r>
          </w:p>
        </w:tc>
        <w:tc>
          <w:tcPr>
            <w:tcW w:w="1985" w:type="dxa"/>
          </w:tcPr>
          <w:p>
            <w:pPr>
              <w:pStyle w:val="TableParagraph"/>
              <w:spacing w:before="180"/>
              <w:ind w:left="602" w:right="694"/>
              <w:jc w:val="center"/>
              <w:rPr>
                <w:sz w:val="20"/>
              </w:rPr>
            </w:pPr>
            <w:r>
              <w:rPr>
                <w:color w:val="375F92"/>
                <w:spacing w:val="-5"/>
                <w:sz w:val="20"/>
              </w:rPr>
              <w:t>78%</w:t>
            </w:r>
          </w:p>
          <w:p>
            <w:pPr>
              <w:pStyle w:val="TableParagraph"/>
              <w:ind w:left="600" w:right="694"/>
              <w:jc w:val="center"/>
              <w:rPr>
                <w:sz w:val="20"/>
              </w:rPr>
            </w:pPr>
            <w:r>
              <w:rPr>
                <w:color w:val="375F92"/>
                <w:sz w:val="20"/>
              </w:rPr>
              <w:t>7</w:t>
            </w:r>
            <w:r>
              <w:rPr>
                <w:color w:val="375F92"/>
                <w:spacing w:val="-4"/>
                <w:sz w:val="20"/>
              </w:rPr>
              <w:t> </w:t>
            </w:r>
            <w:r>
              <w:rPr>
                <w:color w:val="375F92"/>
                <w:sz w:val="20"/>
              </w:rPr>
              <w:t>of</w:t>
            </w:r>
            <w:r>
              <w:rPr>
                <w:color w:val="375F92"/>
                <w:spacing w:val="-4"/>
                <w:sz w:val="20"/>
              </w:rPr>
              <w:t> </w:t>
            </w:r>
            <w:r>
              <w:rPr>
                <w:color w:val="375F92"/>
                <w:spacing w:val="-10"/>
                <w:sz w:val="20"/>
              </w:rPr>
              <w:t>9</w:t>
            </w:r>
          </w:p>
        </w:tc>
      </w:tr>
      <w:tr>
        <w:trPr>
          <w:trHeight w:val="599" w:hRule="atLeast"/>
        </w:trPr>
        <w:tc>
          <w:tcPr>
            <w:tcW w:w="4393" w:type="dxa"/>
          </w:tcPr>
          <w:p>
            <w:pPr>
              <w:pStyle w:val="TableParagraph"/>
              <w:spacing w:before="178"/>
              <w:ind w:left="108"/>
              <w:rPr>
                <w:sz w:val="20"/>
              </w:rPr>
            </w:pPr>
            <w:r>
              <w:rPr>
                <w:color w:val="375F92"/>
                <w:sz w:val="20"/>
              </w:rPr>
              <w:t>Audits</w:t>
            </w:r>
            <w:r>
              <w:rPr>
                <w:color w:val="375F92"/>
                <w:spacing w:val="-6"/>
                <w:sz w:val="20"/>
              </w:rPr>
              <w:t> </w:t>
            </w:r>
            <w:r>
              <w:rPr>
                <w:color w:val="375F92"/>
                <w:sz w:val="20"/>
              </w:rPr>
              <w:t>at</w:t>
            </w:r>
            <w:r>
              <w:rPr>
                <w:color w:val="375F92"/>
                <w:spacing w:val="-4"/>
                <w:sz w:val="20"/>
              </w:rPr>
              <w:t> </w:t>
            </w:r>
            <w:r>
              <w:rPr>
                <w:color w:val="375F92"/>
                <w:sz w:val="20"/>
              </w:rPr>
              <w:t>work</w:t>
            </w:r>
            <w:r>
              <w:rPr>
                <w:color w:val="375F92"/>
                <w:spacing w:val="-5"/>
                <w:sz w:val="20"/>
              </w:rPr>
              <w:t> </w:t>
            </w:r>
            <w:r>
              <w:rPr>
                <w:color w:val="375F92"/>
                <w:sz w:val="20"/>
              </w:rPr>
              <w:t>in</w:t>
            </w:r>
            <w:r>
              <w:rPr>
                <w:color w:val="375F92"/>
                <w:spacing w:val="-5"/>
                <w:sz w:val="20"/>
              </w:rPr>
              <w:t> </w:t>
            </w:r>
            <w:r>
              <w:rPr>
                <w:color w:val="375F92"/>
                <w:sz w:val="20"/>
              </w:rPr>
              <w:t>progress</w:t>
            </w:r>
            <w:r>
              <w:rPr>
                <w:color w:val="375F92"/>
                <w:spacing w:val="-2"/>
                <w:sz w:val="20"/>
              </w:rPr>
              <w:t> stage</w:t>
            </w:r>
          </w:p>
        </w:tc>
        <w:tc>
          <w:tcPr>
            <w:tcW w:w="1985" w:type="dxa"/>
          </w:tcPr>
          <w:p>
            <w:pPr>
              <w:pStyle w:val="TableParagraph"/>
              <w:spacing w:before="178"/>
              <w:ind w:left="604" w:right="690"/>
              <w:jc w:val="center"/>
              <w:rPr>
                <w:b/>
                <w:sz w:val="20"/>
              </w:rPr>
            </w:pPr>
            <w:r>
              <w:rPr>
                <w:b/>
                <w:color w:val="375F92"/>
                <w:spacing w:val="-2"/>
                <w:sz w:val="20"/>
              </w:rPr>
              <w:t>--</w:t>
            </w:r>
            <w:r>
              <w:rPr>
                <w:b/>
                <w:color w:val="375F92"/>
                <w:spacing w:val="-10"/>
                <w:sz w:val="20"/>
              </w:rPr>
              <w:t>-</w:t>
            </w:r>
          </w:p>
        </w:tc>
        <w:tc>
          <w:tcPr>
            <w:tcW w:w="1985" w:type="dxa"/>
          </w:tcPr>
          <w:p>
            <w:pPr>
              <w:pStyle w:val="TableParagraph"/>
              <w:spacing w:before="58"/>
              <w:ind w:left="563" w:right="651" w:firstLine="141"/>
              <w:rPr>
                <w:sz w:val="20"/>
              </w:rPr>
            </w:pPr>
            <w:r>
              <w:rPr>
                <w:color w:val="375F92"/>
                <w:spacing w:val="-4"/>
                <w:sz w:val="20"/>
              </w:rPr>
              <w:t>50% </w:t>
            </w:r>
            <w:r>
              <w:rPr>
                <w:color w:val="375F92"/>
                <w:spacing w:val="-2"/>
                <w:sz w:val="20"/>
              </w:rPr>
              <w:t>(7of14)</w:t>
            </w:r>
          </w:p>
        </w:tc>
      </w:tr>
      <w:tr>
        <w:trPr>
          <w:trHeight w:val="842" w:hRule="atLeast"/>
        </w:trPr>
        <w:tc>
          <w:tcPr>
            <w:tcW w:w="4393" w:type="dxa"/>
          </w:tcPr>
          <w:p>
            <w:pPr>
              <w:pStyle w:val="TableParagraph"/>
              <w:spacing w:before="58"/>
              <w:ind w:left="108" w:right="190"/>
              <w:rPr>
                <w:sz w:val="20"/>
              </w:rPr>
            </w:pPr>
            <w:r>
              <w:rPr>
                <w:color w:val="375F92"/>
                <w:sz w:val="20"/>
              </w:rPr>
              <w:t>Report</w:t>
            </w:r>
            <w:r>
              <w:rPr>
                <w:color w:val="375F92"/>
                <w:spacing w:val="-11"/>
                <w:sz w:val="20"/>
              </w:rPr>
              <w:t> </w:t>
            </w:r>
            <w:r>
              <w:rPr>
                <w:color w:val="375F92"/>
                <w:sz w:val="20"/>
              </w:rPr>
              <w:t>turnaround:</w:t>
            </w:r>
            <w:r>
              <w:rPr>
                <w:color w:val="375F92"/>
                <w:spacing w:val="-11"/>
                <w:sz w:val="20"/>
              </w:rPr>
              <w:t> </w:t>
            </w:r>
            <w:r>
              <w:rPr>
                <w:color w:val="375F92"/>
                <w:sz w:val="20"/>
              </w:rPr>
              <w:t>time</w:t>
            </w:r>
            <w:r>
              <w:rPr>
                <w:color w:val="375F92"/>
                <w:spacing w:val="-13"/>
                <w:sz w:val="20"/>
              </w:rPr>
              <w:t> </w:t>
            </w:r>
            <w:r>
              <w:rPr>
                <w:color w:val="375F92"/>
                <w:sz w:val="20"/>
              </w:rPr>
              <w:t>from</w:t>
            </w:r>
            <w:r>
              <w:rPr>
                <w:color w:val="375F92"/>
                <w:spacing w:val="-10"/>
                <w:sz w:val="20"/>
              </w:rPr>
              <w:t> </w:t>
            </w:r>
            <w:r>
              <w:rPr>
                <w:color w:val="375F92"/>
                <w:sz w:val="20"/>
              </w:rPr>
              <w:t>fieldwork completion to draft reporting [10 working days]</w:t>
            </w:r>
          </w:p>
        </w:tc>
        <w:tc>
          <w:tcPr>
            <w:tcW w:w="1985" w:type="dxa"/>
            <w:shd w:val="clear" w:color="auto" w:fill="FFC000"/>
          </w:tcPr>
          <w:p>
            <w:pPr>
              <w:pStyle w:val="TableParagraph"/>
              <w:spacing w:before="8"/>
              <w:rPr>
                <w:b/>
                <w:sz w:val="24"/>
              </w:rPr>
            </w:pPr>
          </w:p>
          <w:p>
            <w:pPr>
              <w:pStyle w:val="TableParagraph"/>
              <w:ind w:right="85"/>
              <w:jc w:val="center"/>
              <w:rPr>
                <w:b/>
                <w:sz w:val="20"/>
              </w:rPr>
            </w:pPr>
            <w:r>
              <w:rPr>
                <w:b/>
                <w:color w:val="375F92"/>
                <w:w w:val="99"/>
                <w:sz w:val="20"/>
              </w:rPr>
              <w:t>A</w:t>
            </w:r>
          </w:p>
        </w:tc>
        <w:tc>
          <w:tcPr>
            <w:tcW w:w="1985" w:type="dxa"/>
          </w:tcPr>
          <w:p>
            <w:pPr>
              <w:pStyle w:val="TableParagraph"/>
              <w:spacing w:before="178"/>
              <w:ind w:left="601" w:right="694"/>
              <w:jc w:val="center"/>
              <w:rPr>
                <w:sz w:val="20"/>
              </w:rPr>
            </w:pPr>
            <w:r>
              <w:rPr>
                <w:color w:val="375F92"/>
                <w:spacing w:val="-5"/>
                <w:sz w:val="20"/>
              </w:rPr>
              <w:t>71%</w:t>
            </w:r>
          </w:p>
          <w:p>
            <w:pPr>
              <w:pStyle w:val="TableParagraph"/>
              <w:spacing w:before="1"/>
              <w:ind w:left="600" w:right="694"/>
              <w:jc w:val="center"/>
              <w:rPr>
                <w:sz w:val="20"/>
              </w:rPr>
            </w:pPr>
            <w:r>
              <w:rPr>
                <w:color w:val="375F92"/>
                <w:spacing w:val="-2"/>
                <w:sz w:val="20"/>
              </w:rPr>
              <w:t>(5of7)</w:t>
            </w:r>
          </w:p>
        </w:tc>
      </w:tr>
      <w:tr>
        <w:trPr>
          <w:trHeight w:val="844" w:hRule="atLeast"/>
        </w:trPr>
        <w:tc>
          <w:tcPr>
            <w:tcW w:w="4393" w:type="dxa"/>
          </w:tcPr>
          <w:p>
            <w:pPr>
              <w:pStyle w:val="TableParagraph"/>
              <w:spacing w:before="58"/>
              <w:ind w:left="108" w:right="190"/>
              <w:rPr>
                <w:sz w:val="20"/>
              </w:rPr>
            </w:pPr>
            <w:r>
              <w:rPr>
                <w:color w:val="375F92"/>
                <w:sz w:val="20"/>
              </w:rPr>
              <w:t>Report turnaround: time taken for management</w:t>
            </w:r>
            <w:r>
              <w:rPr>
                <w:color w:val="375F92"/>
                <w:spacing w:val="-9"/>
                <w:sz w:val="20"/>
              </w:rPr>
              <w:t> </w:t>
            </w:r>
            <w:r>
              <w:rPr>
                <w:color w:val="375F92"/>
                <w:sz w:val="20"/>
              </w:rPr>
              <w:t>response</w:t>
            </w:r>
            <w:r>
              <w:rPr>
                <w:color w:val="375F92"/>
                <w:spacing w:val="-12"/>
                <w:sz w:val="20"/>
              </w:rPr>
              <w:t> </w:t>
            </w:r>
            <w:r>
              <w:rPr>
                <w:color w:val="375F92"/>
                <w:sz w:val="20"/>
              </w:rPr>
              <w:t>to</w:t>
            </w:r>
            <w:r>
              <w:rPr>
                <w:color w:val="375F92"/>
                <w:spacing w:val="-12"/>
                <w:sz w:val="20"/>
              </w:rPr>
              <w:t> </w:t>
            </w:r>
            <w:r>
              <w:rPr>
                <w:color w:val="375F92"/>
                <w:sz w:val="20"/>
              </w:rPr>
              <w:t>draft</w:t>
            </w:r>
            <w:r>
              <w:rPr>
                <w:color w:val="375F92"/>
                <w:spacing w:val="-12"/>
                <w:sz w:val="20"/>
              </w:rPr>
              <w:t> </w:t>
            </w:r>
            <w:r>
              <w:rPr>
                <w:color w:val="375F92"/>
                <w:sz w:val="20"/>
              </w:rPr>
              <w:t>report [15 working days]</w:t>
            </w:r>
          </w:p>
        </w:tc>
        <w:tc>
          <w:tcPr>
            <w:tcW w:w="1985" w:type="dxa"/>
            <w:shd w:val="clear" w:color="auto" w:fill="00AF50"/>
          </w:tcPr>
          <w:p>
            <w:pPr>
              <w:pStyle w:val="TableParagraph"/>
              <w:spacing w:before="11"/>
              <w:rPr>
                <w:b/>
                <w:sz w:val="24"/>
              </w:rPr>
            </w:pPr>
          </w:p>
          <w:p>
            <w:pPr>
              <w:pStyle w:val="TableParagraph"/>
              <w:ind w:right="87"/>
              <w:jc w:val="center"/>
              <w:rPr>
                <w:b/>
                <w:sz w:val="20"/>
              </w:rPr>
            </w:pPr>
            <w:r>
              <w:rPr>
                <w:b/>
                <w:color w:val="375F92"/>
                <w:w w:val="99"/>
                <w:sz w:val="20"/>
              </w:rPr>
              <w:t>G</w:t>
            </w:r>
          </w:p>
        </w:tc>
        <w:tc>
          <w:tcPr>
            <w:tcW w:w="1985" w:type="dxa"/>
          </w:tcPr>
          <w:p>
            <w:pPr>
              <w:pStyle w:val="TableParagraph"/>
              <w:spacing w:line="243" w:lineRule="exact" w:before="180"/>
              <w:ind w:left="643"/>
              <w:rPr>
                <w:sz w:val="20"/>
              </w:rPr>
            </w:pPr>
            <w:r>
              <w:rPr>
                <w:color w:val="375F92"/>
                <w:spacing w:val="-4"/>
                <w:sz w:val="20"/>
              </w:rPr>
              <w:t>100%</w:t>
            </w:r>
          </w:p>
          <w:p>
            <w:pPr>
              <w:pStyle w:val="TableParagraph"/>
              <w:spacing w:line="243" w:lineRule="exact"/>
              <w:ind w:left="626"/>
              <w:rPr>
                <w:sz w:val="20"/>
              </w:rPr>
            </w:pPr>
            <w:r>
              <w:rPr>
                <w:color w:val="375F92"/>
                <w:spacing w:val="-2"/>
                <w:sz w:val="20"/>
              </w:rPr>
              <w:t>(7of7)</w:t>
            </w:r>
          </w:p>
        </w:tc>
      </w:tr>
      <w:tr>
        <w:trPr>
          <w:trHeight w:val="844" w:hRule="atLeast"/>
        </w:trPr>
        <w:tc>
          <w:tcPr>
            <w:tcW w:w="4393" w:type="dxa"/>
          </w:tcPr>
          <w:p>
            <w:pPr>
              <w:pStyle w:val="TableParagraph"/>
              <w:spacing w:before="58"/>
              <w:ind w:left="108" w:right="190"/>
              <w:rPr>
                <w:sz w:val="20"/>
              </w:rPr>
            </w:pPr>
            <w:r>
              <w:rPr>
                <w:color w:val="375F92"/>
                <w:sz w:val="20"/>
              </w:rPr>
              <w:t>Report turnaround: time from management</w:t>
            </w:r>
            <w:r>
              <w:rPr>
                <w:color w:val="375F92"/>
                <w:spacing w:val="-7"/>
                <w:sz w:val="20"/>
              </w:rPr>
              <w:t> </w:t>
            </w:r>
            <w:r>
              <w:rPr>
                <w:color w:val="375F92"/>
                <w:sz w:val="20"/>
              </w:rPr>
              <w:t>response</w:t>
            </w:r>
            <w:r>
              <w:rPr>
                <w:color w:val="375F92"/>
                <w:spacing w:val="-11"/>
                <w:sz w:val="20"/>
              </w:rPr>
              <w:t> </w:t>
            </w:r>
            <w:r>
              <w:rPr>
                <w:color w:val="375F92"/>
                <w:sz w:val="20"/>
              </w:rPr>
              <w:t>to</w:t>
            </w:r>
            <w:r>
              <w:rPr>
                <w:color w:val="375F92"/>
                <w:spacing w:val="-11"/>
                <w:sz w:val="20"/>
              </w:rPr>
              <w:t> </w:t>
            </w:r>
            <w:r>
              <w:rPr>
                <w:color w:val="375F92"/>
                <w:sz w:val="20"/>
              </w:rPr>
              <w:t>issue</w:t>
            </w:r>
            <w:r>
              <w:rPr>
                <w:color w:val="375F92"/>
                <w:spacing w:val="-9"/>
                <w:sz w:val="20"/>
              </w:rPr>
              <w:t> </w:t>
            </w:r>
            <w:r>
              <w:rPr>
                <w:color w:val="375F92"/>
                <w:sz w:val="20"/>
              </w:rPr>
              <w:t>of</w:t>
            </w:r>
            <w:r>
              <w:rPr>
                <w:color w:val="375F92"/>
                <w:spacing w:val="-8"/>
                <w:sz w:val="20"/>
              </w:rPr>
              <w:t> </w:t>
            </w:r>
            <w:r>
              <w:rPr>
                <w:color w:val="375F92"/>
                <w:sz w:val="20"/>
              </w:rPr>
              <w:t>final report [10 working days]</w:t>
            </w:r>
          </w:p>
        </w:tc>
        <w:tc>
          <w:tcPr>
            <w:tcW w:w="1985" w:type="dxa"/>
            <w:shd w:val="clear" w:color="auto" w:fill="00AF50"/>
          </w:tcPr>
          <w:p>
            <w:pPr>
              <w:pStyle w:val="TableParagraph"/>
              <w:spacing w:before="8"/>
              <w:rPr>
                <w:b/>
                <w:sz w:val="24"/>
              </w:rPr>
            </w:pPr>
          </w:p>
          <w:p>
            <w:pPr>
              <w:pStyle w:val="TableParagraph"/>
              <w:ind w:right="87"/>
              <w:jc w:val="center"/>
              <w:rPr>
                <w:b/>
                <w:sz w:val="20"/>
              </w:rPr>
            </w:pPr>
            <w:r>
              <w:rPr>
                <w:b/>
                <w:color w:val="375F92"/>
                <w:w w:val="99"/>
                <w:sz w:val="20"/>
              </w:rPr>
              <w:t>G</w:t>
            </w:r>
          </w:p>
        </w:tc>
        <w:tc>
          <w:tcPr>
            <w:tcW w:w="1985" w:type="dxa"/>
          </w:tcPr>
          <w:p>
            <w:pPr>
              <w:pStyle w:val="TableParagraph"/>
              <w:spacing w:before="178"/>
              <w:ind w:left="643"/>
              <w:rPr>
                <w:sz w:val="20"/>
              </w:rPr>
            </w:pPr>
            <w:r>
              <w:rPr>
                <w:color w:val="375F92"/>
                <w:spacing w:val="-4"/>
                <w:sz w:val="20"/>
              </w:rPr>
              <w:t>100%</w:t>
            </w:r>
          </w:p>
          <w:p>
            <w:pPr>
              <w:pStyle w:val="TableParagraph"/>
              <w:spacing w:before="1"/>
              <w:ind w:left="626"/>
              <w:rPr>
                <w:sz w:val="20"/>
              </w:rPr>
            </w:pPr>
            <w:r>
              <w:rPr>
                <w:color w:val="375F92"/>
                <w:spacing w:val="-2"/>
                <w:sz w:val="20"/>
              </w:rPr>
              <w:t>(7of7)</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18"/>
        </w:rPr>
      </w:pPr>
      <w:r>
        <w:rPr/>
        <w:pict>
          <v:rect style="position:absolute;margin-left:41.040001pt;margin-top:12.187988pt;width:513.22pt;height:1.44pt;mso-position-horizontal-relative:page;mso-position-vertical-relative:paragraph;z-index:-15713280;mso-wrap-distance-left:0;mso-wrap-distance-right:0" id="docshape79" filled="true" fillcolor="#000000" stroked="false">
            <v:fill type="solid"/>
            <w10:wrap type="topAndBottom"/>
          </v:rect>
        </w:pict>
      </w:r>
    </w:p>
    <w:p>
      <w:pPr>
        <w:spacing w:after="0"/>
        <w:rPr>
          <w:sz w:val="18"/>
        </w:rPr>
        <w:sectPr>
          <w:pgSz w:w="11910" w:h="16840"/>
          <w:pgMar w:header="0" w:footer="704" w:top="620" w:bottom="900" w:left="380" w:right="560"/>
        </w:sectPr>
      </w:pPr>
    </w:p>
    <w:p>
      <w:pPr>
        <w:pStyle w:val="BodyText"/>
        <w:tabs>
          <w:tab w:pos="9056" w:val="left" w:leader="none"/>
        </w:tabs>
        <w:spacing w:before="82"/>
        <w:ind w:left="580"/>
      </w:pPr>
      <w:r>
        <w:rPr/>
        <w:t>Audit</w:t>
      </w:r>
      <w:r>
        <w:rPr>
          <w:spacing w:val="-3"/>
        </w:rPr>
        <w:t> </w:t>
      </w:r>
      <w:r>
        <w:rPr/>
        <w:t>Committee</w:t>
      </w:r>
      <w:r>
        <w:rPr>
          <w:spacing w:val="-2"/>
        </w:rPr>
        <w:t> </w:t>
      </w:r>
      <w:r>
        <w:rPr/>
        <w:t>Progress</w:t>
      </w:r>
      <w:r>
        <w:rPr>
          <w:spacing w:val="-3"/>
        </w:rPr>
        <w:t> </w:t>
      </w:r>
      <w:r>
        <w:rPr>
          <w:spacing w:val="-2"/>
        </w:rPr>
        <w:t>Report</w:t>
      </w:r>
      <w:r>
        <w:rPr/>
        <w:tab/>
        <w:t>January</w:t>
      </w:r>
      <w:r>
        <w:rPr>
          <w:spacing w:val="-4"/>
        </w:rPr>
        <w:t> 2023</w:t>
      </w:r>
    </w:p>
    <w:p>
      <w:pPr>
        <w:pStyle w:val="BodyText"/>
        <w:spacing w:before="11"/>
        <w:rPr>
          <w:sz w:val="9"/>
        </w:rPr>
      </w:pPr>
      <w:r>
        <w:rPr/>
        <w:pict>
          <v:shape style="position:absolute;margin-left:41.760002pt;margin-top:7.235979pt;width:517.4500pt;height:1.45pt;mso-position-horizontal-relative:page;mso-position-vertical-relative:paragraph;z-index:-15712768;mso-wrap-distance-left:0;mso-wrap-distance-right:0" id="docshape80" coordorigin="835,145" coordsize="10349,29" path="m11183,145l6683,145,6669,145,6654,145,835,145,835,174,6654,174,6669,174,6683,174,11183,174,11183,145xe" filled="true" fillcolor="#000000" stroked="false">
            <v:path arrowok="t"/>
            <v:fill type="solid"/>
            <w10:wrap type="topAndBottom"/>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r>
        <w:rPr/>
        <w:drawing>
          <wp:anchor distT="0" distB="0" distL="0" distR="0" allowOverlap="1" layoutInCell="1" locked="0" behindDoc="0" simplePos="0" relativeHeight="32">
            <wp:simplePos x="0" y="0"/>
            <wp:positionH relativeFrom="page">
              <wp:posOffset>706929</wp:posOffset>
            </wp:positionH>
            <wp:positionV relativeFrom="paragraph">
              <wp:posOffset>203375</wp:posOffset>
            </wp:positionV>
            <wp:extent cx="3373100" cy="1002791"/>
            <wp:effectExtent l="0" t="0" r="0" b="0"/>
            <wp:wrapTopAndBottom/>
            <wp:docPr id="21" name="image9.jpeg"/>
            <wp:cNvGraphicFramePr>
              <a:graphicFrameLocks noChangeAspect="1"/>
            </wp:cNvGraphicFramePr>
            <a:graphic>
              <a:graphicData uri="http://schemas.openxmlformats.org/drawingml/2006/picture">
                <pic:pic>
                  <pic:nvPicPr>
                    <pic:cNvPr id="22" name="image9.jpeg"/>
                    <pic:cNvPicPr/>
                  </pic:nvPicPr>
                  <pic:blipFill>
                    <a:blip r:embed="rId42" cstate="print"/>
                    <a:stretch>
                      <a:fillRect/>
                    </a:stretch>
                  </pic:blipFill>
                  <pic:spPr>
                    <a:xfrm>
                      <a:off x="0" y="0"/>
                      <a:ext cx="3373100" cy="1002791"/>
                    </a:xfrm>
                    <a:prstGeom prst="rect">
                      <a:avLst/>
                    </a:prstGeom>
                  </pic:spPr>
                </pic:pic>
              </a:graphicData>
            </a:graphic>
          </wp:anchor>
        </w:drawing>
      </w:r>
    </w:p>
    <w:p>
      <w:pPr>
        <w:pStyle w:val="BodyText"/>
        <w:rPr>
          <w:sz w:val="20"/>
        </w:rPr>
      </w:pPr>
    </w:p>
    <w:p>
      <w:pPr>
        <w:pStyle w:val="BodyText"/>
        <w:spacing w:before="4"/>
        <w:rPr>
          <w:sz w:val="19"/>
        </w:rPr>
      </w:pPr>
    </w:p>
    <w:p>
      <w:pPr>
        <w:spacing w:before="100"/>
        <w:ind w:left="1036" w:right="0" w:firstLine="0"/>
        <w:jc w:val="left"/>
        <w:rPr>
          <w:sz w:val="18"/>
        </w:rPr>
      </w:pPr>
      <w:r>
        <w:rPr>
          <w:sz w:val="18"/>
        </w:rPr>
        <w:t>Office</w:t>
      </w:r>
      <w:r>
        <w:rPr>
          <w:spacing w:val="-4"/>
          <w:sz w:val="18"/>
        </w:rPr>
        <w:t> </w:t>
      </w:r>
      <w:r>
        <w:rPr>
          <w:spacing w:val="-2"/>
          <w:sz w:val="18"/>
        </w:rPr>
        <w:t>details:</w:t>
      </w:r>
    </w:p>
    <w:p>
      <w:pPr>
        <w:pStyle w:val="BodyText"/>
        <w:spacing w:before="2"/>
        <w:rPr>
          <w:sz w:val="18"/>
        </w:rPr>
      </w:pPr>
    </w:p>
    <w:p>
      <w:pPr>
        <w:spacing w:line="219" w:lineRule="exact" w:before="0"/>
        <w:ind w:left="1048" w:right="0" w:firstLine="0"/>
        <w:jc w:val="left"/>
        <w:rPr>
          <w:sz w:val="18"/>
        </w:rPr>
      </w:pPr>
      <w:r>
        <w:rPr>
          <w:sz w:val="18"/>
        </w:rPr>
        <w:t>Contact</w:t>
      </w:r>
      <w:r>
        <w:rPr>
          <w:spacing w:val="-3"/>
          <w:sz w:val="18"/>
        </w:rPr>
        <w:t> </w:t>
      </w:r>
      <w:r>
        <w:rPr>
          <w:sz w:val="18"/>
        </w:rPr>
        <w:t>details:</w:t>
      </w:r>
      <w:r>
        <w:rPr>
          <w:spacing w:val="7"/>
          <w:sz w:val="18"/>
        </w:rPr>
        <w:t> </w:t>
      </w:r>
      <w:hyperlink r:id="rId43">
        <w:r>
          <w:rPr>
            <w:color w:val="0000FF"/>
            <w:spacing w:val="-2"/>
            <w:sz w:val="18"/>
            <w:u w:val="single" w:color="0000FF"/>
          </w:rPr>
          <w:t>james.johns@wales.nhs.uk</w:t>
        </w:r>
      </w:hyperlink>
    </w:p>
    <w:p>
      <w:pPr>
        <w:spacing w:before="0"/>
        <w:ind w:left="1036" w:right="0" w:firstLine="0"/>
        <w:jc w:val="left"/>
        <w:rPr>
          <w:sz w:val="18"/>
        </w:rPr>
      </w:pPr>
      <w:r>
        <w:rPr>
          <w:sz w:val="18"/>
        </w:rPr>
        <w:t>Webpage:</w:t>
      </w:r>
      <w:r>
        <w:rPr>
          <w:spacing w:val="-3"/>
          <w:sz w:val="18"/>
        </w:rPr>
        <w:t> </w:t>
      </w:r>
      <w:hyperlink r:id="rId44">
        <w:r>
          <w:rPr>
            <w:color w:val="0000FF"/>
            <w:sz w:val="18"/>
            <w:u w:val="single" w:color="0000FF"/>
          </w:rPr>
          <w:t>Audit</w:t>
        </w:r>
        <w:r>
          <w:rPr>
            <w:color w:val="0000FF"/>
            <w:spacing w:val="-1"/>
            <w:sz w:val="18"/>
            <w:u w:val="single" w:color="0000FF"/>
          </w:rPr>
          <w:t> </w:t>
        </w:r>
        <w:r>
          <w:rPr>
            <w:color w:val="0000FF"/>
            <w:sz w:val="18"/>
            <w:u w:val="single" w:color="0000FF"/>
          </w:rPr>
          <w:t>&amp;</w:t>
        </w:r>
        <w:r>
          <w:rPr>
            <w:color w:val="0000FF"/>
            <w:spacing w:val="-2"/>
            <w:sz w:val="18"/>
            <w:u w:val="single" w:color="0000FF"/>
          </w:rPr>
          <w:t> </w:t>
        </w:r>
        <w:r>
          <w:rPr>
            <w:color w:val="0000FF"/>
            <w:sz w:val="18"/>
            <w:u w:val="single" w:color="0000FF"/>
          </w:rPr>
          <w:t>Assurance</w:t>
        </w:r>
        <w:r>
          <w:rPr>
            <w:color w:val="0000FF"/>
            <w:spacing w:val="-1"/>
            <w:sz w:val="18"/>
            <w:u w:val="single" w:color="0000FF"/>
          </w:rPr>
          <w:t> </w:t>
        </w:r>
        <w:r>
          <w:rPr>
            <w:color w:val="0000FF"/>
            <w:sz w:val="18"/>
            <w:u w:val="single" w:color="0000FF"/>
          </w:rPr>
          <w:t>Services</w:t>
        </w:r>
        <w:r>
          <w:rPr>
            <w:color w:val="0000FF"/>
            <w:spacing w:val="-1"/>
            <w:sz w:val="18"/>
            <w:u w:val="single" w:color="0000FF"/>
          </w:rPr>
          <w:t> </w:t>
        </w:r>
        <w:r>
          <w:rPr>
            <w:color w:val="0000FF"/>
            <w:sz w:val="18"/>
            <w:u w:val="single" w:color="0000FF"/>
          </w:rPr>
          <w:t>-</w:t>
        </w:r>
        <w:r>
          <w:rPr>
            <w:color w:val="0000FF"/>
            <w:spacing w:val="-3"/>
            <w:sz w:val="18"/>
            <w:u w:val="single" w:color="0000FF"/>
          </w:rPr>
          <w:t> </w:t>
        </w:r>
        <w:r>
          <w:rPr>
            <w:color w:val="0000FF"/>
            <w:sz w:val="18"/>
            <w:u w:val="single" w:color="0000FF"/>
          </w:rPr>
          <w:t>NHS</w:t>
        </w:r>
        <w:r>
          <w:rPr>
            <w:color w:val="0000FF"/>
            <w:spacing w:val="-1"/>
            <w:sz w:val="18"/>
            <w:u w:val="single" w:color="0000FF"/>
          </w:rPr>
          <w:t> </w:t>
        </w:r>
        <w:r>
          <w:rPr>
            <w:color w:val="0000FF"/>
            <w:sz w:val="18"/>
            <w:u w:val="single" w:color="0000FF"/>
          </w:rPr>
          <w:t>Wales</w:t>
        </w:r>
        <w:r>
          <w:rPr>
            <w:color w:val="0000FF"/>
            <w:spacing w:val="-3"/>
            <w:sz w:val="18"/>
            <w:u w:val="single" w:color="0000FF"/>
          </w:rPr>
          <w:t> </w:t>
        </w:r>
        <w:r>
          <w:rPr>
            <w:color w:val="0000FF"/>
            <w:sz w:val="18"/>
            <w:u w:val="single" w:color="0000FF"/>
          </w:rPr>
          <w:t>Shared</w:t>
        </w:r>
        <w:r>
          <w:rPr>
            <w:color w:val="0000FF"/>
            <w:spacing w:val="-1"/>
            <w:sz w:val="18"/>
            <w:u w:val="single" w:color="0000FF"/>
          </w:rPr>
          <w:t> </w:t>
        </w:r>
        <w:r>
          <w:rPr>
            <w:color w:val="0000FF"/>
            <w:sz w:val="18"/>
            <w:u w:val="single" w:color="0000FF"/>
          </w:rPr>
          <w:t>Services</w:t>
        </w:r>
        <w:r>
          <w:rPr>
            <w:color w:val="0000FF"/>
            <w:spacing w:val="-2"/>
            <w:sz w:val="18"/>
            <w:u w:val="single" w:color="0000FF"/>
          </w:rPr>
          <w:t> Partnership</w:t>
        </w:r>
      </w:hyperlink>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r>
        <w:rPr/>
        <w:pict>
          <v:rect style="position:absolute;margin-left:41.040001pt;margin-top:12.594149pt;width:513.22pt;height:1.44pt;mso-position-horizontal-relative:page;mso-position-vertical-relative:paragraph;z-index:-15711744;mso-wrap-distance-left:0;mso-wrap-distance-right:0" id="docshape81" filled="true" fillcolor="#000000" stroked="false">
            <v:fill type="solid"/>
            <w10:wrap type="topAndBottom"/>
          </v:rect>
        </w:pict>
      </w:r>
    </w:p>
    <w:p>
      <w:pPr>
        <w:spacing w:after="0"/>
        <w:rPr>
          <w:sz w:val="18"/>
        </w:rPr>
        <w:sectPr>
          <w:pgSz w:w="11910" w:h="16840"/>
          <w:pgMar w:header="0" w:footer="704" w:top="620" w:bottom="1000" w:left="380" w:right="560"/>
        </w:sectPr>
      </w:pPr>
    </w:p>
    <w:p>
      <w:pPr>
        <w:pStyle w:val="BodyText"/>
        <w:rPr>
          <w:sz w:val="20"/>
        </w:rPr>
      </w:pPr>
      <w:r>
        <w:rPr/>
        <w:drawing>
          <wp:anchor distT="0" distB="0" distL="0" distR="0" allowOverlap="1" layoutInCell="1" locked="0" behindDoc="1" simplePos="0" relativeHeight="479143936">
            <wp:simplePos x="0" y="0"/>
            <wp:positionH relativeFrom="page">
              <wp:posOffset>0</wp:posOffset>
            </wp:positionH>
            <wp:positionV relativeFrom="page">
              <wp:posOffset>0</wp:posOffset>
            </wp:positionV>
            <wp:extent cx="7560564" cy="9237314"/>
            <wp:effectExtent l="0" t="0" r="0" b="0"/>
            <wp:wrapNone/>
            <wp:docPr id="23" name="image10.jpeg"/>
            <wp:cNvGraphicFramePr>
              <a:graphicFrameLocks noChangeAspect="1"/>
            </wp:cNvGraphicFramePr>
            <a:graphic>
              <a:graphicData uri="http://schemas.openxmlformats.org/drawingml/2006/picture">
                <pic:pic>
                  <pic:nvPicPr>
                    <pic:cNvPr id="24" name="image10.jpeg"/>
                    <pic:cNvPicPr/>
                  </pic:nvPicPr>
                  <pic:blipFill>
                    <a:blip r:embed="rId46" cstate="print"/>
                    <a:stretch>
                      <a:fillRect/>
                    </a:stretch>
                  </pic:blipFill>
                  <pic:spPr>
                    <a:xfrm>
                      <a:off x="0" y="0"/>
                      <a:ext cx="7560564" cy="9237314"/>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spacing w:before="3"/>
        <w:rPr>
          <w:sz w:val="19"/>
        </w:rPr>
      </w:pPr>
    </w:p>
    <w:p>
      <w:pPr>
        <w:pStyle w:val="Heading1"/>
        <w:spacing w:line="314" w:lineRule="auto" w:before="99"/>
        <w:ind w:left="752" w:right="2744"/>
      </w:pPr>
      <w:bookmarkStart w:name=" 4.2.1 NWSSP-2223-02 Recruitment Service" w:id="41"/>
      <w:bookmarkEnd w:id="41"/>
      <w:r>
        <w:rPr/>
      </w:r>
      <w:r>
        <w:rPr>
          <w:color w:val="3C5A8B"/>
        </w:rPr>
        <w:t>Recruitment Services</w:t>
      </w:r>
      <w:r>
        <w:rPr>
          <w:color w:val="3C5A8B"/>
          <w:spacing w:val="40"/>
        </w:rPr>
        <w:t> </w:t>
      </w:r>
      <w:r>
        <w:rPr>
          <w:color w:val="3C5A8B"/>
        </w:rPr>
        <w:t>Final</w:t>
      </w:r>
      <w:r>
        <w:rPr>
          <w:color w:val="3C5A8B"/>
          <w:spacing w:val="-14"/>
        </w:rPr>
        <w:t> </w:t>
      </w:r>
      <w:r>
        <w:rPr>
          <w:color w:val="3C5A8B"/>
        </w:rPr>
        <w:t>Internal</w:t>
      </w:r>
      <w:r>
        <w:rPr>
          <w:color w:val="3C5A8B"/>
          <w:spacing w:val="-14"/>
        </w:rPr>
        <w:t> </w:t>
      </w:r>
      <w:r>
        <w:rPr>
          <w:color w:val="3C5A8B"/>
        </w:rPr>
        <w:t>Audit</w:t>
      </w:r>
      <w:r>
        <w:rPr>
          <w:color w:val="3C5A8B"/>
          <w:spacing w:val="-10"/>
        </w:rPr>
        <w:t> </w:t>
      </w:r>
      <w:r>
        <w:rPr>
          <w:color w:val="3C5A8B"/>
        </w:rPr>
        <w:t>Report</w:t>
      </w:r>
    </w:p>
    <w:p>
      <w:pPr>
        <w:spacing w:before="1"/>
        <w:ind w:left="752" w:right="0" w:firstLine="0"/>
        <w:jc w:val="left"/>
        <w:rPr>
          <w:sz w:val="44"/>
        </w:rPr>
      </w:pPr>
      <w:r>
        <w:rPr>
          <w:sz w:val="44"/>
        </w:rPr>
        <w:t>October</w:t>
      </w:r>
      <w:r>
        <w:rPr>
          <w:spacing w:val="-22"/>
          <w:sz w:val="44"/>
        </w:rPr>
        <w:t> </w:t>
      </w:r>
      <w:r>
        <w:rPr>
          <w:spacing w:val="-4"/>
          <w:sz w:val="44"/>
        </w:rPr>
        <w:t>2022</w:t>
      </w:r>
    </w:p>
    <w:p>
      <w:pPr>
        <w:pStyle w:val="BodyText"/>
        <w:spacing w:before="3"/>
        <w:rPr>
          <w:sz w:val="77"/>
        </w:rPr>
      </w:pPr>
    </w:p>
    <w:p>
      <w:pPr>
        <w:spacing w:before="0"/>
        <w:ind w:left="752" w:right="0" w:firstLine="0"/>
        <w:jc w:val="left"/>
        <w:rPr>
          <w:sz w:val="44"/>
        </w:rPr>
      </w:pPr>
      <w:r>
        <w:rPr>
          <w:sz w:val="44"/>
        </w:rPr>
        <w:t>NHS</w:t>
      </w:r>
      <w:r>
        <w:rPr>
          <w:spacing w:val="-16"/>
          <w:sz w:val="44"/>
        </w:rPr>
        <w:t> </w:t>
      </w:r>
      <w:r>
        <w:rPr>
          <w:sz w:val="44"/>
        </w:rPr>
        <w:t>Wales</w:t>
      </w:r>
      <w:r>
        <w:rPr>
          <w:spacing w:val="-14"/>
          <w:sz w:val="44"/>
        </w:rPr>
        <w:t> </w:t>
      </w:r>
      <w:r>
        <w:rPr>
          <w:sz w:val="44"/>
        </w:rPr>
        <w:t>Shared</w:t>
      </w:r>
      <w:r>
        <w:rPr>
          <w:spacing w:val="-15"/>
          <w:sz w:val="44"/>
        </w:rPr>
        <w:t> </w:t>
      </w:r>
      <w:r>
        <w:rPr>
          <w:sz w:val="44"/>
        </w:rPr>
        <w:t>Services</w:t>
      </w:r>
      <w:r>
        <w:rPr>
          <w:spacing w:val="-14"/>
          <w:sz w:val="44"/>
        </w:rPr>
        <w:t> </w:t>
      </w:r>
      <w:r>
        <w:rPr>
          <w:spacing w:val="-2"/>
          <w:sz w:val="44"/>
        </w:rPr>
        <w:t>Partnership</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7"/>
        </w:rPr>
      </w:pPr>
      <w:r>
        <w:rPr/>
        <w:drawing>
          <wp:anchor distT="0" distB="0" distL="0" distR="0" allowOverlap="1" layoutInCell="1" locked="0" behindDoc="0" simplePos="0" relativeHeight="34">
            <wp:simplePos x="0" y="0"/>
            <wp:positionH relativeFrom="page">
              <wp:posOffset>495623</wp:posOffset>
            </wp:positionH>
            <wp:positionV relativeFrom="paragraph">
              <wp:posOffset>229958</wp:posOffset>
            </wp:positionV>
            <wp:extent cx="2163430" cy="647128"/>
            <wp:effectExtent l="0" t="0" r="0" b="0"/>
            <wp:wrapTopAndBottom/>
            <wp:docPr id="25" name="image11.jpeg"/>
            <wp:cNvGraphicFramePr>
              <a:graphicFrameLocks noChangeAspect="1"/>
            </wp:cNvGraphicFramePr>
            <a:graphic>
              <a:graphicData uri="http://schemas.openxmlformats.org/drawingml/2006/picture">
                <pic:pic>
                  <pic:nvPicPr>
                    <pic:cNvPr id="26" name="image11.jpeg"/>
                    <pic:cNvPicPr/>
                  </pic:nvPicPr>
                  <pic:blipFill>
                    <a:blip r:embed="rId47" cstate="print"/>
                    <a:stretch>
                      <a:fillRect/>
                    </a:stretch>
                  </pic:blipFill>
                  <pic:spPr>
                    <a:xfrm>
                      <a:off x="0" y="0"/>
                      <a:ext cx="2163430" cy="647128"/>
                    </a:xfrm>
                    <a:prstGeom prst="rect">
                      <a:avLst/>
                    </a:prstGeom>
                  </pic:spPr>
                </pic:pic>
              </a:graphicData>
            </a:graphic>
          </wp:anchor>
        </w:drawing>
      </w:r>
      <w:r>
        <w:rPr/>
        <w:drawing>
          <wp:anchor distT="0" distB="0" distL="0" distR="0" allowOverlap="1" layoutInCell="1" locked="0" behindDoc="0" simplePos="0" relativeHeight="35">
            <wp:simplePos x="0" y="0"/>
            <wp:positionH relativeFrom="page">
              <wp:posOffset>3779944</wp:posOffset>
            </wp:positionH>
            <wp:positionV relativeFrom="paragraph">
              <wp:posOffset>237419</wp:posOffset>
            </wp:positionV>
            <wp:extent cx="1901387" cy="585216"/>
            <wp:effectExtent l="0" t="0" r="0" b="0"/>
            <wp:wrapTopAndBottom/>
            <wp:docPr id="27" name="image12.jpeg"/>
            <wp:cNvGraphicFramePr>
              <a:graphicFrameLocks noChangeAspect="1"/>
            </wp:cNvGraphicFramePr>
            <a:graphic>
              <a:graphicData uri="http://schemas.openxmlformats.org/drawingml/2006/picture">
                <pic:pic>
                  <pic:nvPicPr>
                    <pic:cNvPr id="28" name="image12.jpeg"/>
                    <pic:cNvPicPr/>
                  </pic:nvPicPr>
                  <pic:blipFill>
                    <a:blip r:embed="rId48" cstate="print"/>
                    <a:stretch>
                      <a:fillRect/>
                    </a:stretch>
                  </pic:blipFill>
                  <pic:spPr>
                    <a:xfrm>
                      <a:off x="0" y="0"/>
                      <a:ext cx="1901387" cy="585216"/>
                    </a:xfrm>
                    <a:prstGeom prst="rect">
                      <a:avLst/>
                    </a:prstGeom>
                  </pic:spPr>
                </pic:pic>
              </a:graphicData>
            </a:graphic>
          </wp:anchor>
        </w:drawing>
      </w:r>
      <w:r>
        <w:rPr/>
        <w:drawing>
          <wp:anchor distT="0" distB="0" distL="0" distR="0" allowOverlap="1" layoutInCell="1" locked="0" behindDoc="0" simplePos="0" relativeHeight="36">
            <wp:simplePos x="0" y="0"/>
            <wp:positionH relativeFrom="page">
              <wp:posOffset>6399186</wp:posOffset>
            </wp:positionH>
            <wp:positionV relativeFrom="paragraph">
              <wp:posOffset>278853</wp:posOffset>
            </wp:positionV>
            <wp:extent cx="644183" cy="647128"/>
            <wp:effectExtent l="0" t="0" r="0" b="0"/>
            <wp:wrapTopAndBottom/>
            <wp:docPr id="29" name="image7.jpeg"/>
            <wp:cNvGraphicFramePr>
              <a:graphicFrameLocks noChangeAspect="1"/>
            </wp:cNvGraphicFramePr>
            <a:graphic>
              <a:graphicData uri="http://schemas.openxmlformats.org/drawingml/2006/picture">
                <pic:pic>
                  <pic:nvPicPr>
                    <pic:cNvPr id="30" name="image7.jpeg"/>
                    <pic:cNvPicPr/>
                  </pic:nvPicPr>
                  <pic:blipFill>
                    <a:blip r:embed="rId36" cstate="print"/>
                    <a:stretch>
                      <a:fillRect/>
                    </a:stretch>
                  </pic:blipFill>
                  <pic:spPr>
                    <a:xfrm>
                      <a:off x="0" y="0"/>
                      <a:ext cx="644183" cy="647128"/>
                    </a:xfrm>
                    <a:prstGeom prst="rect">
                      <a:avLst/>
                    </a:prstGeom>
                  </pic:spPr>
                </pic:pic>
              </a:graphicData>
            </a:graphic>
          </wp:anchor>
        </w:drawing>
      </w:r>
    </w:p>
    <w:p>
      <w:pPr>
        <w:spacing w:after="0"/>
        <w:rPr>
          <w:sz w:val="27"/>
        </w:rPr>
        <w:sectPr>
          <w:footerReference w:type="default" r:id="rId45"/>
          <w:pgSz w:w="11910" w:h="16840"/>
          <w:pgMar w:footer="0" w:header="0" w:top="1920" w:bottom="180" w:left="380" w:right="560"/>
          <w:pgNumType w:start="28"/>
        </w:sectPr>
      </w:pPr>
    </w:p>
    <w:p>
      <w:pPr>
        <w:pStyle w:val="BodyText"/>
        <w:tabs>
          <w:tab w:pos="7510" w:val="left" w:leader="none"/>
        </w:tabs>
        <w:spacing w:before="86"/>
        <w:ind w:left="186"/>
      </w:pPr>
      <w:r>
        <w:rPr/>
        <w:t>Recruitment</w:t>
      </w:r>
      <w:r>
        <w:rPr>
          <w:spacing w:val="-6"/>
        </w:rPr>
        <w:t> </w:t>
      </w:r>
      <w:r>
        <w:rPr>
          <w:spacing w:val="-2"/>
        </w:rPr>
        <w:t>Services</w:t>
      </w:r>
      <w:r>
        <w:rPr/>
        <w:tab/>
        <w:t>Final</w:t>
      </w:r>
      <w:r>
        <w:rPr>
          <w:spacing w:val="-6"/>
        </w:rPr>
        <w:t> </w:t>
      </w:r>
      <w:r>
        <w:rPr/>
        <w:t>Internal</w:t>
      </w:r>
      <w:r>
        <w:rPr>
          <w:spacing w:val="-3"/>
        </w:rPr>
        <w:t> </w:t>
      </w:r>
      <w:r>
        <w:rPr/>
        <w:t>Audit</w:t>
      </w:r>
      <w:r>
        <w:rPr>
          <w:spacing w:val="-1"/>
        </w:rPr>
        <w:t> </w:t>
      </w:r>
      <w:r>
        <w:rPr>
          <w:spacing w:val="-2"/>
        </w:rPr>
        <w:t>Report</w:t>
      </w:r>
    </w:p>
    <w:p>
      <w:pPr>
        <w:pStyle w:val="BodyText"/>
        <w:rPr>
          <w:sz w:val="20"/>
        </w:rPr>
      </w:pPr>
      <w:r>
        <w:rPr/>
        <w:pict>
          <v:shape style="position:absolute;margin-left:27.6pt;margin-top:13.355979pt;width:532.450pt;height:1.45pt;mso-position-horizontal-relative:page;mso-position-vertical-relative:paragraph;z-index:-15709184;mso-wrap-distance-left:0;mso-wrap-distance-right:0" id="docshape84" coordorigin="552,267" coordsize="10649,29" path="m11200,267l5943,267,5929,267,5915,267,552,267,552,296,5915,296,5929,296,5943,296,11200,296,11200,267xe" filled="true" fillcolor="#000000" stroked="false">
            <v:path arrowok="t"/>
            <v:fill type="solid"/>
            <w10:wrap type="topAndBottom"/>
          </v:shape>
        </w:pict>
      </w:r>
    </w:p>
    <w:p>
      <w:pPr>
        <w:pStyle w:val="BodyText"/>
        <w:spacing w:before="4"/>
        <w:rPr>
          <w:sz w:val="26"/>
        </w:rPr>
      </w:pPr>
    </w:p>
    <w:p>
      <w:pPr>
        <w:pStyle w:val="Heading2"/>
        <w:ind w:left="186"/>
      </w:pPr>
      <w:r>
        <w:rPr>
          <w:color w:val="2E5395"/>
          <w:spacing w:val="-2"/>
        </w:rPr>
        <w:t>Contents</w:t>
      </w:r>
    </w:p>
    <w:p>
      <w:pPr>
        <w:tabs>
          <w:tab w:pos="10811" w:val="right" w:leader="dot"/>
        </w:tabs>
        <w:spacing w:before="487"/>
        <w:ind w:left="186" w:right="0" w:firstLine="0"/>
        <w:jc w:val="left"/>
        <w:rPr>
          <w:sz w:val="22"/>
        </w:rPr>
      </w:pPr>
      <w:hyperlink w:history="true" w:anchor="_bookmark0">
        <w:r>
          <w:rPr>
            <w:sz w:val="22"/>
          </w:rPr>
          <w:t>Executive</w:t>
        </w:r>
        <w:r>
          <w:rPr>
            <w:spacing w:val="-9"/>
            <w:sz w:val="22"/>
          </w:rPr>
          <w:t> </w:t>
        </w:r>
        <w:r>
          <w:rPr>
            <w:spacing w:val="-2"/>
            <w:sz w:val="22"/>
          </w:rPr>
          <w:t>Summary</w:t>
        </w:r>
        <w:r>
          <w:rPr>
            <w:sz w:val="22"/>
          </w:rPr>
          <w:tab/>
        </w:r>
        <w:r>
          <w:rPr>
            <w:spacing w:val="-10"/>
            <w:sz w:val="22"/>
          </w:rPr>
          <w:t>3</w:t>
        </w:r>
      </w:hyperlink>
    </w:p>
    <w:p>
      <w:pPr>
        <w:pStyle w:val="ListParagraph"/>
        <w:numPr>
          <w:ilvl w:val="0"/>
          <w:numId w:val="12"/>
        </w:numPr>
        <w:tabs>
          <w:tab w:pos="625" w:val="left" w:leader="none"/>
          <w:tab w:pos="626" w:val="left" w:leader="none"/>
          <w:tab w:pos="10811" w:val="right" w:leader="dot"/>
        </w:tabs>
        <w:spacing w:line="240" w:lineRule="auto" w:before="119" w:after="0"/>
        <w:ind w:left="625" w:right="0" w:hanging="440"/>
        <w:jc w:val="left"/>
        <w:rPr>
          <w:sz w:val="22"/>
        </w:rPr>
      </w:pPr>
      <w:hyperlink w:history="true" w:anchor="_bookmark1">
        <w:r>
          <w:rPr>
            <w:spacing w:val="-2"/>
            <w:sz w:val="22"/>
          </w:rPr>
          <w:t>Introduction</w:t>
        </w:r>
        <w:r>
          <w:rPr>
            <w:sz w:val="22"/>
          </w:rPr>
          <w:tab/>
        </w:r>
        <w:r>
          <w:rPr>
            <w:spacing w:val="-10"/>
            <w:sz w:val="22"/>
          </w:rPr>
          <w:t>4</w:t>
        </w:r>
      </w:hyperlink>
    </w:p>
    <w:p>
      <w:pPr>
        <w:pStyle w:val="ListParagraph"/>
        <w:numPr>
          <w:ilvl w:val="0"/>
          <w:numId w:val="12"/>
        </w:numPr>
        <w:tabs>
          <w:tab w:pos="625" w:val="left" w:leader="none"/>
          <w:tab w:pos="626" w:val="left" w:leader="none"/>
          <w:tab w:pos="10811" w:val="right" w:leader="dot"/>
        </w:tabs>
        <w:spacing w:line="240" w:lineRule="auto" w:before="121" w:after="0"/>
        <w:ind w:left="625" w:right="0" w:hanging="440"/>
        <w:jc w:val="left"/>
        <w:rPr>
          <w:sz w:val="22"/>
        </w:rPr>
      </w:pPr>
      <w:hyperlink w:history="true" w:anchor="_bookmark2">
        <w:r>
          <w:rPr>
            <w:sz w:val="22"/>
          </w:rPr>
          <w:t>Detailed</w:t>
        </w:r>
        <w:r>
          <w:rPr>
            <w:spacing w:val="-5"/>
            <w:sz w:val="22"/>
          </w:rPr>
          <w:t> </w:t>
        </w:r>
        <w:r>
          <w:rPr>
            <w:sz w:val="22"/>
          </w:rPr>
          <w:t>Audit</w:t>
        </w:r>
        <w:r>
          <w:rPr>
            <w:spacing w:val="-5"/>
            <w:sz w:val="22"/>
          </w:rPr>
          <w:t> </w:t>
        </w:r>
        <w:r>
          <w:rPr>
            <w:spacing w:val="-2"/>
            <w:sz w:val="22"/>
          </w:rPr>
          <w:t>Findings</w:t>
        </w:r>
        <w:r>
          <w:rPr>
            <w:sz w:val="22"/>
          </w:rPr>
          <w:tab/>
        </w:r>
        <w:r>
          <w:rPr>
            <w:spacing w:val="-10"/>
            <w:sz w:val="22"/>
          </w:rPr>
          <w:t>5</w:t>
        </w:r>
      </w:hyperlink>
    </w:p>
    <w:p>
      <w:pPr>
        <w:tabs>
          <w:tab w:pos="10811" w:val="right" w:leader="dot"/>
        </w:tabs>
        <w:spacing w:before="122"/>
        <w:ind w:left="186" w:right="0" w:firstLine="0"/>
        <w:jc w:val="left"/>
        <w:rPr>
          <w:sz w:val="22"/>
        </w:rPr>
      </w:pPr>
      <w:hyperlink w:history="true" w:anchor="_bookmark3">
        <w:r>
          <w:rPr>
            <w:sz w:val="22"/>
          </w:rPr>
          <w:t>Appendix</w:t>
        </w:r>
        <w:r>
          <w:rPr>
            <w:spacing w:val="-6"/>
            <w:sz w:val="22"/>
          </w:rPr>
          <w:t> </w:t>
        </w:r>
        <w:r>
          <w:rPr>
            <w:sz w:val="22"/>
          </w:rPr>
          <w:t>A:</w:t>
        </w:r>
        <w:r>
          <w:rPr>
            <w:spacing w:val="-4"/>
            <w:sz w:val="22"/>
          </w:rPr>
          <w:t> </w:t>
        </w:r>
        <w:r>
          <w:rPr>
            <w:sz w:val="22"/>
          </w:rPr>
          <w:t>Management</w:t>
        </w:r>
        <w:r>
          <w:rPr>
            <w:spacing w:val="-6"/>
            <w:sz w:val="22"/>
          </w:rPr>
          <w:t> </w:t>
        </w:r>
        <w:r>
          <w:rPr>
            <w:sz w:val="22"/>
          </w:rPr>
          <w:t>Action</w:t>
        </w:r>
        <w:r>
          <w:rPr>
            <w:spacing w:val="-4"/>
            <w:sz w:val="22"/>
          </w:rPr>
          <w:t> Plan</w:t>
        </w:r>
        <w:r>
          <w:rPr>
            <w:sz w:val="22"/>
          </w:rPr>
          <w:tab/>
        </w:r>
        <w:r>
          <w:rPr>
            <w:spacing w:val="-10"/>
            <w:sz w:val="22"/>
          </w:rPr>
          <w:t>8</w:t>
        </w:r>
      </w:hyperlink>
    </w:p>
    <w:p>
      <w:pPr>
        <w:tabs>
          <w:tab w:pos="10808" w:val="right" w:leader="dot"/>
        </w:tabs>
        <w:spacing w:before="121"/>
        <w:ind w:left="186" w:right="0" w:firstLine="0"/>
        <w:jc w:val="left"/>
        <w:rPr>
          <w:sz w:val="22"/>
        </w:rPr>
      </w:pPr>
      <w:hyperlink w:history="true" w:anchor="_bookmark4">
        <w:r>
          <w:rPr>
            <w:sz w:val="22"/>
          </w:rPr>
          <w:t>Appendix</w:t>
        </w:r>
        <w:r>
          <w:rPr>
            <w:spacing w:val="-7"/>
            <w:sz w:val="22"/>
          </w:rPr>
          <w:t> </w:t>
        </w:r>
        <w:r>
          <w:rPr>
            <w:sz w:val="22"/>
          </w:rPr>
          <w:t>B:</w:t>
        </w:r>
        <w:r>
          <w:rPr>
            <w:spacing w:val="-3"/>
            <w:sz w:val="22"/>
          </w:rPr>
          <w:t> </w:t>
        </w:r>
        <w:r>
          <w:rPr>
            <w:sz w:val="22"/>
          </w:rPr>
          <w:t>Assurance</w:t>
        </w:r>
        <w:r>
          <w:rPr>
            <w:spacing w:val="-4"/>
            <w:sz w:val="22"/>
          </w:rPr>
          <w:t> </w:t>
        </w:r>
        <w:r>
          <w:rPr>
            <w:sz w:val="22"/>
          </w:rPr>
          <w:t>opinion</w:t>
        </w:r>
        <w:r>
          <w:rPr>
            <w:spacing w:val="-4"/>
            <w:sz w:val="22"/>
          </w:rPr>
          <w:t> </w:t>
        </w:r>
        <w:r>
          <w:rPr>
            <w:sz w:val="22"/>
          </w:rPr>
          <w:t>and</w:t>
        </w:r>
        <w:r>
          <w:rPr>
            <w:spacing w:val="-5"/>
            <w:sz w:val="22"/>
          </w:rPr>
          <w:t> </w:t>
        </w:r>
        <w:r>
          <w:rPr>
            <w:sz w:val="22"/>
          </w:rPr>
          <w:t>action</w:t>
        </w:r>
        <w:r>
          <w:rPr>
            <w:spacing w:val="-4"/>
            <w:sz w:val="22"/>
          </w:rPr>
          <w:t> </w:t>
        </w:r>
        <w:r>
          <w:rPr>
            <w:sz w:val="22"/>
          </w:rPr>
          <w:t>plan</w:t>
        </w:r>
        <w:r>
          <w:rPr>
            <w:spacing w:val="-2"/>
            <w:sz w:val="22"/>
          </w:rPr>
          <w:t> </w:t>
        </w:r>
        <w:r>
          <w:rPr>
            <w:sz w:val="22"/>
          </w:rPr>
          <w:t>risk</w:t>
        </w:r>
        <w:r>
          <w:rPr>
            <w:spacing w:val="-4"/>
            <w:sz w:val="22"/>
          </w:rPr>
          <w:t> </w:t>
        </w:r>
        <w:r>
          <w:rPr>
            <w:spacing w:val="-2"/>
            <w:sz w:val="22"/>
          </w:rPr>
          <w:t>rating</w:t>
        </w:r>
        <w:r>
          <w:rPr>
            <w:sz w:val="22"/>
          </w:rPr>
          <w:tab/>
        </w:r>
        <w:r>
          <w:rPr>
            <w:spacing w:val="-5"/>
            <w:sz w:val="22"/>
          </w:rPr>
          <w:t>10</w:t>
        </w:r>
      </w:hyperlink>
    </w:p>
    <w:p>
      <w:pPr>
        <w:pStyle w:val="BodyText"/>
        <w:rPr>
          <w:sz w:val="20"/>
        </w:rPr>
      </w:pPr>
    </w:p>
    <w:p>
      <w:pPr>
        <w:pStyle w:val="BodyText"/>
        <w:spacing w:before="3"/>
        <w:rPr>
          <w:sz w:val="25"/>
        </w:rPr>
      </w:pPr>
      <w:r>
        <w:rPr/>
        <w:pict>
          <v:group style="position:absolute;margin-left:28.32pt;margin-top:16.557461pt;width:531.25pt;height:248.9pt;mso-position-horizontal-relative:page;mso-position-vertical-relative:paragraph;z-index:-15708672;mso-wrap-distance-left:0;mso-wrap-distance-right:0" id="docshapegroup85" coordorigin="566,331" coordsize="10625,4978">
            <v:shape style="position:absolute;left:566;top:331;width:10625;height:4978" id="docshape86" coordorigin="566,331" coordsize="10625,4978" path="m4112,4841l566,4841,566,5165,566,5309,4112,5309,4112,5165,4112,4841xm4112,1771l566,1771,566,2093,566,2417,566,2738,566,3062,566,3669,566,3670,566,4236,566,4841,4112,4841,4112,4236,4112,3670,4112,3669,4112,3062,4112,2738,4112,2417,4112,2093,4112,1771xm4112,331l566,331,566,478,566,802,566,1123,566,1447,566,1771,4112,1771,4112,1447,4112,1123,4112,802,4112,478,4112,331xm11191,4841l4112,4841,4112,5165,4112,5309,11191,5309,11191,5165,11191,4841xm11191,1771l4112,1771,4112,2093,4112,2417,4112,2738,4112,3062,4112,3669,4112,3670,4112,4236,4112,4841,11191,4841,11191,4236,11191,3670,11191,3669,11191,3062,11191,2738,11191,2417,11191,2093,11191,1771xm11191,331l4112,331,4112,478,4112,802,4112,1123,4112,1447,4112,1771,11191,1771,11191,1447,11191,1123,11191,802,11191,478,11191,331xe" filled="true" fillcolor="#d9e1f3" stroked="false">
              <v:path arrowok="t"/>
              <v:fill type="solid"/>
            </v:shape>
            <v:shape style="position:absolute;left:674;top:519;width:3299;height:2827" type="#_x0000_t202" id="docshape87" filled="false" stroked="false">
              <v:textbox inset="0,0,0,0">
                <w:txbxContent>
                  <w:p>
                    <w:pPr>
                      <w:spacing w:line="242" w:lineRule="exact" w:before="0"/>
                      <w:ind w:left="0" w:right="0" w:firstLine="0"/>
                      <w:jc w:val="left"/>
                      <w:rPr>
                        <w:sz w:val="20"/>
                      </w:rPr>
                    </w:pPr>
                    <w:r>
                      <w:rPr>
                        <w:sz w:val="20"/>
                      </w:rPr>
                      <w:t>Review</w:t>
                    </w:r>
                    <w:r>
                      <w:rPr>
                        <w:spacing w:val="-11"/>
                        <w:sz w:val="20"/>
                      </w:rPr>
                      <w:t> </w:t>
                    </w:r>
                    <w:r>
                      <w:rPr>
                        <w:spacing w:val="-2"/>
                        <w:sz w:val="20"/>
                      </w:rPr>
                      <w:t>reference:</w:t>
                    </w:r>
                  </w:p>
                  <w:p>
                    <w:pPr>
                      <w:spacing w:before="81"/>
                      <w:ind w:left="0" w:right="0" w:firstLine="0"/>
                      <w:jc w:val="left"/>
                      <w:rPr>
                        <w:sz w:val="20"/>
                      </w:rPr>
                    </w:pPr>
                    <w:r>
                      <w:rPr>
                        <w:sz w:val="20"/>
                      </w:rPr>
                      <w:t>Report</w:t>
                    </w:r>
                    <w:r>
                      <w:rPr>
                        <w:spacing w:val="-9"/>
                        <w:sz w:val="20"/>
                      </w:rPr>
                      <w:t> </w:t>
                    </w:r>
                    <w:r>
                      <w:rPr>
                        <w:spacing w:val="-2"/>
                        <w:sz w:val="20"/>
                      </w:rPr>
                      <w:t>status:</w:t>
                    </w:r>
                  </w:p>
                  <w:p>
                    <w:pPr>
                      <w:spacing w:line="319" w:lineRule="auto" w:before="78"/>
                      <w:ind w:left="0" w:right="372" w:firstLine="0"/>
                      <w:jc w:val="left"/>
                      <w:rPr>
                        <w:sz w:val="20"/>
                      </w:rPr>
                    </w:pPr>
                    <w:r>
                      <w:rPr>
                        <w:sz w:val="20"/>
                      </w:rPr>
                      <w:t>Fieldwork</w:t>
                    </w:r>
                    <w:r>
                      <w:rPr>
                        <w:spacing w:val="-18"/>
                        <w:sz w:val="20"/>
                      </w:rPr>
                      <w:t> </w:t>
                    </w:r>
                    <w:r>
                      <w:rPr>
                        <w:sz w:val="20"/>
                      </w:rPr>
                      <w:t>commencement: Fieldwork completion: Debrief meeting:</w:t>
                    </w:r>
                  </w:p>
                  <w:p>
                    <w:pPr>
                      <w:spacing w:line="319" w:lineRule="auto" w:before="0"/>
                      <w:ind w:left="0" w:right="18" w:firstLine="0"/>
                      <w:jc w:val="left"/>
                      <w:rPr>
                        <w:sz w:val="20"/>
                      </w:rPr>
                    </w:pPr>
                    <w:r>
                      <w:rPr>
                        <w:sz w:val="20"/>
                      </w:rPr>
                      <w:t>Draft report issued: Management</w:t>
                    </w:r>
                    <w:r>
                      <w:rPr>
                        <w:spacing w:val="-18"/>
                        <w:sz w:val="20"/>
                      </w:rPr>
                      <w:t> </w:t>
                    </w:r>
                    <w:r>
                      <w:rPr>
                        <w:sz w:val="20"/>
                      </w:rPr>
                      <w:t>response</w:t>
                    </w:r>
                    <w:r>
                      <w:rPr>
                        <w:spacing w:val="-18"/>
                        <w:sz w:val="20"/>
                      </w:rPr>
                      <w:t> </w:t>
                    </w:r>
                    <w:r>
                      <w:rPr>
                        <w:sz w:val="20"/>
                      </w:rPr>
                      <w:t>received: Final report issued:</w:t>
                    </w:r>
                  </w:p>
                  <w:p>
                    <w:pPr>
                      <w:spacing w:line="243" w:lineRule="exact" w:before="0"/>
                      <w:ind w:left="0" w:right="0" w:firstLine="0"/>
                      <w:jc w:val="left"/>
                      <w:rPr>
                        <w:sz w:val="20"/>
                      </w:rPr>
                    </w:pPr>
                    <w:r>
                      <w:rPr>
                        <w:spacing w:val="-2"/>
                        <w:sz w:val="20"/>
                      </w:rPr>
                      <w:t>Auditors:</w:t>
                    </w:r>
                  </w:p>
                </w:txbxContent>
              </v:textbox>
              <w10:wrap type="none"/>
            </v:shape>
            <v:shape style="position:absolute;left:4220;top:519;width:1847;height:1212" type="#_x0000_t202" id="docshape88" filled="false" stroked="false">
              <v:textbox inset="0,0,0,0">
                <w:txbxContent>
                  <w:p>
                    <w:pPr>
                      <w:spacing w:line="242" w:lineRule="exact" w:before="0"/>
                      <w:ind w:left="0" w:right="0" w:firstLine="0"/>
                      <w:jc w:val="left"/>
                      <w:rPr>
                        <w:sz w:val="20"/>
                      </w:rPr>
                    </w:pPr>
                    <w:r>
                      <w:rPr>
                        <w:spacing w:val="-2"/>
                        <w:sz w:val="20"/>
                      </w:rPr>
                      <w:t>NWSSP-2223-</w:t>
                    </w:r>
                    <w:r>
                      <w:rPr>
                        <w:spacing w:val="-5"/>
                        <w:sz w:val="20"/>
                      </w:rPr>
                      <w:t>02</w:t>
                    </w:r>
                  </w:p>
                  <w:p>
                    <w:pPr>
                      <w:spacing w:before="81"/>
                      <w:ind w:left="0" w:right="0" w:firstLine="0"/>
                      <w:jc w:val="left"/>
                      <w:rPr>
                        <w:sz w:val="20"/>
                      </w:rPr>
                    </w:pPr>
                    <w:r>
                      <w:rPr>
                        <w:spacing w:val="-2"/>
                        <w:sz w:val="20"/>
                      </w:rPr>
                      <w:t>Final</w:t>
                    </w:r>
                  </w:p>
                  <w:p>
                    <w:pPr>
                      <w:spacing w:before="78"/>
                      <w:ind w:left="0" w:right="0" w:firstLine="0"/>
                      <w:jc w:val="left"/>
                      <w:rPr>
                        <w:sz w:val="20"/>
                      </w:rPr>
                    </w:pPr>
                    <w:r>
                      <w:rPr>
                        <w:sz w:val="20"/>
                      </w:rPr>
                      <w:t>22</w:t>
                    </w:r>
                    <w:r>
                      <w:rPr>
                        <w:position w:val="7"/>
                        <w:sz w:val="13"/>
                      </w:rPr>
                      <w:t>nd</w:t>
                    </w:r>
                    <w:r>
                      <w:rPr>
                        <w:spacing w:val="18"/>
                        <w:position w:val="7"/>
                        <w:sz w:val="13"/>
                      </w:rPr>
                      <w:t> </w:t>
                    </w:r>
                    <w:r>
                      <w:rPr>
                        <w:sz w:val="20"/>
                      </w:rPr>
                      <w:t>August</w:t>
                    </w:r>
                    <w:r>
                      <w:rPr>
                        <w:spacing w:val="-6"/>
                        <w:sz w:val="20"/>
                      </w:rPr>
                      <w:t> </w:t>
                    </w:r>
                    <w:r>
                      <w:rPr>
                        <w:spacing w:val="-4"/>
                        <w:sz w:val="20"/>
                      </w:rPr>
                      <w:t>2022</w:t>
                    </w:r>
                  </w:p>
                  <w:p>
                    <w:pPr>
                      <w:spacing w:before="81"/>
                      <w:ind w:left="0" w:right="0" w:firstLine="0"/>
                      <w:jc w:val="left"/>
                      <w:rPr>
                        <w:sz w:val="20"/>
                      </w:rPr>
                    </w:pPr>
                    <w:r>
                      <w:rPr>
                        <w:sz w:val="20"/>
                      </w:rPr>
                      <w:t>10</w:t>
                    </w:r>
                    <w:r>
                      <w:rPr>
                        <w:position w:val="7"/>
                        <w:sz w:val="13"/>
                      </w:rPr>
                      <w:t>th</w:t>
                    </w:r>
                    <w:r>
                      <w:rPr>
                        <w:spacing w:val="15"/>
                        <w:position w:val="7"/>
                        <w:sz w:val="13"/>
                      </w:rPr>
                      <w:t> </w:t>
                    </w:r>
                    <w:r>
                      <w:rPr>
                        <w:sz w:val="20"/>
                      </w:rPr>
                      <w:t>October</w:t>
                    </w:r>
                    <w:r>
                      <w:rPr>
                        <w:spacing w:val="-5"/>
                        <w:sz w:val="20"/>
                      </w:rPr>
                      <w:t> </w:t>
                    </w:r>
                    <w:r>
                      <w:rPr>
                        <w:spacing w:val="-4"/>
                        <w:sz w:val="20"/>
                      </w:rPr>
                      <w:t>2022</w:t>
                    </w:r>
                  </w:p>
                </w:txbxContent>
              </v:textbox>
              <w10:wrap type="none"/>
            </v:shape>
            <v:shape style="position:absolute;left:4220;top:1813;width:279;height:243" type="#_x0000_t202" id="docshape89" filled="false" stroked="false">
              <v:textbox inset="0,0,0,0">
                <w:txbxContent>
                  <w:p>
                    <w:pPr>
                      <w:spacing w:line="242" w:lineRule="exact" w:before="0"/>
                      <w:ind w:left="0" w:right="0" w:firstLine="0"/>
                      <w:jc w:val="left"/>
                      <w:rPr>
                        <w:sz w:val="13"/>
                      </w:rPr>
                    </w:pPr>
                    <w:r>
                      <w:rPr>
                        <w:spacing w:val="-5"/>
                        <w:position w:val="-6"/>
                        <w:sz w:val="20"/>
                      </w:rPr>
                      <w:t>6</w:t>
                    </w:r>
                    <w:r>
                      <w:rPr>
                        <w:spacing w:val="-5"/>
                        <w:sz w:val="13"/>
                      </w:rPr>
                      <w:t>th</w:t>
                    </w:r>
                  </w:p>
                </w:txbxContent>
              </v:textbox>
              <w10:wrap type="none"/>
            </v:shape>
            <v:shape style="position:absolute;left:4621;top:1813;width:1387;height:243" type="#_x0000_t202" id="docshape90" filled="false" stroked="false">
              <v:textbox inset="0,0,0,0">
                <w:txbxContent>
                  <w:p>
                    <w:pPr>
                      <w:spacing w:line="242" w:lineRule="exact" w:before="0"/>
                      <w:ind w:left="0" w:right="0" w:firstLine="0"/>
                      <w:jc w:val="left"/>
                      <w:rPr>
                        <w:sz w:val="20"/>
                      </w:rPr>
                    </w:pPr>
                    <w:r>
                      <w:rPr>
                        <w:sz w:val="20"/>
                      </w:rPr>
                      <w:t>October</w:t>
                    </w:r>
                    <w:r>
                      <w:rPr>
                        <w:spacing w:val="-9"/>
                        <w:sz w:val="20"/>
                      </w:rPr>
                      <w:t> </w:t>
                    </w:r>
                    <w:r>
                      <w:rPr>
                        <w:spacing w:val="-4"/>
                        <w:sz w:val="20"/>
                      </w:rPr>
                      <w:t>2022</w:t>
                    </w:r>
                  </w:p>
                </w:txbxContent>
              </v:textbox>
              <w10:wrap type="none"/>
            </v:shape>
            <v:shape style="position:absolute;left:674;top:3712;width:1909;height:1414" type="#_x0000_t202" id="docshape91" filled="false" stroked="false">
              <v:textbox inset="0,0,0,0">
                <w:txbxContent>
                  <w:p>
                    <w:pPr>
                      <w:spacing w:line="559" w:lineRule="auto" w:before="0"/>
                      <w:ind w:left="0" w:right="16" w:firstLine="0"/>
                      <w:jc w:val="left"/>
                      <w:rPr>
                        <w:sz w:val="20"/>
                      </w:rPr>
                    </w:pPr>
                    <w:r>
                      <w:rPr>
                        <w:sz w:val="20"/>
                      </w:rPr>
                      <w:t>Executive</w:t>
                    </w:r>
                    <w:r>
                      <w:rPr>
                        <w:spacing w:val="-18"/>
                        <w:sz w:val="20"/>
                      </w:rPr>
                      <w:t> </w:t>
                    </w:r>
                    <w:r>
                      <w:rPr>
                        <w:sz w:val="20"/>
                      </w:rPr>
                      <w:t>sign-off: </w:t>
                    </w:r>
                    <w:r>
                      <w:rPr>
                        <w:spacing w:val="-2"/>
                        <w:sz w:val="20"/>
                      </w:rPr>
                      <w:t>Distribution:</w:t>
                    </w:r>
                  </w:p>
                  <w:p>
                    <w:pPr>
                      <w:spacing w:before="37"/>
                      <w:ind w:left="0" w:right="0" w:firstLine="0"/>
                      <w:jc w:val="left"/>
                      <w:rPr>
                        <w:sz w:val="20"/>
                      </w:rPr>
                    </w:pPr>
                    <w:r>
                      <w:rPr>
                        <w:spacing w:val="-2"/>
                        <w:sz w:val="20"/>
                      </w:rPr>
                      <w:t>Committee:</w:t>
                    </w:r>
                  </w:p>
                </w:txbxContent>
              </v:textbox>
              <w10:wrap type="none"/>
            </v:shape>
            <v:shape style="position:absolute;left:4220;top:2134;width:6438;height:2991" type="#_x0000_t202" id="docshape92" filled="false" stroked="false">
              <v:textbox inset="0,0,0,0">
                <w:txbxContent>
                  <w:p>
                    <w:pPr>
                      <w:spacing w:line="242" w:lineRule="exact" w:before="0"/>
                      <w:ind w:left="0" w:right="0" w:firstLine="0"/>
                      <w:jc w:val="left"/>
                      <w:rPr>
                        <w:sz w:val="20"/>
                      </w:rPr>
                    </w:pPr>
                    <w:r>
                      <w:rPr>
                        <w:sz w:val="20"/>
                      </w:rPr>
                      <w:t>12</w:t>
                    </w:r>
                    <w:r>
                      <w:rPr>
                        <w:position w:val="7"/>
                        <w:sz w:val="13"/>
                      </w:rPr>
                      <w:t>th</w:t>
                    </w:r>
                    <w:r>
                      <w:rPr>
                        <w:spacing w:val="15"/>
                        <w:position w:val="7"/>
                        <w:sz w:val="13"/>
                      </w:rPr>
                      <w:t> </w:t>
                    </w:r>
                    <w:r>
                      <w:rPr>
                        <w:sz w:val="20"/>
                      </w:rPr>
                      <w:t>October</w:t>
                    </w:r>
                    <w:r>
                      <w:rPr>
                        <w:spacing w:val="-5"/>
                        <w:sz w:val="20"/>
                      </w:rPr>
                      <w:t> </w:t>
                    </w:r>
                    <w:r>
                      <w:rPr>
                        <w:spacing w:val="-4"/>
                        <w:sz w:val="20"/>
                      </w:rPr>
                      <w:t>2022</w:t>
                    </w:r>
                  </w:p>
                  <w:p>
                    <w:pPr>
                      <w:spacing w:before="81"/>
                      <w:ind w:left="0" w:right="0" w:firstLine="0"/>
                      <w:jc w:val="left"/>
                      <w:rPr>
                        <w:sz w:val="20"/>
                      </w:rPr>
                    </w:pPr>
                    <w:r>
                      <w:rPr>
                        <w:sz w:val="20"/>
                      </w:rPr>
                      <w:t>24</w:t>
                    </w:r>
                    <w:r>
                      <w:rPr>
                        <w:position w:val="7"/>
                        <w:sz w:val="13"/>
                      </w:rPr>
                      <w:t>th</w:t>
                    </w:r>
                    <w:r>
                      <w:rPr>
                        <w:spacing w:val="15"/>
                        <w:position w:val="7"/>
                        <w:sz w:val="13"/>
                      </w:rPr>
                      <w:t> </w:t>
                    </w:r>
                    <w:r>
                      <w:rPr>
                        <w:sz w:val="20"/>
                      </w:rPr>
                      <w:t>October</w:t>
                    </w:r>
                    <w:r>
                      <w:rPr>
                        <w:spacing w:val="-5"/>
                        <w:sz w:val="20"/>
                      </w:rPr>
                      <w:t> </w:t>
                    </w:r>
                    <w:r>
                      <w:rPr>
                        <w:spacing w:val="-4"/>
                        <w:sz w:val="20"/>
                      </w:rPr>
                      <w:t>2022</w:t>
                    </w:r>
                  </w:p>
                  <w:p>
                    <w:pPr>
                      <w:spacing w:before="78"/>
                      <w:ind w:left="0" w:right="0" w:firstLine="0"/>
                      <w:jc w:val="left"/>
                      <w:rPr>
                        <w:sz w:val="20"/>
                      </w:rPr>
                    </w:pPr>
                    <w:r>
                      <w:rPr>
                        <w:sz w:val="20"/>
                      </w:rPr>
                      <w:t>25</w:t>
                    </w:r>
                    <w:r>
                      <w:rPr>
                        <w:position w:val="7"/>
                        <w:sz w:val="13"/>
                      </w:rPr>
                      <w:t>th</w:t>
                    </w:r>
                    <w:r>
                      <w:rPr>
                        <w:spacing w:val="15"/>
                        <w:position w:val="7"/>
                        <w:sz w:val="13"/>
                      </w:rPr>
                      <w:t> </w:t>
                    </w:r>
                    <w:r>
                      <w:rPr>
                        <w:sz w:val="20"/>
                      </w:rPr>
                      <w:t>October</w:t>
                    </w:r>
                    <w:r>
                      <w:rPr>
                        <w:spacing w:val="-5"/>
                        <w:sz w:val="20"/>
                      </w:rPr>
                      <w:t> </w:t>
                    </w:r>
                    <w:r>
                      <w:rPr>
                        <w:spacing w:val="-4"/>
                        <w:sz w:val="20"/>
                      </w:rPr>
                      <w:t>2022</w:t>
                    </w:r>
                  </w:p>
                  <w:p>
                    <w:pPr>
                      <w:spacing w:line="280" w:lineRule="auto" w:before="81"/>
                      <w:ind w:left="0" w:right="2749" w:firstLine="0"/>
                      <w:jc w:val="left"/>
                      <w:rPr>
                        <w:sz w:val="20"/>
                      </w:rPr>
                    </w:pPr>
                    <w:r>
                      <w:rPr>
                        <w:sz w:val="20"/>
                      </w:rPr>
                      <w:t>Gareth Heaven, Audit Manager Henry</w:t>
                    </w:r>
                    <w:r>
                      <w:rPr>
                        <w:spacing w:val="-13"/>
                        <w:sz w:val="20"/>
                      </w:rPr>
                      <w:t> </w:t>
                    </w:r>
                    <w:r>
                      <w:rPr>
                        <w:sz w:val="20"/>
                      </w:rPr>
                      <w:t>Wellesley,</w:t>
                    </w:r>
                    <w:r>
                      <w:rPr>
                        <w:spacing w:val="-14"/>
                        <w:sz w:val="20"/>
                      </w:rPr>
                      <w:t> </w:t>
                    </w:r>
                    <w:r>
                      <w:rPr>
                        <w:sz w:val="20"/>
                      </w:rPr>
                      <w:t>Audit</w:t>
                    </w:r>
                    <w:r>
                      <w:rPr>
                        <w:spacing w:val="-16"/>
                        <w:sz w:val="20"/>
                      </w:rPr>
                      <w:t> </w:t>
                    </w:r>
                    <w:r>
                      <w:rPr>
                        <w:sz w:val="20"/>
                      </w:rPr>
                      <w:t>Manager</w:t>
                    </w:r>
                  </w:p>
                  <w:p>
                    <w:pPr>
                      <w:spacing w:before="39"/>
                      <w:ind w:left="0" w:right="0" w:firstLine="0"/>
                      <w:jc w:val="left"/>
                      <w:rPr>
                        <w:sz w:val="20"/>
                      </w:rPr>
                    </w:pPr>
                    <w:r>
                      <w:rPr>
                        <w:sz w:val="20"/>
                      </w:rPr>
                      <w:t>Gareth</w:t>
                    </w:r>
                    <w:r>
                      <w:rPr>
                        <w:spacing w:val="-8"/>
                        <w:sz w:val="20"/>
                      </w:rPr>
                      <w:t> </w:t>
                    </w:r>
                    <w:r>
                      <w:rPr>
                        <w:sz w:val="20"/>
                      </w:rPr>
                      <w:t>Hardacre,</w:t>
                    </w:r>
                    <w:r>
                      <w:rPr>
                        <w:spacing w:val="-9"/>
                        <w:sz w:val="20"/>
                      </w:rPr>
                      <w:t> </w:t>
                    </w:r>
                    <w:r>
                      <w:rPr>
                        <w:sz w:val="20"/>
                      </w:rPr>
                      <w:t>Director</w:t>
                    </w:r>
                    <w:r>
                      <w:rPr>
                        <w:spacing w:val="-8"/>
                        <w:sz w:val="20"/>
                      </w:rPr>
                      <w:t> </w:t>
                    </w:r>
                    <w:r>
                      <w:rPr>
                        <w:sz w:val="20"/>
                      </w:rPr>
                      <w:t>of</w:t>
                    </w:r>
                    <w:r>
                      <w:rPr>
                        <w:spacing w:val="-7"/>
                        <w:sz w:val="20"/>
                      </w:rPr>
                      <w:t> </w:t>
                    </w:r>
                    <w:r>
                      <w:rPr>
                        <w:sz w:val="20"/>
                      </w:rPr>
                      <w:t>People,</w:t>
                    </w:r>
                    <w:r>
                      <w:rPr>
                        <w:spacing w:val="-7"/>
                        <w:sz w:val="20"/>
                      </w:rPr>
                      <w:t> </w:t>
                    </w:r>
                    <w:r>
                      <w:rPr>
                        <w:sz w:val="20"/>
                      </w:rPr>
                      <w:t>Organisation</w:t>
                    </w:r>
                    <w:r>
                      <w:rPr>
                        <w:spacing w:val="-8"/>
                        <w:sz w:val="20"/>
                      </w:rPr>
                      <w:t> </w:t>
                    </w:r>
                    <w:r>
                      <w:rPr>
                        <w:sz w:val="20"/>
                      </w:rPr>
                      <w:t>Development and Employment Services</w:t>
                    </w:r>
                  </w:p>
                  <w:p>
                    <w:pPr>
                      <w:spacing w:line="278" w:lineRule="auto" w:before="80"/>
                      <w:ind w:left="0" w:right="0" w:firstLine="0"/>
                      <w:jc w:val="left"/>
                      <w:rPr>
                        <w:sz w:val="20"/>
                      </w:rPr>
                    </w:pPr>
                    <w:r>
                      <w:rPr>
                        <w:sz w:val="20"/>
                      </w:rPr>
                      <w:t>Darren</w:t>
                    </w:r>
                    <w:r>
                      <w:rPr>
                        <w:spacing w:val="-6"/>
                        <w:sz w:val="20"/>
                      </w:rPr>
                      <w:t> </w:t>
                    </w:r>
                    <w:r>
                      <w:rPr>
                        <w:sz w:val="20"/>
                      </w:rPr>
                      <w:t>Rees,</w:t>
                    </w:r>
                    <w:r>
                      <w:rPr>
                        <w:spacing w:val="-5"/>
                        <w:sz w:val="20"/>
                      </w:rPr>
                      <w:t> </w:t>
                    </w:r>
                    <w:r>
                      <w:rPr>
                        <w:sz w:val="20"/>
                      </w:rPr>
                      <w:t>Interim</w:t>
                    </w:r>
                    <w:r>
                      <w:rPr>
                        <w:spacing w:val="-7"/>
                        <w:sz w:val="20"/>
                      </w:rPr>
                      <w:t> </w:t>
                    </w:r>
                    <w:r>
                      <w:rPr>
                        <w:sz w:val="20"/>
                      </w:rPr>
                      <w:t>Deputy</w:t>
                    </w:r>
                    <w:r>
                      <w:rPr>
                        <w:spacing w:val="-7"/>
                        <w:sz w:val="20"/>
                      </w:rPr>
                      <w:t> </w:t>
                    </w:r>
                    <w:r>
                      <w:rPr>
                        <w:sz w:val="20"/>
                      </w:rPr>
                      <w:t>Director</w:t>
                    </w:r>
                    <w:r>
                      <w:rPr>
                        <w:spacing w:val="-5"/>
                        <w:sz w:val="20"/>
                      </w:rPr>
                      <w:t> </w:t>
                    </w:r>
                    <w:r>
                      <w:rPr>
                        <w:sz w:val="20"/>
                      </w:rPr>
                      <w:t>of</w:t>
                    </w:r>
                    <w:r>
                      <w:rPr>
                        <w:spacing w:val="-6"/>
                        <w:sz w:val="20"/>
                      </w:rPr>
                      <w:t> </w:t>
                    </w:r>
                    <w:r>
                      <w:rPr>
                        <w:sz w:val="20"/>
                      </w:rPr>
                      <w:t>Employment</w:t>
                    </w:r>
                    <w:r>
                      <w:rPr>
                        <w:spacing w:val="-6"/>
                        <w:sz w:val="20"/>
                      </w:rPr>
                      <w:t> </w:t>
                    </w:r>
                    <w:r>
                      <w:rPr>
                        <w:sz w:val="20"/>
                      </w:rPr>
                      <w:t>Services Kelly Skene, Assistant Director of Employment Services</w:t>
                    </w:r>
                  </w:p>
                  <w:p>
                    <w:pPr>
                      <w:spacing w:before="41"/>
                      <w:ind w:left="0" w:right="0" w:firstLine="0"/>
                      <w:jc w:val="left"/>
                      <w:rPr>
                        <w:sz w:val="20"/>
                      </w:rPr>
                    </w:pPr>
                    <w:r>
                      <w:rPr>
                        <w:sz w:val="20"/>
                      </w:rPr>
                      <w:t>Velindre</w:t>
                    </w:r>
                    <w:r>
                      <w:rPr>
                        <w:spacing w:val="-9"/>
                        <w:sz w:val="20"/>
                      </w:rPr>
                      <w:t> </w:t>
                    </w:r>
                    <w:r>
                      <w:rPr>
                        <w:sz w:val="20"/>
                      </w:rPr>
                      <w:t>University</w:t>
                    </w:r>
                    <w:r>
                      <w:rPr>
                        <w:spacing w:val="-7"/>
                        <w:sz w:val="20"/>
                      </w:rPr>
                      <w:t> </w:t>
                    </w:r>
                    <w:r>
                      <w:rPr>
                        <w:sz w:val="20"/>
                      </w:rPr>
                      <w:t>NHS</w:t>
                    </w:r>
                    <w:r>
                      <w:rPr>
                        <w:spacing w:val="-5"/>
                        <w:sz w:val="20"/>
                      </w:rPr>
                      <w:t> </w:t>
                    </w:r>
                    <w:r>
                      <w:rPr>
                        <w:sz w:val="20"/>
                      </w:rPr>
                      <w:t>Trust</w:t>
                    </w:r>
                    <w:r>
                      <w:rPr>
                        <w:spacing w:val="-4"/>
                        <w:sz w:val="20"/>
                      </w:rPr>
                      <w:t> </w:t>
                    </w:r>
                    <w:r>
                      <w:rPr>
                        <w:sz w:val="20"/>
                      </w:rPr>
                      <w:t>Audit</w:t>
                    </w:r>
                    <w:r>
                      <w:rPr>
                        <w:spacing w:val="-6"/>
                        <w:sz w:val="20"/>
                      </w:rPr>
                      <w:t> </w:t>
                    </w:r>
                    <w:r>
                      <w:rPr>
                        <w:sz w:val="20"/>
                      </w:rPr>
                      <w:t>Committee</w:t>
                    </w:r>
                    <w:r>
                      <w:rPr>
                        <w:spacing w:val="-7"/>
                        <w:sz w:val="20"/>
                      </w:rPr>
                      <w:t> </w:t>
                    </w:r>
                    <w:r>
                      <w:rPr>
                        <w:sz w:val="20"/>
                      </w:rPr>
                      <w:t>for</w:t>
                    </w:r>
                    <w:r>
                      <w:rPr>
                        <w:spacing w:val="-5"/>
                        <w:sz w:val="20"/>
                      </w:rPr>
                      <w:t> </w:t>
                    </w:r>
                    <w:r>
                      <w:rPr>
                        <w:spacing w:val="-2"/>
                        <w:sz w:val="20"/>
                      </w:rPr>
                      <w:t>NWSSP</w:t>
                    </w:r>
                  </w:p>
                </w:txbxContent>
              </v:textbox>
              <w10:wrap type="none"/>
            </v:shape>
            <w10:wrap type="topAndBottom"/>
          </v:group>
        </w:pict>
      </w:r>
    </w:p>
    <w:p>
      <w:pPr>
        <w:pStyle w:val="BodyText"/>
        <w:rPr>
          <w:sz w:val="22"/>
        </w:rPr>
      </w:pPr>
    </w:p>
    <w:p>
      <w:pPr>
        <w:pStyle w:val="BodyText"/>
        <w:rPr>
          <w:sz w:val="22"/>
        </w:rPr>
      </w:pPr>
    </w:p>
    <w:p>
      <w:pPr>
        <w:spacing w:before="148"/>
        <w:ind w:left="1425" w:right="0" w:firstLine="0"/>
        <w:jc w:val="left"/>
        <w:rPr>
          <w:sz w:val="18"/>
        </w:rPr>
      </w:pPr>
      <w:r>
        <w:rPr/>
        <w:drawing>
          <wp:anchor distT="0" distB="0" distL="0" distR="0" allowOverlap="1" layoutInCell="1" locked="0" behindDoc="0" simplePos="0" relativeHeight="15749632">
            <wp:simplePos x="0" y="0"/>
            <wp:positionH relativeFrom="page">
              <wp:posOffset>428625</wp:posOffset>
            </wp:positionH>
            <wp:positionV relativeFrom="paragraph">
              <wp:posOffset>-55139</wp:posOffset>
            </wp:positionV>
            <wp:extent cx="565150" cy="565150"/>
            <wp:effectExtent l="0" t="0" r="0" b="0"/>
            <wp:wrapNone/>
            <wp:docPr id="31" name="image13.jpeg"/>
            <wp:cNvGraphicFramePr>
              <a:graphicFrameLocks noChangeAspect="1"/>
            </wp:cNvGraphicFramePr>
            <a:graphic>
              <a:graphicData uri="http://schemas.openxmlformats.org/drawingml/2006/picture">
                <pic:pic>
                  <pic:nvPicPr>
                    <pic:cNvPr id="32" name="image13.jpeg"/>
                    <pic:cNvPicPr/>
                  </pic:nvPicPr>
                  <pic:blipFill>
                    <a:blip r:embed="rId49" cstate="print"/>
                    <a:stretch>
                      <a:fillRect/>
                    </a:stretch>
                  </pic:blipFill>
                  <pic:spPr>
                    <a:xfrm>
                      <a:off x="0" y="0"/>
                      <a:ext cx="565150" cy="565150"/>
                    </a:xfrm>
                    <a:prstGeom prst="rect">
                      <a:avLst/>
                    </a:prstGeom>
                  </pic:spPr>
                </pic:pic>
              </a:graphicData>
            </a:graphic>
          </wp:anchor>
        </w:drawing>
      </w:r>
      <w:r>
        <w:rPr>
          <w:sz w:val="18"/>
        </w:rPr>
        <w:t>Audit</w:t>
      </w:r>
      <w:r>
        <w:rPr>
          <w:spacing w:val="28"/>
          <w:sz w:val="18"/>
        </w:rPr>
        <w:t> </w:t>
      </w:r>
      <w:r>
        <w:rPr>
          <w:sz w:val="18"/>
        </w:rPr>
        <w:t>and</w:t>
      </w:r>
      <w:r>
        <w:rPr>
          <w:spacing w:val="27"/>
          <w:sz w:val="18"/>
        </w:rPr>
        <w:t> </w:t>
      </w:r>
      <w:r>
        <w:rPr>
          <w:sz w:val="18"/>
        </w:rPr>
        <w:t>Assurance</w:t>
      </w:r>
      <w:r>
        <w:rPr>
          <w:spacing w:val="27"/>
          <w:sz w:val="18"/>
        </w:rPr>
        <w:t> </w:t>
      </w:r>
      <w:r>
        <w:rPr>
          <w:sz w:val="18"/>
        </w:rPr>
        <w:t>Services</w:t>
      </w:r>
      <w:r>
        <w:rPr>
          <w:spacing w:val="27"/>
          <w:sz w:val="18"/>
        </w:rPr>
        <w:t> </w:t>
      </w:r>
      <w:r>
        <w:rPr>
          <w:sz w:val="18"/>
        </w:rPr>
        <w:t>conform</w:t>
      </w:r>
      <w:r>
        <w:rPr>
          <w:spacing w:val="27"/>
          <w:sz w:val="18"/>
        </w:rPr>
        <w:t> </w:t>
      </w:r>
      <w:r>
        <w:rPr>
          <w:sz w:val="18"/>
        </w:rPr>
        <w:t>with</w:t>
      </w:r>
      <w:r>
        <w:rPr>
          <w:spacing w:val="26"/>
          <w:sz w:val="18"/>
        </w:rPr>
        <w:t> </w:t>
      </w:r>
      <w:r>
        <w:rPr>
          <w:sz w:val="18"/>
        </w:rPr>
        <w:t>all</w:t>
      </w:r>
      <w:r>
        <w:rPr>
          <w:spacing w:val="27"/>
          <w:sz w:val="18"/>
        </w:rPr>
        <w:t> </w:t>
      </w:r>
      <w:r>
        <w:rPr>
          <w:sz w:val="18"/>
        </w:rPr>
        <w:t>Public</w:t>
      </w:r>
      <w:r>
        <w:rPr>
          <w:spacing w:val="26"/>
          <w:sz w:val="18"/>
        </w:rPr>
        <w:t> </w:t>
      </w:r>
      <w:r>
        <w:rPr>
          <w:sz w:val="18"/>
        </w:rPr>
        <w:t>Sector</w:t>
      </w:r>
      <w:r>
        <w:rPr>
          <w:spacing w:val="27"/>
          <w:sz w:val="18"/>
        </w:rPr>
        <w:t> </w:t>
      </w:r>
      <w:r>
        <w:rPr>
          <w:sz w:val="18"/>
        </w:rPr>
        <w:t>Internal</w:t>
      </w:r>
      <w:r>
        <w:rPr>
          <w:spacing w:val="27"/>
          <w:sz w:val="18"/>
        </w:rPr>
        <w:t> </w:t>
      </w:r>
      <w:r>
        <w:rPr>
          <w:sz w:val="18"/>
        </w:rPr>
        <w:t>Audit</w:t>
      </w:r>
      <w:r>
        <w:rPr>
          <w:spacing w:val="28"/>
          <w:sz w:val="18"/>
        </w:rPr>
        <w:t> </w:t>
      </w:r>
      <w:r>
        <w:rPr>
          <w:sz w:val="18"/>
        </w:rPr>
        <w:t>Standards</w:t>
      </w:r>
      <w:r>
        <w:rPr>
          <w:spacing w:val="27"/>
          <w:sz w:val="18"/>
        </w:rPr>
        <w:t> </w:t>
      </w:r>
      <w:r>
        <w:rPr>
          <w:sz w:val="18"/>
        </w:rPr>
        <w:t>as</w:t>
      </w:r>
      <w:r>
        <w:rPr>
          <w:spacing w:val="26"/>
          <w:sz w:val="18"/>
        </w:rPr>
        <w:t> </w:t>
      </w:r>
      <w:r>
        <w:rPr>
          <w:sz w:val="18"/>
        </w:rPr>
        <w:t>validated through the external quality assessment undertaken by the Institute of Internal Auditors</w:t>
      </w:r>
    </w:p>
    <w:p>
      <w:pPr>
        <w:pStyle w:val="BodyText"/>
        <w:rPr>
          <w:sz w:val="20"/>
        </w:rPr>
      </w:pPr>
    </w:p>
    <w:p>
      <w:pPr>
        <w:pStyle w:val="BodyText"/>
        <w:rPr>
          <w:sz w:val="20"/>
        </w:rPr>
      </w:pPr>
    </w:p>
    <w:p>
      <w:pPr>
        <w:pStyle w:val="BodyText"/>
        <w:spacing w:before="10"/>
        <w:rPr>
          <w:sz w:val="20"/>
        </w:rPr>
      </w:pPr>
    </w:p>
    <w:p>
      <w:pPr>
        <w:spacing w:before="0"/>
        <w:ind w:left="186" w:right="0" w:firstLine="0"/>
        <w:jc w:val="left"/>
        <w:rPr>
          <w:sz w:val="18"/>
        </w:rPr>
      </w:pPr>
      <w:r>
        <w:rPr>
          <w:color w:val="2D74B5"/>
          <w:spacing w:val="-2"/>
          <w:sz w:val="18"/>
        </w:rPr>
        <w:t>Acknowledgement</w:t>
      </w:r>
    </w:p>
    <w:p>
      <w:pPr>
        <w:spacing w:line="261" w:lineRule="auto" w:before="16"/>
        <w:ind w:left="186" w:right="21" w:firstLine="0"/>
        <w:jc w:val="left"/>
        <w:rPr>
          <w:sz w:val="18"/>
        </w:rPr>
      </w:pPr>
      <w:r>
        <w:rPr>
          <w:sz w:val="18"/>
        </w:rPr>
        <w:t>NHS</w:t>
      </w:r>
      <w:r>
        <w:rPr>
          <w:spacing w:val="-16"/>
          <w:sz w:val="18"/>
        </w:rPr>
        <w:t> </w:t>
      </w:r>
      <w:r>
        <w:rPr>
          <w:sz w:val="18"/>
        </w:rPr>
        <w:t>Wales</w:t>
      </w:r>
      <w:r>
        <w:rPr>
          <w:spacing w:val="-15"/>
          <w:sz w:val="18"/>
        </w:rPr>
        <w:t> </w:t>
      </w:r>
      <w:r>
        <w:rPr>
          <w:sz w:val="18"/>
        </w:rPr>
        <w:t>Audit</w:t>
      </w:r>
      <w:r>
        <w:rPr>
          <w:spacing w:val="-13"/>
          <w:sz w:val="18"/>
        </w:rPr>
        <w:t> </w:t>
      </w:r>
      <w:r>
        <w:rPr>
          <w:sz w:val="18"/>
        </w:rPr>
        <w:t>and</w:t>
      </w:r>
      <w:r>
        <w:rPr>
          <w:spacing w:val="-15"/>
          <w:sz w:val="18"/>
        </w:rPr>
        <w:t> </w:t>
      </w:r>
      <w:r>
        <w:rPr>
          <w:sz w:val="18"/>
        </w:rPr>
        <w:t>Assurance</w:t>
      </w:r>
      <w:r>
        <w:rPr>
          <w:spacing w:val="-15"/>
          <w:sz w:val="18"/>
        </w:rPr>
        <w:t> </w:t>
      </w:r>
      <w:r>
        <w:rPr>
          <w:sz w:val="18"/>
        </w:rPr>
        <w:t>Services</w:t>
      </w:r>
      <w:r>
        <w:rPr>
          <w:spacing w:val="-15"/>
          <w:sz w:val="18"/>
        </w:rPr>
        <w:t> </w:t>
      </w:r>
      <w:r>
        <w:rPr>
          <w:sz w:val="18"/>
        </w:rPr>
        <w:t>would</w:t>
      </w:r>
      <w:r>
        <w:rPr>
          <w:spacing w:val="-15"/>
          <w:sz w:val="18"/>
        </w:rPr>
        <w:t> </w:t>
      </w:r>
      <w:r>
        <w:rPr>
          <w:sz w:val="18"/>
        </w:rPr>
        <w:t>like</w:t>
      </w:r>
      <w:r>
        <w:rPr>
          <w:spacing w:val="-15"/>
          <w:sz w:val="18"/>
        </w:rPr>
        <w:t> </w:t>
      </w:r>
      <w:r>
        <w:rPr>
          <w:sz w:val="18"/>
        </w:rPr>
        <w:t>to</w:t>
      </w:r>
      <w:r>
        <w:rPr>
          <w:spacing w:val="-16"/>
          <w:sz w:val="18"/>
        </w:rPr>
        <w:t> </w:t>
      </w:r>
      <w:r>
        <w:rPr>
          <w:sz w:val="18"/>
        </w:rPr>
        <w:t>acknowledge</w:t>
      </w:r>
      <w:r>
        <w:rPr>
          <w:spacing w:val="-14"/>
          <w:sz w:val="18"/>
        </w:rPr>
        <w:t> </w:t>
      </w:r>
      <w:r>
        <w:rPr>
          <w:sz w:val="18"/>
        </w:rPr>
        <w:t>the</w:t>
      </w:r>
      <w:r>
        <w:rPr>
          <w:spacing w:val="-15"/>
          <w:sz w:val="18"/>
        </w:rPr>
        <w:t> </w:t>
      </w:r>
      <w:r>
        <w:rPr>
          <w:sz w:val="18"/>
        </w:rPr>
        <w:t>time</w:t>
      </w:r>
      <w:r>
        <w:rPr>
          <w:spacing w:val="-15"/>
          <w:sz w:val="18"/>
        </w:rPr>
        <w:t> </w:t>
      </w:r>
      <w:r>
        <w:rPr>
          <w:sz w:val="18"/>
        </w:rPr>
        <w:t>and</w:t>
      </w:r>
      <w:r>
        <w:rPr>
          <w:spacing w:val="-15"/>
          <w:sz w:val="18"/>
        </w:rPr>
        <w:t> </w:t>
      </w:r>
      <w:r>
        <w:rPr>
          <w:sz w:val="18"/>
        </w:rPr>
        <w:t>co-operation</w:t>
      </w:r>
      <w:r>
        <w:rPr>
          <w:spacing w:val="-16"/>
          <w:sz w:val="18"/>
        </w:rPr>
        <w:t> </w:t>
      </w:r>
      <w:r>
        <w:rPr>
          <w:sz w:val="18"/>
        </w:rPr>
        <w:t>given</w:t>
      </w:r>
      <w:r>
        <w:rPr>
          <w:spacing w:val="-15"/>
          <w:sz w:val="18"/>
        </w:rPr>
        <w:t> </w:t>
      </w:r>
      <w:r>
        <w:rPr>
          <w:sz w:val="18"/>
        </w:rPr>
        <w:t>by</w:t>
      </w:r>
      <w:r>
        <w:rPr>
          <w:spacing w:val="-16"/>
          <w:sz w:val="18"/>
        </w:rPr>
        <w:t> </w:t>
      </w:r>
      <w:r>
        <w:rPr>
          <w:sz w:val="18"/>
        </w:rPr>
        <w:t>management and staff during the course of this review.</w:t>
      </w:r>
    </w:p>
    <w:p>
      <w:pPr>
        <w:pStyle w:val="BodyText"/>
        <w:rPr>
          <w:sz w:val="19"/>
        </w:rPr>
      </w:pPr>
    </w:p>
    <w:p>
      <w:pPr>
        <w:spacing w:before="0"/>
        <w:ind w:left="186" w:right="0" w:firstLine="0"/>
        <w:jc w:val="left"/>
        <w:rPr>
          <w:sz w:val="18"/>
        </w:rPr>
      </w:pPr>
      <w:r>
        <w:rPr>
          <w:color w:val="2D74B5"/>
          <w:sz w:val="18"/>
        </w:rPr>
        <w:t>Disclaimer</w:t>
      </w:r>
      <w:r>
        <w:rPr>
          <w:color w:val="2D74B5"/>
          <w:spacing w:val="-3"/>
          <w:sz w:val="18"/>
        </w:rPr>
        <w:t> </w:t>
      </w:r>
      <w:r>
        <w:rPr>
          <w:color w:val="2D74B5"/>
          <w:sz w:val="18"/>
        </w:rPr>
        <w:t>notice</w:t>
      </w:r>
      <w:r>
        <w:rPr>
          <w:color w:val="2D74B5"/>
          <w:spacing w:val="-1"/>
          <w:sz w:val="18"/>
        </w:rPr>
        <w:t> </w:t>
      </w:r>
      <w:r>
        <w:rPr>
          <w:color w:val="2D74B5"/>
          <w:sz w:val="18"/>
        </w:rPr>
        <w:t>-</w:t>
      </w:r>
      <w:r>
        <w:rPr>
          <w:color w:val="2D74B5"/>
          <w:spacing w:val="-3"/>
          <w:sz w:val="18"/>
        </w:rPr>
        <w:t> </w:t>
      </w:r>
      <w:r>
        <w:rPr>
          <w:color w:val="2D74B5"/>
          <w:sz w:val="18"/>
        </w:rPr>
        <w:t>please</w:t>
      </w:r>
      <w:r>
        <w:rPr>
          <w:color w:val="2D74B5"/>
          <w:spacing w:val="-2"/>
          <w:sz w:val="18"/>
        </w:rPr>
        <w:t> </w:t>
      </w:r>
      <w:r>
        <w:rPr>
          <w:color w:val="2D74B5"/>
          <w:spacing w:val="-4"/>
          <w:sz w:val="18"/>
        </w:rPr>
        <w:t>note</w:t>
      </w:r>
    </w:p>
    <w:p>
      <w:pPr>
        <w:spacing w:line="259" w:lineRule="auto" w:before="19"/>
        <w:ind w:left="186" w:right="0" w:firstLine="0"/>
        <w:jc w:val="left"/>
        <w:rPr>
          <w:sz w:val="18"/>
        </w:rPr>
      </w:pPr>
      <w:r>
        <w:rPr>
          <w:sz w:val="18"/>
        </w:rPr>
        <w:t>This</w:t>
      </w:r>
      <w:r>
        <w:rPr>
          <w:spacing w:val="23"/>
          <w:sz w:val="18"/>
        </w:rPr>
        <w:t> </w:t>
      </w:r>
      <w:r>
        <w:rPr>
          <w:sz w:val="18"/>
        </w:rPr>
        <w:t>audit</w:t>
      </w:r>
      <w:r>
        <w:rPr>
          <w:spacing w:val="24"/>
          <w:sz w:val="18"/>
        </w:rPr>
        <w:t> </w:t>
      </w:r>
      <w:r>
        <w:rPr>
          <w:sz w:val="18"/>
        </w:rPr>
        <w:t>report</w:t>
      </w:r>
      <w:r>
        <w:rPr>
          <w:spacing w:val="24"/>
          <w:sz w:val="18"/>
        </w:rPr>
        <w:t> </w:t>
      </w:r>
      <w:r>
        <w:rPr>
          <w:sz w:val="18"/>
        </w:rPr>
        <w:t>has</w:t>
      </w:r>
      <w:r>
        <w:rPr>
          <w:spacing w:val="23"/>
          <w:sz w:val="18"/>
        </w:rPr>
        <w:t> </w:t>
      </w:r>
      <w:r>
        <w:rPr>
          <w:sz w:val="18"/>
        </w:rPr>
        <w:t>been</w:t>
      </w:r>
      <w:r>
        <w:rPr>
          <w:spacing w:val="22"/>
          <w:sz w:val="18"/>
        </w:rPr>
        <w:t> </w:t>
      </w:r>
      <w:r>
        <w:rPr>
          <w:sz w:val="18"/>
        </w:rPr>
        <w:t>prepared</w:t>
      </w:r>
      <w:r>
        <w:rPr>
          <w:spacing w:val="24"/>
          <w:sz w:val="18"/>
        </w:rPr>
        <w:t> </w:t>
      </w:r>
      <w:r>
        <w:rPr>
          <w:sz w:val="18"/>
        </w:rPr>
        <w:t>for</w:t>
      </w:r>
      <w:r>
        <w:rPr>
          <w:spacing w:val="23"/>
          <w:sz w:val="18"/>
        </w:rPr>
        <w:t> </w:t>
      </w:r>
      <w:r>
        <w:rPr>
          <w:sz w:val="18"/>
        </w:rPr>
        <w:t>internal</w:t>
      </w:r>
      <w:r>
        <w:rPr>
          <w:spacing w:val="23"/>
          <w:sz w:val="18"/>
        </w:rPr>
        <w:t> </w:t>
      </w:r>
      <w:r>
        <w:rPr>
          <w:sz w:val="18"/>
        </w:rPr>
        <w:t>use</w:t>
      </w:r>
      <w:r>
        <w:rPr>
          <w:spacing w:val="23"/>
          <w:sz w:val="18"/>
        </w:rPr>
        <w:t> </w:t>
      </w:r>
      <w:r>
        <w:rPr>
          <w:sz w:val="18"/>
        </w:rPr>
        <w:t>only.</w:t>
      </w:r>
      <w:r>
        <w:rPr>
          <w:spacing w:val="22"/>
          <w:sz w:val="18"/>
        </w:rPr>
        <w:t> </w:t>
      </w:r>
      <w:r>
        <w:rPr>
          <w:sz w:val="18"/>
        </w:rPr>
        <w:t>Audit</w:t>
      </w:r>
      <w:r>
        <w:rPr>
          <w:spacing w:val="30"/>
          <w:sz w:val="18"/>
        </w:rPr>
        <w:t> </w:t>
      </w:r>
      <w:r>
        <w:rPr>
          <w:sz w:val="18"/>
        </w:rPr>
        <w:t>and</w:t>
      </w:r>
      <w:r>
        <w:rPr>
          <w:spacing w:val="24"/>
          <w:sz w:val="18"/>
        </w:rPr>
        <w:t> </w:t>
      </w:r>
      <w:r>
        <w:rPr>
          <w:sz w:val="18"/>
        </w:rPr>
        <w:t>Assurance</w:t>
      </w:r>
      <w:r>
        <w:rPr>
          <w:spacing w:val="23"/>
          <w:sz w:val="18"/>
        </w:rPr>
        <w:t> </w:t>
      </w:r>
      <w:r>
        <w:rPr>
          <w:sz w:val="18"/>
        </w:rPr>
        <w:t>Services</w:t>
      </w:r>
      <w:r>
        <w:rPr>
          <w:spacing w:val="23"/>
          <w:sz w:val="18"/>
        </w:rPr>
        <w:t> </w:t>
      </w:r>
      <w:r>
        <w:rPr>
          <w:sz w:val="18"/>
        </w:rPr>
        <w:t>reports</w:t>
      </w:r>
      <w:r>
        <w:rPr>
          <w:spacing w:val="23"/>
          <w:sz w:val="18"/>
        </w:rPr>
        <w:t> </w:t>
      </w:r>
      <w:r>
        <w:rPr>
          <w:sz w:val="18"/>
        </w:rPr>
        <w:t>are</w:t>
      </w:r>
      <w:r>
        <w:rPr>
          <w:spacing w:val="23"/>
          <w:sz w:val="18"/>
        </w:rPr>
        <w:t> </w:t>
      </w:r>
      <w:r>
        <w:rPr>
          <w:sz w:val="18"/>
        </w:rPr>
        <w:t>prepared,</w:t>
      </w:r>
      <w:r>
        <w:rPr>
          <w:spacing w:val="22"/>
          <w:sz w:val="18"/>
        </w:rPr>
        <w:t> </w:t>
      </w:r>
      <w:r>
        <w:rPr>
          <w:sz w:val="18"/>
        </w:rPr>
        <w:t>in accordance with the agreed audit brief, and the Audit Charter as approved by the Audit Committee.</w:t>
      </w:r>
    </w:p>
    <w:p>
      <w:pPr>
        <w:spacing w:line="259" w:lineRule="auto" w:before="159"/>
        <w:ind w:left="186" w:right="143" w:firstLine="0"/>
        <w:jc w:val="both"/>
        <w:rPr>
          <w:sz w:val="18"/>
        </w:rPr>
      </w:pPr>
      <w:r>
        <w:rPr>
          <w:sz w:val="18"/>
        </w:rPr>
        <w:t>Audit</w:t>
      </w:r>
      <w:r>
        <w:rPr>
          <w:spacing w:val="-11"/>
          <w:sz w:val="18"/>
        </w:rPr>
        <w:t> </w:t>
      </w:r>
      <w:r>
        <w:rPr>
          <w:sz w:val="18"/>
        </w:rPr>
        <w:t>reports</w:t>
      </w:r>
      <w:r>
        <w:rPr>
          <w:spacing w:val="-12"/>
          <w:sz w:val="18"/>
        </w:rPr>
        <w:t> </w:t>
      </w:r>
      <w:r>
        <w:rPr>
          <w:sz w:val="18"/>
        </w:rPr>
        <w:t>are</w:t>
      </w:r>
      <w:r>
        <w:rPr>
          <w:spacing w:val="-11"/>
          <w:sz w:val="18"/>
        </w:rPr>
        <w:t> </w:t>
      </w:r>
      <w:r>
        <w:rPr>
          <w:sz w:val="18"/>
        </w:rPr>
        <w:t>prepared</w:t>
      </w:r>
      <w:r>
        <w:rPr>
          <w:spacing w:val="-14"/>
          <w:sz w:val="18"/>
        </w:rPr>
        <w:t> </w:t>
      </w:r>
      <w:r>
        <w:rPr>
          <w:sz w:val="18"/>
        </w:rPr>
        <w:t>by</w:t>
      </w:r>
      <w:r>
        <w:rPr>
          <w:spacing w:val="-13"/>
          <w:sz w:val="18"/>
        </w:rPr>
        <w:t> </w:t>
      </w:r>
      <w:r>
        <w:rPr>
          <w:sz w:val="18"/>
        </w:rPr>
        <w:t>the</w:t>
      </w:r>
      <w:r>
        <w:rPr>
          <w:spacing w:val="-11"/>
          <w:sz w:val="18"/>
        </w:rPr>
        <w:t> </w:t>
      </w:r>
      <w:r>
        <w:rPr>
          <w:sz w:val="18"/>
        </w:rPr>
        <w:t>staff</w:t>
      </w:r>
      <w:r>
        <w:rPr>
          <w:spacing w:val="-11"/>
          <w:sz w:val="18"/>
        </w:rPr>
        <w:t> </w:t>
      </w:r>
      <w:r>
        <w:rPr>
          <w:sz w:val="18"/>
        </w:rPr>
        <w:t>of</w:t>
      </w:r>
      <w:r>
        <w:rPr>
          <w:spacing w:val="-13"/>
          <w:sz w:val="18"/>
        </w:rPr>
        <w:t> </w:t>
      </w:r>
      <w:r>
        <w:rPr>
          <w:sz w:val="18"/>
        </w:rPr>
        <w:t>the</w:t>
      </w:r>
      <w:r>
        <w:rPr>
          <w:spacing w:val="-11"/>
          <w:sz w:val="18"/>
        </w:rPr>
        <w:t> </w:t>
      </w:r>
      <w:r>
        <w:rPr>
          <w:sz w:val="18"/>
        </w:rPr>
        <w:t>NHS</w:t>
      </w:r>
      <w:r>
        <w:rPr>
          <w:spacing w:val="-10"/>
          <w:sz w:val="18"/>
        </w:rPr>
        <w:t> </w:t>
      </w:r>
      <w:r>
        <w:rPr>
          <w:sz w:val="18"/>
        </w:rPr>
        <w:t>Wales</w:t>
      </w:r>
      <w:r>
        <w:rPr>
          <w:spacing w:val="-12"/>
          <w:sz w:val="18"/>
        </w:rPr>
        <w:t> </w:t>
      </w:r>
      <w:r>
        <w:rPr>
          <w:sz w:val="18"/>
        </w:rPr>
        <w:t>Audit</w:t>
      </w:r>
      <w:r>
        <w:rPr>
          <w:spacing w:val="-11"/>
          <w:sz w:val="18"/>
        </w:rPr>
        <w:t> </w:t>
      </w:r>
      <w:r>
        <w:rPr>
          <w:sz w:val="18"/>
        </w:rPr>
        <w:t>and</w:t>
      </w:r>
      <w:r>
        <w:rPr>
          <w:spacing w:val="-11"/>
          <w:sz w:val="18"/>
        </w:rPr>
        <w:t> </w:t>
      </w:r>
      <w:r>
        <w:rPr>
          <w:sz w:val="18"/>
        </w:rPr>
        <w:t>Assurance</w:t>
      </w:r>
      <w:r>
        <w:rPr>
          <w:spacing w:val="-11"/>
          <w:sz w:val="18"/>
        </w:rPr>
        <w:t> </w:t>
      </w:r>
      <w:r>
        <w:rPr>
          <w:sz w:val="18"/>
        </w:rPr>
        <w:t>Services,</w:t>
      </w:r>
      <w:r>
        <w:rPr>
          <w:spacing w:val="-12"/>
          <w:sz w:val="18"/>
        </w:rPr>
        <w:t> </w:t>
      </w:r>
      <w:r>
        <w:rPr>
          <w:sz w:val="18"/>
        </w:rPr>
        <w:t>and</w:t>
      </w:r>
      <w:r>
        <w:rPr>
          <w:spacing w:val="-11"/>
          <w:sz w:val="18"/>
        </w:rPr>
        <w:t> </w:t>
      </w:r>
      <w:r>
        <w:rPr>
          <w:sz w:val="18"/>
        </w:rPr>
        <w:t>addressed</w:t>
      </w:r>
      <w:r>
        <w:rPr>
          <w:spacing w:val="-11"/>
          <w:sz w:val="18"/>
        </w:rPr>
        <w:t> </w:t>
      </w:r>
      <w:r>
        <w:rPr>
          <w:sz w:val="18"/>
        </w:rPr>
        <w:t>to</w:t>
      </w:r>
      <w:r>
        <w:rPr>
          <w:spacing w:val="-11"/>
          <w:sz w:val="18"/>
        </w:rPr>
        <w:t> </w:t>
      </w:r>
      <w:r>
        <w:rPr>
          <w:sz w:val="18"/>
        </w:rPr>
        <w:t>Independent Members or officers including those designated as Accountable Officer. They are prepared for the sole use of NHS Wales</w:t>
      </w:r>
      <w:r>
        <w:rPr>
          <w:spacing w:val="-16"/>
          <w:sz w:val="18"/>
        </w:rPr>
        <w:t> </w:t>
      </w:r>
      <w:r>
        <w:rPr>
          <w:sz w:val="18"/>
        </w:rPr>
        <w:t>Shared</w:t>
      </w:r>
      <w:r>
        <w:rPr>
          <w:spacing w:val="-16"/>
          <w:sz w:val="18"/>
        </w:rPr>
        <w:t> </w:t>
      </w:r>
      <w:r>
        <w:rPr>
          <w:sz w:val="18"/>
        </w:rPr>
        <w:t>Services</w:t>
      </w:r>
      <w:r>
        <w:rPr>
          <w:spacing w:val="-16"/>
          <w:sz w:val="18"/>
        </w:rPr>
        <w:t> </w:t>
      </w:r>
      <w:r>
        <w:rPr>
          <w:sz w:val="18"/>
        </w:rPr>
        <w:t>Partnership</w:t>
      </w:r>
      <w:r>
        <w:rPr>
          <w:spacing w:val="-12"/>
          <w:sz w:val="18"/>
        </w:rPr>
        <w:t> </w:t>
      </w:r>
      <w:r>
        <w:rPr>
          <w:sz w:val="18"/>
        </w:rPr>
        <w:t>and</w:t>
      </w:r>
      <w:r>
        <w:rPr>
          <w:spacing w:val="-16"/>
          <w:sz w:val="18"/>
        </w:rPr>
        <w:t> </w:t>
      </w:r>
      <w:r>
        <w:rPr>
          <w:sz w:val="18"/>
        </w:rPr>
        <w:t>no</w:t>
      </w:r>
      <w:r>
        <w:rPr>
          <w:spacing w:val="-14"/>
          <w:sz w:val="18"/>
        </w:rPr>
        <w:t> </w:t>
      </w:r>
      <w:r>
        <w:rPr>
          <w:sz w:val="18"/>
        </w:rPr>
        <w:t>responsibility</w:t>
      </w:r>
      <w:r>
        <w:rPr>
          <w:spacing w:val="-16"/>
          <w:sz w:val="18"/>
        </w:rPr>
        <w:t> </w:t>
      </w:r>
      <w:r>
        <w:rPr>
          <w:sz w:val="18"/>
        </w:rPr>
        <w:t>is</w:t>
      </w:r>
      <w:r>
        <w:rPr>
          <w:spacing w:val="-16"/>
          <w:sz w:val="18"/>
        </w:rPr>
        <w:t> </w:t>
      </w:r>
      <w:r>
        <w:rPr>
          <w:sz w:val="18"/>
        </w:rPr>
        <w:t>taken</w:t>
      </w:r>
      <w:r>
        <w:rPr>
          <w:spacing w:val="-16"/>
          <w:sz w:val="18"/>
        </w:rPr>
        <w:t> </w:t>
      </w:r>
      <w:r>
        <w:rPr>
          <w:sz w:val="18"/>
        </w:rPr>
        <w:t>by</w:t>
      </w:r>
      <w:r>
        <w:rPr>
          <w:spacing w:val="-16"/>
          <w:sz w:val="18"/>
        </w:rPr>
        <w:t> </w:t>
      </w:r>
      <w:r>
        <w:rPr>
          <w:sz w:val="18"/>
        </w:rPr>
        <w:t>the</w:t>
      </w:r>
      <w:r>
        <w:rPr>
          <w:spacing w:val="-13"/>
          <w:sz w:val="18"/>
        </w:rPr>
        <w:t> </w:t>
      </w:r>
      <w:r>
        <w:rPr>
          <w:sz w:val="18"/>
        </w:rPr>
        <w:t>Audit</w:t>
      </w:r>
      <w:r>
        <w:rPr>
          <w:spacing w:val="-16"/>
          <w:sz w:val="18"/>
        </w:rPr>
        <w:t> </w:t>
      </w:r>
      <w:r>
        <w:rPr>
          <w:sz w:val="18"/>
        </w:rPr>
        <w:t>and</w:t>
      </w:r>
      <w:r>
        <w:rPr>
          <w:spacing w:val="-15"/>
          <w:sz w:val="18"/>
        </w:rPr>
        <w:t> </w:t>
      </w:r>
      <w:r>
        <w:rPr>
          <w:sz w:val="18"/>
        </w:rPr>
        <w:t>Assurance</w:t>
      </w:r>
      <w:r>
        <w:rPr>
          <w:spacing w:val="-16"/>
          <w:sz w:val="18"/>
        </w:rPr>
        <w:t> </w:t>
      </w:r>
      <w:r>
        <w:rPr>
          <w:sz w:val="18"/>
        </w:rPr>
        <w:t>Services</w:t>
      </w:r>
      <w:r>
        <w:rPr>
          <w:spacing w:val="-15"/>
          <w:sz w:val="18"/>
        </w:rPr>
        <w:t> </w:t>
      </w:r>
      <w:r>
        <w:rPr>
          <w:sz w:val="18"/>
        </w:rPr>
        <w:t>Internal</w:t>
      </w:r>
      <w:r>
        <w:rPr>
          <w:spacing w:val="-16"/>
          <w:sz w:val="18"/>
        </w:rPr>
        <w:t> </w:t>
      </w:r>
      <w:r>
        <w:rPr>
          <w:sz w:val="18"/>
        </w:rPr>
        <w:t>Auditors to any director or officer in their individual capacity, or to any third party.</w:t>
      </w:r>
    </w:p>
    <w:p>
      <w:pPr>
        <w:pStyle w:val="BodyText"/>
        <w:rPr>
          <w:sz w:val="20"/>
        </w:rPr>
      </w:pPr>
    </w:p>
    <w:p>
      <w:pPr>
        <w:pStyle w:val="BodyText"/>
        <w:rPr>
          <w:sz w:val="20"/>
        </w:rPr>
      </w:pPr>
    </w:p>
    <w:p>
      <w:pPr>
        <w:pStyle w:val="BodyText"/>
        <w:rPr>
          <w:sz w:val="20"/>
        </w:rPr>
      </w:pPr>
    </w:p>
    <w:p>
      <w:pPr>
        <w:pStyle w:val="BodyText"/>
        <w:spacing w:before="8"/>
      </w:pPr>
      <w:r>
        <w:rPr/>
        <w:pict>
          <v:shape style="position:absolute;margin-left:28.320002pt;margin-top:16.213186pt;width:531.7pt;height:1.45pt;mso-position-horizontal-relative:page;mso-position-vertical-relative:paragraph;z-index:-15708160;mso-wrap-distance-left:0;mso-wrap-distance-right:0" id="docshape93" coordorigin="566,324" coordsize="10634,29" path="m11200,324l5972,324,5943,324,566,324,566,353,5943,353,5972,353,11200,353,11200,324xe" filled="true" fillcolor="#000000" stroked="false">
            <v:path arrowok="t"/>
            <v:fill type="solid"/>
            <w10:wrap type="topAndBottom"/>
          </v:shape>
        </w:pict>
      </w:r>
    </w:p>
    <w:p>
      <w:pPr>
        <w:pStyle w:val="BodyText"/>
        <w:spacing w:before="7"/>
        <w:rPr>
          <w:sz w:val="13"/>
        </w:rPr>
      </w:pPr>
    </w:p>
    <w:p>
      <w:pPr>
        <w:tabs>
          <w:tab w:pos="10715" w:val="right" w:leader="none"/>
        </w:tabs>
        <w:spacing w:before="101"/>
        <w:ind w:left="294" w:right="0" w:firstLine="0"/>
        <w:jc w:val="left"/>
        <w:rPr>
          <w:sz w:val="22"/>
        </w:rPr>
      </w:pPr>
      <w:r>
        <w:rPr>
          <w:sz w:val="22"/>
        </w:rPr>
        <w:t>NWSSP</w:t>
      </w:r>
      <w:r>
        <w:rPr>
          <w:spacing w:val="-7"/>
          <w:sz w:val="22"/>
        </w:rPr>
        <w:t> </w:t>
      </w:r>
      <w:r>
        <w:rPr>
          <w:sz w:val="22"/>
        </w:rPr>
        <w:t>Audit</w:t>
      </w:r>
      <w:r>
        <w:rPr>
          <w:spacing w:val="-5"/>
          <w:sz w:val="22"/>
        </w:rPr>
        <w:t> </w:t>
      </w:r>
      <w:r>
        <w:rPr>
          <w:sz w:val="22"/>
        </w:rPr>
        <w:t>and</w:t>
      </w:r>
      <w:r>
        <w:rPr>
          <w:spacing w:val="-5"/>
          <w:sz w:val="22"/>
        </w:rPr>
        <w:t> </w:t>
      </w:r>
      <w:r>
        <w:rPr>
          <w:sz w:val="22"/>
        </w:rPr>
        <w:t>Assurance</w:t>
      </w:r>
      <w:r>
        <w:rPr>
          <w:spacing w:val="-3"/>
          <w:sz w:val="22"/>
        </w:rPr>
        <w:t> </w:t>
      </w:r>
      <w:r>
        <w:rPr>
          <w:spacing w:val="-2"/>
          <w:sz w:val="22"/>
        </w:rPr>
        <w:t>Services</w:t>
      </w:r>
      <w:r>
        <w:rPr>
          <w:sz w:val="22"/>
        </w:rPr>
        <w:tab/>
      </w:r>
      <w:r>
        <w:rPr>
          <w:spacing w:val="-10"/>
          <w:sz w:val="22"/>
        </w:rPr>
        <w:t>2</w:t>
      </w:r>
    </w:p>
    <w:p>
      <w:pPr>
        <w:spacing w:after="0"/>
        <w:jc w:val="left"/>
        <w:rPr>
          <w:sz w:val="22"/>
        </w:rPr>
        <w:sectPr>
          <w:pgSz w:w="11910" w:h="16840"/>
          <w:pgMar w:header="0" w:footer="0" w:top="880" w:bottom="180" w:left="380" w:right="560"/>
        </w:sectPr>
      </w:pPr>
    </w:p>
    <w:p>
      <w:pPr>
        <w:pStyle w:val="BodyText"/>
        <w:tabs>
          <w:tab w:pos="7651" w:val="left" w:leader="none"/>
        </w:tabs>
        <w:spacing w:before="85"/>
        <w:ind w:left="328"/>
      </w:pPr>
      <w:r>
        <w:rPr/>
        <w:pict>
          <v:shape style="position:absolute;margin-left:34.68pt;margin-top:32.274410pt;width:532.450pt;height:1.45pt;mso-position-horizontal-relative:page;mso-position-vertical-relative:paragraph;z-index:15750656" id="docshape96" coordorigin="694,645" coordsize="10649,29" path="m11342,645l6085,645,6071,645,6056,645,694,645,694,674,6056,674,6071,674,6085,674,11342,674,11342,645xe" filled="true" fillcolor="#000000" stroked="false">
            <v:path arrowok="t"/>
            <v:fill type="solid"/>
            <w10:wrap type="none"/>
          </v:shape>
        </w:pict>
      </w:r>
      <w:r>
        <w:rPr/>
        <w:t>Recruitment</w:t>
      </w:r>
      <w:r>
        <w:rPr>
          <w:spacing w:val="-6"/>
        </w:rPr>
        <w:t> </w:t>
      </w:r>
      <w:r>
        <w:rPr>
          <w:spacing w:val="-2"/>
        </w:rPr>
        <w:t>Services</w:t>
      </w:r>
      <w:r>
        <w:rPr/>
        <w:tab/>
        <w:t>Final</w:t>
      </w:r>
      <w:r>
        <w:rPr>
          <w:spacing w:val="-6"/>
        </w:rPr>
        <w:t> </w:t>
      </w:r>
      <w:r>
        <w:rPr/>
        <w:t>Internal</w:t>
      </w:r>
      <w:r>
        <w:rPr>
          <w:spacing w:val="-3"/>
        </w:rPr>
        <w:t> </w:t>
      </w:r>
      <w:r>
        <w:rPr/>
        <w:t>Audit</w:t>
      </w:r>
      <w:r>
        <w:rPr>
          <w:spacing w:val="-1"/>
        </w:rPr>
        <w:t> </w:t>
      </w:r>
      <w:r>
        <w:rPr>
          <w:spacing w:val="-2"/>
        </w:rPr>
        <w:t>Report</w:t>
      </w:r>
    </w:p>
    <w:p>
      <w:pPr>
        <w:pStyle w:val="Heading4"/>
        <w:spacing w:before="639"/>
        <w:ind w:left="328"/>
      </w:pPr>
      <w:bookmarkStart w:name="_bookmark0" w:id="42"/>
      <w:bookmarkEnd w:id="42"/>
      <w:r>
        <w:rPr/>
      </w:r>
      <w:r>
        <w:rPr>
          <w:color w:val="3C5A8B"/>
        </w:rPr>
        <w:t>Executive</w:t>
      </w:r>
      <w:r>
        <w:rPr>
          <w:color w:val="3C5A8B"/>
          <w:spacing w:val="-5"/>
        </w:rPr>
        <w:t> </w:t>
      </w:r>
      <w:r>
        <w:rPr>
          <w:color w:val="3C5A8B"/>
          <w:spacing w:val="-2"/>
        </w:rPr>
        <w:t>Summary</w:t>
      </w:r>
    </w:p>
    <w:p>
      <w:pPr>
        <w:spacing w:after="0"/>
        <w:sectPr>
          <w:footerReference w:type="default" r:id="rId50"/>
          <w:pgSz w:w="11910" w:h="16840"/>
          <w:pgMar w:footer="173" w:header="0" w:top="740" w:bottom="360" w:left="380" w:right="560"/>
        </w:sectPr>
      </w:pPr>
    </w:p>
    <w:p>
      <w:pPr>
        <w:pStyle w:val="BodyText"/>
        <w:spacing w:before="3"/>
        <w:rPr>
          <w:sz w:val="32"/>
        </w:rPr>
      </w:pPr>
    </w:p>
    <w:p>
      <w:pPr>
        <w:pStyle w:val="Heading8"/>
        <w:ind w:left="4757"/>
        <w:rPr>
          <w:rFonts w:ascii="Verdana"/>
        </w:rPr>
      </w:pPr>
      <w:r>
        <w:rPr/>
        <w:pict>
          <v:shape style="position:absolute;margin-left:35.400002pt;margin-top:-5.964831pt;width:216.05pt;height:431.25pt;mso-position-horizontal-relative:page;mso-position-vertical-relative:paragraph;z-index:15752704" type="#_x0000_t202" id="docshape97" filled="true" fillcolor="#d9e1f3" stroked="false">
            <v:textbox inset="0,0,0,0">
              <w:txbxContent>
                <w:p>
                  <w:pPr>
                    <w:spacing w:before="117"/>
                    <w:ind w:left="107" w:right="0" w:firstLine="0"/>
                    <w:jc w:val="left"/>
                    <w:rPr>
                      <w:b/>
                      <w:color w:val="000000"/>
                      <w:sz w:val="22"/>
                    </w:rPr>
                  </w:pPr>
                  <w:r>
                    <w:rPr>
                      <w:b/>
                      <w:color w:val="15254A"/>
                      <w:spacing w:val="-2"/>
                      <w:sz w:val="22"/>
                    </w:rPr>
                    <w:t>Purpose</w:t>
                  </w:r>
                </w:p>
                <w:p>
                  <w:pPr>
                    <w:spacing w:before="125"/>
                    <w:ind w:left="107" w:right="107" w:firstLine="0"/>
                    <w:jc w:val="both"/>
                    <w:rPr>
                      <w:color w:val="000000"/>
                      <w:sz w:val="20"/>
                    </w:rPr>
                  </w:pPr>
                  <w:r>
                    <w:rPr>
                      <w:color w:val="000000"/>
                      <w:sz w:val="20"/>
                    </w:rPr>
                    <w:t>The</w:t>
                  </w:r>
                  <w:r>
                    <w:rPr>
                      <w:color w:val="000000"/>
                      <w:spacing w:val="-5"/>
                      <w:sz w:val="20"/>
                    </w:rPr>
                    <w:t> </w:t>
                  </w:r>
                  <w:r>
                    <w:rPr>
                      <w:color w:val="000000"/>
                      <w:sz w:val="20"/>
                    </w:rPr>
                    <w:t>overall</w:t>
                  </w:r>
                  <w:r>
                    <w:rPr>
                      <w:color w:val="000000"/>
                      <w:spacing w:val="-3"/>
                      <w:sz w:val="20"/>
                    </w:rPr>
                    <w:t> </w:t>
                  </w:r>
                  <w:r>
                    <w:rPr>
                      <w:color w:val="000000"/>
                      <w:sz w:val="20"/>
                    </w:rPr>
                    <w:t>objective</w:t>
                  </w:r>
                  <w:r>
                    <w:rPr>
                      <w:color w:val="000000"/>
                      <w:spacing w:val="-5"/>
                      <w:sz w:val="20"/>
                    </w:rPr>
                    <w:t> </w:t>
                  </w:r>
                  <w:r>
                    <w:rPr>
                      <w:color w:val="000000"/>
                      <w:sz w:val="20"/>
                    </w:rPr>
                    <w:t>of</w:t>
                  </w:r>
                  <w:r>
                    <w:rPr>
                      <w:color w:val="000000"/>
                      <w:spacing w:val="-2"/>
                      <w:sz w:val="20"/>
                    </w:rPr>
                    <w:t> </w:t>
                  </w:r>
                  <w:r>
                    <w:rPr>
                      <w:color w:val="000000"/>
                      <w:sz w:val="20"/>
                    </w:rPr>
                    <w:t>this</w:t>
                  </w:r>
                  <w:r>
                    <w:rPr>
                      <w:color w:val="000000"/>
                      <w:spacing w:val="-7"/>
                      <w:sz w:val="20"/>
                    </w:rPr>
                    <w:t> </w:t>
                  </w:r>
                  <w:r>
                    <w:rPr>
                      <w:color w:val="000000"/>
                      <w:sz w:val="20"/>
                    </w:rPr>
                    <w:t>audit</w:t>
                  </w:r>
                  <w:r>
                    <w:rPr>
                      <w:color w:val="000000"/>
                      <w:spacing w:val="-1"/>
                      <w:sz w:val="20"/>
                    </w:rPr>
                    <w:t> </w:t>
                  </w:r>
                  <w:r>
                    <w:rPr>
                      <w:color w:val="000000"/>
                      <w:sz w:val="20"/>
                    </w:rPr>
                    <w:t>was</w:t>
                  </w:r>
                  <w:r>
                    <w:rPr>
                      <w:color w:val="000000"/>
                      <w:spacing w:val="-7"/>
                      <w:sz w:val="20"/>
                    </w:rPr>
                    <w:t> </w:t>
                  </w:r>
                  <w:r>
                    <w:rPr>
                      <w:color w:val="000000"/>
                      <w:sz w:val="20"/>
                    </w:rPr>
                    <w:t>to assess</w:t>
                  </w:r>
                  <w:r>
                    <w:rPr>
                      <w:color w:val="000000"/>
                      <w:spacing w:val="-18"/>
                      <w:sz w:val="20"/>
                    </w:rPr>
                    <w:t> </w:t>
                  </w:r>
                  <w:r>
                    <w:rPr>
                      <w:color w:val="000000"/>
                      <w:sz w:val="20"/>
                    </w:rPr>
                    <w:t>the</w:t>
                  </w:r>
                  <w:r>
                    <w:rPr>
                      <w:color w:val="000000"/>
                      <w:spacing w:val="-18"/>
                      <w:sz w:val="20"/>
                    </w:rPr>
                    <w:t> </w:t>
                  </w:r>
                  <w:r>
                    <w:rPr>
                      <w:color w:val="000000"/>
                      <w:sz w:val="20"/>
                    </w:rPr>
                    <w:t>adequacy</w:t>
                  </w:r>
                  <w:r>
                    <w:rPr>
                      <w:color w:val="000000"/>
                      <w:spacing w:val="-17"/>
                      <w:sz w:val="20"/>
                    </w:rPr>
                    <w:t> </w:t>
                  </w:r>
                  <w:r>
                    <w:rPr>
                      <w:color w:val="000000"/>
                      <w:sz w:val="20"/>
                    </w:rPr>
                    <w:t>and</w:t>
                  </w:r>
                  <w:r>
                    <w:rPr>
                      <w:color w:val="000000"/>
                      <w:spacing w:val="-18"/>
                      <w:sz w:val="20"/>
                    </w:rPr>
                    <w:t> </w:t>
                  </w:r>
                  <w:r>
                    <w:rPr>
                      <w:color w:val="000000"/>
                      <w:sz w:val="20"/>
                    </w:rPr>
                    <w:t>effectiveness</w:t>
                  </w:r>
                  <w:r>
                    <w:rPr>
                      <w:color w:val="000000"/>
                      <w:spacing w:val="-17"/>
                      <w:sz w:val="20"/>
                    </w:rPr>
                    <w:t> </w:t>
                  </w:r>
                  <w:r>
                    <w:rPr>
                      <w:color w:val="000000"/>
                      <w:sz w:val="20"/>
                    </w:rPr>
                    <w:t>of systems and controls for the management of Recruitment Services.</w:t>
                  </w:r>
                </w:p>
                <w:p>
                  <w:pPr>
                    <w:spacing w:before="195"/>
                    <w:ind w:left="107" w:right="0" w:firstLine="0"/>
                    <w:jc w:val="left"/>
                    <w:rPr>
                      <w:b/>
                      <w:color w:val="000000"/>
                      <w:sz w:val="22"/>
                    </w:rPr>
                  </w:pPr>
                  <w:r>
                    <w:rPr>
                      <w:b/>
                      <w:color w:val="15254A"/>
                      <w:spacing w:val="-2"/>
                      <w:sz w:val="22"/>
                    </w:rPr>
                    <w:t>Overview</w:t>
                  </w:r>
                </w:p>
                <w:p>
                  <w:pPr>
                    <w:spacing w:before="123"/>
                    <w:ind w:left="107" w:right="230" w:firstLine="0"/>
                    <w:jc w:val="both"/>
                    <w:rPr>
                      <w:color w:val="000000"/>
                      <w:sz w:val="20"/>
                    </w:rPr>
                  </w:pPr>
                  <w:r>
                    <w:rPr>
                      <w:color w:val="000000"/>
                      <w:sz w:val="20"/>
                    </w:rPr>
                    <w:t>The Recruitment Service has in place a service</w:t>
                  </w:r>
                  <w:r>
                    <w:rPr>
                      <w:color w:val="000000"/>
                      <w:spacing w:val="-11"/>
                      <w:sz w:val="20"/>
                    </w:rPr>
                    <w:t> </w:t>
                  </w:r>
                  <w:r>
                    <w:rPr>
                      <w:color w:val="000000"/>
                      <w:sz w:val="20"/>
                    </w:rPr>
                    <w:t>level</w:t>
                  </w:r>
                  <w:r>
                    <w:rPr>
                      <w:color w:val="000000"/>
                      <w:spacing w:val="-9"/>
                      <w:sz w:val="20"/>
                    </w:rPr>
                    <w:t> </w:t>
                  </w:r>
                  <w:r>
                    <w:rPr>
                      <w:color w:val="000000"/>
                      <w:sz w:val="20"/>
                    </w:rPr>
                    <w:t>agreement</w:t>
                  </w:r>
                  <w:r>
                    <w:rPr>
                      <w:color w:val="000000"/>
                      <w:spacing w:val="-7"/>
                      <w:sz w:val="20"/>
                    </w:rPr>
                    <w:t> </w:t>
                  </w:r>
                  <w:r>
                    <w:rPr>
                      <w:color w:val="000000"/>
                      <w:sz w:val="20"/>
                    </w:rPr>
                    <w:t>(SLA)</w:t>
                  </w:r>
                  <w:r>
                    <w:rPr>
                      <w:color w:val="000000"/>
                      <w:spacing w:val="-8"/>
                      <w:sz w:val="20"/>
                    </w:rPr>
                    <w:t> </w:t>
                  </w:r>
                  <w:r>
                    <w:rPr>
                      <w:color w:val="000000"/>
                      <w:sz w:val="20"/>
                    </w:rPr>
                    <w:t>that</w:t>
                  </w:r>
                  <w:r>
                    <w:rPr>
                      <w:color w:val="000000"/>
                      <w:spacing w:val="-11"/>
                      <w:sz w:val="20"/>
                    </w:rPr>
                    <w:t> </w:t>
                  </w:r>
                  <w:r>
                    <w:rPr>
                      <w:color w:val="000000"/>
                      <w:sz w:val="20"/>
                    </w:rPr>
                    <w:t>sets out</w:t>
                  </w:r>
                  <w:r>
                    <w:rPr>
                      <w:color w:val="000000"/>
                      <w:spacing w:val="-3"/>
                      <w:sz w:val="20"/>
                    </w:rPr>
                    <w:t> </w:t>
                  </w:r>
                  <w:r>
                    <w:rPr>
                      <w:color w:val="000000"/>
                      <w:sz w:val="20"/>
                    </w:rPr>
                    <w:t>key</w:t>
                  </w:r>
                  <w:r>
                    <w:rPr>
                      <w:color w:val="000000"/>
                      <w:spacing w:val="-1"/>
                      <w:sz w:val="20"/>
                    </w:rPr>
                    <w:t> </w:t>
                  </w:r>
                  <w:r>
                    <w:rPr>
                      <w:color w:val="000000"/>
                      <w:sz w:val="20"/>
                    </w:rPr>
                    <w:t>responsibilities</w:t>
                  </w:r>
                  <w:r>
                    <w:rPr>
                      <w:color w:val="000000"/>
                      <w:spacing w:val="-1"/>
                      <w:sz w:val="20"/>
                    </w:rPr>
                    <w:t> </w:t>
                  </w:r>
                  <w:r>
                    <w:rPr>
                      <w:color w:val="000000"/>
                      <w:sz w:val="20"/>
                    </w:rPr>
                    <w:t>and</w:t>
                  </w:r>
                  <w:r>
                    <w:rPr>
                      <w:color w:val="000000"/>
                      <w:spacing w:val="-3"/>
                      <w:sz w:val="20"/>
                    </w:rPr>
                    <w:t> </w:t>
                  </w:r>
                  <w:r>
                    <w:rPr>
                      <w:color w:val="000000"/>
                      <w:sz w:val="20"/>
                    </w:rPr>
                    <w:t>timescales, a robust system ensuring compliance with the NHS Employment Check Standards and regular monitoring of </w:t>
                  </w:r>
                  <w:r>
                    <w:rPr>
                      <w:color w:val="000000"/>
                      <w:spacing w:val="-2"/>
                      <w:sz w:val="20"/>
                    </w:rPr>
                    <w:t>performance.</w:t>
                  </w:r>
                </w:p>
                <w:p>
                  <w:pPr>
                    <w:spacing w:before="120"/>
                    <w:ind w:left="107" w:right="229" w:firstLine="0"/>
                    <w:jc w:val="both"/>
                    <w:rPr>
                      <w:color w:val="000000"/>
                      <w:sz w:val="20"/>
                    </w:rPr>
                  </w:pPr>
                  <w:r>
                    <w:rPr>
                      <w:color w:val="000000"/>
                      <w:sz w:val="20"/>
                    </w:rPr>
                    <w:t>Two medium priority matters arising were identified relating to:</w:t>
                  </w:r>
                </w:p>
                <w:p>
                  <w:pPr>
                    <w:numPr>
                      <w:ilvl w:val="0"/>
                      <w:numId w:val="13"/>
                    </w:numPr>
                    <w:tabs>
                      <w:tab w:pos="572" w:val="left" w:leader="none"/>
                    </w:tabs>
                    <w:spacing w:line="240" w:lineRule="auto" w:before="121"/>
                    <w:ind w:left="571" w:right="227" w:hanging="284"/>
                    <w:jc w:val="both"/>
                    <w:rPr>
                      <w:color w:val="000000"/>
                      <w:sz w:val="20"/>
                    </w:rPr>
                  </w:pPr>
                  <w:r>
                    <w:rPr>
                      <w:color w:val="000000"/>
                      <w:sz w:val="20"/>
                    </w:rPr>
                    <w:t>the Employment Services risk register</w:t>
                  </w:r>
                  <w:r>
                    <w:rPr>
                      <w:color w:val="000000"/>
                      <w:spacing w:val="-12"/>
                      <w:sz w:val="20"/>
                    </w:rPr>
                    <w:t> </w:t>
                  </w:r>
                  <w:r>
                    <w:rPr>
                      <w:color w:val="000000"/>
                      <w:sz w:val="20"/>
                    </w:rPr>
                    <w:t>reflects</w:t>
                  </w:r>
                  <w:r>
                    <w:rPr>
                      <w:color w:val="000000"/>
                      <w:spacing w:val="-12"/>
                      <w:sz w:val="20"/>
                    </w:rPr>
                    <w:t> </w:t>
                  </w:r>
                  <w:r>
                    <w:rPr>
                      <w:color w:val="000000"/>
                      <w:sz w:val="20"/>
                    </w:rPr>
                    <w:t>the</w:t>
                  </w:r>
                  <w:r>
                    <w:rPr>
                      <w:color w:val="000000"/>
                      <w:spacing w:val="-12"/>
                      <w:sz w:val="20"/>
                    </w:rPr>
                    <w:t> </w:t>
                  </w:r>
                  <w:r>
                    <w:rPr>
                      <w:color w:val="000000"/>
                      <w:sz w:val="20"/>
                    </w:rPr>
                    <w:t>risk</w:t>
                  </w:r>
                  <w:r>
                    <w:rPr>
                      <w:color w:val="000000"/>
                      <w:spacing w:val="-11"/>
                      <w:sz w:val="20"/>
                    </w:rPr>
                    <w:t> </w:t>
                  </w:r>
                  <w:r>
                    <w:rPr>
                      <w:color w:val="000000"/>
                      <w:sz w:val="20"/>
                    </w:rPr>
                    <w:t>associated with new starters commencing employment</w:t>
                  </w:r>
                  <w:r>
                    <w:rPr>
                      <w:color w:val="000000"/>
                      <w:spacing w:val="-16"/>
                      <w:sz w:val="20"/>
                    </w:rPr>
                    <w:t> </w:t>
                  </w:r>
                  <w:r>
                    <w:rPr>
                      <w:color w:val="000000"/>
                      <w:sz w:val="20"/>
                    </w:rPr>
                    <w:t>before</w:t>
                  </w:r>
                  <w:r>
                    <w:rPr>
                      <w:color w:val="000000"/>
                      <w:spacing w:val="-16"/>
                      <w:sz w:val="20"/>
                    </w:rPr>
                    <w:t> </w:t>
                  </w:r>
                  <w:r>
                    <w:rPr>
                      <w:color w:val="000000"/>
                      <w:sz w:val="20"/>
                    </w:rPr>
                    <w:t>the</w:t>
                  </w:r>
                  <w:r>
                    <w:rPr>
                      <w:color w:val="000000"/>
                      <w:spacing w:val="-15"/>
                      <w:sz w:val="20"/>
                    </w:rPr>
                    <w:t> </w:t>
                  </w:r>
                  <w:r>
                    <w:rPr>
                      <w:color w:val="000000"/>
                      <w:sz w:val="20"/>
                    </w:rPr>
                    <w:t>completion of pre-employment checks however, the potential impact of this</w:t>
                  </w:r>
                  <w:r>
                    <w:rPr>
                      <w:color w:val="000000"/>
                      <w:spacing w:val="-9"/>
                      <w:sz w:val="20"/>
                    </w:rPr>
                    <w:t> </w:t>
                  </w:r>
                  <w:r>
                    <w:rPr>
                      <w:color w:val="000000"/>
                      <w:sz w:val="20"/>
                    </w:rPr>
                    <w:t>risk</w:t>
                  </w:r>
                  <w:r>
                    <w:rPr>
                      <w:color w:val="000000"/>
                      <w:spacing w:val="-9"/>
                      <w:sz w:val="20"/>
                    </w:rPr>
                    <w:t> </w:t>
                  </w:r>
                  <w:r>
                    <w:rPr>
                      <w:color w:val="000000"/>
                      <w:sz w:val="20"/>
                    </w:rPr>
                    <w:t>affects</w:t>
                  </w:r>
                  <w:r>
                    <w:rPr>
                      <w:color w:val="000000"/>
                      <w:spacing w:val="-6"/>
                      <w:sz w:val="20"/>
                    </w:rPr>
                    <w:t> </w:t>
                  </w:r>
                  <w:r>
                    <w:rPr>
                      <w:color w:val="000000"/>
                      <w:sz w:val="20"/>
                    </w:rPr>
                    <w:t>the</w:t>
                  </w:r>
                  <w:r>
                    <w:rPr>
                      <w:color w:val="000000"/>
                      <w:spacing w:val="-7"/>
                      <w:sz w:val="20"/>
                    </w:rPr>
                    <w:t> </w:t>
                  </w:r>
                  <w:r>
                    <w:rPr>
                      <w:color w:val="000000"/>
                      <w:sz w:val="20"/>
                    </w:rPr>
                    <w:t>recruiting</w:t>
                  </w:r>
                  <w:r>
                    <w:rPr>
                      <w:color w:val="000000"/>
                      <w:spacing w:val="-7"/>
                      <w:sz w:val="20"/>
                    </w:rPr>
                    <w:t> </w:t>
                  </w:r>
                  <w:r>
                    <w:rPr>
                      <w:color w:val="000000"/>
                      <w:sz w:val="20"/>
                    </w:rPr>
                    <w:t>body rather</w:t>
                  </w:r>
                  <w:r>
                    <w:rPr>
                      <w:color w:val="000000"/>
                      <w:spacing w:val="-18"/>
                      <w:sz w:val="20"/>
                    </w:rPr>
                    <w:t> </w:t>
                  </w:r>
                  <w:r>
                    <w:rPr>
                      <w:color w:val="000000"/>
                      <w:sz w:val="20"/>
                    </w:rPr>
                    <w:t>than</w:t>
                  </w:r>
                  <w:r>
                    <w:rPr>
                      <w:color w:val="000000"/>
                      <w:spacing w:val="-18"/>
                      <w:sz w:val="20"/>
                    </w:rPr>
                    <w:t> </w:t>
                  </w:r>
                  <w:r>
                    <w:rPr>
                      <w:color w:val="000000"/>
                      <w:sz w:val="20"/>
                    </w:rPr>
                    <w:t>NWSSP.</w:t>
                  </w:r>
                  <w:r>
                    <w:rPr>
                      <w:color w:val="000000"/>
                      <w:spacing w:val="-17"/>
                      <w:sz w:val="20"/>
                    </w:rPr>
                    <w:t> </w:t>
                  </w:r>
                  <w:r>
                    <w:rPr>
                      <w:color w:val="000000"/>
                      <w:sz w:val="20"/>
                    </w:rPr>
                    <w:t>The</w:t>
                  </w:r>
                  <w:r>
                    <w:rPr>
                      <w:color w:val="000000"/>
                      <w:spacing w:val="-18"/>
                      <w:sz w:val="20"/>
                    </w:rPr>
                    <w:t> </w:t>
                  </w:r>
                  <w:r>
                    <w:rPr>
                      <w:color w:val="000000"/>
                      <w:sz w:val="20"/>
                    </w:rPr>
                    <w:t>real</w:t>
                  </w:r>
                  <w:r>
                    <w:rPr>
                      <w:color w:val="000000"/>
                      <w:spacing w:val="-17"/>
                      <w:sz w:val="20"/>
                    </w:rPr>
                    <w:t> </w:t>
                  </w:r>
                  <w:r>
                    <w:rPr>
                      <w:color w:val="000000"/>
                      <w:sz w:val="20"/>
                    </w:rPr>
                    <w:t>risk</w:t>
                  </w:r>
                  <w:r>
                    <w:rPr>
                      <w:color w:val="000000"/>
                      <w:spacing w:val="-18"/>
                      <w:sz w:val="20"/>
                    </w:rPr>
                    <w:t> </w:t>
                  </w:r>
                  <w:r>
                    <w:rPr>
                      <w:color w:val="000000"/>
                      <w:sz w:val="20"/>
                    </w:rPr>
                    <w:t>to NWSSP (if any) is not clear and therefore requires reassessment; </w:t>
                  </w:r>
                  <w:r>
                    <w:rPr>
                      <w:color w:val="000000"/>
                      <w:spacing w:val="-4"/>
                      <w:sz w:val="20"/>
                    </w:rPr>
                    <w:t>and</w:t>
                  </w:r>
                </w:p>
                <w:p>
                  <w:pPr>
                    <w:numPr>
                      <w:ilvl w:val="0"/>
                      <w:numId w:val="13"/>
                    </w:numPr>
                    <w:tabs>
                      <w:tab w:pos="572" w:val="left" w:leader="none"/>
                    </w:tabs>
                    <w:spacing w:line="240" w:lineRule="auto" w:before="0"/>
                    <w:ind w:left="571" w:right="228" w:hanging="284"/>
                    <w:jc w:val="both"/>
                    <w:rPr>
                      <w:color w:val="000000"/>
                      <w:sz w:val="20"/>
                    </w:rPr>
                  </w:pPr>
                  <w:r>
                    <w:rPr>
                      <w:color w:val="000000"/>
                      <w:sz w:val="20"/>
                    </w:rPr>
                    <w:t>analysis of customer service surveys has not taken place since February 2022.</w:t>
                  </w:r>
                </w:p>
                <w:p>
                  <w:pPr>
                    <w:spacing w:line="243" w:lineRule="exact" w:before="117"/>
                    <w:ind w:left="107" w:right="0" w:firstLine="0"/>
                    <w:jc w:val="both"/>
                    <w:rPr>
                      <w:color w:val="000000"/>
                      <w:sz w:val="20"/>
                    </w:rPr>
                  </w:pPr>
                  <w:r>
                    <w:rPr>
                      <w:color w:val="000000"/>
                      <w:sz w:val="20"/>
                    </w:rPr>
                    <w:t>Accordingly,</w:t>
                  </w:r>
                  <w:r>
                    <w:rPr>
                      <w:color w:val="000000"/>
                      <w:spacing w:val="54"/>
                      <w:w w:val="150"/>
                      <w:sz w:val="20"/>
                    </w:rPr>
                    <w:t>  </w:t>
                  </w:r>
                  <w:r>
                    <w:rPr>
                      <w:color w:val="000000"/>
                      <w:sz w:val="20"/>
                    </w:rPr>
                    <w:t>we</w:t>
                  </w:r>
                  <w:r>
                    <w:rPr>
                      <w:color w:val="000000"/>
                      <w:spacing w:val="54"/>
                      <w:w w:val="150"/>
                      <w:sz w:val="20"/>
                    </w:rPr>
                    <w:t>  </w:t>
                  </w:r>
                  <w:r>
                    <w:rPr>
                      <w:color w:val="000000"/>
                      <w:sz w:val="20"/>
                    </w:rPr>
                    <w:t>have</w:t>
                  </w:r>
                  <w:r>
                    <w:rPr>
                      <w:color w:val="000000"/>
                      <w:spacing w:val="54"/>
                      <w:w w:val="150"/>
                      <w:sz w:val="20"/>
                    </w:rPr>
                    <w:t>  </w:t>
                  </w:r>
                  <w:r>
                    <w:rPr>
                      <w:color w:val="000000"/>
                      <w:spacing w:val="-2"/>
                      <w:sz w:val="20"/>
                    </w:rPr>
                    <w:t>concluded</w:t>
                  </w:r>
                </w:p>
                <w:p>
                  <w:pPr>
                    <w:spacing w:line="243" w:lineRule="exact" w:before="0"/>
                    <w:ind w:left="107" w:right="0" w:firstLine="0"/>
                    <w:jc w:val="both"/>
                    <w:rPr>
                      <w:color w:val="000000"/>
                      <w:sz w:val="20"/>
                    </w:rPr>
                  </w:pPr>
                  <w:r>
                    <w:rPr>
                      <w:b/>
                      <w:color w:val="000000"/>
                      <w:sz w:val="20"/>
                    </w:rPr>
                    <w:t>Reasonable</w:t>
                  </w:r>
                  <w:r>
                    <w:rPr>
                      <w:b/>
                      <w:color w:val="000000"/>
                      <w:spacing w:val="-10"/>
                      <w:sz w:val="20"/>
                    </w:rPr>
                    <w:t> </w:t>
                  </w:r>
                  <w:r>
                    <w:rPr>
                      <w:color w:val="000000"/>
                      <w:sz w:val="20"/>
                    </w:rPr>
                    <w:t>assurance</w:t>
                  </w:r>
                  <w:r>
                    <w:rPr>
                      <w:color w:val="000000"/>
                      <w:spacing w:val="-11"/>
                      <w:sz w:val="20"/>
                    </w:rPr>
                    <w:t> </w:t>
                  </w:r>
                  <w:r>
                    <w:rPr>
                      <w:color w:val="000000"/>
                      <w:spacing w:val="-2"/>
                      <w:sz w:val="20"/>
                    </w:rPr>
                    <w:t>overall.</w:t>
                  </w:r>
                </w:p>
              </w:txbxContent>
            </v:textbox>
            <v:fill type="solid"/>
            <w10:wrap type="none"/>
          </v:shape>
        </w:pict>
      </w:r>
      <w:r>
        <w:rPr>
          <w:rFonts w:ascii="Verdana"/>
          <w:color w:val="3C5A8B"/>
        </w:rPr>
        <w:t>Report</w:t>
      </w:r>
      <w:r>
        <w:rPr>
          <w:rFonts w:ascii="Verdana"/>
          <w:color w:val="3C5A8B"/>
          <w:spacing w:val="-5"/>
        </w:rPr>
        <w:t> </w:t>
      </w:r>
      <w:r>
        <w:rPr>
          <w:rFonts w:ascii="Verdana"/>
          <w:color w:val="3C5A8B"/>
          <w:spacing w:val="-2"/>
        </w:rPr>
        <w:t>Opinion</w:t>
      </w:r>
    </w:p>
    <w:p>
      <w:pPr>
        <w:pStyle w:val="BodyText"/>
        <w:rPr>
          <w:sz w:val="34"/>
        </w:rPr>
      </w:pPr>
    </w:p>
    <w:p>
      <w:pPr>
        <w:spacing w:line="253" w:lineRule="exact" w:before="296"/>
        <w:ind w:left="5157" w:right="0" w:firstLine="0"/>
        <w:jc w:val="both"/>
        <w:rPr>
          <w:sz w:val="20"/>
        </w:rPr>
      </w:pPr>
      <w:r>
        <w:rPr/>
        <w:pict>
          <v:shape style="position:absolute;margin-left:256.850006pt;margin-top:9.493672pt;width:297.9pt;height:.5pt;mso-position-horizontal-relative:page;mso-position-vertical-relative:paragraph;z-index:15751680" id="docshape98" coordorigin="5137,190" coordsize="5958,10" path="m10199,190l7101,190,7091,190,7091,190,5137,190,5137,199,7091,199,7091,199,7101,199,10199,199,10199,190xm10209,190l10200,190,10200,199,10209,199,10209,190xm11095,190l10209,190,10209,199,11095,199,11095,190xe" filled="true" fillcolor="#000000" stroked="false">
            <v:path arrowok="t"/>
            <v:fill type="solid"/>
            <w10:wrap type="none"/>
          </v:shape>
        </w:pict>
      </w:r>
      <w:r>
        <w:rPr>
          <w:color w:val="3C5A8B"/>
          <w:position w:val="-1"/>
          <w:sz w:val="20"/>
        </w:rPr>
        <w:t>Reasonable</w:t>
      </w:r>
      <w:r>
        <w:rPr>
          <w:color w:val="3C5A8B"/>
          <w:spacing w:val="61"/>
          <w:w w:val="150"/>
          <w:position w:val="-1"/>
          <w:sz w:val="20"/>
        </w:rPr>
        <w:t>   </w:t>
      </w:r>
      <w:r>
        <w:rPr>
          <w:sz w:val="20"/>
        </w:rPr>
        <w:t>Some</w:t>
      </w:r>
      <w:r>
        <w:rPr>
          <w:spacing w:val="64"/>
          <w:sz w:val="20"/>
        </w:rPr>
        <w:t>   </w:t>
      </w:r>
      <w:r>
        <w:rPr>
          <w:sz w:val="20"/>
        </w:rPr>
        <w:t>matters</w:t>
      </w:r>
      <w:r>
        <w:rPr>
          <w:spacing w:val="65"/>
          <w:sz w:val="20"/>
        </w:rPr>
        <w:t>   </w:t>
      </w:r>
      <w:r>
        <w:rPr>
          <w:spacing w:val="-2"/>
          <w:sz w:val="20"/>
        </w:rPr>
        <w:t>require</w:t>
      </w:r>
    </w:p>
    <w:p>
      <w:pPr>
        <w:spacing w:line="240" w:lineRule="auto" w:before="0"/>
        <w:ind w:left="6819" w:right="0" w:firstLine="0"/>
        <w:jc w:val="both"/>
        <w:rPr>
          <w:sz w:val="20"/>
        </w:rPr>
      </w:pPr>
      <w:r>
        <w:rPr/>
        <w:drawing>
          <wp:anchor distT="0" distB="0" distL="0" distR="0" allowOverlap="1" layoutInCell="1" locked="0" behindDoc="0" simplePos="0" relativeHeight="15752192">
            <wp:simplePos x="0" y="0"/>
            <wp:positionH relativeFrom="page">
              <wp:posOffset>3404870</wp:posOffset>
            </wp:positionH>
            <wp:positionV relativeFrom="paragraph">
              <wp:posOffset>91995</wp:posOffset>
            </wp:positionV>
            <wp:extent cx="951369" cy="532765"/>
            <wp:effectExtent l="0" t="0" r="0" b="0"/>
            <wp:wrapNone/>
            <wp:docPr id="33" name="image14.png"/>
            <wp:cNvGraphicFramePr>
              <a:graphicFrameLocks noChangeAspect="1"/>
            </wp:cNvGraphicFramePr>
            <a:graphic>
              <a:graphicData uri="http://schemas.openxmlformats.org/drawingml/2006/picture">
                <pic:pic>
                  <pic:nvPicPr>
                    <pic:cNvPr id="34" name="image14.png"/>
                    <pic:cNvPicPr/>
                  </pic:nvPicPr>
                  <pic:blipFill>
                    <a:blip r:embed="rId51" cstate="print"/>
                    <a:stretch>
                      <a:fillRect/>
                    </a:stretch>
                  </pic:blipFill>
                  <pic:spPr>
                    <a:xfrm>
                      <a:off x="0" y="0"/>
                      <a:ext cx="951369" cy="532765"/>
                    </a:xfrm>
                    <a:prstGeom prst="rect">
                      <a:avLst/>
                    </a:prstGeom>
                  </pic:spPr>
                </pic:pic>
              </a:graphicData>
            </a:graphic>
          </wp:anchor>
        </w:drawing>
      </w:r>
      <w:r>
        <w:rPr>
          <w:sz w:val="20"/>
        </w:rPr>
        <w:t>management attention </w:t>
      </w:r>
      <w:r>
        <w:rPr>
          <w:sz w:val="20"/>
        </w:rPr>
        <w:t>in control design or </w:t>
      </w:r>
      <w:r>
        <w:rPr>
          <w:spacing w:val="-2"/>
          <w:sz w:val="20"/>
        </w:rPr>
        <w:t>compliance.</w:t>
      </w:r>
    </w:p>
    <w:p>
      <w:pPr>
        <w:spacing w:line="240" w:lineRule="auto" w:before="50"/>
        <w:ind w:left="6819" w:right="0" w:firstLine="0"/>
        <w:jc w:val="both"/>
        <w:rPr>
          <w:sz w:val="20"/>
        </w:rPr>
      </w:pPr>
      <w:r>
        <w:rPr>
          <w:b/>
          <w:color w:val="3C5A8B"/>
          <w:sz w:val="20"/>
        </w:rPr>
        <w:t>Low to moderate impact </w:t>
      </w:r>
      <w:r>
        <w:rPr>
          <w:sz w:val="20"/>
        </w:rPr>
        <w:t>on residual risk </w:t>
      </w:r>
      <w:r>
        <w:rPr>
          <w:sz w:val="20"/>
        </w:rPr>
        <w:t>exposure until resolved.</w:t>
      </w:r>
    </w:p>
    <w:p>
      <w:pPr>
        <w:spacing w:line="240" w:lineRule="auto" w:before="0"/>
        <w:rPr>
          <w:sz w:val="24"/>
        </w:rPr>
      </w:pPr>
      <w:r>
        <w:rPr/>
        <w:br w:type="column"/>
      </w:r>
      <w:r>
        <w:rPr>
          <w:sz w:val="24"/>
        </w:rPr>
      </w:r>
    </w:p>
    <w:p>
      <w:pPr>
        <w:pStyle w:val="BodyText"/>
      </w:pPr>
    </w:p>
    <w:p>
      <w:pPr>
        <w:pStyle w:val="BodyText"/>
        <w:spacing w:before="1"/>
        <w:rPr>
          <w:sz w:val="32"/>
        </w:rPr>
      </w:pPr>
    </w:p>
    <w:p>
      <w:pPr>
        <w:spacing w:before="1"/>
        <w:ind w:left="225" w:right="0" w:firstLine="0"/>
        <w:jc w:val="left"/>
        <w:rPr>
          <w:sz w:val="20"/>
        </w:rPr>
      </w:pPr>
      <w:r>
        <w:rPr>
          <w:spacing w:val="-2"/>
          <w:sz w:val="20"/>
        </w:rPr>
        <w:t>Trend</w:t>
      </w:r>
    </w:p>
    <w:p>
      <w:pPr>
        <w:pStyle w:val="BodyText"/>
      </w:pPr>
    </w:p>
    <w:p>
      <w:pPr>
        <w:pStyle w:val="BodyText"/>
      </w:pPr>
    </w:p>
    <w:p>
      <w:pPr>
        <w:pStyle w:val="BodyText"/>
        <w:spacing w:before="10"/>
        <w:rPr>
          <w:sz w:val="32"/>
        </w:rPr>
      </w:pPr>
    </w:p>
    <w:p>
      <w:pPr>
        <w:spacing w:before="1"/>
        <w:ind w:left="326" w:right="0" w:firstLine="0"/>
        <w:jc w:val="left"/>
        <w:rPr>
          <w:sz w:val="20"/>
        </w:rPr>
      </w:pPr>
      <w:r>
        <w:rPr>
          <w:spacing w:val="-5"/>
          <w:sz w:val="20"/>
        </w:rPr>
        <w:t>N/A</w:t>
      </w:r>
    </w:p>
    <w:p>
      <w:pPr>
        <w:spacing w:after="0"/>
        <w:jc w:val="left"/>
        <w:rPr>
          <w:sz w:val="20"/>
        </w:rPr>
        <w:sectPr>
          <w:type w:val="continuous"/>
          <w:pgSz w:w="11910" w:h="16840"/>
          <w:pgMar w:header="0" w:footer="173" w:top="740" w:bottom="280" w:left="380" w:right="560"/>
          <w:cols w:num="2" w:equalWidth="0">
            <w:col w:w="9711" w:space="40"/>
            <w:col w:w="1219"/>
          </w:cols>
        </w:sectPr>
      </w:pPr>
    </w:p>
    <w:p>
      <w:pPr>
        <w:pStyle w:val="BodyText"/>
        <w:rPr>
          <w:sz w:val="8"/>
        </w:rPr>
      </w:pPr>
    </w:p>
    <w:p>
      <w:pPr>
        <w:pStyle w:val="BodyText"/>
        <w:spacing w:line="20" w:lineRule="exact"/>
        <w:ind w:left="4742"/>
        <w:rPr>
          <w:sz w:val="2"/>
        </w:rPr>
      </w:pPr>
      <w:r>
        <w:rPr>
          <w:sz w:val="2"/>
        </w:rPr>
        <w:pict>
          <v:group style="width:298.650pt;height:.5pt;mso-position-horizontal-relative:char;mso-position-vertical-relative:line" id="docshapegroup99" coordorigin="0,0" coordsize="5973,10">
            <v:rect style="position:absolute;left:0;top:0;width:5973;height:10" id="docshape100" filled="true" fillcolor="#000000" stroked="false">
              <v:fill type="solid"/>
            </v:rect>
          </v:group>
        </w:pict>
      </w:r>
      <w:r>
        <w:rPr>
          <w:sz w:val="2"/>
        </w:rPr>
      </w:r>
    </w:p>
    <w:p>
      <w:pPr>
        <w:pStyle w:val="BodyText"/>
        <w:spacing w:before="7"/>
        <w:rPr>
          <w:sz w:val="22"/>
        </w:rPr>
      </w:pPr>
    </w:p>
    <w:p>
      <w:pPr>
        <w:pStyle w:val="Heading8"/>
        <w:spacing w:before="101"/>
        <w:ind w:left="4757"/>
        <w:rPr>
          <w:rFonts w:ascii="Verdana"/>
          <w:sz w:val="14"/>
        </w:rPr>
      </w:pPr>
      <w:r>
        <w:rPr>
          <w:rFonts w:ascii="Verdana"/>
          <w:color w:val="3C5A8B"/>
        </w:rPr>
        <w:t>Assurance</w:t>
      </w:r>
      <w:r>
        <w:rPr>
          <w:rFonts w:ascii="Verdana"/>
          <w:color w:val="3C5A8B"/>
          <w:spacing w:val="-3"/>
        </w:rPr>
        <w:t> </w:t>
      </w:r>
      <w:r>
        <w:rPr>
          <w:rFonts w:ascii="Verdana"/>
          <w:color w:val="3C5A8B"/>
          <w:spacing w:val="-2"/>
        </w:rPr>
        <w:t>summary</w:t>
      </w:r>
      <w:r>
        <w:rPr>
          <w:rFonts w:ascii="Verdana"/>
          <w:spacing w:val="-2"/>
          <w:position w:val="8"/>
          <w:sz w:val="14"/>
        </w:rPr>
        <w:t>1</w:t>
      </w:r>
    </w:p>
    <w:p>
      <w:pPr>
        <w:tabs>
          <w:tab w:pos="9497" w:val="left" w:leader="none"/>
        </w:tabs>
        <w:spacing w:before="181" w:after="59"/>
        <w:ind w:left="4865" w:right="0" w:firstLine="0"/>
        <w:jc w:val="left"/>
        <w:rPr>
          <w:sz w:val="20"/>
        </w:rPr>
      </w:pPr>
      <w:r>
        <w:rPr>
          <w:color w:val="3C5A8B"/>
          <w:spacing w:val="-2"/>
          <w:sz w:val="20"/>
        </w:rPr>
        <w:t>Objectives</w:t>
      </w:r>
      <w:r>
        <w:rPr>
          <w:color w:val="3C5A8B"/>
          <w:sz w:val="20"/>
        </w:rPr>
        <w:tab/>
      </w:r>
      <w:r>
        <w:rPr>
          <w:color w:val="3C5A8B"/>
          <w:spacing w:val="-2"/>
          <w:sz w:val="20"/>
        </w:rPr>
        <w:t>Assurance</w:t>
      </w:r>
    </w:p>
    <w:tbl>
      <w:tblPr>
        <w:tblW w:w="0" w:type="auto"/>
        <w:jc w:val="left"/>
        <w:tblInd w:w="47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587"/>
        <w:gridCol w:w="1368"/>
      </w:tblGrid>
      <w:tr>
        <w:trPr>
          <w:trHeight w:val="969" w:hRule="atLeast"/>
        </w:trPr>
        <w:tc>
          <w:tcPr>
            <w:tcW w:w="4587" w:type="dxa"/>
            <w:tcBorders>
              <w:top w:val="single" w:sz="4" w:space="0" w:color="000000"/>
              <w:bottom w:val="dashSmallGap" w:sz="4" w:space="0" w:color="000000"/>
            </w:tcBorders>
          </w:tcPr>
          <w:p>
            <w:pPr>
              <w:pStyle w:val="TableParagraph"/>
              <w:spacing w:line="243" w:lineRule="exact" w:before="120"/>
              <w:ind w:left="465"/>
              <w:rPr>
                <w:sz w:val="20"/>
              </w:rPr>
            </w:pPr>
            <w:r>
              <w:rPr>
                <w:sz w:val="20"/>
              </w:rPr>
              <w:t>The</w:t>
            </w:r>
            <w:r>
              <w:rPr>
                <w:spacing w:val="78"/>
                <w:sz w:val="20"/>
              </w:rPr>
              <w:t> </w:t>
            </w:r>
            <w:r>
              <w:rPr>
                <w:sz w:val="20"/>
              </w:rPr>
              <w:t>recruitment</w:t>
            </w:r>
            <w:r>
              <w:rPr>
                <w:spacing w:val="78"/>
                <w:sz w:val="20"/>
              </w:rPr>
              <w:t> </w:t>
            </w:r>
            <w:r>
              <w:rPr>
                <w:sz w:val="20"/>
              </w:rPr>
              <w:t>process</w:t>
            </w:r>
            <w:r>
              <w:rPr>
                <w:spacing w:val="76"/>
                <w:sz w:val="20"/>
              </w:rPr>
              <w:t> </w:t>
            </w:r>
            <w:r>
              <w:rPr>
                <w:sz w:val="20"/>
              </w:rPr>
              <w:t>is</w:t>
            </w:r>
            <w:r>
              <w:rPr>
                <w:spacing w:val="77"/>
                <w:sz w:val="20"/>
              </w:rPr>
              <w:t> </w:t>
            </w:r>
            <w:r>
              <w:rPr>
                <w:spacing w:val="-2"/>
                <w:sz w:val="20"/>
              </w:rPr>
              <w:t>managed</w:t>
            </w:r>
          </w:p>
          <w:p>
            <w:pPr>
              <w:pStyle w:val="TableParagraph"/>
              <w:tabs>
                <w:tab w:pos="465" w:val="left" w:leader="none"/>
              </w:tabs>
              <w:ind w:left="465" w:right="107" w:hanging="344"/>
              <w:rPr>
                <w:sz w:val="20"/>
              </w:rPr>
            </w:pPr>
            <w:r>
              <w:rPr>
                <w:spacing w:val="-10"/>
                <w:sz w:val="20"/>
              </w:rPr>
              <w:t>1</w:t>
            </w:r>
            <w:r>
              <w:rPr>
                <w:sz w:val="20"/>
              </w:rPr>
              <w:tab/>
              <w:t>and</w:t>
            </w:r>
            <w:r>
              <w:rPr>
                <w:spacing w:val="40"/>
                <w:sz w:val="20"/>
              </w:rPr>
              <w:t> </w:t>
            </w:r>
            <w:r>
              <w:rPr>
                <w:sz w:val="20"/>
              </w:rPr>
              <w:t>delivered</w:t>
            </w:r>
            <w:r>
              <w:rPr>
                <w:spacing w:val="40"/>
                <w:sz w:val="20"/>
              </w:rPr>
              <w:t> </w:t>
            </w:r>
            <w:r>
              <w:rPr>
                <w:sz w:val="20"/>
              </w:rPr>
              <w:t>in</w:t>
            </w:r>
            <w:r>
              <w:rPr>
                <w:spacing w:val="40"/>
                <w:sz w:val="20"/>
              </w:rPr>
              <w:t> </w:t>
            </w:r>
            <w:r>
              <w:rPr>
                <w:sz w:val="20"/>
              </w:rPr>
              <w:t>accordance</w:t>
            </w:r>
            <w:r>
              <w:rPr>
                <w:spacing w:val="40"/>
                <w:sz w:val="20"/>
              </w:rPr>
              <w:t> </w:t>
            </w:r>
            <w:r>
              <w:rPr>
                <w:sz w:val="20"/>
              </w:rPr>
              <w:t>with</w:t>
            </w:r>
            <w:r>
              <w:rPr>
                <w:spacing w:val="40"/>
                <w:sz w:val="20"/>
              </w:rPr>
              <w:t> </w:t>
            </w:r>
            <w:r>
              <w:rPr>
                <w:sz w:val="20"/>
              </w:rPr>
              <w:t>the </w:t>
            </w:r>
            <w:r>
              <w:rPr>
                <w:spacing w:val="-4"/>
                <w:sz w:val="20"/>
              </w:rPr>
              <w:t>SLA</w:t>
            </w:r>
          </w:p>
        </w:tc>
        <w:tc>
          <w:tcPr>
            <w:tcW w:w="1368" w:type="dxa"/>
            <w:tcBorders>
              <w:top w:val="single" w:sz="4" w:space="0" w:color="000000"/>
              <w:bottom w:val="dashSmallGap" w:sz="4" w:space="0" w:color="000000"/>
            </w:tcBorders>
            <w:shd w:val="clear" w:color="auto" w:fill="92D050"/>
          </w:tcPr>
          <w:p>
            <w:pPr>
              <w:pStyle w:val="TableParagraph"/>
              <w:spacing w:before="10"/>
              <w:rPr>
                <w:sz w:val="29"/>
              </w:rPr>
            </w:pPr>
          </w:p>
          <w:p>
            <w:pPr>
              <w:pStyle w:val="TableParagraph"/>
              <w:ind w:right="121"/>
              <w:jc w:val="right"/>
              <w:rPr>
                <w:sz w:val="20"/>
              </w:rPr>
            </w:pPr>
            <w:r>
              <w:rPr>
                <w:spacing w:val="-2"/>
                <w:sz w:val="20"/>
              </w:rPr>
              <w:t>Substantial</w:t>
            </w:r>
          </w:p>
        </w:tc>
      </w:tr>
      <w:tr>
        <w:trPr>
          <w:trHeight w:val="726" w:hRule="atLeast"/>
        </w:trPr>
        <w:tc>
          <w:tcPr>
            <w:tcW w:w="4587" w:type="dxa"/>
            <w:tcBorders>
              <w:top w:val="dashSmallGap" w:sz="4" w:space="0" w:color="000000"/>
              <w:bottom w:val="dashSmallGap" w:sz="4" w:space="0" w:color="000000"/>
            </w:tcBorders>
          </w:tcPr>
          <w:p>
            <w:pPr>
              <w:pStyle w:val="TableParagraph"/>
              <w:tabs>
                <w:tab w:pos="465" w:val="left" w:leader="none"/>
              </w:tabs>
              <w:spacing w:line="160" w:lineRule="auto" w:before="147"/>
              <w:ind w:left="465" w:right="107" w:hanging="344"/>
              <w:rPr>
                <w:sz w:val="20"/>
              </w:rPr>
            </w:pPr>
            <w:r>
              <w:rPr>
                <w:spacing w:val="-10"/>
                <w:position w:val="-11"/>
                <w:sz w:val="20"/>
              </w:rPr>
              <w:t>2</w:t>
            </w:r>
            <w:r>
              <w:rPr>
                <w:position w:val="-11"/>
                <w:sz w:val="20"/>
              </w:rPr>
              <w:tab/>
            </w:r>
            <w:r>
              <w:rPr>
                <w:sz w:val="20"/>
              </w:rPr>
              <w:t>Pre-employment</w:t>
            </w:r>
            <w:r>
              <w:rPr>
                <w:spacing w:val="80"/>
                <w:sz w:val="20"/>
              </w:rPr>
              <w:t> </w:t>
            </w:r>
            <w:r>
              <w:rPr>
                <w:sz w:val="20"/>
              </w:rPr>
              <w:t>checks</w:t>
            </w:r>
            <w:r>
              <w:rPr>
                <w:spacing w:val="80"/>
                <w:sz w:val="20"/>
              </w:rPr>
              <w:t> </w:t>
            </w:r>
            <w:r>
              <w:rPr>
                <w:sz w:val="20"/>
              </w:rPr>
              <w:t>comply</w:t>
            </w:r>
            <w:r>
              <w:rPr>
                <w:spacing w:val="80"/>
                <w:sz w:val="20"/>
              </w:rPr>
              <w:t> </w:t>
            </w:r>
            <w:r>
              <w:rPr>
                <w:sz w:val="20"/>
              </w:rPr>
              <w:t>with the</w:t>
            </w:r>
            <w:r>
              <w:rPr>
                <w:spacing w:val="-14"/>
                <w:sz w:val="20"/>
              </w:rPr>
              <w:t> </w:t>
            </w:r>
            <w:r>
              <w:rPr>
                <w:sz w:val="20"/>
              </w:rPr>
              <w:t>NHS</w:t>
            </w:r>
            <w:r>
              <w:rPr>
                <w:spacing w:val="-11"/>
                <w:sz w:val="20"/>
              </w:rPr>
              <w:t> </w:t>
            </w:r>
            <w:r>
              <w:rPr>
                <w:sz w:val="20"/>
              </w:rPr>
              <w:t>Employment</w:t>
            </w:r>
            <w:r>
              <w:rPr>
                <w:spacing w:val="-12"/>
                <w:sz w:val="20"/>
              </w:rPr>
              <w:t> </w:t>
            </w:r>
            <w:r>
              <w:rPr>
                <w:sz w:val="20"/>
              </w:rPr>
              <w:t>Checks</w:t>
            </w:r>
            <w:r>
              <w:rPr>
                <w:spacing w:val="-14"/>
                <w:sz w:val="20"/>
              </w:rPr>
              <w:t> </w:t>
            </w:r>
            <w:r>
              <w:rPr>
                <w:spacing w:val="-2"/>
                <w:sz w:val="20"/>
              </w:rPr>
              <w:t>Standards</w:t>
            </w:r>
          </w:p>
        </w:tc>
        <w:tc>
          <w:tcPr>
            <w:tcW w:w="1368" w:type="dxa"/>
            <w:tcBorders>
              <w:top w:val="dashSmallGap" w:sz="4" w:space="0" w:color="000000"/>
              <w:bottom w:val="dashSmallGap" w:sz="4" w:space="0" w:color="000000"/>
            </w:tcBorders>
            <w:shd w:val="clear" w:color="auto" w:fill="FFFF00"/>
          </w:tcPr>
          <w:p>
            <w:pPr>
              <w:pStyle w:val="TableParagraph"/>
              <w:spacing w:before="11"/>
              <w:rPr>
                <w:sz w:val="19"/>
              </w:rPr>
            </w:pPr>
          </w:p>
          <w:p>
            <w:pPr>
              <w:pStyle w:val="TableParagraph"/>
              <w:spacing w:before="1"/>
              <w:ind w:right="107"/>
              <w:jc w:val="right"/>
              <w:rPr>
                <w:sz w:val="20"/>
              </w:rPr>
            </w:pPr>
            <w:r>
              <w:rPr>
                <w:spacing w:val="-2"/>
                <w:sz w:val="20"/>
              </w:rPr>
              <w:t>Reasonable</w:t>
            </w:r>
          </w:p>
        </w:tc>
      </w:tr>
      <w:tr>
        <w:trPr>
          <w:trHeight w:val="969" w:hRule="atLeast"/>
        </w:trPr>
        <w:tc>
          <w:tcPr>
            <w:tcW w:w="4587" w:type="dxa"/>
            <w:tcBorders>
              <w:top w:val="dashSmallGap" w:sz="4" w:space="0" w:color="000000"/>
              <w:bottom w:val="single" w:sz="4" w:space="0" w:color="000000"/>
            </w:tcBorders>
          </w:tcPr>
          <w:p>
            <w:pPr>
              <w:pStyle w:val="TableParagraph"/>
              <w:tabs>
                <w:tab w:pos="2223" w:val="left" w:leader="none"/>
                <w:tab w:pos="3541" w:val="left" w:leader="none"/>
              </w:tabs>
              <w:spacing w:line="243" w:lineRule="exact" w:before="120"/>
              <w:ind w:left="465"/>
              <w:rPr>
                <w:sz w:val="20"/>
              </w:rPr>
            </w:pPr>
            <w:r>
              <w:rPr>
                <w:spacing w:val="-2"/>
                <w:sz w:val="20"/>
              </w:rPr>
              <w:t>Performance,</w:t>
            </w:r>
            <w:r>
              <w:rPr>
                <w:sz w:val="20"/>
              </w:rPr>
              <w:tab/>
            </w:r>
            <w:r>
              <w:rPr>
                <w:spacing w:val="-2"/>
                <w:sz w:val="20"/>
              </w:rPr>
              <w:t>including</w:t>
            </w:r>
            <w:r>
              <w:rPr>
                <w:sz w:val="20"/>
              </w:rPr>
              <w:tab/>
            </w:r>
            <w:r>
              <w:rPr>
                <w:spacing w:val="-2"/>
                <w:sz w:val="20"/>
              </w:rPr>
              <w:t>customer</w:t>
            </w:r>
          </w:p>
          <w:p>
            <w:pPr>
              <w:pStyle w:val="TableParagraph"/>
              <w:tabs>
                <w:tab w:pos="465" w:val="left" w:leader="none"/>
              </w:tabs>
              <w:ind w:left="465" w:right="107" w:hanging="344"/>
              <w:rPr>
                <w:sz w:val="20"/>
              </w:rPr>
            </w:pPr>
            <w:r>
              <w:rPr>
                <w:spacing w:val="-10"/>
                <w:sz w:val="20"/>
              </w:rPr>
              <w:t>3</w:t>
            </w:r>
            <w:r>
              <w:rPr>
                <w:sz w:val="20"/>
              </w:rPr>
              <w:tab/>
            </w:r>
            <w:r>
              <w:rPr>
                <w:spacing w:val="-2"/>
                <w:sz w:val="20"/>
              </w:rPr>
              <w:t>satisfaction,</w:t>
            </w:r>
            <w:r>
              <w:rPr>
                <w:spacing w:val="-11"/>
                <w:sz w:val="20"/>
              </w:rPr>
              <w:t> </w:t>
            </w:r>
            <w:r>
              <w:rPr>
                <w:spacing w:val="-2"/>
                <w:sz w:val="20"/>
              </w:rPr>
              <w:t>is</w:t>
            </w:r>
            <w:r>
              <w:rPr>
                <w:spacing w:val="-13"/>
                <w:sz w:val="20"/>
              </w:rPr>
              <w:t> </w:t>
            </w:r>
            <w:r>
              <w:rPr>
                <w:spacing w:val="-2"/>
                <w:sz w:val="20"/>
              </w:rPr>
              <w:t>monitored</w:t>
            </w:r>
            <w:r>
              <w:rPr>
                <w:spacing w:val="-10"/>
                <w:sz w:val="20"/>
              </w:rPr>
              <w:t> </w:t>
            </w:r>
            <w:r>
              <w:rPr>
                <w:spacing w:val="-2"/>
                <w:sz w:val="20"/>
              </w:rPr>
              <w:t>and</w:t>
            </w:r>
            <w:r>
              <w:rPr>
                <w:spacing w:val="-8"/>
                <w:sz w:val="20"/>
              </w:rPr>
              <w:t> </w:t>
            </w:r>
            <w:r>
              <w:rPr>
                <w:spacing w:val="-2"/>
                <w:sz w:val="20"/>
              </w:rPr>
              <w:t>any</w:t>
            </w:r>
            <w:r>
              <w:rPr>
                <w:spacing w:val="-11"/>
                <w:sz w:val="20"/>
              </w:rPr>
              <w:t> </w:t>
            </w:r>
            <w:r>
              <w:rPr>
                <w:spacing w:val="-2"/>
                <w:sz w:val="20"/>
              </w:rPr>
              <w:t>issues resolved</w:t>
            </w:r>
          </w:p>
        </w:tc>
        <w:tc>
          <w:tcPr>
            <w:tcW w:w="1368" w:type="dxa"/>
            <w:tcBorders>
              <w:top w:val="dashSmallGap" w:sz="4" w:space="0" w:color="000000"/>
              <w:bottom w:val="single" w:sz="4" w:space="0" w:color="000000"/>
            </w:tcBorders>
            <w:shd w:val="clear" w:color="auto" w:fill="FFFF00"/>
          </w:tcPr>
          <w:p>
            <w:pPr>
              <w:pStyle w:val="TableParagraph"/>
              <w:spacing w:before="10"/>
              <w:rPr>
                <w:sz w:val="29"/>
              </w:rPr>
            </w:pPr>
          </w:p>
          <w:p>
            <w:pPr>
              <w:pStyle w:val="TableParagraph"/>
              <w:ind w:right="107"/>
              <w:jc w:val="right"/>
              <w:rPr>
                <w:sz w:val="20"/>
              </w:rPr>
            </w:pPr>
            <w:r>
              <w:rPr>
                <w:spacing w:val="-2"/>
                <w:sz w:val="20"/>
              </w:rPr>
              <w:t>Reasonable</w:t>
            </w:r>
          </w:p>
        </w:tc>
      </w:tr>
    </w:tbl>
    <w:p>
      <w:pPr>
        <w:spacing w:before="44"/>
        <w:ind w:left="4757" w:right="0" w:firstLine="0"/>
        <w:jc w:val="left"/>
        <w:rPr>
          <w:sz w:val="16"/>
        </w:rPr>
      </w:pPr>
      <w:r>
        <w:rPr>
          <w:sz w:val="16"/>
          <w:vertAlign w:val="superscript"/>
        </w:rPr>
        <w:t>1</w:t>
      </w:r>
      <w:r>
        <w:rPr>
          <w:sz w:val="16"/>
          <w:vertAlign w:val="baseline"/>
        </w:rPr>
        <w:t>The</w:t>
      </w:r>
      <w:r>
        <w:rPr>
          <w:spacing w:val="-11"/>
          <w:sz w:val="16"/>
          <w:vertAlign w:val="baseline"/>
        </w:rPr>
        <w:t> </w:t>
      </w:r>
      <w:r>
        <w:rPr>
          <w:sz w:val="16"/>
          <w:vertAlign w:val="baseline"/>
        </w:rPr>
        <w:t>objectives</w:t>
      </w:r>
      <w:r>
        <w:rPr>
          <w:spacing w:val="-11"/>
          <w:sz w:val="16"/>
          <w:vertAlign w:val="baseline"/>
        </w:rPr>
        <w:t> </w:t>
      </w:r>
      <w:r>
        <w:rPr>
          <w:sz w:val="16"/>
          <w:vertAlign w:val="baseline"/>
        </w:rPr>
        <w:t>and</w:t>
      </w:r>
      <w:r>
        <w:rPr>
          <w:spacing w:val="-11"/>
          <w:sz w:val="16"/>
          <w:vertAlign w:val="baseline"/>
        </w:rPr>
        <w:t> </w:t>
      </w:r>
      <w:r>
        <w:rPr>
          <w:sz w:val="16"/>
          <w:vertAlign w:val="baseline"/>
        </w:rPr>
        <w:t>associated</w:t>
      </w:r>
      <w:r>
        <w:rPr>
          <w:spacing w:val="-10"/>
          <w:sz w:val="16"/>
          <w:vertAlign w:val="baseline"/>
        </w:rPr>
        <w:t> </w:t>
      </w:r>
      <w:r>
        <w:rPr>
          <w:sz w:val="16"/>
          <w:vertAlign w:val="baseline"/>
        </w:rPr>
        <w:t>assurance</w:t>
      </w:r>
      <w:r>
        <w:rPr>
          <w:spacing w:val="-11"/>
          <w:sz w:val="16"/>
          <w:vertAlign w:val="baseline"/>
        </w:rPr>
        <w:t> </w:t>
      </w:r>
      <w:r>
        <w:rPr>
          <w:sz w:val="16"/>
          <w:vertAlign w:val="baseline"/>
        </w:rPr>
        <w:t>ratings</w:t>
      </w:r>
      <w:r>
        <w:rPr>
          <w:spacing w:val="-12"/>
          <w:sz w:val="16"/>
          <w:vertAlign w:val="baseline"/>
        </w:rPr>
        <w:t> </w:t>
      </w:r>
      <w:r>
        <w:rPr>
          <w:sz w:val="16"/>
          <w:vertAlign w:val="baseline"/>
        </w:rPr>
        <w:t>are</w:t>
      </w:r>
      <w:r>
        <w:rPr>
          <w:spacing w:val="-12"/>
          <w:sz w:val="16"/>
          <w:vertAlign w:val="baseline"/>
        </w:rPr>
        <w:t> </w:t>
      </w:r>
      <w:r>
        <w:rPr>
          <w:sz w:val="16"/>
          <w:vertAlign w:val="baseline"/>
        </w:rPr>
        <w:t>not</w:t>
      </w:r>
      <w:r>
        <w:rPr>
          <w:spacing w:val="-13"/>
          <w:sz w:val="16"/>
          <w:vertAlign w:val="baseline"/>
        </w:rPr>
        <w:t> </w:t>
      </w:r>
      <w:r>
        <w:rPr>
          <w:sz w:val="16"/>
          <w:vertAlign w:val="baseline"/>
        </w:rPr>
        <w:t>necessarily</w:t>
      </w:r>
      <w:r>
        <w:rPr>
          <w:spacing w:val="-11"/>
          <w:sz w:val="16"/>
          <w:vertAlign w:val="baseline"/>
        </w:rPr>
        <w:t> </w:t>
      </w:r>
      <w:r>
        <w:rPr>
          <w:sz w:val="16"/>
          <w:vertAlign w:val="baseline"/>
        </w:rPr>
        <w:t>given equal weighting when formulating the overall audit opinion.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spacing w:after="0"/>
        <w:rPr>
          <w:sz w:val="20"/>
        </w:rPr>
        <w:sectPr>
          <w:type w:val="continuous"/>
          <w:pgSz w:w="11910" w:h="16840"/>
          <w:pgMar w:header="0" w:footer="173" w:top="740" w:bottom="280" w:left="380" w:right="560"/>
        </w:sectPr>
      </w:pPr>
    </w:p>
    <w:p>
      <w:pPr>
        <w:tabs>
          <w:tab w:pos="6394" w:val="left" w:leader="none"/>
        </w:tabs>
        <w:spacing w:before="293"/>
        <w:ind w:left="435" w:right="0" w:firstLine="0"/>
        <w:jc w:val="left"/>
        <w:rPr>
          <w:sz w:val="20"/>
        </w:rPr>
      </w:pPr>
      <w:r>
        <w:rPr>
          <w:color w:val="3C5A8B"/>
          <w:sz w:val="28"/>
        </w:rPr>
        <w:t>Key</w:t>
      </w:r>
      <w:r>
        <w:rPr>
          <w:color w:val="3C5A8B"/>
          <w:spacing w:val="-2"/>
          <w:sz w:val="28"/>
        </w:rPr>
        <w:t> </w:t>
      </w:r>
      <w:r>
        <w:rPr>
          <w:color w:val="3C5A8B"/>
          <w:sz w:val="28"/>
        </w:rPr>
        <w:t>Matters</w:t>
      </w:r>
      <w:r>
        <w:rPr>
          <w:color w:val="3C5A8B"/>
          <w:spacing w:val="-1"/>
          <w:sz w:val="28"/>
        </w:rPr>
        <w:t> </w:t>
      </w:r>
      <w:r>
        <w:rPr>
          <w:color w:val="3C5A8B"/>
          <w:spacing w:val="-2"/>
          <w:sz w:val="28"/>
        </w:rPr>
        <w:t>Arising</w:t>
      </w:r>
      <w:r>
        <w:rPr>
          <w:color w:val="3C5A8B"/>
          <w:sz w:val="28"/>
        </w:rPr>
        <w:tab/>
      </w:r>
      <w:r>
        <w:rPr>
          <w:color w:val="3C5A8B"/>
          <w:spacing w:val="-2"/>
          <w:position w:val="3"/>
          <w:sz w:val="20"/>
        </w:rPr>
        <w:t>Objective</w:t>
      </w:r>
    </w:p>
    <w:p>
      <w:pPr>
        <w:spacing w:before="100"/>
        <w:ind w:left="300" w:right="-4" w:firstLine="132"/>
        <w:jc w:val="left"/>
        <w:rPr>
          <w:sz w:val="20"/>
        </w:rPr>
      </w:pPr>
      <w:r>
        <w:rPr/>
        <w:br w:type="column"/>
      </w:r>
      <w:r>
        <w:rPr>
          <w:color w:val="3C5A8B"/>
          <w:spacing w:val="-2"/>
          <w:sz w:val="20"/>
        </w:rPr>
        <w:t>Control </w:t>
      </w:r>
      <w:r>
        <w:rPr>
          <w:color w:val="3C5A8B"/>
          <w:sz w:val="20"/>
        </w:rPr>
        <w:t>Design</w:t>
      </w:r>
      <w:r>
        <w:rPr>
          <w:color w:val="3C5A8B"/>
          <w:spacing w:val="-14"/>
          <w:sz w:val="20"/>
        </w:rPr>
        <w:t> </w:t>
      </w:r>
      <w:r>
        <w:rPr>
          <w:color w:val="3C5A8B"/>
          <w:sz w:val="20"/>
        </w:rPr>
        <w:t>or </w:t>
      </w:r>
      <w:r>
        <w:rPr>
          <w:color w:val="3C5A8B"/>
          <w:spacing w:val="-2"/>
          <w:sz w:val="20"/>
        </w:rPr>
        <w:t>Operation</w:t>
      </w:r>
    </w:p>
    <w:p>
      <w:pPr>
        <w:spacing w:line="240" w:lineRule="auto" w:before="1"/>
        <w:rPr>
          <w:sz w:val="18"/>
        </w:rPr>
      </w:pPr>
      <w:r>
        <w:rPr/>
        <w:br w:type="column"/>
      </w:r>
      <w:r>
        <w:rPr>
          <w:sz w:val="18"/>
        </w:rPr>
      </w:r>
    </w:p>
    <w:p>
      <w:pPr>
        <w:spacing w:before="0"/>
        <w:ind w:left="773" w:right="0" w:hanging="512"/>
        <w:jc w:val="left"/>
        <w:rPr>
          <w:sz w:val="20"/>
        </w:rPr>
      </w:pPr>
      <w:r>
        <w:rPr>
          <w:color w:val="3C5A8B"/>
          <w:spacing w:val="-2"/>
          <w:sz w:val="20"/>
        </w:rPr>
        <w:t>Recommendation Priority</w:t>
      </w:r>
    </w:p>
    <w:p>
      <w:pPr>
        <w:spacing w:after="0"/>
        <w:jc w:val="left"/>
        <w:rPr>
          <w:sz w:val="20"/>
        </w:rPr>
        <w:sectPr>
          <w:type w:val="continuous"/>
          <w:pgSz w:w="11910" w:h="16840"/>
          <w:pgMar w:header="0" w:footer="173" w:top="740" w:bottom="280" w:left="380" w:right="560"/>
          <w:cols w:num="3" w:equalWidth="0">
            <w:col w:w="7339" w:space="40"/>
            <w:col w:w="1287" w:space="39"/>
            <w:col w:w="2265"/>
          </w:cols>
        </w:sectPr>
      </w:pPr>
    </w:p>
    <w:p>
      <w:pPr>
        <w:pStyle w:val="BodyText"/>
        <w:spacing w:before="8"/>
        <w:rPr>
          <w:sz w:val="4"/>
        </w:rPr>
      </w:pPr>
    </w:p>
    <w:tbl>
      <w:tblPr>
        <w:tblW w:w="0" w:type="auto"/>
        <w:jc w:val="left"/>
        <w:tblInd w:w="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13"/>
        <w:gridCol w:w="4486"/>
        <w:gridCol w:w="1589"/>
        <w:gridCol w:w="1555"/>
        <w:gridCol w:w="1960"/>
      </w:tblGrid>
      <w:tr>
        <w:trPr>
          <w:trHeight w:val="364" w:hRule="atLeast"/>
        </w:trPr>
        <w:tc>
          <w:tcPr>
            <w:tcW w:w="913" w:type="dxa"/>
            <w:tcBorders>
              <w:top w:val="single" w:sz="4" w:space="0" w:color="000000"/>
              <w:bottom w:val="dashSmallGap" w:sz="4" w:space="0" w:color="000000"/>
            </w:tcBorders>
          </w:tcPr>
          <w:p>
            <w:pPr>
              <w:pStyle w:val="TableParagraph"/>
              <w:spacing w:before="62"/>
              <w:ind w:right="291"/>
              <w:jc w:val="right"/>
              <w:rPr>
                <w:sz w:val="20"/>
              </w:rPr>
            </w:pPr>
            <w:r>
              <w:rPr>
                <w:w w:val="99"/>
                <w:sz w:val="20"/>
              </w:rPr>
              <w:t>1</w:t>
            </w:r>
          </w:p>
        </w:tc>
        <w:tc>
          <w:tcPr>
            <w:tcW w:w="4486" w:type="dxa"/>
            <w:tcBorders>
              <w:top w:val="single" w:sz="4" w:space="0" w:color="000000"/>
              <w:bottom w:val="dashSmallGap" w:sz="4" w:space="0" w:color="000000"/>
            </w:tcBorders>
          </w:tcPr>
          <w:p>
            <w:pPr>
              <w:pStyle w:val="TableParagraph"/>
              <w:spacing w:before="62"/>
              <w:ind w:left="294"/>
              <w:rPr>
                <w:sz w:val="20"/>
              </w:rPr>
            </w:pPr>
            <w:r>
              <w:rPr>
                <w:sz w:val="20"/>
              </w:rPr>
              <w:t>Risk</w:t>
            </w:r>
            <w:r>
              <w:rPr>
                <w:spacing w:val="-5"/>
                <w:sz w:val="20"/>
              </w:rPr>
              <w:t> </w:t>
            </w:r>
            <w:r>
              <w:rPr>
                <w:spacing w:val="-2"/>
                <w:sz w:val="20"/>
              </w:rPr>
              <w:t>Register</w:t>
            </w:r>
          </w:p>
        </w:tc>
        <w:tc>
          <w:tcPr>
            <w:tcW w:w="1589" w:type="dxa"/>
            <w:tcBorders>
              <w:top w:val="single" w:sz="4" w:space="0" w:color="000000"/>
              <w:bottom w:val="dashSmallGap" w:sz="4" w:space="0" w:color="000000"/>
            </w:tcBorders>
          </w:tcPr>
          <w:p>
            <w:pPr>
              <w:pStyle w:val="TableParagraph"/>
              <w:spacing w:before="62"/>
              <w:ind w:right="370"/>
              <w:jc w:val="right"/>
              <w:rPr>
                <w:sz w:val="20"/>
              </w:rPr>
            </w:pPr>
            <w:r>
              <w:rPr>
                <w:w w:val="99"/>
                <w:sz w:val="20"/>
              </w:rPr>
              <w:t>2</w:t>
            </w:r>
          </w:p>
        </w:tc>
        <w:tc>
          <w:tcPr>
            <w:tcW w:w="1555" w:type="dxa"/>
            <w:tcBorders>
              <w:top w:val="single" w:sz="4" w:space="0" w:color="000000"/>
              <w:bottom w:val="dashSmallGap" w:sz="4" w:space="0" w:color="000000"/>
            </w:tcBorders>
          </w:tcPr>
          <w:p>
            <w:pPr>
              <w:pStyle w:val="TableParagraph"/>
              <w:spacing w:before="62"/>
              <w:ind w:left="364" w:right="177"/>
              <w:jc w:val="center"/>
              <w:rPr>
                <w:sz w:val="20"/>
              </w:rPr>
            </w:pPr>
            <w:r>
              <w:rPr>
                <w:spacing w:val="-2"/>
                <w:sz w:val="20"/>
              </w:rPr>
              <w:t>Design</w:t>
            </w:r>
          </w:p>
        </w:tc>
        <w:tc>
          <w:tcPr>
            <w:tcW w:w="1960" w:type="dxa"/>
            <w:tcBorders>
              <w:top w:val="single" w:sz="4" w:space="0" w:color="000000"/>
              <w:bottom w:val="dashSmallGap" w:sz="4" w:space="0" w:color="000000"/>
            </w:tcBorders>
            <w:shd w:val="clear" w:color="auto" w:fill="FFFF00"/>
          </w:tcPr>
          <w:p>
            <w:pPr>
              <w:pStyle w:val="TableParagraph"/>
              <w:spacing w:before="62"/>
              <w:ind w:right="580"/>
              <w:jc w:val="right"/>
              <w:rPr>
                <w:sz w:val="20"/>
              </w:rPr>
            </w:pPr>
            <w:r>
              <w:rPr>
                <w:spacing w:val="-2"/>
                <w:sz w:val="20"/>
              </w:rPr>
              <w:t>Medium</w:t>
            </w:r>
          </w:p>
        </w:tc>
      </w:tr>
      <w:tr>
        <w:trPr>
          <w:trHeight w:val="364" w:hRule="atLeast"/>
        </w:trPr>
        <w:tc>
          <w:tcPr>
            <w:tcW w:w="913" w:type="dxa"/>
            <w:tcBorders>
              <w:top w:val="dashSmallGap" w:sz="4" w:space="0" w:color="000000"/>
              <w:bottom w:val="single" w:sz="4" w:space="0" w:color="000000"/>
            </w:tcBorders>
          </w:tcPr>
          <w:p>
            <w:pPr>
              <w:pStyle w:val="TableParagraph"/>
              <w:spacing w:before="60"/>
              <w:ind w:right="291"/>
              <w:jc w:val="right"/>
              <w:rPr>
                <w:sz w:val="20"/>
              </w:rPr>
            </w:pPr>
            <w:r>
              <w:rPr>
                <w:w w:val="99"/>
                <w:sz w:val="20"/>
              </w:rPr>
              <w:t>2</w:t>
            </w:r>
          </w:p>
        </w:tc>
        <w:tc>
          <w:tcPr>
            <w:tcW w:w="4486" w:type="dxa"/>
            <w:tcBorders>
              <w:top w:val="dashSmallGap" w:sz="4" w:space="0" w:color="000000"/>
              <w:bottom w:val="single" w:sz="4" w:space="0" w:color="000000"/>
            </w:tcBorders>
          </w:tcPr>
          <w:p>
            <w:pPr>
              <w:pStyle w:val="TableParagraph"/>
              <w:spacing w:before="60"/>
              <w:ind w:left="294"/>
              <w:rPr>
                <w:sz w:val="20"/>
              </w:rPr>
            </w:pPr>
            <w:r>
              <w:rPr>
                <w:sz w:val="20"/>
              </w:rPr>
              <w:t>Customer</w:t>
            </w:r>
            <w:r>
              <w:rPr>
                <w:spacing w:val="-12"/>
                <w:sz w:val="20"/>
              </w:rPr>
              <w:t> </w:t>
            </w:r>
            <w:r>
              <w:rPr>
                <w:sz w:val="20"/>
              </w:rPr>
              <w:t>Satisfaction</w:t>
            </w:r>
            <w:r>
              <w:rPr>
                <w:spacing w:val="-9"/>
                <w:sz w:val="20"/>
              </w:rPr>
              <w:t> </w:t>
            </w:r>
            <w:r>
              <w:rPr>
                <w:spacing w:val="-2"/>
                <w:sz w:val="20"/>
              </w:rPr>
              <w:t>Analysis</w:t>
            </w:r>
          </w:p>
        </w:tc>
        <w:tc>
          <w:tcPr>
            <w:tcW w:w="1589" w:type="dxa"/>
            <w:tcBorders>
              <w:top w:val="dashSmallGap" w:sz="4" w:space="0" w:color="000000"/>
              <w:bottom w:val="single" w:sz="4" w:space="0" w:color="000000"/>
            </w:tcBorders>
          </w:tcPr>
          <w:p>
            <w:pPr>
              <w:pStyle w:val="TableParagraph"/>
              <w:spacing w:before="60"/>
              <w:ind w:right="370"/>
              <w:jc w:val="right"/>
              <w:rPr>
                <w:sz w:val="20"/>
              </w:rPr>
            </w:pPr>
            <w:r>
              <w:rPr>
                <w:w w:val="99"/>
                <w:sz w:val="20"/>
              </w:rPr>
              <w:t>3</w:t>
            </w:r>
          </w:p>
        </w:tc>
        <w:tc>
          <w:tcPr>
            <w:tcW w:w="1555" w:type="dxa"/>
            <w:tcBorders>
              <w:top w:val="dashSmallGap" w:sz="4" w:space="0" w:color="000000"/>
              <w:bottom w:val="single" w:sz="4" w:space="0" w:color="000000"/>
            </w:tcBorders>
          </w:tcPr>
          <w:p>
            <w:pPr>
              <w:pStyle w:val="TableParagraph"/>
              <w:spacing w:before="60"/>
              <w:ind w:left="364" w:right="179"/>
              <w:jc w:val="center"/>
              <w:rPr>
                <w:sz w:val="20"/>
              </w:rPr>
            </w:pPr>
            <w:r>
              <w:rPr>
                <w:spacing w:val="-2"/>
                <w:sz w:val="20"/>
              </w:rPr>
              <w:t>Operation</w:t>
            </w:r>
          </w:p>
        </w:tc>
        <w:tc>
          <w:tcPr>
            <w:tcW w:w="1960" w:type="dxa"/>
            <w:tcBorders>
              <w:top w:val="dashSmallGap" w:sz="4" w:space="0" w:color="000000"/>
              <w:bottom w:val="single" w:sz="4" w:space="0" w:color="000000"/>
            </w:tcBorders>
            <w:shd w:val="clear" w:color="auto" w:fill="FFFF00"/>
          </w:tcPr>
          <w:p>
            <w:pPr>
              <w:pStyle w:val="TableParagraph"/>
              <w:spacing w:before="60"/>
              <w:ind w:right="580"/>
              <w:jc w:val="right"/>
              <w:rPr>
                <w:sz w:val="20"/>
              </w:rPr>
            </w:pPr>
            <w:r>
              <w:rPr>
                <w:spacing w:val="-2"/>
                <w:sz w:val="20"/>
              </w:rPr>
              <w:t>Medium</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8"/>
        </w:rPr>
      </w:pPr>
    </w:p>
    <w:p>
      <w:pPr>
        <w:tabs>
          <w:tab w:pos="10857" w:val="right" w:leader="none"/>
        </w:tabs>
        <w:spacing w:before="101"/>
        <w:ind w:left="435" w:right="0" w:firstLine="0"/>
        <w:jc w:val="left"/>
        <w:rPr>
          <w:sz w:val="22"/>
        </w:rPr>
      </w:pPr>
      <w:r>
        <w:rPr/>
        <w:pict>
          <v:shape style="position:absolute;margin-left:35.400002pt;margin-top:-9.714923pt;width:531.75pt;height:1.45pt;mso-position-horizontal-relative:page;mso-position-vertical-relative:paragraph;z-index:15751168" id="docshape101" coordorigin="708,-194" coordsize="10635,29" path="m11342,-194l6114,-194,6085,-194,708,-194,708,-165,6085,-165,6114,-165,11342,-165,11342,-194xe" filled="true" fillcolor="#000000" stroked="false">
            <v:path arrowok="t"/>
            <v:fill type="solid"/>
            <w10:wrap type="none"/>
          </v:shape>
        </w:pict>
      </w:r>
      <w:r>
        <w:rPr>
          <w:sz w:val="22"/>
        </w:rPr>
        <w:t>NWSSP</w:t>
      </w:r>
      <w:r>
        <w:rPr>
          <w:spacing w:val="-7"/>
          <w:sz w:val="22"/>
        </w:rPr>
        <w:t> </w:t>
      </w:r>
      <w:r>
        <w:rPr>
          <w:sz w:val="22"/>
        </w:rPr>
        <w:t>Audit</w:t>
      </w:r>
      <w:r>
        <w:rPr>
          <w:spacing w:val="-5"/>
          <w:sz w:val="22"/>
        </w:rPr>
        <w:t> </w:t>
      </w:r>
      <w:r>
        <w:rPr>
          <w:sz w:val="22"/>
        </w:rPr>
        <w:t>and</w:t>
      </w:r>
      <w:r>
        <w:rPr>
          <w:spacing w:val="-5"/>
          <w:sz w:val="22"/>
        </w:rPr>
        <w:t> </w:t>
      </w:r>
      <w:r>
        <w:rPr>
          <w:sz w:val="22"/>
        </w:rPr>
        <w:t>Assurance</w:t>
      </w:r>
      <w:r>
        <w:rPr>
          <w:spacing w:val="-3"/>
          <w:sz w:val="22"/>
        </w:rPr>
        <w:t> </w:t>
      </w:r>
      <w:r>
        <w:rPr>
          <w:spacing w:val="-2"/>
          <w:sz w:val="22"/>
        </w:rPr>
        <w:t>Services</w:t>
      </w:r>
      <w:r>
        <w:rPr>
          <w:sz w:val="22"/>
        </w:rPr>
        <w:tab/>
      </w:r>
      <w:r>
        <w:rPr>
          <w:spacing w:val="-10"/>
          <w:sz w:val="22"/>
        </w:rPr>
        <w:t>3</w:t>
      </w:r>
    </w:p>
    <w:p>
      <w:pPr>
        <w:spacing w:after="0"/>
        <w:jc w:val="left"/>
        <w:rPr>
          <w:sz w:val="22"/>
        </w:rPr>
        <w:sectPr>
          <w:type w:val="continuous"/>
          <w:pgSz w:w="11910" w:h="16840"/>
          <w:pgMar w:header="0" w:footer="173" w:top="740" w:bottom="280" w:left="380" w:right="560"/>
        </w:sectPr>
      </w:pPr>
    </w:p>
    <w:p>
      <w:pPr>
        <w:pStyle w:val="BodyText"/>
        <w:tabs>
          <w:tab w:pos="7510" w:val="left" w:leader="none"/>
        </w:tabs>
        <w:spacing w:before="86"/>
        <w:ind w:left="186"/>
      </w:pPr>
      <w:bookmarkStart w:name="_bookmark2" w:id="43"/>
      <w:bookmarkEnd w:id="43"/>
      <w:r>
        <w:rPr/>
      </w:r>
      <w:r>
        <w:rPr/>
        <w:t>Recruitment</w:t>
      </w:r>
      <w:r>
        <w:rPr>
          <w:spacing w:val="-6"/>
        </w:rPr>
        <w:t> </w:t>
      </w:r>
      <w:r>
        <w:rPr>
          <w:spacing w:val="-2"/>
        </w:rPr>
        <w:t>Services</w:t>
      </w:r>
      <w:r>
        <w:rPr/>
        <w:tab/>
        <w:t>Final</w:t>
      </w:r>
      <w:r>
        <w:rPr>
          <w:spacing w:val="-6"/>
        </w:rPr>
        <w:t> </w:t>
      </w:r>
      <w:r>
        <w:rPr/>
        <w:t>Internal</w:t>
      </w:r>
      <w:r>
        <w:rPr>
          <w:spacing w:val="-3"/>
        </w:rPr>
        <w:t> </w:t>
      </w:r>
      <w:r>
        <w:rPr/>
        <w:t>Audit</w:t>
      </w:r>
      <w:r>
        <w:rPr>
          <w:spacing w:val="-1"/>
        </w:rPr>
        <w:t> </w:t>
      </w:r>
      <w:r>
        <w:rPr>
          <w:spacing w:val="-2"/>
        </w:rPr>
        <w:t>Report</w:t>
      </w:r>
    </w:p>
    <w:p>
      <w:pPr>
        <w:pStyle w:val="BodyText"/>
        <w:rPr>
          <w:sz w:val="20"/>
        </w:rPr>
      </w:pPr>
      <w:r>
        <w:rPr/>
        <w:pict>
          <v:shape style="position:absolute;margin-left:27.6pt;margin-top:13.355979pt;width:532.450pt;height:1.45pt;mso-position-horizontal-relative:page;mso-position-vertical-relative:paragraph;z-index:-15704064;mso-wrap-distance-left:0;mso-wrap-distance-right:0" id="docshape105" coordorigin="552,267" coordsize="10649,29" path="m11200,267l5943,267,5929,267,5915,267,552,267,552,296,5915,296,5929,296,5943,296,11200,296,11200,267xe" filled="true" fillcolor="#000000" stroked="false">
            <v:path arrowok="t"/>
            <v:fill type="solid"/>
            <w10:wrap type="topAndBottom"/>
          </v:shape>
        </w:pict>
      </w:r>
    </w:p>
    <w:p>
      <w:pPr>
        <w:pStyle w:val="BodyText"/>
        <w:spacing w:before="1"/>
        <w:rPr>
          <w:sz w:val="20"/>
        </w:rPr>
      </w:pPr>
    </w:p>
    <w:p>
      <w:pPr>
        <w:pStyle w:val="Heading4"/>
        <w:numPr>
          <w:ilvl w:val="0"/>
          <w:numId w:val="14"/>
        </w:numPr>
        <w:tabs>
          <w:tab w:pos="753" w:val="left" w:leader="none"/>
        </w:tabs>
        <w:spacing w:line="240" w:lineRule="auto" w:before="100" w:after="0"/>
        <w:ind w:left="752" w:right="0" w:hanging="567"/>
        <w:jc w:val="both"/>
        <w:rPr>
          <w:color w:val="3C5A8B"/>
        </w:rPr>
      </w:pPr>
      <w:bookmarkStart w:name="_bookmark1" w:id="44"/>
      <w:bookmarkEnd w:id="44"/>
      <w:r>
        <w:rPr>
          <w:color w:val="3C5A8B"/>
          <w:spacing w:val="-2"/>
        </w:rPr>
        <w:t>Intro</w:t>
      </w:r>
      <w:r>
        <w:rPr>
          <w:color w:val="3C5A8B"/>
          <w:spacing w:val="-2"/>
        </w:rPr>
        <w:t>duction</w:t>
      </w:r>
    </w:p>
    <w:p>
      <w:pPr>
        <w:pStyle w:val="ListParagraph"/>
        <w:numPr>
          <w:ilvl w:val="1"/>
          <w:numId w:val="12"/>
        </w:numPr>
        <w:tabs>
          <w:tab w:pos="895" w:val="left" w:leader="none"/>
        </w:tabs>
        <w:spacing w:line="240" w:lineRule="auto" w:before="151" w:after="0"/>
        <w:ind w:left="894" w:right="151" w:hanging="709"/>
        <w:jc w:val="both"/>
        <w:rPr>
          <w:sz w:val="24"/>
        </w:rPr>
      </w:pPr>
      <w:r>
        <w:rPr>
          <w:sz w:val="24"/>
        </w:rPr>
        <w:t>Recruitment Services is a function of Employment Services within NHS Wales Shared Services Partnership (NWSSP) that provides a standardised approach to recruitment across NHS Wales. The function is split across three teams in Cardiff, Swansea and St Asaph.</w:t>
      </w:r>
    </w:p>
    <w:p>
      <w:pPr>
        <w:pStyle w:val="ListParagraph"/>
        <w:numPr>
          <w:ilvl w:val="1"/>
          <w:numId w:val="12"/>
        </w:numPr>
        <w:tabs>
          <w:tab w:pos="895" w:val="left" w:leader="none"/>
        </w:tabs>
        <w:spacing w:line="240" w:lineRule="auto" w:before="122" w:after="0"/>
        <w:ind w:left="894" w:right="146" w:hanging="709"/>
        <w:jc w:val="both"/>
        <w:rPr>
          <w:sz w:val="24"/>
        </w:rPr>
      </w:pPr>
      <w:r>
        <w:rPr>
          <w:sz w:val="24"/>
        </w:rPr>
        <w:t>TRAC application management software facilitates the end-to-end recruitment process from vacancy approval to the completion of recruitment checks. NHS Employment</w:t>
      </w:r>
      <w:r>
        <w:rPr>
          <w:spacing w:val="-14"/>
          <w:sz w:val="24"/>
        </w:rPr>
        <w:t> </w:t>
      </w:r>
      <w:r>
        <w:rPr>
          <w:sz w:val="24"/>
        </w:rPr>
        <w:t>Check</w:t>
      </w:r>
      <w:r>
        <w:rPr>
          <w:spacing w:val="-11"/>
          <w:sz w:val="24"/>
        </w:rPr>
        <w:t> </w:t>
      </w:r>
      <w:r>
        <w:rPr>
          <w:sz w:val="24"/>
        </w:rPr>
        <w:t>Standards</w:t>
      </w:r>
      <w:r>
        <w:rPr>
          <w:spacing w:val="-14"/>
          <w:sz w:val="24"/>
        </w:rPr>
        <w:t> </w:t>
      </w:r>
      <w:r>
        <w:rPr>
          <w:sz w:val="24"/>
        </w:rPr>
        <w:t>outline</w:t>
      </w:r>
      <w:r>
        <w:rPr>
          <w:spacing w:val="-13"/>
          <w:sz w:val="24"/>
        </w:rPr>
        <w:t> </w:t>
      </w:r>
      <w:r>
        <w:rPr>
          <w:sz w:val="24"/>
        </w:rPr>
        <w:t>the</w:t>
      </w:r>
      <w:r>
        <w:rPr>
          <w:spacing w:val="-13"/>
          <w:sz w:val="24"/>
        </w:rPr>
        <w:t> </w:t>
      </w:r>
      <w:r>
        <w:rPr>
          <w:sz w:val="24"/>
        </w:rPr>
        <w:t>type</w:t>
      </w:r>
      <w:r>
        <w:rPr>
          <w:spacing w:val="-13"/>
          <w:sz w:val="24"/>
        </w:rPr>
        <w:t> </w:t>
      </w:r>
      <w:r>
        <w:rPr>
          <w:sz w:val="24"/>
        </w:rPr>
        <w:t>and</w:t>
      </w:r>
      <w:r>
        <w:rPr>
          <w:spacing w:val="-14"/>
          <w:sz w:val="24"/>
        </w:rPr>
        <w:t> </w:t>
      </w:r>
      <w:r>
        <w:rPr>
          <w:sz w:val="24"/>
        </w:rPr>
        <w:t>level</w:t>
      </w:r>
      <w:r>
        <w:rPr>
          <w:spacing w:val="-15"/>
          <w:sz w:val="24"/>
        </w:rPr>
        <w:t> </w:t>
      </w:r>
      <w:r>
        <w:rPr>
          <w:sz w:val="24"/>
        </w:rPr>
        <w:t>of</w:t>
      </w:r>
      <w:r>
        <w:rPr>
          <w:spacing w:val="-14"/>
          <w:sz w:val="24"/>
        </w:rPr>
        <w:t> </w:t>
      </w:r>
      <w:r>
        <w:rPr>
          <w:sz w:val="24"/>
        </w:rPr>
        <w:t>checks</w:t>
      </w:r>
      <w:r>
        <w:rPr>
          <w:spacing w:val="-14"/>
          <w:sz w:val="24"/>
        </w:rPr>
        <w:t> </w:t>
      </w:r>
      <w:r>
        <w:rPr>
          <w:sz w:val="24"/>
        </w:rPr>
        <w:t>employers</w:t>
      </w:r>
      <w:r>
        <w:rPr>
          <w:spacing w:val="-13"/>
          <w:sz w:val="24"/>
        </w:rPr>
        <w:t> </w:t>
      </w:r>
      <w:r>
        <w:rPr>
          <w:sz w:val="24"/>
        </w:rPr>
        <w:t>must carry out before recruiting staff into NHS positions.</w:t>
      </w:r>
    </w:p>
    <w:p>
      <w:pPr>
        <w:pStyle w:val="ListParagraph"/>
        <w:numPr>
          <w:ilvl w:val="1"/>
          <w:numId w:val="12"/>
        </w:numPr>
        <w:tabs>
          <w:tab w:pos="895" w:val="left" w:leader="none"/>
        </w:tabs>
        <w:spacing w:line="240" w:lineRule="auto" w:before="120" w:after="0"/>
        <w:ind w:left="894" w:right="0" w:hanging="709"/>
        <w:jc w:val="both"/>
        <w:rPr>
          <w:sz w:val="24"/>
        </w:rPr>
      </w:pPr>
      <w:r>
        <w:rPr>
          <w:sz w:val="24"/>
        </w:rPr>
        <w:t>The</w:t>
      </w:r>
      <w:r>
        <w:rPr>
          <w:spacing w:val="-2"/>
          <w:sz w:val="24"/>
        </w:rPr>
        <w:t> </w:t>
      </w:r>
      <w:r>
        <w:rPr>
          <w:sz w:val="24"/>
        </w:rPr>
        <w:t>risks</w:t>
      </w:r>
      <w:r>
        <w:rPr>
          <w:spacing w:val="-2"/>
          <w:sz w:val="24"/>
        </w:rPr>
        <w:t> </w:t>
      </w:r>
      <w:r>
        <w:rPr>
          <w:sz w:val="24"/>
        </w:rPr>
        <w:t>considered</w:t>
      </w:r>
      <w:r>
        <w:rPr>
          <w:spacing w:val="-3"/>
          <w:sz w:val="24"/>
        </w:rPr>
        <w:t> </w:t>
      </w:r>
      <w:r>
        <w:rPr>
          <w:sz w:val="24"/>
        </w:rPr>
        <w:t>in this</w:t>
      </w:r>
      <w:r>
        <w:rPr>
          <w:spacing w:val="-3"/>
          <w:sz w:val="24"/>
        </w:rPr>
        <w:t> </w:t>
      </w:r>
      <w:r>
        <w:rPr>
          <w:sz w:val="24"/>
        </w:rPr>
        <w:t>review</w:t>
      </w:r>
      <w:r>
        <w:rPr>
          <w:spacing w:val="1"/>
          <w:sz w:val="24"/>
        </w:rPr>
        <w:t> </w:t>
      </w:r>
      <w:r>
        <w:rPr>
          <w:spacing w:val="-4"/>
          <w:sz w:val="24"/>
        </w:rPr>
        <w:t>were:</w:t>
      </w:r>
    </w:p>
    <w:p>
      <w:pPr>
        <w:pStyle w:val="ListParagraph"/>
        <w:numPr>
          <w:ilvl w:val="2"/>
          <w:numId w:val="12"/>
        </w:numPr>
        <w:tabs>
          <w:tab w:pos="1320" w:val="left" w:leader="none"/>
        </w:tabs>
        <w:spacing w:line="240" w:lineRule="auto" w:before="119" w:after="0"/>
        <w:ind w:left="1319" w:right="152" w:hanging="281"/>
        <w:jc w:val="both"/>
        <w:rPr>
          <w:sz w:val="24"/>
        </w:rPr>
      </w:pPr>
      <w:r>
        <w:rPr>
          <w:sz w:val="24"/>
        </w:rPr>
        <w:t>insufficient resources to cope with the sustained increase in recruitment activity, potentially impacting on staff wellbeing and the quality of service provided to NHS Wales organisations;</w:t>
      </w:r>
    </w:p>
    <w:p>
      <w:pPr>
        <w:pStyle w:val="ListParagraph"/>
        <w:numPr>
          <w:ilvl w:val="2"/>
          <w:numId w:val="12"/>
        </w:numPr>
        <w:tabs>
          <w:tab w:pos="1320" w:val="left" w:leader="none"/>
        </w:tabs>
        <w:spacing w:line="240" w:lineRule="auto" w:before="119" w:after="0"/>
        <w:ind w:left="1319" w:right="147" w:hanging="281"/>
        <w:jc w:val="both"/>
        <w:rPr>
          <w:sz w:val="24"/>
        </w:rPr>
      </w:pPr>
      <w:r>
        <w:rPr>
          <w:sz w:val="24"/>
        </w:rPr>
        <w:t>inefficient recruitment processes impact the ability to recruit and appoint suitable</w:t>
      </w:r>
      <w:r>
        <w:rPr>
          <w:spacing w:val="-19"/>
          <w:sz w:val="24"/>
        </w:rPr>
        <w:t> </w:t>
      </w:r>
      <w:r>
        <w:rPr>
          <w:sz w:val="24"/>
        </w:rPr>
        <w:t>candidates</w:t>
      </w:r>
      <w:r>
        <w:rPr>
          <w:spacing w:val="-17"/>
          <w:sz w:val="24"/>
        </w:rPr>
        <w:t> </w:t>
      </w:r>
      <w:r>
        <w:rPr>
          <w:sz w:val="24"/>
        </w:rPr>
        <w:t>within</w:t>
      </w:r>
      <w:r>
        <w:rPr>
          <w:spacing w:val="-19"/>
          <w:sz w:val="24"/>
        </w:rPr>
        <w:t> </w:t>
      </w:r>
      <w:r>
        <w:rPr>
          <w:sz w:val="24"/>
        </w:rPr>
        <w:t>NHS</w:t>
      </w:r>
      <w:r>
        <w:rPr>
          <w:spacing w:val="-18"/>
          <w:sz w:val="24"/>
        </w:rPr>
        <w:t> </w:t>
      </w:r>
      <w:r>
        <w:rPr>
          <w:sz w:val="24"/>
        </w:rPr>
        <w:t>Wales,</w:t>
      </w:r>
      <w:r>
        <w:rPr>
          <w:spacing w:val="-18"/>
          <w:sz w:val="24"/>
        </w:rPr>
        <w:t> </w:t>
      </w:r>
      <w:r>
        <w:rPr>
          <w:sz w:val="24"/>
        </w:rPr>
        <w:t>potentially</w:t>
      </w:r>
      <w:r>
        <w:rPr>
          <w:spacing w:val="-19"/>
          <w:sz w:val="24"/>
        </w:rPr>
        <w:t> </w:t>
      </w:r>
      <w:r>
        <w:rPr>
          <w:sz w:val="24"/>
        </w:rPr>
        <w:t>resulting</w:t>
      </w:r>
      <w:r>
        <w:rPr>
          <w:spacing w:val="-18"/>
          <w:sz w:val="24"/>
        </w:rPr>
        <w:t> </w:t>
      </w:r>
      <w:r>
        <w:rPr>
          <w:sz w:val="24"/>
        </w:rPr>
        <w:t>in</w:t>
      </w:r>
      <w:r>
        <w:rPr>
          <w:spacing w:val="-19"/>
          <w:sz w:val="24"/>
        </w:rPr>
        <w:t> </w:t>
      </w:r>
      <w:r>
        <w:rPr>
          <w:sz w:val="24"/>
        </w:rPr>
        <w:t>service</w:t>
      </w:r>
      <w:r>
        <w:rPr>
          <w:spacing w:val="-19"/>
          <w:sz w:val="24"/>
        </w:rPr>
        <w:t> </w:t>
      </w:r>
      <w:r>
        <w:rPr>
          <w:sz w:val="24"/>
        </w:rPr>
        <w:t>disruption causing harm to patients, increased agency staff costs and reputational damage; and</w:t>
      </w:r>
    </w:p>
    <w:p>
      <w:pPr>
        <w:pStyle w:val="ListParagraph"/>
        <w:numPr>
          <w:ilvl w:val="2"/>
          <w:numId w:val="12"/>
        </w:numPr>
        <w:tabs>
          <w:tab w:pos="1320" w:val="left" w:leader="none"/>
        </w:tabs>
        <w:spacing w:line="240" w:lineRule="auto" w:before="117" w:after="0"/>
        <w:ind w:left="1319" w:right="152" w:hanging="281"/>
        <w:jc w:val="both"/>
        <w:rPr>
          <w:sz w:val="24"/>
        </w:rPr>
      </w:pPr>
      <w:r>
        <w:rPr>
          <w:sz w:val="24"/>
        </w:rPr>
        <w:t>NHS</w:t>
      </w:r>
      <w:r>
        <w:rPr>
          <w:spacing w:val="-14"/>
          <w:sz w:val="24"/>
        </w:rPr>
        <w:t> </w:t>
      </w:r>
      <w:r>
        <w:rPr>
          <w:sz w:val="24"/>
        </w:rPr>
        <w:t>staff</w:t>
      </w:r>
      <w:r>
        <w:rPr>
          <w:spacing w:val="-12"/>
          <w:sz w:val="24"/>
        </w:rPr>
        <w:t> </w:t>
      </w:r>
      <w:r>
        <w:rPr>
          <w:sz w:val="24"/>
        </w:rPr>
        <w:t>do</w:t>
      </w:r>
      <w:r>
        <w:rPr>
          <w:spacing w:val="-13"/>
          <w:sz w:val="24"/>
        </w:rPr>
        <w:t> </w:t>
      </w:r>
      <w:r>
        <w:rPr>
          <w:sz w:val="24"/>
        </w:rPr>
        <w:t>not</w:t>
      </w:r>
      <w:r>
        <w:rPr>
          <w:spacing w:val="-12"/>
          <w:sz w:val="24"/>
        </w:rPr>
        <w:t> </w:t>
      </w:r>
      <w:r>
        <w:rPr>
          <w:sz w:val="24"/>
        </w:rPr>
        <w:t>have</w:t>
      </w:r>
      <w:r>
        <w:rPr>
          <w:spacing w:val="-13"/>
          <w:sz w:val="24"/>
        </w:rPr>
        <w:t> </w:t>
      </w:r>
      <w:r>
        <w:rPr>
          <w:sz w:val="24"/>
        </w:rPr>
        <w:t>the</w:t>
      </w:r>
      <w:r>
        <w:rPr>
          <w:spacing w:val="-13"/>
          <w:sz w:val="24"/>
        </w:rPr>
        <w:t> </w:t>
      </w:r>
      <w:r>
        <w:rPr>
          <w:sz w:val="24"/>
        </w:rPr>
        <w:t>appropriate</w:t>
      </w:r>
      <w:r>
        <w:rPr>
          <w:spacing w:val="-10"/>
          <w:sz w:val="24"/>
        </w:rPr>
        <w:t> </w:t>
      </w:r>
      <w:r>
        <w:rPr>
          <w:sz w:val="24"/>
        </w:rPr>
        <w:t>qualifications</w:t>
      </w:r>
      <w:r>
        <w:rPr>
          <w:spacing w:val="-12"/>
          <w:sz w:val="24"/>
        </w:rPr>
        <w:t> </w:t>
      </w:r>
      <w:r>
        <w:rPr>
          <w:sz w:val="24"/>
        </w:rPr>
        <w:t>or</w:t>
      </w:r>
      <w:r>
        <w:rPr>
          <w:spacing w:val="-13"/>
          <w:sz w:val="24"/>
        </w:rPr>
        <w:t> </w:t>
      </w:r>
      <w:r>
        <w:rPr>
          <w:sz w:val="24"/>
        </w:rPr>
        <w:t>experience</w:t>
      </w:r>
      <w:r>
        <w:rPr>
          <w:spacing w:val="-13"/>
          <w:sz w:val="24"/>
        </w:rPr>
        <w:t> </w:t>
      </w:r>
      <w:r>
        <w:rPr>
          <w:sz w:val="24"/>
        </w:rPr>
        <w:t>for</w:t>
      </w:r>
      <w:r>
        <w:rPr>
          <w:spacing w:val="-13"/>
          <w:sz w:val="24"/>
        </w:rPr>
        <w:t> </w:t>
      </w:r>
      <w:r>
        <w:rPr>
          <w:sz w:val="24"/>
        </w:rPr>
        <w:t>their</w:t>
      </w:r>
      <w:r>
        <w:rPr>
          <w:spacing w:val="-13"/>
          <w:sz w:val="24"/>
        </w:rPr>
        <w:t> </w:t>
      </w:r>
      <w:r>
        <w:rPr>
          <w:sz w:val="24"/>
        </w:rPr>
        <w:t>role potentially resulting in harm to patients, staff or the general public.</w:t>
      </w:r>
    </w:p>
    <w:p>
      <w:pPr>
        <w:pStyle w:val="ListParagraph"/>
        <w:numPr>
          <w:ilvl w:val="1"/>
          <w:numId w:val="12"/>
        </w:numPr>
        <w:tabs>
          <w:tab w:pos="895" w:val="left" w:leader="none"/>
        </w:tabs>
        <w:spacing w:line="240" w:lineRule="auto" w:before="117" w:after="0"/>
        <w:ind w:left="894" w:right="144" w:hanging="709"/>
        <w:jc w:val="both"/>
        <w:rPr>
          <w:sz w:val="24"/>
        </w:rPr>
      </w:pPr>
      <w:r>
        <w:rPr>
          <w:sz w:val="24"/>
        </w:rPr>
        <w:t>The</w:t>
      </w:r>
      <w:r>
        <w:rPr>
          <w:spacing w:val="-17"/>
          <w:sz w:val="24"/>
        </w:rPr>
        <w:t> </w:t>
      </w:r>
      <w:r>
        <w:rPr>
          <w:sz w:val="24"/>
        </w:rPr>
        <w:t>scope</w:t>
      </w:r>
      <w:r>
        <w:rPr>
          <w:spacing w:val="-18"/>
          <w:sz w:val="24"/>
        </w:rPr>
        <w:t> </w:t>
      </w:r>
      <w:r>
        <w:rPr>
          <w:sz w:val="24"/>
        </w:rPr>
        <w:t>of</w:t>
      </w:r>
      <w:r>
        <w:rPr>
          <w:spacing w:val="-19"/>
          <w:sz w:val="24"/>
        </w:rPr>
        <w:t> </w:t>
      </w:r>
      <w:r>
        <w:rPr>
          <w:sz w:val="24"/>
        </w:rPr>
        <w:t>this</w:t>
      </w:r>
      <w:r>
        <w:rPr>
          <w:spacing w:val="-19"/>
          <w:sz w:val="24"/>
        </w:rPr>
        <w:t> </w:t>
      </w:r>
      <w:r>
        <w:rPr>
          <w:sz w:val="24"/>
        </w:rPr>
        <w:t>review</w:t>
      </w:r>
      <w:r>
        <w:rPr>
          <w:spacing w:val="-16"/>
          <w:sz w:val="24"/>
        </w:rPr>
        <w:t> </w:t>
      </w:r>
      <w:r>
        <w:rPr>
          <w:sz w:val="24"/>
        </w:rPr>
        <w:t>was</w:t>
      </w:r>
      <w:r>
        <w:rPr>
          <w:spacing w:val="-19"/>
          <w:sz w:val="24"/>
        </w:rPr>
        <w:t> </w:t>
      </w:r>
      <w:r>
        <w:rPr>
          <w:sz w:val="24"/>
        </w:rPr>
        <w:t>restricted</w:t>
      </w:r>
      <w:r>
        <w:rPr>
          <w:spacing w:val="-19"/>
          <w:sz w:val="24"/>
        </w:rPr>
        <w:t> </w:t>
      </w:r>
      <w:r>
        <w:rPr>
          <w:sz w:val="24"/>
        </w:rPr>
        <w:t>to</w:t>
      </w:r>
      <w:r>
        <w:rPr>
          <w:spacing w:val="-18"/>
          <w:sz w:val="24"/>
        </w:rPr>
        <w:t> </w:t>
      </w:r>
      <w:r>
        <w:rPr>
          <w:sz w:val="24"/>
        </w:rPr>
        <w:t>the</w:t>
      </w:r>
      <w:r>
        <w:rPr>
          <w:spacing w:val="-17"/>
          <w:sz w:val="24"/>
        </w:rPr>
        <w:t> </w:t>
      </w:r>
      <w:r>
        <w:rPr>
          <w:sz w:val="24"/>
        </w:rPr>
        <w:t>systems,</w:t>
      </w:r>
      <w:r>
        <w:rPr>
          <w:spacing w:val="-19"/>
          <w:sz w:val="24"/>
        </w:rPr>
        <w:t> </w:t>
      </w:r>
      <w:r>
        <w:rPr>
          <w:sz w:val="24"/>
        </w:rPr>
        <w:t>responsibilities</w:t>
      </w:r>
      <w:r>
        <w:rPr>
          <w:spacing w:val="-18"/>
          <w:sz w:val="24"/>
        </w:rPr>
        <w:t> </w:t>
      </w:r>
      <w:r>
        <w:rPr>
          <w:sz w:val="24"/>
        </w:rPr>
        <w:t>and</w:t>
      </w:r>
      <w:r>
        <w:rPr>
          <w:spacing w:val="-19"/>
          <w:sz w:val="24"/>
        </w:rPr>
        <w:t> </w:t>
      </w:r>
      <w:r>
        <w:rPr>
          <w:sz w:val="24"/>
        </w:rPr>
        <w:t>controls within NWSSP only.</w:t>
      </w:r>
    </w:p>
    <w:p>
      <w:pPr>
        <w:spacing w:after="0" w:line="240" w:lineRule="auto"/>
        <w:jc w:val="both"/>
        <w:rPr>
          <w:sz w:val="24"/>
        </w:rPr>
        <w:sectPr>
          <w:footerReference w:type="default" r:id="rId52"/>
          <w:pgSz w:w="11910" w:h="16840"/>
          <w:pgMar w:footer="770" w:header="0" w:top="880" w:bottom="960" w:left="380" w:right="560"/>
        </w:sectPr>
      </w:pPr>
    </w:p>
    <w:p>
      <w:pPr>
        <w:pStyle w:val="BodyText"/>
        <w:tabs>
          <w:tab w:pos="7510" w:val="left" w:leader="none"/>
        </w:tabs>
        <w:spacing w:before="86"/>
        <w:ind w:left="186"/>
      </w:pPr>
      <w:r>
        <w:rPr/>
        <w:t>Recruitment</w:t>
      </w:r>
      <w:r>
        <w:rPr>
          <w:spacing w:val="-6"/>
        </w:rPr>
        <w:t> </w:t>
      </w:r>
      <w:r>
        <w:rPr>
          <w:spacing w:val="-2"/>
        </w:rPr>
        <w:t>Services</w:t>
      </w:r>
      <w:r>
        <w:rPr/>
        <w:tab/>
        <w:t>Final</w:t>
      </w:r>
      <w:r>
        <w:rPr>
          <w:spacing w:val="-6"/>
        </w:rPr>
        <w:t> </w:t>
      </w:r>
      <w:r>
        <w:rPr/>
        <w:t>Internal</w:t>
      </w:r>
      <w:r>
        <w:rPr>
          <w:spacing w:val="-3"/>
        </w:rPr>
        <w:t> </w:t>
      </w:r>
      <w:r>
        <w:rPr/>
        <w:t>Audit</w:t>
      </w:r>
      <w:r>
        <w:rPr>
          <w:spacing w:val="-1"/>
        </w:rPr>
        <w:t> </w:t>
      </w:r>
      <w:r>
        <w:rPr>
          <w:spacing w:val="-2"/>
        </w:rPr>
        <w:t>Report</w:t>
      </w:r>
    </w:p>
    <w:p>
      <w:pPr>
        <w:pStyle w:val="BodyText"/>
        <w:rPr>
          <w:sz w:val="20"/>
        </w:rPr>
      </w:pPr>
      <w:r>
        <w:rPr/>
        <w:pict>
          <v:shape style="position:absolute;margin-left:27.6pt;margin-top:13.355979pt;width:532.450pt;height:1.45pt;mso-position-horizontal-relative:page;mso-position-vertical-relative:paragraph;z-index:-15703552;mso-wrap-distance-left:0;mso-wrap-distance-right:0" id="docshape109" coordorigin="552,267" coordsize="10649,29" path="m11200,267l5943,267,5929,267,5915,267,552,267,552,296,5915,296,5929,296,5943,296,11200,296,11200,267xe" filled="true" fillcolor="#000000" stroked="false">
            <v:path arrowok="t"/>
            <v:fill type="solid"/>
            <w10:wrap type="topAndBottom"/>
          </v:shape>
        </w:pict>
      </w:r>
    </w:p>
    <w:p>
      <w:pPr>
        <w:pStyle w:val="BodyText"/>
        <w:spacing w:before="1"/>
        <w:rPr>
          <w:sz w:val="20"/>
        </w:rPr>
      </w:pPr>
    </w:p>
    <w:p>
      <w:pPr>
        <w:pStyle w:val="Heading4"/>
        <w:numPr>
          <w:ilvl w:val="0"/>
          <w:numId w:val="14"/>
        </w:numPr>
        <w:tabs>
          <w:tab w:pos="753" w:val="left" w:leader="none"/>
        </w:tabs>
        <w:spacing w:line="240" w:lineRule="auto" w:before="100" w:after="0"/>
        <w:ind w:left="752" w:right="0" w:hanging="567"/>
        <w:jc w:val="left"/>
        <w:rPr>
          <w:color w:val="2E5395"/>
        </w:rPr>
      </w:pPr>
      <w:r>
        <w:rPr>
          <w:color w:val="2E5395"/>
        </w:rPr>
        <w:t>Detailed</w:t>
      </w:r>
      <w:r>
        <w:rPr>
          <w:color w:val="2E5395"/>
          <w:spacing w:val="-4"/>
        </w:rPr>
        <w:t> </w:t>
      </w:r>
      <w:r>
        <w:rPr>
          <w:color w:val="2E5395"/>
        </w:rPr>
        <w:t>Audit </w:t>
      </w:r>
      <w:r>
        <w:rPr>
          <w:color w:val="2E5395"/>
          <w:spacing w:val="-2"/>
        </w:rPr>
        <w:t>Findings</w:t>
      </w:r>
    </w:p>
    <w:p>
      <w:pPr>
        <w:spacing w:before="151"/>
        <w:ind w:left="186" w:right="142" w:firstLine="0"/>
        <w:jc w:val="both"/>
        <w:rPr>
          <w:b/>
          <w:sz w:val="24"/>
        </w:rPr>
      </w:pPr>
      <w:r>
        <w:rPr>
          <w:b/>
          <w:color w:val="3C5A8B"/>
          <w:sz w:val="24"/>
        </w:rPr>
        <w:t>Objective 1: The end-to-end recruitment process is managed and delivered in accordance with the responsibilities and timescales set out within the SLA (April 2022)</w:t>
      </w:r>
    </w:p>
    <w:p>
      <w:pPr>
        <w:pStyle w:val="ListParagraph"/>
        <w:numPr>
          <w:ilvl w:val="1"/>
          <w:numId w:val="14"/>
        </w:numPr>
        <w:tabs>
          <w:tab w:pos="895" w:val="left" w:leader="none"/>
        </w:tabs>
        <w:spacing w:line="240" w:lineRule="auto" w:before="121" w:after="0"/>
        <w:ind w:left="894" w:right="145" w:hanging="709"/>
        <w:jc w:val="both"/>
        <w:rPr>
          <w:sz w:val="24"/>
        </w:rPr>
      </w:pPr>
      <w:r>
        <w:rPr>
          <w:sz w:val="24"/>
        </w:rPr>
        <w:t>The Employment Services SLA sets out the requirement to provide a comprehensive recruitment and selection service including key responsibilities for both</w:t>
      </w:r>
      <w:r>
        <w:rPr>
          <w:spacing w:val="-22"/>
          <w:sz w:val="24"/>
        </w:rPr>
        <w:t> </w:t>
      </w:r>
      <w:r>
        <w:rPr>
          <w:sz w:val="24"/>
        </w:rPr>
        <w:t>NWSSP</w:t>
      </w:r>
      <w:r>
        <w:rPr>
          <w:spacing w:val="-21"/>
          <w:sz w:val="24"/>
        </w:rPr>
        <w:t> </w:t>
      </w:r>
      <w:r>
        <w:rPr>
          <w:sz w:val="24"/>
        </w:rPr>
        <w:t>Recruitment</w:t>
      </w:r>
      <w:r>
        <w:rPr>
          <w:spacing w:val="-21"/>
          <w:sz w:val="24"/>
        </w:rPr>
        <w:t> </w:t>
      </w:r>
      <w:r>
        <w:rPr>
          <w:sz w:val="24"/>
        </w:rPr>
        <w:t>Services</w:t>
      </w:r>
      <w:r>
        <w:rPr>
          <w:spacing w:val="-21"/>
          <w:sz w:val="24"/>
        </w:rPr>
        <w:t> </w:t>
      </w:r>
      <w:r>
        <w:rPr>
          <w:sz w:val="24"/>
        </w:rPr>
        <w:t>and</w:t>
      </w:r>
      <w:r>
        <w:rPr>
          <w:spacing w:val="-21"/>
          <w:sz w:val="24"/>
        </w:rPr>
        <w:t> </w:t>
      </w:r>
      <w:r>
        <w:rPr>
          <w:sz w:val="24"/>
        </w:rPr>
        <w:t>Health</w:t>
      </w:r>
      <w:r>
        <w:rPr>
          <w:spacing w:val="-21"/>
          <w:sz w:val="24"/>
        </w:rPr>
        <w:t> </w:t>
      </w:r>
      <w:r>
        <w:rPr>
          <w:sz w:val="24"/>
        </w:rPr>
        <w:t>Boards/Trusts.</w:t>
      </w:r>
      <w:r>
        <w:rPr>
          <w:spacing w:val="-21"/>
          <w:sz w:val="24"/>
        </w:rPr>
        <w:t> </w:t>
      </w:r>
      <w:r>
        <w:rPr>
          <w:sz w:val="24"/>
        </w:rPr>
        <w:t>These</w:t>
      </w:r>
      <w:r>
        <w:rPr>
          <w:spacing w:val="-21"/>
          <w:sz w:val="24"/>
        </w:rPr>
        <w:t> </w:t>
      </w:r>
      <w:r>
        <w:rPr>
          <w:sz w:val="24"/>
        </w:rPr>
        <w:t>responsibilities are</w:t>
      </w:r>
      <w:r>
        <w:rPr>
          <w:spacing w:val="-5"/>
          <w:sz w:val="24"/>
        </w:rPr>
        <w:t> </w:t>
      </w:r>
      <w:r>
        <w:rPr>
          <w:sz w:val="24"/>
        </w:rPr>
        <w:t>aligned</w:t>
      </w:r>
      <w:r>
        <w:rPr>
          <w:spacing w:val="-7"/>
          <w:sz w:val="24"/>
        </w:rPr>
        <w:t> </w:t>
      </w:r>
      <w:r>
        <w:rPr>
          <w:sz w:val="24"/>
        </w:rPr>
        <w:t>against</w:t>
      </w:r>
      <w:r>
        <w:rPr>
          <w:spacing w:val="-4"/>
          <w:sz w:val="24"/>
        </w:rPr>
        <w:t> </w:t>
      </w:r>
      <w:r>
        <w:rPr>
          <w:sz w:val="24"/>
        </w:rPr>
        <w:t>quality</w:t>
      </w:r>
      <w:r>
        <w:rPr>
          <w:spacing w:val="-7"/>
          <w:sz w:val="24"/>
        </w:rPr>
        <w:t> </w:t>
      </w:r>
      <w:r>
        <w:rPr>
          <w:sz w:val="24"/>
        </w:rPr>
        <w:t>standards</w:t>
      </w:r>
      <w:r>
        <w:rPr>
          <w:spacing w:val="-7"/>
          <w:sz w:val="24"/>
        </w:rPr>
        <w:t> </w:t>
      </w:r>
      <w:r>
        <w:rPr>
          <w:sz w:val="24"/>
        </w:rPr>
        <w:t>and</w:t>
      </w:r>
      <w:r>
        <w:rPr>
          <w:spacing w:val="-7"/>
          <w:sz w:val="24"/>
        </w:rPr>
        <w:t> </w:t>
      </w:r>
      <w:r>
        <w:rPr>
          <w:sz w:val="24"/>
        </w:rPr>
        <w:t>key</w:t>
      </w:r>
      <w:r>
        <w:rPr>
          <w:spacing w:val="-6"/>
          <w:sz w:val="24"/>
        </w:rPr>
        <w:t> </w:t>
      </w:r>
      <w:r>
        <w:rPr>
          <w:sz w:val="24"/>
        </w:rPr>
        <w:t>performance</w:t>
      </w:r>
      <w:r>
        <w:rPr>
          <w:spacing w:val="-5"/>
          <w:sz w:val="24"/>
        </w:rPr>
        <w:t> </w:t>
      </w:r>
      <w:r>
        <w:rPr>
          <w:sz w:val="24"/>
        </w:rPr>
        <w:t>indicators</w:t>
      </w:r>
      <w:r>
        <w:rPr>
          <w:spacing w:val="-6"/>
          <w:sz w:val="24"/>
        </w:rPr>
        <w:t> </w:t>
      </w:r>
      <w:r>
        <w:rPr>
          <w:sz w:val="24"/>
        </w:rPr>
        <w:t>(KPIs)</w:t>
      </w:r>
      <w:r>
        <w:rPr>
          <w:spacing w:val="-6"/>
          <w:sz w:val="24"/>
        </w:rPr>
        <w:t> </w:t>
      </w:r>
      <w:r>
        <w:rPr>
          <w:sz w:val="24"/>
        </w:rPr>
        <w:t>–</w:t>
      </w:r>
      <w:r>
        <w:rPr>
          <w:spacing w:val="-5"/>
          <w:sz w:val="24"/>
        </w:rPr>
        <w:t> </w:t>
      </w:r>
      <w:r>
        <w:rPr>
          <w:sz w:val="24"/>
        </w:rPr>
        <w:t>see Table A on page 7.</w:t>
      </w:r>
    </w:p>
    <w:p>
      <w:pPr>
        <w:pStyle w:val="ListParagraph"/>
        <w:numPr>
          <w:ilvl w:val="1"/>
          <w:numId w:val="14"/>
        </w:numPr>
        <w:tabs>
          <w:tab w:pos="895" w:val="left" w:leader="none"/>
        </w:tabs>
        <w:spacing w:line="240" w:lineRule="auto" w:before="121" w:after="0"/>
        <w:ind w:left="894" w:right="145" w:hanging="709"/>
        <w:jc w:val="both"/>
        <w:rPr>
          <w:sz w:val="24"/>
        </w:rPr>
      </w:pPr>
      <w:r>
        <w:rPr>
          <w:sz w:val="24"/>
        </w:rPr>
        <w:t>The</w:t>
      </w:r>
      <w:r>
        <w:rPr>
          <w:spacing w:val="-5"/>
          <w:sz w:val="24"/>
        </w:rPr>
        <w:t> </w:t>
      </w:r>
      <w:r>
        <w:rPr>
          <w:sz w:val="24"/>
        </w:rPr>
        <w:t>Employment</w:t>
      </w:r>
      <w:r>
        <w:rPr>
          <w:spacing w:val="-5"/>
          <w:sz w:val="24"/>
        </w:rPr>
        <w:t> </w:t>
      </w:r>
      <w:r>
        <w:rPr>
          <w:sz w:val="24"/>
        </w:rPr>
        <w:t>Services</w:t>
      </w:r>
      <w:r>
        <w:rPr>
          <w:spacing w:val="-6"/>
          <w:sz w:val="24"/>
        </w:rPr>
        <w:t> </w:t>
      </w:r>
      <w:r>
        <w:rPr>
          <w:sz w:val="24"/>
        </w:rPr>
        <w:t>intranet</w:t>
      </w:r>
      <w:r>
        <w:rPr>
          <w:spacing w:val="-7"/>
          <w:sz w:val="24"/>
        </w:rPr>
        <w:t> </w:t>
      </w:r>
      <w:r>
        <w:rPr>
          <w:sz w:val="24"/>
        </w:rPr>
        <w:t>page</w:t>
      </w:r>
      <w:r>
        <w:rPr>
          <w:spacing w:val="-3"/>
          <w:sz w:val="24"/>
        </w:rPr>
        <w:t> </w:t>
      </w:r>
      <w:r>
        <w:rPr>
          <w:sz w:val="24"/>
        </w:rPr>
        <w:t>provides</w:t>
      </w:r>
      <w:r>
        <w:rPr>
          <w:spacing w:val="-7"/>
          <w:sz w:val="24"/>
        </w:rPr>
        <w:t> </w:t>
      </w:r>
      <w:r>
        <w:rPr>
          <w:sz w:val="24"/>
        </w:rPr>
        <w:t>recruiting</w:t>
      </w:r>
      <w:r>
        <w:rPr>
          <w:spacing w:val="-4"/>
          <w:sz w:val="24"/>
        </w:rPr>
        <w:t> </w:t>
      </w:r>
      <w:r>
        <w:rPr>
          <w:sz w:val="24"/>
        </w:rPr>
        <w:t>managers</w:t>
      </w:r>
      <w:r>
        <w:rPr>
          <w:spacing w:val="-6"/>
          <w:sz w:val="24"/>
        </w:rPr>
        <w:t> </w:t>
      </w:r>
      <w:r>
        <w:rPr>
          <w:sz w:val="24"/>
        </w:rPr>
        <w:t>with</w:t>
      </w:r>
      <w:r>
        <w:rPr>
          <w:spacing w:val="-7"/>
          <w:sz w:val="24"/>
        </w:rPr>
        <w:t> </w:t>
      </w:r>
      <w:r>
        <w:rPr>
          <w:sz w:val="24"/>
        </w:rPr>
        <w:t>a</w:t>
      </w:r>
      <w:r>
        <w:rPr>
          <w:spacing w:val="-6"/>
          <w:sz w:val="24"/>
        </w:rPr>
        <w:t> </w:t>
      </w:r>
      <w:r>
        <w:rPr>
          <w:sz w:val="24"/>
        </w:rPr>
        <w:t>suite of</w:t>
      </w:r>
      <w:r>
        <w:rPr>
          <w:spacing w:val="-15"/>
          <w:sz w:val="24"/>
        </w:rPr>
        <w:t> </w:t>
      </w:r>
      <w:r>
        <w:rPr>
          <w:sz w:val="24"/>
        </w:rPr>
        <w:t>bespoke</w:t>
      </w:r>
      <w:r>
        <w:rPr>
          <w:spacing w:val="-14"/>
          <w:sz w:val="24"/>
        </w:rPr>
        <w:t> </w:t>
      </w:r>
      <w:r>
        <w:rPr>
          <w:sz w:val="24"/>
        </w:rPr>
        <w:t>standard</w:t>
      </w:r>
      <w:r>
        <w:rPr>
          <w:spacing w:val="-12"/>
          <w:sz w:val="24"/>
        </w:rPr>
        <w:t> </w:t>
      </w:r>
      <w:r>
        <w:rPr>
          <w:sz w:val="24"/>
        </w:rPr>
        <w:t>operating</w:t>
      </w:r>
      <w:r>
        <w:rPr>
          <w:spacing w:val="-13"/>
          <w:sz w:val="24"/>
        </w:rPr>
        <w:t> </w:t>
      </w:r>
      <w:r>
        <w:rPr>
          <w:sz w:val="24"/>
        </w:rPr>
        <w:t>procedures</w:t>
      </w:r>
      <w:r>
        <w:rPr>
          <w:spacing w:val="-15"/>
          <w:sz w:val="24"/>
        </w:rPr>
        <w:t> </w:t>
      </w:r>
      <w:r>
        <w:rPr>
          <w:sz w:val="24"/>
        </w:rPr>
        <w:t>(SOPs)</w:t>
      </w:r>
      <w:r>
        <w:rPr>
          <w:spacing w:val="-14"/>
          <w:sz w:val="24"/>
        </w:rPr>
        <w:t> </w:t>
      </w:r>
      <w:r>
        <w:rPr>
          <w:sz w:val="24"/>
        </w:rPr>
        <w:t>for</w:t>
      </w:r>
      <w:r>
        <w:rPr>
          <w:spacing w:val="-14"/>
          <w:sz w:val="24"/>
        </w:rPr>
        <w:t> </w:t>
      </w:r>
      <w:r>
        <w:rPr>
          <w:sz w:val="24"/>
        </w:rPr>
        <w:t>each</w:t>
      </w:r>
      <w:r>
        <w:rPr>
          <w:spacing w:val="-13"/>
          <w:sz w:val="24"/>
        </w:rPr>
        <w:t> </w:t>
      </w:r>
      <w:r>
        <w:rPr>
          <w:sz w:val="24"/>
        </w:rPr>
        <w:t>Health</w:t>
      </w:r>
      <w:r>
        <w:rPr>
          <w:spacing w:val="-15"/>
          <w:sz w:val="24"/>
        </w:rPr>
        <w:t> </w:t>
      </w:r>
      <w:r>
        <w:rPr>
          <w:sz w:val="24"/>
        </w:rPr>
        <w:t>Board/Trust</w:t>
      </w:r>
      <w:r>
        <w:rPr>
          <w:spacing w:val="-9"/>
          <w:sz w:val="24"/>
        </w:rPr>
        <w:t> </w:t>
      </w:r>
      <w:r>
        <w:rPr>
          <w:sz w:val="24"/>
        </w:rPr>
        <w:t>and training videos that provides a step-by-step guide through the recruitment and selection process.</w:t>
      </w:r>
    </w:p>
    <w:p>
      <w:pPr>
        <w:pStyle w:val="BodyText"/>
        <w:spacing w:before="120"/>
        <w:ind w:left="186"/>
      </w:pPr>
      <w:r>
        <w:rPr>
          <w:color w:val="3C5A8B"/>
          <w:spacing w:val="-2"/>
        </w:rPr>
        <w:t>Conclusion:</w:t>
      </w:r>
    </w:p>
    <w:p>
      <w:pPr>
        <w:pStyle w:val="ListParagraph"/>
        <w:numPr>
          <w:ilvl w:val="1"/>
          <w:numId w:val="14"/>
        </w:numPr>
        <w:tabs>
          <w:tab w:pos="894" w:val="left" w:leader="none"/>
          <w:tab w:pos="895" w:val="left" w:leader="none"/>
        </w:tabs>
        <w:spacing w:line="240" w:lineRule="auto" w:before="119" w:after="0"/>
        <w:ind w:left="894" w:right="0" w:hanging="709"/>
        <w:jc w:val="left"/>
        <w:rPr>
          <w:sz w:val="24"/>
        </w:rPr>
      </w:pPr>
      <w:r>
        <w:rPr>
          <w:sz w:val="24"/>
        </w:rPr>
        <w:t>Noting</w:t>
      </w:r>
      <w:r>
        <w:rPr>
          <w:spacing w:val="-4"/>
          <w:sz w:val="24"/>
        </w:rPr>
        <w:t> </w:t>
      </w:r>
      <w:r>
        <w:rPr>
          <w:sz w:val="24"/>
        </w:rPr>
        <w:t>the</w:t>
      </w:r>
      <w:r>
        <w:rPr>
          <w:spacing w:val="-2"/>
          <w:sz w:val="24"/>
        </w:rPr>
        <w:t> </w:t>
      </w:r>
      <w:r>
        <w:rPr>
          <w:sz w:val="24"/>
        </w:rPr>
        <w:t>above,</w:t>
      </w:r>
      <w:r>
        <w:rPr>
          <w:spacing w:val="-3"/>
          <w:sz w:val="24"/>
        </w:rPr>
        <w:t> </w:t>
      </w:r>
      <w:r>
        <w:rPr>
          <w:sz w:val="24"/>
        </w:rPr>
        <w:t>we</w:t>
      </w:r>
      <w:r>
        <w:rPr>
          <w:spacing w:val="-2"/>
          <w:sz w:val="24"/>
        </w:rPr>
        <w:t> </w:t>
      </w:r>
      <w:r>
        <w:rPr>
          <w:sz w:val="24"/>
        </w:rPr>
        <w:t>have</w:t>
      </w:r>
      <w:r>
        <w:rPr>
          <w:spacing w:val="-3"/>
          <w:sz w:val="24"/>
        </w:rPr>
        <w:t> </w:t>
      </w:r>
      <w:r>
        <w:rPr>
          <w:sz w:val="24"/>
        </w:rPr>
        <w:t>concluded</w:t>
      </w:r>
      <w:r>
        <w:rPr>
          <w:spacing w:val="-1"/>
          <w:sz w:val="24"/>
        </w:rPr>
        <w:t> </w:t>
      </w:r>
      <w:r>
        <w:rPr>
          <w:b/>
          <w:sz w:val="24"/>
        </w:rPr>
        <w:t>Substantial </w:t>
      </w:r>
      <w:r>
        <w:rPr>
          <w:sz w:val="24"/>
        </w:rPr>
        <w:t>assurance</w:t>
      </w:r>
      <w:r>
        <w:rPr>
          <w:spacing w:val="-2"/>
          <w:sz w:val="24"/>
        </w:rPr>
        <w:t> </w:t>
      </w:r>
      <w:r>
        <w:rPr>
          <w:sz w:val="24"/>
        </w:rPr>
        <w:t>of</w:t>
      </w:r>
      <w:r>
        <w:rPr>
          <w:spacing w:val="-3"/>
          <w:sz w:val="24"/>
        </w:rPr>
        <w:t> </w:t>
      </w:r>
      <w:r>
        <w:rPr>
          <w:sz w:val="24"/>
        </w:rPr>
        <w:t>this</w:t>
      </w:r>
      <w:r>
        <w:rPr>
          <w:spacing w:val="-3"/>
          <w:sz w:val="24"/>
        </w:rPr>
        <w:t> </w:t>
      </w:r>
      <w:r>
        <w:rPr>
          <w:spacing w:val="-2"/>
          <w:sz w:val="24"/>
        </w:rPr>
        <w:t>objective.</w:t>
      </w:r>
    </w:p>
    <w:p>
      <w:pPr>
        <w:pStyle w:val="BodyText"/>
        <w:rPr>
          <w:sz w:val="28"/>
        </w:rPr>
      </w:pPr>
    </w:p>
    <w:p>
      <w:pPr>
        <w:spacing w:line="259" w:lineRule="auto" w:before="229"/>
        <w:ind w:left="186" w:right="146" w:firstLine="0"/>
        <w:jc w:val="both"/>
        <w:rPr>
          <w:b/>
          <w:sz w:val="24"/>
        </w:rPr>
      </w:pPr>
      <w:r>
        <w:rPr>
          <w:b/>
          <w:color w:val="3C5A8B"/>
          <w:sz w:val="24"/>
        </w:rPr>
        <w:t>Objective 2: Pre-employment checks are completed in line with the NHS Employment Checks Standards</w:t>
      </w:r>
    </w:p>
    <w:p>
      <w:pPr>
        <w:pStyle w:val="ListParagraph"/>
        <w:numPr>
          <w:ilvl w:val="1"/>
          <w:numId w:val="14"/>
        </w:numPr>
        <w:tabs>
          <w:tab w:pos="895" w:val="left" w:leader="none"/>
        </w:tabs>
        <w:spacing w:line="240" w:lineRule="auto" w:before="121" w:after="0"/>
        <w:ind w:left="894" w:right="147" w:hanging="709"/>
        <w:jc w:val="both"/>
        <w:rPr>
          <w:sz w:val="24"/>
        </w:rPr>
      </w:pPr>
      <w:r>
        <w:rPr>
          <w:sz w:val="24"/>
        </w:rPr>
        <w:t>In line with the </w:t>
      </w:r>
      <w:r>
        <w:rPr>
          <w:i/>
          <w:sz w:val="24"/>
        </w:rPr>
        <w:t>NHS Employment Checks Standards</w:t>
      </w:r>
      <w:r>
        <w:rPr>
          <w:sz w:val="24"/>
        </w:rPr>
        <w:t>, Recruitment Services are required to check the following information for both internal and external new </w:t>
      </w:r>
      <w:r>
        <w:rPr>
          <w:spacing w:val="-2"/>
          <w:sz w:val="24"/>
        </w:rPr>
        <w:t>starters.</w:t>
      </w:r>
    </w:p>
    <w:p>
      <w:pPr>
        <w:pStyle w:val="BodyText"/>
        <w:spacing w:before="2"/>
        <w:rPr>
          <w:sz w:val="13"/>
        </w:rPr>
      </w:pPr>
      <w:r>
        <w:rPr/>
        <w:drawing>
          <wp:anchor distT="0" distB="0" distL="0" distR="0" allowOverlap="1" layoutInCell="1" locked="0" behindDoc="0" simplePos="0" relativeHeight="50">
            <wp:simplePos x="0" y="0"/>
            <wp:positionH relativeFrom="page">
              <wp:posOffset>821989</wp:posOffset>
            </wp:positionH>
            <wp:positionV relativeFrom="paragraph">
              <wp:posOffset>117077</wp:posOffset>
            </wp:positionV>
            <wp:extent cx="6361937" cy="3354324"/>
            <wp:effectExtent l="0" t="0" r="0" b="0"/>
            <wp:wrapTopAndBottom/>
            <wp:docPr id="35" name="image15.jpeg"/>
            <wp:cNvGraphicFramePr>
              <a:graphicFrameLocks noChangeAspect="1"/>
            </wp:cNvGraphicFramePr>
            <a:graphic>
              <a:graphicData uri="http://schemas.openxmlformats.org/drawingml/2006/picture">
                <pic:pic>
                  <pic:nvPicPr>
                    <pic:cNvPr id="36" name="image15.jpeg"/>
                    <pic:cNvPicPr/>
                  </pic:nvPicPr>
                  <pic:blipFill>
                    <a:blip r:embed="rId54" cstate="print"/>
                    <a:stretch>
                      <a:fillRect/>
                    </a:stretch>
                  </pic:blipFill>
                  <pic:spPr>
                    <a:xfrm>
                      <a:off x="0" y="0"/>
                      <a:ext cx="6361937" cy="3354324"/>
                    </a:xfrm>
                    <a:prstGeom prst="rect">
                      <a:avLst/>
                    </a:prstGeom>
                  </pic:spPr>
                </pic:pic>
              </a:graphicData>
            </a:graphic>
          </wp:anchor>
        </w:drawing>
      </w:r>
    </w:p>
    <w:p>
      <w:pPr>
        <w:spacing w:before="0"/>
        <w:ind w:left="3708" w:right="0" w:firstLine="0"/>
        <w:jc w:val="left"/>
        <w:rPr>
          <w:b/>
          <w:sz w:val="18"/>
        </w:rPr>
      </w:pPr>
      <w:r>
        <w:rPr>
          <w:b/>
          <w:sz w:val="18"/>
        </w:rPr>
        <w:t>NWSSP</w:t>
      </w:r>
      <w:r>
        <w:rPr>
          <w:b/>
          <w:spacing w:val="-6"/>
          <w:sz w:val="18"/>
        </w:rPr>
        <w:t> </w:t>
      </w:r>
      <w:r>
        <w:rPr>
          <w:b/>
          <w:sz w:val="18"/>
        </w:rPr>
        <w:t>Recruitment</w:t>
      </w:r>
      <w:r>
        <w:rPr>
          <w:b/>
          <w:spacing w:val="-3"/>
          <w:sz w:val="18"/>
        </w:rPr>
        <w:t> </w:t>
      </w:r>
      <w:r>
        <w:rPr>
          <w:b/>
          <w:sz w:val="18"/>
        </w:rPr>
        <w:t>–</w:t>
      </w:r>
      <w:r>
        <w:rPr>
          <w:b/>
          <w:spacing w:val="-3"/>
          <w:sz w:val="18"/>
        </w:rPr>
        <w:t> </w:t>
      </w:r>
      <w:r>
        <w:rPr>
          <w:b/>
          <w:sz w:val="18"/>
        </w:rPr>
        <w:t>Internal</w:t>
      </w:r>
      <w:r>
        <w:rPr>
          <w:b/>
          <w:spacing w:val="-2"/>
          <w:sz w:val="18"/>
        </w:rPr>
        <w:t> </w:t>
      </w:r>
      <w:r>
        <w:rPr>
          <w:b/>
          <w:sz w:val="18"/>
        </w:rPr>
        <w:t>Employment</w:t>
      </w:r>
      <w:r>
        <w:rPr>
          <w:b/>
          <w:spacing w:val="-3"/>
          <w:sz w:val="18"/>
        </w:rPr>
        <w:t> </w:t>
      </w:r>
      <w:r>
        <w:rPr>
          <w:b/>
          <w:sz w:val="18"/>
        </w:rPr>
        <w:t>Check</w:t>
      </w:r>
      <w:r>
        <w:rPr>
          <w:b/>
          <w:spacing w:val="-3"/>
          <w:sz w:val="18"/>
        </w:rPr>
        <w:t> </w:t>
      </w:r>
      <w:r>
        <w:rPr>
          <w:b/>
          <w:sz w:val="18"/>
        </w:rPr>
        <w:t>Process</w:t>
      </w:r>
      <w:r>
        <w:rPr>
          <w:b/>
          <w:spacing w:val="-2"/>
          <w:sz w:val="18"/>
        </w:rPr>
        <w:t> (Passport)</w:t>
      </w:r>
    </w:p>
    <w:p>
      <w:pPr>
        <w:spacing w:after="0"/>
        <w:jc w:val="left"/>
        <w:rPr>
          <w:sz w:val="18"/>
        </w:rPr>
        <w:sectPr>
          <w:footerReference w:type="default" r:id="rId53"/>
          <w:pgSz w:w="11910" w:h="16840"/>
          <w:pgMar w:footer="770" w:header="0" w:top="880" w:bottom="960" w:left="380" w:right="560"/>
          <w:pgNumType w:start="5"/>
        </w:sectPr>
      </w:pPr>
    </w:p>
    <w:p>
      <w:pPr>
        <w:pStyle w:val="BodyText"/>
        <w:tabs>
          <w:tab w:pos="7510" w:val="left" w:leader="none"/>
        </w:tabs>
        <w:spacing w:before="86"/>
        <w:ind w:left="186"/>
      </w:pPr>
      <w:r>
        <w:rPr/>
        <w:t>Recruitment</w:t>
      </w:r>
      <w:r>
        <w:rPr>
          <w:spacing w:val="-6"/>
        </w:rPr>
        <w:t> </w:t>
      </w:r>
      <w:r>
        <w:rPr>
          <w:spacing w:val="-2"/>
        </w:rPr>
        <w:t>Services</w:t>
      </w:r>
      <w:r>
        <w:rPr/>
        <w:tab/>
        <w:t>Final</w:t>
      </w:r>
      <w:r>
        <w:rPr>
          <w:spacing w:val="-6"/>
        </w:rPr>
        <w:t> </w:t>
      </w:r>
      <w:r>
        <w:rPr/>
        <w:t>Internal</w:t>
      </w:r>
      <w:r>
        <w:rPr>
          <w:spacing w:val="-3"/>
        </w:rPr>
        <w:t> </w:t>
      </w:r>
      <w:r>
        <w:rPr/>
        <w:t>Audit</w:t>
      </w:r>
      <w:r>
        <w:rPr>
          <w:spacing w:val="-1"/>
        </w:rPr>
        <w:t> </w:t>
      </w:r>
      <w:r>
        <w:rPr>
          <w:spacing w:val="-2"/>
        </w:rPr>
        <w:t>Report</w:t>
      </w:r>
    </w:p>
    <w:p>
      <w:pPr>
        <w:pStyle w:val="BodyText"/>
        <w:rPr>
          <w:sz w:val="20"/>
        </w:rPr>
      </w:pPr>
      <w:r>
        <w:rPr/>
        <w:pict>
          <v:shape style="position:absolute;margin-left:27.6pt;margin-top:13.355979pt;width:532.450pt;height:1.45pt;mso-position-horizontal-relative:page;mso-position-vertical-relative:paragraph;z-index:-15702528;mso-wrap-distance-left:0;mso-wrap-distance-right:0" id="docshape110" coordorigin="552,267" coordsize="10649,29" path="m11200,267l5943,267,5929,267,5915,267,552,267,552,296,5915,296,5929,296,5943,296,11200,296,11200,267xe" filled="true" fillcolor="#000000" stroked="false">
            <v:path arrowok="t"/>
            <v:fill type="solid"/>
            <w10:wrap type="topAndBottom"/>
          </v:shape>
        </w:pict>
      </w:r>
    </w:p>
    <w:p>
      <w:pPr>
        <w:pStyle w:val="BodyText"/>
        <w:spacing w:before="11"/>
        <w:rPr>
          <w:sz w:val="19"/>
        </w:rPr>
      </w:pPr>
    </w:p>
    <w:p>
      <w:pPr>
        <w:pStyle w:val="ListParagraph"/>
        <w:numPr>
          <w:ilvl w:val="1"/>
          <w:numId w:val="14"/>
        </w:numPr>
        <w:tabs>
          <w:tab w:pos="895" w:val="left" w:leader="none"/>
        </w:tabs>
        <w:spacing w:line="240" w:lineRule="auto" w:before="100" w:after="0"/>
        <w:ind w:left="894" w:right="141" w:hanging="709"/>
        <w:jc w:val="both"/>
        <w:rPr>
          <w:sz w:val="24"/>
        </w:rPr>
      </w:pPr>
      <w:r>
        <w:rPr>
          <w:sz w:val="24"/>
        </w:rPr>
        <w:t>A sample of 40 new starters on the payroll for health bodies across Wales was reviewed to establish whether pre-employment checks (PECs) had been </w:t>
      </w:r>
      <w:r>
        <w:rPr>
          <w:spacing w:val="-2"/>
          <w:sz w:val="24"/>
        </w:rPr>
        <w:t>undertaken.</w:t>
      </w:r>
    </w:p>
    <w:p>
      <w:pPr>
        <w:pStyle w:val="ListParagraph"/>
        <w:numPr>
          <w:ilvl w:val="1"/>
          <w:numId w:val="14"/>
        </w:numPr>
        <w:tabs>
          <w:tab w:pos="895" w:val="left" w:leader="none"/>
        </w:tabs>
        <w:spacing w:line="240" w:lineRule="auto" w:before="119" w:after="0"/>
        <w:ind w:left="894" w:right="145" w:hanging="709"/>
        <w:jc w:val="both"/>
        <w:rPr>
          <w:sz w:val="24"/>
        </w:rPr>
      </w:pPr>
      <w:r>
        <w:rPr>
          <w:sz w:val="24"/>
        </w:rPr>
        <w:t>One instance was identified where a second reference had not been acquired due to</w:t>
      </w:r>
      <w:r>
        <w:rPr>
          <w:spacing w:val="-3"/>
          <w:sz w:val="24"/>
        </w:rPr>
        <w:t> </w:t>
      </w:r>
      <w:r>
        <w:rPr>
          <w:sz w:val="24"/>
        </w:rPr>
        <w:t>an</w:t>
      </w:r>
      <w:r>
        <w:rPr>
          <w:spacing w:val="-5"/>
          <w:sz w:val="24"/>
        </w:rPr>
        <w:t> </w:t>
      </w:r>
      <w:r>
        <w:rPr>
          <w:sz w:val="24"/>
        </w:rPr>
        <w:t>administrative</w:t>
      </w:r>
      <w:r>
        <w:rPr>
          <w:spacing w:val="-3"/>
          <w:sz w:val="24"/>
        </w:rPr>
        <w:t> </w:t>
      </w:r>
      <w:r>
        <w:rPr>
          <w:sz w:val="24"/>
        </w:rPr>
        <w:t>error</w:t>
      </w:r>
      <w:r>
        <w:rPr>
          <w:spacing w:val="-1"/>
          <w:sz w:val="24"/>
        </w:rPr>
        <w:t> </w:t>
      </w:r>
      <w:r>
        <w:rPr>
          <w:sz w:val="24"/>
        </w:rPr>
        <w:t>by</w:t>
      </w:r>
      <w:r>
        <w:rPr>
          <w:spacing w:val="-4"/>
          <w:sz w:val="24"/>
        </w:rPr>
        <w:t> </w:t>
      </w:r>
      <w:r>
        <w:rPr>
          <w:sz w:val="24"/>
        </w:rPr>
        <w:t>Recruitment</w:t>
      </w:r>
      <w:r>
        <w:rPr>
          <w:spacing w:val="-4"/>
          <w:sz w:val="24"/>
        </w:rPr>
        <w:t> </w:t>
      </w:r>
      <w:r>
        <w:rPr>
          <w:sz w:val="24"/>
        </w:rPr>
        <w:t>Services</w:t>
      </w:r>
      <w:r>
        <w:rPr>
          <w:spacing w:val="-4"/>
          <w:sz w:val="24"/>
        </w:rPr>
        <w:t> </w:t>
      </w:r>
      <w:r>
        <w:rPr>
          <w:sz w:val="24"/>
        </w:rPr>
        <w:t>–</w:t>
      </w:r>
      <w:r>
        <w:rPr>
          <w:spacing w:val="-3"/>
          <w:sz w:val="24"/>
        </w:rPr>
        <w:t> </w:t>
      </w:r>
      <w:r>
        <w:rPr>
          <w:sz w:val="24"/>
        </w:rPr>
        <w:t>this</w:t>
      </w:r>
      <w:r>
        <w:rPr>
          <w:spacing w:val="-4"/>
          <w:sz w:val="24"/>
        </w:rPr>
        <w:t> </w:t>
      </w:r>
      <w:r>
        <w:rPr>
          <w:sz w:val="24"/>
        </w:rPr>
        <w:t>was</w:t>
      </w:r>
      <w:r>
        <w:rPr>
          <w:spacing w:val="-3"/>
          <w:sz w:val="24"/>
        </w:rPr>
        <w:t> </w:t>
      </w:r>
      <w:r>
        <w:rPr>
          <w:sz w:val="24"/>
        </w:rPr>
        <w:t>an</w:t>
      </w:r>
      <w:r>
        <w:rPr>
          <w:spacing w:val="-4"/>
          <w:sz w:val="24"/>
        </w:rPr>
        <w:t> </w:t>
      </w:r>
      <w:r>
        <w:rPr>
          <w:sz w:val="24"/>
        </w:rPr>
        <w:t>isolated</w:t>
      </w:r>
      <w:r>
        <w:rPr>
          <w:spacing w:val="-4"/>
          <w:sz w:val="24"/>
        </w:rPr>
        <w:t> </w:t>
      </w:r>
      <w:r>
        <w:rPr>
          <w:sz w:val="24"/>
        </w:rPr>
        <w:t>instance raised with the Head of Recruitment during fieldwork.</w:t>
      </w:r>
    </w:p>
    <w:p>
      <w:pPr>
        <w:pStyle w:val="ListParagraph"/>
        <w:numPr>
          <w:ilvl w:val="1"/>
          <w:numId w:val="14"/>
        </w:numPr>
        <w:tabs>
          <w:tab w:pos="895" w:val="left" w:leader="none"/>
        </w:tabs>
        <w:spacing w:line="240" w:lineRule="auto" w:before="121" w:after="0"/>
        <w:ind w:left="894" w:right="143" w:hanging="709"/>
        <w:jc w:val="both"/>
        <w:rPr>
          <w:sz w:val="24"/>
        </w:rPr>
      </w:pPr>
      <w:r>
        <w:rPr>
          <w:sz w:val="24"/>
        </w:rPr>
        <w:t>Five</w:t>
      </w:r>
      <w:r>
        <w:rPr>
          <w:spacing w:val="-13"/>
          <w:sz w:val="24"/>
        </w:rPr>
        <w:t> </w:t>
      </w:r>
      <w:r>
        <w:rPr>
          <w:sz w:val="24"/>
        </w:rPr>
        <w:t>instances</w:t>
      </w:r>
      <w:r>
        <w:rPr>
          <w:spacing w:val="-13"/>
          <w:sz w:val="24"/>
        </w:rPr>
        <w:t> </w:t>
      </w:r>
      <w:r>
        <w:rPr>
          <w:sz w:val="24"/>
        </w:rPr>
        <w:t>were</w:t>
      </w:r>
      <w:r>
        <w:rPr>
          <w:spacing w:val="-12"/>
          <w:sz w:val="24"/>
        </w:rPr>
        <w:t> </w:t>
      </w:r>
      <w:r>
        <w:rPr>
          <w:sz w:val="24"/>
        </w:rPr>
        <w:t>identified</w:t>
      </w:r>
      <w:r>
        <w:rPr>
          <w:spacing w:val="-12"/>
          <w:sz w:val="24"/>
        </w:rPr>
        <w:t> </w:t>
      </w:r>
      <w:r>
        <w:rPr>
          <w:sz w:val="24"/>
        </w:rPr>
        <w:t>where</w:t>
      </w:r>
      <w:r>
        <w:rPr>
          <w:spacing w:val="-12"/>
          <w:sz w:val="24"/>
        </w:rPr>
        <w:t> </w:t>
      </w:r>
      <w:r>
        <w:rPr>
          <w:sz w:val="24"/>
        </w:rPr>
        <w:t>new</w:t>
      </w:r>
      <w:r>
        <w:rPr>
          <w:spacing w:val="-13"/>
          <w:sz w:val="24"/>
        </w:rPr>
        <w:t> </w:t>
      </w:r>
      <w:r>
        <w:rPr>
          <w:sz w:val="24"/>
        </w:rPr>
        <w:t>starters</w:t>
      </w:r>
      <w:r>
        <w:rPr>
          <w:spacing w:val="-14"/>
          <w:sz w:val="24"/>
        </w:rPr>
        <w:t> </w:t>
      </w:r>
      <w:r>
        <w:rPr>
          <w:sz w:val="24"/>
        </w:rPr>
        <w:t>had</w:t>
      </w:r>
      <w:r>
        <w:rPr>
          <w:spacing w:val="-12"/>
          <w:sz w:val="24"/>
        </w:rPr>
        <w:t> </w:t>
      </w:r>
      <w:r>
        <w:rPr>
          <w:sz w:val="24"/>
        </w:rPr>
        <w:t>commenced</w:t>
      </w:r>
      <w:r>
        <w:rPr>
          <w:spacing w:val="-13"/>
          <w:sz w:val="24"/>
        </w:rPr>
        <w:t> </w:t>
      </w:r>
      <w:r>
        <w:rPr>
          <w:sz w:val="24"/>
        </w:rPr>
        <w:t>employment</w:t>
      </w:r>
      <w:r>
        <w:rPr>
          <w:spacing w:val="-11"/>
          <w:sz w:val="24"/>
        </w:rPr>
        <w:t> </w:t>
      </w:r>
      <w:r>
        <w:rPr>
          <w:sz w:val="24"/>
        </w:rPr>
        <w:t>up to</w:t>
      </w:r>
      <w:r>
        <w:rPr>
          <w:spacing w:val="-17"/>
          <w:sz w:val="24"/>
        </w:rPr>
        <w:t> </w:t>
      </w:r>
      <w:r>
        <w:rPr>
          <w:sz w:val="24"/>
        </w:rPr>
        <w:t>two</w:t>
      </w:r>
      <w:r>
        <w:rPr>
          <w:spacing w:val="-16"/>
          <w:sz w:val="24"/>
        </w:rPr>
        <w:t> </w:t>
      </w:r>
      <w:r>
        <w:rPr>
          <w:sz w:val="24"/>
        </w:rPr>
        <w:t>weeks</w:t>
      </w:r>
      <w:r>
        <w:rPr>
          <w:spacing w:val="-17"/>
          <w:sz w:val="24"/>
        </w:rPr>
        <w:t> </w:t>
      </w:r>
      <w:r>
        <w:rPr>
          <w:sz w:val="24"/>
        </w:rPr>
        <w:t>prior</w:t>
      </w:r>
      <w:r>
        <w:rPr>
          <w:spacing w:val="-16"/>
          <w:sz w:val="24"/>
        </w:rPr>
        <w:t> </w:t>
      </w:r>
      <w:r>
        <w:rPr>
          <w:sz w:val="24"/>
        </w:rPr>
        <w:t>to</w:t>
      </w:r>
      <w:r>
        <w:rPr>
          <w:spacing w:val="-17"/>
          <w:sz w:val="24"/>
        </w:rPr>
        <w:t> </w:t>
      </w:r>
      <w:r>
        <w:rPr>
          <w:sz w:val="24"/>
        </w:rPr>
        <w:t>receipt</w:t>
      </w:r>
      <w:r>
        <w:rPr>
          <w:spacing w:val="-19"/>
          <w:sz w:val="24"/>
        </w:rPr>
        <w:t> </w:t>
      </w:r>
      <w:r>
        <w:rPr>
          <w:sz w:val="24"/>
        </w:rPr>
        <w:t>of</w:t>
      </w:r>
      <w:r>
        <w:rPr>
          <w:spacing w:val="-18"/>
          <w:sz w:val="24"/>
        </w:rPr>
        <w:t> </w:t>
      </w:r>
      <w:r>
        <w:rPr>
          <w:sz w:val="24"/>
        </w:rPr>
        <w:t>the</w:t>
      </w:r>
      <w:r>
        <w:rPr>
          <w:spacing w:val="-15"/>
          <w:sz w:val="24"/>
        </w:rPr>
        <w:t> </w:t>
      </w:r>
      <w:r>
        <w:rPr>
          <w:sz w:val="24"/>
        </w:rPr>
        <w:t>criminal</w:t>
      </w:r>
      <w:r>
        <w:rPr>
          <w:spacing w:val="-19"/>
          <w:sz w:val="24"/>
        </w:rPr>
        <w:t> </w:t>
      </w:r>
      <w:r>
        <w:rPr>
          <w:sz w:val="24"/>
        </w:rPr>
        <w:t>record</w:t>
      </w:r>
      <w:r>
        <w:rPr>
          <w:spacing w:val="-18"/>
          <w:sz w:val="24"/>
        </w:rPr>
        <w:t> </w:t>
      </w:r>
      <w:r>
        <w:rPr>
          <w:sz w:val="24"/>
        </w:rPr>
        <w:t>check,</w:t>
      </w:r>
      <w:r>
        <w:rPr>
          <w:spacing w:val="-18"/>
          <w:sz w:val="24"/>
        </w:rPr>
        <w:t> </w:t>
      </w:r>
      <w:r>
        <w:rPr>
          <w:sz w:val="24"/>
        </w:rPr>
        <w:t>although</w:t>
      </w:r>
      <w:r>
        <w:rPr>
          <w:spacing w:val="-18"/>
          <w:sz w:val="24"/>
        </w:rPr>
        <w:t> </w:t>
      </w:r>
      <w:r>
        <w:rPr>
          <w:sz w:val="24"/>
        </w:rPr>
        <w:t>all</w:t>
      </w:r>
      <w:r>
        <w:rPr>
          <w:spacing w:val="-19"/>
          <w:sz w:val="24"/>
        </w:rPr>
        <w:t> </w:t>
      </w:r>
      <w:r>
        <w:rPr>
          <w:sz w:val="24"/>
        </w:rPr>
        <w:t>other</w:t>
      </w:r>
      <w:r>
        <w:rPr>
          <w:spacing w:val="-16"/>
          <w:sz w:val="24"/>
        </w:rPr>
        <w:t> </w:t>
      </w:r>
      <w:r>
        <w:rPr>
          <w:sz w:val="24"/>
        </w:rPr>
        <w:t>checks had been completed. Whilst the criminal record checks had been instigated promptly by Recruitment Services, delays were noted in obtaining the required supporting documentation from the candidate, subsequently delaying submission of</w:t>
      </w:r>
      <w:r>
        <w:rPr>
          <w:spacing w:val="-22"/>
          <w:sz w:val="24"/>
        </w:rPr>
        <w:t> </w:t>
      </w:r>
      <w:r>
        <w:rPr>
          <w:sz w:val="24"/>
        </w:rPr>
        <w:t>the</w:t>
      </w:r>
      <w:r>
        <w:rPr>
          <w:spacing w:val="-21"/>
          <w:sz w:val="24"/>
        </w:rPr>
        <w:t> </w:t>
      </w:r>
      <w:r>
        <w:rPr>
          <w:sz w:val="24"/>
        </w:rPr>
        <w:t>application</w:t>
      </w:r>
      <w:r>
        <w:rPr>
          <w:spacing w:val="-21"/>
          <w:sz w:val="24"/>
        </w:rPr>
        <w:t> </w:t>
      </w:r>
      <w:r>
        <w:rPr>
          <w:sz w:val="24"/>
        </w:rPr>
        <w:t>to</w:t>
      </w:r>
      <w:r>
        <w:rPr>
          <w:spacing w:val="-21"/>
          <w:sz w:val="24"/>
        </w:rPr>
        <w:t> </w:t>
      </w:r>
      <w:r>
        <w:rPr>
          <w:sz w:val="24"/>
        </w:rPr>
        <w:t>the</w:t>
      </w:r>
      <w:r>
        <w:rPr>
          <w:spacing w:val="-21"/>
          <w:sz w:val="24"/>
        </w:rPr>
        <w:t> </w:t>
      </w:r>
      <w:r>
        <w:rPr>
          <w:sz w:val="24"/>
        </w:rPr>
        <w:t>Disclosure</w:t>
      </w:r>
      <w:r>
        <w:rPr>
          <w:spacing w:val="-21"/>
          <w:sz w:val="24"/>
        </w:rPr>
        <w:t> </w:t>
      </w:r>
      <w:r>
        <w:rPr>
          <w:sz w:val="24"/>
        </w:rPr>
        <w:t>&amp;</w:t>
      </w:r>
      <w:r>
        <w:rPr>
          <w:spacing w:val="-21"/>
          <w:sz w:val="24"/>
        </w:rPr>
        <w:t> </w:t>
      </w:r>
      <w:r>
        <w:rPr>
          <w:sz w:val="24"/>
        </w:rPr>
        <w:t>Barring</w:t>
      </w:r>
      <w:r>
        <w:rPr>
          <w:spacing w:val="-21"/>
          <w:sz w:val="24"/>
        </w:rPr>
        <w:t> </w:t>
      </w:r>
      <w:r>
        <w:rPr>
          <w:sz w:val="24"/>
        </w:rPr>
        <w:t>Service.</w:t>
      </w:r>
      <w:r>
        <w:rPr>
          <w:spacing w:val="-21"/>
          <w:sz w:val="24"/>
        </w:rPr>
        <w:t> </w:t>
      </w:r>
      <w:r>
        <w:rPr>
          <w:sz w:val="24"/>
        </w:rPr>
        <w:t>The</w:t>
      </w:r>
      <w:r>
        <w:rPr>
          <w:spacing w:val="-21"/>
          <w:sz w:val="24"/>
        </w:rPr>
        <w:t> </w:t>
      </w:r>
      <w:r>
        <w:rPr>
          <w:sz w:val="24"/>
        </w:rPr>
        <w:t>SLA</w:t>
      </w:r>
      <w:r>
        <w:rPr>
          <w:spacing w:val="-22"/>
          <w:sz w:val="24"/>
        </w:rPr>
        <w:t> </w:t>
      </w:r>
      <w:r>
        <w:rPr>
          <w:sz w:val="24"/>
        </w:rPr>
        <w:t>states</w:t>
      </w:r>
      <w:r>
        <w:rPr>
          <w:spacing w:val="-21"/>
          <w:sz w:val="24"/>
        </w:rPr>
        <w:t> </w:t>
      </w:r>
      <w:r>
        <w:rPr>
          <w:sz w:val="24"/>
        </w:rPr>
        <w:t>that</w:t>
      </w:r>
      <w:r>
        <w:rPr>
          <w:spacing w:val="-21"/>
          <w:sz w:val="24"/>
        </w:rPr>
        <w:t> </w:t>
      </w:r>
      <w:r>
        <w:rPr>
          <w:sz w:val="24"/>
        </w:rPr>
        <w:t>recruiting managers</w:t>
      </w:r>
      <w:r>
        <w:rPr>
          <w:spacing w:val="-14"/>
          <w:sz w:val="24"/>
        </w:rPr>
        <w:t> </w:t>
      </w:r>
      <w:r>
        <w:rPr>
          <w:sz w:val="24"/>
        </w:rPr>
        <w:t>should</w:t>
      </w:r>
      <w:r>
        <w:rPr>
          <w:spacing w:val="-14"/>
          <w:sz w:val="24"/>
        </w:rPr>
        <w:t> </w:t>
      </w:r>
      <w:r>
        <w:rPr>
          <w:sz w:val="24"/>
        </w:rPr>
        <w:t>not</w:t>
      </w:r>
      <w:r>
        <w:rPr>
          <w:spacing w:val="-16"/>
          <w:sz w:val="24"/>
        </w:rPr>
        <w:t> </w:t>
      </w:r>
      <w:r>
        <w:rPr>
          <w:sz w:val="24"/>
        </w:rPr>
        <w:t>agree</w:t>
      </w:r>
      <w:r>
        <w:rPr>
          <w:spacing w:val="-14"/>
          <w:sz w:val="24"/>
        </w:rPr>
        <w:t> </w:t>
      </w:r>
      <w:r>
        <w:rPr>
          <w:sz w:val="24"/>
        </w:rPr>
        <w:t>a</w:t>
      </w:r>
      <w:r>
        <w:rPr>
          <w:spacing w:val="-15"/>
          <w:sz w:val="24"/>
        </w:rPr>
        <w:t> </w:t>
      </w:r>
      <w:r>
        <w:rPr>
          <w:sz w:val="24"/>
        </w:rPr>
        <w:t>start</w:t>
      </w:r>
      <w:r>
        <w:rPr>
          <w:spacing w:val="-13"/>
          <w:sz w:val="24"/>
        </w:rPr>
        <w:t> </w:t>
      </w:r>
      <w:r>
        <w:rPr>
          <w:sz w:val="24"/>
        </w:rPr>
        <w:t>date</w:t>
      </w:r>
      <w:r>
        <w:rPr>
          <w:spacing w:val="-12"/>
          <w:sz w:val="24"/>
        </w:rPr>
        <w:t> </w:t>
      </w:r>
      <w:r>
        <w:rPr>
          <w:sz w:val="24"/>
        </w:rPr>
        <w:t>until</w:t>
      </w:r>
      <w:r>
        <w:rPr>
          <w:spacing w:val="-16"/>
          <w:sz w:val="24"/>
        </w:rPr>
        <w:t> </w:t>
      </w:r>
      <w:r>
        <w:rPr>
          <w:sz w:val="24"/>
        </w:rPr>
        <w:t>all</w:t>
      </w:r>
      <w:r>
        <w:rPr>
          <w:spacing w:val="-12"/>
          <w:sz w:val="24"/>
        </w:rPr>
        <w:t> </w:t>
      </w:r>
      <w:r>
        <w:rPr>
          <w:sz w:val="24"/>
        </w:rPr>
        <w:t>PECs</w:t>
      </w:r>
      <w:r>
        <w:rPr>
          <w:spacing w:val="-13"/>
          <w:sz w:val="24"/>
        </w:rPr>
        <w:t> </w:t>
      </w:r>
      <w:r>
        <w:rPr>
          <w:sz w:val="24"/>
        </w:rPr>
        <w:t>have</w:t>
      </w:r>
      <w:r>
        <w:rPr>
          <w:spacing w:val="-12"/>
          <w:sz w:val="24"/>
        </w:rPr>
        <w:t> </w:t>
      </w:r>
      <w:r>
        <w:rPr>
          <w:sz w:val="24"/>
        </w:rPr>
        <w:t>been</w:t>
      </w:r>
      <w:r>
        <w:rPr>
          <w:spacing w:val="-14"/>
          <w:sz w:val="24"/>
        </w:rPr>
        <w:t> </w:t>
      </w:r>
      <w:r>
        <w:rPr>
          <w:sz w:val="24"/>
        </w:rPr>
        <w:t>completed.</w:t>
      </w:r>
      <w:r>
        <w:rPr>
          <w:spacing w:val="-14"/>
          <w:sz w:val="24"/>
        </w:rPr>
        <w:t> </w:t>
      </w:r>
      <w:r>
        <w:rPr>
          <w:sz w:val="24"/>
        </w:rPr>
        <w:t>Where health bodies choose to start</w:t>
      </w:r>
      <w:r>
        <w:rPr>
          <w:spacing w:val="-1"/>
          <w:sz w:val="24"/>
        </w:rPr>
        <w:t> </w:t>
      </w:r>
      <w:r>
        <w:rPr>
          <w:sz w:val="24"/>
        </w:rPr>
        <w:t>a new employee prior to the completion of the PECs this is outside of the control of NWSSP.</w:t>
      </w:r>
    </w:p>
    <w:p>
      <w:pPr>
        <w:pStyle w:val="ListParagraph"/>
        <w:numPr>
          <w:ilvl w:val="1"/>
          <w:numId w:val="14"/>
        </w:numPr>
        <w:tabs>
          <w:tab w:pos="895" w:val="left" w:leader="none"/>
        </w:tabs>
        <w:spacing w:line="240" w:lineRule="auto" w:before="121" w:after="0"/>
        <w:ind w:left="894" w:right="143" w:hanging="709"/>
        <w:jc w:val="both"/>
        <w:rPr>
          <w:b/>
          <w:sz w:val="24"/>
        </w:rPr>
      </w:pPr>
      <w:r>
        <w:rPr>
          <w:sz w:val="24"/>
        </w:rPr>
        <w:t>The risks associated with new starters commencing employment prior to the completion of PECs is reflected on the Employment Services risk register, albeit the potential impact of this (patient harm, financial penalty) affects the recruiting body rather than NWSSP. The New Appointment Form (NAF) is identified as a mitigating</w:t>
      </w:r>
      <w:r>
        <w:rPr>
          <w:spacing w:val="-17"/>
          <w:sz w:val="24"/>
        </w:rPr>
        <w:t> </w:t>
      </w:r>
      <w:r>
        <w:rPr>
          <w:sz w:val="24"/>
        </w:rPr>
        <w:t>control</w:t>
      </w:r>
      <w:r>
        <w:rPr>
          <w:spacing w:val="-19"/>
          <w:sz w:val="24"/>
        </w:rPr>
        <w:t> </w:t>
      </w:r>
      <w:r>
        <w:rPr>
          <w:sz w:val="24"/>
        </w:rPr>
        <w:t>however,</w:t>
      </w:r>
      <w:r>
        <w:rPr>
          <w:spacing w:val="-19"/>
          <w:sz w:val="24"/>
        </w:rPr>
        <w:t> </w:t>
      </w:r>
      <w:r>
        <w:rPr>
          <w:sz w:val="24"/>
        </w:rPr>
        <w:t>this</w:t>
      </w:r>
      <w:r>
        <w:rPr>
          <w:spacing w:val="-19"/>
          <w:sz w:val="24"/>
        </w:rPr>
        <w:t> </w:t>
      </w:r>
      <w:r>
        <w:rPr>
          <w:sz w:val="24"/>
        </w:rPr>
        <w:t>does</w:t>
      </w:r>
      <w:r>
        <w:rPr>
          <w:spacing w:val="-19"/>
          <w:sz w:val="24"/>
        </w:rPr>
        <w:t> </w:t>
      </w:r>
      <w:r>
        <w:rPr>
          <w:sz w:val="24"/>
        </w:rPr>
        <w:t>not</w:t>
      </w:r>
      <w:r>
        <w:rPr>
          <w:spacing w:val="-19"/>
          <w:sz w:val="24"/>
        </w:rPr>
        <w:t> </w:t>
      </w:r>
      <w:r>
        <w:rPr>
          <w:sz w:val="24"/>
        </w:rPr>
        <w:t>prevent</w:t>
      </w:r>
      <w:r>
        <w:rPr>
          <w:spacing w:val="-19"/>
          <w:sz w:val="24"/>
        </w:rPr>
        <w:t> </w:t>
      </w:r>
      <w:r>
        <w:rPr>
          <w:sz w:val="24"/>
        </w:rPr>
        <w:t>new</w:t>
      </w:r>
      <w:r>
        <w:rPr>
          <w:spacing w:val="-18"/>
          <w:sz w:val="24"/>
        </w:rPr>
        <w:t> </w:t>
      </w:r>
      <w:r>
        <w:rPr>
          <w:sz w:val="24"/>
        </w:rPr>
        <w:t>starters</w:t>
      </w:r>
      <w:r>
        <w:rPr>
          <w:spacing w:val="-18"/>
          <w:sz w:val="24"/>
        </w:rPr>
        <w:t> </w:t>
      </w:r>
      <w:r>
        <w:rPr>
          <w:sz w:val="24"/>
        </w:rPr>
        <w:t>commencing</w:t>
      </w:r>
      <w:r>
        <w:rPr>
          <w:spacing w:val="-19"/>
          <w:sz w:val="24"/>
        </w:rPr>
        <w:t> </w:t>
      </w:r>
      <w:r>
        <w:rPr>
          <w:sz w:val="24"/>
        </w:rPr>
        <w:t>in</w:t>
      </w:r>
      <w:r>
        <w:rPr>
          <w:spacing w:val="-15"/>
          <w:sz w:val="24"/>
        </w:rPr>
        <w:t> </w:t>
      </w:r>
      <w:r>
        <w:rPr>
          <w:sz w:val="24"/>
        </w:rPr>
        <w:t>post before completion of PECs as stated in the register. </w:t>
      </w:r>
      <w:r>
        <w:rPr>
          <w:b/>
          <w:sz w:val="24"/>
        </w:rPr>
        <w:t>[Matter Arising 1]</w:t>
      </w:r>
    </w:p>
    <w:p>
      <w:pPr>
        <w:pStyle w:val="BodyText"/>
        <w:spacing w:before="119"/>
        <w:ind w:left="186"/>
      </w:pPr>
      <w:r>
        <w:rPr>
          <w:color w:val="3C5A8B"/>
          <w:spacing w:val="-2"/>
        </w:rPr>
        <w:t>Conclusion:</w:t>
      </w:r>
    </w:p>
    <w:p>
      <w:pPr>
        <w:pStyle w:val="ListParagraph"/>
        <w:numPr>
          <w:ilvl w:val="1"/>
          <w:numId w:val="14"/>
        </w:numPr>
        <w:tabs>
          <w:tab w:pos="894" w:val="left" w:leader="none"/>
          <w:tab w:pos="895" w:val="left" w:leader="none"/>
        </w:tabs>
        <w:spacing w:line="240" w:lineRule="auto" w:before="122" w:after="0"/>
        <w:ind w:left="894" w:right="0" w:hanging="709"/>
        <w:jc w:val="left"/>
        <w:rPr>
          <w:sz w:val="24"/>
        </w:rPr>
      </w:pPr>
      <w:r>
        <w:rPr>
          <w:sz w:val="24"/>
        </w:rPr>
        <w:t>Noting</w:t>
      </w:r>
      <w:r>
        <w:rPr>
          <w:spacing w:val="-3"/>
          <w:sz w:val="24"/>
        </w:rPr>
        <w:t> </w:t>
      </w:r>
      <w:r>
        <w:rPr>
          <w:sz w:val="24"/>
        </w:rPr>
        <w:t>the</w:t>
      </w:r>
      <w:r>
        <w:rPr>
          <w:spacing w:val="-2"/>
          <w:sz w:val="24"/>
        </w:rPr>
        <w:t> </w:t>
      </w:r>
      <w:r>
        <w:rPr>
          <w:sz w:val="24"/>
        </w:rPr>
        <w:t>above,</w:t>
      </w:r>
      <w:r>
        <w:rPr>
          <w:spacing w:val="-3"/>
          <w:sz w:val="24"/>
        </w:rPr>
        <w:t> </w:t>
      </w:r>
      <w:r>
        <w:rPr>
          <w:sz w:val="24"/>
        </w:rPr>
        <w:t>we</w:t>
      </w:r>
      <w:r>
        <w:rPr>
          <w:spacing w:val="-2"/>
          <w:sz w:val="24"/>
        </w:rPr>
        <w:t> </w:t>
      </w:r>
      <w:r>
        <w:rPr>
          <w:sz w:val="24"/>
        </w:rPr>
        <w:t>have</w:t>
      </w:r>
      <w:r>
        <w:rPr>
          <w:spacing w:val="-1"/>
          <w:sz w:val="24"/>
        </w:rPr>
        <w:t> </w:t>
      </w:r>
      <w:r>
        <w:rPr>
          <w:sz w:val="24"/>
        </w:rPr>
        <w:t>concluded</w:t>
      </w:r>
      <w:r>
        <w:rPr>
          <w:spacing w:val="1"/>
          <w:sz w:val="24"/>
        </w:rPr>
        <w:t> </w:t>
      </w:r>
      <w:r>
        <w:rPr>
          <w:b/>
          <w:sz w:val="24"/>
        </w:rPr>
        <w:t>Reasonable</w:t>
      </w:r>
      <w:r>
        <w:rPr>
          <w:b/>
          <w:spacing w:val="-1"/>
          <w:sz w:val="24"/>
        </w:rPr>
        <w:t> </w:t>
      </w:r>
      <w:r>
        <w:rPr>
          <w:sz w:val="24"/>
        </w:rPr>
        <w:t>assurance</w:t>
      </w:r>
      <w:r>
        <w:rPr>
          <w:spacing w:val="-1"/>
          <w:sz w:val="24"/>
        </w:rPr>
        <w:t> </w:t>
      </w:r>
      <w:r>
        <w:rPr>
          <w:sz w:val="24"/>
        </w:rPr>
        <w:t>for</w:t>
      </w:r>
      <w:r>
        <w:rPr>
          <w:spacing w:val="-2"/>
          <w:sz w:val="24"/>
        </w:rPr>
        <w:t> </w:t>
      </w:r>
      <w:r>
        <w:rPr>
          <w:sz w:val="24"/>
        </w:rPr>
        <w:t>this</w:t>
      </w:r>
      <w:r>
        <w:rPr>
          <w:spacing w:val="-2"/>
          <w:sz w:val="24"/>
        </w:rPr>
        <w:t> objective.</w:t>
      </w:r>
    </w:p>
    <w:p>
      <w:pPr>
        <w:pStyle w:val="BodyText"/>
        <w:rPr>
          <w:sz w:val="28"/>
        </w:rPr>
      </w:pPr>
    </w:p>
    <w:p>
      <w:pPr>
        <w:spacing w:before="186"/>
        <w:ind w:left="186" w:right="152" w:firstLine="0"/>
        <w:jc w:val="both"/>
        <w:rPr>
          <w:b/>
          <w:sz w:val="24"/>
        </w:rPr>
      </w:pPr>
      <w:r>
        <w:rPr>
          <w:b/>
          <w:color w:val="3C5A8B"/>
          <w:sz w:val="24"/>
        </w:rPr>
        <w:t>Objective 3: Performance, including customer satisfaction, is monitored and any issues or complaints are resolved promptly</w:t>
      </w:r>
    </w:p>
    <w:p>
      <w:pPr>
        <w:pStyle w:val="ListParagraph"/>
        <w:numPr>
          <w:ilvl w:val="1"/>
          <w:numId w:val="14"/>
        </w:numPr>
        <w:tabs>
          <w:tab w:pos="895" w:val="left" w:leader="none"/>
        </w:tabs>
        <w:spacing w:line="240" w:lineRule="auto" w:before="120" w:after="0"/>
        <w:ind w:left="894" w:right="142" w:hanging="709"/>
        <w:jc w:val="both"/>
        <w:rPr>
          <w:sz w:val="24"/>
        </w:rPr>
      </w:pPr>
      <w:r>
        <w:rPr>
          <w:sz w:val="24"/>
        </w:rPr>
        <w:t>Recruitment Services produce an All-Wales Performance &amp; Volumes Report providing</w:t>
      </w:r>
      <w:r>
        <w:rPr>
          <w:spacing w:val="-19"/>
          <w:sz w:val="24"/>
        </w:rPr>
        <w:t> </w:t>
      </w:r>
      <w:r>
        <w:rPr>
          <w:sz w:val="24"/>
        </w:rPr>
        <w:t>a</w:t>
      </w:r>
      <w:r>
        <w:rPr>
          <w:spacing w:val="-16"/>
          <w:sz w:val="24"/>
        </w:rPr>
        <w:t> </w:t>
      </w:r>
      <w:r>
        <w:rPr>
          <w:sz w:val="24"/>
        </w:rPr>
        <w:t>breakdown</w:t>
      </w:r>
      <w:r>
        <w:rPr>
          <w:spacing w:val="-19"/>
          <w:sz w:val="24"/>
        </w:rPr>
        <w:t> </w:t>
      </w:r>
      <w:r>
        <w:rPr>
          <w:sz w:val="24"/>
        </w:rPr>
        <w:t>of</w:t>
      </w:r>
      <w:r>
        <w:rPr>
          <w:spacing w:val="-19"/>
          <w:sz w:val="24"/>
        </w:rPr>
        <w:t> </w:t>
      </w:r>
      <w:r>
        <w:rPr>
          <w:sz w:val="24"/>
        </w:rPr>
        <w:t>performance</w:t>
      </w:r>
      <w:r>
        <w:rPr>
          <w:spacing w:val="-15"/>
          <w:sz w:val="24"/>
        </w:rPr>
        <w:t> </w:t>
      </w:r>
      <w:r>
        <w:rPr>
          <w:sz w:val="24"/>
        </w:rPr>
        <w:t>against</w:t>
      </w:r>
      <w:r>
        <w:rPr>
          <w:spacing w:val="-16"/>
          <w:sz w:val="24"/>
        </w:rPr>
        <w:t> </w:t>
      </w:r>
      <w:r>
        <w:rPr>
          <w:sz w:val="24"/>
        </w:rPr>
        <w:t>KPI</w:t>
      </w:r>
      <w:r>
        <w:rPr>
          <w:spacing w:val="-17"/>
          <w:sz w:val="24"/>
        </w:rPr>
        <w:t> </w:t>
      </w:r>
      <w:r>
        <w:rPr>
          <w:sz w:val="24"/>
        </w:rPr>
        <w:t>targets</w:t>
      </w:r>
      <w:r>
        <w:rPr>
          <w:spacing w:val="-16"/>
          <w:sz w:val="24"/>
        </w:rPr>
        <w:t> </w:t>
      </w:r>
      <w:r>
        <w:rPr>
          <w:sz w:val="24"/>
        </w:rPr>
        <w:t>(see</w:t>
      </w:r>
      <w:r>
        <w:rPr>
          <w:spacing w:val="-17"/>
          <w:sz w:val="24"/>
        </w:rPr>
        <w:t> </w:t>
      </w:r>
      <w:r>
        <w:rPr>
          <w:sz w:val="24"/>
        </w:rPr>
        <w:t>Table</w:t>
      </w:r>
      <w:r>
        <w:rPr>
          <w:spacing w:val="-18"/>
          <w:sz w:val="24"/>
        </w:rPr>
        <w:t> </w:t>
      </w:r>
      <w:r>
        <w:rPr>
          <w:sz w:val="24"/>
        </w:rPr>
        <w:t>A</w:t>
      </w:r>
      <w:r>
        <w:rPr>
          <w:spacing w:val="-17"/>
          <w:sz w:val="24"/>
        </w:rPr>
        <w:t> </w:t>
      </w:r>
      <w:r>
        <w:rPr>
          <w:sz w:val="24"/>
        </w:rPr>
        <w:t>below)</w:t>
      </w:r>
      <w:r>
        <w:rPr>
          <w:spacing w:val="-15"/>
          <w:sz w:val="24"/>
        </w:rPr>
        <w:t> </w:t>
      </w:r>
      <w:r>
        <w:rPr>
          <w:sz w:val="24"/>
        </w:rPr>
        <w:t>and is issued to health bodies on a monthly basis. We confirmed that the All-Wales performance figures for August 2022 reconciled to source data in TRAC.</w:t>
      </w:r>
    </w:p>
    <w:p>
      <w:pPr>
        <w:pStyle w:val="ListParagraph"/>
        <w:numPr>
          <w:ilvl w:val="1"/>
          <w:numId w:val="14"/>
        </w:numPr>
        <w:tabs>
          <w:tab w:pos="895" w:val="left" w:leader="none"/>
        </w:tabs>
        <w:spacing w:line="240" w:lineRule="auto" w:before="120" w:after="0"/>
        <w:ind w:left="894" w:right="142" w:hanging="709"/>
        <w:jc w:val="both"/>
        <w:rPr>
          <w:sz w:val="24"/>
        </w:rPr>
      </w:pPr>
      <w:r>
        <w:rPr>
          <w:sz w:val="24"/>
        </w:rPr>
        <w:t>Recruitment Services are consistently meeting targets with the exception of </w:t>
      </w:r>
      <w:r>
        <w:rPr>
          <w:i/>
          <w:sz w:val="24"/>
        </w:rPr>
        <w:t>‘Completion</w:t>
      </w:r>
      <w:r>
        <w:rPr>
          <w:i/>
          <w:spacing w:val="-7"/>
          <w:sz w:val="24"/>
        </w:rPr>
        <w:t> </w:t>
      </w:r>
      <w:r>
        <w:rPr>
          <w:i/>
          <w:sz w:val="24"/>
        </w:rPr>
        <w:t>of</w:t>
      </w:r>
      <w:r>
        <w:rPr>
          <w:i/>
          <w:spacing w:val="-7"/>
          <w:sz w:val="24"/>
        </w:rPr>
        <w:t> </w:t>
      </w:r>
      <w:r>
        <w:rPr>
          <w:i/>
          <w:sz w:val="24"/>
        </w:rPr>
        <w:t>pre-employment</w:t>
      </w:r>
      <w:r>
        <w:rPr>
          <w:i/>
          <w:spacing w:val="-7"/>
          <w:sz w:val="24"/>
        </w:rPr>
        <w:t> </w:t>
      </w:r>
      <w:r>
        <w:rPr>
          <w:i/>
          <w:sz w:val="24"/>
        </w:rPr>
        <w:t>checks</w:t>
      </w:r>
      <w:r>
        <w:rPr>
          <w:i/>
          <w:spacing w:val="-4"/>
          <w:sz w:val="24"/>
        </w:rPr>
        <w:t> </w:t>
      </w:r>
      <w:r>
        <w:rPr>
          <w:i/>
          <w:sz w:val="24"/>
        </w:rPr>
        <w:t>within</w:t>
      </w:r>
      <w:r>
        <w:rPr>
          <w:i/>
          <w:spacing w:val="-7"/>
          <w:sz w:val="24"/>
        </w:rPr>
        <w:t> </w:t>
      </w:r>
      <w:r>
        <w:rPr>
          <w:i/>
          <w:sz w:val="24"/>
        </w:rPr>
        <w:t>25</w:t>
      </w:r>
      <w:r>
        <w:rPr>
          <w:i/>
          <w:spacing w:val="-5"/>
          <w:sz w:val="24"/>
        </w:rPr>
        <w:t> </w:t>
      </w:r>
      <w:r>
        <w:rPr>
          <w:i/>
          <w:sz w:val="24"/>
        </w:rPr>
        <w:t>days’.</w:t>
      </w:r>
      <w:r>
        <w:rPr>
          <w:i/>
          <w:spacing w:val="-7"/>
          <w:sz w:val="24"/>
        </w:rPr>
        <w:t> </w:t>
      </w:r>
      <w:r>
        <w:rPr>
          <w:sz w:val="24"/>
        </w:rPr>
        <w:t>We</w:t>
      </w:r>
      <w:r>
        <w:rPr>
          <w:spacing w:val="-5"/>
          <w:sz w:val="24"/>
        </w:rPr>
        <w:t> </w:t>
      </w:r>
      <w:r>
        <w:rPr>
          <w:sz w:val="24"/>
        </w:rPr>
        <w:t>were</w:t>
      </w:r>
      <w:r>
        <w:rPr>
          <w:spacing w:val="-5"/>
          <w:sz w:val="24"/>
        </w:rPr>
        <w:t> </w:t>
      </w:r>
      <w:r>
        <w:rPr>
          <w:sz w:val="24"/>
        </w:rPr>
        <w:t>advised</w:t>
      </w:r>
      <w:r>
        <w:rPr>
          <w:spacing w:val="-6"/>
          <w:sz w:val="24"/>
        </w:rPr>
        <w:t> </w:t>
      </w:r>
      <w:r>
        <w:rPr>
          <w:sz w:val="24"/>
        </w:rPr>
        <w:t>that</w:t>
      </w:r>
      <w:r>
        <w:rPr>
          <w:spacing w:val="-7"/>
          <w:sz w:val="24"/>
        </w:rPr>
        <w:t> </w:t>
      </w:r>
      <w:r>
        <w:rPr>
          <w:sz w:val="24"/>
        </w:rPr>
        <w:t>this is due to delays in obtaining evidence from external sources such as references and criminal record checks, and our testing identified examples supporting this (see</w:t>
      </w:r>
      <w:r>
        <w:rPr>
          <w:spacing w:val="-12"/>
          <w:sz w:val="24"/>
        </w:rPr>
        <w:t> </w:t>
      </w:r>
      <w:r>
        <w:rPr>
          <w:sz w:val="24"/>
        </w:rPr>
        <w:t>para</w:t>
      </w:r>
      <w:r>
        <w:rPr>
          <w:spacing w:val="-13"/>
          <w:sz w:val="24"/>
        </w:rPr>
        <w:t> </w:t>
      </w:r>
      <w:r>
        <w:rPr>
          <w:sz w:val="24"/>
        </w:rPr>
        <w:t>2.7).</w:t>
      </w:r>
      <w:r>
        <w:rPr>
          <w:spacing w:val="-12"/>
          <w:sz w:val="24"/>
        </w:rPr>
        <w:t> </w:t>
      </w:r>
      <w:r>
        <w:rPr>
          <w:sz w:val="24"/>
        </w:rPr>
        <w:t>Recruitment</w:t>
      </w:r>
      <w:r>
        <w:rPr>
          <w:spacing w:val="-12"/>
          <w:sz w:val="24"/>
        </w:rPr>
        <w:t> </w:t>
      </w:r>
      <w:r>
        <w:rPr>
          <w:sz w:val="24"/>
        </w:rPr>
        <w:t>Services</w:t>
      </w:r>
      <w:r>
        <w:rPr>
          <w:spacing w:val="-11"/>
          <w:sz w:val="24"/>
        </w:rPr>
        <w:t> </w:t>
      </w:r>
      <w:r>
        <w:rPr>
          <w:sz w:val="24"/>
        </w:rPr>
        <w:t>also</w:t>
      </w:r>
      <w:r>
        <w:rPr>
          <w:spacing w:val="-13"/>
          <w:sz w:val="24"/>
        </w:rPr>
        <w:t> </w:t>
      </w:r>
      <w:r>
        <w:rPr>
          <w:sz w:val="24"/>
        </w:rPr>
        <w:t>cited</w:t>
      </w:r>
      <w:r>
        <w:rPr>
          <w:spacing w:val="-10"/>
          <w:sz w:val="24"/>
        </w:rPr>
        <w:t> </w:t>
      </w:r>
      <w:r>
        <w:rPr>
          <w:sz w:val="24"/>
        </w:rPr>
        <w:t>difficulty</w:t>
      </w:r>
      <w:r>
        <w:rPr>
          <w:spacing w:val="-11"/>
          <w:sz w:val="24"/>
        </w:rPr>
        <w:t> </w:t>
      </w:r>
      <w:r>
        <w:rPr>
          <w:sz w:val="24"/>
        </w:rPr>
        <w:t>in</w:t>
      </w:r>
      <w:r>
        <w:rPr>
          <w:spacing w:val="-12"/>
          <w:sz w:val="24"/>
        </w:rPr>
        <w:t> </w:t>
      </w:r>
      <w:r>
        <w:rPr>
          <w:sz w:val="24"/>
        </w:rPr>
        <w:t>completing</w:t>
      </w:r>
      <w:r>
        <w:rPr>
          <w:spacing w:val="-12"/>
          <w:sz w:val="24"/>
        </w:rPr>
        <w:t> </w:t>
      </w:r>
      <w:r>
        <w:rPr>
          <w:sz w:val="24"/>
        </w:rPr>
        <w:t>PECs</w:t>
      </w:r>
      <w:r>
        <w:rPr>
          <w:spacing w:val="-11"/>
          <w:sz w:val="24"/>
        </w:rPr>
        <w:t> </w:t>
      </w:r>
      <w:r>
        <w:rPr>
          <w:sz w:val="24"/>
        </w:rPr>
        <w:t>where the new starter has already commenced in post.</w:t>
      </w:r>
    </w:p>
    <w:p>
      <w:pPr>
        <w:pStyle w:val="ListParagraph"/>
        <w:numPr>
          <w:ilvl w:val="1"/>
          <w:numId w:val="14"/>
        </w:numPr>
        <w:tabs>
          <w:tab w:pos="895" w:val="left" w:leader="none"/>
        </w:tabs>
        <w:spacing w:line="240" w:lineRule="auto" w:before="122" w:after="0"/>
        <w:ind w:left="894" w:right="141" w:hanging="709"/>
        <w:jc w:val="both"/>
        <w:rPr>
          <w:sz w:val="24"/>
        </w:rPr>
      </w:pPr>
      <w:r>
        <w:rPr>
          <w:sz w:val="24"/>
        </w:rPr>
        <w:t>Two of the four Health Board/Trusts KPIs identified in Table A were consistently not met, in particular significant delays were identified between the time from resignation to submitting vacancy for approval on TRAC.</w:t>
      </w:r>
    </w:p>
    <w:p>
      <w:pPr>
        <w:spacing w:after="0" w:line="240" w:lineRule="auto"/>
        <w:jc w:val="both"/>
        <w:rPr>
          <w:sz w:val="24"/>
        </w:rPr>
        <w:sectPr>
          <w:pgSz w:w="11910" w:h="16840"/>
          <w:pgMar w:header="0" w:footer="770" w:top="880" w:bottom="960" w:left="380" w:right="560"/>
        </w:sectPr>
      </w:pPr>
    </w:p>
    <w:p>
      <w:pPr>
        <w:pStyle w:val="BodyText"/>
        <w:tabs>
          <w:tab w:pos="7510" w:val="left" w:leader="none"/>
        </w:tabs>
        <w:spacing w:before="86"/>
        <w:ind w:left="186"/>
      </w:pPr>
      <w:r>
        <w:rPr/>
        <w:t>Recruitment</w:t>
      </w:r>
      <w:r>
        <w:rPr>
          <w:spacing w:val="-6"/>
        </w:rPr>
        <w:t> </w:t>
      </w:r>
      <w:r>
        <w:rPr>
          <w:spacing w:val="-2"/>
        </w:rPr>
        <w:t>Services</w:t>
      </w:r>
      <w:r>
        <w:rPr/>
        <w:tab/>
        <w:t>Final</w:t>
      </w:r>
      <w:r>
        <w:rPr>
          <w:spacing w:val="-6"/>
        </w:rPr>
        <w:t> </w:t>
      </w:r>
      <w:r>
        <w:rPr/>
        <w:t>Internal</w:t>
      </w:r>
      <w:r>
        <w:rPr>
          <w:spacing w:val="-3"/>
        </w:rPr>
        <w:t> </w:t>
      </w:r>
      <w:r>
        <w:rPr/>
        <w:t>Audit</w:t>
      </w:r>
      <w:r>
        <w:rPr>
          <w:spacing w:val="-1"/>
        </w:rPr>
        <w:t> </w:t>
      </w:r>
      <w:r>
        <w:rPr>
          <w:spacing w:val="-2"/>
        </w:rPr>
        <w:t>Report</w:t>
      </w:r>
    </w:p>
    <w:p>
      <w:pPr>
        <w:pStyle w:val="BodyText"/>
        <w:rPr>
          <w:sz w:val="20"/>
        </w:rPr>
      </w:pPr>
      <w:r>
        <w:rPr/>
        <w:pict>
          <v:shape style="position:absolute;margin-left:27.6pt;margin-top:13.355979pt;width:532.450pt;height:1.45pt;mso-position-horizontal-relative:page;mso-position-vertical-relative:paragraph;z-index:-15702016;mso-wrap-distance-left:0;mso-wrap-distance-right:0" id="docshape111" coordorigin="552,267" coordsize="10649,29" path="m11200,267l5943,267,5929,267,5915,267,552,267,552,296,5915,296,5929,296,5943,296,11200,296,11200,267xe" filled="true" fillcolor="#000000" stroked="false">
            <v:path arrowok="t"/>
            <v:fill type="solid"/>
            <w10:wrap type="topAndBottom"/>
          </v:shape>
        </w:pict>
      </w:r>
    </w:p>
    <w:p>
      <w:pPr>
        <w:pStyle w:val="BodyText"/>
        <w:spacing w:before="9"/>
        <w:rPr>
          <w:sz w:val="20"/>
        </w:rPr>
      </w:pPr>
    </w:p>
    <w:p>
      <w:pPr>
        <w:spacing w:before="101" w:after="10"/>
        <w:ind w:left="1005" w:right="0" w:firstLine="0"/>
        <w:jc w:val="left"/>
        <w:rPr>
          <w:b/>
          <w:sz w:val="16"/>
        </w:rPr>
      </w:pPr>
      <w:r>
        <w:rPr>
          <w:b/>
          <w:sz w:val="16"/>
        </w:rPr>
        <w:t>Table</w:t>
      </w:r>
      <w:r>
        <w:rPr>
          <w:b/>
          <w:spacing w:val="-5"/>
          <w:sz w:val="16"/>
        </w:rPr>
        <w:t> </w:t>
      </w:r>
      <w:r>
        <w:rPr>
          <w:b/>
          <w:spacing w:val="-10"/>
          <w:sz w:val="16"/>
        </w:rPr>
        <w:t>A</w:t>
      </w:r>
    </w:p>
    <w:tbl>
      <w:tblPr>
        <w:tblW w:w="0" w:type="auto"/>
        <w:jc w:val="left"/>
        <w:tblCellSpacing w:w="4" w:type="dxa"/>
        <w:tblInd w:w="9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680"/>
        <w:gridCol w:w="2127"/>
        <w:gridCol w:w="1026"/>
        <w:gridCol w:w="1029"/>
        <w:gridCol w:w="1027"/>
        <w:gridCol w:w="1022"/>
      </w:tblGrid>
      <w:tr>
        <w:trPr>
          <w:trHeight w:val="628" w:hRule="atLeast"/>
        </w:trPr>
        <w:tc>
          <w:tcPr>
            <w:tcW w:w="3675" w:type="dxa"/>
            <w:vMerge w:val="restart"/>
            <w:tcBorders>
              <w:top w:val="nil"/>
              <w:left w:val="nil"/>
            </w:tcBorders>
            <w:shd w:val="clear" w:color="auto" w:fill="2E5395"/>
          </w:tcPr>
          <w:p>
            <w:pPr>
              <w:pStyle w:val="TableParagraph"/>
              <w:rPr>
                <w:b/>
                <w:sz w:val="20"/>
              </w:rPr>
            </w:pPr>
          </w:p>
          <w:p>
            <w:pPr>
              <w:pStyle w:val="TableParagraph"/>
              <w:spacing w:before="4"/>
              <w:rPr>
                <w:b/>
                <w:sz w:val="16"/>
              </w:rPr>
            </w:pPr>
          </w:p>
          <w:p>
            <w:pPr>
              <w:pStyle w:val="TableParagraph"/>
              <w:ind w:left="1270" w:right="1270"/>
              <w:jc w:val="center"/>
              <w:rPr>
                <w:b/>
                <w:sz w:val="16"/>
              </w:rPr>
            </w:pPr>
            <w:r>
              <w:rPr>
                <w:b/>
                <w:color w:val="FFFFFF"/>
                <w:sz w:val="16"/>
              </w:rPr>
              <w:t>AGREED</w:t>
            </w:r>
            <w:r>
              <w:rPr>
                <w:b/>
                <w:color w:val="FFFFFF"/>
                <w:spacing w:val="-4"/>
                <w:sz w:val="16"/>
              </w:rPr>
              <w:t> </w:t>
            </w:r>
            <w:r>
              <w:rPr>
                <w:b/>
                <w:color w:val="FFFFFF"/>
                <w:spacing w:val="-5"/>
                <w:sz w:val="16"/>
              </w:rPr>
              <w:t>KPI</w:t>
            </w:r>
          </w:p>
        </w:tc>
        <w:tc>
          <w:tcPr>
            <w:tcW w:w="2117" w:type="dxa"/>
            <w:vMerge w:val="restart"/>
            <w:tcBorders>
              <w:top w:val="nil"/>
            </w:tcBorders>
            <w:shd w:val="clear" w:color="auto" w:fill="2E5395"/>
          </w:tcPr>
          <w:p>
            <w:pPr>
              <w:pStyle w:val="TableParagraph"/>
              <w:spacing w:before="122"/>
              <w:ind w:left="705" w:right="178" w:hanging="528"/>
              <w:rPr>
                <w:b/>
                <w:sz w:val="16"/>
              </w:rPr>
            </w:pPr>
            <w:r>
              <w:rPr>
                <w:b/>
                <w:color w:val="FFFFFF"/>
                <w:sz w:val="16"/>
              </w:rPr>
              <w:t>RESPONSIBILITY</w:t>
            </w:r>
            <w:r>
              <w:rPr>
                <w:b/>
                <w:color w:val="FFFFFF"/>
                <w:spacing w:val="-14"/>
                <w:sz w:val="16"/>
              </w:rPr>
              <w:t> </w:t>
            </w:r>
            <w:r>
              <w:rPr>
                <w:b/>
                <w:color w:val="FFFFFF"/>
                <w:sz w:val="16"/>
              </w:rPr>
              <w:t>&amp; </w:t>
            </w:r>
            <w:r>
              <w:rPr>
                <w:b/>
                <w:color w:val="FFFFFF"/>
                <w:spacing w:val="-2"/>
                <w:sz w:val="16"/>
              </w:rPr>
              <w:t>TARGET</w:t>
            </w:r>
          </w:p>
        </w:tc>
        <w:tc>
          <w:tcPr>
            <w:tcW w:w="4099" w:type="dxa"/>
            <w:gridSpan w:val="4"/>
            <w:tcBorders>
              <w:top w:val="nil"/>
              <w:right w:val="nil"/>
            </w:tcBorders>
            <w:shd w:val="clear" w:color="auto" w:fill="2E5395"/>
          </w:tcPr>
          <w:p>
            <w:pPr>
              <w:pStyle w:val="TableParagraph"/>
              <w:spacing w:before="122"/>
              <w:ind w:left="1653" w:hanging="1350"/>
              <w:rPr>
                <w:b/>
                <w:sz w:val="16"/>
              </w:rPr>
            </w:pPr>
            <w:r>
              <w:rPr>
                <w:b/>
                <w:color w:val="FFFFFF"/>
                <w:sz w:val="16"/>
              </w:rPr>
              <w:t>AVERAGE</w:t>
            </w:r>
            <w:r>
              <w:rPr>
                <w:b/>
                <w:color w:val="FFFFFF"/>
                <w:spacing w:val="-9"/>
                <w:sz w:val="16"/>
              </w:rPr>
              <w:t> </w:t>
            </w:r>
            <w:r>
              <w:rPr>
                <w:b/>
                <w:color w:val="FFFFFF"/>
                <w:sz w:val="16"/>
              </w:rPr>
              <w:t>WORKING</w:t>
            </w:r>
            <w:r>
              <w:rPr>
                <w:b/>
                <w:color w:val="FFFFFF"/>
                <w:spacing w:val="-10"/>
                <w:sz w:val="16"/>
              </w:rPr>
              <w:t> </w:t>
            </w:r>
            <w:r>
              <w:rPr>
                <w:b/>
                <w:color w:val="FFFFFF"/>
                <w:sz w:val="16"/>
              </w:rPr>
              <w:t>DAYS</w:t>
            </w:r>
            <w:r>
              <w:rPr>
                <w:b/>
                <w:color w:val="FFFFFF"/>
                <w:spacing w:val="-9"/>
                <w:sz w:val="16"/>
              </w:rPr>
              <w:t> </w:t>
            </w:r>
            <w:r>
              <w:rPr>
                <w:b/>
                <w:color w:val="FFFFFF"/>
                <w:sz w:val="16"/>
              </w:rPr>
              <w:t>PER</w:t>
            </w:r>
            <w:r>
              <w:rPr>
                <w:b/>
                <w:color w:val="FFFFFF"/>
                <w:spacing w:val="-7"/>
                <w:sz w:val="16"/>
              </w:rPr>
              <w:t> </w:t>
            </w:r>
            <w:r>
              <w:rPr>
                <w:b/>
                <w:color w:val="FFFFFF"/>
                <w:sz w:val="16"/>
              </w:rPr>
              <w:t>MONTH </w:t>
            </w:r>
            <w:r>
              <w:rPr>
                <w:b/>
                <w:color w:val="FFFFFF"/>
                <w:spacing w:val="-2"/>
                <w:sz w:val="16"/>
              </w:rPr>
              <w:t>2022/23</w:t>
            </w:r>
          </w:p>
        </w:tc>
      </w:tr>
      <w:tr>
        <w:trPr>
          <w:trHeight w:val="433" w:hRule="atLeast"/>
        </w:trPr>
        <w:tc>
          <w:tcPr>
            <w:tcW w:w="3675" w:type="dxa"/>
            <w:vMerge/>
            <w:tcBorders>
              <w:top w:val="nil"/>
              <w:left w:val="nil"/>
            </w:tcBorders>
            <w:shd w:val="clear" w:color="auto" w:fill="2E5395"/>
          </w:tcPr>
          <w:p>
            <w:pPr>
              <w:rPr>
                <w:sz w:val="2"/>
                <w:szCs w:val="2"/>
              </w:rPr>
            </w:pPr>
          </w:p>
        </w:tc>
        <w:tc>
          <w:tcPr>
            <w:tcW w:w="2117" w:type="dxa"/>
            <w:vMerge/>
            <w:tcBorders>
              <w:top w:val="nil"/>
            </w:tcBorders>
            <w:shd w:val="clear" w:color="auto" w:fill="2E5395"/>
          </w:tcPr>
          <w:p>
            <w:pPr>
              <w:rPr>
                <w:sz w:val="2"/>
                <w:szCs w:val="2"/>
              </w:rPr>
            </w:pPr>
          </w:p>
        </w:tc>
        <w:tc>
          <w:tcPr>
            <w:tcW w:w="1016" w:type="dxa"/>
            <w:tcBorders>
              <w:right w:val="nil"/>
            </w:tcBorders>
            <w:shd w:val="clear" w:color="auto" w:fill="2E5395"/>
          </w:tcPr>
          <w:p>
            <w:pPr>
              <w:pStyle w:val="TableParagraph"/>
              <w:spacing w:before="122"/>
              <w:ind w:right="306"/>
              <w:jc w:val="right"/>
              <w:rPr>
                <w:b/>
                <w:sz w:val="16"/>
              </w:rPr>
            </w:pPr>
            <w:r>
              <w:rPr>
                <w:b/>
                <w:color w:val="FFFFFF"/>
                <w:spacing w:val="-5"/>
                <w:sz w:val="16"/>
              </w:rPr>
              <w:t>MAY</w:t>
            </w:r>
          </w:p>
        </w:tc>
        <w:tc>
          <w:tcPr>
            <w:tcW w:w="1019" w:type="dxa"/>
            <w:tcBorders>
              <w:left w:val="nil"/>
            </w:tcBorders>
            <w:shd w:val="clear" w:color="auto" w:fill="2E5395"/>
          </w:tcPr>
          <w:p>
            <w:pPr>
              <w:pStyle w:val="TableParagraph"/>
              <w:spacing w:before="122"/>
              <w:ind w:left="274"/>
              <w:rPr>
                <w:b/>
                <w:sz w:val="16"/>
              </w:rPr>
            </w:pPr>
            <w:r>
              <w:rPr>
                <w:b/>
                <w:color w:val="FFFFFF"/>
                <w:spacing w:val="-4"/>
                <w:sz w:val="16"/>
              </w:rPr>
              <w:t>JUNE</w:t>
            </w:r>
          </w:p>
        </w:tc>
        <w:tc>
          <w:tcPr>
            <w:tcW w:w="1017" w:type="dxa"/>
            <w:shd w:val="clear" w:color="auto" w:fill="2E5395"/>
          </w:tcPr>
          <w:p>
            <w:pPr>
              <w:pStyle w:val="TableParagraph"/>
              <w:spacing w:before="122"/>
              <w:ind w:left="271" w:right="271"/>
              <w:jc w:val="center"/>
              <w:rPr>
                <w:b/>
                <w:sz w:val="16"/>
              </w:rPr>
            </w:pPr>
            <w:r>
              <w:rPr>
                <w:b/>
                <w:color w:val="FFFFFF"/>
                <w:spacing w:val="-4"/>
                <w:sz w:val="16"/>
              </w:rPr>
              <w:t>JULY</w:t>
            </w:r>
          </w:p>
        </w:tc>
        <w:tc>
          <w:tcPr>
            <w:tcW w:w="1017" w:type="dxa"/>
            <w:tcBorders>
              <w:right w:val="nil"/>
            </w:tcBorders>
            <w:shd w:val="clear" w:color="auto" w:fill="2E5395"/>
          </w:tcPr>
          <w:p>
            <w:pPr>
              <w:pStyle w:val="TableParagraph"/>
              <w:spacing w:before="122"/>
              <w:ind w:left="125" w:right="126"/>
              <w:jc w:val="center"/>
              <w:rPr>
                <w:b/>
                <w:sz w:val="16"/>
              </w:rPr>
            </w:pPr>
            <w:r>
              <w:rPr>
                <w:b/>
                <w:color w:val="FFFFFF"/>
                <w:spacing w:val="-2"/>
                <w:sz w:val="16"/>
              </w:rPr>
              <w:t>AUGUST</w:t>
            </w:r>
          </w:p>
        </w:tc>
      </w:tr>
      <w:tr>
        <w:trPr>
          <w:trHeight w:val="616" w:hRule="atLeast"/>
        </w:trPr>
        <w:tc>
          <w:tcPr>
            <w:tcW w:w="3675" w:type="dxa"/>
            <w:tcBorders>
              <w:left w:val="nil"/>
            </w:tcBorders>
            <w:shd w:val="clear" w:color="auto" w:fill="E8EFF8"/>
          </w:tcPr>
          <w:p>
            <w:pPr>
              <w:pStyle w:val="TableParagraph"/>
              <w:spacing w:before="61"/>
              <w:ind w:left="103"/>
              <w:rPr>
                <w:sz w:val="18"/>
              </w:rPr>
            </w:pPr>
            <w:r>
              <w:rPr>
                <w:sz w:val="18"/>
              </w:rPr>
              <w:t>Time</w:t>
            </w:r>
            <w:r>
              <w:rPr>
                <w:spacing w:val="-10"/>
                <w:sz w:val="18"/>
              </w:rPr>
              <w:t> </w:t>
            </w:r>
            <w:r>
              <w:rPr>
                <w:sz w:val="18"/>
              </w:rPr>
              <w:t>from</w:t>
            </w:r>
            <w:r>
              <w:rPr>
                <w:spacing w:val="-10"/>
                <w:sz w:val="18"/>
              </w:rPr>
              <w:t> </w:t>
            </w:r>
            <w:r>
              <w:rPr>
                <w:sz w:val="18"/>
              </w:rPr>
              <w:t>resignation</w:t>
            </w:r>
            <w:r>
              <w:rPr>
                <w:spacing w:val="-11"/>
                <w:sz w:val="18"/>
              </w:rPr>
              <w:t> </w:t>
            </w:r>
            <w:r>
              <w:rPr>
                <w:sz w:val="18"/>
              </w:rPr>
              <w:t>to</w:t>
            </w:r>
            <w:r>
              <w:rPr>
                <w:spacing w:val="-9"/>
                <w:sz w:val="18"/>
              </w:rPr>
              <w:t> </w:t>
            </w:r>
            <w:r>
              <w:rPr>
                <w:sz w:val="18"/>
              </w:rPr>
              <w:t>submitting vacancy for approval on TRAC</w:t>
            </w:r>
          </w:p>
        </w:tc>
        <w:tc>
          <w:tcPr>
            <w:tcW w:w="2117" w:type="dxa"/>
            <w:shd w:val="clear" w:color="auto" w:fill="E8EFF8"/>
          </w:tcPr>
          <w:p>
            <w:pPr>
              <w:pStyle w:val="TableParagraph"/>
              <w:spacing w:before="61"/>
              <w:ind w:left="150" w:right="152"/>
              <w:jc w:val="center"/>
              <w:rPr>
                <w:sz w:val="18"/>
              </w:rPr>
            </w:pPr>
            <w:r>
              <w:rPr>
                <w:sz w:val="18"/>
              </w:rPr>
              <w:t>Health</w:t>
            </w:r>
            <w:r>
              <w:rPr>
                <w:spacing w:val="-3"/>
                <w:sz w:val="18"/>
              </w:rPr>
              <w:t> </w:t>
            </w:r>
            <w:r>
              <w:rPr>
                <w:sz w:val="18"/>
              </w:rPr>
              <w:t>Board/</w:t>
            </w:r>
            <w:r>
              <w:rPr>
                <w:spacing w:val="-2"/>
                <w:sz w:val="18"/>
              </w:rPr>
              <w:t> Trust</w:t>
            </w:r>
          </w:p>
          <w:p>
            <w:pPr>
              <w:pStyle w:val="TableParagraph"/>
              <w:spacing w:before="60"/>
              <w:ind w:left="150" w:right="151"/>
              <w:jc w:val="center"/>
              <w:rPr>
                <w:i/>
                <w:sz w:val="18"/>
              </w:rPr>
            </w:pPr>
            <w:r>
              <w:rPr>
                <w:i/>
                <w:sz w:val="18"/>
              </w:rPr>
              <w:t>(5</w:t>
            </w:r>
            <w:r>
              <w:rPr>
                <w:i/>
                <w:spacing w:val="-4"/>
                <w:sz w:val="18"/>
              </w:rPr>
              <w:t> </w:t>
            </w:r>
            <w:r>
              <w:rPr>
                <w:i/>
                <w:spacing w:val="-2"/>
                <w:sz w:val="18"/>
              </w:rPr>
              <w:t>Days)</w:t>
            </w:r>
          </w:p>
        </w:tc>
        <w:tc>
          <w:tcPr>
            <w:tcW w:w="1016" w:type="dxa"/>
            <w:tcBorders>
              <w:right w:val="nil"/>
            </w:tcBorders>
            <w:shd w:val="clear" w:color="auto" w:fill="E8EFF8"/>
          </w:tcPr>
          <w:p>
            <w:pPr>
              <w:pStyle w:val="TableParagraph"/>
              <w:spacing w:before="5"/>
              <w:rPr>
                <w:b/>
                <w:sz w:val="16"/>
              </w:rPr>
            </w:pPr>
          </w:p>
          <w:p>
            <w:pPr>
              <w:pStyle w:val="TableParagraph"/>
              <w:spacing w:before="1"/>
              <w:ind w:right="284"/>
              <w:jc w:val="right"/>
              <w:rPr>
                <w:b/>
                <w:sz w:val="18"/>
              </w:rPr>
            </w:pPr>
            <w:r>
              <w:rPr>
                <w:b/>
                <w:color w:val="FF0000"/>
                <w:spacing w:val="-4"/>
                <w:sz w:val="18"/>
              </w:rPr>
              <w:t>52.4</w:t>
            </w:r>
          </w:p>
        </w:tc>
        <w:tc>
          <w:tcPr>
            <w:tcW w:w="1019" w:type="dxa"/>
            <w:tcBorders>
              <w:left w:val="nil"/>
            </w:tcBorders>
            <w:shd w:val="clear" w:color="auto" w:fill="E8EFF8"/>
          </w:tcPr>
          <w:p>
            <w:pPr>
              <w:pStyle w:val="TableParagraph"/>
              <w:spacing w:before="5"/>
              <w:rPr>
                <w:b/>
                <w:sz w:val="16"/>
              </w:rPr>
            </w:pPr>
          </w:p>
          <w:p>
            <w:pPr>
              <w:pStyle w:val="TableParagraph"/>
              <w:spacing w:before="1"/>
              <w:ind w:left="281"/>
              <w:rPr>
                <w:b/>
                <w:sz w:val="18"/>
              </w:rPr>
            </w:pPr>
            <w:r>
              <w:rPr>
                <w:b/>
                <w:color w:val="FF0000"/>
                <w:spacing w:val="-4"/>
                <w:sz w:val="18"/>
              </w:rPr>
              <w:t>57.2</w:t>
            </w:r>
          </w:p>
        </w:tc>
        <w:tc>
          <w:tcPr>
            <w:tcW w:w="1017" w:type="dxa"/>
            <w:shd w:val="clear" w:color="auto" w:fill="E8EFF8"/>
          </w:tcPr>
          <w:p>
            <w:pPr>
              <w:pStyle w:val="TableParagraph"/>
              <w:spacing w:before="5"/>
              <w:rPr>
                <w:b/>
                <w:sz w:val="16"/>
              </w:rPr>
            </w:pPr>
          </w:p>
          <w:p>
            <w:pPr>
              <w:pStyle w:val="TableParagraph"/>
              <w:spacing w:before="1"/>
              <w:ind w:left="271" w:right="273"/>
              <w:jc w:val="center"/>
              <w:rPr>
                <w:b/>
                <w:sz w:val="18"/>
              </w:rPr>
            </w:pPr>
            <w:r>
              <w:rPr>
                <w:b/>
                <w:color w:val="FF0000"/>
                <w:spacing w:val="-4"/>
                <w:sz w:val="18"/>
              </w:rPr>
              <w:t>44.0</w:t>
            </w:r>
          </w:p>
        </w:tc>
        <w:tc>
          <w:tcPr>
            <w:tcW w:w="1017" w:type="dxa"/>
            <w:tcBorders>
              <w:right w:val="nil"/>
            </w:tcBorders>
            <w:shd w:val="clear" w:color="auto" w:fill="E8EFF8"/>
          </w:tcPr>
          <w:p>
            <w:pPr>
              <w:pStyle w:val="TableParagraph"/>
              <w:spacing w:before="5"/>
              <w:rPr>
                <w:b/>
                <w:sz w:val="16"/>
              </w:rPr>
            </w:pPr>
          </w:p>
          <w:p>
            <w:pPr>
              <w:pStyle w:val="TableParagraph"/>
              <w:spacing w:before="1"/>
              <w:ind w:left="125" w:right="126"/>
              <w:jc w:val="center"/>
              <w:rPr>
                <w:b/>
                <w:sz w:val="18"/>
              </w:rPr>
            </w:pPr>
            <w:r>
              <w:rPr>
                <w:b/>
                <w:color w:val="FF0000"/>
                <w:spacing w:val="-4"/>
                <w:sz w:val="18"/>
              </w:rPr>
              <w:t>49.4</w:t>
            </w:r>
          </w:p>
        </w:tc>
      </w:tr>
      <w:tr>
        <w:trPr>
          <w:trHeight w:val="618" w:hRule="atLeast"/>
        </w:trPr>
        <w:tc>
          <w:tcPr>
            <w:tcW w:w="3675" w:type="dxa"/>
            <w:tcBorders>
              <w:left w:val="nil"/>
            </w:tcBorders>
            <w:shd w:val="clear" w:color="auto" w:fill="E8EFF8"/>
          </w:tcPr>
          <w:p>
            <w:pPr>
              <w:pStyle w:val="TableParagraph"/>
              <w:spacing w:before="61"/>
              <w:ind w:left="103"/>
              <w:rPr>
                <w:sz w:val="18"/>
              </w:rPr>
            </w:pPr>
            <w:r>
              <w:rPr>
                <w:sz w:val="18"/>
              </w:rPr>
              <w:t>Time</w:t>
            </w:r>
            <w:r>
              <w:rPr>
                <w:spacing w:val="-4"/>
                <w:sz w:val="18"/>
              </w:rPr>
              <w:t> </w:t>
            </w:r>
            <w:r>
              <w:rPr>
                <w:sz w:val="18"/>
              </w:rPr>
              <w:t>to</w:t>
            </w:r>
            <w:r>
              <w:rPr>
                <w:spacing w:val="-3"/>
                <w:sz w:val="18"/>
              </w:rPr>
              <w:t> </w:t>
            </w:r>
            <w:r>
              <w:rPr>
                <w:sz w:val="18"/>
              </w:rPr>
              <w:t>approve/authorise</w:t>
            </w:r>
            <w:r>
              <w:rPr>
                <w:spacing w:val="-6"/>
                <w:sz w:val="18"/>
              </w:rPr>
              <w:t> </w:t>
            </w:r>
            <w:r>
              <w:rPr>
                <w:sz w:val="18"/>
              </w:rPr>
              <w:t>a</w:t>
            </w:r>
            <w:r>
              <w:rPr>
                <w:spacing w:val="-3"/>
                <w:sz w:val="18"/>
              </w:rPr>
              <w:t> </w:t>
            </w:r>
            <w:r>
              <w:rPr>
                <w:spacing w:val="-2"/>
                <w:sz w:val="18"/>
              </w:rPr>
              <w:t>vacancy</w:t>
            </w:r>
          </w:p>
        </w:tc>
        <w:tc>
          <w:tcPr>
            <w:tcW w:w="2117" w:type="dxa"/>
            <w:shd w:val="clear" w:color="auto" w:fill="E8EFF8"/>
          </w:tcPr>
          <w:p>
            <w:pPr>
              <w:pStyle w:val="TableParagraph"/>
              <w:spacing w:before="61"/>
              <w:ind w:left="150" w:right="152"/>
              <w:jc w:val="center"/>
              <w:rPr>
                <w:sz w:val="18"/>
              </w:rPr>
            </w:pPr>
            <w:r>
              <w:rPr>
                <w:sz w:val="18"/>
              </w:rPr>
              <w:t>Health</w:t>
            </w:r>
            <w:r>
              <w:rPr>
                <w:spacing w:val="-3"/>
                <w:sz w:val="18"/>
              </w:rPr>
              <w:t> </w:t>
            </w:r>
            <w:r>
              <w:rPr>
                <w:sz w:val="18"/>
              </w:rPr>
              <w:t>Board/</w:t>
            </w:r>
            <w:r>
              <w:rPr>
                <w:spacing w:val="-2"/>
                <w:sz w:val="18"/>
              </w:rPr>
              <w:t> Trust</w:t>
            </w:r>
          </w:p>
          <w:p>
            <w:pPr>
              <w:pStyle w:val="TableParagraph"/>
              <w:spacing w:before="62"/>
              <w:ind w:left="150" w:right="151"/>
              <w:jc w:val="center"/>
              <w:rPr>
                <w:i/>
                <w:sz w:val="18"/>
              </w:rPr>
            </w:pPr>
            <w:r>
              <w:rPr>
                <w:i/>
                <w:sz w:val="18"/>
              </w:rPr>
              <w:t>(10</w:t>
            </w:r>
            <w:r>
              <w:rPr>
                <w:i/>
                <w:spacing w:val="-4"/>
                <w:sz w:val="18"/>
              </w:rPr>
              <w:t> </w:t>
            </w:r>
            <w:r>
              <w:rPr>
                <w:i/>
                <w:spacing w:val="-2"/>
                <w:sz w:val="18"/>
              </w:rPr>
              <w:t>Days)</w:t>
            </w:r>
          </w:p>
        </w:tc>
        <w:tc>
          <w:tcPr>
            <w:tcW w:w="1016" w:type="dxa"/>
            <w:tcBorders>
              <w:right w:val="nil"/>
            </w:tcBorders>
            <w:shd w:val="clear" w:color="auto" w:fill="E8EFF8"/>
          </w:tcPr>
          <w:p>
            <w:pPr>
              <w:pStyle w:val="TableParagraph"/>
              <w:spacing w:before="8"/>
              <w:rPr>
                <w:b/>
                <w:sz w:val="16"/>
              </w:rPr>
            </w:pPr>
          </w:p>
          <w:p>
            <w:pPr>
              <w:pStyle w:val="TableParagraph"/>
              <w:ind w:right="346"/>
              <w:jc w:val="right"/>
              <w:rPr>
                <w:b/>
                <w:sz w:val="18"/>
              </w:rPr>
            </w:pPr>
            <w:r>
              <w:rPr>
                <w:b/>
                <w:color w:val="00AF50"/>
                <w:spacing w:val="-5"/>
                <w:sz w:val="18"/>
              </w:rPr>
              <w:t>8.1</w:t>
            </w:r>
          </w:p>
        </w:tc>
        <w:tc>
          <w:tcPr>
            <w:tcW w:w="1019" w:type="dxa"/>
            <w:tcBorders>
              <w:left w:val="nil"/>
            </w:tcBorders>
            <w:shd w:val="clear" w:color="auto" w:fill="E8EFF8"/>
          </w:tcPr>
          <w:p>
            <w:pPr>
              <w:pStyle w:val="TableParagraph"/>
              <w:spacing w:before="8"/>
              <w:rPr>
                <w:b/>
                <w:sz w:val="16"/>
              </w:rPr>
            </w:pPr>
          </w:p>
          <w:p>
            <w:pPr>
              <w:pStyle w:val="TableParagraph"/>
              <w:ind w:left="346"/>
              <w:rPr>
                <w:b/>
                <w:sz w:val="18"/>
              </w:rPr>
            </w:pPr>
            <w:r>
              <w:rPr>
                <w:b/>
                <w:color w:val="00AF50"/>
                <w:spacing w:val="-5"/>
                <w:sz w:val="18"/>
              </w:rPr>
              <w:t>8.7</w:t>
            </w:r>
          </w:p>
        </w:tc>
        <w:tc>
          <w:tcPr>
            <w:tcW w:w="1017" w:type="dxa"/>
            <w:shd w:val="clear" w:color="auto" w:fill="E8EFF8"/>
          </w:tcPr>
          <w:p>
            <w:pPr>
              <w:pStyle w:val="TableParagraph"/>
              <w:spacing w:before="8"/>
              <w:rPr>
                <w:b/>
                <w:sz w:val="16"/>
              </w:rPr>
            </w:pPr>
          </w:p>
          <w:p>
            <w:pPr>
              <w:pStyle w:val="TableParagraph"/>
              <w:ind w:left="271" w:right="271"/>
              <w:jc w:val="center"/>
              <w:rPr>
                <w:b/>
                <w:sz w:val="18"/>
              </w:rPr>
            </w:pPr>
            <w:r>
              <w:rPr>
                <w:b/>
                <w:color w:val="00AF50"/>
                <w:spacing w:val="-5"/>
                <w:sz w:val="18"/>
              </w:rPr>
              <w:t>8.0</w:t>
            </w:r>
          </w:p>
        </w:tc>
        <w:tc>
          <w:tcPr>
            <w:tcW w:w="1017" w:type="dxa"/>
            <w:tcBorders>
              <w:right w:val="nil"/>
            </w:tcBorders>
            <w:shd w:val="clear" w:color="auto" w:fill="E8EFF8"/>
          </w:tcPr>
          <w:p>
            <w:pPr>
              <w:pStyle w:val="TableParagraph"/>
              <w:spacing w:before="8"/>
              <w:rPr>
                <w:b/>
                <w:sz w:val="16"/>
              </w:rPr>
            </w:pPr>
          </w:p>
          <w:p>
            <w:pPr>
              <w:pStyle w:val="TableParagraph"/>
              <w:ind w:left="125" w:right="126"/>
              <w:jc w:val="center"/>
              <w:rPr>
                <w:b/>
                <w:sz w:val="18"/>
              </w:rPr>
            </w:pPr>
            <w:r>
              <w:rPr>
                <w:b/>
                <w:color w:val="00AF50"/>
                <w:spacing w:val="-5"/>
                <w:sz w:val="18"/>
              </w:rPr>
              <w:t>7.8</w:t>
            </w:r>
          </w:p>
        </w:tc>
      </w:tr>
      <w:tr>
        <w:trPr>
          <w:trHeight w:val="616" w:hRule="atLeast"/>
        </w:trPr>
        <w:tc>
          <w:tcPr>
            <w:tcW w:w="3675" w:type="dxa"/>
            <w:tcBorders>
              <w:left w:val="nil"/>
            </w:tcBorders>
            <w:shd w:val="clear" w:color="auto" w:fill="DEEAF6"/>
          </w:tcPr>
          <w:p>
            <w:pPr>
              <w:pStyle w:val="TableParagraph"/>
              <w:spacing w:before="61"/>
              <w:ind w:left="103"/>
              <w:rPr>
                <w:sz w:val="18"/>
              </w:rPr>
            </w:pPr>
            <w:r>
              <w:rPr>
                <w:sz w:val="18"/>
              </w:rPr>
              <w:t>Time</w:t>
            </w:r>
            <w:r>
              <w:rPr>
                <w:spacing w:val="-4"/>
                <w:sz w:val="18"/>
              </w:rPr>
              <w:t> </w:t>
            </w:r>
            <w:r>
              <w:rPr>
                <w:sz w:val="18"/>
              </w:rPr>
              <w:t>to</w:t>
            </w:r>
            <w:r>
              <w:rPr>
                <w:spacing w:val="-1"/>
                <w:sz w:val="18"/>
              </w:rPr>
              <w:t> </w:t>
            </w:r>
            <w:r>
              <w:rPr>
                <w:sz w:val="18"/>
              </w:rPr>
              <w:t>place</w:t>
            </w:r>
            <w:r>
              <w:rPr>
                <w:spacing w:val="-2"/>
                <w:sz w:val="18"/>
              </w:rPr>
              <w:t> </w:t>
            </w:r>
            <w:r>
              <w:rPr>
                <w:sz w:val="18"/>
              </w:rPr>
              <w:t>adverts</w:t>
            </w:r>
            <w:r>
              <w:rPr>
                <w:spacing w:val="-1"/>
                <w:sz w:val="18"/>
              </w:rPr>
              <w:t> </w:t>
            </w:r>
            <w:r>
              <w:rPr>
                <w:spacing w:val="-4"/>
                <w:sz w:val="18"/>
              </w:rPr>
              <w:t>live</w:t>
            </w:r>
          </w:p>
        </w:tc>
        <w:tc>
          <w:tcPr>
            <w:tcW w:w="2117" w:type="dxa"/>
            <w:shd w:val="clear" w:color="auto" w:fill="DEEAF6"/>
          </w:tcPr>
          <w:p>
            <w:pPr>
              <w:pStyle w:val="TableParagraph"/>
              <w:spacing w:before="61"/>
              <w:ind w:left="150" w:right="151"/>
              <w:jc w:val="center"/>
              <w:rPr>
                <w:sz w:val="18"/>
              </w:rPr>
            </w:pPr>
            <w:r>
              <w:rPr>
                <w:spacing w:val="-2"/>
                <w:sz w:val="18"/>
              </w:rPr>
              <w:t>NWSSP</w:t>
            </w:r>
          </w:p>
          <w:p>
            <w:pPr>
              <w:pStyle w:val="TableParagraph"/>
              <w:spacing w:before="60"/>
              <w:ind w:left="150" w:right="151"/>
              <w:jc w:val="center"/>
              <w:rPr>
                <w:i/>
                <w:sz w:val="18"/>
              </w:rPr>
            </w:pPr>
            <w:r>
              <w:rPr>
                <w:i/>
                <w:sz w:val="18"/>
              </w:rPr>
              <w:t>(2</w:t>
            </w:r>
            <w:r>
              <w:rPr>
                <w:i/>
                <w:spacing w:val="-4"/>
                <w:sz w:val="18"/>
              </w:rPr>
              <w:t> </w:t>
            </w:r>
            <w:r>
              <w:rPr>
                <w:i/>
                <w:spacing w:val="-2"/>
                <w:sz w:val="18"/>
              </w:rPr>
              <w:t>Days)</w:t>
            </w:r>
          </w:p>
        </w:tc>
        <w:tc>
          <w:tcPr>
            <w:tcW w:w="1016" w:type="dxa"/>
            <w:tcBorders>
              <w:right w:val="nil"/>
            </w:tcBorders>
            <w:shd w:val="clear" w:color="auto" w:fill="DEEAF6"/>
          </w:tcPr>
          <w:p>
            <w:pPr>
              <w:pStyle w:val="TableParagraph"/>
              <w:spacing w:before="5"/>
              <w:rPr>
                <w:b/>
                <w:sz w:val="16"/>
              </w:rPr>
            </w:pPr>
          </w:p>
          <w:p>
            <w:pPr>
              <w:pStyle w:val="TableParagraph"/>
              <w:spacing w:before="1"/>
              <w:ind w:right="346"/>
              <w:jc w:val="right"/>
              <w:rPr>
                <w:b/>
                <w:sz w:val="18"/>
              </w:rPr>
            </w:pPr>
            <w:r>
              <w:rPr>
                <w:b/>
                <w:color w:val="00AF50"/>
                <w:spacing w:val="-5"/>
                <w:sz w:val="18"/>
              </w:rPr>
              <w:t>1.4</w:t>
            </w:r>
          </w:p>
        </w:tc>
        <w:tc>
          <w:tcPr>
            <w:tcW w:w="1019" w:type="dxa"/>
            <w:tcBorders>
              <w:left w:val="nil"/>
            </w:tcBorders>
            <w:shd w:val="clear" w:color="auto" w:fill="DEEAF6"/>
          </w:tcPr>
          <w:p>
            <w:pPr>
              <w:pStyle w:val="TableParagraph"/>
              <w:spacing w:before="5"/>
              <w:rPr>
                <w:b/>
                <w:sz w:val="16"/>
              </w:rPr>
            </w:pPr>
          </w:p>
          <w:p>
            <w:pPr>
              <w:pStyle w:val="TableParagraph"/>
              <w:spacing w:before="1"/>
              <w:ind w:left="346"/>
              <w:rPr>
                <w:b/>
                <w:sz w:val="18"/>
              </w:rPr>
            </w:pPr>
            <w:r>
              <w:rPr>
                <w:b/>
                <w:color w:val="00AF50"/>
                <w:spacing w:val="-5"/>
                <w:sz w:val="18"/>
              </w:rPr>
              <w:t>1.4</w:t>
            </w:r>
          </w:p>
        </w:tc>
        <w:tc>
          <w:tcPr>
            <w:tcW w:w="1017" w:type="dxa"/>
            <w:shd w:val="clear" w:color="auto" w:fill="DEEAF6"/>
          </w:tcPr>
          <w:p>
            <w:pPr>
              <w:pStyle w:val="TableParagraph"/>
              <w:spacing w:before="5"/>
              <w:rPr>
                <w:b/>
                <w:sz w:val="16"/>
              </w:rPr>
            </w:pPr>
          </w:p>
          <w:p>
            <w:pPr>
              <w:pStyle w:val="TableParagraph"/>
              <w:spacing w:before="1"/>
              <w:ind w:left="271" w:right="271"/>
              <w:jc w:val="center"/>
              <w:rPr>
                <w:b/>
                <w:sz w:val="18"/>
              </w:rPr>
            </w:pPr>
            <w:r>
              <w:rPr>
                <w:b/>
                <w:color w:val="00AF50"/>
                <w:spacing w:val="-5"/>
                <w:sz w:val="18"/>
              </w:rPr>
              <w:t>1.6</w:t>
            </w:r>
          </w:p>
        </w:tc>
        <w:tc>
          <w:tcPr>
            <w:tcW w:w="1017" w:type="dxa"/>
            <w:tcBorders>
              <w:right w:val="nil"/>
            </w:tcBorders>
            <w:shd w:val="clear" w:color="auto" w:fill="DEEAF6"/>
          </w:tcPr>
          <w:p>
            <w:pPr>
              <w:pStyle w:val="TableParagraph"/>
              <w:spacing w:before="5"/>
              <w:rPr>
                <w:b/>
                <w:sz w:val="16"/>
              </w:rPr>
            </w:pPr>
          </w:p>
          <w:p>
            <w:pPr>
              <w:pStyle w:val="TableParagraph"/>
              <w:spacing w:before="1"/>
              <w:ind w:left="125" w:right="126"/>
              <w:jc w:val="center"/>
              <w:rPr>
                <w:b/>
                <w:sz w:val="18"/>
              </w:rPr>
            </w:pPr>
            <w:r>
              <w:rPr>
                <w:b/>
                <w:color w:val="00AF50"/>
                <w:spacing w:val="-5"/>
                <w:sz w:val="18"/>
              </w:rPr>
              <w:t>1.6</w:t>
            </w:r>
          </w:p>
        </w:tc>
      </w:tr>
      <w:tr>
        <w:trPr>
          <w:trHeight w:val="619" w:hRule="atLeast"/>
        </w:trPr>
        <w:tc>
          <w:tcPr>
            <w:tcW w:w="3675" w:type="dxa"/>
            <w:tcBorders>
              <w:left w:val="nil"/>
            </w:tcBorders>
            <w:shd w:val="clear" w:color="auto" w:fill="DEEAF6"/>
          </w:tcPr>
          <w:p>
            <w:pPr>
              <w:pStyle w:val="TableParagraph"/>
              <w:spacing w:line="242" w:lineRule="auto" w:before="61"/>
              <w:ind w:left="103" w:right="231"/>
              <w:rPr>
                <w:sz w:val="18"/>
              </w:rPr>
            </w:pPr>
            <w:r>
              <w:rPr>
                <w:sz w:val="18"/>
              </w:rPr>
              <w:t>Time</w:t>
            </w:r>
            <w:r>
              <w:rPr>
                <w:spacing w:val="-8"/>
                <w:sz w:val="18"/>
              </w:rPr>
              <w:t> </w:t>
            </w:r>
            <w:r>
              <w:rPr>
                <w:sz w:val="18"/>
              </w:rPr>
              <w:t>to</w:t>
            </w:r>
            <w:r>
              <w:rPr>
                <w:spacing w:val="-8"/>
                <w:sz w:val="18"/>
              </w:rPr>
              <w:t> </w:t>
            </w:r>
            <w:r>
              <w:rPr>
                <w:sz w:val="18"/>
              </w:rPr>
              <w:t>send</w:t>
            </w:r>
            <w:r>
              <w:rPr>
                <w:spacing w:val="-8"/>
                <w:sz w:val="18"/>
              </w:rPr>
              <w:t> </w:t>
            </w:r>
            <w:r>
              <w:rPr>
                <w:sz w:val="18"/>
              </w:rPr>
              <w:t>applications</w:t>
            </w:r>
            <w:r>
              <w:rPr>
                <w:spacing w:val="-8"/>
                <w:sz w:val="18"/>
              </w:rPr>
              <w:t> </w:t>
            </w:r>
            <w:r>
              <w:rPr>
                <w:sz w:val="18"/>
              </w:rPr>
              <w:t>to</w:t>
            </w:r>
            <w:r>
              <w:rPr>
                <w:spacing w:val="-8"/>
                <w:sz w:val="18"/>
              </w:rPr>
              <w:t> </w:t>
            </w:r>
            <w:r>
              <w:rPr>
                <w:sz w:val="18"/>
              </w:rPr>
              <w:t>a manager</w:t>
            </w:r>
            <w:r>
              <w:rPr>
                <w:spacing w:val="-4"/>
                <w:sz w:val="18"/>
              </w:rPr>
              <w:t> </w:t>
            </w:r>
            <w:r>
              <w:rPr>
                <w:sz w:val="18"/>
              </w:rPr>
              <w:t>after</w:t>
            </w:r>
            <w:r>
              <w:rPr>
                <w:spacing w:val="-2"/>
                <w:sz w:val="18"/>
              </w:rPr>
              <w:t> </w:t>
            </w:r>
            <w:r>
              <w:rPr>
                <w:sz w:val="18"/>
              </w:rPr>
              <w:t>the</w:t>
            </w:r>
            <w:r>
              <w:rPr>
                <w:spacing w:val="-2"/>
                <w:sz w:val="18"/>
              </w:rPr>
              <w:t> </w:t>
            </w:r>
            <w:r>
              <w:rPr>
                <w:sz w:val="18"/>
              </w:rPr>
              <w:t>post</w:t>
            </w:r>
            <w:r>
              <w:rPr>
                <w:spacing w:val="-2"/>
                <w:sz w:val="18"/>
              </w:rPr>
              <w:t> closes</w:t>
            </w:r>
          </w:p>
        </w:tc>
        <w:tc>
          <w:tcPr>
            <w:tcW w:w="2117" w:type="dxa"/>
            <w:shd w:val="clear" w:color="auto" w:fill="DEEAF6"/>
          </w:tcPr>
          <w:p>
            <w:pPr>
              <w:pStyle w:val="TableParagraph"/>
              <w:spacing w:before="61"/>
              <w:ind w:left="150" w:right="151"/>
              <w:jc w:val="center"/>
              <w:rPr>
                <w:sz w:val="18"/>
              </w:rPr>
            </w:pPr>
            <w:r>
              <w:rPr>
                <w:spacing w:val="-2"/>
                <w:sz w:val="18"/>
              </w:rPr>
              <w:t>NWSSP</w:t>
            </w:r>
          </w:p>
          <w:p>
            <w:pPr>
              <w:pStyle w:val="TableParagraph"/>
              <w:spacing w:before="63"/>
              <w:ind w:left="150" w:right="151"/>
              <w:jc w:val="center"/>
              <w:rPr>
                <w:i/>
                <w:sz w:val="18"/>
              </w:rPr>
            </w:pPr>
            <w:r>
              <w:rPr>
                <w:i/>
                <w:sz w:val="18"/>
              </w:rPr>
              <w:t>(2</w:t>
            </w:r>
            <w:r>
              <w:rPr>
                <w:i/>
                <w:spacing w:val="-4"/>
                <w:sz w:val="18"/>
              </w:rPr>
              <w:t> </w:t>
            </w:r>
            <w:r>
              <w:rPr>
                <w:i/>
                <w:spacing w:val="-2"/>
                <w:sz w:val="18"/>
              </w:rPr>
              <w:t>Days)</w:t>
            </w:r>
          </w:p>
        </w:tc>
        <w:tc>
          <w:tcPr>
            <w:tcW w:w="1016" w:type="dxa"/>
            <w:tcBorders>
              <w:right w:val="nil"/>
            </w:tcBorders>
            <w:shd w:val="clear" w:color="auto" w:fill="DEEAF6"/>
          </w:tcPr>
          <w:p>
            <w:pPr>
              <w:pStyle w:val="TableParagraph"/>
              <w:spacing w:before="6"/>
              <w:rPr>
                <w:b/>
                <w:sz w:val="16"/>
              </w:rPr>
            </w:pPr>
          </w:p>
          <w:p>
            <w:pPr>
              <w:pStyle w:val="TableParagraph"/>
              <w:ind w:right="346"/>
              <w:jc w:val="right"/>
              <w:rPr>
                <w:b/>
                <w:sz w:val="18"/>
              </w:rPr>
            </w:pPr>
            <w:r>
              <w:rPr>
                <w:b/>
                <w:color w:val="00AF50"/>
                <w:spacing w:val="-5"/>
                <w:sz w:val="18"/>
              </w:rPr>
              <w:t>1.1</w:t>
            </w:r>
          </w:p>
        </w:tc>
        <w:tc>
          <w:tcPr>
            <w:tcW w:w="1019" w:type="dxa"/>
            <w:tcBorders>
              <w:left w:val="nil"/>
            </w:tcBorders>
            <w:shd w:val="clear" w:color="auto" w:fill="DEEAF6"/>
          </w:tcPr>
          <w:p>
            <w:pPr>
              <w:pStyle w:val="TableParagraph"/>
              <w:spacing w:before="6"/>
              <w:rPr>
                <w:b/>
                <w:sz w:val="16"/>
              </w:rPr>
            </w:pPr>
          </w:p>
          <w:p>
            <w:pPr>
              <w:pStyle w:val="TableParagraph"/>
              <w:ind w:left="346"/>
              <w:rPr>
                <w:b/>
                <w:sz w:val="18"/>
              </w:rPr>
            </w:pPr>
            <w:r>
              <w:rPr>
                <w:b/>
                <w:color w:val="00AF50"/>
                <w:spacing w:val="-5"/>
                <w:sz w:val="18"/>
              </w:rPr>
              <w:t>1.1</w:t>
            </w:r>
          </w:p>
        </w:tc>
        <w:tc>
          <w:tcPr>
            <w:tcW w:w="1017" w:type="dxa"/>
            <w:shd w:val="clear" w:color="auto" w:fill="DEEAF6"/>
          </w:tcPr>
          <w:p>
            <w:pPr>
              <w:pStyle w:val="TableParagraph"/>
              <w:spacing w:before="6"/>
              <w:rPr>
                <w:b/>
                <w:sz w:val="16"/>
              </w:rPr>
            </w:pPr>
          </w:p>
          <w:p>
            <w:pPr>
              <w:pStyle w:val="TableParagraph"/>
              <w:ind w:left="271" w:right="271"/>
              <w:jc w:val="center"/>
              <w:rPr>
                <w:b/>
                <w:sz w:val="18"/>
              </w:rPr>
            </w:pPr>
            <w:r>
              <w:rPr>
                <w:b/>
                <w:color w:val="00AF50"/>
                <w:spacing w:val="-5"/>
                <w:sz w:val="18"/>
              </w:rPr>
              <w:t>1.0</w:t>
            </w:r>
          </w:p>
        </w:tc>
        <w:tc>
          <w:tcPr>
            <w:tcW w:w="1017" w:type="dxa"/>
            <w:tcBorders>
              <w:right w:val="nil"/>
            </w:tcBorders>
            <w:shd w:val="clear" w:color="auto" w:fill="DEEAF6"/>
          </w:tcPr>
          <w:p>
            <w:pPr>
              <w:pStyle w:val="TableParagraph"/>
              <w:spacing w:before="6"/>
              <w:rPr>
                <w:b/>
                <w:sz w:val="16"/>
              </w:rPr>
            </w:pPr>
          </w:p>
          <w:p>
            <w:pPr>
              <w:pStyle w:val="TableParagraph"/>
              <w:ind w:left="125" w:right="126"/>
              <w:jc w:val="center"/>
              <w:rPr>
                <w:b/>
                <w:sz w:val="18"/>
              </w:rPr>
            </w:pPr>
            <w:r>
              <w:rPr>
                <w:b/>
                <w:color w:val="00AF50"/>
                <w:spacing w:val="-5"/>
                <w:sz w:val="18"/>
              </w:rPr>
              <w:t>1.0</w:t>
            </w:r>
          </w:p>
        </w:tc>
      </w:tr>
      <w:tr>
        <w:trPr>
          <w:trHeight w:val="616" w:hRule="atLeast"/>
        </w:trPr>
        <w:tc>
          <w:tcPr>
            <w:tcW w:w="3675" w:type="dxa"/>
            <w:tcBorders>
              <w:left w:val="nil"/>
            </w:tcBorders>
            <w:shd w:val="clear" w:color="auto" w:fill="E8EFF8"/>
          </w:tcPr>
          <w:p>
            <w:pPr>
              <w:pStyle w:val="TableParagraph"/>
              <w:spacing w:before="61"/>
              <w:ind w:left="103"/>
              <w:rPr>
                <w:sz w:val="18"/>
              </w:rPr>
            </w:pPr>
            <w:r>
              <w:rPr>
                <w:sz w:val="18"/>
              </w:rPr>
              <w:t>Time</w:t>
            </w:r>
            <w:r>
              <w:rPr>
                <w:spacing w:val="-3"/>
                <w:sz w:val="18"/>
              </w:rPr>
              <w:t> </w:t>
            </w:r>
            <w:r>
              <w:rPr>
                <w:sz w:val="18"/>
              </w:rPr>
              <w:t>to</w:t>
            </w:r>
            <w:r>
              <w:rPr>
                <w:spacing w:val="-1"/>
                <w:sz w:val="18"/>
              </w:rPr>
              <w:t> </w:t>
            </w:r>
            <w:r>
              <w:rPr>
                <w:sz w:val="18"/>
              </w:rPr>
              <w:t>shortlist</w:t>
            </w:r>
            <w:r>
              <w:rPr>
                <w:spacing w:val="-2"/>
                <w:sz w:val="18"/>
              </w:rPr>
              <w:t> </w:t>
            </w:r>
            <w:r>
              <w:rPr>
                <w:sz w:val="18"/>
              </w:rPr>
              <w:t>by</w:t>
            </w:r>
            <w:r>
              <w:rPr>
                <w:spacing w:val="-3"/>
                <w:sz w:val="18"/>
              </w:rPr>
              <w:t> </w:t>
            </w:r>
            <w:r>
              <w:rPr>
                <w:spacing w:val="-2"/>
                <w:sz w:val="18"/>
              </w:rPr>
              <w:t>manager</w:t>
            </w:r>
          </w:p>
        </w:tc>
        <w:tc>
          <w:tcPr>
            <w:tcW w:w="2117" w:type="dxa"/>
            <w:shd w:val="clear" w:color="auto" w:fill="E8EFF8"/>
          </w:tcPr>
          <w:p>
            <w:pPr>
              <w:pStyle w:val="TableParagraph"/>
              <w:spacing w:before="61"/>
              <w:ind w:left="150" w:right="152"/>
              <w:jc w:val="center"/>
              <w:rPr>
                <w:sz w:val="18"/>
              </w:rPr>
            </w:pPr>
            <w:r>
              <w:rPr>
                <w:sz w:val="18"/>
              </w:rPr>
              <w:t>Health</w:t>
            </w:r>
            <w:r>
              <w:rPr>
                <w:spacing w:val="-3"/>
                <w:sz w:val="18"/>
              </w:rPr>
              <w:t> </w:t>
            </w:r>
            <w:r>
              <w:rPr>
                <w:sz w:val="18"/>
              </w:rPr>
              <w:t>Board/</w:t>
            </w:r>
            <w:r>
              <w:rPr>
                <w:spacing w:val="-2"/>
                <w:sz w:val="18"/>
              </w:rPr>
              <w:t> Trust</w:t>
            </w:r>
          </w:p>
          <w:p>
            <w:pPr>
              <w:pStyle w:val="TableParagraph"/>
              <w:spacing w:before="60"/>
              <w:ind w:left="150" w:right="151"/>
              <w:jc w:val="center"/>
              <w:rPr>
                <w:i/>
                <w:sz w:val="18"/>
              </w:rPr>
            </w:pPr>
            <w:r>
              <w:rPr>
                <w:i/>
                <w:sz w:val="18"/>
              </w:rPr>
              <w:t>(3</w:t>
            </w:r>
            <w:r>
              <w:rPr>
                <w:i/>
                <w:spacing w:val="-4"/>
                <w:sz w:val="18"/>
              </w:rPr>
              <w:t> </w:t>
            </w:r>
            <w:r>
              <w:rPr>
                <w:i/>
                <w:spacing w:val="-2"/>
                <w:sz w:val="18"/>
              </w:rPr>
              <w:t>Days)</w:t>
            </w:r>
          </w:p>
        </w:tc>
        <w:tc>
          <w:tcPr>
            <w:tcW w:w="1016" w:type="dxa"/>
            <w:tcBorders>
              <w:right w:val="nil"/>
            </w:tcBorders>
            <w:shd w:val="clear" w:color="auto" w:fill="E8EFF8"/>
          </w:tcPr>
          <w:p>
            <w:pPr>
              <w:pStyle w:val="TableParagraph"/>
              <w:spacing w:before="5"/>
              <w:rPr>
                <w:b/>
                <w:sz w:val="16"/>
              </w:rPr>
            </w:pPr>
          </w:p>
          <w:p>
            <w:pPr>
              <w:pStyle w:val="TableParagraph"/>
              <w:spacing w:before="1"/>
              <w:ind w:right="346"/>
              <w:jc w:val="right"/>
              <w:rPr>
                <w:b/>
                <w:sz w:val="18"/>
              </w:rPr>
            </w:pPr>
            <w:r>
              <w:rPr>
                <w:b/>
                <w:color w:val="FF0000"/>
                <w:spacing w:val="-5"/>
                <w:sz w:val="18"/>
              </w:rPr>
              <w:t>7.4</w:t>
            </w:r>
          </w:p>
        </w:tc>
        <w:tc>
          <w:tcPr>
            <w:tcW w:w="1019" w:type="dxa"/>
            <w:tcBorders>
              <w:left w:val="nil"/>
            </w:tcBorders>
            <w:shd w:val="clear" w:color="auto" w:fill="E8EFF8"/>
          </w:tcPr>
          <w:p>
            <w:pPr>
              <w:pStyle w:val="TableParagraph"/>
              <w:spacing w:before="5"/>
              <w:rPr>
                <w:b/>
                <w:sz w:val="16"/>
              </w:rPr>
            </w:pPr>
          </w:p>
          <w:p>
            <w:pPr>
              <w:pStyle w:val="TableParagraph"/>
              <w:spacing w:before="1"/>
              <w:ind w:left="346"/>
              <w:rPr>
                <w:b/>
                <w:sz w:val="18"/>
              </w:rPr>
            </w:pPr>
            <w:r>
              <w:rPr>
                <w:b/>
                <w:color w:val="FF0000"/>
                <w:spacing w:val="-5"/>
                <w:sz w:val="18"/>
              </w:rPr>
              <w:t>6.9</w:t>
            </w:r>
          </w:p>
        </w:tc>
        <w:tc>
          <w:tcPr>
            <w:tcW w:w="1017" w:type="dxa"/>
            <w:shd w:val="clear" w:color="auto" w:fill="E8EFF8"/>
          </w:tcPr>
          <w:p>
            <w:pPr>
              <w:pStyle w:val="TableParagraph"/>
              <w:spacing w:before="5"/>
              <w:rPr>
                <w:b/>
                <w:sz w:val="16"/>
              </w:rPr>
            </w:pPr>
          </w:p>
          <w:p>
            <w:pPr>
              <w:pStyle w:val="TableParagraph"/>
              <w:spacing w:before="1"/>
              <w:ind w:left="271" w:right="271"/>
              <w:jc w:val="center"/>
              <w:rPr>
                <w:b/>
                <w:sz w:val="18"/>
              </w:rPr>
            </w:pPr>
            <w:r>
              <w:rPr>
                <w:b/>
                <w:color w:val="FF0000"/>
                <w:spacing w:val="-5"/>
                <w:sz w:val="18"/>
              </w:rPr>
              <w:t>6.1</w:t>
            </w:r>
          </w:p>
        </w:tc>
        <w:tc>
          <w:tcPr>
            <w:tcW w:w="1017" w:type="dxa"/>
            <w:tcBorders>
              <w:right w:val="nil"/>
            </w:tcBorders>
            <w:shd w:val="clear" w:color="auto" w:fill="E8EFF8"/>
          </w:tcPr>
          <w:p>
            <w:pPr>
              <w:pStyle w:val="TableParagraph"/>
              <w:spacing w:before="5"/>
              <w:rPr>
                <w:b/>
                <w:sz w:val="16"/>
              </w:rPr>
            </w:pPr>
          </w:p>
          <w:p>
            <w:pPr>
              <w:pStyle w:val="TableParagraph"/>
              <w:spacing w:before="1"/>
              <w:ind w:left="125" w:right="126"/>
              <w:jc w:val="center"/>
              <w:rPr>
                <w:b/>
                <w:sz w:val="18"/>
              </w:rPr>
            </w:pPr>
            <w:r>
              <w:rPr>
                <w:b/>
                <w:color w:val="FF0000"/>
                <w:spacing w:val="-5"/>
                <w:sz w:val="18"/>
              </w:rPr>
              <w:t>7.3</w:t>
            </w:r>
          </w:p>
        </w:tc>
      </w:tr>
      <w:tr>
        <w:trPr>
          <w:trHeight w:val="618" w:hRule="atLeast"/>
        </w:trPr>
        <w:tc>
          <w:tcPr>
            <w:tcW w:w="3675" w:type="dxa"/>
            <w:tcBorders>
              <w:left w:val="nil"/>
            </w:tcBorders>
            <w:shd w:val="clear" w:color="auto" w:fill="DEEAF6"/>
          </w:tcPr>
          <w:p>
            <w:pPr>
              <w:pStyle w:val="TableParagraph"/>
              <w:spacing w:before="61"/>
              <w:ind w:left="103"/>
              <w:rPr>
                <w:sz w:val="18"/>
              </w:rPr>
            </w:pPr>
            <w:r>
              <w:rPr>
                <w:sz w:val="18"/>
              </w:rPr>
              <w:t>Time</w:t>
            </w:r>
            <w:r>
              <w:rPr>
                <w:spacing w:val="-4"/>
                <w:sz w:val="18"/>
              </w:rPr>
              <w:t> </w:t>
            </w:r>
            <w:r>
              <w:rPr>
                <w:sz w:val="18"/>
              </w:rPr>
              <w:t>to</w:t>
            </w:r>
            <w:r>
              <w:rPr>
                <w:spacing w:val="-2"/>
                <w:sz w:val="18"/>
              </w:rPr>
              <w:t> </w:t>
            </w:r>
            <w:r>
              <w:rPr>
                <w:sz w:val="18"/>
              </w:rPr>
              <w:t>invite</w:t>
            </w:r>
            <w:r>
              <w:rPr>
                <w:spacing w:val="-3"/>
                <w:sz w:val="18"/>
              </w:rPr>
              <w:t> </w:t>
            </w:r>
            <w:r>
              <w:rPr>
                <w:sz w:val="18"/>
              </w:rPr>
              <w:t>candidates</w:t>
            </w:r>
            <w:r>
              <w:rPr>
                <w:spacing w:val="-3"/>
                <w:sz w:val="18"/>
              </w:rPr>
              <w:t> </w:t>
            </w:r>
            <w:r>
              <w:rPr>
                <w:sz w:val="18"/>
              </w:rPr>
              <w:t>to</w:t>
            </w:r>
            <w:r>
              <w:rPr>
                <w:spacing w:val="-2"/>
                <w:sz w:val="18"/>
              </w:rPr>
              <w:t> interview</w:t>
            </w:r>
          </w:p>
        </w:tc>
        <w:tc>
          <w:tcPr>
            <w:tcW w:w="2117" w:type="dxa"/>
            <w:shd w:val="clear" w:color="auto" w:fill="DEEAF6"/>
          </w:tcPr>
          <w:p>
            <w:pPr>
              <w:pStyle w:val="TableParagraph"/>
              <w:spacing w:before="61"/>
              <w:ind w:left="150" w:right="151"/>
              <w:jc w:val="center"/>
              <w:rPr>
                <w:sz w:val="18"/>
              </w:rPr>
            </w:pPr>
            <w:r>
              <w:rPr>
                <w:spacing w:val="-2"/>
                <w:sz w:val="18"/>
              </w:rPr>
              <w:t>NWSSP</w:t>
            </w:r>
          </w:p>
          <w:p>
            <w:pPr>
              <w:pStyle w:val="TableParagraph"/>
              <w:spacing w:before="60"/>
              <w:ind w:left="150" w:right="151"/>
              <w:jc w:val="center"/>
              <w:rPr>
                <w:i/>
                <w:sz w:val="18"/>
              </w:rPr>
            </w:pPr>
            <w:r>
              <w:rPr>
                <w:i/>
                <w:sz w:val="18"/>
              </w:rPr>
              <w:t>(3</w:t>
            </w:r>
            <w:r>
              <w:rPr>
                <w:i/>
                <w:spacing w:val="-4"/>
                <w:sz w:val="18"/>
              </w:rPr>
              <w:t> </w:t>
            </w:r>
            <w:r>
              <w:rPr>
                <w:i/>
                <w:spacing w:val="-2"/>
                <w:sz w:val="18"/>
              </w:rPr>
              <w:t>Days)</w:t>
            </w:r>
          </w:p>
        </w:tc>
        <w:tc>
          <w:tcPr>
            <w:tcW w:w="1016" w:type="dxa"/>
            <w:tcBorders>
              <w:right w:val="nil"/>
            </w:tcBorders>
            <w:shd w:val="clear" w:color="auto" w:fill="DEEAF6"/>
          </w:tcPr>
          <w:p>
            <w:pPr>
              <w:pStyle w:val="TableParagraph"/>
              <w:spacing w:before="5"/>
              <w:rPr>
                <w:b/>
                <w:sz w:val="16"/>
              </w:rPr>
            </w:pPr>
          </w:p>
          <w:p>
            <w:pPr>
              <w:pStyle w:val="TableParagraph"/>
              <w:spacing w:before="1"/>
              <w:ind w:right="346"/>
              <w:jc w:val="right"/>
              <w:rPr>
                <w:b/>
                <w:sz w:val="18"/>
              </w:rPr>
            </w:pPr>
            <w:r>
              <w:rPr>
                <w:b/>
                <w:color w:val="00AF50"/>
                <w:spacing w:val="-5"/>
                <w:sz w:val="18"/>
              </w:rPr>
              <w:t>2.3</w:t>
            </w:r>
          </w:p>
        </w:tc>
        <w:tc>
          <w:tcPr>
            <w:tcW w:w="1019" w:type="dxa"/>
            <w:tcBorders>
              <w:left w:val="nil"/>
            </w:tcBorders>
            <w:shd w:val="clear" w:color="auto" w:fill="DEEAF6"/>
          </w:tcPr>
          <w:p>
            <w:pPr>
              <w:pStyle w:val="TableParagraph"/>
              <w:spacing w:before="5"/>
              <w:rPr>
                <w:b/>
                <w:sz w:val="16"/>
              </w:rPr>
            </w:pPr>
          </w:p>
          <w:p>
            <w:pPr>
              <w:pStyle w:val="TableParagraph"/>
              <w:spacing w:before="1"/>
              <w:ind w:left="346"/>
              <w:rPr>
                <w:b/>
                <w:sz w:val="18"/>
              </w:rPr>
            </w:pPr>
            <w:r>
              <w:rPr>
                <w:b/>
                <w:color w:val="00AF50"/>
                <w:spacing w:val="-5"/>
                <w:sz w:val="18"/>
              </w:rPr>
              <w:t>2.4</w:t>
            </w:r>
          </w:p>
        </w:tc>
        <w:tc>
          <w:tcPr>
            <w:tcW w:w="1017" w:type="dxa"/>
            <w:shd w:val="clear" w:color="auto" w:fill="DEEAF6"/>
          </w:tcPr>
          <w:p>
            <w:pPr>
              <w:pStyle w:val="TableParagraph"/>
              <w:spacing w:before="5"/>
              <w:rPr>
                <w:b/>
                <w:sz w:val="16"/>
              </w:rPr>
            </w:pPr>
          </w:p>
          <w:p>
            <w:pPr>
              <w:pStyle w:val="TableParagraph"/>
              <w:spacing w:before="1"/>
              <w:ind w:left="271" w:right="271"/>
              <w:jc w:val="center"/>
              <w:rPr>
                <w:b/>
                <w:sz w:val="18"/>
              </w:rPr>
            </w:pPr>
            <w:r>
              <w:rPr>
                <w:b/>
                <w:color w:val="00AF50"/>
                <w:spacing w:val="-5"/>
                <w:sz w:val="18"/>
              </w:rPr>
              <w:t>2.9</w:t>
            </w:r>
          </w:p>
        </w:tc>
        <w:tc>
          <w:tcPr>
            <w:tcW w:w="1017" w:type="dxa"/>
            <w:tcBorders>
              <w:right w:val="nil"/>
            </w:tcBorders>
            <w:shd w:val="clear" w:color="auto" w:fill="DEEAF6"/>
          </w:tcPr>
          <w:p>
            <w:pPr>
              <w:pStyle w:val="TableParagraph"/>
              <w:spacing w:before="5"/>
              <w:rPr>
                <w:b/>
                <w:sz w:val="16"/>
              </w:rPr>
            </w:pPr>
          </w:p>
          <w:p>
            <w:pPr>
              <w:pStyle w:val="TableParagraph"/>
              <w:spacing w:before="1"/>
              <w:ind w:left="125" w:right="126"/>
              <w:jc w:val="center"/>
              <w:rPr>
                <w:b/>
                <w:sz w:val="18"/>
              </w:rPr>
            </w:pPr>
            <w:r>
              <w:rPr>
                <w:b/>
                <w:color w:val="00AF50"/>
                <w:spacing w:val="-5"/>
                <w:sz w:val="18"/>
              </w:rPr>
              <w:t>1.9</w:t>
            </w:r>
          </w:p>
        </w:tc>
      </w:tr>
      <w:tr>
        <w:trPr>
          <w:trHeight w:val="616" w:hRule="atLeast"/>
        </w:trPr>
        <w:tc>
          <w:tcPr>
            <w:tcW w:w="3675" w:type="dxa"/>
            <w:tcBorders>
              <w:left w:val="nil"/>
            </w:tcBorders>
            <w:shd w:val="clear" w:color="auto" w:fill="E8EFF8"/>
          </w:tcPr>
          <w:p>
            <w:pPr>
              <w:pStyle w:val="TableParagraph"/>
              <w:spacing w:before="61"/>
              <w:ind w:left="103" w:right="231"/>
              <w:rPr>
                <w:sz w:val="18"/>
              </w:rPr>
            </w:pPr>
            <w:r>
              <w:rPr>
                <w:sz w:val="18"/>
              </w:rPr>
              <w:t>Time</w:t>
            </w:r>
            <w:r>
              <w:rPr>
                <w:spacing w:val="-10"/>
                <w:sz w:val="18"/>
              </w:rPr>
              <w:t> </w:t>
            </w:r>
            <w:r>
              <w:rPr>
                <w:sz w:val="18"/>
              </w:rPr>
              <w:t>to</w:t>
            </w:r>
            <w:r>
              <w:rPr>
                <w:spacing w:val="-9"/>
                <w:sz w:val="18"/>
              </w:rPr>
              <w:t> </w:t>
            </w:r>
            <w:r>
              <w:rPr>
                <w:sz w:val="18"/>
              </w:rPr>
              <w:t>notify</w:t>
            </w:r>
            <w:r>
              <w:rPr>
                <w:spacing w:val="-11"/>
                <w:sz w:val="18"/>
              </w:rPr>
              <w:t> </w:t>
            </w:r>
            <w:r>
              <w:rPr>
                <w:sz w:val="18"/>
              </w:rPr>
              <w:t>Recruitment</w:t>
            </w:r>
            <w:r>
              <w:rPr>
                <w:spacing w:val="-9"/>
                <w:sz w:val="18"/>
              </w:rPr>
              <w:t> </w:t>
            </w:r>
            <w:r>
              <w:rPr>
                <w:sz w:val="18"/>
              </w:rPr>
              <w:t>of interview outcome</w:t>
            </w:r>
          </w:p>
        </w:tc>
        <w:tc>
          <w:tcPr>
            <w:tcW w:w="2117" w:type="dxa"/>
            <w:shd w:val="clear" w:color="auto" w:fill="E8EFF8"/>
          </w:tcPr>
          <w:p>
            <w:pPr>
              <w:pStyle w:val="TableParagraph"/>
              <w:spacing w:before="61"/>
              <w:ind w:left="150" w:right="152"/>
              <w:jc w:val="center"/>
              <w:rPr>
                <w:sz w:val="18"/>
              </w:rPr>
            </w:pPr>
            <w:r>
              <w:rPr>
                <w:sz w:val="18"/>
              </w:rPr>
              <w:t>Health</w:t>
            </w:r>
            <w:r>
              <w:rPr>
                <w:spacing w:val="-3"/>
                <w:sz w:val="18"/>
              </w:rPr>
              <w:t> </w:t>
            </w:r>
            <w:r>
              <w:rPr>
                <w:sz w:val="18"/>
              </w:rPr>
              <w:t>Board/</w:t>
            </w:r>
            <w:r>
              <w:rPr>
                <w:spacing w:val="-2"/>
                <w:sz w:val="18"/>
              </w:rPr>
              <w:t> Trust</w:t>
            </w:r>
          </w:p>
          <w:p>
            <w:pPr>
              <w:pStyle w:val="TableParagraph"/>
              <w:spacing w:before="60"/>
              <w:ind w:left="150" w:right="151"/>
              <w:jc w:val="center"/>
              <w:rPr>
                <w:i/>
                <w:sz w:val="18"/>
              </w:rPr>
            </w:pPr>
            <w:r>
              <w:rPr>
                <w:i/>
                <w:sz w:val="18"/>
              </w:rPr>
              <w:t>(3</w:t>
            </w:r>
            <w:r>
              <w:rPr>
                <w:i/>
                <w:spacing w:val="-4"/>
                <w:sz w:val="18"/>
              </w:rPr>
              <w:t> </w:t>
            </w:r>
            <w:r>
              <w:rPr>
                <w:i/>
                <w:spacing w:val="-2"/>
                <w:sz w:val="18"/>
              </w:rPr>
              <w:t>Days)</w:t>
            </w:r>
          </w:p>
        </w:tc>
        <w:tc>
          <w:tcPr>
            <w:tcW w:w="1016" w:type="dxa"/>
            <w:tcBorders>
              <w:right w:val="nil"/>
            </w:tcBorders>
            <w:shd w:val="clear" w:color="auto" w:fill="E8EFF8"/>
          </w:tcPr>
          <w:p>
            <w:pPr>
              <w:pStyle w:val="TableParagraph"/>
              <w:spacing w:before="5"/>
              <w:rPr>
                <w:b/>
                <w:sz w:val="16"/>
              </w:rPr>
            </w:pPr>
          </w:p>
          <w:p>
            <w:pPr>
              <w:pStyle w:val="TableParagraph"/>
              <w:spacing w:before="1"/>
              <w:ind w:right="346"/>
              <w:jc w:val="right"/>
              <w:rPr>
                <w:b/>
                <w:sz w:val="18"/>
              </w:rPr>
            </w:pPr>
            <w:r>
              <w:rPr>
                <w:b/>
                <w:color w:val="00AF50"/>
                <w:spacing w:val="-5"/>
                <w:sz w:val="18"/>
              </w:rPr>
              <w:t>2.3</w:t>
            </w:r>
          </w:p>
        </w:tc>
        <w:tc>
          <w:tcPr>
            <w:tcW w:w="1019" w:type="dxa"/>
            <w:tcBorders>
              <w:left w:val="nil"/>
            </w:tcBorders>
            <w:shd w:val="clear" w:color="auto" w:fill="E8EFF8"/>
          </w:tcPr>
          <w:p>
            <w:pPr>
              <w:pStyle w:val="TableParagraph"/>
              <w:spacing w:before="5"/>
              <w:rPr>
                <w:b/>
                <w:sz w:val="16"/>
              </w:rPr>
            </w:pPr>
          </w:p>
          <w:p>
            <w:pPr>
              <w:pStyle w:val="TableParagraph"/>
              <w:spacing w:before="1"/>
              <w:ind w:left="346"/>
              <w:rPr>
                <w:b/>
                <w:sz w:val="18"/>
              </w:rPr>
            </w:pPr>
            <w:r>
              <w:rPr>
                <w:b/>
                <w:color w:val="00AF50"/>
                <w:spacing w:val="-5"/>
                <w:sz w:val="18"/>
              </w:rPr>
              <w:t>2.4</w:t>
            </w:r>
          </w:p>
        </w:tc>
        <w:tc>
          <w:tcPr>
            <w:tcW w:w="1017" w:type="dxa"/>
            <w:shd w:val="clear" w:color="auto" w:fill="E8EFF8"/>
          </w:tcPr>
          <w:p>
            <w:pPr>
              <w:pStyle w:val="TableParagraph"/>
              <w:spacing w:before="5"/>
              <w:rPr>
                <w:b/>
                <w:sz w:val="16"/>
              </w:rPr>
            </w:pPr>
          </w:p>
          <w:p>
            <w:pPr>
              <w:pStyle w:val="TableParagraph"/>
              <w:spacing w:before="1"/>
              <w:ind w:left="271" w:right="271"/>
              <w:jc w:val="center"/>
              <w:rPr>
                <w:b/>
                <w:sz w:val="18"/>
              </w:rPr>
            </w:pPr>
            <w:r>
              <w:rPr>
                <w:b/>
                <w:color w:val="00AF50"/>
                <w:spacing w:val="-5"/>
                <w:sz w:val="18"/>
              </w:rPr>
              <w:t>2.9</w:t>
            </w:r>
          </w:p>
        </w:tc>
        <w:tc>
          <w:tcPr>
            <w:tcW w:w="1017" w:type="dxa"/>
            <w:tcBorders>
              <w:right w:val="nil"/>
            </w:tcBorders>
            <w:shd w:val="clear" w:color="auto" w:fill="E8EFF8"/>
          </w:tcPr>
          <w:p>
            <w:pPr>
              <w:pStyle w:val="TableParagraph"/>
              <w:spacing w:before="5"/>
              <w:rPr>
                <w:b/>
                <w:sz w:val="16"/>
              </w:rPr>
            </w:pPr>
          </w:p>
          <w:p>
            <w:pPr>
              <w:pStyle w:val="TableParagraph"/>
              <w:spacing w:before="1"/>
              <w:ind w:left="125" w:right="126"/>
              <w:jc w:val="center"/>
              <w:rPr>
                <w:b/>
                <w:sz w:val="18"/>
              </w:rPr>
            </w:pPr>
            <w:r>
              <w:rPr>
                <w:b/>
                <w:color w:val="00AF50"/>
                <w:spacing w:val="-5"/>
                <w:sz w:val="18"/>
              </w:rPr>
              <w:t>1.9</w:t>
            </w:r>
          </w:p>
        </w:tc>
      </w:tr>
      <w:tr>
        <w:trPr>
          <w:trHeight w:val="618" w:hRule="atLeast"/>
        </w:trPr>
        <w:tc>
          <w:tcPr>
            <w:tcW w:w="3675" w:type="dxa"/>
            <w:tcBorders>
              <w:left w:val="nil"/>
            </w:tcBorders>
            <w:shd w:val="clear" w:color="auto" w:fill="DEEAF6"/>
          </w:tcPr>
          <w:p>
            <w:pPr>
              <w:pStyle w:val="TableParagraph"/>
              <w:spacing w:before="61"/>
              <w:ind w:left="103"/>
              <w:rPr>
                <w:sz w:val="18"/>
              </w:rPr>
            </w:pPr>
            <w:r>
              <w:rPr>
                <w:sz w:val="18"/>
              </w:rPr>
              <w:t>Time</w:t>
            </w:r>
            <w:r>
              <w:rPr>
                <w:spacing w:val="-4"/>
                <w:sz w:val="18"/>
              </w:rPr>
              <w:t> </w:t>
            </w:r>
            <w:r>
              <w:rPr>
                <w:sz w:val="18"/>
              </w:rPr>
              <w:t>to</w:t>
            </w:r>
            <w:r>
              <w:rPr>
                <w:spacing w:val="-3"/>
                <w:sz w:val="18"/>
              </w:rPr>
              <w:t> </w:t>
            </w:r>
            <w:r>
              <w:rPr>
                <w:sz w:val="18"/>
              </w:rPr>
              <w:t>send</w:t>
            </w:r>
            <w:r>
              <w:rPr>
                <w:spacing w:val="-3"/>
                <w:sz w:val="18"/>
              </w:rPr>
              <w:t> </w:t>
            </w:r>
            <w:r>
              <w:rPr>
                <w:sz w:val="18"/>
              </w:rPr>
              <w:t>conditional</w:t>
            </w:r>
            <w:r>
              <w:rPr>
                <w:spacing w:val="-4"/>
                <w:sz w:val="18"/>
              </w:rPr>
              <w:t> </w:t>
            </w:r>
            <w:r>
              <w:rPr>
                <w:sz w:val="18"/>
              </w:rPr>
              <w:t>offer</w:t>
            </w:r>
            <w:r>
              <w:rPr>
                <w:spacing w:val="-3"/>
                <w:sz w:val="18"/>
              </w:rPr>
              <w:t> </w:t>
            </w:r>
            <w:r>
              <w:rPr>
                <w:spacing w:val="-2"/>
                <w:sz w:val="18"/>
              </w:rPr>
              <w:t>letter</w:t>
            </w:r>
          </w:p>
        </w:tc>
        <w:tc>
          <w:tcPr>
            <w:tcW w:w="2117" w:type="dxa"/>
            <w:shd w:val="clear" w:color="auto" w:fill="DEEAF6"/>
          </w:tcPr>
          <w:p>
            <w:pPr>
              <w:pStyle w:val="TableParagraph"/>
              <w:spacing w:before="61"/>
              <w:ind w:left="150" w:right="151"/>
              <w:jc w:val="center"/>
              <w:rPr>
                <w:sz w:val="18"/>
              </w:rPr>
            </w:pPr>
            <w:r>
              <w:rPr>
                <w:spacing w:val="-2"/>
                <w:sz w:val="18"/>
              </w:rPr>
              <w:t>NWSSP</w:t>
            </w:r>
          </w:p>
          <w:p>
            <w:pPr>
              <w:pStyle w:val="TableParagraph"/>
              <w:spacing w:before="60"/>
              <w:ind w:left="150" w:right="151"/>
              <w:jc w:val="center"/>
              <w:rPr>
                <w:i/>
                <w:sz w:val="18"/>
              </w:rPr>
            </w:pPr>
            <w:r>
              <w:rPr>
                <w:i/>
                <w:sz w:val="18"/>
              </w:rPr>
              <w:t>(4</w:t>
            </w:r>
            <w:r>
              <w:rPr>
                <w:i/>
                <w:spacing w:val="-4"/>
                <w:sz w:val="18"/>
              </w:rPr>
              <w:t> </w:t>
            </w:r>
            <w:r>
              <w:rPr>
                <w:i/>
                <w:spacing w:val="-2"/>
                <w:sz w:val="18"/>
              </w:rPr>
              <w:t>Days)</w:t>
            </w:r>
          </w:p>
        </w:tc>
        <w:tc>
          <w:tcPr>
            <w:tcW w:w="1016" w:type="dxa"/>
            <w:tcBorders>
              <w:right w:val="nil"/>
            </w:tcBorders>
            <w:shd w:val="clear" w:color="auto" w:fill="DEEAF6"/>
          </w:tcPr>
          <w:p>
            <w:pPr>
              <w:pStyle w:val="TableParagraph"/>
              <w:spacing w:before="5"/>
              <w:rPr>
                <w:b/>
                <w:sz w:val="16"/>
              </w:rPr>
            </w:pPr>
          </w:p>
          <w:p>
            <w:pPr>
              <w:pStyle w:val="TableParagraph"/>
              <w:spacing w:before="1"/>
              <w:ind w:right="346"/>
              <w:jc w:val="right"/>
              <w:rPr>
                <w:b/>
                <w:sz w:val="18"/>
              </w:rPr>
            </w:pPr>
            <w:r>
              <w:rPr>
                <w:b/>
                <w:color w:val="00AF50"/>
                <w:spacing w:val="-5"/>
                <w:sz w:val="18"/>
              </w:rPr>
              <w:t>3.7</w:t>
            </w:r>
          </w:p>
        </w:tc>
        <w:tc>
          <w:tcPr>
            <w:tcW w:w="1019" w:type="dxa"/>
            <w:tcBorders>
              <w:left w:val="nil"/>
            </w:tcBorders>
            <w:shd w:val="clear" w:color="auto" w:fill="DEEAF6"/>
          </w:tcPr>
          <w:p>
            <w:pPr>
              <w:pStyle w:val="TableParagraph"/>
              <w:spacing w:before="5"/>
              <w:rPr>
                <w:b/>
                <w:sz w:val="16"/>
              </w:rPr>
            </w:pPr>
          </w:p>
          <w:p>
            <w:pPr>
              <w:pStyle w:val="TableParagraph"/>
              <w:spacing w:before="1"/>
              <w:ind w:left="346"/>
              <w:rPr>
                <w:b/>
                <w:sz w:val="18"/>
              </w:rPr>
            </w:pPr>
            <w:r>
              <w:rPr>
                <w:b/>
                <w:color w:val="00AF50"/>
                <w:spacing w:val="-5"/>
                <w:sz w:val="18"/>
              </w:rPr>
              <w:t>3.4</w:t>
            </w:r>
          </w:p>
        </w:tc>
        <w:tc>
          <w:tcPr>
            <w:tcW w:w="1017" w:type="dxa"/>
            <w:shd w:val="clear" w:color="auto" w:fill="DEEAF6"/>
          </w:tcPr>
          <w:p>
            <w:pPr>
              <w:pStyle w:val="TableParagraph"/>
              <w:spacing w:before="5"/>
              <w:rPr>
                <w:b/>
                <w:sz w:val="16"/>
              </w:rPr>
            </w:pPr>
          </w:p>
          <w:p>
            <w:pPr>
              <w:pStyle w:val="TableParagraph"/>
              <w:spacing w:before="1"/>
              <w:ind w:left="271" w:right="271"/>
              <w:jc w:val="center"/>
              <w:rPr>
                <w:b/>
                <w:sz w:val="18"/>
              </w:rPr>
            </w:pPr>
            <w:r>
              <w:rPr>
                <w:b/>
                <w:color w:val="00AF50"/>
                <w:spacing w:val="-5"/>
                <w:sz w:val="18"/>
              </w:rPr>
              <w:t>3.4</w:t>
            </w:r>
          </w:p>
        </w:tc>
        <w:tc>
          <w:tcPr>
            <w:tcW w:w="1017" w:type="dxa"/>
            <w:tcBorders>
              <w:right w:val="nil"/>
            </w:tcBorders>
            <w:shd w:val="clear" w:color="auto" w:fill="DEEAF6"/>
          </w:tcPr>
          <w:p>
            <w:pPr>
              <w:pStyle w:val="TableParagraph"/>
              <w:spacing w:before="5"/>
              <w:rPr>
                <w:b/>
                <w:sz w:val="16"/>
              </w:rPr>
            </w:pPr>
          </w:p>
          <w:p>
            <w:pPr>
              <w:pStyle w:val="TableParagraph"/>
              <w:spacing w:before="1"/>
              <w:ind w:left="125" w:right="126"/>
              <w:jc w:val="center"/>
              <w:rPr>
                <w:b/>
                <w:sz w:val="18"/>
              </w:rPr>
            </w:pPr>
            <w:r>
              <w:rPr>
                <w:b/>
                <w:color w:val="00AF50"/>
                <w:spacing w:val="-5"/>
                <w:sz w:val="18"/>
              </w:rPr>
              <w:t>3.6</w:t>
            </w:r>
          </w:p>
        </w:tc>
      </w:tr>
      <w:tr>
        <w:trPr>
          <w:trHeight w:val="616" w:hRule="atLeast"/>
        </w:trPr>
        <w:tc>
          <w:tcPr>
            <w:tcW w:w="3675" w:type="dxa"/>
            <w:tcBorders>
              <w:left w:val="nil"/>
            </w:tcBorders>
            <w:shd w:val="clear" w:color="auto" w:fill="DEEAF6"/>
          </w:tcPr>
          <w:p>
            <w:pPr>
              <w:pStyle w:val="TableParagraph"/>
              <w:spacing w:before="61"/>
              <w:ind w:left="103" w:right="231"/>
              <w:rPr>
                <w:sz w:val="18"/>
              </w:rPr>
            </w:pPr>
            <w:r>
              <w:rPr>
                <w:sz w:val="18"/>
              </w:rPr>
              <w:t>Completion</w:t>
            </w:r>
            <w:r>
              <w:rPr>
                <w:spacing w:val="-16"/>
                <w:sz w:val="18"/>
              </w:rPr>
              <w:t> </w:t>
            </w:r>
            <w:r>
              <w:rPr>
                <w:sz w:val="18"/>
              </w:rPr>
              <w:t>of</w:t>
            </w:r>
            <w:r>
              <w:rPr>
                <w:spacing w:val="-16"/>
                <w:sz w:val="18"/>
              </w:rPr>
              <w:t> </w:t>
            </w:r>
            <w:r>
              <w:rPr>
                <w:sz w:val="18"/>
              </w:rPr>
              <w:t>pre-employment </w:t>
            </w:r>
            <w:r>
              <w:rPr>
                <w:spacing w:val="-2"/>
                <w:sz w:val="18"/>
              </w:rPr>
              <w:t>checks</w:t>
            </w:r>
          </w:p>
        </w:tc>
        <w:tc>
          <w:tcPr>
            <w:tcW w:w="2117" w:type="dxa"/>
            <w:shd w:val="clear" w:color="auto" w:fill="DEEAF6"/>
          </w:tcPr>
          <w:p>
            <w:pPr>
              <w:pStyle w:val="TableParagraph"/>
              <w:spacing w:before="61"/>
              <w:ind w:left="150" w:right="151"/>
              <w:jc w:val="center"/>
              <w:rPr>
                <w:sz w:val="18"/>
              </w:rPr>
            </w:pPr>
            <w:r>
              <w:rPr>
                <w:spacing w:val="-2"/>
                <w:sz w:val="18"/>
              </w:rPr>
              <w:t>NWSSP</w:t>
            </w:r>
          </w:p>
          <w:p>
            <w:pPr>
              <w:pStyle w:val="TableParagraph"/>
              <w:spacing w:before="60"/>
              <w:ind w:left="150" w:right="151"/>
              <w:jc w:val="center"/>
              <w:rPr>
                <w:i/>
                <w:sz w:val="18"/>
              </w:rPr>
            </w:pPr>
            <w:r>
              <w:rPr>
                <w:i/>
                <w:sz w:val="18"/>
              </w:rPr>
              <w:t>(25</w:t>
            </w:r>
            <w:r>
              <w:rPr>
                <w:i/>
                <w:spacing w:val="-4"/>
                <w:sz w:val="18"/>
              </w:rPr>
              <w:t> </w:t>
            </w:r>
            <w:r>
              <w:rPr>
                <w:i/>
                <w:spacing w:val="-2"/>
                <w:sz w:val="18"/>
              </w:rPr>
              <w:t>Days)</w:t>
            </w:r>
          </w:p>
        </w:tc>
        <w:tc>
          <w:tcPr>
            <w:tcW w:w="1016" w:type="dxa"/>
            <w:tcBorders>
              <w:right w:val="nil"/>
            </w:tcBorders>
            <w:shd w:val="clear" w:color="auto" w:fill="DEEAF6"/>
          </w:tcPr>
          <w:p>
            <w:pPr>
              <w:pStyle w:val="TableParagraph"/>
              <w:spacing w:before="6"/>
              <w:rPr>
                <w:b/>
                <w:sz w:val="16"/>
              </w:rPr>
            </w:pPr>
          </w:p>
          <w:p>
            <w:pPr>
              <w:pStyle w:val="TableParagraph"/>
              <w:ind w:right="284"/>
              <w:jc w:val="right"/>
              <w:rPr>
                <w:b/>
                <w:sz w:val="18"/>
              </w:rPr>
            </w:pPr>
            <w:r>
              <w:rPr>
                <w:b/>
                <w:color w:val="FF0000"/>
                <w:spacing w:val="-4"/>
                <w:sz w:val="18"/>
              </w:rPr>
              <w:t>37.4</w:t>
            </w:r>
          </w:p>
        </w:tc>
        <w:tc>
          <w:tcPr>
            <w:tcW w:w="1019" w:type="dxa"/>
            <w:tcBorders>
              <w:left w:val="nil"/>
            </w:tcBorders>
            <w:shd w:val="clear" w:color="auto" w:fill="DEEAF6"/>
          </w:tcPr>
          <w:p>
            <w:pPr>
              <w:pStyle w:val="TableParagraph"/>
              <w:spacing w:before="6"/>
              <w:rPr>
                <w:b/>
                <w:sz w:val="16"/>
              </w:rPr>
            </w:pPr>
          </w:p>
          <w:p>
            <w:pPr>
              <w:pStyle w:val="TableParagraph"/>
              <w:ind w:left="281"/>
              <w:rPr>
                <w:b/>
                <w:sz w:val="18"/>
              </w:rPr>
            </w:pPr>
            <w:r>
              <w:rPr>
                <w:b/>
                <w:color w:val="FF0000"/>
                <w:spacing w:val="-4"/>
                <w:sz w:val="18"/>
              </w:rPr>
              <w:t>46.2</w:t>
            </w:r>
          </w:p>
        </w:tc>
        <w:tc>
          <w:tcPr>
            <w:tcW w:w="1017" w:type="dxa"/>
            <w:shd w:val="clear" w:color="auto" w:fill="DEEAF6"/>
          </w:tcPr>
          <w:p>
            <w:pPr>
              <w:pStyle w:val="TableParagraph"/>
              <w:spacing w:before="6"/>
              <w:rPr>
                <w:b/>
                <w:sz w:val="16"/>
              </w:rPr>
            </w:pPr>
          </w:p>
          <w:p>
            <w:pPr>
              <w:pStyle w:val="TableParagraph"/>
              <w:ind w:left="271" w:right="273"/>
              <w:jc w:val="center"/>
              <w:rPr>
                <w:b/>
                <w:sz w:val="18"/>
              </w:rPr>
            </w:pPr>
            <w:r>
              <w:rPr>
                <w:b/>
                <w:color w:val="FF0000"/>
                <w:spacing w:val="-4"/>
                <w:sz w:val="18"/>
              </w:rPr>
              <w:t>37.0</w:t>
            </w:r>
          </w:p>
        </w:tc>
        <w:tc>
          <w:tcPr>
            <w:tcW w:w="1017" w:type="dxa"/>
            <w:tcBorders>
              <w:right w:val="nil"/>
            </w:tcBorders>
            <w:shd w:val="clear" w:color="auto" w:fill="DEEAF6"/>
          </w:tcPr>
          <w:p>
            <w:pPr>
              <w:pStyle w:val="TableParagraph"/>
              <w:spacing w:before="6"/>
              <w:rPr>
                <w:b/>
                <w:sz w:val="16"/>
              </w:rPr>
            </w:pPr>
          </w:p>
          <w:p>
            <w:pPr>
              <w:pStyle w:val="TableParagraph"/>
              <w:ind w:left="125" w:right="126"/>
              <w:jc w:val="center"/>
              <w:rPr>
                <w:b/>
                <w:sz w:val="18"/>
              </w:rPr>
            </w:pPr>
            <w:r>
              <w:rPr>
                <w:b/>
                <w:color w:val="FF0000"/>
                <w:spacing w:val="-4"/>
                <w:sz w:val="18"/>
              </w:rPr>
              <w:t>32.9</w:t>
            </w:r>
          </w:p>
        </w:tc>
      </w:tr>
      <w:tr>
        <w:trPr>
          <w:trHeight w:val="616" w:hRule="atLeast"/>
        </w:trPr>
        <w:tc>
          <w:tcPr>
            <w:tcW w:w="3675" w:type="dxa"/>
            <w:tcBorders>
              <w:left w:val="nil"/>
              <w:bottom w:val="nil"/>
            </w:tcBorders>
            <w:shd w:val="clear" w:color="auto" w:fill="DEEAF6"/>
          </w:tcPr>
          <w:p>
            <w:pPr>
              <w:pStyle w:val="TableParagraph"/>
              <w:spacing w:before="61"/>
              <w:ind w:left="103" w:right="231"/>
              <w:rPr>
                <w:sz w:val="18"/>
              </w:rPr>
            </w:pPr>
            <w:r>
              <w:rPr>
                <w:sz w:val="18"/>
              </w:rPr>
              <w:t>Time</w:t>
            </w:r>
            <w:r>
              <w:rPr>
                <w:spacing w:val="-10"/>
                <w:sz w:val="18"/>
              </w:rPr>
              <w:t> </w:t>
            </w:r>
            <w:r>
              <w:rPr>
                <w:sz w:val="18"/>
              </w:rPr>
              <w:t>to</w:t>
            </w:r>
            <w:r>
              <w:rPr>
                <w:spacing w:val="-9"/>
                <w:sz w:val="18"/>
              </w:rPr>
              <w:t> </w:t>
            </w:r>
            <w:r>
              <w:rPr>
                <w:sz w:val="18"/>
              </w:rPr>
              <w:t>send</w:t>
            </w:r>
            <w:r>
              <w:rPr>
                <w:spacing w:val="-9"/>
                <w:sz w:val="18"/>
              </w:rPr>
              <w:t> </w:t>
            </w:r>
            <w:r>
              <w:rPr>
                <w:sz w:val="18"/>
              </w:rPr>
              <w:t>unconditional</w:t>
            </w:r>
            <w:r>
              <w:rPr>
                <w:spacing w:val="-12"/>
                <w:sz w:val="18"/>
              </w:rPr>
              <w:t> </w:t>
            </w:r>
            <w:r>
              <w:rPr>
                <w:sz w:val="18"/>
              </w:rPr>
              <w:t>offer </w:t>
            </w:r>
            <w:r>
              <w:rPr>
                <w:spacing w:val="-2"/>
                <w:sz w:val="18"/>
              </w:rPr>
              <w:t>letter</w:t>
            </w:r>
          </w:p>
        </w:tc>
        <w:tc>
          <w:tcPr>
            <w:tcW w:w="2117" w:type="dxa"/>
            <w:tcBorders>
              <w:bottom w:val="nil"/>
            </w:tcBorders>
            <w:shd w:val="clear" w:color="auto" w:fill="DEEAF6"/>
          </w:tcPr>
          <w:p>
            <w:pPr>
              <w:pStyle w:val="TableParagraph"/>
              <w:spacing w:before="61"/>
              <w:ind w:left="150" w:right="151"/>
              <w:jc w:val="center"/>
              <w:rPr>
                <w:sz w:val="18"/>
              </w:rPr>
            </w:pPr>
            <w:r>
              <w:rPr>
                <w:spacing w:val="-2"/>
                <w:sz w:val="18"/>
              </w:rPr>
              <w:t>NWSSP</w:t>
            </w:r>
          </w:p>
          <w:p>
            <w:pPr>
              <w:pStyle w:val="TableParagraph"/>
              <w:spacing w:before="60"/>
              <w:ind w:left="150" w:right="151"/>
              <w:jc w:val="center"/>
              <w:rPr>
                <w:i/>
                <w:sz w:val="18"/>
              </w:rPr>
            </w:pPr>
            <w:r>
              <w:rPr>
                <w:i/>
                <w:sz w:val="18"/>
              </w:rPr>
              <w:t>(2</w:t>
            </w:r>
            <w:r>
              <w:rPr>
                <w:i/>
                <w:spacing w:val="-4"/>
                <w:sz w:val="18"/>
              </w:rPr>
              <w:t> </w:t>
            </w:r>
            <w:r>
              <w:rPr>
                <w:i/>
                <w:spacing w:val="-2"/>
                <w:sz w:val="18"/>
              </w:rPr>
              <w:t>Days)</w:t>
            </w:r>
          </w:p>
        </w:tc>
        <w:tc>
          <w:tcPr>
            <w:tcW w:w="1016" w:type="dxa"/>
            <w:tcBorders>
              <w:bottom w:val="nil"/>
              <w:right w:val="nil"/>
            </w:tcBorders>
            <w:shd w:val="clear" w:color="auto" w:fill="DEEAF6"/>
          </w:tcPr>
          <w:p>
            <w:pPr>
              <w:pStyle w:val="TableParagraph"/>
              <w:spacing w:before="5"/>
              <w:rPr>
                <w:b/>
                <w:sz w:val="16"/>
              </w:rPr>
            </w:pPr>
          </w:p>
          <w:p>
            <w:pPr>
              <w:pStyle w:val="TableParagraph"/>
              <w:spacing w:before="1"/>
              <w:ind w:right="346"/>
              <w:jc w:val="right"/>
              <w:rPr>
                <w:b/>
                <w:sz w:val="18"/>
              </w:rPr>
            </w:pPr>
            <w:r>
              <w:rPr>
                <w:b/>
                <w:color w:val="00AF50"/>
                <w:spacing w:val="-5"/>
                <w:sz w:val="18"/>
              </w:rPr>
              <w:t>1.8</w:t>
            </w:r>
          </w:p>
        </w:tc>
        <w:tc>
          <w:tcPr>
            <w:tcW w:w="1019" w:type="dxa"/>
            <w:tcBorders>
              <w:left w:val="nil"/>
              <w:bottom w:val="nil"/>
            </w:tcBorders>
            <w:shd w:val="clear" w:color="auto" w:fill="DEEAF6"/>
          </w:tcPr>
          <w:p>
            <w:pPr>
              <w:pStyle w:val="TableParagraph"/>
              <w:spacing w:before="5"/>
              <w:rPr>
                <w:b/>
                <w:sz w:val="16"/>
              </w:rPr>
            </w:pPr>
          </w:p>
          <w:p>
            <w:pPr>
              <w:pStyle w:val="TableParagraph"/>
              <w:spacing w:before="1"/>
              <w:ind w:left="346"/>
              <w:rPr>
                <w:b/>
                <w:sz w:val="18"/>
              </w:rPr>
            </w:pPr>
            <w:r>
              <w:rPr>
                <w:b/>
                <w:color w:val="00AF50"/>
                <w:spacing w:val="-5"/>
                <w:sz w:val="18"/>
              </w:rPr>
              <w:t>1.9</w:t>
            </w:r>
          </w:p>
        </w:tc>
        <w:tc>
          <w:tcPr>
            <w:tcW w:w="1017" w:type="dxa"/>
            <w:tcBorders>
              <w:bottom w:val="nil"/>
            </w:tcBorders>
            <w:shd w:val="clear" w:color="auto" w:fill="DEEAF6"/>
          </w:tcPr>
          <w:p>
            <w:pPr>
              <w:pStyle w:val="TableParagraph"/>
              <w:spacing w:before="5"/>
              <w:rPr>
                <w:b/>
                <w:sz w:val="16"/>
              </w:rPr>
            </w:pPr>
          </w:p>
          <w:p>
            <w:pPr>
              <w:pStyle w:val="TableParagraph"/>
              <w:spacing w:before="1"/>
              <w:ind w:left="271" w:right="271"/>
              <w:jc w:val="center"/>
              <w:rPr>
                <w:b/>
                <w:sz w:val="18"/>
              </w:rPr>
            </w:pPr>
            <w:r>
              <w:rPr>
                <w:b/>
                <w:color w:val="00AF50"/>
                <w:spacing w:val="-5"/>
                <w:sz w:val="18"/>
              </w:rPr>
              <w:t>1.8</w:t>
            </w:r>
          </w:p>
        </w:tc>
        <w:tc>
          <w:tcPr>
            <w:tcW w:w="1017" w:type="dxa"/>
            <w:tcBorders>
              <w:bottom w:val="nil"/>
              <w:right w:val="nil"/>
            </w:tcBorders>
            <w:shd w:val="clear" w:color="auto" w:fill="DEEAF6"/>
          </w:tcPr>
          <w:p>
            <w:pPr>
              <w:pStyle w:val="TableParagraph"/>
              <w:spacing w:before="5"/>
              <w:rPr>
                <w:b/>
                <w:sz w:val="16"/>
              </w:rPr>
            </w:pPr>
          </w:p>
          <w:p>
            <w:pPr>
              <w:pStyle w:val="TableParagraph"/>
              <w:spacing w:before="1"/>
              <w:ind w:left="125" w:right="126"/>
              <w:jc w:val="center"/>
              <w:rPr>
                <w:b/>
                <w:sz w:val="18"/>
              </w:rPr>
            </w:pPr>
            <w:r>
              <w:rPr>
                <w:b/>
                <w:color w:val="00AF50"/>
                <w:spacing w:val="-5"/>
                <w:sz w:val="18"/>
              </w:rPr>
              <w:t>2.1</w:t>
            </w:r>
          </w:p>
        </w:tc>
      </w:tr>
    </w:tbl>
    <w:p>
      <w:pPr>
        <w:pStyle w:val="ListParagraph"/>
        <w:numPr>
          <w:ilvl w:val="1"/>
          <w:numId w:val="14"/>
        </w:numPr>
        <w:tabs>
          <w:tab w:pos="895" w:val="left" w:leader="none"/>
        </w:tabs>
        <w:spacing w:line="240" w:lineRule="auto" w:before="138" w:after="0"/>
        <w:ind w:left="894" w:right="145" w:hanging="709"/>
        <w:jc w:val="both"/>
        <w:rPr>
          <w:sz w:val="24"/>
        </w:rPr>
      </w:pPr>
      <w:r>
        <w:rPr>
          <w:sz w:val="24"/>
        </w:rPr>
        <w:t>Employment Services has a SOP for dealing with complaints, issues and compliments. Complaints, compliments and issues statistics are reported at the Employment Services quarterly review. No formal complaints were reported for Recruitment Services in quarter one of 2022/23.</w:t>
      </w:r>
    </w:p>
    <w:p>
      <w:pPr>
        <w:pStyle w:val="ListParagraph"/>
        <w:numPr>
          <w:ilvl w:val="1"/>
          <w:numId w:val="14"/>
        </w:numPr>
        <w:tabs>
          <w:tab w:pos="895" w:val="left" w:leader="none"/>
        </w:tabs>
        <w:spacing w:line="240" w:lineRule="auto" w:before="119" w:after="0"/>
        <w:ind w:left="894" w:right="144" w:hanging="709"/>
        <w:jc w:val="both"/>
        <w:rPr>
          <w:b/>
          <w:sz w:val="24"/>
        </w:rPr>
      </w:pPr>
      <w:r>
        <w:rPr>
          <w:sz w:val="24"/>
        </w:rPr>
        <w:t>Customer</w:t>
      </w:r>
      <w:r>
        <w:rPr>
          <w:spacing w:val="-16"/>
          <w:sz w:val="24"/>
        </w:rPr>
        <w:t> </w:t>
      </w:r>
      <w:r>
        <w:rPr>
          <w:sz w:val="24"/>
        </w:rPr>
        <w:t>satisfaction</w:t>
      </w:r>
      <w:r>
        <w:rPr>
          <w:spacing w:val="-16"/>
          <w:sz w:val="24"/>
        </w:rPr>
        <w:t> </w:t>
      </w:r>
      <w:r>
        <w:rPr>
          <w:sz w:val="24"/>
        </w:rPr>
        <w:t>surveys</w:t>
      </w:r>
      <w:r>
        <w:rPr>
          <w:spacing w:val="-17"/>
          <w:sz w:val="24"/>
        </w:rPr>
        <w:t> </w:t>
      </w:r>
      <w:r>
        <w:rPr>
          <w:sz w:val="24"/>
        </w:rPr>
        <w:t>are</w:t>
      </w:r>
      <w:r>
        <w:rPr>
          <w:spacing w:val="-16"/>
          <w:sz w:val="24"/>
        </w:rPr>
        <w:t> </w:t>
      </w:r>
      <w:r>
        <w:rPr>
          <w:sz w:val="24"/>
        </w:rPr>
        <w:t>issued</w:t>
      </w:r>
      <w:r>
        <w:rPr>
          <w:spacing w:val="-18"/>
          <w:sz w:val="24"/>
        </w:rPr>
        <w:t> </w:t>
      </w:r>
      <w:r>
        <w:rPr>
          <w:sz w:val="24"/>
        </w:rPr>
        <w:t>to</w:t>
      </w:r>
      <w:r>
        <w:rPr>
          <w:spacing w:val="-15"/>
          <w:sz w:val="24"/>
        </w:rPr>
        <w:t> </w:t>
      </w:r>
      <w:r>
        <w:rPr>
          <w:sz w:val="24"/>
        </w:rPr>
        <w:t>applicants</w:t>
      </w:r>
      <w:r>
        <w:rPr>
          <w:spacing w:val="-17"/>
          <w:sz w:val="24"/>
        </w:rPr>
        <w:t> </w:t>
      </w:r>
      <w:r>
        <w:rPr>
          <w:sz w:val="24"/>
        </w:rPr>
        <w:t>and</w:t>
      </w:r>
      <w:r>
        <w:rPr>
          <w:spacing w:val="-17"/>
          <w:sz w:val="24"/>
        </w:rPr>
        <w:t> </w:t>
      </w:r>
      <w:r>
        <w:rPr>
          <w:sz w:val="24"/>
        </w:rPr>
        <w:t>recruiting</w:t>
      </w:r>
      <w:r>
        <w:rPr>
          <w:spacing w:val="-16"/>
          <w:sz w:val="24"/>
        </w:rPr>
        <w:t> </w:t>
      </w:r>
      <w:r>
        <w:rPr>
          <w:sz w:val="24"/>
        </w:rPr>
        <w:t>managers</w:t>
      </w:r>
      <w:r>
        <w:rPr>
          <w:spacing w:val="-16"/>
          <w:sz w:val="24"/>
        </w:rPr>
        <w:t> </w:t>
      </w:r>
      <w:r>
        <w:rPr>
          <w:sz w:val="24"/>
        </w:rPr>
        <w:t>via an automated email from the TRAC system at various stages of the recruitment and selection process. Whilst the current response rate is low, the survey will be reviewed as part of the Contact Centre Project with a view to improving the response</w:t>
      </w:r>
      <w:r>
        <w:rPr>
          <w:spacing w:val="-19"/>
          <w:sz w:val="24"/>
        </w:rPr>
        <w:t> </w:t>
      </w:r>
      <w:r>
        <w:rPr>
          <w:sz w:val="24"/>
        </w:rPr>
        <w:t>rate.</w:t>
      </w:r>
      <w:r>
        <w:rPr>
          <w:spacing w:val="-21"/>
          <w:sz w:val="24"/>
        </w:rPr>
        <w:t> </w:t>
      </w:r>
      <w:r>
        <w:rPr>
          <w:sz w:val="24"/>
        </w:rPr>
        <w:t>We</w:t>
      </w:r>
      <w:r>
        <w:rPr>
          <w:spacing w:val="-19"/>
          <w:sz w:val="24"/>
        </w:rPr>
        <w:t> </w:t>
      </w:r>
      <w:r>
        <w:rPr>
          <w:sz w:val="24"/>
        </w:rPr>
        <w:t>were</w:t>
      </w:r>
      <w:r>
        <w:rPr>
          <w:spacing w:val="-18"/>
          <w:sz w:val="24"/>
        </w:rPr>
        <w:t> </w:t>
      </w:r>
      <w:r>
        <w:rPr>
          <w:sz w:val="24"/>
        </w:rPr>
        <w:t>informed</w:t>
      </w:r>
      <w:r>
        <w:rPr>
          <w:spacing w:val="-20"/>
          <w:sz w:val="24"/>
        </w:rPr>
        <w:t> </w:t>
      </w:r>
      <w:r>
        <w:rPr>
          <w:sz w:val="24"/>
        </w:rPr>
        <w:t>that</w:t>
      </w:r>
      <w:r>
        <w:rPr>
          <w:spacing w:val="-21"/>
          <w:sz w:val="24"/>
        </w:rPr>
        <w:t> </w:t>
      </w:r>
      <w:r>
        <w:rPr>
          <w:sz w:val="24"/>
        </w:rPr>
        <w:t>due</w:t>
      </w:r>
      <w:r>
        <w:rPr>
          <w:spacing w:val="-19"/>
          <w:sz w:val="24"/>
        </w:rPr>
        <w:t> </w:t>
      </w:r>
      <w:r>
        <w:rPr>
          <w:sz w:val="24"/>
        </w:rPr>
        <w:t>to</w:t>
      </w:r>
      <w:r>
        <w:rPr>
          <w:spacing w:val="-19"/>
          <w:sz w:val="24"/>
        </w:rPr>
        <w:t> </w:t>
      </w:r>
      <w:r>
        <w:rPr>
          <w:sz w:val="24"/>
        </w:rPr>
        <w:t>recent</w:t>
      </w:r>
      <w:r>
        <w:rPr>
          <w:spacing w:val="-21"/>
          <w:sz w:val="24"/>
        </w:rPr>
        <w:t> </w:t>
      </w:r>
      <w:r>
        <w:rPr>
          <w:sz w:val="24"/>
        </w:rPr>
        <w:t>work</w:t>
      </w:r>
      <w:r>
        <w:rPr>
          <w:spacing w:val="-19"/>
          <w:sz w:val="24"/>
        </w:rPr>
        <w:t> </w:t>
      </w:r>
      <w:r>
        <w:rPr>
          <w:sz w:val="24"/>
        </w:rPr>
        <w:t>pressures,</w:t>
      </w:r>
      <w:r>
        <w:rPr>
          <w:spacing w:val="-20"/>
          <w:sz w:val="24"/>
        </w:rPr>
        <w:t> </w:t>
      </w:r>
      <w:r>
        <w:rPr>
          <w:sz w:val="24"/>
        </w:rPr>
        <w:t>feedback</w:t>
      </w:r>
      <w:r>
        <w:rPr>
          <w:spacing w:val="-21"/>
          <w:sz w:val="24"/>
        </w:rPr>
        <w:t> </w:t>
      </w:r>
      <w:r>
        <w:rPr>
          <w:sz w:val="24"/>
        </w:rPr>
        <w:t>from the customer satisfaction surveys has not been reviewed since February 2022. </w:t>
      </w:r>
      <w:r>
        <w:rPr>
          <w:b/>
          <w:sz w:val="24"/>
        </w:rPr>
        <w:t>[Matter Arising 2]</w:t>
      </w:r>
    </w:p>
    <w:p>
      <w:pPr>
        <w:pStyle w:val="BodyText"/>
        <w:spacing w:before="124"/>
        <w:ind w:left="186"/>
      </w:pPr>
      <w:r>
        <w:rPr>
          <w:color w:val="3C5A8B"/>
          <w:spacing w:val="-2"/>
        </w:rPr>
        <w:t>Conclusion:</w:t>
      </w:r>
    </w:p>
    <w:p>
      <w:pPr>
        <w:pStyle w:val="ListParagraph"/>
        <w:numPr>
          <w:ilvl w:val="1"/>
          <w:numId w:val="14"/>
        </w:numPr>
        <w:tabs>
          <w:tab w:pos="895" w:val="left" w:leader="none"/>
        </w:tabs>
        <w:spacing w:line="240" w:lineRule="auto" w:before="116" w:after="0"/>
        <w:ind w:left="894" w:right="0" w:hanging="709"/>
        <w:jc w:val="left"/>
        <w:rPr>
          <w:sz w:val="24"/>
        </w:rPr>
      </w:pPr>
      <w:r>
        <w:rPr>
          <w:sz w:val="24"/>
        </w:rPr>
        <w:t>Noting</w:t>
      </w:r>
      <w:r>
        <w:rPr>
          <w:spacing w:val="-3"/>
          <w:sz w:val="24"/>
        </w:rPr>
        <w:t> </w:t>
      </w:r>
      <w:r>
        <w:rPr>
          <w:sz w:val="24"/>
        </w:rPr>
        <w:t>the</w:t>
      </w:r>
      <w:r>
        <w:rPr>
          <w:spacing w:val="-2"/>
          <w:sz w:val="24"/>
        </w:rPr>
        <w:t> </w:t>
      </w:r>
      <w:r>
        <w:rPr>
          <w:sz w:val="24"/>
        </w:rPr>
        <w:t>above,</w:t>
      </w:r>
      <w:r>
        <w:rPr>
          <w:spacing w:val="-3"/>
          <w:sz w:val="24"/>
        </w:rPr>
        <w:t> </w:t>
      </w:r>
      <w:r>
        <w:rPr>
          <w:sz w:val="24"/>
        </w:rPr>
        <w:t>we</w:t>
      </w:r>
      <w:r>
        <w:rPr>
          <w:spacing w:val="-2"/>
          <w:sz w:val="24"/>
        </w:rPr>
        <w:t> </w:t>
      </w:r>
      <w:r>
        <w:rPr>
          <w:sz w:val="24"/>
        </w:rPr>
        <w:t>have</w:t>
      </w:r>
      <w:r>
        <w:rPr>
          <w:spacing w:val="-1"/>
          <w:sz w:val="24"/>
        </w:rPr>
        <w:t> </w:t>
      </w:r>
      <w:r>
        <w:rPr>
          <w:sz w:val="24"/>
        </w:rPr>
        <w:t>concluded</w:t>
      </w:r>
      <w:r>
        <w:rPr>
          <w:spacing w:val="1"/>
          <w:sz w:val="24"/>
        </w:rPr>
        <w:t> </w:t>
      </w:r>
      <w:r>
        <w:rPr>
          <w:b/>
          <w:sz w:val="24"/>
        </w:rPr>
        <w:t>Reasonable</w:t>
      </w:r>
      <w:r>
        <w:rPr>
          <w:b/>
          <w:spacing w:val="-1"/>
          <w:sz w:val="24"/>
        </w:rPr>
        <w:t> </w:t>
      </w:r>
      <w:r>
        <w:rPr>
          <w:sz w:val="24"/>
        </w:rPr>
        <w:t>assurance</w:t>
      </w:r>
      <w:r>
        <w:rPr>
          <w:spacing w:val="-2"/>
          <w:sz w:val="24"/>
        </w:rPr>
        <w:t> </w:t>
      </w:r>
      <w:r>
        <w:rPr>
          <w:sz w:val="24"/>
        </w:rPr>
        <w:t>of</w:t>
      </w:r>
      <w:r>
        <w:rPr>
          <w:spacing w:val="-3"/>
          <w:sz w:val="24"/>
        </w:rPr>
        <w:t> </w:t>
      </w:r>
      <w:r>
        <w:rPr>
          <w:sz w:val="24"/>
        </w:rPr>
        <w:t>this</w:t>
      </w:r>
      <w:r>
        <w:rPr>
          <w:spacing w:val="-2"/>
          <w:sz w:val="24"/>
        </w:rPr>
        <w:t> objective.</w:t>
      </w:r>
    </w:p>
    <w:p>
      <w:pPr>
        <w:spacing w:after="0" w:line="240" w:lineRule="auto"/>
        <w:jc w:val="left"/>
        <w:rPr>
          <w:sz w:val="24"/>
        </w:rPr>
        <w:sectPr>
          <w:pgSz w:w="11910" w:h="16840"/>
          <w:pgMar w:header="0" w:footer="770" w:top="880" w:bottom="960" w:left="380" w:right="560"/>
        </w:sectPr>
      </w:pPr>
    </w:p>
    <w:p>
      <w:pPr>
        <w:pStyle w:val="BodyText"/>
        <w:tabs>
          <w:tab w:pos="11857" w:val="left" w:leader="none"/>
        </w:tabs>
        <w:spacing w:line="291" w:lineRule="exact" w:before="79"/>
        <w:ind w:right="224"/>
        <w:jc w:val="right"/>
      </w:pPr>
      <w:r>
        <w:rPr/>
        <w:t>Recruitment</w:t>
      </w:r>
      <w:r>
        <w:rPr>
          <w:spacing w:val="-6"/>
        </w:rPr>
        <w:t> </w:t>
      </w:r>
      <w:r>
        <w:rPr>
          <w:spacing w:val="-2"/>
        </w:rPr>
        <w:t>Services</w:t>
      </w:r>
      <w:r>
        <w:rPr/>
        <w:tab/>
        <w:t>Final</w:t>
      </w:r>
      <w:r>
        <w:rPr>
          <w:spacing w:val="-6"/>
        </w:rPr>
        <w:t> </w:t>
      </w:r>
      <w:r>
        <w:rPr/>
        <w:t>Internal</w:t>
      </w:r>
      <w:r>
        <w:rPr>
          <w:spacing w:val="-3"/>
        </w:rPr>
        <w:t> </w:t>
      </w:r>
      <w:r>
        <w:rPr/>
        <w:t>Audit</w:t>
      </w:r>
      <w:r>
        <w:rPr>
          <w:spacing w:val="-1"/>
        </w:rPr>
        <w:t> </w:t>
      </w:r>
      <w:r>
        <w:rPr>
          <w:spacing w:val="-2"/>
        </w:rPr>
        <w:t>Report</w:t>
      </w:r>
    </w:p>
    <w:p>
      <w:pPr>
        <w:pStyle w:val="BodyText"/>
        <w:spacing w:line="291" w:lineRule="exact"/>
        <w:ind w:right="226"/>
        <w:jc w:val="right"/>
      </w:pPr>
      <w:r>
        <w:rPr/>
        <w:t>Appendix</w:t>
      </w:r>
      <w:r>
        <w:rPr>
          <w:spacing w:val="-5"/>
        </w:rPr>
        <w:t> </w:t>
      </w:r>
      <w:r>
        <w:rPr>
          <w:spacing w:val="-10"/>
        </w:rPr>
        <w:t>A</w:t>
      </w:r>
    </w:p>
    <w:p>
      <w:pPr>
        <w:pStyle w:val="BodyText"/>
        <w:spacing w:before="1"/>
        <w:rPr>
          <w:sz w:val="20"/>
        </w:rPr>
      </w:pPr>
      <w:r>
        <w:rPr/>
        <w:pict>
          <v:shape style="position:absolute;margin-left:41.760002pt;margin-top:13.446033pt;width:759.25pt;height:1.45pt;mso-position-horizontal-relative:page;mso-position-vertical-relative:paragraph;z-index:-15701504;mso-wrap-distance-left:0;mso-wrap-distance-right:0" id="docshape116" coordorigin="835,269" coordsize="15185,29" path="m16020,269l9371,269,9357,269,9342,269,835,269,835,298,9342,298,9357,298,9371,298,16020,298,16020,269xe" filled="true" fillcolor="#000000" stroked="false">
            <v:path arrowok="t"/>
            <v:fill type="solid"/>
            <w10:wrap type="topAndBottom"/>
          </v:shape>
        </w:pict>
      </w:r>
    </w:p>
    <w:p>
      <w:pPr>
        <w:pStyle w:val="BodyText"/>
        <w:spacing w:before="6"/>
        <w:rPr>
          <w:sz w:val="26"/>
        </w:rPr>
      </w:pPr>
    </w:p>
    <w:p>
      <w:pPr>
        <w:pStyle w:val="Heading4"/>
        <w:spacing w:before="101" w:after="32"/>
        <w:ind w:left="110"/>
      </w:pPr>
      <w:bookmarkStart w:name="_bookmark3" w:id="45"/>
      <w:bookmarkEnd w:id="45"/>
      <w:r>
        <w:rPr/>
      </w:r>
      <w:r>
        <w:rPr>
          <w:color w:val="3C5A8B"/>
        </w:rPr>
        <w:t>Appendix</w:t>
      </w:r>
      <w:r>
        <w:rPr>
          <w:color w:val="3C5A8B"/>
          <w:spacing w:val="-1"/>
        </w:rPr>
        <w:t> </w:t>
      </w:r>
      <w:r>
        <w:rPr>
          <w:color w:val="3C5A8B"/>
        </w:rPr>
        <w:t>A:</w:t>
      </w:r>
      <w:r>
        <w:rPr>
          <w:color w:val="3C5A8B"/>
          <w:spacing w:val="-3"/>
        </w:rPr>
        <w:t> </w:t>
      </w:r>
      <w:r>
        <w:rPr>
          <w:color w:val="3C5A8B"/>
        </w:rPr>
        <w:t>Management</w:t>
      </w:r>
      <w:r>
        <w:rPr>
          <w:color w:val="3C5A8B"/>
          <w:spacing w:val="1"/>
        </w:rPr>
        <w:t> </w:t>
      </w:r>
      <w:r>
        <w:rPr>
          <w:color w:val="3C5A8B"/>
        </w:rPr>
        <w:t>Action</w:t>
      </w:r>
      <w:r>
        <w:rPr>
          <w:color w:val="3C5A8B"/>
          <w:spacing w:val="-3"/>
        </w:rPr>
        <w:t> </w:t>
      </w:r>
      <w:r>
        <w:rPr>
          <w:color w:val="3C5A8B"/>
          <w:spacing w:val="-4"/>
        </w:rPr>
        <w:t>Plan</w:t>
      </w:r>
    </w:p>
    <w:tbl>
      <w:tblPr>
        <w:tblW w:w="0" w:type="auto"/>
        <w:jc w:val="left"/>
        <w:tblInd w:w="115" w:type="dxa"/>
        <w:tblBorders>
          <w:top w:val="dashSmallGap" w:sz="4" w:space="0" w:color="A5A5A5"/>
          <w:left w:val="dashSmallGap" w:sz="4" w:space="0" w:color="A5A5A5"/>
          <w:bottom w:val="dashSmallGap" w:sz="4" w:space="0" w:color="A5A5A5"/>
          <w:right w:val="dashSmallGap" w:sz="4" w:space="0" w:color="A5A5A5"/>
          <w:insideH w:val="dashSmallGap" w:sz="4" w:space="0" w:color="A5A5A5"/>
          <w:insideV w:val="dashSmallGap" w:sz="4" w:space="0" w:color="A5A5A5"/>
        </w:tblBorders>
        <w:tblLayout w:type="fixed"/>
        <w:tblCellMar>
          <w:top w:w="0" w:type="dxa"/>
          <w:left w:w="0" w:type="dxa"/>
          <w:bottom w:w="0" w:type="dxa"/>
          <w:right w:w="0" w:type="dxa"/>
        </w:tblCellMar>
        <w:tblLook w:val="01E0"/>
      </w:tblPr>
      <w:tblGrid>
        <w:gridCol w:w="992"/>
        <w:gridCol w:w="8303"/>
        <w:gridCol w:w="2036"/>
        <w:gridCol w:w="3981"/>
      </w:tblGrid>
      <w:tr>
        <w:trPr>
          <w:trHeight w:val="475" w:hRule="atLeast"/>
        </w:trPr>
        <w:tc>
          <w:tcPr>
            <w:tcW w:w="11331" w:type="dxa"/>
            <w:gridSpan w:val="3"/>
            <w:tcBorders>
              <w:bottom w:val="nil"/>
            </w:tcBorders>
            <w:shd w:val="clear" w:color="auto" w:fill="2E5395"/>
          </w:tcPr>
          <w:p>
            <w:pPr>
              <w:pStyle w:val="TableParagraph"/>
              <w:spacing w:before="58"/>
              <w:ind w:left="107"/>
              <w:rPr>
                <w:sz w:val="20"/>
              </w:rPr>
            </w:pPr>
            <w:r>
              <w:rPr>
                <w:b/>
                <w:color w:val="FFFFFF"/>
                <w:sz w:val="20"/>
              </w:rPr>
              <w:t>Matter</w:t>
            </w:r>
            <w:r>
              <w:rPr>
                <w:b/>
                <w:color w:val="FFFFFF"/>
                <w:spacing w:val="-7"/>
                <w:sz w:val="20"/>
              </w:rPr>
              <w:t> </w:t>
            </w:r>
            <w:r>
              <w:rPr>
                <w:b/>
                <w:color w:val="FFFFFF"/>
                <w:sz w:val="20"/>
              </w:rPr>
              <w:t>Arising</w:t>
            </w:r>
            <w:r>
              <w:rPr>
                <w:b/>
                <w:color w:val="FFFFFF"/>
                <w:spacing w:val="-8"/>
                <w:sz w:val="20"/>
              </w:rPr>
              <w:t> </w:t>
            </w:r>
            <w:r>
              <w:rPr>
                <w:b/>
                <w:color w:val="FFFFFF"/>
                <w:sz w:val="20"/>
              </w:rPr>
              <w:t>1:</w:t>
            </w:r>
            <w:r>
              <w:rPr>
                <w:b/>
                <w:color w:val="FFFFFF"/>
                <w:spacing w:val="-6"/>
                <w:sz w:val="20"/>
              </w:rPr>
              <w:t> </w:t>
            </w:r>
            <w:r>
              <w:rPr>
                <w:b/>
                <w:color w:val="FFFFFF"/>
                <w:sz w:val="20"/>
              </w:rPr>
              <w:t>Risk</w:t>
            </w:r>
            <w:r>
              <w:rPr>
                <w:b/>
                <w:color w:val="FFFFFF"/>
                <w:spacing w:val="-7"/>
                <w:sz w:val="20"/>
              </w:rPr>
              <w:t> </w:t>
            </w:r>
            <w:r>
              <w:rPr>
                <w:b/>
                <w:color w:val="FFFFFF"/>
                <w:sz w:val="20"/>
              </w:rPr>
              <w:t>Register</w:t>
            </w:r>
            <w:r>
              <w:rPr>
                <w:b/>
                <w:color w:val="FFFFFF"/>
                <w:spacing w:val="-7"/>
                <w:sz w:val="20"/>
              </w:rPr>
              <w:t> </w:t>
            </w:r>
            <w:r>
              <w:rPr>
                <w:color w:val="FFFFFF"/>
                <w:spacing w:val="-2"/>
                <w:sz w:val="20"/>
              </w:rPr>
              <w:t>(Design)</w:t>
            </w:r>
          </w:p>
        </w:tc>
        <w:tc>
          <w:tcPr>
            <w:tcW w:w="3981" w:type="dxa"/>
            <w:tcBorders>
              <w:bottom w:val="nil"/>
            </w:tcBorders>
            <w:shd w:val="clear" w:color="auto" w:fill="2E5395"/>
          </w:tcPr>
          <w:p>
            <w:pPr>
              <w:pStyle w:val="TableParagraph"/>
              <w:spacing w:before="58"/>
              <w:ind w:left="106"/>
              <w:rPr>
                <w:b/>
                <w:sz w:val="20"/>
              </w:rPr>
            </w:pPr>
            <w:r>
              <w:rPr>
                <w:b/>
                <w:color w:val="FFFFFF"/>
                <w:spacing w:val="-2"/>
                <w:sz w:val="20"/>
              </w:rPr>
              <w:t>Impact</w:t>
            </w:r>
          </w:p>
        </w:tc>
      </w:tr>
      <w:tr>
        <w:trPr>
          <w:trHeight w:val="2297" w:hRule="atLeast"/>
        </w:trPr>
        <w:tc>
          <w:tcPr>
            <w:tcW w:w="11331" w:type="dxa"/>
            <w:gridSpan w:val="3"/>
            <w:tcBorders>
              <w:top w:val="nil"/>
              <w:bottom w:val="nil"/>
            </w:tcBorders>
          </w:tcPr>
          <w:p>
            <w:pPr>
              <w:pStyle w:val="TableParagraph"/>
              <w:spacing w:before="55"/>
              <w:ind w:left="107" w:right="98"/>
              <w:jc w:val="both"/>
              <w:rPr>
                <w:sz w:val="20"/>
              </w:rPr>
            </w:pPr>
            <w:r>
              <w:rPr>
                <w:sz w:val="20"/>
              </w:rPr>
              <w:t>The risk relating to new starters commencing employment prior to completion of PECs is reflected on the Employment Services risk register, albeit the potential impact (patient harm, financial penalty) would affect the</w:t>
            </w:r>
            <w:r>
              <w:rPr>
                <w:spacing w:val="-9"/>
                <w:sz w:val="20"/>
              </w:rPr>
              <w:t> </w:t>
            </w:r>
            <w:r>
              <w:rPr>
                <w:sz w:val="20"/>
              </w:rPr>
              <w:t>recruiting</w:t>
            </w:r>
            <w:r>
              <w:rPr>
                <w:spacing w:val="-7"/>
                <w:sz w:val="20"/>
              </w:rPr>
              <w:t> </w:t>
            </w:r>
            <w:r>
              <w:rPr>
                <w:sz w:val="20"/>
              </w:rPr>
              <w:t>body</w:t>
            </w:r>
            <w:r>
              <w:rPr>
                <w:spacing w:val="-6"/>
                <w:sz w:val="20"/>
              </w:rPr>
              <w:t> </w:t>
            </w:r>
            <w:r>
              <w:rPr>
                <w:sz w:val="20"/>
              </w:rPr>
              <w:t>rather</w:t>
            </w:r>
            <w:r>
              <w:rPr>
                <w:spacing w:val="-7"/>
                <w:sz w:val="20"/>
              </w:rPr>
              <w:t> </w:t>
            </w:r>
            <w:r>
              <w:rPr>
                <w:sz w:val="20"/>
              </w:rPr>
              <w:t>than</w:t>
            </w:r>
            <w:r>
              <w:rPr>
                <w:spacing w:val="-7"/>
                <w:sz w:val="20"/>
              </w:rPr>
              <w:t> </w:t>
            </w:r>
            <w:r>
              <w:rPr>
                <w:sz w:val="20"/>
              </w:rPr>
              <w:t>NWSSP.</w:t>
            </w:r>
            <w:r>
              <w:rPr>
                <w:spacing w:val="-6"/>
                <w:sz w:val="20"/>
              </w:rPr>
              <w:t> </w:t>
            </w:r>
            <w:r>
              <w:rPr>
                <w:sz w:val="20"/>
              </w:rPr>
              <w:t>The</w:t>
            </w:r>
            <w:r>
              <w:rPr>
                <w:spacing w:val="-7"/>
                <w:sz w:val="20"/>
              </w:rPr>
              <w:t> </w:t>
            </w:r>
            <w:r>
              <w:rPr>
                <w:sz w:val="20"/>
              </w:rPr>
              <w:t>New</w:t>
            </w:r>
            <w:r>
              <w:rPr>
                <w:spacing w:val="-8"/>
                <w:sz w:val="20"/>
              </w:rPr>
              <w:t> </w:t>
            </w:r>
            <w:r>
              <w:rPr>
                <w:sz w:val="20"/>
              </w:rPr>
              <w:t>Appointment</w:t>
            </w:r>
            <w:r>
              <w:rPr>
                <w:spacing w:val="-7"/>
                <w:sz w:val="20"/>
              </w:rPr>
              <w:t> </w:t>
            </w:r>
            <w:r>
              <w:rPr>
                <w:sz w:val="20"/>
              </w:rPr>
              <w:t>Form</w:t>
            </w:r>
            <w:r>
              <w:rPr>
                <w:spacing w:val="-7"/>
                <w:sz w:val="20"/>
              </w:rPr>
              <w:t> </w:t>
            </w:r>
            <w:r>
              <w:rPr>
                <w:sz w:val="20"/>
              </w:rPr>
              <w:t>(NAF)</w:t>
            </w:r>
            <w:r>
              <w:rPr>
                <w:spacing w:val="-7"/>
                <w:sz w:val="20"/>
              </w:rPr>
              <w:t> </w:t>
            </w:r>
            <w:r>
              <w:rPr>
                <w:sz w:val="20"/>
              </w:rPr>
              <w:t>is</w:t>
            </w:r>
            <w:r>
              <w:rPr>
                <w:spacing w:val="-9"/>
                <w:sz w:val="20"/>
              </w:rPr>
              <w:t> </w:t>
            </w:r>
            <w:r>
              <w:rPr>
                <w:sz w:val="20"/>
              </w:rPr>
              <w:t>identified</w:t>
            </w:r>
            <w:r>
              <w:rPr>
                <w:spacing w:val="-7"/>
                <w:sz w:val="20"/>
              </w:rPr>
              <w:t> </w:t>
            </w:r>
            <w:r>
              <w:rPr>
                <w:sz w:val="20"/>
              </w:rPr>
              <w:t>as</w:t>
            </w:r>
            <w:r>
              <w:rPr>
                <w:spacing w:val="-6"/>
                <w:sz w:val="20"/>
              </w:rPr>
              <w:t> </w:t>
            </w:r>
            <w:r>
              <w:rPr>
                <w:sz w:val="20"/>
              </w:rPr>
              <w:t>a</w:t>
            </w:r>
            <w:r>
              <w:rPr>
                <w:spacing w:val="-7"/>
                <w:sz w:val="20"/>
              </w:rPr>
              <w:t> </w:t>
            </w:r>
            <w:r>
              <w:rPr>
                <w:sz w:val="20"/>
              </w:rPr>
              <w:t>mitigating</w:t>
            </w:r>
            <w:r>
              <w:rPr>
                <w:spacing w:val="-7"/>
                <w:sz w:val="20"/>
              </w:rPr>
              <w:t> </w:t>
            </w:r>
            <w:r>
              <w:rPr>
                <w:sz w:val="20"/>
              </w:rPr>
              <w:t>control, however this does not prevent new starters commencing in post before completion of PECs as stated in the </w:t>
            </w:r>
            <w:r>
              <w:rPr>
                <w:spacing w:val="-2"/>
                <w:sz w:val="20"/>
              </w:rPr>
              <w:t>register.</w:t>
            </w:r>
          </w:p>
        </w:tc>
        <w:tc>
          <w:tcPr>
            <w:tcW w:w="3981" w:type="dxa"/>
            <w:tcBorders>
              <w:top w:val="nil"/>
              <w:bottom w:val="nil"/>
            </w:tcBorders>
          </w:tcPr>
          <w:p>
            <w:pPr>
              <w:pStyle w:val="TableParagraph"/>
              <w:spacing w:before="55"/>
              <w:ind w:left="106" w:right="98"/>
              <w:jc w:val="both"/>
              <w:rPr>
                <w:sz w:val="20"/>
              </w:rPr>
            </w:pPr>
            <w:r>
              <w:rPr>
                <w:sz w:val="20"/>
              </w:rPr>
              <w:t>Risks relating to the recruitment service are not identified and mitigated, potentially impacting on the quality of service provided to health bodies.</w:t>
            </w:r>
          </w:p>
          <w:p>
            <w:pPr>
              <w:pStyle w:val="TableParagraph"/>
              <w:spacing w:before="122"/>
              <w:ind w:left="106" w:right="100"/>
              <w:jc w:val="both"/>
              <w:rPr>
                <w:sz w:val="20"/>
              </w:rPr>
            </w:pPr>
            <w:r>
              <w:rPr>
                <w:sz w:val="20"/>
              </w:rPr>
              <w:t>Risks are not accurately assessed resulting in inefficient use of resources to manage and mitigate.</w:t>
            </w:r>
          </w:p>
        </w:tc>
      </w:tr>
      <w:tr>
        <w:trPr>
          <w:trHeight w:val="484" w:hRule="atLeast"/>
        </w:trPr>
        <w:tc>
          <w:tcPr>
            <w:tcW w:w="11331" w:type="dxa"/>
            <w:gridSpan w:val="3"/>
            <w:tcBorders>
              <w:top w:val="nil"/>
            </w:tcBorders>
            <w:shd w:val="clear" w:color="auto" w:fill="2E5395"/>
          </w:tcPr>
          <w:p>
            <w:pPr>
              <w:pStyle w:val="TableParagraph"/>
              <w:spacing w:before="58"/>
              <w:ind w:left="107"/>
              <w:rPr>
                <w:b/>
                <w:sz w:val="20"/>
              </w:rPr>
            </w:pPr>
            <w:r>
              <w:rPr>
                <w:b/>
                <w:color w:val="FFFFFF"/>
                <w:spacing w:val="-2"/>
                <w:sz w:val="20"/>
              </w:rPr>
              <w:t>Recommendation</w:t>
            </w:r>
          </w:p>
        </w:tc>
        <w:tc>
          <w:tcPr>
            <w:tcW w:w="3981" w:type="dxa"/>
            <w:tcBorders>
              <w:top w:val="nil"/>
            </w:tcBorders>
            <w:shd w:val="clear" w:color="auto" w:fill="2E5395"/>
          </w:tcPr>
          <w:p>
            <w:pPr>
              <w:pStyle w:val="TableParagraph"/>
              <w:spacing w:before="58"/>
              <w:ind w:left="1528" w:right="1526"/>
              <w:jc w:val="center"/>
              <w:rPr>
                <w:b/>
                <w:sz w:val="20"/>
              </w:rPr>
            </w:pPr>
            <w:r>
              <w:rPr>
                <w:b/>
                <w:color w:val="FFFFFF"/>
                <w:spacing w:val="-2"/>
                <w:sz w:val="20"/>
              </w:rPr>
              <w:t>Priority</w:t>
            </w:r>
          </w:p>
        </w:tc>
      </w:tr>
      <w:tr>
        <w:trPr>
          <w:trHeight w:val="1317" w:hRule="atLeast"/>
        </w:trPr>
        <w:tc>
          <w:tcPr>
            <w:tcW w:w="992" w:type="dxa"/>
          </w:tcPr>
          <w:p>
            <w:pPr>
              <w:pStyle w:val="TableParagraph"/>
              <w:spacing w:before="58"/>
              <w:ind w:left="107"/>
              <w:rPr>
                <w:sz w:val="20"/>
              </w:rPr>
            </w:pPr>
            <w:r>
              <w:rPr>
                <w:spacing w:val="-5"/>
                <w:sz w:val="20"/>
              </w:rPr>
              <w:t>1.1</w:t>
            </w:r>
          </w:p>
        </w:tc>
        <w:tc>
          <w:tcPr>
            <w:tcW w:w="10339" w:type="dxa"/>
            <w:gridSpan w:val="2"/>
          </w:tcPr>
          <w:p>
            <w:pPr>
              <w:pStyle w:val="TableParagraph"/>
              <w:spacing w:before="58"/>
              <w:ind w:left="145" w:right="120"/>
              <w:jc w:val="both"/>
              <w:rPr>
                <w:sz w:val="20"/>
              </w:rPr>
            </w:pPr>
            <w:r>
              <w:rPr>
                <w:sz w:val="20"/>
              </w:rPr>
              <w:t>Re-assess</w:t>
            </w:r>
            <w:r>
              <w:rPr>
                <w:spacing w:val="-6"/>
                <w:sz w:val="20"/>
              </w:rPr>
              <w:t> </w:t>
            </w:r>
            <w:r>
              <w:rPr>
                <w:sz w:val="20"/>
              </w:rPr>
              <w:t>the</w:t>
            </w:r>
            <w:r>
              <w:rPr>
                <w:spacing w:val="-4"/>
                <w:sz w:val="20"/>
              </w:rPr>
              <w:t> </w:t>
            </w:r>
            <w:r>
              <w:rPr>
                <w:sz w:val="20"/>
              </w:rPr>
              <w:t>risk</w:t>
            </w:r>
            <w:r>
              <w:rPr>
                <w:spacing w:val="-4"/>
                <w:sz w:val="20"/>
              </w:rPr>
              <w:t> </w:t>
            </w:r>
            <w:r>
              <w:rPr>
                <w:sz w:val="20"/>
              </w:rPr>
              <w:t>relating</w:t>
            </w:r>
            <w:r>
              <w:rPr>
                <w:spacing w:val="-5"/>
                <w:sz w:val="20"/>
              </w:rPr>
              <w:t> </w:t>
            </w:r>
            <w:r>
              <w:rPr>
                <w:sz w:val="20"/>
              </w:rPr>
              <w:t>to</w:t>
            </w:r>
            <w:r>
              <w:rPr>
                <w:spacing w:val="-7"/>
                <w:sz w:val="20"/>
              </w:rPr>
              <w:t> </w:t>
            </w:r>
            <w:r>
              <w:rPr>
                <w:sz w:val="20"/>
              </w:rPr>
              <w:t>new</w:t>
            </w:r>
            <w:r>
              <w:rPr>
                <w:spacing w:val="-3"/>
                <w:sz w:val="20"/>
              </w:rPr>
              <w:t> </w:t>
            </w:r>
            <w:r>
              <w:rPr>
                <w:sz w:val="20"/>
              </w:rPr>
              <w:t>starters</w:t>
            </w:r>
            <w:r>
              <w:rPr>
                <w:spacing w:val="-4"/>
                <w:sz w:val="20"/>
              </w:rPr>
              <w:t> </w:t>
            </w:r>
            <w:r>
              <w:rPr>
                <w:sz w:val="20"/>
              </w:rPr>
              <w:t>commencing</w:t>
            </w:r>
            <w:r>
              <w:rPr>
                <w:spacing w:val="-5"/>
                <w:sz w:val="20"/>
              </w:rPr>
              <w:t> </w:t>
            </w:r>
            <w:r>
              <w:rPr>
                <w:sz w:val="20"/>
              </w:rPr>
              <w:t>in</w:t>
            </w:r>
            <w:r>
              <w:rPr>
                <w:spacing w:val="-5"/>
                <w:sz w:val="20"/>
              </w:rPr>
              <w:t> </w:t>
            </w:r>
            <w:r>
              <w:rPr>
                <w:sz w:val="20"/>
              </w:rPr>
              <w:t>post</w:t>
            </w:r>
            <w:r>
              <w:rPr>
                <w:spacing w:val="-5"/>
                <w:sz w:val="20"/>
              </w:rPr>
              <w:t> </w:t>
            </w:r>
            <w:r>
              <w:rPr>
                <w:sz w:val="20"/>
              </w:rPr>
              <w:t>before</w:t>
            </w:r>
            <w:r>
              <w:rPr>
                <w:spacing w:val="-2"/>
                <w:sz w:val="20"/>
              </w:rPr>
              <w:t> </w:t>
            </w:r>
            <w:r>
              <w:rPr>
                <w:sz w:val="20"/>
              </w:rPr>
              <w:t>completion</w:t>
            </w:r>
            <w:r>
              <w:rPr>
                <w:spacing w:val="-5"/>
                <w:sz w:val="20"/>
              </w:rPr>
              <w:t> </w:t>
            </w:r>
            <w:r>
              <w:rPr>
                <w:sz w:val="20"/>
              </w:rPr>
              <w:t>of</w:t>
            </w:r>
            <w:r>
              <w:rPr>
                <w:spacing w:val="-4"/>
                <w:sz w:val="20"/>
              </w:rPr>
              <w:t> </w:t>
            </w:r>
            <w:r>
              <w:rPr>
                <w:sz w:val="20"/>
              </w:rPr>
              <w:t>PECs</w:t>
            </w:r>
            <w:r>
              <w:rPr>
                <w:spacing w:val="-4"/>
                <w:sz w:val="20"/>
              </w:rPr>
              <w:t> </w:t>
            </w:r>
            <w:r>
              <w:rPr>
                <w:sz w:val="20"/>
              </w:rPr>
              <w:t>to</w:t>
            </w:r>
            <w:r>
              <w:rPr>
                <w:spacing w:val="-1"/>
                <w:sz w:val="20"/>
              </w:rPr>
              <w:t> </w:t>
            </w:r>
            <w:r>
              <w:rPr>
                <w:sz w:val="20"/>
              </w:rPr>
              <w:t>ensure it</w:t>
            </w:r>
            <w:r>
              <w:rPr>
                <w:spacing w:val="-10"/>
                <w:sz w:val="20"/>
              </w:rPr>
              <w:t> </w:t>
            </w:r>
            <w:r>
              <w:rPr>
                <w:sz w:val="20"/>
              </w:rPr>
              <w:t>reflects</w:t>
            </w:r>
            <w:r>
              <w:rPr>
                <w:spacing w:val="-10"/>
                <w:sz w:val="20"/>
              </w:rPr>
              <w:t> </w:t>
            </w:r>
            <w:r>
              <w:rPr>
                <w:sz w:val="20"/>
              </w:rPr>
              <w:t>the</w:t>
            </w:r>
            <w:r>
              <w:rPr>
                <w:spacing w:val="-11"/>
                <w:sz w:val="20"/>
              </w:rPr>
              <w:t> </w:t>
            </w:r>
            <w:r>
              <w:rPr>
                <w:sz w:val="20"/>
              </w:rPr>
              <w:t>potential</w:t>
            </w:r>
            <w:r>
              <w:rPr>
                <w:spacing w:val="-6"/>
                <w:sz w:val="20"/>
              </w:rPr>
              <w:t> </w:t>
            </w:r>
            <w:r>
              <w:rPr>
                <w:sz w:val="20"/>
              </w:rPr>
              <w:t>risk</w:t>
            </w:r>
            <w:r>
              <w:rPr>
                <w:spacing w:val="-11"/>
                <w:sz w:val="20"/>
              </w:rPr>
              <w:t> </w:t>
            </w:r>
            <w:r>
              <w:rPr>
                <w:sz w:val="20"/>
              </w:rPr>
              <w:t>to</w:t>
            </w:r>
            <w:r>
              <w:rPr>
                <w:spacing w:val="-11"/>
                <w:sz w:val="20"/>
              </w:rPr>
              <w:t> </w:t>
            </w:r>
            <w:r>
              <w:rPr>
                <w:sz w:val="20"/>
              </w:rPr>
              <w:t>NWSSP</w:t>
            </w:r>
            <w:r>
              <w:rPr>
                <w:spacing w:val="-8"/>
                <w:sz w:val="20"/>
              </w:rPr>
              <w:t> </w:t>
            </w:r>
            <w:r>
              <w:rPr>
                <w:sz w:val="20"/>
              </w:rPr>
              <w:t>rather</w:t>
            </w:r>
            <w:r>
              <w:rPr>
                <w:spacing w:val="-11"/>
                <w:sz w:val="20"/>
              </w:rPr>
              <w:t> </w:t>
            </w:r>
            <w:r>
              <w:rPr>
                <w:sz w:val="20"/>
              </w:rPr>
              <w:t>than</w:t>
            </w:r>
            <w:r>
              <w:rPr>
                <w:spacing w:val="-9"/>
                <w:sz w:val="20"/>
              </w:rPr>
              <w:t> </w:t>
            </w:r>
            <w:r>
              <w:rPr>
                <w:sz w:val="20"/>
              </w:rPr>
              <w:t>the</w:t>
            </w:r>
            <w:r>
              <w:rPr>
                <w:spacing w:val="-12"/>
                <w:sz w:val="20"/>
              </w:rPr>
              <w:t> </w:t>
            </w:r>
            <w:r>
              <w:rPr>
                <w:sz w:val="20"/>
              </w:rPr>
              <w:t>recruiting</w:t>
            </w:r>
            <w:r>
              <w:rPr>
                <w:spacing w:val="-10"/>
                <w:sz w:val="20"/>
              </w:rPr>
              <w:t> </w:t>
            </w:r>
            <w:r>
              <w:rPr>
                <w:sz w:val="20"/>
              </w:rPr>
              <w:t>body.</w:t>
            </w:r>
            <w:r>
              <w:rPr>
                <w:spacing w:val="-7"/>
                <w:sz w:val="20"/>
              </w:rPr>
              <w:t> </w:t>
            </w:r>
            <w:r>
              <w:rPr>
                <w:sz w:val="20"/>
              </w:rPr>
              <w:t>If</w:t>
            </w:r>
            <w:r>
              <w:rPr>
                <w:spacing w:val="-8"/>
                <w:sz w:val="20"/>
              </w:rPr>
              <w:t> </w:t>
            </w:r>
            <w:r>
              <w:rPr>
                <w:sz w:val="20"/>
              </w:rPr>
              <w:t>there</w:t>
            </w:r>
            <w:r>
              <w:rPr>
                <w:spacing w:val="-9"/>
                <w:sz w:val="20"/>
              </w:rPr>
              <w:t> </w:t>
            </w:r>
            <w:r>
              <w:rPr>
                <w:sz w:val="20"/>
              </w:rPr>
              <w:t>is</w:t>
            </w:r>
            <w:r>
              <w:rPr>
                <w:spacing w:val="-11"/>
                <w:sz w:val="20"/>
              </w:rPr>
              <w:t> </w:t>
            </w:r>
            <w:r>
              <w:rPr>
                <w:sz w:val="20"/>
              </w:rPr>
              <w:t>deemed</w:t>
            </w:r>
            <w:r>
              <w:rPr>
                <w:spacing w:val="-10"/>
                <w:sz w:val="20"/>
              </w:rPr>
              <w:t> </w:t>
            </w:r>
            <w:r>
              <w:rPr>
                <w:sz w:val="20"/>
              </w:rPr>
              <w:t>to</w:t>
            </w:r>
            <w:r>
              <w:rPr>
                <w:spacing w:val="-11"/>
                <w:sz w:val="20"/>
              </w:rPr>
              <w:t> </w:t>
            </w:r>
            <w:r>
              <w:rPr>
                <w:sz w:val="20"/>
              </w:rPr>
              <w:t>be</w:t>
            </w:r>
            <w:r>
              <w:rPr>
                <w:spacing w:val="-12"/>
                <w:sz w:val="20"/>
              </w:rPr>
              <w:t> </w:t>
            </w:r>
            <w:r>
              <w:rPr>
                <w:sz w:val="20"/>
              </w:rPr>
              <w:t>a</w:t>
            </w:r>
            <w:r>
              <w:rPr>
                <w:spacing w:val="-7"/>
                <w:sz w:val="20"/>
              </w:rPr>
              <w:t> </w:t>
            </w:r>
            <w:r>
              <w:rPr>
                <w:sz w:val="20"/>
              </w:rPr>
              <w:t>risk to</w:t>
            </w:r>
            <w:r>
              <w:rPr>
                <w:spacing w:val="-2"/>
                <w:sz w:val="20"/>
              </w:rPr>
              <w:t> </w:t>
            </w:r>
            <w:r>
              <w:rPr>
                <w:sz w:val="20"/>
              </w:rPr>
              <w:t>NWSSP, actions</w:t>
            </w:r>
            <w:r>
              <w:rPr>
                <w:spacing w:val="-1"/>
                <w:sz w:val="20"/>
              </w:rPr>
              <w:t> </w:t>
            </w:r>
            <w:r>
              <w:rPr>
                <w:sz w:val="20"/>
              </w:rPr>
              <w:t>should</w:t>
            </w:r>
            <w:r>
              <w:rPr>
                <w:spacing w:val="-1"/>
                <w:sz w:val="20"/>
              </w:rPr>
              <w:t> </w:t>
            </w:r>
            <w:r>
              <w:rPr>
                <w:sz w:val="20"/>
              </w:rPr>
              <w:t>be</w:t>
            </w:r>
            <w:r>
              <w:rPr>
                <w:spacing w:val="-2"/>
                <w:sz w:val="20"/>
              </w:rPr>
              <w:t> </w:t>
            </w:r>
            <w:r>
              <w:rPr>
                <w:sz w:val="20"/>
              </w:rPr>
              <w:t>identified</w:t>
            </w:r>
            <w:r>
              <w:rPr>
                <w:spacing w:val="-1"/>
                <w:sz w:val="20"/>
              </w:rPr>
              <w:t> </w:t>
            </w:r>
            <w:r>
              <w:rPr>
                <w:sz w:val="20"/>
              </w:rPr>
              <w:t>to</w:t>
            </w:r>
            <w:r>
              <w:rPr>
                <w:spacing w:val="-2"/>
                <w:sz w:val="20"/>
              </w:rPr>
              <w:t> </w:t>
            </w:r>
            <w:r>
              <w:rPr>
                <w:sz w:val="20"/>
              </w:rPr>
              <w:t>effectively mitigate</w:t>
            </w:r>
            <w:r>
              <w:rPr>
                <w:spacing w:val="-2"/>
                <w:sz w:val="20"/>
              </w:rPr>
              <w:t> </w:t>
            </w:r>
            <w:r>
              <w:rPr>
                <w:sz w:val="20"/>
              </w:rPr>
              <w:t>the</w:t>
            </w:r>
            <w:r>
              <w:rPr>
                <w:spacing w:val="-2"/>
                <w:sz w:val="20"/>
              </w:rPr>
              <w:t> </w:t>
            </w:r>
            <w:r>
              <w:rPr>
                <w:sz w:val="20"/>
              </w:rPr>
              <w:t>risk, and</w:t>
            </w:r>
            <w:r>
              <w:rPr>
                <w:spacing w:val="-1"/>
                <w:sz w:val="20"/>
              </w:rPr>
              <w:t> </w:t>
            </w:r>
            <w:r>
              <w:rPr>
                <w:sz w:val="20"/>
              </w:rPr>
              <w:t>should</w:t>
            </w:r>
            <w:r>
              <w:rPr>
                <w:spacing w:val="-1"/>
                <w:sz w:val="20"/>
              </w:rPr>
              <w:t> </w:t>
            </w:r>
            <w:r>
              <w:rPr>
                <w:sz w:val="20"/>
              </w:rPr>
              <w:t>be</w:t>
            </w:r>
            <w:r>
              <w:rPr>
                <w:spacing w:val="-2"/>
                <w:sz w:val="20"/>
              </w:rPr>
              <w:t> </w:t>
            </w:r>
            <w:r>
              <w:rPr>
                <w:sz w:val="20"/>
              </w:rPr>
              <w:t>within the</w:t>
            </w:r>
            <w:r>
              <w:rPr>
                <w:spacing w:val="-2"/>
                <w:sz w:val="20"/>
              </w:rPr>
              <w:t> </w:t>
            </w:r>
            <w:r>
              <w:rPr>
                <w:sz w:val="20"/>
              </w:rPr>
              <w:t>gift of NWSSP.</w:t>
            </w:r>
          </w:p>
        </w:tc>
        <w:tc>
          <w:tcPr>
            <w:tcW w:w="3981" w:type="dxa"/>
            <w:shd w:val="clear" w:color="auto" w:fill="FFFF00"/>
          </w:tcPr>
          <w:p>
            <w:pPr>
              <w:pStyle w:val="TableParagraph"/>
              <w:rPr>
                <w:sz w:val="24"/>
              </w:rPr>
            </w:pPr>
          </w:p>
          <w:p>
            <w:pPr>
              <w:pStyle w:val="TableParagraph"/>
              <w:spacing w:before="3"/>
              <w:rPr>
                <w:sz w:val="20"/>
              </w:rPr>
            </w:pPr>
          </w:p>
          <w:p>
            <w:pPr>
              <w:pStyle w:val="TableParagraph"/>
              <w:ind w:left="1531" w:right="1526"/>
              <w:jc w:val="center"/>
              <w:rPr>
                <w:b/>
                <w:sz w:val="20"/>
              </w:rPr>
            </w:pPr>
            <w:r>
              <w:rPr>
                <w:b/>
                <w:spacing w:val="-2"/>
                <w:sz w:val="20"/>
              </w:rPr>
              <w:t>Medium</w:t>
            </w:r>
          </w:p>
        </w:tc>
      </w:tr>
      <w:tr>
        <w:trPr>
          <w:trHeight w:val="475" w:hRule="atLeast"/>
        </w:trPr>
        <w:tc>
          <w:tcPr>
            <w:tcW w:w="9295" w:type="dxa"/>
            <w:gridSpan w:val="2"/>
            <w:tcBorders>
              <w:bottom w:val="nil"/>
            </w:tcBorders>
            <w:shd w:val="clear" w:color="auto" w:fill="2E5395"/>
          </w:tcPr>
          <w:p>
            <w:pPr>
              <w:pStyle w:val="TableParagraph"/>
              <w:spacing w:before="58"/>
              <w:ind w:left="107"/>
              <w:rPr>
                <w:b/>
                <w:sz w:val="20"/>
              </w:rPr>
            </w:pPr>
            <w:r>
              <w:rPr>
                <w:b/>
                <w:color w:val="FFFFFF"/>
                <w:sz w:val="20"/>
              </w:rPr>
              <w:t>Agreed</w:t>
            </w:r>
            <w:r>
              <w:rPr>
                <w:b/>
                <w:color w:val="FFFFFF"/>
                <w:spacing w:val="-14"/>
                <w:sz w:val="20"/>
              </w:rPr>
              <w:t> </w:t>
            </w:r>
            <w:r>
              <w:rPr>
                <w:b/>
                <w:color w:val="FFFFFF"/>
                <w:sz w:val="20"/>
              </w:rPr>
              <w:t>Management</w:t>
            </w:r>
            <w:r>
              <w:rPr>
                <w:b/>
                <w:color w:val="FFFFFF"/>
                <w:spacing w:val="-12"/>
                <w:sz w:val="20"/>
              </w:rPr>
              <w:t> </w:t>
            </w:r>
            <w:r>
              <w:rPr>
                <w:b/>
                <w:color w:val="FFFFFF"/>
                <w:spacing w:val="-2"/>
                <w:sz w:val="20"/>
              </w:rPr>
              <w:t>Action</w:t>
            </w:r>
          </w:p>
        </w:tc>
        <w:tc>
          <w:tcPr>
            <w:tcW w:w="2036" w:type="dxa"/>
            <w:tcBorders>
              <w:bottom w:val="nil"/>
            </w:tcBorders>
            <w:shd w:val="clear" w:color="auto" w:fill="2E5395"/>
          </w:tcPr>
          <w:p>
            <w:pPr>
              <w:pStyle w:val="TableParagraph"/>
              <w:spacing w:before="58"/>
              <w:ind w:left="95" w:right="91"/>
              <w:jc w:val="center"/>
              <w:rPr>
                <w:b/>
                <w:sz w:val="20"/>
              </w:rPr>
            </w:pPr>
            <w:r>
              <w:rPr>
                <w:b/>
                <w:color w:val="FFFFFF"/>
                <w:sz w:val="20"/>
              </w:rPr>
              <w:t>Target</w:t>
            </w:r>
            <w:r>
              <w:rPr>
                <w:b/>
                <w:color w:val="FFFFFF"/>
                <w:spacing w:val="-11"/>
                <w:sz w:val="20"/>
              </w:rPr>
              <w:t> </w:t>
            </w:r>
            <w:r>
              <w:rPr>
                <w:b/>
                <w:color w:val="FFFFFF"/>
                <w:spacing w:val="-4"/>
                <w:sz w:val="20"/>
              </w:rPr>
              <w:t>Date</w:t>
            </w:r>
          </w:p>
        </w:tc>
        <w:tc>
          <w:tcPr>
            <w:tcW w:w="3981" w:type="dxa"/>
            <w:tcBorders>
              <w:bottom w:val="nil"/>
            </w:tcBorders>
            <w:shd w:val="clear" w:color="auto" w:fill="2E5395"/>
          </w:tcPr>
          <w:p>
            <w:pPr>
              <w:pStyle w:val="TableParagraph"/>
              <w:spacing w:before="58"/>
              <w:ind w:left="898"/>
              <w:rPr>
                <w:b/>
                <w:sz w:val="20"/>
              </w:rPr>
            </w:pPr>
            <w:r>
              <w:rPr>
                <w:b/>
                <w:color w:val="FFFFFF"/>
                <w:spacing w:val="-2"/>
                <w:sz w:val="20"/>
              </w:rPr>
              <w:t>Responsible</w:t>
            </w:r>
            <w:r>
              <w:rPr>
                <w:b/>
                <w:color w:val="FFFFFF"/>
                <w:spacing w:val="4"/>
                <w:sz w:val="20"/>
              </w:rPr>
              <w:t> </w:t>
            </w:r>
            <w:r>
              <w:rPr>
                <w:b/>
                <w:color w:val="FFFFFF"/>
                <w:spacing w:val="-2"/>
                <w:sz w:val="20"/>
              </w:rPr>
              <w:t>Officer</w:t>
            </w:r>
          </w:p>
        </w:tc>
      </w:tr>
      <w:tr>
        <w:trPr>
          <w:trHeight w:val="2378" w:hRule="atLeast"/>
        </w:trPr>
        <w:tc>
          <w:tcPr>
            <w:tcW w:w="992" w:type="dxa"/>
            <w:tcBorders>
              <w:top w:val="nil"/>
            </w:tcBorders>
          </w:tcPr>
          <w:p>
            <w:pPr>
              <w:pStyle w:val="TableParagraph"/>
              <w:spacing w:before="58"/>
              <w:ind w:left="107"/>
              <w:rPr>
                <w:sz w:val="20"/>
              </w:rPr>
            </w:pPr>
            <w:r>
              <w:rPr>
                <w:spacing w:val="-5"/>
                <w:sz w:val="20"/>
              </w:rPr>
              <w:t>1.1</w:t>
            </w:r>
          </w:p>
        </w:tc>
        <w:tc>
          <w:tcPr>
            <w:tcW w:w="8303" w:type="dxa"/>
            <w:tcBorders>
              <w:top w:val="nil"/>
            </w:tcBorders>
          </w:tcPr>
          <w:p>
            <w:pPr>
              <w:pStyle w:val="TableParagraph"/>
              <w:spacing w:before="58"/>
              <w:ind w:left="145"/>
              <w:jc w:val="both"/>
              <w:rPr>
                <w:sz w:val="20"/>
              </w:rPr>
            </w:pPr>
            <w:r>
              <w:rPr>
                <w:sz w:val="20"/>
              </w:rPr>
              <w:t>The</w:t>
            </w:r>
            <w:r>
              <w:rPr>
                <w:spacing w:val="-6"/>
                <w:sz w:val="20"/>
              </w:rPr>
              <w:t> </w:t>
            </w:r>
            <w:r>
              <w:rPr>
                <w:sz w:val="20"/>
              </w:rPr>
              <w:t>risk</w:t>
            </w:r>
            <w:r>
              <w:rPr>
                <w:spacing w:val="-8"/>
                <w:sz w:val="20"/>
              </w:rPr>
              <w:t> </w:t>
            </w:r>
            <w:r>
              <w:rPr>
                <w:sz w:val="20"/>
              </w:rPr>
              <w:t>will</w:t>
            </w:r>
            <w:r>
              <w:rPr>
                <w:spacing w:val="-4"/>
                <w:sz w:val="20"/>
              </w:rPr>
              <w:t> </w:t>
            </w:r>
            <w:r>
              <w:rPr>
                <w:sz w:val="20"/>
              </w:rPr>
              <w:t>be</w:t>
            </w:r>
            <w:r>
              <w:rPr>
                <w:spacing w:val="-8"/>
                <w:sz w:val="20"/>
              </w:rPr>
              <w:t> </w:t>
            </w:r>
            <w:r>
              <w:rPr>
                <w:sz w:val="20"/>
              </w:rPr>
              <w:t>removed</w:t>
            </w:r>
            <w:r>
              <w:rPr>
                <w:spacing w:val="-6"/>
                <w:sz w:val="20"/>
              </w:rPr>
              <w:t> </w:t>
            </w:r>
            <w:r>
              <w:rPr>
                <w:sz w:val="20"/>
              </w:rPr>
              <w:t>from</w:t>
            </w:r>
            <w:r>
              <w:rPr>
                <w:spacing w:val="-7"/>
                <w:sz w:val="20"/>
              </w:rPr>
              <w:t> </w:t>
            </w:r>
            <w:r>
              <w:rPr>
                <w:sz w:val="20"/>
              </w:rPr>
              <w:t>NWSSP</w:t>
            </w:r>
            <w:r>
              <w:rPr>
                <w:spacing w:val="-5"/>
                <w:sz w:val="20"/>
              </w:rPr>
              <w:t> </w:t>
            </w:r>
            <w:r>
              <w:rPr>
                <w:sz w:val="20"/>
              </w:rPr>
              <w:t>Employment</w:t>
            </w:r>
            <w:r>
              <w:rPr>
                <w:spacing w:val="-6"/>
                <w:sz w:val="20"/>
              </w:rPr>
              <w:t> </w:t>
            </w:r>
            <w:r>
              <w:rPr>
                <w:sz w:val="20"/>
              </w:rPr>
              <w:t>Services</w:t>
            </w:r>
            <w:r>
              <w:rPr>
                <w:spacing w:val="-5"/>
                <w:sz w:val="20"/>
              </w:rPr>
              <w:t> </w:t>
            </w:r>
            <w:r>
              <w:rPr>
                <w:sz w:val="20"/>
              </w:rPr>
              <w:t>Risk</w:t>
            </w:r>
            <w:r>
              <w:rPr>
                <w:spacing w:val="-8"/>
                <w:sz w:val="20"/>
              </w:rPr>
              <w:t> </w:t>
            </w:r>
            <w:r>
              <w:rPr>
                <w:spacing w:val="-2"/>
                <w:sz w:val="20"/>
              </w:rPr>
              <w:t>Register.</w:t>
            </w:r>
          </w:p>
          <w:p>
            <w:pPr>
              <w:pStyle w:val="TableParagraph"/>
              <w:spacing w:before="160"/>
              <w:ind w:left="145" w:right="118"/>
              <w:jc w:val="both"/>
              <w:rPr>
                <w:sz w:val="20"/>
              </w:rPr>
            </w:pPr>
            <w:r>
              <w:rPr>
                <w:sz w:val="20"/>
              </w:rPr>
              <w:t>The risk is a risk to Health Bodies, as the appointees are their employees. The decision to start people with incomplete pre-employment checks sits with the Health Bodies and not with NWSSP. The managers have access to the TRAC Recruitment System to review the</w:t>
            </w:r>
            <w:r>
              <w:rPr>
                <w:spacing w:val="-1"/>
                <w:sz w:val="20"/>
              </w:rPr>
              <w:t> </w:t>
            </w:r>
            <w:r>
              <w:rPr>
                <w:sz w:val="20"/>
              </w:rPr>
              <w:t>pre-employment checks for their</w:t>
            </w:r>
            <w:r>
              <w:rPr>
                <w:spacing w:val="-1"/>
                <w:sz w:val="20"/>
              </w:rPr>
              <w:t> </w:t>
            </w:r>
            <w:r>
              <w:rPr>
                <w:sz w:val="20"/>
              </w:rPr>
              <w:t>appointees 24</w:t>
            </w:r>
            <w:r>
              <w:rPr>
                <w:spacing w:val="-6"/>
                <w:sz w:val="20"/>
              </w:rPr>
              <w:t> </w:t>
            </w:r>
            <w:r>
              <w:rPr>
                <w:sz w:val="20"/>
              </w:rPr>
              <w:t>hours</w:t>
            </w:r>
            <w:r>
              <w:rPr>
                <w:spacing w:val="-7"/>
                <w:sz w:val="20"/>
              </w:rPr>
              <w:t> </w:t>
            </w:r>
            <w:r>
              <w:rPr>
                <w:sz w:val="20"/>
              </w:rPr>
              <w:t>a</w:t>
            </w:r>
            <w:r>
              <w:rPr>
                <w:spacing w:val="-6"/>
                <w:sz w:val="20"/>
              </w:rPr>
              <w:t> </w:t>
            </w:r>
            <w:r>
              <w:rPr>
                <w:sz w:val="20"/>
              </w:rPr>
              <w:t>day,</w:t>
            </w:r>
            <w:r>
              <w:rPr>
                <w:spacing w:val="-7"/>
                <w:sz w:val="20"/>
              </w:rPr>
              <w:t> </w:t>
            </w:r>
            <w:r>
              <w:rPr>
                <w:sz w:val="20"/>
              </w:rPr>
              <w:t>7</w:t>
            </w:r>
            <w:r>
              <w:rPr>
                <w:spacing w:val="-6"/>
                <w:sz w:val="20"/>
              </w:rPr>
              <w:t> </w:t>
            </w:r>
            <w:r>
              <w:rPr>
                <w:sz w:val="20"/>
              </w:rPr>
              <w:t>days</w:t>
            </w:r>
            <w:r>
              <w:rPr>
                <w:spacing w:val="-5"/>
                <w:sz w:val="20"/>
              </w:rPr>
              <w:t> </w:t>
            </w:r>
            <w:r>
              <w:rPr>
                <w:sz w:val="20"/>
              </w:rPr>
              <w:t>a</w:t>
            </w:r>
            <w:r>
              <w:rPr>
                <w:spacing w:val="-7"/>
                <w:sz w:val="20"/>
              </w:rPr>
              <w:t> </w:t>
            </w:r>
            <w:r>
              <w:rPr>
                <w:sz w:val="20"/>
              </w:rPr>
              <w:t>week.</w:t>
            </w:r>
            <w:r>
              <w:rPr>
                <w:spacing w:val="-4"/>
                <w:sz w:val="20"/>
              </w:rPr>
              <w:t> </w:t>
            </w:r>
            <w:r>
              <w:rPr>
                <w:sz w:val="20"/>
              </w:rPr>
              <w:t>Please</w:t>
            </w:r>
            <w:r>
              <w:rPr>
                <w:spacing w:val="-6"/>
                <w:sz w:val="20"/>
              </w:rPr>
              <w:t> </w:t>
            </w:r>
            <w:r>
              <w:rPr>
                <w:sz w:val="20"/>
              </w:rPr>
              <w:t>note</w:t>
            </w:r>
            <w:r>
              <w:rPr>
                <w:spacing w:val="-8"/>
                <w:sz w:val="20"/>
              </w:rPr>
              <w:t> </w:t>
            </w:r>
            <w:r>
              <w:rPr>
                <w:sz w:val="20"/>
              </w:rPr>
              <w:t>though</w:t>
            </w:r>
            <w:r>
              <w:rPr>
                <w:spacing w:val="-6"/>
                <w:sz w:val="20"/>
              </w:rPr>
              <w:t> </w:t>
            </w:r>
            <w:r>
              <w:rPr>
                <w:sz w:val="20"/>
              </w:rPr>
              <w:t>that</w:t>
            </w:r>
            <w:r>
              <w:rPr>
                <w:spacing w:val="-6"/>
                <w:sz w:val="20"/>
              </w:rPr>
              <w:t> </w:t>
            </w:r>
            <w:r>
              <w:rPr>
                <w:sz w:val="20"/>
              </w:rPr>
              <w:t>significant</w:t>
            </w:r>
            <w:r>
              <w:rPr>
                <w:spacing w:val="-6"/>
                <w:sz w:val="20"/>
              </w:rPr>
              <w:t> </w:t>
            </w:r>
            <w:r>
              <w:rPr>
                <w:sz w:val="20"/>
              </w:rPr>
              <w:t>engagement has been undertaken in this area with HBs to ensure they understand the risk. The final decision though is not within NWSSPs gift.</w:t>
            </w:r>
          </w:p>
        </w:tc>
        <w:tc>
          <w:tcPr>
            <w:tcW w:w="2036" w:type="dxa"/>
            <w:tcBorders>
              <w:top w:val="nil"/>
            </w:tcBorders>
          </w:tcPr>
          <w:p>
            <w:pPr>
              <w:pStyle w:val="TableParagraph"/>
              <w:spacing w:before="58"/>
              <w:ind w:left="95" w:right="92"/>
              <w:jc w:val="center"/>
              <w:rPr>
                <w:sz w:val="20"/>
              </w:rPr>
            </w:pPr>
            <w:r>
              <w:rPr>
                <w:sz w:val="20"/>
              </w:rPr>
              <w:t>24</w:t>
            </w:r>
            <w:r>
              <w:rPr>
                <w:position w:val="7"/>
                <w:sz w:val="13"/>
              </w:rPr>
              <w:t>th</w:t>
            </w:r>
            <w:r>
              <w:rPr>
                <w:spacing w:val="15"/>
                <w:position w:val="7"/>
                <w:sz w:val="13"/>
              </w:rPr>
              <w:t> </w:t>
            </w:r>
            <w:r>
              <w:rPr>
                <w:sz w:val="20"/>
              </w:rPr>
              <w:t>October</w:t>
            </w:r>
            <w:r>
              <w:rPr>
                <w:spacing w:val="-5"/>
                <w:sz w:val="20"/>
              </w:rPr>
              <w:t> </w:t>
            </w:r>
            <w:r>
              <w:rPr>
                <w:spacing w:val="-4"/>
                <w:sz w:val="20"/>
              </w:rPr>
              <w:t>2022</w:t>
            </w:r>
          </w:p>
        </w:tc>
        <w:tc>
          <w:tcPr>
            <w:tcW w:w="3981" w:type="dxa"/>
            <w:tcBorders>
              <w:top w:val="nil"/>
            </w:tcBorders>
          </w:tcPr>
          <w:p>
            <w:pPr>
              <w:pStyle w:val="TableParagraph"/>
              <w:spacing w:line="259" w:lineRule="auto" w:before="58"/>
              <w:ind w:left="1568" w:hanging="1268"/>
              <w:rPr>
                <w:sz w:val="20"/>
              </w:rPr>
            </w:pPr>
            <w:r>
              <w:rPr>
                <w:sz w:val="20"/>
              </w:rPr>
              <w:t>Assistant</w:t>
            </w:r>
            <w:r>
              <w:rPr>
                <w:spacing w:val="-13"/>
                <w:sz w:val="20"/>
              </w:rPr>
              <w:t> </w:t>
            </w:r>
            <w:r>
              <w:rPr>
                <w:sz w:val="20"/>
              </w:rPr>
              <w:t>Director</w:t>
            </w:r>
            <w:r>
              <w:rPr>
                <w:spacing w:val="-15"/>
                <w:sz w:val="20"/>
              </w:rPr>
              <w:t> </w:t>
            </w:r>
            <w:r>
              <w:rPr>
                <w:sz w:val="20"/>
              </w:rPr>
              <w:t>of</w:t>
            </w:r>
            <w:r>
              <w:rPr>
                <w:spacing w:val="-12"/>
                <w:sz w:val="20"/>
              </w:rPr>
              <w:t> </w:t>
            </w:r>
            <w:r>
              <w:rPr>
                <w:sz w:val="20"/>
              </w:rPr>
              <w:t>Employment </w:t>
            </w:r>
            <w:r>
              <w:rPr>
                <w:spacing w:val="-2"/>
                <w:sz w:val="20"/>
              </w:rPr>
              <w:t>Services</w:t>
            </w:r>
          </w:p>
        </w:tc>
      </w:tr>
    </w:tbl>
    <w:p>
      <w:pPr>
        <w:spacing w:after="0" w:line="259" w:lineRule="auto"/>
        <w:rPr>
          <w:sz w:val="20"/>
        </w:rPr>
        <w:sectPr>
          <w:footerReference w:type="default" r:id="rId55"/>
          <w:pgSz w:w="16840" w:h="11910" w:orient="landscape"/>
          <w:pgMar w:footer="770" w:header="0" w:top="900" w:bottom="960" w:left="600" w:right="700"/>
        </w:sectPr>
      </w:pPr>
    </w:p>
    <w:p>
      <w:pPr>
        <w:pStyle w:val="BodyText"/>
        <w:tabs>
          <w:tab w:pos="11857" w:val="left" w:leader="none"/>
        </w:tabs>
        <w:spacing w:line="291" w:lineRule="exact" w:before="79"/>
        <w:ind w:right="224"/>
        <w:jc w:val="right"/>
      </w:pPr>
      <w:r>
        <w:rPr/>
        <w:t>Recruitment</w:t>
      </w:r>
      <w:r>
        <w:rPr>
          <w:spacing w:val="-6"/>
        </w:rPr>
        <w:t> </w:t>
      </w:r>
      <w:r>
        <w:rPr>
          <w:spacing w:val="-2"/>
        </w:rPr>
        <w:t>Services</w:t>
      </w:r>
      <w:r>
        <w:rPr/>
        <w:tab/>
        <w:t>Final</w:t>
      </w:r>
      <w:r>
        <w:rPr>
          <w:spacing w:val="-6"/>
        </w:rPr>
        <w:t> </w:t>
      </w:r>
      <w:r>
        <w:rPr/>
        <w:t>Internal</w:t>
      </w:r>
      <w:r>
        <w:rPr>
          <w:spacing w:val="-3"/>
        </w:rPr>
        <w:t> </w:t>
      </w:r>
      <w:r>
        <w:rPr/>
        <w:t>Audit</w:t>
      </w:r>
      <w:r>
        <w:rPr>
          <w:spacing w:val="-1"/>
        </w:rPr>
        <w:t> </w:t>
      </w:r>
      <w:r>
        <w:rPr>
          <w:spacing w:val="-2"/>
        </w:rPr>
        <w:t>Report</w:t>
      </w:r>
    </w:p>
    <w:p>
      <w:pPr>
        <w:pStyle w:val="BodyText"/>
        <w:spacing w:line="291" w:lineRule="exact"/>
        <w:ind w:right="226"/>
        <w:jc w:val="right"/>
      </w:pPr>
      <w:r>
        <w:rPr/>
        <w:t>Appendix</w:t>
      </w:r>
      <w:r>
        <w:rPr>
          <w:spacing w:val="-5"/>
        </w:rPr>
        <w:t> </w:t>
      </w:r>
      <w:r>
        <w:rPr>
          <w:spacing w:val="-10"/>
        </w:rPr>
        <w:t>A</w:t>
      </w:r>
    </w:p>
    <w:p>
      <w:pPr>
        <w:pStyle w:val="BodyText"/>
        <w:spacing w:before="1"/>
        <w:rPr>
          <w:sz w:val="20"/>
        </w:rPr>
      </w:pPr>
      <w:r>
        <w:rPr/>
        <w:pict>
          <v:shape style="position:absolute;margin-left:41.760002pt;margin-top:13.446033pt;width:759.25pt;height:1.45pt;mso-position-horizontal-relative:page;mso-position-vertical-relative:paragraph;z-index:-15700992;mso-wrap-distance-left:0;mso-wrap-distance-right:0" id="docshape121" coordorigin="835,269" coordsize="15185,29" path="m16020,269l9371,269,9357,269,9342,269,835,269,835,298,9342,298,9357,298,9371,298,16020,298,16020,269xe" filled="true" fillcolor="#000000" stroked="false">
            <v:path arrowok="t"/>
            <v:fill type="solid"/>
            <w10:wrap type="topAndBottom"/>
          </v:shape>
        </w:pict>
      </w:r>
    </w:p>
    <w:p>
      <w:pPr>
        <w:pStyle w:val="BodyText"/>
        <w:rPr>
          <w:sz w:val="28"/>
        </w:rPr>
      </w:pPr>
    </w:p>
    <w:tbl>
      <w:tblPr>
        <w:tblW w:w="0" w:type="auto"/>
        <w:jc w:val="left"/>
        <w:tblInd w:w="115" w:type="dxa"/>
        <w:tblBorders>
          <w:top w:val="dashSmallGap" w:sz="4" w:space="0" w:color="A5A5A5"/>
          <w:left w:val="dashSmallGap" w:sz="4" w:space="0" w:color="A5A5A5"/>
          <w:bottom w:val="dashSmallGap" w:sz="4" w:space="0" w:color="A5A5A5"/>
          <w:right w:val="dashSmallGap" w:sz="4" w:space="0" w:color="A5A5A5"/>
          <w:insideH w:val="dashSmallGap" w:sz="4" w:space="0" w:color="A5A5A5"/>
          <w:insideV w:val="dashSmallGap" w:sz="4" w:space="0" w:color="A5A5A5"/>
        </w:tblBorders>
        <w:tblLayout w:type="fixed"/>
        <w:tblCellMar>
          <w:top w:w="0" w:type="dxa"/>
          <w:left w:w="0" w:type="dxa"/>
          <w:bottom w:w="0" w:type="dxa"/>
          <w:right w:w="0" w:type="dxa"/>
        </w:tblCellMar>
        <w:tblLook w:val="01E0"/>
      </w:tblPr>
      <w:tblGrid>
        <w:gridCol w:w="992"/>
        <w:gridCol w:w="8303"/>
        <w:gridCol w:w="2036"/>
        <w:gridCol w:w="3981"/>
      </w:tblGrid>
      <w:tr>
        <w:trPr>
          <w:trHeight w:val="475" w:hRule="atLeast"/>
        </w:trPr>
        <w:tc>
          <w:tcPr>
            <w:tcW w:w="11331" w:type="dxa"/>
            <w:gridSpan w:val="3"/>
            <w:tcBorders>
              <w:bottom w:val="nil"/>
            </w:tcBorders>
            <w:shd w:val="clear" w:color="auto" w:fill="2E5395"/>
          </w:tcPr>
          <w:p>
            <w:pPr>
              <w:pStyle w:val="TableParagraph"/>
              <w:spacing w:before="58"/>
              <w:ind w:left="107"/>
              <w:rPr>
                <w:sz w:val="20"/>
              </w:rPr>
            </w:pPr>
            <w:r>
              <w:rPr>
                <w:b/>
                <w:color w:val="FFFFFF"/>
                <w:sz w:val="20"/>
              </w:rPr>
              <w:t>Matter</w:t>
            </w:r>
            <w:r>
              <w:rPr>
                <w:b/>
                <w:color w:val="FFFFFF"/>
                <w:spacing w:val="-7"/>
                <w:sz w:val="20"/>
              </w:rPr>
              <w:t> </w:t>
            </w:r>
            <w:r>
              <w:rPr>
                <w:b/>
                <w:color w:val="FFFFFF"/>
                <w:sz w:val="20"/>
              </w:rPr>
              <w:t>Arising</w:t>
            </w:r>
            <w:r>
              <w:rPr>
                <w:b/>
                <w:color w:val="FFFFFF"/>
                <w:spacing w:val="-7"/>
                <w:sz w:val="20"/>
              </w:rPr>
              <w:t> </w:t>
            </w:r>
            <w:r>
              <w:rPr>
                <w:b/>
                <w:color w:val="FFFFFF"/>
                <w:sz w:val="20"/>
              </w:rPr>
              <w:t>2:</w:t>
            </w:r>
            <w:r>
              <w:rPr>
                <w:b/>
                <w:color w:val="FFFFFF"/>
                <w:spacing w:val="-9"/>
                <w:sz w:val="20"/>
              </w:rPr>
              <w:t> </w:t>
            </w:r>
            <w:r>
              <w:rPr>
                <w:b/>
                <w:color w:val="FFFFFF"/>
                <w:sz w:val="20"/>
              </w:rPr>
              <w:t>Customer</w:t>
            </w:r>
            <w:r>
              <w:rPr>
                <w:b/>
                <w:color w:val="FFFFFF"/>
                <w:spacing w:val="-9"/>
                <w:sz w:val="20"/>
              </w:rPr>
              <w:t> </w:t>
            </w:r>
            <w:r>
              <w:rPr>
                <w:b/>
                <w:color w:val="FFFFFF"/>
                <w:sz w:val="20"/>
              </w:rPr>
              <w:t>Survey</w:t>
            </w:r>
            <w:r>
              <w:rPr>
                <w:b/>
                <w:color w:val="FFFFFF"/>
                <w:spacing w:val="-7"/>
                <w:sz w:val="20"/>
              </w:rPr>
              <w:t> </w:t>
            </w:r>
            <w:r>
              <w:rPr>
                <w:b/>
                <w:color w:val="FFFFFF"/>
                <w:sz w:val="20"/>
              </w:rPr>
              <w:t>Analysis</w:t>
            </w:r>
            <w:r>
              <w:rPr>
                <w:b/>
                <w:color w:val="FFFFFF"/>
                <w:spacing w:val="-4"/>
                <w:sz w:val="20"/>
              </w:rPr>
              <w:t> </w:t>
            </w:r>
            <w:r>
              <w:rPr>
                <w:color w:val="FFFFFF"/>
                <w:spacing w:val="-2"/>
                <w:sz w:val="20"/>
              </w:rPr>
              <w:t>(Operation)</w:t>
            </w:r>
          </w:p>
        </w:tc>
        <w:tc>
          <w:tcPr>
            <w:tcW w:w="3981" w:type="dxa"/>
            <w:tcBorders>
              <w:bottom w:val="nil"/>
            </w:tcBorders>
            <w:shd w:val="clear" w:color="auto" w:fill="2E5395"/>
          </w:tcPr>
          <w:p>
            <w:pPr>
              <w:pStyle w:val="TableParagraph"/>
              <w:spacing w:before="58"/>
              <w:ind w:left="106"/>
              <w:rPr>
                <w:b/>
                <w:sz w:val="20"/>
              </w:rPr>
            </w:pPr>
            <w:r>
              <w:rPr>
                <w:b/>
                <w:color w:val="FFFFFF"/>
                <w:spacing w:val="-2"/>
                <w:sz w:val="20"/>
              </w:rPr>
              <w:t>Impact</w:t>
            </w:r>
          </w:p>
        </w:tc>
      </w:tr>
      <w:tr>
        <w:trPr>
          <w:trHeight w:val="1934" w:hRule="atLeast"/>
        </w:trPr>
        <w:tc>
          <w:tcPr>
            <w:tcW w:w="11331" w:type="dxa"/>
            <w:gridSpan w:val="3"/>
            <w:tcBorders>
              <w:top w:val="nil"/>
              <w:bottom w:val="nil"/>
            </w:tcBorders>
          </w:tcPr>
          <w:p>
            <w:pPr>
              <w:pStyle w:val="TableParagraph"/>
              <w:spacing w:before="55"/>
              <w:ind w:left="107"/>
              <w:rPr>
                <w:sz w:val="20"/>
              </w:rPr>
            </w:pPr>
            <w:r>
              <w:rPr>
                <w:sz w:val="20"/>
              </w:rPr>
              <w:t>We</w:t>
            </w:r>
            <w:r>
              <w:rPr>
                <w:spacing w:val="-10"/>
                <w:sz w:val="20"/>
              </w:rPr>
              <w:t> </w:t>
            </w:r>
            <w:r>
              <w:rPr>
                <w:sz w:val="20"/>
              </w:rPr>
              <w:t>were</w:t>
            </w:r>
            <w:r>
              <w:rPr>
                <w:spacing w:val="-10"/>
                <w:sz w:val="20"/>
              </w:rPr>
              <w:t> </w:t>
            </w:r>
            <w:r>
              <w:rPr>
                <w:sz w:val="20"/>
              </w:rPr>
              <w:t>informed</w:t>
            </w:r>
            <w:r>
              <w:rPr>
                <w:spacing w:val="-11"/>
                <w:sz w:val="20"/>
              </w:rPr>
              <w:t> </w:t>
            </w:r>
            <w:r>
              <w:rPr>
                <w:sz w:val="20"/>
              </w:rPr>
              <w:t>that</w:t>
            </w:r>
            <w:r>
              <w:rPr>
                <w:spacing w:val="-8"/>
                <w:sz w:val="20"/>
              </w:rPr>
              <w:t> </w:t>
            </w:r>
            <w:r>
              <w:rPr>
                <w:sz w:val="20"/>
              </w:rPr>
              <w:t>due</w:t>
            </w:r>
            <w:r>
              <w:rPr>
                <w:spacing w:val="-13"/>
                <w:sz w:val="20"/>
              </w:rPr>
              <w:t> </w:t>
            </w:r>
            <w:r>
              <w:rPr>
                <w:sz w:val="20"/>
              </w:rPr>
              <w:t>to</w:t>
            </w:r>
            <w:r>
              <w:rPr>
                <w:spacing w:val="-10"/>
                <w:sz w:val="20"/>
              </w:rPr>
              <w:t> </w:t>
            </w:r>
            <w:r>
              <w:rPr>
                <w:sz w:val="20"/>
              </w:rPr>
              <w:t>recent</w:t>
            </w:r>
            <w:r>
              <w:rPr>
                <w:spacing w:val="-11"/>
                <w:sz w:val="20"/>
              </w:rPr>
              <w:t> </w:t>
            </w:r>
            <w:r>
              <w:rPr>
                <w:sz w:val="20"/>
              </w:rPr>
              <w:t>work</w:t>
            </w:r>
            <w:r>
              <w:rPr>
                <w:spacing w:val="-10"/>
                <w:sz w:val="20"/>
              </w:rPr>
              <w:t> </w:t>
            </w:r>
            <w:r>
              <w:rPr>
                <w:sz w:val="20"/>
              </w:rPr>
              <w:t>pressures,</w:t>
            </w:r>
            <w:r>
              <w:rPr>
                <w:spacing w:val="-12"/>
                <w:sz w:val="20"/>
              </w:rPr>
              <w:t> </w:t>
            </w:r>
            <w:r>
              <w:rPr>
                <w:sz w:val="20"/>
              </w:rPr>
              <w:t>a</w:t>
            </w:r>
            <w:r>
              <w:rPr>
                <w:spacing w:val="-9"/>
                <w:sz w:val="20"/>
              </w:rPr>
              <w:t> </w:t>
            </w:r>
            <w:r>
              <w:rPr>
                <w:sz w:val="20"/>
              </w:rPr>
              <w:t>review</w:t>
            </w:r>
            <w:r>
              <w:rPr>
                <w:spacing w:val="-9"/>
                <w:sz w:val="20"/>
              </w:rPr>
              <w:t> </w:t>
            </w:r>
            <w:r>
              <w:rPr>
                <w:sz w:val="20"/>
              </w:rPr>
              <w:t>of</w:t>
            </w:r>
            <w:r>
              <w:rPr>
                <w:spacing w:val="-10"/>
                <w:sz w:val="20"/>
              </w:rPr>
              <w:t> </w:t>
            </w:r>
            <w:r>
              <w:rPr>
                <w:sz w:val="20"/>
              </w:rPr>
              <w:t>customer</w:t>
            </w:r>
            <w:r>
              <w:rPr>
                <w:spacing w:val="-11"/>
                <w:sz w:val="20"/>
              </w:rPr>
              <w:t> </w:t>
            </w:r>
            <w:r>
              <w:rPr>
                <w:sz w:val="20"/>
              </w:rPr>
              <w:t>satisfaction</w:t>
            </w:r>
            <w:r>
              <w:rPr>
                <w:spacing w:val="-10"/>
                <w:sz w:val="20"/>
              </w:rPr>
              <w:t> </w:t>
            </w:r>
            <w:r>
              <w:rPr>
                <w:sz w:val="20"/>
              </w:rPr>
              <w:t>surveys</w:t>
            </w:r>
            <w:r>
              <w:rPr>
                <w:spacing w:val="-10"/>
                <w:sz w:val="20"/>
              </w:rPr>
              <w:t> </w:t>
            </w:r>
            <w:r>
              <w:rPr>
                <w:sz w:val="20"/>
              </w:rPr>
              <w:t>have</w:t>
            </w:r>
            <w:r>
              <w:rPr>
                <w:spacing w:val="-13"/>
                <w:sz w:val="20"/>
              </w:rPr>
              <w:t> </w:t>
            </w:r>
            <w:r>
              <w:rPr>
                <w:sz w:val="20"/>
              </w:rPr>
              <w:t>not</w:t>
            </w:r>
            <w:r>
              <w:rPr>
                <w:spacing w:val="-11"/>
                <w:sz w:val="20"/>
              </w:rPr>
              <w:t> </w:t>
            </w:r>
            <w:r>
              <w:rPr>
                <w:sz w:val="20"/>
              </w:rPr>
              <w:t>taken place since February 2022.</w:t>
            </w:r>
          </w:p>
        </w:tc>
        <w:tc>
          <w:tcPr>
            <w:tcW w:w="3981" w:type="dxa"/>
            <w:tcBorders>
              <w:top w:val="nil"/>
              <w:bottom w:val="nil"/>
            </w:tcBorders>
          </w:tcPr>
          <w:p>
            <w:pPr>
              <w:pStyle w:val="TableParagraph"/>
              <w:spacing w:before="55"/>
              <w:ind w:left="106" w:right="97"/>
              <w:jc w:val="both"/>
              <w:rPr>
                <w:sz w:val="20"/>
              </w:rPr>
            </w:pPr>
            <w:r>
              <w:rPr>
                <w:sz w:val="20"/>
              </w:rPr>
              <w:t>Inefficient recruitment processes impact the ability to recruit and appoint suitable candidates within NHS Wales, potentially resulting in service disruption causing harm to patients,</w:t>
            </w:r>
            <w:r>
              <w:rPr>
                <w:spacing w:val="-17"/>
                <w:sz w:val="20"/>
              </w:rPr>
              <w:t> </w:t>
            </w:r>
            <w:r>
              <w:rPr>
                <w:sz w:val="20"/>
              </w:rPr>
              <w:t>increased</w:t>
            </w:r>
            <w:r>
              <w:rPr>
                <w:spacing w:val="-14"/>
                <w:sz w:val="20"/>
              </w:rPr>
              <w:t> </w:t>
            </w:r>
            <w:r>
              <w:rPr>
                <w:sz w:val="20"/>
              </w:rPr>
              <w:t>agency</w:t>
            </w:r>
            <w:r>
              <w:rPr>
                <w:spacing w:val="-16"/>
                <w:sz w:val="20"/>
              </w:rPr>
              <w:t> </w:t>
            </w:r>
            <w:r>
              <w:rPr>
                <w:sz w:val="20"/>
              </w:rPr>
              <w:t>staff</w:t>
            </w:r>
            <w:r>
              <w:rPr>
                <w:spacing w:val="-16"/>
                <w:sz w:val="20"/>
              </w:rPr>
              <w:t> </w:t>
            </w:r>
            <w:r>
              <w:rPr>
                <w:sz w:val="20"/>
              </w:rPr>
              <w:t>costs and reputational damage.</w:t>
            </w:r>
          </w:p>
        </w:tc>
      </w:tr>
      <w:tr>
        <w:trPr>
          <w:trHeight w:val="484" w:hRule="atLeast"/>
        </w:trPr>
        <w:tc>
          <w:tcPr>
            <w:tcW w:w="11331" w:type="dxa"/>
            <w:gridSpan w:val="3"/>
            <w:tcBorders>
              <w:top w:val="nil"/>
            </w:tcBorders>
            <w:shd w:val="clear" w:color="auto" w:fill="2E5395"/>
          </w:tcPr>
          <w:p>
            <w:pPr>
              <w:pStyle w:val="TableParagraph"/>
              <w:spacing w:before="58"/>
              <w:ind w:left="107"/>
              <w:rPr>
                <w:b/>
                <w:sz w:val="20"/>
              </w:rPr>
            </w:pPr>
            <w:r>
              <w:rPr>
                <w:b/>
                <w:color w:val="FFFFFF"/>
                <w:spacing w:val="-2"/>
                <w:sz w:val="20"/>
              </w:rPr>
              <w:t>Recommendation</w:t>
            </w:r>
          </w:p>
        </w:tc>
        <w:tc>
          <w:tcPr>
            <w:tcW w:w="3981" w:type="dxa"/>
            <w:tcBorders>
              <w:top w:val="nil"/>
            </w:tcBorders>
            <w:shd w:val="clear" w:color="auto" w:fill="2E5395"/>
          </w:tcPr>
          <w:p>
            <w:pPr>
              <w:pStyle w:val="TableParagraph"/>
              <w:spacing w:before="58"/>
              <w:ind w:left="1528" w:right="1526"/>
              <w:jc w:val="center"/>
              <w:rPr>
                <w:b/>
                <w:sz w:val="20"/>
              </w:rPr>
            </w:pPr>
            <w:r>
              <w:rPr>
                <w:b/>
                <w:color w:val="FFFFFF"/>
                <w:spacing w:val="-2"/>
                <w:sz w:val="20"/>
              </w:rPr>
              <w:t>Priority</w:t>
            </w:r>
          </w:p>
        </w:tc>
      </w:tr>
      <w:tr>
        <w:trPr>
          <w:trHeight w:val="923" w:hRule="atLeast"/>
        </w:trPr>
        <w:tc>
          <w:tcPr>
            <w:tcW w:w="992" w:type="dxa"/>
          </w:tcPr>
          <w:p>
            <w:pPr>
              <w:pStyle w:val="TableParagraph"/>
              <w:spacing w:before="55"/>
              <w:ind w:left="107"/>
              <w:rPr>
                <w:sz w:val="20"/>
              </w:rPr>
            </w:pPr>
            <w:r>
              <w:rPr>
                <w:spacing w:val="-5"/>
                <w:sz w:val="20"/>
              </w:rPr>
              <w:t>2.1</w:t>
            </w:r>
          </w:p>
        </w:tc>
        <w:tc>
          <w:tcPr>
            <w:tcW w:w="10339" w:type="dxa"/>
            <w:gridSpan w:val="2"/>
          </w:tcPr>
          <w:p>
            <w:pPr>
              <w:pStyle w:val="TableParagraph"/>
              <w:spacing w:before="55"/>
              <w:ind w:left="145"/>
              <w:rPr>
                <w:sz w:val="20"/>
              </w:rPr>
            </w:pPr>
            <w:r>
              <w:rPr>
                <w:sz w:val="20"/>
              </w:rPr>
              <w:t>Feedback</w:t>
            </w:r>
            <w:r>
              <w:rPr>
                <w:spacing w:val="-4"/>
                <w:sz w:val="20"/>
              </w:rPr>
              <w:t> </w:t>
            </w:r>
            <w:r>
              <w:rPr>
                <w:sz w:val="20"/>
              </w:rPr>
              <w:t>received</w:t>
            </w:r>
            <w:r>
              <w:rPr>
                <w:spacing w:val="-3"/>
                <w:sz w:val="20"/>
              </w:rPr>
              <w:t> </w:t>
            </w:r>
            <w:r>
              <w:rPr>
                <w:sz w:val="20"/>
              </w:rPr>
              <w:t>via</w:t>
            </w:r>
            <w:r>
              <w:rPr>
                <w:spacing w:val="-5"/>
                <w:sz w:val="20"/>
              </w:rPr>
              <w:t> </w:t>
            </w:r>
            <w:r>
              <w:rPr>
                <w:sz w:val="20"/>
              </w:rPr>
              <w:t>the</w:t>
            </w:r>
            <w:r>
              <w:rPr>
                <w:spacing w:val="-6"/>
                <w:sz w:val="20"/>
              </w:rPr>
              <w:t> </w:t>
            </w:r>
            <w:r>
              <w:rPr>
                <w:sz w:val="20"/>
              </w:rPr>
              <w:t>customer</w:t>
            </w:r>
            <w:r>
              <w:rPr>
                <w:spacing w:val="-4"/>
                <w:sz w:val="20"/>
              </w:rPr>
              <w:t> </w:t>
            </w:r>
            <w:r>
              <w:rPr>
                <w:sz w:val="20"/>
              </w:rPr>
              <w:t>satisfaction</w:t>
            </w:r>
            <w:r>
              <w:rPr>
                <w:spacing w:val="-4"/>
                <w:sz w:val="20"/>
              </w:rPr>
              <w:t> </w:t>
            </w:r>
            <w:r>
              <w:rPr>
                <w:sz w:val="20"/>
              </w:rPr>
              <w:t>surveys</w:t>
            </w:r>
            <w:r>
              <w:rPr>
                <w:spacing w:val="-3"/>
                <w:sz w:val="20"/>
              </w:rPr>
              <w:t> </w:t>
            </w:r>
            <w:r>
              <w:rPr>
                <w:sz w:val="20"/>
              </w:rPr>
              <w:t>should</w:t>
            </w:r>
            <w:r>
              <w:rPr>
                <w:spacing w:val="-4"/>
                <w:sz w:val="20"/>
              </w:rPr>
              <w:t> </w:t>
            </w:r>
            <w:r>
              <w:rPr>
                <w:sz w:val="20"/>
              </w:rPr>
              <w:t>be</w:t>
            </w:r>
            <w:r>
              <w:rPr>
                <w:spacing w:val="-6"/>
                <w:sz w:val="20"/>
              </w:rPr>
              <w:t> </w:t>
            </w:r>
            <w:r>
              <w:rPr>
                <w:sz w:val="20"/>
              </w:rPr>
              <w:t>reviewed</w:t>
            </w:r>
            <w:r>
              <w:rPr>
                <w:spacing w:val="-4"/>
                <w:sz w:val="20"/>
              </w:rPr>
              <w:t> </w:t>
            </w:r>
            <w:r>
              <w:rPr>
                <w:sz w:val="20"/>
              </w:rPr>
              <w:t>and</w:t>
            </w:r>
            <w:r>
              <w:rPr>
                <w:spacing w:val="-4"/>
                <w:sz w:val="20"/>
              </w:rPr>
              <w:t> </w:t>
            </w:r>
            <w:r>
              <w:rPr>
                <w:sz w:val="20"/>
              </w:rPr>
              <w:t>analysed</w:t>
            </w:r>
            <w:r>
              <w:rPr>
                <w:spacing w:val="-3"/>
                <w:sz w:val="20"/>
              </w:rPr>
              <w:t> </w:t>
            </w:r>
            <w:r>
              <w:rPr>
                <w:sz w:val="20"/>
              </w:rPr>
              <w:t>on</w:t>
            </w:r>
            <w:r>
              <w:rPr>
                <w:spacing w:val="-2"/>
                <w:sz w:val="20"/>
              </w:rPr>
              <w:t> </w:t>
            </w:r>
            <w:r>
              <w:rPr>
                <w:sz w:val="20"/>
              </w:rPr>
              <w:t>a regular basis to identify and address areas requiring improvement.</w:t>
            </w:r>
          </w:p>
        </w:tc>
        <w:tc>
          <w:tcPr>
            <w:tcW w:w="3981" w:type="dxa"/>
            <w:shd w:val="clear" w:color="auto" w:fill="FFFF00"/>
          </w:tcPr>
          <w:p>
            <w:pPr>
              <w:pStyle w:val="TableParagraph"/>
              <w:rPr>
                <w:sz w:val="28"/>
              </w:rPr>
            </w:pPr>
          </w:p>
          <w:p>
            <w:pPr>
              <w:pStyle w:val="TableParagraph"/>
              <w:spacing w:before="1"/>
              <w:ind w:left="1531" w:right="1526"/>
              <w:jc w:val="center"/>
              <w:rPr>
                <w:b/>
                <w:sz w:val="20"/>
              </w:rPr>
            </w:pPr>
            <w:r>
              <w:rPr>
                <w:b/>
                <w:spacing w:val="-2"/>
                <w:sz w:val="20"/>
              </w:rPr>
              <w:t>Medium</w:t>
            </w:r>
          </w:p>
        </w:tc>
      </w:tr>
      <w:tr>
        <w:trPr>
          <w:trHeight w:val="475" w:hRule="atLeast"/>
        </w:trPr>
        <w:tc>
          <w:tcPr>
            <w:tcW w:w="9295" w:type="dxa"/>
            <w:gridSpan w:val="2"/>
            <w:tcBorders>
              <w:bottom w:val="nil"/>
            </w:tcBorders>
            <w:shd w:val="clear" w:color="auto" w:fill="2E5395"/>
          </w:tcPr>
          <w:p>
            <w:pPr>
              <w:pStyle w:val="TableParagraph"/>
              <w:spacing w:before="58"/>
              <w:ind w:left="107"/>
              <w:rPr>
                <w:b/>
                <w:sz w:val="20"/>
              </w:rPr>
            </w:pPr>
            <w:r>
              <w:rPr>
                <w:b/>
                <w:color w:val="FFFFFF"/>
                <w:sz w:val="20"/>
              </w:rPr>
              <w:t>Agreed</w:t>
            </w:r>
            <w:r>
              <w:rPr>
                <w:b/>
                <w:color w:val="FFFFFF"/>
                <w:spacing w:val="-14"/>
                <w:sz w:val="20"/>
              </w:rPr>
              <w:t> </w:t>
            </w:r>
            <w:r>
              <w:rPr>
                <w:b/>
                <w:color w:val="FFFFFF"/>
                <w:sz w:val="20"/>
              </w:rPr>
              <w:t>Management</w:t>
            </w:r>
            <w:r>
              <w:rPr>
                <w:b/>
                <w:color w:val="FFFFFF"/>
                <w:spacing w:val="-12"/>
                <w:sz w:val="20"/>
              </w:rPr>
              <w:t> </w:t>
            </w:r>
            <w:r>
              <w:rPr>
                <w:b/>
                <w:color w:val="FFFFFF"/>
                <w:spacing w:val="-2"/>
                <w:sz w:val="20"/>
              </w:rPr>
              <w:t>Action</w:t>
            </w:r>
          </w:p>
        </w:tc>
        <w:tc>
          <w:tcPr>
            <w:tcW w:w="2036" w:type="dxa"/>
            <w:tcBorders>
              <w:bottom w:val="nil"/>
            </w:tcBorders>
            <w:shd w:val="clear" w:color="auto" w:fill="2E5395"/>
          </w:tcPr>
          <w:p>
            <w:pPr>
              <w:pStyle w:val="TableParagraph"/>
              <w:spacing w:before="58"/>
              <w:ind w:left="95" w:right="91"/>
              <w:jc w:val="center"/>
              <w:rPr>
                <w:b/>
                <w:sz w:val="20"/>
              </w:rPr>
            </w:pPr>
            <w:r>
              <w:rPr>
                <w:b/>
                <w:color w:val="FFFFFF"/>
                <w:sz w:val="20"/>
              </w:rPr>
              <w:t>Target</w:t>
            </w:r>
            <w:r>
              <w:rPr>
                <w:b/>
                <w:color w:val="FFFFFF"/>
                <w:spacing w:val="-11"/>
                <w:sz w:val="20"/>
              </w:rPr>
              <w:t> </w:t>
            </w:r>
            <w:r>
              <w:rPr>
                <w:b/>
                <w:color w:val="FFFFFF"/>
                <w:spacing w:val="-4"/>
                <w:sz w:val="20"/>
              </w:rPr>
              <w:t>Date</w:t>
            </w:r>
          </w:p>
        </w:tc>
        <w:tc>
          <w:tcPr>
            <w:tcW w:w="3981" w:type="dxa"/>
            <w:tcBorders>
              <w:bottom w:val="nil"/>
            </w:tcBorders>
            <w:shd w:val="clear" w:color="auto" w:fill="2E5395"/>
          </w:tcPr>
          <w:p>
            <w:pPr>
              <w:pStyle w:val="TableParagraph"/>
              <w:spacing w:before="58"/>
              <w:ind w:left="898"/>
              <w:rPr>
                <w:b/>
                <w:sz w:val="20"/>
              </w:rPr>
            </w:pPr>
            <w:r>
              <w:rPr>
                <w:b/>
                <w:color w:val="FFFFFF"/>
                <w:spacing w:val="-2"/>
                <w:sz w:val="20"/>
              </w:rPr>
              <w:t>Responsible</w:t>
            </w:r>
            <w:r>
              <w:rPr>
                <w:b/>
                <w:color w:val="FFFFFF"/>
                <w:spacing w:val="4"/>
                <w:sz w:val="20"/>
              </w:rPr>
              <w:t> </w:t>
            </w:r>
            <w:r>
              <w:rPr>
                <w:b/>
                <w:color w:val="FFFFFF"/>
                <w:spacing w:val="-2"/>
                <w:sz w:val="20"/>
              </w:rPr>
              <w:t>Officer</w:t>
            </w:r>
          </w:p>
        </w:tc>
      </w:tr>
      <w:tr>
        <w:trPr>
          <w:trHeight w:val="1490" w:hRule="atLeast"/>
        </w:trPr>
        <w:tc>
          <w:tcPr>
            <w:tcW w:w="992" w:type="dxa"/>
            <w:tcBorders>
              <w:top w:val="nil"/>
            </w:tcBorders>
          </w:tcPr>
          <w:p>
            <w:pPr>
              <w:pStyle w:val="TableParagraph"/>
              <w:spacing w:before="58"/>
              <w:ind w:left="107"/>
              <w:rPr>
                <w:sz w:val="20"/>
              </w:rPr>
            </w:pPr>
            <w:r>
              <w:rPr>
                <w:spacing w:val="-5"/>
                <w:sz w:val="20"/>
              </w:rPr>
              <w:t>2.1</w:t>
            </w:r>
          </w:p>
        </w:tc>
        <w:tc>
          <w:tcPr>
            <w:tcW w:w="8303" w:type="dxa"/>
            <w:tcBorders>
              <w:top w:val="nil"/>
            </w:tcBorders>
          </w:tcPr>
          <w:p>
            <w:pPr>
              <w:pStyle w:val="TableParagraph"/>
              <w:spacing w:before="58"/>
              <w:ind w:left="145" w:right="119"/>
              <w:jc w:val="both"/>
              <w:rPr>
                <w:sz w:val="20"/>
              </w:rPr>
            </w:pPr>
            <w:r>
              <w:rPr>
                <w:sz w:val="20"/>
              </w:rPr>
              <w:t>Due to service pressures and significant change programmes running in the department</w:t>
            </w:r>
            <w:r>
              <w:rPr>
                <w:spacing w:val="-18"/>
                <w:sz w:val="20"/>
              </w:rPr>
              <w:t> </w:t>
            </w:r>
            <w:r>
              <w:rPr>
                <w:sz w:val="20"/>
              </w:rPr>
              <w:t>the</w:t>
            </w:r>
            <w:r>
              <w:rPr>
                <w:spacing w:val="-18"/>
                <w:sz w:val="20"/>
              </w:rPr>
              <w:t> </w:t>
            </w:r>
            <w:r>
              <w:rPr>
                <w:sz w:val="20"/>
              </w:rPr>
              <w:t>survey</w:t>
            </w:r>
            <w:r>
              <w:rPr>
                <w:spacing w:val="-17"/>
                <w:sz w:val="20"/>
              </w:rPr>
              <w:t> </w:t>
            </w:r>
            <w:r>
              <w:rPr>
                <w:sz w:val="20"/>
              </w:rPr>
              <w:t>analysis</w:t>
            </w:r>
            <w:r>
              <w:rPr>
                <w:spacing w:val="-18"/>
                <w:sz w:val="20"/>
              </w:rPr>
              <w:t> </w:t>
            </w:r>
            <w:r>
              <w:rPr>
                <w:sz w:val="20"/>
              </w:rPr>
              <w:t>has</w:t>
            </w:r>
            <w:r>
              <w:rPr>
                <w:spacing w:val="-17"/>
                <w:sz w:val="20"/>
              </w:rPr>
              <w:t> </w:t>
            </w:r>
            <w:r>
              <w:rPr>
                <w:sz w:val="20"/>
              </w:rPr>
              <w:t>not</w:t>
            </w:r>
            <w:r>
              <w:rPr>
                <w:spacing w:val="-18"/>
                <w:sz w:val="20"/>
              </w:rPr>
              <w:t> </w:t>
            </w:r>
            <w:r>
              <w:rPr>
                <w:sz w:val="20"/>
              </w:rPr>
              <w:t>been</w:t>
            </w:r>
            <w:r>
              <w:rPr>
                <w:spacing w:val="-18"/>
                <w:sz w:val="20"/>
              </w:rPr>
              <w:t> </w:t>
            </w:r>
            <w:r>
              <w:rPr>
                <w:sz w:val="20"/>
              </w:rPr>
              <w:t>completed</w:t>
            </w:r>
            <w:r>
              <w:rPr>
                <w:spacing w:val="-17"/>
                <w:sz w:val="20"/>
              </w:rPr>
              <w:t> </w:t>
            </w:r>
            <w:r>
              <w:rPr>
                <w:sz w:val="20"/>
              </w:rPr>
              <w:t>as</w:t>
            </w:r>
            <w:r>
              <w:rPr>
                <w:spacing w:val="-18"/>
                <w:sz w:val="20"/>
              </w:rPr>
              <w:t> </w:t>
            </w:r>
            <w:r>
              <w:rPr>
                <w:sz w:val="20"/>
              </w:rPr>
              <w:t>regularly</w:t>
            </w:r>
            <w:r>
              <w:rPr>
                <w:spacing w:val="-17"/>
                <w:sz w:val="20"/>
              </w:rPr>
              <w:t> </w:t>
            </w:r>
            <w:r>
              <w:rPr>
                <w:sz w:val="20"/>
              </w:rPr>
              <w:t>as</w:t>
            </w:r>
            <w:r>
              <w:rPr>
                <w:spacing w:val="-18"/>
                <w:sz w:val="20"/>
              </w:rPr>
              <w:t> </w:t>
            </w:r>
            <w:r>
              <w:rPr>
                <w:sz w:val="20"/>
              </w:rPr>
              <w:t>required. Once the Recruitment Modernisation process changes are implemented for all Health Bodies, and the Trust ID system is embedded across Wales, the Recruitment Service will analyse survey responses quarterly.</w:t>
            </w:r>
          </w:p>
        </w:tc>
        <w:tc>
          <w:tcPr>
            <w:tcW w:w="2036" w:type="dxa"/>
            <w:tcBorders>
              <w:top w:val="nil"/>
            </w:tcBorders>
          </w:tcPr>
          <w:p>
            <w:pPr>
              <w:pStyle w:val="TableParagraph"/>
              <w:spacing w:before="58"/>
              <w:ind w:left="95" w:right="92"/>
              <w:jc w:val="center"/>
              <w:rPr>
                <w:sz w:val="20"/>
              </w:rPr>
            </w:pPr>
            <w:r>
              <w:rPr>
                <w:sz w:val="20"/>
              </w:rPr>
              <w:t>31</w:t>
            </w:r>
            <w:r>
              <w:rPr>
                <w:position w:val="7"/>
                <w:sz w:val="13"/>
              </w:rPr>
              <w:t>st</w:t>
            </w:r>
            <w:r>
              <w:rPr>
                <w:spacing w:val="16"/>
                <w:position w:val="7"/>
                <w:sz w:val="13"/>
              </w:rPr>
              <w:t> </w:t>
            </w:r>
            <w:r>
              <w:rPr>
                <w:sz w:val="20"/>
              </w:rPr>
              <w:t>January</w:t>
            </w:r>
            <w:r>
              <w:rPr>
                <w:spacing w:val="-7"/>
                <w:sz w:val="20"/>
              </w:rPr>
              <w:t> </w:t>
            </w:r>
            <w:r>
              <w:rPr>
                <w:spacing w:val="-4"/>
                <w:sz w:val="20"/>
              </w:rPr>
              <w:t>2023</w:t>
            </w:r>
          </w:p>
        </w:tc>
        <w:tc>
          <w:tcPr>
            <w:tcW w:w="3981" w:type="dxa"/>
            <w:tcBorders>
              <w:top w:val="nil"/>
            </w:tcBorders>
          </w:tcPr>
          <w:p>
            <w:pPr>
              <w:pStyle w:val="TableParagraph"/>
              <w:spacing w:line="259" w:lineRule="auto" w:before="58"/>
              <w:ind w:left="1568" w:hanging="1268"/>
              <w:rPr>
                <w:sz w:val="20"/>
              </w:rPr>
            </w:pPr>
            <w:r>
              <w:rPr>
                <w:sz w:val="20"/>
              </w:rPr>
              <w:t>Assistant</w:t>
            </w:r>
            <w:r>
              <w:rPr>
                <w:spacing w:val="-13"/>
                <w:sz w:val="20"/>
              </w:rPr>
              <w:t> </w:t>
            </w:r>
            <w:r>
              <w:rPr>
                <w:sz w:val="20"/>
              </w:rPr>
              <w:t>Director</w:t>
            </w:r>
            <w:r>
              <w:rPr>
                <w:spacing w:val="-15"/>
                <w:sz w:val="20"/>
              </w:rPr>
              <w:t> </w:t>
            </w:r>
            <w:r>
              <w:rPr>
                <w:sz w:val="20"/>
              </w:rPr>
              <w:t>of</w:t>
            </w:r>
            <w:r>
              <w:rPr>
                <w:spacing w:val="-12"/>
                <w:sz w:val="20"/>
              </w:rPr>
              <w:t> </w:t>
            </w:r>
            <w:r>
              <w:rPr>
                <w:sz w:val="20"/>
              </w:rPr>
              <w:t>Employment </w:t>
            </w:r>
            <w:r>
              <w:rPr>
                <w:spacing w:val="-2"/>
                <w:sz w:val="20"/>
              </w:rPr>
              <w:t>Services</w:t>
            </w:r>
          </w:p>
        </w:tc>
      </w:tr>
    </w:tbl>
    <w:p>
      <w:pPr>
        <w:spacing w:after="0" w:line="259" w:lineRule="auto"/>
        <w:rPr>
          <w:sz w:val="20"/>
        </w:rPr>
        <w:sectPr>
          <w:footerReference w:type="default" r:id="rId56"/>
          <w:pgSz w:w="16840" w:h="11910" w:orient="landscape"/>
          <w:pgMar w:footer="770" w:header="0" w:top="900" w:bottom="960" w:left="600" w:right="700"/>
        </w:sectPr>
      </w:pPr>
    </w:p>
    <w:p>
      <w:pPr>
        <w:pStyle w:val="BodyText"/>
        <w:tabs>
          <w:tab w:pos="7892" w:val="left" w:leader="none"/>
        </w:tabs>
        <w:spacing w:before="77"/>
        <w:ind w:left="9729" w:right="809" w:hanging="9163"/>
        <w:jc w:val="right"/>
      </w:pPr>
      <w:r>
        <w:rPr/>
        <w:t>Recruitment Services</w:t>
        <w:tab/>
        <w:t>Final</w:t>
      </w:r>
      <w:r>
        <w:rPr>
          <w:spacing w:val="-12"/>
        </w:rPr>
        <w:t> </w:t>
      </w:r>
      <w:r>
        <w:rPr/>
        <w:t>Internal</w:t>
      </w:r>
      <w:r>
        <w:rPr>
          <w:spacing w:val="-12"/>
        </w:rPr>
        <w:t> </w:t>
      </w:r>
      <w:r>
        <w:rPr/>
        <w:t>Audit</w:t>
      </w:r>
      <w:r>
        <w:rPr>
          <w:spacing w:val="-10"/>
        </w:rPr>
        <w:t> </w:t>
      </w:r>
      <w:r>
        <w:rPr/>
        <w:t>Report Appendix</w:t>
      </w:r>
      <w:r>
        <w:rPr>
          <w:spacing w:val="-5"/>
        </w:rPr>
        <w:t> </w:t>
      </w:r>
      <w:r>
        <w:rPr>
          <w:spacing w:val="-10"/>
        </w:rPr>
        <w:t>B</w:t>
      </w:r>
    </w:p>
    <w:p>
      <w:pPr>
        <w:pStyle w:val="BodyText"/>
        <w:rPr>
          <w:sz w:val="20"/>
        </w:rPr>
      </w:pPr>
      <w:r>
        <w:rPr/>
        <w:pict>
          <v:shape style="position:absolute;margin-left:27.6pt;margin-top:13.401996pt;width:532.450pt;height:1.45pt;mso-position-horizontal-relative:page;mso-position-vertical-relative:paragraph;z-index:-15700480;mso-wrap-distance-left:0;mso-wrap-distance-right:0" id="docshape124" coordorigin="552,268" coordsize="10649,29" path="m6529,268l6515,268,6501,268,552,268,552,297,6501,297,6515,297,6529,297,6529,268xm11200,268l6529,268,6529,297,11200,297,11200,268xe" filled="true" fillcolor="#000000" stroked="false">
            <v:path arrowok="t"/>
            <v:fill type="solid"/>
            <w10:wrap type="topAndBottom"/>
          </v:shape>
        </w:pict>
      </w:r>
    </w:p>
    <w:p>
      <w:pPr>
        <w:pStyle w:val="BodyText"/>
        <w:rPr>
          <w:sz w:val="20"/>
        </w:rPr>
      </w:pPr>
    </w:p>
    <w:p>
      <w:pPr>
        <w:pStyle w:val="Heading4"/>
        <w:ind w:left="566"/>
      </w:pPr>
      <w:bookmarkStart w:name="_bookmark4" w:id="46"/>
      <w:bookmarkEnd w:id="46"/>
      <w:r>
        <w:rPr/>
      </w:r>
      <w:r>
        <w:rPr>
          <w:color w:val="3C5A8B"/>
        </w:rPr>
        <w:t>Appendix</w:t>
      </w:r>
      <w:r>
        <w:rPr>
          <w:color w:val="3C5A8B"/>
          <w:spacing w:val="-1"/>
        </w:rPr>
        <w:t> </w:t>
      </w:r>
      <w:r>
        <w:rPr>
          <w:color w:val="3C5A8B"/>
        </w:rPr>
        <w:t>B:</w:t>
      </w:r>
      <w:r>
        <w:rPr>
          <w:color w:val="3C5A8B"/>
          <w:spacing w:val="-1"/>
        </w:rPr>
        <w:t> </w:t>
      </w:r>
      <w:r>
        <w:rPr>
          <w:color w:val="3C5A8B"/>
        </w:rPr>
        <w:t>Assurance</w:t>
      </w:r>
      <w:r>
        <w:rPr>
          <w:color w:val="3C5A8B"/>
          <w:spacing w:val="-3"/>
        </w:rPr>
        <w:t> </w:t>
      </w:r>
      <w:r>
        <w:rPr>
          <w:color w:val="3C5A8B"/>
        </w:rPr>
        <w:t>opinion and</w:t>
      </w:r>
      <w:r>
        <w:rPr>
          <w:color w:val="3C5A8B"/>
          <w:spacing w:val="-1"/>
        </w:rPr>
        <w:t> </w:t>
      </w:r>
      <w:r>
        <w:rPr>
          <w:color w:val="3C5A8B"/>
        </w:rPr>
        <w:t>action</w:t>
      </w:r>
      <w:r>
        <w:rPr>
          <w:color w:val="3C5A8B"/>
          <w:spacing w:val="-1"/>
        </w:rPr>
        <w:t> </w:t>
      </w:r>
      <w:r>
        <w:rPr>
          <w:color w:val="3C5A8B"/>
        </w:rPr>
        <w:t>plan</w:t>
      </w:r>
      <w:r>
        <w:rPr>
          <w:color w:val="3C5A8B"/>
          <w:spacing w:val="-1"/>
        </w:rPr>
        <w:t> </w:t>
      </w:r>
      <w:r>
        <w:rPr>
          <w:color w:val="3C5A8B"/>
        </w:rPr>
        <w:t>risk </w:t>
      </w:r>
      <w:r>
        <w:rPr>
          <w:color w:val="3C5A8B"/>
          <w:spacing w:val="-2"/>
        </w:rPr>
        <w:t>rating</w:t>
      </w:r>
    </w:p>
    <w:p>
      <w:pPr>
        <w:pStyle w:val="Heading8"/>
        <w:spacing w:before="152"/>
        <w:rPr>
          <w:rFonts w:ascii="Verdana"/>
        </w:rPr>
      </w:pPr>
      <w:r>
        <w:rPr>
          <w:rFonts w:ascii="Verdana"/>
          <w:color w:val="3C5A8B"/>
        </w:rPr>
        <w:t>Audit</w:t>
      </w:r>
      <w:r>
        <w:rPr>
          <w:rFonts w:ascii="Verdana"/>
          <w:color w:val="3C5A8B"/>
          <w:spacing w:val="-5"/>
        </w:rPr>
        <w:t> </w:t>
      </w:r>
      <w:r>
        <w:rPr>
          <w:rFonts w:ascii="Verdana"/>
          <w:color w:val="3C5A8B"/>
        </w:rPr>
        <w:t>Assurance</w:t>
      </w:r>
      <w:r>
        <w:rPr>
          <w:rFonts w:ascii="Verdana"/>
          <w:color w:val="3C5A8B"/>
          <w:spacing w:val="-6"/>
        </w:rPr>
        <w:t> </w:t>
      </w:r>
      <w:r>
        <w:rPr>
          <w:rFonts w:ascii="Verdana"/>
          <w:color w:val="3C5A8B"/>
          <w:spacing w:val="-2"/>
        </w:rPr>
        <w:t>Ratings</w:t>
      </w:r>
    </w:p>
    <w:p>
      <w:pPr>
        <w:spacing w:line="259" w:lineRule="auto" w:before="145"/>
        <w:ind w:left="566" w:right="617" w:firstLine="0"/>
        <w:jc w:val="left"/>
        <w:rPr>
          <w:sz w:val="22"/>
        </w:rPr>
      </w:pPr>
      <w:r>
        <w:rPr>
          <w:sz w:val="22"/>
        </w:rPr>
        <w:t>We</w:t>
      </w:r>
      <w:r>
        <w:rPr>
          <w:spacing w:val="37"/>
          <w:sz w:val="22"/>
        </w:rPr>
        <w:t> </w:t>
      </w:r>
      <w:r>
        <w:rPr>
          <w:sz w:val="22"/>
        </w:rPr>
        <w:t>define</w:t>
      </w:r>
      <w:r>
        <w:rPr>
          <w:spacing w:val="36"/>
          <w:sz w:val="22"/>
        </w:rPr>
        <w:t> </w:t>
      </w:r>
      <w:r>
        <w:rPr>
          <w:sz w:val="22"/>
        </w:rPr>
        <w:t>the</w:t>
      </w:r>
      <w:r>
        <w:rPr>
          <w:spacing w:val="37"/>
          <w:sz w:val="22"/>
        </w:rPr>
        <w:t> </w:t>
      </w:r>
      <w:r>
        <w:rPr>
          <w:sz w:val="22"/>
        </w:rPr>
        <w:t>following</w:t>
      </w:r>
      <w:r>
        <w:rPr>
          <w:spacing w:val="35"/>
          <w:sz w:val="22"/>
        </w:rPr>
        <w:t> </w:t>
      </w:r>
      <w:r>
        <w:rPr>
          <w:sz w:val="22"/>
        </w:rPr>
        <w:t>levels</w:t>
      </w:r>
      <w:r>
        <w:rPr>
          <w:spacing w:val="36"/>
          <w:sz w:val="22"/>
        </w:rPr>
        <w:t> </w:t>
      </w:r>
      <w:r>
        <w:rPr>
          <w:sz w:val="22"/>
        </w:rPr>
        <w:t>of</w:t>
      </w:r>
      <w:r>
        <w:rPr>
          <w:spacing w:val="36"/>
          <w:sz w:val="22"/>
        </w:rPr>
        <w:t> </w:t>
      </w:r>
      <w:r>
        <w:rPr>
          <w:sz w:val="22"/>
        </w:rPr>
        <w:t>assurance</w:t>
      </w:r>
      <w:r>
        <w:rPr>
          <w:spacing w:val="37"/>
          <w:sz w:val="22"/>
        </w:rPr>
        <w:t> </w:t>
      </w:r>
      <w:r>
        <w:rPr>
          <w:sz w:val="22"/>
        </w:rPr>
        <w:t>that</w:t>
      </w:r>
      <w:r>
        <w:rPr>
          <w:spacing w:val="36"/>
          <w:sz w:val="22"/>
        </w:rPr>
        <w:t> </w:t>
      </w:r>
      <w:r>
        <w:rPr>
          <w:sz w:val="22"/>
        </w:rPr>
        <w:t>governance,</w:t>
      </w:r>
      <w:r>
        <w:rPr>
          <w:spacing w:val="35"/>
          <w:sz w:val="22"/>
        </w:rPr>
        <w:t> </w:t>
      </w:r>
      <w:r>
        <w:rPr>
          <w:sz w:val="22"/>
        </w:rPr>
        <w:t>risk</w:t>
      </w:r>
      <w:r>
        <w:rPr>
          <w:spacing w:val="35"/>
          <w:sz w:val="22"/>
        </w:rPr>
        <w:t> </w:t>
      </w:r>
      <w:r>
        <w:rPr>
          <w:sz w:val="22"/>
        </w:rPr>
        <w:t>management</w:t>
      </w:r>
      <w:r>
        <w:rPr>
          <w:spacing w:val="36"/>
          <w:sz w:val="22"/>
        </w:rPr>
        <w:t> </w:t>
      </w:r>
      <w:r>
        <w:rPr>
          <w:sz w:val="22"/>
        </w:rPr>
        <w:t>and</w:t>
      </w:r>
      <w:r>
        <w:rPr>
          <w:spacing w:val="35"/>
          <w:sz w:val="22"/>
        </w:rPr>
        <w:t> </w:t>
      </w:r>
      <w:r>
        <w:rPr>
          <w:sz w:val="22"/>
        </w:rPr>
        <w:t>internal control within the area under review are suitable designed and applied effectively:</w:t>
      </w:r>
    </w:p>
    <w:p>
      <w:pPr>
        <w:pStyle w:val="BodyText"/>
        <w:spacing w:before="9"/>
        <w:rPr>
          <w:sz w:val="9"/>
        </w:rPr>
      </w:pPr>
    </w:p>
    <w:p>
      <w:pPr>
        <w:spacing w:after="0"/>
        <w:rPr>
          <w:sz w:val="9"/>
        </w:rPr>
        <w:sectPr>
          <w:footerReference w:type="default" r:id="rId57"/>
          <w:pgSz w:w="11910" w:h="16840"/>
          <w:pgMar w:footer="127" w:header="0" w:top="880" w:bottom="320" w:left="0" w:right="0"/>
        </w:sectPr>
      </w:pPr>
    </w:p>
    <w:p>
      <w:pPr>
        <w:spacing w:before="223"/>
        <w:ind w:left="2654" w:right="0" w:hanging="75"/>
        <w:jc w:val="left"/>
        <w:rPr>
          <w:b/>
          <w:sz w:val="22"/>
        </w:rPr>
      </w:pPr>
      <w:r>
        <w:rPr>
          <w:b/>
          <w:color w:val="3C5A8B"/>
          <w:spacing w:val="-2"/>
          <w:sz w:val="22"/>
        </w:rPr>
        <w:t>Substantial assurance</w:t>
      </w:r>
    </w:p>
    <w:p>
      <w:pPr>
        <w:pStyle w:val="BodyText"/>
        <w:spacing w:before="10"/>
        <w:rPr>
          <w:b/>
          <w:sz w:val="35"/>
        </w:rPr>
      </w:pPr>
    </w:p>
    <w:p>
      <w:pPr>
        <w:spacing w:before="0"/>
        <w:ind w:left="2654" w:right="0" w:hanging="87"/>
        <w:jc w:val="left"/>
        <w:rPr>
          <w:b/>
          <w:sz w:val="22"/>
        </w:rPr>
      </w:pPr>
      <w:r>
        <w:rPr>
          <w:b/>
          <w:color w:val="3C5A8B"/>
          <w:spacing w:val="-2"/>
          <w:sz w:val="22"/>
        </w:rPr>
        <w:t>Reasonable assurance</w:t>
      </w:r>
    </w:p>
    <w:p>
      <w:pPr>
        <w:spacing w:before="99"/>
        <w:ind w:left="354" w:right="339" w:firstLine="0"/>
        <w:jc w:val="left"/>
        <w:rPr>
          <w:sz w:val="20"/>
        </w:rPr>
      </w:pPr>
      <w:r>
        <w:rPr/>
        <w:br w:type="column"/>
      </w:r>
      <w:r>
        <w:rPr>
          <w:sz w:val="20"/>
        </w:rPr>
        <w:t>Few matters require attention and are compliance or advisory in </w:t>
      </w:r>
      <w:r>
        <w:rPr>
          <w:spacing w:val="-2"/>
          <w:sz w:val="20"/>
        </w:rPr>
        <w:t>nature.</w:t>
      </w:r>
    </w:p>
    <w:p>
      <w:pPr>
        <w:spacing w:before="61"/>
        <w:ind w:left="354" w:right="0" w:firstLine="0"/>
        <w:jc w:val="left"/>
        <w:rPr>
          <w:sz w:val="20"/>
        </w:rPr>
      </w:pPr>
      <w:r>
        <w:rPr/>
        <w:pict>
          <v:group style="position:absolute;margin-left:28.32pt;margin-top:-29.136292pt;width:531.7pt;height:194.55pt;mso-position-horizontal-relative:page;mso-position-vertical-relative:paragraph;z-index:-24161792" id="docshapegroup125" coordorigin="566,-583" coordsize="10634,3891">
            <v:shape style="position:absolute;left:566;top:-583;width:10634;height:982" id="docshape126" coordorigin="566,-583" coordsize="10634,982" path="m4280,389l2292,389,2283,389,2283,389,566,389,566,399,2283,399,2283,399,2292,399,4280,399,4280,389xm4280,-583l2292,-583,2283,-583,2283,-583,566,-583,566,-573,2283,-573,2283,-573,2292,-573,4280,-573,4280,-583xm11200,389l4290,389,4280,389,4280,399,4290,399,11200,399,11200,389xm11200,-583l4290,-583,4280,-583,4280,-573,4290,-573,11200,-573,11200,-583xe" filled="true" fillcolor="#000000" stroked="false">
              <v:path arrowok="t"/>
              <v:fill type="solid"/>
            </v:shape>
            <v:shape style="position:absolute;left:675;top:-513;width:1499;height:839" type="#_x0000_t75" id="docshape127" stroked="false">
              <v:imagedata r:id="rId58" o:title=""/>
            </v:shape>
            <v:shape style="position:absolute;left:566;top:1364;width:10634;height:2" id="docshape128" coordorigin="566,1364" coordsize="10634,0" path="m566,1364l2283,1364m2283,1364l2292,1364m2292,1364l4280,1364m4280,1364l4290,1364m4290,1364l11200,1364e" filled="false" stroked="true" strokeweight=".48pt" strokecolor="#000000">
              <v:path arrowok="t"/>
              <v:stroke dashstyle="shortdash"/>
            </v:shape>
            <v:shape style="position:absolute;left:675;top:457;width:1499;height:839" type="#_x0000_t75" id="docshape129" stroked="false">
              <v:imagedata r:id="rId51" o:title=""/>
            </v:shape>
            <v:shape style="position:absolute;left:566;top:2333;width:10634;height:2" id="docshape130" coordorigin="566,2334" coordsize="10634,0" path="m566,2334l2283,2334m2283,2334l2292,2334m2292,2334l4280,2334m4280,2334l4290,2334m4290,2334l11200,2334e" filled="false" stroked="true" strokeweight=".48pt" strokecolor="#000000">
              <v:path arrowok="t"/>
              <v:stroke dashstyle="shortdash"/>
            </v:shape>
            <v:shape style="position:absolute;left:675;top:1427;width:1499;height:839" type="#_x0000_t75" id="docshape131" stroked="false">
              <v:imagedata r:id="rId59" o:title=""/>
            </v:shape>
            <v:shape style="position:absolute;left:566;top:3303;width:10634;height:2" id="docshape132" coordorigin="566,3303" coordsize="10634,0" path="m566,3303l2283,3303m2283,3303l2292,3303m2292,3303l4280,3303m4280,3303l4290,3303m4290,3303l11200,3303e" filled="false" stroked="true" strokeweight=".48pt" strokecolor="#000000">
              <v:path arrowok="t"/>
              <v:stroke dashstyle="shortdash"/>
            </v:shape>
            <v:shape style="position:absolute;left:675;top:2397;width:1499;height:839" type="#_x0000_t75" id="docshape133" stroked="false">
              <v:imagedata r:id="rId60" o:title=""/>
            </v:shape>
            <w10:wrap type="none"/>
          </v:group>
        </w:pict>
      </w:r>
      <w:r>
        <w:rPr>
          <w:b/>
          <w:color w:val="3C5A8B"/>
          <w:sz w:val="20"/>
        </w:rPr>
        <w:t>Low</w:t>
      </w:r>
      <w:r>
        <w:rPr>
          <w:b/>
          <w:color w:val="3C5A8B"/>
          <w:spacing w:val="-7"/>
          <w:sz w:val="20"/>
        </w:rPr>
        <w:t> </w:t>
      </w:r>
      <w:r>
        <w:rPr>
          <w:b/>
          <w:color w:val="3C5A8B"/>
          <w:sz w:val="20"/>
        </w:rPr>
        <w:t>impact</w:t>
      </w:r>
      <w:r>
        <w:rPr>
          <w:b/>
          <w:color w:val="3C5A8B"/>
          <w:spacing w:val="-1"/>
          <w:sz w:val="20"/>
        </w:rPr>
        <w:t> </w:t>
      </w:r>
      <w:r>
        <w:rPr>
          <w:sz w:val="20"/>
        </w:rPr>
        <w:t>on</w:t>
      </w:r>
      <w:r>
        <w:rPr>
          <w:spacing w:val="-4"/>
          <w:sz w:val="20"/>
        </w:rPr>
        <w:t> </w:t>
      </w:r>
      <w:r>
        <w:rPr>
          <w:sz w:val="20"/>
        </w:rPr>
        <w:t>residual</w:t>
      </w:r>
      <w:r>
        <w:rPr>
          <w:spacing w:val="-5"/>
          <w:sz w:val="20"/>
        </w:rPr>
        <w:t> </w:t>
      </w:r>
      <w:r>
        <w:rPr>
          <w:sz w:val="20"/>
        </w:rPr>
        <w:t>risk</w:t>
      </w:r>
      <w:r>
        <w:rPr>
          <w:spacing w:val="-8"/>
          <w:sz w:val="20"/>
        </w:rPr>
        <w:t> </w:t>
      </w:r>
      <w:r>
        <w:rPr>
          <w:spacing w:val="-2"/>
          <w:sz w:val="20"/>
        </w:rPr>
        <w:t>exposure.</w:t>
      </w:r>
    </w:p>
    <w:p>
      <w:pPr>
        <w:spacing w:before="180"/>
        <w:ind w:left="354" w:right="339" w:firstLine="0"/>
        <w:jc w:val="left"/>
        <w:rPr>
          <w:sz w:val="20"/>
        </w:rPr>
      </w:pPr>
      <w:r>
        <w:rPr>
          <w:sz w:val="20"/>
        </w:rPr>
        <w:t>Some matters require management attention in control design or </w:t>
      </w:r>
      <w:r>
        <w:rPr>
          <w:spacing w:val="-2"/>
          <w:sz w:val="20"/>
        </w:rPr>
        <w:t>compliance.</w:t>
      </w:r>
    </w:p>
    <w:p>
      <w:pPr>
        <w:spacing w:before="61"/>
        <w:ind w:left="354" w:right="0" w:firstLine="0"/>
        <w:jc w:val="left"/>
        <w:rPr>
          <w:sz w:val="20"/>
        </w:rPr>
      </w:pPr>
      <w:r>
        <w:rPr>
          <w:b/>
          <w:color w:val="3C5A8B"/>
          <w:spacing w:val="-2"/>
          <w:sz w:val="20"/>
        </w:rPr>
        <w:t>Low</w:t>
      </w:r>
      <w:r>
        <w:rPr>
          <w:b/>
          <w:color w:val="3C5A8B"/>
          <w:spacing w:val="-13"/>
          <w:sz w:val="20"/>
        </w:rPr>
        <w:t> </w:t>
      </w:r>
      <w:r>
        <w:rPr>
          <w:b/>
          <w:color w:val="3C5A8B"/>
          <w:spacing w:val="-2"/>
          <w:sz w:val="20"/>
        </w:rPr>
        <w:t>to</w:t>
      </w:r>
      <w:r>
        <w:rPr>
          <w:b/>
          <w:color w:val="3C5A8B"/>
          <w:spacing w:val="-12"/>
          <w:sz w:val="20"/>
        </w:rPr>
        <w:t> </w:t>
      </w:r>
      <w:r>
        <w:rPr>
          <w:b/>
          <w:color w:val="3C5A8B"/>
          <w:spacing w:val="-2"/>
          <w:sz w:val="20"/>
        </w:rPr>
        <w:t>moderate</w:t>
      </w:r>
      <w:r>
        <w:rPr>
          <w:b/>
          <w:color w:val="3C5A8B"/>
          <w:spacing w:val="-9"/>
          <w:sz w:val="20"/>
        </w:rPr>
        <w:t> </w:t>
      </w:r>
      <w:r>
        <w:rPr>
          <w:b/>
          <w:color w:val="3C5A8B"/>
          <w:spacing w:val="-2"/>
          <w:sz w:val="20"/>
        </w:rPr>
        <w:t>impact</w:t>
      </w:r>
      <w:r>
        <w:rPr>
          <w:b/>
          <w:color w:val="3C5A8B"/>
          <w:spacing w:val="-6"/>
          <w:sz w:val="20"/>
        </w:rPr>
        <w:t> </w:t>
      </w:r>
      <w:r>
        <w:rPr>
          <w:spacing w:val="-2"/>
          <w:sz w:val="20"/>
        </w:rPr>
        <w:t>on</w:t>
      </w:r>
      <w:r>
        <w:rPr>
          <w:spacing w:val="-11"/>
          <w:sz w:val="20"/>
        </w:rPr>
        <w:t> </w:t>
      </w:r>
      <w:r>
        <w:rPr>
          <w:spacing w:val="-2"/>
          <w:sz w:val="20"/>
        </w:rPr>
        <w:t>residual</w:t>
      </w:r>
      <w:r>
        <w:rPr>
          <w:spacing w:val="-8"/>
          <w:sz w:val="20"/>
        </w:rPr>
        <w:t> </w:t>
      </w:r>
      <w:r>
        <w:rPr>
          <w:spacing w:val="-2"/>
          <w:sz w:val="20"/>
        </w:rPr>
        <w:t>risk</w:t>
      </w:r>
      <w:r>
        <w:rPr>
          <w:spacing w:val="-10"/>
          <w:sz w:val="20"/>
        </w:rPr>
        <w:t> </w:t>
      </w:r>
      <w:r>
        <w:rPr>
          <w:spacing w:val="-2"/>
          <w:sz w:val="20"/>
        </w:rPr>
        <w:t>exposure</w:t>
      </w:r>
      <w:r>
        <w:rPr>
          <w:spacing w:val="-10"/>
          <w:sz w:val="20"/>
        </w:rPr>
        <w:t> </w:t>
      </w:r>
      <w:r>
        <w:rPr>
          <w:spacing w:val="-2"/>
          <w:sz w:val="20"/>
        </w:rPr>
        <w:t>until</w:t>
      </w:r>
      <w:r>
        <w:rPr>
          <w:spacing w:val="-8"/>
          <w:sz w:val="20"/>
        </w:rPr>
        <w:t> </w:t>
      </w:r>
      <w:r>
        <w:rPr>
          <w:spacing w:val="-2"/>
          <w:sz w:val="20"/>
        </w:rPr>
        <w:t>resolved.</w:t>
      </w:r>
    </w:p>
    <w:p>
      <w:pPr>
        <w:spacing w:after="0"/>
        <w:jc w:val="left"/>
        <w:rPr>
          <w:sz w:val="20"/>
        </w:rPr>
        <w:sectPr>
          <w:type w:val="continuous"/>
          <w:pgSz w:w="11910" w:h="16840"/>
          <w:pgMar w:header="0" w:footer="127" w:top="740" w:bottom="280" w:left="0" w:right="0"/>
          <w:cols w:num="2" w:equalWidth="0">
            <w:col w:w="3994" w:space="40"/>
            <w:col w:w="7876"/>
          </w:cols>
        </w:sectPr>
      </w:pPr>
    </w:p>
    <w:p>
      <w:pPr>
        <w:pStyle w:val="BodyText"/>
        <w:spacing w:before="8"/>
        <w:rPr>
          <w:sz w:val="16"/>
        </w:rPr>
      </w:pPr>
    </w:p>
    <w:p>
      <w:pPr>
        <w:spacing w:after="0"/>
        <w:rPr>
          <w:sz w:val="16"/>
        </w:rPr>
        <w:sectPr>
          <w:type w:val="continuous"/>
          <w:pgSz w:w="11910" w:h="16840"/>
          <w:pgMar w:header="0" w:footer="127" w:top="740" w:bottom="280" w:left="0" w:right="0"/>
        </w:sectPr>
      </w:pPr>
    </w:p>
    <w:p>
      <w:pPr>
        <w:spacing w:before="101"/>
        <w:ind w:left="2654" w:right="0" w:firstLine="163"/>
        <w:jc w:val="left"/>
        <w:rPr>
          <w:b/>
          <w:sz w:val="22"/>
        </w:rPr>
      </w:pPr>
      <w:r>
        <w:rPr>
          <w:b/>
          <w:color w:val="3C5A8B"/>
          <w:spacing w:val="-2"/>
          <w:sz w:val="22"/>
        </w:rPr>
        <w:t>Limited assurance</w:t>
      </w:r>
    </w:p>
    <w:p>
      <w:pPr>
        <w:spacing w:before="100"/>
        <w:ind w:left="438" w:right="0" w:firstLine="0"/>
        <w:jc w:val="left"/>
        <w:rPr>
          <w:sz w:val="20"/>
        </w:rPr>
      </w:pPr>
      <w:r>
        <w:rPr/>
        <w:br w:type="column"/>
      </w:r>
      <w:r>
        <w:rPr>
          <w:sz w:val="20"/>
        </w:rPr>
        <w:t>More</w:t>
      </w:r>
      <w:r>
        <w:rPr>
          <w:spacing w:val="-10"/>
          <w:sz w:val="20"/>
        </w:rPr>
        <w:t> </w:t>
      </w:r>
      <w:r>
        <w:rPr>
          <w:sz w:val="20"/>
        </w:rPr>
        <w:t>significant</w:t>
      </w:r>
      <w:r>
        <w:rPr>
          <w:spacing w:val="-9"/>
          <w:sz w:val="20"/>
        </w:rPr>
        <w:t> </w:t>
      </w:r>
      <w:r>
        <w:rPr>
          <w:sz w:val="20"/>
        </w:rPr>
        <w:t>matters</w:t>
      </w:r>
      <w:r>
        <w:rPr>
          <w:spacing w:val="-8"/>
          <w:sz w:val="20"/>
        </w:rPr>
        <w:t> </w:t>
      </w:r>
      <w:r>
        <w:rPr>
          <w:sz w:val="20"/>
        </w:rPr>
        <w:t>require</w:t>
      </w:r>
      <w:r>
        <w:rPr>
          <w:spacing w:val="-11"/>
          <w:sz w:val="20"/>
        </w:rPr>
        <w:t> </w:t>
      </w:r>
      <w:r>
        <w:rPr>
          <w:sz w:val="20"/>
        </w:rPr>
        <w:t>management</w:t>
      </w:r>
      <w:r>
        <w:rPr>
          <w:spacing w:val="-9"/>
          <w:sz w:val="20"/>
        </w:rPr>
        <w:t> </w:t>
      </w:r>
      <w:r>
        <w:rPr>
          <w:spacing w:val="-2"/>
          <w:sz w:val="20"/>
        </w:rPr>
        <w:t>attention.</w:t>
      </w:r>
    </w:p>
    <w:p>
      <w:pPr>
        <w:spacing w:before="59"/>
        <w:ind w:left="438" w:right="0" w:firstLine="0"/>
        <w:jc w:val="left"/>
        <w:rPr>
          <w:sz w:val="20"/>
        </w:rPr>
      </w:pPr>
      <w:r>
        <w:rPr>
          <w:b/>
          <w:color w:val="3C5A8B"/>
          <w:sz w:val="20"/>
        </w:rPr>
        <w:t>Moderate</w:t>
      </w:r>
      <w:r>
        <w:rPr>
          <w:b/>
          <w:color w:val="3C5A8B"/>
          <w:spacing w:val="-6"/>
          <w:sz w:val="20"/>
        </w:rPr>
        <w:t> </w:t>
      </w:r>
      <w:r>
        <w:rPr>
          <w:b/>
          <w:color w:val="3C5A8B"/>
          <w:sz w:val="20"/>
        </w:rPr>
        <w:t>impact</w:t>
      </w:r>
      <w:r>
        <w:rPr>
          <w:b/>
          <w:color w:val="3C5A8B"/>
          <w:spacing w:val="-2"/>
          <w:sz w:val="20"/>
        </w:rPr>
        <w:t> </w:t>
      </w:r>
      <w:r>
        <w:rPr>
          <w:sz w:val="20"/>
        </w:rPr>
        <w:t>on</w:t>
      </w:r>
      <w:r>
        <w:rPr>
          <w:spacing w:val="-6"/>
          <w:sz w:val="20"/>
        </w:rPr>
        <w:t> </w:t>
      </w:r>
      <w:r>
        <w:rPr>
          <w:sz w:val="20"/>
        </w:rPr>
        <w:t>residual</w:t>
      </w:r>
      <w:r>
        <w:rPr>
          <w:spacing w:val="-5"/>
          <w:sz w:val="20"/>
        </w:rPr>
        <w:t> </w:t>
      </w:r>
      <w:r>
        <w:rPr>
          <w:sz w:val="20"/>
        </w:rPr>
        <w:t>risk</w:t>
      </w:r>
      <w:r>
        <w:rPr>
          <w:spacing w:val="-9"/>
          <w:sz w:val="20"/>
        </w:rPr>
        <w:t> </w:t>
      </w:r>
      <w:r>
        <w:rPr>
          <w:sz w:val="20"/>
        </w:rPr>
        <w:t>exposure</w:t>
      </w:r>
      <w:r>
        <w:rPr>
          <w:spacing w:val="-7"/>
          <w:sz w:val="20"/>
        </w:rPr>
        <w:t> </w:t>
      </w:r>
      <w:r>
        <w:rPr>
          <w:sz w:val="20"/>
        </w:rPr>
        <w:t>until</w:t>
      </w:r>
      <w:r>
        <w:rPr>
          <w:spacing w:val="-5"/>
          <w:sz w:val="20"/>
        </w:rPr>
        <w:t> </w:t>
      </w:r>
      <w:r>
        <w:rPr>
          <w:spacing w:val="-2"/>
          <w:sz w:val="20"/>
        </w:rPr>
        <w:t>resolved.</w:t>
      </w:r>
    </w:p>
    <w:p>
      <w:pPr>
        <w:spacing w:after="0"/>
        <w:jc w:val="left"/>
        <w:rPr>
          <w:sz w:val="20"/>
        </w:rPr>
        <w:sectPr>
          <w:type w:val="continuous"/>
          <w:pgSz w:w="11910" w:h="16840"/>
          <w:pgMar w:header="0" w:footer="127" w:top="740" w:bottom="280" w:left="0" w:right="0"/>
          <w:cols w:num="2" w:equalWidth="0">
            <w:col w:w="3910" w:space="40"/>
            <w:col w:w="7960"/>
          </w:cols>
        </w:sectPr>
      </w:pPr>
    </w:p>
    <w:p>
      <w:pPr>
        <w:pStyle w:val="BodyText"/>
        <w:spacing w:before="10"/>
        <w:rPr>
          <w:sz w:val="16"/>
        </w:rPr>
      </w:pPr>
    </w:p>
    <w:p>
      <w:pPr>
        <w:spacing w:after="0"/>
        <w:rPr>
          <w:sz w:val="16"/>
        </w:rPr>
        <w:sectPr>
          <w:type w:val="continuous"/>
          <w:pgSz w:w="11910" w:h="16840"/>
          <w:pgMar w:header="0" w:footer="127" w:top="740" w:bottom="280" w:left="0" w:right="0"/>
        </w:sectPr>
      </w:pPr>
    </w:p>
    <w:p>
      <w:pPr>
        <w:pStyle w:val="BodyText"/>
        <w:spacing w:before="3"/>
        <w:rPr>
          <w:sz w:val="29"/>
        </w:rPr>
      </w:pPr>
    </w:p>
    <w:p>
      <w:pPr>
        <w:spacing w:before="0"/>
        <w:ind w:left="2403" w:right="0" w:firstLine="0"/>
        <w:jc w:val="center"/>
        <w:rPr>
          <w:b/>
          <w:sz w:val="22"/>
        </w:rPr>
      </w:pPr>
      <w:r>
        <w:rPr>
          <w:b/>
          <w:color w:val="3C5A8B"/>
          <w:sz w:val="22"/>
        </w:rPr>
        <w:t>No</w:t>
      </w:r>
      <w:r>
        <w:rPr>
          <w:b/>
          <w:color w:val="3C5A8B"/>
          <w:spacing w:val="-1"/>
          <w:sz w:val="22"/>
        </w:rPr>
        <w:t> </w:t>
      </w:r>
      <w:r>
        <w:rPr>
          <w:b/>
          <w:color w:val="3C5A8B"/>
          <w:spacing w:val="-2"/>
          <w:sz w:val="22"/>
        </w:rPr>
        <w:t>assurance</w:t>
      </w:r>
    </w:p>
    <w:p>
      <w:pPr>
        <w:pStyle w:val="BodyText"/>
        <w:rPr>
          <w:b/>
          <w:sz w:val="26"/>
        </w:rPr>
      </w:pPr>
    </w:p>
    <w:p>
      <w:pPr>
        <w:pStyle w:val="BodyText"/>
        <w:spacing w:before="8"/>
        <w:rPr>
          <w:b/>
          <w:sz w:val="38"/>
        </w:rPr>
      </w:pPr>
    </w:p>
    <w:p>
      <w:pPr>
        <w:spacing w:before="0"/>
        <w:ind w:left="2398" w:right="0" w:firstLine="0"/>
        <w:jc w:val="center"/>
        <w:rPr>
          <w:b/>
          <w:sz w:val="22"/>
        </w:rPr>
      </w:pPr>
      <w:r>
        <w:rPr/>
        <w:drawing>
          <wp:anchor distT="0" distB="0" distL="0" distR="0" allowOverlap="1" layoutInCell="1" locked="0" behindDoc="0" simplePos="0" relativeHeight="15758848">
            <wp:simplePos x="0" y="0"/>
            <wp:positionH relativeFrom="page">
              <wp:posOffset>428625</wp:posOffset>
            </wp:positionH>
            <wp:positionV relativeFrom="paragraph">
              <wp:posOffset>-95007</wp:posOffset>
            </wp:positionV>
            <wp:extent cx="939800" cy="520700"/>
            <wp:effectExtent l="0" t="0" r="0" b="0"/>
            <wp:wrapNone/>
            <wp:docPr id="37" name="image19.png"/>
            <wp:cNvGraphicFramePr>
              <a:graphicFrameLocks noChangeAspect="1"/>
            </wp:cNvGraphicFramePr>
            <a:graphic>
              <a:graphicData uri="http://schemas.openxmlformats.org/drawingml/2006/picture">
                <pic:pic>
                  <pic:nvPicPr>
                    <pic:cNvPr id="38" name="image19.png"/>
                    <pic:cNvPicPr/>
                  </pic:nvPicPr>
                  <pic:blipFill>
                    <a:blip r:embed="rId61" cstate="print"/>
                    <a:stretch>
                      <a:fillRect/>
                    </a:stretch>
                  </pic:blipFill>
                  <pic:spPr>
                    <a:xfrm>
                      <a:off x="0" y="0"/>
                      <a:ext cx="939800" cy="520700"/>
                    </a:xfrm>
                    <a:prstGeom prst="rect">
                      <a:avLst/>
                    </a:prstGeom>
                  </pic:spPr>
                </pic:pic>
              </a:graphicData>
            </a:graphic>
          </wp:anchor>
        </w:drawing>
      </w:r>
      <w:r>
        <w:rPr>
          <w:b/>
          <w:color w:val="3C5A8B"/>
          <w:sz w:val="22"/>
        </w:rPr>
        <w:t>Assurance</w:t>
      </w:r>
      <w:r>
        <w:rPr>
          <w:b/>
          <w:color w:val="3C5A8B"/>
          <w:spacing w:val="-19"/>
          <w:sz w:val="22"/>
        </w:rPr>
        <w:t> </w:t>
      </w:r>
      <w:r>
        <w:rPr>
          <w:b/>
          <w:color w:val="3C5A8B"/>
          <w:sz w:val="22"/>
        </w:rPr>
        <w:t>not </w:t>
      </w:r>
      <w:r>
        <w:rPr>
          <w:b/>
          <w:color w:val="3C5A8B"/>
          <w:spacing w:val="-2"/>
          <w:sz w:val="22"/>
        </w:rPr>
        <w:t>applicable</w:t>
      </w:r>
    </w:p>
    <w:p>
      <w:pPr>
        <w:spacing w:before="100"/>
        <w:ind w:left="186" w:right="816" w:firstLine="0"/>
        <w:jc w:val="both"/>
        <w:rPr>
          <w:sz w:val="20"/>
        </w:rPr>
      </w:pPr>
      <w:r>
        <w:rPr/>
        <w:br w:type="column"/>
      </w:r>
      <w:r>
        <w:rPr>
          <w:sz w:val="20"/>
        </w:rPr>
        <w:t>Action is required to address the whole control framework in this </w:t>
      </w:r>
      <w:r>
        <w:rPr>
          <w:spacing w:val="-2"/>
          <w:sz w:val="20"/>
        </w:rPr>
        <w:t>area.</w:t>
      </w:r>
    </w:p>
    <w:p>
      <w:pPr>
        <w:spacing w:before="58"/>
        <w:ind w:left="186" w:right="0" w:firstLine="0"/>
        <w:jc w:val="both"/>
        <w:rPr>
          <w:sz w:val="20"/>
        </w:rPr>
      </w:pPr>
      <w:r>
        <w:rPr>
          <w:b/>
          <w:color w:val="3C5A8B"/>
          <w:sz w:val="20"/>
        </w:rPr>
        <w:t>High</w:t>
      </w:r>
      <w:r>
        <w:rPr>
          <w:b/>
          <w:color w:val="3C5A8B"/>
          <w:spacing w:val="-7"/>
          <w:sz w:val="20"/>
        </w:rPr>
        <w:t> </w:t>
      </w:r>
      <w:r>
        <w:rPr>
          <w:b/>
          <w:color w:val="3C5A8B"/>
          <w:sz w:val="20"/>
        </w:rPr>
        <w:t>impact</w:t>
      </w:r>
      <w:r>
        <w:rPr>
          <w:b/>
          <w:color w:val="3C5A8B"/>
          <w:spacing w:val="-1"/>
          <w:sz w:val="20"/>
        </w:rPr>
        <w:t> </w:t>
      </w:r>
      <w:r>
        <w:rPr>
          <w:sz w:val="20"/>
        </w:rPr>
        <w:t>on</w:t>
      </w:r>
      <w:r>
        <w:rPr>
          <w:spacing w:val="-6"/>
          <w:sz w:val="20"/>
        </w:rPr>
        <w:t> </w:t>
      </w:r>
      <w:r>
        <w:rPr>
          <w:sz w:val="20"/>
        </w:rPr>
        <w:t>residual</w:t>
      </w:r>
      <w:r>
        <w:rPr>
          <w:spacing w:val="-5"/>
          <w:sz w:val="20"/>
        </w:rPr>
        <w:t> </w:t>
      </w:r>
      <w:r>
        <w:rPr>
          <w:sz w:val="20"/>
        </w:rPr>
        <w:t>risk</w:t>
      </w:r>
      <w:r>
        <w:rPr>
          <w:spacing w:val="-9"/>
          <w:sz w:val="20"/>
        </w:rPr>
        <w:t> </w:t>
      </w:r>
      <w:r>
        <w:rPr>
          <w:sz w:val="20"/>
        </w:rPr>
        <w:t>exposure</w:t>
      </w:r>
      <w:r>
        <w:rPr>
          <w:spacing w:val="-8"/>
          <w:sz w:val="20"/>
        </w:rPr>
        <w:t> </w:t>
      </w:r>
      <w:r>
        <w:rPr>
          <w:sz w:val="20"/>
        </w:rPr>
        <w:t>until</w:t>
      </w:r>
      <w:r>
        <w:rPr>
          <w:spacing w:val="-4"/>
          <w:sz w:val="20"/>
        </w:rPr>
        <w:t> </w:t>
      </w:r>
      <w:r>
        <w:rPr>
          <w:spacing w:val="-2"/>
          <w:sz w:val="20"/>
        </w:rPr>
        <w:t>resolved.</w:t>
      </w:r>
    </w:p>
    <w:p>
      <w:pPr>
        <w:spacing w:before="156"/>
        <w:ind w:left="186" w:right="816" w:firstLine="0"/>
        <w:jc w:val="both"/>
        <w:rPr>
          <w:sz w:val="20"/>
        </w:rPr>
      </w:pPr>
      <w:r>
        <w:rPr>
          <w:sz w:val="20"/>
        </w:rPr>
        <w:t>Given</w:t>
      </w:r>
      <w:r>
        <w:rPr>
          <w:spacing w:val="-10"/>
          <w:sz w:val="20"/>
        </w:rPr>
        <w:t> </w:t>
      </w:r>
      <w:r>
        <w:rPr>
          <w:sz w:val="20"/>
        </w:rPr>
        <w:t>to</w:t>
      </w:r>
      <w:r>
        <w:rPr>
          <w:spacing w:val="-12"/>
          <w:sz w:val="20"/>
        </w:rPr>
        <w:t> </w:t>
      </w:r>
      <w:r>
        <w:rPr>
          <w:sz w:val="20"/>
        </w:rPr>
        <w:t>reviews</w:t>
      </w:r>
      <w:r>
        <w:rPr>
          <w:spacing w:val="-11"/>
          <w:sz w:val="20"/>
        </w:rPr>
        <w:t> </w:t>
      </w:r>
      <w:r>
        <w:rPr>
          <w:sz w:val="20"/>
        </w:rPr>
        <w:t>and</w:t>
      </w:r>
      <w:r>
        <w:rPr>
          <w:spacing w:val="-10"/>
          <w:sz w:val="20"/>
        </w:rPr>
        <w:t> </w:t>
      </w:r>
      <w:r>
        <w:rPr>
          <w:sz w:val="20"/>
        </w:rPr>
        <w:t>support</w:t>
      </w:r>
      <w:r>
        <w:rPr>
          <w:spacing w:val="-10"/>
          <w:sz w:val="20"/>
        </w:rPr>
        <w:t> </w:t>
      </w:r>
      <w:r>
        <w:rPr>
          <w:sz w:val="20"/>
        </w:rPr>
        <w:t>provided</w:t>
      </w:r>
      <w:r>
        <w:rPr>
          <w:spacing w:val="-10"/>
          <w:sz w:val="20"/>
        </w:rPr>
        <w:t> </w:t>
      </w:r>
      <w:r>
        <w:rPr>
          <w:sz w:val="20"/>
        </w:rPr>
        <w:t>to</w:t>
      </w:r>
      <w:r>
        <w:rPr>
          <w:spacing w:val="-12"/>
          <w:sz w:val="20"/>
        </w:rPr>
        <w:t> </w:t>
      </w:r>
      <w:r>
        <w:rPr>
          <w:sz w:val="20"/>
        </w:rPr>
        <w:t>management</w:t>
      </w:r>
      <w:r>
        <w:rPr>
          <w:spacing w:val="-10"/>
          <w:sz w:val="20"/>
        </w:rPr>
        <w:t> </w:t>
      </w:r>
      <w:r>
        <w:rPr>
          <w:sz w:val="20"/>
        </w:rPr>
        <w:t>which</w:t>
      </w:r>
      <w:r>
        <w:rPr>
          <w:spacing w:val="-10"/>
          <w:sz w:val="20"/>
        </w:rPr>
        <w:t> </w:t>
      </w:r>
      <w:r>
        <w:rPr>
          <w:sz w:val="20"/>
        </w:rPr>
        <w:t>form part of the internal audit plan, to which the assurance definitions are not appropriate.</w:t>
      </w:r>
    </w:p>
    <w:p>
      <w:pPr>
        <w:spacing w:before="60"/>
        <w:ind w:left="186" w:right="821" w:firstLine="0"/>
        <w:jc w:val="both"/>
        <w:rPr>
          <w:sz w:val="20"/>
        </w:rPr>
      </w:pPr>
      <w:r>
        <w:rPr>
          <w:sz w:val="20"/>
        </w:rPr>
        <w:t>These reviews are still relevant to the evidence base upon which the overall opinion is formed.</w:t>
      </w:r>
    </w:p>
    <w:p>
      <w:pPr>
        <w:spacing w:after="0"/>
        <w:jc w:val="both"/>
        <w:rPr>
          <w:sz w:val="20"/>
        </w:rPr>
        <w:sectPr>
          <w:type w:val="continuous"/>
          <w:pgSz w:w="11910" w:h="16840"/>
          <w:pgMar w:header="0" w:footer="127" w:top="740" w:bottom="280" w:left="0" w:right="0"/>
          <w:cols w:num="2" w:equalWidth="0">
            <w:col w:w="4162" w:space="40"/>
            <w:col w:w="7708"/>
          </w:cols>
        </w:sectPr>
      </w:pPr>
    </w:p>
    <w:p>
      <w:pPr>
        <w:pStyle w:val="BodyText"/>
        <w:rPr>
          <w:sz w:val="5"/>
        </w:rPr>
      </w:pPr>
    </w:p>
    <w:p>
      <w:pPr>
        <w:pStyle w:val="BodyText"/>
        <w:spacing w:line="20" w:lineRule="exact"/>
        <w:ind w:left="552"/>
        <w:rPr>
          <w:sz w:val="2"/>
        </w:rPr>
      </w:pPr>
      <w:r>
        <w:rPr>
          <w:sz w:val="2"/>
        </w:rPr>
        <w:pict>
          <v:group style="width:532.450pt;height:.5pt;mso-position-horizontal-relative:char;mso-position-vertical-relative:line" id="docshapegroup134" coordorigin="0,0" coordsize="10649,10">
            <v:rect style="position:absolute;left:0;top:0;width:10649;height:10" id="docshape135" filled="true" fillcolor="#000000" stroked="false">
              <v:fill type="solid"/>
            </v:rect>
          </v:group>
        </w:pict>
      </w:r>
      <w:r>
        <w:rPr>
          <w:sz w:val="2"/>
        </w:rPr>
      </w:r>
    </w:p>
    <w:p>
      <w:pPr>
        <w:pStyle w:val="Heading8"/>
        <w:spacing w:before="109"/>
        <w:rPr>
          <w:rFonts w:ascii="Verdana"/>
        </w:rPr>
      </w:pPr>
      <w:r>
        <w:rPr>
          <w:rFonts w:ascii="Verdana"/>
          <w:color w:val="3C5A8B"/>
        </w:rPr>
        <w:t>Prioritisation</w:t>
      </w:r>
      <w:r>
        <w:rPr>
          <w:rFonts w:ascii="Verdana"/>
          <w:color w:val="3C5A8B"/>
          <w:spacing w:val="-6"/>
        </w:rPr>
        <w:t> </w:t>
      </w:r>
      <w:r>
        <w:rPr>
          <w:rFonts w:ascii="Verdana"/>
          <w:color w:val="3C5A8B"/>
        </w:rPr>
        <w:t>of</w:t>
      </w:r>
      <w:r>
        <w:rPr>
          <w:rFonts w:ascii="Verdana"/>
          <w:color w:val="3C5A8B"/>
          <w:spacing w:val="-6"/>
        </w:rPr>
        <w:t> </w:t>
      </w:r>
      <w:r>
        <w:rPr>
          <w:rFonts w:ascii="Verdana"/>
          <w:color w:val="3C5A8B"/>
          <w:spacing w:val="-2"/>
        </w:rPr>
        <w:t>Recommendations</w:t>
      </w:r>
    </w:p>
    <w:p>
      <w:pPr>
        <w:spacing w:before="145"/>
        <w:ind w:left="566" w:right="0" w:firstLine="0"/>
        <w:jc w:val="left"/>
        <w:rPr>
          <w:sz w:val="22"/>
        </w:rPr>
      </w:pPr>
      <w:r>
        <w:rPr>
          <w:sz w:val="22"/>
        </w:rPr>
        <w:t>We</w:t>
      </w:r>
      <w:r>
        <w:rPr>
          <w:spacing w:val="-4"/>
          <w:sz w:val="22"/>
        </w:rPr>
        <w:t> </w:t>
      </w:r>
      <w:r>
        <w:rPr>
          <w:sz w:val="22"/>
        </w:rPr>
        <w:t>categorise</w:t>
      </w:r>
      <w:r>
        <w:rPr>
          <w:spacing w:val="-3"/>
          <w:sz w:val="22"/>
        </w:rPr>
        <w:t> </w:t>
      </w:r>
      <w:r>
        <w:rPr>
          <w:sz w:val="22"/>
        </w:rPr>
        <w:t>our</w:t>
      </w:r>
      <w:r>
        <w:rPr>
          <w:spacing w:val="-6"/>
          <w:sz w:val="22"/>
        </w:rPr>
        <w:t> </w:t>
      </w:r>
      <w:r>
        <w:rPr>
          <w:sz w:val="22"/>
        </w:rPr>
        <w:t>recommendations</w:t>
      </w:r>
      <w:r>
        <w:rPr>
          <w:spacing w:val="-4"/>
          <w:sz w:val="22"/>
        </w:rPr>
        <w:t> </w:t>
      </w:r>
      <w:r>
        <w:rPr>
          <w:sz w:val="22"/>
        </w:rPr>
        <w:t>according</w:t>
      </w:r>
      <w:r>
        <w:rPr>
          <w:spacing w:val="-3"/>
          <w:sz w:val="22"/>
        </w:rPr>
        <w:t> </w:t>
      </w:r>
      <w:r>
        <w:rPr>
          <w:sz w:val="22"/>
        </w:rPr>
        <w:t>to</w:t>
      </w:r>
      <w:r>
        <w:rPr>
          <w:spacing w:val="-5"/>
          <w:sz w:val="22"/>
        </w:rPr>
        <w:t> </w:t>
      </w:r>
      <w:r>
        <w:rPr>
          <w:sz w:val="22"/>
        </w:rPr>
        <w:t>their</w:t>
      </w:r>
      <w:r>
        <w:rPr>
          <w:spacing w:val="-2"/>
          <w:sz w:val="22"/>
        </w:rPr>
        <w:t> </w:t>
      </w:r>
      <w:r>
        <w:rPr>
          <w:sz w:val="22"/>
        </w:rPr>
        <w:t>level</w:t>
      </w:r>
      <w:r>
        <w:rPr>
          <w:spacing w:val="-7"/>
          <w:sz w:val="22"/>
        </w:rPr>
        <w:t> </w:t>
      </w:r>
      <w:r>
        <w:rPr>
          <w:sz w:val="22"/>
        </w:rPr>
        <w:t>of</w:t>
      </w:r>
      <w:r>
        <w:rPr>
          <w:spacing w:val="-6"/>
          <w:sz w:val="22"/>
        </w:rPr>
        <w:t> </w:t>
      </w:r>
      <w:r>
        <w:rPr>
          <w:sz w:val="22"/>
        </w:rPr>
        <w:t>priority</w:t>
      </w:r>
      <w:r>
        <w:rPr>
          <w:spacing w:val="-4"/>
          <w:sz w:val="22"/>
        </w:rPr>
        <w:t> </w:t>
      </w:r>
      <w:r>
        <w:rPr>
          <w:sz w:val="22"/>
        </w:rPr>
        <w:t>as</w:t>
      </w:r>
      <w:r>
        <w:rPr>
          <w:spacing w:val="-4"/>
          <w:sz w:val="22"/>
        </w:rPr>
        <w:t> </w:t>
      </w:r>
      <w:r>
        <w:rPr>
          <w:spacing w:val="-2"/>
          <w:sz w:val="22"/>
        </w:rPr>
        <w:t>follows:</w:t>
      </w:r>
    </w:p>
    <w:p>
      <w:pPr>
        <w:pStyle w:val="BodyText"/>
        <w:spacing w:before="2"/>
        <w:rPr>
          <w:sz w:val="15"/>
        </w:rPr>
      </w:pPr>
    </w:p>
    <w:tbl>
      <w:tblPr>
        <w:tblW w:w="0" w:type="auto"/>
        <w:jc w:val="left"/>
        <w:tblInd w:w="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560"/>
        <w:gridCol w:w="6377"/>
        <w:gridCol w:w="2696"/>
      </w:tblGrid>
      <w:tr>
        <w:trPr>
          <w:trHeight w:val="498" w:hRule="atLeast"/>
        </w:trPr>
        <w:tc>
          <w:tcPr>
            <w:tcW w:w="1560" w:type="dxa"/>
            <w:tcBorders>
              <w:top w:val="single" w:sz="4" w:space="0" w:color="000000"/>
              <w:bottom w:val="single" w:sz="4" w:space="0" w:color="000000"/>
            </w:tcBorders>
            <w:shd w:val="clear" w:color="auto" w:fill="2E5395"/>
          </w:tcPr>
          <w:p>
            <w:pPr>
              <w:pStyle w:val="TableParagraph"/>
              <w:spacing w:line="266" w:lineRule="exact"/>
              <w:ind w:left="487" w:hanging="171"/>
              <w:rPr>
                <w:b/>
                <w:sz w:val="22"/>
              </w:rPr>
            </w:pPr>
            <w:r>
              <w:rPr>
                <w:b/>
                <w:color w:val="FFFFFF"/>
                <w:spacing w:val="-2"/>
                <w:sz w:val="22"/>
              </w:rPr>
              <w:t>Priority </w:t>
            </w:r>
            <w:r>
              <w:rPr>
                <w:b/>
                <w:color w:val="FFFFFF"/>
                <w:spacing w:val="-4"/>
                <w:sz w:val="22"/>
              </w:rPr>
              <w:t>level</w:t>
            </w:r>
          </w:p>
        </w:tc>
        <w:tc>
          <w:tcPr>
            <w:tcW w:w="6377" w:type="dxa"/>
            <w:tcBorders>
              <w:top w:val="single" w:sz="4" w:space="0" w:color="000000"/>
              <w:bottom w:val="single" w:sz="4" w:space="0" w:color="000000"/>
            </w:tcBorders>
            <w:shd w:val="clear" w:color="auto" w:fill="2E5395"/>
          </w:tcPr>
          <w:p>
            <w:pPr>
              <w:pStyle w:val="TableParagraph"/>
              <w:spacing w:before="112"/>
              <w:ind w:left="108"/>
              <w:rPr>
                <w:b/>
                <w:sz w:val="22"/>
              </w:rPr>
            </w:pPr>
            <w:r>
              <w:rPr>
                <w:b/>
                <w:color w:val="FFFFFF"/>
                <w:spacing w:val="-2"/>
                <w:sz w:val="22"/>
              </w:rPr>
              <w:t>Explanation</w:t>
            </w:r>
          </w:p>
        </w:tc>
        <w:tc>
          <w:tcPr>
            <w:tcW w:w="2696" w:type="dxa"/>
            <w:tcBorders>
              <w:top w:val="single" w:sz="4" w:space="0" w:color="000000"/>
              <w:bottom w:val="single" w:sz="4" w:space="0" w:color="000000"/>
            </w:tcBorders>
            <w:shd w:val="clear" w:color="auto" w:fill="2E5395"/>
          </w:tcPr>
          <w:p>
            <w:pPr>
              <w:pStyle w:val="TableParagraph"/>
              <w:spacing w:before="112"/>
              <w:ind w:left="111"/>
              <w:rPr>
                <w:b/>
                <w:sz w:val="22"/>
              </w:rPr>
            </w:pPr>
            <w:r>
              <w:rPr>
                <w:b/>
                <w:color w:val="FFFFFF"/>
                <w:sz w:val="22"/>
              </w:rPr>
              <w:t>Management</w:t>
            </w:r>
            <w:r>
              <w:rPr>
                <w:b/>
                <w:color w:val="FFFFFF"/>
                <w:spacing w:val="-10"/>
                <w:sz w:val="22"/>
              </w:rPr>
              <w:t> </w:t>
            </w:r>
            <w:r>
              <w:rPr>
                <w:b/>
                <w:color w:val="FFFFFF"/>
                <w:spacing w:val="-2"/>
                <w:sz w:val="22"/>
              </w:rPr>
              <w:t>action</w:t>
            </w:r>
          </w:p>
        </w:tc>
      </w:tr>
      <w:tr>
        <w:trPr>
          <w:trHeight w:val="876" w:hRule="atLeast"/>
        </w:trPr>
        <w:tc>
          <w:tcPr>
            <w:tcW w:w="1560" w:type="dxa"/>
            <w:tcBorders>
              <w:top w:val="single" w:sz="4" w:space="0" w:color="000000"/>
              <w:bottom w:val="dashSmallGap" w:sz="4" w:space="0" w:color="000000"/>
            </w:tcBorders>
            <w:shd w:val="clear" w:color="auto" w:fill="FF0000"/>
          </w:tcPr>
          <w:p>
            <w:pPr>
              <w:pStyle w:val="TableParagraph"/>
              <w:spacing w:before="5"/>
              <w:rPr>
                <w:sz w:val="23"/>
              </w:rPr>
            </w:pPr>
          </w:p>
          <w:p>
            <w:pPr>
              <w:pStyle w:val="TableParagraph"/>
              <w:spacing w:before="1"/>
              <w:ind w:left="322" w:right="324"/>
              <w:jc w:val="center"/>
              <w:rPr>
                <w:sz w:val="22"/>
              </w:rPr>
            </w:pPr>
            <w:r>
              <w:rPr>
                <w:color w:val="FFFFFF"/>
                <w:spacing w:val="-4"/>
                <w:sz w:val="22"/>
              </w:rPr>
              <w:t>High</w:t>
            </w:r>
          </w:p>
        </w:tc>
        <w:tc>
          <w:tcPr>
            <w:tcW w:w="6377" w:type="dxa"/>
            <w:tcBorders>
              <w:top w:val="single" w:sz="4" w:space="0" w:color="000000"/>
              <w:bottom w:val="dashSmallGap" w:sz="4" w:space="0" w:color="000000"/>
            </w:tcBorders>
          </w:tcPr>
          <w:p>
            <w:pPr>
              <w:pStyle w:val="TableParagraph"/>
              <w:spacing w:before="27"/>
              <w:ind w:left="108"/>
              <w:rPr>
                <w:sz w:val="20"/>
              </w:rPr>
            </w:pPr>
            <w:r>
              <w:rPr>
                <w:sz w:val="20"/>
              </w:rPr>
              <w:t>Poor</w:t>
            </w:r>
            <w:r>
              <w:rPr>
                <w:spacing w:val="-8"/>
                <w:sz w:val="20"/>
              </w:rPr>
              <w:t> </w:t>
            </w:r>
            <w:r>
              <w:rPr>
                <w:sz w:val="20"/>
              </w:rPr>
              <w:t>system</w:t>
            </w:r>
            <w:r>
              <w:rPr>
                <w:spacing w:val="-8"/>
                <w:sz w:val="20"/>
              </w:rPr>
              <w:t> </w:t>
            </w:r>
            <w:r>
              <w:rPr>
                <w:sz w:val="20"/>
              </w:rPr>
              <w:t>design</w:t>
            </w:r>
            <w:r>
              <w:rPr>
                <w:spacing w:val="-8"/>
                <w:sz w:val="20"/>
              </w:rPr>
              <w:t> </w:t>
            </w:r>
            <w:r>
              <w:rPr>
                <w:sz w:val="20"/>
              </w:rPr>
              <w:t>OR</w:t>
            </w:r>
            <w:r>
              <w:rPr>
                <w:spacing w:val="-6"/>
                <w:sz w:val="20"/>
              </w:rPr>
              <w:t> </w:t>
            </w:r>
            <w:r>
              <w:rPr>
                <w:sz w:val="20"/>
              </w:rPr>
              <w:t>widespread</w:t>
            </w:r>
            <w:r>
              <w:rPr>
                <w:spacing w:val="-8"/>
                <w:sz w:val="20"/>
              </w:rPr>
              <w:t> </w:t>
            </w:r>
            <w:r>
              <w:rPr>
                <w:sz w:val="20"/>
              </w:rPr>
              <w:t>non-</w:t>
            </w:r>
            <w:r>
              <w:rPr>
                <w:spacing w:val="-2"/>
                <w:sz w:val="20"/>
              </w:rPr>
              <w:t>compliance.</w:t>
            </w:r>
          </w:p>
          <w:p>
            <w:pPr>
              <w:pStyle w:val="TableParagraph"/>
              <w:spacing w:before="62"/>
              <w:ind w:left="108"/>
              <w:rPr>
                <w:sz w:val="20"/>
              </w:rPr>
            </w:pPr>
            <w:r>
              <w:rPr>
                <w:sz w:val="20"/>
              </w:rPr>
              <w:t>Significant risk to achievement of a system objective OR evidence</w:t>
            </w:r>
            <w:r>
              <w:rPr>
                <w:spacing w:val="-7"/>
                <w:sz w:val="20"/>
              </w:rPr>
              <w:t> </w:t>
            </w:r>
            <w:r>
              <w:rPr>
                <w:sz w:val="20"/>
              </w:rPr>
              <w:t>present</w:t>
            </w:r>
            <w:r>
              <w:rPr>
                <w:spacing w:val="-7"/>
                <w:sz w:val="20"/>
              </w:rPr>
              <w:t> </w:t>
            </w:r>
            <w:r>
              <w:rPr>
                <w:sz w:val="20"/>
              </w:rPr>
              <w:t>of</w:t>
            </w:r>
            <w:r>
              <w:rPr>
                <w:spacing w:val="-6"/>
                <w:sz w:val="20"/>
              </w:rPr>
              <w:t> </w:t>
            </w:r>
            <w:r>
              <w:rPr>
                <w:sz w:val="20"/>
              </w:rPr>
              <w:t>material</w:t>
            </w:r>
            <w:r>
              <w:rPr>
                <w:spacing w:val="-8"/>
                <w:sz w:val="20"/>
              </w:rPr>
              <w:t> </w:t>
            </w:r>
            <w:r>
              <w:rPr>
                <w:sz w:val="20"/>
              </w:rPr>
              <w:t>loss,</w:t>
            </w:r>
            <w:r>
              <w:rPr>
                <w:spacing w:val="-6"/>
                <w:sz w:val="20"/>
              </w:rPr>
              <w:t> </w:t>
            </w:r>
            <w:r>
              <w:rPr>
                <w:sz w:val="20"/>
              </w:rPr>
              <w:t>error</w:t>
            </w:r>
            <w:r>
              <w:rPr>
                <w:spacing w:val="-7"/>
                <w:sz w:val="20"/>
              </w:rPr>
              <w:t> </w:t>
            </w:r>
            <w:r>
              <w:rPr>
                <w:sz w:val="20"/>
              </w:rPr>
              <w:t>or</w:t>
            </w:r>
            <w:r>
              <w:rPr>
                <w:spacing w:val="-8"/>
                <w:sz w:val="20"/>
              </w:rPr>
              <w:t> </w:t>
            </w:r>
            <w:r>
              <w:rPr>
                <w:sz w:val="20"/>
              </w:rPr>
              <w:t>misstatement.</w:t>
            </w:r>
          </w:p>
        </w:tc>
        <w:tc>
          <w:tcPr>
            <w:tcW w:w="2696" w:type="dxa"/>
            <w:tcBorders>
              <w:top w:val="single" w:sz="4" w:space="0" w:color="000000"/>
              <w:bottom w:val="dashSmallGap" w:sz="4" w:space="0" w:color="000000"/>
            </w:tcBorders>
          </w:tcPr>
          <w:p>
            <w:pPr>
              <w:pStyle w:val="TableParagraph"/>
              <w:spacing w:before="9"/>
              <w:rPr>
                <w:sz w:val="24"/>
              </w:rPr>
            </w:pPr>
          </w:p>
          <w:p>
            <w:pPr>
              <w:pStyle w:val="TableParagraph"/>
              <w:ind w:left="111"/>
              <w:rPr>
                <w:sz w:val="20"/>
              </w:rPr>
            </w:pPr>
            <w:r>
              <w:rPr>
                <w:spacing w:val="-2"/>
                <w:sz w:val="20"/>
              </w:rPr>
              <w:t>Immediate*</w:t>
            </w:r>
          </w:p>
        </w:tc>
      </w:tr>
      <w:tr>
        <w:trPr>
          <w:trHeight w:val="667" w:hRule="atLeast"/>
        </w:trPr>
        <w:tc>
          <w:tcPr>
            <w:tcW w:w="1560" w:type="dxa"/>
            <w:tcBorders>
              <w:top w:val="dashSmallGap" w:sz="4" w:space="0" w:color="000000"/>
              <w:bottom w:val="dashSmallGap" w:sz="4" w:space="0" w:color="000000"/>
            </w:tcBorders>
            <w:shd w:val="clear" w:color="auto" w:fill="FFFF00"/>
          </w:tcPr>
          <w:p>
            <w:pPr>
              <w:pStyle w:val="TableParagraph"/>
              <w:spacing w:before="196"/>
              <w:ind w:left="322" w:right="322"/>
              <w:jc w:val="center"/>
              <w:rPr>
                <w:sz w:val="22"/>
              </w:rPr>
            </w:pPr>
            <w:r>
              <w:rPr>
                <w:spacing w:val="-2"/>
                <w:sz w:val="22"/>
              </w:rPr>
              <w:t>Medium</w:t>
            </w:r>
          </w:p>
        </w:tc>
        <w:tc>
          <w:tcPr>
            <w:tcW w:w="9073" w:type="dxa"/>
            <w:gridSpan w:val="2"/>
            <w:tcBorders>
              <w:top w:val="dashSmallGap" w:sz="4" w:space="0" w:color="000000"/>
              <w:bottom w:val="dashSmallGap" w:sz="4" w:space="0" w:color="000000"/>
            </w:tcBorders>
          </w:tcPr>
          <w:p>
            <w:pPr>
              <w:pStyle w:val="TableParagraph"/>
              <w:tabs>
                <w:tab w:pos="6488" w:val="left" w:leader="none"/>
              </w:tabs>
              <w:spacing w:line="187" w:lineRule="auto" w:before="71"/>
              <w:ind w:left="108" w:right="661"/>
              <w:rPr>
                <w:sz w:val="20"/>
              </w:rPr>
            </w:pPr>
            <w:r>
              <w:rPr>
                <w:sz w:val="20"/>
              </w:rPr>
              <w:t>Minor weakness in system design OR limited non-compliance.</w:t>
              <w:tab/>
            </w:r>
            <w:r>
              <w:rPr>
                <w:position w:val="-14"/>
                <w:sz w:val="20"/>
              </w:rPr>
              <w:t>Within</w:t>
            </w:r>
            <w:r>
              <w:rPr>
                <w:spacing w:val="-18"/>
                <w:position w:val="-14"/>
                <w:sz w:val="20"/>
              </w:rPr>
              <w:t> </w:t>
            </w:r>
            <w:r>
              <w:rPr>
                <w:position w:val="-14"/>
                <w:sz w:val="20"/>
              </w:rPr>
              <w:t>one</w:t>
            </w:r>
            <w:r>
              <w:rPr>
                <w:spacing w:val="-18"/>
                <w:position w:val="-14"/>
                <w:sz w:val="20"/>
              </w:rPr>
              <w:t> </w:t>
            </w:r>
            <w:r>
              <w:rPr>
                <w:position w:val="-14"/>
                <w:sz w:val="20"/>
              </w:rPr>
              <w:t>month* </w:t>
            </w:r>
            <w:r>
              <w:rPr>
                <w:sz w:val="20"/>
              </w:rPr>
              <w:t>Some risk to achievement of a system objective.</w:t>
            </w:r>
          </w:p>
        </w:tc>
      </w:tr>
      <w:tr>
        <w:trPr>
          <w:trHeight w:val="1151" w:hRule="atLeast"/>
        </w:trPr>
        <w:tc>
          <w:tcPr>
            <w:tcW w:w="1560" w:type="dxa"/>
            <w:tcBorders>
              <w:top w:val="dashSmallGap" w:sz="4" w:space="0" w:color="000000"/>
              <w:bottom w:val="single" w:sz="4" w:space="0" w:color="000000"/>
            </w:tcBorders>
            <w:shd w:val="clear" w:color="auto" w:fill="92D050"/>
          </w:tcPr>
          <w:p>
            <w:pPr>
              <w:pStyle w:val="TableParagraph"/>
              <w:spacing w:before="1"/>
              <w:rPr>
                <w:sz w:val="36"/>
              </w:rPr>
            </w:pPr>
          </w:p>
          <w:p>
            <w:pPr>
              <w:pStyle w:val="TableParagraph"/>
              <w:ind w:left="322" w:right="321"/>
              <w:jc w:val="center"/>
              <w:rPr>
                <w:sz w:val="22"/>
              </w:rPr>
            </w:pPr>
            <w:r>
              <w:rPr>
                <w:spacing w:val="-5"/>
                <w:sz w:val="22"/>
              </w:rPr>
              <w:t>Low</w:t>
            </w:r>
          </w:p>
        </w:tc>
        <w:tc>
          <w:tcPr>
            <w:tcW w:w="6377" w:type="dxa"/>
            <w:tcBorders>
              <w:top w:val="dashSmallGap" w:sz="4" w:space="0" w:color="000000"/>
              <w:bottom w:val="single" w:sz="4" w:space="0" w:color="000000"/>
            </w:tcBorders>
          </w:tcPr>
          <w:p>
            <w:pPr>
              <w:pStyle w:val="TableParagraph"/>
              <w:spacing w:before="60"/>
              <w:ind w:left="108"/>
              <w:rPr>
                <w:sz w:val="20"/>
              </w:rPr>
            </w:pPr>
            <w:r>
              <w:rPr>
                <w:sz w:val="20"/>
              </w:rPr>
              <w:t>Potential to enhance system design to improve efficiency or effectiveness of controls.</w:t>
            </w:r>
          </w:p>
          <w:p>
            <w:pPr>
              <w:pStyle w:val="TableParagraph"/>
              <w:spacing w:before="61"/>
              <w:ind w:left="108"/>
              <w:rPr>
                <w:sz w:val="20"/>
              </w:rPr>
            </w:pPr>
            <w:r>
              <w:rPr>
                <w:sz w:val="20"/>
              </w:rPr>
              <w:t>Generally</w:t>
            </w:r>
            <w:r>
              <w:rPr>
                <w:spacing w:val="-10"/>
                <w:sz w:val="20"/>
              </w:rPr>
              <w:t> </w:t>
            </w:r>
            <w:r>
              <w:rPr>
                <w:sz w:val="20"/>
              </w:rPr>
              <w:t>issues</w:t>
            </w:r>
            <w:r>
              <w:rPr>
                <w:spacing w:val="-5"/>
                <w:sz w:val="20"/>
              </w:rPr>
              <w:t> </w:t>
            </w:r>
            <w:r>
              <w:rPr>
                <w:sz w:val="20"/>
              </w:rPr>
              <w:t>of</w:t>
            </w:r>
            <w:r>
              <w:rPr>
                <w:spacing w:val="-5"/>
                <w:sz w:val="20"/>
              </w:rPr>
              <w:t> </w:t>
            </w:r>
            <w:r>
              <w:rPr>
                <w:sz w:val="20"/>
              </w:rPr>
              <w:t>good</w:t>
            </w:r>
            <w:r>
              <w:rPr>
                <w:spacing w:val="-6"/>
                <w:sz w:val="20"/>
              </w:rPr>
              <w:t> </w:t>
            </w:r>
            <w:r>
              <w:rPr>
                <w:sz w:val="20"/>
              </w:rPr>
              <w:t>practice</w:t>
            </w:r>
            <w:r>
              <w:rPr>
                <w:spacing w:val="-7"/>
                <w:sz w:val="20"/>
              </w:rPr>
              <w:t> </w:t>
            </w:r>
            <w:r>
              <w:rPr>
                <w:sz w:val="20"/>
              </w:rPr>
              <w:t>for</w:t>
            </w:r>
            <w:r>
              <w:rPr>
                <w:spacing w:val="-8"/>
                <w:sz w:val="20"/>
              </w:rPr>
              <w:t> </w:t>
            </w:r>
            <w:r>
              <w:rPr>
                <w:sz w:val="20"/>
              </w:rPr>
              <w:t>management </w:t>
            </w:r>
            <w:r>
              <w:rPr>
                <w:spacing w:val="-2"/>
                <w:sz w:val="20"/>
              </w:rPr>
              <w:t>consideration.</w:t>
            </w:r>
          </w:p>
        </w:tc>
        <w:tc>
          <w:tcPr>
            <w:tcW w:w="2696" w:type="dxa"/>
            <w:tcBorders>
              <w:top w:val="dashSmallGap" w:sz="4" w:space="0" w:color="000000"/>
              <w:bottom w:val="single" w:sz="4" w:space="0" w:color="000000"/>
            </w:tcBorders>
          </w:tcPr>
          <w:p>
            <w:pPr>
              <w:pStyle w:val="TableParagraph"/>
              <w:rPr>
                <w:sz w:val="24"/>
              </w:rPr>
            </w:pPr>
          </w:p>
          <w:p>
            <w:pPr>
              <w:pStyle w:val="TableParagraph"/>
              <w:spacing w:before="162"/>
              <w:ind w:left="111"/>
              <w:rPr>
                <w:sz w:val="20"/>
              </w:rPr>
            </w:pPr>
            <w:r>
              <w:rPr>
                <w:sz w:val="20"/>
              </w:rPr>
              <w:t>Within</w:t>
            </w:r>
            <w:r>
              <w:rPr>
                <w:spacing w:val="-7"/>
                <w:sz w:val="20"/>
              </w:rPr>
              <w:t> </w:t>
            </w:r>
            <w:r>
              <w:rPr>
                <w:sz w:val="20"/>
              </w:rPr>
              <w:t>three</w:t>
            </w:r>
            <w:r>
              <w:rPr>
                <w:spacing w:val="-7"/>
                <w:sz w:val="20"/>
              </w:rPr>
              <w:t> </w:t>
            </w:r>
            <w:r>
              <w:rPr>
                <w:spacing w:val="-2"/>
                <w:sz w:val="20"/>
              </w:rPr>
              <w:t>months*</w:t>
            </w:r>
          </w:p>
        </w:tc>
      </w:tr>
    </w:tbl>
    <w:p>
      <w:pPr>
        <w:spacing w:before="122"/>
        <w:ind w:left="566" w:right="0" w:firstLine="0"/>
        <w:jc w:val="left"/>
        <w:rPr>
          <w:sz w:val="20"/>
        </w:rPr>
      </w:pPr>
      <w:r>
        <w:rPr>
          <w:sz w:val="20"/>
        </w:rPr>
        <w:t>*</w:t>
      </w:r>
      <w:r>
        <w:rPr>
          <w:spacing w:val="-18"/>
          <w:sz w:val="20"/>
        </w:rPr>
        <w:t> </w:t>
      </w:r>
      <w:r>
        <w:rPr>
          <w:sz w:val="20"/>
        </w:rPr>
        <w:t>Unless</w:t>
      </w:r>
      <w:r>
        <w:rPr>
          <w:spacing w:val="-8"/>
          <w:sz w:val="20"/>
        </w:rPr>
        <w:t> </w:t>
      </w:r>
      <w:r>
        <w:rPr>
          <w:sz w:val="20"/>
        </w:rPr>
        <w:t>a</w:t>
      </w:r>
      <w:r>
        <w:rPr>
          <w:spacing w:val="-7"/>
          <w:sz w:val="20"/>
        </w:rPr>
        <w:t> </w:t>
      </w:r>
      <w:r>
        <w:rPr>
          <w:sz w:val="20"/>
        </w:rPr>
        <w:t>more</w:t>
      </w:r>
      <w:r>
        <w:rPr>
          <w:spacing w:val="-7"/>
          <w:sz w:val="20"/>
        </w:rPr>
        <w:t> </w:t>
      </w:r>
      <w:r>
        <w:rPr>
          <w:sz w:val="20"/>
        </w:rPr>
        <w:t>appropriate</w:t>
      </w:r>
      <w:r>
        <w:rPr>
          <w:spacing w:val="-8"/>
          <w:sz w:val="20"/>
        </w:rPr>
        <w:t> </w:t>
      </w:r>
      <w:r>
        <w:rPr>
          <w:sz w:val="20"/>
        </w:rPr>
        <w:t>timescale</w:t>
      </w:r>
      <w:r>
        <w:rPr>
          <w:spacing w:val="-8"/>
          <w:sz w:val="20"/>
        </w:rPr>
        <w:t> </w:t>
      </w:r>
      <w:r>
        <w:rPr>
          <w:sz w:val="20"/>
        </w:rPr>
        <w:t>is</w:t>
      </w:r>
      <w:r>
        <w:rPr>
          <w:spacing w:val="-7"/>
          <w:sz w:val="20"/>
        </w:rPr>
        <w:t> </w:t>
      </w:r>
      <w:r>
        <w:rPr>
          <w:sz w:val="20"/>
        </w:rPr>
        <w:t>identified/agreed</w:t>
      </w:r>
      <w:r>
        <w:rPr>
          <w:spacing w:val="-6"/>
          <w:sz w:val="20"/>
        </w:rPr>
        <w:t> </w:t>
      </w:r>
      <w:r>
        <w:rPr>
          <w:sz w:val="20"/>
        </w:rPr>
        <w:t>at</w:t>
      </w:r>
      <w:r>
        <w:rPr>
          <w:spacing w:val="-4"/>
          <w:sz w:val="20"/>
        </w:rPr>
        <w:t> </w:t>
      </w:r>
      <w:r>
        <w:rPr>
          <w:sz w:val="20"/>
        </w:rPr>
        <w:t>the</w:t>
      </w:r>
      <w:r>
        <w:rPr>
          <w:spacing w:val="-8"/>
          <w:sz w:val="20"/>
        </w:rPr>
        <w:t> </w:t>
      </w:r>
      <w:r>
        <w:rPr>
          <w:spacing w:val="-2"/>
          <w:sz w:val="20"/>
        </w:rPr>
        <w:t>assignment.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4"/>
        </w:rPr>
      </w:pPr>
      <w:r>
        <w:rPr/>
        <w:pict>
          <v:shape style="position:absolute;margin-left:28.320002pt;margin-top:10.029415pt;width:531.7pt;height:1.45pt;mso-position-horizontal-relative:page;mso-position-vertical-relative:paragraph;z-index:-15699456;mso-wrap-distance-left:0;mso-wrap-distance-right:0" id="docshape136" coordorigin="566,201" coordsize="10634,29" path="m5559,201l5531,201,566,201,566,229,5531,229,5559,229,5559,201xm11200,201l5559,201,5559,229,11200,229,11200,201xe" filled="true" fillcolor="#000000" stroked="false">
            <v:path arrowok="t"/>
            <v:fill type="solid"/>
            <w10:wrap type="topAndBottom"/>
          </v:shape>
        </w:pict>
      </w:r>
    </w:p>
    <w:p>
      <w:pPr>
        <w:pStyle w:val="BodyText"/>
        <w:spacing w:before="7"/>
        <w:rPr>
          <w:sz w:val="13"/>
        </w:rPr>
      </w:pPr>
    </w:p>
    <w:p>
      <w:pPr>
        <w:tabs>
          <w:tab w:pos="11092" w:val="right" w:leader="none"/>
        </w:tabs>
        <w:spacing w:before="101"/>
        <w:ind w:left="566" w:right="0" w:firstLine="0"/>
        <w:jc w:val="left"/>
        <w:rPr>
          <w:rFonts w:ascii="Arial"/>
          <w:sz w:val="22"/>
        </w:rPr>
      </w:pPr>
      <w:r>
        <w:rPr>
          <w:sz w:val="22"/>
        </w:rPr>
        <w:t>NWSSP</w:t>
      </w:r>
      <w:r>
        <w:rPr>
          <w:spacing w:val="-7"/>
          <w:sz w:val="22"/>
        </w:rPr>
        <w:t> </w:t>
      </w:r>
      <w:r>
        <w:rPr>
          <w:sz w:val="22"/>
        </w:rPr>
        <w:t>Audit</w:t>
      </w:r>
      <w:r>
        <w:rPr>
          <w:spacing w:val="-5"/>
          <w:sz w:val="22"/>
        </w:rPr>
        <w:t> </w:t>
      </w:r>
      <w:r>
        <w:rPr>
          <w:sz w:val="22"/>
        </w:rPr>
        <w:t>and</w:t>
      </w:r>
      <w:r>
        <w:rPr>
          <w:spacing w:val="-5"/>
          <w:sz w:val="22"/>
        </w:rPr>
        <w:t> </w:t>
      </w:r>
      <w:r>
        <w:rPr>
          <w:sz w:val="22"/>
        </w:rPr>
        <w:t>Assurance</w:t>
      </w:r>
      <w:r>
        <w:rPr>
          <w:spacing w:val="-3"/>
          <w:sz w:val="22"/>
        </w:rPr>
        <w:t> </w:t>
      </w:r>
      <w:r>
        <w:rPr>
          <w:spacing w:val="-2"/>
          <w:sz w:val="22"/>
        </w:rPr>
        <w:t>Services</w:t>
      </w:r>
      <w:r>
        <w:rPr>
          <w:sz w:val="22"/>
        </w:rPr>
        <w:tab/>
      </w:r>
      <w:r>
        <w:rPr>
          <w:rFonts w:ascii="Arial"/>
          <w:spacing w:val="-5"/>
          <w:position w:val="1"/>
          <w:sz w:val="22"/>
        </w:rPr>
        <w:t>10</w:t>
      </w:r>
    </w:p>
    <w:p>
      <w:pPr>
        <w:spacing w:after="0"/>
        <w:jc w:val="left"/>
        <w:rPr>
          <w:rFonts w:ascii="Arial"/>
          <w:sz w:val="22"/>
        </w:rPr>
        <w:sectPr>
          <w:type w:val="continuous"/>
          <w:pgSz w:w="11910" w:h="16840"/>
          <w:pgMar w:header="0" w:footer="127" w:top="740" w:bottom="280" w:left="0" w:right="0"/>
        </w:sect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spacing w:before="1"/>
        <w:rPr>
          <w:rFonts w:ascii="Arial"/>
          <w:sz w:val="12"/>
        </w:rPr>
      </w:pPr>
    </w:p>
    <w:p>
      <w:pPr>
        <w:spacing w:line="184" w:lineRule="auto" w:before="1"/>
        <w:ind w:left="1634" w:right="9389" w:firstLine="7"/>
        <w:jc w:val="left"/>
        <w:rPr>
          <w:rFonts w:ascii="Times New Roman"/>
          <w:sz w:val="12"/>
        </w:rPr>
      </w:pPr>
      <w:r>
        <w:rPr/>
        <w:pict>
          <v:group style="position:absolute;margin-left:26.91791pt;margin-top:-3.565807pt;width:51.7pt;height:39.450pt;mso-position-horizontal-relative:page;mso-position-vertical-relative:paragraph;z-index:15759872" id="docshapegroup139" coordorigin="538,-71" coordsize="1034,789">
            <v:shape style="position:absolute;left:538;top:-72;width:981;height:558" type="#_x0000_t75" id="docshape140" stroked="false">
              <v:imagedata r:id="rId63" o:title=""/>
            </v:shape>
            <v:line style="position:absolute" from="1567,717" to="1567,6" stroked="true" strokeweight=".480677pt" strokecolor="#000000">
              <v:stroke dashstyle="solid"/>
            </v:line>
            <w10:wrap type="none"/>
          </v:group>
        </w:pict>
      </w:r>
      <w:r>
        <w:rPr/>
        <w:drawing>
          <wp:anchor distT="0" distB="0" distL="0" distR="0" allowOverlap="1" layoutInCell="1" locked="0" behindDoc="0" simplePos="0" relativeHeight="15760384">
            <wp:simplePos x="0" y="0"/>
            <wp:positionH relativeFrom="page">
              <wp:posOffset>3174390</wp:posOffset>
            </wp:positionH>
            <wp:positionV relativeFrom="paragraph">
              <wp:posOffset>-6917208</wp:posOffset>
            </wp:positionV>
            <wp:extent cx="4383101" cy="7970453"/>
            <wp:effectExtent l="0" t="0" r="0" b="0"/>
            <wp:wrapNone/>
            <wp:docPr id="39" name="image21.jpeg"/>
            <wp:cNvGraphicFramePr>
              <a:graphicFrameLocks noChangeAspect="1"/>
            </wp:cNvGraphicFramePr>
            <a:graphic>
              <a:graphicData uri="http://schemas.openxmlformats.org/drawingml/2006/picture">
                <pic:pic>
                  <pic:nvPicPr>
                    <pic:cNvPr id="40" name="image21.jpeg"/>
                    <pic:cNvPicPr/>
                  </pic:nvPicPr>
                  <pic:blipFill>
                    <a:blip r:embed="rId64" cstate="print"/>
                    <a:stretch>
                      <a:fillRect/>
                    </a:stretch>
                  </pic:blipFill>
                  <pic:spPr>
                    <a:xfrm>
                      <a:off x="0" y="0"/>
                      <a:ext cx="4383101" cy="7970453"/>
                    </a:xfrm>
                    <a:prstGeom prst="rect">
                      <a:avLst/>
                    </a:prstGeom>
                  </pic:spPr>
                </pic:pic>
              </a:graphicData>
            </a:graphic>
          </wp:anchor>
        </w:drawing>
      </w:r>
      <w:r>
        <w:rPr>
          <w:rFonts w:ascii="Times New Roman"/>
          <w:color w:val="6B7482"/>
          <w:spacing w:val="-2"/>
          <w:w w:val="110"/>
          <w:sz w:val="12"/>
        </w:rPr>
        <w:t>Partneriaeth</w:t>
      </w:r>
      <w:r>
        <w:rPr>
          <w:rFonts w:ascii="Times New Roman"/>
          <w:color w:val="6B7482"/>
          <w:spacing w:val="40"/>
          <w:w w:val="110"/>
          <w:sz w:val="12"/>
        </w:rPr>
        <w:t> </w:t>
      </w:r>
      <w:r>
        <w:rPr>
          <w:rFonts w:ascii="Times New Roman"/>
          <w:color w:val="7B8290"/>
          <w:spacing w:val="-2"/>
          <w:w w:val="110"/>
          <w:sz w:val="12"/>
        </w:rPr>
        <w:t>Cydwasanaethau</w:t>
      </w:r>
    </w:p>
    <w:p>
      <w:pPr>
        <w:spacing w:before="20"/>
        <w:ind w:left="1635" w:right="0" w:firstLine="0"/>
        <w:jc w:val="left"/>
        <w:rPr>
          <w:rFonts w:ascii="Times New Roman"/>
          <w:sz w:val="9"/>
        </w:rPr>
      </w:pPr>
      <w:r>
        <w:rPr>
          <w:rFonts w:ascii="Times New Roman"/>
          <w:color w:val="C3B5A1"/>
          <w:w w:val="105"/>
          <w:sz w:val="9"/>
        </w:rPr>
        <w:t>Gwasan.aethau</w:t>
      </w:r>
      <w:r>
        <w:rPr>
          <w:rFonts w:ascii="Times New Roman"/>
          <w:color w:val="C3B5A1"/>
          <w:spacing w:val="15"/>
          <w:w w:val="105"/>
          <w:sz w:val="9"/>
        </w:rPr>
        <w:t> </w:t>
      </w:r>
      <w:r>
        <w:rPr>
          <w:rFonts w:ascii="Times New Roman"/>
          <w:color w:val="C3B5A1"/>
          <w:w w:val="105"/>
          <w:sz w:val="9"/>
        </w:rPr>
        <w:t>Archwilio</w:t>
      </w:r>
      <w:r>
        <w:rPr>
          <w:rFonts w:ascii="Times New Roman"/>
          <w:color w:val="C3B5A1"/>
          <w:spacing w:val="1"/>
          <w:w w:val="105"/>
          <w:sz w:val="9"/>
        </w:rPr>
        <w:t> </w:t>
      </w:r>
      <w:r>
        <w:rPr>
          <w:rFonts w:ascii="Times New Roman"/>
          <w:color w:val="C3B5A1"/>
          <w:w w:val="105"/>
          <w:sz w:val="9"/>
        </w:rPr>
        <w:t>a</w:t>
      </w:r>
      <w:r>
        <w:rPr>
          <w:rFonts w:ascii="Times New Roman"/>
          <w:color w:val="C3B5A1"/>
          <w:spacing w:val="3"/>
          <w:w w:val="105"/>
          <w:sz w:val="9"/>
        </w:rPr>
        <w:t> </w:t>
      </w:r>
      <w:r>
        <w:rPr>
          <w:rFonts w:ascii="Times New Roman"/>
          <w:color w:val="C3B5A1"/>
          <w:w w:val="105"/>
          <w:sz w:val="9"/>
        </w:rPr>
        <w:t>Sim-</w:t>
      </w:r>
      <w:r>
        <w:rPr>
          <w:rFonts w:ascii="Times New Roman"/>
          <w:color w:val="C3B5A1"/>
          <w:spacing w:val="-4"/>
          <w:w w:val="105"/>
          <w:sz w:val="9"/>
        </w:rPr>
        <w:t>vydd</w:t>
      </w:r>
    </w:p>
    <w:p>
      <w:pPr>
        <w:spacing w:line="112" w:lineRule="exact" w:before="50"/>
        <w:ind w:left="1634" w:right="0" w:firstLine="0"/>
        <w:jc w:val="left"/>
        <w:rPr>
          <w:rFonts w:ascii="Arial"/>
          <w:sz w:val="11"/>
        </w:rPr>
      </w:pPr>
      <w:r>
        <w:rPr>
          <w:rFonts w:ascii="Arial"/>
          <w:color w:val="6B7482"/>
          <w:sz w:val="11"/>
        </w:rPr>
        <w:t>Sha</w:t>
      </w:r>
      <w:r>
        <w:rPr>
          <w:rFonts w:ascii="Arial"/>
          <w:color w:val="525D69"/>
          <w:sz w:val="11"/>
        </w:rPr>
        <w:t>r</w:t>
      </w:r>
      <w:r>
        <w:rPr>
          <w:rFonts w:ascii="Arial"/>
          <w:color w:val="6B7482"/>
          <w:sz w:val="11"/>
        </w:rPr>
        <w:t>ed</w:t>
      </w:r>
      <w:r>
        <w:rPr>
          <w:rFonts w:ascii="Arial"/>
          <w:color w:val="6B7482"/>
          <w:spacing w:val="-4"/>
          <w:sz w:val="11"/>
        </w:rPr>
        <w:t> </w:t>
      </w:r>
      <w:r>
        <w:rPr>
          <w:rFonts w:ascii="Arial"/>
          <w:color w:val="7B8290"/>
          <w:spacing w:val="-2"/>
          <w:sz w:val="11"/>
        </w:rPr>
        <w:t>Se</w:t>
      </w:r>
      <w:r>
        <w:rPr>
          <w:rFonts w:ascii="Arial"/>
          <w:color w:val="525D69"/>
          <w:spacing w:val="-2"/>
          <w:sz w:val="11"/>
        </w:rPr>
        <w:t>r</w:t>
      </w:r>
      <w:r>
        <w:rPr>
          <w:rFonts w:ascii="Arial"/>
          <w:color w:val="7B8290"/>
          <w:spacing w:val="-2"/>
          <w:sz w:val="11"/>
        </w:rPr>
        <w:t>vices</w:t>
      </w:r>
    </w:p>
    <w:p>
      <w:pPr>
        <w:spacing w:line="123" w:lineRule="exact" w:before="0"/>
        <w:ind w:left="1637" w:right="0" w:firstLine="0"/>
        <w:jc w:val="left"/>
        <w:rPr>
          <w:rFonts w:ascii="Times New Roman"/>
          <w:sz w:val="12"/>
        </w:rPr>
      </w:pPr>
      <w:r>
        <w:rPr>
          <w:rFonts w:ascii="Times New Roman"/>
          <w:color w:val="6B7482"/>
          <w:spacing w:val="-2"/>
          <w:sz w:val="12"/>
        </w:rPr>
        <w:t>Partners.h</w:t>
      </w:r>
      <w:r>
        <w:rPr>
          <w:rFonts w:ascii="Times New Roman"/>
          <w:color w:val="525D69"/>
          <w:spacing w:val="-2"/>
          <w:sz w:val="12"/>
        </w:rPr>
        <w:t>i</w:t>
      </w:r>
      <w:r>
        <w:rPr>
          <w:rFonts w:ascii="Times New Roman"/>
          <w:color w:val="6B7482"/>
          <w:spacing w:val="-2"/>
          <w:sz w:val="12"/>
        </w:rPr>
        <w:t>p</w:t>
      </w:r>
    </w:p>
    <w:p>
      <w:pPr>
        <w:spacing w:before="6"/>
        <w:ind w:left="1638" w:right="0" w:firstLine="0"/>
        <w:jc w:val="left"/>
        <w:rPr>
          <w:rFonts w:ascii="Times New Roman"/>
          <w:sz w:val="9"/>
        </w:rPr>
      </w:pPr>
      <w:r>
        <w:rPr>
          <w:rFonts w:ascii="Times New Roman"/>
          <w:color w:val="C3B5A1"/>
          <w:w w:val="110"/>
          <w:sz w:val="9"/>
        </w:rPr>
        <w:t>Audit and</w:t>
      </w:r>
      <w:r>
        <w:rPr>
          <w:rFonts w:ascii="Times New Roman"/>
          <w:color w:val="C3B5A1"/>
          <w:spacing w:val="15"/>
          <w:w w:val="110"/>
          <w:sz w:val="9"/>
        </w:rPr>
        <w:t> </w:t>
      </w:r>
      <w:r>
        <w:rPr>
          <w:rFonts w:ascii="Times New Roman"/>
          <w:color w:val="C3B5A1"/>
          <w:w w:val="110"/>
          <w:sz w:val="9"/>
        </w:rPr>
        <w:t>Assurance</w:t>
      </w:r>
      <w:r>
        <w:rPr>
          <w:rFonts w:ascii="Times New Roman"/>
          <w:color w:val="C3B5A1"/>
          <w:spacing w:val="-3"/>
          <w:w w:val="110"/>
          <w:sz w:val="9"/>
        </w:rPr>
        <w:t> </w:t>
      </w:r>
      <w:r>
        <w:rPr>
          <w:rFonts w:ascii="Times New Roman"/>
          <w:color w:val="C3B5A1"/>
          <w:spacing w:val="-2"/>
          <w:w w:val="110"/>
          <w:sz w:val="9"/>
        </w:rPr>
        <w:t>Services</w:t>
      </w:r>
    </w:p>
    <w:p>
      <w:pPr>
        <w:pStyle w:val="BodyText"/>
        <w:rPr>
          <w:rFonts w:ascii="Times New Roman"/>
          <w:sz w:val="10"/>
        </w:rPr>
      </w:pPr>
    </w:p>
    <w:p>
      <w:pPr>
        <w:spacing w:before="72"/>
        <w:ind w:left="472" w:right="7417" w:firstLine="0"/>
        <w:jc w:val="both"/>
        <w:rPr>
          <w:sz w:val="20"/>
        </w:rPr>
      </w:pPr>
      <w:r>
        <w:rPr>
          <w:sz w:val="20"/>
        </w:rPr>
        <w:t>NHS</w:t>
      </w:r>
      <w:r>
        <w:rPr>
          <w:spacing w:val="-7"/>
          <w:sz w:val="20"/>
        </w:rPr>
        <w:t> </w:t>
      </w:r>
      <w:r>
        <w:rPr>
          <w:sz w:val="20"/>
        </w:rPr>
        <w:t>Wales</w:t>
      </w:r>
      <w:r>
        <w:rPr>
          <w:spacing w:val="-10"/>
          <w:sz w:val="20"/>
        </w:rPr>
        <w:t> </w:t>
      </w:r>
      <w:r>
        <w:rPr>
          <w:sz w:val="20"/>
        </w:rPr>
        <w:t>Shared</w:t>
      </w:r>
      <w:r>
        <w:rPr>
          <w:spacing w:val="-9"/>
          <w:sz w:val="20"/>
        </w:rPr>
        <w:t> </w:t>
      </w:r>
      <w:r>
        <w:rPr>
          <w:sz w:val="20"/>
        </w:rPr>
        <w:t>Services</w:t>
      </w:r>
      <w:r>
        <w:rPr>
          <w:spacing w:val="-10"/>
          <w:sz w:val="20"/>
        </w:rPr>
        <w:t> </w:t>
      </w:r>
      <w:r>
        <w:rPr>
          <w:sz w:val="20"/>
        </w:rPr>
        <w:t>Partnership 4-5 Charnwood Court</w:t>
      </w:r>
    </w:p>
    <w:p>
      <w:pPr>
        <w:spacing w:before="1"/>
        <w:ind w:left="472" w:right="9911" w:firstLine="0"/>
        <w:jc w:val="both"/>
        <w:rPr>
          <w:sz w:val="20"/>
        </w:rPr>
      </w:pPr>
      <w:r>
        <w:rPr>
          <w:sz w:val="20"/>
        </w:rPr>
        <w:t>Heol</w:t>
      </w:r>
      <w:r>
        <w:rPr>
          <w:spacing w:val="-18"/>
          <w:sz w:val="20"/>
        </w:rPr>
        <w:t> </w:t>
      </w:r>
      <w:r>
        <w:rPr>
          <w:sz w:val="20"/>
        </w:rPr>
        <w:t>Billingsley Parc Nantgarw </w:t>
      </w:r>
      <w:r>
        <w:rPr>
          <w:spacing w:val="-2"/>
          <w:sz w:val="20"/>
        </w:rPr>
        <w:t>Cardiff</w:t>
      </w:r>
    </w:p>
    <w:p>
      <w:pPr>
        <w:spacing w:line="241" w:lineRule="exact" w:before="0"/>
        <w:ind w:left="472" w:right="0" w:firstLine="0"/>
        <w:jc w:val="both"/>
        <w:rPr>
          <w:sz w:val="20"/>
        </w:rPr>
      </w:pPr>
      <w:r>
        <w:rPr>
          <w:sz w:val="20"/>
        </w:rPr>
        <w:t>CF15</w:t>
      </w:r>
      <w:r>
        <w:rPr>
          <w:spacing w:val="-7"/>
          <w:sz w:val="20"/>
        </w:rPr>
        <w:t> </w:t>
      </w:r>
      <w:r>
        <w:rPr>
          <w:spacing w:val="-5"/>
          <w:sz w:val="20"/>
        </w:rPr>
        <w:t>7QZ</w:t>
      </w:r>
    </w:p>
    <w:p>
      <w:pPr>
        <w:pStyle w:val="BodyText"/>
        <w:spacing w:before="2"/>
        <w:rPr>
          <w:sz w:val="18"/>
        </w:rPr>
      </w:pPr>
      <w:r>
        <w:rPr/>
        <w:pict>
          <v:group style="position:absolute;margin-left:0pt;margin-top:12.237988pt;width:594.15pt;height:72pt;mso-position-horizontal-relative:page;mso-position-vertical-relative:paragraph;z-index:-15697920;mso-wrap-distance-left:0;mso-wrap-distance-right:0" id="docshapegroup141" coordorigin="0,245" coordsize="11883,1440">
            <v:shape style="position:absolute;left:0;top:416;width:11883;height:1269" type="#_x0000_t75" id="docshape142" stroked="false">
              <v:imagedata r:id="rId65" o:title=""/>
            </v:shape>
            <v:shape style="position:absolute;left:0;top:244;width:11883;height:1440" type="#_x0000_t202" id="docshape143" filled="false" stroked="false">
              <v:textbox inset="0,0,0,0">
                <w:txbxContent>
                  <w:p>
                    <w:pPr>
                      <w:spacing w:line="242" w:lineRule="exact" w:before="0"/>
                      <w:ind w:left="472" w:right="0" w:firstLine="0"/>
                      <w:jc w:val="left"/>
                      <w:rPr>
                        <w:sz w:val="20"/>
                      </w:rPr>
                    </w:pPr>
                    <w:r>
                      <w:rPr>
                        <w:sz w:val="20"/>
                      </w:rPr>
                      <w:t>Website:</w:t>
                    </w:r>
                    <w:r>
                      <w:rPr>
                        <w:spacing w:val="-5"/>
                        <w:sz w:val="20"/>
                      </w:rPr>
                      <w:t> </w:t>
                    </w:r>
                    <w:hyperlink r:id="rId44">
                      <w:r>
                        <w:rPr>
                          <w:color w:val="0000FF"/>
                          <w:sz w:val="20"/>
                        </w:rPr>
                        <w:t>Audit</w:t>
                      </w:r>
                      <w:r>
                        <w:rPr>
                          <w:color w:val="0000FF"/>
                          <w:spacing w:val="-6"/>
                          <w:sz w:val="20"/>
                        </w:rPr>
                        <w:t> </w:t>
                      </w:r>
                      <w:r>
                        <w:rPr>
                          <w:color w:val="0000FF"/>
                          <w:sz w:val="20"/>
                        </w:rPr>
                        <w:t>&amp;</w:t>
                      </w:r>
                      <w:r>
                        <w:rPr>
                          <w:color w:val="0000FF"/>
                          <w:spacing w:val="-7"/>
                          <w:sz w:val="20"/>
                        </w:rPr>
                        <w:t> </w:t>
                      </w:r>
                      <w:r>
                        <w:rPr>
                          <w:color w:val="0000FF"/>
                          <w:sz w:val="20"/>
                        </w:rPr>
                        <w:t>Assurance</w:t>
                      </w:r>
                      <w:r>
                        <w:rPr>
                          <w:color w:val="0000FF"/>
                          <w:spacing w:val="-8"/>
                          <w:sz w:val="20"/>
                        </w:rPr>
                        <w:t> </w:t>
                      </w:r>
                      <w:r>
                        <w:rPr>
                          <w:color w:val="0000FF"/>
                          <w:sz w:val="20"/>
                        </w:rPr>
                        <w:t>Services</w:t>
                      </w:r>
                      <w:r>
                        <w:rPr>
                          <w:color w:val="0000FF"/>
                          <w:spacing w:val="-5"/>
                          <w:sz w:val="20"/>
                        </w:rPr>
                        <w:t> </w:t>
                      </w:r>
                      <w:r>
                        <w:rPr>
                          <w:color w:val="0000FF"/>
                          <w:sz w:val="20"/>
                        </w:rPr>
                        <w:t>-</w:t>
                      </w:r>
                      <w:r>
                        <w:rPr>
                          <w:color w:val="0000FF"/>
                          <w:spacing w:val="-4"/>
                          <w:sz w:val="20"/>
                        </w:rPr>
                        <w:t> </w:t>
                      </w:r>
                      <w:r>
                        <w:rPr>
                          <w:color w:val="0000FF"/>
                          <w:sz w:val="20"/>
                        </w:rPr>
                        <w:t>NHS</w:t>
                      </w:r>
                      <w:r>
                        <w:rPr>
                          <w:color w:val="0000FF"/>
                          <w:spacing w:val="-3"/>
                          <w:sz w:val="20"/>
                        </w:rPr>
                        <w:t> </w:t>
                      </w:r>
                      <w:r>
                        <w:rPr>
                          <w:color w:val="0000FF"/>
                          <w:sz w:val="20"/>
                        </w:rPr>
                        <w:t>Wales</w:t>
                      </w:r>
                      <w:r>
                        <w:rPr>
                          <w:color w:val="0000FF"/>
                          <w:spacing w:val="-8"/>
                          <w:sz w:val="20"/>
                        </w:rPr>
                        <w:t> </w:t>
                      </w:r>
                      <w:r>
                        <w:rPr>
                          <w:color w:val="0000FF"/>
                          <w:sz w:val="20"/>
                        </w:rPr>
                        <w:t>Shared</w:t>
                      </w:r>
                      <w:r>
                        <w:rPr>
                          <w:color w:val="0000FF"/>
                          <w:spacing w:val="-4"/>
                          <w:sz w:val="20"/>
                        </w:rPr>
                        <w:t> </w:t>
                      </w:r>
                      <w:r>
                        <w:rPr>
                          <w:color w:val="0000FF"/>
                          <w:sz w:val="20"/>
                        </w:rPr>
                        <w:t>Services</w:t>
                      </w:r>
                      <w:r>
                        <w:rPr>
                          <w:color w:val="0000FF"/>
                          <w:spacing w:val="-5"/>
                          <w:sz w:val="20"/>
                        </w:rPr>
                        <w:t> </w:t>
                      </w:r>
                      <w:r>
                        <w:rPr>
                          <w:color w:val="0000FF"/>
                          <w:spacing w:val="-2"/>
                          <w:sz w:val="20"/>
                        </w:rPr>
                        <w:t>Partnership</w:t>
                      </w:r>
                    </w:hyperlink>
                  </w:p>
                </w:txbxContent>
              </v:textbox>
              <w10:wrap type="none"/>
            </v:shape>
            <w10:wrap type="topAndBottom"/>
          </v:group>
        </w:pict>
      </w:r>
    </w:p>
    <w:p>
      <w:pPr>
        <w:spacing w:after="0"/>
        <w:rPr>
          <w:sz w:val="18"/>
        </w:rPr>
        <w:sectPr>
          <w:footerReference w:type="default" r:id="rId62"/>
          <w:pgSz w:w="11910" w:h="16840"/>
          <w:pgMar w:footer="173" w:header="0" w:top="540" w:bottom="360" w:left="0" w:right="0"/>
        </w:sectPr>
      </w:pPr>
    </w:p>
    <w:p>
      <w:pPr>
        <w:pStyle w:val="BodyText"/>
        <w:rPr>
          <w:sz w:val="20"/>
        </w:rPr>
      </w:pPr>
      <w:r>
        <w:rPr/>
        <w:drawing>
          <wp:anchor distT="0" distB="0" distL="0" distR="0" allowOverlap="1" layoutInCell="1" locked="0" behindDoc="1" simplePos="0" relativeHeight="479158272">
            <wp:simplePos x="0" y="0"/>
            <wp:positionH relativeFrom="page">
              <wp:posOffset>0</wp:posOffset>
            </wp:positionH>
            <wp:positionV relativeFrom="page">
              <wp:posOffset>0</wp:posOffset>
            </wp:positionV>
            <wp:extent cx="7560564" cy="9237314"/>
            <wp:effectExtent l="0" t="0" r="0" b="0"/>
            <wp:wrapNone/>
            <wp:docPr id="41" name="image10.jpeg"/>
            <wp:cNvGraphicFramePr>
              <a:graphicFrameLocks noChangeAspect="1"/>
            </wp:cNvGraphicFramePr>
            <a:graphic>
              <a:graphicData uri="http://schemas.openxmlformats.org/drawingml/2006/picture">
                <pic:pic>
                  <pic:nvPicPr>
                    <pic:cNvPr id="42" name="image10.jpeg"/>
                    <pic:cNvPicPr/>
                  </pic:nvPicPr>
                  <pic:blipFill>
                    <a:blip r:embed="rId46" cstate="print"/>
                    <a:stretch>
                      <a:fillRect/>
                    </a:stretch>
                  </pic:blipFill>
                  <pic:spPr>
                    <a:xfrm>
                      <a:off x="0" y="0"/>
                      <a:ext cx="7560564" cy="9237314"/>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19"/>
        </w:rPr>
      </w:pPr>
    </w:p>
    <w:p>
      <w:pPr>
        <w:pStyle w:val="Heading1"/>
        <w:spacing w:line="314" w:lineRule="auto"/>
        <w:ind w:right="1405"/>
      </w:pPr>
      <w:bookmarkStart w:name=" 4.2.2 NWSSP-2223-05b Laundry Service - " w:id="47"/>
      <w:bookmarkEnd w:id="47"/>
      <w:r>
        <w:rPr/>
      </w:r>
      <w:r>
        <w:rPr>
          <w:color w:val="3C5A8B"/>
        </w:rPr>
        <w:t>Laundry</w:t>
      </w:r>
      <w:r>
        <w:rPr>
          <w:color w:val="3C5A8B"/>
          <w:spacing w:val="-10"/>
        </w:rPr>
        <w:t> </w:t>
      </w:r>
      <w:r>
        <w:rPr>
          <w:color w:val="3C5A8B"/>
        </w:rPr>
        <w:t>Service</w:t>
      </w:r>
      <w:r>
        <w:rPr>
          <w:color w:val="3C5A8B"/>
          <w:spacing w:val="-6"/>
        </w:rPr>
        <w:t> </w:t>
      </w:r>
      <w:r>
        <w:rPr>
          <w:color w:val="3C5A8B"/>
        </w:rPr>
        <w:t>–</w:t>
      </w:r>
      <w:r>
        <w:rPr>
          <w:color w:val="3C5A8B"/>
          <w:spacing w:val="-10"/>
        </w:rPr>
        <w:t> </w:t>
      </w:r>
      <w:r>
        <w:rPr>
          <w:color w:val="3C5A8B"/>
        </w:rPr>
        <w:t>Glan</w:t>
      </w:r>
      <w:r>
        <w:rPr>
          <w:color w:val="3C5A8B"/>
          <w:spacing w:val="-9"/>
        </w:rPr>
        <w:t> </w:t>
      </w:r>
      <w:r>
        <w:rPr>
          <w:color w:val="3C5A8B"/>
        </w:rPr>
        <w:t>Clwyd Final Internal Audit Report</w:t>
      </w:r>
    </w:p>
    <w:p>
      <w:pPr>
        <w:spacing w:before="84"/>
        <w:ind w:left="1132" w:right="0" w:firstLine="0"/>
        <w:jc w:val="left"/>
        <w:rPr>
          <w:sz w:val="44"/>
        </w:rPr>
      </w:pPr>
      <w:r>
        <w:rPr>
          <w:sz w:val="44"/>
        </w:rPr>
        <w:t>December</w:t>
      </w:r>
      <w:r>
        <w:rPr>
          <w:spacing w:val="-21"/>
          <w:sz w:val="44"/>
        </w:rPr>
        <w:t> </w:t>
      </w:r>
      <w:r>
        <w:rPr>
          <w:spacing w:val="-4"/>
          <w:sz w:val="44"/>
        </w:rPr>
        <w:t>2022</w:t>
      </w:r>
    </w:p>
    <w:p>
      <w:pPr>
        <w:pStyle w:val="BodyText"/>
        <w:spacing w:before="6"/>
        <w:rPr>
          <w:sz w:val="77"/>
        </w:rPr>
      </w:pPr>
    </w:p>
    <w:p>
      <w:pPr>
        <w:spacing w:line="662" w:lineRule="auto" w:before="0"/>
        <w:ind w:left="1132" w:right="617" w:firstLine="0"/>
        <w:jc w:val="left"/>
        <w:rPr>
          <w:sz w:val="44"/>
        </w:rPr>
      </w:pPr>
      <w:r>
        <w:rPr>
          <w:sz w:val="44"/>
        </w:rPr>
        <w:t>NHS</w:t>
      </w:r>
      <w:r>
        <w:rPr>
          <w:spacing w:val="-11"/>
          <w:sz w:val="44"/>
        </w:rPr>
        <w:t> </w:t>
      </w:r>
      <w:r>
        <w:rPr>
          <w:sz w:val="44"/>
        </w:rPr>
        <w:t>Wales</w:t>
      </w:r>
      <w:r>
        <w:rPr>
          <w:spacing w:val="-9"/>
          <w:sz w:val="44"/>
        </w:rPr>
        <w:t> </w:t>
      </w:r>
      <w:r>
        <w:rPr>
          <w:sz w:val="44"/>
        </w:rPr>
        <w:t>Shared</w:t>
      </w:r>
      <w:r>
        <w:rPr>
          <w:spacing w:val="-10"/>
          <w:sz w:val="44"/>
        </w:rPr>
        <w:t> </w:t>
      </w:r>
      <w:r>
        <w:rPr>
          <w:sz w:val="44"/>
        </w:rPr>
        <w:t>Services</w:t>
      </w:r>
      <w:r>
        <w:rPr>
          <w:spacing w:val="-10"/>
          <w:sz w:val="44"/>
        </w:rPr>
        <w:t> </w:t>
      </w:r>
      <w:r>
        <w:rPr>
          <w:sz w:val="44"/>
        </w:rPr>
        <w:t>Partnership NWSSP Audit and Assurance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9"/>
        </w:rPr>
      </w:pPr>
      <w:r>
        <w:rPr/>
        <w:drawing>
          <wp:anchor distT="0" distB="0" distL="0" distR="0" allowOverlap="1" layoutInCell="1" locked="0" behindDoc="0" simplePos="0" relativeHeight="63">
            <wp:simplePos x="0" y="0"/>
            <wp:positionH relativeFrom="page">
              <wp:posOffset>495623</wp:posOffset>
            </wp:positionH>
            <wp:positionV relativeFrom="paragraph">
              <wp:posOffset>340008</wp:posOffset>
            </wp:positionV>
            <wp:extent cx="2163430" cy="647128"/>
            <wp:effectExtent l="0" t="0" r="0" b="0"/>
            <wp:wrapTopAndBottom/>
            <wp:docPr id="43" name="image11.jpeg"/>
            <wp:cNvGraphicFramePr>
              <a:graphicFrameLocks noChangeAspect="1"/>
            </wp:cNvGraphicFramePr>
            <a:graphic>
              <a:graphicData uri="http://schemas.openxmlformats.org/drawingml/2006/picture">
                <pic:pic>
                  <pic:nvPicPr>
                    <pic:cNvPr id="44" name="image11.jpeg"/>
                    <pic:cNvPicPr/>
                  </pic:nvPicPr>
                  <pic:blipFill>
                    <a:blip r:embed="rId47" cstate="print"/>
                    <a:stretch>
                      <a:fillRect/>
                    </a:stretch>
                  </pic:blipFill>
                  <pic:spPr>
                    <a:xfrm>
                      <a:off x="0" y="0"/>
                      <a:ext cx="2163430" cy="647128"/>
                    </a:xfrm>
                    <a:prstGeom prst="rect">
                      <a:avLst/>
                    </a:prstGeom>
                  </pic:spPr>
                </pic:pic>
              </a:graphicData>
            </a:graphic>
          </wp:anchor>
        </w:drawing>
      </w:r>
      <w:r>
        <w:rPr/>
        <w:drawing>
          <wp:anchor distT="0" distB="0" distL="0" distR="0" allowOverlap="1" layoutInCell="1" locked="0" behindDoc="0" simplePos="0" relativeHeight="64">
            <wp:simplePos x="0" y="0"/>
            <wp:positionH relativeFrom="page">
              <wp:posOffset>6394106</wp:posOffset>
            </wp:positionH>
            <wp:positionV relativeFrom="paragraph">
              <wp:posOffset>246028</wp:posOffset>
            </wp:positionV>
            <wp:extent cx="644183" cy="647128"/>
            <wp:effectExtent l="0" t="0" r="0" b="0"/>
            <wp:wrapTopAndBottom/>
            <wp:docPr id="45" name="image7.jpeg"/>
            <wp:cNvGraphicFramePr>
              <a:graphicFrameLocks noChangeAspect="1"/>
            </wp:cNvGraphicFramePr>
            <a:graphic>
              <a:graphicData uri="http://schemas.openxmlformats.org/drawingml/2006/picture">
                <pic:pic>
                  <pic:nvPicPr>
                    <pic:cNvPr id="46" name="image7.jpeg"/>
                    <pic:cNvPicPr/>
                  </pic:nvPicPr>
                  <pic:blipFill>
                    <a:blip r:embed="rId36" cstate="print"/>
                    <a:stretch>
                      <a:fillRect/>
                    </a:stretch>
                  </pic:blipFill>
                  <pic:spPr>
                    <a:xfrm>
                      <a:off x="0" y="0"/>
                      <a:ext cx="644183" cy="647128"/>
                    </a:xfrm>
                    <a:prstGeom prst="rect">
                      <a:avLst/>
                    </a:prstGeom>
                  </pic:spPr>
                </pic:pic>
              </a:graphicData>
            </a:graphic>
          </wp:anchor>
        </w:drawing>
      </w:r>
    </w:p>
    <w:p>
      <w:pPr>
        <w:spacing w:after="0"/>
        <w:rPr>
          <w:sz w:val="29"/>
        </w:rPr>
        <w:sectPr>
          <w:footerReference w:type="default" r:id="rId66"/>
          <w:pgSz w:w="11910" w:h="16840"/>
          <w:pgMar w:footer="173" w:header="0" w:top="1920" w:bottom="360" w:left="0" w:right="0"/>
        </w:sectPr>
      </w:pPr>
    </w:p>
    <w:p>
      <w:pPr>
        <w:tabs>
          <w:tab w:pos="7935" w:val="left" w:leader="none"/>
        </w:tabs>
        <w:spacing w:before="75"/>
        <w:ind w:left="566" w:right="0" w:firstLine="0"/>
        <w:jc w:val="left"/>
        <w:rPr>
          <w:sz w:val="22"/>
        </w:rPr>
      </w:pPr>
      <w:r>
        <w:rPr>
          <w:sz w:val="22"/>
        </w:rPr>
        <w:t>Laundry</w:t>
      </w:r>
      <w:r>
        <w:rPr>
          <w:spacing w:val="-5"/>
          <w:sz w:val="22"/>
        </w:rPr>
        <w:t> </w:t>
      </w:r>
      <w:r>
        <w:rPr>
          <w:sz w:val="22"/>
        </w:rPr>
        <w:t>Service</w:t>
      </w:r>
      <w:r>
        <w:rPr>
          <w:spacing w:val="-3"/>
          <w:sz w:val="22"/>
        </w:rPr>
        <w:t> </w:t>
      </w:r>
      <w:r>
        <w:rPr>
          <w:sz w:val="22"/>
        </w:rPr>
        <w:t>–</w:t>
      </w:r>
      <w:r>
        <w:rPr>
          <w:spacing w:val="-4"/>
          <w:sz w:val="22"/>
        </w:rPr>
        <w:t> </w:t>
      </w:r>
      <w:r>
        <w:rPr>
          <w:sz w:val="22"/>
        </w:rPr>
        <w:t>Glan</w:t>
      </w:r>
      <w:r>
        <w:rPr>
          <w:spacing w:val="-4"/>
          <w:sz w:val="22"/>
        </w:rPr>
        <w:t> Clwyd</w:t>
      </w:r>
      <w:r>
        <w:rPr>
          <w:sz w:val="22"/>
        </w:rPr>
        <w:tab/>
        <w:t>Final</w:t>
      </w:r>
      <w:r>
        <w:rPr>
          <w:spacing w:val="-7"/>
          <w:sz w:val="22"/>
        </w:rPr>
        <w:t> </w:t>
      </w:r>
      <w:r>
        <w:rPr>
          <w:sz w:val="22"/>
        </w:rPr>
        <w:t>Internal</w:t>
      </w:r>
      <w:r>
        <w:rPr>
          <w:spacing w:val="-5"/>
          <w:sz w:val="22"/>
        </w:rPr>
        <w:t> </w:t>
      </w:r>
      <w:r>
        <w:rPr>
          <w:sz w:val="22"/>
        </w:rPr>
        <w:t>Audit</w:t>
      </w:r>
      <w:r>
        <w:rPr>
          <w:spacing w:val="-5"/>
          <w:sz w:val="22"/>
        </w:rPr>
        <w:t> </w:t>
      </w:r>
      <w:r>
        <w:rPr>
          <w:spacing w:val="-2"/>
          <w:sz w:val="22"/>
        </w:rPr>
        <w:t>Report</w:t>
      </w:r>
    </w:p>
    <w:p>
      <w:pPr>
        <w:pStyle w:val="BodyText"/>
        <w:spacing w:before="4"/>
        <w:rPr>
          <w:sz w:val="20"/>
        </w:rPr>
      </w:pPr>
      <w:r>
        <w:rPr/>
        <w:pict>
          <v:shape style="position:absolute;margin-left:27.6pt;margin-top:13.561312pt;width:532.450pt;height:1.45pt;mso-position-horizontal-relative:page;mso-position-vertical-relative:paragraph;z-index:-15694848;mso-wrap-distance-left:0;mso-wrap-distance-right:0" id="docshape148" coordorigin="552,271" coordsize="10649,29" path="m11200,271l5943,271,5929,271,5915,271,552,271,552,300,5915,300,5929,300,5943,300,11200,300,11200,271xe" filled="true" fillcolor="#000000" stroked="false">
            <v:path arrowok="t"/>
            <v:fill type="solid"/>
            <w10:wrap type="topAndBottom"/>
          </v:shape>
        </w:pict>
      </w:r>
    </w:p>
    <w:p>
      <w:pPr>
        <w:pStyle w:val="BodyText"/>
        <w:rPr>
          <w:sz w:val="20"/>
        </w:rPr>
      </w:pPr>
    </w:p>
    <w:p>
      <w:pPr>
        <w:pStyle w:val="Heading2"/>
        <w:spacing w:before="274"/>
      </w:pPr>
      <w:r>
        <w:rPr>
          <w:color w:val="2E5395"/>
          <w:spacing w:val="-2"/>
        </w:rPr>
        <w:t>Contents</w:t>
      </w:r>
    </w:p>
    <w:p>
      <w:pPr>
        <w:tabs>
          <w:tab w:pos="11192" w:val="right" w:leader="dot"/>
        </w:tabs>
        <w:spacing w:before="487"/>
        <w:ind w:left="566" w:right="0" w:firstLine="0"/>
        <w:jc w:val="left"/>
        <w:rPr>
          <w:rFonts w:ascii="Calibri"/>
          <w:sz w:val="22"/>
        </w:rPr>
      </w:pPr>
      <w:hyperlink w:history="true" w:anchor="_bookmark5">
        <w:r>
          <w:rPr>
            <w:sz w:val="22"/>
          </w:rPr>
          <w:t>Executive</w:t>
        </w:r>
        <w:r>
          <w:rPr>
            <w:spacing w:val="-6"/>
            <w:sz w:val="22"/>
          </w:rPr>
          <w:t> </w:t>
        </w:r>
        <w:r>
          <w:rPr>
            <w:spacing w:val="-2"/>
            <w:sz w:val="22"/>
          </w:rPr>
          <w:t>Summary</w:t>
        </w:r>
      </w:hyperlink>
      <w:r>
        <w:rPr>
          <w:sz w:val="22"/>
        </w:rPr>
        <w:tab/>
      </w:r>
      <w:hyperlink w:history="true" w:anchor="_bookmark5">
        <w:r>
          <w:rPr>
            <w:rFonts w:ascii="Calibri"/>
            <w:spacing w:val="-10"/>
            <w:sz w:val="22"/>
          </w:rPr>
          <w:t>3</w:t>
        </w:r>
      </w:hyperlink>
    </w:p>
    <w:p>
      <w:pPr>
        <w:pStyle w:val="ListParagraph"/>
        <w:numPr>
          <w:ilvl w:val="0"/>
          <w:numId w:val="15"/>
        </w:numPr>
        <w:tabs>
          <w:tab w:pos="1226" w:val="left" w:leader="none"/>
          <w:tab w:pos="1227" w:val="left" w:leader="none"/>
          <w:tab w:pos="11192" w:val="right" w:leader="dot"/>
        </w:tabs>
        <w:spacing w:line="240" w:lineRule="auto" w:before="123" w:after="0"/>
        <w:ind w:left="1226" w:right="0" w:hanging="661"/>
        <w:jc w:val="left"/>
        <w:rPr>
          <w:rFonts w:ascii="Calibri"/>
          <w:sz w:val="22"/>
        </w:rPr>
      </w:pPr>
      <w:hyperlink w:history="true" w:anchor="_bookmark6">
        <w:r>
          <w:rPr>
            <w:spacing w:val="-2"/>
            <w:sz w:val="22"/>
          </w:rPr>
          <w:t>Introduction</w:t>
        </w:r>
      </w:hyperlink>
      <w:r>
        <w:rPr>
          <w:sz w:val="22"/>
        </w:rPr>
        <w:tab/>
      </w:r>
      <w:hyperlink w:history="true" w:anchor="_bookmark6">
        <w:r>
          <w:rPr>
            <w:rFonts w:ascii="Calibri"/>
            <w:spacing w:val="-10"/>
            <w:sz w:val="22"/>
          </w:rPr>
          <w:t>4</w:t>
        </w:r>
      </w:hyperlink>
    </w:p>
    <w:p>
      <w:pPr>
        <w:pStyle w:val="ListParagraph"/>
        <w:numPr>
          <w:ilvl w:val="0"/>
          <w:numId w:val="15"/>
        </w:numPr>
        <w:tabs>
          <w:tab w:pos="1226" w:val="left" w:leader="none"/>
          <w:tab w:pos="1227" w:val="left" w:leader="none"/>
          <w:tab w:pos="11192" w:val="right" w:leader="dot"/>
        </w:tabs>
        <w:spacing w:line="240" w:lineRule="auto" w:before="120" w:after="0"/>
        <w:ind w:left="1226" w:right="0" w:hanging="661"/>
        <w:jc w:val="left"/>
        <w:rPr>
          <w:rFonts w:ascii="Calibri"/>
          <w:sz w:val="22"/>
        </w:rPr>
      </w:pPr>
      <w:hyperlink w:history="true" w:anchor="_bookmark7">
        <w:r>
          <w:rPr>
            <w:sz w:val="22"/>
          </w:rPr>
          <w:t>Detailed</w:t>
        </w:r>
        <w:r>
          <w:rPr>
            <w:spacing w:val="-5"/>
            <w:sz w:val="22"/>
          </w:rPr>
          <w:t> </w:t>
        </w:r>
        <w:r>
          <w:rPr>
            <w:sz w:val="22"/>
          </w:rPr>
          <w:t>Audit</w:t>
        </w:r>
        <w:r>
          <w:rPr>
            <w:spacing w:val="-4"/>
            <w:sz w:val="22"/>
          </w:rPr>
          <w:t> </w:t>
        </w:r>
        <w:r>
          <w:rPr>
            <w:spacing w:val="-2"/>
            <w:sz w:val="22"/>
          </w:rPr>
          <w:t>Findings</w:t>
        </w:r>
      </w:hyperlink>
      <w:r>
        <w:rPr>
          <w:sz w:val="22"/>
        </w:rPr>
        <w:tab/>
      </w:r>
      <w:hyperlink w:history="true" w:anchor="_bookmark7">
        <w:r>
          <w:rPr>
            <w:rFonts w:ascii="Calibri"/>
            <w:spacing w:val="-10"/>
            <w:sz w:val="22"/>
          </w:rPr>
          <w:t>5</w:t>
        </w:r>
      </w:hyperlink>
    </w:p>
    <w:p>
      <w:pPr>
        <w:tabs>
          <w:tab w:pos="11192" w:val="right" w:leader="dot"/>
        </w:tabs>
        <w:spacing w:before="121"/>
        <w:ind w:left="566" w:right="0" w:firstLine="0"/>
        <w:jc w:val="left"/>
        <w:rPr>
          <w:rFonts w:ascii="Calibri"/>
          <w:sz w:val="22"/>
        </w:rPr>
      </w:pPr>
      <w:hyperlink w:history="true" w:anchor="_bookmark8">
        <w:r>
          <w:rPr>
            <w:sz w:val="22"/>
          </w:rPr>
          <w:t>Appendix</w:t>
        </w:r>
        <w:r>
          <w:rPr>
            <w:spacing w:val="-6"/>
            <w:sz w:val="22"/>
          </w:rPr>
          <w:t> </w:t>
        </w:r>
        <w:r>
          <w:rPr>
            <w:sz w:val="22"/>
          </w:rPr>
          <w:t>A:</w:t>
        </w:r>
        <w:r>
          <w:rPr>
            <w:spacing w:val="-4"/>
            <w:sz w:val="22"/>
          </w:rPr>
          <w:t> </w:t>
        </w:r>
        <w:r>
          <w:rPr>
            <w:sz w:val="22"/>
          </w:rPr>
          <w:t>Management</w:t>
        </w:r>
        <w:r>
          <w:rPr>
            <w:spacing w:val="-5"/>
            <w:sz w:val="22"/>
          </w:rPr>
          <w:t> </w:t>
        </w:r>
        <w:r>
          <w:rPr>
            <w:sz w:val="22"/>
          </w:rPr>
          <w:t>Action</w:t>
        </w:r>
        <w:r>
          <w:rPr>
            <w:spacing w:val="-4"/>
            <w:sz w:val="22"/>
          </w:rPr>
          <w:t> Plan</w:t>
        </w:r>
      </w:hyperlink>
      <w:r>
        <w:rPr>
          <w:sz w:val="22"/>
        </w:rPr>
        <w:tab/>
      </w:r>
      <w:hyperlink w:history="true" w:anchor="_bookmark8">
        <w:r>
          <w:rPr>
            <w:rFonts w:ascii="Calibri"/>
            <w:spacing w:val="-10"/>
            <w:sz w:val="22"/>
          </w:rPr>
          <w:t>9</w:t>
        </w:r>
      </w:hyperlink>
    </w:p>
    <w:p>
      <w:pPr>
        <w:tabs>
          <w:tab w:pos="11192" w:val="right" w:leader="dot"/>
        </w:tabs>
        <w:spacing w:before="123"/>
        <w:ind w:left="566" w:right="0" w:firstLine="0"/>
        <w:jc w:val="left"/>
        <w:rPr>
          <w:rFonts w:ascii="Calibri"/>
          <w:sz w:val="22"/>
        </w:rPr>
      </w:pPr>
      <w:hyperlink w:history="true" w:anchor="_bookmark9">
        <w:r>
          <w:rPr>
            <w:sz w:val="22"/>
          </w:rPr>
          <w:t>Appendix</w:t>
        </w:r>
        <w:r>
          <w:rPr>
            <w:spacing w:val="-7"/>
            <w:sz w:val="22"/>
          </w:rPr>
          <w:t> </w:t>
        </w:r>
        <w:r>
          <w:rPr>
            <w:sz w:val="22"/>
          </w:rPr>
          <w:t>B:</w:t>
        </w:r>
        <w:r>
          <w:rPr>
            <w:spacing w:val="-3"/>
            <w:sz w:val="22"/>
          </w:rPr>
          <w:t> </w:t>
        </w:r>
        <w:r>
          <w:rPr>
            <w:sz w:val="22"/>
          </w:rPr>
          <w:t>Assurance</w:t>
        </w:r>
        <w:r>
          <w:rPr>
            <w:spacing w:val="-3"/>
            <w:sz w:val="22"/>
          </w:rPr>
          <w:t> </w:t>
        </w:r>
        <w:r>
          <w:rPr>
            <w:sz w:val="22"/>
          </w:rPr>
          <w:t>opinion</w:t>
        </w:r>
        <w:r>
          <w:rPr>
            <w:spacing w:val="-4"/>
            <w:sz w:val="22"/>
          </w:rPr>
          <w:t> </w:t>
        </w:r>
        <w:r>
          <w:rPr>
            <w:sz w:val="22"/>
          </w:rPr>
          <w:t>and</w:t>
        </w:r>
        <w:r>
          <w:rPr>
            <w:spacing w:val="-4"/>
            <w:sz w:val="22"/>
          </w:rPr>
          <w:t> </w:t>
        </w:r>
        <w:r>
          <w:rPr>
            <w:sz w:val="22"/>
          </w:rPr>
          <w:t>action</w:t>
        </w:r>
        <w:r>
          <w:rPr>
            <w:spacing w:val="-5"/>
            <w:sz w:val="22"/>
          </w:rPr>
          <w:t> </w:t>
        </w:r>
        <w:r>
          <w:rPr>
            <w:sz w:val="22"/>
          </w:rPr>
          <w:t>plan</w:t>
        </w:r>
        <w:r>
          <w:rPr>
            <w:spacing w:val="-5"/>
            <w:sz w:val="22"/>
          </w:rPr>
          <w:t> </w:t>
        </w:r>
        <w:r>
          <w:rPr>
            <w:sz w:val="22"/>
          </w:rPr>
          <w:t>risk</w:t>
        </w:r>
        <w:r>
          <w:rPr>
            <w:spacing w:val="-4"/>
            <w:sz w:val="22"/>
          </w:rPr>
          <w:t> </w:t>
        </w:r>
        <w:r>
          <w:rPr>
            <w:spacing w:val="-2"/>
            <w:sz w:val="22"/>
          </w:rPr>
          <w:t>rating</w:t>
        </w:r>
        <w:r>
          <w:rPr>
            <w:sz w:val="22"/>
          </w:rPr>
          <w:tab/>
        </w:r>
        <w:r>
          <w:rPr>
            <w:rFonts w:ascii="Calibri"/>
            <w:spacing w:val="-5"/>
            <w:sz w:val="22"/>
          </w:rPr>
          <w:t>1</w:t>
        </w:r>
      </w:hyperlink>
      <w:hyperlink w:history="true" w:anchor="_bookmark9">
        <w:r>
          <w:rPr>
            <w:rFonts w:ascii="Calibri"/>
            <w:spacing w:val="-5"/>
            <w:sz w:val="22"/>
          </w:rPr>
          <w:t>2</w:t>
        </w:r>
      </w:hyperlink>
    </w:p>
    <w:p>
      <w:pPr>
        <w:pStyle w:val="BodyText"/>
        <w:spacing w:before="11"/>
        <w:rPr>
          <w:rFonts w:ascii="Calibri"/>
          <w:sz w:val="7"/>
        </w:rPr>
      </w:pPr>
      <w:r>
        <w:rPr/>
        <w:pict>
          <v:shape style="position:absolute;margin-left:28.32pt;margin-top:6.054121pt;width:531.25pt;height:279.2pt;mso-position-horizontal-relative:page;mso-position-vertical-relative:paragraph;z-index:-15694336;mso-wrap-distance-left:0;mso-wrap-distance-right:0" type="#_x0000_t202" id="docshape149" filled="true" fillcolor="#d9e1f3" stroked="false">
            <v:textbox inset="0,0,0,0">
              <w:txbxContent>
                <w:p>
                  <w:pPr>
                    <w:tabs>
                      <w:tab w:pos="3653" w:val="left" w:leader="none"/>
                    </w:tabs>
                    <w:spacing w:before="187"/>
                    <w:ind w:left="107" w:right="0" w:firstLine="0"/>
                    <w:jc w:val="left"/>
                    <w:rPr>
                      <w:color w:val="000000"/>
                      <w:sz w:val="20"/>
                    </w:rPr>
                  </w:pPr>
                  <w:r>
                    <w:rPr>
                      <w:color w:val="000000"/>
                      <w:sz w:val="20"/>
                    </w:rPr>
                    <w:t>Review</w:t>
                  </w:r>
                  <w:r>
                    <w:rPr>
                      <w:color w:val="000000"/>
                      <w:spacing w:val="-11"/>
                      <w:sz w:val="20"/>
                    </w:rPr>
                    <w:t> </w:t>
                  </w:r>
                  <w:r>
                    <w:rPr>
                      <w:color w:val="000000"/>
                      <w:spacing w:val="-2"/>
                      <w:sz w:val="20"/>
                    </w:rPr>
                    <w:t>reference:</w:t>
                  </w:r>
                  <w:r>
                    <w:rPr>
                      <w:color w:val="000000"/>
                      <w:sz w:val="20"/>
                    </w:rPr>
                    <w:tab/>
                  </w:r>
                  <w:r>
                    <w:rPr>
                      <w:color w:val="000000"/>
                      <w:spacing w:val="-2"/>
                      <w:sz w:val="20"/>
                    </w:rPr>
                    <w:t>NWSSP-2223-</w:t>
                  </w:r>
                  <w:r>
                    <w:rPr>
                      <w:color w:val="000000"/>
                      <w:spacing w:val="-5"/>
                      <w:sz w:val="20"/>
                    </w:rPr>
                    <w:t>05b</w:t>
                  </w:r>
                </w:p>
                <w:p>
                  <w:pPr>
                    <w:tabs>
                      <w:tab w:pos="3653" w:val="left" w:leader="none"/>
                    </w:tabs>
                    <w:spacing w:before="80"/>
                    <w:ind w:left="107" w:right="0" w:firstLine="0"/>
                    <w:jc w:val="left"/>
                    <w:rPr>
                      <w:color w:val="000000"/>
                      <w:sz w:val="20"/>
                    </w:rPr>
                  </w:pPr>
                  <w:r>
                    <w:rPr>
                      <w:color w:val="000000"/>
                      <w:sz w:val="20"/>
                    </w:rPr>
                    <w:t>Report</w:t>
                  </w:r>
                  <w:r>
                    <w:rPr>
                      <w:color w:val="000000"/>
                      <w:spacing w:val="-9"/>
                      <w:sz w:val="20"/>
                    </w:rPr>
                    <w:t> </w:t>
                  </w:r>
                  <w:r>
                    <w:rPr>
                      <w:color w:val="000000"/>
                      <w:spacing w:val="-2"/>
                      <w:sz w:val="20"/>
                    </w:rPr>
                    <w:t>status:</w:t>
                  </w:r>
                  <w:r>
                    <w:rPr>
                      <w:color w:val="000000"/>
                      <w:sz w:val="20"/>
                    </w:rPr>
                    <w:tab/>
                  </w:r>
                  <w:r>
                    <w:rPr>
                      <w:color w:val="000000"/>
                      <w:spacing w:val="-4"/>
                      <w:sz w:val="20"/>
                    </w:rPr>
                    <w:t>Final</w:t>
                  </w:r>
                </w:p>
                <w:p>
                  <w:pPr>
                    <w:tabs>
                      <w:tab w:pos="3653" w:val="left" w:leader="none"/>
                    </w:tabs>
                    <w:spacing w:before="80"/>
                    <w:ind w:left="107" w:right="0" w:firstLine="0"/>
                    <w:jc w:val="left"/>
                    <w:rPr>
                      <w:color w:val="000000"/>
                      <w:sz w:val="20"/>
                    </w:rPr>
                  </w:pPr>
                  <w:r>
                    <w:rPr>
                      <w:color w:val="000000"/>
                      <w:sz w:val="20"/>
                    </w:rPr>
                    <w:t>Fieldwork</w:t>
                  </w:r>
                  <w:r>
                    <w:rPr>
                      <w:color w:val="000000"/>
                      <w:spacing w:val="-11"/>
                      <w:sz w:val="20"/>
                    </w:rPr>
                    <w:t> </w:t>
                  </w:r>
                  <w:r>
                    <w:rPr>
                      <w:color w:val="000000"/>
                      <w:spacing w:val="-2"/>
                      <w:sz w:val="20"/>
                    </w:rPr>
                    <w:t>commencement:</w:t>
                  </w:r>
                  <w:r>
                    <w:rPr>
                      <w:color w:val="000000"/>
                      <w:sz w:val="20"/>
                    </w:rPr>
                    <w:tab/>
                    <w:t>23</w:t>
                  </w:r>
                  <w:r>
                    <w:rPr>
                      <w:color w:val="000000"/>
                      <w:spacing w:val="-9"/>
                      <w:sz w:val="20"/>
                    </w:rPr>
                    <w:t> </w:t>
                  </w:r>
                  <w:r>
                    <w:rPr>
                      <w:color w:val="000000"/>
                      <w:sz w:val="20"/>
                    </w:rPr>
                    <w:t>September</w:t>
                  </w:r>
                  <w:r>
                    <w:rPr>
                      <w:color w:val="000000"/>
                      <w:spacing w:val="-6"/>
                      <w:sz w:val="20"/>
                    </w:rPr>
                    <w:t> </w:t>
                  </w:r>
                  <w:r>
                    <w:rPr>
                      <w:color w:val="000000"/>
                      <w:spacing w:val="-4"/>
                      <w:sz w:val="20"/>
                    </w:rPr>
                    <w:t>2022</w:t>
                  </w:r>
                </w:p>
                <w:p>
                  <w:pPr>
                    <w:tabs>
                      <w:tab w:pos="3653" w:val="left" w:leader="none"/>
                    </w:tabs>
                    <w:spacing w:before="79"/>
                    <w:ind w:left="107" w:right="0" w:firstLine="0"/>
                    <w:jc w:val="left"/>
                    <w:rPr>
                      <w:color w:val="000000"/>
                      <w:sz w:val="20"/>
                    </w:rPr>
                  </w:pPr>
                  <w:r>
                    <w:rPr>
                      <w:color w:val="000000"/>
                      <w:sz w:val="20"/>
                    </w:rPr>
                    <w:t>Fieldwork</w:t>
                  </w:r>
                  <w:r>
                    <w:rPr>
                      <w:color w:val="000000"/>
                      <w:spacing w:val="-12"/>
                      <w:sz w:val="20"/>
                    </w:rPr>
                    <w:t> </w:t>
                  </w:r>
                  <w:r>
                    <w:rPr>
                      <w:color w:val="000000"/>
                      <w:spacing w:val="-2"/>
                      <w:sz w:val="20"/>
                    </w:rPr>
                    <w:t>completion:</w:t>
                  </w:r>
                  <w:r>
                    <w:rPr>
                      <w:color w:val="000000"/>
                      <w:sz w:val="20"/>
                    </w:rPr>
                    <w:tab/>
                    <w:t>10</w:t>
                  </w:r>
                  <w:r>
                    <w:rPr>
                      <w:color w:val="000000"/>
                      <w:spacing w:val="-7"/>
                      <w:sz w:val="20"/>
                    </w:rPr>
                    <w:t> </w:t>
                  </w:r>
                  <w:r>
                    <w:rPr>
                      <w:color w:val="000000"/>
                      <w:sz w:val="20"/>
                    </w:rPr>
                    <w:t>November</w:t>
                  </w:r>
                  <w:r>
                    <w:rPr>
                      <w:color w:val="000000"/>
                      <w:spacing w:val="-6"/>
                      <w:sz w:val="20"/>
                    </w:rPr>
                    <w:t> </w:t>
                  </w:r>
                  <w:r>
                    <w:rPr>
                      <w:color w:val="000000"/>
                      <w:spacing w:val="-4"/>
                      <w:sz w:val="20"/>
                    </w:rPr>
                    <w:t>2022</w:t>
                  </w:r>
                </w:p>
                <w:p>
                  <w:pPr>
                    <w:tabs>
                      <w:tab w:pos="3653" w:val="left" w:leader="none"/>
                    </w:tabs>
                    <w:spacing w:before="81"/>
                    <w:ind w:left="107" w:right="0" w:firstLine="0"/>
                    <w:jc w:val="left"/>
                    <w:rPr>
                      <w:color w:val="000000"/>
                      <w:sz w:val="20"/>
                    </w:rPr>
                  </w:pPr>
                  <w:r>
                    <w:rPr>
                      <w:color w:val="000000"/>
                      <w:sz w:val="20"/>
                    </w:rPr>
                    <w:t>Draft</w:t>
                  </w:r>
                  <w:r>
                    <w:rPr>
                      <w:color w:val="000000"/>
                      <w:spacing w:val="-5"/>
                      <w:sz w:val="20"/>
                    </w:rPr>
                    <w:t> </w:t>
                  </w:r>
                  <w:r>
                    <w:rPr>
                      <w:color w:val="000000"/>
                      <w:sz w:val="20"/>
                    </w:rPr>
                    <w:t>report</w:t>
                  </w:r>
                  <w:r>
                    <w:rPr>
                      <w:color w:val="000000"/>
                      <w:spacing w:val="-7"/>
                      <w:sz w:val="20"/>
                    </w:rPr>
                    <w:t> </w:t>
                  </w:r>
                  <w:r>
                    <w:rPr>
                      <w:color w:val="000000"/>
                      <w:spacing w:val="-2"/>
                      <w:sz w:val="20"/>
                    </w:rPr>
                    <w:t>issued:</w:t>
                  </w:r>
                  <w:r>
                    <w:rPr>
                      <w:color w:val="000000"/>
                      <w:sz w:val="20"/>
                    </w:rPr>
                    <w:tab/>
                    <w:t>14</w:t>
                  </w:r>
                  <w:r>
                    <w:rPr>
                      <w:color w:val="000000"/>
                      <w:spacing w:val="-9"/>
                      <w:sz w:val="20"/>
                    </w:rPr>
                    <w:t> </w:t>
                  </w:r>
                  <w:r>
                    <w:rPr>
                      <w:color w:val="000000"/>
                      <w:sz w:val="20"/>
                    </w:rPr>
                    <w:t>November</w:t>
                  </w:r>
                  <w:r>
                    <w:rPr>
                      <w:color w:val="000000"/>
                      <w:spacing w:val="-6"/>
                      <w:sz w:val="20"/>
                    </w:rPr>
                    <w:t> </w:t>
                  </w:r>
                  <w:r>
                    <w:rPr>
                      <w:color w:val="000000"/>
                      <w:spacing w:val="-4"/>
                      <w:sz w:val="20"/>
                    </w:rPr>
                    <w:t>2022</w:t>
                  </w:r>
                </w:p>
                <w:p>
                  <w:pPr>
                    <w:tabs>
                      <w:tab w:pos="3653" w:val="left" w:leader="none"/>
                    </w:tabs>
                    <w:spacing w:before="81"/>
                    <w:ind w:left="107" w:right="0" w:firstLine="0"/>
                    <w:jc w:val="left"/>
                    <w:rPr>
                      <w:color w:val="000000"/>
                      <w:sz w:val="20"/>
                    </w:rPr>
                  </w:pPr>
                  <w:r>
                    <w:rPr>
                      <w:color w:val="000000"/>
                      <w:sz w:val="20"/>
                    </w:rPr>
                    <w:t>Management</w:t>
                  </w:r>
                  <w:r>
                    <w:rPr>
                      <w:color w:val="000000"/>
                      <w:spacing w:val="-9"/>
                      <w:sz w:val="20"/>
                    </w:rPr>
                    <w:t> </w:t>
                  </w:r>
                  <w:r>
                    <w:rPr>
                      <w:color w:val="000000"/>
                      <w:sz w:val="20"/>
                    </w:rPr>
                    <w:t>response</w:t>
                  </w:r>
                  <w:r>
                    <w:rPr>
                      <w:color w:val="000000"/>
                      <w:spacing w:val="-12"/>
                      <w:sz w:val="20"/>
                    </w:rPr>
                    <w:t> </w:t>
                  </w:r>
                  <w:r>
                    <w:rPr>
                      <w:color w:val="000000"/>
                      <w:spacing w:val="-2"/>
                      <w:sz w:val="20"/>
                    </w:rPr>
                    <w:t>received:</w:t>
                  </w:r>
                  <w:r>
                    <w:rPr>
                      <w:color w:val="000000"/>
                      <w:sz w:val="20"/>
                    </w:rPr>
                    <w:tab/>
                    <w:t>16</w:t>
                  </w:r>
                  <w:r>
                    <w:rPr>
                      <w:color w:val="000000"/>
                      <w:spacing w:val="-7"/>
                      <w:sz w:val="20"/>
                    </w:rPr>
                    <w:t> </w:t>
                  </w:r>
                  <w:r>
                    <w:rPr>
                      <w:color w:val="000000"/>
                      <w:sz w:val="20"/>
                    </w:rPr>
                    <w:t>November</w:t>
                  </w:r>
                  <w:r>
                    <w:rPr>
                      <w:color w:val="000000"/>
                      <w:spacing w:val="-6"/>
                      <w:sz w:val="20"/>
                    </w:rPr>
                    <w:t> </w:t>
                  </w:r>
                  <w:r>
                    <w:rPr>
                      <w:color w:val="000000"/>
                      <w:spacing w:val="-4"/>
                      <w:sz w:val="20"/>
                    </w:rPr>
                    <w:t>2022</w:t>
                  </w:r>
                </w:p>
                <w:p>
                  <w:pPr>
                    <w:tabs>
                      <w:tab w:pos="3653" w:val="left" w:leader="none"/>
                    </w:tabs>
                    <w:spacing w:before="78"/>
                    <w:ind w:left="107" w:right="0" w:firstLine="0"/>
                    <w:jc w:val="left"/>
                    <w:rPr>
                      <w:color w:val="000000"/>
                      <w:sz w:val="20"/>
                    </w:rPr>
                  </w:pPr>
                  <w:r>
                    <w:rPr>
                      <w:color w:val="000000"/>
                      <w:sz w:val="20"/>
                    </w:rPr>
                    <w:t>Executive</w:t>
                  </w:r>
                  <w:r>
                    <w:rPr>
                      <w:color w:val="000000"/>
                      <w:spacing w:val="-14"/>
                      <w:sz w:val="20"/>
                    </w:rPr>
                    <w:t> </w:t>
                  </w:r>
                  <w:r>
                    <w:rPr>
                      <w:color w:val="000000"/>
                      <w:sz w:val="20"/>
                    </w:rPr>
                    <w:t>sign-</w:t>
                  </w:r>
                  <w:r>
                    <w:rPr>
                      <w:color w:val="000000"/>
                      <w:spacing w:val="-4"/>
                      <w:sz w:val="20"/>
                    </w:rPr>
                    <w:t>off:</w:t>
                  </w:r>
                  <w:r>
                    <w:rPr>
                      <w:color w:val="000000"/>
                      <w:sz w:val="20"/>
                    </w:rPr>
                    <w:tab/>
                    <w:t>5</w:t>
                  </w:r>
                  <w:r>
                    <w:rPr>
                      <w:color w:val="000000"/>
                      <w:spacing w:val="-7"/>
                      <w:sz w:val="20"/>
                    </w:rPr>
                    <w:t> </w:t>
                  </w:r>
                  <w:r>
                    <w:rPr>
                      <w:color w:val="000000"/>
                      <w:sz w:val="20"/>
                    </w:rPr>
                    <w:t>December</w:t>
                  </w:r>
                  <w:r>
                    <w:rPr>
                      <w:color w:val="000000"/>
                      <w:spacing w:val="-5"/>
                      <w:sz w:val="20"/>
                    </w:rPr>
                    <w:t> </w:t>
                  </w:r>
                  <w:r>
                    <w:rPr>
                      <w:color w:val="000000"/>
                      <w:spacing w:val="-4"/>
                      <w:sz w:val="20"/>
                    </w:rPr>
                    <w:t>2022</w:t>
                  </w:r>
                </w:p>
                <w:p>
                  <w:pPr>
                    <w:tabs>
                      <w:tab w:pos="3653" w:val="left" w:leader="none"/>
                    </w:tabs>
                    <w:spacing w:before="81"/>
                    <w:ind w:left="107" w:right="0" w:firstLine="0"/>
                    <w:jc w:val="left"/>
                    <w:rPr>
                      <w:color w:val="000000"/>
                      <w:sz w:val="20"/>
                    </w:rPr>
                  </w:pPr>
                  <w:r>
                    <w:rPr>
                      <w:color w:val="000000"/>
                      <w:sz w:val="20"/>
                    </w:rPr>
                    <w:t>Final</w:t>
                  </w:r>
                  <w:r>
                    <w:rPr>
                      <w:color w:val="000000"/>
                      <w:spacing w:val="-7"/>
                      <w:sz w:val="20"/>
                    </w:rPr>
                    <w:t> </w:t>
                  </w:r>
                  <w:r>
                    <w:rPr>
                      <w:color w:val="000000"/>
                      <w:sz w:val="20"/>
                    </w:rPr>
                    <w:t>report</w:t>
                  </w:r>
                  <w:r>
                    <w:rPr>
                      <w:color w:val="000000"/>
                      <w:spacing w:val="-7"/>
                      <w:sz w:val="20"/>
                    </w:rPr>
                    <w:t> </w:t>
                  </w:r>
                  <w:r>
                    <w:rPr>
                      <w:color w:val="000000"/>
                      <w:spacing w:val="-2"/>
                      <w:sz w:val="20"/>
                    </w:rPr>
                    <w:t>issued:</w:t>
                  </w:r>
                  <w:r>
                    <w:rPr>
                      <w:color w:val="000000"/>
                      <w:sz w:val="20"/>
                    </w:rPr>
                    <w:tab/>
                    <w:t>12</w:t>
                  </w:r>
                  <w:r>
                    <w:rPr>
                      <w:color w:val="000000"/>
                      <w:spacing w:val="-7"/>
                      <w:sz w:val="20"/>
                    </w:rPr>
                    <w:t> </w:t>
                  </w:r>
                  <w:r>
                    <w:rPr>
                      <w:color w:val="000000"/>
                      <w:sz w:val="20"/>
                    </w:rPr>
                    <w:t>December</w:t>
                  </w:r>
                  <w:r>
                    <w:rPr>
                      <w:color w:val="000000"/>
                      <w:spacing w:val="-6"/>
                      <w:sz w:val="20"/>
                    </w:rPr>
                    <w:t> </w:t>
                  </w:r>
                  <w:r>
                    <w:rPr>
                      <w:color w:val="000000"/>
                      <w:spacing w:val="-4"/>
                      <w:sz w:val="20"/>
                    </w:rPr>
                    <w:t>2022</w:t>
                  </w:r>
                </w:p>
                <w:p>
                  <w:pPr>
                    <w:tabs>
                      <w:tab w:pos="3653" w:val="left" w:leader="none"/>
                    </w:tabs>
                    <w:spacing w:before="81"/>
                    <w:ind w:left="107" w:right="0" w:firstLine="0"/>
                    <w:jc w:val="left"/>
                    <w:rPr>
                      <w:color w:val="000000"/>
                      <w:sz w:val="20"/>
                    </w:rPr>
                  </w:pPr>
                  <w:r>
                    <w:rPr>
                      <w:color w:val="000000"/>
                      <w:spacing w:val="-2"/>
                      <w:sz w:val="20"/>
                    </w:rPr>
                    <w:t>Auditors:</w:t>
                  </w:r>
                  <w:r>
                    <w:rPr>
                      <w:color w:val="000000"/>
                      <w:sz w:val="20"/>
                    </w:rPr>
                    <w:tab/>
                    <w:t>James</w:t>
                  </w:r>
                  <w:r>
                    <w:rPr>
                      <w:color w:val="000000"/>
                      <w:spacing w:val="-7"/>
                      <w:sz w:val="20"/>
                    </w:rPr>
                    <w:t> </w:t>
                  </w:r>
                  <w:r>
                    <w:rPr>
                      <w:color w:val="000000"/>
                      <w:sz w:val="20"/>
                    </w:rPr>
                    <w:t>Johns,</w:t>
                  </w:r>
                  <w:r>
                    <w:rPr>
                      <w:color w:val="000000"/>
                      <w:spacing w:val="-5"/>
                      <w:sz w:val="20"/>
                    </w:rPr>
                    <w:t> </w:t>
                  </w:r>
                  <w:r>
                    <w:rPr>
                      <w:color w:val="000000"/>
                      <w:sz w:val="20"/>
                    </w:rPr>
                    <w:t>Head</w:t>
                  </w:r>
                  <w:r>
                    <w:rPr>
                      <w:color w:val="000000"/>
                      <w:spacing w:val="-5"/>
                      <w:sz w:val="20"/>
                    </w:rPr>
                    <w:t> </w:t>
                  </w:r>
                  <w:r>
                    <w:rPr>
                      <w:color w:val="000000"/>
                      <w:sz w:val="20"/>
                    </w:rPr>
                    <w:t>of</w:t>
                  </w:r>
                  <w:r>
                    <w:rPr>
                      <w:color w:val="000000"/>
                      <w:spacing w:val="-7"/>
                      <w:sz w:val="20"/>
                    </w:rPr>
                    <w:t> </w:t>
                  </w:r>
                  <w:r>
                    <w:rPr>
                      <w:color w:val="000000"/>
                      <w:sz w:val="20"/>
                    </w:rPr>
                    <w:t>Internal</w:t>
                  </w:r>
                  <w:r>
                    <w:rPr>
                      <w:color w:val="000000"/>
                      <w:spacing w:val="-5"/>
                      <w:sz w:val="20"/>
                    </w:rPr>
                    <w:t> </w:t>
                  </w:r>
                  <w:r>
                    <w:rPr>
                      <w:color w:val="000000"/>
                      <w:spacing w:val="-2"/>
                      <w:sz w:val="20"/>
                    </w:rPr>
                    <w:t>Audit</w:t>
                  </w:r>
                </w:p>
                <w:p>
                  <w:pPr>
                    <w:spacing w:line="280" w:lineRule="auto" w:before="38"/>
                    <w:ind w:left="3653" w:right="2043" w:firstLine="0"/>
                    <w:jc w:val="left"/>
                    <w:rPr>
                      <w:color w:val="000000"/>
                      <w:sz w:val="20"/>
                    </w:rPr>
                  </w:pPr>
                  <w:r>
                    <w:rPr>
                      <w:color w:val="000000"/>
                      <w:sz w:val="20"/>
                    </w:rPr>
                    <w:t>Sophie</w:t>
                  </w:r>
                  <w:r>
                    <w:rPr>
                      <w:color w:val="000000"/>
                      <w:spacing w:val="-9"/>
                      <w:sz w:val="20"/>
                    </w:rPr>
                    <w:t> </w:t>
                  </w:r>
                  <w:r>
                    <w:rPr>
                      <w:color w:val="000000"/>
                      <w:sz w:val="20"/>
                    </w:rPr>
                    <w:t>Corbett,</w:t>
                  </w:r>
                  <w:r>
                    <w:rPr>
                      <w:color w:val="000000"/>
                      <w:spacing w:val="-8"/>
                      <w:sz w:val="20"/>
                    </w:rPr>
                    <w:t> </w:t>
                  </w:r>
                  <w:r>
                    <w:rPr>
                      <w:color w:val="000000"/>
                      <w:sz w:val="20"/>
                    </w:rPr>
                    <w:t>Deputy</w:t>
                  </w:r>
                  <w:r>
                    <w:rPr>
                      <w:color w:val="000000"/>
                      <w:spacing w:val="-6"/>
                      <w:sz w:val="20"/>
                    </w:rPr>
                    <w:t> </w:t>
                  </w:r>
                  <w:r>
                    <w:rPr>
                      <w:color w:val="000000"/>
                      <w:sz w:val="20"/>
                    </w:rPr>
                    <w:t>Head</w:t>
                  </w:r>
                  <w:r>
                    <w:rPr>
                      <w:color w:val="000000"/>
                      <w:spacing w:val="-5"/>
                      <w:sz w:val="20"/>
                    </w:rPr>
                    <w:t> </w:t>
                  </w:r>
                  <w:r>
                    <w:rPr>
                      <w:color w:val="000000"/>
                      <w:sz w:val="20"/>
                    </w:rPr>
                    <w:t>of</w:t>
                  </w:r>
                  <w:r>
                    <w:rPr>
                      <w:color w:val="000000"/>
                      <w:spacing w:val="-6"/>
                      <w:sz w:val="20"/>
                    </w:rPr>
                    <w:t> </w:t>
                  </w:r>
                  <w:r>
                    <w:rPr>
                      <w:color w:val="000000"/>
                      <w:sz w:val="20"/>
                    </w:rPr>
                    <w:t>Internal</w:t>
                  </w:r>
                  <w:r>
                    <w:rPr>
                      <w:color w:val="000000"/>
                      <w:spacing w:val="-7"/>
                      <w:sz w:val="20"/>
                    </w:rPr>
                    <w:t> </w:t>
                  </w:r>
                  <w:r>
                    <w:rPr>
                      <w:color w:val="000000"/>
                      <w:sz w:val="20"/>
                    </w:rPr>
                    <w:t>Audit Pat Williams, Principal Auditor</w:t>
                  </w:r>
                </w:p>
                <w:p>
                  <w:pPr>
                    <w:tabs>
                      <w:tab w:pos="3653" w:val="left" w:leader="none"/>
                    </w:tabs>
                    <w:spacing w:line="319" w:lineRule="auto" w:before="38"/>
                    <w:ind w:left="107" w:right="736" w:firstLine="0"/>
                    <w:jc w:val="left"/>
                    <w:rPr>
                      <w:color w:val="000000"/>
                      <w:sz w:val="20"/>
                    </w:rPr>
                  </w:pPr>
                  <w:r>
                    <w:rPr>
                      <w:color w:val="000000"/>
                      <w:sz w:val="20"/>
                    </w:rPr>
                    <w:t>Executive sign-off:</w:t>
                    <w:tab/>
                    <w:t>Jonathan Irvine, Director of Procurement Services </w:t>
                  </w:r>
                  <w:r>
                    <w:rPr>
                      <w:color w:val="000000"/>
                      <w:spacing w:val="-2"/>
                      <w:sz w:val="20"/>
                    </w:rPr>
                    <w:t>Distribution:</w:t>
                  </w:r>
                  <w:r>
                    <w:rPr>
                      <w:color w:val="000000"/>
                      <w:sz w:val="20"/>
                    </w:rPr>
                    <w:tab/>
                    <w:t>Anthony</w:t>
                  </w:r>
                  <w:r>
                    <w:rPr>
                      <w:color w:val="000000"/>
                      <w:spacing w:val="-7"/>
                      <w:sz w:val="20"/>
                    </w:rPr>
                    <w:t> </w:t>
                  </w:r>
                  <w:r>
                    <w:rPr>
                      <w:color w:val="000000"/>
                      <w:sz w:val="20"/>
                    </w:rPr>
                    <w:t>Hayward,</w:t>
                  </w:r>
                  <w:r>
                    <w:rPr>
                      <w:color w:val="000000"/>
                      <w:spacing w:val="-5"/>
                      <w:sz w:val="20"/>
                    </w:rPr>
                    <w:t> </w:t>
                  </w:r>
                  <w:r>
                    <w:rPr>
                      <w:color w:val="000000"/>
                      <w:sz w:val="20"/>
                    </w:rPr>
                    <w:t>Assistant</w:t>
                  </w:r>
                  <w:r>
                    <w:rPr>
                      <w:color w:val="000000"/>
                      <w:spacing w:val="-6"/>
                      <w:sz w:val="20"/>
                    </w:rPr>
                    <w:t> </w:t>
                  </w:r>
                  <w:r>
                    <w:rPr>
                      <w:color w:val="000000"/>
                      <w:sz w:val="20"/>
                    </w:rPr>
                    <w:t>Director</w:t>
                  </w:r>
                  <w:r>
                    <w:rPr>
                      <w:color w:val="000000"/>
                      <w:spacing w:val="-5"/>
                      <w:sz w:val="20"/>
                    </w:rPr>
                    <w:t> </w:t>
                  </w:r>
                  <w:r>
                    <w:rPr>
                      <w:color w:val="000000"/>
                      <w:sz w:val="20"/>
                    </w:rPr>
                    <w:t>of</w:t>
                  </w:r>
                  <w:r>
                    <w:rPr>
                      <w:color w:val="000000"/>
                      <w:spacing w:val="-8"/>
                      <w:sz w:val="20"/>
                    </w:rPr>
                    <w:t> </w:t>
                  </w:r>
                  <w:r>
                    <w:rPr>
                      <w:color w:val="000000"/>
                      <w:sz w:val="20"/>
                    </w:rPr>
                    <w:t>Laundry</w:t>
                  </w:r>
                  <w:r>
                    <w:rPr>
                      <w:color w:val="000000"/>
                      <w:spacing w:val="-5"/>
                      <w:sz w:val="20"/>
                    </w:rPr>
                    <w:t> </w:t>
                  </w:r>
                  <w:r>
                    <w:rPr>
                      <w:color w:val="000000"/>
                      <w:sz w:val="20"/>
                    </w:rPr>
                    <w:t>&amp;</w:t>
                  </w:r>
                  <w:r>
                    <w:rPr>
                      <w:color w:val="000000"/>
                      <w:spacing w:val="-6"/>
                      <w:sz w:val="20"/>
                    </w:rPr>
                    <w:t> </w:t>
                  </w:r>
                  <w:r>
                    <w:rPr>
                      <w:color w:val="000000"/>
                      <w:sz w:val="20"/>
                    </w:rPr>
                    <w:t>Operations</w:t>
                  </w:r>
                </w:p>
                <w:p>
                  <w:pPr>
                    <w:spacing w:line="202" w:lineRule="exact" w:before="0"/>
                    <w:ind w:left="3653" w:right="0" w:firstLine="0"/>
                    <w:jc w:val="left"/>
                    <w:rPr>
                      <w:color w:val="000000"/>
                      <w:sz w:val="20"/>
                    </w:rPr>
                  </w:pPr>
                  <w:r>
                    <w:rPr>
                      <w:color w:val="000000"/>
                      <w:sz w:val="20"/>
                    </w:rPr>
                    <w:t>Oliver</w:t>
                  </w:r>
                  <w:r>
                    <w:rPr>
                      <w:color w:val="000000"/>
                      <w:spacing w:val="-9"/>
                      <w:sz w:val="20"/>
                    </w:rPr>
                    <w:t> </w:t>
                  </w:r>
                  <w:r>
                    <w:rPr>
                      <w:color w:val="000000"/>
                      <w:sz w:val="20"/>
                    </w:rPr>
                    <w:t>Rix,</w:t>
                  </w:r>
                  <w:r>
                    <w:rPr>
                      <w:color w:val="000000"/>
                      <w:spacing w:val="-8"/>
                      <w:sz w:val="20"/>
                    </w:rPr>
                    <w:t> </w:t>
                  </w:r>
                  <w:r>
                    <w:rPr>
                      <w:color w:val="000000"/>
                      <w:sz w:val="20"/>
                    </w:rPr>
                    <w:t>Business</w:t>
                  </w:r>
                  <w:r>
                    <w:rPr>
                      <w:color w:val="000000"/>
                      <w:spacing w:val="-7"/>
                      <w:sz w:val="20"/>
                    </w:rPr>
                    <w:t> </w:t>
                  </w:r>
                  <w:r>
                    <w:rPr>
                      <w:color w:val="000000"/>
                      <w:sz w:val="20"/>
                    </w:rPr>
                    <w:t>Manager,</w:t>
                  </w:r>
                  <w:r>
                    <w:rPr>
                      <w:color w:val="000000"/>
                      <w:spacing w:val="-5"/>
                      <w:sz w:val="20"/>
                    </w:rPr>
                    <w:t> </w:t>
                  </w:r>
                  <w:r>
                    <w:rPr>
                      <w:color w:val="000000"/>
                      <w:sz w:val="20"/>
                    </w:rPr>
                    <w:t>Laundry</w:t>
                  </w:r>
                  <w:r>
                    <w:rPr>
                      <w:color w:val="000000"/>
                      <w:spacing w:val="-7"/>
                      <w:sz w:val="20"/>
                    </w:rPr>
                    <w:t> </w:t>
                  </w:r>
                  <w:r>
                    <w:rPr>
                      <w:color w:val="000000"/>
                      <w:spacing w:val="-2"/>
                      <w:sz w:val="20"/>
                    </w:rPr>
                    <w:t>Services</w:t>
                  </w:r>
                </w:p>
                <w:p>
                  <w:pPr>
                    <w:spacing w:line="280" w:lineRule="auto" w:before="41"/>
                    <w:ind w:left="3653" w:right="2306" w:firstLine="0"/>
                    <w:jc w:val="left"/>
                    <w:rPr>
                      <w:color w:val="000000"/>
                      <w:sz w:val="20"/>
                    </w:rPr>
                  </w:pPr>
                  <w:r>
                    <w:rPr>
                      <w:color w:val="000000"/>
                      <w:sz w:val="20"/>
                    </w:rPr>
                    <w:t>Peter</w:t>
                  </w:r>
                  <w:r>
                    <w:rPr>
                      <w:color w:val="000000"/>
                      <w:spacing w:val="-11"/>
                      <w:sz w:val="20"/>
                    </w:rPr>
                    <w:t> </w:t>
                  </w:r>
                  <w:r>
                    <w:rPr>
                      <w:color w:val="000000"/>
                      <w:sz w:val="20"/>
                    </w:rPr>
                    <w:t>White,</w:t>
                  </w:r>
                  <w:r>
                    <w:rPr>
                      <w:color w:val="000000"/>
                      <w:spacing w:val="-9"/>
                      <w:sz w:val="20"/>
                    </w:rPr>
                    <w:t> </w:t>
                  </w:r>
                  <w:r>
                    <w:rPr>
                      <w:color w:val="000000"/>
                      <w:sz w:val="20"/>
                    </w:rPr>
                    <w:t>Laundry</w:t>
                  </w:r>
                  <w:r>
                    <w:rPr>
                      <w:color w:val="000000"/>
                      <w:spacing w:val="-10"/>
                      <w:sz w:val="20"/>
                    </w:rPr>
                    <w:t> </w:t>
                  </w:r>
                  <w:r>
                    <w:rPr>
                      <w:color w:val="000000"/>
                      <w:sz w:val="20"/>
                    </w:rPr>
                    <w:t>Operations</w:t>
                  </w:r>
                  <w:r>
                    <w:rPr>
                      <w:color w:val="000000"/>
                      <w:spacing w:val="-12"/>
                      <w:sz w:val="20"/>
                    </w:rPr>
                    <w:t> </w:t>
                  </w:r>
                  <w:r>
                    <w:rPr>
                      <w:color w:val="000000"/>
                      <w:sz w:val="20"/>
                    </w:rPr>
                    <w:t>Manager Nigel</w:t>
                  </w:r>
                  <w:r>
                    <w:rPr>
                      <w:color w:val="000000"/>
                      <w:spacing w:val="-7"/>
                      <w:sz w:val="20"/>
                    </w:rPr>
                    <w:t> </w:t>
                  </w:r>
                  <w:r>
                    <w:rPr>
                      <w:color w:val="000000"/>
                      <w:sz w:val="20"/>
                    </w:rPr>
                    <w:t>Higgins,</w:t>
                  </w:r>
                  <w:r>
                    <w:rPr>
                      <w:color w:val="000000"/>
                      <w:spacing w:val="-10"/>
                      <w:sz w:val="20"/>
                    </w:rPr>
                    <w:t> </w:t>
                  </w:r>
                  <w:r>
                    <w:rPr>
                      <w:color w:val="000000"/>
                      <w:sz w:val="20"/>
                    </w:rPr>
                    <w:t>Laundry</w:t>
                  </w:r>
                  <w:r>
                    <w:rPr>
                      <w:color w:val="000000"/>
                      <w:spacing w:val="-6"/>
                      <w:sz w:val="20"/>
                    </w:rPr>
                    <w:t> </w:t>
                  </w:r>
                  <w:r>
                    <w:rPr>
                      <w:color w:val="000000"/>
                      <w:sz w:val="20"/>
                    </w:rPr>
                    <w:t>Assistant</w:t>
                  </w:r>
                  <w:r>
                    <w:rPr>
                      <w:color w:val="000000"/>
                      <w:spacing w:val="-8"/>
                      <w:sz w:val="20"/>
                    </w:rPr>
                    <w:t> </w:t>
                  </w:r>
                  <w:r>
                    <w:rPr>
                      <w:color w:val="000000"/>
                      <w:spacing w:val="-2"/>
                      <w:sz w:val="20"/>
                    </w:rPr>
                    <w:t>Manager</w:t>
                  </w:r>
                </w:p>
                <w:p>
                  <w:pPr>
                    <w:tabs>
                      <w:tab w:pos="3653" w:val="left" w:leader="none"/>
                    </w:tabs>
                    <w:spacing w:before="38"/>
                    <w:ind w:left="107" w:right="0" w:firstLine="0"/>
                    <w:jc w:val="left"/>
                    <w:rPr>
                      <w:color w:val="000000"/>
                      <w:sz w:val="20"/>
                    </w:rPr>
                  </w:pPr>
                  <w:r>
                    <w:rPr>
                      <w:color w:val="000000"/>
                      <w:spacing w:val="-2"/>
                      <w:sz w:val="20"/>
                    </w:rPr>
                    <w:t>Committee:</w:t>
                  </w:r>
                  <w:r>
                    <w:rPr>
                      <w:color w:val="000000"/>
                      <w:sz w:val="20"/>
                    </w:rPr>
                    <w:tab/>
                    <w:t>Velindre</w:t>
                  </w:r>
                  <w:r>
                    <w:rPr>
                      <w:color w:val="000000"/>
                      <w:spacing w:val="-8"/>
                      <w:sz w:val="20"/>
                    </w:rPr>
                    <w:t> </w:t>
                  </w:r>
                  <w:r>
                    <w:rPr>
                      <w:color w:val="000000"/>
                      <w:sz w:val="20"/>
                    </w:rPr>
                    <w:t>University</w:t>
                  </w:r>
                  <w:r>
                    <w:rPr>
                      <w:color w:val="000000"/>
                      <w:spacing w:val="-6"/>
                      <w:sz w:val="20"/>
                    </w:rPr>
                    <w:t> </w:t>
                  </w:r>
                  <w:r>
                    <w:rPr>
                      <w:color w:val="000000"/>
                      <w:sz w:val="20"/>
                    </w:rPr>
                    <w:t>NHS</w:t>
                  </w:r>
                  <w:r>
                    <w:rPr>
                      <w:color w:val="000000"/>
                      <w:spacing w:val="-6"/>
                      <w:sz w:val="20"/>
                    </w:rPr>
                    <w:t> </w:t>
                  </w:r>
                  <w:r>
                    <w:rPr>
                      <w:color w:val="000000"/>
                      <w:sz w:val="20"/>
                    </w:rPr>
                    <w:t>Trust</w:t>
                  </w:r>
                  <w:r>
                    <w:rPr>
                      <w:color w:val="000000"/>
                      <w:spacing w:val="-5"/>
                      <w:sz w:val="20"/>
                    </w:rPr>
                    <w:t> </w:t>
                  </w:r>
                  <w:r>
                    <w:rPr>
                      <w:color w:val="000000"/>
                      <w:sz w:val="20"/>
                    </w:rPr>
                    <w:t>Audit</w:t>
                  </w:r>
                  <w:r>
                    <w:rPr>
                      <w:color w:val="000000"/>
                      <w:spacing w:val="-7"/>
                      <w:sz w:val="20"/>
                    </w:rPr>
                    <w:t> </w:t>
                  </w:r>
                  <w:r>
                    <w:rPr>
                      <w:color w:val="000000"/>
                      <w:sz w:val="20"/>
                    </w:rPr>
                    <w:t>Committee</w:t>
                  </w:r>
                  <w:r>
                    <w:rPr>
                      <w:color w:val="000000"/>
                      <w:spacing w:val="-6"/>
                      <w:sz w:val="20"/>
                    </w:rPr>
                    <w:t> </w:t>
                  </w:r>
                  <w:r>
                    <w:rPr>
                      <w:color w:val="000000"/>
                      <w:sz w:val="20"/>
                    </w:rPr>
                    <w:t>for</w:t>
                  </w:r>
                  <w:r>
                    <w:rPr>
                      <w:color w:val="000000"/>
                      <w:spacing w:val="-6"/>
                      <w:sz w:val="20"/>
                    </w:rPr>
                    <w:t> </w:t>
                  </w:r>
                  <w:r>
                    <w:rPr>
                      <w:color w:val="000000"/>
                      <w:spacing w:val="-2"/>
                      <w:sz w:val="20"/>
                    </w:rPr>
                    <w:t>NWSSP</w:t>
                  </w:r>
                </w:p>
              </w:txbxContent>
            </v:textbox>
            <v:fill type="solid"/>
            <w10:wrap type="topAndBottom"/>
          </v:shape>
        </w:pict>
      </w:r>
    </w:p>
    <w:p>
      <w:pPr>
        <w:pStyle w:val="BodyText"/>
        <w:rPr>
          <w:rFonts w:ascii="Calibri"/>
        </w:rPr>
      </w:pPr>
    </w:p>
    <w:p>
      <w:pPr>
        <w:pStyle w:val="BodyText"/>
        <w:spacing w:before="7"/>
        <w:rPr>
          <w:rFonts w:ascii="Calibri"/>
          <w:sz w:val="22"/>
        </w:rPr>
      </w:pPr>
    </w:p>
    <w:p>
      <w:pPr>
        <w:spacing w:before="1"/>
        <w:ind w:left="1805" w:right="821" w:firstLine="0"/>
        <w:jc w:val="both"/>
        <w:rPr>
          <w:sz w:val="20"/>
        </w:rPr>
      </w:pPr>
      <w:r>
        <w:rPr/>
        <w:drawing>
          <wp:anchor distT="0" distB="0" distL="0" distR="0" allowOverlap="1" layoutInCell="1" locked="0" behindDoc="0" simplePos="0" relativeHeight="15763968">
            <wp:simplePos x="0" y="0"/>
            <wp:positionH relativeFrom="page">
              <wp:posOffset>428625</wp:posOffset>
            </wp:positionH>
            <wp:positionV relativeFrom="paragraph">
              <wp:posOffset>-54308</wp:posOffset>
            </wp:positionV>
            <wp:extent cx="565150" cy="565150"/>
            <wp:effectExtent l="0" t="0" r="0" b="0"/>
            <wp:wrapNone/>
            <wp:docPr id="47" name="image13.jpeg"/>
            <wp:cNvGraphicFramePr>
              <a:graphicFrameLocks noChangeAspect="1"/>
            </wp:cNvGraphicFramePr>
            <a:graphic>
              <a:graphicData uri="http://schemas.openxmlformats.org/drawingml/2006/picture">
                <pic:pic>
                  <pic:nvPicPr>
                    <pic:cNvPr id="48" name="image13.jpeg"/>
                    <pic:cNvPicPr/>
                  </pic:nvPicPr>
                  <pic:blipFill>
                    <a:blip r:embed="rId49" cstate="print"/>
                    <a:stretch>
                      <a:fillRect/>
                    </a:stretch>
                  </pic:blipFill>
                  <pic:spPr>
                    <a:xfrm>
                      <a:off x="0" y="0"/>
                      <a:ext cx="565150" cy="565150"/>
                    </a:xfrm>
                    <a:prstGeom prst="rect">
                      <a:avLst/>
                    </a:prstGeom>
                  </pic:spPr>
                </pic:pic>
              </a:graphicData>
            </a:graphic>
          </wp:anchor>
        </w:drawing>
      </w:r>
      <w:r>
        <w:rPr>
          <w:sz w:val="20"/>
        </w:rPr>
        <w:t>Audit and Assurance Services conform with all Public Sector Internal Audit Standards as validated through the external quality assessment undertaken by the Institute of Internal </w:t>
      </w:r>
      <w:r>
        <w:rPr>
          <w:spacing w:val="-2"/>
          <w:sz w:val="20"/>
        </w:rPr>
        <w:t>Auditors</w:t>
      </w:r>
    </w:p>
    <w:p>
      <w:pPr>
        <w:spacing w:before="120"/>
        <w:ind w:left="566" w:right="0" w:firstLine="0"/>
        <w:jc w:val="left"/>
        <w:rPr>
          <w:sz w:val="20"/>
        </w:rPr>
      </w:pPr>
      <w:r>
        <w:rPr>
          <w:color w:val="2D74B5"/>
          <w:spacing w:val="-2"/>
          <w:sz w:val="20"/>
        </w:rPr>
        <w:t>Acknowledgement</w:t>
      </w:r>
    </w:p>
    <w:p>
      <w:pPr>
        <w:spacing w:line="261" w:lineRule="auto" w:before="18"/>
        <w:ind w:left="566" w:right="0" w:firstLine="0"/>
        <w:jc w:val="left"/>
        <w:rPr>
          <w:sz w:val="20"/>
        </w:rPr>
      </w:pPr>
      <w:r>
        <w:rPr>
          <w:sz w:val="20"/>
        </w:rPr>
        <w:t>NHS Wales Audit &amp; Assurance Services would like to acknowledge the time and co-operation given by management and staff during the course of this review.</w:t>
      </w:r>
    </w:p>
    <w:p>
      <w:pPr>
        <w:pStyle w:val="BodyText"/>
        <w:spacing w:before="3"/>
        <w:rPr>
          <w:sz w:val="21"/>
        </w:rPr>
      </w:pPr>
    </w:p>
    <w:p>
      <w:pPr>
        <w:spacing w:before="0"/>
        <w:ind w:left="566" w:right="0" w:firstLine="0"/>
        <w:jc w:val="left"/>
        <w:rPr>
          <w:sz w:val="20"/>
        </w:rPr>
      </w:pPr>
      <w:r>
        <w:rPr>
          <w:color w:val="2D74B5"/>
          <w:sz w:val="20"/>
        </w:rPr>
        <w:t>Disclaimer</w:t>
      </w:r>
      <w:r>
        <w:rPr>
          <w:color w:val="2D74B5"/>
          <w:spacing w:val="-8"/>
          <w:sz w:val="20"/>
        </w:rPr>
        <w:t> </w:t>
      </w:r>
      <w:r>
        <w:rPr>
          <w:color w:val="2D74B5"/>
          <w:sz w:val="20"/>
        </w:rPr>
        <w:t>notice</w:t>
      </w:r>
      <w:r>
        <w:rPr>
          <w:color w:val="2D74B5"/>
          <w:spacing w:val="-5"/>
          <w:sz w:val="20"/>
        </w:rPr>
        <w:t> </w:t>
      </w:r>
      <w:r>
        <w:rPr>
          <w:color w:val="2D74B5"/>
          <w:sz w:val="20"/>
        </w:rPr>
        <w:t>-</w:t>
      </w:r>
      <w:r>
        <w:rPr>
          <w:color w:val="2D74B5"/>
          <w:spacing w:val="-6"/>
          <w:sz w:val="20"/>
        </w:rPr>
        <w:t> </w:t>
      </w:r>
      <w:r>
        <w:rPr>
          <w:color w:val="2D74B5"/>
          <w:sz w:val="20"/>
        </w:rPr>
        <w:t>please</w:t>
      </w:r>
      <w:r>
        <w:rPr>
          <w:color w:val="2D74B5"/>
          <w:spacing w:val="-8"/>
          <w:sz w:val="20"/>
        </w:rPr>
        <w:t> </w:t>
      </w:r>
      <w:r>
        <w:rPr>
          <w:color w:val="2D74B5"/>
          <w:spacing w:val="-4"/>
          <w:sz w:val="20"/>
        </w:rPr>
        <w:t>note</w:t>
      </w:r>
    </w:p>
    <w:p>
      <w:pPr>
        <w:spacing w:line="259" w:lineRule="auto" w:before="21"/>
        <w:ind w:left="566" w:right="617" w:firstLine="0"/>
        <w:jc w:val="left"/>
        <w:rPr>
          <w:sz w:val="20"/>
        </w:rPr>
      </w:pPr>
      <w:r>
        <w:rPr>
          <w:sz w:val="20"/>
        </w:rPr>
        <w:t>This</w:t>
      </w:r>
      <w:r>
        <w:rPr>
          <w:spacing w:val="-17"/>
          <w:sz w:val="20"/>
        </w:rPr>
        <w:t> </w:t>
      </w:r>
      <w:r>
        <w:rPr>
          <w:sz w:val="20"/>
        </w:rPr>
        <w:t>audit</w:t>
      </w:r>
      <w:r>
        <w:rPr>
          <w:spacing w:val="-16"/>
          <w:sz w:val="20"/>
        </w:rPr>
        <w:t> </w:t>
      </w:r>
      <w:r>
        <w:rPr>
          <w:sz w:val="20"/>
        </w:rPr>
        <w:t>report</w:t>
      </w:r>
      <w:r>
        <w:rPr>
          <w:spacing w:val="-16"/>
          <w:sz w:val="20"/>
        </w:rPr>
        <w:t> </w:t>
      </w:r>
      <w:r>
        <w:rPr>
          <w:sz w:val="20"/>
        </w:rPr>
        <w:t>has</w:t>
      </w:r>
      <w:r>
        <w:rPr>
          <w:spacing w:val="-16"/>
          <w:sz w:val="20"/>
        </w:rPr>
        <w:t> </w:t>
      </w:r>
      <w:r>
        <w:rPr>
          <w:sz w:val="20"/>
        </w:rPr>
        <w:t>been</w:t>
      </w:r>
      <w:r>
        <w:rPr>
          <w:spacing w:val="-15"/>
          <w:sz w:val="20"/>
        </w:rPr>
        <w:t> </w:t>
      </w:r>
      <w:r>
        <w:rPr>
          <w:sz w:val="20"/>
        </w:rPr>
        <w:t>prepared</w:t>
      </w:r>
      <w:r>
        <w:rPr>
          <w:spacing w:val="-16"/>
          <w:sz w:val="20"/>
        </w:rPr>
        <w:t> </w:t>
      </w:r>
      <w:r>
        <w:rPr>
          <w:sz w:val="20"/>
        </w:rPr>
        <w:t>for</w:t>
      </w:r>
      <w:r>
        <w:rPr>
          <w:spacing w:val="-17"/>
          <w:sz w:val="20"/>
        </w:rPr>
        <w:t> </w:t>
      </w:r>
      <w:r>
        <w:rPr>
          <w:sz w:val="20"/>
        </w:rPr>
        <w:t>internal</w:t>
      </w:r>
      <w:r>
        <w:rPr>
          <w:spacing w:val="-13"/>
          <w:sz w:val="20"/>
        </w:rPr>
        <w:t> </w:t>
      </w:r>
      <w:r>
        <w:rPr>
          <w:sz w:val="20"/>
        </w:rPr>
        <w:t>use</w:t>
      </w:r>
      <w:r>
        <w:rPr>
          <w:spacing w:val="-18"/>
          <w:sz w:val="20"/>
        </w:rPr>
        <w:t> </w:t>
      </w:r>
      <w:r>
        <w:rPr>
          <w:sz w:val="20"/>
        </w:rPr>
        <w:t>only.</w:t>
      </w:r>
      <w:r>
        <w:rPr>
          <w:spacing w:val="-16"/>
          <w:sz w:val="20"/>
        </w:rPr>
        <w:t> </w:t>
      </w:r>
      <w:r>
        <w:rPr>
          <w:sz w:val="20"/>
        </w:rPr>
        <w:t>Audit</w:t>
      </w:r>
      <w:r>
        <w:rPr>
          <w:spacing w:val="-16"/>
          <w:sz w:val="20"/>
        </w:rPr>
        <w:t> </w:t>
      </w:r>
      <w:r>
        <w:rPr>
          <w:sz w:val="20"/>
        </w:rPr>
        <w:t>&amp;</w:t>
      </w:r>
      <w:r>
        <w:rPr>
          <w:spacing w:val="-17"/>
          <w:sz w:val="20"/>
        </w:rPr>
        <w:t> </w:t>
      </w:r>
      <w:r>
        <w:rPr>
          <w:sz w:val="20"/>
        </w:rPr>
        <w:t>Assurance</w:t>
      </w:r>
      <w:r>
        <w:rPr>
          <w:spacing w:val="-18"/>
          <w:sz w:val="20"/>
        </w:rPr>
        <w:t> </w:t>
      </w:r>
      <w:r>
        <w:rPr>
          <w:sz w:val="20"/>
        </w:rPr>
        <w:t>Services</w:t>
      </w:r>
      <w:r>
        <w:rPr>
          <w:spacing w:val="-16"/>
          <w:sz w:val="20"/>
        </w:rPr>
        <w:t> </w:t>
      </w:r>
      <w:r>
        <w:rPr>
          <w:sz w:val="20"/>
        </w:rPr>
        <w:t>reports</w:t>
      </w:r>
      <w:r>
        <w:rPr>
          <w:spacing w:val="-17"/>
          <w:sz w:val="20"/>
        </w:rPr>
        <w:t> </w:t>
      </w:r>
      <w:r>
        <w:rPr>
          <w:sz w:val="20"/>
        </w:rPr>
        <w:t>are</w:t>
      </w:r>
      <w:r>
        <w:rPr>
          <w:spacing w:val="-15"/>
          <w:sz w:val="20"/>
        </w:rPr>
        <w:t> </w:t>
      </w:r>
      <w:r>
        <w:rPr>
          <w:sz w:val="20"/>
        </w:rPr>
        <w:t>prepared, in accordance with the Service Strategy and Terms of Reference, approved by the Audit Committee.</w:t>
      </w:r>
    </w:p>
    <w:p>
      <w:pPr>
        <w:spacing w:line="259" w:lineRule="auto" w:before="159"/>
        <w:ind w:left="566" w:right="703" w:firstLine="0"/>
        <w:jc w:val="both"/>
        <w:rPr>
          <w:sz w:val="20"/>
        </w:rPr>
      </w:pPr>
      <w:r>
        <w:rPr>
          <w:sz w:val="20"/>
        </w:rPr>
        <w:t>Audit reports are prepared by the staff of the NHS Wales Shared Services Partnership – Audit and Assurance Services and addressed to Independent Members or officers including those designated as Accountable</w:t>
      </w:r>
      <w:r>
        <w:rPr>
          <w:spacing w:val="-10"/>
          <w:sz w:val="20"/>
        </w:rPr>
        <w:t> </w:t>
      </w:r>
      <w:r>
        <w:rPr>
          <w:sz w:val="20"/>
        </w:rPr>
        <w:t>Officer.</w:t>
      </w:r>
      <w:r>
        <w:rPr>
          <w:spacing w:val="-11"/>
          <w:sz w:val="20"/>
        </w:rPr>
        <w:t> </w:t>
      </w:r>
      <w:r>
        <w:rPr>
          <w:sz w:val="20"/>
        </w:rPr>
        <w:t>They</w:t>
      </w:r>
      <w:r>
        <w:rPr>
          <w:spacing w:val="-12"/>
          <w:sz w:val="20"/>
        </w:rPr>
        <w:t> </w:t>
      </w:r>
      <w:r>
        <w:rPr>
          <w:sz w:val="20"/>
        </w:rPr>
        <w:t>are</w:t>
      </w:r>
      <w:r>
        <w:rPr>
          <w:spacing w:val="-12"/>
          <w:sz w:val="20"/>
        </w:rPr>
        <w:t> </w:t>
      </w:r>
      <w:r>
        <w:rPr>
          <w:sz w:val="20"/>
        </w:rPr>
        <w:t>prepared</w:t>
      </w:r>
      <w:r>
        <w:rPr>
          <w:spacing w:val="-11"/>
          <w:sz w:val="20"/>
        </w:rPr>
        <w:t> </w:t>
      </w:r>
      <w:r>
        <w:rPr>
          <w:sz w:val="20"/>
        </w:rPr>
        <w:t>for</w:t>
      </w:r>
      <w:r>
        <w:rPr>
          <w:spacing w:val="-11"/>
          <w:sz w:val="20"/>
        </w:rPr>
        <w:t> </w:t>
      </w:r>
      <w:r>
        <w:rPr>
          <w:sz w:val="20"/>
        </w:rPr>
        <w:t>the</w:t>
      </w:r>
      <w:r>
        <w:rPr>
          <w:spacing w:val="-12"/>
          <w:sz w:val="20"/>
        </w:rPr>
        <w:t> </w:t>
      </w:r>
      <w:r>
        <w:rPr>
          <w:sz w:val="20"/>
        </w:rPr>
        <w:t>sole</w:t>
      </w:r>
      <w:r>
        <w:rPr>
          <w:spacing w:val="-12"/>
          <w:sz w:val="20"/>
        </w:rPr>
        <w:t> </w:t>
      </w:r>
      <w:r>
        <w:rPr>
          <w:sz w:val="20"/>
        </w:rPr>
        <w:t>use</w:t>
      </w:r>
      <w:r>
        <w:rPr>
          <w:spacing w:val="-12"/>
          <w:sz w:val="20"/>
        </w:rPr>
        <w:t> </w:t>
      </w:r>
      <w:r>
        <w:rPr>
          <w:sz w:val="20"/>
        </w:rPr>
        <w:t>of</w:t>
      </w:r>
      <w:r>
        <w:rPr>
          <w:spacing w:val="-11"/>
          <w:sz w:val="20"/>
        </w:rPr>
        <w:t> </w:t>
      </w:r>
      <w:r>
        <w:rPr>
          <w:sz w:val="20"/>
        </w:rPr>
        <w:t>the</w:t>
      </w:r>
      <w:r>
        <w:rPr>
          <w:spacing w:val="-7"/>
          <w:sz w:val="20"/>
        </w:rPr>
        <w:t> </w:t>
      </w:r>
      <w:r>
        <w:rPr>
          <w:sz w:val="20"/>
        </w:rPr>
        <w:t>NHS</w:t>
      </w:r>
      <w:r>
        <w:rPr>
          <w:spacing w:val="-8"/>
          <w:sz w:val="20"/>
        </w:rPr>
        <w:t> </w:t>
      </w:r>
      <w:r>
        <w:rPr>
          <w:sz w:val="20"/>
        </w:rPr>
        <w:t>Wales</w:t>
      </w:r>
      <w:r>
        <w:rPr>
          <w:spacing w:val="-11"/>
          <w:sz w:val="20"/>
        </w:rPr>
        <w:t> </w:t>
      </w:r>
      <w:r>
        <w:rPr>
          <w:sz w:val="20"/>
        </w:rPr>
        <w:t>Shared</w:t>
      </w:r>
      <w:r>
        <w:rPr>
          <w:spacing w:val="-11"/>
          <w:sz w:val="20"/>
        </w:rPr>
        <w:t> </w:t>
      </w:r>
      <w:r>
        <w:rPr>
          <w:sz w:val="20"/>
        </w:rPr>
        <w:t>Services</w:t>
      </w:r>
      <w:r>
        <w:rPr>
          <w:spacing w:val="-11"/>
          <w:sz w:val="20"/>
        </w:rPr>
        <w:t> </w:t>
      </w:r>
      <w:r>
        <w:rPr>
          <w:sz w:val="20"/>
        </w:rPr>
        <w:t>Partnership</w:t>
      </w:r>
      <w:r>
        <w:rPr>
          <w:spacing w:val="-7"/>
          <w:sz w:val="20"/>
        </w:rPr>
        <w:t> </w:t>
      </w:r>
      <w:r>
        <w:rPr>
          <w:sz w:val="20"/>
        </w:rPr>
        <w:t>and no responsibility is taken by the Audit and Assurance Services Internal Auditors to any director or officer in their individual capacity, or to any third party.</w:t>
      </w:r>
    </w:p>
    <w:p>
      <w:pPr>
        <w:pStyle w:val="BodyText"/>
        <w:rPr>
          <w:sz w:val="20"/>
        </w:rPr>
      </w:pPr>
    </w:p>
    <w:p>
      <w:pPr>
        <w:pStyle w:val="BodyText"/>
        <w:rPr>
          <w:sz w:val="20"/>
        </w:rPr>
      </w:pPr>
    </w:p>
    <w:p>
      <w:pPr>
        <w:pStyle w:val="BodyText"/>
        <w:spacing w:before="11"/>
        <w:rPr>
          <w:sz w:val="11"/>
        </w:rPr>
      </w:pPr>
      <w:r>
        <w:rPr/>
        <w:pict>
          <v:shape style="position:absolute;margin-left:28.320002pt;margin-top:8.452258pt;width:531.7pt;height:1.45pt;mso-position-horizontal-relative:page;mso-position-vertical-relative:paragraph;z-index:-15693824;mso-wrap-distance-left:0;mso-wrap-distance-right:0" id="docshape150" coordorigin="566,169" coordsize="10634,29" path="m11200,169l5972,169,5943,169,566,169,566,198,5943,198,5972,198,11200,198,11200,169xe" filled="true" fillcolor="#000000" stroked="false">
            <v:path arrowok="t"/>
            <v:fill type="solid"/>
            <w10:wrap type="topAndBottom"/>
          </v:shape>
        </w:pict>
      </w:r>
    </w:p>
    <w:p>
      <w:pPr>
        <w:pStyle w:val="BodyText"/>
        <w:spacing w:before="9"/>
        <w:rPr>
          <w:sz w:val="13"/>
        </w:rPr>
      </w:pPr>
    </w:p>
    <w:p>
      <w:pPr>
        <w:tabs>
          <w:tab w:pos="11095" w:val="right" w:leader="none"/>
        </w:tabs>
        <w:spacing w:before="101"/>
        <w:ind w:left="674" w:right="0" w:firstLine="0"/>
        <w:jc w:val="left"/>
        <w:rPr>
          <w:sz w:val="22"/>
        </w:rPr>
      </w:pPr>
      <w:r>
        <w:rPr>
          <w:sz w:val="22"/>
        </w:rPr>
        <w:t>NWSSP</w:t>
      </w:r>
      <w:r>
        <w:rPr>
          <w:spacing w:val="-4"/>
          <w:sz w:val="22"/>
        </w:rPr>
        <w:t> </w:t>
      </w:r>
      <w:r>
        <w:rPr>
          <w:sz w:val="22"/>
        </w:rPr>
        <w:t>Audit</w:t>
      </w:r>
      <w:r>
        <w:rPr>
          <w:spacing w:val="-6"/>
          <w:sz w:val="22"/>
        </w:rPr>
        <w:t> </w:t>
      </w:r>
      <w:r>
        <w:rPr>
          <w:sz w:val="22"/>
        </w:rPr>
        <w:t>and</w:t>
      </w:r>
      <w:r>
        <w:rPr>
          <w:spacing w:val="-5"/>
          <w:sz w:val="22"/>
        </w:rPr>
        <w:t> </w:t>
      </w:r>
      <w:r>
        <w:rPr>
          <w:sz w:val="22"/>
        </w:rPr>
        <w:t>Assurance</w:t>
      </w:r>
      <w:r>
        <w:rPr>
          <w:spacing w:val="-4"/>
          <w:sz w:val="22"/>
        </w:rPr>
        <w:t> </w:t>
      </w:r>
      <w:r>
        <w:rPr>
          <w:spacing w:val="-2"/>
          <w:sz w:val="22"/>
        </w:rPr>
        <w:t>Services</w:t>
      </w:r>
      <w:r>
        <w:rPr>
          <w:sz w:val="22"/>
        </w:rPr>
        <w:tab/>
      </w:r>
      <w:r>
        <w:rPr>
          <w:spacing w:val="-10"/>
          <w:sz w:val="22"/>
        </w:rPr>
        <w:t>2</w:t>
      </w:r>
    </w:p>
    <w:p>
      <w:pPr>
        <w:spacing w:after="0"/>
        <w:jc w:val="left"/>
        <w:rPr>
          <w:sz w:val="22"/>
        </w:rPr>
        <w:sectPr>
          <w:footerReference w:type="default" r:id="rId67"/>
          <w:pgSz w:w="11910" w:h="16840"/>
          <w:pgMar w:footer="0" w:header="0" w:top="880" w:bottom="180" w:left="0" w:right="0"/>
          <w:pgNumType w:start="2"/>
        </w:sectPr>
      </w:pPr>
    </w:p>
    <w:p>
      <w:pPr>
        <w:tabs>
          <w:tab w:pos="8077" w:val="left" w:leader="none"/>
        </w:tabs>
        <w:spacing w:before="76"/>
        <w:ind w:left="708" w:right="0" w:firstLine="0"/>
        <w:jc w:val="left"/>
        <w:rPr>
          <w:sz w:val="22"/>
        </w:rPr>
      </w:pPr>
      <w:r>
        <w:rPr/>
        <w:pict>
          <v:shape style="position:absolute;margin-left:34.68pt;margin-top:30.579041pt;width:532.450pt;height:1.45pt;mso-position-horizontal-relative:page;mso-position-vertical-relative:paragraph;z-index:15765504" id="docshape151" coordorigin="694,612" coordsize="10649,29" path="m11342,612l6085,612,6071,612,6056,612,694,612,694,640,6056,640,6071,640,6085,640,11342,640,11342,612xe" filled="true" fillcolor="#000000" stroked="false">
            <v:path arrowok="t"/>
            <v:fill type="solid"/>
            <w10:wrap type="none"/>
          </v:shape>
        </w:pict>
      </w:r>
      <w:r>
        <w:rPr>
          <w:sz w:val="22"/>
        </w:rPr>
        <w:t>Laundry</w:t>
      </w:r>
      <w:r>
        <w:rPr>
          <w:spacing w:val="-5"/>
          <w:sz w:val="22"/>
        </w:rPr>
        <w:t> </w:t>
      </w:r>
      <w:r>
        <w:rPr>
          <w:sz w:val="22"/>
        </w:rPr>
        <w:t>Service</w:t>
      </w:r>
      <w:r>
        <w:rPr>
          <w:spacing w:val="-3"/>
          <w:sz w:val="22"/>
        </w:rPr>
        <w:t> </w:t>
      </w:r>
      <w:r>
        <w:rPr>
          <w:sz w:val="22"/>
        </w:rPr>
        <w:t>–</w:t>
      </w:r>
      <w:r>
        <w:rPr>
          <w:spacing w:val="-4"/>
          <w:sz w:val="22"/>
        </w:rPr>
        <w:t> </w:t>
      </w:r>
      <w:r>
        <w:rPr>
          <w:sz w:val="22"/>
        </w:rPr>
        <w:t>Glan</w:t>
      </w:r>
      <w:r>
        <w:rPr>
          <w:spacing w:val="-4"/>
          <w:sz w:val="22"/>
        </w:rPr>
        <w:t> Clwyd</w:t>
      </w:r>
      <w:r>
        <w:rPr>
          <w:sz w:val="22"/>
        </w:rPr>
        <w:tab/>
        <w:t>Final</w:t>
      </w:r>
      <w:r>
        <w:rPr>
          <w:spacing w:val="-7"/>
          <w:sz w:val="22"/>
        </w:rPr>
        <w:t> </w:t>
      </w:r>
      <w:r>
        <w:rPr>
          <w:sz w:val="22"/>
        </w:rPr>
        <w:t>Internal</w:t>
      </w:r>
      <w:r>
        <w:rPr>
          <w:spacing w:val="-5"/>
          <w:sz w:val="22"/>
        </w:rPr>
        <w:t> </w:t>
      </w:r>
      <w:r>
        <w:rPr>
          <w:sz w:val="22"/>
        </w:rPr>
        <w:t>Audit</w:t>
      </w:r>
      <w:r>
        <w:rPr>
          <w:spacing w:val="-5"/>
          <w:sz w:val="22"/>
        </w:rPr>
        <w:t> </w:t>
      </w:r>
      <w:r>
        <w:rPr>
          <w:spacing w:val="-2"/>
          <w:sz w:val="22"/>
        </w:rPr>
        <w:t>Report</w:t>
      </w:r>
    </w:p>
    <w:p>
      <w:pPr>
        <w:pStyle w:val="Heading4"/>
        <w:spacing w:before="737"/>
        <w:ind w:left="708"/>
      </w:pPr>
      <w:bookmarkStart w:name="_bookmark5" w:id="48"/>
      <w:bookmarkEnd w:id="48"/>
      <w:r>
        <w:rPr/>
      </w:r>
      <w:r>
        <w:rPr>
          <w:color w:val="3C5A8B"/>
        </w:rPr>
        <w:t>Executive</w:t>
      </w:r>
      <w:r>
        <w:rPr>
          <w:color w:val="3C5A8B"/>
          <w:spacing w:val="-7"/>
        </w:rPr>
        <w:t> </w:t>
      </w:r>
      <w:r>
        <w:rPr>
          <w:color w:val="3C5A8B"/>
          <w:spacing w:val="-2"/>
        </w:rPr>
        <w:t>Summary</w:t>
      </w:r>
    </w:p>
    <w:p>
      <w:pPr>
        <w:spacing w:after="0"/>
        <w:sectPr>
          <w:pgSz w:w="11910" w:h="16840"/>
          <w:pgMar w:header="0" w:footer="0" w:top="740" w:bottom="360" w:left="0" w:right="0"/>
        </w:sectPr>
      </w:pPr>
    </w:p>
    <w:p>
      <w:pPr>
        <w:pStyle w:val="BodyText"/>
        <w:spacing w:before="5"/>
        <w:rPr>
          <w:sz w:val="32"/>
        </w:rPr>
      </w:pPr>
    </w:p>
    <w:p>
      <w:pPr>
        <w:pStyle w:val="Heading8"/>
        <w:ind w:left="5139"/>
        <w:rPr>
          <w:rFonts w:ascii="Verdana"/>
        </w:rPr>
      </w:pPr>
      <w:r>
        <w:rPr/>
        <w:pict>
          <v:shape style="position:absolute;margin-left:35.400002pt;margin-top:-6.084817pt;width:216.2pt;height:411.65pt;mso-position-horizontal-relative:page;mso-position-vertical-relative:paragraph;z-index:15767552" type="#_x0000_t202" id="docshape152" filled="true" fillcolor="#d9e1f3" stroked="false">
            <v:textbox inset="0,0,0,0">
              <w:txbxContent>
                <w:p>
                  <w:pPr>
                    <w:pStyle w:val="BodyText"/>
                    <w:spacing w:before="12"/>
                    <w:rPr>
                      <w:color w:val="000000"/>
                      <w:sz w:val="19"/>
                    </w:rPr>
                  </w:pPr>
                </w:p>
                <w:p>
                  <w:pPr>
                    <w:spacing w:before="0"/>
                    <w:ind w:left="107" w:right="0" w:firstLine="0"/>
                    <w:jc w:val="left"/>
                    <w:rPr>
                      <w:b/>
                      <w:color w:val="000000"/>
                      <w:sz w:val="20"/>
                    </w:rPr>
                  </w:pPr>
                  <w:r>
                    <w:rPr>
                      <w:b/>
                      <w:color w:val="000000"/>
                      <w:spacing w:val="-2"/>
                      <w:sz w:val="20"/>
                    </w:rPr>
                    <w:t>Purpose</w:t>
                  </w:r>
                </w:p>
                <w:p>
                  <w:pPr>
                    <w:spacing w:before="121"/>
                    <w:ind w:left="107" w:right="107" w:firstLine="0"/>
                    <w:jc w:val="both"/>
                    <w:rPr>
                      <w:color w:val="000000"/>
                      <w:sz w:val="20"/>
                    </w:rPr>
                  </w:pPr>
                  <w:r>
                    <w:rPr>
                      <w:color w:val="000000"/>
                      <w:sz w:val="20"/>
                    </w:rPr>
                    <w:t>The overall objective of the review was to</w:t>
                  </w:r>
                  <w:r>
                    <w:rPr>
                      <w:color w:val="000000"/>
                      <w:spacing w:val="-18"/>
                      <w:sz w:val="20"/>
                    </w:rPr>
                    <w:t> </w:t>
                  </w:r>
                  <w:r>
                    <w:rPr>
                      <w:color w:val="000000"/>
                      <w:sz w:val="20"/>
                    </w:rPr>
                    <w:t>provide</w:t>
                  </w:r>
                  <w:r>
                    <w:rPr>
                      <w:color w:val="000000"/>
                      <w:spacing w:val="-18"/>
                      <w:sz w:val="20"/>
                    </w:rPr>
                    <w:t> </w:t>
                  </w:r>
                  <w:r>
                    <w:rPr>
                      <w:color w:val="000000"/>
                      <w:sz w:val="20"/>
                    </w:rPr>
                    <w:t>a</w:t>
                  </w:r>
                  <w:r>
                    <w:rPr>
                      <w:color w:val="000000"/>
                      <w:spacing w:val="-17"/>
                      <w:sz w:val="20"/>
                    </w:rPr>
                    <w:t> </w:t>
                  </w:r>
                  <w:r>
                    <w:rPr>
                      <w:color w:val="000000"/>
                      <w:sz w:val="20"/>
                    </w:rPr>
                    <w:t>baseline</w:t>
                  </w:r>
                  <w:r>
                    <w:rPr>
                      <w:color w:val="000000"/>
                      <w:spacing w:val="-18"/>
                      <w:sz w:val="20"/>
                    </w:rPr>
                    <w:t> </w:t>
                  </w:r>
                  <w:r>
                    <w:rPr>
                      <w:color w:val="000000"/>
                      <w:sz w:val="20"/>
                    </w:rPr>
                    <w:t>for</w:t>
                  </w:r>
                  <w:r>
                    <w:rPr>
                      <w:color w:val="000000"/>
                      <w:spacing w:val="-17"/>
                      <w:sz w:val="20"/>
                    </w:rPr>
                    <w:t> </w:t>
                  </w:r>
                  <w:r>
                    <w:rPr>
                      <w:color w:val="000000"/>
                      <w:sz w:val="20"/>
                    </w:rPr>
                    <w:t>the</w:t>
                  </w:r>
                  <w:r>
                    <w:rPr>
                      <w:color w:val="000000"/>
                      <w:spacing w:val="-18"/>
                      <w:sz w:val="20"/>
                    </w:rPr>
                    <w:t> </w:t>
                  </w:r>
                  <w:r>
                    <w:rPr>
                      <w:color w:val="000000"/>
                      <w:sz w:val="20"/>
                    </w:rPr>
                    <w:t>new</w:t>
                  </w:r>
                  <w:r>
                    <w:rPr>
                      <w:color w:val="000000"/>
                      <w:spacing w:val="-18"/>
                      <w:sz w:val="20"/>
                    </w:rPr>
                    <w:t> </w:t>
                  </w:r>
                  <w:r>
                    <w:rPr>
                      <w:color w:val="000000"/>
                      <w:sz w:val="20"/>
                    </w:rPr>
                    <w:t>national Laundry</w:t>
                  </w:r>
                  <w:r>
                    <w:rPr>
                      <w:color w:val="000000"/>
                      <w:spacing w:val="-1"/>
                      <w:sz w:val="20"/>
                    </w:rPr>
                    <w:t> </w:t>
                  </w:r>
                  <w:r>
                    <w:rPr>
                      <w:color w:val="000000"/>
                      <w:sz w:val="20"/>
                    </w:rPr>
                    <w:t>Service</w:t>
                  </w:r>
                  <w:r>
                    <w:rPr>
                      <w:color w:val="000000"/>
                      <w:spacing w:val="-1"/>
                      <w:sz w:val="20"/>
                    </w:rPr>
                    <w:t> </w:t>
                  </w:r>
                  <w:r>
                    <w:rPr>
                      <w:color w:val="000000"/>
                      <w:sz w:val="20"/>
                    </w:rPr>
                    <w:t>hosted by</w:t>
                  </w:r>
                  <w:r>
                    <w:rPr>
                      <w:color w:val="000000"/>
                      <w:spacing w:val="-1"/>
                      <w:sz w:val="20"/>
                    </w:rPr>
                    <w:t> </w:t>
                  </w:r>
                  <w:r>
                    <w:rPr>
                      <w:color w:val="000000"/>
                      <w:sz w:val="20"/>
                    </w:rPr>
                    <w:t>NWSSP</w:t>
                  </w:r>
                  <w:r>
                    <w:rPr>
                      <w:color w:val="000000"/>
                      <w:spacing w:val="-1"/>
                      <w:sz w:val="20"/>
                    </w:rPr>
                    <w:t> </w:t>
                  </w:r>
                  <w:r>
                    <w:rPr>
                      <w:color w:val="000000"/>
                      <w:sz w:val="20"/>
                    </w:rPr>
                    <w:t>since April 2021, and a high-level overview of existing governance and management </w:t>
                  </w:r>
                  <w:r>
                    <w:rPr>
                      <w:color w:val="000000"/>
                      <w:spacing w:val="-2"/>
                      <w:sz w:val="20"/>
                    </w:rPr>
                    <w:t>arrangements.</w:t>
                  </w:r>
                </w:p>
                <w:p>
                  <w:pPr>
                    <w:spacing w:before="119"/>
                    <w:ind w:left="107" w:right="0" w:firstLine="0"/>
                    <w:jc w:val="left"/>
                    <w:rPr>
                      <w:b/>
                      <w:color w:val="000000"/>
                      <w:sz w:val="20"/>
                    </w:rPr>
                  </w:pPr>
                  <w:r>
                    <w:rPr>
                      <w:b/>
                      <w:color w:val="000000"/>
                      <w:spacing w:val="-2"/>
                      <w:sz w:val="20"/>
                    </w:rPr>
                    <w:t>Overview</w:t>
                  </w:r>
                </w:p>
                <w:p>
                  <w:pPr>
                    <w:spacing w:before="119"/>
                    <w:ind w:left="107" w:right="110" w:firstLine="0"/>
                    <w:jc w:val="both"/>
                    <w:rPr>
                      <w:color w:val="000000"/>
                      <w:sz w:val="20"/>
                    </w:rPr>
                  </w:pPr>
                  <w:r>
                    <w:rPr>
                      <w:color w:val="000000"/>
                      <w:sz w:val="20"/>
                    </w:rPr>
                    <w:t>We have concluded </w:t>
                  </w:r>
                  <w:r>
                    <w:rPr>
                      <w:b/>
                      <w:color w:val="000000"/>
                      <w:sz w:val="20"/>
                    </w:rPr>
                    <w:t>Reasonable </w:t>
                  </w:r>
                  <w:r>
                    <w:rPr>
                      <w:color w:val="000000"/>
                      <w:sz w:val="20"/>
                    </w:rPr>
                    <w:t>assurance overall with one high priority matter arising relating to the physical condition</w:t>
                  </w:r>
                  <w:r>
                    <w:rPr>
                      <w:color w:val="000000"/>
                      <w:spacing w:val="-2"/>
                      <w:sz w:val="20"/>
                    </w:rPr>
                    <w:t> </w:t>
                  </w:r>
                  <w:r>
                    <w:rPr>
                      <w:color w:val="000000"/>
                      <w:sz w:val="20"/>
                    </w:rPr>
                    <w:t>and security</w:t>
                  </w:r>
                  <w:r>
                    <w:rPr>
                      <w:color w:val="000000"/>
                      <w:spacing w:val="-1"/>
                      <w:sz w:val="20"/>
                    </w:rPr>
                    <w:t> </w:t>
                  </w:r>
                  <w:r>
                    <w:rPr>
                      <w:color w:val="000000"/>
                      <w:sz w:val="20"/>
                    </w:rPr>
                    <w:t>of</w:t>
                  </w:r>
                  <w:r>
                    <w:rPr>
                      <w:color w:val="000000"/>
                      <w:spacing w:val="-3"/>
                      <w:sz w:val="20"/>
                    </w:rPr>
                    <w:t> </w:t>
                  </w:r>
                  <w:r>
                    <w:rPr>
                      <w:color w:val="000000"/>
                      <w:sz w:val="20"/>
                    </w:rPr>
                    <w:t>the</w:t>
                  </w:r>
                  <w:r>
                    <w:rPr>
                      <w:color w:val="000000"/>
                      <w:spacing w:val="-2"/>
                      <w:sz w:val="20"/>
                    </w:rPr>
                    <w:t> </w:t>
                  </w:r>
                  <w:r>
                    <w:rPr>
                      <w:color w:val="000000"/>
                      <w:sz w:val="20"/>
                    </w:rPr>
                    <w:t>Glan Clwyd </w:t>
                  </w:r>
                  <w:r>
                    <w:rPr>
                      <w:color w:val="000000"/>
                      <w:spacing w:val="-2"/>
                      <w:sz w:val="20"/>
                    </w:rPr>
                    <w:t>site.</w:t>
                  </w:r>
                </w:p>
                <w:p>
                  <w:pPr>
                    <w:spacing w:before="122"/>
                    <w:ind w:left="107" w:right="0" w:firstLine="0"/>
                    <w:jc w:val="left"/>
                    <w:rPr>
                      <w:color w:val="000000"/>
                      <w:sz w:val="20"/>
                    </w:rPr>
                  </w:pPr>
                  <w:r>
                    <w:rPr>
                      <w:color w:val="000000"/>
                      <w:sz w:val="20"/>
                    </w:rPr>
                    <w:t>We</w:t>
                  </w:r>
                  <w:r>
                    <w:rPr>
                      <w:color w:val="000000"/>
                      <w:spacing w:val="30"/>
                      <w:sz w:val="20"/>
                    </w:rPr>
                    <w:t> </w:t>
                  </w:r>
                  <w:r>
                    <w:rPr>
                      <w:color w:val="000000"/>
                      <w:sz w:val="20"/>
                    </w:rPr>
                    <w:t>also identified</w:t>
                  </w:r>
                  <w:r>
                    <w:rPr>
                      <w:color w:val="000000"/>
                      <w:spacing w:val="36"/>
                      <w:sz w:val="20"/>
                    </w:rPr>
                    <w:t> </w:t>
                  </w:r>
                  <w:r>
                    <w:rPr>
                      <w:color w:val="000000"/>
                      <w:sz w:val="20"/>
                    </w:rPr>
                    <w:t>one</w:t>
                  </w:r>
                  <w:r>
                    <w:rPr>
                      <w:color w:val="000000"/>
                      <w:spacing w:val="33"/>
                      <w:sz w:val="20"/>
                    </w:rPr>
                    <w:t> </w:t>
                  </w:r>
                  <w:r>
                    <w:rPr>
                      <w:color w:val="000000"/>
                      <w:sz w:val="20"/>
                    </w:rPr>
                    <w:t>medium</w:t>
                  </w:r>
                  <w:r>
                    <w:rPr>
                      <w:color w:val="000000"/>
                      <w:spacing w:val="32"/>
                      <w:sz w:val="20"/>
                    </w:rPr>
                    <w:t> </w:t>
                  </w:r>
                  <w:r>
                    <w:rPr>
                      <w:color w:val="000000"/>
                      <w:sz w:val="20"/>
                    </w:rPr>
                    <w:t>priority matters arising relating to:</w:t>
                  </w:r>
                </w:p>
                <w:p>
                  <w:pPr>
                    <w:numPr>
                      <w:ilvl w:val="0"/>
                      <w:numId w:val="16"/>
                    </w:numPr>
                    <w:tabs>
                      <w:tab w:pos="423" w:val="left" w:leader="none"/>
                    </w:tabs>
                    <w:spacing w:before="119"/>
                    <w:ind w:left="422" w:right="0" w:hanging="284"/>
                    <w:jc w:val="left"/>
                    <w:rPr>
                      <w:color w:val="000000"/>
                      <w:sz w:val="20"/>
                    </w:rPr>
                  </w:pPr>
                  <w:r>
                    <w:rPr>
                      <w:color w:val="000000"/>
                      <w:sz w:val="20"/>
                    </w:rPr>
                    <w:t>Lack</w:t>
                  </w:r>
                  <w:r>
                    <w:rPr>
                      <w:color w:val="000000"/>
                      <w:spacing w:val="-4"/>
                      <w:sz w:val="20"/>
                    </w:rPr>
                    <w:t> </w:t>
                  </w:r>
                  <w:r>
                    <w:rPr>
                      <w:color w:val="000000"/>
                      <w:sz w:val="20"/>
                    </w:rPr>
                    <w:t>of</w:t>
                  </w:r>
                  <w:r>
                    <w:rPr>
                      <w:color w:val="000000"/>
                      <w:spacing w:val="-4"/>
                      <w:sz w:val="20"/>
                    </w:rPr>
                    <w:t> </w:t>
                  </w:r>
                  <w:r>
                    <w:rPr>
                      <w:color w:val="000000"/>
                      <w:sz w:val="20"/>
                    </w:rPr>
                    <w:t>ICT</w:t>
                  </w:r>
                  <w:r>
                    <w:rPr>
                      <w:color w:val="000000"/>
                      <w:spacing w:val="-4"/>
                      <w:sz w:val="20"/>
                    </w:rPr>
                    <w:t> </w:t>
                  </w:r>
                  <w:r>
                    <w:rPr>
                      <w:color w:val="000000"/>
                      <w:sz w:val="20"/>
                    </w:rPr>
                    <w:t>asset</w:t>
                  </w:r>
                  <w:r>
                    <w:rPr>
                      <w:color w:val="000000"/>
                      <w:spacing w:val="-4"/>
                      <w:sz w:val="20"/>
                    </w:rPr>
                    <w:t> </w:t>
                  </w:r>
                  <w:r>
                    <w:rPr>
                      <w:color w:val="000000"/>
                      <w:spacing w:val="-2"/>
                      <w:sz w:val="20"/>
                    </w:rPr>
                    <w:t>register.</w:t>
                  </w:r>
                </w:p>
                <w:p>
                  <w:pPr>
                    <w:spacing w:before="120"/>
                    <w:ind w:left="139" w:right="0" w:firstLine="0"/>
                    <w:jc w:val="left"/>
                    <w:rPr>
                      <w:color w:val="000000"/>
                      <w:sz w:val="20"/>
                    </w:rPr>
                  </w:pPr>
                  <w:r>
                    <w:rPr>
                      <w:color w:val="000000"/>
                      <w:sz w:val="20"/>
                    </w:rPr>
                    <w:t>Full</w:t>
                  </w:r>
                  <w:r>
                    <w:rPr>
                      <w:color w:val="000000"/>
                      <w:spacing w:val="-6"/>
                      <w:sz w:val="20"/>
                    </w:rPr>
                    <w:t> </w:t>
                  </w:r>
                  <w:r>
                    <w:rPr>
                      <w:color w:val="000000"/>
                      <w:sz w:val="20"/>
                    </w:rPr>
                    <w:t>details</w:t>
                  </w:r>
                  <w:r>
                    <w:rPr>
                      <w:color w:val="000000"/>
                      <w:spacing w:val="-8"/>
                      <w:sz w:val="20"/>
                    </w:rPr>
                    <w:t> </w:t>
                  </w:r>
                  <w:r>
                    <w:rPr>
                      <w:color w:val="000000"/>
                      <w:sz w:val="20"/>
                    </w:rPr>
                    <w:t>are</w:t>
                  </w:r>
                  <w:r>
                    <w:rPr>
                      <w:color w:val="000000"/>
                      <w:spacing w:val="-8"/>
                      <w:sz w:val="20"/>
                    </w:rPr>
                    <w:t> </w:t>
                  </w:r>
                  <w:r>
                    <w:rPr>
                      <w:color w:val="000000"/>
                      <w:sz w:val="20"/>
                    </w:rPr>
                    <w:t>provided</w:t>
                  </w:r>
                  <w:r>
                    <w:rPr>
                      <w:color w:val="000000"/>
                      <w:spacing w:val="-4"/>
                      <w:sz w:val="20"/>
                    </w:rPr>
                    <w:t> </w:t>
                  </w:r>
                  <w:r>
                    <w:rPr>
                      <w:color w:val="000000"/>
                      <w:sz w:val="20"/>
                    </w:rPr>
                    <w:t>in</w:t>
                  </w:r>
                  <w:r>
                    <w:rPr>
                      <w:color w:val="000000"/>
                      <w:spacing w:val="-5"/>
                      <w:sz w:val="20"/>
                    </w:rPr>
                    <w:t> </w:t>
                  </w:r>
                  <w:r>
                    <w:rPr>
                      <w:color w:val="000000"/>
                      <w:sz w:val="20"/>
                    </w:rPr>
                    <w:t>Appendix</w:t>
                  </w:r>
                  <w:r>
                    <w:rPr>
                      <w:color w:val="000000"/>
                      <w:spacing w:val="-7"/>
                      <w:sz w:val="20"/>
                    </w:rPr>
                    <w:t> </w:t>
                  </w:r>
                  <w:r>
                    <w:rPr>
                      <w:color w:val="000000"/>
                      <w:spacing w:val="-5"/>
                      <w:sz w:val="20"/>
                    </w:rPr>
                    <w:t>A.</w:t>
                  </w:r>
                </w:p>
              </w:txbxContent>
            </v:textbox>
            <v:fill type="solid"/>
            <w10:wrap type="none"/>
          </v:shape>
        </w:pict>
      </w:r>
      <w:r>
        <w:rPr>
          <w:rFonts w:ascii="Verdana"/>
          <w:color w:val="3C5A8B"/>
        </w:rPr>
        <w:t>Report</w:t>
      </w:r>
      <w:r>
        <w:rPr>
          <w:rFonts w:ascii="Verdana"/>
          <w:color w:val="3C5A8B"/>
          <w:spacing w:val="-7"/>
        </w:rPr>
        <w:t> </w:t>
      </w:r>
      <w:r>
        <w:rPr>
          <w:rFonts w:ascii="Verdana"/>
          <w:color w:val="3C5A8B"/>
          <w:spacing w:val="-2"/>
        </w:rPr>
        <w:t>Classification</w:t>
      </w:r>
    </w:p>
    <w:p>
      <w:pPr>
        <w:pStyle w:val="BodyText"/>
        <w:rPr>
          <w:sz w:val="34"/>
        </w:rPr>
      </w:pPr>
    </w:p>
    <w:p>
      <w:pPr>
        <w:tabs>
          <w:tab w:pos="6648" w:val="left" w:leader="none"/>
          <w:tab w:pos="7661" w:val="left" w:leader="none"/>
          <w:tab w:pos="8887" w:val="left" w:leader="none"/>
        </w:tabs>
        <w:spacing w:line="274" w:lineRule="exact" w:before="259"/>
        <w:ind w:left="5264" w:right="0" w:firstLine="0"/>
        <w:jc w:val="left"/>
        <w:rPr>
          <w:sz w:val="20"/>
        </w:rPr>
      </w:pPr>
      <w:r>
        <w:rPr/>
        <w:pict>
          <v:rect style="position:absolute;margin-left:256.970001pt;margin-top:9.443669pt;width:297.650014pt;height:.48pt;mso-position-horizontal-relative:page;mso-position-vertical-relative:paragraph;z-index:15766016" id="docshape153" filled="true" fillcolor="#000000" stroked="false">
            <v:fill type="solid"/>
            <w10:wrap type="none"/>
          </v:rect>
        </w:pict>
      </w:r>
      <w:r>
        <w:rPr>
          <w:color w:val="3C5A8B"/>
          <w:spacing w:val="-2"/>
          <w:position w:val="-5"/>
          <w:sz w:val="20"/>
        </w:rPr>
        <w:t>Reasonable</w:t>
      </w:r>
      <w:r>
        <w:rPr>
          <w:color w:val="3C5A8B"/>
          <w:position w:val="-5"/>
          <w:sz w:val="20"/>
        </w:rPr>
        <w:tab/>
      </w:r>
      <w:r>
        <w:rPr>
          <w:spacing w:val="-4"/>
          <w:sz w:val="20"/>
        </w:rPr>
        <w:t>Some</w:t>
      </w:r>
      <w:r>
        <w:rPr>
          <w:sz w:val="20"/>
        </w:rPr>
        <w:tab/>
      </w:r>
      <w:r>
        <w:rPr>
          <w:spacing w:val="-2"/>
          <w:sz w:val="20"/>
        </w:rPr>
        <w:t>matters</w:t>
      </w:r>
      <w:r>
        <w:rPr>
          <w:sz w:val="20"/>
        </w:rPr>
        <w:tab/>
      </w:r>
      <w:r>
        <w:rPr>
          <w:spacing w:val="-2"/>
          <w:sz w:val="20"/>
        </w:rPr>
        <w:t>require</w:t>
      </w:r>
    </w:p>
    <w:p>
      <w:pPr>
        <w:tabs>
          <w:tab w:pos="8241" w:val="left" w:leader="none"/>
          <w:tab w:pos="9420" w:val="left" w:leader="none"/>
        </w:tabs>
        <w:spacing w:line="214" w:lineRule="exact" w:before="0"/>
        <w:ind w:left="6649" w:right="0" w:firstLine="0"/>
        <w:jc w:val="left"/>
        <w:rPr>
          <w:sz w:val="20"/>
        </w:rPr>
      </w:pPr>
      <w:r>
        <w:rPr/>
        <w:drawing>
          <wp:anchor distT="0" distB="0" distL="0" distR="0" allowOverlap="1" layoutInCell="1" locked="0" behindDoc="0" simplePos="0" relativeHeight="15767040">
            <wp:simplePos x="0" y="0"/>
            <wp:positionH relativeFrom="page">
              <wp:posOffset>3331209</wp:posOffset>
            </wp:positionH>
            <wp:positionV relativeFrom="paragraph">
              <wp:posOffset>94450</wp:posOffset>
            </wp:positionV>
            <wp:extent cx="751789" cy="421004"/>
            <wp:effectExtent l="0" t="0" r="0" b="0"/>
            <wp:wrapNone/>
            <wp:docPr id="49" name="image8.png"/>
            <wp:cNvGraphicFramePr>
              <a:graphicFrameLocks noChangeAspect="1"/>
            </wp:cNvGraphicFramePr>
            <a:graphic>
              <a:graphicData uri="http://schemas.openxmlformats.org/drawingml/2006/picture">
                <pic:pic>
                  <pic:nvPicPr>
                    <pic:cNvPr id="50" name="image8.png"/>
                    <pic:cNvPicPr/>
                  </pic:nvPicPr>
                  <pic:blipFill>
                    <a:blip r:embed="rId39" cstate="print"/>
                    <a:stretch>
                      <a:fillRect/>
                    </a:stretch>
                  </pic:blipFill>
                  <pic:spPr>
                    <a:xfrm>
                      <a:off x="0" y="0"/>
                      <a:ext cx="751789" cy="421004"/>
                    </a:xfrm>
                    <a:prstGeom prst="rect">
                      <a:avLst/>
                    </a:prstGeom>
                  </pic:spPr>
                </pic:pic>
              </a:graphicData>
            </a:graphic>
          </wp:anchor>
        </w:drawing>
      </w:r>
      <w:r>
        <w:rPr>
          <w:spacing w:val="-2"/>
          <w:sz w:val="20"/>
        </w:rPr>
        <w:t>management</w:t>
      </w:r>
      <w:r>
        <w:rPr>
          <w:sz w:val="20"/>
        </w:rPr>
        <w:tab/>
      </w:r>
      <w:r>
        <w:rPr>
          <w:spacing w:val="-2"/>
          <w:sz w:val="20"/>
        </w:rPr>
        <w:t>attention</w:t>
      </w:r>
      <w:r>
        <w:rPr>
          <w:sz w:val="20"/>
        </w:rPr>
        <w:tab/>
      </w:r>
      <w:r>
        <w:rPr>
          <w:spacing w:val="-5"/>
          <w:sz w:val="20"/>
        </w:rPr>
        <w:t>in</w:t>
      </w:r>
    </w:p>
    <w:p>
      <w:pPr>
        <w:spacing w:line="243" w:lineRule="exact" w:before="0"/>
        <w:ind w:left="6649" w:right="0" w:firstLine="0"/>
        <w:jc w:val="left"/>
        <w:rPr>
          <w:sz w:val="20"/>
        </w:rPr>
      </w:pPr>
      <w:r>
        <w:rPr>
          <w:sz w:val="20"/>
        </w:rPr>
        <w:t>control</w:t>
      </w:r>
      <w:r>
        <w:rPr>
          <w:spacing w:val="-9"/>
          <w:sz w:val="20"/>
        </w:rPr>
        <w:t> </w:t>
      </w:r>
      <w:r>
        <w:rPr>
          <w:sz w:val="20"/>
        </w:rPr>
        <w:t>design</w:t>
      </w:r>
      <w:r>
        <w:rPr>
          <w:spacing w:val="-8"/>
          <w:sz w:val="20"/>
        </w:rPr>
        <w:t> </w:t>
      </w:r>
      <w:r>
        <w:rPr>
          <w:sz w:val="20"/>
        </w:rPr>
        <w:t>or</w:t>
      </w:r>
      <w:r>
        <w:rPr>
          <w:spacing w:val="-8"/>
          <w:sz w:val="20"/>
        </w:rPr>
        <w:t> </w:t>
      </w:r>
      <w:r>
        <w:rPr>
          <w:spacing w:val="-2"/>
          <w:sz w:val="20"/>
        </w:rPr>
        <w:t>compliance.</w:t>
      </w:r>
    </w:p>
    <w:p>
      <w:pPr>
        <w:spacing w:before="119"/>
        <w:ind w:left="6649" w:right="33" w:firstLine="0"/>
        <w:jc w:val="left"/>
        <w:rPr>
          <w:sz w:val="20"/>
        </w:rPr>
      </w:pPr>
      <w:r>
        <w:rPr/>
        <w:pict>
          <v:rect style="position:absolute;margin-left:256.25pt;margin-top:48.403694pt;width:298.370014pt;height:.48pt;mso-position-horizontal-relative:page;mso-position-vertical-relative:paragraph;z-index:15766528" id="docshape154" filled="true" fillcolor="#000000" stroked="false">
            <v:fill type="solid"/>
            <w10:wrap type="none"/>
          </v:rect>
        </w:pict>
      </w:r>
      <w:r>
        <w:rPr>
          <w:b/>
          <w:color w:val="3C5A8B"/>
          <w:sz w:val="20"/>
        </w:rPr>
        <w:t>Low</w:t>
      </w:r>
      <w:r>
        <w:rPr>
          <w:b/>
          <w:color w:val="3C5A8B"/>
          <w:spacing w:val="-14"/>
          <w:sz w:val="20"/>
        </w:rPr>
        <w:t> </w:t>
      </w:r>
      <w:r>
        <w:rPr>
          <w:b/>
          <w:color w:val="3C5A8B"/>
          <w:sz w:val="20"/>
        </w:rPr>
        <w:t>to</w:t>
      </w:r>
      <w:r>
        <w:rPr>
          <w:b/>
          <w:color w:val="3C5A8B"/>
          <w:spacing w:val="-14"/>
          <w:sz w:val="20"/>
        </w:rPr>
        <w:t> </w:t>
      </w:r>
      <w:r>
        <w:rPr>
          <w:b/>
          <w:color w:val="3C5A8B"/>
          <w:sz w:val="20"/>
        </w:rPr>
        <w:t>moderate</w:t>
      </w:r>
      <w:r>
        <w:rPr>
          <w:b/>
          <w:color w:val="3C5A8B"/>
          <w:spacing w:val="-14"/>
          <w:sz w:val="20"/>
        </w:rPr>
        <w:t> </w:t>
      </w:r>
      <w:r>
        <w:rPr>
          <w:b/>
          <w:color w:val="3C5A8B"/>
          <w:sz w:val="20"/>
        </w:rPr>
        <w:t>impact </w:t>
      </w:r>
      <w:r>
        <w:rPr>
          <w:sz w:val="20"/>
        </w:rPr>
        <w:t>on residual risk exposure until resolved.</w:t>
      </w:r>
    </w:p>
    <w:p>
      <w:pPr>
        <w:pStyle w:val="BodyText"/>
        <w:spacing w:before="8"/>
        <w:rPr>
          <w:sz w:val="20"/>
        </w:rPr>
      </w:pPr>
    </w:p>
    <w:p>
      <w:pPr>
        <w:pStyle w:val="Heading8"/>
        <w:spacing w:before="1"/>
        <w:ind w:left="5139"/>
        <w:rPr>
          <w:rFonts w:ascii="Verdana"/>
          <w:sz w:val="18"/>
        </w:rPr>
      </w:pPr>
      <w:r>
        <w:rPr>
          <w:rFonts w:ascii="Verdana"/>
          <w:color w:val="3C5A8B"/>
        </w:rPr>
        <w:t>Assurance</w:t>
      </w:r>
      <w:r>
        <w:rPr>
          <w:rFonts w:ascii="Verdana"/>
          <w:color w:val="3C5A8B"/>
          <w:spacing w:val="-3"/>
        </w:rPr>
        <w:t> </w:t>
      </w:r>
      <w:r>
        <w:rPr>
          <w:rFonts w:ascii="Verdana"/>
          <w:color w:val="3C5A8B"/>
          <w:spacing w:val="-2"/>
        </w:rPr>
        <w:t>summary</w:t>
      </w:r>
      <w:r>
        <w:rPr>
          <w:rFonts w:ascii="Verdana"/>
          <w:color w:val="3C5A8B"/>
          <w:spacing w:val="-2"/>
          <w:position w:val="10"/>
          <w:sz w:val="18"/>
        </w:rPr>
        <w:t>1</w:t>
      </w:r>
    </w:p>
    <w:p>
      <w:pPr>
        <w:spacing w:line="240" w:lineRule="auto" w:before="0"/>
        <w:rPr>
          <w:sz w:val="24"/>
        </w:rPr>
      </w:pPr>
      <w:r>
        <w:rPr/>
        <w:br w:type="column"/>
      </w:r>
      <w:r>
        <w:rPr>
          <w:sz w:val="24"/>
        </w:rPr>
      </w:r>
    </w:p>
    <w:p>
      <w:pPr>
        <w:pStyle w:val="BodyText"/>
      </w:pPr>
    </w:p>
    <w:p>
      <w:pPr>
        <w:pStyle w:val="BodyText"/>
        <w:spacing w:before="1"/>
        <w:rPr>
          <w:sz w:val="32"/>
        </w:rPr>
      </w:pPr>
    </w:p>
    <w:p>
      <w:pPr>
        <w:spacing w:before="1"/>
        <w:ind w:left="457" w:right="1200" w:firstLine="0"/>
        <w:jc w:val="center"/>
        <w:rPr>
          <w:sz w:val="20"/>
        </w:rPr>
      </w:pPr>
      <w:r>
        <w:rPr>
          <w:spacing w:val="-2"/>
          <w:sz w:val="20"/>
        </w:rPr>
        <w:t>Trend</w:t>
      </w:r>
    </w:p>
    <w:p>
      <w:pPr>
        <w:pStyle w:val="BodyText"/>
        <w:spacing w:before="11"/>
        <w:rPr>
          <w:sz w:val="27"/>
        </w:rPr>
      </w:pPr>
    </w:p>
    <w:p>
      <w:pPr>
        <w:spacing w:before="1"/>
        <w:ind w:left="455" w:right="1200" w:firstLine="0"/>
        <w:jc w:val="center"/>
        <w:rPr>
          <w:sz w:val="20"/>
        </w:rPr>
      </w:pPr>
      <w:r>
        <w:rPr>
          <w:spacing w:val="-5"/>
          <w:sz w:val="20"/>
        </w:rPr>
        <w:t>N/A</w:t>
      </w:r>
    </w:p>
    <w:p>
      <w:pPr>
        <w:spacing w:before="121"/>
        <w:ind w:left="403" w:right="1146" w:hanging="2"/>
        <w:jc w:val="center"/>
        <w:rPr>
          <w:sz w:val="20"/>
        </w:rPr>
      </w:pPr>
      <w:r>
        <w:rPr>
          <w:spacing w:val="-2"/>
          <w:sz w:val="20"/>
        </w:rPr>
        <w:t>First Review (Glan Clwyd)</w:t>
      </w:r>
    </w:p>
    <w:p>
      <w:pPr>
        <w:spacing w:after="0"/>
        <w:jc w:val="center"/>
        <w:rPr>
          <w:sz w:val="20"/>
        </w:rPr>
        <w:sectPr>
          <w:type w:val="continuous"/>
          <w:pgSz w:w="11910" w:h="16840"/>
          <w:pgMar w:header="0" w:footer="0" w:top="740" w:bottom="280" w:left="0" w:right="0"/>
          <w:cols w:num="2" w:equalWidth="0">
            <w:col w:w="9603" w:space="40"/>
            <w:col w:w="2267"/>
          </w:cols>
        </w:sectPr>
      </w:pPr>
    </w:p>
    <w:p>
      <w:pPr>
        <w:tabs>
          <w:tab w:pos="9894" w:val="left" w:leader="none"/>
        </w:tabs>
        <w:spacing w:before="179" w:after="59"/>
        <w:ind w:left="5247" w:right="0" w:firstLine="0"/>
        <w:jc w:val="left"/>
        <w:rPr>
          <w:sz w:val="20"/>
        </w:rPr>
      </w:pPr>
      <w:r>
        <w:rPr>
          <w:color w:val="3C5A8B"/>
          <w:sz w:val="20"/>
        </w:rPr>
        <w:t>Assurance</w:t>
      </w:r>
      <w:r>
        <w:rPr>
          <w:color w:val="3C5A8B"/>
          <w:spacing w:val="-10"/>
          <w:sz w:val="20"/>
        </w:rPr>
        <w:t> </w:t>
      </w:r>
      <w:r>
        <w:rPr>
          <w:color w:val="3C5A8B"/>
          <w:spacing w:val="-2"/>
          <w:sz w:val="20"/>
        </w:rPr>
        <w:t>objectives</w:t>
      </w:r>
      <w:r>
        <w:rPr>
          <w:color w:val="3C5A8B"/>
          <w:sz w:val="20"/>
        </w:rPr>
        <w:tab/>
      </w:r>
      <w:r>
        <w:rPr>
          <w:color w:val="3C5A8B"/>
          <w:spacing w:val="-2"/>
          <w:sz w:val="20"/>
        </w:rPr>
        <w:t>Assurance</w:t>
      </w:r>
    </w:p>
    <w:tbl>
      <w:tblPr>
        <w:tblW w:w="0" w:type="auto"/>
        <w:jc w:val="left"/>
        <w:tblInd w:w="51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587"/>
        <w:gridCol w:w="1365"/>
      </w:tblGrid>
      <w:tr>
        <w:trPr>
          <w:trHeight w:val="484" w:hRule="atLeast"/>
        </w:trPr>
        <w:tc>
          <w:tcPr>
            <w:tcW w:w="4587" w:type="dxa"/>
            <w:tcBorders>
              <w:top w:val="single" w:sz="4" w:space="0" w:color="000000"/>
              <w:bottom w:val="dashSmallGap" w:sz="4" w:space="0" w:color="000000"/>
            </w:tcBorders>
          </w:tcPr>
          <w:p>
            <w:pPr>
              <w:pStyle w:val="TableParagraph"/>
              <w:tabs>
                <w:tab w:pos="451" w:val="left" w:leader="none"/>
              </w:tabs>
              <w:spacing w:before="120"/>
              <w:ind w:left="107"/>
              <w:rPr>
                <w:sz w:val="20"/>
              </w:rPr>
            </w:pPr>
            <w:r>
              <w:rPr>
                <w:spacing w:val="-10"/>
                <w:sz w:val="20"/>
              </w:rPr>
              <w:t>1</w:t>
            </w:r>
            <w:r>
              <w:rPr>
                <w:sz w:val="20"/>
              </w:rPr>
              <w:tab/>
              <w:t>Business</w:t>
            </w:r>
            <w:r>
              <w:rPr>
                <w:spacing w:val="-10"/>
                <w:sz w:val="20"/>
              </w:rPr>
              <w:t> </w:t>
            </w:r>
            <w:r>
              <w:rPr>
                <w:spacing w:val="-2"/>
                <w:sz w:val="20"/>
              </w:rPr>
              <w:t>Continuity</w:t>
            </w:r>
          </w:p>
        </w:tc>
        <w:tc>
          <w:tcPr>
            <w:tcW w:w="1365" w:type="dxa"/>
            <w:tcBorders>
              <w:top w:val="single" w:sz="4" w:space="0" w:color="000000"/>
              <w:bottom w:val="dashSmallGap" w:sz="4" w:space="0" w:color="000000"/>
            </w:tcBorders>
            <w:shd w:val="clear" w:color="auto" w:fill="92D050"/>
          </w:tcPr>
          <w:p>
            <w:pPr>
              <w:pStyle w:val="TableParagraph"/>
              <w:spacing w:before="120"/>
              <w:ind w:left="97" w:right="95"/>
              <w:jc w:val="center"/>
              <w:rPr>
                <w:sz w:val="20"/>
              </w:rPr>
            </w:pPr>
            <w:r>
              <w:rPr>
                <w:spacing w:val="-2"/>
                <w:sz w:val="20"/>
              </w:rPr>
              <w:t>Substantial</w:t>
            </w:r>
          </w:p>
        </w:tc>
      </w:tr>
      <w:tr>
        <w:trPr>
          <w:trHeight w:val="482" w:hRule="atLeast"/>
        </w:trPr>
        <w:tc>
          <w:tcPr>
            <w:tcW w:w="4587" w:type="dxa"/>
            <w:tcBorders>
              <w:top w:val="dashSmallGap" w:sz="4" w:space="0" w:color="000000"/>
              <w:bottom w:val="dashSmallGap" w:sz="4" w:space="0" w:color="000000"/>
            </w:tcBorders>
          </w:tcPr>
          <w:p>
            <w:pPr>
              <w:pStyle w:val="TableParagraph"/>
              <w:tabs>
                <w:tab w:pos="451" w:val="left" w:leader="none"/>
              </w:tabs>
              <w:spacing w:before="120"/>
              <w:ind w:left="107"/>
              <w:rPr>
                <w:sz w:val="20"/>
              </w:rPr>
            </w:pPr>
            <w:r>
              <w:rPr>
                <w:spacing w:val="-10"/>
                <w:sz w:val="20"/>
              </w:rPr>
              <w:t>2</w:t>
            </w:r>
            <w:r>
              <w:rPr>
                <w:sz w:val="20"/>
              </w:rPr>
              <w:tab/>
              <w:t>Physical</w:t>
            </w:r>
            <w:r>
              <w:rPr>
                <w:spacing w:val="-11"/>
                <w:sz w:val="20"/>
              </w:rPr>
              <w:t> </w:t>
            </w:r>
            <w:r>
              <w:rPr>
                <w:spacing w:val="-2"/>
                <w:sz w:val="20"/>
              </w:rPr>
              <w:t>Security</w:t>
            </w:r>
          </w:p>
        </w:tc>
        <w:tc>
          <w:tcPr>
            <w:tcW w:w="1365" w:type="dxa"/>
            <w:tcBorders>
              <w:top w:val="dashSmallGap" w:sz="4" w:space="0" w:color="000000"/>
              <w:bottom w:val="dashSmallGap" w:sz="4" w:space="0" w:color="000000"/>
            </w:tcBorders>
            <w:shd w:val="clear" w:color="auto" w:fill="FFC000"/>
          </w:tcPr>
          <w:p>
            <w:pPr>
              <w:pStyle w:val="TableParagraph"/>
              <w:spacing w:before="120"/>
              <w:ind w:left="95" w:right="97"/>
              <w:jc w:val="center"/>
              <w:rPr>
                <w:sz w:val="20"/>
              </w:rPr>
            </w:pPr>
            <w:r>
              <w:rPr>
                <w:spacing w:val="-2"/>
                <w:sz w:val="20"/>
              </w:rPr>
              <w:t>Limited</w:t>
            </w:r>
          </w:p>
        </w:tc>
      </w:tr>
      <w:tr>
        <w:trPr>
          <w:trHeight w:val="482" w:hRule="atLeast"/>
        </w:trPr>
        <w:tc>
          <w:tcPr>
            <w:tcW w:w="4587" w:type="dxa"/>
            <w:tcBorders>
              <w:top w:val="dashSmallGap" w:sz="4" w:space="0" w:color="000000"/>
              <w:bottom w:val="dashSmallGap" w:sz="4" w:space="0" w:color="000000"/>
            </w:tcBorders>
          </w:tcPr>
          <w:p>
            <w:pPr>
              <w:pStyle w:val="TableParagraph"/>
              <w:tabs>
                <w:tab w:pos="451" w:val="left" w:leader="none"/>
              </w:tabs>
              <w:spacing w:before="120"/>
              <w:ind w:left="107"/>
              <w:rPr>
                <w:sz w:val="20"/>
              </w:rPr>
            </w:pPr>
            <w:r>
              <w:rPr>
                <w:spacing w:val="-10"/>
                <w:sz w:val="20"/>
              </w:rPr>
              <w:t>3</w:t>
            </w:r>
            <w:r>
              <w:rPr>
                <w:sz w:val="20"/>
              </w:rPr>
              <w:tab/>
              <w:t>Plant</w:t>
            </w:r>
            <w:r>
              <w:rPr>
                <w:spacing w:val="-6"/>
                <w:sz w:val="20"/>
              </w:rPr>
              <w:t> </w:t>
            </w:r>
            <w:r>
              <w:rPr>
                <w:sz w:val="20"/>
              </w:rPr>
              <w:t>&amp;</w:t>
            </w:r>
            <w:r>
              <w:rPr>
                <w:spacing w:val="-7"/>
                <w:sz w:val="20"/>
              </w:rPr>
              <w:t> </w:t>
            </w:r>
            <w:r>
              <w:rPr>
                <w:sz w:val="20"/>
              </w:rPr>
              <w:t>Equipment</w:t>
            </w:r>
            <w:r>
              <w:rPr>
                <w:spacing w:val="-5"/>
                <w:sz w:val="20"/>
              </w:rPr>
              <w:t> </w:t>
            </w:r>
            <w:r>
              <w:rPr>
                <w:spacing w:val="-2"/>
                <w:sz w:val="20"/>
              </w:rPr>
              <w:t>Records</w:t>
            </w:r>
          </w:p>
        </w:tc>
        <w:tc>
          <w:tcPr>
            <w:tcW w:w="1365" w:type="dxa"/>
            <w:tcBorders>
              <w:top w:val="dashSmallGap" w:sz="4" w:space="0" w:color="000000"/>
              <w:bottom w:val="dashSmallGap" w:sz="4" w:space="0" w:color="000000"/>
            </w:tcBorders>
            <w:shd w:val="clear" w:color="auto" w:fill="FFFF00"/>
          </w:tcPr>
          <w:p>
            <w:pPr>
              <w:pStyle w:val="TableParagraph"/>
              <w:spacing w:before="120"/>
              <w:ind w:left="97" w:right="97"/>
              <w:jc w:val="center"/>
              <w:rPr>
                <w:sz w:val="20"/>
              </w:rPr>
            </w:pPr>
            <w:r>
              <w:rPr>
                <w:spacing w:val="-2"/>
                <w:sz w:val="20"/>
              </w:rPr>
              <w:t>Reasonable</w:t>
            </w:r>
          </w:p>
        </w:tc>
      </w:tr>
      <w:tr>
        <w:trPr>
          <w:trHeight w:val="484" w:hRule="atLeast"/>
        </w:trPr>
        <w:tc>
          <w:tcPr>
            <w:tcW w:w="4587" w:type="dxa"/>
            <w:tcBorders>
              <w:top w:val="dashSmallGap" w:sz="4" w:space="0" w:color="000000"/>
              <w:bottom w:val="dashSmallGap" w:sz="4" w:space="0" w:color="000000"/>
            </w:tcBorders>
          </w:tcPr>
          <w:p>
            <w:pPr>
              <w:pStyle w:val="TableParagraph"/>
              <w:tabs>
                <w:tab w:pos="451" w:val="left" w:leader="none"/>
              </w:tabs>
              <w:spacing w:before="122"/>
              <w:ind w:left="107"/>
              <w:rPr>
                <w:sz w:val="20"/>
              </w:rPr>
            </w:pPr>
            <w:r>
              <w:rPr>
                <w:spacing w:val="-10"/>
                <w:sz w:val="20"/>
              </w:rPr>
              <w:t>4</w:t>
            </w:r>
            <w:r>
              <w:rPr>
                <w:sz w:val="20"/>
              </w:rPr>
              <w:tab/>
              <w:t>Stock</w:t>
            </w:r>
            <w:r>
              <w:rPr>
                <w:spacing w:val="-6"/>
                <w:sz w:val="20"/>
              </w:rPr>
              <w:t> </w:t>
            </w:r>
            <w:r>
              <w:rPr>
                <w:spacing w:val="-2"/>
                <w:sz w:val="20"/>
              </w:rPr>
              <w:t>Traceability</w:t>
            </w:r>
          </w:p>
        </w:tc>
        <w:tc>
          <w:tcPr>
            <w:tcW w:w="1365" w:type="dxa"/>
            <w:tcBorders>
              <w:top w:val="dashSmallGap" w:sz="4" w:space="0" w:color="000000"/>
              <w:bottom w:val="dashSmallGap" w:sz="4" w:space="0" w:color="000000"/>
            </w:tcBorders>
            <w:shd w:val="clear" w:color="auto" w:fill="FFFF00"/>
          </w:tcPr>
          <w:p>
            <w:pPr>
              <w:pStyle w:val="TableParagraph"/>
              <w:spacing w:before="122"/>
              <w:ind w:left="97" w:right="97"/>
              <w:jc w:val="center"/>
              <w:rPr>
                <w:sz w:val="20"/>
              </w:rPr>
            </w:pPr>
            <w:r>
              <w:rPr>
                <w:spacing w:val="-2"/>
                <w:sz w:val="20"/>
              </w:rPr>
              <w:t>Reasonable</w:t>
            </w:r>
          </w:p>
        </w:tc>
      </w:tr>
      <w:tr>
        <w:trPr>
          <w:trHeight w:val="482" w:hRule="atLeast"/>
        </w:trPr>
        <w:tc>
          <w:tcPr>
            <w:tcW w:w="4587" w:type="dxa"/>
            <w:tcBorders>
              <w:top w:val="dashSmallGap" w:sz="4" w:space="0" w:color="000000"/>
              <w:bottom w:val="dashSmallGap" w:sz="4" w:space="0" w:color="000000"/>
            </w:tcBorders>
          </w:tcPr>
          <w:p>
            <w:pPr>
              <w:pStyle w:val="TableParagraph"/>
              <w:tabs>
                <w:tab w:pos="451" w:val="left" w:leader="none"/>
              </w:tabs>
              <w:spacing w:before="120"/>
              <w:ind w:left="107"/>
              <w:rPr>
                <w:sz w:val="20"/>
              </w:rPr>
            </w:pPr>
            <w:r>
              <w:rPr>
                <w:spacing w:val="-10"/>
                <w:sz w:val="20"/>
              </w:rPr>
              <w:t>5</w:t>
            </w:r>
            <w:r>
              <w:rPr>
                <w:sz w:val="20"/>
              </w:rPr>
              <w:tab/>
              <w:t>Recording</w:t>
            </w:r>
            <w:r>
              <w:rPr>
                <w:spacing w:val="-10"/>
                <w:sz w:val="20"/>
              </w:rPr>
              <w:t> </w:t>
            </w:r>
            <w:r>
              <w:rPr>
                <w:sz w:val="20"/>
              </w:rPr>
              <w:t>Laundry</w:t>
            </w:r>
            <w:r>
              <w:rPr>
                <w:spacing w:val="-10"/>
                <w:sz w:val="20"/>
              </w:rPr>
              <w:t> </w:t>
            </w:r>
            <w:r>
              <w:rPr>
                <w:spacing w:val="-2"/>
                <w:sz w:val="20"/>
              </w:rPr>
              <w:t>Activity</w:t>
            </w:r>
          </w:p>
        </w:tc>
        <w:tc>
          <w:tcPr>
            <w:tcW w:w="1365" w:type="dxa"/>
            <w:tcBorders>
              <w:top w:val="dashSmallGap" w:sz="4" w:space="0" w:color="000000"/>
              <w:bottom w:val="dashSmallGap" w:sz="4" w:space="0" w:color="000000"/>
            </w:tcBorders>
            <w:shd w:val="clear" w:color="auto" w:fill="FFFF00"/>
          </w:tcPr>
          <w:p>
            <w:pPr>
              <w:pStyle w:val="TableParagraph"/>
              <w:spacing w:before="120"/>
              <w:ind w:left="97" w:right="97"/>
              <w:jc w:val="center"/>
              <w:rPr>
                <w:sz w:val="20"/>
              </w:rPr>
            </w:pPr>
            <w:r>
              <w:rPr>
                <w:spacing w:val="-2"/>
                <w:sz w:val="20"/>
              </w:rPr>
              <w:t>Reasonable</w:t>
            </w:r>
          </w:p>
        </w:tc>
      </w:tr>
    </w:tbl>
    <w:p>
      <w:pPr>
        <w:tabs>
          <w:tab w:pos="5590" w:val="left" w:leader="none"/>
          <w:tab w:pos="10240" w:val="left" w:leader="none"/>
        </w:tabs>
        <w:spacing w:before="123"/>
        <w:ind w:left="5247" w:right="0" w:firstLine="0"/>
        <w:jc w:val="left"/>
        <w:rPr>
          <w:sz w:val="20"/>
        </w:rPr>
      </w:pPr>
      <w:r>
        <w:rPr>
          <w:spacing w:val="-10"/>
          <w:sz w:val="20"/>
        </w:rPr>
        <w:t>6</w:t>
      </w:r>
      <w:r>
        <w:rPr>
          <w:sz w:val="20"/>
        </w:rPr>
        <w:tab/>
        <w:t>Non-NHS</w:t>
      </w:r>
      <w:r>
        <w:rPr>
          <w:spacing w:val="-10"/>
          <w:sz w:val="20"/>
        </w:rPr>
        <w:t> </w:t>
      </w:r>
      <w:r>
        <w:rPr>
          <w:spacing w:val="-2"/>
          <w:sz w:val="20"/>
        </w:rPr>
        <w:t>Activity</w:t>
      </w:r>
      <w:r>
        <w:rPr>
          <w:sz w:val="20"/>
        </w:rPr>
        <w:tab/>
      </w:r>
      <w:r>
        <w:rPr>
          <w:spacing w:val="-5"/>
          <w:sz w:val="20"/>
        </w:rPr>
        <w:t>n/a</w:t>
      </w:r>
    </w:p>
    <w:p>
      <w:pPr>
        <w:pStyle w:val="BodyText"/>
        <w:spacing w:before="9"/>
        <w:rPr>
          <w:sz w:val="9"/>
        </w:rPr>
      </w:pPr>
    </w:p>
    <w:tbl>
      <w:tblPr>
        <w:tblW w:w="0" w:type="auto"/>
        <w:jc w:val="left"/>
        <w:tblInd w:w="51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57"/>
        <w:gridCol w:w="1009"/>
        <w:gridCol w:w="3235"/>
        <w:gridCol w:w="1365"/>
      </w:tblGrid>
      <w:tr>
        <w:trPr>
          <w:trHeight w:val="482" w:hRule="atLeast"/>
        </w:trPr>
        <w:tc>
          <w:tcPr>
            <w:tcW w:w="357" w:type="dxa"/>
            <w:tcBorders>
              <w:top w:val="dashSmallGap" w:sz="4" w:space="0" w:color="000000"/>
              <w:bottom w:val="dashSmallGap" w:sz="4" w:space="0" w:color="000000"/>
            </w:tcBorders>
          </w:tcPr>
          <w:p>
            <w:pPr>
              <w:pStyle w:val="TableParagraph"/>
              <w:spacing w:before="120"/>
              <w:ind w:left="14"/>
              <w:jc w:val="center"/>
              <w:rPr>
                <w:sz w:val="20"/>
              </w:rPr>
            </w:pPr>
            <w:r>
              <w:rPr>
                <w:w w:val="99"/>
                <w:sz w:val="20"/>
              </w:rPr>
              <w:t>7</w:t>
            </w:r>
          </w:p>
        </w:tc>
        <w:tc>
          <w:tcPr>
            <w:tcW w:w="4244" w:type="dxa"/>
            <w:gridSpan w:val="2"/>
            <w:tcBorders>
              <w:top w:val="dashSmallGap" w:sz="4" w:space="0" w:color="000000"/>
              <w:bottom w:val="dashSmallGap" w:sz="4" w:space="0" w:color="000000"/>
            </w:tcBorders>
          </w:tcPr>
          <w:p>
            <w:pPr>
              <w:pStyle w:val="TableParagraph"/>
              <w:spacing w:before="120"/>
              <w:ind w:left="108"/>
              <w:rPr>
                <w:sz w:val="20"/>
              </w:rPr>
            </w:pPr>
            <w:r>
              <w:rPr>
                <w:sz w:val="20"/>
              </w:rPr>
              <w:t>Time</w:t>
            </w:r>
            <w:r>
              <w:rPr>
                <w:spacing w:val="-3"/>
                <w:sz w:val="20"/>
              </w:rPr>
              <w:t> </w:t>
            </w:r>
            <w:r>
              <w:rPr>
                <w:sz w:val="20"/>
              </w:rPr>
              <w:t>&amp;</w:t>
            </w:r>
            <w:r>
              <w:rPr>
                <w:spacing w:val="-5"/>
                <w:sz w:val="20"/>
              </w:rPr>
              <w:t> </w:t>
            </w:r>
            <w:r>
              <w:rPr>
                <w:spacing w:val="-2"/>
                <w:sz w:val="20"/>
              </w:rPr>
              <w:t>Attendance</w:t>
            </w:r>
          </w:p>
        </w:tc>
        <w:tc>
          <w:tcPr>
            <w:tcW w:w="1365" w:type="dxa"/>
            <w:tcBorders>
              <w:top w:val="dashSmallGap" w:sz="4" w:space="0" w:color="000000"/>
              <w:bottom w:val="dashSmallGap" w:sz="4" w:space="0" w:color="000000"/>
            </w:tcBorders>
            <w:shd w:val="clear" w:color="auto" w:fill="92D050"/>
          </w:tcPr>
          <w:p>
            <w:pPr>
              <w:pStyle w:val="TableParagraph"/>
              <w:spacing w:before="120"/>
              <w:ind w:left="120"/>
              <w:rPr>
                <w:sz w:val="20"/>
              </w:rPr>
            </w:pPr>
            <w:r>
              <w:rPr>
                <w:spacing w:val="-2"/>
                <w:sz w:val="20"/>
              </w:rPr>
              <w:t>Substantial</w:t>
            </w:r>
          </w:p>
        </w:tc>
      </w:tr>
      <w:tr>
        <w:trPr>
          <w:trHeight w:val="484" w:hRule="atLeast"/>
        </w:trPr>
        <w:tc>
          <w:tcPr>
            <w:tcW w:w="357" w:type="dxa"/>
            <w:tcBorders>
              <w:top w:val="dashSmallGap" w:sz="4" w:space="0" w:color="000000"/>
              <w:bottom w:val="dashSmallGap" w:sz="4" w:space="0" w:color="000000"/>
            </w:tcBorders>
          </w:tcPr>
          <w:p>
            <w:pPr>
              <w:pStyle w:val="TableParagraph"/>
              <w:spacing w:before="120"/>
              <w:ind w:left="14"/>
              <w:jc w:val="center"/>
              <w:rPr>
                <w:sz w:val="20"/>
              </w:rPr>
            </w:pPr>
            <w:r>
              <w:rPr>
                <w:w w:val="99"/>
                <w:sz w:val="20"/>
              </w:rPr>
              <w:t>8</w:t>
            </w:r>
          </w:p>
        </w:tc>
        <w:tc>
          <w:tcPr>
            <w:tcW w:w="1009" w:type="dxa"/>
            <w:tcBorders>
              <w:top w:val="dashSmallGap" w:sz="4" w:space="0" w:color="000000"/>
              <w:bottom w:val="dashSmallGap" w:sz="4" w:space="0" w:color="000000"/>
            </w:tcBorders>
          </w:tcPr>
          <w:p>
            <w:pPr>
              <w:pStyle w:val="TableParagraph"/>
              <w:spacing w:before="120"/>
              <w:ind w:left="108"/>
              <w:rPr>
                <w:sz w:val="20"/>
              </w:rPr>
            </w:pPr>
            <w:r>
              <w:rPr>
                <w:spacing w:val="-2"/>
                <w:sz w:val="20"/>
              </w:rPr>
              <w:t>Sickness</w:t>
            </w:r>
          </w:p>
        </w:tc>
        <w:tc>
          <w:tcPr>
            <w:tcW w:w="3235" w:type="dxa"/>
            <w:tcBorders>
              <w:top w:val="dashSmallGap" w:sz="4" w:space="0" w:color="000000"/>
              <w:bottom w:val="dashSmallGap" w:sz="4" w:space="0" w:color="000000"/>
            </w:tcBorders>
          </w:tcPr>
          <w:p>
            <w:pPr>
              <w:pStyle w:val="TableParagraph"/>
              <w:spacing w:before="120"/>
              <w:ind w:left="34"/>
              <w:rPr>
                <w:sz w:val="20"/>
              </w:rPr>
            </w:pPr>
            <w:r>
              <w:rPr>
                <w:spacing w:val="-2"/>
                <w:sz w:val="20"/>
              </w:rPr>
              <w:t>Absence</w:t>
            </w:r>
          </w:p>
        </w:tc>
        <w:tc>
          <w:tcPr>
            <w:tcW w:w="1365" w:type="dxa"/>
            <w:tcBorders>
              <w:top w:val="dashSmallGap" w:sz="4" w:space="0" w:color="000000"/>
              <w:bottom w:val="dashSmallGap" w:sz="4" w:space="0" w:color="000000"/>
            </w:tcBorders>
            <w:shd w:val="clear" w:color="auto" w:fill="FFFF00"/>
          </w:tcPr>
          <w:p>
            <w:pPr>
              <w:pStyle w:val="TableParagraph"/>
              <w:spacing w:before="120"/>
              <w:ind w:left="108"/>
              <w:rPr>
                <w:sz w:val="20"/>
              </w:rPr>
            </w:pPr>
            <w:r>
              <w:rPr>
                <w:spacing w:val="-2"/>
                <w:sz w:val="20"/>
              </w:rPr>
              <w:t>Reasonable</w:t>
            </w:r>
          </w:p>
        </w:tc>
      </w:tr>
      <w:tr>
        <w:trPr>
          <w:trHeight w:val="482" w:hRule="atLeast"/>
        </w:trPr>
        <w:tc>
          <w:tcPr>
            <w:tcW w:w="357" w:type="dxa"/>
            <w:tcBorders>
              <w:top w:val="dashSmallGap" w:sz="4" w:space="0" w:color="000000"/>
              <w:bottom w:val="single" w:sz="4" w:space="0" w:color="000000"/>
            </w:tcBorders>
          </w:tcPr>
          <w:p>
            <w:pPr>
              <w:pStyle w:val="TableParagraph"/>
              <w:spacing w:before="120"/>
              <w:ind w:left="14"/>
              <w:jc w:val="center"/>
              <w:rPr>
                <w:sz w:val="20"/>
              </w:rPr>
            </w:pPr>
            <w:r>
              <w:rPr>
                <w:w w:val="99"/>
                <w:sz w:val="20"/>
              </w:rPr>
              <w:t>9</w:t>
            </w:r>
          </w:p>
        </w:tc>
        <w:tc>
          <w:tcPr>
            <w:tcW w:w="4244" w:type="dxa"/>
            <w:gridSpan w:val="2"/>
            <w:tcBorders>
              <w:top w:val="dashSmallGap" w:sz="4" w:space="0" w:color="000000"/>
              <w:bottom w:val="single" w:sz="4" w:space="0" w:color="000000"/>
            </w:tcBorders>
          </w:tcPr>
          <w:p>
            <w:pPr>
              <w:pStyle w:val="TableParagraph"/>
              <w:spacing w:before="120"/>
              <w:ind w:left="108"/>
              <w:rPr>
                <w:sz w:val="20"/>
              </w:rPr>
            </w:pPr>
            <w:r>
              <w:rPr>
                <w:spacing w:val="-2"/>
                <w:sz w:val="20"/>
              </w:rPr>
              <w:t>PADRs</w:t>
            </w:r>
          </w:p>
        </w:tc>
        <w:tc>
          <w:tcPr>
            <w:tcW w:w="1365" w:type="dxa"/>
            <w:tcBorders>
              <w:top w:val="dashSmallGap" w:sz="4" w:space="0" w:color="000000"/>
              <w:bottom w:val="single" w:sz="4" w:space="0" w:color="000000"/>
            </w:tcBorders>
            <w:shd w:val="clear" w:color="auto" w:fill="FFFF00"/>
          </w:tcPr>
          <w:p>
            <w:pPr>
              <w:pStyle w:val="TableParagraph"/>
              <w:spacing w:before="120"/>
              <w:ind w:left="108"/>
              <w:rPr>
                <w:sz w:val="20"/>
              </w:rPr>
            </w:pPr>
            <w:r>
              <w:rPr>
                <w:spacing w:val="-2"/>
                <w:sz w:val="20"/>
              </w:rPr>
              <w:t>Reasonable</w:t>
            </w:r>
          </w:p>
        </w:tc>
      </w:tr>
    </w:tbl>
    <w:p>
      <w:pPr>
        <w:spacing w:after="0"/>
        <w:rPr>
          <w:sz w:val="20"/>
        </w:rPr>
        <w:sectPr>
          <w:type w:val="continuous"/>
          <w:pgSz w:w="11910" w:h="16840"/>
          <w:pgMar w:header="0" w:footer="0" w:top="740" w:bottom="280" w:left="0" w:right="0"/>
        </w:sectPr>
      </w:pPr>
    </w:p>
    <w:p>
      <w:pPr>
        <w:pStyle w:val="Heading8"/>
        <w:spacing w:before="256"/>
        <w:ind w:left="816"/>
        <w:rPr>
          <w:rFonts w:ascii="Verdana"/>
        </w:rPr>
      </w:pPr>
      <w:r>
        <w:rPr>
          <w:rFonts w:ascii="Verdana"/>
          <w:color w:val="3C5A8B"/>
        </w:rPr>
        <w:t>Key</w:t>
      </w:r>
      <w:r>
        <w:rPr>
          <w:rFonts w:ascii="Verdana"/>
          <w:color w:val="3C5A8B"/>
          <w:spacing w:val="-2"/>
        </w:rPr>
        <w:t> </w:t>
      </w:r>
      <w:r>
        <w:rPr>
          <w:rFonts w:ascii="Verdana"/>
          <w:color w:val="3C5A8B"/>
        </w:rPr>
        <w:t>Matters</w:t>
      </w:r>
      <w:r>
        <w:rPr>
          <w:rFonts w:ascii="Verdana"/>
          <w:color w:val="3C5A8B"/>
          <w:spacing w:val="-2"/>
        </w:rPr>
        <w:t> Arising</w:t>
      </w:r>
    </w:p>
    <w:p>
      <w:pPr>
        <w:spacing w:before="183"/>
        <w:ind w:left="856" w:right="-3" w:hanging="41"/>
        <w:jc w:val="left"/>
        <w:rPr>
          <w:sz w:val="20"/>
        </w:rPr>
      </w:pPr>
      <w:r>
        <w:rPr/>
        <w:br w:type="column"/>
      </w:r>
      <w:r>
        <w:rPr>
          <w:color w:val="3C5A8B"/>
          <w:spacing w:val="-2"/>
          <w:sz w:val="20"/>
        </w:rPr>
        <w:t>Assurance Objective</w:t>
      </w:r>
    </w:p>
    <w:p>
      <w:pPr>
        <w:spacing w:before="61"/>
        <w:ind w:left="259" w:right="-6" w:firstLine="132"/>
        <w:jc w:val="left"/>
        <w:rPr>
          <w:sz w:val="20"/>
        </w:rPr>
      </w:pPr>
      <w:r>
        <w:rPr/>
        <w:br w:type="column"/>
      </w:r>
      <w:r>
        <w:rPr>
          <w:color w:val="3C5A8B"/>
          <w:spacing w:val="-2"/>
          <w:sz w:val="20"/>
        </w:rPr>
        <w:t>Control </w:t>
      </w:r>
      <w:r>
        <w:rPr>
          <w:color w:val="3C5A8B"/>
          <w:sz w:val="20"/>
        </w:rPr>
        <w:t>Design</w:t>
      </w:r>
      <w:r>
        <w:rPr>
          <w:color w:val="3C5A8B"/>
          <w:spacing w:val="-16"/>
          <w:sz w:val="20"/>
        </w:rPr>
        <w:t> </w:t>
      </w:r>
      <w:r>
        <w:rPr>
          <w:color w:val="3C5A8B"/>
          <w:sz w:val="20"/>
        </w:rPr>
        <w:t>or </w:t>
      </w:r>
      <w:r>
        <w:rPr>
          <w:color w:val="3C5A8B"/>
          <w:spacing w:val="-2"/>
          <w:sz w:val="20"/>
        </w:rPr>
        <w:t>Operation</w:t>
      </w:r>
    </w:p>
    <w:p>
      <w:pPr>
        <w:spacing w:before="183"/>
        <w:ind w:left="776" w:right="162" w:hanging="512"/>
        <w:jc w:val="left"/>
        <w:rPr>
          <w:sz w:val="20"/>
        </w:rPr>
      </w:pPr>
      <w:r>
        <w:rPr/>
        <w:br w:type="column"/>
      </w:r>
      <w:r>
        <w:rPr>
          <w:color w:val="3C5A8B"/>
          <w:spacing w:val="-2"/>
          <w:sz w:val="20"/>
        </w:rPr>
        <w:t>Recommendation Priority</w:t>
      </w:r>
    </w:p>
    <w:p>
      <w:pPr>
        <w:spacing w:after="0"/>
        <w:jc w:val="left"/>
        <w:rPr>
          <w:sz w:val="20"/>
        </w:rPr>
        <w:sectPr>
          <w:type w:val="continuous"/>
          <w:pgSz w:w="11910" w:h="16840"/>
          <w:pgMar w:header="0" w:footer="0" w:top="740" w:bottom="280" w:left="0" w:right="0"/>
          <w:cols w:num="4" w:equalWidth="0">
            <w:col w:w="3600" w:space="2317"/>
            <w:col w:w="1842" w:space="40"/>
            <w:col w:w="1244" w:space="40"/>
            <w:col w:w="2827"/>
          </w:cols>
        </w:sectPr>
      </w:pPr>
    </w:p>
    <w:p>
      <w:pPr>
        <w:pStyle w:val="BodyText"/>
        <w:spacing w:before="11"/>
        <w:rPr>
          <w:sz w:val="4"/>
        </w:rPr>
      </w:pPr>
    </w:p>
    <w:tbl>
      <w:tblPr>
        <w:tblW w:w="0" w:type="auto"/>
        <w:jc w:val="left"/>
        <w:tblInd w:w="7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13"/>
        <w:gridCol w:w="3861"/>
        <w:gridCol w:w="2292"/>
        <w:gridCol w:w="1479"/>
        <w:gridCol w:w="1962"/>
      </w:tblGrid>
      <w:tr>
        <w:trPr>
          <w:trHeight w:val="364" w:hRule="atLeast"/>
        </w:trPr>
        <w:tc>
          <w:tcPr>
            <w:tcW w:w="913" w:type="dxa"/>
            <w:tcBorders>
              <w:top w:val="single" w:sz="4" w:space="0" w:color="000000"/>
              <w:bottom w:val="dashSmallGap" w:sz="4" w:space="0" w:color="000000"/>
            </w:tcBorders>
          </w:tcPr>
          <w:p>
            <w:pPr>
              <w:pStyle w:val="TableParagraph"/>
              <w:spacing w:before="60"/>
              <w:ind w:right="292"/>
              <w:jc w:val="right"/>
              <w:rPr>
                <w:sz w:val="20"/>
              </w:rPr>
            </w:pPr>
            <w:r>
              <w:rPr>
                <w:w w:val="99"/>
                <w:sz w:val="20"/>
              </w:rPr>
              <w:t>1</w:t>
            </w:r>
          </w:p>
        </w:tc>
        <w:tc>
          <w:tcPr>
            <w:tcW w:w="3861" w:type="dxa"/>
            <w:tcBorders>
              <w:top w:val="single" w:sz="4" w:space="0" w:color="000000"/>
              <w:bottom w:val="dashSmallGap" w:sz="4" w:space="0" w:color="000000"/>
            </w:tcBorders>
          </w:tcPr>
          <w:p>
            <w:pPr>
              <w:pStyle w:val="TableParagraph"/>
              <w:spacing w:before="60"/>
              <w:ind w:left="294"/>
              <w:rPr>
                <w:sz w:val="20"/>
              </w:rPr>
            </w:pPr>
            <w:r>
              <w:rPr>
                <w:sz w:val="20"/>
              </w:rPr>
              <w:t>Site</w:t>
            </w:r>
            <w:r>
              <w:rPr>
                <w:spacing w:val="-6"/>
                <w:sz w:val="20"/>
              </w:rPr>
              <w:t> </w:t>
            </w:r>
            <w:r>
              <w:rPr>
                <w:spacing w:val="-2"/>
                <w:sz w:val="20"/>
              </w:rPr>
              <w:t>Security</w:t>
            </w:r>
          </w:p>
        </w:tc>
        <w:tc>
          <w:tcPr>
            <w:tcW w:w="2292" w:type="dxa"/>
            <w:tcBorders>
              <w:top w:val="single" w:sz="4" w:space="0" w:color="000000"/>
              <w:bottom w:val="dashSmallGap" w:sz="4" w:space="0" w:color="000000"/>
            </w:tcBorders>
          </w:tcPr>
          <w:p>
            <w:pPr>
              <w:pStyle w:val="TableParagraph"/>
              <w:spacing w:before="60"/>
              <w:ind w:right="448"/>
              <w:jc w:val="right"/>
              <w:rPr>
                <w:sz w:val="20"/>
              </w:rPr>
            </w:pPr>
            <w:r>
              <w:rPr>
                <w:w w:val="99"/>
                <w:sz w:val="20"/>
              </w:rPr>
              <w:t>2</w:t>
            </w:r>
          </w:p>
        </w:tc>
        <w:tc>
          <w:tcPr>
            <w:tcW w:w="1479" w:type="dxa"/>
            <w:tcBorders>
              <w:top w:val="single" w:sz="4" w:space="0" w:color="000000"/>
              <w:bottom w:val="dashSmallGap" w:sz="4" w:space="0" w:color="000000"/>
            </w:tcBorders>
          </w:tcPr>
          <w:p>
            <w:pPr>
              <w:pStyle w:val="TableParagraph"/>
              <w:spacing w:before="60"/>
              <w:ind w:right="344"/>
              <w:jc w:val="right"/>
              <w:rPr>
                <w:sz w:val="20"/>
              </w:rPr>
            </w:pPr>
            <w:r>
              <w:rPr>
                <w:spacing w:val="-2"/>
                <w:sz w:val="20"/>
              </w:rPr>
              <w:t>Design</w:t>
            </w:r>
          </w:p>
        </w:tc>
        <w:tc>
          <w:tcPr>
            <w:tcW w:w="1962" w:type="dxa"/>
            <w:tcBorders>
              <w:top w:val="single" w:sz="4" w:space="0" w:color="000000"/>
              <w:bottom w:val="dashSmallGap" w:sz="4" w:space="0" w:color="000000"/>
            </w:tcBorders>
            <w:shd w:val="clear" w:color="auto" w:fill="FF0000"/>
          </w:tcPr>
          <w:p>
            <w:pPr>
              <w:pStyle w:val="TableParagraph"/>
              <w:spacing w:before="60"/>
              <w:ind w:left="571" w:right="572"/>
              <w:jc w:val="center"/>
              <w:rPr>
                <w:sz w:val="20"/>
              </w:rPr>
            </w:pPr>
            <w:r>
              <w:rPr>
                <w:color w:val="FFFFFF"/>
                <w:spacing w:val="-4"/>
                <w:sz w:val="20"/>
              </w:rPr>
              <w:t>High</w:t>
            </w:r>
          </w:p>
        </w:tc>
      </w:tr>
      <w:tr>
        <w:trPr>
          <w:trHeight w:val="374" w:hRule="atLeast"/>
        </w:trPr>
        <w:tc>
          <w:tcPr>
            <w:tcW w:w="913" w:type="dxa"/>
            <w:tcBorders>
              <w:top w:val="dashSmallGap" w:sz="4" w:space="0" w:color="000000"/>
              <w:bottom w:val="single" w:sz="4" w:space="0" w:color="000000"/>
            </w:tcBorders>
          </w:tcPr>
          <w:p>
            <w:pPr>
              <w:pStyle w:val="TableParagraph"/>
              <w:spacing w:before="65"/>
              <w:ind w:right="292"/>
              <w:jc w:val="right"/>
              <w:rPr>
                <w:sz w:val="20"/>
              </w:rPr>
            </w:pPr>
            <w:r>
              <w:rPr>
                <w:w w:val="99"/>
                <w:sz w:val="20"/>
              </w:rPr>
              <w:t>2</w:t>
            </w:r>
          </w:p>
        </w:tc>
        <w:tc>
          <w:tcPr>
            <w:tcW w:w="3861" w:type="dxa"/>
            <w:tcBorders>
              <w:top w:val="dashSmallGap" w:sz="4" w:space="0" w:color="000000"/>
              <w:bottom w:val="single" w:sz="4" w:space="0" w:color="000000"/>
            </w:tcBorders>
          </w:tcPr>
          <w:p>
            <w:pPr>
              <w:pStyle w:val="TableParagraph"/>
              <w:spacing w:before="60"/>
              <w:ind w:left="294"/>
              <w:rPr>
                <w:sz w:val="20"/>
              </w:rPr>
            </w:pPr>
            <w:r>
              <w:rPr>
                <w:sz w:val="20"/>
              </w:rPr>
              <w:t>ICT</w:t>
            </w:r>
            <w:r>
              <w:rPr>
                <w:spacing w:val="-6"/>
                <w:sz w:val="20"/>
              </w:rPr>
              <w:t> </w:t>
            </w:r>
            <w:r>
              <w:rPr>
                <w:sz w:val="20"/>
              </w:rPr>
              <w:t>Asset</w:t>
            </w:r>
            <w:r>
              <w:rPr>
                <w:spacing w:val="-2"/>
                <w:sz w:val="20"/>
              </w:rPr>
              <w:t> Register</w:t>
            </w:r>
          </w:p>
        </w:tc>
        <w:tc>
          <w:tcPr>
            <w:tcW w:w="2292" w:type="dxa"/>
            <w:tcBorders>
              <w:top w:val="dashSmallGap" w:sz="4" w:space="0" w:color="000000"/>
              <w:bottom w:val="single" w:sz="4" w:space="0" w:color="000000"/>
            </w:tcBorders>
          </w:tcPr>
          <w:p>
            <w:pPr>
              <w:pStyle w:val="TableParagraph"/>
              <w:spacing w:before="65"/>
              <w:ind w:right="448"/>
              <w:jc w:val="right"/>
              <w:rPr>
                <w:sz w:val="20"/>
              </w:rPr>
            </w:pPr>
            <w:r>
              <w:rPr>
                <w:w w:val="99"/>
                <w:sz w:val="20"/>
              </w:rPr>
              <w:t>3</w:t>
            </w:r>
          </w:p>
        </w:tc>
        <w:tc>
          <w:tcPr>
            <w:tcW w:w="1479" w:type="dxa"/>
            <w:tcBorders>
              <w:top w:val="dashSmallGap" w:sz="4" w:space="0" w:color="000000"/>
              <w:bottom w:val="single" w:sz="4" w:space="0" w:color="000000"/>
            </w:tcBorders>
          </w:tcPr>
          <w:p>
            <w:pPr>
              <w:pStyle w:val="TableParagraph"/>
              <w:spacing w:before="60"/>
              <w:ind w:right="344"/>
              <w:jc w:val="right"/>
              <w:rPr>
                <w:sz w:val="20"/>
              </w:rPr>
            </w:pPr>
            <w:r>
              <w:rPr>
                <w:spacing w:val="-2"/>
                <w:sz w:val="20"/>
              </w:rPr>
              <w:t>Design</w:t>
            </w:r>
          </w:p>
        </w:tc>
        <w:tc>
          <w:tcPr>
            <w:tcW w:w="1962" w:type="dxa"/>
            <w:tcBorders>
              <w:top w:val="dashSmallGap" w:sz="4" w:space="0" w:color="000000"/>
              <w:bottom w:val="single" w:sz="4" w:space="0" w:color="000000"/>
            </w:tcBorders>
            <w:shd w:val="clear" w:color="auto" w:fill="FFFF00"/>
          </w:tcPr>
          <w:p>
            <w:pPr>
              <w:pStyle w:val="TableParagraph"/>
              <w:spacing w:before="65"/>
              <w:ind w:left="572" w:right="572"/>
              <w:jc w:val="center"/>
              <w:rPr>
                <w:sz w:val="20"/>
              </w:rPr>
            </w:pPr>
            <w:r>
              <w:rPr>
                <w:spacing w:val="-2"/>
                <w:sz w:val="20"/>
              </w:rPr>
              <w:t>Medium</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r>
        <w:rPr/>
        <w:pict>
          <v:rect style="position:absolute;margin-left:35.400002pt;margin-top:11.052782pt;width:144.020pt;height:.72003pt;mso-position-horizontal-relative:page;mso-position-vertical-relative:paragraph;z-index:-15692800;mso-wrap-distance-left:0;mso-wrap-distance-right:0" id="docshape155" filled="true" fillcolor="#000000" stroked="false">
            <v:fill type="solid"/>
            <w10:wrap type="topAndBottom"/>
          </v:rect>
        </w:pict>
      </w:r>
    </w:p>
    <w:p>
      <w:pPr>
        <w:spacing w:before="102"/>
        <w:ind w:left="708" w:right="617" w:firstLine="0"/>
        <w:jc w:val="left"/>
        <w:rPr>
          <w:rFonts w:ascii="Calibri"/>
          <w:sz w:val="20"/>
        </w:rPr>
      </w:pPr>
      <w:r>
        <w:rPr>
          <w:rFonts w:ascii="Calibri"/>
          <w:sz w:val="20"/>
          <w:vertAlign w:val="superscript"/>
        </w:rPr>
        <w:t>1</w:t>
      </w:r>
      <w:r>
        <w:rPr>
          <w:rFonts w:ascii="Calibri"/>
          <w:spacing w:val="-3"/>
          <w:sz w:val="20"/>
          <w:vertAlign w:val="baseline"/>
        </w:rPr>
        <w:t> </w:t>
      </w:r>
      <w:r>
        <w:rPr>
          <w:rFonts w:ascii="Calibri"/>
          <w:sz w:val="20"/>
          <w:vertAlign w:val="baseline"/>
        </w:rPr>
        <w:t>The</w:t>
      </w:r>
      <w:r>
        <w:rPr>
          <w:rFonts w:ascii="Calibri"/>
          <w:spacing w:val="-3"/>
          <w:sz w:val="20"/>
          <w:vertAlign w:val="baseline"/>
        </w:rPr>
        <w:t> </w:t>
      </w:r>
      <w:r>
        <w:rPr>
          <w:rFonts w:ascii="Calibri"/>
          <w:sz w:val="20"/>
          <w:vertAlign w:val="baseline"/>
        </w:rPr>
        <w:t>objectives</w:t>
      </w:r>
      <w:r>
        <w:rPr>
          <w:rFonts w:ascii="Calibri"/>
          <w:spacing w:val="-2"/>
          <w:sz w:val="20"/>
          <w:vertAlign w:val="baseline"/>
        </w:rPr>
        <w:t> </w:t>
      </w:r>
      <w:r>
        <w:rPr>
          <w:rFonts w:ascii="Calibri"/>
          <w:sz w:val="20"/>
          <w:vertAlign w:val="baseline"/>
        </w:rPr>
        <w:t>and</w:t>
      </w:r>
      <w:r>
        <w:rPr>
          <w:rFonts w:ascii="Calibri"/>
          <w:spacing w:val="-2"/>
          <w:sz w:val="20"/>
          <w:vertAlign w:val="baseline"/>
        </w:rPr>
        <w:t> </w:t>
      </w:r>
      <w:r>
        <w:rPr>
          <w:rFonts w:ascii="Calibri"/>
          <w:sz w:val="20"/>
          <w:vertAlign w:val="baseline"/>
        </w:rPr>
        <w:t>associated</w:t>
      </w:r>
      <w:r>
        <w:rPr>
          <w:rFonts w:ascii="Calibri"/>
          <w:spacing w:val="-2"/>
          <w:sz w:val="20"/>
          <w:vertAlign w:val="baseline"/>
        </w:rPr>
        <w:t> </w:t>
      </w:r>
      <w:r>
        <w:rPr>
          <w:rFonts w:ascii="Calibri"/>
          <w:sz w:val="20"/>
          <w:vertAlign w:val="baseline"/>
        </w:rPr>
        <w:t>assurance</w:t>
      </w:r>
      <w:r>
        <w:rPr>
          <w:rFonts w:ascii="Calibri"/>
          <w:spacing w:val="-4"/>
          <w:sz w:val="20"/>
          <w:vertAlign w:val="baseline"/>
        </w:rPr>
        <w:t> </w:t>
      </w:r>
      <w:r>
        <w:rPr>
          <w:rFonts w:ascii="Calibri"/>
          <w:sz w:val="20"/>
          <w:vertAlign w:val="baseline"/>
        </w:rPr>
        <w:t>ratings</w:t>
      </w:r>
      <w:r>
        <w:rPr>
          <w:rFonts w:ascii="Calibri"/>
          <w:spacing w:val="-2"/>
          <w:sz w:val="20"/>
          <w:vertAlign w:val="baseline"/>
        </w:rPr>
        <w:t> </w:t>
      </w:r>
      <w:r>
        <w:rPr>
          <w:rFonts w:ascii="Calibri"/>
          <w:sz w:val="20"/>
          <w:vertAlign w:val="baseline"/>
        </w:rPr>
        <w:t>are</w:t>
      </w:r>
      <w:r>
        <w:rPr>
          <w:rFonts w:ascii="Calibri"/>
          <w:spacing w:val="-3"/>
          <w:sz w:val="20"/>
          <w:vertAlign w:val="baseline"/>
        </w:rPr>
        <w:t> </w:t>
      </w:r>
      <w:r>
        <w:rPr>
          <w:rFonts w:ascii="Calibri"/>
          <w:sz w:val="20"/>
          <w:vertAlign w:val="baseline"/>
        </w:rPr>
        <w:t>not</w:t>
      </w:r>
      <w:r>
        <w:rPr>
          <w:rFonts w:ascii="Calibri"/>
          <w:spacing w:val="-2"/>
          <w:sz w:val="20"/>
          <w:vertAlign w:val="baseline"/>
        </w:rPr>
        <w:t> </w:t>
      </w:r>
      <w:r>
        <w:rPr>
          <w:rFonts w:ascii="Calibri"/>
          <w:sz w:val="20"/>
          <w:vertAlign w:val="baseline"/>
        </w:rPr>
        <w:t>necessarily</w:t>
      </w:r>
      <w:r>
        <w:rPr>
          <w:rFonts w:ascii="Calibri"/>
          <w:spacing w:val="-1"/>
          <w:sz w:val="20"/>
          <w:vertAlign w:val="baseline"/>
        </w:rPr>
        <w:t> </w:t>
      </w:r>
      <w:r>
        <w:rPr>
          <w:rFonts w:ascii="Calibri"/>
          <w:sz w:val="20"/>
          <w:vertAlign w:val="baseline"/>
        </w:rPr>
        <w:t>given</w:t>
      </w:r>
      <w:r>
        <w:rPr>
          <w:rFonts w:ascii="Calibri"/>
          <w:spacing w:val="-2"/>
          <w:sz w:val="20"/>
          <w:vertAlign w:val="baseline"/>
        </w:rPr>
        <w:t> </w:t>
      </w:r>
      <w:r>
        <w:rPr>
          <w:rFonts w:ascii="Calibri"/>
          <w:sz w:val="20"/>
          <w:vertAlign w:val="baseline"/>
        </w:rPr>
        <w:t>equal</w:t>
      </w:r>
      <w:r>
        <w:rPr>
          <w:rFonts w:ascii="Calibri"/>
          <w:spacing w:val="-2"/>
          <w:sz w:val="20"/>
          <w:vertAlign w:val="baseline"/>
        </w:rPr>
        <w:t> </w:t>
      </w:r>
      <w:r>
        <w:rPr>
          <w:rFonts w:ascii="Calibri"/>
          <w:sz w:val="20"/>
          <w:vertAlign w:val="baseline"/>
        </w:rPr>
        <w:t>weighting</w:t>
      </w:r>
      <w:r>
        <w:rPr>
          <w:rFonts w:ascii="Calibri"/>
          <w:spacing w:val="-3"/>
          <w:sz w:val="20"/>
          <w:vertAlign w:val="baseline"/>
        </w:rPr>
        <w:t> </w:t>
      </w:r>
      <w:r>
        <w:rPr>
          <w:rFonts w:ascii="Calibri"/>
          <w:sz w:val="20"/>
          <w:vertAlign w:val="baseline"/>
        </w:rPr>
        <w:t>when</w:t>
      </w:r>
      <w:r>
        <w:rPr>
          <w:rFonts w:ascii="Calibri"/>
          <w:spacing w:val="-2"/>
          <w:sz w:val="20"/>
          <w:vertAlign w:val="baseline"/>
        </w:rPr>
        <w:t> </w:t>
      </w:r>
      <w:r>
        <w:rPr>
          <w:rFonts w:ascii="Calibri"/>
          <w:sz w:val="20"/>
          <w:vertAlign w:val="baseline"/>
        </w:rPr>
        <w:t>formulating</w:t>
      </w:r>
      <w:r>
        <w:rPr>
          <w:rFonts w:ascii="Calibri"/>
          <w:spacing w:val="-2"/>
          <w:sz w:val="20"/>
          <w:vertAlign w:val="baseline"/>
        </w:rPr>
        <w:t> </w:t>
      </w:r>
      <w:r>
        <w:rPr>
          <w:rFonts w:ascii="Calibri"/>
          <w:sz w:val="20"/>
          <w:vertAlign w:val="baseline"/>
        </w:rPr>
        <w:t>the</w:t>
      </w:r>
      <w:r>
        <w:rPr>
          <w:rFonts w:ascii="Calibri"/>
          <w:spacing w:val="-3"/>
          <w:sz w:val="20"/>
          <w:vertAlign w:val="baseline"/>
        </w:rPr>
        <w:t> </w:t>
      </w:r>
      <w:r>
        <w:rPr>
          <w:rFonts w:ascii="Calibri"/>
          <w:sz w:val="20"/>
          <w:vertAlign w:val="baseline"/>
        </w:rPr>
        <w:t>overall</w:t>
      </w:r>
      <w:r>
        <w:rPr>
          <w:rFonts w:ascii="Calibri"/>
          <w:spacing w:val="-2"/>
          <w:sz w:val="20"/>
          <w:vertAlign w:val="baseline"/>
        </w:rPr>
        <w:t> </w:t>
      </w:r>
      <w:r>
        <w:rPr>
          <w:rFonts w:ascii="Calibri"/>
          <w:sz w:val="20"/>
          <w:vertAlign w:val="baseline"/>
        </w:rPr>
        <w:t>audit </w:t>
      </w:r>
      <w:r>
        <w:rPr>
          <w:rFonts w:ascii="Calibri"/>
          <w:spacing w:val="-2"/>
          <w:sz w:val="20"/>
          <w:vertAlign w:val="baseline"/>
        </w:rPr>
        <w:t>opinion.</w:t>
      </w:r>
    </w:p>
    <w:p>
      <w:pPr>
        <w:pStyle w:val="BodyText"/>
        <w:spacing w:before="10"/>
        <w:rPr>
          <w:rFonts w:ascii="Calibri"/>
          <w:sz w:val="19"/>
        </w:rPr>
      </w:pPr>
      <w:r>
        <w:rPr/>
        <w:pict>
          <v:shape style="position:absolute;margin-left:35.400002pt;margin-top:13.321934pt;width:531.7pt;height:1.45pt;mso-position-horizontal-relative:page;mso-position-vertical-relative:paragraph;z-index:-15692288;mso-wrap-distance-left:0;mso-wrap-distance-right:0" id="docshape156" coordorigin="708,266" coordsize="10634,29" path="m11342,266l6114,266,6085,266,708,266,708,295,6085,295,6114,295,11342,295,11342,266xe" filled="true" fillcolor="#000000" stroked="false">
            <v:path arrowok="t"/>
            <v:fill type="solid"/>
            <w10:wrap type="topAndBottom"/>
          </v:shape>
        </w:pict>
      </w:r>
    </w:p>
    <w:p>
      <w:pPr>
        <w:pStyle w:val="BodyText"/>
        <w:spacing w:before="8"/>
        <w:rPr>
          <w:rFonts w:ascii="Calibri"/>
          <w:sz w:val="13"/>
        </w:rPr>
      </w:pPr>
    </w:p>
    <w:p>
      <w:pPr>
        <w:tabs>
          <w:tab w:pos="11237" w:val="right" w:leader="none"/>
        </w:tabs>
        <w:spacing w:before="101"/>
        <w:ind w:left="816" w:right="0" w:firstLine="0"/>
        <w:jc w:val="left"/>
        <w:rPr>
          <w:sz w:val="22"/>
        </w:rPr>
      </w:pPr>
      <w:r>
        <w:rPr>
          <w:sz w:val="22"/>
        </w:rPr>
        <w:t>NWSSP</w:t>
      </w:r>
      <w:r>
        <w:rPr>
          <w:spacing w:val="-4"/>
          <w:sz w:val="22"/>
        </w:rPr>
        <w:t> </w:t>
      </w:r>
      <w:r>
        <w:rPr>
          <w:sz w:val="22"/>
        </w:rPr>
        <w:t>Audit</w:t>
      </w:r>
      <w:r>
        <w:rPr>
          <w:spacing w:val="-6"/>
          <w:sz w:val="22"/>
        </w:rPr>
        <w:t> </w:t>
      </w:r>
      <w:r>
        <w:rPr>
          <w:sz w:val="22"/>
        </w:rPr>
        <w:t>and</w:t>
      </w:r>
      <w:r>
        <w:rPr>
          <w:spacing w:val="-5"/>
          <w:sz w:val="22"/>
        </w:rPr>
        <w:t> </w:t>
      </w:r>
      <w:r>
        <w:rPr>
          <w:sz w:val="22"/>
        </w:rPr>
        <w:t>Assurance</w:t>
      </w:r>
      <w:r>
        <w:rPr>
          <w:spacing w:val="-4"/>
          <w:sz w:val="22"/>
        </w:rPr>
        <w:t> </w:t>
      </w:r>
      <w:r>
        <w:rPr>
          <w:spacing w:val="-2"/>
          <w:sz w:val="22"/>
        </w:rPr>
        <w:t>Services</w:t>
      </w:r>
      <w:r>
        <w:rPr>
          <w:sz w:val="22"/>
        </w:rPr>
        <w:tab/>
      </w:r>
      <w:r>
        <w:rPr>
          <w:spacing w:val="-10"/>
          <w:sz w:val="22"/>
        </w:rPr>
        <w:t>3</w:t>
      </w:r>
    </w:p>
    <w:p>
      <w:pPr>
        <w:spacing w:after="0"/>
        <w:jc w:val="left"/>
        <w:rPr>
          <w:sz w:val="22"/>
        </w:rPr>
        <w:sectPr>
          <w:type w:val="continuous"/>
          <w:pgSz w:w="11910" w:h="16840"/>
          <w:pgMar w:header="0" w:footer="0" w:top="740" w:bottom="280" w:left="0" w:right="0"/>
        </w:sectPr>
      </w:pPr>
    </w:p>
    <w:p>
      <w:pPr>
        <w:tabs>
          <w:tab w:pos="7935" w:val="left" w:leader="none"/>
        </w:tabs>
        <w:spacing w:before="75"/>
        <w:ind w:left="566" w:right="0" w:firstLine="0"/>
        <w:jc w:val="left"/>
        <w:rPr>
          <w:sz w:val="22"/>
        </w:rPr>
      </w:pPr>
      <w:bookmarkStart w:name="_bookmark7" w:id="49"/>
      <w:bookmarkEnd w:id="49"/>
      <w:r>
        <w:rPr/>
      </w:r>
      <w:r>
        <w:rPr>
          <w:sz w:val="22"/>
        </w:rPr>
        <w:t>Laundry</w:t>
      </w:r>
      <w:r>
        <w:rPr>
          <w:spacing w:val="-5"/>
          <w:sz w:val="22"/>
        </w:rPr>
        <w:t> </w:t>
      </w:r>
      <w:r>
        <w:rPr>
          <w:sz w:val="22"/>
        </w:rPr>
        <w:t>Service</w:t>
      </w:r>
      <w:r>
        <w:rPr>
          <w:spacing w:val="-3"/>
          <w:sz w:val="22"/>
        </w:rPr>
        <w:t> </w:t>
      </w:r>
      <w:r>
        <w:rPr>
          <w:sz w:val="22"/>
        </w:rPr>
        <w:t>–</w:t>
      </w:r>
      <w:r>
        <w:rPr>
          <w:spacing w:val="-4"/>
          <w:sz w:val="22"/>
        </w:rPr>
        <w:t> </w:t>
      </w:r>
      <w:r>
        <w:rPr>
          <w:sz w:val="22"/>
        </w:rPr>
        <w:t>Glan</w:t>
      </w:r>
      <w:r>
        <w:rPr>
          <w:spacing w:val="-4"/>
          <w:sz w:val="22"/>
        </w:rPr>
        <w:t> Clwyd</w:t>
      </w:r>
      <w:r>
        <w:rPr>
          <w:sz w:val="22"/>
        </w:rPr>
        <w:tab/>
        <w:t>Final</w:t>
      </w:r>
      <w:r>
        <w:rPr>
          <w:spacing w:val="-7"/>
          <w:sz w:val="22"/>
        </w:rPr>
        <w:t> </w:t>
      </w:r>
      <w:r>
        <w:rPr>
          <w:sz w:val="22"/>
        </w:rPr>
        <w:t>Internal</w:t>
      </w:r>
      <w:r>
        <w:rPr>
          <w:spacing w:val="-5"/>
          <w:sz w:val="22"/>
        </w:rPr>
        <w:t> </w:t>
      </w:r>
      <w:r>
        <w:rPr>
          <w:sz w:val="22"/>
        </w:rPr>
        <w:t>Audit</w:t>
      </w:r>
      <w:r>
        <w:rPr>
          <w:spacing w:val="-5"/>
          <w:sz w:val="22"/>
        </w:rPr>
        <w:t> </w:t>
      </w:r>
      <w:r>
        <w:rPr>
          <w:spacing w:val="-2"/>
          <w:sz w:val="22"/>
        </w:rPr>
        <w:t>Report</w:t>
      </w:r>
    </w:p>
    <w:p>
      <w:pPr>
        <w:pStyle w:val="BodyText"/>
        <w:spacing w:before="4"/>
        <w:rPr>
          <w:sz w:val="20"/>
        </w:rPr>
      </w:pPr>
      <w:r>
        <w:rPr/>
        <w:pict>
          <v:shape style="position:absolute;margin-left:27.6pt;margin-top:13.561312pt;width:532.450pt;height:1.45pt;mso-position-horizontal-relative:page;mso-position-vertical-relative:paragraph;z-index:-15689216;mso-wrap-distance-left:0;mso-wrap-distance-right:0" id="docshape160" coordorigin="552,271" coordsize="10649,29" path="m11200,271l5943,271,5929,271,5915,271,552,271,552,300,5915,300,5929,300,5943,300,11200,300,11200,271xe" filled="true" fillcolor="#000000" stroked="false">
            <v:path arrowok="t"/>
            <v:fill type="solid"/>
            <w10:wrap type="topAndBottom"/>
          </v:shape>
        </w:pict>
      </w:r>
    </w:p>
    <w:p>
      <w:pPr>
        <w:pStyle w:val="BodyText"/>
        <w:spacing w:before="11"/>
        <w:rPr>
          <w:sz w:val="27"/>
        </w:rPr>
      </w:pPr>
    </w:p>
    <w:p>
      <w:pPr>
        <w:pStyle w:val="Heading4"/>
        <w:numPr>
          <w:ilvl w:val="0"/>
          <w:numId w:val="17"/>
        </w:numPr>
        <w:tabs>
          <w:tab w:pos="1133" w:val="left" w:leader="none"/>
        </w:tabs>
        <w:spacing w:line="240" w:lineRule="auto" w:before="101" w:after="0"/>
        <w:ind w:left="1132" w:right="0" w:hanging="567"/>
        <w:jc w:val="left"/>
        <w:rPr>
          <w:color w:val="3C5A8B"/>
        </w:rPr>
      </w:pPr>
      <w:bookmarkStart w:name="_bookmark6" w:id="50"/>
      <w:bookmarkEnd w:id="50"/>
      <w:r>
        <w:rPr>
          <w:color w:val="3C5A8B"/>
          <w:spacing w:val="-2"/>
        </w:rPr>
        <w:t>Intro</w:t>
      </w:r>
      <w:r>
        <w:rPr>
          <w:color w:val="3C5A8B"/>
          <w:spacing w:val="-2"/>
        </w:rPr>
        <w:t>duction</w:t>
      </w:r>
    </w:p>
    <w:p>
      <w:pPr>
        <w:pStyle w:val="ListParagraph"/>
        <w:numPr>
          <w:ilvl w:val="1"/>
          <w:numId w:val="17"/>
        </w:numPr>
        <w:tabs>
          <w:tab w:pos="1133" w:val="left" w:leader="none"/>
        </w:tabs>
        <w:spacing w:line="259" w:lineRule="auto" w:before="153" w:after="0"/>
        <w:ind w:left="1132" w:right="711" w:hanging="567"/>
        <w:jc w:val="both"/>
        <w:rPr>
          <w:sz w:val="24"/>
        </w:rPr>
      </w:pPr>
      <w:r>
        <w:rPr>
          <w:sz w:val="24"/>
        </w:rPr>
        <w:t>The All-Wales Laundry Service was established in April 2021 with the transfer of laundry service provision from Health Boards to NHS Wales Shared Services Partnership (NWSSP) as agreed by the Shared Services Partnership Committee in May 2016.</w:t>
      </w:r>
    </w:p>
    <w:p>
      <w:pPr>
        <w:pStyle w:val="ListParagraph"/>
        <w:numPr>
          <w:ilvl w:val="1"/>
          <w:numId w:val="17"/>
        </w:numPr>
        <w:tabs>
          <w:tab w:pos="1133" w:val="left" w:leader="none"/>
        </w:tabs>
        <w:spacing w:line="259" w:lineRule="auto" w:before="118" w:after="0"/>
        <w:ind w:left="1132" w:right="710" w:hanging="567"/>
        <w:jc w:val="both"/>
        <w:rPr>
          <w:sz w:val="24"/>
        </w:rPr>
      </w:pPr>
      <w:r>
        <w:rPr>
          <w:sz w:val="24"/>
        </w:rPr>
        <w:t>The availability of clean, decontaminated linen is fundamental to the operation of core NHS services and the delivery of high quality, safe patient care. There are currently five laundry production units servicing NHS Wales:</w:t>
      </w:r>
    </w:p>
    <w:p>
      <w:pPr>
        <w:pStyle w:val="BodyText"/>
        <w:spacing w:before="3"/>
        <w:rPr>
          <w:sz w:val="13"/>
        </w:rPr>
      </w:pPr>
    </w:p>
    <w:tbl>
      <w:tblPr>
        <w:tblW w:w="0" w:type="auto"/>
        <w:jc w:val="left"/>
        <w:tblInd w:w="1154" w:type="dxa"/>
        <w:tblBorders>
          <w:top w:val="single" w:sz="2" w:space="0" w:color="EFF4F9"/>
          <w:left w:val="single" w:sz="2" w:space="0" w:color="EFF4F9"/>
          <w:bottom w:val="single" w:sz="2" w:space="0" w:color="EFF4F9"/>
          <w:right w:val="single" w:sz="2" w:space="0" w:color="EFF4F9"/>
          <w:insideH w:val="single" w:sz="2" w:space="0" w:color="EFF4F9"/>
          <w:insideV w:val="single" w:sz="2" w:space="0" w:color="EFF4F9"/>
        </w:tblBorders>
        <w:tblLayout w:type="fixed"/>
        <w:tblCellMar>
          <w:top w:w="0" w:type="dxa"/>
          <w:left w:w="0" w:type="dxa"/>
          <w:bottom w:w="0" w:type="dxa"/>
          <w:right w:w="0" w:type="dxa"/>
        </w:tblCellMar>
        <w:tblLook w:val="01E0"/>
      </w:tblPr>
      <w:tblGrid>
        <w:gridCol w:w="4794"/>
        <w:gridCol w:w="4796"/>
      </w:tblGrid>
      <w:tr>
        <w:trPr>
          <w:trHeight w:val="394" w:hRule="atLeast"/>
        </w:trPr>
        <w:tc>
          <w:tcPr>
            <w:tcW w:w="4794" w:type="dxa"/>
            <w:tcBorders>
              <w:top w:val="nil"/>
              <w:left w:val="nil"/>
              <w:right w:val="single" w:sz="18" w:space="0" w:color="FFFFFF"/>
            </w:tcBorders>
            <w:shd w:val="clear" w:color="auto" w:fill="D9E1F3"/>
          </w:tcPr>
          <w:p>
            <w:pPr>
              <w:pStyle w:val="TableParagraph"/>
              <w:spacing w:before="79"/>
              <w:ind w:left="86"/>
              <w:rPr>
                <w:b/>
                <w:sz w:val="20"/>
              </w:rPr>
            </w:pPr>
            <w:r>
              <w:rPr>
                <w:b/>
                <w:sz w:val="20"/>
              </w:rPr>
              <w:t>Transferred</w:t>
            </w:r>
            <w:r>
              <w:rPr>
                <w:b/>
                <w:spacing w:val="-11"/>
                <w:sz w:val="20"/>
              </w:rPr>
              <w:t> </w:t>
            </w:r>
            <w:r>
              <w:rPr>
                <w:b/>
                <w:sz w:val="20"/>
              </w:rPr>
              <w:t>April</w:t>
            </w:r>
            <w:r>
              <w:rPr>
                <w:b/>
                <w:spacing w:val="-14"/>
                <w:sz w:val="20"/>
              </w:rPr>
              <w:t> </w:t>
            </w:r>
            <w:r>
              <w:rPr>
                <w:b/>
                <w:spacing w:val="-4"/>
                <w:sz w:val="20"/>
              </w:rPr>
              <w:t>2021</w:t>
            </w:r>
          </w:p>
        </w:tc>
        <w:tc>
          <w:tcPr>
            <w:tcW w:w="4796" w:type="dxa"/>
            <w:tcBorders>
              <w:top w:val="nil"/>
              <w:left w:val="single" w:sz="18" w:space="0" w:color="FFFFFF"/>
              <w:right w:val="nil"/>
            </w:tcBorders>
            <w:shd w:val="clear" w:color="auto" w:fill="D9E1F3"/>
          </w:tcPr>
          <w:p>
            <w:pPr>
              <w:pStyle w:val="TableParagraph"/>
              <w:spacing w:before="79"/>
              <w:ind w:left="85"/>
              <w:rPr>
                <w:b/>
                <w:sz w:val="20"/>
              </w:rPr>
            </w:pPr>
            <w:r>
              <w:rPr>
                <w:b/>
                <w:sz w:val="20"/>
              </w:rPr>
              <w:t>Transferred</w:t>
            </w:r>
            <w:r>
              <w:rPr>
                <w:b/>
                <w:spacing w:val="-15"/>
                <w:sz w:val="20"/>
              </w:rPr>
              <w:t> </w:t>
            </w:r>
            <w:r>
              <w:rPr>
                <w:b/>
                <w:sz w:val="20"/>
              </w:rPr>
              <w:t>October</w:t>
            </w:r>
            <w:r>
              <w:rPr>
                <w:b/>
                <w:spacing w:val="-12"/>
                <w:sz w:val="20"/>
              </w:rPr>
              <w:t> </w:t>
            </w:r>
            <w:r>
              <w:rPr>
                <w:b/>
                <w:spacing w:val="-4"/>
                <w:sz w:val="20"/>
              </w:rPr>
              <w:t>2021</w:t>
            </w:r>
          </w:p>
        </w:tc>
      </w:tr>
      <w:tr>
        <w:trPr>
          <w:trHeight w:val="437" w:hRule="atLeast"/>
        </w:trPr>
        <w:tc>
          <w:tcPr>
            <w:tcW w:w="4794" w:type="dxa"/>
            <w:tcBorders>
              <w:left w:val="nil"/>
              <w:right w:val="single" w:sz="18" w:space="0" w:color="FFFFFF"/>
            </w:tcBorders>
            <w:shd w:val="clear" w:color="auto" w:fill="F3F6FA"/>
          </w:tcPr>
          <w:p>
            <w:pPr>
              <w:pStyle w:val="TableParagraph"/>
              <w:spacing w:before="122"/>
              <w:ind w:left="86"/>
              <w:rPr>
                <w:sz w:val="20"/>
              </w:rPr>
            </w:pPr>
            <w:r>
              <w:rPr>
                <w:sz w:val="20"/>
              </w:rPr>
              <w:t>Ysbyty</w:t>
            </w:r>
            <w:r>
              <w:rPr>
                <w:spacing w:val="-6"/>
                <w:sz w:val="20"/>
              </w:rPr>
              <w:t> </w:t>
            </w:r>
            <w:r>
              <w:rPr>
                <w:sz w:val="20"/>
              </w:rPr>
              <w:t>Glan</w:t>
            </w:r>
            <w:r>
              <w:rPr>
                <w:spacing w:val="-6"/>
                <w:sz w:val="20"/>
              </w:rPr>
              <w:t> </w:t>
            </w:r>
            <w:r>
              <w:rPr>
                <w:sz w:val="20"/>
              </w:rPr>
              <w:t>Clwyd</w:t>
            </w:r>
            <w:r>
              <w:rPr>
                <w:spacing w:val="-8"/>
                <w:sz w:val="20"/>
              </w:rPr>
              <w:t> </w:t>
            </w:r>
            <w:r>
              <w:rPr>
                <w:sz w:val="20"/>
              </w:rPr>
              <w:t>Laundry</w:t>
            </w:r>
            <w:r>
              <w:rPr>
                <w:spacing w:val="-7"/>
                <w:sz w:val="20"/>
              </w:rPr>
              <w:t> </w:t>
            </w:r>
            <w:r>
              <w:rPr>
                <w:sz w:val="20"/>
              </w:rPr>
              <w:t>(North</w:t>
            </w:r>
            <w:r>
              <w:rPr>
                <w:spacing w:val="-5"/>
                <w:sz w:val="20"/>
              </w:rPr>
              <w:t> </w:t>
            </w:r>
            <w:r>
              <w:rPr>
                <w:spacing w:val="-2"/>
                <w:sz w:val="20"/>
              </w:rPr>
              <w:t>Wales)</w:t>
            </w:r>
          </w:p>
        </w:tc>
        <w:tc>
          <w:tcPr>
            <w:tcW w:w="4796" w:type="dxa"/>
            <w:tcBorders>
              <w:left w:val="single" w:sz="18" w:space="0" w:color="FFFFFF"/>
              <w:right w:val="nil"/>
            </w:tcBorders>
            <w:shd w:val="clear" w:color="auto" w:fill="F3F6FA"/>
          </w:tcPr>
          <w:p>
            <w:pPr>
              <w:pStyle w:val="TableParagraph"/>
              <w:spacing w:before="122"/>
              <w:ind w:left="85"/>
              <w:rPr>
                <w:sz w:val="20"/>
              </w:rPr>
            </w:pPr>
            <w:r>
              <w:rPr>
                <w:sz w:val="20"/>
              </w:rPr>
              <w:t>Glangwili</w:t>
            </w:r>
            <w:r>
              <w:rPr>
                <w:spacing w:val="-10"/>
                <w:sz w:val="20"/>
              </w:rPr>
              <w:t> </w:t>
            </w:r>
            <w:r>
              <w:rPr>
                <w:sz w:val="20"/>
              </w:rPr>
              <w:t>Laundry</w:t>
            </w:r>
            <w:r>
              <w:rPr>
                <w:spacing w:val="-10"/>
                <w:sz w:val="20"/>
              </w:rPr>
              <w:t> </w:t>
            </w:r>
            <w:r>
              <w:rPr>
                <w:spacing w:val="-2"/>
                <w:sz w:val="20"/>
              </w:rPr>
              <w:t>(Carmarthen)</w:t>
            </w:r>
          </w:p>
        </w:tc>
      </w:tr>
      <w:tr>
        <w:trPr>
          <w:trHeight w:val="436" w:hRule="atLeast"/>
        </w:trPr>
        <w:tc>
          <w:tcPr>
            <w:tcW w:w="4794" w:type="dxa"/>
            <w:tcBorders>
              <w:left w:val="nil"/>
              <w:right w:val="single" w:sz="18" w:space="0" w:color="FFFFFF"/>
            </w:tcBorders>
            <w:shd w:val="clear" w:color="auto" w:fill="F3F6FA"/>
          </w:tcPr>
          <w:p>
            <w:pPr>
              <w:pStyle w:val="TableParagraph"/>
              <w:spacing w:before="121"/>
              <w:ind w:left="86"/>
              <w:rPr>
                <w:sz w:val="20"/>
              </w:rPr>
            </w:pPr>
            <w:r>
              <w:rPr>
                <w:sz w:val="20"/>
              </w:rPr>
              <w:t>Llansamlet</w:t>
            </w:r>
            <w:r>
              <w:rPr>
                <w:spacing w:val="-10"/>
                <w:sz w:val="20"/>
              </w:rPr>
              <w:t> </w:t>
            </w:r>
            <w:r>
              <w:rPr>
                <w:sz w:val="20"/>
              </w:rPr>
              <w:t>Laundry</w:t>
            </w:r>
            <w:r>
              <w:rPr>
                <w:spacing w:val="-11"/>
                <w:sz w:val="20"/>
              </w:rPr>
              <w:t> </w:t>
            </w:r>
            <w:r>
              <w:rPr>
                <w:spacing w:val="-2"/>
                <w:sz w:val="20"/>
              </w:rPr>
              <w:t>(Swansea)</w:t>
            </w:r>
          </w:p>
        </w:tc>
        <w:tc>
          <w:tcPr>
            <w:tcW w:w="4796" w:type="dxa"/>
            <w:tcBorders>
              <w:left w:val="single" w:sz="18" w:space="0" w:color="FFFFFF"/>
              <w:right w:val="nil"/>
            </w:tcBorders>
            <w:shd w:val="clear" w:color="auto" w:fill="F3F6FA"/>
          </w:tcPr>
          <w:p>
            <w:pPr>
              <w:pStyle w:val="TableParagraph"/>
              <w:spacing w:before="121"/>
              <w:ind w:left="85"/>
              <w:rPr>
                <w:sz w:val="20"/>
              </w:rPr>
            </w:pPr>
            <w:r>
              <w:rPr>
                <w:sz w:val="20"/>
              </w:rPr>
              <w:t>Church</w:t>
            </w:r>
            <w:r>
              <w:rPr>
                <w:spacing w:val="-10"/>
                <w:sz w:val="20"/>
              </w:rPr>
              <w:t> </w:t>
            </w:r>
            <w:r>
              <w:rPr>
                <w:sz w:val="20"/>
              </w:rPr>
              <w:t>Village</w:t>
            </w:r>
            <w:r>
              <w:rPr>
                <w:spacing w:val="-8"/>
                <w:sz w:val="20"/>
              </w:rPr>
              <w:t> </w:t>
            </w:r>
            <w:r>
              <w:rPr>
                <w:sz w:val="20"/>
              </w:rPr>
              <w:t>Laundry</w:t>
            </w:r>
            <w:r>
              <w:rPr>
                <w:spacing w:val="-7"/>
                <w:sz w:val="20"/>
              </w:rPr>
              <w:t> </w:t>
            </w:r>
            <w:r>
              <w:rPr>
                <w:sz w:val="20"/>
              </w:rPr>
              <w:t>(Rhondda</w:t>
            </w:r>
            <w:r>
              <w:rPr>
                <w:spacing w:val="-9"/>
                <w:sz w:val="20"/>
              </w:rPr>
              <w:t> </w:t>
            </w:r>
            <w:r>
              <w:rPr>
                <w:sz w:val="20"/>
              </w:rPr>
              <w:t>Cynon</w:t>
            </w:r>
            <w:r>
              <w:rPr>
                <w:spacing w:val="-8"/>
                <w:sz w:val="20"/>
              </w:rPr>
              <w:t> </w:t>
            </w:r>
            <w:r>
              <w:rPr>
                <w:spacing w:val="-4"/>
                <w:sz w:val="20"/>
              </w:rPr>
              <w:t>Taf)</w:t>
            </w:r>
          </w:p>
        </w:tc>
      </w:tr>
      <w:tr>
        <w:trPr>
          <w:trHeight w:val="439" w:hRule="atLeast"/>
        </w:trPr>
        <w:tc>
          <w:tcPr>
            <w:tcW w:w="4794" w:type="dxa"/>
            <w:tcBorders>
              <w:left w:val="nil"/>
              <w:right w:val="single" w:sz="18" w:space="0" w:color="FFFFFF"/>
            </w:tcBorders>
            <w:shd w:val="clear" w:color="auto" w:fill="F3F6FA"/>
          </w:tcPr>
          <w:p>
            <w:pPr>
              <w:pStyle w:val="TableParagraph"/>
              <w:spacing w:before="121"/>
              <w:ind w:left="86"/>
              <w:rPr>
                <w:sz w:val="20"/>
              </w:rPr>
            </w:pPr>
            <w:r>
              <w:rPr>
                <w:sz w:val="20"/>
              </w:rPr>
              <w:t>Green</w:t>
            </w:r>
            <w:r>
              <w:rPr>
                <w:spacing w:val="-5"/>
                <w:sz w:val="20"/>
              </w:rPr>
              <w:t> </w:t>
            </w:r>
            <w:r>
              <w:rPr>
                <w:sz w:val="20"/>
              </w:rPr>
              <w:t>Vale</w:t>
            </w:r>
            <w:r>
              <w:rPr>
                <w:spacing w:val="-8"/>
                <w:sz w:val="20"/>
              </w:rPr>
              <w:t> </w:t>
            </w:r>
            <w:r>
              <w:rPr>
                <w:sz w:val="20"/>
              </w:rPr>
              <w:t>Laundry</w:t>
            </w:r>
            <w:r>
              <w:rPr>
                <w:spacing w:val="-8"/>
                <w:sz w:val="20"/>
              </w:rPr>
              <w:t> </w:t>
            </w:r>
            <w:r>
              <w:rPr>
                <w:spacing w:val="-2"/>
                <w:sz w:val="20"/>
              </w:rPr>
              <w:t>(Cwmbran)</w:t>
            </w:r>
          </w:p>
        </w:tc>
        <w:tc>
          <w:tcPr>
            <w:tcW w:w="4796" w:type="dxa"/>
            <w:tcBorders>
              <w:left w:val="single" w:sz="18" w:space="0" w:color="FFFFFF"/>
              <w:right w:val="nil"/>
            </w:tcBorders>
            <w:shd w:val="clear" w:color="auto" w:fill="F3F6FA"/>
          </w:tcPr>
          <w:p>
            <w:pPr>
              <w:pStyle w:val="TableParagraph"/>
              <w:rPr>
                <w:rFonts w:ascii="Times New Roman"/>
                <w:sz w:val="22"/>
              </w:rPr>
            </w:pPr>
          </w:p>
        </w:tc>
      </w:tr>
    </w:tbl>
    <w:p>
      <w:pPr>
        <w:pStyle w:val="ListParagraph"/>
        <w:numPr>
          <w:ilvl w:val="1"/>
          <w:numId w:val="17"/>
        </w:numPr>
        <w:tabs>
          <w:tab w:pos="1133" w:val="left" w:leader="none"/>
        </w:tabs>
        <w:spacing w:line="259" w:lineRule="auto" w:before="165" w:after="0"/>
        <w:ind w:left="1132" w:right="706" w:hanging="567"/>
        <w:jc w:val="both"/>
        <w:rPr>
          <w:sz w:val="24"/>
        </w:rPr>
      </w:pPr>
      <w:r>
        <w:rPr>
          <w:sz w:val="24"/>
        </w:rPr>
        <w:t>The first audit of the All-Wales Laundry Service was undertaken in 2021/22 at Llansamlet Laundry, to provide a high-level overview of existing governance and management</w:t>
      </w:r>
      <w:r>
        <w:rPr>
          <w:spacing w:val="-12"/>
          <w:sz w:val="24"/>
        </w:rPr>
        <w:t> </w:t>
      </w:r>
      <w:r>
        <w:rPr>
          <w:sz w:val="24"/>
        </w:rPr>
        <w:t>arrangements</w:t>
      </w:r>
      <w:r>
        <w:rPr>
          <w:spacing w:val="-11"/>
          <w:sz w:val="24"/>
        </w:rPr>
        <w:t> </w:t>
      </w:r>
      <w:r>
        <w:rPr>
          <w:sz w:val="24"/>
        </w:rPr>
        <w:t>with</w:t>
      </w:r>
      <w:r>
        <w:rPr>
          <w:spacing w:val="-12"/>
          <w:sz w:val="24"/>
        </w:rPr>
        <w:t> </w:t>
      </w:r>
      <w:r>
        <w:rPr>
          <w:sz w:val="24"/>
        </w:rPr>
        <w:t>a</w:t>
      </w:r>
      <w:r>
        <w:rPr>
          <w:spacing w:val="-11"/>
          <w:sz w:val="24"/>
        </w:rPr>
        <w:t> </w:t>
      </w:r>
      <w:r>
        <w:rPr>
          <w:sz w:val="24"/>
        </w:rPr>
        <w:t>view</w:t>
      </w:r>
      <w:r>
        <w:rPr>
          <w:spacing w:val="-10"/>
          <w:sz w:val="24"/>
        </w:rPr>
        <w:t> </w:t>
      </w:r>
      <w:r>
        <w:rPr>
          <w:sz w:val="24"/>
        </w:rPr>
        <w:t>to</w:t>
      </w:r>
      <w:r>
        <w:rPr>
          <w:spacing w:val="-11"/>
          <w:sz w:val="24"/>
        </w:rPr>
        <w:t> </w:t>
      </w:r>
      <w:r>
        <w:rPr>
          <w:sz w:val="24"/>
        </w:rPr>
        <w:t>providing</w:t>
      </w:r>
      <w:r>
        <w:rPr>
          <w:spacing w:val="-12"/>
          <w:sz w:val="24"/>
        </w:rPr>
        <w:t> </w:t>
      </w:r>
      <w:r>
        <w:rPr>
          <w:sz w:val="24"/>
        </w:rPr>
        <w:t>a</w:t>
      </w:r>
      <w:r>
        <w:rPr>
          <w:spacing w:val="-9"/>
          <w:sz w:val="24"/>
        </w:rPr>
        <w:t> </w:t>
      </w:r>
      <w:r>
        <w:rPr>
          <w:sz w:val="24"/>
        </w:rPr>
        <w:t>baseline</w:t>
      </w:r>
      <w:r>
        <w:rPr>
          <w:spacing w:val="-10"/>
          <w:sz w:val="24"/>
        </w:rPr>
        <w:t> </w:t>
      </w:r>
      <w:r>
        <w:rPr>
          <w:sz w:val="24"/>
        </w:rPr>
        <w:t>for</w:t>
      </w:r>
      <w:r>
        <w:rPr>
          <w:spacing w:val="-10"/>
          <w:sz w:val="24"/>
        </w:rPr>
        <w:t> </w:t>
      </w:r>
      <w:r>
        <w:rPr>
          <w:sz w:val="24"/>
        </w:rPr>
        <w:t>the</w:t>
      </w:r>
      <w:r>
        <w:rPr>
          <w:spacing w:val="-10"/>
          <w:sz w:val="24"/>
        </w:rPr>
        <w:t> </w:t>
      </w:r>
      <w:r>
        <w:rPr>
          <w:sz w:val="24"/>
        </w:rPr>
        <w:t>new</w:t>
      </w:r>
      <w:r>
        <w:rPr>
          <w:spacing w:val="-11"/>
          <w:sz w:val="24"/>
        </w:rPr>
        <w:t> </w:t>
      </w:r>
      <w:r>
        <w:rPr>
          <w:sz w:val="24"/>
        </w:rPr>
        <w:t>national service. We concluded Reasonable assurance overall, with a number of actions identified to improve the existing control environment at Llansamlet Laundry, although some were applicable to the wider All-Wales Laundry Service. This audit has adopted the same approach for consistency.</w:t>
      </w:r>
    </w:p>
    <w:p>
      <w:pPr>
        <w:pStyle w:val="ListParagraph"/>
        <w:numPr>
          <w:ilvl w:val="1"/>
          <w:numId w:val="17"/>
        </w:numPr>
        <w:tabs>
          <w:tab w:pos="1133" w:val="left" w:leader="none"/>
        </w:tabs>
        <w:spacing w:line="259" w:lineRule="auto" w:before="119" w:after="0"/>
        <w:ind w:left="1132" w:right="706" w:hanging="567"/>
        <w:jc w:val="both"/>
        <w:rPr>
          <w:sz w:val="24"/>
        </w:rPr>
      </w:pPr>
      <w:r>
        <w:rPr>
          <w:sz w:val="24"/>
        </w:rPr>
        <w:t>The potential risk considered in the review is that the laundry service is not operating efficiently or effectively, potentially resulting in:</w:t>
      </w:r>
    </w:p>
    <w:p>
      <w:pPr>
        <w:pStyle w:val="ListParagraph"/>
        <w:numPr>
          <w:ilvl w:val="2"/>
          <w:numId w:val="17"/>
        </w:numPr>
        <w:tabs>
          <w:tab w:pos="1986" w:val="left" w:leader="none"/>
        </w:tabs>
        <w:spacing w:line="256" w:lineRule="auto" w:before="121" w:after="0"/>
        <w:ind w:left="1985" w:right="710" w:hanging="425"/>
        <w:jc w:val="both"/>
        <w:rPr>
          <w:sz w:val="24"/>
        </w:rPr>
      </w:pPr>
      <w:r>
        <w:rPr>
          <w:sz w:val="24"/>
        </w:rPr>
        <w:t>detrimental</w:t>
      </w:r>
      <w:r>
        <w:rPr>
          <w:spacing w:val="-2"/>
          <w:sz w:val="24"/>
        </w:rPr>
        <w:t> </w:t>
      </w:r>
      <w:r>
        <w:rPr>
          <w:sz w:val="24"/>
        </w:rPr>
        <w:t>impact</w:t>
      </w:r>
      <w:r>
        <w:rPr>
          <w:spacing w:val="-2"/>
          <w:sz w:val="24"/>
        </w:rPr>
        <w:t> </w:t>
      </w:r>
      <w:r>
        <w:rPr>
          <w:sz w:val="24"/>
        </w:rPr>
        <w:t>on</w:t>
      </w:r>
      <w:r>
        <w:rPr>
          <w:spacing w:val="-3"/>
          <w:sz w:val="24"/>
        </w:rPr>
        <w:t> </w:t>
      </w:r>
      <w:r>
        <w:rPr>
          <w:sz w:val="24"/>
        </w:rPr>
        <w:t>the</w:t>
      </w:r>
      <w:r>
        <w:rPr>
          <w:spacing w:val="-2"/>
          <w:sz w:val="24"/>
        </w:rPr>
        <w:t> </w:t>
      </w:r>
      <w:r>
        <w:rPr>
          <w:sz w:val="24"/>
        </w:rPr>
        <w:t>continuity</w:t>
      </w:r>
      <w:r>
        <w:rPr>
          <w:spacing w:val="-3"/>
          <w:sz w:val="24"/>
        </w:rPr>
        <w:t> </w:t>
      </w:r>
      <w:r>
        <w:rPr>
          <w:sz w:val="24"/>
        </w:rPr>
        <w:t>of</w:t>
      </w:r>
      <w:r>
        <w:rPr>
          <w:spacing w:val="-3"/>
          <w:sz w:val="24"/>
        </w:rPr>
        <w:t> </w:t>
      </w:r>
      <w:r>
        <w:rPr>
          <w:sz w:val="24"/>
        </w:rPr>
        <w:t>hospital</w:t>
      </w:r>
      <w:r>
        <w:rPr>
          <w:spacing w:val="-4"/>
          <w:sz w:val="24"/>
        </w:rPr>
        <w:t> </w:t>
      </w:r>
      <w:r>
        <w:rPr>
          <w:sz w:val="24"/>
        </w:rPr>
        <w:t>services</w:t>
      </w:r>
      <w:r>
        <w:rPr>
          <w:spacing w:val="-2"/>
          <w:sz w:val="24"/>
        </w:rPr>
        <w:t> </w:t>
      </w:r>
      <w:r>
        <w:rPr>
          <w:sz w:val="24"/>
        </w:rPr>
        <w:t>and</w:t>
      </w:r>
      <w:r>
        <w:rPr>
          <w:spacing w:val="-3"/>
          <w:sz w:val="24"/>
        </w:rPr>
        <w:t> </w:t>
      </w:r>
      <w:r>
        <w:rPr>
          <w:sz w:val="24"/>
        </w:rPr>
        <w:t>patient</w:t>
      </w:r>
      <w:r>
        <w:rPr>
          <w:spacing w:val="-4"/>
          <w:sz w:val="24"/>
        </w:rPr>
        <w:t> </w:t>
      </w:r>
      <w:r>
        <w:rPr>
          <w:sz w:val="24"/>
        </w:rPr>
        <w:t>safety; </w:t>
      </w:r>
      <w:r>
        <w:rPr>
          <w:spacing w:val="-4"/>
          <w:sz w:val="24"/>
        </w:rPr>
        <w:t>and</w:t>
      </w:r>
    </w:p>
    <w:p>
      <w:pPr>
        <w:pStyle w:val="ListParagraph"/>
        <w:numPr>
          <w:ilvl w:val="2"/>
          <w:numId w:val="17"/>
        </w:numPr>
        <w:tabs>
          <w:tab w:pos="1986" w:val="left" w:leader="none"/>
        </w:tabs>
        <w:spacing w:line="240" w:lineRule="auto" w:before="122" w:after="0"/>
        <w:ind w:left="1985" w:right="0" w:hanging="426"/>
        <w:jc w:val="both"/>
        <w:rPr>
          <w:sz w:val="24"/>
        </w:rPr>
      </w:pPr>
      <w:r>
        <w:rPr>
          <w:sz w:val="24"/>
        </w:rPr>
        <w:t>financial</w:t>
      </w:r>
      <w:r>
        <w:rPr>
          <w:spacing w:val="-5"/>
          <w:sz w:val="24"/>
        </w:rPr>
        <w:t> </w:t>
      </w:r>
      <w:r>
        <w:rPr>
          <w:spacing w:val="-2"/>
          <w:sz w:val="24"/>
        </w:rPr>
        <w:t>loss.</w:t>
      </w:r>
    </w:p>
    <w:p>
      <w:pPr>
        <w:spacing w:after="0" w:line="240" w:lineRule="auto"/>
        <w:jc w:val="both"/>
        <w:rPr>
          <w:sz w:val="24"/>
        </w:rPr>
        <w:sectPr>
          <w:footerReference w:type="default" r:id="rId68"/>
          <w:pgSz w:w="11910" w:h="16840"/>
          <w:pgMar w:footer="770" w:header="0" w:top="880" w:bottom="960" w:left="0" w:right="0"/>
        </w:sectPr>
      </w:pPr>
    </w:p>
    <w:p>
      <w:pPr>
        <w:tabs>
          <w:tab w:pos="7935" w:val="left" w:leader="none"/>
        </w:tabs>
        <w:spacing w:before="75"/>
        <w:ind w:left="566" w:right="0" w:firstLine="0"/>
        <w:jc w:val="left"/>
        <w:rPr>
          <w:sz w:val="22"/>
        </w:rPr>
      </w:pPr>
      <w:r>
        <w:rPr>
          <w:sz w:val="22"/>
        </w:rPr>
        <w:t>Laundry</w:t>
      </w:r>
      <w:r>
        <w:rPr>
          <w:spacing w:val="-5"/>
          <w:sz w:val="22"/>
        </w:rPr>
        <w:t> </w:t>
      </w:r>
      <w:r>
        <w:rPr>
          <w:sz w:val="22"/>
        </w:rPr>
        <w:t>Service</w:t>
      </w:r>
      <w:r>
        <w:rPr>
          <w:spacing w:val="-3"/>
          <w:sz w:val="22"/>
        </w:rPr>
        <w:t> </w:t>
      </w:r>
      <w:r>
        <w:rPr>
          <w:sz w:val="22"/>
        </w:rPr>
        <w:t>–</w:t>
      </w:r>
      <w:r>
        <w:rPr>
          <w:spacing w:val="-4"/>
          <w:sz w:val="22"/>
        </w:rPr>
        <w:t> </w:t>
      </w:r>
      <w:r>
        <w:rPr>
          <w:sz w:val="22"/>
        </w:rPr>
        <w:t>Glan</w:t>
      </w:r>
      <w:r>
        <w:rPr>
          <w:spacing w:val="-4"/>
          <w:sz w:val="22"/>
        </w:rPr>
        <w:t> Clwyd</w:t>
      </w:r>
      <w:r>
        <w:rPr>
          <w:sz w:val="22"/>
        </w:rPr>
        <w:tab/>
        <w:t>Final</w:t>
      </w:r>
      <w:r>
        <w:rPr>
          <w:spacing w:val="-7"/>
          <w:sz w:val="22"/>
        </w:rPr>
        <w:t> </w:t>
      </w:r>
      <w:r>
        <w:rPr>
          <w:sz w:val="22"/>
        </w:rPr>
        <w:t>Internal</w:t>
      </w:r>
      <w:r>
        <w:rPr>
          <w:spacing w:val="-5"/>
          <w:sz w:val="22"/>
        </w:rPr>
        <w:t> </w:t>
      </w:r>
      <w:r>
        <w:rPr>
          <w:sz w:val="22"/>
        </w:rPr>
        <w:t>Audit</w:t>
      </w:r>
      <w:r>
        <w:rPr>
          <w:spacing w:val="-5"/>
          <w:sz w:val="22"/>
        </w:rPr>
        <w:t> </w:t>
      </w:r>
      <w:r>
        <w:rPr>
          <w:spacing w:val="-2"/>
          <w:sz w:val="22"/>
        </w:rPr>
        <w:t>Report</w:t>
      </w:r>
    </w:p>
    <w:p>
      <w:pPr>
        <w:pStyle w:val="BodyText"/>
        <w:spacing w:before="4"/>
        <w:rPr>
          <w:sz w:val="20"/>
        </w:rPr>
      </w:pPr>
      <w:r>
        <w:rPr/>
        <w:pict>
          <v:shape style="position:absolute;margin-left:27.6pt;margin-top:13.561312pt;width:532.450pt;height:1.45pt;mso-position-horizontal-relative:page;mso-position-vertical-relative:paragraph;z-index:-15688704;mso-wrap-distance-left:0;mso-wrap-distance-right:0" id="docshape164" coordorigin="552,271" coordsize="10649,29" path="m11200,271l5943,271,5929,271,5915,271,552,271,552,300,5915,300,5929,300,5943,300,11200,300,11200,271xe" filled="true" fillcolor="#000000" stroked="false">
            <v:path arrowok="t"/>
            <v:fill type="solid"/>
            <w10:wrap type="topAndBottom"/>
          </v:shape>
        </w:pict>
      </w:r>
    </w:p>
    <w:p>
      <w:pPr>
        <w:pStyle w:val="BodyText"/>
        <w:spacing w:before="11"/>
        <w:rPr>
          <w:sz w:val="27"/>
        </w:rPr>
      </w:pPr>
    </w:p>
    <w:p>
      <w:pPr>
        <w:pStyle w:val="Heading4"/>
        <w:numPr>
          <w:ilvl w:val="0"/>
          <w:numId w:val="17"/>
        </w:numPr>
        <w:tabs>
          <w:tab w:pos="1133" w:val="left" w:leader="none"/>
        </w:tabs>
        <w:spacing w:line="240" w:lineRule="auto" w:before="101" w:after="0"/>
        <w:ind w:left="1132" w:right="0" w:hanging="567"/>
        <w:jc w:val="left"/>
        <w:rPr>
          <w:color w:val="2E5395"/>
        </w:rPr>
      </w:pPr>
      <w:r>
        <w:rPr>
          <w:color w:val="2E5395"/>
        </w:rPr>
        <w:t>Detailed</w:t>
      </w:r>
      <w:r>
        <w:rPr>
          <w:color w:val="2E5395"/>
          <w:spacing w:val="-3"/>
        </w:rPr>
        <w:t> </w:t>
      </w:r>
      <w:r>
        <w:rPr>
          <w:color w:val="2E5395"/>
        </w:rPr>
        <w:t>Audit </w:t>
      </w:r>
      <w:r>
        <w:rPr>
          <w:color w:val="2E5395"/>
          <w:spacing w:val="-2"/>
        </w:rPr>
        <w:t>Findings</w:t>
      </w:r>
    </w:p>
    <w:p>
      <w:pPr>
        <w:spacing w:line="259" w:lineRule="auto" w:before="153"/>
        <w:ind w:left="566" w:right="708" w:firstLine="0"/>
        <w:jc w:val="both"/>
        <w:rPr>
          <w:b/>
          <w:sz w:val="24"/>
        </w:rPr>
      </w:pPr>
      <w:r>
        <w:rPr>
          <w:b/>
          <w:color w:val="3C5A8B"/>
          <w:sz w:val="24"/>
        </w:rPr>
        <w:t>Objective 1: Service continuity arrangements have been developed, documented and tested</w:t>
      </w:r>
    </w:p>
    <w:p>
      <w:pPr>
        <w:pStyle w:val="ListParagraph"/>
        <w:numPr>
          <w:ilvl w:val="1"/>
          <w:numId w:val="17"/>
        </w:numPr>
        <w:tabs>
          <w:tab w:pos="1133" w:val="left" w:leader="none"/>
        </w:tabs>
        <w:spacing w:line="259" w:lineRule="auto" w:before="119" w:after="0"/>
        <w:ind w:left="1132" w:right="711" w:hanging="567"/>
        <w:jc w:val="both"/>
        <w:rPr>
          <w:sz w:val="24"/>
        </w:rPr>
      </w:pPr>
      <w:r>
        <w:rPr>
          <w:sz w:val="24"/>
        </w:rPr>
        <w:t>The Standard Operating Procedure for Laundry Production Unit (LPU) Loss of Production (December 2021) sets out the process for the NWSSP Laundry Service to continue to provide services in the event of a shutdown of an LPU due to equipment failure or staffing levels.</w:t>
      </w:r>
    </w:p>
    <w:p>
      <w:pPr>
        <w:pStyle w:val="ListParagraph"/>
        <w:numPr>
          <w:ilvl w:val="1"/>
          <w:numId w:val="17"/>
        </w:numPr>
        <w:tabs>
          <w:tab w:pos="1133" w:val="left" w:leader="none"/>
        </w:tabs>
        <w:spacing w:line="259" w:lineRule="auto" w:before="120" w:after="0"/>
        <w:ind w:left="1132" w:right="703" w:hanging="567"/>
        <w:jc w:val="both"/>
        <w:rPr>
          <w:sz w:val="24"/>
        </w:rPr>
      </w:pPr>
      <w:r>
        <w:rPr>
          <w:sz w:val="24"/>
        </w:rPr>
        <w:t>Each LPU has a nominated back up site for the transfer of activity in the event of loss of production, with a flowchart setting out the procedure to be followed. Optimum and minimum staffing levels have been identified for each site.</w:t>
      </w:r>
    </w:p>
    <w:p>
      <w:pPr>
        <w:pStyle w:val="ListParagraph"/>
        <w:numPr>
          <w:ilvl w:val="1"/>
          <w:numId w:val="17"/>
        </w:numPr>
        <w:tabs>
          <w:tab w:pos="1133" w:val="left" w:leader="none"/>
        </w:tabs>
        <w:spacing w:line="259" w:lineRule="auto" w:before="119" w:after="0"/>
        <w:ind w:left="1132" w:right="702" w:hanging="567"/>
        <w:jc w:val="both"/>
        <w:rPr>
          <w:sz w:val="24"/>
        </w:rPr>
      </w:pPr>
      <w:r>
        <w:rPr>
          <w:sz w:val="24"/>
        </w:rPr>
        <w:t>Buffer</w:t>
      </w:r>
      <w:r>
        <w:rPr>
          <w:spacing w:val="-13"/>
          <w:sz w:val="24"/>
        </w:rPr>
        <w:t> </w:t>
      </w:r>
      <w:r>
        <w:rPr>
          <w:sz w:val="24"/>
        </w:rPr>
        <w:t>stock</w:t>
      </w:r>
      <w:r>
        <w:rPr>
          <w:spacing w:val="-16"/>
          <w:sz w:val="24"/>
        </w:rPr>
        <w:t> </w:t>
      </w:r>
      <w:r>
        <w:rPr>
          <w:sz w:val="24"/>
        </w:rPr>
        <w:t>is</w:t>
      </w:r>
      <w:r>
        <w:rPr>
          <w:spacing w:val="-13"/>
          <w:sz w:val="24"/>
        </w:rPr>
        <w:t> </w:t>
      </w:r>
      <w:r>
        <w:rPr>
          <w:sz w:val="24"/>
        </w:rPr>
        <w:t>held</w:t>
      </w:r>
      <w:r>
        <w:rPr>
          <w:spacing w:val="-12"/>
          <w:sz w:val="24"/>
        </w:rPr>
        <w:t> </w:t>
      </w:r>
      <w:r>
        <w:rPr>
          <w:sz w:val="24"/>
        </w:rPr>
        <w:t>at</w:t>
      </w:r>
      <w:r>
        <w:rPr>
          <w:spacing w:val="-16"/>
          <w:sz w:val="24"/>
        </w:rPr>
        <w:t> </w:t>
      </w:r>
      <w:r>
        <w:rPr>
          <w:sz w:val="24"/>
        </w:rPr>
        <w:t>each</w:t>
      </w:r>
      <w:r>
        <w:rPr>
          <w:spacing w:val="-14"/>
          <w:sz w:val="24"/>
        </w:rPr>
        <w:t> </w:t>
      </w:r>
      <w:r>
        <w:rPr>
          <w:sz w:val="24"/>
        </w:rPr>
        <w:t>laundry</w:t>
      </w:r>
      <w:r>
        <w:rPr>
          <w:spacing w:val="-15"/>
          <w:sz w:val="24"/>
        </w:rPr>
        <w:t> </w:t>
      </w:r>
      <w:r>
        <w:rPr>
          <w:sz w:val="24"/>
        </w:rPr>
        <w:t>site,</w:t>
      </w:r>
      <w:r>
        <w:rPr>
          <w:spacing w:val="-13"/>
          <w:sz w:val="24"/>
        </w:rPr>
        <w:t> </w:t>
      </w:r>
      <w:r>
        <w:rPr>
          <w:sz w:val="24"/>
        </w:rPr>
        <w:t>sufficient</w:t>
      </w:r>
      <w:r>
        <w:rPr>
          <w:spacing w:val="-14"/>
          <w:sz w:val="24"/>
        </w:rPr>
        <w:t> </w:t>
      </w:r>
      <w:r>
        <w:rPr>
          <w:sz w:val="24"/>
        </w:rPr>
        <w:t>to</w:t>
      </w:r>
      <w:r>
        <w:rPr>
          <w:spacing w:val="-14"/>
          <w:sz w:val="24"/>
        </w:rPr>
        <w:t> </w:t>
      </w:r>
      <w:r>
        <w:rPr>
          <w:sz w:val="24"/>
        </w:rPr>
        <w:t>serve</w:t>
      </w:r>
      <w:r>
        <w:rPr>
          <w:spacing w:val="-14"/>
          <w:sz w:val="24"/>
        </w:rPr>
        <w:t> </w:t>
      </w:r>
      <w:r>
        <w:rPr>
          <w:sz w:val="24"/>
        </w:rPr>
        <w:t>production</w:t>
      </w:r>
      <w:r>
        <w:rPr>
          <w:spacing w:val="-13"/>
          <w:sz w:val="24"/>
        </w:rPr>
        <w:t> </w:t>
      </w:r>
      <w:r>
        <w:rPr>
          <w:sz w:val="24"/>
        </w:rPr>
        <w:t>needs</w:t>
      </w:r>
      <w:r>
        <w:rPr>
          <w:spacing w:val="-15"/>
          <w:sz w:val="24"/>
        </w:rPr>
        <w:t> </w:t>
      </w:r>
      <w:r>
        <w:rPr>
          <w:sz w:val="24"/>
        </w:rPr>
        <w:t>for</w:t>
      </w:r>
      <w:r>
        <w:rPr>
          <w:spacing w:val="-14"/>
          <w:sz w:val="24"/>
        </w:rPr>
        <w:t> </w:t>
      </w:r>
      <w:r>
        <w:rPr>
          <w:sz w:val="24"/>
        </w:rPr>
        <w:t>one day</w:t>
      </w:r>
      <w:r>
        <w:rPr>
          <w:spacing w:val="-11"/>
          <w:sz w:val="24"/>
        </w:rPr>
        <w:t> </w:t>
      </w:r>
      <w:r>
        <w:rPr>
          <w:sz w:val="24"/>
        </w:rPr>
        <w:t>due</w:t>
      </w:r>
      <w:r>
        <w:rPr>
          <w:spacing w:val="-10"/>
          <w:sz w:val="24"/>
        </w:rPr>
        <w:t> </w:t>
      </w:r>
      <w:r>
        <w:rPr>
          <w:sz w:val="24"/>
        </w:rPr>
        <w:t>to</w:t>
      </w:r>
      <w:r>
        <w:rPr>
          <w:spacing w:val="-11"/>
          <w:sz w:val="24"/>
        </w:rPr>
        <w:t> </w:t>
      </w:r>
      <w:r>
        <w:rPr>
          <w:sz w:val="24"/>
        </w:rPr>
        <w:t>limited</w:t>
      </w:r>
      <w:r>
        <w:rPr>
          <w:spacing w:val="-12"/>
          <w:sz w:val="24"/>
        </w:rPr>
        <w:t> </w:t>
      </w:r>
      <w:r>
        <w:rPr>
          <w:sz w:val="24"/>
        </w:rPr>
        <w:t>storage</w:t>
      </w:r>
      <w:r>
        <w:rPr>
          <w:spacing w:val="-11"/>
          <w:sz w:val="24"/>
        </w:rPr>
        <w:t> </w:t>
      </w:r>
      <w:r>
        <w:rPr>
          <w:sz w:val="24"/>
        </w:rPr>
        <w:t>capacity.</w:t>
      </w:r>
      <w:r>
        <w:rPr>
          <w:spacing w:val="-10"/>
          <w:sz w:val="24"/>
        </w:rPr>
        <w:t> </w:t>
      </w:r>
      <w:r>
        <w:rPr>
          <w:sz w:val="24"/>
        </w:rPr>
        <w:t>An</w:t>
      </w:r>
      <w:r>
        <w:rPr>
          <w:spacing w:val="-9"/>
          <w:sz w:val="24"/>
        </w:rPr>
        <w:t> </w:t>
      </w:r>
      <w:r>
        <w:rPr>
          <w:sz w:val="24"/>
        </w:rPr>
        <w:t>emergency</w:t>
      </w:r>
      <w:r>
        <w:rPr>
          <w:spacing w:val="-12"/>
          <w:sz w:val="24"/>
        </w:rPr>
        <w:t> </w:t>
      </w:r>
      <w:r>
        <w:rPr>
          <w:sz w:val="24"/>
        </w:rPr>
        <w:t>linen</w:t>
      </w:r>
      <w:r>
        <w:rPr>
          <w:spacing w:val="-12"/>
          <w:sz w:val="24"/>
        </w:rPr>
        <w:t> </w:t>
      </w:r>
      <w:r>
        <w:rPr>
          <w:sz w:val="24"/>
        </w:rPr>
        <w:t>stock</w:t>
      </w:r>
      <w:r>
        <w:rPr>
          <w:spacing w:val="-12"/>
          <w:sz w:val="24"/>
        </w:rPr>
        <w:t> </w:t>
      </w:r>
      <w:r>
        <w:rPr>
          <w:sz w:val="24"/>
        </w:rPr>
        <w:t>has</w:t>
      </w:r>
      <w:r>
        <w:rPr>
          <w:spacing w:val="-11"/>
          <w:sz w:val="24"/>
        </w:rPr>
        <w:t> </w:t>
      </w:r>
      <w:r>
        <w:rPr>
          <w:sz w:val="24"/>
        </w:rPr>
        <w:t>been</w:t>
      </w:r>
      <w:r>
        <w:rPr>
          <w:spacing w:val="-12"/>
          <w:sz w:val="24"/>
        </w:rPr>
        <w:t> </w:t>
      </w:r>
      <w:r>
        <w:rPr>
          <w:sz w:val="24"/>
        </w:rPr>
        <w:t>established at IP5 in Newport equivalent to 3-5 days of production at each LPU. Senior management approval is required to release stock.</w:t>
      </w:r>
    </w:p>
    <w:p>
      <w:pPr>
        <w:pStyle w:val="ListParagraph"/>
        <w:numPr>
          <w:ilvl w:val="1"/>
          <w:numId w:val="17"/>
        </w:numPr>
        <w:tabs>
          <w:tab w:pos="1133" w:val="left" w:leader="none"/>
        </w:tabs>
        <w:spacing w:line="259" w:lineRule="auto" w:before="120" w:after="0"/>
        <w:ind w:left="1132" w:right="703" w:hanging="567"/>
        <w:jc w:val="both"/>
        <w:rPr>
          <w:sz w:val="24"/>
        </w:rPr>
      </w:pPr>
      <w:r>
        <w:rPr>
          <w:sz w:val="24"/>
        </w:rPr>
        <w:t>The SOP was tested in December 2021, with the total shutdown of Glan Clwyd Laundry and transfer of activity to Green Vale (week 1) and reduced production at Greenvale,</w:t>
      </w:r>
      <w:r>
        <w:rPr>
          <w:spacing w:val="-21"/>
          <w:sz w:val="24"/>
        </w:rPr>
        <w:t> </w:t>
      </w:r>
      <w:r>
        <w:rPr>
          <w:sz w:val="24"/>
        </w:rPr>
        <w:t>testing</w:t>
      </w:r>
      <w:r>
        <w:rPr>
          <w:spacing w:val="-18"/>
          <w:sz w:val="24"/>
        </w:rPr>
        <w:t> </w:t>
      </w:r>
      <w:r>
        <w:rPr>
          <w:sz w:val="24"/>
        </w:rPr>
        <w:t>a</w:t>
      </w:r>
      <w:r>
        <w:rPr>
          <w:spacing w:val="-18"/>
          <w:sz w:val="24"/>
        </w:rPr>
        <w:t> </w:t>
      </w:r>
      <w:r>
        <w:rPr>
          <w:sz w:val="24"/>
        </w:rPr>
        <w:t>new</w:t>
      </w:r>
      <w:r>
        <w:rPr>
          <w:spacing w:val="-19"/>
          <w:sz w:val="24"/>
        </w:rPr>
        <w:t> </w:t>
      </w:r>
      <w:r>
        <w:rPr>
          <w:sz w:val="24"/>
        </w:rPr>
        <w:t>process,</w:t>
      </w:r>
      <w:r>
        <w:rPr>
          <w:spacing w:val="-18"/>
          <w:sz w:val="24"/>
        </w:rPr>
        <w:t> </w:t>
      </w:r>
      <w:r>
        <w:rPr>
          <w:sz w:val="24"/>
        </w:rPr>
        <w:t>extended</w:t>
      </w:r>
      <w:r>
        <w:rPr>
          <w:spacing w:val="-20"/>
          <w:sz w:val="24"/>
        </w:rPr>
        <w:t> </w:t>
      </w:r>
      <w:r>
        <w:rPr>
          <w:sz w:val="24"/>
        </w:rPr>
        <w:t>working</w:t>
      </w:r>
      <w:r>
        <w:rPr>
          <w:spacing w:val="-18"/>
          <w:sz w:val="24"/>
        </w:rPr>
        <w:t> </w:t>
      </w:r>
      <w:r>
        <w:rPr>
          <w:sz w:val="24"/>
        </w:rPr>
        <w:t>hours</w:t>
      </w:r>
      <w:r>
        <w:rPr>
          <w:spacing w:val="-14"/>
          <w:sz w:val="24"/>
        </w:rPr>
        <w:t> </w:t>
      </w:r>
      <w:r>
        <w:rPr>
          <w:sz w:val="24"/>
        </w:rPr>
        <w:t>and</w:t>
      </w:r>
      <w:r>
        <w:rPr>
          <w:spacing w:val="-18"/>
          <w:sz w:val="24"/>
        </w:rPr>
        <w:t> </w:t>
      </w:r>
      <w:r>
        <w:rPr>
          <w:sz w:val="24"/>
        </w:rPr>
        <w:t>transfer</w:t>
      </w:r>
      <w:r>
        <w:rPr>
          <w:spacing w:val="-19"/>
          <w:sz w:val="24"/>
        </w:rPr>
        <w:t> </w:t>
      </w:r>
      <w:r>
        <w:rPr>
          <w:sz w:val="24"/>
        </w:rPr>
        <w:t>of</w:t>
      </w:r>
      <w:r>
        <w:rPr>
          <w:spacing w:val="-20"/>
          <w:sz w:val="24"/>
        </w:rPr>
        <w:t> </w:t>
      </w:r>
      <w:r>
        <w:rPr>
          <w:sz w:val="24"/>
        </w:rPr>
        <w:t>staff</w:t>
      </w:r>
      <w:r>
        <w:rPr>
          <w:spacing w:val="-19"/>
          <w:sz w:val="24"/>
        </w:rPr>
        <w:t> </w:t>
      </w:r>
      <w:r>
        <w:rPr>
          <w:sz w:val="24"/>
        </w:rPr>
        <w:t>from Swansea Laundry (week 2). An Operations Update Report to the Transformational Programme Board reported that these exercises were successful with no impact to </w:t>
      </w:r>
      <w:r>
        <w:rPr>
          <w:spacing w:val="-2"/>
          <w:sz w:val="24"/>
        </w:rPr>
        <w:t>customers.</w:t>
      </w:r>
    </w:p>
    <w:p>
      <w:pPr>
        <w:pStyle w:val="BodyText"/>
        <w:spacing w:before="118"/>
        <w:ind w:left="566"/>
      </w:pPr>
      <w:r>
        <w:rPr>
          <w:color w:val="3C5A8B"/>
          <w:spacing w:val="-2"/>
        </w:rPr>
        <w:t>Conclusion:</w:t>
      </w:r>
    </w:p>
    <w:p>
      <w:pPr>
        <w:pStyle w:val="ListParagraph"/>
        <w:numPr>
          <w:ilvl w:val="1"/>
          <w:numId w:val="17"/>
        </w:numPr>
        <w:tabs>
          <w:tab w:pos="1133" w:val="left" w:leader="none"/>
        </w:tabs>
        <w:spacing w:line="240" w:lineRule="auto" w:before="119" w:after="0"/>
        <w:ind w:left="1132" w:right="704" w:hanging="567"/>
        <w:jc w:val="both"/>
        <w:rPr>
          <w:sz w:val="24"/>
        </w:rPr>
      </w:pPr>
      <w:r>
        <w:rPr>
          <w:sz w:val="24"/>
        </w:rPr>
        <w:t>Business continuity arrangements have been documented in a standard operating procedure and successfully tested. Accordingly, we have concluded </w:t>
      </w:r>
      <w:r>
        <w:rPr>
          <w:b/>
          <w:sz w:val="24"/>
        </w:rPr>
        <w:t>Substantial </w:t>
      </w:r>
      <w:r>
        <w:rPr>
          <w:sz w:val="24"/>
        </w:rPr>
        <w:t>assurance for this objective.</w:t>
      </w:r>
    </w:p>
    <w:p>
      <w:pPr>
        <w:spacing w:before="241"/>
        <w:ind w:left="566" w:right="0" w:firstLine="0"/>
        <w:jc w:val="both"/>
        <w:rPr>
          <w:b/>
          <w:sz w:val="24"/>
        </w:rPr>
      </w:pPr>
      <w:r>
        <w:rPr>
          <w:b/>
          <w:color w:val="3C5A8B"/>
          <w:sz w:val="24"/>
        </w:rPr>
        <w:t>Objective</w:t>
      </w:r>
      <w:r>
        <w:rPr>
          <w:b/>
          <w:color w:val="3C5A8B"/>
          <w:spacing w:val="-6"/>
          <w:sz w:val="24"/>
        </w:rPr>
        <w:t> </w:t>
      </w:r>
      <w:r>
        <w:rPr>
          <w:b/>
          <w:color w:val="3C5A8B"/>
          <w:sz w:val="24"/>
        </w:rPr>
        <w:t>2:</w:t>
      </w:r>
      <w:r>
        <w:rPr>
          <w:b/>
          <w:color w:val="3C5A8B"/>
          <w:spacing w:val="-3"/>
          <w:sz w:val="24"/>
        </w:rPr>
        <w:t> </w:t>
      </w:r>
      <w:r>
        <w:rPr>
          <w:b/>
          <w:color w:val="3C5A8B"/>
          <w:sz w:val="24"/>
        </w:rPr>
        <w:t>Appropriate</w:t>
      </w:r>
      <w:r>
        <w:rPr>
          <w:b/>
          <w:color w:val="3C5A8B"/>
          <w:spacing w:val="-3"/>
          <w:sz w:val="24"/>
        </w:rPr>
        <w:t> </w:t>
      </w:r>
      <w:r>
        <w:rPr>
          <w:b/>
          <w:color w:val="3C5A8B"/>
          <w:sz w:val="24"/>
        </w:rPr>
        <w:t>physical</w:t>
      </w:r>
      <w:r>
        <w:rPr>
          <w:b/>
          <w:color w:val="3C5A8B"/>
          <w:spacing w:val="-1"/>
          <w:sz w:val="24"/>
        </w:rPr>
        <w:t> </w:t>
      </w:r>
      <w:r>
        <w:rPr>
          <w:b/>
          <w:color w:val="3C5A8B"/>
          <w:sz w:val="24"/>
        </w:rPr>
        <w:t>controls</w:t>
      </w:r>
      <w:r>
        <w:rPr>
          <w:b/>
          <w:color w:val="3C5A8B"/>
          <w:spacing w:val="-4"/>
          <w:sz w:val="24"/>
        </w:rPr>
        <w:t> </w:t>
      </w:r>
      <w:r>
        <w:rPr>
          <w:b/>
          <w:color w:val="3C5A8B"/>
          <w:sz w:val="24"/>
        </w:rPr>
        <w:t>are</w:t>
      </w:r>
      <w:r>
        <w:rPr>
          <w:b/>
          <w:color w:val="3C5A8B"/>
          <w:spacing w:val="-3"/>
          <w:sz w:val="24"/>
        </w:rPr>
        <w:t> </w:t>
      </w:r>
      <w:r>
        <w:rPr>
          <w:b/>
          <w:color w:val="3C5A8B"/>
          <w:sz w:val="24"/>
        </w:rPr>
        <w:t>in</w:t>
      </w:r>
      <w:r>
        <w:rPr>
          <w:b/>
          <w:color w:val="3C5A8B"/>
          <w:spacing w:val="-3"/>
          <w:sz w:val="24"/>
        </w:rPr>
        <w:t> </w:t>
      </w:r>
      <w:r>
        <w:rPr>
          <w:b/>
          <w:color w:val="3C5A8B"/>
          <w:sz w:val="24"/>
        </w:rPr>
        <w:t>operation</w:t>
      </w:r>
      <w:r>
        <w:rPr>
          <w:b/>
          <w:color w:val="3C5A8B"/>
          <w:spacing w:val="-3"/>
          <w:sz w:val="24"/>
        </w:rPr>
        <w:t> </w:t>
      </w:r>
      <w:r>
        <w:rPr>
          <w:b/>
          <w:color w:val="3C5A8B"/>
          <w:sz w:val="24"/>
        </w:rPr>
        <w:t>at</w:t>
      </w:r>
      <w:r>
        <w:rPr>
          <w:b/>
          <w:color w:val="3C5A8B"/>
          <w:spacing w:val="-1"/>
          <w:sz w:val="24"/>
        </w:rPr>
        <w:t> </w:t>
      </w:r>
      <w:r>
        <w:rPr>
          <w:b/>
          <w:color w:val="3C5A8B"/>
          <w:sz w:val="24"/>
        </w:rPr>
        <w:t>laundry</w:t>
      </w:r>
      <w:r>
        <w:rPr>
          <w:b/>
          <w:color w:val="3C5A8B"/>
          <w:spacing w:val="-4"/>
          <w:sz w:val="24"/>
        </w:rPr>
        <w:t> </w:t>
      </w:r>
      <w:r>
        <w:rPr>
          <w:b/>
          <w:color w:val="3C5A8B"/>
          <w:spacing w:val="-2"/>
          <w:sz w:val="24"/>
        </w:rPr>
        <w:t>sites</w:t>
      </w:r>
    </w:p>
    <w:p>
      <w:pPr>
        <w:pStyle w:val="ListParagraph"/>
        <w:numPr>
          <w:ilvl w:val="1"/>
          <w:numId w:val="17"/>
        </w:numPr>
        <w:tabs>
          <w:tab w:pos="1133" w:val="left" w:leader="none"/>
        </w:tabs>
        <w:spacing w:line="240" w:lineRule="auto" w:before="119" w:after="0"/>
        <w:ind w:left="1132" w:right="703" w:hanging="567"/>
        <w:jc w:val="both"/>
        <w:rPr>
          <w:sz w:val="24"/>
        </w:rPr>
      </w:pPr>
      <w:r>
        <w:rPr>
          <w:sz w:val="24"/>
        </w:rPr>
        <w:t>During</w:t>
      </w:r>
      <w:r>
        <w:rPr>
          <w:spacing w:val="-7"/>
          <w:sz w:val="24"/>
        </w:rPr>
        <w:t> </w:t>
      </w:r>
      <w:r>
        <w:rPr>
          <w:sz w:val="24"/>
        </w:rPr>
        <w:t>a</w:t>
      </w:r>
      <w:r>
        <w:rPr>
          <w:spacing w:val="-6"/>
          <w:sz w:val="24"/>
        </w:rPr>
        <w:t> </w:t>
      </w:r>
      <w:r>
        <w:rPr>
          <w:sz w:val="24"/>
        </w:rPr>
        <w:t>site</w:t>
      </w:r>
      <w:r>
        <w:rPr>
          <w:spacing w:val="-5"/>
          <w:sz w:val="24"/>
        </w:rPr>
        <w:t> </w:t>
      </w:r>
      <w:r>
        <w:rPr>
          <w:sz w:val="24"/>
        </w:rPr>
        <w:t>visit</w:t>
      </w:r>
      <w:r>
        <w:rPr>
          <w:spacing w:val="-7"/>
          <w:sz w:val="24"/>
        </w:rPr>
        <w:t> </w:t>
      </w:r>
      <w:r>
        <w:rPr>
          <w:sz w:val="24"/>
        </w:rPr>
        <w:t>at</w:t>
      </w:r>
      <w:r>
        <w:rPr>
          <w:spacing w:val="-5"/>
          <w:sz w:val="24"/>
        </w:rPr>
        <w:t> </w:t>
      </w:r>
      <w:r>
        <w:rPr>
          <w:sz w:val="24"/>
        </w:rPr>
        <w:t>the</w:t>
      </w:r>
      <w:r>
        <w:rPr>
          <w:spacing w:val="-4"/>
          <w:sz w:val="24"/>
        </w:rPr>
        <w:t> </w:t>
      </w:r>
      <w:r>
        <w:rPr>
          <w:sz w:val="24"/>
        </w:rPr>
        <w:t>Glan</w:t>
      </w:r>
      <w:r>
        <w:rPr>
          <w:spacing w:val="-7"/>
          <w:sz w:val="24"/>
        </w:rPr>
        <w:t> </w:t>
      </w:r>
      <w:r>
        <w:rPr>
          <w:sz w:val="24"/>
        </w:rPr>
        <w:t>Clwyd</w:t>
      </w:r>
      <w:r>
        <w:rPr>
          <w:spacing w:val="-7"/>
          <w:sz w:val="24"/>
        </w:rPr>
        <w:t> </w:t>
      </w:r>
      <w:r>
        <w:rPr>
          <w:sz w:val="24"/>
        </w:rPr>
        <w:t>Laundry</w:t>
      </w:r>
      <w:r>
        <w:rPr>
          <w:spacing w:val="-6"/>
          <w:sz w:val="24"/>
        </w:rPr>
        <w:t> </w:t>
      </w:r>
      <w:r>
        <w:rPr>
          <w:sz w:val="24"/>
        </w:rPr>
        <w:t>we</w:t>
      </w:r>
      <w:r>
        <w:rPr>
          <w:spacing w:val="-4"/>
          <w:sz w:val="24"/>
        </w:rPr>
        <w:t> </w:t>
      </w:r>
      <w:r>
        <w:rPr>
          <w:sz w:val="24"/>
        </w:rPr>
        <w:t>noted</w:t>
      </w:r>
      <w:r>
        <w:rPr>
          <w:spacing w:val="-7"/>
          <w:sz w:val="24"/>
        </w:rPr>
        <w:t> </w:t>
      </w:r>
      <w:r>
        <w:rPr>
          <w:sz w:val="24"/>
        </w:rPr>
        <w:t>that</w:t>
      </w:r>
      <w:r>
        <w:rPr>
          <w:spacing w:val="-7"/>
          <w:sz w:val="24"/>
        </w:rPr>
        <w:t> </w:t>
      </w:r>
      <w:r>
        <w:rPr>
          <w:sz w:val="24"/>
        </w:rPr>
        <w:t>the</w:t>
      </w:r>
      <w:r>
        <w:rPr>
          <w:spacing w:val="-5"/>
          <w:sz w:val="24"/>
        </w:rPr>
        <w:t> </w:t>
      </w:r>
      <w:r>
        <w:rPr>
          <w:sz w:val="24"/>
        </w:rPr>
        <w:t>building</w:t>
      </w:r>
      <w:r>
        <w:rPr>
          <w:spacing w:val="-7"/>
          <w:sz w:val="24"/>
        </w:rPr>
        <w:t> </w:t>
      </w:r>
      <w:r>
        <w:rPr>
          <w:sz w:val="24"/>
        </w:rPr>
        <w:t>is</w:t>
      </w:r>
      <w:r>
        <w:rPr>
          <w:spacing w:val="-7"/>
          <w:sz w:val="24"/>
        </w:rPr>
        <w:t> </w:t>
      </w:r>
      <w:r>
        <w:rPr>
          <w:sz w:val="24"/>
        </w:rPr>
        <w:t>in</w:t>
      </w:r>
      <w:r>
        <w:rPr>
          <w:spacing w:val="-7"/>
          <w:sz w:val="24"/>
        </w:rPr>
        <w:t> </w:t>
      </w:r>
      <w:r>
        <w:rPr>
          <w:sz w:val="24"/>
        </w:rPr>
        <w:t>a</w:t>
      </w:r>
      <w:r>
        <w:rPr>
          <w:spacing w:val="-6"/>
          <w:sz w:val="24"/>
        </w:rPr>
        <w:t> </w:t>
      </w:r>
      <w:r>
        <w:rPr>
          <w:sz w:val="24"/>
        </w:rPr>
        <w:t>poor state of repair with fire exit doors in poor condition providing opportunity for unauthorised</w:t>
      </w:r>
      <w:r>
        <w:rPr>
          <w:spacing w:val="-15"/>
          <w:sz w:val="24"/>
        </w:rPr>
        <w:t> </w:t>
      </w:r>
      <w:r>
        <w:rPr>
          <w:sz w:val="24"/>
        </w:rPr>
        <w:t>access.</w:t>
      </w:r>
      <w:r>
        <w:rPr>
          <w:spacing w:val="-15"/>
          <w:sz w:val="24"/>
        </w:rPr>
        <w:t> </w:t>
      </w:r>
      <w:r>
        <w:rPr>
          <w:sz w:val="24"/>
        </w:rPr>
        <w:t>Unlike</w:t>
      </w:r>
      <w:r>
        <w:rPr>
          <w:spacing w:val="-14"/>
          <w:sz w:val="24"/>
        </w:rPr>
        <w:t> </w:t>
      </w:r>
      <w:r>
        <w:rPr>
          <w:sz w:val="24"/>
        </w:rPr>
        <w:t>Llansamlet</w:t>
      </w:r>
      <w:r>
        <w:rPr>
          <w:spacing w:val="-12"/>
          <w:sz w:val="24"/>
        </w:rPr>
        <w:t> </w:t>
      </w:r>
      <w:r>
        <w:rPr>
          <w:sz w:val="24"/>
        </w:rPr>
        <w:t>and</w:t>
      </w:r>
      <w:r>
        <w:rPr>
          <w:spacing w:val="-15"/>
          <w:sz w:val="24"/>
        </w:rPr>
        <w:t> </w:t>
      </w:r>
      <w:r>
        <w:rPr>
          <w:sz w:val="24"/>
        </w:rPr>
        <w:t>Green</w:t>
      </w:r>
      <w:r>
        <w:rPr>
          <w:spacing w:val="-15"/>
          <w:sz w:val="24"/>
        </w:rPr>
        <w:t> </w:t>
      </w:r>
      <w:r>
        <w:rPr>
          <w:sz w:val="24"/>
        </w:rPr>
        <w:t>Vale</w:t>
      </w:r>
      <w:r>
        <w:rPr>
          <w:spacing w:val="-14"/>
          <w:sz w:val="24"/>
        </w:rPr>
        <w:t> </w:t>
      </w:r>
      <w:r>
        <w:rPr>
          <w:sz w:val="24"/>
        </w:rPr>
        <w:t>Laundries,</w:t>
      </w:r>
      <w:r>
        <w:rPr>
          <w:spacing w:val="-16"/>
          <w:sz w:val="24"/>
        </w:rPr>
        <w:t> </w:t>
      </w:r>
      <w:r>
        <w:rPr>
          <w:sz w:val="24"/>
        </w:rPr>
        <w:t>there</w:t>
      </w:r>
      <w:r>
        <w:rPr>
          <w:spacing w:val="-12"/>
          <w:sz w:val="24"/>
        </w:rPr>
        <w:t> </w:t>
      </w:r>
      <w:r>
        <w:rPr>
          <w:sz w:val="24"/>
        </w:rPr>
        <w:t>is</w:t>
      </w:r>
      <w:r>
        <w:rPr>
          <w:spacing w:val="-15"/>
          <w:sz w:val="24"/>
        </w:rPr>
        <w:t> </w:t>
      </w:r>
      <w:r>
        <w:rPr>
          <w:sz w:val="24"/>
        </w:rPr>
        <w:t>no</w:t>
      </w:r>
      <w:r>
        <w:rPr>
          <w:spacing w:val="-14"/>
          <w:sz w:val="24"/>
        </w:rPr>
        <w:t> </w:t>
      </w:r>
      <w:r>
        <w:rPr>
          <w:sz w:val="24"/>
        </w:rPr>
        <w:t>alarm system</w:t>
      </w:r>
      <w:r>
        <w:rPr>
          <w:spacing w:val="-4"/>
          <w:sz w:val="24"/>
        </w:rPr>
        <w:t> </w:t>
      </w:r>
      <w:r>
        <w:rPr>
          <w:sz w:val="24"/>
        </w:rPr>
        <w:t>or</w:t>
      </w:r>
      <w:r>
        <w:rPr>
          <w:spacing w:val="-3"/>
          <w:sz w:val="24"/>
        </w:rPr>
        <w:t> </w:t>
      </w:r>
      <w:r>
        <w:rPr>
          <w:sz w:val="24"/>
        </w:rPr>
        <w:t>CCTV</w:t>
      </w:r>
      <w:r>
        <w:rPr>
          <w:spacing w:val="-4"/>
          <w:sz w:val="24"/>
        </w:rPr>
        <w:t> </w:t>
      </w:r>
      <w:r>
        <w:rPr>
          <w:sz w:val="24"/>
        </w:rPr>
        <w:t>in</w:t>
      </w:r>
      <w:r>
        <w:rPr>
          <w:spacing w:val="-3"/>
          <w:sz w:val="24"/>
        </w:rPr>
        <w:t> </w:t>
      </w:r>
      <w:r>
        <w:rPr>
          <w:sz w:val="24"/>
        </w:rPr>
        <w:t>place,</w:t>
      </w:r>
      <w:r>
        <w:rPr>
          <w:spacing w:val="-4"/>
          <w:sz w:val="24"/>
        </w:rPr>
        <w:t> </w:t>
      </w:r>
      <w:r>
        <w:rPr>
          <w:sz w:val="24"/>
        </w:rPr>
        <w:t>no</w:t>
      </w:r>
      <w:r>
        <w:rPr>
          <w:spacing w:val="-3"/>
          <w:sz w:val="24"/>
        </w:rPr>
        <w:t> </w:t>
      </w:r>
      <w:r>
        <w:rPr>
          <w:sz w:val="24"/>
        </w:rPr>
        <w:t>perimeter</w:t>
      </w:r>
      <w:r>
        <w:rPr>
          <w:spacing w:val="-1"/>
          <w:sz w:val="24"/>
        </w:rPr>
        <w:t> </w:t>
      </w:r>
      <w:r>
        <w:rPr>
          <w:sz w:val="24"/>
        </w:rPr>
        <w:t>fencing</w:t>
      </w:r>
      <w:r>
        <w:rPr>
          <w:spacing w:val="-3"/>
          <w:sz w:val="24"/>
        </w:rPr>
        <w:t> </w:t>
      </w:r>
      <w:r>
        <w:rPr>
          <w:sz w:val="24"/>
        </w:rPr>
        <w:t>and</w:t>
      </w:r>
      <w:r>
        <w:rPr>
          <w:spacing w:val="-4"/>
          <w:sz w:val="24"/>
        </w:rPr>
        <w:t> </w:t>
      </w:r>
      <w:r>
        <w:rPr>
          <w:sz w:val="24"/>
        </w:rPr>
        <w:t>a</w:t>
      </w:r>
      <w:r>
        <w:rPr>
          <w:spacing w:val="-4"/>
          <w:sz w:val="24"/>
        </w:rPr>
        <w:t> </w:t>
      </w:r>
      <w:r>
        <w:rPr>
          <w:sz w:val="24"/>
        </w:rPr>
        <w:t>record</w:t>
      </w:r>
      <w:r>
        <w:rPr>
          <w:spacing w:val="-4"/>
          <w:sz w:val="24"/>
        </w:rPr>
        <w:t> </w:t>
      </w:r>
      <w:r>
        <w:rPr>
          <w:sz w:val="24"/>
        </w:rPr>
        <w:t>of</w:t>
      </w:r>
      <w:r>
        <w:rPr>
          <w:spacing w:val="-3"/>
          <w:sz w:val="24"/>
        </w:rPr>
        <w:t> </w:t>
      </w:r>
      <w:r>
        <w:rPr>
          <w:sz w:val="24"/>
        </w:rPr>
        <w:t>building</w:t>
      </w:r>
      <w:r>
        <w:rPr>
          <w:spacing w:val="-2"/>
          <w:sz w:val="24"/>
        </w:rPr>
        <w:t> </w:t>
      </w:r>
      <w:r>
        <w:rPr>
          <w:sz w:val="24"/>
        </w:rPr>
        <w:t>key</w:t>
      </w:r>
      <w:r>
        <w:rPr>
          <w:spacing w:val="-3"/>
          <w:sz w:val="24"/>
        </w:rPr>
        <w:t> </w:t>
      </w:r>
      <w:r>
        <w:rPr>
          <w:sz w:val="24"/>
        </w:rPr>
        <w:t>holders is not maintained. We also observed fire exit doors propped open to allow </w:t>
      </w:r>
      <w:r>
        <w:rPr>
          <w:spacing w:val="-2"/>
          <w:sz w:val="24"/>
        </w:rPr>
        <w:t>ventilation.</w:t>
      </w:r>
    </w:p>
    <w:p>
      <w:pPr>
        <w:spacing w:before="123"/>
        <w:ind w:left="1132" w:right="0" w:firstLine="0"/>
        <w:jc w:val="both"/>
        <w:rPr>
          <w:b/>
          <w:sz w:val="24"/>
        </w:rPr>
      </w:pPr>
      <w:r>
        <w:rPr>
          <w:b/>
          <w:sz w:val="24"/>
        </w:rPr>
        <w:t>[Matter</w:t>
      </w:r>
      <w:r>
        <w:rPr>
          <w:b/>
          <w:spacing w:val="-5"/>
          <w:sz w:val="24"/>
        </w:rPr>
        <w:t> </w:t>
      </w:r>
      <w:r>
        <w:rPr>
          <w:b/>
          <w:sz w:val="24"/>
        </w:rPr>
        <w:t>Arising</w:t>
      </w:r>
      <w:r>
        <w:rPr>
          <w:b/>
          <w:spacing w:val="-3"/>
          <w:sz w:val="24"/>
        </w:rPr>
        <w:t> </w:t>
      </w:r>
      <w:r>
        <w:rPr>
          <w:b/>
          <w:spacing w:val="-5"/>
          <w:sz w:val="24"/>
        </w:rPr>
        <w:t>1]</w:t>
      </w:r>
    </w:p>
    <w:p>
      <w:pPr>
        <w:pStyle w:val="BodyText"/>
        <w:spacing w:before="118"/>
        <w:ind w:left="566"/>
      </w:pPr>
      <w:r>
        <w:rPr>
          <w:color w:val="3C5A8B"/>
          <w:spacing w:val="-2"/>
        </w:rPr>
        <w:t>Conclusion:</w:t>
      </w:r>
    </w:p>
    <w:p>
      <w:pPr>
        <w:pStyle w:val="ListParagraph"/>
        <w:numPr>
          <w:ilvl w:val="1"/>
          <w:numId w:val="17"/>
        </w:numPr>
        <w:tabs>
          <w:tab w:pos="1133" w:val="left" w:leader="none"/>
        </w:tabs>
        <w:spacing w:line="240" w:lineRule="auto" w:before="119" w:after="0"/>
        <w:ind w:left="1132" w:right="704" w:hanging="567"/>
        <w:jc w:val="both"/>
        <w:rPr>
          <w:sz w:val="24"/>
        </w:rPr>
      </w:pPr>
      <w:r>
        <w:rPr>
          <w:sz w:val="24"/>
        </w:rPr>
        <w:t>Whilst we acknowledge the longer terms plan to move to a new site as part of the all-Wales Laundry Service Transformation Programme, the existing facility is in a poor state of repair. Accordingly, we have concluded </w:t>
      </w:r>
      <w:r>
        <w:rPr>
          <w:b/>
          <w:sz w:val="24"/>
        </w:rPr>
        <w:t>Limited </w:t>
      </w:r>
      <w:r>
        <w:rPr>
          <w:sz w:val="24"/>
        </w:rPr>
        <w:t>assurance for this </w:t>
      </w:r>
      <w:r>
        <w:rPr>
          <w:spacing w:val="-2"/>
          <w:sz w:val="24"/>
        </w:rPr>
        <w:t>objective.</w:t>
      </w:r>
    </w:p>
    <w:p>
      <w:pPr>
        <w:spacing w:after="0" w:line="240" w:lineRule="auto"/>
        <w:jc w:val="both"/>
        <w:rPr>
          <w:sz w:val="24"/>
        </w:rPr>
        <w:sectPr>
          <w:footerReference w:type="default" r:id="rId69"/>
          <w:pgSz w:w="11910" w:h="16840"/>
          <w:pgMar w:footer="770" w:header="0" w:top="880" w:bottom="960" w:left="0" w:right="0"/>
          <w:pgNumType w:start="5"/>
        </w:sectPr>
      </w:pPr>
    </w:p>
    <w:p>
      <w:pPr>
        <w:tabs>
          <w:tab w:pos="7935" w:val="left" w:leader="none"/>
        </w:tabs>
        <w:spacing w:before="75"/>
        <w:ind w:left="566" w:right="0" w:firstLine="0"/>
        <w:jc w:val="left"/>
        <w:rPr>
          <w:sz w:val="22"/>
        </w:rPr>
      </w:pPr>
      <w:r>
        <w:rPr>
          <w:sz w:val="22"/>
        </w:rPr>
        <w:t>Laundry</w:t>
      </w:r>
      <w:r>
        <w:rPr>
          <w:spacing w:val="-5"/>
          <w:sz w:val="22"/>
        </w:rPr>
        <w:t> </w:t>
      </w:r>
      <w:r>
        <w:rPr>
          <w:sz w:val="22"/>
        </w:rPr>
        <w:t>Service</w:t>
      </w:r>
      <w:r>
        <w:rPr>
          <w:spacing w:val="-3"/>
          <w:sz w:val="22"/>
        </w:rPr>
        <w:t> </w:t>
      </w:r>
      <w:r>
        <w:rPr>
          <w:sz w:val="22"/>
        </w:rPr>
        <w:t>–</w:t>
      </w:r>
      <w:r>
        <w:rPr>
          <w:spacing w:val="-4"/>
          <w:sz w:val="22"/>
        </w:rPr>
        <w:t> </w:t>
      </w:r>
      <w:r>
        <w:rPr>
          <w:sz w:val="22"/>
        </w:rPr>
        <w:t>Glan</w:t>
      </w:r>
      <w:r>
        <w:rPr>
          <w:spacing w:val="-4"/>
          <w:sz w:val="22"/>
        </w:rPr>
        <w:t> Clwyd</w:t>
      </w:r>
      <w:r>
        <w:rPr>
          <w:sz w:val="22"/>
        </w:rPr>
        <w:tab/>
        <w:t>Final</w:t>
      </w:r>
      <w:r>
        <w:rPr>
          <w:spacing w:val="-7"/>
          <w:sz w:val="22"/>
        </w:rPr>
        <w:t> </w:t>
      </w:r>
      <w:r>
        <w:rPr>
          <w:sz w:val="22"/>
        </w:rPr>
        <w:t>Internal</w:t>
      </w:r>
      <w:r>
        <w:rPr>
          <w:spacing w:val="-5"/>
          <w:sz w:val="22"/>
        </w:rPr>
        <w:t> </w:t>
      </w:r>
      <w:r>
        <w:rPr>
          <w:sz w:val="22"/>
        </w:rPr>
        <w:t>Audit</w:t>
      </w:r>
      <w:r>
        <w:rPr>
          <w:spacing w:val="-5"/>
          <w:sz w:val="22"/>
        </w:rPr>
        <w:t> </w:t>
      </w:r>
      <w:r>
        <w:rPr>
          <w:spacing w:val="-2"/>
          <w:sz w:val="22"/>
        </w:rPr>
        <w:t>Report</w:t>
      </w:r>
    </w:p>
    <w:p>
      <w:pPr>
        <w:pStyle w:val="BodyText"/>
        <w:spacing w:before="4"/>
        <w:rPr>
          <w:sz w:val="20"/>
        </w:rPr>
      </w:pPr>
      <w:r>
        <w:rPr/>
        <w:pict>
          <v:shape style="position:absolute;margin-left:27.6pt;margin-top:13.561312pt;width:532.450pt;height:1.45pt;mso-position-horizontal-relative:page;mso-position-vertical-relative:paragraph;z-index:-15688192;mso-wrap-distance-left:0;mso-wrap-distance-right:0" id="docshape165" coordorigin="552,271" coordsize="10649,29" path="m11200,271l5943,271,5929,271,5915,271,552,271,552,300,5915,300,5929,300,5943,300,11200,300,11200,271xe" filled="true" fillcolor="#000000" stroked="false">
            <v:path arrowok="t"/>
            <v:fill type="solid"/>
            <w10:wrap type="topAndBottom"/>
          </v:shape>
        </w:pict>
      </w:r>
    </w:p>
    <w:p>
      <w:pPr>
        <w:pStyle w:val="BodyText"/>
        <w:spacing w:before="10"/>
        <w:rPr>
          <w:sz w:val="27"/>
        </w:rPr>
      </w:pPr>
    </w:p>
    <w:p>
      <w:pPr>
        <w:spacing w:before="100"/>
        <w:ind w:left="566" w:right="0" w:firstLine="0"/>
        <w:jc w:val="both"/>
        <w:rPr>
          <w:b/>
          <w:sz w:val="24"/>
        </w:rPr>
      </w:pPr>
      <w:r>
        <w:rPr>
          <w:b/>
          <w:color w:val="3C5A8B"/>
          <w:sz w:val="24"/>
        </w:rPr>
        <w:t>Objective</w:t>
      </w:r>
      <w:r>
        <w:rPr>
          <w:b/>
          <w:color w:val="3C5A8B"/>
          <w:spacing w:val="-7"/>
          <w:sz w:val="24"/>
        </w:rPr>
        <w:t> </w:t>
      </w:r>
      <w:r>
        <w:rPr>
          <w:b/>
          <w:color w:val="3C5A8B"/>
          <w:sz w:val="24"/>
        </w:rPr>
        <w:t>3: Records</w:t>
      </w:r>
      <w:r>
        <w:rPr>
          <w:b/>
          <w:color w:val="3C5A8B"/>
          <w:spacing w:val="-4"/>
          <w:sz w:val="24"/>
        </w:rPr>
        <w:t> </w:t>
      </w:r>
      <w:r>
        <w:rPr>
          <w:b/>
          <w:color w:val="3C5A8B"/>
          <w:sz w:val="24"/>
        </w:rPr>
        <w:t>of</w:t>
      </w:r>
      <w:r>
        <w:rPr>
          <w:b/>
          <w:color w:val="3C5A8B"/>
          <w:spacing w:val="-5"/>
          <w:sz w:val="24"/>
        </w:rPr>
        <w:t> </w:t>
      </w:r>
      <w:r>
        <w:rPr>
          <w:b/>
          <w:color w:val="3C5A8B"/>
          <w:sz w:val="24"/>
        </w:rPr>
        <w:t>plant</w:t>
      </w:r>
      <w:r>
        <w:rPr>
          <w:b/>
          <w:color w:val="3C5A8B"/>
          <w:spacing w:val="-2"/>
          <w:sz w:val="24"/>
        </w:rPr>
        <w:t> </w:t>
      </w:r>
      <w:r>
        <w:rPr>
          <w:b/>
          <w:color w:val="3C5A8B"/>
          <w:sz w:val="24"/>
        </w:rPr>
        <w:t>and</w:t>
      </w:r>
      <w:r>
        <w:rPr>
          <w:b/>
          <w:color w:val="3C5A8B"/>
          <w:spacing w:val="-3"/>
          <w:sz w:val="24"/>
        </w:rPr>
        <w:t> </w:t>
      </w:r>
      <w:r>
        <w:rPr>
          <w:b/>
          <w:color w:val="3C5A8B"/>
          <w:sz w:val="24"/>
        </w:rPr>
        <w:t>equipment</w:t>
      </w:r>
      <w:r>
        <w:rPr>
          <w:b/>
          <w:color w:val="3C5A8B"/>
          <w:spacing w:val="-4"/>
          <w:sz w:val="24"/>
        </w:rPr>
        <w:t> </w:t>
      </w:r>
      <w:r>
        <w:rPr>
          <w:b/>
          <w:color w:val="3C5A8B"/>
          <w:sz w:val="24"/>
        </w:rPr>
        <w:t>are</w:t>
      </w:r>
      <w:r>
        <w:rPr>
          <w:b/>
          <w:color w:val="3C5A8B"/>
          <w:spacing w:val="-3"/>
          <w:sz w:val="24"/>
        </w:rPr>
        <w:t> </w:t>
      </w:r>
      <w:r>
        <w:rPr>
          <w:b/>
          <w:color w:val="3C5A8B"/>
          <w:sz w:val="24"/>
        </w:rPr>
        <w:t>maintained</w:t>
      </w:r>
      <w:r>
        <w:rPr>
          <w:b/>
          <w:color w:val="3C5A8B"/>
          <w:spacing w:val="-3"/>
          <w:sz w:val="24"/>
        </w:rPr>
        <w:t> </w:t>
      </w:r>
      <w:r>
        <w:rPr>
          <w:b/>
          <w:color w:val="3C5A8B"/>
          <w:sz w:val="24"/>
        </w:rPr>
        <w:t>and</w:t>
      </w:r>
      <w:r>
        <w:rPr>
          <w:b/>
          <w:color w:val="3C5A8B"/>
          <w:spacing w:val="-3"/>
          <w:sz w:val="24"/>
        </w:rPr>
        <w:t> </w:t>
      </w:r>
      <w:r>
        <w:rPr>
          <w:b/>
          <w:color w:val="3C5A8B"/>
          <w:sz w:val="24"/>
        </w:rPr>
        <w:t>up</w:t>
      </w:r>
      <w:r>
        <w:rPr>
          <w:b/>
          <w:color w:val="3C5A8B"/>
          <w:spacing w:val="-3"/>
          <w:sz w:val="24"/>
        </w:rPr>
        <w:t> </w:t>
      </w:r>
      <w:r>
        <w:rPr>
          <w:b/>
          <w:color w:val="3C5A8B"/>
          <w:sz w:val="24"/>
        </w:rPr>
        <w:t>to</w:t>
      </w:r>
      <w:r>
        <w:rPr>
          <w:b/>
          <w:color w:val="3C5A8B"/>
          <w:spacing w:val="-2"/>
          <w:sz w:val="24"/>
        </w:rPr>
        <w:t> </w:t>
      </w:r>
      <w:r>
        <w:rPr>
          <w:b/>
          <w:color w:val="3C5A8B"/>
          <w:spacing w:val="-4"/>
          <w:sz w:val="24"/>
        </w:rPr>
        <w:t>date</w:t>
      </w:r>
    </w:p>
    <w:p>
      <w:pPr>
        <w:pStyle w:val="ListParagraph"/>
        <w:numPr>
          <w:ilvl w:val="1"/>
          <w:numId w:val="17"/>
        </w:numPr>
        <w:tabs>
          <w:tab w:pos="1133" w:val="left" w:leader="none"/>
        </w:tabs>
        <w:spacing w:line="240" w:lineRule="auto" w:before="119" w:after="0"/>
        <w:ind w:left="1132" w:right="706" w:hanging="567"/>
        <w:jc w:val="both"/>
        <w:rPr>
          <w:sz w:val="24"/>
        </w:rPr>
      </w:pPr>
      <w:r>
        <w:rPr>
          <w:sz w:val="24"/>
        </w:rPr>
        <w:t>A</w:t>
      </w:r>
      <w:r>
        <w:rPr>
          <w:spacing w:val="-6"/>
          <w:sz w:val="24"/>
        </w:rPr>
        <w:t> </w:t>
      </w:r>
      <w:r>
        <w:rPr>
          <w:sz w:val="24"/>
        </w:rPr>
        <w:t>record</w:t>
      </w:r>
      <w:r>
        <w:rPr>
          <w:spacing w:val="-6"/>
          <w:sz w:val="24"/>
        </w:rPr>
        <w:t> </w:t>
      </w:r>
      <w:r>
        <w:rPr>
          <w:sz w:val="24"/>
        </w:rPr>
        <w:t>of</w:t>
      </w:r>
      <w:r>
        <w:rPr>
          <w:spacing w:val="-5"/>
          <w:sz w:val="24"/>
        </w:rPr>
        <w:t> </w:t>
      </w:r>
      <w:r>
        <w:rPr>
          <w:sz w:val="24"/>
        </w:rPr>
        <w:t>production</w:t>
      </w:r>
      <w:r>
        <w:rPr>
          <w:spacing w:val="-6"/>
          <w:sz w:val="24"/>
        </w:rPr>
        <w:t> </w:t>
      </w:r>
      <w:r>
        <w:rPr>
          <w:sz w:val="24"/>
        </w:rPr>
        <w:t>and</w:t>
      </w:r>
      <w:r>
        <w:rPr>
          <w:spacing w:val="-6"/>
          <w:sz w:val="24"/>
        </w:rPr>
        <w:t> </w:t>
      </w:r>
      <w:r>
        <w:rPr>
          <w:sz w:val="24"/>
        </w:rPr>
        <w:t>engineering</w:t>
      </w:r>
      <w:r>
        <w:rPr>
          <w:spacing w:val="-2"/>
          <w:sz w:val="24"/>
        </w:rPr>
        <w:t> </w:t>
      </w:r>
      <w:r>
        <w:rPr>
          <w:sz w:val="24"/>
        </w:rPr>
        <w:t>assets</w:t>
      </w:r>
      <w:r>
        <w:rPr>
          <w:spacing w:val="-5"/>
          <w:sz w:val="24"/>
        </w:rPr>
        <w:t> </w:t>
      </w:r>
      <w:r>
        <w:rPr>
          <w:sz w:val="24"/>
        </w:rPr>
        <w:t>is</w:t>
      </w:r>
      <w:r>
        <w:rPr>
          <w:spacing w:val="-4"/>
          <w:sz w:val="24"/>
        </w:rPr>
        <w:t> </w:t>
      </w:r>
      <w:r>
        <w:rPr>
          <w:sz w:val="24"/>
        </w:rPr>
        <w:t>maintained</w:t>
      </w:r>
      <w:r>
        <w:rPr>
          <w:spacing w:val="-5"/>
          <w:sz w:val="24"/>
        </w:rPr>
        <w:t> </w:t>
      </w:r>
      <w:r>
        <w:rPr>
          <w:sz w:val="24"/>
        </w:rPr>
        <w:t>with</w:t>
      </w:r>
      <w:r>
        <w:rPr>
          <w:spacing w:val="-6"/>
          <w:sz w:val="24"/>
        </w:rPr>
        <w:t> </w:t>
      </w:r>
      <w:r>
        <w:rPr>
          <w:sz w:val="24"/>
        </w:rPr>
        <w:t>the</w:t>
      </w:r>
      <w:r>
        <w:rPr>
          <w:spacing w:val="-4"/>
          <w:sz w:val="24"/>
        </w:rPr>
        <w:t> </w:t>
      </w:r>
      <w:r>
        <w:rPr>
          <w:sz w:val="24"/>
        </w:rPr>
        <w:t>serial</w:t>
      </w:r>
      <w:r>
        <w:rPr>
          <w:spacing w:val="-4"/>
          <w:sz w:val="24"/>
        </w:rPr>
        <w:t> </w:t>
      </w:r>
      <w:r>
        <w:rPr>
          <w:sz w:val="24"/>
        </w:rPr>
        <w:t>number and</w:t>
      </w:r>
      <w:r>
        <w:rPr>
          <w:spacing w:val="-18"/>
          <w:sz w:val="24"/>
        </w:rPr>
        <w:t> </w:t>
      </w:r>
      <w:r>
        <w:rPr>
          <w:sz w:val="24"/>
        </w:rPr>
        <w:t>purchase</w:t>
      </w:r>
      <w:r>
        <w:rPr>
          <w:spacing w:val="-17"/>
          <w:sz w:val="24"/>
        </w:rPr>
        <w:t> </w:t>
      </w:r>
      <w:r>
        <w:rPr>
          <w:sz w:val="24"/>
        </w:rPr>
        <w:t>date</w:t>
      </w:r>
      <w:r>
        <w:rPr>
          <w:spacing w:val="-17"/>
          <w:sz w:val="24"/>
        </w:rPr>
        <w:t> </w:t>
      </w:r>
      <w:r>
        <w:rPr>
          <w:sz w:val="24"/>
        </w:rPr>
        <w:t>of</w:t>
      </w:r>
      <w:r>
        <w:rPr>
          <w:spacing w:val="-18"/>
          <w:sz w:val="24"/>
        </w:rPr>
        <w:t> </w:t>
      </w:r>
      <w:r>
        <w:rPr>
          <w:sz w:val="24"/>
        </w:rPr>
        <w:t>each</w:t>
      </w:r>
      <w:r>
        <w:rPr>
          <w:spacing w:val="-18"/>
          <w:sz w:val="24"/>
        </w:rPr>
        <w:t> </w:t>
      </w:r>
      <w:r>
        <w:rPr>
          <w:sz w:val="24"/>
        </w:rPr>
        <w:t>item.</w:t>
      </w:r>
      <w:r>
        <w:rPr>
          <w:spacing w:val="-15"/>
          <w:sz w:val="24"/>
        </w:rPr>
        <w:t> </w:t>
      </w:r>
      <w:r>
        <w:rPr>
          <w:sz w:val="24"/>
        </w:rPr>
        <w:t>Sample</w:t>
      </w:r>
      <w:r>
        <w:rPr>
          <w:spacing w:val="-18"/>
          <w:sz w:val="24"/>
        </w:rPr>
        <w:t> </w:t>
      </w:r>
      <w:r>
        <w:rPr>
          <w:sz w:val="24"/>
        </w:rPr>
        <w:t>testing</w:t>
      </w:r>
      <w:r>
        <w:rPr>
          <w:spacing w:val="-18"/>
          <w:sz w:val="24"/>
        </w:rPr>
        <w:t> </w:t>
      </w:r>
      <w:r>
        <w:rPr>
          <w:sz w:val="24"/>
        </w:rPr>
        <w:t>of</w:t>
      </w:r>
      <w:r>
        <w:rPr>
          <w:spacing w:val="-18"/>
          <w:sz w:val="24"/>
        </w:rPr>
        <w:t> </w:t>
      </w:r>
      <w:r>
        <w:rPr>
          <w:sz w:val="24"/>
        </w:rPr>
        <w:t>10</w:t>
      </w:r>
      <w:r>
        <w:rPr>
          <w:spacing w:val="-17"/>
          <w:sz w:val="24"/>
        </w:rPr>
        <w:t> </w:t>
      </w:r>
      <w:r>
        <w:rPr>
          <w:sz w:val="24"/>
        </w:rPr>
        <w:t>assets</w:t>
      </w:r>
      <w:r>
        <w:rPr>
          <w:spacing w:val="-18"/>
          <w:sz w:val="24"/>
        </w:rPr>
        <w:t> </w:t>
      </w:r>
      <w:r>
        <w:rPr>
          <w:sz w:val="24"/>
        </w:rPr>
        <w:t>from</w:t>
      </w:r>
      <w:r>
        <w:rPr>
          <w:spacing w:val="-18"/>
          <w:sz w:val="24"/>
        </w:rPr>
        <w:t> </w:t>
      </w:r>
      <w:r>
        <w:rPr>
          <w:sz w:val="24"/>
        </w:rPr>
        <w:t>the</w:t>
      </w:r>
      <w:r>
        <w:rPr>
          <w:spacing w:val="-17"/>
          <w:sz w:val="24"/>
        </w:rPr>
        <w:t> </w:t>
      </w:r>
      <w:r>
        <w:rPr>
          <w:sz w:val="24"/>
        </w:rPr>
        <w:t>physical</w:t>
      </w:r>
      <w:r>
        <w:rPr>
          <w:spacing w:val="-19"/>
          <w:sz w:val="24"/>
        </w:rPr>
        <w:t> </w:t>
      </w:r>
      <w:r>
        <w:rPr>
          <w:sz w:val="24"/>
        </w:rPr>
        <w:t>items to the register and vice versa found no issues.</w:t>
      </w:r>
    </w:p>
    <w:p>
      <w:pPr>
        <w:pStyle w:val="ListParagraph"/>
        <w:numPr>
          <w:ilvl w:val="1"/>
          <w:numId w:val="17"/>
        </w:numPr>
        <w:tabs>
          <w:tab w:pos="1133" w:val="left" w:leader="none"/>
        </w:tabs>
        <w:spacing w:line="240" w:lineRule="auto" w:before="121" w:after="0"/>
        <w:ind w:left="1132" w:right="703" w:hanging="567"/>
        <w:jc w:val="both"/>
        <w:rPr>
          <w:b/>
          <w:sz w:val="24"/>
        </w:rPr>
      </w:pPr>
      <w:r>
        <w:rPr>
          <w:sz w:val="24"/>
        </w:rPr>
        <w:t>We</w:t>
      </w:r>
      <w:r>
        <w:rPr>
          <w:spacing w:val="-9"/>
          <w:sz w:val="24"/>
        </w:rPr>
        <w:t> </w:t>
      </w:r>
      <w:r>
        <w:rPr>
          <w:sz w:val="24"/>
        </w:rPr>
        <w:t>observed</w:t>
      </w:r>
      <w:r>
        <w:rPr>
          <w:spacing w:val="-10"/>
          <w:sz w:val="24"/>
        </w:rPr>
        <w:t> </w:t>
      </w:r>
      <w:r>
        <w:rPr>
          <w:sz w:val="24"/>
        </w:rPr>
        <w:t>a</w:t>
      </w:r>
      <w:r>
        <w:rPr>
          <w:spacing w:val="-10"/>
          <w:sz w:val="24"/>
        </w:rPr>
        <w:t> </w:t>
      </w:r>
      <w:r>
        <w:rPr>
          <w:sz w:val="24"/>
        </w:rPr>
        <w:t>small</w:t>
      </w:r>
      <w:r>
        <w:rPr>
          <w:spacing w:val="-11"/>
          <w:sz w:val="24"/>
        </w:rPr>
        <w:t> </w:t>
      </w:r>
      <w:r>
        <w:rPr>
          <w:sz w:val="24"/>
        </w:rPr>
        <w:t>number</w:t>
      </w:r>
      <w:r>
        <w:rPr>
          <w:spacing w:val="-9"/>
          <w:sz w:val="24"/>
        </w:rPr>
        <w:t> </w:t>
      </w:r>
      <w:r>
        <w:rPr>
          <w:sz w:val="24"/>
        </w:rPr>
        <w:t>of</w:t>
      </w:r>
      <w:r>
        <w:rPr>
          <w:spacing w:val="-8"/>
          <w:sz w:val="24"/>
        </w:rPr>
        <w:t> </w:t>
      </w:r>
      <w:r>
        <w:rPr>
          <w:sz w:val="24"/>
        </w:rPr>
        <w:t>ICT</w:t>
      </w:r>
      <w:r>
        <w:rPr>
          <w:spacing w:val="-9"/>
          <w:sz w:val="24"/>
        </w:rPr>
        <w:t> </w:t>
      </w:r>
      <w:r>
        <w:rPr>
          <w:sz w:val="24"/>
        </w:rPr>
        <w:t>assets</w:t>
      </w:r>
      <w:r>
        <w:rPr>
          <w:spacing w:val="-10"/>
          <w:sz w:val="24"/>
        </w:rPr>
        <w:t> </w:t>
      </w:r>
      <w:r>
        <w:rPr>
          <w:sz w:val="24"/>
        </w:rPr>
        <w:t>on</w:t>
      </w:r>
      <w:r>
        <w:rPr>
          <w:spacing w:val="-11"/>
          <w:sz w:val="24"/>
        </w:rPr>
        <w:t> </w:t>
      </w:r>
      <w:r>
        <w:rPr>
          <w:sz w:val="24"/>
        </w:rPr>
        <w:t>site</w:t>
      </w:r>
      <w:r>
        <w:rPr>
          <w:spacing w:val="-8"/>
          <w:sz w:val="24"/>
        </w:rPr>
        <w:t> </w:t>
      </w:r>
      <w:r>
        <w:rPr>
          <w:sz w:val="24"/>
        </w:rPr>
        <w:t>however</w:t>
      </w:r>
      <w:r>
        <w:rPr>
          <w:spacing w:val="-9"/>
          <w:sz w:val="24"/>
        </w:rPr>
        <w:t> </w:t>
      </w:r>
      <w:r>
        <w:rPr>
          <w:sz w:val="24"/>
        </w:rPr>
        <w:t>a</w:t>
      </w:r>
      <w:r>
        <w:rPr>
          <w:spacing w:val="-9"/>
          <w:sz w:val="24"/>
        </w:rPr>
        <w:t> </w:t>
      </w:r>
      <w:r>
        <w:rPr>
          <w:sz w:val="24"/>
        </w:rPr>
        <w:t>record</w:t>
      </w:r>
      <w:r>
        <w:rPr>
          <w:spacing w:val="-11"/>
          <w:sz w:val="24"/>
        </w:rPr>
        <w:t> </w:t>
      </w:r>
      <w:r>
        <w:rPr>
          <w:sz w:val="24"/>
        </w:rPr>
        <w:t>of</w:t>
      </w:r>
      <w:r>
        <w:rPr>
          <w:spacing w:val="-9"/>
          <w:sz w:val="24"/>
        </w:rPr>
        <w:t> </w:t>
      </w:r>
      <w:r>
        <w:rPr>
          <w:sz w:val="24"/>
        </w:rPr>
        <w:t>these</w:t>
      </w:r>
      <w:r>
        <w:rPr>
          <w:spacing w:val="-9"/>
          <w:sz w:val="24"/>
        </w:rPr>
        <w:t> </w:t>
      </w:r>
      <w:r>
        <w:rPr>
          <w:sz w:val="24"/>
        </w:rPr>
        <w:t>assets is not maintained. </w:t>
      </w:r>
      <w:r>
        <w:rPr>
          <w:b/>
          <w:sz w:val="24"/>
        </w:rPr>
        <w:t>[Matter Arising 2]</w:t>
      </w:r>
    </w:p>
    <w:p>
      <w:pPr>
        <w:pStyle w:val="BodyText"/>
        <w:spacing w:before="119"/>
        <w:ind w:left="566"/>
      </w:pPr>
      <w:r>
        <w:rPr>
          <w:color w:val="3C5A8B"/>
          <w:spacing w:val="-2"/>
        </w:rPr>
        <w:t>Conclusion:</w:t>
      </w:r>
    </w:p>
    <w:p>
      <w:pPr>
        <w:pStyle w:val="ListParagraph"/>
        <w:numPr>
          <w:ilvl w:val="1"/>
          <w:numId w:val="17"/>
        </w:numPr>
        <w:tabs>
          <w:tab w:pos="1133" w:val="left" w:leader="none"/>
        </w:tabs>
        <w:spacing w:line="240" w:lineRule="auto" w:before="119" w:after="0"/>
        <w:ind w:left="1132" w:right="710" w:hanging="567"/>
        <w:jc w:val="left"/>
        <w:rPr>
          <w:sz w:val="24"/>
        </w:rPr>
      </w:pPr>
      <w:r>
        <w:rPr>
          <w:sz w:val="24"/>
        </w:rPr>
        <w:t>The</w:t>
      </w:r>
      <w:r>
        <w:rPr>
          <w:spacing w:val="40"/>
          <w:sz w:val="24"/>
        </w:rPr>
        <w:t> </w:t>
      </w:r>
      <w:r>
        <w:rPr>
          <w:sz w:val="24"/>
        </w:rPr>
        <w:t>asset</w:t>
      </w:r>
      <w:r>
        <w:rPr>
          <w:spacing w:val="40"/>
          <w:sz w:val="24"/>
        </w:rPr>
        <w:t> </w:t>
      </w:r>
      <w:r>
        <w:rPr>
          <w:sz w:val="24"/>
        </w:rPr>
        <w:t>register</w:t>
      </w:r>
      <w:r>
        <w:rPr>
          <w:spacing w:val="40"/>
          <w:sz w:val="24"/>
        </w:rPr>
        <w:t> </w:t>
      </w:r>
      <w:r>
        <w:rPr>
          <w:sz w:val="24"/>
        </w:rPr>
        <w:t>records</w:t>
      </w:r>
      <w:r>
        <w:rPr>
          <w:spacing w:val="40"/>
          <w:sz w:val="24"/>
        </w:rPr>
        <w:t> </w:t>
      </w:r>
      <w:r>
        <w:rPr>
          <w:sz w:val="24"/>
        </w:rPr>
        <w:t>production</w:t>
      </w:r>
      <w:r>
        <w:rPr>
          <w:spacing w:val="40"/>
          <w:sz w:val="24"/>
        </w:rPr>
        <w:t> </w:t>
      </w:r>
      <w:r>
        <w:rPr>
          <w:sz w:val="24"/>
        </w:rPr>
        <w:t>and</w:t>
      </w:r>
      <w:r>
        <w:rPr>
          <w:spacing w:val="40"/>
          <w:sz w:val="24"/>
        </w:rPr>
        <w:t> </w:t>
      </w:r>
      <w:r>
        <w:rPr>
          <w:sz w:val="24"/>
        </w:rPr>
        <w:t>engineering</w:t>
      </w:r>
      <w:r>
        <w:rPr>
          <w:spacing w:val="40"/>
          <w:sz w:val="24"/>
        </w:rPr>
        <w:t> </w:t>
      </w:r>
      <w:r>
        <w:rPr>
          <w:sz w:val="24"/>
        </w:rPr>
        <w:t>assets</w:t>
      </w:r>
      <w:r>
        <w:rPr>
          <w:spacing w:val="40"/>
          <w:sz w:val="24"/>
        </w:rPr>
        <w:t> </w:t>
      </w:r>
      <w:r>
        <w:rPr>
          <w:sz w:val="24"/>
        </w:rPr>
        <w:t>but</w:t>
      </w:r>
      <w:r>
        <w:rPr>
          <w:spacing w:val="40"/>
          <w:sz w:val="24"/>
        </w:rPr>
        <w:t> </w:t>
      </w:r>
      <w:r>
        <w:rPr>
          <w:sz w:val="24"/>
        </w:rPr>
        <w:t>excludes</w:t>
      </w:r>
      <w:r>
        <w:rPr>
          <w:spacing w:val="40"/>
          <w:sz w:val="24"/>
        </w:rPr>
        <w:t> </w:t>
      </w:r>
      <w:r>
        <w:rPr>
          <w:sz w:val="24"/>
        </w:rPr>
        <w:t>ICT assets. Accordingly, we have concluded </w:t>
      </w:r>
      <w:r>
        <w:rPr>
          <w:b/>
          <w:sz w:val="24"/>
        </w:rPr>
        <w:t>Reasonable </w:t>
      </w:r>
      <w:r>
        <w:rPr>
          <w:sz w:val="24"/>
        </w:rPr>
        <w:t>assurance for this objective.</w:t>
      </w:r>
    </w:p>
    <w:p>
      <w:pPr>
        <w:pStyle w:val="BodyText"/>
        <w:rPr>
          <w:sz w:val="28"/>
        </w:rPr>
      </w:pPr>
    </w:p>
    <w:p>
      <w:pPr>
        <w:spacing w:before="193"/>
        <w:ind w:left="566" w:right="707" w:firstLine="0"/>
        <w:jc w:val="both"/>
        <w:rPr>
          <w:b/>
          <w:sz w:val="24"/>
        </w:rPr>
      </w:pPr>
      <w:r>
        <w:rPr>
          <w:b/>
          <w:color w:val="3C5A8B"/>
          <w:sz w:val="24"/>
        </w:rPr>
        <w:t>Objective 4: Appropriate systems are in place to ensure that linen stocks are traceable, with movement between laundry and hospital sites recorded</w:t>
      </w:r>
    </w:p>
    <w:p>
      <w:pPr>
        <w:pStyle w:val="ListParagraph"/>
        <w:numPr>
          <w:ilvl w:val="1"/>
          <w:numId w:val="17"/>
        </w:numPr>
        <w:tabs>
          <w:tab w:pos="1133" w:val="left" w:leader="none"/>
        </w:tabs>
        <w:spacing w:line="240" w:lineRule="auto" w:before="120" w:after="0"/>
        <w:ind w:left="1132" w:right="702" w:hanging="567"/>
        <w:jc w:val="both"/>
        <w:rPr>
          <w:sz w:val="24"/>
        </w:rPr>
      </w:pPr>
      <w:r>
        <w:rPr>
          <w:sz w:val="24"/>
        </w:rPr>
        <w:t>Linen items are not separately identifiable and movements are not traceable. We were</w:t>
      </w:r>
      <w:r>
        <w:rPr>
          <w:spacing w:val="-22"/>
          <w:sz w:val="24"/>
        </w:rPr>
        <w:t> </w:t>
      </w:r>
      <w:r>
        <w:rPr>
          <w:sz w:val="24"/>
        </w:rPr>
        <w:t>informed</w:t>
      </w:r>
      <w:r>
        <w:rPr>
          <w:spacing w:val="-21"/>
          <w:sz w:val="24"/>
        </w:rPr>
        <w:t> </w:t>
      </w:r>
      <w:r>
        <w:rPr>
          <w:sz w:val="24"/>
        </w:rPr>
        <w:t>that</w:t>
      </w:r>
      <w:r>
        <w:rPr>
          <w:spacing w:val="-21"/>
          <w:sz w:val="24"/>
        </w:rPr>
        <w:t> </w:t>
      </w:r>
      <w:r>
        <w:rPr>
          <w:sz w:val="24"/>
        </w:rPr>
        <w:t>Green</w:t>
      </w:r>
      <w:r>
        <w:rPr>
          <w:spacing w:val="-19"/>
          <w:sz w:val="24"/>
        </w:rPr>
        <w:t> </w:t>
      </w:r>
      <w:r>
        <w:rPr>
          <w:sz w:val="24"/>
        </w:rPr>
        <w:t>Vale</w:t>
      </w:r>
      <w:r>
        <w:rPr>
          <w:spacing w:val="-20"/>
          <w:sz w:val="24"/>
        </w:rPr>
        <w:t> </w:t>
      </w:r>
      <w:r>
        <w:rPr>
          <w:sz w:val="24"/>
        </w:rPr>
        <w:t>Laundry</w:t>
      </w:r>
      <w:r>
        <w:rPr>
          <w:spacing w:val="-20"/>
          <w:sz w:val="24"/>
        </w:rPr>
        <w:t> </w:t>
      </w:r>
      <w:r>
        <w:rPr>
          <w:sz w:val="24"/>
        </w:rPr>
        <w:t>previously</w:t>
      </w:r>
      <w:r>
        <w:rPr>
          <w:spacing w:val="-20"/>
          <w:sz w:val="24"/>
        </w:rPr>
        <w:t> </w:t>
      </w:r>
      <w:r>
        <w:rPr>
          <w:sz w:val="24"/>
        </w:rPr>
        <w:t>trialled</w:t>
      </w:r>
      <w:r>
        <w:rPr>
          <w:spacing w:val="-21"/>
          <w:sz w:val="24"/>
        </w:rPr>
        <w:t> </w:t>
      </w:r>
      <w:r>
        <w:rPr>
          <w:sz w:val="24"/>
        </w:rPr>
        <w:t>a</w:t>
      </w:r>
      <w:r>
        <w:rPr>
          <w:spacing w:val="-21"/>
          <w:sz w:val="24"/>
        </w:rPr>
        <w:t> </w:t>
      </w:r>
      <w:r>
        <w:rPr>
          <w:sz w:val="24"/>
        </w:rPr>
        <w:t>sensor</w:t>
      </w:r>
      <w:r>
        <w:rPr>
          <w:spacing w:val="-20"/>
          <w:sz w:val="24"/>
        </w:rPr>
        <w:t> </w:t>
      </w:r>
      <w:r>
        <w:rPr>
          <w:sz w:val="24"/>
        </w:rPr>
        <w:t>system</w:t>
      </w:r>
      <w:r>
        <w:rPr>
          <w:spacing w:val="-21"/>
          <w:sz w:val="24"/>
        </w:rPr>
        <w:t> </w:t>
      </w:r>
      <w:r>
        <w:rPr>
          <w:sz w:val="24"/>
        </w:rPr>
        <w:t>to</w:t>
      </w:r>
      <w:r>
        <w:rPr>
          <w:spacing w:val="-20"/>
          <w:sz w:val="24"/>
        </w:rPr>
        <w:t> </w:t>
      </w:r>
      <w:r>
        <w:rPr>
          <w:sz w:val="24"/>
        </w:rPr>
        <w:t>enable the tracking of individual linen items however this was unsuccessful.</w:t>
      </w:r>
    </w:p>
    <w:p>
      <w:pPr>
        <w:pStyle w:val="ListParagraph"/>
        <w:numPr>
          <w:ilvl w:val="1"/>
          <w:numId w:val="17"/>
        </w:numPr>
        <w:tabs>
          <w:tab w:pos="1133" w:val="left" w:leader="none"/>
        </w:tabs>
        <w:spacing w:line="240" w:lineRule="auto" w:before="121" w:after="0"/>
        <w:ind w:left="1132" w:right="707" w:hanging="567"/>
        <w:jc w:val="both"/>
        <w:rPr>
          <w:sz w:val="24"/>
        </w:rPr>
      </w:pPr>
      <w:r>
        <w:rPr>
          <w:sz w:val="24"/>
        </w:rPr>
        <w:t>Items</w:t>
      </w:r>
      <w:r>
        <w:rPr>
          <w:spacing w:val="-4"/>
          <w:sz w:val="24"/>
        </w:rPr>
        <w:t> </w:t>
      </w:r>
      <w:r>
        <w:rPr>
          <w:sz w:val="24"/>
        </w:rPr>
        <w:t>are</w:t>
      </w:r>
      <w:r>
        <w:rPr>
          <w:spacing w:val="-2"/>
          <w:sz w:val="24"/>
        </w:rPr>
        <w:t> </w:t>
      </w:r>
      <w:r>
        <w:rPr>
          <w:sz w:val="24"/>
        </w:rPr>
        <w:t>collected,</w:t>
      </w:r>
      <w:r>
        <w:rPr>
          <w:spacing w:val="-2"/>
          <w:sz w:val="24"/>
        </w:rPr>
        <w:t> </w:t>
      </w:r>
      <w:r>
        <w:rPr>
          <w:sz w:val="24"/>
        </w:rPr>
        <w:t>processed</w:t>
      </w:r>
      <w:r>
        <w:rPr>
          <w:spacing w:val="-4"/>
          <w:sz w:val="24"/>
        </w:rPr>
        <w:t> </w:t>
      </w:r>
      <w:r>
        <w:rPr>
          <w:sz w:val="24"/>
        </w:rPr>
        <w:t>and reissued</w:t>
      </w:r>
      <w:r>
        <w:rPr>
          <w:spacing w:val="-4"/>
          <w:sz w:val="24"/>
        </w:rPr>
        <w:t> </w:t>
      </w:r>
      <w:r>
        <w:rPr>
          <w:sz w:val="24"/>
        </w:rPr>
        <w:t>in</w:t>
      </w:r>
      <w:r>
        <w:rPr>
          <w:spacing w:val="-2"/>
          <w:sz w:val="24"/>
        </w:rPr>
        <w:t> </w:t>
      </w:r>
      <w:r>
        <w:rPr>
          <w:sz w:val="24"/>
        </w:rPr>
        <w:t>a</w:t>
      </w:r>
      <w:r>
        <w:rPr>
          <w:spacing w:val="-2"/>
          <w:sz w:val="24"/>
        </w:rPr>
        <w:t> </w:t>
      </w:r>
      <w:r>
        <w:rPr>
          <w:sz w:val="24"/>
        </w:rPr>
        <w:t>continuous</w:t>
      </w:r>
      <w:r>
        <w:rPr>
          <w:spacing w:val="-4"/>
          <w:sz w:val="24"/>
        </w:rPr>
        <w:t> </w:t>
      </w:r>
      <w:r>
        <w:rPr>
          <w:sz w:val="24"/>
        </w:rPr>
        <w:t>cycle.</w:t>
      </w:r>
      <w:r>
        <w:rPr>
          <w:spacing w:val="-2"/>
          <w:sz w:val="24"/>
        </w:rPr>
        <w:t> </w:t>
      </w:r>
      <w:r>
        <w:rPr>
          <w:sz w:val="24"/>
        </w:rPr>
        <w:t>Linen</w:t>
      </w:r>
      <w:r>
        <w:rPr>
          <w:spacing w:val="-2"/>
          <w:sz w:val="24"/>
        </w:rPr>
        <w:t> </w:t>
      </w:r>
      <w:r>
        <w:rPr>
          <w:sz w:val="24"/>
        </w:rPr>
        <w:t>stocks</w:t>
      </w:r>
      <w:r>
        <w:rPr>
          <w:spacing w:val="-4"/>
          <w:sz w:val="24"/>
        </w:rPr>
        <w:t> </w:t>
      </w:r>
      <w:r>
        <w:rPr>
          <w:sz w:val="24"/>
        </w:rPr>
        <w:t>are owned</w:t>
      </w:r>
      <w:r>
        <w:rPr>
          <w:spacing w:val="-9"/>
          <w:sz w:val="24"/>
        </w:rPr>
        <w:t> </w:t>
      </w:r>
      <w:r>
        <w:rPr>
          <w:sz w:val="24"/>
        </w:rPr>
        <w:t>by</w:t>
      </w:r>
      <w:r>
        <w:rPr>
          <w:spacing w:val="-9"/>
          <w:sz w:val="24"/>
        </w:rPr>
        <w:t> </w:t>
      </w:r>
      <w:r>
        <w:rPr>
          <w:sz w:val="24"/>
        </w:rPr>
        <w:t>the</w:t>
      </w:r>
      <w:r>
        <w:rPr>
          <w:spacing w:val="-8"/>
          <w:sz w:val="24"/>
        </w:rPr>
        <w:t> </w:t>
      </w:r>
      <w:r>
        <w:rPr>
          <w:sz w:val="24"/>
        </w:rPr>
        <w:t>Laundry.</w:t>
      </w:r>
      <w:r>
        <w:rPr>
          <w:spacing w:val="-9"/>
          <w:sz w:val="24"/>
        </w:rPr>
        <w:t> </w:t>
      </w:r>
      <w:r>
        <w:rPr>
          <w:sz w:val="24"/>
        </w:rPr>
        <w:t>New</w:t>
      </w:r>
      <w:r>
        <w:rPr>
          <w:spacing w:val="-8"/>
          <w:sz w:val="24"/>
        </w:rPr>
        <w:t> </w:t>
      </w:r>
      <w:r>
        <w:rPr>
          <w:sz w:val="24"/>
        </w:rPr>
        <w:t>linen</w:t>
      </w:r>
      <w:r>
        <w:rPr>
          <w:spacing w:val="-9"/>
          <w:sz w:val="24"/>
        </w:rPr>
        <w:t> </w:t>
      </w:r>
      <w:r>
        <w:rPr>
          <w:sz w:val="24"/>
        </w:rPr>
        <w:t>orders</w:t>
      </w:r>
      <w:r>
        <w:rPr>
          <w:spacing w:val="-8"/>
          <w:sz w:val="24"/>
        </w:rPr>
        <w:t> </w:t>
      </w:r>
      <w:r>
        <w:rPr>
          <w:sz w:val="24"/>
        </w:rPr>
        <w:t>are</w:t>
      </w:r>
      <w:r>
        <w:rPr>
          <w:spacing w:val="-7"/>
          <w:sz w:val="24"/>
        </w:rPr>
        <w:t> </w:t>
      </w:r>
      <w:r>
        <w:rPr>
          <w:sz w:val="24"/>
        </w:rPr>
        <w:t>infrequent</w:t>
      </w:r>
      <w:r>
        <w:rPr>
          <w:spacing w:val="-10"/>
          <w:sz w:val="24"/>
        </w:rPr>
        <w:t> </w:t>
      </w:r>
      <w:r>
        <w:rPr>
          <w:sz w:val="24"/>
        </w:rPr>
        <w:t>and</w:t>
      </w:r>
      <w:r>
        <w:rPr>
          <w:spacing w:val="-7"/>
          <w:sz w:val="24"/>
        </w:rPr>
        <w:t> </w:t>
      </w:r>
      <w:r>
        <w:rPr>
          <w:sz w:val="24"/>
        </w:rPr>
        <w:t>based</w:t>
      </w:r>
      <w:r>
        <w:rPr>
          <w:spacing w:val="-9"/>
          <w:sz w:val="24"/>
        </w:rPr>
        <w:t> </w:t>
      </w:r>
      <w:r>
        <w:rPr>
          <w:sz w:val="24"/>
        </w:rPr>
        <w:t>on</w:t>
      </w:r>
      <w:r>
        <w:rPr>
          <w:spacing w:val="-9"/>
          <w:sz w:val="24"/>
        </w:rPr>
        <w:t> </w:t>
      </w:r>
      <w:r>
        <w:rPr>
          <w:sz w:val="24"/>
        </w:rPr>
        <w:t>the</w:t>
      </w:r>
      <w:r>
        <w:rPr>
          <w:spacing w:val="-8"/>
          <w:sz w:val="24"/>
        </w:rPr>
        <w:t> </w:t>
      </w:r>
      <w:r>
        <w:rPr>
          <w:sz w:val="24"/>
        </w:rPr>
        <w:t>Laundry’s ability to fulfil requests for additional items.</w:t>
      </w:r>
    </w:p>
    <w:p>
      <w:pPr>
        <w:pStyle w:val="ListParagraph"/>
        <w:numPr>
          <w:ilvl w:val="1"/>
          <w:numId w:val="17"/>
        </w:numPr>
        <w:tabs>
          <w:tab w:pos="1133" w:val="left" w:leader="none"/>
        </w:tabs>
        <w:spacing w:line="240" w:lineRule="auto" w:before="118" w:after="0"/>
        <w:ind w:left="1132" w:right="705" w:hanging="567"/>
        <w:jc w:val="both"/>
        <w:rPr>
          <w:sz w:val="24"/>
        </w:rPr>
      </w:pPr>
      <w:r>
        <w:rPr>
          <w:sz w:val="24"/>
        </w:rPr>
        <w:t>Dirty linen is not recorded at the point of collection or processing due to infection control</w:t>
      </w:r>
      <w:r>
        <w:rPr>
          <w:spacing w:val="-9"/>
          <w:sz w:val="24"/>
        </w:rPr>
        <w:t> </w:t>
      </w:r>
      <w:r>
        <w:rPr>
          <w:sz w:val="24"/>
        </w:rPr>
        <w:t>implications</w:t>
      </w:r>
      <w:r>
        <w:rPr>
          <w:spacing w:val="-6"/>
          <w:sz w:val="24"/>
        </w:rPr>
        <w:t> </w:t>
      </w:r>
      <w:r>
        <w:rPr>
          <w:sz w:val="24"/>
        </w:rPr>
        <w:t>of</w:t>
      </w:r>
      <w:r>
        <w:rPr>
          <w:spacing w:val="-9"/>
          <w:sz w:val="24"/>
        </w:rPr>
        <w:t> </w:t>
      </w:r>
      <w:r>
        <w:rPr>
          <w:sz w:val="24"/>
        </w:rPr>
        <w:t>handling</w:t>
      </w:r>
      <w:r>
        <w:rPr>
          <w:spacing w:val="-9"/>
          <w:sz w:val="24"/>
        </w:rPr>
        <w:t> </w:t>
      </w:r>
      <w:r>
        <w:rPr>
          <w:sz w:val="24"/>
        </w:rPr>
        <w:t>and</w:t>
      </w:r>
      <w:r>
        <w:rPr>
          <w:spacing w:val="-6"/>
          <w:sz w:val="24"/>
        </w:rPr>
        <w:t> </w:t>
      </w:r>
      <w:r>
        <w:rPr>
          <w:sz w:val="24"/>
        </w:rPr>
        <w:t>counting</w:t>
      </w:r>
      <w:r>
        <w:rPr>
          <w:spacing w:val="-9"/>
          <w:sz w:val="24"/>
        </w:rPr>
        <w:t> </w:t>
      </w:r>
      <w:r>
        <w:rPr>
          <w:sz w:val="24"/>
        </w:rPr>
        <w:t>items.</w:t>
      </w:r>
      <w:r>
        <w:rPr>
          <w:spacing w:val="-8"/>
          <w:sz w:val="24"/>
        </w:rPr>
        <w:t> </w:t>
      </w:r>
      <w:r>
        <w:rPr>
          <w:sz w:val="24"/>
        </w:rPr>
        <w:t>Consequently,</w:t>
      </w:r>
      <w:r>
        <w:rPr>
          <w:spacing w:val="-10"/>
          <w:sz w:val="24"/>
        </w:rPr>
        <w:t> </w:t>
      </w:r>
      <w:r>
        <w:rPr>
          <w:sz w:val="24"/>
        </w:rPr>
        <w:t>it</w:t>
      </w:r>
      <w:r>
        <w:rPr>
          <w:spacing w:val="-10"/>
          <w:sz w:val="24"/>
        </w:rPr>
        <w:t> </w:t>
      </w:r>
      <w:r>
        <w:rPr>
          <w:sz w:val="24"/>
        </w:rPr>
        <w:t>is</w:t>
      </w:r>
      <w:r>
        <w:rPr>
          <w:spacing w:val="-7"/>
          <w:sz w:val="24"/>
        </w:rPr>
        <w:t> </w:t>
      </w:r>
      <w:r>
        <w:rPr>
          <w:sz w:val="24"/>
        </w:rPr>
        <w:t>not</w:t>
      </w:r>
      <w:r>
        <w:rPr>
          <w:spacing w:val="-7"/>
          <w:sz w:val="24"/>
        </w:rPr>
        <w:t> </w:t>
      </w:r>
      <w:r>
        <w:rPr>
          <w:sz w:val="24"/>
        </w:rPr>
        <w:t>possible to identify or quantify missing items. A record of ‘rejected’ items (i.e. condemned following washing and rewashing) is maintained. This is consistent with the arrangements observed during the 2021 audit of Llansamlet Laundry.</w:t>
      </w:r>
    </w:p>
    <w:p>
      <w:pPr>
        <w:pStyle w:val="ListParagraph"/>
        <w:numPr>
          <w:ilvl w:val="1"/>
          <w:numId w:val="17"/>
        </w:numPr>
        <w:tabs>
          <w:tab w:pos="1133" w:val="left" w:leader="none"/>
        </w:tabs>
        <w:spacing w:line="240" w:lineRule="auto" w:before="122" w:after="0"/>
        <w:ind w:left="1132" w:right="700" w:hanging="567"/>
        <w:jc w:val="both"/>
        <w:rPr>
          <w:sz w:val="24"/>
        </w:rPr>
      </w:pPr>
      <w:r>
        <w:rPr>
          <w:sz w:val="24"/>
        </w:rPr>
        <w:t>The cost of missing linen stock is currently absorbed by the Laundry in terms of replacement costs. We were advised that a standard pricing model will be implemented following completion of the All-Wales Laundry Transformational Programme which will incorporate all operating costs including replacement linen stock. A recommendation relating to this has been raised in the Laundry Service - Green Vale audit report (NWSSP-2223-05a) so no further recommendations are raised here.</w:t>
      </w:r>
    </w:p>
    <w:p>
      <w:pPr>
        <w:pStyle w:val="BodyText"/>
        <w:spacing w:before="120"/>
        <w:ind w:left="566"/>
      </w:pPr>
      <w:r>
        <w:rPr>
          <w:color w:val="3C5A8B"/>
          <w:spacing w:val="-2"/>
        </w:rPr>
        <w:t>Conclusion:</w:t>
      </w:r>
    </w:p>
    <w:p>
      <w:pPr>
        <w:pStyle w:val="ListParagraph"/>
        <w:numPr>
          <w:ilvl w:val="1"/>
          <w:numId w:val="17"/>
        </w:numPr>
        <w:tabs>
          <w:tab w:pos="1133" w:val="left" w:leader="none"/>
        </w:tabs>
        <w:spacing w:line="240" w:lineRule="auto" w:before="119" w:after="0"/>
        <w:ind w:left="1132" w:right="703" w:hanging="567"/>
        <w:jc w:val="both"/>
        <w:rPr>
          <w:sz w:val="24"/>
        </w:rPr>
      </w:pPr>
      <w:r>
        <w:rPr>
          <w:sz w:val="24"/>
        </w:rPr>
        <w:t>It</w:t>
      </w:r>
      <w:r>
        <w:rPr>
          <w:spacing w:val="-9"/>
          <w:sz w:val="24"/>
        </w:rPr>
        <w:t> </w:t>
      </w:r>
      <w:r>
        <w:rPr>
          <w:sz w:val="24"/>
        </w:rPr>
        <w:t>is</w:t>
      </w:r>
      <w:r>
        <w:rPr>
          <w:spacing w:val="-8"/>
          <w:sz w:val="24"/>
        </w:rPr>
        <w:t> </w:t>
      </w:r>
      <w:r>
        <w:rPr>
          <w:sz w:val="24"/>
        </w:rPr>
        <w:t>not</w:t>
      </w:r>
      <w:r>
        <w:rPr>
          <w:spacing w:val="-6"/>
          <w:sz w:val="24"/>
        </w:rPr>
        <w:t> </w:t>
      </w:r>
      <w:r>
        <w:rPr>
          <w:sz w:val="24"/>
        </w:rPr>
        <w:t>feasible</w:t>
      </w:r>
      <w:r>
        <w:rPr>
          <w:spacing w:val="-7"/>
          <w:sz w:val="24"/>
        </w:rPr>
        <w:t> </w:t>
      </w:r>
      <w:r>
        <w:rPr>
          <w:sz w:val="24"/>
        </w:rPr>
        <w:t>to</w:t>
      </w:r>
      <w:r>
        <w:rPr>
          <w:spacing w:val="-7"/>
          <w:sz w:val="24"/>
        </w:rPr>
        <w:t> </w:t>
      </w:r>
      <w:r>
        <w:rPr>
          <w:sz w:val="24"/>
        </w:rPr>
        <w:t>record</w:t>
      </w:r>
      <w:r>
        <w:rPr>
          <w:spacing w:val="-8"/>
          <w:sz w:val="24"/>
        </w:rPr>
        <w:t> </w:t>
      </w:r>
      <w:r>
        <w:rPr>
          <w:sz w:val="24"/>
        </w:rPr>
        <w:t>dirty</w:t>
      </w:r>
      <w:r>
        <w:rPr>
          <w:spacing w:val="-8"/>
          <w:sz w:val="24"/>
        </w:rPr>
        <w:t> </w:t>
      </w:r>
      <w:r>
        <w:rPr>
          <w:sz w:val="24"/>
        </w:rPr>
        <w:t>linen</w:t>
      </w:r>
      <w:r>
        <w:rPr>
          <w:spacing w:val="-6"/>
          <w:sz w:val="24"/>
        </w:rPr>
        <w:t> </w:t>
      </w:r>
      <w:r>
        <w:rPr>
          <w:sz w:val="24"/>
        </w:rPr>
        <w:t>items</w:t>
      </w:r>
      <w:r>
        <w:rPr>
          <w:spacing w:val="-8"/>
          <w:sz w:val="24"/>
        </w:rPr>
        <w:t> </w:t>
      </w:r>
      <w:r>
        <w:rPr>
          <w:sz w:val="24"/>
        </w:rPr>
        <w:t>collected</w:t>
      </w:r>
      <w:r>
        <w:rPr>
          <w:spacing w:val="-8"/>
          <w:sz w:val="24"/>
        </w:rPr>
        <w:t> </w:t>
      </w:r>
      <w:r>
        <w:rPr>
          <w:sz w:val="24"/>
        </w:rPr>
        <w:t>and</w:t>
      </w:r>
      <w:r>
        <w:rPr>
          <w:spacing w:val="-8"/>
          <w:sz w:val="24"/>
        </w:rPr>
        <w:t> </w:t>
      </w:r>
      <w:r>
        <w:rPr>
          <w:sz w:val="24"/>
        </w:rPr>
        <w:t>processed</w:t>
      </w:r>
      <w:r>
        <w:rPr>
          <w:spacing w:val="-8"/>
          <w:sz w:val="24"/>
        </w:rPr>
        <w:t> </w:t>
      </w:r>
      <w:r>
        <w:rPr>
          <w:sz w:val="24"/>
        </w:rPr>
        <w:t>by</w:t>
      </w:r>
      <w:r>
        <w:rPr>
          <w:spacing w:val="-8"/>
          <w:sz w:val="24"/>
        </w:rPr>
        <w:t> </w:t>
      </w:r>
      <w:r>
        <w:rPr>
          <w:sz w:val="24"/>
        </w:rPr>
        <w:t>the</w:t>
      </w:r>
      <w:r>
        <w:rPr>
          <w:spacing w:val="-7"/>
          <w:sz w:val="24"/>
        </w:rPr>
        <w:t> </w:t>
      </w:r>
      <w:r>
        <w:rPr>
          <w:sz w:val="24"/>
        </w:rPr>
        <w:t>Laundry, so it is difficult to identify and quantify missing items. The cost of missing stock is currently absorbed by the Laundry; however, this will be addressed with the implementation of a standard pricing model. Consequently, we have concluded </w:t>
      </w:r>
      <w:r>
        <w:rPr>
          <w:b/>
          <w:sz w:val="24"/>
        </w:rPr>
        <w:t>Reasonable </w:t>
      </w:r>
      <w:r>
        <w:rPr>
          <w:sz w:val="24"/>
        </w:rPr>
        <w:t>assurance for this objective.</w:t>
      </w:r>
    </w:p>
    <w:p>
      <w:pPr>
        <w:spacing w:after="0" w:line="240" w:lineRule="auto"/>
        <w:jc w:val="both"/>
        <w:rPr>
          <w:sz w:val="24"/>
        </w:rPr>
        <w:sectPr>
          <w:pgSz w:w="11910" w:h="16840"/>
          <w:pgMar w:header="0" w:footer="770" w:top="880" w:bottom="960" w:left="0" w:right="0"/>
        </w:sectPr>
      </w:pPr>
    </w:p>
    <w:p>
      <w:pPr>
        <w:tabs>
          <w:tab w:pos="7935" w:val="left" w:leader="none"/>
        </w:tabs>
        <w:spacing w:before="75"/>
        <w:ind w:left="566" w:right="0" w:firstLine="0"/>
        <w:jc w:val="left"/>
        <w:rPr>
          <w:sz w:val="22"/>
        </w:rPr>
      </w:pPr>
      <w:r>
        <w:rPr>
          <w:sz w:val="22"/>
        </w:rPr>
        <w:t>Laundry</w:t>
      </w:r>
      <w:r>
        <w:rPr>
          <w:spacing w:val="-5"/>
          <w:sz w:val="22"/>
        </w:rPr>
        <w:t> </w:t>
      </w:r>
      <w:r>
        <w:rPr>
          <w:sz w:val="22"/>
        </w:rPr>
        <w:t>Service</w:t>
      </w:r>
      <w:r>
        <w:rPr>
          <w:spacing w:val="-3"/>
          <w:sz w:val="22"/>
        </w:rPr>
        <w:t> </w:t>
      </w:r>
      <w:r>
        <w:rPr>
          <w:sz w:val="22"/>
        </w:rPr>
        <w:t>–</w:t>
      </w:r>
      <w:r>
        <w:rPr>
          <w:spacing w:val="-4"/>
          <w:sz w:val="22"/>
        </w:rPr>
        <w:t> </w:t>
      </w:r>
      <w:r>
        <w:rPr>
          <w:sz w:val="22"/>
        </w:rPr>
        <w:t>Glan</w:t>
      </w:r>
      <w:r>
        <w:rPr>
          <w:spacing w:val="-4"/>
          <w:sz w:val="22"/>
        </w:rPr>
        <w:t> Clwyd</w:t>
      </w:r>
      <w:r>
        <w:rPr>
          <w:sz w:val="22"/>
        </w:rPr>
        <w:tab/>
        <w:t>Final</w:t>
      </w:r>
      <w:r>
        <w:rPr>
          <w:spacing w:val="-7"/>
          <w:sz w:val="22"/>
        </w:rPr>
        <w:t> </w:t>
      </w:r>
      <w:r>
        <w:rPr>
          <w:sz w:val="22"/>
        </w:rPr>
        <w:t>Internal</w:t>
      </w:r>
      <w:r>
        <w:rPr>
          <w:spacing w:val="-5"/>
          <w:sz w:val="22"/>
        </w:rPr>
        <w:t> </w:t>
      </w:r>
      <w:r>
        <w:rPr>
          <w:sz w:val="22"/>
        </w:rPr>
        <w:t>Audit</w:t>
      </w:r>
      <w:r>
        <w:rPr>
          <w:spacing w:val="-5"/>
          <w:sz w:val="22"/>
        </w:rPr>
        <w:t> </w:t>
      </w:r>
      <w:r>
        <w:rPr>
          <w:spacing w:val="-2"/>
          <w:sz w:val="22"/>
        </w:rPr>
        <w:t>Report</w:t>
      </w:r>
    </w:p>
    <w:p>
      <w:pPr>
        <w:pStyle w:val="BodyText"/>
        <w:spacing w:before="4"/>
        <w:rPr>
          <w:sz w:val="20"/>
        </w:rPr>
      </w:pPr>
      <w:r>
        <w:rPr/>
        <w:pict>
          <v:shape style="position:absolute;margin-left:27.6pt;margin-top:13.561312pt;width:532.450pt;height:1.45pt;mso-position-horizontal-relative:page;mso-position-vertical-relative:paragraph;z-index:-15687680;mso-wrap-distance-left:0;mso-wrap-distance-right:0" id="docshape166" coordorigin="552,271" coordsize="10649,29" path="m11200,271l5943,271,5929,271,5915,271,552,271,552,300,5915,300,5929,300,5943,300,11200,300,11200,271xe" filled="true" fillcolor="#000000" stroked="false">
            <v:path arrowok="t"/>
            <v:fill type="solid"/>
            <w10:wrap type="topAndBottom"/>
          </v:shape>
        </w:pict>
      </w:r>
    </w:p>
    <w:p>
      <w:pPr>
        <w:pStyle w:val="BodyText"/>
        <w:spacing w:before="10"/>
        <w:rPr>
          <w:sz w:val="27"/>
        </w:rPr>
      </w:pPr>
    </w:p>
    <w:p>
      <w:pPr>
        <w:spacing w:before="100"/>
        <w:ind w:left="566" w:right="704" w:firstLine="0"/>
        <w:jc w:val="both"/>
        <w:rPr>
          <w:b/>
          <w:sz w:val="24"/>
        </w:rPr>
      </w:pPr>
      <w:r>
        <w:rPr>
          <w:b/>
          <w:color w:val="3C5A8B"/>
          <w:sz w:val="24"/>
        </w:rPr>
        <w:t>Objective 5: Systems and processes are in place to record both NHS and non- NHS activity (where applicable), ensuring that associated income is invoiced and received</w:t>
      </w:r>
    </w:p>
    <w:p>
      <w:pPr>
        <w:pStyle w:val="ListParagraph"/>
        <w:numPr>
          <w:ilvl w:val="1"/>
          <w:numId w:val="17"/>
        </w:numPr>
        <w:tabs>
          <w:tab w:pos="1133" w:val="left" w:leader="none"/>
        </w:tabs>
        <w:spacing w:line="240" w:lineRule="auto" w:before="118" w:after="0"/>
        <w:ind w:left="1132" w:right="703" w:hanging="567"/>
        <w:jc w:val="both"/>
        <w:rPr>
          <w:b/>
          <w:sz w:val="24"/>
        </w:rPr>
      </w:pPr>
      <w:r>
        <w:rPr>
          <w:sz w:val="24"/>
        </w:rPr>
        <w:t>Linen</w:t>
      </w:r>
      <w:r>
        <w:rPr>
          <w:spacing w:val="-6"/>
          <w:sz w:val="24"/>
        </w:rPr>
        <w:t> </w:t>
      </w:r>
      <w:r>
        <w:rPr>
          <w:sz w:val="24"/>
        </w:rPr>
        <w:t>is</w:t>
      </w:r>
      <w:r>
        <w:rPr>
          <w:spacing w:val="-4"/>
          <w:sz w:val="24"/>
        </w:rPr>
        <w:t> </w:t>
      </w:r>
      <w:r>
        <w:rPr>
          <w:sz w:val="24"/>
        </w:rPr>
        <w:t>issued</w:t>
      </w:r>
      <w:r>
        <w:rPr>
          <w:spacing w:val="-6"/>
          <w:sz w:val="24"/>
        </w:rPr>
        <w:t> </w:t>
      </w:r>
      <w:r>
        <w:rPr>
          <w:sz w:val="24"/>
        </w:rPr>
        <w:t>based</w:t>
      </w:r>
      <w:r>
        <w:rPr>
          <w:spacing w:val="-6"/>
          <w:sz w:val="24"/>
        </w:rPr>
        <w:t> </w:t>
      </w:r>
      <w:r>
        <w:rPr>
          <w:sz w:val="24"/>
        </w:rPr>
        <w:t>on</w:t>
      </w:r>
      <w:r>
        <w:rPr>
          <w:spacing w:val="-3"/>
          <w:sz w:val="24"/>
        </w:rPr>
        <w:t> </w:t>
      </w:r>
      <w:r>
        <w:rPr>
          <w:sz w:val="24"/>
        </w:rPr>
        <w:t>the</w:t>
      </w:r>
      <w:r>
        <w:rPr>
          <w:spacing w:val="-4"/>
          <w:sz w:val="24"/>
        </w:rPr>
        <w:t> </w:t>
      </w:r>
      <w:r>
        <w:rPr>
          <w:sz w:val="24"/>
        </w:rPr>
        <w:t>agreed</w:t>
      </w:r>
      <w:r>
        <w:rPr>
          <w:spacing w:val="-6"/>
          <w:sz w:val="24"/>
        </w:rPr>
        <w:t> </w:t>
      </w:r>
      <w:r>
        <w:rPr>
          <w:sz w:val="24"/>
        </w:rPr>
        <w:t>stock</w:t>
      </w:r>
      <w:r>
        <w:rPr>
          <w:spacing w:val="-6"/>
          <w:sz w:val="24"/>
        </w:rPr>
        <w:t> </w:t>
      </w:r>
      <w:r>
        <w:rPr>
          <w:sz w:val="24"/>
        </w:rPr>
        <w:t>levels</w:t>
      </w:r>
      <w:r>
        <w:rPr>
          <w:spacing w:val="-3"/>
          <w:sz w:val="24"/>
        </w:rPr>
        <w:t> </w:t>
      </w:r>
      <w:r>
        <w:rPr>
          <w:sz w:val="24"/>
        </w:rPr>
        <w:t>as</w:t>
      </w:r>
      <w:r>
        <w:rPr>
          <w:spacing w:val="-6"/>
          <w:sz w:val="24"/>
        </w:rPr>
        <w:t> </w:t>
      </w:r>
      <w:r>
        <w:rPr>
          <w:sz w:val="24"/>
        </w:rPr>
        <w:t>per</w:t>
      </w:r>
      <w:r>
        <w:rPr>
          <w:spacing w:val="-4"/>
          <w:sz w:val="24"/>
        </w:rPr>
        <w:t> </w:t>
      </w:r>
      <w:r>
        <w:rPr>
          <w:sz w:val="24"/>
        </w:rPr>
        <w:t>the</w:t>
      </w:r>
      <w:r>
        <w:rPr>
          <w:spacing w:val="-2"/>
          <w:sz w:val="24"/>
        </w:rPr>
        <w:t> </w:t>
      </w:r>
      <w:r>
        <w:rPr>
          <w:sz w:val="24"/>
        </w:rPr>
        <w:t>service</w:t>
      </w:r>
      <w:r>
        <w:rPr>
          <w:spacing w:val="-5"/>
          <w:sz w:val="24"/>
        </w:rPr>
        <w:t> </w:t>
      </w:r>
      <w:r>
        <w:rPr>
          <w:sz w:val="24"/>
        </w:rPr>
        <w:t>level</w:t>
      </w:r>
      <w:r>
        <w:rPr>
          <w:spacing w:val="-6"/>
          <w:sz w:val="24"/>
        </w:rPr>
        <w:t> </w:t>
      </w:r>
      <w:r>
        <w:rPr>
          <w:sz w:val="24"/>
        </w:rPr>
        <w:t>agreement and physical stock levels at each site.</w:t>
      </w:r>
      <w:r>
        <w:rPr>
          <w:spacing w:val="40"/>
          <w:sz w:val="24"/>
        </w:rPr>
        <w:t> </w:t>
      </w:r>
      <w:r>
        <w:rPr>
          <w:sz w:val="24"/>
        </w:rPr>
        <w:t>Items processed and issued are manually recorded</w:t>
      </w:r>
      <w:r>
        <w:rPr>
          <w:spacing w:val="-18"/>
          <w:sz w:val="24"/>
        </w:rPr>
        <w:t> </w:t>
      </w:r>
      <w:r>
        <w:rPr>
          <w:sz w:val="24"/>
        </w:rPr>
        <w:t>on</w:t>
      </w:r>
      <w:r>
        <w:rPr>
          <w:spacing w:val="-18"/>
          <w:sz w:val="24"/>
        </w:rPr>
        <w:t> </w:t>
      </w:r>
      <w:r>
        <w:rPr>
          <w:sz w:val="24"/>
        </w:rPr>
        <w:t>a</w:t>
      </w:r>
      <w:r>
        <w:rPr>
          <w:spacing w:val="-16"/>
          <w:sz w:val="24"/>
        </w:rPr>
        <w:t> </w:t>
      </w:r>
      <w:r>
        <w:rPr>
          <w:sz w:val="24"/>
        </w:rPr>
        <w:t>spreadsheet</w:t>
      </w:r>
      <w:r>
        <w:rPr>
          <w:spacing w:val="-18"/>
          <w:sz w:val="24"/>
        </w:rPr>
        <w:t> </w:t>
      </w:r>
      <w:r>
        <w:rPr>
          <w:sz w:val="24"/>
        </w:rPr>
        <w:t>for</w:t>
      </w:r>
      <w:r>
        <w:rPr>
          <w:spacing w:val="-16"/>
          <w:sz w:val="24"/>
        </w:rPr>
        <w:t> </w:t>
      </w:r>
      <w:r>
        <w:rPr>
          <w:sz w:val="24"/>
        </w:rPr>
        <w:t>each</w:t>
      </w:r>
      <w:r>
        <w:rPr>
          <w:spacing w:val="-18"/>
          <w:sz w:val="24"/>
        </w:rPr>
        <w:t> </w:t>
      </w:r>
      <w:r>
        <w:rPr>
          <w:sz w:val="24"/>
        </w:rPr>
        <w:t>site</w:t>
      </w:r>
      <w:r>
        <w:rPr>
          <w:spacing w:val="-14"/>
          <w:sz w:val="24"/>
        </w:rPr>
        <w:t> </w:t>
      </w:r>
      <w:r>
        <w:rPr>
          <w:sz w:val="24"/>
        </w:rPr>
        <w:t>and</w:t>
      </w:r>
      <w:r>
        <w:rPr>
          <w:spacing w:val="-18"/>
          <w:sz w:val="24"/>
        </w:rPr>
        <w:t> </w:t>
      </w:r>
      <w:r>
        <w:rPr>
          <w:sz w:val="24"/>
        </w:rPr>
        <w:t>total</w:t>
      </w:r>
      <w:r>
        <w:rPr>
          <w:spacing w:val="-18"/>
          <w:sz w:val="24"/>
        </w:rPr>
        <w:t> </w:t>
      </w:r>
      <w:r>
        <w:rPr>
          <w:sz w:val="24"/>
        </w:rPr>
        <w:t>activity</w:t>
      </w:r>
      <w:r>
        <w:rPr>
          <w:spacing w:val="-16"/>
          <w:sz w:val="24"/>
        </w:rPr>
        <w:t> </w:t>
      </w:r>
      <w:r>
        <w:rPr>
          <w:sz w:val="24"/>
        </w:rPr>
        <w:t>for</w:t>
      </w:r>
      <w:r>
        <w:rPr>
          <w:spacing w:val="-16"/>
          <w:sz w:val="24"/>
        </w:rPr>
        <w:t> </w:t>
      </w:r>
      <w:r>
        <w:rPr>
          <w:sz w:val="24"/>
        </w:rPr>
        <w:t>the</w:t>
      </w:r>
      <w:r>
        <w:rPr>
          <w:spacing w:val="-16"/>
          <w:sz w:val="24"/>
        </w:rPr>
        <w:t> </w:t>
      </w:r>
      <w:r>
        <w:rPr>
          <w:sz w:val="24"/>
        </w:rPr>
        <w:t>laundry</w:t>
      </w:r>
      <w:r>
        <w:rPr>
          <w:spacing w:val="-15"/>
          <w:sz w:val="24"/>
        </w:rPr>
        <w:t> </w:t>
      </w:r>
      <w:r>
        <w:rPr>
          <w:sz w:val="24"/>
        </w:rPr>
        <w:t>is</w:t>
      </w:r>
      <w:r>
        <w:rPr>
          <w:spacing w:val="-18"/>
          <w:sz w:val="24"/>
        </w:rPr>
        <w:t> </w:t>
      </w:r>
      <w:r>
        <w:rPr>
          <w:sz w:val="24"/>
        </w:rPr>
        <w:t>manually calculated and entered onto the Laundry Services Weekly Production Dashboard. For</w:t>
      </w:r>
      <w:r>
        <w:rPr>
          <w:spacing w:val="-16"/>
          <w:sz w:val="24"/>
        </w:rPr>
        <w:t> </w:t>
      </w:r>
      <w:r>
        <w:rPr>
          <w:sz w:val="24"/>
        </w:rPr>
        <w:t>other</w:t>
      </w:r>
      <w:r>
        <w:rPr>
          <w:spacing w:val="-16"/>
          <w:sz w:val="24"/>
        </w:rPr>
        <w:t> </w:t>
      </w:r>
      <w:r>
        <w:rPr>
          <w:sz w:val="24"/>
        </w:rPr>
        <w:t>sites</w:t>
      </w:r>
      <w:r>
        <w:rPr>
          <w:spacing w:val="-18"/>
          <w:sz w:val="24"/>
        </w:rPr>
        <w:t> </w:t>
      </w:r>
      <w:r>
        <w:rPr>
          <w:sz w:val="24"/>
        </w:rPr>
        <w:t>this</w:t>
      </w:r>
      <w:r>
        <w:rPr>
          <w:spacing w:val="-16"/>
          <w:sz w:val="24"/>
        </w:rPr>
        <w:t> </w:t>
      </w:r>
      <w:r>
        <w:rPr>
          <w:sz w:val="24"/>
        </w:rPr>
        <w:t>information</w:t>
      </w:r>
      <w:r>
        <w:rPr>
          <w:spacing w:val="-16"/>
          <w:sz w:val="24"/>
        </w:rPr>
        <w:t> </w:t>
      </w:r>
      <w:r>
        <w:rPr>
          <w:sz w:val="24"/>
        </w:rPr>
        <w:t>can</w:t>
      </w:r>
      <w:r>
        <w:rPr>
          <w:spacing w:val="-16"/>
          <w:sz w:val="24"/>
        </w:rPr>
        <w:t> </w:t>
      </w:r>
      <w:r>
        <w:rPr>
          <w:sz w:val="24"/>
        </w:rPr>
        <w:t>be</w:t>
      </w:r>
      <w:r>
        <w:rPr>
          <w:spacing w:val="-16"/>
          <w:sz w:val="24"/>
        </w:rPr>
        <w:t> </w:t>
      </w:r>
      <w:r>
        <w:rPr>
          <w:sz w:val="24"/>
        </w:rPr>
        <w:t>extracted</w:t>
      </w:r>
      <w:r>
        <w:rPr>
          <w:spacing w:val="-18"/>
          <w:sz w:val="24"/>
        </w:rPr>
        <w:t> </w:t>
      </w:r>
      <w:r>
        <w:rPr>
          <w:sz w:val="24"/>
        </w:rPr>
        <w:t>from</w:t>
      </w:r>
      <w:r>
        <w:rPr>
          <w:spacing w:val="-11"/>
          <w:sz w:val="24"/>
        </w:rPr>
        <w:t> </w:t>
      </w:r>
      <w:r>
        <w:rPr>
          <w:sz w:val="24"/>
        </w:rPr>
        <w:t>the</w:t>
      </w:r>
      <w:r>
        <w:rPr>
          <w:spacing w:val="-14"/>
          <w:sz w:val="24"/>
        </w:rPr>
        <w:t> </w:t>
      </w:r>
      <w:r>
        <w:rPr>
          <w:sz w:val="24"/>
        </w:rPr>
        <w:t>Benchmarker</w:t>
      </w:r>
      <w:r>
        <w:rPr>
          <w:spacing w:val="-15"/>
          <w:sz w:val="24"/>
        </w:rPr>
        <w:t> </w:t>
      </w:r>
      <w:r>
        <w:rPr>
          <w:sz w:val="24"/>
        </w:rPr>
        <w:t>system.</w:t>
      </w:r>
      <w:r>
        <w:rPr>
          <w:spacing w:val="40"/>
          <w:sz w:val="24"/>
        </w:rPr>
        <w:t> </w:t>
      </w:r>
      <w:r>
        <w:rPr>
          <w:sz w:val="24"/>
        </w:rPr>
        <w:t>We understand that the Benchmarker system used in Green Vale and Llansamlet laundries</w:t>
      </w:r>
      <w:r>
        <w:rPr>
          <w:spacing w:val="-20"/>
          <w:sz w:val="24"/>
        </w:rPr>
        <w:t> </w:t>
      </w:r>
      <w:r>
        <w:rPr>
          <w:sz w:val="24"/>
        </w:rPr>
        <w:t>is</w:t>
      </w:r>
      <w:r>
        <w:rPr>
          <w:spacing w:val="-21"/>
          <w:sz w:val="24"/>
        </w:rPr>
        <w:t> </w:t>
      </w:r>
      <w:r>
        <w:rPr>
          <w:sz w:val="24"/>
        </w:rPr>
        <w:t>due</w:t>
      </w:r>
      <w:r>
        <w:rPr>
          <w:spacing w:val="-20"/>
          <w:sz w:val="24"/>
        </w:rPr>
        <w:t> </w:t>
      </w:r>
      <w:r>
        <w:rPr>
          <w:sz w:val="24"/>
        </w:rPr>
        <w:t>to</w:t>
      </w:r>
      <w:r>
        <w:rPr>
          <w:spacing w:val="-20"/>
          <w:sz w:val="24"/>
        </w:rPr>
        <w:t> </w:t>
      </w:r>
      <w:r>
        <w:rPr>
          <w:sz w:val="24"/>
        </w:rPr>
        <w:t>be</w:t>
      </w:r>
      <w:r>
        <w:rPr>
          <w:spacing w:val="-20"/>
          <w:sz w:val="24"/>
        </w:rPr>
        <w:t> </w:t>
      </w:r>
      <w:r>
        <w:rPr>
          <w:sz w:val="24"/>
        </w:rPr>
        <w:t>implemented</w:t>
      </w:r>
      <w:r>
        <w:rPr>
          <w:spacing w:val="-21"/>
          <w:sz w:val="24"/>
        </w:rPr>
        <w:t> </w:t>
      </w:r>
      <w:r>
        <w:rPr>
          <w:sz w:val="24"/>
        </w:rPr>
        <w:t>but</w:t>
      </w:r>
      <w:r>
        <w:rPr>
          <w:spacing w:val="-22"/>
          <w:sz w:val="24"/>
        </w:rPr>
        <w:t> </w:t>
      </w:r>
      <w:r>
        <w:rPr>
          <w:sz w:val="24"/>
        </w:rPr>
        <w:t>the</w:t>
      </w:r>
      <w:r>
        <w:rPr>
          <w:spacing w:val="-19"/>
          <w:sz w:val="24"/>
        </w:rPr>
        <w:t> </w:t>
      </w:r>
      <w:r>
        <w:rPr>
          <w:sz w:val="24"/>
        </w:rPr>
        <w:t>timescales</w:t>
      </w:r>
      <w:r>
        <w:rPr>
          <w:spacing w:val="-20"/>
          <w:sz w:val="24"/>
        </w:rPr>
        <w:t> </w:t>
      </w:r>
      <w:r>
        <w:rPr>
          <w:sz w:val="24"/>
        </w:rPr>
        <w:t>for</w:t>
      </w:r>
      <w:r>
        <w:rPr>
          <w:spacing w:val="-20"/>
          <w:sz w:val="24"/>
        </w:rPr>
        <w:t> </w:t>
      </w:r>
      <w:r>
        <w:rPr>
          <w:sz w:val="24"/>
        </w:rPr>
        <w:t>this</w:t>
      </w:r>
      <w:r>
        <w:rPr>
          <w:spacing w:val="-21"/>
          <w:sz w:val="24"/>
        </w:rPr>
        <w:t> </w:t>
      </w:r>
      <w:r>
        <w:rPr>
          <w:sz w:val="24"/>
        </w:rPr>
        <w:t>are</w:t>
      </w:r>
      <w:r>
        <w:rPr>
          <w:spacing w:val="-19"/>
          <w:sz w:val="24"/>
        </w:rPr>
        <w:t> </w:t>
      </w:r>
      <w:r>
        <w:rPr>
          <w:sz w:val="24"/>
        </w:rPr>
        <w:t>not</w:t>
      </w:r>
      <w:r>
        <w:rPr>
          <w:spacing w:val="-22"/>
          <w:sz w:val="24"/>
        </w:rPr>
        <w:t> </w:t>
      </w:r>
      <w:r>
        <w:rPr>
          <w:sz w:val="24"/>
        </w:rPr>
        <w:t>clear.</w:t>
      </w:r>
      <w:r>
        <w:rPr>
          <w:spacing w:val="-15"/>
          <w:sz w:val="24"/>
        </w:rPr>
        <w:t> </w:t>
      </w:r>
      <w:r>
        <w:rPr>
          <w:b/>
          <w:sz w:val="24"/>
        </w:rPr>
        <w:t>[Matter Arising 3]</w:t>
      </w:r>
    </w:p>
    <w:p>
      <w:pPr>
        <w:pStyle w:val="ListParagraph"/>
        <w:numPr>
          <w:ilvl w:val="1"/>
          <w:numId w:val="17"/>
        </w:numPr>
        <w:tabs>
          <w:tab w:pos="1133" w:val="left" w:leader="none"/>
        </w:tabs>
        <w:spacing w:line="240" w:lineRule="auto" w:before="120" w:after="0"/>
        <w:ind w:left="1132" w:right="702" w:hanging="567"/>
        <w:jc w:val="both"/>
        <w:rPr>
          <w:sz w:val="24"/>
        </w:rPr>
      </w:pPr>
      <w:r>
        <w:rPr>
          <w:sz w:val="24"/>
        </w:rPr>
        <w:t>Current prices are based on 2019/20 prices plus 2% inflation, although prices and billing vary across Wales due to legacy arrangements. The Health Board and Trust serviced by Glan Clwyd Laundry are invoiced quarterly based on a fixed rate agreement</w:t>
      </w:r>
      <w:r>
        <w:rPr>
          <w:spacing w:val="-17"/>
          <w:sz w:val="24"/>
        </w:rPr>
        <w:t> </w:t>
      </w:r>
      <w:r>
        <w:rPr>
          <w:sz w:val="24"/>
        </w:rPr>
        <w:t>and</w:t>
      </w:r>
      <w:r>
        <w:rPr>
          <w:spacing w:val="-18"/>
          <w:sz w:val="24"/>
        </w:rPr>
        <w:t> </w:t>
      </w:r>
      <w:r>
        <w:rPr>
          <w:sz w:val="24"/>
        </w:rPr>
        <w:t>agreed</w:t>
      </w:r>
      <w:r>
        <w:rPr>
          <w:spacing w:val="-18"/>
          <w:sz w:val="24"/>
        </w:rPr>
        <w:t> </w:t>
      </w:r>
      <w:r>
        <w:rPr>
          <w:sz w:val="24"/>
        </w:rPr>
        <w:t>annual</w:t>
      </w:r>
      <w:r>
        <w:rPr>
          <w:spacing w:val="-19"/>
          <w:sz w:val="24"/>
        </w:rPr>
        <w:t> </w:t>
      </w:r>
      <w:r>
        <w:rPr>
          <w:sz w:val="24"/>
        </w:rPr>
        <w:t>activity</w:t>
      </w:r>
      <w:r>
        <w:rPr>
          <w:spacing w:val="-18"/>
          <w:sz w:val="24"/>
        </w:rPr>
        <w:t> </w:t>
      </w:r>
      <w:r>
        <w:rPr>
          <w:sz w:val="24"/>
        </w:rPr>
        <w:t>set</w:t>
      </w:r>
      <w:r>
        <w:rPr>
          <w:spacing w:val="-18"/>
          <w:sz w:val="24"/>
        </w:rPr>
        <w:t> </w:t>
      </w:r>
      <w:r>
        <w:rPr>
          <w:sz w:val="24"/>
        </w:rPr>
        <w:t>out</w:t>
      </w:r>
      <w:r>
        <w:rPr>
          <w:spacing w:val="-18"/>
          <w:sz w:val="24"/>
        </w:rPr>
        <w:t> </w:t>
      </w:r>
      <w:r>
        <w:rPr>
          <w:sz w:val="24"/>
        </w:rPr>
        <w:t>in</w:t>
      </w:r>
      <w:r>
        <w:rPr>
          <w:spacing w:val="-16"/>
          <w:sz w:val="24"/>
        </w:rPr>
        <w:t> </w:t>
      </w:r>
      <w:r>
        <w:rPr>
          <w:sz w:val="24"/>
        </w:rPr>
        <w:t>the</w:t>
      </w:r>
      <w:r>
        <w:rPr>
          <w:spacing w:val="-16"/>
          <w:sz w:val="24"/>
        </w:rPr>
        <w:t> </w:t>
      </w:r>
      <w:r>
        <w:rPr>
          <w:sz w:val="24"/>
        </w:rPr>
        <w:t>Service</w:t>
      </w:r>
      <w:r>
        <w:rPr>
          <w:spacing w:val="-17"/>
          <w:sz w:val="24"/>
        </w:rPr>
        <w:t> </w:t>
      </w:r>
      <w:r>
        <w:rPr>
          <w:sz w:val="24"/>
        </w:rPr>
        <w:t>Level</w:t>
      </w:r>
      <w:r>
        <w:rPr>
          <w:spacing w:val="-18"/>
          <w:sz w:val="24"/>
        </w:rPr>
        <w:t> </w:t>
      </w:r>
      <w:r>
        <w:rPr>
          <w:sz w:val="24"/>
        </w:rPr>
        <w:t>Agreement</w:t>
      </w:r>
      <w:r>
        <w:rPr>
          <w:spacing w:val="-18"/>
          <w:sz w:val="24"/>
        </w:rPr>
        <w:t> </w:t>
      </w:r>
      <w:r>
        <w:rPr>
          <w:sz w:val="24"/>
        </w:rPr>
        <w:t>(SLA).</w:t>
      </w:r>
    </w:p>
    <w:p>
      <w:pPr>
        <w:pStyle w:val="ListParagraph"/>
        <w:numPr>
          <w:ilvl w:val="1"/>
          <w:numId w:val="17"/>
        </w:numPr>
        <w:tabs>
          <w:tab w:pos="1133" w:val="left" w:leader="none"/>
        </w:tabs>
        <w:spacing w:line="240" w:lineRule="auto" w:before="122" w:after="0"/>
        <w:ind w:left="1132" w:right="703" w:hanging="567"/>
        <w:jc w:val="both"/>
        <w:rPr>
          <w:sz w:val="24"/>
        </w:rPr>
      </w:pPr>
      <w:r>
        <w:rPr>
          <w:sz w:val="24"/>
        </w:rPr>
        <w:t>Review of production data for Q1-3 noted that this is generally in line with the agreed activity levels. The SLA includes agreed tolerances which, if exceeded, will trigger a review of the annual fee as part of the quarterly review process.</w:t>
      </w:r>
    </w:p>
    <w:p>
      <w:pPr>
        <w:pStyle w:val="BodyText"/>
        <w:spacing w:before="121"/>
        <w:ind w:left="566"/>
      </w:pPr>
      <w:r>
        <w:rPr>
          <w:color w:val="3C5A8B"/>
          <w:spacing w:val="-2"/>
        </w:rPr>
        <w:t>Conclusion:</w:t>
      </w:r>
    </w:p>
    <w:p>
      <w:pPr>
        <w:pStyle w:val="ListParagraph"/>
        <w:numPr>
          <w:ilvl w:val="1"/>
          <w:numId w:val="17"/>
        </w:numPr>
        <w:tabs>
          <w:tab w:pos="1133" w:val="left" w:leader="none"/>
        </w:tabs>
        <w:spacing w:line="240" w:lineRule="auto" w:before="119" w:after="0"/>
        <w:ind w:left="1132" w:right="705" w:hanging="567"/>
        <w:jc w:val="both"/>
        <w:rPr>
          <w:sz w:val="24"/>
        </w:rPr>
      </w:pPr>
      <w:r>
        <w:rPr>
          <w:sz w:val="24"/>
        </w:rPr>
        <w:t>The</w:t>
      </w:r>
      <w:r>
        <w:rPr>
          <w:spacing w:val="-4"/>
          <w:sz w:val="24"/>
        </w:rPr>
        <w:t> </w:t>
      </w:r>
      <w:r>
        <w:rPr>
          <w:sz w:val="24"/>
        </w:rPr>
        <w:t>arrangements</w:t>
      </w:r>
      <w:r>
        <w:rPr>
          <w:spacing w:val="-5"/>
          <w:sz w:val="24"/>
        </w:rPr>
        <w:t> </w:t>
      </w:r>
      <w:r>
        <w:rPr>
          <w:sz w:val="24"/>
        </w:rPr>
        <w:t>for</w:t>
      </w:r>
      <w:r>
        <w:rPr>
          <w:spacing w:val="-4"/>
          <w:sz w:val="24"/>
        </w:rPr>
        <w:t> </w:t>
      </w:r>
      <w:r>
        <w:rPr>
          <w:sz w:val="24"/>
        </w:rPr>
        <w:t>recording</w:t>
      </w:r>
      <w:r>
        <w:rPr>
          <w:spacing w:val="-5"/>
          <w:sz w:val="24"/>
        </w:rPr>
        <w:t> </w:t>
      </w:r>
      <w:r>
        <w:rPr>
          <w:sz w:val="24"/>
        </w:rPr>
        <w:t>activity are</w:t>
      </w:r>
      <w:r>
        <w:rPr>
          <w:spacing w:val="-3"/>
          <w:sz w:val="24"/>
        </w:rPr>
        <w:t> </w:t>
      </w:r>
      <w:r>
        <w:rPr>
          <w:sz w:val="24"/>
        </w:rPr>
        <w:t>satisfactory,</w:t>
      </w:r>
      <w:r>
        <w:rPr>
          <w:spacing w:val="-3"/>
          <w:sz w:val="24"/>
        </w:rPr>
        <w:t> </w:t>
      </w:r>
      <w:r>
        <w:rPr>
          <w:sz w:val="24"/>
        </w:rPr>
        <w:t>albeit</w:t>
      </w:r>
      <w:r>
        <w:rPr>
          <w:spacing w:val="-6"/>
          <w:sz w:val="24"/>
        </w:rPr>
        <w:t> </w:t>
      </w:r>
      <w:r>
        <w:rPr>
          <w:sz w:val="24"/>
        </w:rPr>
        <w:t>there</w:t>
      </w:r>
      <w:r>
        <w:rPr>
          <w:spacing w:val="-3"/>
          <w:sz w:val="24"/>
        </w:rPr>
        <w:t> </w:t>
      </w:r>
      <w:r>
        <w:rPr>
          <w:sz w:val="24"/>
        </w:rPr>
        <w:t>is</w:t>
      </w:r>
      <w:r>
        <w:rPr>
          <w:spacing w:val="-5"/>
          <w:sz w:val="24"/>
        </w:rPr>
        <w:t> </w:t>
      </w:r>
      <w:r>
        <w:rPr>
          <w:sz w:val="24"/>
        </w:rPr>
        <w:t>opportunity to improve efficiency and consistency with the planned implementation of Benchmarker system at Glan Clwyd Laundry. Prices charged reflect legacy arrangements prior to the transfer to NWSSP and this will be addressed following completion of the Transformational Programme. Accordingly, we have concluded </w:t>
      </w:r>
      <w:r>
        <w:rPr>
          <w:b/>
          <w:sz w:val="24"/>
        </w:rPr>
        <w:t>Reasonable </w:t>
      </w:r>
      <w:r>
        <w:rPr>
          <w:sz w:val="24"/>
        </w:rPr>
        <w:t>assurance for this objective.</w:t>
      </w:r>
    </w:p>
    <w:p>
      <w:pPr>
        <w:pStyle w:val="BodyText"/>
        <w:rPr>
          <w:sz w:val="28"/>
        </w:rPr>
      </w:pPr>
    </w:p>
    <w:p>
      <w:pPr>
        <w:spacing w:before="190"/>
        <w:ind w:left="566" w:right="617" w:firstLine="0"/>
        <w:jc w:val="left"/>
        <w:rPr>
          <w:b/>
          <w:sz w:val="24"/>
        </w:rPr>
      </w:pPr>
      <w:r>
        <w:rPr>
          <w:b/>
          <w:color w:val="3C5A8B"/>
          <w:sz w:val="24"/>
        </w:rPr>
        <w:t>Objective</w:t>
      </w:r>
      <w:r>
        <w:rPr>
          <w:b/>
          <w:color w:val="3C5A8B"/>
          <w:spacing w:val="-13"/>
          <w:sz w:val="24"/>
        </w:rPr>
        <w:t> </w:t>
      </w:r>
      <w:r>
        <w:rPr>
          <w:b/>
          <w:color w:val="3C5A8B"/>
          <w:sz w:val="24"/>
        </w:rPr>
        <w:t>6:</w:t>
      </w:r>
      <w:r>
        <w:rPr>
          <w:b/>
          <w:color w:val="3C5A8B"/>
          <w:spacing w:val="-11"/>
          <w:sz w:val="24"/>
        </w:rPr>
        <w:t> </w:t>
      </w:r>
      <w:r>
        <w:rPr>
          <w:b/>
          <w:color w:val="3C5A8B"/>
          <w:sz w:val="24"/>
        </w:rPr>
        <w:t>Non-NHS</w:t>
      </w:r>
      <w:r>
        <w:rPr>
          <w:b/>
          <w:color w:val="3C5A8B"/>
          <w:spacing w:val="-11"/>
          <w:sz w:val="24"/>
        </w:rPr>
        <w:t> </w:t>
      </w:r>
      <w:r>
        <w:rPr>
          <w:b/>
          <w:color w:val="3C5A8B"/>
          <w:sz w:val="24"/>
        </w:rPr>
        <w:t>activity</w:t>
      </w:r>
      <w:r>
        <w:rPr>
          <w:b/>
          <w:color w:val="3C5A8B"/>
          <w:spacing w:val="-11"/>
          <w:sz w:val="24"/>
        </w:rPr>
        <w:t> </w:t>
      </w:r>
      <w:r>
        <w:rPr>
          <w:b/>
          <w:color w:val="3C5A8B"/>
          <w:sz w:val="24"/>
        </w:rPr>
        <w:t>represents</w:t>
      </w:r>
      <w:r>
        <w:rPr>
          <w:b/>
          <w:color w:val="3C5A8B"/>
          <w:spacing w:val="-12"/>
          <w:sz w:val="24"/>
        </w:rPr>
        <w:t> </w:t>
      </w:r>
      <w:r>
        <w:rPr>
          <w:b/>
          <w:color w:val="3C5A8B"/>
          <w:sz w:val="24"/>
        </w:rPr>
        <w:t>value</w:t>
      </w:r>
      <w:r>
        <w:rPr>
          <w:b/>
          <w:color w:val="3C5A8B"/>
          <w:spacing w:val="-12"/>
          <w:sz w:val="24"/>
        </w:rPr>
        <w:t> </w:t>
      </w:r>
      <w:r>
        <w:rPr>
          <w:b/>
          <w:color w:val="3C5A8B"/>
          <w:sz w:val="24"/>
        </w:rPr>
        <w:t>for</w:t>
      </w:r>
      <w:r>
        <w:rPr>
          <w:b/>
          <w:color w:val="3C5A8B"/>
          <w:spacing w:val="-10"/>
          <w:sz w:val="24"/>
        </w:rPr>
        <w:t> </w:t>
      </w:r>
      <w:r>
        <w:rPr>
          <w:b/>
          <w:color w:val="3C5A8B"/>
          <w:sz w:val="24"/>
        </w:rPr>
        <w:t>money</w:t>
      </w:r>
      <w:r>
        <w:rPr>
          <w:b/>
          <w:color w:val="3C5A8B"/>
          <w:spacing w:val="-11"/>
          <w:sz w:val="24"/>
        </w:rPr>
        <w:t> </w:t>
      </w:r>
      <w:r>
        <w:rPr>
          <w:b/>
          <w:color w:val="3C5A8B"/>
          <w:sz w:val="24"/>
        </w:rPr>
        <w:t>and</w:t>
      </w:r>
      <w:r>
        <w:rPr>
          <w:b/>
          <w:color w:val="3C5A8B"/>
          <w:spacing w:val="-7"/>
          <w:sz w:val="24"/>
        </w:rPr>
        <w:t> </w:t>
      </w:r>
      <w:r>
        <w:rPr>
          <w:b/>
          <w:color w:val="3C5A8B"/>
          <w:sz w:val="24"/>
        </w:rPr>
        <w:t>any</w:t>
      </w:r>
      <w:r>
        <w:rPr>
          <w:b/>
          <w:color w:val="3C5A8B"/>
          <w:spacing w:val="-11"/>
          <w:sz w:val="24"/>
        </w:rPr>
        <w:t> </w:t>
      </w:r>
      <w:r>
        <w:rPr>
          <w:b/>
          <w:color w:val="3C5A8B"/>
          <w:sz w:val="24"/>
        </w:rPr>
        <w:t>cash</w:t>
      </w:r>
      <w:r>
        <w:rPr>
          <w:b/>
          <w:color w:val="3C5A8B"/>
          <w:spacing w:val="-12"/>
          <w:sz w:val="24"/>
        </w:rPr>
        <w:t> </w:t>
      </w:r>
      <w:r>
        <w:rPr>
          <w:b/>
          <w:color w:val="3C5A8B"/>
          <w:sz w:val="24"/>
        </w:rPr>
        <w:t>income is recorded, securely stored and banked regularly</w:t>
      </w:r>
    </w:p>
    <w:p>
      <w:pPr>
        <w:pStyle w:val="ListParagraph"/>
        <w:numPr>
          <w:ilvl w:val="1"/>
          <w:numId w:val="17"/>
        </w:numPr>
        <w:tabs>
          <w:tab w:pos="1133" w:val="left" w:leader="none"/>
        </w:tabs>
        <w:spacing w:line="240" w:lineRule="auto" w:before="120" w:after="0"/>
        <w:ind w:left="1132" w:right="704" w:hanging="567"/>
        <w:jc w:val="left"/>
        <w:rPr>
          <w:sz w:val="24"/>
        </w:rPr>
      </w:pPr>
      <w:r>
        <w:rPr>
          <w:sz w:val="24"/>
        </w:rPr>
        <w:t>Management</w:t>
      </w:r>
      <w:r>
        <w:rPr>
          <w:spacing w:val="-22"/>
          <w:sz w:val="24"/>
        </w:rPr>
        <w:t> </w:t>
      </w:r>
      <w:r>
        <w:rPr>
          <w:sz w:val="24"/>
        </w:rPr>
        <w:t>advised</w:t>
      </w:r>
      <w:r>
        <w:rPr>
          <w:spacing w:val="-21"/>
          <w:sz w:val="24"/>
        </w:rPr>
        <w:t> </w:t>
      </w:r>
      <w:r>
        <w:rPr>
          <w:sz w:val="24"/>
        </w:rPr>
        <w:t>that</w:t>
      </w:r>
      <w:r>
        <w:rPr>
          <w:spacing w:val="-21"/>
          <w:sz w:val="24"/>
        </w:rPr>
        <w:t> </w:t>
      </w:r>
      <w:r>
        <w:rPr>
          <w:sz w:val="24"/>
        </w:rPr>
        <w:t>there</w:t>
      </w:r>
      <w:r>
        <w:rPr>
          <w:spacing w:val="-21"/>
          <w:sz w:val="24"/>
        </w:rPr>
        <w:t> </w:t>
      </w:r>
      <w:r>
        <w:rPr>
          <w:sz w:val="24"/>
        </w:rPr>
        <w:t>is</w:t>
      </w:r>
      <w:r>
        <w:rPr>
          <w:spacing w:val="-21"/>
          <w:sz w:val="24"/>
        </w:rPr>
        <w:t> </w:t>
      </w:r>
      <w:r>
        <w:rPr>
          <w:sz w:val="24"/>
        </w:rPr>
        <w:t>no</w:t>
      </w:r>
      <w:r>
        <w:rPr>
          <w:spacing w:val="-21"/>
          <w:sz w:val="24"/>
        </w:rPr>
        <w:t> </w:t>
      </w:r>
      <w:r>
        <w:rPr>
          <w:sz w:val="24"/>
        </w:rPr>
        <w:t>non-NHS</w:t>
      </w:r>
      <w:r>
        <w:rPr>
          <w:spacing w:val="-21"/>
          <w:sz w:val="24"/>
        </w:rPr>
        <w:t> </w:t>
      </w:r>
      <w:r>
        <w:rPr>
          <w:sz w:val="24"/>
        </w:rPr>
        <w:t>activity</w:t>
      </w:r>
      <w:r>
        <w:rPr>
          <w:spacing w:val="-21"/>
          <w:sz w:val="24"/>
        </w:rPr>
        <w:t> </w:t>
      </w:r>
      <w:r>
        <w:rPr>
          <w:sz w:val="24"/>
        </w:rPr>
        <w:t>or</w:t>
      </w:r>
      <w:r>
        <w:rPr>
          <w:spacing w:val="-21"/>
          <w:sz w:val="24"/>
        </w:rPr>
        <w:t> </w:t>
      </w:r>
      <w:r>
        <w:rPr>
          <w:sz w:val="24"/>
        </w:rPr>
        <w:t>cash</w:t>
      </w:r>
      <w:r>
        <w:rPr>
          <w:spacing w:val="-21"/>
          <w:sz w:val="24"/>
        </w:rPr>
        <w:t> </w:t>
      </w:r>
      <w:r>
        <w:rPr>
          <w:sz w:val="24"/>
        </w:rPr>
        <w:t>income</w:t>
      </w:r>
      <w:r>
        <w:rPr>
          <w:spacing w:val="-20"/>
          <w:sz w:val="24"/>
        </w:rPr>
        <w:t> </w:t>
      </w:r>
      <w:r>
        <w:rPr>
          <w:sz w:val="24"/>
        </w:rPr>
        <w:t>at</w:t>
      </w:r>
      <w:r>
        <w:rPr>
          <w:spacing w:val="-20"/>
          <w:sz w:val="24"/>
        </w:rPr>
        <w:t> </w:t>
      </w:r>
      <w:r>
        <w:rPr>
          <w:sz w:val="24"/>
        </w:rPr>
        <w:t>Glan</w:t>
      </w:r>
      <w:r>
        <w:rPr>
          <w:spacing w:val="-22"/>
          <w:sz w:val="24"/>
        </w:rPr>
        <w:t> </w:t>
      </w:r>
      <w:r>
        <w:rPr>
          <w:sz w:val="24"/>
        </w:rPr>
        <w:t>Clwyd </w:t>
      </w:r>
      <w:r>
        <w:rPr>
          <w:spacing w:val="-2"/>
          <w:sz w:val="24"/>
        </w:rPr>
        <w:t>Laundry.</w:t>
      </w:r>
    </w:p>
    <w:p>
      <w:pPr>
        <w:pStyle w:val="BodyText"/>
        <w:spacing w:before="122"/>
        <w:ind w:left="566"/>
      </w:pPr>
      <w:r>
        <w:rPr>
          <w:color w:val="3C5A8B"/>
          <w:spacing w:val="-2"/>
        </w:rPr>
        <w:t>Conclusion:</w:t>
      </w:r>
    </w:p>
    <w:p>
      <w:pPr>
        <w:pStyle w:val="ListParagraph"/>
        <w:numPr>
          <w:ilvl w:val="1"/>
          <w:numId w:val="17"/>
        </w:numPr>
        <w:tabs>
          <w:tab w:pos="1133" w:val="left" w:leader="none"/>
        </w:tabs>
        <w:spacing w:line="240" w:lineRule="auto" w:before="121" w:after="0"/>
        <w:ind w:left="1132" w:right="0" w:hanging="567"/>
        <w:jc w:val="left"/>
        <w:rPr>
          <w:sz w:val="24"/>
        </w:rPr>
      </w:pPr>
      <w:r>
        <w:rPr>
          <w:sz w:val="24"/>
        </w:rPr>
        <w:t>Noting</w:t>
      </w:r>
      <w:r>
        <w:rPr>
          <w:spacing w:val="-3"/>
          <w:sz w:val="24"/>
        </w:rPr>
        <w:t> </w:t>
      </w:r>
      <w:r>
        <w:rPr>
          <w:sz w:val="24"/>
        </w:rPr>
        <w:t>the</w:t>
      </w:r>
      <w:r>
        <w:rPr>
          <w:spacing w:val="-2"/>
          <w:sz w:val="24"/>
        </w:rPr>
        <w:t> </w:t>
      </w:r>
      <w:r>
        <w:rPr>
          <w:sz w:val="24"/>
        </w:rPr>
        <w:t>above,</w:t>
      </w:r>
      <w:r>
        <w:rPr>
          <w:spacing w:val="-3"/>
          <w:sz w:val="24"/>
        </w:rPr>
        <w:t> </w:t>
      </w:r>
      <w:r>
        <w:rPr>
          <w:sz w:val="24"/>
        </w:rPr>
        <w:t>an</w:t>
      </w:r>
      <w:r>
        <w:rPr>
          <w:spacing w:val="-3"/>
          <w:sz w:val="24"/>
        </w:rPr>
        <w:t> </w:t>
      </w:r>
      <w:r>
        <w:rPr>
          <w:sz w:val="24"/>
        </w:rPr>
        <w:t>assurance</w:t>
      </w:r>
      <w:r>
        <w:rPr>
          <w:spacing w:val="-1"/>
          <w:sz w:val="24"/>
        </w:rPr>
        <w:t> </w:t>
      </w:r>
      <w:r>
        <w:rPr>
          <w:sz w:val="24"/>
        </w:rPr>
        <w:t>rating</w:t>
      </w:r>
      <w:r>
        <w:rPr>
          <w:spacing w:val="-1"/>
          <w:sz w:val="24"/>
        </w:rPr>
        <w:t> </w:t>
      </w:r>
      <w:r>
        <w:rPr>
          <w:sz w:val="24"/>
        </w:rPr>
        <w:t>is</w:t>
      </w:r>
      <w:r>
        <w:rPr>
          <w:spacing w:val="-2"/>
          <w:sz w:val="24"/>
        </w:rPr>
        <w:t> </w:t>
      </w:r>
      <w:r>
        <w:rPr>
          <w:sz w:val="24"/>
        </w:rPr>
        <w:t>not</w:t>
      </w:r>
      <w:r>
        <w:rPr>
          <w:spacing w:val="-3"/>
          <w:sz w:val="24"/>
        </w:rPr>
        <w:t> </w:t>
      </w:r>
      <w:r>
        <w:rPr>
          <w:sz w:val="24"/>
        </w:rPr>
        <w:t>applicable</w:t>
      </w:r>
      <w:r>
        <w:rPr>
          <w:spacing w:val="-1"/>
          <w:sz w:val="24"/>
        </w:rPr>
        <w:t> </w:t>
      </w:r>
      <w:r>
        <w:rPr>
          <w:sz w:val="24"/>
        </w:rPr>
        <w:t>for this</w:t>
      </w:r>
      <w:r>
        <w:rPr>
          <w:spacing w:val="-2"/>
          <w:sz w:val="24"/>
        </w:rPr>
        <w:t> objective.</w:t>
      </w:r>
    </w:p>
    <w:p>
      <w:pPr>
        <w:pStyle w:val="BodyText"/>
        <w:rPr>
          <w:sz w:val="28"/>
        </w:rPr>
      </w:pPr>
    </w:p>
    <w:p>
      <w:pPr>
        <w:spacing w:before="231"/>
        <w:ind w:left="566" w:right="0" w:firstLine="0"/>
        <w:jc w:val="both"/>
        <w:rPr>
          <w:b/>
          <w:sz w:val="24"/>
        </w:rPr>
      </w:pPr>
      <w:r>
        <w:rPr>
          <w:b/>
          <w:color w:val="3C5A8B"/>
          <w:sz w:val="24"/>
        </w:rPr>
        <w:t>Objective</w:t>
      </w:r>
      <w:r>
        <w:rPr>
          <w:b/>
          <w:color w:val="3C5A8B"/>
          <w:spacing w:val="-7"/>
          <w:sz w:val="24"/>
        </w:rPr>
        <w:t> </w:t>
      </w:r>
      <w:r>
        <w:rPr>
          <w:b/>
          <w:color w:val="3C5A8B"/>
          <w:sz w:val="24"/>
        </w:rPr>
        <w:t>7:</w:t>
      </w:r>
      <w:r>
        <w:rPr>
          <w:b/>
          <w:color w:val="3C5A8B"/>
          <w:spacing w:val="-1"/>
          <w:sz w:val="24"/>
        </w:rPr>
        <w:t> </w:t>
      </w:r>
      <w:r>
        <w:rPr>
          <w:b/>
          <w:color w:val="3C5A8B"/>
          <w:sz w:val="24"/>
        </w:rPr>
        <w:t>Time</w:t>
      </w:r>
      <w:r>
        <w:rPr>
          <w:b/>
          <w:color w:val="3C5A8B"/>
          <w:spacing w:val="-3"/>
          <w:sz w:val="24"/>
        </w:rPr>
        <w:t> </w:t>
      </w:r>
      <w:r>
        <w:rPr>
          <w:b/>
          <w:color w:val="3C5A8B"/>
          <w:sz w:val="24"/>
        </w:rPr>
        <w:t>and</w:t>
      </w:r>
      <w:r>
        <w:rPr>
          <w:b/>
          <w:color w:val="3C5A8B"/>
          <w:spacing w:val="-2"/>
          <w:sz w:val="24"/>
        </w:rPr>
        <w:t> </w:t>
      </w:r>
      <w:r>
        <w:rPr>
          <w:b/>
          <w:color w:val="3C5A8B"/>
          <w:sz w:val="24"/>
        </w:rPr>
        <w:t>attendance</w:t>
      </w:r>
      <w:r>
        <w:rPr>
          <w:b/>
          <w:color w:val="3C5A8B"/>
          <w:spacing w:val="-5"/>
          <w:sz w:val="24"/>
        </w:rPr>
        <w:t> </w:t>
      </w:r>
      <w:r>
        <w:rPr>
          <w:b/>
          <w:color w:val="3C5A8B"/>
          <w:sz w:val="24"/>
        </w:rPr>
        <w:t>recording</w:t>
      </w:r>
      <w:r>
        <w:rPr>
          <w:b/>
          <w:color w:val="3C5A8B"/>
          <w:spacing w:val="-4"/>
          <w:sz w:val="24"/>
        </w:rPr>
        <w:t> </w:t>
      </w:r>
      <w:r>
        <w:rPr>
          <w:b/>
          <w:color w:val="3C5A8B"/>
          <w:sz w:val="24"/>
        </w:rPr>
        <w:t>systems</w:t>
      </w:r>
      <w:r>
        <w:rPr>
          <w:b/>
          <w:color w:val="3C5A8B"/>
          <w:spacing w:val="-3"/>
          <w:sz w:val="24"/>
        </w:rPr>
        <w:t> </w:t>
      </w:r>
      <w:r>
        <w:rPr>
          <w:b/>
          <w:color w:val="3C5A8B"/>
          <w:sz w:val="24"/>
        </w:rPr>
        <w:t>are</w:t>
      </w:r>
      <w:r>
        <w:rPr>
          <w:b/>
          <w:color w:val="3C5A8B"/>
          <w:spacing w:val="-3"/>
          <w:sz w:val="24"/>
        </w:rPr>
        <w:t> </w:t>
      </w:r>
      <w:r>
        <w:rPr>
          <w:b/>
          <w:color w:val="3C5A8B"/>
          <w:sz w:val="24"/>
        </w:rPr>
        <w:t>in</w:t>
      </w:r>
      <w:r>
        <w:rPr>
          <w:b/>
          <w:color w:val="3C5A8B"/>
          <w:spacing w:val="-4"/>
          <w:sz w:val="24"/>
        </w:rPr>
        <w:t> </w:t>
      </w:r>
      <w:r>
        <w:rPr>
          <w:b/>
          <w:color w:val="3C5A8B"/>
          <w:spacing w:val="-2"/>
          <w:sz w:val="24"/>
        </w:rPr>
        <w:t>place</w:t>
      </w:r>
    </w:p>
    <w:p>
      <w:pPr>
        <w:pStyle w:val="ListParagraph"/>
        <w:numPr>
          <w:ilvl w:val="1"/>
          <w:numId w:val="17"/>
        </w:numPr>
        <w:tabs>
          <w:tab w:pos="1133" w:val="left" w:leader="none"/>
        </w:tabs>
        <w:spacing w:line="240" w:lineRule="auto" w:before="118" w:after="0"/>
        <w:ind w:left="1132" w:right="706" w:hanging="567"/>
        <w:jc w:val="both"/>
        <w:rPr>
          <w:sz w:val="24"/>
        </w:rPr>
      </w:pPr>
      <w:r>
        <w:rPr>
          <w:sz w:val="24"/>
        </w:rPr>
        <w:t>Time</w:t>
      </w:r>
      <w:r>
        <w:rPr>
          <w:spacing w:val="-22"/>
          <w:sz w:val="24"/>
        </w:rPr>
        <w:t> </w:t>
      </w:r>
      <w:r>
        <w:rPr>
          <w:sz w:val="24"/>
        </w:rPr>
        <w:t>and</w:t>
      </w:r>
      <w:r>
        <w:rPr>
          <w:spacing w:val="-21"/>
          <w:sz w:val="24"/>
        </w:rPr>
        <w:t> </w:t>
      </w:r>
      <w:r>
        <w:rPr>
          <w:sz w:val="24"/>
        </w:rPr>
        <w:t>attendance</w:t>
      </w:r>
      <w:r>
        <w:rPr>
          <w:spacing w:val="-21"/>
          <w:sz w:val="24"/>
        </w:rPr>
        <w:t> </w:t>
      </w:r>
      <w:r>
        <w:rPr>
          <w:sz w:val="24"/>
        </w:rPr>
        <w:t>is</w:t>
      </w:r>
      <w:r>
        <w:rPr>
          <w:spacing w:val="-21"/>
          <w:sz w:val="24"/>
        </w:rPr>
        <w:t> </w:t>
      </w:r>
      <w:r>
        <w:rPr>
          <w:sz w:val="24"/>
        </w:rPr>
        <w:t>recorded</w:t>
      </w:r>
      <w:r>
        <w:rPr>
          <w:spacing w:val="-21"/>
          <w:sz w:val="24"/>
        </w:rPr>
        <w:t> </w:t>
      </w:r>
      <w:r>
        <w:rPr>
          <w:sz w:val="24"/>
        </w:rPr>
        <w:t>using</w:t>
      </w:r>
      <w:r>
        <w:rPr>
          <w:spacing w:val="-21"/>
          <w:sz w:val="24"/>
        </w:rPr>
        <w:t> </w:t>
      </w:r>
      <w:r>
        <w:rPr>
          <w:sz w:val="24"/>
        </w:rPr>
        <w:t>sign</w:t>
      </w:r>
      <w:r>
        <w:rPr>
          <w:spacing w:val="-21"/>
          <w:sz w:val="24"/>
        </w:rPr>
        <w:t> </w:t>
      </w:r>
      <w:r>
        <w:rPr>
          <w:sz w:val="24"/>
        </w:rPr>
        <w:t>in/out</w:t>
      </w:r>
      <w:r>
        <w:rPr>
          <w:spacing w:val="-21"/>
          <w:sz w:val="24"/>
        </w:rPr>
        <w:t> </w:t>
      </w:r>
      <w:r>
        <w:rPr>
          <w:sz w:val="24"/>
        </w:rPr>
        <w:t>sheets,</w:t>
      </w:r>
      <w:r>
        <w:rPr>
          <w:spacing w:val="-21"/>
          <w:sz w:val="24"/>
        </w:rPr>
        <w:t> </w:t>
      </w:r>
      <w:r>
        <w:rPr>
          <w:sz w:val="24"/>
        </w:rPr>
        <w:t>which</w:t>
      </w:r>
      <w:r>
        <w:rPr>
          <w:spacing w:val="-21"/>
          <w:sz w:val="24"/>
        </w:rPr>
        <w:t> </w:t>
      </w:r>
      <w:r>
        <w:rPr>
          <w:sz w:val="24"/>
        </w:rPr>
        <w:t>are</w:t>
      </w:r>
      <w:r>
        <w:rPr>
          <w:spacing w:val="-22"/>
          <w:sz w:val="24"/>
        </w:rPr>
        <w:t> </w:t>
      </w:r>
      <w:r>
        <w:rPr>
          <w:sz w:val="24"/>
        </w:rPr>
        <w:t>checked</w:t>
      </w:r>
      <w:r>
        <w:rPr>
          <w:spacing w:val="-21"/>
          <w:sz w:val="24"/>
        </w:rPr>
        <w:t> </w:t>
      </w:r>
      <w:r>
        <w:rPr>
          <w:sz w:val="24"/>
        </w:rPr>
        <w:t>against the</w:t>
      </w:r>
      <w:r>
        <w:rPr>
          <w:spacing w:val="-22"/>
          <w:sz w:val="24"/>
        </w:rPr>
        <w:t> </w:t>
      </w:r>
      <w:r>
        <w:rPr>
          <w:sz w:val="24"/>
        </w:rPr>
        <w:t>Health</w:t>
      </w:r>
      <w:r>
        <w:rPr>
          <w:spacing w:val="-21"/>
          <w:sz w:val="24"/>
        </w:rPr>
        <w:t> </w:t>
      </w:r>
      <w:r>
        <w:rPr>
          <w:sz w:val="24"/>
        </w:rPr>
        <w:t>Roster</w:t>
      </w:r>
      <w:r>
        <w:rPr>
          <w:spacing w:val="-21"/>
          <w:sz w:val="24"/>
        </w:rPr>
        <w:t> </w:t>
      </w:r>
      <w:r>
        <w:rPr>
          <w:sz w:val="24"/>
        </w:rPr>
        <w:t>system</w:t>
      </w:r>
      <w:r>
        <w:rPr>
          <w:spacing w:val="-21"/>
          <w:sz w:val="24"/>
        </w:rPr>
        <w:t> </w:t>
      </w:r>
      <w:r>
        <w:rPr>
          <w:sz w:val="24"/>
        </w:rPr>
        <w:t>to</w:t>
      </w:r>
      <w:r>
        <w:rPr>
          <w:spacing w:val="-21"/>
          <w:sz w:val="24"/>
        </w:rPr>
        <w:t> </w:t>
      </w:r>
      <w:r>
        <w:rPr>
          <w:sz w:val="24"/>
        </w:rPr>
        <w:t>ensure</w:t>
      </w:r>
      <w:r>
        <w:rPr>
          <w:spacing w:val="-21"/>
          <w:sz w:val="24"/>
        </w:rPr>
        <w:t> </w:t>
      </w:r>
      <w:r>
        <w:rPr>
          <w:sz w:val="24"/>
        </w:rPr>
        <w:t>it</w:t>
      </w:r>
      <w:r>
        <w:rPr>
          <w:spacing w:val="-21"/>
          <w:sz w:val="24"/>
        </w:rPr>
        <w:t> </w:t>
      </w:r>
      <w:r>
        <w:rPr>
          <w:sz w:val="24"/>
        </w:rPr>
        <w:t>is</w:t>
      </w:r>
      <w:r>
        <w:rPr>
          <w:spacing w:val="-21"/>
          <w:sz w:val="24"/>
        </w:rPr>
        <w:t> </w:t>
      </w:r>
      <w:r>
        <w:rPr>
          <w:sz w:val="24"/>
        </w:rPr>
        <w:t>up</w:t>
      </w:r>
      <w:r>
        <w:rPr>
          <w:spacing w:val="-21"/>
          <w:sz w:val="24"/>
        </w:rPr>
        <w:t> </w:t>
      </w:r>
      <w:r>
        <w:rPr>
          <w:sz w:val="24"/>
        </w:rPr>
        <w:t>to</w:t>
      </w:r>
      <w:r>
        <w:rPr>
          <w:spacing w:val="-21"/>
          <w:sz w:val="24"/>
        </w:rPr>
        <w:t> </w:t>
      </w:r>
      <w:r>
        <w:rPr>
          <w:sz w:val="24"/>
        </w:rPr>
        <w:t>date</w:t>
      </w:r>
      <w:r>
        <w:rPr>
          <w:spacing w:val="-22"/>
          <w:sz w:val="24"/>
        </w:rPr>
        <w:t> </w:t>
      </w:r>
      <w:r>
        <w:rPr>
          <w:sz w:val="24"/>
        </w:rPr>
        <w:t>as</w:t>
      </w:r>
      <w:r>
        <w:rPr>
          <w:spacing w:val="-21"/>
          <w:sz w:val="24"/>
        </w:rPr>
        <w:t> </w:t>
      </w:r>
      <w:r>
        <w:rPr>
          <w:sz w:val="24"/>
        </w:rPr>
        <w:t>it</w:t>
      </w:r>
      <w:r>
        <w:rPr>
          <w:spacing w:val="-21"/>
          <w:sz w:val="24"/>
        </w:rPr>
        <w:t> </w:t>
      </w:r>
      <w:r>
        <w:rPr>
          <w:sz w:val="24"/>
        </w:rPr>
        <w:t>feeds</w:t>
      </w:r>
      <w:r>
        <w:rPr>
          <w:spacing w:val="-21"/>
          <w:sz w:val="24"/>
        </w:rPr>
        <w:t> </w:t>
      </w:r>
      <w:r>
        <w:rPr>
          <w:sz w:val="24"/>
        </w:rPr>
        <w:t>into</w:t>
      </w:r>
      <w:r>
        <w:rPr>
          <w:spacing w:val="-21"/>
          <w:sz w:val="24"/>
        </w:rPr>
        <w:t> </w:t>
      </w:r>
      <w:r>
        <w:rPr>
          <w:sz w:val="24"/>
        </w:rPr>
        <w:t>the</w:t>
      </w:r>
      <w:r>
        <w:rPr>
          <w:spacing w:val="-21"/>
          <w:sz w:val="24"/>
        </w:rPr>
        <w:t> </w:t>
      </w:r>
      <w:r>
        <w:rPr>
          <w:sz w:val="24"/>
        </w:rPr>
        <w:t>Payroll</w:t>
      </w:r>
      <w:r>
        <w:rPr>
          <w:spacing w:val="-21"/>
          <w:sz w:val="24"/>
        </w:rPr>
        <w:t> </w:t>
      </w:r>
      <w:r>
        <w:rPr>
          <w:sz w:val="24"/>
        </w:rPr>
        <w:t>system. An electronic clock in system is in the process of being installed.</w:t>
      </w:r>
    </w:p>
    <w:p>
      <w:pPr>
        <w:pStyle w:val="ListParagraph"/>
        <w:numPr>
          <w:ilvl w:val="1"/>
          <w:numId w:val="17"/>
        </w:numPr>
        <w:tabs>
          <w:tab w:pos="1133" w:val="left" w:leader="none"/>
        </w:tabs>
        <w:spacing w:line="240" w:lineRule="auto" w:before="121" w:after="0"/>
        <w:ind w:left="1132" w:right="704" w:hanging="567"/>
        <w:jc w:val="both"/>
        <w:rPr>
          <w:sz w:val="24"/>
        </w:rPr>
      </w:pPr>
      <w:r>
        <w:rPr>
          <w:sz w:val="24"/>
        </w:rPr>
        <w:t>Overtime</w:t>
      </w:r>
      <w:r>
        <w:rPr>
          <w:spacing w:val="-9"/>
          <w:sz w:val="24"/>
        </w:rPr>
        <w:t> </w:t>
      </w:r>
      <w:r>
        <w:rPr>
          <w:sz w:val="24"/>
        </w:rPr>
        <w:t>to</w:t>
      </w:r>
      <w:r>
        <w:rPr>
          <w:spacing w:val="-11"/>
          <w:sz w:val="24"/>
        </w:rPr>
        <w:t> </w:t>
      </w:r>
      <w:r>
        <w:rPr>
          <w:sz w:val="24"/>
        </w:rPr>
        <w:t>cover</w:t>
      </w:r>
      <w:r>
        <w:rPr>
          <w:spacing w:val="-10"/>
          <w:sz w:val="24"/>
        </w:rPr>
        <w:t> </w:t>
      </w:r>
      <w:r>
        <w:rPr>
          <w:sz w:val="24"/>
        </w:rPr>
        <w:t>staff</w:t>
      </w:r>
      <w:r>
        <w:rPr>
          <w:spacing w:val="-12"/>
          <w:sz w:val="24"/>
        </w:rPr>
        <w:t> </w:t>
      </w:r>
      <w:r>
        <w:rPr>
          <w:sz w:val="24"/>
        </w:rPr>
        <w:t>absence</w:t>
      </w:r>
      <w:r>
        <w:rPr>
          <w:spacing w:val="-10"/>
          <w:sz w:val="24"/>
        </w:rPr>
        <w:t> </w:t>
      </w:r>
      <w:r>
        <w:rPr>
          <w:sz w:val="24"/>
        </w:rPr>
        <w:t>and</w:t>
      </w:r>
      <w:r>
        <w:rPr>
          <w:spacing w:val="-12"/>
          <w:sz w:val="24"/>
        </w:rPr>
        <w:t> </w:t>
      </w:r>
      <w:r>
        <w:rPr>
          <w:sz w:val="24"/>
        </w:rPr>
        <w:t>vacancies</w:t>
      </w:r>
      <w:r>
        <w:rPr>
          <w:spacing w:val="-9"/>
          <w:sz w:val="24"/>
        </w:rPr>
        <w:t> </w:t>
      </w:r>
      <w:r>
        <w:rPr>
          <w:sz w:val="24"/>
        </w:rPr>
        <w:t>is</w:t>
      </w:r>
      <w:r>
        <w:rPr>
          <w:spacing w:val="-12"/>
          <w:sz w:val="24"/>
        </w:rPr>
        <w:t> </w:t>
      </w:r>
      <w:r>
        <w:rPr>
          <w:sz w:val="24"/>
        </w:rPr>
        <w:t>available</w:t>
      </w:r>
      <w:r>
        <w:rPr>
          <w:spacing w:val="-8"/>
          <w:sz w:val="24"/>
        </w:rPr>
        <w:t> </w:t>
      </w:r>
      <w:r>
        <w:rPr>
          <w:sz w:val="24"/>
        </w:rPr>
        <w:t>to</w:t>
      </w:r>
      <w:r>
        <w:rPr>
          <w:spacing w:val="-11"/>
          <w:sz w:val="24"/>
        </w:rPr>
        <w:t> </w:t>
      </w:r>
      <w:r>
        <w:rPr>
          <w:sz w:val="24"/>
        </w:rPr>
        <w:t>staff</w:t>
      </w:r>
      <w:r>
        <w:rPr>
          <w:spacing w:val="-12"/>
          <w:sz w:val="24"/>
        </w:rPr>
        <w:t> </w:t>
      </w:r>
      <w:r>
        <w:rPr>
          <w:sz w:val="24"/>
        </w:rPr>
        <w:t>on</w:t>
      </w:r>
      <w:r>
        <w:rPr>
          <w:spacing w:val="-12"/>
          <w:sz w:val="24"/>
        </w:rPr>
        <w:t> </w:t>
      </w:r>
      <w:r>
        <w:rPr>
          <w:sz w:val="24"/>
        </w:rPr>
        <w:t>the</w:t>
      </w:r>
      <w:r>
        <w:rPr>
          <w:spacing w:val="-8"/>
          <w:sz w:val="24"/>
        </w:rPr>
        <w:t> </w:t>
      </w:r>
      <w:r>
        <w:rPr>
          <w:sz w:val="24"/>
        </w:rPr>
        <w:t>request</w:t>
      </w:r>
      <w:r>
        <w:rPr>
          <w:spacing w:val="-12"/>
          <w:sz w:val="24"/>
        </w:rPr>
        <w:t> </w:t>
      </w:r>
      <w:r>
        <w:rPr>
          <w:sz w:val="24"/>
        </w:rPr>
        <w:t>of the Laundry Manager and is recorded and approved on Health Roster.</w:t>
      </w:r>
    </w:p>
    <w:p>
      <w:pPr>
        <w:spacing w:after="0" w:line="240" w:lineRule="auto"/>
        <w:jc w:val="both"/>
        <w:rPr>
          <w:sz w:val="24"/>
        </w:rPr>
        <w:sectPr>
          <w:pgSz w:w="11910" w:h="16840"/>
          <w:pgMar w:header="0" w:footer="770" w:top="880" w:bottom="960" w:left="0" w:right="0"/>
        </w:sectPr>
      </w:pPr>
    </w:p>
    <w:p>
      <w:pPr>
        <w:tabs>
          <w:tab w:pos="7935" w:val="left" w:leader="none"/>
        </w:tabs>
        <w:spacing w:before="75"/>
        <w:ind w:left="566" w:right="0" w:firstLine="0"/>
        <w:jc w:val="left"/>
        <w:rPr>
          <w:sz w:val="22"/>
        </w:rPr>
      </w:pPr>
      <w:r>
        <w:rPr>
          <w:sz w:val="22"/>
        </w:rPr>
        <w:t>Laundry</w:t>
      </w:r>
      <w:r>
        <w:rPr>
          <w:spacing w:val="-5"/>
          <w:sz w:val="22"/>
        </w:rPr>
        <w:t> </w:t>
      </w:r>
      <w:r>
        <w:rPr>
          <w:sz w:val="22"/>
        </w:rPr>
        <w:t>Service</w:t>
      </w:r>
      <w:r>
        <w:rPr>
          <w:spacing w:val="-3"/>
          <w:sz w:val="22"/>
        </w:rPr>
        <w:t> </w:t>
      </w:r>
      <w:r>
        <w:rPr>
          <w:sz w:val="22"/>
        </w:rPr>
        <w:t>–</w:t>
      </w:r>
      <w:r>
        <w:rPr>
          <w:spacing w:val="-4"/>
          <w:sz w:val="22"/>
        </w:rPr>
        <w:t> </w:t>
      </w:r>
      <w:r>
        <w:rPr>
          <w:sz w:val="22"/>
        </w:rPr>
        <w:t>Glan</w:t>
      </w:r>
      <w:r>
        <w:rPr>
          <w:spacing w:val="-4"/>
          <w:sz w:val="22"/>
        </w:rPr>
        <w:t> Clwyd</w:t>
      </w:r>
      <w:r>
        <w:rPr>
          <w:sz w:val="22"/>
        </w:rPr>
        <w:tab/>
        <w:t>Final</w:t>
      </w:r>
      <w:r>
        <w:rPr>
          <w:spacing w:val="-7"/>
          <w:sz w:val="22"/>
        </w:rPr>
        <w:t> </w:t>
      </w:r>
      <w:r>
        <w:rPr>
          <w:sz w:val="22"/>
        </w:rPr>
        <w:t>Internal</w:t>
      </w:r>
      <w:r>
        <w:rPr>
          <w:spacing w:val="-5"/>
          <w:sz w:val="22"/>
        </w:rPr>
        <w:t> </w:t>
      </w:r>
      <w:r>
        <w:rPr>
          <w:sz w:val="22"/>
        </w:rPr>
        <w:t>Audit</w:t>
      </w:r>
      <w:r>
        <w:rPr>
          <w:spacing w:val="-5"/>
          <w:sz w:val="22"/>
        </w:rPr>
        <w:t> </w:t>
      </w:r>
      <w:r>
        <w:rPr>
          <w:spacing w:val="-2"/>
          <w:sz w:val="22"/>
        </w:rPr>
        <w:t>Report</w:t>
      </w:r>
    </w:p>
    <w:p>
      <w:pPr>
        <w:pStyle w:val="BodyText"/>
        <w:spacing w:before="4"/>
        <w:rPr>
          <w:sz w:val="20"/>
        </w:rPr>
      </w:pPr>
      <w:r>
        <w:rPr/>
        <w:pict>
          <v:shape style="position:absolute;margin-left:27.6pt;margin-top:13.561312pt;width:532.450pt;height:1.45pt;mso-position-horizontal-relative:page;mso-position-vertical-relative:paragraph;z-index:-15687168;mso-wrap-distance-left:0;mso-wrap-distance-right:0" id="docshape167" coordorigin="552,271" coordsize="10649,29" path="m11200,271l5943,271,5929,271,5915,271,552,271,552,300,5915,300,5929,300,5943,300,11200,300,11200,271xe" filled="true" fillcolor="#000000" stroked="false">
            <v:path arrowok="t"/>
            <v:fill type="solid"/>
            <w10:wrap type="topAndBottom"/>
          </v:shape>
        </w:pict>
      </w:r>
    </w:p>
    <w:p>
      <w:pPr>
        <w:pStyle w:val="BodyText"/>
        <w:spacing w:before="10"/>
        <w:rPr>
          <w:sz w:val="27"/>
        </w:rPr>
      </w:pPr>
    </w:p>
    <w:p>
      <w:pPr>
        <w:pStyle w:val="ListParagraph"/>
        <w:numPr>
          <w:ilvl w:val="1"/>
          <w:numId w:val="17"/>
        </w:numPr>
        <w:tabs>
          <w:tab w:pos="1133" w:val="left" w:leader="none"/>
        </w:tabs>
        <w:spacing w:line="240" w:lineRule="auto" w:before="100" w:after="0"/>
        <w:ind w:left="1132" w:right="704" w:hanging="567"/>
        <w:jc w:val="both"/>
        <w:rPr>
          <w:sz w:val="24"/>
        </w:rPr>
      </w:pPr>
      <w:r>
        <w:rPr>
          <w:sz w:val="24"/>
        </w:rPr>
        <w:t>Annual</w:t>
      </w:r>
      <w:r>
        <w:rPr>
          <w:spacing w:val="-10"/>
          <w:sz w:val="24"/>
        </w:rPr>
        <w:t> </w:t>
      </w:r>
      <w:r>
        <w:rPr>
          <w:sz w:val="24"/>
        </w:rPr>
        <w:t>leave</w:t>
      </w:r>
      <w:r>
        <w:rPr>
          <w:spacing w:val="-8"/>
          <w:sz w:val="24"/>
        </w:rPr>
        <w:t> </w:t>
      </w:r>
      <w:r>
        <w:rPr>
          <w:sz w:val="24"/>
        </w:rPr>
        <w:t>is</w:t>
      </w:r>
      <w:r>
        <w:rPr>
          <w:spacing w:val="-9"/>
          <w:sz w:val="24"/>
        </w:rPr>
        <w:t> </w:t>
      </w:r>
      <w:r>
        <w:rPr>
          <w:sz w:val="24"/>
        </w:rPr>
        <w:t>recorded</w:t>
      </w:r>
      <w:r>
        <w:rPr>
          <w:spacing w:val="-8"/>
          <w:sz w:val="24"/>
        </w:rPr>
        <w:t> </w:t>
      </w:r>
      <w:r>
        <w:rPr>
          <w:sz w:val="24"/>
        </w:rPr>
        <w:t>on</w:t>
      </w:r>
      <w:r>
        <w:rPr>
          <w:spacing w:val="-9"/>
          <w:sz w:val="24"/>
        </w:rPr>
        <w:t> </w:t>
      </w:r>
      <w:r>
        <w:rPr>
          <w:sz w:val="24"/>
        </w:rPr>
        <w:t>Health</w:t>
      </w:r>
      <w:r>
        <w:rPr>
          <w:spacing w:val="-9"/>
          <w:sz w:val="24"/>
        </w:rPr>
        <w:t> </w:t>
      </w:r>
      <w:r>
        <w:rPr>
          <w:sz w:val="24"/>
        </w:rPr>
        <w:t>Roster</w:t>
      </w:r>
      <w:r>
        <w:rPr>
          <w:spacing w:val="-7"/>
          <w:sz w:val="24"/>
        </w:rPr>
        <w:t> </w:t>
      </w:r>
      <w:r>
        <w:rPr>
          <w:sz w:val="24"/>
        </w:rPr>
        <w:t>which</w:t>
      </w:r>
      <w:r>
        <w:rPr>
          <w:spacing w:val="-10"/>
          <w:sz w:val="24"/>
        </w:rPr>
        <w:t> </w:t>
      </w:r>
      <w:r>
        <w:rPr>
          <w:sz w:val="24"/>
        </w:rPr>
        <w:t>updates</w:t>
      </w:r>
      <w:r>
        <w:rPr>
          <w:spacing w:val="-8"/>
          <w:sz w:val="24"/>
        </w:rPr>
        <w:t> </w:t>
      </w:r>
      <w:r>
        <w:rPr>
          <w:sz w:val="24"/>
        </w:rPr>
        <w:t>the</w:t>
      </w:r>
      <w:r>
        <w:rPr>
          <w:spacing w:val="-8"/>
          <w:sz w:val="24"/>
        </w:rPr>
        <w:t> </w:t>
      </w:r>
      <w:r>
        <w:rPr>
          <w:sz w:val="24"/>
        </w:rPr>
        <w:t>ESR</w:t>
      </w:r>
      <w:r>
        <w:rPr>
          <w:spacing w:val="-8"/>
          <w:sz w:val="24"/>
        </w:rPr>
        <w:t> </w:t>
      </w:r>
      <w:r>
        <w:rPr>
          <w:sz w:val="24"/>
        </w:rPr>
        <w:t>system</w:t>
      </w:r>
      <w:r>
        <w:rPr>
          <w:spacing w:val="-8"/>
          <w:sz w:val="24"/>
        </w:rPr>
        <w:t> </w:t>
      </w:r>
      <w:r>
        <w:rPr>
          <w:sz w:val="24"/>
        </w:rPr>
        <w:t>on</w:t>
      </w:r>
      <w:r>
        <w:rPr>
          <w:spacing w:val="-9"/>
          <w:sz w:val="24"/>
        </w:rPr>
        <w:t> </w:t>
      </w:r>
      <w:r>
        <w:rPr>
          <w:sz w:val="24"/>
        </w:rPr>
        <w:t>the</w:t>
      </w:r>
      <w:r>
        <w:rPr>
          <w:spacing w:val="-8"/>
          <w:sz w:val="24"/>
        </w:rPr>
        <w:t> </w:t>
      </w:r>
      <w:r>
        <w:rPr>
          <w:sz w:val="24"/>
        </w:rPr>
        <w:t>8</w:t>
      </w:r>
      <w:r>
        <w:rPr>
          <w:position w:val="8"/>
          <w:sz w:val="16"/>
        </w:rPr>
        <w:t>th </w:t>
      </w:r>
      <w:r>
        <w:rPr>
          <w:sz w:val="24"/>
        </w:rPr>
        <w:t>of each month. We were advised that issues have been experienced with staff absence not correctly updating on ESR, although Workforce assured that balances were manually corrected and the issue has now been resolved.</w:t>
      </w:r>
    </w:p>
    <w:p>
      <w:pPr>
        <w:pStyle w:val="BodyText"/>
        <w:spacing w:before="120"/>
        <w:ind w:left="566"/>
      </w:pPr>
      <w:r>
        <w:rPr>
          <w:color w:val="3C5A8B"/>
          <w:spacing w:val="-2"/>
        </w:rPr>
        <w:t>Conclusion:</w:t>
      </w:r>
    </w:p>
    <w:p>
      <w:pPr>
        <w:pStyle w:val="ListParagraph"/>
        <w:numPr>
          <w:ilvl w:val="1"/>
          <w:numId w:val="17"/>
        </w:numPr>
        <w:tabs>
          <w:tab w:pos="1133" w:val="left" w:leader="none"/>
        </w:tabs>
        <w:spacing w:line="240" w:lineRule="auto" w:before="121" w:after="0"/>
        <w:ind w:left="1132" w:right="0" w:hanging="567"/>
        <w:jc w:val="left"/>
        <w:rPr>
          <w:sz w:val="24"/>
        </w:rPr>
      </w:pPr>
      <w:r>
        <w:rPr>
          <w:sz w:val="24"/>
        </w:rPr>
        <w:t>We</w:t>
      </w:r>
      <w:r>
        <w:rPr>
          <w:spacing w:val="-4"/>
          <w:sz w:val="24"/>
        </w:rPr>
        <w:t> </w:t>
      </w:r>
      <w:r>
        <w:rPr>
          <w:sz w:val="24"/>
        </w:rPr>
        <w:t>have</w:t>
      </w:r>
      <w:r>
        <w:rPr>
          <w:spacing w:val="-3"/>
          <w:sz w:val="24"/>
        </w:rPr>
        <w:t> </w:t>
      </w:r>
      <w:r>
        <w:rPr>
          <w:sz w:val="24"/>
        </w:rPr>
        <w:t>concluded</w:t>
      </w:r>
      <w:r>
        <w:rPr>
          <w:spacing w:val="-2"/>
          <w:sz w:val="24"/>
        </w:rPr>
        <w:t> </w:t>
      </w:r>
      <w:r>
        <w:rPr>
          <w:b/>
          <w:sz w:val="24"/>
        </w:rPr>
        <w:t>Substantial </w:t>
      </w:r>
      <w:r>
        <w:rPr>
          <w:sz w:val="24"/>
        </w:rPr>
        <w:t>assurance</w:t>
      </w:r>
      <w:r>
        <w:rPr>
          <w:spacing w:val="-3"/>
          <w:sz w:val="24"/>
        </w:rPr>
        <w:t> </w:t>
      </w:r>
      <w:r>
        <w:rPr>
          <w:sz w:val="24"/>
        </w:rPr>
        <w:t>for</w:t>
      </w:r>
      <w:r>
        <w:rPr>
          <w:spacing w:val="-3"/>
          <w:sz w:val="24"/>
        </w:rPr>
        <w:t> </w:t>
      </w:r>
      <w:r>
        <w:rPr>
          <w:sz w:val="24"/>
        </w:rPr>
        <w:t>this</w:t>
      </w:r>
      <w:r>
        <w:rPr>
          <w:spacing w:val="-3"/>
          <w:sz w:val="24"/>
        </w:rPr>
        <w:t> </w:t>
      </w:r>
      <w:r>
        <w:rPr>
          <w:spacing w:val="-2"/>
          <w:sz w:val="24"/>
        </w:rPr>
        <w:t>objective.</w:t>
      </w:r>
    </w:p>
    <w:p>
      <w:pPr>
        <w:pStyle w:val="BodyText"/>
        <w:rPr>
          <w:sz w:val="28"/>
        </w:rPr>
      </w:pPr>
    </w:p>
    <w:p>
      <w:pPr>
        <w:spacing w:before="188"/>
        <w:ind w:left="566" w:right="708" w:firstLine="0"/>
        <w:jc w:val="both"/>
        <w:rPr>
          <w:b/>
          <w:sz w:val="24"/>
        </w:rPr>
      </w:pPr>
      <w:r>
        <w:rPr>
          <w:b/>
          <w:color w:val="3C5A8B"/>
          <w:sz w:val="24"/>
        </w:rPr>
        <w:t>Objective 8: Sickness absence is managed in accordance with the All Wales Managing Attendance at Work Policy</w:t>
      </w:r>
    </w:p>
    <w:p>
      <w:pPr>
        <w:pStyle w:val="ListParagraph"/>
        <w:numPr>
          <w:ilvl w:val="1"/>
          <w:numId w:val="17"/>
        </w:numPr>
        <w:tabs>
          <w:tab w:pos="1133" w:val="left" w:leader="none"/>
        </w:tabs>
        <w:spacing w:line="240" w:lineRule="auto" w:before="120" w:after="0"/>
        <w:ind w:left="1132" w:right="715" w:hanging="567"/>
        <w:jc w:val="both"/>
        <w:rPr>
          <w:sz w:val="24"/>
        </w:rPr>
      </w:pPr>
      <w:r>
        <w:rPr>
          <w:sz w:val="24"/>
        </w:rPr>
        <w:t>A central record of sickness absence is maintained and used to update the Health Roster system, which in turn updates ESR.</w:t>
      </w:r>
    </w:p>
    <w:p>
      <w:pPr>
        <w:pStyle w:val="ListParagraph"/>
        <w:numPr>
          <w:ilvl w:val="1"/>
          <w:numId w:val="17"/>
        </w:numPr>
        <w:tabs>
          <w:tab w:pos="1133" w:val="left" w:leader="none"/>
        </w:tabs>
        <w:spacing w:line="240" w:lineRule="auto" w:before="121" w:after="0"/>
        <w:ind w:left="1132" w:right="701" w:hanging="567"/>
        <w:jc w:val="both"/>
        <w:rPr>
          <w:sz w:val="24"/>
        </w:rPr>
      </w:pPr>
      <w:r>
        <w:rPr>
          <w:sz w:val="24"/>
        </w:rPr>
        <w:t>Workforce</w:t>
      </w:r>
      <w:r>
        <w:rPr>
          <w:spacing w:val="-2"/>
          <w:sz w:val="24"/>
        </w:rPr>
        <w:t> </w:t>
      </w:r>
      <w:r>
        <w:rPr>
          <w:sz w:val="24"/>
        </w:rPr>
        <w:t>have</w:t>
      </w:r>
      <w:r>
        <w:rPr>
          <w:spacing w:val="-3"/>
          <w:sz w:val="24"/>
        </w:rPr>
        <w:t> </w:t>
      </w:r>
      <w:r>
        <w:rPr>
          <w:sz w:val="24"/>
        </w:rPr>
        <w:t>recently</w:t>
      </w:r>
      <w:r>
        <w:rPr>
          <w:spacing w:val="-4"/>
          <w:sz w:val="24"/>
        </w:rPr>
        <w:t> </w:t>
      </w:r>
      <w:r>
        <w:rPr>
          <w:sz w:val="24"/>
        </w:rPr>
        <w:t>completed</w:t>
      </w:r>
      <w:r>
        <w:rPr>
          <w:spacing w:val="-2"/>
          <w:sz w:val="24"/>
        </w:rPr>
        <w:t> </w:t>
      </w:r>
      <w:r>
        <w:rPr>
          <w:sz w:val="24"/>
        </w:rPr>
        <w:t>a</w:t>
      </w:r>
      <w:r>
        <w:rPr>
          <w:spacing w:val="-2"/>
          <w:sz w:val="24"/>
        </w:rPr>
        <w:t> </w:t>
      </w:r>
      <w:r>
        <w:rPr>
          <w:sz w:val="24"/>
        </w:rPr>
        <w:t>deep</w:t>
      </w:r>
      <w:r>
        <w:rPr>
          <w:spacing w:val="-4"/>
          <w:sz w:val="24"/>
        </w:rPr>
        <w:t> </w:t>
      </w:r>
      <w:r>
        <w:rPr>
          <w:sz w:val="24"/>
        </w:rPr>
        <w:t>dive</w:t>
      </w:r>
      <w:r>
        <w:rPr>
          <w:spacing w:val="-3"/>
          <w:sz w:val="24"/>
        </w:rPr>
        <w:t> </w:t>
      </w:r>
      <w:r>
        <w:rPr>
          <w:sz w:val="24"/>
        </w:rPr>
        <w:t>review</w:t>
      </w:r>
      <w:r>
        <w:rPr>
          <w:spacing w:val="-1"/>
          <w:sz w:val="24"/>
        </w:rPr>
        <w:t> </w:t>
      </w:r>
      <w:r>
        <w:rPr>
          <w:sz w:val="24"/>
        </w:rPr>
        <w:t>of</w:t>
      </w:r>
      <w:r>
        <w:rPr>
          <w:spacing w:val="-4"/>
          <w:sz w:val="24"/>
        </w:rPr>
        <w:t> </w:t>
      </w:r>
      <w:r>
        <w:rPr>
          <w:sz w:val="24"/>
        </w:rPr>
        <w:t>sickness</w:t>
      </w:r>
      <w:r>
        <w:rPr>
          <w:spacing w:val="-4"/>
          <w:sz w:val="24"/>
        </w:rPr>
        <w:t> </w:t>
      </w:r>
      <w:r>
        <w:rPr>
          <w:sz w:val="24"/>
        </w:rPr>
        <w:t>absence</w:t>
      </w:r>
      <w:r>
        <w:rPr>
          <w:spacing w:val="-3"/>
          <w:sz w:val="24"/>
        </w:rPr>
        <w:t> </w:t>
      </w:r>
      <w:r>
        <w:rPr>
          <w:sz w:val="24"/>
        </w:rPr>
        <w:t>at</w:t>
      </w:r>
      <w:r>
        <w:rPr>
          <w:spacing w:val="-1"/>
          <w:sz w:val="24"/>
        </w:rPr>
        <w:t> </w:t>
      </w:r>
      <w:r>
        <w:rPr>
          <w:sz w:val="24"/>
        </w:rPr>
        <w:t>Glan Clwyd</w:t>
      </w:r>
      <w:r>
        <w:rPr>
          <w:spacing w:val="-9"/>
          <w:sz w:val="24"/>
        </w:rPr>
        <w:t> </w:t>
      </w:r>
      <w:r>
        <w:rPr>
          <w:sz w:val="24"/>
        </w:rPr>
        <w:t>Laundry.</w:t>
      </w:r>
      <w:r>
        <w:rPr>
          <w:spacing w:val="-10"/>
          <w:sz w:val="24"/>
        </w:rPr>
        <w:t> </w:t>
      </w:r>
      <w:r>
        <w:rPr>
          <w:sz w:val="24"/>
        </w:rPr>
        <w:t>The</w:t>
      </w:r>
      <w:r>
        <w:rPr>
          <w:spacing w:val="-8"/>
          <w:sz w:val="24"/>
        </w:rPr>
        <w:t> </w:t>
      </w:r>
      <w:r>
        <w:rPr>
          <w:sz w:val="24"/>
        </w:rPr>
        <w:t>review</w:t>
      </w:r>
      <w:r>
        <w:rPr>
          <w:spacing w:val="-6"/>
          <w:sz w:val="24"/>
        </w:rPr>
        <w:t> </w:t>
      </w:r>
      <w:r>
        <w:rPr>
          <w:sz w:val="24"/>
        </w:rPr>
        <w:t>included</w:t>
      </w:r>
      <w:r>
        <w:rPr>
          <w:spacing w:val="-9"/>
          <w:sz w:val="24"/>
        </w:rPr>
        <w:t> </w:t>
      </w:r>
      <w:r>
        <w:rPr>
          <w:sz w:val="24"/>
        </w:rPr>
        <w:t>an</w:t>
      </w:r>
      <w:r>
        <w:rPr>
          <w:spacing w:val="-7"/>
          <w:sz w:val="24"/>
        </w:rPr>
        <w:t> </w:t>
      </w:r>
      <w:r>
        <w:rPr>
          <w:sz w:val="24"/>
        </w:rPr>
        <w:t>analysis</w:t>
      </w:r>
      <w:r>
        <w:rPr>
          <w:spacing w:val="-9"/>
          <w:sz w:val="24"/>
        </w:rPr>
        <w:t> </w:t>
      </w:r>
      <w:r>
        <w:rPr>
          <w:sz w:val="24"/>
        </w:rPr>
        <w:t>of</w:t>
      </w:r>
      <w:r>
        <w:rPr>
          <w:spacing w:val="-9"/>
          <w:sz w:val="24"/>
        </w:rPr>
        <w:t> </w:t>
      </w:r>
      <w:r>
        <w:rPr>
          <w:sz w:val="24"/>
        </w:rPr>
        <w:t>sickness</w:t>
      </w:r>
      <w:r>
        <w:rPr>
          <w:spacing w:val="-6"/>
          <w:sz w:val="24"/>
        </w:rPr>
        <w:t> </w:t>
      </w:r>
      <w:r>
        <w:rPr>
          <w:sz w:val="24"/>
        </w:rPr>
        <w:t>patterns</w:t>
      </w:r>
      <w:r>
        <w:rPr>
          <w:spacing w:val="-9"/>
          <w:sz w:val="24"/>
        </w:rPr>
        <w:t> </w:t>
      </w:r>
      <w:r>
        <w:rPr>
          <w:sz w:val="24"/>
        </w:rPr>
        <w:t>and</w:t>
      </w:r>
      <w:r>
        <w:rPr>
          <w:spacing w:val="-9"/>
          <w:sz w:val="24"/>
        </w:rPr>
        <w:t> </w:t>
      </w:r>
      <w:r>
        <w:rPr>
          <w:sz w:val="24"/>
        </w:rPr>
        <w:t>a</w:t>
      </w:r>
      <w:r>
        <w:rPr>
          <w:spacing w:val="-8"/>
          <w:sz w:val="24"/>
        </w:rPr>
        <w:t> </w:t>
      </w:r>
      <w:r>
        <w:rPr>
          <w:sz w:val="24"/>
        </w:rPr>
        <w:t>sickness file audit, so we have not undertaken further testing in this area. A number of recommendations were identified in relation to compliance with key requirements of the Managing Attendance at Work (MAAW) Policy, including sickness absence review</w:t>
      </w:r>
      <w:r>
        <w:rPr>
          <w:spacing w:val="-8"/>
          <w:sz w:val="24"/>
        </w:rPr>
        <w:t> </w:t>
      </w:r>
      <w:r>
        <w:rPr>
          <w:sz w:val="24"/>
        </w:rPr>
        <w:t>meetings</w:t>
      </w:r>
      <w:r>
        <w:rPr>
          <w:spacing w:val="-9"/>
          <w:sz w:val="24"/>
        </w:rPr>
        <w:t> </w:t>
      </w:r>
      <w:r>
        <w:rPr>
          <w:sz w:val="24"/>
        </w:rPr>
        <w:t>and</w:t>
      </w:r>
      <w:r>
        <w:rPr>
          <w:spacing w:val="-9"/>
          <w:sz w:val="24"/>
        </w:rPr>
        <w:t> </w:t>
      </w:r>
      <w:r>
        <w:rPr>
          <w:sz w:val="24"/>
        </w:rPr>
        <w:t>return</w:t>
      </w:r>
      <w:r>
        <w:rPr>
          <w:spacing w:val="-9"/>
          <w:sz w:val="24"/>
        </w:rPr>
        <w:t> </w:t>
      </w:r>
      <w:r>
        <w:rPr>
          <w:sz w:val="24"/>
        </w:rPr>
        <w:t>to</w:t>
      </w:r>
      <w:r>
        <w:rPr>
          <w:spacing w:val="-8"/>
          <w:sz w:val="24"/>
        </w:rPr>
        <w:t> </w:t>
      </w:r>
      <w:r>
        <w:rPr>
          <w:sz w:val="24"/>
        </w:rPr>
        <w:t>work</w:t>
      </w:r>
      <w:r>
        <w:rPr>
          <w:spacing w:val="-8"/>
          <w:sz w:val="24"/>
        </w:rPr>
        <w:t> </w:t>
      </w:r>
      <w:r>
        <w:rPr>
          <w:sz w:val="24"/>
        </w:rPr>
        <w:t>interviews.</w:t>
      </w:r>
      <w:r>
        <w:rPr>
          <w:spacing w:val="-7"/>
          <w:sz w:val="24"/>
        </w:rPr>
        <w:t> </w:t>
      </w:r>
      <w:r>
        <w:rPr>
          <w:sz w:val="24"/>
        </w:rPr>
        <w:t>Workforce</w:t>
      </w:r>
      <w:r>
        <w:rPr>
          <w:spacing w:val="-10"/>
          <w:sz w:val="24"/>
        </w:rPr>
        <w:t> </w:t>
      </w:r>
      <w:r>
        <w:rPr>
          <w:sz w:val="24"/>
        </w:rPr>
        <w:t>continue</w:t>
      </w:r>
      <w:r>
        <w:rPr>
          <w:spacing w:val="-8"/>
          <w:sz w:val="24"/>
        </w:rPr>
        <w:t> </w:t>
      </w:r>
      <w:r>
        <w:rPr>
          <w:sz w:val="24"/>
        </w:rPr>
        <w:t>to</w:t>
      </w:r>
      <w:r>
        <w:rPr>
          <w:spacing w:val="-8"/>
          <w:sz w:val="24"/>
        </w:rPr>
        <w:t> </w:t>
      </w:r>
      <w:r>
        <w:rPr>
          <w:sz w:val="24"/>
        </w:rPr>
        <w:t>support</w:t>
      </w:r>
      <w:r>
        <w:rPr>
          <w:spacing w:val="-7"/>
          <w:sz w:val="24"/>
        </w:rPr>
        <w:t> </w:t>
      </w:r>
      <w:r>
        <w:rPr>
          <w:sz w:val="24"/>
        </w:rPr>
        <w:t>Glan Clwyd Laundry in understanding the requirements of the MAAW Policy and addressing the issues identified.</w:t>
      </w:r>
    </w:p>
    <w:p>
      <w:pPr>
        <w:pStyle w:val="BodyText"/>
        <w:spacing w:before="122"/>
        <w:ind w:left="566"/>
      </w:pPr>
      <w:r>
        <w:rPr>
          <w:color w:val="3C5A8B"/>
          <w:spacing w:val="-2"/>
        </w:rPr>
        <w:t>Conclusion:</w:t>
      </w:r>
    </w:p>
    <w:p>
      <w:pPr>
        <w:pStyle w:val="ListParagraph"/>
        <w:numPr>
          <w:ilvl w:val="1"/>
          <w:numId w:val="17"/>
        </w:numPr>
        <w:tabs>
          <w:tab w:pos="1133" w:val="left" w:leader="none"/>
        </w:tabs>
        <w:spacing w:line="240" w:lineRule="auto" w:before="121" w:after="0"/>
        <w:ind w:left="1132" w:right="0" w:hanging="567"/>
        <w:jc w:val="left"/>
        <w:rPr>
          <w:sz w:val="24"/>
        </w:rPr>
      </w:pPr>
      <w:r>
        <w:rPr>
          <w:sz w:val="24"/>
        </w:rPr>
        <w:t>Noting</w:t>
      </w:r>
      <w:r>
        <w:rPr>
          <w:spacing w:val="-3"/>
          <w:sz w:val="24"/>
        </w:rPr>
        <w:t> </w:t>
      </w:r>
      <w:r>
        <w:rPr>
          <w:sz w:val="24"/>
        </w:rPr>
        <w:t>the</w:t>
      </w:r>
      <w:r>
        <w:rPr>
          <w:spacing w:val="-2"/>
          <w:sz w:val="24"/>
        </w:rPr>
        <w:t> </w:t>
      </w:r>
      <w:r>
        <w:rPr>
          <w:sz w:val="24"/>
        </w:rPr>
        <w:t>above,</w:t>
      </w:r>
      <w:r>
        <w:rPr>
          <w:spacing w:val="-3"/>
          <w:sz w:val="24"/>
        </w:rPr>
        <w:t> </w:t>
      </w:r>
      <w:r>
        <w:rPr>
          <w:sz w:val="24"/>
        </w:rPr>
        <w:t>we</w:t>
      </w:r>
      <w:r>
        <w:rPr>
          <w:spacing w:val="-1"/>
          <w:sz w:val="24"/>
        </w:rPr>
        <w:t> </w:t>
      </w:r>
      <w:r>
        <w:rPr>
          <w:sz w:val="24"/>
        </w:rPr>
        <w:t>have</w:t>
      </w:r>
      <w:r>
        <w:rPr>
          <w:spacing w:val="-2"/>
          <w:sz w:val="24"/>
        </w:rPr>
        <w:t> </w:t>
      </w:r>
      <w:r>
        <w:rPr>
          <w:sz w:val="24"/>
        </w:rPr>
        <w:t>concluded</w:t>
      </w:r>
      <w:r>
        <w:rPr>
          <w:spacing w:val="-1"/>
          <w:sz w:val="24"/>
        </w:rPr>
        <w:t> </w:t>
      </w:r>
      <w:r>
        <w:rPr>
          <w:b/>
          <w:sz w:val="24"/>
        </w:rPr>
        <w:t>Reasonable</w:t>
      </w:r>
      <w:r>
        <w:rPr>
          <w:b/>
          <w:spacing w:val="-3"/>
          <w:sz w:val="24"/>
        </w:rPr>
        <w:t> </w:t>
      </w:r>
      <w:r>
        <w:rPr>
          <w:sz w:val="24"/>
        </w:rPr>
        <w:t>assurance</w:t>
      </w:r>
      <w:r>
        <w:rPr>
          <w:spacing w:val="-2"/>
          <w:sz w:val="24"/>
        </w:rPr>
        <w:t> </w:t>
      </w:r>
      <w:r>
        <w:rPr>
          <w:sz w:val="24"/>
        </w:rPr>
        <w:t>for</w:t>
      </w:r>
      <w:r>
        <w:rPr>
          <w:spacing w:val="-1"/>
          <w:sz w:val="24"/>
        </w:rPr>
        <w:t> </w:t>
      </w:r>
      <w:r>
        <w:rPr>
          <w:sz w:val="24"/>
        </w:rPr>
        <w:t>this</w:t>
      </w:r>
      <w:r>
        <w:rPr>
          <w:spacing w:val="-2"/>
          <w:sz w:val="24"/>
        </w:rPr>
        <w:t> objective.</w:t>
      </w:r>
    </w:p>
    <w:p>
      <w:pPr>
        <w:pStyle w:val="BodyText"/>
        <w:rPr>
          <w:sz w:val="28"/>
        </w:rPr>
      </w:pPr>
    </w:p>
    <w:p>
      <w:pPr>
        <w:spacing w:before="189"/>
        <w:ind w:left="566" w:right="709" w:firstLine="0"/>
        <w:jc w:val="both"/>
        <w:rPr>
          <w:b/>
          <w:sz w:val="24"/>
        </w:rPr>
      </w:pPr>
      <w:r>
        <w:rPr>
          <w:b/>
          <w:color w:val="3C5A8B"/>
          <w:sz w:val="24"/>
        </w:rPr>
        <w:t>Objective 9: Personal Appraisal &amp; Development Reviews (PADRs) are undertaken in line with the NWSSP Appraisal Procedure</w:t>
      </w:r>
    </w:p>
    <w:p>
      <w:pPr>
        <w:pStyle w:val="ListParagraph"/>
        <w:numPr>
          <w:ilvl w:val="1"/>
          <w:numId w:val="17"/>
        </w:numPr>
        <w:tabs>
          <w:tab w:pos="1133" w:val="left" w:leader="none"/>
        </w:tabs>
        <w:spacing w:line="240" w:lineRule="auto" w:before="120" w:after="0"/>
        <w:ind w:left="1132" w:right="704" w:hanging="567"/>
        <w:jc w:val="both"/>
        <w:rPr>
          <w:sz w:val="24"/>
        </w:rPr>
      </w:pPr>
      <w:r>
        <w:rPr>
          <w:sz w:val="24"/>
        </w:rPr>
        <w:t>Workforce have been working closely with Laundry Services to deliver training and support</w:t>
      </w:r>
      <w:r>
        <w:rPr>
          <w:spacing w:val="-13"/>
          <w:sz w:val="24"/>
        </w:rPr>
        <w:t> </w:t>
      </w:r>
      <w:r>
        <w:rPr>
          <w:sz w:val="24"/>
        </w:rPr>
        <w:t>improved</w:t>
      </w:r>
      <w:r>
        <w:rPr>
          <w:spacing w:val="-14"/>
          <w:sz w:val="24"/>
        </w:rPr>
        <w:t> </w:t>
      </w:r>
      <w:r>
        <w:rPr>
          <w:sz w:val="24"/>
        </w:rPr>
        <w:t>PADR</w:t>
      </w:r>
      <w:r>
        <w:rPr>
          <w:spacing w:val="-13"/>
          <w:sz w:val="24"/>
        </w:rPr>
        <w:t> </w:t>
      </w:r>
      <w:r>
        <w:rPr>
          <w:sz w:val="24"/>
        </w:rPr>
        <w:t>compliance,</w:t>
      </w:r>
      <w:r>
        <w:rPr>
          <w:spacing w:val="-14"/>
          <w:sz w:val="24"/>
        </w:rPr>
        <w:t> </w:t>
      </w:r>
      <w:r>
        <w:rPr>
          <w:sz w:val="24"/>
        </w:rPr>
        <w:t>which</w:t>
      </w:r>
      <w:r>
        <w:rPr>
          <w:spacing w:val="-14"/>
          <w:sz w:val="24"/>
        </w:rPr>
        <w:t> </w:t>
      </w:r>
      <w:r>
        <w:rPr>
          <w:sz w:val="24"/>
        </w:rPr>
        <w:t>has</w:t>
      </w:r>
      <w:r>
        <w:rPr>
          <w:spacing w:val="-11"/>
          <w:sz w:val="24"/>
        </w:rPr>
        <w:t> </w:t>
      </w:r>
      <w:r>
        <w:rPr>
          <w:sz w:val="24"/>
        </w:rPr>
        <w:t>increased</w:t>
      </w:r>
      <w:r>
        <w:rPr>
          <w:spacing w:val="-14"/>
          <w:sz w:val="24"/>
        </w:rPr>
        <w:t> </w:t>
      </w:r>
      <w:r>
        <w:rPr>
          <w:sz w:val="24"/>
        </w:rPr>
        <w:t>from</w:t>
      </w:r>
      <w:r>
        <w:rPr>
          <w:spacing w:val="-14"/>
          <w:sz w:val="24"/>
        </w:rPr>
        <w:t> </w:t>
      </w:r>
      <w:r>
        <w:rPr>
          <w:sz w:val="24"/>
        </w:rPr>
        <w:t>10.69%</w:t>
      </w:r>
      <w:r>
        <w:rPr>
          <w:spacing w:val="-13"/>
          <w:sz w:val="24"/>
        </w:rPr>
        <w:t> </w:t>
      </w:r>
      <w:r>
        <w:rPr>
          <w:sz w:val="24"/>
        </w:rPr>
        <w:t>in</w:t>
      </w:r>
      <w:r>
        <w:rPr>
          <w:spacing w:val="-15"/>
          <w:sz w:val="24"/>
        </w:rPr>
        <w:t> </w:t>
      </w:r>
      <w:r>
        <w:rPr>
          <w:sz w:val="24"/>
        </w:rPr>
        <w:t>May</w:t>
      </w:r>
      <w:r>
        <w:rPr>
          <w:spacing w:val="-14"/>
          <w:sz w:val="24"/>
        </w:rPr>
        <w:t> </w:t>
      </w:r>
      <w:r>
        <w:rPr>
          <w:sz w:val="24"/>
        </w:rPr>
        <w:t>2022 to 73.48% in July 2022. At the time of our review Glan Clwyd Laundry compliance was 71.74%.</w:t>
      </w:r>
    </w:p>
    <w:p>
      <w:pPr>
        <w:pStyle w:val="ListParagraph"/>
        <w:numPr>
          <w:ilvl w:val="1"/>
          <w:numId w:val="17"/>
        </w:numPr>
        <w:tabs>
          <w:tab w:pos="1133" w:val="left" w:leader="none"/>
        </w:tabs>
        <w:spacing w:line="240" w:lineRule="auto" w:before="119" w:after="0"/>
        <w:ind w:left="1132" w:right="705" w:hanging="567"/>
        <w:jc w:val="both"/>
        <w:rPr>
          <w:sz w:val="24"/>
        </w:rPr>
      </w:pPr>
      <w:r>
        <w:rPr>
          <w:sz w:val="24"/>
        </w:rPr>
        <w:t>Sample testing of employees with a PADR date recorded in ESR confirmed that PADRs</w:t>
      </w:r>
      <w:r>
        <w:rPr>
          <w:spacing w:val="-6"/>
          <w:sz w:val="24"/>
        </w:rPr>
        <w:t> </w:t>
      </w:r>
      <w:r>
        <w:rPr>
          <w:sz w:val="24"/>
        </w:rPr>
        <w:t>had</w:t>
      </w:r>
      <w:r>
        <w:rPr>
          <w:spacing w:val="-4"/>
          <w:sz w:val="24"/>
        </w:rPr>
        <w:t> </w:t>
      </w:r>
      <w:r>
        <w:rPr>
          <w:sz w:val="24"/>
        </w:rPr>
        <w:t>been</w:t>
      </w:r>
      <w:r>
        <w:rPr>
          <w:spacing w:val="-6"/>
          <w:sz w:val="24"/>
        </w:rPr>
        <w:t> </w:t>
      </w:r>
      <w:r>
        <w:rPr>
          <w:sz w:val="24"/>
        </w:rPr>
        <w:t>completed</w:t>
      </w:r>
      <w:r>
        <w:rPr>
          <w:spacing w:val="-5"/>
          <w:sz w:val="24"/>
        </w:rPr>
        <w:t> </w:t>
      </w:r>
      <w:r>
        <w:rPr>
          <w:sz w:val="24"/>
        </w:rPr>
        <w:t>and</w:t>
      </w:r>
      <w:r>
        <w:rPr>
          <w:spacing w:val="-6"/>
          <w:sz w:val="24"/>
        </w:rPr>
        <w:t> </w:t>
      </w:r>
      <w:r>
        <w:rPr>
          <w:sz w:val="24"/>
        </w:rPr>
        <w:t>evidenced</w:t>
      </w:r>
      <w:r>
        <w:rPr>
          <w:spacing w:val="-5"/>
          <w:sz w:val="24"/>
        </w:rPr>
        <w:t> </w:t>
      </w:r>
      <w:r>
        <w:rPr>
          <w:sz w:val="24"/>
        </w:rPr>
        <w:t>on</w:t>
      </w:r>
      <w:r>
        <w:rPr>
          <w:spacing w:val="-6"/>
          <w:sz w:val="24"/>
        </w:rPr>
        <w:t> </w:t>
      </w:r>
      <w:r>
        <w:rPr>
          <w:sz w:val="24"/>
        </w:rPr>
        <w:t>the</w:t>
      </w:r>
      <w:r>
        <w:rPr>
          <w:spacing w:val="-4"/>
          <w:sz w:val="24"/>
        </w:rPr>
        <w:t> </w:t>
      </w:r>
      <w:r>
        <w:rPr>
          <w:sz w:val="24"/>
        </w:rPr>
        <w:t>employees</w:t>
      </w:r>
      <w:r>
        <w:rPr>
          <w:spacing w:val="-6"/>
          <w:sz w:val="24"/>
        </w:rPr>
        <w:t> </w:t>
      </w:r>
      <w:r>
        <w:rPr>
          <w:sz w:val="24"/>
        </w:rPr>
        <w:t>personal</w:t>
      </w:r>
      <w:r>
        <w:rPr>
          <w:spacing w:val="-7"/>
          <w:sz w:val="24"/>
        </w:rPr>
        <w:t> </w:t>
      </w:r>
      <w:r>
        <w:rPr>
          <w:sz w:val="24"/>
        </w:rPr>
        <w:t>file,</w:t>
      </w:r>
      <w:r>
        <w:rPr>
          <w:spacing w:val="-6"/>
          <w:sz w:val="24"/>
        </w:rPr>
        <w:t> </w:t>
      </w:r>
      <w:r>
        <w:rPr>
          <w:sz w:val="24"/>
        </w:rPr>
        <w:t>with</w:t>
      </w:r>
      <w:r>
        <w:rPr>
          <w:spacing w:val="-6"/>
          <w:sz w:val="24"/>
        </w:rPr>
        <w:t> </w:t>
      </w:r>
      <w:r>
        <w:rPr>
          <w:sz w:val="24"/>
        </w:rPr>
        <w:t>the date accurately recorded in ESR.</w:t>
      </w:r>
    </w:p>
    <w:p>
      <w:pPr>
        <w:pStyle w:val="BodyText"/>
        <w:spacing w:before="124"/>
        <w:ind w:left="566"/>
      </w:pPr>
      <w:r>
        <w:rPr>
          <w:color w:val="3C5A8B"/>
          <w:spacing w:val="-2"/>
        </w:rPr>
        <w:t>Conclusion:</w:t>
      </w:r>
    </w:p>
    <w:p>
      <w:pPr>
        <w:pStyle w:val="ListParagraph"/>
        <w:numPr>
          <w:ilvl w:val="1"/>
          <w:numId w:val="17"/>
        </w:numPr>
        <w:tabs>
          <w:tab w:pos="1133" w:val="left" w:leader="none"/>
        </w:tabs>
        <w:spacing w:line="240" w:lineRule="auto" w:before="119" w:after="0"/>
        <w:ind w:left="1132" w:right="702" w:hanging="567"/>
        <w:jc w:val="both"/>
        <w:rPr>
          <w:sz w:val="24"/>
        </w:rPr>
      </w:pPr>
      <w:r>
        <w:rPr>
          <w:sz w:val="24"/>
        </w:rPr>
        <w:t>Whilst the PADR compliance rate for Glan Clwyd is improving it remains below NWSSP</w:t>
      </w:r>
      <w:r>
        <w:rPr>
          <w:spacing w:val="-2"/>
          <w:sz w:val="24"/>
        </w:rPr>
        <w:t> </w:t>
      </w:r>
      <w:r>
        <w:rPr>
          <w:sz w:val="24"/>
        </w:rPr>
        <w:t>target</w:t>
      </w:r>
      <w:r>
        <w:rPr>
          <w:spacing w:val="-3"/>
          <w:sz w:val="24"/>
        </w:rPr>
        <w:t> </w:t>
      </w:r>
      <w:r>
        <w:rPr>
          <w:sz w:val="24"/>
        </w:rPr>
        <w:t>of</w:t>
      </w:r>
      <w:r>
        <w:rPr>
          <w:spacing w:val="-2"/>
          <w:sz w:val="24"/>
        </w:rPr>
        <w:t> </w:t>
      </w:r>
      <w:r>
        <w:rPr>
          <w:sz w:val="24"/>
        </w:rPr>
        <w:t>85%. Accordingly,</w:t>
      </w:r>
      <w:r>
        <w:rPr>
          <w:spacing w:val="-3"/>
          <w:sz w:val="24"/>
        </w:rPr>
        <w:t> </w:t>
      </w:r>
      <w:r>
        <w:rPr>
          <w:sz w:val="24"/>
        </w:rPr>
        <w:t>we have</w:t>
      </w:r>
      <w:r>
        <w:rPr>
          <w:spacing w:val="-1"/>
          <w:sz w:val="24"/>
        </w:rPr>
        <w:t> </w:t>
      </w:r>
      <w:r>
        <w:rPr>
          <w:sz w:val="24"/>
        </w:rPr>
        <w:t>concluded </w:t>
      </w:r>
      <w:r>
        <w:rPr>
          <w:b/>
          <w:sz w:val="24"/>
        </w:rPr>
        <w:t>Reasonable </w:t>
      </w:r>
      <w:r>
        <w:rPr>
          <w:sz w:val="24"/>
        </w:rPr>
        <w:t>assurance</w:t>
      </w:r>
      <w:r>
        <w:rPr>
          <w:spacing w:val="-1"/>
          <w:sz w:val="24"/>
        </w:rPr>
        <w:t> </w:t>
      </w:r>
      <w:r>
        <w:rPr>
          <w:sz w:val="24"/>
        </w:rPr>
        <w:t>for this objective.</w:t>
      </w:r>
    </w:p>
    <w:p>
      <w:pPr>
        <w:spacing w:after="0" w:line="240" w:lineRule="auto"/>
        <w:jc w:val="both"/>
        <w:rPr>
          <w:sz w:val="24"/>
        </w:rPr>
        <w:sectPr>
          <w:pgSz w:w="11910" w:h="16840"/>
          <w:pgMar w:header="0" w:footer="770" w:top="880" w:bottom="960" w:left="0" w:right="0"/>
        </w:sectPr>
      </w:pPr>
    </w:p>
    <w:p>
      <w:pPr>
        <w:tabs>
          <w:tab w:pos="14061" w:val="left" w:leader="none"/>
        </w:tabs>
        <w:spacing w:before="87"/>
        <w:ind w:left="254" w:right="0" w:firstLine="0"/>
        <w:jc w:val="left"/>
        <w:rPr>
          <w:sz w:val="22"/>
        </w:rPr>
      </w:pPr>
      <w:r>
        <w:rPr>
          <w:sz w:val="22"/>
        </w:rPr>
        <w:t>Final</w:t>
      </w:r>
      <w:r>
        <w:rPr>
          <w:spacing w:val="-5"/>
          <w:sz w:val="22"/>
        </w:rPr>
        <w:t> </w:t>
      </w:r>
      <w:r>
        <w:rPr>
          <w:sz w:val="22"/>
        </w:rPr>
        <w:t>Internal</w:t>
      </w:r>
      <w:r>
        <w:rPr>
          <w:spacing w:val="-5"/>
          <w:sz w:val="22"/>
        </w:rPr>
        <w:t> </w:t>
      </w:r>
      <w:r>
        <w:rPr>
          <w:sz w:val="22"/>
        </w:rPr>
        <w:t>Audit</w:t>
      </w:r>
      <w:r>
        <w:rPr>
          <w:spacing w:val="-5"/>
          <w:sz w:val="22"/>
        </w:rPr>
        <w:t> </w:t>
      </w:r>
      <w:r>
        <w:rPr>
          <w:spacing w:val="-2"/>
          <w:sz w:val="22"/>
        </w:rPr>
        <w:t>Report</w:t>
      </w:r>
      <w:r>
        <w:rPr>
          <w:sz w:val="22"/>
        </w:rPr>
        <w:tab/>
        <w:t>Appendix</w:t>
      </w:r>
      <w:r>
        <w:rPr>
          <w:spacing w:val="-8"/>
          <w:sz w:val="22"/>
        </w:rPr>
        <w:t> </w:t>
      </w:r>
      <w:r>
        <w:rPr>
          <w:spacing w:val="-10"/>
          <w:sz w:val="22"/>
        </w:rPr>
        <w:t>A</w:t>
      </w:r>
    </w:p>
    <w:p>
      <w:pPr>
        <w:pStyle w:val="BodyText"/>
        <w:spacing w:before="4"/>
        <w:rPr>
          <w:sz w:val="20"/>
        </w:rPr>
      </w:pPr>
      <w:r>
        <w:rPr/>
        <w:pict>
          <v:shape style="position:absolute;margin-left:41.760002pt;margin-top:13.581323pt;width:759.25pt;height:1.45pt;mso-position-horizontal-relative:page;mso-position-vertical-relative:paragraph;z-index:-15686656;mso-wrap-distance-left:0;mso-wrap-distance-right:0" id="docshape172" coordorigin="835,272" coordsize="15185,29" path="m16020,272l9371,272,9357,272,9342,272,835,272,835,300,9342,300,9357,300,9371,300,16020,300,16020,272xe" filled="true" fillcolor="#000000" stroked="false">
            <v:path arrowok="t"/>
            <v:fill type="solid"/>
            <w10:wrap type="topAndBottom"/>
          </v:shape>
        </w:pict>
      </w:r>
    </w:p>
    <w:p>
      <w:pPr>
        <w:pStyle w:val="BodyText"/>
        <w:rPr>
          <w:sz w:val="20"/>
        </w:rPr>
      </w:pPr>
    </w:p>
    <w:p>
      <w:pPr>
        <w:pStyle w:val="Heading4"/>
        <w:spacing w:before="275" w:after="33"/>
        <w:ind w:left="110"/>
      </w:pPr>
      <w:bookmarkStart w:name="_bookmark8" w:id="51"/>
      <w:bookmarkEnd w:id="51"/>
      <w:r>
        <w:rPr/>
      </w:r>
      <w:r>
        <w:rPr>
          <w:color w:val="3C5A8B"/>
        </w:rPr>
        <w:t>Appendix</w:t>
      </w:r>
      <w:r>
        <w:rPr>
          <w:color w:val="3C5A8B"/>
          <w:spacing w:val="-1"/>
        </w:rPr>
        <w:t> </w:t>
      </w:r>
      <w:r>
        <w:rPr>
          <w:color w:val="3C5A8B"/>
        </w:rPr>
        <w:t>A:</w:t>
      </w:r>
      <w:r>
        <w:rPr>
          <w:color w:val="3C5A8B"/>
          <w:spacing w:val="-1"/>
        </w:rPr>
        <w:t> </w:t>
      </w:r>
      <w:r>
        <w:rPr>
          <w:color w:val="3C5A8B"/>
        </w:rPr>
        <w:t>Management Action</w:t>
      </w:r>
      <w:r>
        <w:rPr>
          <w:color w:val="3C5A8B"/>
          <w:spacing w:val="-1"/>
        </w:rPr>
        <w:t> </w:t>
      </w:r>
      <w:r>
        <w:rPr>
          <w:color w:val="3C5A8B"/>
          <w:spacing w:val="-4"/>
        </w:rPr>
        <w:t>Plan</w:t>
      </w:r>
    </w:p>
    <w:tbl>
      <w:tblPr>
        <w:tblW w:w="0" w:type="auto"/>
        <w:jc w:val="left"/>
        <w:tblInd w:w="115" w:type="dxa"/>
        <w:tblBorders>
          <w:top w:val="dashSmallGap" w:sz="4" w:space="0" w:color="A5A5A5"/>
          <w:left w:val="dashSmallGap" w:sz="4" w:space="0" w:color="A5A5A5"/>
          <w:bottom w:val="dashSmallGap" w:sz="4" w:space="0" w:color="A5A5A5"/>
          <w:right w:val="dashSmallGap" w:sz="4" w:space="0" w:color="A5A5A5"/>
          <w:insideH w:val="dashSmallGap" w:sz="4" w:space="0" w:color="A5A5A5"/>
          <w:insideV w:val="dashSmallGap" w:sz="4" w:space="0" w:color="A5A5A5"/>
        </w:tblBorders>
        <w:tblLayout w:type="fixed"/>
        <w:tblCellMar>
          <w:top w:w="0" w:type="dxa"/>
          <w:left w:w="0" w:type="dxa"/>
          <w:bottom w:w="0" w:type="dxa"/>
          <w:right w:w="0" w:type="dxa"/>
        </w:tblCellMar>
        <w:tblLook w:val="01E0"/>
      </w:tblPr>
      <w:tblGrid>
        <w:gridCol w:w="9294"/>
        <w:gridCol w:w="2035"/>
        <w:gridCol w:w="3980"/>
      </w:tblGrid>
      <w:tr>
        <w:trPr>
          <w:trHeight w:val="475" w:hRule="atLeast"/>
        </w:trPr>
        <w:tc>
          <w:tcPr>
            <w:tcW w:w="11329" w:type="dxa"/>
            <w:gridSpan w:val="2"/>
            <w:tcBorders>
              <w:bottom w:val="nil"/>
            </w:tcBorders>
            <w:shd w:val="clear" w:color="auto" w:fill="2E5395"/>
          </w:tcPr>
          <w:p>
            <w:pPr>
              <w:pStyle w:val="TableParagraph"/>
              <w:spacing w:before="58"/>
              <w:ind w:left="107"/>
              <w:rPr>
                <w:sz w:val="20"/>
              </w:rPr>
            </w:pPr>
            <w:r>
              <w:rPr>
                <w:b/>
                <w:color w:val="FFFFFF"/>
                <w:sz w:val="20"/>
              </w:rPr>
              <w:t>Matter</w:t>
            </w:r>
            <w:r>
              <w:rPr>
                <w:b/>
                <w:color w:val="FFFFFF"/>
                <w:spacing w:val="-6"/>
                <w:sz w:val="20"/>
              </w:rPr>
              <w:t> </w:t>
            </w:r>
            <w:r>
              <w:rPr>
                <w:b/>
                <w:color w:val="FFFFFF"/>
                <w:sz w:val="20"/>
              </w:rPr>
              <w:t>Arising</w:t>
            </w:r>
            <w:r>
              <w:rPr>
                <w:b/>
                <w:color w:val="FFFFFF"/>
                <w:spacing w:val="-6"/>
                <w:sz w:val="20"/>
              </w:rPr>
              <w:t> </w:t>
            </w:r>
            <w:r>
              <w:rPr>
                <w:b/>
                <w:color w:val="FFFFFF"/>
                <w:sz w:val="20"/>
              </w:rPr>
              <w:t>1:</w:t>
            </w:r>
            <w:r>
              <w:rPr>
                <w:b/>
                <w:color w:val="FFFFFF"/>
                <w:spacing w:val="-8"/>
                <w:sz w:val="20"/>
              </w:rPr>
              <w:t> </w:t>
            </w:r>
            <w:r>
              <w:rPr>
                <w:b/>
                <w:color w:val="FFFFFF"/>
                <w:sz w:val="20"/>
              </w:rPr>
              <w:t>Site</w:t>
            </w:r>
            <w:r>
              <w:rPr>
                <w:b/>
                <w:color w:val="FFFFFF"/>
                <w:spacing w:val="-8"/>
                <w:sz w:val="20"/>
              </w:rPr>
              <w:t> </w:t>
            </w:r>
            <w:r>
              <w:rPr>
                <w:b/>
                <w:color w:val="FFFFFF"/>
                <w:sz w:val="20"/>
              </w:rPr>
              <w:t>Security</w:t>
            </w:r>
            <w:r>
              <w:rPr>
                <w:b/>
                <w:color w:val="FFFFFF"/>
                <w:spacing w:val="-6"/>
                <w:sz w:val="20"/>
              </w:rPr>
              <w:t> </w:t>
            </w:r>
            <w:r>
              <w:rPr>
                <w:color w:val="FFFFFF"/>
                <w:spacing w:val="-2"/>
                <w:sz w:val="20"/>
              </w:rPr>
              <w:t>(Design)</w:t>
            </w:r>
          </w:p>
        </w:tc>
        <w:tc>
          <w:tcPr>
            <w:tcW w:w="3980" w:type="dxa"/>
            <w:tcBorders>
              <w:bottom w:val="nil"/>
            </w:tcBorders>
            <w:shd w:val="clear" w:color="auto" w:fill="2E5395"/>
          </w:tcPr>
          <w:p>
            <w:pPr>
              <w:pStyle w:val="TableParagraph"/>
              <w:spacing w:before="58"/>
              <w:ind w:left="108"/>
              <w:rPr>
                <w:b/>
                <w:sz w:val="20"/>
              </w:rPr>
            </w:pPr>
            <w:r>
              <w:rPr>
                <w:b/>
                <w:color w:val="FFFFFF"/>
                <w:spacing w:val="-2"/>
                <w:sz w:val="20"/>
              </w:rPr>
              <w:t>Impact</w:t>
            </w:r>
          </w:p>
        </w:tc>
      </w:tr>
      <w:tr>
        <w:trPr>
          <w:trHeight w:val="1913" w:hRule="atLeast"/>
        </w:trPr>
        <w:tc>
          <w:tcPr>
            <w:tcW w:w="11329" w:type="dxa"/>
            <w:gridSpan w:val="2"/>
            <w:tcBorders>
              <w:top w:val="nil"/>
              <w:bottom w:val="nil"/>
            </w:tcBorders>
          </w:tcPr>
          <w:p>
            <w:pPr>
              <w:pStyle w:val="TableParagraph"/>
              <w:spacing w:before="58"/>
              <w:ind w:left="107" w:right="104"/>
              <w:jc w:val="both"/>
              <w:rPr>
                <w:sz w:val="20"/>
              </w:rPr>
            </w:pPr>
            <w:r>
              <w:rPr>
                <w:sz w:val="20"/>
              </w:rPr>
              <w:t>During a site visit at the Glan Clwyd Laundry we noted that the building is in a poor state of repair with fire exit doors in poor condition providing opportunity for unauthorised access. Unlike Llansamlet and Green Vale Laundries,</w:t>
            </w:r>
            <w:r>
              <w:rPr>
                <w:spacing w:val="-13"/>
                <w:sz w:val="20"/>
              </w:rPr>
              <w:t> </w:t>
            </w:r>
            <w:r>
              <w:rPr>
                <w:sz w:val="20"/>
              </w:rPr>
              <w:t>there</w:t>
            </w:r>
            <w:r>
              <w:rPr>
                <w:spacing w:val="-12"/>
                <w:sz w:val="20"/>
              </w:rPr>
              <w:t> </w:t>
            </w:r>
            <w:r>
              <w:rPr>
                <w:sz w:val="20"/>
              </w:rPr>
              <w:t>is</w:t>
            </w:r>
            <w:r>
              <w:rPr>
                <w:spacing w:val="-13"/>
                <w:sz w:val="20"/>
              </w:rPr>
              <w:t> </w:t>
            </w:r>
            <w:r>
              <w:rPr>
                <w:sz w:val="20"/>
              </w:rPr>
              <w:t>no</w:t>
            </w:r>
            <w:r>
              <w:rPr>
                <w:spacing w:val="-12"/>
                <w:sz w:val="20"/>
              </w:rPr>
              <w:t> </w:t>
            </w:r>
            <w:r>
              <w:rPr>
                <w:sz w:val="20"/>
              </w:rPr>
              <w:t>alarm</w:t>
            </w:r>
            <w:r>
              <w:rPr>
                <w:spacing w:val="-12"/>
                <w:sz w:val="20"/>
              </w:rPr>
              <w:t> </w:t>
            </w:r>
            <w:r>
              <w:rPr>
                <w:sz w:val="20"/>
              </w:rPr>
              <w:t>system</w:t>
            </w:r>
            <w:r>
              <w:rPr>
                <w:spacing w:val="-9"/>
                <w:sz w:val="20"/>
              </w:rPr>
              <w:t> </w:t>
            </w:r>
            <w:r>
              <w:rPr>
                <w:sz w:val="20"/>
              </w:rPr>
              <w:t>or</w:t>
            </w:r>
            <w:r>
              <w:rPr>
                <w:spacing w:val="-14"/>
                <w:sz w:val="20"/>
              </w:rPr>
              <w:t> </w:t>
            </w:r>
            <w:r>
              <w:rPr>
                <w:sz w:val="20"/>
              </w:rPr>
              <w:t>CCTV</w:t>
            </w:r>
            <w:r>
              <w:rPr>
                <w:spacing w:val="-13"/>
                <w:sz w:val="20"/>
              </w:rPr>
              <w:t> </w:t>
            </w:r>
            <w:r>
              <w:rPr>
                <w:sz w:val="20"/>
              </w:rPr>
              <w:t>in</w:t>
            </w:r>
            <w:r>
              <w:rPr>
                <w:spacing w:val="-9"/>
                <w:sz w:val="20"/>
              </w:rPr>
              <w:t> </w:t>
            </w:r>
            <w:r>
              <w:rPr>
                <w:sz w:val="20"/>
              </w:rPr>
              <w:t>place,</w:t>
            </w:r>
            <w:r>
              <w:rPr>
                <w:spacing w:val="-13"/>
                <w:sz w:val="20"/>
              </w:rPr>
              <w:t> </w:t>
            </w:r>
            <w:r>
              <w:rPr>
                <w:sz w:val="20"/>
              </w:rPr>
              <w:t>no</w:t>
            </w:r>
            <w:r>
              <w:rPr>
                <w:spacing w:val="-14"/>
                <w:sz w:val="20"/>
              </w:rPr>
              <w:t> </w:t>
            </w:r>
            <w:r>
              <w:rPr>
                <w:sz w:val="20"/>
              </w:rPr>
              <w:t>perimeter</w:t>
            </w:r>
            <w:r>
              <w:rPr>
                <w:spacing w:val="-14"/>
                <w:sz w:val="20"/>
              </w:rPr>
              <w:t> </w:t>
            </w:r>
            <w:r>
              <w:rPr>
                <w:sz w:val="20"/>
              </w:rPr>
              <w:t>fencing</w:t>
            </w:r>
            <w:r>
              <w:rPr>
                <w:spacing w:val="-12"/>
                <w:sz w:val="20"/>
              </w:rPr>
              <w:t> </w:t>
            </w:r>
            <w:r>
              <w:rPr>
                <w:sz w:val="20"/>
              </w:rPr>
              <w:t>and</w:t>
            </w:r>
            <w:r>
              <w:rPr>
                <w:spacing w:val="-12"/>
                <w:sz w:val="20"/>
              </w:rPr>
              <w:t> </w:t>
            </w:r>
            <w:r>
              <w:rPr>
                <w:sz w:val="20"/>
              </w:rPr>
              <w:t>a</w:t>
            </w:r>
            <w:r>
              <w:rPr>
                <w:spacing w:val="-12"/>
                <w:sz w:val="20"/>
              </w:rPr>
              <w:t> </w:t>
            </w:r>
            <w:r>
              <w:rPr>
                <w:sz w:val="20"/>
              </w:rPr>
              <w:t>record</w:t>
            </w:r>
            <w:r>
              <w:rPr>
                <w:spacing w:val="-10"/>
                <w:sz w:val="20"/>
              </w:rPr>
              <w:t> </w:t>
            </w:r>
            <w:r>
              <w:rPr>
                <w:sz w:val="20"/>
              </w:rPr>
              <w:t>of</w:t>
            </w:r>
            <w:r>
              <w:rPr>
                <w:spacing w:val="-13"/>
                <w:sz w:val="20"/>
              </w:rPr>
              <w:t> </w:t>
            </w:r>
            <w:r>
              <w:rPr>
                <w:sz w:val="20"/>
              </w:rPr>
              <w:t>building</w:t>
            </w:r>
            <w:r>
              <w:rPr>
                <w:spacing w:val="-12"/>
                <w:sz w:val="20"/>
              </w:rPr>
              <w:t> </w:t>
            </w:r>
            <w:r>
              <w:rPr>
                <w:sz w:val="20"/>
              </w:rPr>
              <w:t>key</w:t>
            </w:r>
            <w:r>
              <w:rPr>
                <w:spacing w:val="-13"/>
                <w:sz w:val="20"/>
              </w:rPr>
              <w:t> </w:t>
            </w:r>
            <w:r>
              <w:rPr>
                <w:sz w:val="20"/>
              </w:rPr>
              <w:t>holders is not maintained. We also observed fire exit doors propped open to allow ventilation.</w:t>
            </w:r>
          </w:p>
        </w:tc>
        <w:tc>
          <w:tcPr>
            <w:tcW w:w="3980" w:type="dxa"/>
            <w:tcBorders>
              <w:top w:val="nil"/>
              <w:bottom w:val="nil"/>
            </w:tcBorders>
          </w:tcPr>
          <w:p>
            <w:pPr>
              <w:pStyle w:val="TableParagraph"/>
              <w:spacing w:before="58"/>
              <w:ind w:left="108"/>
              <w:rPr>
                <w:sz w:val="20"/>
              </w:rPr>
            </w:pPr>
            <w:r>
              <w:rPr>
                <w:sz w:val="20"/>
              </w:rPr>
              <w:t>Potential</w:t>
            </w:r>
            <w:r>
              <w:rPr>
                <w:spacing w:val="-6"/>
                <w:sz w:val="20"/>
              </w:rPr>
              <w:t> </w:t>
            </w:r>
            <w:r>
              <w:rPr>
                <w:sz w:val="20"/>
              </w:rPr>
              <w:t>risk</w:t>
            </w:r>
            <w:r>
              <w:rPr>
                <w:spacing w:val="-8"/>
                <w:sz w:val="20"/>
              </w:rPr>
              <w:t> </w:t>
            </w:r>
            <w:r>
              <w:rPr>
                <w:spacing w:val="-5"/>
                <w:sz w:val="20"/>
              </w:rPr>
              <w:t>of:</w:t>
            </w:r>
          </w:p>
          <w:p>
            <w:pPr>
              <w:pStyle w:val="TableParagraph"/>
              <w:numPr>
                <w:ilvl w:val="0"/>
                <w:numId w:val="18"/>
              </w:numPr>
              <w:tabs>
                <w:tab w:pos="468" w:val="left" w:leader="none"/>
                <w:tab w:pos="469" w:val="left" w:leader="none"/>
              </w:tabs>
              <w:spacing w:line="240" w:lineRule="auto" w:before="158" w:after="0"/>
              <w:ind w:left="468" w:right="450" w:hanging="360"/>
              <w:jc w:val="left"/>
              <w:rPr>
                <w:sz w:val="20"/>
              </w:rPr>
            </w:pPr>
            <w:r>
              <w:rPr>
                <w:sz w:val="20"/>
              </w:rPr>
              <w:t>malicious damage / theft resulting</w:t>
            </w:r>
            <w:r>
              <w:rPr>
                <w:spacing w:val="-12"/>
                <w:sz w:val="20"/>
              </w:rPr>
              <w:t> </w:t>
            </w:r>
            <w:r>
              <w:rPr>
                <w:sz w:val="20"/>
              </w:rPr>
              <w:t>in</w:t>
            </w:r>
            <w:r>
              <w:rPr>
                <w:spacing w:val="-11"/>
                <w:sz w:val="20"/>
              </w:rPr>
              <w:t> </w:t>
            </w:r>
            <w:r>
              <w:rPr>
                <w:sz w:val="20"/>
              </w:rPr>
              <w:t>service</w:t>
            </w:r>
            <w:r>
              <w:rPr>
                <w:spacing w:val="-14"/>
                <w:sz w:val="20"/>
              </w:rPr>
              <w:t> </w:t>
            </w:r>
            <w:r>
              <w:rPr>
                <w:sz w:val="20"/>
              </w:rPr>
              <w:t>disruption.</w:t>
            </w:r>
          </w:p>
        </w:tc>
      </w:tr>
      <w:tr>
        <w:trPr>
          <w:trHeight w:val="484" w:hRule="atLeast"/>
        </w:trPr>
        <w:tc>
          <w:tcPr>
            <w:tcW w:w="11329" w:type="dxa"/>
            <w:gridSpan w:val="2"/>
            <w:tcBorders>
              <w:top w:val="nil"/>
              <w:bottom w:val="nil"/>
            </w:tcBorders>
            <w:shd w:val="clear" w:color="auto" w:fill="2E5395"/>
          </w:tcPr>
          <w:p>
            <w:pPr>
              <w:pStyle w:val="TableParagraph"/>
              <w:spacing w:before="58"/>
              <w:ind w:left="107"/>
              <w:rPr>
                <w:b/>
                <w:sz w:val="20"/>
              </w:rPr>
            </w:pPr>
            <w:r>
              <w:rPr>
                <w:b/>
                <w:color w:val="FFFFFF"/>
                <w:spacing w:val="-2"/>
                <w:sz w:val="20"/>
              </w:rPr>
              <w:t>Recommendations</w:t>
            </w:r>
          </w:p>
        </w:tc>
        <w:tc>
          <w:tcPr>
            <w:tcW w:w="3980" w:type="dxa"/>
            <w:tcBorders>
              <w:top w:val="nil"/>
              <w:bottom w:val="nil"/>
            </w:tcBorders>
            <w:shd w:val="clear" w:color="auto" w:fill="2E5395"/>
          </w:tcPr>
          <w:p>
            <w:pPr>
              <w:pStyle w:val="TableParagraph"/>
              <w:spacing w:before="58"/>
              <w:ind w:left="72"/>
              <w:rPr>
                <w:b/>
                <w:sz w:val="20"/>
              </w:rPr>
            </w:pPr>
            <w:r>
              <w:rPr>
                <w:b/>
                <w:color w:val="FFFFFF"/>
                <w:spacing w:val="-2"/>
                <w:sz w:val="20"/>
              </w:rPr>
              <w:t>Priority</w:t>
            </w:r>
          </w:p>
        </w:tc>
      </w:tr>
      <w:tr>
        <w:trPr>
          <w:trHeight w:val="1079" w:hRule="atLeast"/>
        </w:trPr>
        <w:tc>
          <w:tcPr>
            <w:tcW w:w="11329" w:type="dxa"/>
            <w:gridSpan w:val="2"/>
            <w:tcBorders>
              <w:top w:val="nil"/>
            </w:tcBorders>
          </w:tcPr>
          <w:p>
            <w:pPr>
              <w:pStyle w:val="TableParagraph"/>
              <w:spacing w:line="276" w:lineRule="auto" w:before="55"/>
              <w:ind w:left="107" w:right="100"/>
              <w:jc w:val="both"/>
              <w:rPr>
                <w:sz w:val="20"/>
              </w:rPr>
            </w:pPr>
            <w:r>
              <w:rPr>
                <w:sz w:val="20"/>
              </w:rPr>
              <w:t>1.1 Perform a risk assessment of the existing site to identify and prioritise any significant issues with the physical site condition/security that need to be addressed in the interim period until the facility is moved to a new site as part of the transformation programme.</w:t>
            </w:r>
          </w:p>
        </w:tc>
        <w:tc>
          <w:tcPr>
            <w:tcW w:w="3980" w:type="dxa"/>
            <w:tcBorders>
              <w:top w:val="nil"/>
            </w:tcBorders>
            <w:shd w:val="clear" w:color="auto" w:fill="FF0000"/>
          </w:tcPr>
          <w:p>
            <w:pPr>
              <w:pStyle w:val="TableParagraph"/>
              <w:spacing w:before="4"/>
              <w:rPr>
                <w:sz w:val="34"/>
              </w:rPr>
            </w:pPr>
          </w:p>
          <w:p>
            <w:pPr>
              <w:pStyle w:val="TableParagraph"/>
              <w:spacing w:before="1"/>
              <w:ind w:left="1531" w:right="1523"/>
              <w:jc w:val="center"/>
              <w:rPr>
                <w:b/>
                <w:sz w:val="20"/>
              </w:rPr>
            </w:pPr>
            <w:r>
              <w:rPr>
                <w:b/>
                <w:color w:val="FFFFFF"/>
                <w:spacing w:val="-4"/>
                <w:sz w:val="20"/>
              </w:rPr>
              <w:t>High</w:t>
            </w:r>
          </w:p>
        </w:tc>
      </w:tr>
      <w:tr>
        <w:trPr>
          <w:trHeight w:val="475" w:hRule="atLeast"/>
        </w:trPr>
        <w:tc>
          <w:tcPr>
            <w:tcW w:w="9294" w:type="dxa"/>
            <w:tcBorders>
              <w:bottom w:val="nil"/>
            </w:tcBorders>
            <w:shd w:val="clear" w:color="auto" w:fill="2E5395"/>
          </w:tcPr>
          <w:p>
            <w:pPr>
              <w:pStyle w:val="TableParagraph"/>
              <w:spacing w:before="58"/>
              <w:ind w:left="107"/>
              <w:rPr>
                <w:b/>
                <w:sz w:val="20"/>
              </w:rPr>
            </w:pPr>
            <w:r>
              <w:rPr>
                <w:b/>
                <w:color w:val="FFFFFF"/>
                <w:sz w:val="20"/>
              </w:rPr>
              <w:t>Agreed</w:t>
            </w:r>
            <w:r>
              <w:rPr>
                <w:b/>
                <w:color w:val="FFFFFF"/>
                <w:spacing w:val="-14"/>
                <w:sz w:val="20"/>
              </w:rPr>
              <w:t> </w:t>
            </w:r>
            <w:r>
              <w:rPr>
                <w:b/>
                <w:color w:val="FFFFFF"/>
                <w:sz w:val="20"/>
              </w:rPr>
              <w:t>Management</w:t>
            </w:r>
            <w:r>
              <w:rPr>
                <w:b/>
                <w:color w:val="FFFFFF"/>
                <w:spacing w:val="-10"/>
                <w:sz w:val="20"/>
              </w:rPr>
              <w:t> </w:t>
            </w:r>
            <w:r>
              <w:rPr>
                <w:b/>
                <w:color w:val="FFFFFF"/>
                <w:spacing w:val="-2"/>
                <w:sz w:val="20"/>
              </w:rPr>
              <w:t>Action</w:t>
            </w:r>
          </w:p>
        </w:tc>
        <w:tc>
          <w:tcPr>
            <w:tcW w:w="2035" w:type="dxa"/>
            <w:tcBorders>
              <w:bottom w:val="nil"/>
            </w:tcBorders>
            <w:shd w:val="clear" w:color="auto" w:fill="2E5395"/>
          </w:tcPr>
          <w:p>
            <w:pPr>
              <w:pStyle w:val="TableParagraph"/>
              <w:spacing w:before="58"/>
              <w:ind w:left="7"/>
              <w:rPr>
                <w:b/>
                <w:sz w:val="20"/>
              </w:rPr>
            </w:pPr>
            <w:r>
              <w:rPr>
                <w:b/>
                <w:color w:val="FFFFFF"/>
                <w:sz w:val="20"/>
              </w:rPr>
              <w:t>Target</w:t>
            </w:r>
            <w:r>
              <w:rPr>
                <w:b/>
                <w:color w:val="FFFFFF"/>
                <w:spacing w:val="-11"/>
                <w:sz w:val="20"/>
              </w:rPr>
              <w:t> </w:t>
            </w:r>
            <w:r>
              <w:rPr>
                <w:b/>
                <w:color w:val="FFFFFF"/>
                <w:spacing w:val="-4"/>
                <w:sz w:val="20"/>
              </w:rPr>
              <w:t>Date</w:t>
            </w:r>
          </w:p>
        </w:tc>
        <w:tc>
          <w:tcPr>
            <w:tcW w:w="3980" w:type="dxa"/>
            <w:tcBorders>
              <w:bottom w:val="nil"/>
            </w:tcBorders>
            <w:shd w:val="clear" w:color="auto" w:fill="2E5395"/>
          </w:tcPr>
          <w:p>
            <w:pPr>
              <w:pStyle w:val="TableParagraph"/>
              <w:spacing w:before="58"/>
              <w:ind w:left="108"/>
              <w:rPr>
                <w:b/>
                <w:sz w:val="20"/>
              </w:rPr>
            </w:pPr>
            <w:r>
              <w:rPr>
                <w:b/>
                <w:color w:val="FFFFFF"/>
                <w:spacing w:val="-2"/>
                <w:sz w:val="20"/>
              </w:rPr>
              <w:t>Responsible</w:t>
            </w:r>
            <w:r>
              <w:rPr>
                <w:b/>
                <w:color w:val="FFFFFF"/>
                <w:spacing w:val="4"/>
                <w:sz w:val="20"/>
              </w:rPr>
              <w:t> </w:t>
            </w:r>
            <w:r>
              <w:rPr>
                <w:b/>
                <w:color w:val="FFFFFF"/>
                <w:spacing w:val="-2"/>
                <w:sz w:val="20"/>
              </w:rPr>
              <w:t>Officer</w:t>
            </w:r>
          </w:p>
        </w:tc>
      </w:tr>
      <w:tr>
        <w:trPr>
          <w:trHeight w:val="1218" w:hRule="atLeast"/>
        </w:trPr>
        <w:tc>
          <w:tcPr>
            <w:tcW w:w="9294" w:type="dxa"/>
            <w:tcBorders>
              <w:top w:val="nil"/>
            </w:tcBorders>
          </w:tcPr>
          <w:p>
            <w:pPr>
              <w:pStyle w:val="TableParagraph"/>
              <w:spacing w:line="259" w:lineRule="auto" w:before="58"/>
              <w:ind w:left="842" w:hanging="735"/>
              <w:rPr>
                <w:sz w:val="20"/>
              </w:rPr>
            </w:pPr>
            <w:r>
              <w:rPr>
                <w:sz w:val="20"/>
              </w:rPr>
              <w:t>1.1 Management accept the recommendation and will conduct a security review, the recommendations</w:t>
            </w:r>
            <w:r>
              <w:rPr>
                <w:spacing w:val="-4"/>
                <w:sz w:val="20"/>
              </w:rPr>
              <w:t> </w:t>
            </w:r>
            <w:r>
              <w:rPr>
                <w:sz w:val="20"/>
              </w:rPr>
              <w:t>will</w:t>
            </w:r>
            <w:r>
              <w:rPr>
                <w:spacing w:val="-5"/>
                <w:sz w:val="20"/>
              </w:rPr>
              <w:t> </w:t>
            </w:r>
            <w:r>
              <w:rPr>
                <w:sz w:val="20"/>
              </w:rPr>
              <w:t>then</w:t>
            </w:r>
            <w:r>
              <w:rPr>
                <w:spacing w:val="-5"/>
                <w:sz w:val="20"/>
              </w:rPr>
              <w:t> </w:t>
            </w:r>
            <w:r>
              <w:rPr>
                <w:sz w:val="20"/>
              </w:rPr>
              <w:t>be</w:t>
            </w:r>
            <w:r>
              <w:rPr>
                <w:spacing w:val="-7"/>
                <w:sz w:val="20"/>
              </w:rPr>
              <w:t> </w:t>
            </w:r>
            <w:r>
              <w:rPr>
                <w:sz w:val="20"/>
              </w:rPr>
              <w:t>implemented</w:t>
            </w:r>
            <w:r>
              <w:rPr>
                <w:spacing w:val="-5"/>
                <w:sz w:val="20"/>
              </w:rPr>
              <w:t> </w:t>
            </w:r>
            <w:r>
              <w:rPr>
                <w:sz w:val="20"/>
              </w:rPr>
              <w:t>in</w:t>
            </w:r>
            <w:r>
              <w:rPr>
                <w:spacing w:val="-3"/>
                <w:sz w:val="20"/>
              </w:rPr>
              <w:t> </w:t>
            </w:r>
            <w:r>
              <w:rPr>
                <w:sz w:val="20"/>
              </w:rPr>
              <w:t>collaboration</w:t>
            </w:r>
            <w:r>
              <w:rPr>
                <w:spacing w:val="-5"/>
                <w:sz w:val="20"/>
              </w:rPr>
              <w:t> </w:t>
            </w:r>
            <w:r>
              <w:rPr>
                <w:sz w:val="20"/>
              </w:rPr>
              <w:t>with</w:t>
            </w:r>
            <w:r>
              <w:rPr>
                <w:spacing w:val="-5"/>
                <w:sz w:val="20"/>
              </w:rPr>
              <w:t> </w:t>
            </w:r>
            <w:r>
              <w:rPr>
                <w:sz w:val="20"/>
              </w:rPr>
              <w:t>BCUHB</w:t>
            </w:r>
            <w:r>
              <w:rPr>
                <w:spacing w:val="-6"/>
                <w:sz w:val="20"/>
              </w:rPr>
              <w:t> </w:t>
            </w:r>
            <w:r>
              <w:rPr>
                <w:sz w:val="20"/>
              </w:rPr>
              <w:t>who</w:t>
            </w:r>
            <w:r>
              <w:rPr>
                <w:spacing w:val="-5"/>
                <w:sz w:val="20"/>
              </w:rPr>
              <w:t> </w:t>
            </w:r>
            <w:r>
              <w:rPr>
                <w:sz w:val="20"/>
              </w:rPr>
              <w:t>own and maintain the building.</w:t>
            </w:r>
          </w:p>
        </w:tc>
        <w:tc>
          <w:tcPr>
            <w:tcW w:w="2035" w:type="dxa"/>
            <w:tcBorders>
              <w:top w:val="nil"/>
            </w:tcBorders>
          </w:tcPr>
          <w:p>
            <w:pPr>
              <w:pStyle w:val="TableParagraph"/>
              <w:spacing w:before="58"/>
              <w:ind w:left="7"/>
              <w:rPr>
                <w:sz w:val="20"/>
              </w:rPr>
            </w:pPr>
            <w:r>
              <w:rPr>
                <w:sz w:val="20"/>
              </w:rPr>
              <w:t>31</w:t>
            </w:r>
            <w:r>
              <w:rPr>
                <w:spacing w:val="-5"/>
                <w:sz w:val="20"/>
              </w:rPr>
              <w:t> </w:t>
            </w:r>
            <w:r>
              <w:rPr>
                <w:sz w:val="20"/>
              </w:rPr>
              <w:t>March</w:t>
            </w:r>
            <w:r>
              <w:rPr>
                <w:spacing w:val="-5"/>
                <w:sz w:val="20"/>
              </w:rPr>
              <w:t> 23</w:t>
            </w:r>
          </w:p>
        </w:tc>
        <w:tc>
          <w:tcPr>
            <w:tcW w:w="3980" w:type="dxa"/>
            <w:tcBorders>
              <w:top w:val="nil"/>
            </w:tcBorders>
          </w:tcPr>
          <w:p>
            <w:pPr>
              <w:pStyle w:val="TableParagraph"/>
              <w:spacing w:line="259" w:lineRule="auto" w:before="58"/>
              <w:ind w:left="108"/>
              <w:rPr>
                <w:sz w:val="20"/>
              </w:rPr>
            </w:pPr>
            <w:r>
              <w:rPr>
                <w:sz w:val="20"/>
              </w:rPr>
              <w:t>Peter</w:t>
            </w:r>
            <w:r>
              <w:rPr>
                <w:spacing w:val="-14"/>
                <w:sz w:val="20"/>
              </w:rPr>
              <w:t> </w:t>
            </w:r>
            <w:r>
              <w:rPr>
                <w:sz w:val="20"/>
              </w:rPr>
              <w:t>White,</w:t>
            </w:r>
            <w:r>
              <w:rPr>
                <w:spacing w:val="-13"/>
                <w:sz w:val="20"/>
              </w:rPr>
              <w:t> </w:t>
            </w:r>
            <w:r>
              <w:rPr>
                <w:sz w:val="20"/>
              </w:rPr>
              <w:t>Laundry</w:t>
            </w:r>
            <w:r>
              <w:rPr>
                <w:spacing w:val="-13"/>
                <w:sz w:val="20"/>
              </w:rPr>
              <w:t> </w:t>
            </w:r>
            <w:r>
              <w:rPr>
                <w:sz w:val="20"/>
              </w:rPr>
              <w:t>Operations </w:t>
            </w:r>
            <w:r>
              <w:rPr>
                <w:spacing w:val="-2"/>
                <w:sz w:val="20"/>
              </w:rPr>
              <w:t>Manager</w:t>
            </w:r>
          </w:p>
        </w:tc>
      </w:tr>
    </w:tbl>
    <w:p>
      <w:pPr>
        <w:spacing w:after="0" w:line="259" w:lineRule="auto"/>
        <w:rPr>
          <w:sz w:val="20"/>
        </w:rPr>
        <w:sectPr>
          <w:footerReference w:type="default" r:id="rId70"/>
          <w:pgSz w:w="16840" w:h="11910" w:orient="landscape"/>
          <w:pgMar w:footer="770" w:header="0" w:top="880" w:bottom="960" w:left="600" w:right="700"/>
        </w:sectPr>
      </w:pPr>
    </w:p>
    <w:p>
      <w:pPr>
        <w:tabs>
          <w:tab w:pos="14061" w:val="left" w:leader="none"/>
        </w:tabs>
        <w:spacing w:before="87"/>
        <w:ind w:left="254" w:right="0" w:firstLine="0"/>
        <w:jc w:val="left"/>
        <w:rPr>
          <w:sz w:val="22"/>
        </w:rPr>
      </w:pPr>
      <w:r>
        <w:rPr>
          <w:sz w:val="22"/>
        </w:rPr>
        <w:t>Final</w:t>
      </w:r>
      <w:r>
        <w:rPr>
          <w:spacing w:val="-5"/>
          <w:sz w:val="22"/>
        </w:rPr>
        <w:t> </w:t>
      </w:r>
      <w:r>
        <w:rPr>
          <w:sz w:val="22"/>
        </w:rPr>
        <w:t>Internal</w:t>
      </w:r>
      <w:r>
        <w:rPr>
          <w:spacing w:val="-5"/>
          <w:sz w:val="22"/>
        </w:rPr>
        <w:t> </w:t>
      </w:r>
      <w:r>
        <w:rPr>
          <w:sz w:val="22"/>
        </w:rPr>
        <w:t>Audit</w:t>
      </w:r>
      <w:r>
        <w:rPr>
          <w:spacing w:val="-5"/>
          <w:sz w:val="22"/>
        </w:rPr>
        <w:t> </w:t>
      </w:r>
      <w:r>
        <w:rPr>
          <w:spacing w:val="-2"/>
          <w:sz w:val="22"/>
        </w:rPr>
        <w:t>Report</w:t>
      </w:r>
      <w:r>
        <w:rPr>
          <w:sz w:val="22"/>
        </w:rPr>
        <w:tab/>
        <w:t>Appendix</w:t>
      </w:r>
      <w:r>
        <w:rPr>
          <w:spacing w:val="-8"/>
          <w:sz w:val="22"/>
        </w:rPr>
        <w:t> </w:t>
      </w:r>
      <w:r>
        <w:rPr>
          <w:spacing w:val="-10"/>
          <w:sz w:val="22"/>
        </w:rPr>
        <w:t>A</w:t>
      </w:r>
    </w:p>
    <w:p>
      <w:pPr>
        <w:pStyle w:val="BodyText"/>
        <w:spacing w:before="4"/>
        <w:rPr>
          <w:sz w:val="20"/>
        </w:rPr>
      </w:pPr>
      <w:r>
        <w:rPr/>
        <w:pict>
          <v:shape style="position:absolute;margin-left:41.760002pt;margin-top:13.581323pt;width:759.25pt;height:1.45pt;mso-position-horizontal-relative:page;mso-position-vertical-relative:paragraph;z-index:-15686144;mso-wrap-distance-left:0;mso-wrap-distance-right:0" id="docshape176" coordorigin="835,272" coordsize="15185,29" path="m16020,272l9371,272,9357,272,9342,272,835,272,835,300,9342,300,9357,300,9371,300,16020,300,16020,272xe" filled="true" fillcolor="#000000" stroked="false">
            <v:path arrowok="t"/>
            <v:fill type="solid"/>
            <w10:wrap type="topAndBottom"/>
          </v:shape>
        </w:pict>
      </w:r>
    </w:p>
    <w:p>
      <w:pPr>
        <w:pStyle w:val="BodyText"/>
        <w:rPr>
          <w:sz w:val="20"/>
        </w:rPr>
      </w:pPr>
    </w:p>
    <w:p>
      <w:pPr>
        <w:pStyle w:val="BodyText"/>
        <w:rPr>
          <w:sz w:val="20"/>
        </w:rPr>
      </w:pPr>
    </w:p>
    <w:p>
      <w:pPr>
        <w:pStyle w:val="BodyText"/>
        <w:rPr>
          <w:sz w:val="20"/>
        </w:rPr>
      </w:pPr>
    </w:p>
    <w:p>
      <w:pPr>
        <w:pStyle w:val="BodyText"/>
        <w:spacing w:before="10"/>
        <w:rPr>
          <w:sz w:val="12"/>
        </w:rPr>
      </w:pPr>
    </w:p>
    <w:tbl>
      <w:tblPr>
        <w:tblW w:w="0" w:type="auto"/>
        <w:jc w:val="left"/>
        <w:tblInd w:w="115" w:type="dxa"/>
        <w:tblBorders>
          <w:top w:val="dashSmallGap" w:sz="4" w:space="0" w:color="A5A5A5"/>
          <w:left w:val="dashSmallGap" w:sz="4" w:space="0" w:color="A5A5A5"/>
          <w:bottom w:val="dashSmallGap" w:sz="4" w:space="0" w:color="A5A5A5"/>
          <w:right w:val="dashSmallGap" w:sz="4" w:space="0" w:color="A5A5A5"/>
          <w:insideH w:val="dashSmallGap" w:sz="4" w:space="0" w:color="A5A5A5"/>
          <w:insideV w:val="dashSmallGap" w:sz="4" w:space="0" w:color="A5A5A5"/>
        </w:tblBorders>
        <w:tblLayout w:type="fixed"/>
        <w:tblCellMar>
          <w:top w:w="0" w:type="dxa"/>
          <w:left w:w="0" w:type="dxa"/>
          <w:bottom w:w="0" w:type="dxa"/>
          <w:right w:w="0" w:type="dxa"/>
        </w:tblCellMar>
        <w:tblLook w:val="01E0"/>
      </w:tblPr>
      <w:tblGrid>
        <w:gridCol w:w="9294"/>
        <w:gridCol w:w="2035"/>
        <w:gridCol w:w="3980"/>
      </w:tblGrid>
      <w:tr>
        <w:trPr>
          <w:trHeight w:val="475" w:hRule="atLeast"/>
        </w:trPr>
        <w:tc>
          <w:tcPr>
            <w:tcW w:w="11329" w:type="dxa"/>
            <w:gridSpan w:val="2"/>
            <w:tcBorders>
              <w:bottom w:val="nil"/>
            </w:tcBorders>
            <w:shd w:val="clear" w:color="auto" w:fill="2E5395"/>
          </w:tcPr>
          <w:p>
            <w:pPr>
              <w:pStyle w:val="TableParagraph"/>
              <w:spacing w:before="58"/>
              <w:ind w:left="107"/>
              <w:rPr>
                <w:sz w:val="20"/>
              </w:rPr>
            </w:pPr>
            <w:r>
              <w:rPr>
                <w:b/>
                <w:color w:val="FFFFFF"/>
                <w:sz w:val="20"/>
              </w:rPr>
              <w:t>Matter</w:t>
            </w:r>
            <w:r>
              <w:rPr>
                <w:b/>
                <w:color w:val="FFFFFF"/>
                <w:spacing w:val="-7"/>
                <w:sz w:val="20"/>
              </w:rPr>
              <w:t> </w:t>
            </w:r>
            <w:r>
              <w:rPr>
                <w:b/>
                <w:color w:val="FFFFFF"/>
                <w:sz w:val="20"/>
              </w:rPr>
              <w:t>Arising</w:t>
            </w:r>
            <w:r>
              <w:rPr>
                <w:b/>
                <w:color w:val="FFFFFF"/>
                <w:spacing w:val="-6"/>
                <w:sz w:val="20"/>
              </w:rPr>
              <w:t> </w:t>
            </w:r>
            <w:r>
              <w:rPr>
                <w:b/>
                <w:color w:val="FFFFFF"/>
                <w:sz w:val="20"/>
              </w:rPr>
              <w:t>2:</w:t>
            </w:r>
            <w:r>
              <w:rPr>
                <w:b/>
                <w:color w:val="FFFFFF"/>
                <w:spacing w:val="-7"/>
                <w:sz w:val="20"/>
              </w:rPr>
              <w:t> </w:t>
            </w:r>
            <w:r>
              <w:rPr>
                <w:b/>
                <w:color w:val="FFFFFF"/>
                <w:sz w:val="20"/>
              </w:rPr>
              <w:t>ICT</w:t>
            </w:r>
            <w:r>
              <w:rPr>
                <w:b/>
                <w:color w:val="FFFFFF"/>
                <w:spacing w:val="-7"/>
                <w:sz w:val="20"/>
              </w:rPr>
              <w:t> </w:t>
            </w:r>
            <w:r>
              <w:rPr>
                <w:b/>
                <w:color w:val="FFFFFF"/>
                <w:sz w:val="20"/>
              </w:rPr>
              <w:t>Asset</w:t>
            </w:r>
            <w:r>
              <w:rPr>
                <w:b/>
                <w:color w:val="FFFFFF"/>
                <w:spacing w:val="-7"/>
                <w:sz w:val="20"/>
              </w:rPr>
              <w:t> </w:t>
            </w:r>
            <w:r>
              <w:rPr>
                <w:b/>
                <w:color w:val="FFFFFF"/>
                <w:sz w:val="20"/>
              </w:rPr>
              <w:t>Register</w:t>
            </w:r>
            <w:r>
              <w:rPr>
                <w:b/>
                <w:color w:val="FFFFFF"/>
                <w:spacing w:val="-6"/>
                <w:sz w:val="20"/>
              </w:rPr>
              <w:t> </w:t>
            </w:r>
            <w:r>
              <w:rPr>
                <w:color w:val="FFFFFF"/>
                <w:spacing w:val="-2"/>
                <w:sz w:val="20"/>
              </w:rPr>
              <w:t>(Design)</w:t>
            </w:r>
          </w:p>
        </w:tc>
        <w:tc>
          <w:tcPr>
            <w:tcW w:w="3980" w:type="dxa"/>
            <w:tcBorders>
              <w:bottom w:val="nil"/>
            </w:tcBorders>
            <w:shd w:val="clear" w:color="auto" w:fill="2E5395"/>
          </w:tcPr>
          <w:p>
            <w:pPr>
              <w:pStyle w:val="TableParagraph"/>
              <w:spacing w:before="58"/>
              <w:ind w:left="108"/>
              <w:rPr>
                <w:b/>
                <w:sz w:val="20"/>
              </w:rPr>
            </w:pPr>
            <w:r>
              <w:rPr>
                <w:b/>
                <w:color w:val="FFFFFF"/>
                <w:spacing w:val="-2"/>
                <w:sz w:val="20"/>
              </w:rPr>
              <w:t>Impact</w:t>
            </w:r>
          </w:p>
        </w:tc>
      </w:tr>
      <w:tr>
        <w:trPr>
          <w:trHeight w:val="1481" w:hRule="atLeast"/>
        </w:trPr>
        <w:tc>
          <w:tcPr>
            <w:tcW w:w="11329" w:type="dxa"/>
            <w:gridSpan w:val="2"/>
            <w:tcBorders>
              <w:top w:val="nil"/>
              <w:bottom w:val="nil"/>
            </w:tcBorders>
          </w:tcPr>
          <w:p>
            <w:pPr>
              <w:pStyle w:val="TableParagraph"/>
              <w:spacing w:before="58"/>
              <w:ind w:left="107"/>
              <w:rPr>
                <w:sz w:val="20"/>
              </w:rPr>
            </w:pPr>
            <w:r>
              <w:rPr>
                <w:sz w:val="20"/>
              </w:rPr>
              <w:t>A</w:t>
            </w:r>
            <w:r>
              <w:rPr>
                <w:spacing w:val="-5"/>
                <w:sz w:val="20"/>
              </w:rPr>
              <w:t> </w:t>
            </w:r>
            <w:r>
              <w:rPr>
                <w:sz w:val="20"/>
              </w:rPr>
              <w:t>record</w:t>
            </w:r>
            <w:r>
              <w:rPr>
                <w:spacing w:val="-2"/>
                <w:sz w:val="20"/>
              </w:rPr>
              <w:t> </w:t>
            </w:r>
            <w:r>
              <w:rPr>
                <w:sz w:val="20"/>
              </w:rPr>
              <w:t>of</w:t>
            </w:r>
            <w:r>
              <w:rPr>
                <w:spacing w:val="-3"/>
                <w:sz w:val="20"/>
              </w:rPr>
              <w:t> </w:t>
            </w:r>
            <w:r>
              <w:rPr>
                <w:sz w:val="20"/>
              </w:rPr>
              <w:t>ICT</w:t>
            </w:r>
            <w:r>
              <w:rPr>
                <w:spacing w:val="-4"/>
                <w:sz w:val="20"/>
              </w:rPr>
              <w:t> </w:t>
            </w:r>
            <w:r>
              <w:rPr>
                <w:sz w:val="20"/>
              </w:rPr>
              <w:t>assets</w:t>
            </w:r>
            <w:r>
              <w:rPr>
                <w:spacing w:val="-5"/>
                <w:sz w:val="20"/>
              </w:rPr>
              <w:t> </w:t>
            </w:r>
            <w:r>
              <w:rPr>
                <w:sz w:val="20"/>
              </w:rPr>
              <w:t>is</w:t>
            </w:r>
            <w:r>
              <w:rPr>
                <w:spacing w:val="-5"/>
                <w:sz w:val="20"/>
              </w:rPr>
              <w:t> </w:t>
            </w:r>
            <w:r>
              <w:rPr>
                <w:sz w:val="20"/>
              </w:rPr>
              <w:t>not</w:t>
            </w:r>
            <w:r>
              <w:rPr>
                <w:spacing w:val="-4"/>
                <w:sz w:val="20"/>
              </w:rPr>
              <w:t> </w:t>
            </w:r>
            <w:r>
              <w:rPr>
                <w:spacing w:val="-2"/>
                <w:sz w:val="20"/>
              </w:rPr>
              <w:t>maintained.</w:t>
            </w:r>
          </w:p>
        </w:tc>
        <w:tc>
          <w:tcPr>
            <w:tcW w:w="3980" w:type="dxa"/>
            <w:tcBorders>
              <w:top w:val="nil"/>
              <w:bottom w:val="nil"/>
            </w:tcBorders>
          </w:tcPr>
          <w:p>
            <w:pPr>
              <w:pStyle w:val="TableParagraph"/>
              <w:spacing w:before="58"/>
              <w:ind w:left="108"/>
              <w:rPr>
                <w:sz w:val="20"/>
              </w:rPr>
            </w:pPr>
            <w:r>
              <w:rPr>
                <w:sz w:val="20"/>
              </w:rPr>
              <w:t>Potential</w:t>
            </w:r>
            <w:r>
              <w:rPr>
                <w:spacing w:val="-6"/>
                <w:sz w:val="20"/>
              </w:rPr>
              <w:t> </w:t>
            </w:r>
            <w:r>
              <w:rPr>
                <w:sz w:val="20"/>
              </w:rPr>
              <w:t>risk</w:t>
            </w:r>
            <w:r>
              <w:rPr>
                <w:spacing w:val="-8"/>
                <w:sz w:val="20"/>
              </w:rPr>
              <w:t> </w:t>
            </w:r>
            <w:r>
              <w:rPr>
                <w:spacing w:val="-5"/>
                <w:sz w:val="20"/>
              </w:rPr>
              <w:t>of:</w:t>
            </w:r>
          </w:p>
          <w:p>
            <w:pPr>
              <w:pStyle w:val="TableParagraph"/>
              <w:numPr>
                <w:ilvl w:val="0"/>
                <w:numId w:val="19"/>
              </w:numPr>
              <w:tabs>
                <w:tab w:pos="468" w:val="left" w:leader="none"/>
                <w:tab w:pos="469" w:val="left" w:leader="none"/>
                <w:tab w:pos="1300" w:val="left" w:leader="none"/>
                <w:tab w:pos="1827" w:val="left" w:leader="none"/>
                <w:tab w:pos="2357" w:val="left" w:leader="none"/>
                <w:tab w:pos="3664" w:val="left" w:leader="none"/>
              </w:tabs>
              <w:spacing w:line="237" w:lineRule="auto" w:before="181" w:after="0"/>
              <w:ind w:left="468" w:right="95" w:hanging="360"/>
              <w:jc w:val="left"/>
              <w:rPr>
                <w:sz w:val="20"/>
              </w:rPr>
            </w:pPr>
            <w:r>
              <w:rPr>
                <w:spacing w:val="-2"/>
                <w:sz w:val="20"/>
              </w:rPr>
              <w:t>assets</w:t>
            </w:r>
            <w:r>
              <w:rPr>
                <w:sz w:val="20"/>
              </w:rPr>
              <w:tab/>
            </w:r>
            <w:r>
              <w:rPr>
                <w:spacing w:val="-4"/>
                <w:sz w:val="20"/>
              </w:rPr>
              <w:t>are</w:t>
            </w:r>
            <w:r>
              <w:rPr>
                <w:sz w:val="20"/>
              </w:rPr>
              <w:tab/>
            </w:r>
            <w:r>
              <w:rPr>
                <w:spacing w:val="-4"/>
                <w:sz w:val="20"/>
              </w:rPr>
              <w:t>not</w:t>
            </w:r>
            <w:r>
              <w:rPr>
                <w:sz w:val="20"/>
              </w:rPr>
              <w:tab/>
            </w:r>
            <w:r>
              <w:rPr>
                <w:spacing w:val="-2"/>
                <w:sz w:val="20"/>
              </w:rPr>
              <w:t>identifiable</w:t>
            </w:r>
            <w:r>
              <w:rPr>
                <w:sz w:val="20"/>
              </w:rPr>
              <w:tab/>
            </w:r>
            <w:r>
              <w:rPr>
                <w:spacing w:val="-6"/>
                <w:sz w:val="20"/>
              </w:rPr>
              <w:t>o</w:t>
            </w:r>
            <w:r>
              <w:rPr>
                <w:spacing w:val="-6"/>
                <w:sz w:val="20"/>
              </w:rPr>
              <w:t>r</w:t>
            </w:r>
            <w:r>
              <w:rPr>
                <w:spacing w:val="-6"/>
                <w:sz w:val="20"/>
              </w:rPr>
              <w:t> </w:t>
            </w:r>
            <w:r>
              <w:rPr>
                <w:spacing w:val="-2"/>
                <w:sz w:val="20"/>
              </w:rPr>
              <w:t>traceable</w:t>
            </w:r>
          </w:p>
          <w:p>
            <w:pPr>
              <w:pStyle w:val="TableParagraph"/>
              <w:numPr>
                <w:ilvl w:val="0"/>
                <w:numId w:val="19"/>
              </w:numPr>
              <w:tabs>
                <w:tab w:pos="468" w:val="left" w:leader="none"/>
                <w:tab w:pos="469" w:val="left" w:leader="none"/>
                <w:tab w:pos="1645" w:val="left" w:leader="none"/>
                <w:tab w:pos="2753" w:val="left" w:leader="none"/>
                <w:tab w:pos="3165" w:val="left" w:leader="none"/>
              </w:tabs>
              <w:spacing w:line="240" w:lineRule="auto" w:before="0" w:after="0"/>
              <w:ind w:left="468" w:right="98" w:hanging="360"/>
              <w:jc w:val="left"/>
              <w:rPr>
                <w:sz w:val="20"/>
              </w:rPr>
            </w:pPr>
            <w:r>
              <w:rPr>
                <w:spacing w:val="-2"/>
                <w:sz w:val="20"/>
              </w:rPr>
              <w:t>loss/theft</w:t>
            </w:r>
            <w:r>
              <w:rPr>
                <w:sz w:val="20"/>
              </w:rPr>
              <w:tab/>
            </w:r>
            <w:r>
              <w:rPr>
                <w:spacing w:val="-2"/>
                <w:sz w:val="20"/>
              </w:rPr>
              <w:t>resulting</w:t>
            </w:r>
            <w:r>
              <w:rPr>
                <w:sz w:val="20"/>
              </w:rPr>
              <w:tab/>
            </w:r>
            <w:r>
              <w:rPr>
                <w:spacing w:val="-6"/>
                <w:sz w:val="20"/>
              </w:rPr>
              <w:t>in</w:t>
            </w:r>
            <w:r>
              <w:rPr>
                <w:sz w:val="20"/>
              </w:rPr>
              <w:tab/>
            </w:r>
            <w:r>
              <w:rPr>
                <w:spacing w:val="-2"/>
                <w:sz w:val="20"/>
              </w:rPr>
              <w:t>service</w:t>
            </w:r>
            <w:r>
              <w:rPr>
                <w:spacing w:val="-2"/>
                <w:sz w:val="20"/>
              </w:rPr>
              <w:t> disruption</w:t>
            </w:r>
          </w:p>
        </w:tc>
      </w:tr>
      <w:tr>
        <w:trPr>
          <w:trHeight w:val="482" w:hRule="atLeast"/>
        </w:trPr>
        <w:tc>
          <w:tcPr>
            <w:tcW w:w="11329" w:type="dxa"/>
            <w:gridSpan w:val="2"/>
            <w:tcBorders>
              <w:top w:val="nil"/>
              <w:bottom w:val="nil"/>
            </w:tcBorders>
            <w:shd w:val="clear" w:color="auto" w:fill="2E5395"/>
          </w:tcPr>
          <w:p>
            <w:pPr>
              <w:pStyle w:val="TableParagraph"/>
              <w:spacing w:before="58"/>
              <w:ind w:left="107"/>
              <w:rPr>
                <w:b/>
                <w:sz w:val="20"/>
              </w:rPr>
            </w:pPr>
            <w:r>
              <w:rPr>
                <w:b/>
                <w:color w:val="FFFFFF"/>
                <w:spacing w:val="-2"/>
                <w:sz w:val="20"/>
              </w:rPr>
              <w:t>Recommendations</w:t>
            </w:r>
          </w:p>
        </w:tc>
        <w:tc>
          <w:tcPr>
            <w:tcW w:w="3980" w:type="dxa"/>
            <w:tcBorders>
              <w:top w:val="nil"/>
              <w:bottom w:val="nil"/>
            </w:tcBorders>
            <w:shd w:val="clear" w:color="auto" w:fill="2E5395"/>
          </w:tcPr>
          <w:p>
            <w:pPr>
              <w:pStyle w:val="TableParagraph"/>
              <w:spacing w:before="58"/>
              <w:ind w:left="72"/>
              <w:rPr>
                <w:b/>
                <w:sz w:val="20"/>
              </w:rPr>
            </w:pPr>
            <w:r>
              <w:rPr>
                <w:b/>
                <w:color w:val="FFFFFF"/>
                <w:spacing w:val="-2"/>
                <w:sz w:val="20"/>
              </w:rPr>
              <w:t>Priority</w:t>
            </w:r>
          </w:p>
        </w:tc>
      </w:tr>
      <w:tr>
        <w:trPr>
          <w:trHeight w:val="758" w:hRule="atLeast"/>
        </w:trPr>
        <w:tc>
          <w:tcPr>
            <w:tcW w:w="11329" w:type="dxa"/>
            <w:gridSpan w:val="2"/>
            <w:tcBorders>
              <w:top w:val="nil"/>
            </w:tcBorders>
          </w:tcPr>
          <w:p>
            <w:pPr>
              <w:pStyle w:val="TableParagraph"/>
              <w:spacing w:line="278" w:lineRule="auto" w:before="58"/>
              <w:ind w:left="107"/>
              <w:rPr>
                <w:sz w:val="20"/>
              </w:rPr>
            </w:pPr>
            <w:r>
              <w:rPr>
                <w:sz w:val="20"/>
              </w:rPr>
              <w:t>2.1</w:t>
            </w:r>
            <w:r>
              <w:rPr>
                <w:spacing w:val="-10"/>
                <w:sz w:val="20"/>
              </w:rPr>
              <w:t> </w:t>
            </w:r>
            <w:r>
              <w:rPr>
                <w:sz w:val="20"/>
              </w:rPr>
              <w:t>Management</w:t>
            </w:r>
            <w:r>
              <w:rPr>
                <w:spacing w:val="-9"/>
                <w:sz w:val="20"/>
              </w:rPr>
              <w:t> </w:t>
            </w:r>
            <w:r>
              <w:rPr>
                <w:sz w:val="20"/>
              </w:rPr>
              <w:t>should</w:t>
            </w:r>
            <w:r>
              <w:rPr>
                <w:spacing w:val="-9"/>
                <w:sz w:val="20"/>
              </w:rPr>
              <w:t> </w:t>
            </w:r>
            <w:r>
              <w:rPr>
                <w:sz w:val="20"/>
              </w:rPr>
              <w:t>maintain</w:t>
            </w:r>
            <w:r>
              <w:rPr>
                <w:spacing w:val="-9"/>
                <w:sz w:val="20"/>
              </w:rPr>
              <w:t> </w:t>
            </w:r>
            <w:r>
              <w:rPr>
                <w:sz w:val="20"/>
              </w:rPr>
              <w:t>a</w:t>
            </w:r>
            <w:r>
              <w:rPr>
                <w:spacing w:val="-9"/>
                <w:sz w:val="20"/>
              </w:rPr>
              <w:t> </w:t>
            </w:r>
            <w:r>
              <w:rPr>
                <w:sz w:val="20"/>
              </w:rPr>
              <w:t>record</w:t>
            </w:r>
            <w:r>
              <w:rPr>
                <w:spacing w:val="-9"/>
                <w:sz w:val="20"/>
              </w:rPr>
              <w:t> </w:t>
            </w:r>
            <w:r>
              <w:rPr>
                <w:sz w:val="20"/>
              </w:rPr>
              <w:t>of</w:t>
            </w:r>
            <w:r>
              <w:rPr>
                <w:spacing w:val="-10"/>
                <w:sz w:val="20"/>
              </w:rPr>
              <w:t> </w:t>
            </w:r>
            <w:r>
              <w:rPr>
                <w:sz w:val="20"/>
              </w:rPr>
              <w:t>ICT</w:t>
            </w:r>
            <w:r>
              <w:rPr>
                <w:spacing w:val="-10"/>
                <w:sz w:val="20"/>
              </w:rPr>
              <w:t> </w:t>
            </w:r>
            <w:r>
              <w:rPr>
                <w:sz w:val="20"/>
              </w:rPr>
              <w:t>assets</w:t>
            </w:r>
            <w:r>
              <w:rPr>
                <w:spacing w:val="-9"/>
                <w:sz w:val="20"/>
              </w:rPr>
              <w:t> </w:t>
            </w:r>
            <w:r>
              <w:rPr>
                <w:sz w:val="20"/>
              </w:rPr>
              <w:t>identifying</w:t>
            </w:r>
            <w:r>
              <w:rPr>
                <w:spacing w:val="-9"/>
                <w:sz w:val="20"/>
              </w:rPr>
              <w:t> </w:t>
            </w:r>
            <w:r>
              <w:rPr>
                <w:sz w:val="20"/>
              </w:rPr>
              <w:t>the</w:t>
            </w:r>
            <w:r>
              <w:rPr>
                <w:spacing w:val="-11"/>
                <w:sz w:val="20"/>
              </w:rPr>
              <w:t> </w:t>
            </w:r>
            <w:r>
              <w:rPr>
                <w:sz w:val="20"/>
              </w:rPr>
              <w:t>make/model,</w:t>
            </w:r>
            <w:r>
              <w:rPr>
                <w:spacing w:val="-8"/>
                <w:sz w:val="20"/>
              </w:rPr>
              <w:t> </w:t>
            </w:r>
            <w:r>
              <w:rPr>
                <w:sz w:val="20"/>
              </w:rPr>
              <w:t>serial/asset</w:t>
            </w:r>
            <w:r>
              <w:rPr>
                <w:spacing w:val="-9"/>
                <w:sz w:val="20"/>
              </w:rPr>
              <w:t> </w:t>
            </w:r>
            <w:r>
              <w:rPr>
                <w:sz w:val="20"/>
              </w:rPr>
              <w:t>numbers</w:t>
            </w:r>
            <w:r>
              <w:rPr>
                <w:spacing w:val="-11"/>
                <w:sz w:val="20"/>
              </w:rPr>
              <w:t> </w:t>
            </w:r>
            <w:r>
              <w:rPr>
                <w:sz w:val="20"/>
              </w:rPr>
              <w:t>and </w:t>
            </w:r>
            <w:r>
              <w:rPr>
                <w:spacing w:val="-2"/>
                <w:sz w:val="20"/>
              </w:rPr>
              <w:t>location.</w:t>
            </w:r>
          </w:p>
        </w:tc>
        <w:tc>
          <w:tcPr>
            <w:tcW w:w="3980" w:type="dxa"/>
            <w:tcBorders>
              <w:top w:val="nil"/>
            </w:tcBorders>
            <w:shd w:val="clear" w:color="auto" w:fill="FFFF00"/>
          </w:tcPr>
          <w:p>
            <w:pPr>
              <w:pStyle w:val="TableParagraph"/>
              <w:spacing w:before="4"/>
              <w:rPr>
                <w:sz w:val="21"/>
              </w:rPr>
            </w:pPr>
          </w:p>
          <w:p>
            <w:pPr>
              <w:pStyle w:val="TableParagraph"/>
              <w:ind w:left="1533" w:right="1523"/>
              <w:jc w:val="center"/>
              <w:rPr>
                <w:b/>
                <w:sz w:val="20"/>
              </w:rPr>
            </w:pPr>
            <w:r>
              <w:rPr>
                <w:b/>
                <w:spacing w:val="-2"/>
                <w:sz w:val="20"/>
              </w:rPr>
              <w:t>Medium</w:t>
            </w:r>
          </w:p>
        </w:tc>
      </w:tr>
      <w:tr>
        <w:trPr>
          <w:trHeight w:val="475" w:hRule="atLeast"/>
        </w:trPr>
        <w:tc>
          <w:tcPr>
            <w:tcW w:w="9294" w:type="dxa"/>
            <w:tcBorders>
              <w:bottom w:val="nil"/>
            </w:tcBorders>
            <w:shd w:val="clear" w:color="auto" w:fill="2E5395"/>
          </w:tcPr>
          <w:p>
            <w:pPr>
              <w:pStyle w:val="TableParagraph"/>
              <w:spacing w:before="58"/>
              <w:ind w:left="107"/>
              <w:rPr>
                <w:b/>
                <w:sz w:val="20"/>
              </w:rPr>
            </w:pPr>
            <w:r>
              <w:rPr>
                <w:b/>
                <w:color w:val="FFFFFF"/>
                <w:sz w:val="20"/>
              </w:rPr>
              <w:t>Agreed</w:t>
            </w:r>
            <w:r>
              <w:rPr>
                <w:b/>
                <w:color w:val="FFFFFF"/>
                <w:spacing w:val="-14"/>
                <w:sz w:val="20"/>
              </w:rPr>
              <w:t> </w:t>
            </w:r>
            <w:r>
              <w:rPr>
                <w:b/>
                <w:color w:val="FFFFFF"/>
                <w:sz w:val="20"/>
              </w:rPr>
              <w:t>Management</w:t>
            </w:r>
            <w:r>
              <w:rPr>
                <w:b/>
                <w:color w:val="FFFFFF"/>
                <w:spacing w:val="-10"/>
                <w:sz w:val="20"/>
              </w:rPr>
              <w:t> </w:t>
            </w:r>
            <w:r>
              <w:rPr>
                <w:b/>
                <w:color w:val="FFFFFF"/>
                <w:spacing w:val="-2"/>
                <w:sz w:val="20"/>
              </w:rPr>
              <w:t>Action</w:t>
            </w:r>
          </w:p>
        </w:tc>
        <w:tc>
          <w:tcPr>
            <w:tcW w:w="2035" w:type="dxa"/>
            <w:tcBorders>
              <w:bottom w:val="nil"/>
            </w:tcBorders>
            <w:shd w:val="clear" w:color="auto" w:fill="2E5395"/>
          </w:tcPr>
          <w:p>
            <w:pPr>
              <w:pStyle w:val="TableParagraph"/>
              <w:spacing w:before="58"/>
              <w:ind w:left="7"/>
              <w:rPr>
                <w:b/>
                <w:sz w:val="20"/>
              </w:rPr>
            </w:pPr>
            <w:r>
              <w:rPr>
                <w:b/>
                <w:color w:val="FFFFFF"/>
                <w:sz w:val="20"/>
              </w:rPr>
              <w:t>Target</w:t>
            </w:r>
            <w:r>
              <w:rPr>
                <w:b/>
                <w:color w:val="FFFFFF"/>
                <w:spacing w:val="-11"/>
                <w:sz w:val="20"/>
              </w:rPr>
              <w:t> </w:t>
            </w:r>
            <w:r>
              <w:rPr>
                <w:b/>
                <w:color w:val="FFFFFF"/>
                <w:spacing w:val="-4"/>
                <w:sz w:val="20"/>
              </w:rPr>
              <w:t>Date</w:t>
            </w:r>
          </w:p>
        </w:tc>
        <w:tc>
          <w:tcPr>
            <w:tcW w:w="3980" w:type="dxa"/>
            <w:tcBorders>
              <w:bottom w:val="nil"/>
            </w:tcBorders>
            <w:shd w:val="clear" w:color="auto" w:fill="2E5395"/>
          </w:tcPr>
          <w:p>
            <w:pPr>
              <w:pStyle w:val="TableParagraph"/>
              <w:spacing w:before="58"/>
              <w:ind w:left="108"/>
              <w:rPr>
                <w:b/>
                <w:sz w:val="20"/>
              </w:rPr>
            </w:pPr>
            <w:r>
              <w:rPr>
                <w:b/>
                <w:color w:val="FFFFFF"/>
                <w:spacing w:val="-2"/>
                <w:sz w:val="20"/>
              </w:rPr>
              <w:t>Responsible</w:t>
            </w:r>
            <w:r>
              <w:rPr>
                <w:b/>
                <w:color w:val="FFFFFF"/>
                <w:spacing w:val="4"/>
                <w:sz w:val="20"/>
              </w:rPr>
              <w:t> </w:t>
            </w:r>
            <w:r>
              <w:rPr>
                <w:b/>
                <w:color w:val="FFFFFF"/>
                <w:spacing w:val="-2"/>
                <w:sz w:val="20"/>
              </w:rPr>
              <w:t>Officer</w:t>
            </w:r>
          </w:p>
        </w:tc>
      </w:tr>
      <w:tr>
        <w:trPr>
          <w:trHeight w:val="1204" w:hRule="atLeast"/>
        </w:trPr>
        <w:tc>
          <w:tcPr>
            <w:tcW w:w="9294" w:type="dxa"/>
            <w:tcBorders>
              <w:top w:val="nil"/>
            </w:tcBorders>
          </w:tcPr>
          <w:p>
            <w:pPr>
              <w:pStyle w:val="TableParagraph"/>
              <w:spacing w:line="261" w:lineRule="auto" w:before="55"/>
              <w:ind w:left="842" w:hanging="735"/>
              <w:rPr>
                <w:sz w:val="20"/>
              </w:rPr>
            </w:pPr>
            <w:r>
              <w:rPr>
                <w:sz w:val="20"/>
              </w:rPr>
              <w:t>2.1</w:t>
            </w:r>
            <w:r>
              <w:rPr>
                <w:spacing w:val="40"/>
                <w:sz w:val="20"/>
              </w:rPr>
              <w:t> </w:t>
            </w:r>
            <w:r>
              <w:rPr>
                <w:sz w:val="20"/>
              </w:rPr>
              <w:t>Management</w:t>
            </w:r>
            <w:r>
              <w:rPr>
                <w:spacing w:val="-4"/>
                <w:sz w:val="20"/>
              </w:rPr>
              <w:t> </w:t>
            </w:r>
            <w:r>
              <w:rPr>
                <w:sz w:val="20"/>
              </w:rPr>
              <w:t>agree</w:t>
            </w:r>
            <w:r>
              <w:rPr>
                <w:spacing w:val="-4"/>
                <w:sz w:val="20"/>
              </w:rPr>
              <w:t> </w:t>
            </w:r>
            <w:r>
              <w:rPr>
                <w:sz w:val="20"/>
              </w:rPr>
              <w:t>and</w:t>
            </w:r>
            <w:r>
              <w:rPr>
                <w:spacing w:val="-4"/>
                <w:sz w:val="20"/>
              </w:rPr>
              <w:t> </w:t>
            </w:r>
            <w:r>
              <w:rPr>
                <w:sz w:val="20"/>
              </w:rPr>
              <w:t>will</w:t>
            </w:r>
            <w:r>
              <w:rPr>
                <w:spacing w:val="-4"/>
                <w:sz w:val="20"/>
              </w:rPr>
              <w:t> </w:t>
            </w:r>
            <w:r>
              <w:rPr>
                <w:sz w:val="20"/>
              </w:rPr>
              <w:t>develop an</w:t>
            </w:r>
            <w:r>
              <w:rPr>
                <w:spacing w:val="-4"/>
                <w:sz w:val="20"/>
              </w:rPr>
              <w:t> </w:t>
            </w:r>
            <w:r>
              <w:rPr>
                <w:sz w:val="20"/>
              </w:rPr>
              <w:t>asset</w:t>
            </w:r>
            <w:r>
              <w:rPr>
                <w:spacing w:val="-4"/>
                <w:sz w:val="20"/>
              </w:rPr>
              <w:t> </w:t>
            </w:r>
            <w:r>
              <w:rPr>
                <w:sz w:val="20"/>
              </w:rPr>
              <w:t>register</w:t>
            </w:r>
            <w:r>
              <w:rPr>
                <w:spacing w:val="-3"/>
                <w:sz w:val="20"/>
              </w:rPr>
              <w:t> </w:t>
            </w:r>
            <w:r>
              <w:rPr>
                <w:sz w:val="20"/>
              </w:rPr>
              <w:t>containing</w:t>
            </w:r>
            <w:r>
              <w:rPr>
                <w:spacing w:val="-4"/>
                <w:sz w:val="20"/>
              </w:rPr>
              <w:t> </w:t>
            </w:r>
            <w:r>
              <w:rPr>
                <w:sz w:val="20"/>
              </w:rPr>
              <w:t>all</w:t>
            </w:r>
            <w:r>
              <w:rPr>
                <w:spacing w:val="-6"/>
                <w:sz w:val="20"/>
              </w:rPr>
              <w:t> </w:t>
            </w:r>
            <w:r>
              <w:rPr>
                <w:sz w:val="20"/>
              </w:rPr>
              <w:t>ICT</w:t>
            </w:r>
            <w:r>
              <w:rPr>
                <w:spacing w:val="-5"/>
                <w:sz w:val="20"/>
              </w:rPr>
              <w:t> </w:t>
            </w:r>
            <w:r>
              <w:rPr>
                <w:sz w:val="20"/>
              </w:rPr>
              <w:t>assets including the make/model, serial/asset numbers and location.</w:t>
            </w:r>
          </w:p>
        </w:tc>
        <w:tc>
          <w:tcPr>
            <w:tcW w:w="2035" w:type="dxa"/>
            <w:tcBorders>
              <w:top w:val="nil"/>
            </w:tcBorders>
          </w:tcPr>
          <w:p>
            <w:pPr>
              <w:pStyle w:val="TableParagraph"/>
              <w:spacing w:before="55"/>
              <w:ind w:left="7"/>
              <w:rPr>
                <w:sz w:val="20"/>
              </w:rPr>
            </w:pPr>
            <w:r>
              <w:rPr>
                <w:sz w:val="20"/>
              </w:rPr>
              <w:t>28</w:t>
            </w:r>
            <w:r>
              <w:rPr>
                <w:spacing w:val="-8"/>
                <w:sz w:val="20"/>
              </w:rPr>
              <w:t> </w:t>
            </w:r>
            <w:r>
              <w:rPr>
                <w:sz w:val="20"/>
              </w:rPr>
              <w:t>February</w:t>
            </w:r>
            <w:r>
              <w:rPr>
                <w:spacing w:val="-7"/>
                <w:sz w:val="20"/>
              </w:rPr>
              <w:t> </w:t>
            </w:r>
            <w:r>
              <w:rPr>
                <w:spacing w:val="-5"/>
                <w:sz w:val="20"/>
              </w:rPr>
              <w:t>23</w:t>
            </w:r>
          </w:p>
        </w:tc>
        <w:tc>
          <w:tcPr>
            <w:tcW w:w="3980" w:type="dxa"/>
            <w:tcBorders>
              <w:top w:val="nil"/>
            </w:tcBorders>
          </w:tcPr>
          <w:p>
            <w:pPr>
              <w:pStyle w:val="TableParagraph"/>
              <w:spacing w:line="261" w:lineRule="auto" w:before="55"/>
              <w:ind w:left="108"/>
              <w:rPr>
                <w:sz w:val="20"/>
              </w:rPr>
            </w:pPr>
            <w:r>
              <w:rPr>
                <w:sz w:val="20"/>
              </w:rPr>
              <w:t>Peter</w:t>
            </w:r>
            <w:r>
              <w:rPr>
                <w:spacing w:val="-14"/>
                <w:sz w:val="20"/>
              </w:rPr>
              <w:t> </w:t>
            </w:r>
            <w:r>
              <w:rPr>
                <w:sz w:val="20"/>
              </w:rPr>
              <w:t>White,</w:t>
            </w:r>
            <w:r>
              <w:rPr>
                <w:spacing w:val="-13"/>
                <w:sz w:val="20"/>
              </w:rPr>
              <w:t> </w:t>
            </w:r>
            <w:r>
              <w:rPr>
                <w:sz w:val="20"/>
              </w:rPr>
              <w:t>Laundry</w:t>
            </w:r>
            <w:r>
              <w:rPr>
                <w:spacing w:val="-13"/>
                <w:sz w:val="20"/>
              </w:rPr>
              <w:t> </w:t>
            </w:r>
            <w:r>
              <w:rPr>
                <w:sz w:val="20"/>
              </w:rPr>
              <w:t>Operations </w:t>
            </w:r>
            <w:r>
              <w:rPr>
                <w:spacing w:val="-2"/>
                <w:sz w:val="20"/>
              </w:rPr>
              <w:t>Manager</w:t>
            </w:r>
          </w:p>
        </w:tc>
      </w:tr>
    </w:tbl>
    <w:p>
      <w:pPr>
        <w:spacing w:after="0" w:line="261" w:lineRule="auto"/>
        <w:rPr>
          <w:sz w:val="20"/>
        </w:rPr>
        <w:sectPr>
          <w:footerReference w:type="default" r:id="rId71"/>
          <w:pgSz w:w="16840" w:h="11910" w:orient="landscape"/>
          <w:pgMar w:footer="770" w:header="0" w:top="880" w:bottom="960" w:left="600" w:right="700"/>
          <w:pgNumType w:start="10"/>
        </w:sectPr>
      </w:pPr>
    </w:p>
    <w:p>
      <w:pPr>
        <w:tabs>
          <w:tab w:pos="14061" w:val="left" w:leader="none"/>
        </w:tabs>
        <w:spacing w:before="87"/>
        <w:ind w:left="254" w:right="0" w:firstLine="0"/>
        <w:jc w:val="left"/>
        <w:rPr>
          <w:sz w:val="22"/>
        </w:rPr>
      </w:pPr>
      <w:r>
        <w:rPr>
          <w:sz w:val="22"/>
        </w:rPr>
        <w:t>Final</w:t>
      </w:r>
      <w:r>
        <w:rPr>
          <w:spacing w:val="-5"/>
          <w:sz w:val="22"/>
        </w:rPr>
        <w:t> </w:t>
      </w:r>
      <w:r>
        <w:rPr>
          <w:sz w:val="22"/>
        </w:rPr>
        <w:t>Internal</w:t>
      </w:r>
      <w:r>
        <w:rPr>
          <w:spacing w:val="-5"/>
          <w:sz w:val="22"/>
        </w:rPr>
        <w:t> </w:t>
      </w:r>
      <w:r>
        <w:rPr>
          <w:sz w:val="22"/>
        </w:rPr>
        <w:t>Audit</w:t>
      </w:r>
      <w:r>
        <w:rPr>
          <w:spacing w:val="-5"/>
          <w:sz w:val="22"/>
        </w:rPr>
        <w:t> </w:t>
      </w:r>
      <w:r>
        <w:rPr>
          <w:spacing w:val="-2"/>
          <w:sz w:val="22"/>
        </w:rPr>
        <w:t>Report</w:t>
      </w:r>
      <w:r>
        <w:rPr>
          <w:sz w:val="22"/>
        </w:rPr>
        <w:tab/>
        <w:t>Appendix</w:t>
      </w:r>
      <w:r>
        <w:rPr>
          <w:spacing w:val="-8"/>
          <w:sz w:val="22"/>
        </w:rPr>
        <w:t> </w:t>
      </w:r>
      <w:r>
        <w:rPr>
          <w:spacing w:val="-10"/>
          <w:sz w:val="22"/>
        </w:rPr>
        <w:t>A</w:t>
      </w:r>
    </w:p>
    <w:p>
      <w:pPr>
        <w:pStyle w:val="BodyText"/>
        <w:spacing w:before="4"/>
        <w:rPr>
          <w:sz w:val="20"/>
        </w:rPr>
      </w:pPr>
      <w:r>
        <w:rPr/>
        <w:pict>
          <v:shape style="position:absolute;margin-left:41.760002pt;margin-top:13.581323pt;width:759.25pt;height:1.45pt;mso-position-horizontal-relative:page;mso-position-vertical-relative:paragraph;z-index:-15685632;mso-wrap-distance-left:0;mso-wrap-distance-right:0" id="docshape177" coordorigin="835,272" coordsize="15185,29" path="m16020,272l9371,272,9357,272,9342,272,835,272,835,300,9342,300,9357,300,9371,300,16020,300,16020,272xe" filled="true" fillcolor="#000000" stroked="false">
            <v:path arrowok="t"/>
            <v:fill type="solid"/>
            <w10:wrap type="topAndBottom"/>
          </v:shape>
        </w:pict>
      </w:r>
    </w:p>
    <w:p>
      <w:pPr>
        <w:pStyle w:val="BodyText"/>
        <w:rPr>
          <w:sz w:val="20"/>
        </w:rPr>
      </w:pPr>
    </w:p>
    <w:p>
      <w:pPr>
        <w:pStyle w:val="BodyText"/>
        <w:spacing w:before="11"/>
        <w:rPr>
          <w:sz w:val="15"/>
        </w:rPr>
      </w:pPr>
    </w:p>
    <w:tbl>
      <w:tblPr>
        <w:tblW w:w="0" w:type="auto"/>
        <w:jc w:val="left"/>
        <w:tblInd w:w="115" w:type="dxa"/>
        <w:tblBorders>
          <w:top w:val="dashSmallGap" w:sz="4" w:space="0" w:color="A5A5A5"/>
          <w:left w:val="dashSmallGap" w:sz="4" w:space="0" w:color="A5A5A5"/>
          <w:bottom w:val="dashSmallGap" w:sz="4" w:space="0" w:color="A5A5A5"/>
          <w:right w:val="dashSmallGap" w:sz="4" w:space="0" w:color="A5A5A5"/>
          <w:insideH w:val="dashSmallGap" w:sz="4" w:space="0" w:color="A5A5A5"/>
          <w:insideV w:val="dashSmallGap" w:sz="4" w:space="0" w:color="A5A5A5"/>
        </w:tblBorders>
        <w:tblLayout w:type="fixed"/>
        <w:tblCellMar>
          <w:top w:w="0" w:type="dxa"/>
          <w:left w:w="0" w:type="dxa"/>
          <w:bottom w:w="0" w:type="dxa"/>
          <w:right w:w="0" w:type="dxa"/>
        </w:tblCellMar>
        <w:tblLook w:val="01E0"/>
      </w:tblPr>
      <w:tblGrid>
        <w:gridCol w:w="9294"/>
        <w:gridCol w:w="2035"/>
        <w:gridCol w:w="3980"/>
      </w:tblGrid>
      <w:tr>
        <w:trPr>
          <w:trHeight w:val="475" w:hRule="atLeast"/>
        </w:trPr>
        <w:tc>
          <w:tcPr>
            <w:tcW w:w="11329" w:type="dxa"/>
            <w:gridSpan w:val="2"/>
            <w:tcBorders>
              <w:bottom w:val="nil"/>
            </w:tcBorders>
            <w:shd w:val="clear" w:color="auto" w:fill="2E5395"/>
          </w:tcPr>
          <w:p>
            <w:pPr>
              <w:pStyle w:val="TableParagraph"/>
              <w:spacing w:before="58"/>
              <w:ind w:left="107"/>
              <w:rPr>
                <w:sz w:val="20"/>
              </w:rPr>
            </w:pPr>
            <w:r>
              <w:rPr>
                <w:b/>
                <w:color w:val="FFFFFF"/>
                <w:sz w:val="20"/>
              </w:rPr>
              <w:t>Matter</w:t>
            </w:r>
            <w:r>
              <w:rPr>
                <w:b/>
                <w:color w:val="FFFFFF"/>
                <w:spacing w:val="-6"/>
                <w:sz w:val="20"/>
              </w:rPr>
              <w:t> </w:t>
            </w:r>
            <w:r>
              <w:rPr>
                <w:b/>
                <w:color w:val="FFFFFF"/>
                <w:sz w:val="20"/>
              </w:rPr>
              <w:t>Arising</w:t>
            </w:r>
            <w:r>
              <w:rPr>
                <w:b/>
                <w:color w:val="FFFFFF"/>
                <w:spacing w:val="-6"/>
                <w:sz w:val="20"/>
              </w:rPr>
              <w:t> </w:t>
            </w:r>
            <w:r>
              <w:rPr>
                <w:b/>
                <w:color w:val="FFFFFF"/>
                <w:sz w:val="20"/>
              </w:rPr>
              <w:t>3:</w:t>
            </w:r>
            <w:r>
              <w:rPr>
                <w:b/>
                <w:color w:val="FFFFFF"/>
                <w:spacing w:val="-8"/>
                <w:sz w:val="20"/>
              </w:rPr>
              <w:t> </w:t>
            </w:r>
            <w:r>
              <w:rPr>
                <w:b/>
                <w:color w:val="FFFFFF"/>
                <w:sz w:val="20"/>
              </w:rPr>
              <w:t>Record</w:t>
            </w:r>
            <w:r>
              <w:rPr>
                <w:b/>
                <w:color w:val="FFFFFF"/>
                <w:spacing w:val="-8"/>
                <w:sz w:val="20"/>
              </w:rPr>
              <w:t> </w:t>
            </w:r>
            <w:r>
              <w:rPr>
                <w:b/>
                <w:color w:val="FFFFFF"/>
                <w:sz w:val="20"/>
              </w:rPr>
              <w:t>of</w:t>
            </w:r>
            <w:r>
              <w:rPr>
                <w:b/>
                <w:color w:val="FFFFFF"/>
                <w:spacing w:val="-6"/>
                <w:sz w:val="20"/>
              </w:rPr>
              <w:t> </w:t>
            </w:r>
            <w:r>
              <w:rPr>
                <w:b/>
                <w:color w:val="FFFFFF"/>
                <w:sz w:val="20"/>
              </w:rPr>
              <w:t>Activity</w:t>
            </w:r>
            <w:r>
              <w:rPr>
                <w:b/>
                <w:color w:val="FFFFFF"/>
                <w:spacing w:val="-5"/>
                <w:sz w:val="20"/>
              </w:rPr>
              <w:t> </w:t>
            </w:r>
            <w:r>
              <w:rPr>
                <w:color w:val="FFFFFF"/>
                <w:spacing w:val="-2"/>
                <w:sz w:val="20"/>
              </w:rPr>
              <w:t>(Design)</w:t>
            </w:r>
          </w:p>
        </w:tc>
        <w:tc>
          <w:tcPr>
            <w:tcW w:w="3980" w:type="dxa"/>
            <w:tcBorders>
              <w:bottom w:val="nil"/>
            </w:tcBorders>
            <w:shd w:val="clear" w:color="auto" w:fill="2E5395"/>
          </w:tcPr>
          <w:p>
            <w:pPr>
              <w:pStyle w:val="TableParagraph"/>
              <w:spacing w:before="58"/>
              <w:ind w:left="108"/>
              <w:rPr>
                <w:b/>
                <w:sz w:val="20"/>
              </w:rPr>
            </w:pPr>
            <w:r>
              <w:rPr>
                <w:b/>
                <w:color w:val="FFFFFF"/>
                <w:spacing w:val="-2"/>
                <w:sz w:val="20"/>
              </w:rPr>
              <w:t>Impact</w:t>
            </w:r>
          </w:p>
        </w:tc>
      </w:tr>
      <w:tr>
        <w:trPr>
          <w:trHeight w:val="1620" w:hRule="atLeast"/>
        </w:trPr>
        <w:tc>
          <w:tcPr>
            <w:tcW w:w="11329" w:type="dxa"/>
            <w:gridSpan w:val="2"/>
            <w:tcBorders>
              <w:top w:val="nil"/>
              <w:left w:val="dotted" w:sz="4" w:space="0" w:color="A5A5A5"/>
              <w:bottom w:val="nil"/>
              <w:right w:val="dotted" w:sz="4" w:space="0" w:color="A5A5A5"/>
            </w:tcBorders>
          </w:tcPr>
          <w:p>
            <w:pPr>
              <w:pStyle w:val="TableParagraph"/>
              <w:spacing w:before="55"/>
              <w:ind w:left="107" w:right="97"/>
              <w:jc w:val="both"/>
              <w:rPr>
                <w:sz w:val="20"/>
              </w:rPr>
            </w:pPr>
            <w:r>
              <w:rPr>
                <w:sz w:val="20"/>
              </w:rPr>
              <w:t>Items processed and issued are manually recorded on a spreadsheet for each site and total activity for the laundry</w:t>
            </w:r>
            <w:r>
              <w:rPr>
                <w:spacing w:val="-9"/>
                <w:sz w:val="20"/>
              </w:rPr>
              <w:t> </w:t>
            </w:r>
            <w:r>
              <w:rPr>
                <w:sz w:val="20"/>
              </w:rPr>
              <w:t>is</w:t>
            </w:r>
            <w:r>
              <w:rPr>
                <w:spacing w:val="-10"/>
                <w:sz w:val="20"/>
              </w:rPr>
              <w:t> </w:t>
            </w:r>
            <w:r>
              <w:rPr>
                <w:sz w:val="20"/>
              </w:rPr>
              <w:t>manually</w:t>
            </w:r>
            <w:r>
              <w:rPr>
                <w:spacing w:val="-9"/>
                <w:sz w:val="20"/>
              </w:rPr>
              <w:t> </w:t>
            </w:r>
            <w:r>
              <w:rPr>
                <w:sz w:val="20"/>
              </w:rPr>
              <w:t>calculated</w:t>
            </w:r>
            <w:r>
              <w:rPr>
                <w:spacing w:val="-8"/>
                <w:sz w:val="20"/>
              </w:rPr>
              <w:t> </w:t>
            </w:r>
            <w:r>
              <w:rPr>
                <w:sz w:val="20"/>
              </w:rPr>
              <w:t>and</w:t>
            </w:r>
            <w:r>
              <w:rPr>
                <w:spacing w:val="-8"/>
                <w:sz w:val="20"/>
              </w:rPr>
              <w:t> </w:t>
            </w:r>
            <w:r>
              <w:rPr>
                <w:sz w:val="20"/>
              </w:rPr>
              <w:t>entered</w:t>
            </w:r>
            <w:r>
              <w:rPr>
                <w:spacing w:val="-8"/>
                <w:sz w:val="20"/>
              </w:rPr>
              <w:t> </w:t>
            </w:r>
            <w:r>
              <w:rPr>
                <w:sz w:val="20"/>
              </w:rPr>
              <w:t>onto</w:t>
            </w:r>
            <w:r>
              <w:rPr>
                <w:spacing w:val="-8"/>
                <w:sz w:val="20"/>
              </w:rPr>
              <w:t> </w:t>
            </w:r>
            <w:r>
              <w:rPr>
                <w:sz w:val="20"/>
              </w:rPr>
              <w:t>the</w:t>
            </w:r>
            <w:r>
              <w:rPr>
                <w:spacing w:val="-10"/>
                <w:sz w:val="20"/>
              </w:rPr>
              <w:t> </w:t>
            </w:r>
            <w:r>
              <w:rPr>
                <w:sz w:val="20"/>
              </w:rPr>
              <w:t>Laundry</w:t>
            </w:r>
            <w:r>
              <w:rPr>
                <w:spacing w:val="-9"/>
                <w:sz w:val="20"/>
              </w:rPr>
              <w:t> </w:t>
            </w:r>
            <w:r>
              <w:rPr>
                <w:sz w:val="20"/>
              </w:rPr>
              <w:t>Services</w:t>
            </w:r>
            <w:r>
              <w:rPr>
                <w:spacing w:val="-7"/>
                <w:sz w:val="20"/>
              </w:rPr>
              <w:t> </w:t>
            </w:r>
            <w:r>
              <w:rPr>
                <w:sz w:val="20"/>
              </w:rPr>
              <w:t>Weekly</w:t>
            </w:r>
            <w:r>
              <w:rPr>
                <w:spacing w:val="-9"/>
                <w:sz w:val="20"/>
              </w:rPr>
              <w:t> </w:t>
            </w:r>
            <w:r>
              <w:rPr>
                <w:sz w:val="20"/>
              </w:rPr>
              <w:t>Production</w:t>
            </w:r>
            <w:r>
              <w:rPr>
                <w:spacing w:val="-8"/>
                <w:sz w:val="20"/>
              </w:rPr>
              <w:t> </w:t>
            </w:r>
            <w:r>
              <w:rPr>
                <w:sz w:val="20"/>
              </w:rPr>
              <w:t>Dashboard.</w:t>
            </w:r>
            <w:r>
              <w:rPr>
                <w:spacing w:val="-9"/>
                <w:sz w:val="20"/>
              </w:rPr>
              <w:t> </w:t>
            </w:r>
            <w:r>
              <w:rPr>
                <w:sz w:val="20"/>
              </w:rPr>
              <w:t>For</w:t>
            </w:r>
            <w:r>
              <w:rPr>
                <w:spacing w:val="-8"/>
                <w:sz w:val="20"/>
              </w:rPr>
              <w:t> </w:t>
            </w:r>
            <w:r>
              <w:rPr>
                <w:sz w:val="20"/>
              </w:rPr>
              <w:t>other sites this information can be extracted from the Benchmarker system.</w:t>
            </w:r>
            <w:r>
              <w:rPr>
                <w:spacing w:val="40"/>
                <w:sz w:val="20"/>
              </w:rPr>
              <w:t> </w:t>
            </w:r>
            <w:r>
              <w:rPr>
                <w:sz w:val="20"/>
              </w:rPr>
              <w:t>We understand that the Benchmarker system used in Green Vale and Llansamlet laundries is due to be implemented but the timescales for this are not clear.</w:t>
            </w:r>
          </w:p>
        </w:tc>
        <w:tc>
          <w:tcPr>
            <w:tcW w:w="3980" w:type="dxa"/>
            <w:tcBorders>
              <w:top w:val="nil"/>
              <w:left w:val="dotted" w:sz="4" w:space="0" w:color="A5A5A5"/>
              <w:bottom w:val="nil"/>
              <w:right w:val="dotted" w:sz="4" w:space="0" w:color="A5A5A5"/>
            </w:tcBorders>
          </w:tcPr>
          <w:p>
            <w:pPr>
              <w:pStyle w:val="TableParagraph"/>
              <w:spacing w:before="55"/>
              <w:ind w:left="108"/>
              <w:rPr>
                <w:sz w:val="20"/>
              </w:rPr>
            </w:pPr>
            <w:r>
              <w:rPr>
                <w:sz w:val="20"/>
              </w:rPr>
              <w:t>Potential</w:t>
            </w:r>
            <w:r>
              <w:rPr>
                <w:spacing w:val="-6"/>
                <w:sz w:val="20"/>
              </w:rPr>
              <w:t> </w:t>
            </w:r>
            <w:r>
              <w:rPr>
                <w:sz w:val="20"/>
              </w:rPr>
              <w:t>risk</w:t>
            </w:r>
            <w:r>
              <w:rPr>
                <w:spacing w:val="-8"/>
                <w:sz w:val="20"/>
              </w:rPr>
              <w:t> </w:t>
            </w:r>
            <w:r>
              <w:rPr>
                <w:spacing w:val="-5"/>
                <w:sz w:val="20"/>
              </w:rPr>
              <w:t>of:</w:t>
            </w:r>
          </w:p>
          <w:p>
            <w:pPr>
              <w:pStyle w:val="TableParagraph"/>
              <w:numPr>
                <w:ilvl w:val="0"/>
                <w:numId w:val="20"/>
              </w:numPr>
              <w:tabs>
                <w:tab w:pos="468" w:val="left" w:leader="none"/>
                <w:tab w:pos="469" w:val="left" w:leader="none"/>
              </w:tabs>
              <w:spacing w:line="240" w:lineRule="auto" w:before="180" w:after="0"/>
              <w:ind w:left="468" w:right="0" w:hanging="361"/>
              <w:jc w:val="left"/>
              <w:rPr>
                <w:sz w:val="20"/>
              </w:rPr>
            </w:pPr>
            <w:r>
              <w:rPr>
                <w:sz w:val="20"/>
              </w:rPr>
              <w:t>financial</w:t>
            </w:r>
            <w:r>
              <w:rPr>
                <w:spacing w:val="-9"/>
                <w:sz w:val="20"/>
              </w:rPr>
              <w:t> </w:t>
            </w:r>
            <w:r>
              <w:rPr>
                <w:spacing w:val="-2"/>
                <w:sz w:val="20"/>
              </w:rPr>
              <w:t>loss.</w:t>
            </w:r>
          </w:p>
        </w:tc>
      </w:tr>
      <w:tr>
        <w:trPr>
          <w:trHeight w:val="484" w:hRule="atLeast"/>
        </w:trPr>
        <w:tc>
          <w:tcPr>
            <w:tcW w:w="11329" w:type="dxa"/>
            <w:gridSpan w:val="2"/>
            <w:tcBorders>
              <w:top w:val="nil"/>
              <w:bottom w:val="nil"/>
            </w:tcBorders>
            <w:shd w:val="clear" w:color="auto" w:fill="2E5395"/>
          </w:tcPr>
          <w:p>
            <w:pPr>
              <w:pStyle w:val="TableParagraph"/>
              <w:spacing w:before="58"/>
              <w:ind w:left="107"/>
              <w:rPr>
                <w:b/>
                <w:sz w:val="20"/>
              </w:rPr>
            </w:pPr>
            <w:r>
              <w:rPr>
                <w:b/>
                <w:color w:val="FFFFFF"/>
                <w:spacing w:val="-2"/>
                <w:sz w:val="20"/>
              </w:rPr>
              <w:t>Recommendations</w:t>
            </w:r>
          </w:p>
        </w:tc>
        <w:tc>
          <w:tcPr>
            <w:tcW w:w="3980" w:type="dxa"/>
            <w:tcBorders>
              <w:top w:val="nil"/>
              <w:bottom w:val="nil"/>
            </w:tcBorders>
            <w:shd w:val="clear" w:color="auto" w:fill="2E5395"/>
          </w:tcPr>
          <w:p>
            <w:pPr>
              <w:pStyle w:val="TableParagraph"/>
              <w:spacing w:before="58"/>
              <w:ind w:left="72"/>
              <w:rPr>
                <w:b/>
                <w:sz w:val="20"/>
              </w:rPr>
            </w:pPr>
            <w:r>
              <w:rPr>
                <w:b/>
                <w:color w:val="FFFFFF"/>
                <w:spacing w:val="-2"/>
                <w:sz w:val="20"/>
              </w:rPr>
              <w:t>Priority</w:t>
            </w:r>
          </w:p>
        </w:tc>
      </w:tr>
      <w:tr>
        <w:trPr>
          <w:trHeight w:val="1353" w:hRule="atLeast"/>
        </w:trPr>
        <w:tc>
          <w:tcPr>
            <w:tcW w:w="11329" w:type="dxa"/>
            <w:gridSpan w:val="2"/>
            <w:tcBorders>
              <w:top w:val="nil"/>
            </w:tcBorders>
          </w:tcPr>
          <w:p>
            <w:pPr>
              <w:pStyle w:val="TableParagraph"/>
              <w:spacing w:line="276" w:lineRule="auto" w:before="58"/>
              <w:ind w:left="107" w:right="98"/>
              <w:jc w:val="both"/>
              <w:rPr>
                <w:sz w:val="20"/>
              </w:rPr>
            </w:pPr>
            <w:r>
              <w:rPr>
                <w:sz w:val="20"/>
              </w:rPr>
              <w:t>3.1 We concur with the plans to implement the Benchmarker system at Glan Clwyd Laundry and a timescale for</w:t>
            </w:r>
            <w:r>
              <w:rPr>
                <w:spacing w:val="-12"/>
                <w:sz w:val="20"/>
              </w:rPr>
              <w:t> </w:t>
            </w:r>
            <w:r>
              <w:rPr>
                <w:sz w:val="20"/>
              </w:rPr>
              <w:t>completion</w:t>
            </w:r>
            <w:r>
              <w:rPr>
                <w:spacing w:val="-12"/>
                <w:sz w:val="20"/>
              </w:rPr>
              <w:t> </w:t>
            </w:r>
            <w:r>
              <w:rPr>
                <w:sz w:val="20"/>
              </w:rPr>
              <w:t>of</w:t>
            </w:r>
            <w:r>
              <w:rPr>
                <w:spacing w:val="-14"/>
                <w:sz w:val="20"/>
              </w:rPr>
              <w:t> </w:t>
            </w:r>
            <w:r>
              <w:rPr>
                <w:sz w:val="20"/>
              </w:rPr>
              <w:t>this</w:t>
            </w:r>
            <w:r>
              <w:rPr>
                <w:spacing w:val="-14"/>
                <w:sz w:val="20"/>
              </w:rPr>
              <w:t> </w:t>
            </w:r>
            <w:r>
              <w:rPr>
                <w:sz w:val="20"/>
              </w:rPr>
              <w:t>should</w:t>
            </w:r>
            <w:r>
              <w:rPr>
                <w:spacing w:val="-15"/>
                <w:sz w:val="20"/>
              </w:rPr>
              <w:t> </w:t>
            </w:r>
            <w:r>
              <w:rPr>
                <w:sz w:val="20"/>
              </w:rPr>
              <w:t>be</w:t>
            </w:r>
            <w:r>
              <w:rPr>
                <w:spacing w:val="-14"/>
                <w:sz w:val="20"/>
              </w:rPr>
              <w:t> </w:t>
            </w:r>
            <w:r>
              <w:rPr>
                <w:sz w:val="20"/>
              </w:rPr>
              <w:t>determined.</w:t>
            </w:r>
            <w:r>
              <w:rPr>
                <w:spacing w:val="-11"/>
                <w:sz w:val="20"/>
              </w:rPr>
              <w:t> </w:t>
            </w:r>
            <w:r>
              <w:rPr>
                <w:sz w:val="20"/>
              </w:rPr>
              <w:t>This</w:t>
            </w:r>
            <w:r>
              <w:rPr>
                <w:spacing w:val="-16"/>
                <w:sz w:val="20"/>
              </w:rPr>
              <w:t> </w:t>
            </w:r>
            <w:r>
              <w:rPr>
                <w:sz w:val="20"/>
              </w:rPr>
              <w:t>will</w:t>
            </w:r>
            <w:r>
              <w:rPr>
                <w:spacing w:val="-13"/>
                <w:sz w:val="20"/>
              </w:rPr>
              <w:t> </w:t>
            </w:r>
            <w:r>
              <w:rPr>
                <w:sz w:val="20"/>
              </w:rPr>
              <w:t>achieve</w:t>
            </w:r>
            <w:r>
              <w:rPr>
                <w:spacing w:val="-14"/>
                <w:sz w:val="20"/>
              </w:rPr>
              <w:t> </w:t>
            </w:r>
            <w:r>
              <w:rPr>
                <w:sz w:val="20"/>
              </w:rPr>
              <w:t>consistency</w:t>
            </w:r>
            <w:r>
              <w:rPr>
                <w:spacing w:val="-15"/>
                <w:sz w:val="20"/>
              </w:rPr>
              <w:t> </w:t>
            </w:r>
            <w:r>
              <w:rPr>
                <w:sz w:val="20"/>
              </w:rPr>
              <w:t>across</w:t>
            </w:r>
            <w:r>
              <w:rPr>
                <w:spacing w:val="-16"/>
                <w:sz w:val="20"/>
              </w:rPr>
              <w:t> </w:t>
            </w:r>
            <w:r>
              <w:rPr>
                <w:sz w:val="20"/>
              </w:rPr>
              <w:t>the</w:t>
            </w:r>
            <w:r>
              <w:rPr>
                <w:spacing w:val="-9"/>
                <w:sz w:val="20"/>
              </w:rPr>
              <w:t> </w:t>
            </w:r>
            <w:r>
              <w:rPr>
                <w:sz w:val="20"/>
              </w:rPr>
              <w:t>service,</w:t>
            </w:r>
            <w:r>
              <w:rPr>
                <w:spacing w:val="-16"/>
                <w:sz w:val="20"/>
              </w:rPr>
              <w:t> </w:t>
            </w:r>
            <w:r>
              <w:rPr>
                <w:sz w:val="20"/>
              </w:rPr>
              <w:t>improve</w:t>
            </w:r>
            <w:r>
              <w:rPr>
                <w:spacing w:val="-14"/>
                <w:sz w:val="20"/>
              </w:rPr>
              <w:t> </w:t>
            </w:r>
            <w:r>
              <w:rPr>
                <w:sz w:val="20"/>
              </w:rPr>
              <w:t>efficiency and</w:t>
            </w:r>
            <w:r>
              <w:rPr>
                <w:spacing w:val="-10"/>
                <w:sz w:val="20"/>
              </w:rPr>
              <w:t> </w:t>
            </w:r>
            <w:r>
              <w:rPr>
                <w:sz w:val="20"/>
              </w:rPr>
              <w:t>reduce</w:t>
            </w:r>
            <w:r>
              <w:rPr>
                <w:spacing w:val="-10"/>
                <w:sz w:val="20"/>
              </w:rPr>
              <w:t> </w:t>
            </w:r>
            <w:r>
              <w:rPr>
                <w:sz w:val="20"/>
              </w:rPr>
              <w:t>the</w:t>
            </w:r>
            <w:r>
              <w:rPr>
                <w:spacing w:val="-7"/>
                <w:sz w:val="20"/>
              </w:rPr>
              <w:t> </w:t>
            </w:r>
            <w:r>
              <w:rPr>
                <w:sz w:val="20"/>
              </w:rPr>
              <w:t>risk</w:t>
            </w:r>
            <w:r>
              <w:rPr>
                <w:spacing w:val="-7"/>
                <w:sz w:val="20"/>
              </w:rPr>
              <w:t> </w:t>
            </w:r>
            <w:r>
              <w:rPr>
                <w:sz w:val="20"/>
              </w:rPr>
              <w:t>of</w:t>
            </w:r>
            <w:r>
              <w:rPr>
                <w:spacing w:val="-9"/>
                <w:sz w:val="20"/>
              </w:rPr>
              <w:t> </w:t>
            </w:r>
            <w:r>
              <w:rPr>
                <w:sz w:val="20"/>
              </w:rPr>
              <w:t>human</w:t>
            </w:r>
            <w:r>
              <w:rPr>
                <w:spacing w:val="-9"/>
                <w:sz w:val="20"/>
              </w:rPr>
              <w:t> </w:t>
            </w:r>
            <w:r>
              <w:rPr>
                <w:sz w:val="20"/>
              </w:rPr>
              <w:t>error</w:t>
            </w:r>
            <w:r>
              <w:rPr>
                <w:spacing w:val="-7"/>
                <w:sz w:val="20"/>
              </w:rPr>
              <w:t> </w:t>
            </w:r>
            <w:r>
              <w:rPr>
                <w:sz w:val="20"/>
              </w:rPr>
              <w:t>by</w:t>
            </w:r>
            <w:r>
              <w:rPr>
                <w:spacing w:val="-6"/>
                <w:sz w:val="20"/>
              </w:rPr>
              <w:t> </w:t>
            </w:r>
            <w:r>
              <w:rPr>
                <w:sz w:val="20"/>
              </w:rPr>
              <w:t>reducing</w:t>
            </w:r>
            <w:r>
              <w:rPr>
                <w:spacing w:val="-5"/>
                <w:sz w:val="20"/>
              </w:rPr>
              <w:t> </w:t>
            </w:r>
            <w:r>
              <w:rPr>
                <w:sz w:val="20"/>
              </w:rPr>
              <w:t>manual</w:t>
            </w:r>
            <w:r>
              <w:rPr>
                <w:spacing w:val="-10"/>
                <w:sz w:val="20"/>
              </w:rPr>
              <w:t> </w:t>
            </w:r>
            <w:r>
              <w:rPr>
                <w:sz w:val="20"/>
              </w:rPr>
              <w:t>intervention,</w:t>
            </w:r>
            <w:r>
              <w:rPr>
                <w:spacing w:val="-9"/>
                <w:sz w:val="20"/>
              </w:rPr>
              <w:t> </w:t>
            </w:r>
            <w:r>
              <w:rPr>
                <w:sz w:val="20"/>
              </w:rPr>
              <w:t>and</w:t>
            </w:r>
            <w:r>
              <w:rPr>
                <w:spacing w:val="-10"/>
                <w:sz w:val="20"/>
              </w:rPr>
              <w:t> </w:t>
            </w:r>
            <w:r>
              <w:rPr>
                <w:sz w:val="20"/>
              </w:rPr>
              <w:t>also</w:t>
            </w:r>
            <w:r>
              <w:rPr>
                <w:spacing w:val="-11"/>
                <w:sz w:val="20"/>
              </w:rPr>
              <w:t> </w:t>
            </w:r>
            <w:r>
              <w:rPr>
                <w:sz w:val="20"/>
              </w:rPr>
              <w:t>provide</w:t>
            </w:r>
            <w:r>
              <w:rPr>
                <w:spacing w:val="-9"/>
                <w:sz w:val="20"/>
              </w:rPr>
              <w:t> </w:t>
            </w:r>
            <w:r>
              <w:rPr>
                <w:sz w:val="20"/>
              </w:rPr>
              <w:t>a</w:t>
            </w:r>
            <w:r>
              <w:rPr>
                <w:spacing w:val="-8"/>
                <w:sz w:val="20"/>
              </w:rPr>
              <w:t> </w:t>
            </w:r>
            <w:r>
              <w:rPr>
                <w:sz w:val="20"/>
              </w:rPr>
              <w:t>more</w:t>
            </w:r>
            <w:r>
              <w:rPr>
                <w:spacing w:val="-9"/>
                <w:sz w:val="20"/>
              </w:rPr>
              <w:t> </w:t>
            </w:r>
            <w:r>
              <w:rPr>
                <w:sz w:val="20"/>
              </w:rPr>
              <w:t>robust</w:t>
            </w:r>
            <w:r>
              <w:rPr>
                <w:spacing w:val="-10"/>
                <w:sz w:val="20"/>
              </w:rPr>
              <w:t> </w:t>
            </w:r>
            <w:r>
              <w:rPr>
                <w:sz w:val="20"/>
              </w:rPr>
              <w:t>audit</w:t>
            </w:r>
            <w:r>
              <w:rPr>
                <w:spacing w:val="-10"/>
                <w:sz w:val="20"/>
              </w:rPr>
              <w:t> </w:t>
            </w:r>
            <w:r>
              <w:rPr>
                <w:sz w:val="20"/>
              </w:rPr>
              <w:t>trail of production activity.</w:t>
            </w:r>
          </w:p>
        </w:tc>
        <w:tc>
          <w:tcPr>
            <w:tcW w:w="3980" w:type="dxa"/>
            <w:tcBorders>
              <w:top w:val="nil"/>
            </w:tcBorders>
            <w:shd w:val="clear" w:color="auto" w:fill="92D050"/>
          </w:tcPr>
          <w:p>
            <w:pPr>
              <w:pStyle w:val="TableParagraph"/>
              <w:rPr>
                <w:sz w:val="24"/>
              </w:rPr>
            </w:pPr>
          </w:p>
          <w:p>
            <w:pPr>
              <w:pStyle w:val="TableParagraph"/>
              <w:spacing w:before="8"/>
              <w:rPr>
                <w:sz w:val="21"/>
              </w:rPr>
            </w:pPr>
          </w:p>
          <w:p>
            <w:pPr>
              <w:pStyle w:val="TableParagraph"/>
              <w:ind w:left="1531" w:right="1523"/>
              <w:jc w:val="center"/>
              <w:rPr>
                <w:b/>
                <w:sz w:val="20"/>
              </w:rPr>
            </w:pPr>
            <w:r>
              <w:rPr>
                <w:b/>
                <w:spacing w:val="-5"/>
                <w:sz w:val="20"/>
              </w:rPr>
              <w:t>Low</w:t>
            </w:r>
          </w:p>
        </w:tc>
      </w:tr>
      <w:tr>
        <w:trPr>
          <w:trHeight w:val="474" w:hRule="atLeast"/>
        </w:trPr>
        <w:tc>
          <w:tcPr>
            <w:tcW w:w="9294" w:type="dxa"/>
            <w:tcBorders>
              <w:bottom w:val="nil"/>
            </w:tcBorders>
            <w:shd w:val="clear" w:color="auto" w:fill="2E5395"/>
          </w:tcPr>
          <w:p>
            <w:pPr>
              <w:pStyle w:val="TableParagraph"/>
              <w:spacing w:before="58"/>
              <w:ind w:left="107"/>
              <w:rPr>
                <w:b/>
                <w:sz w:val="20"/>
              </w:rPr>
            </w:pPr>
            <w:r>
              <w:rPr>
                <w:b/>
                <w:color w:val="FFFFFF"/>
                <w:sz w:val="20"/>
              </w:rPr>
              <w:t>Agreed</w:t>
            </w:r>
            <w:r>
              <w:rPr>
                <w:b/>
                <w:color w:val="FFFFFF"/>
                <w:spacing w:val="-14"/>
                <w:sz w:val="20"/>
              </w:rPr>
              <w:t> </w:t>
            </w:r>
            <w:r>
              <w:rPr>
                <w:b/>
                <w:color w:val="FFFFFF"/>
                <w:sz w:val="20"/>
              </w:rPr>
              <w:t>Management</w:t>
            </w:r>
            <w:r>
              <w:rPr>
                <w:b/>
                <w:color w:val="FFFFFF"/>
                <w:spacing w:val="-10"/>
                <w:sz w:val="20"/>
              </w:rPr>
              <w:t> </w:t>
            </w:r>
            <w:r>
              <w:rPr>
                <w:b/>
                <w:color w:val="FFFFFF"/>
                <w:spacing w:val="-2"/>
                <w:sz w:val="20"/>
              </w:rPr>
              <w:t>Action</w:t>
            </w:r>
          </w:p>
        </w:tc>
        <w:tc>
          <w:tcPr>
            <w:tcW w:w="2035" w:type="dxa"/>
            <w:tcBorders>
              <w:bottom w:val="nil"/>
            </w:tcBorders>
            <w:shd w:val="clear" w:color="auto" w:fill="2E5395"/>
          </w:tcPr>
          <w:p>
            <w:pPr>
              <w:pStyle w:val="TableParagraph"/>
              <w:spacing w:before="58"/>
              <w:ind w:left="7"/>
              <w:rPr>
                <w:b/>
                <w:sz w:val="20"/>
              </w:rPr>
            </w:pPr>
            <w:r>
              <w:rPr>
                <w:b/>
                <w:color w:val="FFFFFF"/>
                <w:sz w:val="20"/>
              </w:rPr>
              <w:t>Target</w:t>
            </w:r>
            <w:r>
              <w:rPr>
                <w:b/>
                <w:color w:val="FFFFFF"/>
                <w:spacing w:val="-11"/>
                <w:sz w:val="20"/>
              </w:rPr>
              <w:t> </w:t>
            </w:r>
            <w:r>
              <w:rPr>
                <w:b/>
                <w:color w:val="FFFFFF"/>
                <w:spacing w:val="-4"/>
                <w:sz w:val="20"/>
              </w:rPr>
              <w:t>Date</w:t>
            </w:r>
          </w:p>
        </w:tc>
        <w:tc>
          <w:tcPr>
            <w:tcW w:w="3980" w:type="dxa"/>
            <w:tcBorders>
              <w:bottom w:val="nil"/>
            </w:tcBorders>
            <w:shd w:val="clear" w:color="auto" w:fill="2E5395"/>
          </w:tcPr>
          <w:p>
            <w:pPr>
              <w:pStyle w:val="TableParagraph"/>
              <w:spacing w:before="58"/>
              <w:ind w:left="108"/>
              <w:rPr>
                <w:b/>
                <w:sz w:val="20"/>
              </w:rPr>
            </w:pPr>
            <w:r>
              <w:rPr>
                <w:b/>
                <w:color w:val="FFFFFF"/>
                <w:spacing w:val="-2"/>
                <w:sz w:val="20"/>
              </w:rPr>
              <w:t>Responsible</w:t>
            </w:r>
            <w:r>
              <w:rPr>
                <w:b/>
                <w:color w:val="FFFFFF"/>
                <w:spacing w:val="4"/>
                <w:sz w:val="20"/>
              </w:rPr>
              <w:t> </w:t>
            </w:r>
            <w:r>
              <w:rPr>
                <w:b/>
                <w:color w:val="FFFFFF"/>
                <w:spacing w:val="-2"/>
                <w:sz w:val="20"/>
              </w:rPr>
              <w:t>Officer</w:t>
            </w:r>
          </w:p>
        </w:tc>
      </w:tr>
      <w:tr>
        <w:trPr>
          <w:trHeight w:val="1204" w:hRule="atLeast"/>
        </w:trPr>
        <w:tc>
          <w:tcPr>
            <w:tcW w:w="9294" w:type="dxa"/>
            <w:tcBorders>
              <w:top w:val="nil"/>
            </w:tcBorders>
          </w:tcPr>
          <w:p>
            <w:pPr>
              <w:pStyle w:val="TableParagraph"/>
              <w:spacing w:line="261" w:lineRule="auto" w:before="55"/>
              <w:ind w:left="842" w:hanging="735"/>
              <w:rPr>
                <w:sz w:val="20"/>
              </w:rPr>
            </w:pPr>
            <w:r>
              <w:rPr>
                <w:sz w:val="20"/>
              </w:rPr>
              <w:t>3.1</w:t>
            </w:r>
            <w:r>
              <w:rPr>
                <w:spacing w:val="40"/>
                <w:sz w:val="20"/>
              </w:rPr>
              <w:t> </w:t>
            </w:r>
            <w:r>
              <w:rPr>
                <w:sz w:val="20"/>
              </w:rPr>
              <w:t>The</w:t>
            </w:r>
            <w:r>
              <w:rPr>
                <w:spacing w:val="-5"/>
                <w:sz w:val="20"/>
              </w:rPr>
              <w:t> </w:t>
            </w:r>
            <w:r>
              <w:rPr>
                <w:sz w:val="20"/>
              </w:rPr>
              <w:t>North</w:t>
            </w:r>
            <w:r>
              <w:rPr>
                <w:spacing w:val="-2"/>
                <w:sz w:val="20"/>
              </w:rPr>
              <w:t> </w:t>
            </w:r>
            <w:r>
              <w:rPr>
                <w:sz w:val="20"/>
              </w:rPr>
              <w:t>Wales</w:t>
            </w:r>
            <w:r>
              <w:rPr>
                <w:spacing w:val="-5"/>
                <w:sz w:val="20"/>
              </w:rPr>
              <w:t> </w:t>
            </w:r>
            <w:r>
              <w:rPr>
                <w:sz w:val="20"/>
              </w:rPr>
              <w:t>LPU</w:t>
            </w:r>
            <w:r>
              <w:rPr>
                <w:spacing w:val="-4"/>
                <w:sz w:val="20"/>
              </w:rPr>
              <w:t> </w:t>
            </w:r>
            <w:r>
              <w:rPr>
                <w:sz w:val="20"/>
              </w:rPr>
              <w:t>is</w:t>
            </w:r>
            <w:r>
              <w:rPr>
                <w:spacing w:val="-5"/>
                <w:sz w:val="20"/>
              </w:rPr>
              <w:t> </w:t>
            </w:r>
            <w:r>
              <w:rPr>
                <w:sz w:val="20"/>
              </w:rPr>
              <w:t>included</w:t>
            </w:r>
            <w:r>
              <w:rPr>
                <w:spacing w:val="-3"/>
                <w:sz w:val="20"/>
              </w:rPr>
              <w:t> </w:t>
            </w:r>
            <w:r>
              <w:rPr>
                <w:sz w:val="20"/>
              </w:rPr>
              <w:t>in</w:t>
            </w:r>
            <w:r>
              <w:rPr>
                <w:spacing w:val="-2"/>
                <w:sz w:val="20"/>
              </w:rPr>
              <w:t> </w:t>
            </w:r>
            <w:r>
              <w:rPr>
                <w:sz w:val="20"/>
              </w:rPr>
              <w:t>the</w:t>
            </w:r>
            <w:r>
              <w:rPr>
                <w:spacing w:val="-3"/>
                <w:sz w:val="20"/>
              </w:rPr>
              <w:t> </w:t>
            </w:r>
            <w:r>
              <w:rPr>
                <w:sz w:val="20"/>
              </w:rPr>
              <w:t>Benchmarker</w:t>
            </w:r>
            <w:r>
              <w:rPr>
                <w:spacing w:val="-2"/>
                <w:sz w:val="20"/>
              </w:rPr>
              <w:t> </w:t>
            </w:r>
            <w:r>
              <w:rPr>
                <w:sz w:val="20"/>
              </w:rPr>
              <w:t>rollout</w:t>
            </w:r>
            <w:r>
              <w:rPr>
                <w:spacing w:val="-3"/>
                <w:sz w:val="20"/>
              </w:rPr>
              <w:t> </w:t>
            </w:r>
            <w:r>
              <w:rPr>
                <w:sz w:val="20"/>
              </w:rPr>
              <w:t>programme achieving consistency in data collection for the group</w:t>
            </w:r>
          </w:p>
        </w:tc>
        <w:tc>
          <w:tcPr>
            <w:tcW w:w="2035" w:type="dxa"/>
            <w:tcBorders>
              <w:top w:val="nil"/>
            </w:tcBorders>
          </w:tcPr>
          <w:p>
            <w:pPr>
              <w:pStyle w:val="TableParagraph"/>
              <w:spacing w:before="55"/>
              <w:ind w:left="7"/>
              <w:rPr>
                <w:sz w:val="20"/>
              </w:rPr>
            </w:pPr>
            <w:r>
              <w:rPr>
                <w:sz w:val="20"/>
              </w:rPr>
              <w:t>31</w:t>
            </w:r>
            <w:r>
              <w:rPr>
                <w:spacing w:val="-5"/>
                <w:sz w:val="20"/>
              </w:rPr>
              <w:t> </w:t>
            </w:r>
            <w:r>
              <w:rPr>
                <w:sz w:val="20"/>
              </w:rPr>
              <w:t>March</w:t>
            </w:r>
            <w:r>
              <w:rPr>
                <w:spacing w:val="-4"/>
                <w:sz w:val="20"/>
              </w:rPr>
              <w:t> </w:t>
            </w:r>
            <w:r>
              <w:rPr>
                <w:spacing w:val="-5"/>
                <w:sz w:val="20"/>
              </w:rPr>
              <w:t>23</w:t>
            </w:r>
          </w:p>
        </w:tc>
        <w:tc>
          <w:tcPr>
            <w:tcW w:w="3980" w:type="dxa"/>
            <w:tcBorders>
              <w:top w:val="nil"/>
            </w:tcBorders>
          </w:tcPr>
          <w:p>
            <w:pPr>
              <w:pStyle w:val="TableParagraph"/>
              <w:spacing w:before="55"/>
              <w:ind w:left="108"/>
              <w:rPr>
                <w:sz w:val="20"/>
              </w:rPr>
            </w:pPr>
            <w:r>
              <w:rPr>
                <w:sz w:val="20"/>
              </w:rPr>
              <w:t>Ollie</w:t>
            </w:r>
            <w:r>
              <w:rPr>
                <w:spacing w:val="-8"/>
                <w:sz w:val="20"/>
              </w:rPr>
              <w:t> </w:t>
            </w:r>
            <w:r>
              <w:rPr>
                <w:sz w:val="20"/>
              </w:rPr>
              <w:t>Rix,</w:t>
            </w:r>
            <w:r>
              <w:rPr>
                <w:spacing w:val="-7"/>
                <w:sz w:val="20"/>
              </w:rPr>
              <w:t> </w:t>
            </w:r>
            <w:r>
              <w:rPr>
                <w:sz w:val="20"/>
              </w:rPr>
              <w:t>Business</w:t>
            </w:r>
            <w:r>
              <w:rPr>
                <w:spacing w:val="-6"/>
                <w:sz w:val="20"/>
              </w:rPr>
              <w:t> </w:t>
            </w:r>
            <w:r>
              <w:rPr>
                <w:spacing w:val="-2"/>
                <w:sz w:val="20"/>
              </w:rPr>
              <w:t>Manager</w:t>
            </w:r>
          </w:p>
        </w:tc>
      </w:tr>
    </w:tbl>
    <w:p>
      <w:pPr>
        <w:spacing w:after="0"/>
        <w:rPr>
          <w:sz w:val="20"/>
        </w:rPr>
        <w:sectPr>
          <w:pgSz w:w="16840" w:h="11910" w:orient="landscape"/>
          <w:pgMar w:header="0" w:footer="770" w:top="880" w:bottom="960" w:left="600" w:right="700"/>
        </w:sectPr>
      </w:pPr>
    </w:p>
    <w:p>
      <w:pPr>
        <w:tabs>
          <w:tab w:pos="9844" w:val="left" w:leader="none"/>
        </w:tabs>
        <w:spacing w:before="75"/>
        <w:ind w:left="566" w:right="0" w:firstLine="0"/>
        <w:jc w:val="left"/>
        <w:rPr>
          <w:sz w:val="22"/>
        </w:rPr>
      </w:pPr>
      <w:r>
        <w:rPr>
          <w:sz w:val="22"/>
        </w:rPr>
        <w:t>Final</w:t>
      </w:r>
      <w:r>
        <w:rPr>
          <w:spacing w:val="-5"/>
          <w:sz w:val="22"/>
        </w:rPr>
        <w:t> </w:t>
      </w:r>
      <w:r>
        <w:rPr>
          <w:sz w:val="22"/>
        </w:rPr>
        <w:t>Internal</w:t>
      </w:r>
      <w:r>
        <w:rPr>
          <w:spacing w:val="-5"/>
          <w:sz w:val="22"/>
        </w:rPr>
        <w:t> </w:t>
      </w:r>
      <w:r>
        <w:rPr>
          <w:sz w:val="22"/>
        </w:rPr>
        <w:t>Audit</w:t>
      </w:r>
      <w:r>
        <w:rPr>
          <w:spacing w:val="-5"/>
          <w:sz w:val="22"/>
        </w:rPr>
        <w:t> </w:t>
      </w:r>
      <w:r>
        <w:rPr>
          <w:spacing w:val="-2"/>
          <w:sz w:val="22"/>
        </w:rPr>
        <w:t>Report</w:t>
      </w:r>
      <w:r>
        <w:rPr>
          <w:sz w:val="22"/>
        </w:rPr>
        <w:tab/>
        <w:t>Appendix</w:t>
      </w:r>
      <w:r>
        <w:rPr>
          <w:spacing w:val="-8"/>
          <w:sz w:val="22"/>
        </w:rPr>
        <w:t> </w:t>
      </w:r>
      <w:r>
        <w:rPr>
          <w:spacing w:val="-10"/>
          <w:sz w:val="22"/>
        </w:rPr>
        <w:t>B</w:t>
      </w:r>
    </w:p>
    <w:p>
      <w:pPr>
        <w:pStyle w:val="BodyText"/>
        <w:spacing w:before="4"/>
        <w:rPr>
          <w:sz w:val="20"/>
        </w:rPr>
      </w:pPr>
      <w:r>
        <w:rPr/>
        <w:pict>
          <v:shape style="position:absolute;margin-left:27.6pt;margin-top:13.561312pt;width:532.450pt;height:1.45pt;mso-position-horizontal-relative:page;mso-position-vertical-relative:paragraph;z-index:-15685120;mso-wrap-distance-left:0;mso-wrap-distance-right:0" id="docshape180" coordorigin="552,271" coordsize="10649,29" path="m11200,271l6529,271,6515,271,6500,271,552,271,552,300,6500,300,6515,300,6529,300,11200,300,11200,271xe" filled="true" fillcolor="#000000" stroked="false">
            <v:path arrowok="t"/>
            <v:fill type="solid"/>
            <w10:wrap type="topAndBottom"/>
          </v:shape>
        </w:pict>
      </w:r>
    </w:p>
    <w:p>
      <w:pPr>
        <w:pStyle w:val="BodyText"/>
        <w:spacing w:before="11"/>
        <w:rPr>
          <w:sz w:val="27"/>
        </w:rPr>
      </w:pPr>
    </w:p>
    <w:p>
      <w:pPr>
        <w:pStyle w:val="Heading4"/>
        <w:spacing w:before="101"/>
        <w:ind w:left="566"/>
      </w:pPr>
      <w:bookmarkStart w:name="_bookmark9" w:id="52"/>
      <w:bookmarkEnd w:id="52"/>
      <w:r>
        <w:rPr/>
      </w:r>
      <w:r>
        <w:rPr>
          <w:color w:val="3C5A8B"/>
        </w:rPr>
        <w:t>Appendix</w:t>
      </w:r>
      <w:r>
        <w:rPr>
          <w:color w:val="3C5A8B"/>
          <w:spacing w:val="-1"/>
        </w:rPr>
        <w:t> </w:t>
      </w:r>
      <w:r>
        <w:rPr>
          <w:color w:val="3C5A8B"/>
        </w:rPr>
        <w:t>B:</w:t>
      </w:r>
      <w:r>
        <w:rPr>
          <w:color w:val="3C5A8B"/>
          <w:spacing w:val="1"/>
        </w:rPr>
        <w:t> </w:t>
      </w:r>
      <w:r>
        <w:rPr>
          <w:color w:val="3C5A8B"/>
        </w:rPr>
        <w:t>Assurance</w:t>
      </w:r>
      <w:r>
        <w:rPr>
          <w:color w:val="3C5A8B"/>
          <w:spacing w:val="-3"/>
        </w:rPr>
        <w:t> </w:t>
      </w:r>
      <w:r>
        <w:rPr>
          <w:color w:val="3C5A8B"/>
        </w:rPr>
        <w:t>opinion</w:t>
      </w:r>
      <w:r>
        <w:rPr>
          <w:color w:val="3C5A8B"/>
          <w:spacing w:val="-1"/>
        </w:rPr>
        <w:t> </w:t>
      </w:r>
      <w:r>
        <w:rPr>
          <w:color w:val="3C5A8B"/>
        </w:rPr>
        <w:t>and</w:t>
      </w:r>
      <w:r>
        <w:rPr>
          <w:color w:val="3C5A8B"/>
          <w:spacing w:val="-1"/>
        </w:rPr>
        <w:t> </w:t>
      </w:r>
      <w:r>
        <w:rPr>
          <w:color w:val="3C5A8B"/>
        </w:rPr>
        <w:t>action</w:t>
      </w:r>
      <w:r>
        <w:rPr>
          <w:color w:val="3C5A8B"/>
          <w:spacing w:val="-1"/>
        </w:rPr>
        <w:t> </w:t>
      </w:r>
      <w:r>
        <w:rPr>
          <w:color w:val="3C5A8B"/>
        </w:rPr>
        <w:t>plan</w:t>
      </w:r>
      <w:r>
        <w:rPr>
          <w:color w:val="3C5A8B"/>
          <w:spacing w:val="-1"/>
        </w:rPr>
        <w:t> </w:t>
      </w:r>
      <w:r>
        <w:rPr>
          <w:color w:val="3C5A8B"/>
        </w:rPr>
        <w:t>risk</w:t>
      </w:r>
      <w:r>
        <w:rPr>
          <w:color w:val="3C5A8B"/>
          <w:spacing w:val="-1"/>
        </w:rPr>
        <w:t> </w:t>
      </w:r>
      <w:r>
        <w:rPr>
          <w:color w:val="3C5A8B"/>
          <w:spacing w:val="-2"/>
        </w:rPr>
        <w:t>rating</w:t>
      </w:r>
    </w:p>
    <w:p>
      <w:pPr>
        <w:pStyle w:val="Heading8"/>
        <w:spacing w:before="154"/>
        <w:rPr>
          <w:rFonts w:ascii="Verdana"/>
        </w:rPr>
      </w:pPr>
      <w:r>
        <w:rPr>
          <w:rFonts w:ascii="Verdana"/>
          <w:color w:val="3C5A8B"/>
        </w:rPr>
        <w:t>Audit</w:t>
      </w:r>
      <w:r>
        <w:rPr>
          <w:rFonts w:ascii="Verdana"/>
          <w:color w:val="3C5A8B"/>
          <w:spacing w:val="-5"/>
        </w:rPr>
        <w:t> </w:t>
      </w:r>
      <w:r>
        <w:rPr>
          <w:rFonts w:ascii="Verdana"/>
          <w:color w:val="3C5A8B"/>
        </w:rPr>
        <w:t>Assurance</w:t>
      </w:r>
      <w:r>
        <w:rPr>
          <w:rFonts w:ascii="Verdana"/>
          <w:color w:val="3C5A8B"/>
          <w:spacing w:val="-5"/>
        </w:rPr>
        <w:t> </w:t>
      </w:r>
      <w:r>
        <w:rPr>
          <w:rFonts w:ascii="Verdana"/>
          <w:color w:val="3C5A8B"/>
          <w:spacing w:val="-2"/>
        </w:rPr>
        <w:t>Ratings</w:t>
      </w:r>
    </w:p>
    <w:p>
      <w:pPr>
        <w:spacing w:line="259" w:lineRule="auto" w:before="145"/>
        <w:ind w:left="566" w:right="617" w:firstLine="0"/>
        <w:jc w:val="left"/>
        <w:rPr>
          <w:sz w:val="20"/>
        </w:rPr>
      </w:pPr>
      <w:r>
        <w:rPr>
          <w:sz w:val="20"/>
        </w:rPr>
        <w:t>We</w:t>
      </w:r>
      <w:r>
        <w:rPr>
          <w:spacing w:val="-8"/>
          <w:sz w:val="20"/>
        </w:rPr>
        <w:t> </w:t>
      </w:r>
      <w:r>
        <w:rPr>
          <w:sz w:val="20"/>
        </w:rPr>
        <w:t>define</w:t>
      </w:r>
      <w:r>
        <w:rPr>
          <w:spacing w:val="-8"/>
          <w:sz w:val="20"/>
        </w:rPr>
        <w:t> </w:t>
      </w:r>
      <w:r>
        <w:rPr>
          <w:sz w:val="20"/>
        </w:rPr>
        <w:t>the</w:t>
      </w:r>
      <w:r>
        <w:rPr>
          <w:spacing w:val="-8"/>
          <w:sz w:val="20"/>
        </w:rPr>
        <w:t> </w:t>
      </w:r>
      <w:r>
        <w:rPr>
          <w:sz w:val="20"/>
        </w:rPr>
        <w:t>following</w:t>
      </w:r>
      <w:r>
        <w:rPr>
          <w:spacing w:val="-3"/>
          <w:sz w:val="20"/>
        </w:rPr>
        <w:t> </w:t>
      </w:r>
      <w:r>
        <w:rPr>
          <w:sz w:val="20"/>
        </w:rPr>
        <w:t>levels</w:t>
      </w:r>
      <w:r>
        <w:rPr>
          <w:spacing w:val="-5"/>
          <w:sz w:val="20"/>
        </w:rPr>
        <w:t> </w:t>
      </w:r>
      <w:r>
        <w:rPr>
          <w:sz w:val="20"/>
        </w:rPr>
        <w:t>of</w:t>
      </w:r>
      <w:r>
        <w:rPr>
          <w:spacing w:val="-7"/>
          <w:sz w:val="20"/>
        </w:rPr>
        <w:t> </w:t>
      </w:r>
      <w:r>
        <w:rPr>
          <w:sz w:val="20"/>
        </w:rPr>
        <w:t>assurance</w:t>
      </w:r>
      <w:r>
        <w:rPr>
          <w:spacing w:val="-8"/>
          <w:sz w:val="20"/>
        </w:rPr>
        <w:t> </w:t>
      </w:r>
      <w:r>
        <w:rPr>
          <w:sz w:val="20"/>
        </w:rPr>
        <w:t>that</w:t>
      </w:r>
      <w:r>
        <w:rPr>
          <w:spacing w:val="-3"/>
          <w:sz w:val="20"/>
        </w:rPr>
        <w:t> </w:t>
      </w:r>
      <w:r>
        <w:rPr>
          <w:sz w:val="20"/>
        </w:rPr>
        <w:t>governance,</w:t>
      </w:r>
      <w:r>
        <w:rPr>
          <w:spacing w:val="-5"/>
          <w:sz w:val="20"/>
        </w:rPr>
        <w:t> </w:t>
      </w:r>
      <w:r>
        <w:rPr>
          <w:sz w:val="20"/>
        </w:rPr>
        <w:t>risk</w:t>
      </w:r>
      <w:r>
        <w:rPr>
          <w:spacing w:val="-8"/>
          <w:sz w:val="20"/>
        </w:rPr>
        <w:t> </w:t>
      </w:r>
      <w:r>
        <w:rPr>
          <w:sz w:val="20"/>
        </w:rPr>
        <w:t>management</w:t>
      </w:r>
      <w:r>
        <w:rPr>
          <w:spacing w:val="-6"/>
          <w:sz w:val="20"/>
        </w:rPr>
        <w:t> </w:t>
      </w:r>
      <w:r>
        <w:rPr>
          <w:sz w:val="20"/>
        </w:rPr>
        <w:t>and</w:t>
      </w:r>
      <w:r>
        <w:rPr>
          <w:spacing w:val="-6"/>
          <w:sz w:val="20"/>
        </w:rPr>
        <w:t> </w:t>
      </w:r>
      <w:r>
        <w:rPr>
          <w:sz w:val="20"/>
        </w:rPr>
        <w:t>internal</w:t>
      </w:r>
      <w:r>
        <w:rPr>
          <w:spacing w:val="-6"/>
          <w:sz w:val="20"/>
        </w:rPr>
        <w:t> </w:t>
      </w:r>
      <w:r>
        <w:rPr>
          <w:sz w:val="20"/>
        </w:rPr>
        <w:t>control</w:t>
      </w:r>
      <w:r>
        <w:rPr>
          <w:spacing w:val="-6"/>
          <w:sz w:val="20"/>
        </w:rPr>
        <w:t> </w:t>
      </w:r>
      <w:r>
        <w:rPr>
          <w:sz w:val="20"/>
        </w:rPr>
        <w:t>within the area under review are suitable designed and applied effectively:</w:t>
      </w:r>
    </w:p>
    <w:p>
      <w:pPr>
        <w:pStyle w:val="BodyText"/>
        <w:spacing w:before="6"/>
        <w:rPr>
          <w:sz w:val="9"/>
        </w:rPr>
      </w:pPr>
    </w:p>
    <w:p>
      <w:pPr>
        <w:spacing w:after="0"/>
        <w:rPr>
          <w:sz w:val="9"/>
        </w:rPr>
        <w:sectPr>
          <w:footerReference w:type="default" r:id="rId72"/>
          <w:pgSz w:w="11910" w:h="16840"/>
          <w:pgMar w:footer="125" w:header="0" w:top="880" w:bottom="320" w:left="0" w:right="0"/>
        </w:sectPr>
      </w:pPr>
    </w:p>
    <w:p>
      <w:pPr>
        <w:spacing w:before="226"/>
        <w:ind w:left="2390" w:right="0" w:firstLine="0"/>
        <w:jc w:val="left"/>
        <w:rPr>
          <w:b/>
          <w:sz w:val="22"/>
        </w:rPr>
      </w:pPr>
      <w:r>
        <w:rPr>
          <w:b/>
          <w:color w:val="3C5A8B"/>
          <w:spacing w:val="-2"/>
          <w:sz w:val="22"/>
        </w:rPr>
        <w:t>Substantial assurance</w:t>
      </w:r>
    </w:p>
    <w:p>
      <w:pPr>
        <w:pStyle w:val="BodyText"/>
        <w:spacing w:before="9"/>
        <w:rPr>
          <w:b/>
          <w:sz w:val="35"/>
        </w:rPr>
      </w:pPr>
    </w:p>
    <w:p>
      <w:pPr>
        <w:spacing w:before="0"/>
        <w:ind w:left="2390" w:right="0" w:firstLine="0"/>
        <w:jc w:val="left"/>
        <w:rPr>
          <w:b/>
          <w:sz w:val="22"/>
        </w:rPr>
      </w:pPr>
      <w:r>
        <w:rPr>
          <w:b/>
          <w:color w:val="3C5A8B"/>
          <w:spacing w:val="-2"/>
          <w:sz w:val="22"/>
        </w:rPr>
        <w:t>Reasonable assurance</w:t>
      </w:r>
    </w:p>
    <w:p>
      <w:pPr>
        <w:spacing w:before="99"/>
        <w:ind w:left="531" w:right="339" w:firstLine="0"/>
        <w:jc w:val="left"/>
        <w:rPr>
          <w:sz w:val="20"/>
        </w:rPr>
      </w:pPr>
      <w:r>
        <w:rPr/>
        <w:br w:type="column"/>
      </w:r>
      <w:r>
        <w:rPr>
          <w:sz w:val="20"/>
        </w:rPr>
        <w:t>Few matters require attention and are compliance or advisory in </w:t>
      </w:r>
      <w:r>
        <w:rPr>
          <w:spacing w:val="-2"/>
          <w:sz w:val="20"/>
        </w:rPr>
        <w:t>nature.</w:t>
      </w:r>
    </w:p>
    <w:p>
      <w:pPr>
        <w:spacing w:before="61"/>
        <w:ind w:left="531" w:right="0" w:firstLine="0"/>
        <w:jc w:val="left"/>
        <w:rPr>
          <w:sz w:val="20"/>
        </w:rPr>
      </w:pPr>
      <w:r>
        <w:rPr/>
        <w:pict>
          <v:group style="position:absolute;margin-left:28.32pt;margin-top:-29.136305pt;width:531.7pt;height:194.55pt;mso-position-horizontal-relative:page;mso-position-vertical-relative:paragraph;z-index:-24146432" id="docshapegroup181" coordorigin="566,-583" coordsize="10634,3891">
            <v:shape style="position:absolute;left:566;top:-583;width:10634;height:982" id="docshape182" coordorigin="566,-583" coordsize="10634,982" path="m4280,389l2292,389,2283,389,2283,389,566,389,566,399,2283,399,2283,399,2292,399,4280,399,4280,389xm4280,-583l2292,-583,2283,-583,2283,-583,566,-583,566,-573,2283,-573,2283,-573,2292,-573,4280,-573,4280,-583xm11200,389l4290,389,4280,389,4280,399,4290,399,11200,399,11200,389xm11200,-583l4290,-583,4280,-583,4280,-573,4290,-573,11200,-573,11200,-583xe" filled="true" fillcolor="#000000" stroked="false">
              <v:path arrowok="t"/>
              <v:fill type="solid"/>
            </v:shape>
            <v:shape style="position:absolute;left:675;top:-513;width:1499;height:839" type="#_x0000_t75" id="docshape183" stroked="false">
              <v:imagedata r:id="rId73" o:title=""/>
            </v:shape>
            <v:shape style="position:absolute;left:566;top:1363;width:10634;height:2" id="docshape184" coordorigin="566,1364" coordsize="10634,0" path="m566,1364l2283,1364m2283,1364l2292,1364m2292,1364l4280,1364m4280,1364l4290,1364m4290,1364l11200,1364e" filled="false" stroked="true" strokeweight=".48pt" strokecolor="#000000">
              <v:path arrowok="t"/>
              <v:stroke dashstyle="shortdash"/>
            </v:shape>
            <v:shape style="position:absolute;left:675;top:457;width:1499;height:839" type="#_x0000_t75" id="docshape185" stroked="false">
              <v:imagedata r:id="rId39" o:title=""/>
            </v:shape>
            <v:shape style="position:absolute;left:566;top:2333;width:10634;height:2" id="docshape186" coordorigin="566,2334" coordsize="10634,0" path="m566,2334l2283,2334m2283,2334l2292,2334m2292,2334l4280,2334m4280,2334l4290,2334m4290,2334l11200,2334e" filled="false" stroked="true" strokeweight=".48pt" strokecolor="#000000">
              <v:path arrowok="t"/>
              <v:stroke dashstyle="shortdash"/>
            </v:shape>
            <v:shape style="position:absolute;left:675;top:1427;width:1499;height:839" type="#_x0000_t75" id="docshape187" stroked="false">
              <v:imagedata r:id="rId74" o:title=""/>
            </v:shape>
            <v:shape style="position:absolute;left:566;top:3303;width:10634;height:2" id="docshape188" coordorigin="566,3303" coordsize="10634,0" path="m566,3303l2283,3303m2283,3303l2292,3303m2292,3303l4280,3303m4280,3303l4290,3303m4290,3303l11200,3303e" filled="false" stroked="true" strokeweight=".48pt" strokecolor="#000000">
              <v:path arrowok="t"/>
              <v:stroke dashstyle="shortdash"/>
            </v:shape>
            <v:shape style="position:absolute;left:675;top:2397;width:1499;height:839" type="#_x0000_t75" id="docshape189" stroked="false">
              <v:imagedata r:id="rId75" o:title=""/>
            </v:shape>
            <w10:wrap type="none"/>
          </v:group>
        </w:pict>
      </w:r>
      <w:r>
        <w:rPr>
          <w:b/>
          <w:color w:val="3C5A8B"/>
          <w:sz w:val="20"/>
        </w:rPr>
        <w:t>Low</w:t>
      </w:r>
      <w:r>
        <w:rPr>
          <w:b/>
          <w:color w:val="3C5A8B"/>
          <w:spacing w:val="-7"/>
          <w:sz w:val="20"/>
        </w:rPr>
        <w:t> </w:t>
      </w:r>
      <w:r>
        <w:rPr>
          <w:b/>
          <w:color w:val="3C5A8B"/>
          <w:sz w:val="20"/>
        </w:rPr>
        <w:t>impact</w:t>
      </w:r>
      <w:r>
        <w:rPr>
          <w:b/>
          <w:color w:val="3C5A8B"/>
          <w:spacing w:val="-2"/>
          <w:sz w:val="20"/>
        </w:rPr>
        <w:t> </w:t>
      </w:r>
      <w:r>
        <w:rPr>
          <w:sz w:val="20"/>
        </w:rPr>
        <w:t>on</w:t>
      </w:r>
      <w:r>
        <w:rPr>
          <w:spacing w:val="-4"/>
          <w:sz w:val="20"/>
        </w:rPr>
        <w:t> </w:t>
      </w:r>
      <w:r>
        <w:rPr>
          <w:sz w:val="20"/>
        </w:rPr>
        <w:t>residual</w:t>
      </w:r>
      <w:r>
        <w:rPr>
          <w:spacing w:val="-7"/>
          <w:sz w:val="20"/>
        </w:rPr>
        <w:t> </w:t>
      </w:r>
      <w:r>
        <w:rPr>
          <w:sz w:val="20"/>
        </w:rPr>
        <w:t>risk</w:t>
      </w:r>
      <w:r>
        <w:rPr>
          <w:spacing w:val="-6"/>
          <w:sz w:val="20"/>
        </w:rPr>
        <w:t> </w:t>
      </w:r>
      <w:r>
        <w:rPr>
          <w:spacing w:val="-2"/>
          <w:sz w:val="20"/>
        </w:rPr>
        <w:t>exposure.</w:t>
      </w:r>
    </w:p>
    <w:p>
      <w:pPr>
        <w:spacing w:before="180"/>
        <w:ind w:left="531" w:right="339" w:firstLine="0"/>
        <w:jc w:val="left"/>
        <w:rPr>
          <w:sz w:val="20"/>
        </w:rPr>
      </w:pPr>
      <w:r>
        <w:rPr>
          <w:sz w:val="20"/>
        </w:rPr>
        <w:t>Some matters require management attention in control design or </w:t>
      </w:r>
      <w:r>
        <w:rPr>
          <w:spacing w:val="-2"/>
          <w:sz w:val="20"/>
        </w:rPr>
        <w:t>compliance.</w:t>
      </w:r>
    </w:p>
    <w:p>
      <w:pPr>
        <w:spacing w:before="61"/>
        <w:ind w:left="531" w:right="0" w:firstLine="0"/>
        <w:jc w:val="left"/>
        <w:rPr>
          <w:sz w:val="20"/>
        </w:rPr>
      </w:pPr>
      <w:r>
        <w:rPr>
          <w:b/>
          <w:color w:val="3C5A8B"/>
          <w:spacing w:val="-2"/>
          <w:sz w:val="20"/>
        </w:rPr>
        <w:t>Low</w:t>
      </w:r>
      <w:r>
        <w:rPr>
          <w:b/>
          <w:color w:val="3C5A8B"/>
          <w:spacing w:val="-13"/>
          <w:sz w:val="20"/>
        </w:rPr>
        <w:t> </w:t>
      </w:r>
      <w:r>
        <w:rPr>
          <w:b/>
          <w:color w:val="3C5A8B"/>
          <w:spacing w:val="-2"/>
          <w:sz w:val="20"/>
        </w:rPr>
        <w:t>to</w:t>
      </w:r>
      <w:r>
        <w:rPr>
          <w:b/>
          <w:color w:val="3C5A8B"/>
          <w:spacing w:val="-12"/>
          <w:sz w:val="20"/>
        </w:rPr>
        <w:t> </w:t>
      </w:r>
      <w:r>
        <w:rPr>
          <w:b/>
          <w:color w:val="3C5A8B"/>
          <w:spacing w:val="-2"/>
          <w:sz w:val="20"/>
        </w:rPr>
        <w:t>moderate</w:t>
      </w:r>
      <w:r>
        <w:rPr>
          <w:b/>
          <w:color w:val="3C5A8B"/>
          <w:spacing w:val="-9"/>
          <w:sz w:val="20"/>
        </w:rPr>
        <w:t> </w:t>
      </w:r>
      <w:r>
        <w:rPr>
          <w:b/>
          <w:color w:val="3C5A8B"/>
          <w:spacing w:val="-2"/>
          <w:sz w:val="20"/>
        </w:rPr>
        <w:t>impact</w:t>
      </w:r>
      <w:r>
        <w:rPr>
          <w:b/>
          <w:color w:val="3C5A8B"/>
          <w:spacing w:val="-6"/>
          <w:sz w:val="20"/>
        </w:rPr>
        <w:t> </w:t>
      </w:r>
      <w:r>
        <w:rPr>
          <w:spacing w:val="-2"/>
          <w:sz w:val="20"/>
        </w:rPr>
        <w:t>on</w:t>
      </w:r>
      <w:r>
        <w:rPr>
          <w:spacing w:val="-10"/>
          <w:sz w:val="20"/>
        </w:rPr>
        <w:t> </w:t>
      </w:r>
      <w:r>
        <w:rPr>
          <w:spacing w:val="-2"/>
          <w:sz w:val="20"/>
        </w:rPr>
        <w:t>residual</w:t>
      </w:r>
      <w:r>
        <w:rPr>
          <w:spacing w:val="-11"/>
          <w:sz w:val="20"/>
        </w:rPr>
        <w:t> </w:t>
      </w:r>
      <w:r>
        <w:rPr>
          <w:spacing w:val="-2"/>
          <w:sz w:val="20"/>
        </w:rPr>
        <w:t>risk</w:t>
      </w:r>
      <w:r>
        <w:rPr>
          <w:spacing w:val="-8"/>
          <w:sz w:val="20"/>
        </w:rPr>
        <w:t> </w:t>
      </w:r>
      <w:r>
        <w:rPr>
          <w:spacing w:val="-2"/>
          <w:sz w:val="20"/>
        </w:rPr>
        <w:t>exposure</w:t>
      </w:r>
      <w:r>
        <w:rPr>
          <w:spacing w:val="-10"/>
          <w:sz w:val="20"/>
        </w:rPr>
        <w:t> </w:t>
      </w:r>
      <w:r>
        <w:rPr>
          <w:spacing w:val="-2"/>
          <w:sz w:val="20"/>
        </w:rPr>
        <w:t>until</w:t>
      </w:r>
      <w:r>
        <w:rPr>
          <w:spacing w:val="-10"/>
          <w:sz w:val="20"/>
        </w:rPr>
        <w:t> </w:t>
      </w:r>
      <w:r>
        <w:rPr>
          <w:spacing w:val="-2"/>
          <w:sz w:val="20"/>
        </w:rPr>
        <w:t>resolved.</w:t>
      </w:r>
    </w:p>
    <w:p>
      <w:pPr>
        <w:spacing w:after="0"/>
        <w:jc w:val="left"/>
        <w:rPr>
          <w:sz w:val="20"/>
        </w:rPr>
        <w:sectPr>
          <w:type w:val="continuous"/>
          <w:pgSz w:w="11910" w:h="16840"/>
          <w:pgMar w:header="0" w:footer="125" w:top="740" w:bottom="280" w:left="0" w:right="0"/>
          <w:cols w:num="2" w:equalWidth="0">
            <w:col w:w="3817" w:space="40"/>
            <w:col w:w="8053"/>
          </w:cols>
        </w:sectPr>
      </w:pPr>
    </w:p>
    <w:p>
      <w:pPr>
        <w:pStyle w:val="BodyText"/>
        <w:spacing w:before="8"/>
        <w:rPr>
          <w:sz w:val="16"/>
        </w:rPr>
      </w:pPr>
    </w:p>
    <w:p>
      <w:pPr>
        <w:spacing w:after="0"/>
        <w:rPr>
          <w:sz w:val="16"/>
        </w:rPr>
        <w:sectPr>
          <w:type w:val="continuous"/>
          <w:pgSz w:w="11910" w:h="16840"/>
          <w:pgMar w:header="0" w:footer="125" w:top="740" w:bottom="280" w:left="0" w:right="0"/>
        </w:sectPr>
      </w:pPr>
    </w:p>
    <w:p>
      <w:pPr>
        <w:spacing w:before="104"/>
        <w:ind w:left="2390" w:right="0" w:firstLine="0"/>
        <w:jc w:val="left"/>
        <w:rPr>
          <w:b/>
          <w:sz w:val="22"/>
        </w:rPr>
      </w:pPr>
      <w:r>
        <w:rPr>
          <w:b/>
          <w:color w:val="3C5A8B"/>
          <w:spacing w:val="-2"/>
          <w:sz w:val="22"/>
        </w:rPr>
        <w:t>Limited assurance</w:t>
      </w:r>
    </w:p>
    <w:p>
      <w:pPr>
        <w:spacing w:before="100"/>
        <w:ind w:left="702" w:right="0" w:firstLine="0"/>
        <w:jc w:val="left"/>
        <w:rPr>
          <w:sz w:val="20"/>
        </w:rPr>
      </w:pPr>
      <w:r>
        <w:rPr/>
        <w:br w:type="column"/>
      </w:r>
      <w:r>
        <w:rPr>
          <w:sz w:val="20"/>
        </w:rPr>
        <w:t>More</w:t>
      </w:r>
      <w:r>
        <w:rPr>
          <w:spacing w:val="-10"/>
          <w:sz w:val="20"/>
        </w:rPr>
        <w:t> </w:t>
      </w:r>
      <w:r>
        <w:rPr>
          <w:sz w:val="20"/>
        </w:rPr>
        <w:t>significant</w:t>
      </w:r>
      <w:r>
        <w:rPr>
          <w:spacing w:val="-9"/>
          <w:sz w:val="20"/>
        </w:rPr>
        <w:t> </w:t>
      </w:r>
      <w:r>
        <w:rPr>
          <w:sz w:val="20"/>
        </w:rPr>
        <w:t>matters</w:t>
      </w:r>
      <w:r>
        <w:rPr>
          <w:spacing w:val="-8"/>
          <w:sz w:val="20"/>
        </w:rPr>
        <w:t> </w:t>
      </w:r>
      <w:r>
        <w:rPr>
          <w:sz w:val="20"/>
        </w:rPr>
        <w:t>require</w:t>
      </w:r>
      <w:r>
        <w:rPr>
          <w:spacing w:val="-9"/>
          <w:sz w:val="20"/>
        </w:rPr>
        <w:t> </w:t>
      </w:r>
      <w:r>
        <w:rPr>
          <w:sz w:val="20"/>
        </w:rPr>
        <w:t>management</w:t>
      </w:r>
      <w:r>
        <w:rPr>
          <w:spacing w:val="-9"/>
          <w:sz w:val="20"/>
        </w:rPr>
        <w:t> </w:t>
      </w:r>
      <w:r>
        <w:rPr>
          <w:spacing w:val="-2"/>
          <w:sz w:val="20"/>
        </w:rPr>
        <w:t>attention.</w:t>
      </w:r>
    </w:p>
    <w:p>
      <w:pPr>
        <w:spacing w:before="59"/>
        <w:ind w:left="702" w:right="0" w:firstLine="0"/>
        <w:jc w:val="left"/>
        <w:rPr>
          <w:sz w:val="20"/>
        </w:rPr>
      </w:pPr>
      <w:r>
        <w:rPr>
          <w:b/>
          <w:color w:val="3C5A8B"/>
          <w:sz w:val="20"/>
        </w:rPr>
        <w:t>Moderate</w:t>
      </w:r>
      <w:r>
        <w:rPr>
          <w:b/>
          <w:color w:val="3C5A8B"/>
          <w:spacing w:val="-6"/>
          <w:sz w:val="20"/>
        </w:rPr>
        <w:t> </w:t>
      </w:r>
      <w:r>
        <w:rPr>
          <w:b/>
          <w:color w:val="3C5A8B"/>
          <w:sz w:val="20"/>
        </w:rPr>
        <w:t>impact</w:t>
      </w:r>
      <w:r>
        <w:rPr>
          <w:b/>
          <w:color w:val="3C5A8B"/>
          <w:spacing w:val="-3"/>
          <w:sz w:val="20"/>
        </w:rPr>
        <w:t> </w:t>
      </w:r>
      <w:r>
        <w:rPr>
          <w:sz w:val="20"/>
        </w:rPr>
        <w:t>on</w:t>
      </w:r>
      <w:r>
        <w:rPr>
          <w:spacing w:val="-5"/>
          <w:sz w:val="20"/>
        </w:rPr>
        <w:t> </w:t>
      </w:r>
      <w:r>
        <w:rPr>
          <w:sz w:val="20"/>
        </w:rPr>
        <w:t>residual</w:t>
      </w:r>
      <w:r>
        <w:rPr>
          <w:spacing w:val="-7"/>
          <w:sz w:val="20"/>
        </w:rPr>
        <w:t> </w:t>
      </w:r>
      <w:r>
        <w:rPr>
          <w:sz w:val="20"/>
        </w:rPr>
        <w:t>risk</w:t>
      </w:r>
      <w:r>
        <w:rPr>
          <w:spacing w:val="-7"/>
          <w:sz w:val="20"/>
        </w:rPr>
        <w:t> </w:t>
      </w:r>
      <w:r>
        <w:rPr>
          <w:sz w:val="20"/>
        </w:rPr>
        <w:t>exposure</w:t>
      </w:r>
      <w:r>
        <w:rPr>
          <w:spacing w:val="-7"/>
          <w:sz w:val="20"/>
        </w:rPr>
        <w:t> </w:t>
      </w:r>
      <w:r>
        <w:rPr>
          <w:sz w:val="20"/>
        </w:rPr>
        <w:t>until</w:t>
      </w:r>
      <w:r>
        <w:rPr>
          <w:spacing w:val="-7"/>
          <w:sz w:val="20"/>
        </w:rPr>
        <w:t> </w:t>
      </w:r>
      <w:r>
        <w:rPr>
          <w:spacing w:val="-2"/>
          <w:sz w:val="20"/>
        </w:rPr>
        <w:t>resolved.</w:t>
      </w:r>
    </w:p>
    <w:p>
      <w:pPr>
        <w:spacing w:after="0"/>
        <w:jc w:val="left"/>
        <w:rPr>
          <w:sz w:val="20"/>
        </w:rPr>
        <w:sectPr>
          <w:type w:val="continuous"/>
          <w:pgSz w:w="11910" w:h="16840"/>
          <w:pgMar w:header="0" w:footer="125" w:top="740" w:bottom="280" w:left="0" w:right="0"/>
          <w:cols w:num="2" w:equalWidth="0">
            <w:col w:w="3646" w:space="40"/>
            <w:col w:w="8224"/>
          </w:cols>
        </w:sectPr>
      </w:pPr>
    </w:p>
    <w:p>
      <w:pPr>
        <w:pStyle w:val="BodyText"/>
        <w:spacing w:before="10"/>
        <w:rPr>
          <w:sz w:val="16"/>
        </w:rPr>
      </w:pPr>
    </w:p>
    <w:p>
      <w:pPr>
        <w:spacing w:after="0"/>
        <w:rPr>
          <w:sz w:val="16"/>
        </w:rPr>
        <w:sectPr>
          <w:type w:val="continuous"/>
          <w:pgSz w:w="11910" w:h="16840"/>
          <w:pgMar w:header="0" w:footer="125" w:top="740" w:bottom="280" w:left="0" w:right="0"/>
        </w:sectPr>
      </w:pPr>
    </w:p>
    <w:p>
      <w:pPr>
        <w:pStyle w:val="BodyText"/>
        <w:spacing w:before="5"/>
        <w:rPr>
          <w:sz w:val="29"/>
        </w:rPr>
      </w:pPr>
    </w:p>
    <w:p>
      <w:pPr>
        <w:spacing w:before="0"/>
        <w:ind w:left="2390" w:right="0" w:firstLine="0"/>
        <w:jc w:val="left"/>
        <w:rPr>
          <w:b/>
          <w:sz w:val="22"/>
        </w:rPr>
      </w:pPr>
      <w:r>
        <w:rPr>
          <w:b/>
          <w:color w:val="3C5A8B"/>
          <w:sz w:val="22"/>
        </w:rPr>
        <w:t>No</w:t>
      </w:r>
      <w:r>
        <w:rPr>
          <w:b/>
          <w:color w:val="3C5A8B"/>
          <w:spacing w:val="-1"/>
          <w:sz w:val="22"/>
        </w:rPr>
        <w:t> </w:t>
      </w:r>
      <w:r>
        <w:rPr>
          <w:b/>
          <w:color w:val="3C5A8B"/>
          <w:spacing w:val="-2"/>
          <w:sz w:val="22"/>
        </w:rPr>
        <w:t>assurance</w:t>
      </w:r>
    </w:p>
    <w:p>
      <w:pPr>
        <w:pStyle w:val="BodyText"/>
        <w:rPr>
          <w:b/>
          <w:sz w:val="26"/>
        </w:rPr>
      </w:pPr>
    </w:p>
    <w:p>
      <w:pPr>
        <w:pStyle w:val="BodyText"/>
        <w:spacing w:before="9"/>
        <w:rPr>
          <w:b/>
          <w:sz w:val="38"/>
        </w:rPr>
      </w:pPr>
    </w:p>
    <w:p>
      <w:pPr>
        <w:spacing w:before="0"/>
        <w:ind w:left="2390" w:right="0" w:firstLine="0"/>
        <w:jc w:val="left"/>
        <w:rPr>
          <w:b/>
          <w:sz w:val="22"/>
        </w:rPr>
      </w:pPr>
      <w:r>
        <w:rPr/>
        <w:drawing>
          <wp:anchor distT="0" distB="0" distL="0" distR="0" allowOverlap="1" layoutInCell="1" locked="0" behindDoc="0" simplePos="0" relativeHeight="15774208">
            <wp:simplePos x="0" y="0"/>
            <wp:positionH relativeFrom="page">
              <wp:posOffset>428625</wp:posOffset>
            </wp:positionH>
            <wp:positionV relativeFrom="paragraph">
              <wp:posOffset>-96531</wp:posOffset>
            </wp:positionV>
            <wp:extent cx="939800" cy="520700"/>
            <wp:effectExtent l="0" t="0" r="0" b="0"/>
            <wp:wrapNone/>
            <wp:docPr id="51" name="image19.png"/>
            <wp:cNvGraphicFramePr>
              <a:graphicFrameLocks noChangeAspect="1"/>
            </wp:cNvGraphicFramePr>
            <a:graphic>
              <a:graphicData uri="http://schemas.openxmlformats.org/drawingml/2006/picture">
                <pic:pic>
                  <pic:nvPicPr>
                    <pic:cNvPr id="52" name="image19.png"/>
                    <pic:cNvPicPr/>
                  </pic:nvPicPr>
                  <pic:blipFill>
                    <a:blip r:embed="rId61" cstate="print"/>
                    <a:stretch>
                      <a:fillRect/>
                    </a:stretch>
                  </pic:blipFill>
                  <pic:spPr>
                    <a:xfrm>
                      <a:off x="0" y="0"/>
                      <a:ext cx="939800" cy="520700"/>
                    </a:xfrm>
                    <a:prstGeom prst="rect">
                      <a:avLst/>
                    </a:prstGeom>
                  </pic:spPr>
                </pic:pic>
              </a:graphicData>
            </a:graphic>
          </wp:anchor>
        </w:drawing>
      </w:r>
      <w:r>
        <w:rPr>
          <w:b/>
          <w:color w:val="3C5A8B"/>
          <w:sz w:val="22"/>
        </w:rPr>
        <w:t>Assurance</w:t>
      </w:r>
      <w:r>
        <w:rPr>
          <w:b/>
          <w:color w:val="3C5A8B"/>
          <w:spacing w:val="-19"/>
          <w:sz w:val="22"/>
        </w:rPr>
        <w:t> </w:t>
      </w:r>
      <w:r>
        <w:rPr>
          <w:b/>
          <w:color w:val="3C5A8B"/>
          <w:sz w:val="22"/>
        </w:rPr>
        <w:t>not </w:t>
      </w:r>
      <w:r>
        <w:rPr>
          <w:b/>
          <w:color w:val="3C5A8B"/>
          <w:spacing w:val="-2"/>
          <w:sz w:val="22"/>
        </w:rPr>
        <w:t>applicable</w:t>
      </w:r>
    </w:p>
    <w:p>
      <w:pPr>
        <w:spacing w:before="100"/>
        <w:ind w:left="194" w:right="819" w:firstLine="0"/>
        <w:jc w:val="both"/>
        <w:rPr>
          <w:sz w:val="20"/>
        </w:rPr>
      </w:pPr>
      <w:r>
        <w:rPr/>
        <w:br w:type="column"/>
      </w:r>
      <w:r>
        <w:rPr>
          <w:sz w:val="20"/>
        </w:rPr>
        <w:t>Action is required to address the whole control framework in this </w:t>
      </w:r>
      <w:r>
        <w:rPr>
          <w:spacing w:val="-2"/>
          <w:sz w:val="20"/>
        </w:rPr>
        <w:t>area.</w:t>
      </w:r>
    </w:p>
    <w:p>
      <w:pPr>
        <w:spacing w:before="58"/>
        <w:ind w:left="194" w:right="0" w:firstLine="0"/>
        <w:jc w:val="both"/>
        <w:rPr>
          <w:sz w:val="20"/>
        </w:rPr>
      </w:pPr>
      <w:r>
        <w:rPr>
          <w:b/>
          <w:color w:val="3C5A8B"/>
          <w:sz w:val="20"/>
        </w:rPr>
        <w:t>High</w:t>
      </w:r>
      <w:r>
        <w:rPr>
          <w:b/>
          <w:color w:val="3C5A8B"/>
          <w:spacing w:val="-7"/>
          <w:sz w:val="20"/>
        </w:rPr>
        <w:t> </w:t>
      </w:r>
      <w:r>
        <w:rPr>
          <w:b/>
          <w:color w:val="3C5A8B"/>
          <w:sz w:val="20"/>
        </w:rPr>
        <w:t>impact</w:t>
      </w:r>
      <w:r>
        <w:rPr>
          <w:b/>
          <w:color w:val="3C5A8B"/>
          <w:spacing w:val="-2"/>
          <w:sz w:val="20"/>
        </w:rPr>
        <w:t> </w:t>
      </w:r>
      <w:r>
        <w:rPr>
          <w:sz w:val="20"/>
        </w:rPr>
        <w:t>on</w:t>
      </w:r>
      <w:r>
        <w:rPr>
          <w:spacing w:val="-6"/>
          <w:sz w:val="20"/>
        </w:rPr>
        <w:t> </w:t>
      </w:r>
      <w:r>
        <w:rPr>
          <w:sz w:val="20"/>
        </w:rPr>
        <w:t>residual</w:t>
      </w:r>
      <w:r>
        <w:rPr>
          <w:spacing w:val="-6"/>
          <w:sz w:val="20"/>
        </w:rPr>
        <w:t> </w:t>
      </w:r>
      <w:r>
        <w:rPr>
          <w:sz w:val="20"/>
        </w:rPr>
        <w:t>risk</w:t>
      </w:r>
      <w:r>
        <w:rPr>
          <w:spacing w:val="-5"/>
          <w:sz w:val="20"/>
        </w:rPr>
        <w:t> </w:t>
      </w:r>
      <w:r>
        <w:rPr>
          <w:sz w:val="20"/>
        </w:rPr>
        <w:t>exposure</w:t>
      </w:r>
      <w:r>
        <w:rPr>
          <w:spacing w:val="-8"/>
          <w:sz w:val="20"/>
        </w:rPr>
        <w:t> </w:t>
      </w:r>
      <w:r>
        <w:rPr>
          <w:sz w:val="20"/>
        </w:rPr>
        <w:t>until</w:t>
      </w:r>
      <w:r>
        <w:rPr>
          <w:spacing w:val="-7"/>
          <w:sz w:val="20"/>
        </w:rPr>
        <w:t> </w:t>
      </w:r>
      <w:r>
        <w:rPr>
          <w:spacing w:val="-2"/>
          <w:sz w:val="20"/>
        </w:rPr>
        <w:t>resolved.</w:t>
      </w:r>
    </w:p>
    <w:p>
      <w:pPr>
        <w:spacing w:before="156"/>
        <w:ind w:left="194" w:right="821" w:firstLine="0"/>
        <w:jc w:val="both"/>
        <w:rPr>
          <w:sz w:val="20"/>
        </w:rPr>
      </w:pPr>
      <w:r>
        <w:rPr>
          <w:sz w:val="20"/>
        </w:rPr>
        <w:t>Given</w:t>
      </w:r>
      <w:r>
        <w:rPr>
          <w:spacing w:val="-10"/>
          <w:sz w:val="20"/>
        </w:rPr>
        <w:t> </w:t>
      </w:r>
      <w:r>
        <w:rPr>
          <w:sz w:val="20"/>
        </w:rPr>
        <w:t>to</w:t>
      </w:r>
      <w:r>
        <w:rPr>
          <w:spacing w:val="-12"/>
          <w:sz w:val="20"/>
        </w:rPr>
        <w:t> </w:t>
      </w:r>
      <w:r>
        <w:rPr>
          <w:sz w:val="20"/>
        </w:rPr>
        <w:t>reviews</w:t>
      </w:r>
      <w:r>
        <w:rPr>
          <w:spacing w:val="-11"/>
          <w:sz w:val="20"/>
        </w:rPr>
        <w:t> </w:t>
      </w:r>
      <w:r>
        <w:rPr>
          <w:sz w:val="20"/>
        </w:rPr>
        <w:t>and</w:t>
      </w:r>
      <w:r>
        <w:rPr>
          <w:spacing w:val="-10"/>
          <w:sz w:val="20"/>
        </w:rPr>
        <w:t> </w:t>
      </w:r>
      <w:r>
        <w:rPr>
          <w:sz w:val="20"/>
        </w:rPr>
        <w:t>support</w:t>
      </w:r>
      <w:r>
        <w:rPr>
          <w:spacing w:val="-10"/>
          <w:sz w:val="20"/>
        </w:rPr>
        <w:t> </w:t>
      </w:r>
      <w:r>
        <w:rPr>
          <w:sz w:val="20"/>
        </w:rPr>
        <w:t>provided</w:t>
      </w:r>
      <w:r>
        <w:rPr>
          <w:spacing w:val="-10"/>
          <w:sz w:val="20"/>
        </w:rPr>
        <w:t> </w:t>
      </w:r>
      <w:r>
        <w:rPr>
          <w:sz w:val="20"/>
        </w:rPr>
        <w:t>to</w:t>
      </w:r>
      <w:r>
        <w:rPr>
          <w:spacing w:val="-12"/>
          <w:sz w:val="20"/>
        </w:rPr>
        <w:t> </w:t>
      </w:r>
      <w:r>
        <w:rPr>
          <w:sz w:val="20"/>
        </w:rPr>
        <w:t>management</w:t>
      </w:r>
      <w:r>
        <w:rPr>
          <w:spacing w:val="-10"/>
          <w:sz w:val="20"/>
        </w:rPr>
        <w:t> </w:t>
      </w:r>
      <w:r>
        <w:rPr>
          <w:sz w:val="20"/>
        </w:rPr>
        <w:t>which</w:t>
      </w:r>
      <w:r>
        <w:rPr>
          <w:spacing w:val="-10"/>
          <w:sz w:val="20"/>
        </w:rPr>
        <w:t> </w:t>
      </w:r>
      <w:r>
        <w:rPr>
          <w:sz w:val="20"/>
        </w:rPr>
        <w:t>form part of the internal audit plan, to which the assurance definitions are not appropriate.</w:t>
      </w:r>
    </w:p>
    <w:p>
      <w:pPr>
        <w:spacing w:before="60"/>
        <w:ind w:left="194" w:right="824" w:firstLine="0"/>
        <w:jc w:val="both"/>
        <w:rPr>
          <w:sz w:val="20"/>
        </w:rPr>
      </w:pPr>
      <w:r>
        <w:rPr>
          <w:sz w:val="20"/>
        </w:rPr>
        <w:t>These reviews are still relevant to the evidence base upon which the overall opinion is formed.</w:t>
      </w:r>
    </w:p>
    <w:p>
      <w:pPr>
        <w:spacing w:after="0"/>
        <w:jc w:val="both"/>
        <w:rPr>
          <w:sz w:val="20"/>
        </w:rPr>
        <w:sectPr>
          <w:type w:val="continuous"/>
          <w:pgSz w:w="11910" w:h="16840"/>
          <w:pgMar w:header="0" w:footer="125" w:top="740" w:bottom="280" w:left="0" w:right="0"/>
          <w:cols w:num="2" w:equalWidth="0">
            <w:col w:w="4155" w:space="40"/>
            <w:col w:w="7715"/>
          </w:cols>
        </w:sectPr>
      </w:pPr>
    </w:p>
    <w:p>
      <w:pPr>
        <w:pStyle w:val="BodyText"/>
        <w:rPr>
          <w:sz w:val="5"/>
        </w:rPr>
      </w:pPr>
    </w:p>
    <w:p>
      <w:pPr>
        <w:pStyle w:val="BodyText"/>
        <w:spacing w:line="20" w:lineRule="exact"/>
        <w:ind w:left="552"/>
        <w:rPr>
          <w:sz w:val="2"/>
        </w:rPr>
      </w:pPr>
      <w:r>
        <w:rPr>
          <w:sz w:val="2"/>
        </w:rPr>
        <w:pict>
          <v:group style="width:532.450pt;height:.5pt;mso-position-horizontal-relative:char;mso-position-vertical-relative:line" id="docshapegroup190" coordorigin="0,0" coordsize="10649,10">
            <v:rect style="position:absolute;left:0;top:0;width:10649;height:10" id="docshape191" filled="true" fillcolor="#000000" stroked="false">
              <v:fill type="solid"/>
            </v:rect>
          </v:group>
        </w:pict>
      </w:r>
      <w:r>
        <w:rPr>
          <w:sz w:val="2"/>
        </w:rPr>
      </w:r>
    </w:p>
    <w:p>
      <w:pPr>
        <w:pStyle w:val="BodyText"/>
        <w:spacing w:before="7"/>
        <w:rPr>
          <w:sz w:val="20"/>
        </w:rPr>
      </w:pPr>
    </w:p>
    <w:p>
      <w:pPr>
        <w:pStyle w:val="Heading8"/>
        <w:spacing w:before="101"/>
        <w:rPr>
          <w:rFonts w:ascii="Verdana"/>
        </w:rPr>
      </w:pPr>
      <w:r>
        <w:rPr>
          <w:rFonts w:ascii="Verdana"/>
          <w:color w:val="3C5A8B"/>
        </w:rPr>
        <w:t>Prioritisation</w:t>
      </w:r>
      <w:r>
        <w:rPr>
          <w:rFonts w:ascii="Verdana"/>
          <w:color w:val="3C5A8B"/>
          <w:spacing w:val="-4"/>
        </w:rPr>
        <w:t> </w:t>
      </w:r>
      <w:r>
        <w:rPr>
          <w:rFonts w:ascii="Verdana"/>
          <w:color w:val="3C5A8B"/>
        </w:rPr>
        <w:t>of</w:t>
      </w:r>
      <w:r>
        <w:rPr>
          <w:rFonts w:ascii="Verdana"/>
          <w:color w:val="3C5A8B"/>
          <w:spacing w:val="-4"/>
        </w:rPr>
        <w:t> </w:t>
      </w:r>
      <w:r>
        <w:rPr>
          <w:rFonts w:ascii="Verdana"/>
          <w:color w:val="3C5A8B"/>
          <w:spacing w:val="-2"/>
        </w:rPr>
        <w:t>Recommendations</w:t>
      </w:r>
    </w:p>
    <w:p>
      <w:pPr>
        <w:spacing w:before="146"/>
        <w:ind w:left="566" w:right="0" w:firstLine="0"/>
        <w:jc w:val="left"/>
        <w:rPr>
          <w:sz w:val="20"/>
        </w:rPr>
      </w:pPr>
      <w:r>
        <w:rPr>
          <w:sz w:val="20"/>
        </w:rPr>
        <w:t>We</w:t>
      </w:r>
      <w:r>
        <w:rPr>
          <w:spacing w:val="-7"/>
          <w:sz w:val="20"/>
        </w:rPr>
        <w:t> </w:t>
      </w:r>
      <w:r>
        <w:rPr>
          <w:sz w:val="20"/>
        </w:rPr>
        <w:t>categorise</w:t>
      </w:r>
      <w:r>
        <w:rPr>
          <w:spacing w:val="-6"/>
          <w:sz w:val="20"/>
        </w:rPr>
        <w:t> </w:t>
      </w:r>
      <w:r>
        <w:rPr>
          <w:sz w:val="20"/>
        </w:rPr>
        <w:t>our</w:t>
      </w:r>
      <w:r>
        <w:rPr>
          <w:spacing w:val="-5"/>
          <w:sz w:val="20"/>
        </w:rPr>
        <w:t> </w:t>
      </w:r>
      <w:r>
        <w:rPr>
          <w:sz w:val="20"/>
        </w:rPr>
        <w:t>recommendations</w:t>
      </w:r>
      <w:r>
        <w:rPr>
          <w:spacing w:val="-8"/>
          <w:sz w:val="20"/>
        </w:rPr>
        <w:t> </w:t>
      </w:r>
      <w:r>
        <w:rPr>
          <w:sz w:val="20"/>
        </w:rPr>
        <w:t>according</w:t>
      </w:r>
      <w:r>
        <w:rPr>
          <w:spacing w:val="-4"/>
          <w:sz w:val="20"/>
        </w:rPr>
        <w:t> </w:t>
      </w:r>
      <w:r>
        <w:rPr>
          <w:sz w:val="20"/>
        </w:rPr>
        <w:t>to</w:t>
      </w:r>
      <w:r>
        <w:rPr>
          <w:spacing w:val="-7"/>
          <w:sz w:val="20"/>
        </w:rPr>
        <w:t> </w:t>
      </w:r>
      <w:r>
        <w:rPr>
          <w:sz w:val="20"/>
        </w:rPr>
        <w:t>their</w:t>
      </w:r>
      <w:r>
        <w:rPr>
          <w:spacing w:val="-8"/>
          <w:sz w:val="20"/>
        </w:rPr>
        <w:t> </w:t>
      </w:r>
      <w:r>
        <w:rPr>
          <w:sz w:val="20"/>
        </w:rPr>
        <w:t>level</w:t>
      </w:r>
      <w:r>
        <w:rPr>
          <w:spacing w:val="-4"/>
          <w:sz w:val="20"/>
        </w:rPr>
        <w:t> </w:t>
      </w:r>
      <w:r>
        <w:rPr>
          <w:sz w:val="20"/>
        </w:rPr>
        <w:t>of</w:t>
      </w:r>
      <w:r>
        <w:rPr>
          <w:spacing w:val="-8"/>
          <w:sz w:val="20"/>
        </w:rPr>
        <w:t> </w:t>
      </w:r>
      <w:r>
        <w:rPr>
          <w:sz w:val="20"/>
        </w:rPr>
        <w:t>priority</w:t>
      </w:r>
      <w:r>
        <w:rPr>
          <w:spacing w:val="-6"/>
          <w:sz w:val="20"/>
        </w:rPr>
        <w:t> </w:t>
      </w:r>
      <w:r>
        <w:rPr>
          <w:sz w:val="20"/>
        </w:rPr>
        <w:t>as</w:t>
      </w:r>
      <w:r>
        <w:rPr>
          <w:spacing w:val="-7"/>
          <w:sz w:val="20"/>
        </w:rPr>
        <w:t> </w:t>
      </w:r>
      <w:r>
        <w:rPr>
          <w:spacing w:val="-2"/>
          <w:sz w:val="20"/>
        </w:rPr>
        <w:t>follows:</w:t>
      </w:r>
    </w:p>
    <w:p>
      <w:pPr>
        <w:pStyle w:val="BodyText"/>
        <w:spacing w:before="9"/>
        <w:rPr>
          <w:sz w:val="14"/>
        </w:rPr>
      </w:pPr>
    </w:p>
    <w:tbl>
      <w:tblPr>
        <w:tblW w:w="0" w:type="auto"/>
        <w:jc w:val="left"/>
        <w:tblInd w:w="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560"/>
        <w:gridCol w:w="6378"/>
        <w:gridCol w:w="2694"/>
      </w:tblGrid>
      <w:tr>
        <w:trPr>
          <w:trHeight w:val="498" w:hRule="atLeast"/>
        </w:trPr>
        <w:tc>
          <w:tcPr>
            <w:tcW w:w="1560" w:type="dxa"/>
            <w:tcBorders>
              <w:top w:val="single" w:sz="4" w:space="0" w:color="000000"/>
              <w:bottom w:val="single" w:sz="4" w:space="0" w:color="000000"/>
            </w:tcBorders>
            <w:shd w:val="clear" w:color="auto" w:fill="2E5395"/>
          </w:tcPr>
          <w:p>
            <w:pPr>
              <w:pStyle w:val="TableParagraph"/>
              <w:spacing w:line="242" w:lineRule="exact"/>
              <w:ind w:left="513" w:right="356" w:hanging="154"/>
              <w:rPr>
                <w:b/>
                <w:sz w:val="20"/>
              </w:rPr>
            </w:pPr>
            <w:r>
              <w:rPr>
                <w:b/>
                <w:color w:val="FFFFFF"/>
                <w:spacing w:val="-2"/>
                <w:sz w:val="20"/>
              </w:rPr>
              <w:t>Priority level</w:t>
            </w:r>
          </w:p>
        </w:tc>
        <w:tc>
          <w:tcPr>
            <w:tcW w:w="6378" w:type="dxa"/>
            <w:tcBorders>
              <w:top w:val="single" w:sz="4" w:space="0" w:color="000000"/>
              <w:bottom w:val="single" w:sz="4" w:space="0" w:color="000000"/>
            </w:tcBorders>
            <w:shd w:val="clear" w:color="auto" w:fill="2E5395"/>
          </w:tcPr>
          <w:p>
            <w:pPr>
              <w:pStyle w:val="TableParagraph"/>
              <w:spacing w:before="127"/>
              <w:ind w:left="108"/>
              <w:rPr>
                <w:b/>
                <w:sz w:val="20"/>
              </w:rPr>
            </w:pPr>
            <w:r>
              <w:rPr>
                <w:b/>
                <w:color w:val="FFFFFF"/>
                <w:spacing w:val="-2"/>
                <w:sz w:val="20"/>
              </w:rPr>
              <w:t>Explanation</w:t>
            </w:r>
          </w:p>
        </w:tc>
        <w:tc>
          <w:tcPr>
            <w:tcW w:w="2694" w:type="dxa"/>
            <w:tcBorders>
              <w:top w:val="single" w:sz="4" w:space="0" w:color="000000"/>
              <w:bottom w:val="single" w:sz="4" w:space="0" w:color="000000"/>
            </w:tcBorders>
            <w:shd w:val="clear" w:color="auto" w:fill="2E5395"/>
          </w:tcPr>
          <w:p>
            <w:pPr>
              <w:pStyle w:val="TableParagraph"/>
              <w:spacing w:before="127"/>
              <w:ind w:left="110"/>
              <w:rPr>
                <w:b/>
                <w:sz w:val="20"/>
              </w:rPr>
            </w:pPr>
            <w:r>
              <w:rPr>
                <w:b/>
                <w:color w:val="FFFFFF"/>
                <w:spacing w:val="-2"/>
                <w:sz w:val="20"/>
              </w:rPr>
              <w:t>Management</w:t>
            </w:r>
            <w:r>
              <w:rPr>
                <w:b/>
                <w:color w:val="FFFFFF"/>
                <w:spacing w:val="2"/>
                <w:sz w:val="20"/>
              </w:rPr>
              <w:t> </w:t>
            </w:r>
            <w:r>
              <w:rPr>
                <w:b/>
                <w:color w:val="FFFFFF"/>
                <w:spacing w:val="-2"/>
                <w:sz w:val="20"/>
              </w:rPr>
              <w:t>action</w:t>
            </w:r>
          </w:p>
        </w:tc>
      </w:tr>
      <w:tr>
        <w:trPr>
          <w:trHeight w:val="1089" w:hRule="atLeast"/>
        </w:trPr>
        <w:tc>
          <w:tcPr>
            <w:tcW w:w="1560" w:type="dxa"/>
            <w:tcBorders>
              <w:top w:val="single" w:sz="4" w:space="0" w:color="000000"/>
              <w:bottom w:val="dashSmallGap" w:sz="4" w:space="0" w:color="000000"/>
            </w:tcBorders>
            <w:shd w:val="clear" w:color="auto" w:fill="FF0000"/>
          </w:tcPr>
          <w:p>
            <w:pPr>
              <w:pStyle w:val="TableParagraph"/>
              <w:spacing w:before="11"/>
              <w:rPr>
                <w:sz w:val="34"/>
              </w:rPr>
            </w:pPr>
          </w:p>
          <w:p>
            <w:pPr>
              <w:pStyle w:val="TableParagraph"/>
              <w:spacing w:before="1"/>
              <w:ind w:left="322" w:right="322"/>
              <w:jc w:val="center"/>
              <w:rPr>
                <w:b/>
                <w:sz w:val="20"/>
              </w:rPr>
            </w:pPr>
            <w:r>
              <w:rPr>
                <w:b/>
                <w:color w:val="FFFFFF"/>
                <w:spacing w:val="-4"/>
                <w:sz w:val="20"/>
              </w:rPr>
              <w:t>High</w:t>
            </w:r>
          </w:p>
        </w:tc>
        <w:tc>
          <w:tcPr>
            <w:tcW w:w="6378" w:type="dxa"/>
            <w:tcBorders>
              <w:top w:val="single" w:sz="4" w:space="0" w:color="000000"/>
              <w:bottom w:val="dashSmallGap" w:sz="4" w:space="0" w:color="000000"/>
            </w:tcBorders>
          </w:tcPr>
          <w:p>
            <w:pPr>
              <w:pStyle w:val="TableParagraph"/>
              <w:spacing w:before="120"/>
              <w:ind w:left="108"/>
              <w:rPr>
                <w:sz w:val="20"/>
              </w:rPr>
            </w:pPr>
            <w:r>
              <w:rPr>
                <w:sz w:val="20"/>
              </w:rPr>
              <w:t>Poor</w:t>
            </w:r>
            <w:r>
              <w:rPr>
                <w:spacing w:val="-8"/>
                <w:sz w:val="20"/>
              </w:rPr>
              <w:t> </w:t>
            </w:r>
            <w:r>
              <w:rPr>
                <w:sz w:val="20"/>
              </w:rPr>
              <w:t>system</w:t>
            </w:r>
            <w:r>
              <w:rPr>
                <w:spacing w:val="-9"/>
                <w:sz w:val="20"/>
              </w:rPr>
              <w:t> </w:t>
            </w:r>
            <w:r>
              <w:rPr>
                <w:sz w:val="20"/>
              </w:rPr>
              <w:t>design</w:t>
            </w:r>
            <w:r>
              <w:rPr>
                <w:spacing w:val="-6"/>
                <w:sz w:val="20"/>
              </w:rPr>
              <w:t> </w:t>
            </w:r>
            <w:r>
              <w:rPr>
                <w:sz w:val="20"/>
              </w:rPr>
              <w:t>OR</w:t>
            </w:r>
            <w:r>
              <w:rPr>
                <w:spacing w:val="-7"/>
                <w:sz w:val="20"/>
              </w:rPr>
              <w:t> </w:t>
            </w:r>
            <w:r>
              <w:rPr>
                <w:sz w:val="20"/>
              </w:rPr>
              <w:t>widespread</w:t>
            </w:r>
            <w:r>
              <w:rPr>
                <w:spacing w:val="-8"/>
                <w:sz w:val="20"/>
              </w:rPr>
              <w:t> </w:t>
            </w:r>
            <w:r>
              <w:rPr>
                <w:sz w:val="20"/>
              </w:rPr>
              <w:t>non-</w:t>
            </w:r>
            <w:r>
              <w:rPr>
                <w:spacing w:val="-2"/>
                <w:sz w:val="20"/>
              </w:rPr>
              <w:t>compliance.</w:t>
            </w:r>
          </w:p>
          <w:p>
            <w:pPr>
              <w:pStyle w:val="TableParagraph"/>
              <w:spacing w:before="122"/>
              <w:ind w:left="108"/>
              <w:rPr>
                <w:sz w:val="20"/>
              </w:rPr>
            </w:pPr>
            <w:r>
              <w:rPr>
                <w:sz w:val="20"/>
              </w:rPr>
              <w:t>Significant risk to achievement of a system objective OR evidence</w:t>
            </w:r>
            <w:r>
              <w:rPr>
                <w:spacing w:val="-7"/>
                <w:sz w:val="20"/>
              </w:rPr>
              <w:t> </w:t>
            </w:r>
            <w:r>
              <w:rPr>
                <w:sz w:val="20"/>
              </w:rPr>
              <w:t>present</w:t>
            </w:r>
            <w:r>
              <w:rPr>
                <w:spacing w:val="-7"/>
                <w:sz w:val="20"/>
              </w:rPr>
              <w:t> </w:t>
            </w:r>
            <w:r>
              <w:rPr>
                <w:sz w:val="20"/>
              </w:rPr>
              <w:t>of</w:t>
            </w:r>
            <w:r>
              <w:rPr>
                <w:spacing w:val="-6"/>
                <w:sz w:val="20"/>
              </w:rPr>
              <w:t> </w:t>
            </w:r>
            <w:r>
              <w:rPr>
                <w:sz w:val="20"/>
              </w:rPr>
              <w:t>material</w:t>
            </w:r>
            <w:r>
              <w:rPr>
                <w:spacing w:val="-7"/>
                <w:sz w:val="20"/>
              </w:rPr>
              <w:t> </w:t>
            </w:r>
            <w:r>
              <w:rPr>
                <w:sz w:val="20"/>
              </w:rPr>
              <w:t>loss,</w:t>
            </w:r>
            <w:r>
              <w:rPr>
                <w:spacing w:val="-7"/>
                <w:sz w:val="20"/>
              </w:rPr>
              <w:t> </w:t>
            </w:r>
            <w:r>
              <w:rPr>
                <w:sz w:val="20"/>
              </w:rPr>
              <w:t>error</w:t>
            </w:r>
            <w:r>
              <w:rPr>
                <w:spacing w:val="-7"/>
                <w:sz w:val="20"/>
              </w:rPr>
              <w:t> </w:t>
            </w:r>
            <w:r>
              <w:rPr>
                <w:sz w:val="20"/>
              </w:rPr>
              <w:t>or</w:t>
            </w:r>
            <w:r>
              <w:rPr>
                <w:spacing w:val="-9"/>
                <w:sz w:val="20"/>
              </w:rPr>
              <w:t> </w:t>
            </w:r>
            <w:r>
              <w:rPr>
                <w:sz w:val="20"/>
              </w:rPr>
              <w:t>misstatement.</w:t>
            </w:r>
          </w:p>
        </w:tc>
        <w:tc>
          <w:tcPr>
            <w:tcW w:w="2694" w:type="dxa"/>
            <w:tcBorders>
              <w:top w:val="single" w:sz="4" w:space="0" w:color="000000"/>
              <w:bottom w:val="dashSmallGap" w:sz="4" w:space="0" w:color="000000"/>
            </w:tcBorders>
          </w:tcPr>
          <w:p>
            <w:pPr>
              <w:pStyle w:val="TableParagraph"/>
              <w:spacing w:before="11"/>
              <w:rPr>
                <w:sz w:val="34"/>
              </w:rPr>
            </w:pPr>
          </w:p>
          <w:p>
            <w:pPr>
              <w:pStyle w:val="TableParagraph"/>
              <w:spacing w:before="1"/>
              <w:ind w:left="110"/>
              <w:rPr>
                <w:sz w:val="20"/>
              </w:rPr>
            </w:pPr>
            <w:r>
              <w:rPr>
                <w:spacing w:val="-2"/>
                <w:sz w:val="20"/>
              </w:rPr>
              <w:t>Immediate*</w:t>
            </w:r>
          </w:p>
        </w:tc>
      </w:tr>
      <w:tr>
        <w:trPr>
          <w:trHeight w:val="846" w:hRule="atLeast"/>
        </w:trPr>
        <w:tc>
          <w:tcPr>
            <w:tcW w:w="1560" w:type="dxa"/>
            <w:tcBorders>
              <w:top w:val="dashSmallGap" w:sz="4" w:space="0" w:color="000000"/>
              <w:bottom w:val="dashSmallGap" w:sz="4" w:space="0" w:color="000000"/>
            </w:tcBorders>
            <w:shd w:val="clear" w:color="auto" w:fill="FFFF00"/>
          </w:tcPr>
          <w:p>
            <w:pPr>
              <w:pStyle w:val="TableParagraph"/>
              <w:spacing w:before="11"/>
              <w:rPr>
                <w:sz w:val="24"/>
              </w:rPr>
            </w:pPr>
          </w:p>
          <w:p>
            <w:pPr>
              <w:pStyle w:val="TableParagraph"/>
              <w:ind w:left="322" w:right="325"/>
              <w:jc w:val="center"/>
              <w:rPr>
                <w:b/>
                <w:sz w:val="20"/>
              </w:rPr>
            </w:pPr>
            <w:r>
              <w:rPr>
                <w:b/>
                <w:color w:val="FFFFFF"/>
                <w:spacing w:val="-2"/>
                <w:sz w:val="20"/>
              </w:rPr>
              <w:t>Medium</w:t>
            </w:r>
          </w:p>
        </w:tc>
        <w:tc>
          <w:tcPr>
            <w:tcW w:w="6378" w:type="dxa"/>
            <w:tcBorders>
              <w:top w:val="dashSmallGap" w:sz="4" w:space="0" w:color="000000"/>
              <w:bottom w:val="dashSmallGap" w:sz="4" w:space="0" w:color="000000"/>
            </w:tcBorders>
          </w:tcPr>
          <w:p>
            <w:pPr>
              <w:pStyle w:val="TableParagraph"/>
              <w:spacing w:line="364" w:lineRule="exact" w:before="30"/>
              <w:ind w:left="108"/>
              <w:rPr>
                <w:sz w:val="20"/>
              </w:rPr>
            </w:pPr>
            <w:r>
              <w:rPr>
                <w:sz w:val="20"/>
              </w:rPr>
              <w:t>Minor</w:t>
            </w:r>
            <w:r>
              <w:rPr>
                <w:spacing w:val="-15"/>
                <w:sz w:val="20"/>
              </w:rPr>
              <w:t> </w:t>
            </w:r>
            <w:r>
              <w:rPr>
                <w:sz w:val="20"/>
              </w:rPr>
              <w:t>weakness</w:t>
            </w:r>
            <w:r>
              <w:rPr>
                <w:spacing w:val="-16"/>
                <w:sz w:val="20"/>
              </w:rPr>
              <w:t> </w:t>
            </w:r>
            <w:r>
              <w:rPr>
                <w:sz w:val="20"/>
              </w:rPr>
              <w:t>in</w:t>
            </w:r>
            <w:r>
              <w:rPr>
                <w:spacing w:val="-13"/>
                <w:sz w:val="20"/>
              </w:rPr>
              <w:t> </w:t>
            </w:r>
            <w:r>
              <w:rPr>
                <w:sz w:val="20"/>
              </w:rPr>
              <w:t>system</w:t>
            </w:r>
            <w:r>
              <w:rPr>
                <w:spacing w:val="-14"/>
                <w:sz w:val="20"/>
              </w:rPr>
              <w:t> </w:t>
            </w:r>
            <w:r>
              <w:rPr>
                <w:sz w:val="20"/>
              </w:rPr>
              <w:t>design</w:t>
            </w:r>
            <w:r>
              <w:rPr>
                <w:spacing w:val="-13"/>
                <w:sz w:val="20"/>
              </w:rPr>
              <w:t> </w:t>
            </w:r>
            <w:r>
              <w:rPr>
                <w:sz w:val="20"/>
              </w:rPr>
              <w:t>OR</w:t>
            </w:r>
            <w:r>
              <w:rPr>
                <w:spacing w:val="-14"/>
                <w:sz w:val="20"/>
              </w:rPr>
              <w:t> </w:t>
            </w:r>
            <w:r>
              <w:rPr>
                <w:sz w:val="20"/>
              </w:rPr>
              <w:t>limited</w:t>
            </w:r>
            <w:r>
              <w:rPr>
                <w:spacing w:val="-14"/>
                <w:sz w:val="20"/>
              </w:rPr>
              <w:t> </w:t>
            </w:r>
            <w:r>
              <w:rPr>
                <w:sz w:val="20"/>
              </w:rPr>
              <w:t>non-compliance. Some risk to achievement of a system objective.</w:t>
            </w:r>
          </w:p>
        </w:tc>
        <w:tc>
          <w:tcPr>
            <w:tcW w:w="2694" w:type="dxa"/>
            <w:tcBorders>
              <w:top w:val="dashSmallGap" w:sz="4" w:space="0" w:color="000000"/>
              <w:bottom w:val="dashSmallGap" w:sz="4" w:space="0" w:color="000000"/>
            </w:tcBorders>
          </w:tcPr>
          <w:p>
            <w:pPr>
              <w:pStyle w:val="TableParagraph"/>
              <w:spacing w:before="11"/>
              <w:rPr>
                <w:sz w:val="24"/>
              </w:rPr>
            </w:pPr>
          </w:p>
          <w:p>
            <w:pPr>
              <w:pStyle w:val="TableParagraph"/>
              <w:ind w:left="110"/>
              <w:rPr>
                <w:sz w:val="20"/>
              </w:rPr>
            </w:pPr>
            <w:r>
              <w:rPr>
                <w:sz w:val="20"/>
              </w:rPr>
              <w:t>Within</w:t>
            </w:r>
            <w:r>
              <w:rPr>
                <w:spacing w:val="-6"/>
                <w:sz w:val="20"/>
              </w:rPr>
              <w:t> </w:t>
            </w:r>
            <w:r>
              <w:rPr>
                <w:sz w:val="20"/>
              </w:rPr>
              <w:t>one</w:t>
            </w:r>
            <w:r>
              <w:rPr>
                <w:spacing w:val="-7"/>
                <w:sz w:val="20"/>
              </w:rPr>
              <w:t> </w:t>
            </w:r>
            <w:r>
              <w:rPr>
                <w:spacing w:val="-2"/>
                <w:sz w:val="20"/>
              </w:rPr>
              <w:t>month*</w:t>
            </w:r>
          </w:p>
        </w:tc>
      </w:tr>
      <w:tr>
        <w:trPr>
          <w:trHeight w:val="1332" w:hRule="atLeast"/>
        </w:trPr>
        <w:tc>
          <w:tcPr>
            <w:tcW w:w="1560" w:type="dxa"/>
            <w:tcBorders>
              <w:top w:val="dashSmallGap" w:sz="4" w:space="0" w:color="000000"/>
              <w:bottom w:val="single" w:sz="4" w:space="0" w:color="000000"/>
            </w:tcBorders>
            <w:shd w:val="clear" w:color="auto" w:fill="92D050"/>
          </w:tcPr>
          <w:p>
            <w:pPr>
              <w:pStyle w:val="TableParagraph"/>
              <w:rPr>
                <w:sz w:val="24"/>
              </w:rPr>
            </w:pPr>
          </w:p>
          <w:p>
            <w:pPr>
              <w:pStyle w:val="TableParagraph"/>
              <w:spacing w:before="10"/>
              <w:rPr>
                <w:sz w:val="20"/>
              </w:rPr>
            </w:pPr>
          </w:p>
          <w:p>
            <w:pPr>
              <w:pStyle w:val="TableParagraph"/>
              <w:spacing w:before="1"/>
              <w:ind w:left="322" w:right="322"/>
              <w:jc w:val="center"/>
              <w:rPr>
                <w:b/>
                <w:sz w:val="20"/>
              </w:rPr>
            </w:pPr>
            <w:r>
              <w:rPr>
                <w:b/>
                <w:color w:val="FFFFFF"/>
                <w:spacing w:val="-5"/>
                <w:sz w:val="20"/>
              </w:rPr>
              <w:t>Low</w:t>
            </w:r>
          </w:p>
        </w:tc>
        <w:tc>
          <w:tcPr>
            <w:tcW w:w="6378" w:type="dxa"/>
            <w:tcBorders>
              <w:top w:val="dashSmallGap" w:sz="4" w:space="0" w:color="000000"/>
              <w:bottom w:val="single" w:sz="4" w:space="0" w:color="000000"/>
            </w:tcBorders>
          </w:tcPr>
          <w:p>
            <w:pPr>
              <w:pStyle w:val="TableParagraph"/>
              <w:spacing w:before="120"/>
              <w:ind w:left="108"/>
              <w:rPr>
                <w:sz w:val="20"/>
              </w:rPr>
            </w:pPr>
            <w:r>
              <w:rPr>
                <w:sz w:val="20"/>
              </w:rPr>
              <w:t>Potential to enhance system design to improve efficiency or effectiveness of controls.</w:t>
            </w:r>
          </w:p>
          <w:p>
            <w:pPr>
              <w:pStyle w:val="TableParagraph"/>
              <w:spacing w:before="122"/>
              <w:ind w:left="108"/>
              <w:rPr>
                <w:sz w:val="20"/>
              </w:rPr>
            </w:pPr>
            <w:r>
              <w:rPr>
                <w:sz w:val="20"/>
              </w:rPr>
              <w:t>Generally</w:t>
            </w:r>
            <w:r>
              <w:rPr>
                <w:spacing w:val="-6"/>
                <w:sz w:val="20"/>
              </w:rPr>
              <w:t> </w:t>
            </w:r>
            <w:r>
              <w:rPr>
                <w:sz w:val="20"/>
              </w:rPr>
              <w:t>issues</w:t>
            </w:r>
            <w:r>
              <w:rPr>
                <w:spacing w:val="-6"/>
                <w:sz w:val="20"/>
              </w:rPr>
              <w:t> </w:t>
            </w:r>
            <w:r>
              <w:rPr>
                <w:sz w:val="20"/>
              </w:rPr>
              <w:t>of</w:t>
            </w:r>
            <w:r>
              <w:rPr>
                <w:spacing w:val="-6"/>
                <w:sz w:val="20"/>
              </w:rPr>
              <w:t> </w:t>
            </w:r>
            <w:r>
              <w:rPr>
                <w:sz w:val="20"/>
              </w:rPr>
              <w:t>good</w:t>
            </w:r>
            <w:r>
              <w:rPr>
                <w:spacing w:val="-7"/>
                <w:sz w:val="20"/>
              </w:rPr>
              <w:t> </w:t>
            </w:r>
            <w:r>
              <w:rPr>
                <w:sz w:val="20"/>
              </w:rPr>
              <w:t>practice</w:t>
            </w:r>
            <w:r>
              <w:rPr>
                <w:spacing w:val="-7"/>
                <w:sz w:val="20"/>
              </w:rPr>
              <w:t> </w:t>
            </w:r>
            <w:r>
              <w:rPr>
                <w:sz w:val="20"/>
              </w:rPr>
              <w:t>for</w:t>
            </w:r>
            <w:r>
              <w:rPr>
                <w:spacing w:val="-9"/>
                <w:sz w:val="20"/>
              </w:rPr>
              <w:t> </w:t>
            </w:r>
            <w:r>
              <w:rPr>
                <w:sz w:val="20"/>
              </w:rPr>
              <w:t>management </w:t>
            </w:r>
            <w:r>
              <w:rPr>
                <w:spacing w:val="-2"/>
                <w:sz w:val="20"/>
              </w:rPr>
              <w:t>consideration.</w:t>
            </w:r>
          </w:p>
        </w:tc>
        <w:tc>
          <w:tcPr>
            <w:tcW w:w="2694" w:type="dxa"/>
            <w:tcBorders>
              <w:top w:val="dashSmallGap" w:sz="4" w:space="0" w:color="000000"/>
              <w:bottom w:val="single" w:sz="4" w:space="0" w:color="000000"/>
            </w:tcBorders>
          </w:tcPr>
          <w:p>
            <w:pPr>
              <w:pStyle w:val="TableParagraph"/>
              <w:rPr>
                <w:sz w:val="24"/>
              </w:rPr>
            </w:pPr>
          </w:p>
          <w:p>
            <w:pPr>
              <w:pStyle w:val="TableParagraph"/>
              <w:spacing w:before="10"/>
              <w:rPr>
                <w:sz w:val="20"/>
              </w:rPr>
            </w:pPr>
          </w:p>
          <w:p>
            <w:pPr>
              <w:pStyle w:val="TableParagraph"/>
              <w:spacing w:before="1"/>
              <w:ind w:left="110"/>
              <w:rPr>
                <w:sz w:val="20"/>
              </w:rPr>
            </w:pPr>
            <w:r>
              <w:rPr>
                <w:sz w:val="20"/>
              </w:rPr>
              <w:t>Within</w:t>
            </w:r>
            <w:r>
              <w:rPr>
                <w:spacing w:val="-7"/>
                <w:sz w:val="20"/>
              </w:rPr>
              <w:t> </w:t>
            </w:r>
            <w:r>
              <w:rPr>
                <w:sz w:val="20"/>
              </w:rPr>
              <w:t>three</w:t>
            </w:r>
            <w:r>
              <w:rPr>
                <w:spacing w:val="-6"/>
                <w:sz w:val="20"/>
              </w:rPr>
              <w:t> </w:t>
            </w:r>
            <w:r>
              <w:rPr>
                <w:spacing w:val="-2"/>
                <w:sz w:val="20"/>
              </w:rPr>
              <w:t>months*</w:t>
            </w:r>
          </w:p>
        </w:tc>
      </w:tr>
    </w:tbl>
    <w:p>
      <w:pPr>
        <w:spacing w:before="122"/>
        <w:ind w:left="566" w:right="0" w:firstLine="0"/>
        <w:jc w:val="left"/>
        <w:rPr>
          <w:sz w:val="20"/>
        </w:rPr>
      </w:pPr>
      <w:r>
        <w:rPr>
          <w:sz w:val="20"/>
        </w:rPr>
        <w:t>*</w:t>
      </w:r>
      <w:r>
        <w:rPr>
          <w:spacing w:val="-25"/>
          <w:sz w:val="20"/>
        </w:rPr>
        <w:t> </w:t>
      </w:r>
      <w:r>
        <w:rPr>
          <w:sz w:val="20"/>
        </w:rPr>
        <w:t>Unless</w:t>
      </w:r>
      <w:r>
        <w:rPr>
          <w:spacing w:val="-12"/>
          <w:sz w:val="20"/>
        </w:rPr>
        <w:t> </w:t>
      </w:r>
      <w:r>
        <w:rPr>
          <w:sz w:val="20"/>
        </w:rPr>
        <w:t>a</w:t>
      </w:r>
      <w:r>
        <w:rPr>
          <w:spacing w:val="-5"/>
          <w:sz w:val="20"/>
        </w:rPr>
        <w:t> </w:t>
      </w:r>
      <w:r>
        <w:rPr>
          <w:sz w:val="20"/>
        </w:rPr>
        <w:t>more</w:t>
      </w:r>
      <w:r>
        <w:rPr>
          <w:spacing w:val="-6"/>
          <w:sz w:val="20"/>
        </w:rPr>
        <w:t> </w:t>
      </w:r>
      <w:r>
        <w:rPr>
          <w:sz w:val="20"/>
        </w:rPr>
        <w:t>appropriate</w:t>
      </w:r>
      <w:r>
        <w:rPr>
          <w:spacing w:val="-8"/>
          <w:sz w:val="20"/>
        </w:rPr>
        <w:t> </w:t>
      </w:r>
      <w:r>
        <w:rPr>
          <w:sz w:val="20"/>
        </w:rPr>
        <w:t>timescale</w:t>
      </w:r>
      <w:r>
        <w:rPr>
          <w:spacing w:val="-8"/>
          <w:sz w:val="20"/>
        </w:rPr>
        <w:t> </w:t>
      </w:r>
      <w:r>
        <w:rPr>
          <w:sz w:val="20"/>
        </w:rPr>
        <w:t>is</w:t>
      </w:r>
      <w:r>
        <w:rPr>
          <w:spacing w:val="-8"/>
          <w:sz w:val="20"/>
        </w:rPr>
        <w:t> </w:t>
      </w:r>
      <w:r>
        <w:rPr>
          <w:sz w:val="20"/>
        </w:rPr>
        <w:t>identified/agreed</w:t>
      </w:r>
      <w:r>
        <w:rPr>
          <w:spacing w:val="-6"/>
          <w:sz w:val="20"/>
        </w:rPr>
        <w:t> </w:t>
      </w:r>
      <w:r>
        <w:rPr>
          <w:sz w:val="20"/>
        </w:rPr>
        <w:t>at</w:t>
      </w:r>
      <w:r>
        <w:rPr>
          <w:spacing w:val="-4"/>
          <w:sz w:val="20"/>
        </w:rPr>
        <w:t> </w:t>
      </w:r>
      <w:r>
        <w:rPr>
          <w:sz w:val="20"/>
        </w:rPr>
        <w:t>the</w:t>
      </w:r>
      <w:r>
        <w:rPr>
          <w:spacing w:val="-2"/>
          <w:sz w:val="20"/>
        </w:rPr>
        <w:t> assignment.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4"/>
        </w:rPr>
      </w:pPr>
      <w:r>
        <w:rPr/>
        <w:pict>
          <v:shape style="position:absolute;margin-left:28.320002pt;margin-top:10.216056pt;width:531.7pt;height:1.45pt;mso-position-horizontal-relative:page;mso-position-vertical-relative:paragraph;z-index:-15684096;mso-wrap-distance-left:0;mso-wrap-distance-right:0" id="docshape192" coordorigin="566,204" coordsize="10634,29" path="m5559,204l5531,204,566,204,566,233,5531,233,5559,233,5559,204xm11200,204l5559,204,5559,233,11200,233,11200,204xe" filled="true" fillcolor="#000000" stroked="false">
            <v:path arrowok="t"/>
            <v:fill type="solid"/>
            <w10:wrap type="topAndBottom"/>
          </v:shape>
        </w:pict>
      </w:r>
    </w:p>
    <w:p>
      <w:pPr>
        <w:pStyle w:val="BodyText"/>
        <w:spacing w:before="9"/>
        <w:rPr>
          <w:sz w:val="13"/>
        </w:rPr>
      </w:pPr>
    </w:p>
    <w:p>
      <w:pPr>
        <w:tabs>
          <w:tab w:pos="11094" w:val="right" w:leader="none"/>
        </w:tabs>
        <w:spacing w:before="101"/>
        <w:ind w:left="566" w:right="0" w:firstLine="0"/>
        <w:jc w:val="left"/>
        <w:rPr>
          <w:sz w:val="22"/>
        </w:rPr>
      </w:pPr>
      <w:r>
        <w:rPr>
          <w:sz w:val="22"/>
        </w:rPr>
        <w:t>NWSSP</w:t>
      </w:r>
      <w:r>
        <w:rPr>
          <w:spacing w:val="-4"/>
          <w:sz w:val="22"/>
        </w:rPr>
        <w:t> </w:t>
      </w:r>
      <w:r>
        <w:rPr>
          <w:sz w:val="22"/>
        </w:rPr>
        <w:t>Audit</w:t>
      </w:r>
      <w:r>
        <w:rPr>
          <w:spacing w:val="-6"/>
          <w:sz w:val="22"/>
        </w:rPr>
        <w:t> </w:t>
      </w:r>
      <w:r>
        <w:rPr>
          <w:sz w:val="22"/>
        </w:rPr>
        <w:t>and</w:t>
      </w:r>
      <w:r>
        <w:rPr>
          <w:spacing w:val="-5"/>
          <w:sz w:val="22"/>
        </w:rPr>
        <w:t> </w:t>
      </w:r>
      <w:r>
        <w:rPr>
          <w:sz w:val="22"/>
        </w:rPr>
        <w:t>Assurance</w:t>
      </w:r>
      <w:r>
        <w:rPr>
          <w:spacing w:val="-4"/>
          <w:sz w:val="22"/>
        </w:rPr>
        <w:t> </w:t>
      </w:r>
      <w:r>
        <w:rPr>
          <w:spacing w:val="-2"/>
          <w:sz w:val="22"/>
        </w:rPr>
        <w:t>Services</w:t>
      </w:r>
      <w:r>
        <w:rPr>
          <w:sz w:val="22"/>
        </w:rPr>
        <w:tab/>
      </w:r>
      <w:r>
        <w:rPr>
          <w:spacing w:val="-5"/>
          <w:sz w:val="22"/>
        </w:rPr>
        <w:t>12</w:t>
      </w:r>
    </w:p>
    <w:p>
      <w:pPr>
        <w:spacing w:after="0"/>
        <w:jc w:val="left"/>
        <w:rPr>
          <w:sz w:val="22"/>
        </w:rPr>
        <w:sectPr>
          <w:type w:val="continuous"/>
          <w:pgSz w:w="11910" w:h="16840"/>
          <w:pgMar w:header="0" w:footer="125" w:top="740" w:bottom="280" w:left="0" w:right="0"/>
        </w:sect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spacing w:line="184" w:lineRule="auto" w:before="94"/>
        <w:ind w:left="1274" w:right="9749" w:firstLine="2"/>
        <w:jc w:val="left"/>
        <w:rPr>
          <w:rFonts w:ascii="Times New Roman"/>
          <w:sz w:val="12"/>
        </w:rPr>
      </w:pPr>
      <w:r>
        <w:rPr/>
        <w:pict>
          <v:group style="position:absolute;margin-left:8.652186pt;margin-top:1.084106pt;width:51.95pt;height:38.7pt;mso-position-horizontal-relative:page;mso-position-vertical-relative:paragraph;z-index:15774720" id="docshapegroup195" coordorigin="173,22" coordsize="1039,774">
            <v:shape style="position:absolute;left:173;top:21;width:981;height:558" type="#_x0000_t75" id="docshape196" stroked="false">
              <v:imagedata r:id="rId77" o:title=""/>
            </v:shape>
            <v:line style="position:absolute" from="1206,795" to="1206,99" stroked="true" strokeweight=".480677pt" strokecolor="#000000">
              <v:stroke dashstyle="solid"/>
            </v:line>
            <w10:wrap type="none"/>
          </v:group>
        </w:pict>
      </w:r>
      <w:r>
        <w:rPr/>
        <w:drawing>
          <wp:anchor distT="0" distB="0" distL="0" distR="0" allowOverlap="1" layoutInCell="1" locked="0" behindDoc="0" simplePos="0" relativeHeight="15775232">
            <wp:simplePos x="0" y="0"/>
            <wp:positionH relativeFrom="page">
              <wp:posOffset>3198808</wp:posOffset>
            </wp:positionH>
            <wp:positionV relativeFrom="paragraph">
              <wp:posOffset>-7328095</wp:posOffset>
            </wp:positionV>
            <wp:extent cx="4361755" cy="8123041"/>
            <wp:effectExtent l="0" t="0" r="0" b="0"/>
            <wp:wrapNone/>
            <wp:docPr id="53" name="image27.jpeg"/>
            <wp:cNvGraphicFramePr>
              <a:graphicFrameLocks noChangeAspect="1"/>
            </wp:cNvGraphicFramePr>
            <a:graphic>
              <a:graphicData uri="http://schemas.openxmlformats.org/drawingml/2006/picture">
                <pic:pic>
                  <pic:nvPicPr>
                    <pic:cNvPr id="54" name="image27.jpeg"/>
                    <pic:cNvPicPr/>
                  </pic:nvPicPr>
                  <pic:blipFill>
                    <a:blip r:embed="rId78" cstate="print"/>
                    <a:stretch>
                      <a:fillRect/>
                    </a:stretch>
                  </pic:blipFill>
                  <pic:spPr>
                    <a:xfrm>
                      <a:off x="0" y="0"/>
                      <a:ext cx="4361755" cy="8123041"/>
                    </a:xfrm>
                    <a:prstGeom prst="rect">
                      <a:avLst/>
                    </a:prstGeom>
                  </pic:spPr>
                </pic:pic>
              </a:graphicData>
            </a:graphic>
          </wp:anchor>
        </w:drawing>
      </w:r>
      <w:r>
        <w:rPr>
          <w:rFonts w:ascii="Times New Roman"/>
          <w:color w:val="67707E"/>
          <w:spacing w:val="-2"/>
          <w:w w:val="110"/>
          <w:sz w:val="12"/>
        </w:rPr>
        <w:t>Partneriaeth</w:t>
      </w:r>
      <w:r>
        <w:rPr>
          <w:rFonts w:ascii="Times New Roman"/>
          <w:color w:val="67707E"/>
          <w:spacing w:val="40"/>
          <w:w w:val="110"/>
          <w:sz w:val="12"/>
        </w:rPr>
        <w:t> </w:t>
      </w:r>
      <w:r>
        <w:rPr>
          <w:rFonts w:ascii="Times New Roman"/>
          <w:color w:val="7C8591"/>
          <w:spacing w:val="-2"/>
          <w:w w:val="110"/>
          <w:sz w:val="12"/>
        </w:rPr>
        <w:t>Cydwasanaethau</w:t>
      </w:r>
    </w:p>
    <w:p>
      <w:pPr>
        <w:spacing w:before="6"/>
        <w:ind w:left="1273" w:right="0" w:firstLine="0"/>
        <w:jc w:val="left"/>
        <w:rPr>
          <w:rFonts w:ascii="Arial"/>
          <w:sz w:val="10"/>
        </w:rPr>
      </w:pPr>
      <w:r>
        <w:rPr>
          <w:rFonts w:ascii="Arial"/>
          <w:color w:val="C6B8A3"/>
          <w:w w:val="80"/>
          <w:sz w:val="10"/>
        </w:rPr>
        <w:t>GVw</w:t>
      </w:r>
      <w:r>
        <w:rPr>
          <w:rFonts w:ascii="Arial"/>
          <w:color w:val="C6B8A3"/>
          <w:spacing w:val="2"/>
          <w:sz w:val="10"/>
        </w:rPr>
        <w:t> </w:t>
      </w:r>
      <w:r>
        <w:rPr>
          <w:rFonts w:ascii="Times New Roman"/>
          <w:color w:val="C6B8A3"/>
          <w:w w:val="80"/>
          <w:sz w:val="10"/>
        </w:rPr>
        <w:t>1san.&gt;elhau</w:t>
      </w:r>
      <w:r>
        <w:rPr>
          <w:rFonts w:ascii="Times New Roman"/>
          <w:color w:val="C6B8A3"/>
          <w:spacing w:val="20"/>
          <w:sz w:val="10"/>
        </w:rPr>
        <w:t> </w:t>
      </w:r>
      <w:r>
        <w:rPr>
          <w:rFonts w:ascii="Arial"/>
          <w:color w:val="C6B8A3"/>
          <w:w w:val="80"/>
          <w:sz w:val="10"/>
        </w:rPr>
        <w:t>Arch-.villO</w:t>
      </w:r>
      <w:r>
        <w:rPr>
          <w:rFonts w:ascii="Arial"/>
          <w:color w:val="C6B8A3"/>
          <w:spacing w:val="-3"/>
          <w:sz w:val="10"/>
        </w:rPr>
        <w:t> </w:t>
      </w:r>
      <w:r>
        <w:rPr>
          <w:rFonts w:ascii="Times New Roman"/>
          <w:color w:val="C6B8A3"/>
          <w:w w:val="80"/>
          <w:sz w:val="6"/>
        </w:rPr>
        <w:t>,1</w:t>
      </w:r>
      <w:r>
        <w:rPr>
          <w:rFonts w:ascii="Times New Roman"/>
          <w:color w:val="C6B8A3"/>
          <w:spacing w:val="23"/>
          <w:sz w:val="6"/>
        </w:rPr>
        <w:t> </w:t>
      </w:r>
      <w:r>
        <w:rPr>
          <w:rFonts w:ascii="Arial"/>
          <w:color w:val="C6B8A3"/>
          <w:spacing w:val="-2"/>
          <w:w w:val="80"/>
          <w:sz w:val="10"/>
        </w:rPr>
        <w:t>Sicrw,,dd</w:t>
      </w:r>
    </w:p>
    <w:p>
      <w:pPr>
        <w:spacing w:line="120" w:lineRule="exact" w:before="44"/>
        <w:ind w:left="1263" w:right="0" w:firstLine="0"/>
        <w:jc w:val="left"/>
        <w:rPr>
          <w:rFonts w:ascii="Arial"/>
          <w:sz w:val="12"/>
        </w:rPr>
      </w:pPr>
      <w:r>
        <w:rPr>
          <w:rFonts w:ascii="Arial"/>
          <w:color w:val="67707E"/>
          <w:w w:val="90"/>
          <w:sz w:val="12"/>
        </w:rPr>
        <w:t>Shared</w:t>
      </w:r>
      <w:r>
        <w:rPr>
          <w:rFonts w:ascii="Arial"/>
          <w:color w:val="67707E"/>
          <w:spacing w:val="2"/>
          <w:sz w:val="12"/>
        </w:rPr>
        <w:t> </w:t>
      </w:r>
      <w:r>
        <w:rPr>
          <w:rFonts w:ascii="Arial"/>
          <w:color w:val="67707E"/>
          <w:spacing w:val="-2"/>
          <w:w w:val="95"/>
          <w:sz w:val="12"/>
        </w:rPr>
        <w:t>Services</w:t>
      </w:r>
    </w:p>
    <w:p>
      <w:pPr>
        <w:spacing w:line="118" w:lineRule="exact" w:before="0"/>
        <w:ind w:left="1276" w:right="0" w:firstLine="0"/>
        <w:jc w:val="left"/>
        <w:rPr>
          <w:rFonts w:ascii="Times New Roman"/>
          <w:sz w:val="12"/>
        </w:rPr>
      </w:pPr>
      <w:r>
        <w:rPr>
          <w:rFonts w:ascii="Times New Roman"/>
          <w:color w:val="67707E"/>
          <w:spacing w:val="-2"/>
          <w:w w:val="105"/>
          <w:sz w:val="12"/>
        </w:rPr>
        <w:t>Partnership</w:t>
      </w:r>
    </w:p>
    <w:p>
      <w:pPr>
        <w:spacing w:line="113" w:lineRule="exact" w:before="0"/>
        <w:ind w:left="1278" w:right="0" w:firstLine="0"/>
        <w:jc w:val="left"/>
        <w:rPr>
          <w:rFonts w:ascii="Arial"/>
          <w:sz w:val="10"/>
        </w:rPr>
      </w:pPr>
      <w:r>
        <w:rPr>
          <w:rFonts w:ascii="Arial"/>
          <w:color w:val="C6B8A3"/>
          <w:w w:val="90"/>
          <w:sz w:val="10"/>
        </w:rPr>
        <w:t>Audit</w:t>
      </w:r>
      <w:r>
        <w:rPr>
          <w:rFonts w:ascii="Arial"/>
          <w:color w:val="C6B8A3"/>
          <w:sz w:val="10"/>
        </w:rPr>
        <w:t> </w:t>
      </w:r>
      <w:r>
        <w:rPr>
          <w:rFonts w:ascii="Arial"/>
          <w:color w:val="C6B8A3"/>
          <w:w w:val="90"/>
          <w:sz w:val="10"/>
        </w:rPr>
        <w:t>and</w:t>
      </w:r>
      <w:r>
        <w:rPr>
          <w:rFonts w:ascii="Arial"/>
          <w:color w:val="C6B8A3"/>
          <w:spacing w:val="-2"/>
          <w:sz w:val="10"/>
        </w:rPr>
        <w:t> </w:t>
      </w:r>
      <w:r>
        <w:rPr>
          <w:rFonts w:ascii="Arial"/>
          <w:color w:val="C6B8A3"/>
          <w:w w:val="90"/>
          <w:sz w:val="10"/>
        </w:rPr>
        <w:t>Assurance</w:t>
      </w:r>
      <w:r>
        <w:rPr>
          <w:rFonts w:ascii="Arial"/>
          <w:color w:val="C6B8A3"/>
          <w:spacing w:val="2"/>
          <w:sz w:val="10"/>
        </w:rPr>
        <w:t> </w:t>
      </w:r>
      <w:r>
        <w:rPr>
          <w:rFonts w:ascii="Arial"/>
          <w:color w:val="C6B8A3"/>
          <w:spacing w:val="-2"/>
          <w:w w:val="90"/>
          <w:sz w:val="10"/>
        </w:rPr>
        <w:t>Services</w:t>
      </w:r>
    </w:p>
    <w:p>
      <w:pPr>
        <w:spacing w:before="15"/>
        <w:ind w:left="156" w:right="8137" w:firstLine="0"/>
        <w:jc w:val="both"/>
        <w:rPr>
          <w:sz w:val="18"/>
        </w:rPr>
      </w:pPr>
      <w:r>
        <w:rPr>
          <w:sz w:val="18"/>
        </w:rPr>
        <w:t>NHS</w:t>
      </w:r>
      <w:r>
        <w:rPr>
          <w:spacing w:val="-10"/>
          <w:sz w:val="18"/>
        </w:rPr>
        <w:t> </w:t>
      </w:r>
      <w:r>
        <w:rPr>
          <w:sz w:val="18"/>
        </w:rPr>
        <w:t>Wales</w:t>
      </w:r>
      <w:r>
        <w:rPr>
          <w:spacing w:val="-10"/>
          <w:sz w:val="18"/>
        </w:rPr>
        <w:t> </w:t>
      </w:r>
      <w:r>
        <w:rPr>
          <w:sz w:val="18"/>
        </w:rPr>
        <w:t>Shared</w:t>
      </w:r>
      <w:r>
        <w:rPr>
          <w:spacing w:val="-9"/>
          <w:sz w:val="18"/>
        </w:rPr>
        <w:t> </w:t>
      </w:r>
      <w:r>
        <w:rPr>
          <w:sz w:val="18"/>
        </w:rPr>
        <w:t>Services</w:t>
      </w:r>
      <w:r>
        <w:rPr>
          <w:spacing w:val="-10"/>
          <w:sz w:val="18"/>
        </w:rPr>
        <w:t> </w:t>
      </w:r>
      <w:r>
        <w:rPr>
          <w:sz w:val="18"/>
        </w:rPr>
        <w:t>Partnership 4-5 Charnwood Court</w:t>
      </w:r>
    </w:p>
    <w:p>
      <w:pPr>
        <w:spacing w:line="242" w:lineRule="auto" w:before="0"/>
        <w:ind w:left="156" w:right="10377" w:firstLine="0"/>
        <w:jc w:val="both"/>
        <w:rPr>
          <w:sz w:val="18"/>
        </w:rPr>
      </w:pPr>
      <w:r>
        <w:rPr>
          <w:sz w:val="18"/>
        </w:rPr>
        <w:t>Heol</w:t>
      </w:r>
      <w:r>
        <w:rPr>
          <w:spacing w:val="-16"/>
          <w:sz w:val="18"/>
        </w:rPr>
        <w:t> </w:t>
      </w:r>
      <w:r>
        <w:rPr>
          <w:sz w:val="18"/>
        </w:rPr>
        <w:t>Billingsley Parc Nantgarw </w:t>
      </w:r>
      <w:r>
        <w:rPr>
          <w:spacing w:val="-2"/>
          <w:sz w:val="18"/>
        </w:rPr>
        <w:t>Cardiff</w:t>
      </w:r>
    </w:p>
    <w:p>
      <w:pPr>
        <w:spacing w:line="214" w:lineRule="exact" w:before="0"/>
        <w:ind w:left="156" w:right="0" w:firstLine="0"/>
        <w:jc w:val="both"/>
        <w:rPr>
          <w:sz w:val="18"/>
        </w:rPr>
      </w:pPr>
      <w:r>
        <w:rPr>
          <w:sz w:val="18"/>
        </w:rPr>
        <w:t>CF15</w:t>
      </w:r>
      <w:r>
        <w:rPr>
          <w:spacing w:val="-1"/>
          <w:sz w:val="18"/>
        </w:rPr>
        <w:t> </w:t>
      </w:r>
      <w:r>
        <w:rPr>
          <w:spacing w:val="-5"/>
          <w:sz w:val="18"/>
        </w:rPr>
        <w:t>7QZ</w:t>
      </w:r>
    </w:p>
    <w:p>
      <w:pPr>
        <w:pStyle w:val="BodyText"/>
        <w:spacing w:before="11"/>
        <w:rPr>
          <w:sz w:val="17"/>
        </w:rPr>
      </w:pPr>
    </w:p>
    <w:p>
      <w:pPr>
        <w:spacing w:before="0"/>
        <w:ind w:left="156" w:right="7424" w:firstLine="0"/>
        <w:jc w:val="left"/>
        <w:rPr>
          <w:sz w:val="18"/>
        </w:rPr>
      </w:pPr>
      <w:r>
        <w:rPr/>
        <w:drawing>
          <wp:anchor distT="0" distB="0" distL="0" distR="0" allowOverlap="1" layoutInCell="1" locked="0" behindDoc="0" simplePos="0" relativeHeight="15775744">
            <wp:simplePos x="0" y="0"/>
            <wp:positionH relativeFrom="page">
              <wp:posOffset>24418</wp:posOffset>
            </wp:positionH>
            <wp:positionV relativeFrom="paragraph">
              <wp:posOffset>303894</wp:posOffset>
            </wp:positionV>
            <wp:extent cx="7536145" cy="732354"/>
            <wp:effectExtent l="0" t="0" r="0" b="0"/>
            <wp:wrapNone/>
            <wp:docPr id="55" name="image28.jpeg"/>
            <wp:cNvGraphicFramePr>
              <a:graphicFrameLocks noChangeAspect="1"/>
            </wp:cNvGraphicFramePr>
            <a:graphic>
              <a:graphicData uri="http://schemas.openxmlformats.org/drawingml/2006/picture">
                <pic:pic>
                  <pic:nvPicPr>
                    <pic:cNvPr id="56" name="image28.jpeg"/>
                    <pic:cNvPicPr/>
                  </pic:nvPicPr>
                  <pic:blipFill>
                    <a:blip r:embed="rId79" cstate="print"/>
                    <a:stretch>
                      <a:fillRect/>
                    </a:stretch>
                  </pic:blipFill>
                  <pic:spPr>
                    <a:xfrm>
                      <a:off x="0" y="0"/>
                      <a:ext cx="7536145" cy="732354"/>
                    </a:xfrm>
                    <a:prstGeom prst="rect">
                      <a:avLst/>
                    </a:prstGeom>
                  </pic:spPr>
                </pic:pic>
              </a:graphicData>
            </a:graphic>
          </wp:anchor>
        </w:drawing>
      </w:r>
      <w:r>
        <w:rPr/>
        <w:pict>
          <v:line style="position:absolute;mso-position-horizontal-relative:page;mso-position-vertical-relative:paragraph;z-index:15776256" from="53.8358pt,10.953862pt" to="208.613731pt,10.953862pt" stroked="true" strokeweight=".480547pt" strokecolor="#000000">
            <v:stroke dashstyle="solid"/>
            <w10:wrap type="none"/>
          </v:line>
        </w:pict>
      </w:r>
      <w:r>
        <w:rPr>
          <w:sz w:val="18"/>
        </w:rPr>
        <w:t>Website:</w:t>
      </w:r>
      <w:r>
        <w:rPr>
          <w:spacing w:val="-7"/>
          <w:sz w:val="18"/>
        </w:rPr>
        <w:t> </w:t>
      </w:r>
      <w:hyperlink r:id="rId44">
        <w:r>
          <w:rPr>
            <w:color w:val="0000FF"/>
            <w:sz w:val="18"/>
          </w:rPr>
          <w:t>Audit</w:t>
        </w:r>
        <w:r>
          <w:rPr>
            <w:color w:val="0000FF"/>
            <w:spacing w:val="-8"/>
            <w:sz w:val="18"/>
          </w:rPr>
          <w:t> </w:t>
        </w:r>
        <w:r>
          <w:rPr>
            <w:color w:val="0000FF"/>
            <w:sz w:val="18"/>
          </w:rPr>
          <w:t>&amp;</w:t>
        </w:r>
        <w:r>
          <w:rPr>
            <w:color w:val="0000FF"/>
            <w:spacing w:val="-6"/>
            <w:sz w:val="18"/>
          </w:rPr>
          <w:t> </w:t>
        </w:r>
        <w:r>
          <w:rPr>
            <w:color w:val="0000FF"/>
            <w:sz w:val="18"/>
          </w:rPr>
          <w:t>Assurance</w:t>
        </w:r>
        <w:r>
          <w:rPr>
            <w:color w:val="0000FF"/>
            <w:spacing w:val="-7"/>
            <w:sz w:val="18"/>
          </w:rPr>
          <w:t> </w:t>
        </w:r>
        <w:r>
          <w:rPr>
            <w:color w:val="0000FF"/>
            <w:sz w:val="18"/>
          </w:rPr>
          <w:t>Services</w:t>
        </w:r>
        <w:r>
          <w:rPr>
            <w:color w:val="0000FF"/>
            <w:spacing w:val="-5"/>
            <w:sz w:val="18"/>
          </w:rPr>
          <w:t> </w:t>
        </w:r>
        <w:r>
          <w:rPr>
            <w:color w:val="0000FF"/>
            <w:sz w:val="18"/>
          </w:rPr>
          <w:t>-</w:t>
        </w:r>
        <w:r>
          <w:rPr>
            <w:color w:val="0000FF"/>
            <w:spacing w:val="-7"/>
            <w:sz w:val="18"/>
          </w:rPr>
          <w:t> </w:t>
        </w:r>
        <w:r>
          <w:rPr>
            <w:color w:val="0000FF"/>
            <w:sz w:val="18"/>
          </w:rPr>
          <w:t>NHS</w:t>
        </w:r>
      </w:hyperlink>
      <w:r>
        <w:rPr>
          <w:color w:val="0000FF"/>
          <w:sz w:val="18"/>
        </w:rPr>
        <w:t> </w:t>
      </w:r>
      <w:hyperlink r:id="rId44">
        <w:r>
          <w:rPr>
            <w:color w:val="0000FF"/>
            <w:sz w:val="18"/>
          </w:rPr>
          <w:t>W</w:t>
        </w:r>
        <w:r>
          <w:rPr>
            <w:color w:val="0000FF"/>
            <w:sz w:val="18"/>
            <w:u w:val="single" w:color="000000"/>
          </w:rPr>
          <w:t>ales Shared Services Partnership</w:t>
        </w:r>
        <w:r>
          <w:rPr>
            <w:color w:val="0000FF"/>
            <w:spacing w:val="40"/>
            <w:sz w:val="18"/>
            <w:u w:val="single" w:color="000000"/>
          </w:rPr>
          <w:t> </w:t>
        </w:r>
      </w:hyperlink>
    </w:p>
    <w:p>
      <w:pPr>
        <w:spacing w:after="0"/>
        <w:jc w:val="left"/>
        <w:rPr>
          <w:sz w:val="18"/>
        </w:rPr>
        <w:sectPr>
          <w:footerReference w:type="default" r:id="rId76"/>
          <w:pgSz w:w="11910" w:h="16840"/>
          <w:pgMar w:footer="173" w:header="0" w:top="0" w:bottom="360" w:left="0" w:right="0"/>
        </w:sectPr>
      </w:pPr>
    </w:p>
    <w:p>
      <w:pPr>
        <w:pStyle w:val="BodyText"/>
        <w:rPr>
          <w:sz w:val="20"/>
        </w:rPr>
      </w:pPr>
      <w:r>
        <w:rPr/>
        <w:drawing>
          <wp:anchor distT="0" distB="0" distL="0" distR="0" allowOverlap="1" layoutInCell="1" locked="0" behindDoc="1" simplePos="0" relativeHeight="479174656">
            <wp:simplePos x="0" y="0"/>
            <wp:positionH relativeFrom="page">
              <wp:posOffset>0</wp:posOffset>
            </wp:positionH>
            <wp:positionV relativeFrom="page">
              <wp:posOffset>0</wp:posOffset>
            </wp:positionV>
            <wp:extent cx="7560564" cy="9237314"/>
            <wp:effectExtent l="0" t="0" r="0" b="0"/>
            <wp:wrapNone/>
            <wp:docPr id="57" name="image10.jpeg"/>
            <wp:cNvGraphicFramePr>
              <a:graphicFrameLocks noChangeAspect="1"/>
            </wp:cNvGraphicFramePr>
            <a:graphic>
              <a:graphicData uri="http://schemas.openxmlformats.org/drawingml/2006/picture">
                <pic:pic>
                  <pic:nvPicPr>
                    <pic:cNvPr id="58" name="image10.jpeg"/>
                    <pic:cNvPicPr/>
                  </pic:nvPicPr>
                  <pic:blipFill>
                    <a:blip r:embed="rId46" cstate="print"/>
                    <a:stretch>
                      <a:fillRect/>
                    </a:stretch>
                  </pic:blipFill>
                  <pic:spPr>
                    <a:xfrm>
                      <a:off x="0" y="0"/>
                      <a:ext cx="7560564" cy="9237314"/>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19"/>
        </w:rPr>
      </w:pPr>
    </w:p>
    <w:p>
      <w:pPr>
        <w:pStyle w:val="Heading1"/>
      </w:pPr>
      <w:bookmarkStart w:name=" 4.2.3 NWSSP-2223-12 Accounts Payable Fi" w:id="53"/>
      <w:bookmarkEnd w:id="53"/>
      <w:r>
        <w:rPr/>
      </w:r>
      <w:r>
        <w:rPr>
          <w:color w:val="3C5A8B"/>
        </w:rPr>
        <w:t>Accounts</w:t>
      </w:r>
      <w:r>
        <w:rPr>
          <w:color w:val="3C5A8B"/>
          <w:spacing w:val="-25"/>
        </w:rPr>
        <w:t> </w:t>
      </w:r>
      <w:r>
        <w:rPr>
          <w:color w:val="3C5A8B"/>
          <w:spacing w:val="-2"/>
        </w:rPr>
        <w:t>Payable</w:t>
      </w:r>
    </w:p>
    <w:p>
      <w:pPr>
        <w:spacing w:before="212"/>
        <w:ind w:left="1132" w:right="0" w:firstLine="0"/>
        <w:jc w:val="left"/>
        <w:rPr>
          <w:sz w:val="56"/>
        </w:rPr>
      </w:pPr>
      <w:r>
        <w:rPr>
          <w:color w:val="3C5A8B"/>
          <w:sz w:val="56"/>
        </w:rPr>
        <w:t>Final</w:t>
      </w:r>
      <w:r>
        <w:rPr>
          <w:color w:val="3C5A8B"/>
          <w:spacing w:val="-19"/>
          <w:sz w:val="56"/>
        </w:rPr>
        <w:t> </w:t>
      </w:r>
      <w:r>
        <w:rPr>
          <w:color w:val="3C5A8B"/>
          <w:sz w:val="56"/>
        </w:rPr>
        <w:t>Internal</w:t>
      </w:r>
      <w:r>
        <w:rPr>
          <w:color w:val="3C5A8B"/>
          <w:spacing w:val="-17"/>
          <w:sz w:val="56"/>
        </w:rPr>
        <w:t> </w:t>
      </w:r>
      <w:r>
        <w:rPr>
          <w:color w:val="3C5A8B"/>
          <w:sz w:val="56"/>
        </w:rPr>
        <w:t>Audit</w:t>
      </w:r>
      <w:r>
        <w:rPr>
          <w:color w:val="3C5A8B"/>
          <w:spacing w:val="-19"/>
          <w:sz w:val="56"/>
        </w:rPr>
        <w:t> </w:t>
      </w:r>
      <w:r>
        <w:rPr>
          <w:color w:val="3C5A8B"/>
          <w:spacing w:val="-2"/>
          <w:sz w:val="56"/>
        </w:rPr>
        <w:t>Report</w:t>
      </w:r>
    </w:p>
    <w:p>
      <w:pPr>
        <w:spacing w:before="294"/>
        <w:ind w:left="1132" w:right="0" w:firstLine="0"/>
        <w:jc w:val="left"/>
        <w:rPr>
          <w:sz w:val="44"/>
        </w:rPr>
      </w:pPr>
      <w:r>
        <w:rPr>
          <w:sz w:val="44"/>
        </w:rPr>
        <w:t>January</w:t>
      </w:r>
      <w:r>
        <w:rPr>
          <w:spacing w:val="-18"/>
          <w:sz w:val="44"/>
        </w:rPr>
        <w:t> </w:t>
      </w:r>
      <w:r>
        <w:rPr>
          <w:spacing w:val="-4"/>
          <w:sz w:val="44"/>
        </w:rPr>
        <w:t>2023</w:t>
      </w:r>
    </w:p>
    <w:p>
      <w:pPr>
        <w:pStyle w:val="BodyText"/>
        <w:spacing w:before="6"/>
        <w:rPr>
          <w:sz w:val="77"/>
        </w:rPr>
      </w:pPr>
    </w:p>
    <w:p>
      <w:pPr>
        <w:spacing w:before="0"/>
        <w:ind w:left="1132" w:right="0" w:firstLine="0"/>
        <w:jc w:val="left"/>
        <w:rPr>
          <w:sz w:val="44"/>
        </w:rPr>
      </w:pPr>
      <w:r>
        <w:rPr>
          <w:sz w:val="44"/>
        </w:rPr>
        <w:t>NHS</w:t>
      </w:r>
      <w:r>
        <w:rPr>
          <w:spacing w:val="-16"/>
          <w:sz w:val="44"/>
        </w:rPr>
        <w:t> </w:t>
      </w:r>
      <w:r>
        <w:rPr>
          <w:sz w:val="44"/>
        </w:rPr>
        <w:t>Wales</w:t>
      </w:r>
      <w:r>
        <w:rPr>
          <w:spacing w:val="-14"/>
          <w:sz w:val="44"/>
        </w:rPr>
        <w:t> </w:t>
      </w:r>
      <w:r>
        <w:rPr>
          <w:sz w:val="44"/>
        </w:rPr>
        <w:t>Shared</w:t>
      </w:r>
      <w:r>
        <w:rPr>
          <w:spacing w:val="-15"/>
          <w:sz w:val="44"/>
        </w:rPr>
        <w:t> </w:t>
      </w:r>
      <w:r>
        <w:rPr>
          <w:sz w:val="44"/>
        </w:rPr>
        <w:t>Services</w:t>
      </w:r>
      <w:r>
        <w:rPr>
          <w:spacing w:val="-14"/>
          <w:sz w:val="44"/>
        </w:rPr>
        <w:t> </w:t>
      </w:r>
      <w:r>
        <w:rPr>
          <w:spacing w:val="-2"/>
          <w:sz w:val="44"/>
        </w:rPr>
        <w:t>Partnership</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0"/>
        </w:rPr>
      </w:pPr>
      <w:r>
        <w:rPr/>
        <w:drawing>
          <wp:anchor distT="0" distB="0" distL="0" distR="0" allowOverlap="1" layoutInCell="1" locked="0" behindDoc="0" simplePos="0" relativeHeight="94">
            <wp:simplePos x="0" y="0"/>
            <wp:positionH relativeFrom="page">
              <wp:posOffset>495623</wp:posOffset>
            </wp:positionH>
            <wp:positionV relativeFrom="paragraph">
              <wp:posOffset>176572</wp:posOffset>
            </wp:positionV>
            <wp:extent cx="2163430" cy="647128"/>
            <wp:effectExtent l="0" t="0" r="0" b="0"/>
            <wp:wrapTopAndBottom/>
            <wp:docPr id="59" name="image11.jpeg"/>
            <wp:cNvGraphicFramePr>
              <a:graphicFrameLocks noChangeAspect="1"/>
            </wp:cNvGraphicFramePr>
            <a:graphic>
              <a:graphicData uri="http://schemas.openxmlformats.org/drawingml/2006/picture">
                <pic:pic>
                  <pic:nvPicPr>
                    <pic:cNvPr id="60" name="image11.jpeg"/>
                    <pic:cNvPicPr/>
                  </pic:nvPicPr>
                  <pic:blipFill>
                    <a:blip r:embed="rId47" cstate="print"/>
                    <a:stretch>
                      <a:fillRect/>
                    </a:stretch>
                  </pic:blipFill>
                  <pic:spPr>
                    <a:xfrm>
                      <a:off x="0" y="0"/>
                      <a:ext cx="2163430" cy="647128"/>
                    </a:xfrm>
                    <a:prstGeom prst="rect">
                      <a:avLst/>
                    </a:prstGeom>
                  </pic:spPr>
                </pic:pic>
              </a:graphicData>
            </a:graphic>
          </wp:anchor>
        </w:drawing>
      </w:r>
      <w:r>
        <w:rPr/>
        <w:drawing>
          <wp:anchor distT="0" distB="0" distL="0" distR="0" allowOverlap="1" layoutInCell="1" locked="0" behindDoc="0" simplePos="0" relativeHeight="95">
            <wp:simplePos x="0" y="0"/>
            <wp:positionH relativeFrom="page">
              <wp:posOffset>3779944</wp:posOffset>
            </wp:positionH>
            <wp:positionV relativeFrom="paragraph">
              <wp:posOffset>184033</wp:posOffset>
            </wp:positionV>
            <wp:extent cx="1901387" cy="585216"/>
            <wp:effectExtent l="0" t="0" r="0" b="0"/>
            <wp:wrapTopAndBottom/>
            <wp:docPr id="61" name="image12.jpeg"/>
            <wp:cNvGraphicFramePr>
              <a:graphicFrameLocks noChangeAspect="1"/>
            </wp:cNvGraphicFramePr>
            <a:graphic>
              <a:graphicData uri="http://schemas.openxmlformats.org/drawingml/2006/picture">
                <pic:pic>
                  <pic:nvPicPr>
                    <pic:cNvPr id="62" name="image12.jpeg"/>
                    <pic:cNvPicPr/>
                  </pic:nvPicPr>
                  <pic:blipFill>
                    <a:blip r:embed="rId48" cstate="print"/>
                    <a:stretch>
                      <a:fillRect/>
                    </a:stretch>
                  </pic:blipFill>
                  <pic:spPr>
                    <a:xfrm>
                      <a:off x="0" y="0"/>
                      <a:ext cx="1901387" cy="585216"/>
                    </a:xfrm>
                    <a:prstGeom prst="rect">
                      <a:avLst/>
                    </a:prstGeom>
                  </pic:spPr>
                </pic:pic>
              </a:graphicData>
            </a:graphic>
          </wp:anchor>
        </w:drawing>
      </w:r>
      <w:r>
        <w:rPr/>
        <w:drawing>
          <wp:anchor distT="0" distB="0" distL="0" distR="0" allowOverlap="1" layoutInCell="1" locked="0" behindDoc="0" simplePos="0" relativeHeight="96">
            <wp:simplePos x="0" y="0"/>
            <wp:positionH relativeFrom="page">
              <wp:posOffset>6399186</wp:posOffset>
            </wp:positionH>
            <wp:positionV relativeFrom="paragraph">
              <wp:posOffset>225467</wp:posOffset>
            </wp:positionV>
            <wp:extent cx="644183" cy="647128"/>
            <wp:effectExtent l="0" t="0" r="0" b="0"/>
            <wp:wrapTopAndBottom/>
            <wp:docPr id="63" name="image7.jpeg"/>
            <wp:cNvGraphicFramePr>
              <a:graphicFrameLocks noChangeAspect="1"/>
            </wp:cNvGraphicFramePr>
            <a:graphic>
              <a:graphicData uri="http://schemas.openxmlformats.org/drawingml/2006/picture">
                <pic:pic>
                  <pic:nvPicPr>
                    <pic:cNvPr id="64" name="image7.jpeg"/>
                    <pic:cNvPicPr/>
                  </pic:nvPicPr>
                  <pic:blipFill>
                    <a:blip r:embed="rId36" cstate="print"/>
                    <a:stretch>
                      <a:fillRect/>
                    </a:stretch>
                  </pic:blipFill>
                  <pic:spPr>
                    <a:xfrm>
                      <a:off x="0" y="0"/>
                      <a:ext cx="644183" cy="647128"/>
                    </a:xfrm>
                    <a:prstGeom prst="rect">
                      <a:avLst/>
                    </a:prstGeom>
                  </pic:spPr>
                </pic:pic>
              </a:graphicData>
            </a:graphic>
          </wp:anchor>
        </w:drawing>
      </w:r>
    </w:p>
    <w:p>
      <w:pPr>
        <w:spacing w:after="0"/>
        <w:rPr>
          <w:sz w:val="20"/>
        </w:rPr>
        <w:sectPr>
          <w:footerReference w:type="default" r:id="rId80"/>
          <w:pgSz w:w="11910" w:h="16840"/>
          <w:pgMar w:footer="173" w:header="0" w:top="1920" w:bottom="360" w:left="0" w:right="0"/>
        </w:sectPr>
      </w:pPr>
    </w:p>
    <w:p>
      <w:pPr>
        <w:pStyle w:val="BodyText"/>
        <w:tabs>
          <w:tab w:pos="7890" w:val="left" w:leader="none"/>
        </w:tabs>
        <w:spacing w:before="86"/>
        <w:ind w:left="566"/>
      </w:pPr>
      <w:r>
        <w:rPr/>
        <w:t>Accounts</w:t>
      </w:r>
      <w:r>
        <w:rPr>
          <w:spacing w:val="-2"/>
        </w:rPr>
        <w:t> Payable</w:t>
      </w:r>
      <w:r>
        <w:rPr/>
        <w:tab/>
        <w:t>Final</w:t>
      </w:r>
      <w:r>
        <w:rPr>
          <w:spacing w:val="-6"/>
        </w:rPr>
        <w:t> </w:t>
      </w:r>
      <w:r>
        <w:rPr/>
        <w:t>Internal</w:t>
      </w:r>
      <w:r>
        <w:rPr>
          <w:spacing w:val="-3"/>
        </w:rPr>
        <w:t> </w:t>
      </w:r>
      <w:r>
        <w:rPr/>
        <w:t>Audit</w:t>
      </w:r>
      <w:r>
        <w:rPr>
          <w:spacing w:val="-1"/>
        </w:rPr>
        <w:t> </w:t>
      </w:r>
      <w:r>
        <w:rPr>
          <w:spacing w:val="-2"/>
        </w:rPr>
        <w:t>Report</w:t>
      </w:r>
    </w:p>
    <w:p>
      <w:pPr>
        <w:pStyle w:val="BodyText"/>
        <w:rPr>
          <w:sz w:val="20"/>
        </w:rPr>
      </w:pPr>
      <w:r>
        <w:rPr/>
        <w:pict>
          <v:shape style="position:absolute;margin-left:27.6pt;margin-top:13.355979pt;width:532.450pt;height:1.45pt;mso-position-horizontal-relative:page;mso-position-vertical-relative:paragraph;z-index:-15678464;mso-wrap-distance-left:0;mso-wrap-distance-right:0" id="docshape201" coordorigin="552,267" coordsize="10649,29" path="m11200,267l5943,267,5929,267,5915,267,552,267,552,296,5915,296,5929,296,5943,296,11200,296,11200,267xe" filled="true" fillcolor="#000000" stroked="false">
            <v:path arrowok="t"/>
            <v:fill type="solid"/>
            <w10:wrap type="topAndBottom"/>
          </v:shape>
        </w:pict>
      </w:r>
    </w:p>
    <w:p>
      <w:pPr>
        <w:pStyle w:val="BodyText"/>
        <w:spacing w:before="4"/>
        <w:rPr>
          <w:sz w:val="26"/>
        </w:rPr>
      </w:pPr>
    </w:p>
    <w:p>
      <w:pPr>
        <w:pStyle w:val="Heading2"/>
      </w:pPr>
      <w:r>
        <w:rPr>
          <w:color w:val="2E5395"/>
          <w:spacing w:val="-2"/>
        </w:rPr>
        <w:t>Contents</w:t>
      </w:r>
    </w:p>
    <w:p>
      <w:pPr>
        <w:tabs>
          <w:tab w:pos="11191" w:val="right" w:leader="dot"/>
        </w:tabs>
        <w:spacing w:before="492"/>
        <w:ind w:left="566" w:right="0" w:firstLine="0"/>
        <w:jc w:val="left"/>
        <w:rPr>
          <w:sz w:val="22"/>
        </w:rPr>
      </w:pPr>
      <w:hyperlink w:history="true" w:anchor="_bookmark10">
        <w:r>
          <w:rPr>
            <w:sz w:val="22"/>
          </w:rPr>
          <w:t>Executive</w:t>
        </w:r>
        <w:r>
          <w:rPr>
            <w:spacing w:val="-6"/>
            <w:sz w:val="22"/>
          </w:rPr>
          <w:t> </w:t>
        </w:r>
        <w:r>
          <w:rPr>
            <w:spacing w:val="-2"/>
            <w:sz w:val="22"/>
          </w:rPr>
          <w:t>Summary</w:t>
        </w:r>
        <w:r>
          <w:rPr>
            <w:sz w:val="22"/>
          </w:rPr>
          <w:tab/>
        </w:r>
        <w:r>
          <w:rPr>
            <w:spacing w:val="-10"/>
            <w:sz w:val="22"/>
          </w:rPr>
          <w:t>3</w:t>
        </w:r>
      </w:hyperlink>
    </w:p>
    <w:p>
      <w:pPr>
        <w:pStyle w:val="ListParagraph"/>
        <w:numPr>
          <w:ilvl w:val="0"/>
          <w:numId w:val="21"/>
        </w:numPr>
        <w:tabs>
          <w:tab w:pos="1005" w:val="left" w:leader="none"/>
          <w:tab w:pos="1006" w:val="left" w:leader="none"/>
          <w:tab w:pos="11191" w:val="right" w:leader="dot"/>
        </w:tabs>
        <w:spacing w:line="240" w:lineRule="auto" w:before="119" w:after="0"/>
        <w:ind w:left="1005" w:right="0" w:hanging="440"/>
        <w:jc w:val="left"/>
        <w:rPr>
          <w:sz w:val="22"/>
        </w:rPr>
      </w:pPr>
      <w:hyperlink w:history="true" w:anchor="_bookmark11">
        <w:r>
          <w:rPr>
            <w:spacing w:val="-2"/>
            <w:sz w:val="22"/>
          </w:rPr>
          <w:t>Introduction</w:t>
        </w:r>
        <w:r>
          <w:rPr>
            <w:sz w:val="22"/>
          </w:rPr>
          <w:tab/>
        </w:r>
        <w:r>
          <w:rPr>
            <w:spacing w:val="-10"/>
            <w:sz w:val="22"/>
          </w:rPr>
          <w:t>4</w:t>
        </w:r>
      </w:hyperlink>
    </w:p>
    <w:p>
      <w:pPr>
        <w:pStyle w:val="ListParagraph"/>
        <w:numPr>
          <w:ilvl w:val="0"/>
          <w:numId w:val="21"/>
        </w:numPr>
        <w:tabs>
          <w:tab w:pos="1005" w:val="left" w:leader="none"/>
          <w:tab w:pos="1006" w:val="left" w:leader="none"/>
          <w:tab w:pos="11191" w:val="right" w:leader="dot"/>
        </w:tabs>
        <w:spacing w:line="240" w:lineRule="auto" w:before="121" w:after="0"/>
        <w:ind w:left="1005" w:right="0" w:hanging="440"/>
        <w:jc w:val="left"/>
        <w:rPr>
          <w:sz w:val="22"/>
        </w:rPr>
      </w:pPr>
      <w:hyperlink w:history="true" w:anchor="_bookmark12">
        <w:r>
          <w:rPr>
            <w:sz w:val="22"/>
          </w:rPr>
          <w:t>Detailed</w:t>
        </w:r>
        <w:r>
          <w:rPr>
            <w:spacing w:val="-5"/>
            <w:sz w:val="22"/>
          </w:rPr>
          <w:t> </w:t>
        </w:r>
        <w:r>
          <w:rPr>
            <w:sz w:val="22"/>
          </w:rPr>
          <w:t>Audit</w:t>
        </w:r>
        <w:r>
          <w:rPr>
            <w:spacing w:val="-4"/>
            <w:sz w:val="22"/>
          </w:rPr>
          <w:t> </w:t>
        </w:r>
        <w:r>
          <w:rPr>
            <w:spacing w:val="-2"/>
            <w:sz w:val="22"/>
          </w:rPr>
          <w:t>Findings</w:t>
        </w:r>
        <w:r>
          <w:rPr>
            <w:sz w:val="22"/>
          </w:rPr>
          <w:tab/>
        </w:r>
        <w:r>
          <w:rPr>
            <w:spacing w:val="-10"/>
            <w:sz w:val="22"/>
          </w:rPr>
          <w:t>5</w:t>
        </w:r>
      </w:hyperlink>
    </w:p>
    <w:p>
      <w:pPr>
        <w:tabs>
          <w:tab w:pos="11191" w:val="right" w:leader="dot"/>
        </w:tabs>
        <w:spacing w:before="122"/>
        <w:ind w:left="566" w:right="0" w:firstLine="0"/>
        <w:jc w:val="left"/>
        <w:rPr>
          <w:sz w:val="22"/>
        </w:rPr>
      </w:pPr>
      <w:hyperlink w:history="true" w:anchor="_bookmark13">
        <w:r>
          <w:rPr>
            <w:sz w:val="22"/>
          </w:rPr>
          <w:t>Appendix</w:t>
        </w:r>
        <w:r>
          <w:rPr>
            <w:spacing w:val="-6"/>
            <w:sz w:val="22"/>
          </w:rPr>
          <w:t> </w:t>
        </w:r>
        <w:r>
          <w:rPr>
            <w:sz w:val="22"/>
          </w:rPr>
          <w:t>A:</w:t>
        </w:r>
        <w:r>
          <w:rPr>
            <w:spacing w:val="-4"/>
            <w:sz w:val="22"/>
          </w:rPr>
          <w:t> </w:t>
        </w:r>
        <w:r>
          <w:rPr>
            <w:sz w:val="22"/>
          </w:rPr>
          <w:t>Management</w:t>
        </w:r>
        <w:r>
          <w:rPr>
            <w:spacing w:val="-5"/>
            <w:sz w:val="22"/>
          </w:rPr>
          <w:t> </w:t>
        </w:r>
        <w:r>
          <w:rPr>
            <w:sz w:val="22"/>
          </w:rPr>
          <w:t>Action</w:t>
        </w:r>
        <w:r>
          <w:rPr>
            <w:spacing w:val="-4"/>
            <w:sz w:val="22"/>
          </w:rPr>
          <w:t> Plan</w:t>
        </w:r>
        <w:r>
          <w:rPr>
            <w:sz w:val="22"/>
          </w:rPr>
          <w:tab/>
        </w:r>
        <w:r>
          <w:rPr>
            <w:spacing w:val="-5"/>
            <w:sz w:val="22"/>
          </w:rPr>
          <w:t>11</w:t>
        </w:r>
      </w:hyperlink>
    </w:p>
    <w:p>
      <w:pPr>
        <w:tabs>
          <w:tab w:pos="11193" w:val="right" w:leader="dot"/>
        </w:tabs>
        <w:spacing w:before="121"/>
        <w:ind w:left="566" w:right="0" w:firstLine="0"/>
        <w:jc w:val="left"/>
        <w:rPr>
          <w:sz w:val="22"/>
        </w:rPr>
      </w:pPr>
      <w:hyperlink w:history="true" w:anchor="_bookmark14">
        <w:r>
          <w:rPr>
            <w:sz w:val="22"/>
          </w:rPr>
          <w:t>Appendix</w:t>
        </w:r>
        <w:r>
          <w:rPr>
            <w:spacing w:val="-7"/>
            <w:sz w:val="22"/>
          </w:rPr>
          <w:t> </w:t>
        </w:r>
        <w:r>
          <w:rPr>
            <w:sz w:val="22"/>
          </w:rPr>
          <w:t>B:</w:t>
        </w:r>
        <w:r>
          <w:rPr>
            <w:spacing w:val="-3"/>
            <w:sz w:val="22"/>
          </w:rPr>
          <w:t> </w:t>
        </w:r>
        <w:r>
          <w:rPr>
            <w:sz w:val="22"/>
          </w:rPr>
          <w:t>Assurance</w:t>
        </w:r>
        <w:r>
          <w:rPr>
            <w:spacing w:val="-3"/>
            <w:sz w:val="22"/>
          </w:rPr>
          <w:t> </w:t>
        </w:r>
        <w:r>
          <w:rPr>
            <w:sz w:val="22"/>
          </w:rPr>
          <w:t>opinion</w:t>
        </w:r>
        <w:r>
          <w:rPr>
            <w:spacing w:val="-4"/>
            <w:sz w:val="22"/>
          </w:rPr>
          <w:t> </w:t>
        </w:r>
        <w:r>
          <w:rPr>
            <w:sz w:val="22"/>
          </w:rPr>
          <w:t>and</w:t>
        </w:r>
        <w:r>
          <w:rPr>
            <w:spacing w:val="-4"/>
            <w:sz w:val="22"/>
          </w:rPr>
          <w:t> </w:t>
        </w:r>
        <w:r>
          <w:rPr>
            <w:sz w:val="22"/>
          </w:rPr>
          <w:t>action</w:t>
        </w:r>
        <w:r>
          <w:rPr>
            <w:spacing w:val="-5"/>
            <w:sz w:val="22"/>
          </w:rPr>
          <w:t> </w:t>
        </w:r>
        <w:r>
          <w:rPr>
            <w:sz w:val="22"/>
          </w:rPr>
          <w:t>plan</w:t>
        </w:r>
        <w:r>
          <w:rPr>
            <w:spacing w:val="-5"/>
            <w:sz w:val="22"/>
          </w:rPr>
          <w:t> </w:t>
        </w:r>
        <w:r>
          <w:rPr>
            <w:sz w:val="22"/>
          </w:rPr>
          <w:t>risk</w:t>
        </w:r>
        <w:r>
          <w:rPr>
            <w:spacing w:val="-4"/>
            <w:sz w:val="22"/>
          </w:rPr>
          <w:t> </w:t>
        </w:r>
        <w:r>
          <w:rPr>
            <w:spacing w:val="-2"/>
            <w:sz w:val="22"/>
          </w:rPr>
          <w:t>rating</w:t>
        </w:r>
        <w:r>
          <w:rPr>
            <w:sz w:val="22"/>
          </w:rPr>
          <w:tab/>
        </w:r>
        <w:r>
          <w:rPr>
            <w:spacing w:val="-5"/>
            <w:sz w:val="22"/>
          </w:rPr>
          <w:t>15</w:t>
        </w:r>
      </w:hyperlink>
    </w:p>
    <w:p>
      <w:pPr>
        <w:pStyle w:val="BodyText"/>
        <w:rPr>
          <w:sz w:val="20"/>
        </w:rPr>
      </w:pPr>
    </w:p>
    <w:p>
      <w:pPr>
        <w:pStyle w:val="BodyText"/>
        <w:spacing w:before="9"/>
      </w:pPr>
      <w:r>
        <w:rPr/>
        <w:pict>
          <v:group style="position:absolute;margin-left:28.32pt;margin-top:16.277460pt;width:531.25pt;height:241.15pt;mso-position-horizontal-relative:page;mso-position-vertical-relative:paragraph;z-index:-15677952;mso-wrap-distance-left:0;mso-wrap-distance-right:0" id="docshapegroup202" coordorigin="566,326" coordsize="10625,4823">
            <v:shape style="position:absolute;left:566;top:325;width:10625;height:4823" id="docshape203" coordorigin="566,326" coordsize="10625,4823" path="m4112,472l566,472,566,782,566,1094,566,1404,566,1713,566,2023,566,2333,566,2642,566,2952,566,3264,566,3573,566,3573,566,4692,566,5004,566,5148,4112,5148,4112,5004,4112,4692,4112,3573,4112,3573,4112,3264,4112,2952,4112,2642,4112,2333,4112,2023,4112,1713,4112,1404,4112,1094,4112,782,4112,472xm4112,326l566,326,566,472,4112,472,4112,326xm11191,472l4112,472,4112,782,4112,1094,4112,1404,4112,1713,4112,2023,4112,2333,4112,2642,4112,2952,4112,3264,4112,3573,4112,3573,4112,4692,4112,5004,4112,5148,11191,5148,11191,5004,11191,4692,11191,3573,11191,3573,11191,3264,11191,2952,11191,2642,11191,2333,11191,2023,11191,1713,11191,1404,11191,1094,11191,782,11191,472xm11191,326l4112,326,4112,472,11191,472,11191,326xe" filled="true" fillcolor="#d9e1f3" stroked="false">
              <v:path arrowok="t"/>
              <v:fill type="solid"/>
            </v:shape>
            <v:shape style="position:absolute;left:674;top:520;width:2927;height:4443" type="#_x0000_t202" id="docshape204" filled="false" stroked="false">
              <v:textbox inset="0,0,0,0">
                <w:txbxContent>
                  <w:p>
                    <w:pPr>
                      <w:spacing w:line="223" w:lineRule="exact" w:before="0"/>
                      <w:ind w:left="0" w:right="0" w:firstLine="0"/>
                      <w:jc w:val="left"/>
                      <w:rPr>
                        <w:rFonts w:ascii="Arial"/>
                        <w:sz w:val="20"/>
                      </w:rPr>
                    </w:pPr>
                    <w:r>
                      <w:rPr>
                        <w:rFonts w:ascii="Arial"/>
                        <w:sz w:val="20"/>
                      </w:rPr>
                      <w:t>Review</w:t>
                    </w:r>
                    <w:r>
                      <w:rPr>
                        <w:rFonts w:ascii="Arial"/>
                        <w:spacing w:val="-11"/>
                        <w:sz w:val="20"/>
                      </w:rPr>
                      <w:t> </w:t>
                    </w:r>
                    <w:r>
                      <w:rPr>
                        <w:rFonts w:ascii="Arial"/>
                        <w:spacing w:val="-2"/>
                        <w:sz w:val="20"/>
                      </w:rPr>
                      <w:t>reference:</w:t>
                    </w:r>
                  </w:p>
                  <w:p>
                    <w:pPr>
                      <w:spacing w:before="79"/>
                      <w:ind w:left="0" w:right="0" w:firstLine="0"/>
                      <w:jc w:val="left"/>
                      <w:rPr>
                        <w:rFonts w:ascii="Arial"/>
                        <w:sz w:val="20"/>
                      </w:rPr>
                    </w:pPr>
                    <w:r>
                      <w:rPr>
                        <w:rFonts w:ascii="Arial"/>
                        <w:sz w:val="20"/>
                      </w:rPr>
                      <w:t>Report</w:t>
                    </w:r>
                    <w:r>
                      <w:rPr>
                        <w:rFonts w:ascii="Arial"/>
                        <w:spacing w:val="-10"/>
                        <w:sz w:val="20"/>
                      </w:rPr>
                      <w:t> </w:t>
                    </w:r>
                    <w:r>
                      <w:rPr>
                        <w:rFonts w:ascii="Arial"/>
                        <w:spacing w:val="-2"/>
                        <w:sz w:val="20"/>
                      </w:rPr>
                      <w:t>status:</w:t>
                    </w:r>
                  </w:p>
                  <w:p>
                    <w:pPr>
                      <w:spacing w:line="324" w:lineRule="auto" w:before="82"/>
                      <w:ind w:left="0" w:right="535" w:firstLine="0"/>
                      <w:jc w:val="left"/>
                      <w:rPr>
                        <w:rFonts w:ascii="Arial"/>
                        <w:sz w:val="20"/>
                      </w:rPr>
                    </w:pPr>
                    <w:r>
                      <w:rPr>
                        <w:rFonts w:ascii="Arial"/>
                        <w:sz w:val="20"/>
                      </w:rPr>
                      <w:t>Fieldwork</w:t>
                    </w:r>
                    <w:r>
                      <w:rPr>
                        <w:rFonts w:ascii="Arial"/>
                        <w:spacing w:val="-14"/>
                        <w:sz w:val="20"/>
                      </w:rPr>
                      <w:t> </w:t>
                    </w:r>
                    <w:r>
                      <w:rPr>
                        <w:rFonts w:ascii="Arial"/>
                        <w:sz w:val="20"/>
                      </w:rPr>
                      <w:t>commencement: Mid-audit review meeting: Fieldwork completion:</w:t>
                    </w:r>
                  </w:p>
                  <w:p>
                    <w:pPr>
                      <w:spacing w:line="324" w:lineRule="auto" w:before="0"/>
                      <w:ind w:left="0" w:right="18" w:firstLine="0"/>
                      <w:jc w:val="left"/>
                      <w:rPr>
                        <w:rFonts w:ascii="Arial"/>
                        <w:sz w:val="20"/>
                      </w:rPr>
                    </w:pPr>
                    <w:r>
                      <w:rPr>
                        <w:rFonts w:ascii="Arial"/>
                        <w:sz w:val="20"/>
                      </w:rPr>
                      <w:t>Draft report issued:</w:t>
                    </w:r>
                    <w:r>
                      <w:rPr>
                        <w:rFonts w:ascii="Arial"/>
                        <w:spacing w:val="40"/>
                        <w:sz w:val="20"/>
                      </w:rPr>
                      <w:t> </w:t>
                    </w:r>
                    <w:r>
                      <w:rPr>
                        <w:rFonts w:ascii="Arial"/>
                        <w:sz w:val="20"/>
                      </w:rPr>
                      <w:t>Management</w:t>
                    </w:r>
                    <w:r>
                      <w:rPr>
                        <w:rFonts w:ascii="Arial"/>
                        <w:spacing w:val="-14"/>
                        <w:sz w:val="20"/>
                      </w:rPr>
                      <w:t> </w:t>
                    </w:r>
                    <w:r>
                      <w:rPr>
                        <w:rFonts w:ascii="Arial"/>
                        <w:sz w:val="20"/>
                      </w:rPr>
                      <w:t>response</w:t>
                    </w:r>
                    <w:r>
                      <w:rPr>
                        <w:rFonts w:ascii="Arial"/>
                        <w:spacing w:val="-14"/>
                        <w:sz w:val="20"/>
                      </w:rPr>
                      <w:t> </w:t>
                    </w:r>
                    <w:r>
                      <w:rPr>
                        <w:rFonts w:ascii="Arial"/>
                        <w:sz w:val="20"/>
                      </w:rPr>
                      <w:t>received: Final report issued:</w:t>
                    </w:r>
                  </w:p>
                  <w:p>
                    <w:pPr>
                      <w:spacing w:line="324" w:lineRule="auto" w:before="0"/>
                      <w:ind w:left="0" w:right="1288" w:firstLine="0"/>
                      <w:jc w:val="left"/>
                      <w:rPr>
                        <w:rFonts w:ascii="Arial"/>
                        <w:sz w:val="20"/>
                      </w:rPr>
                    </w:pPr>
                    <w:r>
                      <w:rPr>
                        <w:rFonts w:ascii="Arial"/>
                        <w:spacing w:val="-2"/>
                        <w:sz w:val="20"/>
                      </w:rPr>
                      <w:t>Auditors: </w:t>
                    </w:r>
                    <w:r>
                      <w:rPr>
                        <w:rFonts w:ascii="Arial"/>
                        <w:sz w:val="20"/>
                      </w:rPr>
                      <w:t>Executive</w:t>
                    </w:r>
                    <w:r>
                      <w:rPr>
                        <w:rFonts w:ascii="Arial"/>
                        <w:spacing w:val="-14"/>
                        <w:sz w:val="20"/>
                      </w:rPr>
                      <w:t> </w:t>
                    </w:r>
                    <w:r>
                      <w:rPr>
                        <w:rFonts w:ascii="Arial"/>
                        <w:sz w:val="20"/>
                      </w:rPr>
                      <w:t>sign-off: </w:t>
                    </w:r>
                    <w:r>
                      <w:rPr>
                        <w:rFonts w:ascii="Arial"/>
                        <w:spacing w:val="-2"/>
                        <w:sz w:val="20"/>
                      </w:rPr>
                      <w:t>Distribution:</w:t>
                    </w:r>
                  </w:p>
                  <w:p>
                    <w:pPr>
                      <w:spacing w:line="240" w:lineRule="auto" w:before="0"/>
                      <w:rPr>
                        <w:rFonts w:ascii="Arial"/>
                        <w:sz w:val="22"/>
                      </w:rPr>
                    </w:pPr>
                  </w:p>
                  <w:p>
                    <w:pPr>
                      <w:spacing w:line="240" w:lineRule="auto" w:before="0"/>
                      <w:rPr>
                        <w:rFonts w:ascii="Arial"/>
                        <w:sz w:val="22"/>
                      </w:rPr>
                    </w:pPr>
                  </w:p>
                  <w:p>
                    <w:pPr>
                      <w:spacing w:line="240" w:lineRule="auto" w:before="10"/>
                      <w:rPr>
                        <w:rFonts w:ascii="Arial"/>
                        <w:sz w:val="25"/>
                      </w:rPr>
                    </w:pPr>
                  </w:p>
                  <w:p>
                    <w:pPr>
                      <w:spacing w:before="1"/>
                      <w:ind w:left="0" w:right="0" w:firstLine="0"/>
                      <w:jc w:val="left"/>
                      <w:rPr>
                        <w:rFonts w:ascii="Arial"/>
                        <w:sz w:val="20"/>
                      </w:rPr>
                    </w:pPr>
                    <w:r>
                      <w:rPr>
                        <w:rFonts w:ascii="Arial"/>
                        <w:spacing w:val="-2"/>
                        <w:sz w:val="20"/>
                      </w:rPr>
                      <w:t>Committee:</w:t>
                    </w:r>
                  </w:p>
                </w:txbxContent>
              </v:textbox>
              <w10:wrap type="none"/>
            </v:shape>
            <v:shape style="position:absolute;left:4220;top:520;width:5287;height:4443" type="#_x0000_t202" id="docshape205" filled="false" stroked="false">
              <v:textbox inset="0,0,0,0">
                <w:txbxContent>
                  <w:p>
                    <w:pPr>
                      <w:spacing w:line="223" w:lineRule="exact" w:before="0"/>
                      <w:ind w:left="0" w:right="0" w:firstLine="0"/>
                      <w:jc w:val="left"/>
                      <w:rPr>
                        <w:rFonts w:ascii="Arial"/>
                        <w:sz w:val="20"/>
                      </w:rPr>
                    </w:pPr>
                    <w:r>
                      <w:rPr>
                        <w:rFonts w:ascii="Arial"/>
                        <w:spacing w:val="-2"/>
                        <w:sz w:val="20"/>
                      </w:rPr>
                      <w:t>NWSSP-2223-</w:t>
                    </w:r>
                    <w:r>
                      <w:rPr>
                        <w:rFonts w:ascii="Arial"/>
                        <w:spacing w:val="-5"/>
                        <w:sz w:val="20"/>
                      </w:rPr>
                      <w:t>12</w:t>
                    </w:r>
                  </w:p>
                  <w:p>
                    <w:pPr>
                      <w:spacing w:before="79"/>
                      <w:ind w:left="0" w:right="0" w:firstLine="0"/>
                      <w:jc w:val="left"/>
                      <w:rPr>
                        <w:rFonts w:ascii="Arial"/>
                        <w:sz w:val="20"/>
                      </w:rPr>
                    </w:pPr>
                    <w:r>
                      <w:rPr>
                        <w:rFonts w:ascii="Arial"/>
                        <w:spacing w:val="-2"/>
                        <w:sz w:val="20"/>
                      </w:rPr>
                      <w:t>Final</w:t>
                    </w:r>
                  </w:p>
                  <w:p>
                    <w:pPr>
                      <w:spacing w:before="82"/>
                      <w:ind w:left="0" w:right="0" w:firstLine="0"/>
                      <w:jc w:val="left"/>
                      <w:rPr>
                        <w:rFonts w:ascii="Arial"/>
                        <w:sz w:val="20"/>
                      </w:rPr>
                    </w:pPr>
                    <w:r>
                      <w:rPr>
                        <w:rFonts w:ascii="Arial"/>
                        <w:sz w:val="20"/>
                      </w:rPr>
                      <w:t>24</w:t>
                    </w:r>
                    <w:r>
                      <w:rPr>
                        <w:rFonts w:ascii="Arial"/>
                        <w:spacing w:val="-7"/>
                        <w:sz w:val="20"/>
                      </w:rPr>
                      <w:t> </w:t>
                    </w:r>
                    <w:r>
                      <w:rPr>
                        <w:rFonts w:ascii="Arial"/>
                        <w:sz w:val="20"/>
                      </w:rPr>
                      <w:t>August</w:t>
                    </w:r>
                    <w:r>
                      <w:rPr>
                        <w:rFonts w:ascii="Arial"/>
                        <w:spacing w:val="-5"/>
                        <w:sz w:val="20"/>
                      </w:rPr>
                      <w:t> </w:t>
                    </w:r>
                    <w:r>
                      <w:rPr>
                        <w:rFonts w:ascii="Arial"/>
                        <w:spacing w:val="-4"/>
                        <w:sz w:val="20"/>
                      </w:rPr>
                      <w:t>2022</w:t>
                    </w:r>
                  </w:p>
                  <w:p>
                    <w:pPr>
                      <w:spacing w:before="80"/>
                      <w:ind w:left="0" w:right="0" w:firstLine="0"/>
                      <w:jc w:val="left"/>
                      <w:rPr>
                        <w:rFonts w:ascii="Arial"/>
                        <w:sz w:val="20"/>
                      </w:rPr>
                    </w:pPr>
                    <w:r>
                      <w:rPr>
                        <w:rFonts w:ascii="Arial"/>
                        <w:sz w:val="20"/>
                      </w:rPr>
                      <w:t>17</w:t>
                    </w:r>
                    <w:r>
                      <w:rPr>
                        <w:rFonts w:ascii="Arial"/>
                        <w:spacing w:val="-20"/>
                        <w:sz w:val="20"/>
                      </w:rPr>
                      <w:t> </w:t>
                    </w:r>
                    <w:r>
                      <w:rPr>
                        <w:rFonts w:ascii="Arial"/>
                        <w:sz w:val="20"/>
                      </w:rPr>
                      <w:t>November</w:t>
                    </w:r>
                    <w:r>
                      <w:rPr>
                        <w:rFonts w:ascii="Arial"/>
                        <w:spacing w:val="-12"/>
                        <w:sz w:val="20"/>
                      </w:rPr>
                      <w:t> </w:t>
                    </w:r>
                    <w:r>
                      <w:rPr>
                        <w:rFonts w:ascii="Arial"/>
                        <w:spacing w:val="-4"/>
                        <w:sz w:val="20"/>
                      </w:rPr>
                      <w:t>2022</w:t>
                    </w:r>
                  </w:p>
                  <w:p>
                    <w:pPr>
                      <w:spacing w:before="80"/>
                      <w:ind w:left="0" w:right="0" w:firstLine="0"/>
                      <w:jc w:val="left"/>
                      <w:rPr>
                        <w:rFonts w:ascii="Arial"/>
                        <w:sz w:val="20"/>
                      </w:rPr>
                    </w:pPr>
                    <w:r>
                      <w:rPr>
                        <w:rFonts w:ascii="Arial"/>
                        <w:sz w:val="20"/>
                      </w:rPr>
                      <w:t>20</w:t>
                    </w:r>
                    <w:r>
                      <w:rPr>
                        <w:rFonts w:ascii="Arial"/>
                        <w:spacing w:val="-7"/>
                        <w:sz w:val="20"/>
                      </w:rPr>
                      <w:t> </w:t>
                    </w:r>
                    <w:r>
                      <w:rPr>
                        <w:rFonts w:ascii="Arial"/>
                        <w:sz w:val="20"/>
                      </w:rPr>
                      <w:t>December</w:t>
                    </w:r>
                    <w:r>
                      <w:rPr>
                        <w:rFonts w:ascii="Arial"/>
                        <w:spacing w:val="-6"/>
                        <w:sz w:val="20"/>
                      </w:rPr>
                      <w:t> </w:t>
                    </w:r>
                    <w:r>
                      <w:rPr>
                        <w:rFonts w:ascii="Arial"/>
                        <w:spacing w:val="-4"/>
                        <w:sz w:val="20"/>
                      </w:rPr>
                      <w:t>2022</w:t>
                    </w:r>
                  </w:p>
                  <w:p>
                    <w:pPr>
                      <w:spacing w:before="79"/>
                      <w:ind w:left="0" w:right="0" w:firstLine="0"/>
                      <w:jc w:val="left"/>
                      <w:rPr>
                        <w:rFonts w:ascii="Arial"/>
                        <w:sz w:val="20"/>
                      </w:rPr>
                    </w:pPr>
                    <w:r>
                      <w:rPr>
                        <w:rFonts w:ascii="Arial"/>
                        <w:sz w:val="20"/>
                      </w:rPr>
                      <w:t>9</w:t>
                    </w:r>
                    <w:r>
                      <w:rPr>
                        <w:rFonts w:ascii="Arial"/>
                        <w:spacing w:val="-7"/>
                        <w:sz w:val="20"/>
                      </w:rPr>
                      <w:t> </w:t>
                    </w:r>
                    <w:r>
                      <w:rPr>
                        <w:rFonts w:ascii="Arial"/>
                        <w:sz w:val="20"/>
                      </w:rPr>
                      <w:t>January</w:t>
                    </w:r>
                    <w:r>
                      <w:rPr>
                        <w:rFonts w:ascii="Arial"/>
                        <w:spacing w:val="-4"/>
                        <w:sz w:val="20"/>
                      </w:rPr>
                      <w:t> 2023</w:t>
                    </w:r>
                  </w:p>
                  <w:p>
                    <w:pPr>
                      <w:spacing w:before="80"/>
                      <w:ind w:left="0" w:right="0" w:firstLine="0"/>
                      <w:jc w:val="left"/>
                      <w:rPr>
                        <w:rFonts w:ascii="Arial"/>
                        <w:sz w:val="20"/>
                      </w:rPr>
                    </w:pPr>
                    <w:r>
                      <w:rPr>
                        <w:rFonts w:ascii="Arial"/>
                        <w:sz w:val="20"/>
                      </w:rPr>
                      <w:t>11</w:t>
                    </w:r>
                    <w:r>
                      <w:rPr>
                        <w:rFonts w:ascii="Arial"/>
                        <w:spacing w:val="-7"/>
                        <w:sz w:val="20"/>
                      </w:rPr>
                      <w:t> </w:t>
                    </w:r>
                    <w:r>
                      <w:rPr>
                        <w:rFonts w:ascii="Arial"/>
                        <w:sz w:val="20"/>
                      </w:rPr>
                      <w:t>January</w:t>
                    </w:r>
                    <w:r>
                      <w:rPr>
                        <w:rFonts w:ascii="Arial"/>
                        <w:spacing w:val="-6"/>
                        <w:sz w:val="20"/>
                      </w:rPr>
                      <w:t> </w:t>
                    </w:r>
                    <w:r>
                      <w:rPr>
                        <w:rFonts w:ascii="Arial"/>
                        <w:spacing w:val="-4"/>
                        <w:sz w:val="20"/>
                      </w:rPr>
                      <w:t>2023</w:t>
                    </w:r>
                  </w:p>
                  <w:p>
                    <w:pPr>
                      <w:spacing w:before="79"/>
                      <w:ind w:left="0" w:right="0" w:firstLine="0"/>
                      <w:jc w:val="left"/>
                      <w:rPr>
                        <w:rFonts w:ascii="Arial"/>
                        <w:sz w:val="20"/>
                      </w:rPr>
                    </w:pPr>
                    <w:r>
                      <w:rPr>
                        <w:rFonts w:ascii="Arial"/>
                        <w:sz w:val="20"/>
                      </w:rPr>
                      <w:t>13</w:t>
                    </w:r>
                    <w:r>
                      <w:rPr>
                        <w:rFonts w:ascii="Arial"/>
                        <w:spacing w:val="-7"/>
                        <w:sz w:val="20"/>
                      </w:rPr>
                      <w:t> </w:t>
                    </w:r>
                    <w:r>
                      <w:rPr>
                        <w:rFonts w:ascii="Arial"/>
                        <w:sz w:val="20"/>
                      </w:rPr>
                      <w:t>January</w:t>
                    </w:r>
                    <w:r>
                      <w:rPr>
                        <w:rFonts w:ascii="Arial"/>
                        <w:spacing w:val="-6"/>
                        <w:sz w:val="20"/>
                      </w:rPr>
                      <w:t> </w:t>
                    </w:r>
                    <w:r>
                      <w:rPr>
                        <w:rFonts w:ascii="Arial"/>
                        <w:spacing w:val="-4"/>
                        <w:sz w:val="20"/>
                      </w:rPr>
                      <w:t>2023</w:t>
                    </w:r>
                  </w:p>
                  <w:p>
                    <w:pPr>
                      <w:spacing w:before="80"/>
                      <w:ind w:left="0" w:right="0" w:firstLine="0"/>
                      <w:jc w:val="left"/>
                      <w:rPr>
                        <w:rFonts w:ascii="Arial"/>
                        <w:sz w:val="20"/>
                      </w:rPr>
                    </w:pPr>
                    <w:r>
                      <w:rPr>
                        <w:rFonts w:ascii="Arial"/>
                        <w:sz w:val="20"/>
                      </w:rPr>
                      <w:t>Jennifer</w:t>
                    </w:r>
                    <w:r>
                      <w:rPr>
                        <w:rFonts w:ascii="Arial"/>
                        <w:spacing w:val="-11"/>
                        <w:sz w:val="20"/>
                      </w:rPr>
                      <w:t> </w:t>
                    </w:r>
                    <w:r>
                      <w:rPr>
                        <w:rFonts w:ascii="Arial"/>
                        <w:sz w:val="20"/>
                      </w:rPr>
                      <w:t>Usher,</w:t>
                    </w:r>
                    <w:r>
                      <w:rPr>
                        <w:rFonts w:ascii="Arial"/>
                        <w:spacing w:val="-9"/>
                        <w:sz w:val="20"/>
                      </w:rPr>
                      <w:t> </w:t>
                    </w:r>
                    <w:r>
                      <w:rPr>
                        <w:rFonts w:ascii="Arial"/>
                        <w:sz w:val="20"/>
                      </w:rPr>
                      <w:t>Principal</w:t>
                    </w:r>
                    <w:r>
                      <w:rPr>
                        <w:rFonts w:ascii="Arial"/>
                        <w:spacing w:val="-9"/>
                        <w:sz w:val="20"/>
                      </w:rPr>
                      <w:t> </w:t>
                    </w:r>
                    <w:r>
                      <w:rPr>
                        <w:rFonts w:ascii="Arial"/>
                        <w:spacing w:val="-2"/>
                        <w:sz w:val="20"/>
                      </w:rPr>
                      <w:t>Auditor</w:t>
                    </w:r>
                  </w:p>
                  <w:p>
                    <w:pPr>
                      <w:spacing w:line="302" w:lineRule="auto" w:before="82"/>
                      <w:ind w:left="0" w:right="0" w:firstLine="0"/>
                      <w:jc w:val="left"/>
                      <w:rPr>
                        <w:rFonts w:ascii="Arial"/>
                        <w:sz w:val="20"/>
                      </w:rPr>
                    </w:pPr>
                    <w:r>
                      <w:rPr>
                        <w:rFonts w:ascii="Arial"/>
                        <w:sz w:val="20"/>
                      </w:rPr>
                      <w:t>Andrew Butler, Director of Finance &amp; Corporate Services Russell</w:t>
                    </w:r>
                    <w:r>
                      <w:rPr>
                        <w:rFonts w:ascii="Arial"/>
                        <w:spacing w:val="-7"/>
                        <w:sz w:val="20"/>
                      </w:rPr>
                      <w:t> </w:t>
                    </w:r>
                    <w:r>
                      <w:rPr>
                        <w:rFonts w:ascii="Arial"/>
                        <w:sz w:val="20"/>
                      </w:rPr>
                      <w:t>Ward,</w:t>
                    </w:r>
                    <w:r>
                      <w:rPr>
                        <w:rFonts w:ascii="Arial"/>
                        <w:spacing w:val="-9"/>
                        <w:sz w:val="20"/>
                      </w:rPr>
                      <w:t> </w:t>
                    </w:r>
                    <w:r>
                      <w:rPr>
                        <w:rFonts w:ascii="Arial"/>
                        <w:sz w:val="20"/>
                      </w:rPr>
                      <w:t>Head</w:t>
                    </w:r>
                    <w:r>
                      <w:rPr>
                        <w:rFonts w:ascii="Arial"/>
                        <w:spacing w:val="-7"/>
                        <w:sz w:val="20"/>
                      </w:rPr>
                      <w:t> </w:t>
                    </w:r>
                    <w:r>
                      <w:rPr>
                        <w:rFonts w:ascii="Arial"/>
                        <w:sz w:val="20"/>
                      </w:rPr>
                      <w:t>of</w:t>
                    </w:r>
                    <w:r>
                      <w:rPr>
                        <w:rFonts w:ascii="Arial"/>
                        <w:spacing w:val="-9"/>
                        <w:sz w:val="20"/>
                      </w:rPr>
                      <w:t> </w:t>
                    </w:r>
                    <w:r>
                      <w:rPr>
                        <w:rFonts w:ascii="Arial"/>
                        <w:sz w:val="20"/>
                      </w:rPr>
                      <w:t>Accounts</w:t>
                    </w:r>
                    <w:r>
                      <w:rPr>
                        <w:rFonts w:ascii="Arial"/>
                        <w:spacing w:val="-5"/>
                        <w:sz w:val="20"/>
                      </w:rPr>
                      <w:t> </w:t>
                    </w:r>
                    <w:r>
                      <w:rPr>
                        <w:rFonts w:ascii="Arial"/>
                        <w:sz w:val="20"/>
                      </w:rPr>
                      <w:t>Payable</w:t>
                    </w:r>
                    <w:r>
                      <w:rPr>
                        <w:rFonts w:ascii="Arial"/>
                        <w:spacing w:val="-6"/>
                        <w:sz w:val="20"/>
                      </w:rPr>
                      <w:t> </w:t>
                    </w:r>
                    <w:r>
                      <w:rPr>
                        <w:rFonts w:ascii="Arial"/>
                        <w:sz w:val="20"/>
                      </w:rPr>
                      <w:t>and</w:t>
                    </w:r>
                    <w:r>
                      <w:rPr>
                        <w:rFonts w:ascii="Arial"/>
                        <w:spacing w:val="-6"/>
                        <w:sz w:val="20"/>
                      </w:rPr>
                      <w:t> </w:t>
                    </w:r>
                    <w:r>
                      <w:rPr>
                        <w:rFonts w:ascii="Arial"/>
                        <w:sz w:val="20"/>
                      </w:rPr>
                      <w:t>Enablement Alison Ruckley, AP Regional Manager</w:t>
                    </w:r>
                  </w:p>
                  <w:p>
                    <w:pPr>
                      <w:spacing w:line="208" w:lineRule="exact" w:before="0"/>
                      <w:ind w:left="0" w:right="0" w:firstLine="0"/>
                      <w:jc w:val="left"/>
                      <w:rPr>
                        <w:rFonts w:ascii="Arial"/>
                        <w:sz w:val="20"/>
                      </w:rPr>
                    </w:pPr>
                    <w:r>
                      <w:rPr>
                        <w:rFonts w:ascii="Arial"/>
                        <w:sz w:val="20"/>
                      </w:rPr>
                      <w:t>Rowena</w:t>
                    </w:r>
                    <w:r>
                      <w:rPr>
                        <w:rFonts w:ascii="Arial"/>
                        <w:spacing w:val="-6"/>
                        <w:sz w:val="20"/>
                      </w:rPr>
                      <w:t> </w:t>
                    </w:r>
                    <w:r>
                      <w:rPr>
                        <w:rFonts w:ascii="Arial"/>
                        <w:sz w:val="20"/>
                      </w:rPr>
                      <w:t>Bines,</w:t>
                    </w:r>
                    <w:r>
                      <w:rPr>
                        <w:rFonts w:ascii="Arial"/>
                        <w:spacing w:val="-7"/>
                        <w:sz w:val="20"/>
                      </w:rPr>
                      <w:t> </w:t>
                    </w:r>
                    <w:r>
                      <w:rPr>
                        <w:rFonts w:ascii="Arial"/>
                        <w:sz w:val="20"/>
                      </w:rPr>
                      <w:t>AP</w:t>
                    </w:r>
                    <w:r>
                      <w:rPr>
                        <w:rFonts w:ascii="Arial"/>
                        <w:spacing w:val="-7"/>
                        <w:sz w:val="20"/>
                      </w:rPr>
                      <w:t> </w:t>
                    </w:r>
                    <w:r>
                      <w:rPr>
                        <w:rFonts w:ascii="Arial"/>
                        <w:sz w:val="20"/>
                      </w:rPr>
                      <w:t>Regional</w:t>
                    </w:r>
                    <w:r>
                      <w:rPr>
                        <w:rFonts w:ascii="Arial"/>
                        <w:spacing w:val="-7"/>
                        <w:sz w:val="20"/>
                      </w:rPr>
                      <w:t> </w:t>
                    </w:r>
                    <w:r>
                      <w:rPr>
                        <w:rFonts w:ascii="Arial"/>
                        <w:spacing w:val="-2"/>
                        <w:sz w:val="20"/>
                      </w:rPr>
                      <w:t>Manager</w:t>
                    </w:r>
                  </w:p>
                  <w:p>
                    <w:pPr>
                      <w:spacing w:before="42"/>
                      <w:ind w:left="0" w:right="0" w:firstLine="0"/>
                      <w:jc w:val="left"/>
                      <w:rPr>
                        <w:rFonts w:ascii="Arial"/>
                        <w:sz w:val="20"/>
                      </w:rPr>
                    </w:pPr>
                    <w:r>
                      <w:rPr>
                        <w:rFonts w:ascii="Arial"/>
                        <w:sz w:val="20"/>
                      </w:rPr>
                      <w:t>Dawn</w:t>
                    </w:r>
                    <w:r>
                      <w:rPr>
                        <w:rFonts w:ascii="Arial"/>
                        <w:spacing w:val="-7"/>
                        <w:sz w:val="20"/>
                      </w:rPr>
                      <w:t> </w:t>
                    </w:r>
                    <w:r>
                      <w:rPr>
                        <w:rFonts w:ascii="Arial"/>
                        <w:sz w:val="20"/>
                      </w:rPr>
                      <w:t>Butterworth,</w:t>
                    </w:r>
                    <w:r>
                      <w:rPr>
                        <w:rFonts w:ascii="Arial"/>
                        <w:spacing w:val="-9"/>
                        <w:sz w:val="20"/>
                      </w:rPr>
                      <w:t> </w:t>
                    </w:r>
                    <w:r>
                      <w:rPr>
                        <w:rFonts w:ascii="Arial"/>
                        <w:sz w:val="20"/>
                      </w:rPr>
                      <w:t>AP</w:t>
                    </w:r>
                    <w:r>
                      <w:rPr>
                        <w:rFonts w:ascii="Arial"/>
                        <w:spacing w:val="-7"/>
                        <w:sz w:val="20"/>
                      </w:rPr>
                      <w:t> </w:t>
                    </w:r>
                    <w:r>
                      <w:rPr>
                        <w:rFonts w:ascii="Arial"/>
                        <w:sz w:val="20"/>
                      </w:rPr>
                      <w:t>Regional</w:t>
                    </w:r>
                    <w:r>
                      <w:rPr>
                        <w:rFonts w:ascii="Arial"/>
                        <w:spacing w:val="-9"/>
                        <w:sz w:val="20"/>
                      </w:rPr>
                      <w:t> </w:t>
                    </w:r>
                    <w:r>
                      <w:rPr>
                        <w:rFonts w:ascii="Arial"/>
                        <w:spacing w:val="-2"/>
                        <w:sz w:val="20"/>
                      </w:rPr>
                      <w:t>Manager</w:t>
                    </w:r>
                  </w:p>
                  <w:p>
                    <w:pPr>
                      <w:spacing w:before="79"/>
                      <w:ind w:left="0" w:right="0" w:firstLine="0"/>
                      <w:jc w:val="left"/>
                      <w:rPr>
                        <w:rFonts w:ascii="Arial"/>
                        <w:sz w:val="20"/>
                      </w:rPr>
                    </w:pPr>
                    <w:r>
                      <w:rPr>
                        <w:rFonts w:ascii="Arial"/>
                        <w:sz w:val="20"/>
                      </w:rPr>
                      <w:t>Velindre</w:t>
                    </w:r>
                    <w:r>
                      <w:rPr>
                        <w:rFonts w:ascii="Arial"/>
                        <w:spacing w:val="-8"/>
                        <w:sz w:val="20"/>
                      </w:rPr>
                      <w:t> </w:t>
                    </w:r>
                    <w:r>
                      <w:rPr>
                        <w:rFonts w:ascii="Arial"/>
                        <w:sz w:val="20"/>
                      </w:rPr>
                      <w:t>University</w:t>
                    </w:r>
                    <w:r>
                      <w:rPr>
                        <w:rFonts w:ascii="Arial"/>
                        <w:spacing w:val="-7"/>
                        <w:sz w:val="20"/>
                      </w:rPr>
                      <w:t> </w:t>
                    </w:r>
                    <w:r>
                      <w:rPr>
                        <w:rFonts w:ascii="Arial"/>
                        <w:sz w:val="20"/>
                      </w:rPr>
                      <w:t>NHS</w:t>
                    </w:r>
                    <w:r>
                      <w:rPr>
                        <w:rFonts w:ascii="Arial"/>
                        <w:spacing w:val="-7"/>
                        <w:sz w:val="20"/>
                      </w:rPr>
                      <w:t> </w:t>
                    </w:r>
                    <w:r>
                      <w:rPr>
                        <w:rFonts w:ascii="Arial"/>
                        <w:sz w:val="20"/>
                      </w:rPr>
                      <w:t>Trust</w:t>
                    </w:r>
                    <w:r>
                      <w:rPr>
                        <w:rFonts w:ascii="Arial"/>
                        <w:spacing w:val="-6"/>
                        <w:sz w:val="20"/>
                      </w:rPr>
                      <w:t> </w:t>
                    </w:r>
                    <w:r>
                      <w:rPr>
                        <w:rFonts w:ascii="Arial"/>
                        <w:sz w:val="20"/>
                      </w:rPr>
                      <w:t>Audit</w:t>
                    </w:r>
                    <w:r>
                      <w:rPr>
                        <w:rFonts w:ascii="Arial"/>
                        <w:spacing w:val="-6"/>
                        <w:sz w:val="20"/>
                      </w:rPr>
                      <w:t> </w:t>
                    </w:r>
                    <w:r>
                      <w:rPr>
                        <w:rFonts w:ascii="Arial"/>
                        <w:sz w:val="20"/>
                      </w:rPr>
                      <w:t>Committee</w:t>
                    </w:r>
                    <w:r>
                      <w:rPr>
                        <w:rFonts w:ascii="Arial"/>
                        <w:spacing w:val="-5"/>
                        <w:sz w:val="20"/>
                      </w:rPr>
                      <w:t> </w:t>
                    </w:r>
                    <w:r>
                      <w:rPr>
                        <w:rFonts w:ascii="Arial"/>
                        <w:sz w:val="20"/>
                      </w:rPr>
                      <w:t>for</w:t>
                    </w:r>
                    <w:r>
                      <w:rPr>
                        <w:rFonts w:ascii="Arial"/>
                        <w:spacing w:val="-8"/>
                        <w:sz w:val="20"/>
                      </w:rPr>
                      <w:t> </w:t>
                    </w:r>
                    <w:r>
                      <w:rPr>
                        <w:rFonts w:ascii="Arial"/>
                        <w:spacing w:val="-2"/>
                        <w:sz w:val="20"/>
                      </w:rPr>
                      <w:t>NWSSP</w:t>
                    </w:r>
                  </w:p>
                </w:txbxContent>
              </v:textbox>
              <w10:wrap type="none"/>
            </v:shape>
            <w10:wrap type="topAndBottom"/>
          </v:group>
        </w:pict>
      </w:r>
    </w:p>
    <w:p>
      <w:pPr>
        <w:pStyle w:val="BodyText"/>
        <w:rPr>
          <w:sz w:val="22"/>
        </w:rPr>
      </w:pPr>
    </w:p>
    <w:p>
      <w:pPr>
        <w:pStyle w:val="BodyText"/>
        <w:rPr>
          <w:sz w:val="22"/>
        </w:rPr>
      </w:pPr>
    </w:p>
    <w:p>
      <w:pPr>
        <w:spacing w:before="146"/>
        <w:ind w:left="1805" w:right="617" w:firstLine="0"/>
        <w:jc w:val="left"/>
        <w:rPr>
          <w:sz w:val="18"/>
        </w:rPr>
      </w:pPr>
      <w:r>
        <w:rPr/>
        <w:drawing>
          <wp:anchor distT="0" distB="0" distL="0" distR="0" allowOverlap="1" layoutInCell="1" locked="0" behindDoc="0" simplePos="0" relativeHeight="15780352">
            <wp:simplePos x="0" y="0"/>
            <wp:positionH relativeFrom="page">
              <wp:posOffset>428625</wp:posOffset>
            </wp:positionH>
            <wp:positionV relativeFrom="paragraph">
              <wp:posOffset>-55011</wp:posOffset>
            </wp:positionV>
            <wp:extent cx="565150" cy="565150"/>
            <wp:effectExtent l="0" t="0" r="0" b="0"/>
            <wp:wrapNone/>
            <wp:docPr id="65" name="image13.jpeg"/>
            <wp:cNvGraphicFramePr>
              <a:graphicFrameLocks noChangeAspect="1"/>
            </wp:cNvGraphicFramePr>
            <a:graphic>
              <a:graphicData uri="http://schemas.openxmlformats.org/drawingml/2006/picture">
                <pic:pic>
                  <pic:nvPicPr>
                    <pic:cNvPr id="66" name="image13.jpeg"/>
                    <pic:cNvPicPr/>
                  </pic:nvPicPr>
                  <pic:blipFill>
                    <a:blip r:embed="rId49" cstate="print"/>
                    <a:stretch>
                      <a:fillRect/>
                    </a:stretch>
                  </pic:blipFill>
                  <pic:spPr>
                    <a:xfrm>
                      <a:off x="0" y="0"/>
                      <a:ext cx="565150" cy="565150"/>
                    </a:xfrm>
                    <a:prstGeom prst="rect">
                      <a:avLst/>
                    </a:prstGeom>
                  </pic:spPr>
                </pic:pic>
              </a:graphicData>
            </a:graphic>
          </wp:anchor>
        </w:drawing>
      </w:r>
      <w:r>
        <w:rPr>
          <w:sz w:val="18"/>
        </w:rPr>
        <w:t>Audit</w:t>
      </w:r>
      <w:r>
        <w:rPr>
          <w:spacing w:val="28"/>
          <w:sz w:val="18"/>
        </w:rPr>
        <w:t> </w:t>
      </w:r>
      <w:r>
        <w:rPr>
          <w:sz w:val="18"/>
        </w:rPr>
        <w:t>and</w:t>
      </w:r>
      <w:r>
        <w:rPr>
          <w:spacing w:val="27"/>
          <w:sz w:val="18"/>
        </w:rPr>
        <w:t> </w:t>
      </w:r>
      <w:r>
        <w:rPr>
          <w:sz w:val="18"/>
        </w:rPr>
        <w:t>Assurance</w:t>
      </w:r>
      <w:r>
        <w:rPr>
          <w:spacing w:val="27"/>
          <w:sz w:val="18"/>
        </w:rPr>
        <w:t> </w:t>
      </w:r>
      <w:r>
        <w:rPr>
          <w:sz w:val="18"/>
        </w:rPr>
        <w:t>Services</w:t>
      </w:r>
      <w:r>
        <w:rPr>
          <w:spacing w:val="27"/>
          <w:sz w:val="18"/>
        </w:rPr>
        <w:t> </w:t>
      </w:r>
      <w:r>
        <w:rPr>
          <w:sz w:val="18"/>
        </w:rPr>
        <w:t>conform</w:t>
      </w:r>
      <w:r>
        <w:rPr>
          <w:spacing w:val="27"/>
          <w:sz w:val="18"/>
        </w:rPr>
        <w:t> </w:t>
      </w:r>
      <w:r>
        <w:rPr>
          <w:sz w:val="18"/>
        </w:rPr>
        <w:t>with</w:t>
      </w:r>
      <w:r>
        <w:rPr>
          <w:spacing w:val="28"/>
          <w:sz w:val="18"/>
        </w:rPr>
        <w:t> </w:t>
      </w:r>
      <w:r>
        <w:rPr>
          <w:sz w:val="18"/>
        </w:rPr>
        <w:t>all</w:t>
      </w:r>
      <w:r>
        <w:rPr>
          <w:spacing w:val="27"/>
          <w:sz w:val="18"/>
        </w:rPr>
        <w:t> </w:t>
      </w:r>
      <w:r>
        <w:rPr>
          <w:sz w:val="18"/>
        </w:rPr>
        <w:t>Public</w:t>
      </w:r>
      <w:r>
        <w:rPr>
          <w:spacing w:val="26"/>
          <w:sz w:val="18"/>
        </w:rPr>
        <w:t> </w:t>
      </w:r>
      <w:r>
        <w:rPr>
          <w:sz w:val="18"/>
        </w:rPr>
        <w:t>Sector</w:t>
      </w:r>
      <w:r>
        <w:rPr>
          <w:spacing w:val="27"/>
          <w:sz w:val="18"/>
        </w:rPr>
        <w:t> </w:t>
      </w:r>
      <w:r>
        <w:rPr>
          <w:sz w:val="18"/>
        </w:rPr>
        <w:t>Internal</w:t>
      </w:r>
      <w:r>
        <w:rPr>
          <w:spacing w:val="27"/>
          <w:sz w:val="18"/>
        </w:rPr>
        <w:t> </w:t>
      </w:r>
      <w:r>
        <w:rPr>
          <w:sz w:val="18"/>
        </w:rPr>
        <w:t>Audit</w:t>
      </w:r>
      <w:r>
        <w:rPr>
          <w:spacing w:val="28"/>
          <w:sz w:val="18"/>
        </w:rPr>
        <w:t> </w:t>
      </w:r>
      <w:r>
        <w:rPr>
          <w:sz w:val="18"/>
        </w:rPr>
        <w:t>Standards</w:t>
      </w:r>
      <w:r>
        <w:rPr>
          <w:spacing w:val="27"/>
          <w:sz w:val="18"/>
        </w:rPr>
        <w:t> </w:t>
      </w:r>
      <w:r>
        <w:rPr>
          <w:sz w:val="18"/>
        </w:rPr>
        <w:t>as</w:t>
      </w:r>
      <w:r>
        <w:rPr>
          <w:spacing w:val="26"/>
          <w:sz w:val="18"/>
        </w:rPr>
        <w:t> </w:t>
      </w:r>
      <w:r>
        <w:rPr>
          <w:sz w:val="18"/>
        </w:rPr>
        <w:t>validated through the external quality assessment undertaken by the Institute of Internal Auditors</w:t>
      </w:r>
    </w:p>
    <w:p>
      <w:pPr>
        <w:pStyle w:val="BodyText"/>
        <w:rPr>
          <w:sz w:val="20"/>
        </w:rPr>
      </w:pPr>
    </w:p>
    <w:p>
      <w:pPr>
        <w:pStyle w:val="BodyText"/>
        <w:rPr>
          <w:sz w:val="20"/>
        </w:rPr>
      </w:pPr>
    </w:p>
    <w:p>
      <w:pPr>
        <w:pStyle w:val="BodyText"/>
        <w:spacing w:before="9"/>
        <w:rPr>
          <w:sz w:val="20"/>
        </w:rPr>
      </w:pPr>
    </w:p>
    <w:p>
      <w:pPr>
        <w:spacing w:before="0"/>
        <w:ind w:left="566" w:right="0" w:firstLine="0"/>
        <w:jc w:val="left"/>
        <w:rPr>
          <w:sz w:val="18"/>
        </w:rPr>
      </w:pPr>
      <w:r>
        <w:rPr>
          <w:color w:val="2D74B5"/>
          <w:spacing w:val="-2"/>
          <w:sz w:val="18"/>
        </w:rPr>
        <w:t>Acknowledgement</w:t>
      </w:r>
    </w:p>
    <w:p>
      <w:pPr>
        <w:spacing w:line="259" w:lineRule="auto" w:before="16"/>
        <w:ind w:left="566" w:right="617" w:firstLine="0"/>
        <w:jc w:val="left"/>
        <w:rPr>
          <w:sz w:val="18"/>
        </w:rPr>
      </w:pPr>
      <w:r>
        <w:rPr>
          <w:sz w:val="18"/>
        </w:rPr>
        <w:t>NHS</w:t>
      </w:r>
      <w:r>
        <w:rPr>
          <w:spacing w:val="-16"/>
          <w:sz w:val="18"/>
        </w:rPr>
        <w:t> </w:t>
      </w:r>
      <w:r>
        <w:rPr>
          <w:sz w:val="18"/>
        </w:rPr>
        <w:t>Wales</w:t>
      </w:r>
      <w:r>
        <w:rPr>
          <w:spacing w:val="-16"/>
          <w:sz w:val="18"/>
        </w:rPr>
        <w:t> </w:t>
      </w:r>
      <w:r>
        <w:rPr>
          <w:sz w:val="18"/>
        </w:rPr>
        <w:t>Audit</w:t>
      </w:r>
      <w:r>
        <w:rPr>
          <w:spacing w:val="-12"/>
          <w:sz w:val="18"/>
        </w:rPr>
        <w:t> </w:t>
      </w:r>
      <w:r>
        <w:rPr>
          <w:sz w:val="18"/>
        </w:rPr>
        <w:t>and</w:t>
      </w:r>
      <w:r>
        <w:rPr>
          <w:spacing w:val="-15"/>
          <w:sz w:val="18"/>
        </w:rPr>
        <w:t> </w:t>
      </w:r>
      <w:r>
        <w:rPr>
          <w:sz w:val="18"/>
        </w:rPr>
        <w:t>Assurance</w:t>
      </w:r>
      <w:r>
        <w:rPr>
          <w:spacing w:val="-15"/>
          <w:sz w:val="18"/>
        </w:rPr>
        <w:t> </w:t>
      </w:r>
      <w:r>
        <w:rPr>
          <w:sz w:val="18"/>
        </w:rPr>
        <w:t>Services</w:t>
      </w:r>
      <w:r>
        <w:rPr>
          <w:spacing w:val="-15"/>
          <w:sz w:val="18"/>
        </w:rPr>
        <w:t> </w:t>
      </w:r>
      <w:r>
        <w:rPr>
          <w:sz w:val="18"/>
        </w:rPr>
        <w:t>would</w:t>
      </w:r>
      <w:r>
        <w:rPr>
          <w:spacing w:val="-15"/>
          <w:sz w:val="18"/>
        </w:rPr>
        <w:t> </w:t>
      </w:r>
      <w:r>
        <w:rPr>
          <w:sz w:val="18"/>
        </w:rPr>
        <w:t>like</w:t>
      </w:r>
      <w:r>
        <w:rPr>
          <w:spacing w:val="-15"/>
          <w:sz w:val="18"/>
        </w:rPr>
        <w:t> </w:t>
      </w:r>
      <w:r>
        <w:rPr>
          <w:sz w:val="18"/>
        </w:rPr>
        <w:t>to</w:t>
      </w:r>
      <w:r>
        <w:rPr>
          <w:spacing w:val="-16"/>
          <w:sz w:val="18"/>
        </w:rPr>
        <w:t> </w:t>
      </w:r>
      <w:r>
        <w:rPr>
          <w:sz w:val="18"/>
        </w:rPr>
        <w:t>acknowledge</w:t>
      </w:r>
      <w:r>
        <w:rPr>
          <w:spacing w:val="-15"/>
          <w:sz w:val="18"/>
        </w:rPr>
        <w:t> </w:t>
      </w:r>
      <w:r>
        <w:rPr>
          <w:sz w:val="18"/>
        </w:rPr>
        <w:t>the</w:t>
      </w:r>
      <w:r>
        <w:rPr>
          <w:spacing w:val="-15"/>
          <w:sz w:val="18"/>
        </w:rPr>
        <w:t> </w:t>
      </w:r>
      <w:r>
        <w:rPr>
          <w:sz w:val="18"/>
        </w:rPr>
        <w:t>time</w:t>
      </w:r>
      <w:r>
        <w:rPr>
          <w:spacing w:val="-15"/>
          <w:sz w:val="18"/>
        </w:rPr>
        <w:t> </w:t>
      </w:r>
      <w:r>
        <w:rPr>
          <w:sz w:val="18"/>
        </w:rPr>
        <w:t>and</w:t>
      </w:r>
      <w:r>
        <w:rPr>
          <w:spacing w:val="-16"/>
          <w:sz w:val="18"/>
        </w:rPr>
        <w:t> </w:t>
      </w:r>
      <w:r>
        <w:rPr>
          <w:sz w:val="18"/>
        </w:rPr>
        <w:t>co-operation</w:t>
      </w:r>
      <w:r>
        <w:rPr>
          <w:spacing w:val="-14"/>
          <w:sz w:val="18"/>
        </w:rPr>
        <w:t> </w:t>
      </w:r>
      <w:r>
        <w:rPr>
          <w:sz w:val="18"/>
        </w:rPr>
        <w:t>given</w:t>
      </w:r>
      <w:r>
        <w:rPr>
          <w:spacing w:val="-14"/>
          <w:sz w:val="18"/>
        </w:rPr>
        <w:t> </w:t>
      </w:r>
      <w:r>
        <w:rPr>
          <w:sz w:val="18"/>
        </w:rPr>
        <w:t>by</w:t>
      </w:r>
      <w:r>
        <w:rPr>
          <w:spacing w:val="-16"/>
          <w:sz w:val="18"/>
        </w:rPr>
        <w:t> </w:t>
      </w:r>
      <w:r>
        <w:rPr>
          <w:sz w:val="18"/>
        </w:rPr>
        <w:t>management and staff during the course of this review.</w:t>
      </w:r>
    </w:p>
    <w:p>
      <w:pPr>
        <w:pStyle w:val="BodyText"/>
        <w:spacing w:before="5"/>
        <w:rPr>
          <w:sz w:val="19"/>
        </w:rPr>
      </w:pPr>
    </w:p>
    <w:p>
      <w:pPr>
        <w:spacing w:before="0"/>
        <w:ind w:left="566" w:right="0" w:firstLine="0"/>
        <w:jc w:val="left"/>
        <w:rPr>
          <w:sz w:val="18"/>
        </w:rPr>
      </w:pPr>
      <w:r>
        <w:rPr>
          <w:color w:val="2D74B5"/>
          <w:sz w:val="18"/>
        </w:rPr>
        <w:t>Disclaimer</w:t>
      </w:r>
      <w:r>
        <w:rPr>
          <w:color w:val="2D74B5"/>
          <w:spacing w:val="-3"/>
          <w:sz w:val="18"/>
        </w:rPr>
        <w:t> </w:t>
      </w:r>
      <w:r>
        <w:rPr>
          <w:color w:val="2D74B5"/>
          <w:sz w:val="18"/>
        </w:rPr>
        <w:t>notice -</w:t>
      </w:r>
      <w:r>
        <w:rPr>
          <w:color w:val="2D74B5"/>
          <w:spacing w:val="-3"/>
          <w:sz w:val="18"/>
        </w:rPr>
        <w:t> </w:t>
      </w:r>
      <w:r>
        <w:rPr>
          <w:color w:val="2D74B5"/>
          <w:sz w:val="18"/>
        </w:rPr>
        <w:t>please</w:t>
      </w:r>
      <w:r>
        <w:rPr>
          <w:color w:val="2D74B5"/>
          <w:spacing w:val="-2"/>
          <w:sz w:val="18"/>
        </w:rPr>
        <w:t> </w:t>
      </w:r>
      <w:r>
        <w:rPr>
          <w:color w:val="2D74B5"/>
          <w:spacing w:val="-4"/>
          <w:sz w:val="18"/>
        </w:rPr>
        <w:t>note</w:t>
      </w:r>
    </w:p>
    <w:p>
      <w:pPr>
        <w:spacing w:line="261" w:lineRule="auto" w:before="17"/>
        <w:ind w:left="566" w:right="0" w:firstLine="0"/>
        <w:jc w:val="left"/>
        <w:rPr>
          <w:sz w:val="18"/>
        </w:rPr>
      </w:pPr>
      <w:r>
        <w:rPr>
          <w:sz w:val="18"/>
        </w:rPr>
        <w:t>This</w:t>
      </w:r>
      <w:r>
        <w:rPr>
          <w:spacing w:val="23"/>
          <w:sz w:val="18"/>
        </w:rPr>
        <w:t> </w:t>
      </w:r>
      <w:r>
        <w:rPr>
          <w:sz w:val="18"/>
        </w:rPr>
        <w:t>audit</w:t>
      </w:r>
      <w:r>
        <w:rPr>
          <w:spacing w:val="24"/>
          <w:sz w:val="18"/>
        </w:rPr>
        <w:t> </w:t>
      </w:r>
      <w:r>
        <w:rPr>
          <w:sz w:val="18"/>
        </w:rPr>
        <w:t>report</w:t>
      </w:r>
      <w:r>
        <w:rPr>
          <w:spacing w:val="24"/>
          <w:sz w:val="18"/>
        </w:rPr>
        <w:t> </w:t>
      </w:r>
      <w:r>
        <w:rPr>
          <w:sz w:val="18"/>
        </w:rPr>
        <w:t>has</w:t>
      </w:r>
      <w:r>
        <w:rPr>
          <w:spacing w:val="23"/>
          <w:sz w:val="18"/>
        </w:rPr>
        <w:t> </w:t>
      </w:r>
      <w:r>
        <w:rPr>
          <w:sz w:val="18"/>
        </w:rPr>
        <w:t>been</w:t>
      </w:r>
      <w:r>
        <w:rPr>
          <w:spacing w:val="24"/>
          <w:sz w:val="18"/>
        </w:rPr>
        <w:t> </w:t>
      </w:r>
      <w:r>
        <w:rPr>
          <w:sz w:val="18"/>
        </w:rPr>
        <w:t>prepared</w:t>
      </w:r>
      <w:r>
        <w:rPr>
          <w:spacing w:val="23"/>
          <w:sz w:val="18"/>
        </w:rPr>
        <w:t> </w:t>
      </w:r>
      <w:r>
        <w:rPr>
          <w:sz w:val="18"/>
        </w:rPr>
        <w:t>for</w:t>
      </w:r>
      <w:r>
        <w:rPr>
          <w:spacing w:val="23"/>
          <w:sz w:val="18"/>
        </w:rPr>
        <w:t> </w:t>
      </w:r>
      <w:r>
        <w:rPr>
          <w:sz w:val="18"/>
        </w:rPr>
        <w:t>internal</w:t>
      </w:r>
      <w:r>
        <w:rPr>
          <w:spacing w:val="24"/>
          <w:sz w:val="18"/>
        </w:rPr>
        <w:t> </w:t>
      </w:r>
      <w:r>
        <w:rPr>
          <w:sz w:val="18"/>
        </w:rPr>
        <w:t>use</w:t>
      </w:r>
      <w:r>
        <w:rPr>
          <w:spacing w:val="23"/>
          <w:sz w:val="18"/>
        </w:rPr>
        <w:t> </w:t>
      </w:r>
      <w:r>
        <w:rPr>
          <w:sz w:val="18"/>
        </w:rPr>
        <w:t>only.</w:t>
      </w:r>
      <w:r>
        <w:rPr>
          <w:spacing w:val="22"/>
          <w:sz w:val="18"/>
        </w:rPr>
        <w:t> </w:t>
      </w:r>
      <w:r>
        <w:rPr>
          <w:sz w:val="18"/>
        </w:rPr>
        <w:t>Audit</w:t>
      </w:r>
      <w:r>
        <w:rPr>
          <w:spacing w:val="31"/>
          <w:sz w:val="18"/>
        </w:rPr>
        <w:t> </w:t>
      </w:r>
      <w:r>
        <w:rPr>
          <w:sz w:val="18"/>
        </w:rPr>
        <w:t>and</w:t>
      </w:r>
      <w:r>
        <w:rPr>
          <w:spacing w:val="24"/>
          <w:sz w:val="18"/>
        </w:rPr>
        <w:t> </w:t>
      </w:r>
      <w:r>
        <w:rPr>
          <w:sz w:val="18"/>
        </w:rPr>
        <w:t>Assurance</w:t>
      </w:r>
      <w:r>
        <w:rPr>
          <w:spacing w:val="23"/>
          <w:sz w:val="18"/>
        </w:rPr>
        <w:t> </w:t>
      </w:r>
      <w:r>
        <w:rPr>
          <w:sz w:val="18"/>
        </w:rPr>
        <w:t>Services</w:t>
      </w:r>
      <w:r>
        <w:rPr>
          <w:spacing w:val="23"/>
          <w:sz w:val="18"/>
        </w:rPr>
        <w:t> </w:t>
      </w:r>
      <w:r>
        <w:rPr>
          <w:sz w:val="18"/>
        </w:rPr>
        <w:t>reports</w:t>
      </w:r>
      <w:r>
        <w:rPr>
          <w:spacing w:val="23"/>
          <w:sz w:val="18"/>
        </w:rPr>
        <w:t> </w:t>
      </w:r>
      <w:r>
        <w:rPr>
          <w:sz w:val="18"/>
        </w:rPr>
        <w:t>are</w:t>
      </w:r>
      <w:r>
        <w:rPr>
          <w:spacing w:val="23"/>
          <w:sz w:val="18"/>
        </w:rPr>
        <w:t> </w:t>
      </w:r>
      <w:r>
        <w:rPr>
          <w:sz w:val="18"/>
        </w:rPr>
        <w:t>prepared,</w:t>
      </w:r>
      <w:r>
        <w:rPr>
          <w:spacing w:val="22"/>
          <w:sz w:val="18"/>
        </w:rPr>
        <w:t> </w:t>
      </w:r>
      <w:r>
        <w:rPr>
          <w:sz w:val="18"/>
        </w:rPr>
        <w:t>in accordance with the agreed audit brief, and the Audit Charter as approved by the Audit Committee.</w:t>
      </w:r>
    </w:p>
    <w:p>
      <w:pPr>
        <w:spacing w:line="259" w:lineRule="auto" w:before="157"/>
        <w:ind w:left="566" w:right="703" w:firstLine="0"/>
        <w:jc w:val="both"/>
        <w:rPr>
          <w:sz w:val="18"/>
        </w:rPr>
      </w:pPr>
      <w:r>
        <w:rPr>
          <w:sz w:val="18"/>
        </w:rPr>
        <w:t>Audit</w:t>
      </w:r>
      <w:r>
        <w:rPr>
          <w:spacing w:val="-11"/>
          <w:sz w:val="18"/>
        </w:rPr>
        <w:t> </w:t>
      </w:r>
      <w:r>
        <w:rPr>
          <w:sz w:val="18"/>
        </w:rPr>
        <w:t>reports</w:t>
      </w:r>
      <w:r>
        <w:rPr>
          <w:spacing w:val="-12"/>
          <w:sz w:val="18"/>
        </w:rPr>
        <w:t> </w:t>
      </w:r>
      <w:r>
        <w:rPr>
          <w:sz w:val="18"/>
        </w:rPr>
        <w:t>are</w:t>
      </w:r>
      <w:r>
        <w:rPr>
          <w:spacing w:val="-11"/>
          <w:sz w:val="18"/>
        </w:rPr>
        <w:t> </w:t>
      </w:r>
      <w:r>
        <w:rPr>
          <w:sz w:val="18"/>
        </w:rPr>
        <w:t>prepared</w:t>
      </w:r>
      <w:r>
        <w:rPr>
          <w:spacing w:val="-14"/>
          <w:sz w:val="18"/>
        </w:rPr>
        <w:t> </w:t>
      </w:r>
      <w:r>
        <w:rPr>
          <w:sz w:val="18"/>
        </w:rPr>
        <w:t>by</w:t>
      </w:r>
      <w:r>
        <w:rPr>
          <w:spacing w:val="-13"/>
          <w:sz w:val="18"/>
        </w:rPr>
        <w:t> </w:t>
      </w:r>
      <w:r>
        <w:rPr>
          <w:sz w:val="18"/>
        </w:rPr>
        <w:t>the</w:t>
      </w:r>
      <w:r>
        <w:rPr>
          <w:spacing w:val="-11"/>
          <w:sz w:val="18"/>
        </w:rPr>
        <w:t> </w:t>
      </w:r>
      <w:r>
        <w:rPr>
          <w:sz w:val="18"/>
        </w:rPr>
        <w:t>staff</w:t>
      </w:r>
      <w:r>
        <w:rPr>
          <w:spacing w:val="-13"/>
          <w:sz w:val="18"/>
        </w:rPr>
        <w:t> </w:t>
      </w:r>
      <w:r>
        <w:rPr>
          <w:sz w:val="18"/>
        </w:rPr>
        <w:t>of</w:t>
      </w:r>
      <w:r>
        <w:rPr>
          <w:spacing w:val="-13"/>
          <w:sz w:val="18"/>
        </w:rPr>
        <w:t> </w:t>
      </w:r>
      <w:r>
        <w:rPr>
          <w:sz w:val="18"/>
        </w:rPr>
        <w:t>the</w:t>
      </w:r>
      <w:r>
        <w:rPr>
          <w:spacing w:val="-11"/>
          <w:sz w:val="18"/>
        </w:rPr>
        <w:t> </w:t>
      </w:r>
      <w:r>
        <w:rPr>
          <w:sz w:val="18"/>
        </w:rPr>
        <w:t>NHS</w:t>
      </w:r>
      <w:r>
        <w:rPr>
          <w:spacing w:val="-10"/>
          <w:sz w:val="18"/>
        </w:rPr>
        <w:t> </w:t>
      </w:r>
      <w:r>
        <w:rPr>
          <w:sz w:val="18"/>
        </w:rPr>
        <w:t>Wales</w:t>
      </w:r>
      <w:r>
        <w:rPr>
          <w:spacing w:val="-12"/>
          <w:sz w:val="18"/>
        </w:rPr>
        <w:t> </w:t>
      </w:r>
      <w:r>
        <w:rPr>
          <w:sz w:val="18"/>
        </w:rPr>
        <w:t>Audit</w:t>
      </w:r>
      <w:r>
        <w:rPr>
          <w:spacing w:val="-11"/>
          <w:sz w:val="18"/>
        </w:rPr>
        <w:t> </w:t>
      </w:r>
      <w:r>
        <w:rPr>
          <w:sz w:val="18"/>
        </w:rPr>
        <w:t>and</w:t>
      </w:r>
      <w:r>
        <w:rPr>
          <w:spacing w:val="-11"/>
          <w:sz w:val="18"/>
        </w:rPr>
        <w:t> </w:t>
      </w:r>
      <w:r>
        <w:rPr>
          <w:sz w:val="18"/>
        </w:rPr>
        <w:t>Assurance</w:t>
      </w:r>
      <w:r>
        <w:rPr>
          <w:spacing w:val="-11"/>
          <w:sz w:val="18"/>
        </w:rPr>
        <w:t> </w:t>
      </w:r>
      <w:r>
        <w:rPr>
          <w:sz w:val="18"/>
        </w:rPr>
        <w:t>Services,</w:t>
      </w:r>
      <w:r>
        <w:rPr>
          <w:spacing w:val="-12"/>
          <w:sz w:val="18"/>
        </w:rPr>
        <w:t> </w:t>
      </w:r>
      <w:r>
        <w:rPr>
          <w:sz w:val="18"/>
        </w:rPr>
        <w:t>and</w:t>
      </w:r>
      <w:r>
        <w:rPr>
          <w:spacing w:val="-11"/>
          <w:sz w:val="18"/>
        </w:rPr>
        <w:t> </w:t>
      </w:r>
      <w:r>
        <w:rPr>
          <w:sz w:val="18"/>
        </w:rPr>
        <w:t>addressed</w:t>
      </w:r>
      <w:r>
        <w:rPr>
          <w:spacing w:val="-11"/>
          <w:sz w:val="18"/>
        </w:rPr>
        <w:t> </w:t>
      </w:r>
      <w:r>
        <w:rPr>
          <w:sz w:val="18"/>
        </w:rPr>
        <w:t>to</w:t>
      </w:r>
      <w:r>
        <w:rPr>
          <w:spacing w:val="-11"/>
          <w:sz w:val="18"/>
        </w:rPr>
        <w:t> </w:t>
      </w:r>
      <w:r>
        <w:rPr>
          <w:sz w:val="18"/>
        </w:rPr>
        <w:t>Independent Members or officers including those designated as Accountable Officer. They are prepared for the sole use of NHS Wales</w:t>
      </w:r>
      <w:r>
        <w:rPr>
          <w:spacing w:val="-16"/>
          <w:sz w:val="18"/>
        </w:rPr>
        <w:t> </w:t>
      </w:r>
      <w:r>
        <w:rPr>
          <w:sz w:val="18"/>
        </w:rPr>
        <w:t>Shared</w:t>
      </w:r>
      <w:r>
        <w:rPr>
          <w:spacing w:val="-16"/>
          <w:sz w:val="18"/>
        </w:rPr>
        <w:t> </w:t>
      </w:r>
      <w:r>
        <w:rPr>
          <w:sz w:val="18"/>
        </w:rPr>
        <w:t>Services</w:t>
      </w:r>
      <w:r>
        <w:rPr>
          <w:spacing w:val="-15"/>
          <w:sz w:val="18"/>
        </w:rPr>
        <w:t> </w:t>
      </w:r>
      <w:r>
        <w:rPr>
          <w:sz w:val="18"/>
        </w:rPr>
        <w:t>Partnership</w:t>
      </w:r>
      <w:r>
        <w:rPr>
          <w:spacing w:val="-14"/>
          <w:sz w:val="18"/>
        </w:rPr>
        <w:t> </w:t>
      </w:r>
      <w:r>
        <w:rPr>
          <w:sz w:val="18"/>
        </w:rPr>
        <w:t>and</w:t>
      </w:r>
      <w:r>
        <w:rPr>
          <w:spacing w:val="-16"/>
          <w:sz w:val="18"/>
        </w:rPr>
        <w:t> </w:t>
      </w:r>
      <w:r>
        <w:rPr>
          <w:sz w:val="18"/>
        </w:rPr>
        <w:t>no</w:t>
      </w:r>
      <w:r>
        <w:rPr>
          <w:spacing w:val="-14"/>
          <w:sz w:val="18"/>
        </w:rPr>
        <w:t> </w:t>
      </w:r>
      <w:r>
        <w:rPr>
          <w:sz w:val="18"/>
        </w:rPr>
        <w:t>responsibility</w:t>
      </w:r>
      <w:r>
        <w:rPr>
          <w:spacing w:val="-16"/>
          <w:sz w:val="18"/>
        </w:rPr>
        <w:t> </w:t>
      </w:r>
      <w:r>
        <w:rPr>
          <w:sz w:val="18"/>
        </w:rPr>
        <w:t>is</w:t>
      </w:r>
      <w:r>
        <w:rPr>
          <w:spacing w:val="-16"/>
          <w:sz w:val="18"/>
        </w:rPr>
        <w:t> </w:t>
      </w:r>
      <w:r>
        <w:rPr>
          <w:sz w:val="18"/>
        </w:rPr>
        <w:t>taken</w:t>
      </w:r>
      <w:r>
        <w:rPr>
          <w:spacing w:val="-16"/>
          <w:sz w:val="18"/>
        </w:rPr>
        <w:t> </w:t>
      </w:r>
      <w:r>
        <w:rPr>
          <w:sz w:val="18"/>
        </w:rPr>
        <w:t>by</w:t>
      </w:r>
      <w:r>
        <w:rPr>
          <w:spacing w:val="-15"/>
          <w:sz w:val="18"/>
        </w:rPr>
        <w:t> </w:t>
      </w:r>
      <w:r>
        <w:rPr>
          <w:sz w:val="18"/>
        </w:rPr>
        <w:t>the</w:t>
      </w:r>
      <w:r>
        <w:rPr>
          <w:spacing w:val="-15"/>
          <w:sz w:val="18"/>
        </w:rPr>
        <w:t> </w:t>
      </w:r>
      <w:r>
        <w:rPr>
          <w:sz w:val="18"/>
        </w:rPr>
        <w:t>Audit</w:t>
      </w:r>
      <w:r>
        <w:rPr>
          <w:spacing w:val="-16"/>
          <w:sz w:val="18"/>
        </w:rPr>
        <w:t> </w:t>
      </w:r>
      <w:r>
        <w:rPr>
          <w:sz w:val="18"/>
        </w:rPr>
        <w:t>and</w:t>
      </w:r>
      <w:r>
        <w:rPr>
          <w:spacing w:val="-16"/>
          <w:sz w:val="18"/>
        </w:rPr>
        <w:t> </w:t>
      </w:r>
      <w:r>
        <w:rPr>
          <w:sz w:val="18"/>
        </w:rPr>
        <w:t>Assurance</w:t>
      </w:r>
      <w:r>
        <w:rPr>
          <w:spacing w:val="-15"/>
          <w:sz w:val="18"/>
        </w:rPr>
        <w:t> </w:t>
      </w:r>
      <w:r>
        <w:rPr>
          <w:sz w:val="18"/>
        </w:rPr>
        <w:t>Services</w:t>
      </w:r>
      <w:r>
        <w:rPr>
          <w:spacing w:val="-16"/>
          <w:sz w:val="18"/>
        </w:rPr>
        <w:t> </w:t>
      </w:r>
      <w:r>
        <w:rPr>
          <w:sz w:val="18"/>
        </w:rPr>
        <w:t>Internal</w:t>
      </w:r>
      <w:r>
        <w:rPr>
          <w:spacing w:val="-15"/>
          <w:sz w:val="18"/>
        </w:rPr>
        <w:t> </w:t>
      </w:r>
      <w:r>
        <w:rPr>
          <w:sz w:val="18"/>
        </w:rPr>
        <w:t>Auditors to any director or officer in their individual capacity, or to any third party.</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7"/>
        </w:rPr>
      </w:pPr>
      <w:r>
        <w:rPr/>
        <w:pict>
          <v:shape style="position:absolute;margin-left:28.320002pt;margin-top:11.934865pt;width:531.7pt;height:1.45pt;mso-position-horizontal-relative:page;mso-position-vertical-relative:paragraph;z-index:-15677440;mso-wrap-distance-left:0;mso-wrap-distance-right:0" id="docshape206" coordorigin="566,239" coordsize="10634,29" path="m11200,239l5972,239,5943,239,566,239,566,267,5943,267,5972,267,11200,267,11200,239xe" filled="true" fillcolor="#000000" stroked="false">
            <v:path arrowok="t"/>
            <v:fill type="solid"/>
            <w10:wrap type="topAndBottom"/>
          </v:shape>
        </w:pict>
      </w:r>
    </w:p>
    <w:p>
      <w:pPr>
        <w:pStyle w:val="BodyText"/>
        <w:spacing w:before="9"/>
        <w:rPr>
          <w:sz w:val="13"/>
        </w:rPr>
      </w:pPr>
    </w:p>
    <w:p>
      <w:pPr>
        <w:tabs>
          <w:tab w:pos="11095" w:val="right" w:leader="none"/>
        </w:tabs>
        <w:spacing w:before="101"/>
        <w:ind w:left="674" w:right="0" w:firstLine="0"/>
        <w:jc w:val="left"/>
        <w:rPr>
          <w:sz w:val="22"/>
        </w:rPr>
      </w:pPr>
      <w:r>
        <w:rPr>
          <w:sz w:val="22"/>
        </w:rPr>
        <w:t>NWSSP</w:t>
      </w:r>
      <w:r>
        <w:rPr>
          <w:spacing w:val="-4"/>
          <w:sz w:val="22"/>
        </w:rPr>
        <w:t> </w:t>
      </w:r>
      <w:r>
        <w:rPr>
          <w:sz w:val="22"/>
        </w:rPr>
        <w:t>Audit</w:t>
      </w:r>
      <w:r>
        <w:rPr>
          <w:spacing w:val="-6"/>
          <w:sz w:val="22"/>
        </w:rPr>
        <w:t> </w:t>
      </w:r>
      <w:r>
        <w:rPr>
          <w:sz w:val="22"/>
        </w:rPr>
        <w:t>and</w:t>
      </w:r>
      <w:r>
        <w:rPr>
          <w:spacing w:val="-5"/>
          <w:sz w:val="22"/>
        </w:rPr>
        <w:t> </w:t>
      </w:r>
      <w:r>
        <w:rPr>
          <w:sz w:val="22"/>
        </w:rPr>
        <w:t>Assurance</w:t>
      </w:r>
      <w:r>
        <w:rPr>
          <w:spacing w:val="-4"/>
          <w:sz w:val="22"/>
        </w:rPr>
        <w:t> </w:t>
      </w:r>
      <w:r>
        <w:rPr>
          <w:spacing w:val="-2"/>
          <w:sz w:val="22"/>
        </w:rPr>
        <w:t>Services</w:t>
      </w:r>
      <w:r>
        <w:rPr>
          <w:sz w:val="22"/>
        </w:rPr>
        <w:tab/>
      </w:r>
      <w:r>
        <w:rPr>
          <w:spacing w:val="-10"/>
          <w:sz w:val="22"/>
        </w:rPr>
        <w:t>2</w:t>
      </w:r>
    </w:p>
    <w:p>
      <w:pPr>
        <w:spacing w:after="0"/>
        <w:jc w:val="left"/>
        <w:rPr>
          <w:sz w:val="22"/>
        </w:rPr>
        <w:sectPr>
          <w:footerReference w:type="default" r:id="rId81"/>
          <w:pgSz w:w="11910" w:h="16840"/>
          <w:pgMar w:footer="0" w:header="0" w:top="880" w:bottom="180" w:left="0" w:right="0"/>
          <w:pgNumType w:start="2"/>
        </w:sectPr>
      </w:pPr>
    </w:p>
    <w:p>
      <w:pPr>
        <w:pStyle w:val="BodyText"/>
        <w:tabs>
          <w:tab w:pos="8031" w:val="left" w:leader="none"/>
        </w:tabs>
        <w:spacing w:before="85"/>
        <w:ind w:left="708"/>
      </w:pPr>
      <w:r>
        <w:rPr/>
        <w:pict>
          <v:shape style="position:absolute;margin-left:34.68pt;margin-top:32.274410pt;width:532.450pt;height:1.45pt;mso-position-horizontal-relative:page;mso-position-vertical-relative:paragraph;z-index:15781888" id="docshape207" coordorigin="694,645" coordsize="10649,29" path="m11342,645l6085,645,6071,645,6056,645,694,645,694,674,6056,674,6071,674,6085,674,11342,674,11342,645xe" filled="true" fillcolor="#000000" stroked="false">
            <v:path arrowok="t"/>
            <v:fill type="solid"/>
            <w10:wrap type="none"/>
          </v:shape>
        </w:pict>
      </w:r>
      <w:r>
        <w:rPr/>
        <w:t>Accounts</w:t>
      </w:r>
      <w:r>
        <w:rPr>
          <w:spacing w:val="-2"/>
        </w:rPr>
        <w:t> Payable</w:t>
      </w:r>
      <w:r>
        <w:rPr/>
        <w:tab/>
        <w:t>Final</w:t>
      </w:r>
      <w:r>
        <w:rPr>
          <w:spacing w:val="-6"/>
        </w:rPr>
        <w:t> </w:t>
      </w:r>
      <w:r>
        <w:rPr/>
        <w:t>Internal</w:t>
      </w:r>
      <w:r>
        <w:rPr>
          <w:spacing w:val="-3"/>
        </w:rPr>
        <w:t> </w:t>
      </w:r>
      <w:r>
        <w:rPr/>
        <w:t>Audit</w:t>
      </w:r>
      <w:r>
        <w:rPr>
          <w:spacing w:val="-1"/>
        </w:rPr>
        <w:t> </w:t>
      </w:r>
      <w:r>
        <w:rPr>
          <w:spacing w:val="-2"/>
        </w:rPr>
        <w:t>Report</w:t>
      </w:r>
    </w:p>
    <w:p>
      <w:pPr>
        <w:pStyle w:val="Heading4"/>
        <w:spacing w:before="639"/>
        <w:ind w:left="708"/>
      </w:pPr>
      <w:bookmarkStart w:name="_bookmark10" w:id="54"/>
      <w:bookmarkEnd w:id="54"/>
      <w:r>
        <w:rPr/>
      </w:r>
      <w:r>
        <w:rPr>
          <w:color w:val="3C5A8B"/>
        </w:rPr>
        <w:t>Executive</w:t>
      </w:r>
      <w:r>
        <w:rPr>
          <w:color w:val="3C5A8B"/>
          <w:spacing w:val="-7"/>
        </w:rPr>
        <w:t> </w:t>
      </w:r>
      <w:r>
        <w:rPr>
          <w:color w:val="3C5A8B"/>
          <w:spacing w:val="-2"/>
        </w:rPr>
        <w:t>Summary</w:t>
      </w:r>
    </w:p>
    <w:p>
      <w:pPr>
        <w:spacing w:after="0"/>
        <w:sectPr>
          <w:pgSz w:w="11910" w:h="16840"/>
          <w:pgMar w:header="0" w:footer="0" w:top="740" w:bottom="360" w:left="0" w:right="0"/>
        </w:sectPr>
      </w:pPr>
    </w:p>
    <w:p>
      <w:pPr>
        <w:pStyle w:val="Heading8"/>
        <w:spacing w:before="663"/>
        <w:ind w:left="5158"/>
        <w:rPr>
          <w:rFonts w:ascii="Verdana"/>
        </w:rPr>
      </w:pPr>
      <w:r>
        <w:rPr/>
        <w:pict>
          <v:shape style="position:absolute;margin-left:35.400002pt;margin-top:13.625171pt;width:217.15pt;height:522.5500pt;mso-position-horizontal-relative:page;mso-position-vertical-relative:paragraph;z-index:15783936" type="#_x0000_t202" id="docshape208" filled="true" fillcolor="#d9e1f3" stroked="false">
            <v:textbox inset="0,0,0,0">
              <w:txbxContent>
                <w:p>
                  <w:pPr>
                    <w:pStyle w:val="BodyText"/>
                    <w:spacing w:before="11"/>
                    <w:rPr>
                      <w:color w:val="000000"/>
                      <w:sz w:val="31"/>
                    </w:rPr>
                  </w:pPr>
                </w:p>
                <w:p>
                  <w:pPr>
                    <w:spacing w:before="0"/>
                    <w:ind w:left="107" w:right="0" w:firstLine="0"/>
                    <w:jc w:val="left"/>
                    <w:rPr>
                      <w:b/>
                      <w:color w:val="000000"/>
                      <w:sz w:val="22"/>
                    </w:rPr>
                  </w:pPr>
                  <w:r>
                    <w:rPr>
                      <w:b/>
                      <w:color w:val="001F5F"/>
                      <w:spacing w:val="-2"/>
                      <w:sz w:val="22"/>
                    </w:rPr>
                    <w:t>Purpose</w:t>
                  </w:r>
                </w:p>
                <w:p>
                  <w:pPr>
                    <w:spacing w:before="120"/>
                    <w:ind w:left="107" w:right="112" w:firstLine="0"/>
                    <w:jc w:val="both"/>
                    <w:rPr>
                      <w:color w:val="000000"/>
                      <w:sz w:val="20"/>
                    </w:rPr>
                  </w:pPr>
                  <w:r>
                    <w:rPr>
                      <w:color w:val="001F5F"/>
                      <w:sz w:val="20"/>
                    </w:rPr>
                    <w:t>The purpose of the audit review was to evaluate and determine the</w:t>
                  </w:r>
                  <w:r>
                    <w:rPr>
                      <w:color w:val="001F5F"/>
                      <w:spacing w:val="-1"/>
                      <w:sz w:val="20"/>
                    </w:rPr>
                    <w:t> </w:t>
                  </w:r>
                  <w:r>
                    <w:rPr>
                      <w:color w:val="001F5F"/>
                      <w:sz w:val="20"/>
                    </w:rPr>
                    <w:t>adequacy of the systems and controls in place over the</w:t>
                  </w:r>
                  <w:r>
                    <w:rPr>
                      <w:color w:val="001F5F"/>
                      <w:spacing w:val="-18"/>
                      <w:sz w:val="20"/>
                    </w:rPr>
                    <w:t> </w:t>
                  </w:r>
                  <w:r>
                    <w:rPr>
                      <w:color w:val="001F5F"/>
                      <w:sz w:val="20"/>
                    </w:rPr>
                    <w:t>management</w:t>
                  </w:r>
                  <w:r>
                    <w:rPr>
                      <w:color w:val="001F5F"/>
                      <w:spacing w:val="-15"/>
                      <w:sz w:val="20"/>
                    </w:rPr>
                    <w:t> </w:t>
                  </w:r>
                  <w:r>
                    <w:rPr>
                      <w:color w:val="001F5F"/>
                      <w:sz w:val="20"/>
                    </w:rPr>
                    <w:t>of</w:t>
                  </w:r>
                  <w:r>
                    <w:rPr>
                      <w:color w:val="001F5F"/>
                      <w:spacing w:val="-15"/>
                      <w:sz w:val="20"/>
                    </w:rPr>
                    <w:t> </w:t>
                  </w:r>
                  <w:r>
                    <w:rPr>
                      <w:color w:val="001F5F"/>
                      <w:sz w:val="20"/>
                    </w:rPr>
                    <w:t>the</w:t>
                  </w:r>
                  <w:r>
                    <w:rPr>
                      <w:color w:val="001F5F"/>
                      <w:spacing w:val="-15"/>
                      <w:sz w:val="20"/>
                    </w:rPr>
                    <w:t> </w:t>
                  </w:r>
                  <w:r>
                    <w:rPr>
                      <w:color w:val="001F5F"/>
                      <w:sz w:val="20"/>
                    </w:rPr>
                    <w:t>NWSSP</w:t>
                  </w:r>
                  <w:r>
                    <w:rPr>
                      <w:color w:val="001F5F"/>
                      <w:spacing w:val="-16"/>
                      <w:sz w:val="20"/>
                    </w:rPr>
                    <w:t> </w:t>
                  </w:r>
                  <w:r>
                    <w:rPr>
                      <w:color w:val="001F5F"/>
                      <w:sz w:val="20"/>
                    </w:rPr>
                    <w:t>Accounts Payable service.</w:t>
                  </w:r>
                </w:p>
                <w:p>
                  <w:pPr>
                    <w:spacing w:before="200"/>
                    <w:ind w:left="107" w:right="0" w:firstLine="0"/>
                    <w:jc w:val="left"/>
                    <w:rPr>
                      <w:b/>
                      <w:color w:val="000000"/>
                      <w:sz w:val="22"/>
                    </w:rPr>
                  </w:pPr>
                  <w:r>
                    <w:rPr>
                      <w:b/>
                      <w:color w:val="001F5F"/>
                      <w:spacing w:val="-2"/>
                      <w:sz w:val="22"/>
                    </w:rPr>
                    <w:t>Overview</w:t>
                  </w:r>
                </w:p>
                <w:p>
                  <w:pPr>
                    <w:spacing w:line="240" w:lineRule="auto" w:before="120"/>
                    <w:ind w:left="107" w:right="109" w:firstLine="0"/>
                    <w:jc w:val="both"/>
                    <w:rPr>
                      <w:color w:val="000000"/>
                      <w:sz w:val="20"/>
                    </w:rPr>
                  </w:pPr>
                  <w:r>
                    <w:rPr>
                      <w:color w:val="001F5F"/>
                      <w:sz w:val="20"/>
                    </w:rPr>
                    <w:t>We have concluded Reasonable assurance overall, with three medium priority matters arising relating to:</w:t>
                  </w:r>
                </w:p>
                <w:p>
                  <w:pPr>
                    <w:numPr>
                      <w:ilvl w:val="0"/>
                      <w:numId w:val="22"/>
                    </w:numPr>
                    <w:tabs>
                      <w:tab w:pos="420" w:val="left" w:leader="none"/>
                    </w:tabs>
                    <w:spacing w:line="240" w:lineRule="auto" w:before="121"/>
                    <w:ind w:left="420" w:right="108" w:hanging="284"/>
                    <w:jc w:val="both"/>
                    <w:rPr>
                      <w:color w:val="000000"/>
                      <w:sz w:val="20"/>
                    </w:rPr>
                  </w:pPr>
                  <w:r>
                    <w:rPr>
                      <w:color w:val="001F5F"/>
                      <w:sz w:val="20"/>
                    </w:rPr>
                    <w:t>clarification and application of the verification and review /approval process for supplier </w:t>
                  </w:r>
                  <w:r>
                    <w:rPr>
                      <w:color w:val="001F5F"/>
                      <w:sz w:val="20"/>
                    </w:rPr>
                    <w:t>ban</w:t>
                  </w:r>
                  <w:r>
                    <w:rPr>
                      <w:color w:val="001F5F"/>
                      <w:sz w:val="20"/>
                    </w:rPr>
                    <w:t>k</w:t>
                  </w:r>
                  <w:r>
                    <w:rPr>
                      <w:color w:val="001F5F"/>
                      <w:sz w:val="20"/>
                    </w:rPr>
                    <w:t> </w:t>
                  </w:r>
                  <w:r>
                    <w:rPr>
                      <w:color w:val="001F5F"/>
                      <w:spacing w:val="-2"/>
                      <w:sz w:val="20"/>
                    </w:rPr>
                    <w:t>additions/amendments;</w:t>
                  </w:r>
                </w:p>
                <w:p>
                  <w:pPr>
                    <w:numPr>
                      <w:ilvl w:val="0"/>
                      <w:numId w:val="22"/>
                    </w:numPr>
                    <w:tabs>
                      <w:tab w:pos="420" w:val="left" w:leader="none"/>
                    </w:tabs>
                    <w:spacing w:line="240" w:lineRule="auto" w:before="118"/>
                    <w:ind w:left="420" w:right="109" w:hanging="284"/>
                    <w:jc w:val="both"/>
                    <w:rPr>
                      <w:color w:val="000000"/>
                      <w:sz w:val="20"/>
                    </w:rPr>
                  </w:pPr>
                  <w:r>
                    <w:rPr>
                      <w:color w:val="001F5F"/>
                      <w:sz w:val="20"/>
                    </w:rPr>
                    <w:t>authorisation of non-PO invoices in line with organisation approval hierarchies; and</w:t>
                  </w:r>
                </w:p>
                <w:p>
                  <w:pPr>
                    <w:numPr>
                      <w:ilvl w:val="0"/>
                      <w:numId w:val="22"/>
                    </w:numPr>
                    <w:tabs>
                      <w:tab w:pos="420" w:val="left" w:leader="none"/>
                    </w:tabs>
                    <w:spacing w:line="240" w:lineRule="auto" w:before="118"/>
                    <w:ind w:left="420" w:right="109" w:hanging="284"/>
                    <w:jc w:val="both"/>
                    <w:rPr>
                      <w:color w:val="000000"/>
                      <w:sz w:val="20"/>
                    </w:rPr>
                  </w:pPr>
                  <w:r>
                    <w:rPr>
                      <w:color w:val="001F5F"/>
                      <w:sz w:val="20"/>
                    </w:rPr>
                    <w:t>exploring use of the Oracle Invoice Approval Workflow to facilitate more efficient and robust approval of non- PO invoices.</w:t>
                  </w:r>
                </w:p>
                <w:p>
                  <w:pPr>
                    <w:spacing w:line="240" w:lineRule="auto" w:before="118"/>
                    <w:ind w:left="107" w:right="107" w:firstLine="0"/>
                    <w:jc w:val="both"/>
                    <w:rPr>
                      <w:color w:val="000000"/>
                      <w:sz w:val="20"/>
                    </w:rPr>
                  </w:pPr>
                  <w:r>
                    <w:rPr>
                      <w:color w:val="001F5F"/>
                      <w:sz w:val="20"/>
                    </w:rPr>
                    <w:t>One low priority matter arising has also been identified relating to minor non- compliance with regards to disputed </w:t>
                  </w:r>
                  <w:r>
                    <w:rPr>
                      <w:color w:val="001F5F"/>
                      <w:spacing w:val="-2"/>
                      <w:sz w:val="20"/>
                    </w:rPr>
                    <w:t>invoices.</w:t>
                  </w:r>
                </w:p>
                <w:p>
                  <w:pPr>
                    <w:spacing w:before="120"/>
                    <w:ind w:left="107" w:right="111" w:firstLine="0"/>
                    <w:jc w:val="both"/>
                    <w:rPr>
                      <w:color w:val="000000"/>
                      <w:sz w:val="20"/>
                    </w:rPr>
                  </w:pPr>
                  <w:r>
                    <w:rPr>
                      <w:color w:val="001F5F"/>
                      <w:sz w:val="20"/>
                    </w:rPr>
                    <w:t>Full details of all matters arising and associated recommendations are provided at Appendix A on page 13.</w:t>
                  </w:r>
                </w:p>
              </w:txbxContent>
            </v:textbox>
            <v:fill type="solid"/>
            <w10:wrap type="none"/>
          </v:shape>
        </w:pict>
      </w:r>
      <w:r>
        <w:rPr>
          <w:rFonts w:ascii="Verdana"/>
          <w:color w:val="3C5A8B"/>
        </w:rPr>
        <w:t>Report</w:t>
      </w:r>
      <w:r>
        <w:rPr>
          <w:rFonts w:ascii="Verdana"/>
          <w:color w:val="3C5A8B"/>
          <w:spacing w:val="-5"/>
        </w:rPr>
        <w:t> </w:t>
      </w:r>
      <w:r>
        <w:rPr>
          <w:rFonts w:ascii="Verdana"/>
          <w:color w:val="3C5A8B"/>
          <w:spacing w:val="-2"/>
        </w:rPr>
        <w:t>Opinion</w:t>
      </w:r>
    </w:p>
    <w:p>
      <w:pPr>
        <w:tabs>
          <w:tab w:pos="7646" w:val="left" w:leader="none"/>
          <w:tab w:pos="8227" w:val="left" w:leader="none"/>
          <w:tab w:pos="8872" w:val="left" w:leader="none"/>
          <w:tab w:pos="9406" w:val="left" w:leader="none"/>
        </w:tabs>
        <w:spacing w:before="695"/>
        <w:ind w:left="6632" w:right="0" w:firstLine="0"/>
        <w:jc w:val="right"/>
        <w:rPr>
          <w:sz w:val="20"/>
        </w:rPr>
      </w:pPr>
      <w:r>
        <w:rPr/>
        <w:pict>
          <v:shape style="position:absolute;margin-left:257.930023pt;margin-top:30.043707pt;width:296.850pt;height:.5pt;mso-position-horizontal-relative:page;mso-position-vertical-relative:paragraph;z-index:15782400" id="docshape209" coordorigin="5159,601" coordsize="5937,10" path="m6534,601l6524,601,5159,601,5159,610,6524,610,6534,610,6534,601xm11095,601l9710,601,9700,601,6534,601,6534,610,9700,610,9710,610,11095,610,11095,601xe" filled="true" fillcolor="#000000" stroked="false">
            <v:path arrowok="t"/>
            <v:fill type="solid"/>
            <w10:wrap type="none"/>
          </v:shape>
        </w:pict>
      </w:r>
      <w:r>
        <w:rPr/>
        <w:drawing>
          <wp:anchor distT="0" distB="0" distL="0" distR="0" allowOverlap="1" layoutInCell="1" locked="0" behindDoc="0" simplePos="0" relativeHeight="15782912">
            <wp:simplePos x="0" y="0"/>
            <wp:positionH relativeFrom="page">
              <wp:posOffset>3365500</wp:posOffset>
            </wp:positionH>
            <wp:positionV relativeFrom="paragraph">
              <wp:posOffset>463368</wp:posOffset>
            </wp:positionV>
            <wp:extent cx="680085" cy="380847"/>
            <wp:effectExtent l="0" t="0" r="0" b="0"/>
            <wp:wrapNone/>
            <wp:docPr id="67" name="image8.png"/>
            <wp:cNvGraphicFramePr>
              <a:graphicFrameLocks noChangeAspect="1"/>
            </wp:cNvGraphicFramePr>
            <a:graphic>
              <a:graphicData uri="http://schemas.openxmlformats.org/drawingml/2006/picture">
                <pic:pic>
                  <pic:nvPicPr>
                    <pic:cNvPr id="68" name="image8.png"/>
                    <pic:cNvPicPr/>
                  </pic:nvPicPr>
                  <pic:blipFill>
                    <a:blip r:embed="rId39" cstate="print"/>
                    <a:stretch>
                      <a:fillRect/>
                    </a:stretch>
                  </pic:blipFill>
                  <pic:spPr>
                    <a:xfrm>
                      <a:off x="0" y="0"/>
                      <a:ext cx="680085" cy="380847"/>
                    </a:xfrm>
                    <a:prstGeom prst="rect">
                      <a:avLst/>
                    </a:prstGeom>
                  </pic:spPr>
                </pic:pic>
              </a:graphicData>
            </a:graphic>
          </wp:anchor>
        </w:drawing>
      </w:r>
      <w:r>
        <w:rPr>
          <w:spacing w:val="-4"/>
          <w:sz w:val="20"/>
        </w:rPr>
        <w:t>Some</w:t>
      </w:r>
      <w:r>
        <w:rPr>
          <w:sz w:val="20"/>
        </w:rPr>
        <w:tab/>
      </w:r>
      <w:r>
        <w:rPr>
          <w:spacing w:val="-2"/>
          <w:sz w:val="20"/>
        </w:rPr>
        <w:t>matters</w:t>
      </w:r>
      <w:r>
        <w:rPr>
          <w:sz w:val="20"/>
        </w:rPr>
        <w:tab/>
      </w:r>
      <w:r>
        <w:rPr>
          <w:spacing w:val="-2"/>
          <w:sz w:val="20"/>
        </w:rPr>
        <w:t>require management</w:t>
      </w:r>
      <w:r>
        <w:rPr>
          <w:sz w:val="20"/>
        </w:rPr>
        <w:tab/>
      </w:r>
      <w:r>
        <w:rPr>
          <w:spacing w:val="-2"/>
          <w:sz w:val="20"/>
        </w:rPr>
        <w:t>attention</w:t>
      </w:r>
      <w:r>
        <w:rPr>
          <w:sz w:val="20"/>
        </w:rPr>
        <w:tab/>
      </w:r>
      <w:r>
        <w:rPr>
          <w:spacing w:val="-5"/>
          <w:sz w:val="20"/>
        </w:rPr>
        <w:t>in</w:t>
      </w:r>
    </w:p>
    <w:p>
      <w:pPr>
        <w:spacing w:line="240" w:lineRule="auto" w:before="0"/>
        <w:rPr>
          <w:sz w:val="24"/>
        </w:rPr>
      </w:pPr>
      <w:r>
        <w:rPr/>
        <w:br w:type="column"/>
      </w:r>
      <w:r>
        <w:rPr>
          <w:sz w:val="24"/>
        </w:rPr>
      </w:r>
    </w:p>
    <w:p>
      <w:pPr>
        <w:pStyle w:val="BodyText"/>
      </w:pPr>
    </w:p>
    <w:p>
      <w:pPr>
        <w:pStyle w:val="BodyText"/>
      </w:pPr>
    </w:p>
    <w:p>
      <w:pPr>
        <w:pStyle w:val="BodyText"/>
        <w:rPr>
          <w:sz w:val="30"/>
        </w:rPr>
      </w:pPr>
    </w:p>
    <w:p>
      <w:pPr>
        <w:spacing w:before="1"/>
        <w:ind w:left="478" w:right="0" w:firstLine="0"/>
        <w:jc w:val="left"/>
        <w:rPr>
          <w:sz w:val="20"/>
        </w:rPr>
      </w:pPr>
      <w:r>
        <w:rPr>
          <w:spacing w:val="-2"/>
          <w:sz w:val="20"/>
        </w:rPr>
        <w:t>Trend</w:t>
      </w:r>
    </w:p>
    <w:p>
      <w:pPr>
        <w:spacing w:after="0"/>
        <w:jc w:val="left"/>
        <w:rPr>
          <w:sz w:val="20"/>
        </w:rPr>
        <w:sectPr>
          <w:type w:val="continuous"/>
          <w:pgSz w:w="11910" w:h="16840"/>
          <w:pgMar w:header="0" w:footer="0" w:top="740" w:bottom="280" w:left="0" w:right="0"/>
          <w:cols w:num="2" w:equalWidth="0">
            <w:col w:w="9588" w:space="40"/>
            <w:col w:w="2282"/>
          </w:cols>
        </w:sectPr>
      </w:pPr>
    </w:p>
    <w:p>
      <w:pPr>
        <w:spacing w:before="150"/>
        <w:ind w:left="0" w:right="0" w:firstLine="0"/>
        <w:jc w:val="right"/>
        <w:rPr>
          <w:sz w:val="20"/>
        </w:rPr>
      </w:pPr>
      <w:r>
        <w:rPr/>
        <w:pict>
          <v:shape style="position:absolute;margin-left:499.649994pt;margin-top:-19.066311pt;width:40.5pt;height:23.1pt;mso-position-horizontal-relative:page;mso-position-vertical-relative:paragraph;z-index:15783424" id="docshape210" coordorigin="9993,-381" coordsize="810,462" path="m9993,-150l10224,-381,10224,-266,10572,-266,10572,-381,10803,-150,10572,81,10572,-35,10224,-35,10224,81,9993,-150xe" filled="false" stroked="true" strokeweight="1pt" strokecolor="#7e7e7e">
            <v:path arrowok="t"/>
            <v:stroke dashstyle="solid"/>
            <w10:wrap type="none"/>
          </v:shape>
        </w:pict>
      </w:r>
      <w:r>
        <w:rPr>
          <w:color w:val="3C5A8B"/>
          <w:spacing w:val="-2"/>
          <w:sz w:val="20"/>
        </w:rPr>
        <w:t>Reasonable</w:t>
      </w:r>
    </w:p>
    <w:p>
      <w:pPr>
        <w:spacing w:before="1"/>
        <w:ind w:left="178" w:right="0" w:firstLine="0"/>
        <w:jc w:val="left"/>
        <w:rPr>
          <w:sz w:val="20"/>
        </w:rPr>
      </w:pPr>
      <w:r>
        <w:rPr/>
        <w:br w:type="column"/>
      </w:r>
      <w:r>
        <w:rPr>
          <w:sz w:val="20"/>
        </w:rPr>
        <w:t>control</w:t>
      </w:r>
      <w:r>
        <w:rPr>
          <w:spacing w:val="-7"/>
          <w:sz w:val="20"/>
        </w:rPr>
        <w:t> </w:t>
      </w:r>
      <w:r>
        <w:rPr>
          <w:sz w:val="20"/>
        </w:rPr>
        <w:t>design</w:t>
      </w:r>
      <w:r>
        <w:rPr>
          <w:spacing w:val="-6"/>
          <w:sz w:val="20"/>
        </w:rPr>
        <w:t> </w:t>
      </w:r>
      <w:r>
        <w:rPr>
          <w:sz w:val="20"/>
        </w:rPr>
        <w:t>or</w:t>
      </w:r>
      <w:r>
        <w:rPr>
          <w:spacing w:val="-8"/>
          <w:sz w:val="20"/>
        </w:rPr>
        <w:t> </w:t>
      </w:r>
      <w:r>
        <w:rPr>
          <w:spacing w:val="-2"/>
          <w:sz w:val="20"/>
        </w:rPr>
        <w:t>compliance.</w:t>
      </w:r>
    </w:p>
    <w:p>
      <w:pPr>
        <w:spacing w:before="120"/>
        <w:ind w:left="178" w:right="32" w:firstLine="0"/>
        <w:jc w:val="left"/>
        <w:rPr>
          <w:sz w:val="20"/>
        </w:rPr>
      </w:pPr>
      <w:r>
        <w:rPr>
          <w:b/>
          <w:color w:val="3C5A8B"/>
          <w:sz w:val="20"/>
        </w:rPr>
        <w:t>Low</w:t>
      </w:r>
      <w:r>
        <w:rPr>
          <w:b/>
          <w:color w:val="3C5A8B"/>
          <w:spacing w:val="-14"/>
          <w:sz w:val="20"/>
        </w:rPr>
        <w:t> </w:t>
      </w:r>
      <w:r>
        <w:rPr>
          <w:b/>
          <w:color w:val="3C5A8B"/>
          <w:sz w:val="20"/>
        </w:rPr>
        <w:t>to</w:t>
      </w:r>
      <w:r>
        <w:rPr>
          <w:b/>
          <w:color w:val="3C5A8B"/>
          <w:spacing w:val="-14"/>
          <w:sz w:val="20"/>
        </w:rPr>
        <w:t> </w:t>
      </w:r>
      <w:r>
        <w:rPr>
          <w:b/>
          <w:color w:val="3C5A8B"/>
          <w:sz w:val="20"/>
        </w:rPr>
        <w:t>moderate</w:t>
      </w:r>
      <w:r>
        <w:rPr>
          <w:b/>
          <w:color w:val="3C5A8B"/>
          <w:spacing w:val="-14"/>
          <w:sz w:val="20"/>
        </w:rPr>
        <w:t> </w:t>
      </w:r>
      <w:r>
        <w:rPr>
          <w:b/>
          <w:color w:val="3C5A8B"/>
          <w:sz w:val="20"/>
        </w:rPr>
        <w:t>impact </w:t>
      </w:r>
      <w:r>
        <w:rPr>
          <w:sz w:val="20"/>
        </w:rPr>
        <w:t>on residual risk exposure until resolved</w:t>
      </w:r>
    </w:p>
    <w:p>
      <w:pPr>
        <w:spacing w:before="213"/>
        <w:ind w:left="342" w:right="0" w:firstLine="0"/>
        <w:jc w:val="left"/>
        <w:rPr>
          <w:sz w:val="20"/>
        </w:rPr>
      </w:pPr>
      <w:r>
        <w:rPr/>
        <w:br w:type="column"/>
      </w:r>
      <w:r>
        <w:rPr>
          <w:spacing w:val="-2"/>
          <w:sz w:val="20"/>
        </w:rPr>
        <w:t>2021/22</w:t>
      </w:r>
    </w:p>
    <w:p>
      <w:pPr>
        <w:spacing w:after="0"/>
        <w:jc w:val="left"/>
        <w:rPr>
          <w:sz w:val="20"/>
        </w:rPr>
        <w:sectPr>
          <w:type w:val="continuous"/>
          <w:pgSz w:w="11910" w:h="16840"/>
          <w:pgMar w:header="0" w:footer="0" w:top="740" w:bottom="280" w:left="0" w:right="0"/>
          <w:cols w:num="3" w:equalWidth="0">
            <w:col w:w="6415" w:space="40"/>
            <w:col w:w="3131" w:space="39"/>
            <w:col w:w="2285"/>
          </w:cols>
        </w:sectPr>
      </w:pPr>
    </w:p>
    <w:p>
      <w:pPr>
        <w:pStyle w:val="BodyText"/>
        <w:rPr>
          <w:sz w:val="12"/>
        </w:rPr>
      </w:pPr>
    </w:p>
    <w:p>
      <w:pPr>
        <w:pStyle w:val="BodyText"/>
        <w:spacing w:line="20" w:lineRule="exact"/>
        <w:ind w:left="5144"/>
        <w:rPr>
          <w:sz w:val="2"/>
        </w:rPr>
      </w:pPr>
      <w:r>
        <w:rPr>
          <w:sz w:val="2"/>
        </w:rPr>
        <w:pict>
          <v:group style="width:297.55pt;height:.5pt;mso-position-horizontal-relative:char;mso-position-vertical-relative:line" id="docshapegroup211" coordorigin="0,0" coordsize="5951,10">
            <v:rect style="position:absolute;left:-1;top:0;width:5951;height:10" id="docshape212" filled="true" fillcolor="#000000" stroked="false">
              <v:fill type="solid"/>
            </v:rect>
          </v:group>
        </w:pict>
      </w:r>
      <w:r>
        <w:rPr>
          <w:sz w:val="2"/>
        </w:rPr>
      </w:r>
    </w:p>
    <w:p>
      <w:pPr>
        <w:pStyle w:val="BodyText"/>
        <w:spacing w:before="10"/>
        <w:rPr>
          <w:sz w:val="22"/>
        </w:rPr>
      </w:pPr>
    </w:p>
    <w:p>
      <w:pPr>
        <w:pStyle w:val="Heading8"/>
        <w:spacing w:before="101"/>
        <w:ind w:left="5158"/>
        <w:rPr>
          <w:rFonts w:ascii="Verdana"/>
          <w:sz w:val="14"/>
        </w:rPr>
      </w:pPr>
      <w:r>
        <w:rPr>
          <w:rFonts w:ascii="Verdana"/>
          <w:color w:val="3C5A8B"/>
        </w:rPr>
        <w:t>Assurance</w:t>
      </w:r>
      <w:r>
        <w:rPr>
          <w:rFonts w:ascii="Verdana"/>
          <w:color w:val="3C5A8B"/>
          <w:spacing w:val="-3"/>
        </w:rPr>
        <w:t> </w:t>
      </w:r>
      <w:r>
        <w:rPr>
          <w:rFonts w:ascii="Verdana"/>
          <w:color w:val="3C5A8B"/>
          <w:spacing w:val="-2"/>
        </w:rPr>
        <w:t>summary</w:t>
      </w:r>
      <w:r>
        <w:rPr>
          <w:rFonts w:ascii="Verdana"/>
          <w:spacing w:val="-2"/>
          <w:position w:val="8"/>
          <w:sz w:val="14"/>
        </w:rPr>
        <w:t>1</w:t>
      </w:r>
    </w:p>
    <w:p>
      <w:pPr>
        <w:tabs>
          <w:tab w:pos="9894" w:val="left" w:leader="none"/>
        </w:tabs>
        <w:spacing w:before="179" w:after="59"/>
        <w:ind w:left="5266" w:right="0" w:firstLine="0"/>
        <w:jc w:val="left"/>
        <w:rPr>
          <w:sz w:val="20"/>
        </w:rPr>
      </w:pPr>
      <w:r>
        <w:rPr>
          <w:color w:val="3C5A8B"/>
          <w:spacing w:val="-2"/>
          <w:sz w:val="20"/>
        </w:rPr>
        <w:t>Objectives</w:t>
      </w:r>
      <w:r>
        <w:rPr>
          <w:color w:val="3C5A8B"/>
          <w:sz w:val="20"/>
        </w:rPr>
        <w:tab/>
      </w:r>
      <w:r>
        <w:rPr>
          <w:color w:val="3C5A8B"/>
          <w:spacing w:val="-2"/>
          <w:sz w:val="20"/>
        </w:rPr>
        <w:t>Assurance</w:t>
      </w:r>
    </w:p>
    <w:tbl>
      <w:tblPr>
        <w:tblW w:w="0" w:type="auto"/>
        <w:jc w:val="left"/>
        <w:tblInd w:w="51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57"/>
        <w:gridCol w:w="4225"/>
        <w:gridCol w:w="1365"/>
      </w:tblGrid>
      <w:tr>
        <w:trPr>
          <w:trHeight w:val="726" w:hRule="atLeast"/>
        </w:trPr>
        <w:tc>
          <w:tcPr>
            <w:tcW w:w="357" w:type="dxa"/>
            <w:tcBorders>
              <w:top w:val="single" w:sz="4" w:space="0" w:color="000000"/>
              <w:bottom w:val="dashSmallGap" w:sz="4" w:space="0" w:color="000000"/>
            </w:tcBorders>
          </w:tcPr>
          <w:p>
            <w:pPr>
              <w:pStyle w:val="TableParagraph"/>
              <w:spacing w:before="11"/>
              <w:rPr>
                <w:sz w:val="19"/>
              </w:rPr>
            </w:pPr>
          </w:p>
          <w:p>
            <w:pPr>
              <w:pStyle w:val="TableParagraph"/>
              <w:spacing w:before="1"/>
              <w:ind w:left="14"/>
              <w:jc w:val="center"/>
              <w:rPr>
                <w:sz w:val="20"/>
              </w:rPr>
            </w:pPr>
            <w:r>
              <w:rPr>
                <w:w w:val="99"/>
                <w:sz w:val="20"/>
              </w:rPr>
              <w:t>1</w:t>
            </w:r>
          </w:p>
        </w:tc>
        <w:tc>
          <w:tcPr>
            <w:tcW w:w="4225" w:type="dxa"/>
            <w:tcBorders>
              <w:top w:val="single" w:sz="4" w:space="0" w:color="000000"/>
              <w:bottom w:val="dashSmallGap" w:sz="4" w:space="0" w:color="000000"/>
            </w:tcBorders>
          </w:tcPr>
          <w:p>
            <w:pPr>
              <w:pStyle w:val="TableParagraph"/>
              <w:tabs>
                <w:tab w:pos="1648" w:val="left" w:leader="none"/>
                <w:tab w:pos="2240" w:val="left" w:leader="none"/>
                <w:tab w:pos="3367" w:val="left" w:leader="none"/>
                <w:tab w:pos="3784" w:val="left" w:leader="none"/>
              </w:tabs>
              <w:spacing w:before="120"/>
              <w:ind w:left="108" w:right="111"/>
              <w:rPr>
                <w:sz w:val="20"/>
              </w:rPr>
            </w:pPr>
            <w:r>
              <w:rPr>
                <w:spacing w:val="-2"/>
                <w:sz w:val="20"/>
              </w:rPr>
              <w:t>Amendments</w:t>
            </w:r>
            <w:r>
              <w:rPr>
                <w:sz w:val="20"/>
              </w:rPr>
              <w:tab/>
            </w:r>
            <w:r>
              <w:rPr>
                <w:spacing w:val="-4"/>
                <w:sz w:val="20"/>
              </w:rPr>
              <w:t>and</w:t>
            </w:r>
            <w:r>
              <w:rPr>
                <w:sz w:val="20"/>
              </w:rPr>
              <w:tab/>
            </w:r>
            <w:r>
              <w:rPr>
                <w:spacing w:val="-2"/>
                <w:sz w:val="20"/>
              </w:rPr>
              <w:t>additions</w:t>
            </w:r>
            <w:r>
              <w:rPr>
                <w:sz w:val="20"/>
              </w:rPr>
              <w:tab/>
            </w:r>
            <w:r>
              <w:rPr>
                <w:spacing w:val="-6"/>
                <w:sz w:val="20"/>
              </w:rPr>
              <w:t>to</w:t>
            </w:r>
            <w:r>
              <w:rPr>
                <w:sz w:val="20"/>
              </w:rPr>
              <w:tab/>
            </w:r>
            <w:r>
              <w:rPr>
                <w:spacing w:val="-4"/>
                <w:sz w:val="20"/>
              </w:rPr>
              <w:t>the </w:t>
            </w:r>
            <w:r>
              <w:rPr>
                <w:sz w:val="20"/>
              </w:rPr>
              <w:t>Supplier Masterfile</w:t>
            </w:r>
          </w:p>
        </w:tc>
        <w:tc>
          <w:tcPr>
            <w:tcW w:w="1365" w:type="dxa"/>
            <w:tcBorders>
              <w:top w:val="single" w:sz="4" w:space="0" w:color="000000"/>
              <w:bottom w:val="dashSmallGap" w:sz="4" w:space="0" w:color="000000"/>
            </w:tcBorders>
            <w:shd w:val="clear" w:color="auto" w:fill="FFFF00"/>
          </w:tcPr>
          <w:p>
            <w:pPr>
              <w:pStyle w:val="TableParagraph"/>
              <w:spacing w:before="11"/>
              <w:rPr>
                <w:sz w:val="19"/>
              </w:rPr>
            </w:pPr>
          </w:p>
          <w:p>
            <w:pPr>
              <w:pStyle w:val="TableParagraph"/>
              <w:spacing w:before="1"/>
              <w:ind w:left="108"/>
              <w:rPr>
                <w:sz w:val="20"/>
              </w:rPr>
            </w:pPr>
            <w:r>
              <w:rPr>
                <w:spacing w:val="-2"/>
                <w:sz w:val="20"/>
              </w:rPr>
              <w:t>Reasonable</w:t>
            </w:r>
          </w:p>
        </w:tc>
      </w:tr>
      <w:tr>
        <w:trPr>
          <w:trHeight w:val="969" w:hRule="atLeast"/>
        </w:trPr>
        <w:tc>
          <w:tcPr>
            <w:tcW w:w="357" w:type="dxa"/>
            <w:tcBorders>
              <w:top w:val="dashSmallGap" w:sz="4" w:space="0" w:color="000000"/>
              <w:bottom w:val="dashSmallGap" w:sz="4" w:space="0" w:color="000000"/>
            </w:tcBorders>
          </w:tcPr>
          <w:p>
            <w:pPr>
              <w:pStyle w:val="TableParagraph"/>
              <w:spacing w:before="10"/>
              <w:rPr>
                <w:sz w:val="29"/>
              </w:rPr>
            </w:pPr>
          </w:p>
          <w:p>
            <w:pPr>
              <w:pStyle w:val="TableParagraph"/>
              <w:ind w:left="14"/>
              <w:jc w:val="center"/>
              <w:rPr>
                <w:sz w:val="20"/>
              </w:rPr>
            </w:pPr>
            <w:r>
              <w:rPr>
                <w:w w:val="99"/>
                <w:sz w:val="20"/>
              </w:rPr>
              <w:t>2</w:t>
            </w:r>
          </w:p>
        </w:tc>
        <w:tc>
          <w:tcPr>
            <w:tcW w:w="4225" w:type="dxa"/>
            <w:tcBorders>
              <w:top w:val="dashSmallGap" w:sz="4" w:space="0" w:color="000000"/>
              <w:bottom w:val="dashSmallGap" w:sz="4" w:space="0" w:color="000000"/>
            </w:tcBorders>
          </w:tcPr>
          <w:p>
            <w:pPr>
              <w:pStyle w:val="TableParagraph"/>
              <w:spacing w:before="120"/>
              <w:ind w:left="108" w:right="111"/>
              <w:jc w:val="both"/>
              <w:rPr>
                <w:sz w:val="20"/>
              </w:rPr>
            </w:pPr>
            <w:r>
              <w:rPr>
                <w:sz w:val="20"/>
              </w:rPr>
              <w:t>Invoices are supported by a purchase order</w:t>
            </w:r>
            <w:r>
              <w:rPr>
                <w:spacing w:val="-14"/>
                <w:sz w:val="20"/>
              </w:rPr>
              <w:t> </w:t>
            </w:r>
            <w:r>
              <w:rPr>
                <w:sz w:val="20"/>
              </w:rPr>
              <w:t>(PO)</w:t>
            </w:r>
            <w:r>
              <w:rPr>
                <w:spacing w:val="-12"/>
                <w:sz w:val="20"/>
              </w:rPr>
              <w:t> </w:t>
            </w:r>
            <w:r>
              <w:rPr>
                <w:sz w:val="20"/>
              </w:rPr>
              <w:t>in</w:t>
            </w:r>
            <w:r>
              <w:rPr>
                <w:spacing w:val="-14"/>
                <w:sz w:val="20"/>
              </w:rPr>
              <w:t> </w:t>
            </w:r>
            <w:r>
              <w:rPr>
                <w:sz w:val="20"/>
              </w:rPr>
              <w:t>line</w:t>
            </w:r>
            <w:r>
              <w:rPr>
                <w:spacing w:val="-16"/>
                <w:sz w:val="20"/>
              </w:rPr>
              <w:t> </w:t>
            </w:r>
            <w:r>
              <w:rPr>
                <w:sz w:val="20"/>
              </w:rPr>
              <w:t>with</w:t>
            </w:r>
            <w:r>
              <w:rPr>
                <w:spacing w:val="-14"/>
                <w:sz w:val="20"/>
              </w:rPr>
              <w:t> </w:t>
            </w:r>
            <w:r>
              <w:rPr>
                <w:sz w:val="20"/>
              </w:rPr>
              <w:t>the</w:t>
            </w:r>
            <w:r>
              <w:rPr>
                <w:spacing w:val="-16"/>
                <w:sz w:val="20"/>
              </w:rPr>
              <w:t> </w:t>
            </w:r>
            <w:r>
              <w:rPr>
                <w:sz w:val="20"/>
              </w:rPr>
              <w:t>No</w:t>
            </w:r>
            <w:r>
              <w:rPr>
                <w:spacing w:val="-16"/>
                <w:sz w:val="20"/>
              </w:rPr>
              <w:t> </w:t>
            </w:r>
            <w:r>
              <w:rPr>
                <w:sz w:val="20"/>
              </w:rPr>
              <w:t>PO</w:t>
            </w:r>
            <w:r>
              <w:rPr>
                <w:spacing w:val="-13"/>
                <w:sz w:val="20"/>
              </w:rPr>
              <w:t> </w:t>
            </w:r>
            <w:r>
              <w:rPr>
                <w:sz w:val="20"/>
              </w:rPr>
              <w:t>No</w:t>
            </w:r>
            <w:r>
              <w:rPr>
                <w:spacing w:val="-14"/>
                <w:sz w:val="20"/>
              </w:rPr>
              <w:t> </w:t>
            </w:r>
            <w:r>
              <w:rPr>
                <w:sz w:val="20"/>
              </w:rPr>
              <w:t>Pay </w:t>
            </w:r>
            <w:r>
              <w:rPr>
                <w:spacing w:val="-2"/>
                <w:sz w:val="20"/>
              </w:rPr>
              <w:t>Policy</w:t>
            </w:r>
          </w:p>
        </w:tc>
        <w:tc>
          <w:tcPr>
            <w:tcW w:w="1365" w:type="dxa"/>
            <w:tcBorders>
              <w:top w:val="dashSmallGap" w:sz="4" w:space="0" w:color="000000"/>
              <w:bottom w:val="dashSmallGap" w:sz="4" w:space="0" w:color="000000"/>
            </w:tcBorders>
            <w:shd w:val="clear" w:color="auto" w:fill="FFFF00"/>
          </w:tcPr>
          <w:p>
            <w:pPr>
              <w:pStyle w:val="TableParagraph"/>
              <w:spacing w:before="10"/>
              <w:rPr>
                <w:sz w:val="29"/>
              </w:rPr>
            </w:pPr>
          </w:p>
          <w:p>
            <w:pPr>
              <w:pStyle w:val="TableParagraph"/>
              <w:ind w:left="108"/>
              <w:rPr>
                <w:sz w:val="20"/>
              </w:rPr>
            </w:pPr>
            <w:r>
              <w:rPr>
                <w:spacing w:val="-2"/>
                <w:sz w:val="20"/>
              </w:rPr>
              <w:t>Reasonable</w:t>
            </w:r>
          </w:p>
        </w:tc>
      </w:tr>
      <w:tr>
        <w:trPr>
          <w:trHeight w:val="726" w:hRule="atLeast"/>
        </w:trPr>
        <w:tc>
          <w:tcPr>
            <w:tcW w:w="357" w:type="dxa"/>
            <w:tcBorders>
              <w:top w:val="dashSmallGap" w:sz="4" w:space="0" w:color="000000"/>
              <w:bottom w:val="dashSmallGap" w:sz="4" w:space="0" w:color="000000"/>
            </w:tcBorders>
          </w:tcPr>
          <w:p>
            <w:pPr>
              <w:pStyle w:val="TableParagraph"/>
              <w:spacing w:before="11"/>
              <w:rPr>
                <w:sz w:val="19"/>
              </w:rPr>
            </w:pPr>
          </w:p>
          <w:p>
            <w:pPr>
              <w:pStyle w:val="TableParagraph"/>
              <w:spacing w:before="1"/>
              <w:ind w:left="14"/>
              <w:jc w:val="center"/>
              <w:rPr>
                <w:sz w:val="20"/>
              </w:rPr>
            </w:pPr>
            <w:r>
              <w:rPr>
                <w:w w:val="99"/>
                <w:sz w:val="20"/>
              </w:rPr>
              <w:t>3</w:t>
            </w:r>
          </w:p>
        </w:tc>
        <w:tc>
          <w:tcPr>
            <w:tcW w:w="4225" w:type="dxa"/>
            <w:tcBorders>
              <w:top w:val="dashSmallGap" w:sz="4" w:space="0" w:color="000000"/>
              <w:bottom w:val="dashSmallGap" w:sz="4" w:space="0" w:color="000000"/>
            </w:tcBorders>
          </w:tcPr>
          <w:p>
            <w:pPr>
              <w:pStyle w:val="TableParagraph"/>
              <w:tabs>
                <w:tab w:pos="1132" w:val="left" w:leader="none"/>
                <w:tab w:pos="2196" w:val="left" w:leader="none"/>
                <w:tab w:pos="2781" w:val="left" w:leader="none"/>
              </w:tabs>
              <w:spacing w:before="120"/>
              <w:ind w:left="108" w:right="109"/>
              <w:rPr>
                <w:sz w:val="20"/>
              </w:rPr>
            </w:pPr>
            <w:r>
              <w:rPr>
                <w:spacing w:val="-2"/>
                <w:sz w:val="20"/>
              </w:rPr>
              <w:t>Non-PO</w:t>
            </w:r>
            <w:r>
              <w:rPr>
                <w:sz w:val="20"/>
              </w:rPr>
              <w:tab/>
            </w:r>
            <w:r>
              <w:rPr>
                <w:spacing w:val="-2"/>
                <w:sz w:val="20"/>
              </w:rPr>
              <w:t>invoices</w:t>
            </w:r>
            <w:r>
              <w:rPr>
                <w:sz w:val="20"/>
              </w:rPr>
              <w:tab/>
            </w:r>
            <w:r>
              <w:rPr>
                <w:spacing w:val="-4"/>
                <w:sz w:val="20"/>
              </w:rPr>
              <w:t>are</w:t>
            </w:r>
            <w:r>
              <w:rPr>
                <w:sz w:val="20"/>
              </w:rPr>
              <w:tab/>
            </w:r>
            <w:r>
              <w:rPr>
                <w:spacing w:val="-2"/>
                <w:sz w:val="20"/>
              </w:rPr>
              <w:t>appropriately </w:t>
            </w:r>
            <w:r>
              <w:rPr>
                <w:sz w:val="20"/>
              </w:rPr>
              <w:t>authorised and accurately processed</w:t>
            </w:r>
          </w:p>
        </w:tc>
        <w:tc>
          <w:tcPr>
            <w:tcW w:w="1365" w:type="dxa"/>
            <w:tcBorders>
              <w:top w:val="dashSmallGap" w:sz="4" w:space="0" w:color="000000"/>
              <w:bottom w:val="dashSmallGap" w:sz="4" w:space="0" w:color="000000"/>
            </w:tcBorders>
            <w:shd w:val="clear" w:color="auto" w:fill="FFFF00"/>
          </w:tcPr>
          <w:p>
            <w:pPr>
              <w:pStyle w:val="TableParagraph"/>
              <w:spacing w:before="11"/>
              <w:rPr>
                <w:sz w:val="19"/>
              </w:rPr>
            </w:pPr>
          </w:p>
          <w:p>
            <w:pPr>
              <w:pStyle w:val="TableParagraph"/>
              <w:spacing w:before="1"/>
              <w:ind w:left="108"/>
              <w:rPr>
                <w:sz w:val="20"/>
              </w:rPr>
            </w:pPr>
            <w:r>
              <w:rPr>
                <w:spacing w:val="-2"/>
                <w:sz w:val="20"/>
              </w:rPr>
              <w:t>Reasonable</w:t>
            </w:r>
          </w:p>
        </w:tc>
      </w:tr>
      <w:tr>
        <w:trPr>
          <w:trHeight w:val="969" w:hRule="atLeast"/>
        </w:trPr>
        <w:tc>
          <w:tcPr>
            <w:tcW w:w="357" w:type="dxa"/>
            <w:tcBorders>
              <w:top w:val="dashSmallGap" w:sz="4" w:space="0" w:color="000000"/>
              <w:bottom w:val="dashSmallGap" w:sz="4" w:space="0" w:color="000000"/>
            </w:tcBorders>
          </w:tcPr>
          <w:p>
            <w:pPr>
              <w:pStyle w:val="TableParagraph"/>
              <w:spacing w:before="10"/>
              <w:rPr>
                <w:sz w:val="29"/>
              </w:rPr>
            </w:pPr>
          </w:p>
          <w:p>
            <w:pPr>
              <w:pStyle w:val="TableParagraph"/>
              <w:ind w:left="14"/>
              <w:jc w:val="center"/>
              <w:rPr>
                <w:sz w:val="20"/>
              </w:rPr>
            </w:pPr>
            <w:r>
              <w:rPr>
                <w:w w:val="99"/>
                <w:sz w:val="20"/>
              </w:rPr>
              <w:t>4</w:t>
            </w:r>
          </w:p>
        </w:tc>
        <w:tc>
          <w:tcPr>
            <w:tcW w:w="4225" w:type="dxa"/>
            <w:tcBorders>
              <w:top w:val="dashSmallGap" w:sz="4" w:space="0" w:color="000000"/>
              <w:bottom w:val="dashSmallGap" w:sz="4" w:space="0" w:color="000000"/>
            </w:tcBorders>
          </w:tcPr>
          <w:p>
            <w:pPr>
              <w:pStyle w:val="TableParagraph"/>
              <w:spacing w:before="120"/>
              <w:ind w:left="108" w:right="109"/>
              <w:jc w:val="both"/>
              <w:rPr>
                <w:sz w:val="20"/>
              </w:rPr>
            </w:pPr>
            <w:r>
              <w:rPr>
                <w:sz w:val="20"/>
              </w:rPr>
              <w:t>Invoices on hold are monitored and cleared on a regular basis to ensure compliance with PSPP</w:t>
            </w:r>
          </w:p>
        </w:tc>
        <w:tc>
          <w:tcPr>
            <w:tcW w:w="1365" w:type="dxa"/>
            <w:tcBorders>
              <w:top w:val="dashSmallGap" w:sz="4" w:space="0" w:color="000000"/>
              <w:bottom w:val="dashSmallGap" w:sz="4" w:space="0" w:color="000000"/>
            </w:tcBorders>
            <w:shd w:val="clear" w:color="auto" w:fill="FFFF00"/>
          </w:tcPr>
          <w:p>
            <w:pPr>
              <w:pStyle w:val="TableParagraph"/>
              <w:spacing w:before="10"/>
              <w:rPr>
                <w:sz w:val="29"/>
              </w:rPr>
            </w:pPr>
          </w:p>
          <w:p>
            <w:pPr>
              <w:pStyle w:val="TableParagraph"/>
              <w:ind w:left="108"/>
              <w:rPr>
                <w:sz w:val="20"/>
              </w:rPr>
            </w:pPr>
            <w:r>
              <w:rPr>
                <w:spacing w:val="-2"/>
                <w:sz w:val="20"/>
              </w:rPr>
              <w:t>Reasonable</w:t>
            </w:r>
          </w:p>
        </w:tc>
      </w:tr>
      <w:tr>
        <w:trPr>
          <w:trHeight w:val="724" w:hRule="atLeast"/>
        </w:trPr>
        <w:tc>
          <w:tcPr>
            <w:tcW w:w="357" w:type="dxa"/>
            <w:tcBorders>
              <w:top w:val="dashSmallGap" w:sz="4" w:space="0" w:color="000000"/>
              <w:bottom w:val="dashSmallGap" w:sz="4" w:space="0" w:color="000000"/>
            </w:tcBorders>
          </w:tcPr>
          <w:p>
            <w:pPr>
              <w:pStyle w:val="TableParagraph"/>
              <w:spacing w:before="11"/>
              <w:rPr>
                <w:sz w:val="19"/>
              </w:rPr>
            </w:pPr>
          </w:p>
          <w:p>
            <w:pPr>
              <w:pStyle w:val="TableParagraph"/>
              <w:spacing w:before="1"/>
              <w:ind w:left="14"/>
              <w:jc w:val="center"/>
              <w:rPr>
                <w:sz w:val="20"/>
              </w:rPr>
            </w:pPr>
            <w:r>
              <w:rPr>
                <w:w w:val="99"/>
                <w:sz w:val="20"/>
              </w:rPr>
              <w:t>5</w:t>
            </w:r>
          </w:p>
        </w:tc>
        <w:tc>
          <w:tcPr>
            <w:tcW w:w="4225" w:type="dxa"/>
            <w:tcBorders>
              <w:top w:val="dashSmallGap" w:sz="4" w:space="0" w:color="000000"/>
              <w:bottom w:val="dashSmallGap" w:sz="4" w:space="0" w:color="000000"/>
            </w:tcBorders>
          </w:tcPr>
          <w:p>
            <w:pPr>
              <w:pStyle w:val="TableParagraph"/>
              <w:tabs>
                <w:tab w:pos="1816" w:val="left" w:leader="none"/>
                <w:tab w:pos="3231" w:val="left" w:leader="none"/>
              </w:tabs>
              <w:spacing w:before="120"/>
              <w:ind w:left="108" w:right="111"/>
              <w:rPr>
                <w:sz w:val="20"/>
              </w:rPr>
            </w:pPr>
            <w:r>
              <w:rPr>
                <w:spacing w:val="-2"/>
                <w:sz w:val="20"/>
              </w:rPr>
              <w:t>COVID-19</w:t>
            </w:r>
            <w:r>
              <w:rPr>
                <w:sz w:val="20"/>
              </w:rPr>
              <w:tab/>
            </w:r>
            <w:r>
              <w:rPr>
                <w:spacing w:val="-2"/>
                <w:sz w:val="20"/>
              </w:rPr>
              <w:t>revised</w:t>
            </w:r>
            <w:r>
              <w:rPr>
                <w:sz w:val="20"/>
              </w:rPr>
              <w:tab/>
            </w:r>
            <w:r>
              <w:rPr>
                <w:spacing w:val="-2"/>
                <w:sz w:val="20"/>
              </w:rPr>
              <w:t>payment </w:t>
            </w:r>
            <w:r>
              <w:rPr>
                <w:sz w:val="20"/>
              </w:rPr>
              <w:t>arrangements are complied with</w:t>
            </w:r>
          </w:p>
        </w:tc>
        <w:tc>
          <w:tcPr>
            <w:tcW w:w="1365" w:type="dxa"/>
            <w:tcBorders>
              <w:top w:val="dashSmallGap" w:sz="4" w:space="0" w:color="000000"/>
              <w:bottom w:val="dashSmallGap" w:sz="4" w:space="0" w:color="000000"/>
            </w:tcBorders>
            <w:shd w:val="clear" w:color="auto" w:fill="FFFF00"/>
          </w:tcPr>
          <w:p>
            <w:pPr>
              <w:pStyle w:val="TableParagraph"/>
              <w:spacing w:before="11"/>
              <w:rPr>
                <w:sz w:val="19"/>
              </w:rPr>
            </w:pPr>
          </w:p>
          <w:p>
            <w:pPr>
              <w:pStyle w:val="TableParagraph"/>
              <w:spacing w:before="1"/>
              <w:ind w:left="108"/>
              <w:rPr>
                <w:sz w:val="20"/>
              </w:rPr>
            </w:pPr>
            <w:r>
              <w:rPr>
                <w:spacing w:val="-2"/>
                <w:sz w:val="20"/>
              </w:rPr>
              <w:t>Reasonable</w:t>
            </w:r>
          </w:p>
        </w:tc>
      </w:tr>
      <w:tr>
        <w:trPr>
          <w:trHeight w:val="969" w:hRule="atLeast"/>
        </w:trPr>
        <w:tc>
          <w:tcPr>
            <w:tcW w:w="357" w:type="dxa"/>
            <w:tcBorders>
              <w:top w:val="dashSmallGap" w:sz="4" w:space="0" w:color="000000"/>
              <w:bottom w:val="dashSmallGap" w:sz="4" w:space="0" w:color="000000"/>
            </w:tcBorders>
          </w:tcPr>
          <w:p>
            <w:pPr>
              <w:pStyle w:val="TableParagraph"/>
              <w:rPr>
                <w:sz w:val="30"/>
              </w:rPr>
            </w:pPr>
          </w:p>
          <w:p>
            <w:pPr>
              <w:pStyle w:val="TableParagraph"/>
              <w:ind w:left="14"/>
              <w:jc w:val="center"/>
              <w:rPr>
                <w:sz w:val="20"/>
              </w:rPr>
            </w:pPr>
            <w:r>
              <w:rPr>
                <w:w w:val="99"/>
                <w:sz w:val="20"/>
              </w:rPr>
              <w:t>6</w:t>
            </w:r>
          </w:p>
        </w:tc>
        <w:tc>
          <w:tcPr>
            <w:tcW w:w="4225" w:type="dxa"/>
            <w:tcBorders>
              <w:top w:val="dashSmallGap" w:sz="4" w:space="0" w:color="000000"/>
              <w:bottom w:val="dashSmallGap" w:sz="4" w:space="0" w:color="000000"/>
            </w:tcBorders>
          </w:tcPr>
          <w:p>
            <w:pPr>
              <w:pStyle w:val="TableParagraph"/>
              <w:spacing w:before="122"/>
              <w:ind w:left="108" w:right="110"/>
              <w:jc w:val="both"/>
              <w:rPr>
                <w:sz w:val="20"/>
              </w:rPr>
            </w:pPr>
            <w:r>
              <w:rPr>
                <w:sz w:val="20"/>
              </w:rPr>
              <w:t>Mechanisms are in place to ensure that duplicate payments are avoided or </w:t>
            </w:r>
            <w:r>
              <w:rPr>
                <w:spacing w:val="-2"/>
                <w:sz w:val="20"/>
              </w:rPr>
              <w:t>detected</w:t>
            </w:r>
          </w:p>
        </w:tc>
        <w:tc>
          <w:tcPr>
            <w:tcW w:w="1365" w:type="dxa"/>
            <w:tcBorders>
              <w:top w:val="dashSmallGap" w:sz="4" w:space="0" w:color="000000"/>
              <w:bottom w:val="dashSmallGap" w:sz="4" w:space="0" w:color="000000"/>
            </w:tcBorders>
            <w:shd w:val="clear" w:color="auto" w:fill="92D050"/>
          </w:tcPr>
          <w:p>
            <w:pPr>
              <w:pStyle w:val="TableParagraph"/>
              <w:rPr>
                <w:sz w:val="30"/>
              </w:rPr>
            </w:pPr>
          </w:p>
          <w:p>
            <w:pPr>
              <w:pStyle w:val="TableParagraph"/>
              <w:ind w:left="120"/>
              <w:rPr>
                <w:sz w:val="20"/>
              </w:rPr>
            </w:pPr>
            <w:r>
              <w:rPr>
                <w:spacing w:val="-2"/>
                <w:sz w:val="20"/>
              </w:rPr>
              <w:t>Substantial</w:t>
            </w:r>
          </w:p>
        </w:tc>
      </w:tr>
      <w:tr>
        <w:trPr>
          <w:trHeight w:val="484" w:hRule="atLeast"/>
        </w:trPr>
        <w:tc>
          <w:tcPr>
            <w:tcW w:w="357" w:type="dxa"/>
            <w:tcBorders>
              <w:top w:val="dashSmallGap" w:sz="4" w:space="0" w:color="000000"/>
              <w:bottom w:val="single" w:sz="4" w:space="0" w:color="000000"/>
            </w:tcBorders>
          </w:tcPr>
          <w:p>
            <w:pPr>
              <w:pStyle w:val="TableParagraph"/>
              <w:spacing w:before="122"/>
              <w:ind w:left="14"/>
              <w:jc w:val="center"/>
              <w:rPr>
                <w:sz w:val="20"/>
              </w:rPr>
            </w:pPr>
            <w:r>
              <w:rPr>
                <w:w w:val="99"/>
                <w:sz w:val="20"/>
              </w:rPr>
              <w:t>7</w:t>
            </w:r>
          </w:p>
        </w:tc>
        <w:tc>
          <w:tcPr>
            <w:tcW w:w="4225" w:type="dxa"/>
            <w:tcBorders>
              <w:top w:val="dashSmallGap" w:sz="4" w:space="0" w:color="000000"/>
              <w:bottom w:val="single" w:sz="4" w:space="0" w:color="000000"/>
            </w:tcBorders>
          </w:tcPr>
          <w:p>
            <w:pPr>
              <w:pStyle w:val="TableParagraph"/>
              <w:spacing w:before="122"/>
              <w:ind w:left="108"/>
              <w:rPr>
                <w:sz w:val="20"/>
              </w:rPr>
            </w:pPr>
            <w:r>
              <w:rPr>
                <w:sz w:val="20"/>
              </w:rPr>
              <w:t>Previous</w:t>
            </w:r>
            <w:r>
              <w:rPr>
                <w:spacing w:val="-7"/>
                <w:sz w:val="20"/>
              </w:rPr>
              <w:t> </w:t>
            </w:r>
            <w:r>
              <w:rPr>
                <w:sz w:val="20"/>
              </w:rPr>
              <w:t>audit</w:t>
            </w:r>
            <w:r>
              <w:rPr>
                <w:spacing w:val="-6"/>
                <w:sz w:val="20"/>
              </w:rPr>
              <w:t> </w:t>
            </w:r>
            <w:r>
              <w:rPr>
                <w:spacing w:val="-2"/>
                <w:sz w:val="20"/>
              </w:rPr>
              <w:t>recommendations</w:t>
            </w:r>
          </w:p>
        </w:tc>
        <w:tc>
          <w:tcPr>
            <w:tcW w:w="1365" w:type="dxa"/>
            <w:tcBorders>
              <w:top w:val="dashSmallGap" w:sz="4" w:space="0" w:color="000000"/>
              <w:bottom w:val="single" w:sz="4" w:space="0" w:color="000000"/>
            </w:tcBorders>
            <w:shd w:val="clear" w:color="auto" w:fill="FFFF00"/>
          </w:tcPr>
          <w:p>
            <w:pPr>
              <w:pStyle w:val="TableParagraph"/>
              <w:spacing w:before="122"/>
              <w:ind w:left="108"/>
              <w:rPr>
                <w:sz w:val="20"/>
              </w:rPr>
            </w:pPr>
            <w:r>
              <w:rPr>
                <w:spacing w:val="-2"/>
                <w:sz w:val="20"/>
              </w:rPr>
              <w:t>Reasonable</w:t>
            </w:r>
          </w:p>
        </w:tc>
      </w:tr>
    </w:tbl>
    <w:p>
      <w:pPr>
        <w:spacing w:before="43"/>
        <w:ind w:left="5158" w:right="617" w:firstLine="0"/>
        <w:jc w:val="left"/>
        <w:rPr>
          <w:sz w:val="16"/>
        </w:rPr>
      </w:pPr>
      <w:r>
        <w:rPr>
          <w:sz w:val="16"/>
          <w:vertAlign w:val="superscript"/>
        </w:rPr>
        <w:t>1</w:t>
      </w:r>
      <w:r>
        <w:rPr>
          <w:sz w:val="16"/>
          <w:vertAlign w:val="baseline"/>
        </w:rPr>
        <w:t>The</w:t>
      </w:r>
      <w:r>
        <w:rPr>
          <w:spacing w:val="-15"/>
          <w:sz w:val="16"/>
          <w:vertAlign w:val="baseline"/>
        </w:rPr>
        <w:t> </w:t>
      </w:r>
      <w:r>
        <w:rPr>
          <w:sz w:val="16"/>
          <w:vertAlign w:val="baseline"/>
        </w:rPr>
        <w:t>objectives</w:t>
      </w:r>
      <w:r>
        <w:rPr>
          <w:spacing w:val="-13"/>
          <w:sz w:val="16"/>
          <w:vertAlign w:val="baseline"/>
        </w:rPr>
        <w:t> </w:t>
      </w:r>
      <w:r>
        <w:rPr>
          <w:sz w:val="16"/>
          <w:vertAlign w:val="baseline"/>
        </w:rPr>
        <w:t>and</w:t>
      </w:r>
      <w:r>
        <w:rPr>
          <w:spacing w:val="-13"/>
          <w:sz w:val="16"/>
          <w:vertAlign w:val="baseline"/>
        </w:rPr>
        <w:t> </w:t>
      </w:r>
      <w:r>
        <w:rPr>
          <w:sz w:val="16"/>
          <w:vertAlign w:val="baseline"/>
        </w:rPr>
        <w:t>associated</w:t>
      </w:r>
      <w:r>
        <w:rPr>
          <w:spacing w:val="-13"/>
          <w:sz w:val="16"/>
          <w:vertAlign w:val="baseline"/>
        </w:rPr>
        <w:t> </w:t>
      </w:r>
      <w:r>
        <w:rPr>
          <w:sz w:val="16"/>
          <w:vertAlign w:val="baseline"/>
        </w:rPr>
        <w:t>assurance</w:t>
      </w:r>
      <w:r>
        <w:rPr>
          <w:spacing w:val="-14"/>
          <w:sz w:val="16"/>
          <w:vertAlign w:val="baseline"/>
        </w:rPr>
        <w:t> </w:t>
      </w:r>
      <w:r>
        <w:rPr>
          <w:sz w:val="16"/>
          <w:vertAlign w:val="baseline"/>
        </w:rPr>
        <w:t>ratings</w:t>
      </w:r>
      <w:r>
        <w:rPr>
          <w:spacing w:val="-14"/>
          <w:sz w:val="16"/>
          <w:vertAlign w:val="baseline"/>
        </w:rPr>
        <w:t> </w:t>
      </w:r>
      <w:r>
        <w:rPr>
          <w:sz w:val="16"/>
          <w:vertAlign w:val="baseline"/>
        </w:rPr>
        <w:t>are</w:t>
      </w:r>
      <w:r>
        <w:rPr>
          <w:spacing w:val="-14"/>
          <w:sz w:val="16"/>
          <w:vertAlign w:val="baseline"/>
        </w:rPr>
        <w:t> </w:t>
      </w:r>
      <w:r>
        <w:rPr>
          <w:sz w:val="16"/>
          <w:vertAlign w:val="baseline"/>
        </w:rPr>
        <w:t>not</w:t>
      </w:r>
      <w:r>
        <w:rPr>
          <w:spacing w:val="-15"/>
          <w:sz w:val="16"/>
          <w:vertAlign w:val="baseline"/>
        </w:rPr>
        <w:t> </w:t>
      </w:r>
      <w:r>
        <w:rPr>
          <w:sz w:val="16"/>
          <w:vertAlign w:val="baseline"/>
        </w:rPr>
        <w:t>necessarily</w:t>
      </w:r>
      <w:r>
        <w:rPr>
          <w:spacing w:val="-12"/>
          <w:sz w:val="16"/>
          <w:vertAlign w:val="baseline"/>
        </w:rPr>
        <w:t> </w:t>
      </w:r>
      <w:r>
        <w:rPr>
          <w:sz w:val="16"/>
          <w:vertAlign w:val="baseline"/>
        </w:rPr>
        <w:t>given equal weighting when formulating the overall audit opinion.</w:t>
      </w:r>
    </w:p>
    <w:p>
      <w:pPr>
        <w:spacing w:after="0"/>
        <w:jc w:val="left"/>
        <w:rPr>
          <w:sz w:val="16"/>
        </w:rPr>
        <w:sectPr>
          <w:type w:val="continuous"/>
          <w:pgSz w:w="11910" w:h="16840"/>
          <w:pgMar w:header="0" w:footer="0" w:top="740" w:bottom="280" w:left="0" w:right="0"/>
        </w:sectPr>
      </w:pPr>
    </w:p>
    <w:p>
      <w:pPr>
        <w:tabs>
          <w:tab w:pos="6262" w:val="left" w:leader="none"/>
          <w:tab w:pos="7635" w:val="left" w:leader="none"/>
        </w:tabs>
        <w:spacing w:before="65"/>
        <w:ind w:left="816" w:right="0" w:firstLine="0"/>
        <w:jc w:val="left"/>
        <w:rPr>
          <w:sz w:val="20"/>
        </w:rPr>
      </w:pPr>
      <w:r>
        <w:rPr/>
        <w:pict>
          <v:shape style="position:absolute;margin-left:387.190002pt;margin-top:15.23022pt;width:63.15pt;height:12.15pt;mso-position-horizontal-relative:page;mso-position-vertical-relative:paragraph;z-index:-24135680" type="#_x0000_t202" id="docshape213" filled="false" stroked="false">
            <v:textbox inset="0,0,0,0">
              <w:txbxContent>
                <w:p>
                  <w:pPr>
                    <w:spacing w:line="242" w:lineRule="exact" w:before="0"/>
                    <w:ind w:left="0" w:right="0" w:firstLine="0"/>
                    <w:jc w:val="left"/>
                    <w:rPr>
                      <w:sz w:val="20"/>
                    </w:rPr>
                  </w:pPr>
                  <w:r>
                    <w:rPr>
                      <w:color w:val="3C5A8B"/>
                      <w:sz w:val="20"/>
                    </w:rPr>
                    <w:t>or</w:t>
                  </w:r>
                  <w:r>
                    <w:rPr>
                      <w:color w:val="3C5A8B"/>
                      <w:spacing w:val="-4"/>
                      <w:sz w:val="20"/>
                    </w:rPr>
                    <w:t> </w:t>
                  </w:r>
                  <w:r>
                    <w:rPr>
                      <w:color w:val="3C5A8B"/>
                      <w:spacing w:val="-2"/>
                      <w:sz w:val="20"/>
                    </w:rPr>
                    <w:t>Operation</w:t>
                  </w:r>
                </w:p>
              </w:txbxContent>
            </v:textbox>
            <w10:wrap type="none"/>
          </v:shape>
        </w:pict>
      </w:r>
      <w:r>
        <w:rPr>
          <w:color w:val="3C5A8B"/>
          <w:sz w:val="28"/>
        </w:rPr>
        <w:t>Key</w:t>
      </w:r>
      <w:r>
        <w:rPr>
          <w:color w:val="3C5A8B"/>
          <w:spacing w:val="-2"/>
          <w:sz w:val="28"/>
        </w:rPr>
        <w:t> </w:t>
      </w:r>
      <w:r>
        <w:rPr>
          <w:color w:val="3C5A8B"/>
          <w:sz w:val="28"/>
        </w:rPr>
        <w:t>Matters</w:t>
      </w:r>
      <w:r>
        <w:rPr>
          <w:color w:val="3C5A8B"/>
          <w:spacing w:val="-1"/>
          <w:sz w:val="28"/>
        </w:rPr>
        <w:t> </w:t>
      </w:r>
      <w:r>
        <w:rPr>
          <w:color w:val="3C5A8B"/>
          <w:spacing w:val="-2"/>
          <w:sz w:val="28"/>
        </w:rPr>
        <w:t>Arising</w:t>
      </w:r>
      <w:r>
        <w:rPr>
          <w:color w:val="3C5A8B"/>
          <w:sz w:val="28"/>
        </w:rPr>
        <w:tab/>
      </w:r>
      <w:r>
        <w:rPr>
          <w:color w:val="3C5A8B"/>
          <w:spacing w:val="-2"/>
          <w:position w:val="3"/>
          <w:sz w:val="20"/>
        </w:rPr>
        <w:t>Objective</w:t>
      </w:r>
      <w:r>
        <w:rPr>
          <w:color w:val="3C5A8B"/>
          <w:position w:val="3"/>
          <w:sz w:val="20"/>
        </w:rPr>
        <w:tab/>
      </w:r>
      <w:r>
        <w:rPr>
          <w:color w:val="3C5A8B"/>
          <w:position w:val="15"/>
          <w:sz w:val="20"/>
        </w:rPr>
        <w:t>Control</w:t>
      </w:r>
      <w:r>
        <w:rPr>
          <w:color w:val="3C5A8B"/>
          <w:spacing w:val="-9"/>
          <w:position w:val="15"/>
          <w:sz w:val="20"/>
        </w:rPr>
        <w:t> </w:t>
      </w:r>
      <w:r>
        <w:rPr>
          <w:color w:val="3C5A8B"/>
          <w:spacing w:val="-2"/>
          <w:position w:val="15"/>
          <w:sz w:val="20"/>
        </w:rPr>
        <w:t>Design</w:t>
      </w:r>
    </w:p>
    <w:p>
      <w:pPr>
        <w:spacing w:before="61"/>
        <w:ind w:left="704" w:right="162" w:hanging="512"/>
        <w:jc w:val="left"/>
        <w:rPr>
          <w:sz w:val="20"/>
        </w:rPr>
      </w:pPr>
      <w:r>
        <w:rPr/>
        <w:br w:type="column"/>
      </w:r>
      <w:r>
        <w:rPr>
          <w:color w:val="3C5A8B"/>
          <w:spacing w:val="-2"/>
          <w:sz w:val="20"/>
        </w:rPr>
        <w:t>Recommendation Priority</w:t>
      </w:r>
    </w:p>
    <w:p>
      <w:pPr>
        <w:spacing w:after="0"/>
        <w:jc w:val="left"/>
        <w:rPr>
          <w:sz w:val="20"/>
        </w:rPr>
        <w:sectPr>
          <w:type w:val="continuous"/>
          <w:pgSz w:w="11910" w:h="16840"/>
          <w:pgMar w:header="0" w:footer="0" w:top="740" w:bottom="280" w:left="0" w:right="0"/>
          <w:cols w:num="2" w:equalWidth="0">
            <w:col w:w="9115" w:space="40"/>
            <w:col w:w="2755"/>
          </w:cols>
        </w:sectPr>
      </w:pPr>
    </w:p>
    <w:p>
      <w:pPr>
        <w:pStyle w:val="BodyText"/>
        <w:spacing w:before="10"/>
        <w:rPr>
          <w:sz w:val="4"/>
        </w:rPr>
      </w:pPr>
    </w:p>
    <w:tbl>
      <w:tblPr>
        <w:tblW w:w="0" w:type="auto"/>
        <w:jc w:val="left"/>
        <w:tblInd w:w="7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451"/>
        <w:gridCol w:w="1195"/>
        <w:gridCol w:w="1900"/>
        <w:gridCol w:w="1961"/>
      </w:tblGrid>
      <w:tr>
        <w:trPr>
          <w:trHeight w:val="486" w:hRule="atLeast"/>
        </w:trPr>
        <w:tc>
          <w:tcPr>
            <w:tcW w:w="5451" w:type="dxa"/>
            <w:tcBorders>
              <w:top w:val="single" w:sz="4" w:space="0" w:color="000000"/>
              <w:bottom w:val="dashSmallGap" w:sz="4" w:space="0" w:color="000000"/>
            </w:tcBorders>
          </w:tcPr>
          <w:p>
            <w:pPr>
              <w:pStyle w:val="TableParagraph"/>
              <w:tabs>
                <w:tab w:pos="1207" w:val="left" w:leader="none"/>
              </w:tabs>
              <w:spacing w:line="148" w:lineRule="auto" w:before="32"/>
              <w:ind w:left="492"/>
              <w:rPr>
                <w:sz w:val="20"/>
              </w:rPr>
            </w:pPr>
            <w:r>
              <w:rPr>
                <w:spacing w:val="-10"/>
                <w:position w:val="-11"/>
                <w:sz w:val="20"/>
              </w:rPr>
              <w:t>1</w:t>
            </w:r>
            <w:r>
              <w:rPr>
                <w:position w:val="-11"/>
                <w:sz w:val="20"/>
              </w:rPr>
              <w:tab/>
            </w:r>
            <w:r>
              <w:rPr>
                <w:sz w:val="20"/>
              </w:rPr>
              <w:t>Supplier</w:t>
            </w:r>
            <w:r>
              <w:rPr>
                <w:spacing w:val="-9"/>
                <w:sz w:val="20"/>
              </w:rPr>
              <w:t> </w:t>
            </w:r>
            <w:r>
              <w:rPr>
                <w:sz w:val="20"/>
              </w:rPr>
              <w:t>Bank</w:t>
            </w:r>
            <w:r>
              <w:rPr>
                <w:spacing w:val="-7"/>
                <w:sz w:val="20"/>
              </w:rPr>
              <w:t> </w:t>
            </w:r>
            <w:r>
              <w:rPr>
                <w:sz w:val="20"/>
              </w:rPr>
              <w:t>Account</w:t>
            </w:r>
            <w:r>
              <w:rPr>
                <w:spacing w:val="-7"/>
                <w:sz w:val="20"/>
              </w:rPr>
              <w:t> </w:t>
            </w:r>
            <w:r>
              <w:rPr>
                <w:sz w:val="20"/>
              </w:rPr>
              <w:t>Additions</w:t>
            </w:r>
            <w:r>
              <w:rPr>
                <w:spacing w:val="-8"/>
                <w:sz w:val="20"/>
              </w:rPr>
              <w:t> </w:t>
            </w:r>
            <w:r>
              <w:rPr>
                <w:spacing w:val="-5"/>
                <w:sz w:val="20"/>
              </w:rPr>
              <w:t>and</w:t>
            </w:r>
          </w:p>
          <w:p>
            <w:pPr>
              <w:pStyle w:val="TableParagraph"/>
              <w:spacing w:line="161" w:lineRule="exact"/>
              <w:ind w:left="1207"/>
              <w:rPr>
                <w:sz w:val="20"/>
              </w:rPr>
            </w:pPr>
            <w:r>
              <w:rPr>
                <w:spacing w:val="-2"/>
                <w:sz w:val="20"/>
              </w:rPr>
              <w:t>Amendments</w:t>
            </w:r>
          </w:p>
        </w:tc>
        <w:tc>
          <w:tcPr>
            <w:tcW w:w="1195" w:type="dxa"/>
            <w:tcBorders>
              <w:top w:val="single" w:sz="4" w:space="0" w:color="000000"/>
              <w:bottom w:val="dashSmallGap" w:sz="4" w:space="0" w:color="000000"/>
            </w:tcBorders>
          </w:tcPr>
          <w:p>
            <w:pPr>
              <w:pStyle w:val="TableParagraph"/>
              <w:spacing w:before="122"/>
              <w:ind w:left="525"/>
              <w:rPr>
                <w:sz w:val="20"/>
              </w:rPr>
            </w:pPr>
            <w:r>
              <w:rPr>
                <w:w w:val="99"/>
                <w:sz w:val="20"/>
              </w:rPr>
              <w:t>1</w:t>
            </w:r>
          </w:p>
        </w:tc>
        <w:tc>
          <w:tcPr>
            <w:tcW w:w="1900" w:type="dxa"/>
            <w:tcBorders>
              <w:top w:val="single" w:sz="4" w:space="0" w:color="000000"/>
              <w:bottom w:val="dashSmallGap" w:sz="4" w:space="0" w:color="000000"/>
            </w:tcBorders>
          </w:tcPr>
          <w:p>
            <w:pPr>
              <w:pStyle w:val="TableParagraph"/>
              <w:spacing w:before="122"/>
              <w:ind w:right="372"/>
              <w:jc w:val="right"/>
              <w:rPr>
                <w:sz w:val="20"/>
              </w:rPr>
            </w:pPr>
            <w:r>
              <w:rPr>
                <w:spacing w:val="-2"/>
                <w:sz w:val="20"/>
              </w:rPr>
              <w:t>Operation</w:t>
            </w:r>
          </w:p>
        </w:tc>
        <w:tc>
          <w:tcPr>
            <w:tcW w:w="1961" w:type="dxa"/>
            <w:tcBorders>
              <w:top w:val="single" w:sz="4" w:space="0" w:color="000000"/>
              <w:bottom w:val="dashSmallGap" w:sz="4" w:space="0" w:color="000000"/>
            </w:tcBorders>
            <w:shd w:val="clear" w:color="auto" w:fill="FFFF00"/>
          </w:tcPr>
          <w:p>
            <w:pPr>
              <w:pStyle w:val="TableParagraph"/>
              <w:spacing w:before="122"/>
              <w:ind w:right="587"/>
              <w:jc w:val="right"/>
              <w:rPr>
                <w:sz w:val="20"/>
              </w:rPr>
            </w:pPr>
            <w:r>
              <w:rPr>
                <w:spacing w:val="-2"/>
                <w:sz w:val="20"/>
              </w:rPr>
              <w:t>Medium</w:t>
            </w:r>
          </w:p>
        </w:tc>
      </w:tr>
      <w:tr>
        <w:trPr>
          <w:trHeight w:val="373" w:hRule="atLeast"/>
        </w:trPr>
        <w:tc>
          <w:tcPr>
            <w:tcW w:w="5451" w:type="dxa"/>
            <w:tcBorders>
              <w:top w:val="dashSmallGap" w:sz="4" w:space="0" w:color="000000"/>
              <w:bottom w:val="dashSmallGap" w:sz="4" w:space="0" w:color="000000"/>
            </w:tcBorders>
          </w:tcPr>
          <w:p>
            <w:pPr>
              <w:pStyle w:val="TableParagraph"/>
              <w:tabs>
                <w:tab w:pos="1207" w:val="left" w:leader="none"/>
              </w:tabs>
              <w:spacing w:before="67"/>
              <w:ind w:left="391"/>
              <w:rPr>
                <w:sz w:val="20"/>
              </w:rPr>
            </w:pPr>
            <w:r>
              <w:rPr>
                <w:spacing w:val="-5"/>
                <w:sz w:val="20"/>
              </w:rPr>
              <w:t>2.1</w:t>
            </w:r>
            <w:r>
              <w:rPr>
                <w:sz w:val="20"/>
              </w:rPr>
              <w:tab/>
              <w:t>Authorisation</w:t>
            </w:r>
            <w:r>
              <w:rPr>
                <w:spacing w:val="-7"/>
                <w:sz w:val="20"/>
              </w:rPr>
              <w:t> </w:t>
            </w:r>
            <w:r>
              <w:rPr>
                <w:sz w:val="20"/>
              </w:rPr>
              <w:t>of</w:t>
            </w:r>
            <w:r>
              <w:rPr>
                <w:spacing w:val="-8"/>
                <w:sz w:val="20"/>
              </w:rPr>
              <w:t> </w:t>
            </w:r>
            <w:r>
              <w:rPr>
                <w:sz w:val="20"/>
              </w:rPr>
              <w:t>Non-PO</w:t>
            </w:r>
            <w:r>
              <w:rPr>
                <w:spacing w:val="-7"/>
                <w:sz w:val="20"/>
              </w:rPr>
              <w:t> </w:t>
            </w:r>
            <w:r>
              <w:rPr>
                <w:sz w:val="20"/>
              </w:rPr>
              <w:t>Invoices</w:t>
            </w:r>
            <w:r>
              <w:rPr>
                <w:spacing w:val="-7"/>
                <w:sz w:val="20"/>
              </w:rPr>
              <w:t> </w:t>
            </w:r>
            <w:r>
              <w:rPr>
                <w:spacing w:val="-5"/>
                <w:sz w:val="20"/>
              </w:rPr>
              <w:t>(1)</w:t>
            </w:r>
          </w:p>
        </w:tc>
        <w:tc>
          <w:tcPr>
            <w:tcW w:w="1195" w:type="dxa"/>
            <w:tcBorders>
              <w:top w:val="dashSmallGap" w:sz="4" w:space="0" w:color="000000"/>
              <w:bottom w:val="dashSmallGap" w:sz="4" w:space="0" w:color="000000"/>
            </w:tcBorders>
          </w:tcPr>
          <w:p>
            <w:pPr>
              <w:pStyle w:val="TableParagraph"/>
              <w:spacing w:before="67"/>
              <w:ind w:left="525"/>
              <w:rPr>
                <w:sz w:val="20"/>
              </w:rPr>
            </w:pPr>
            <w:r>
              <w:rPr>
                <w:w w:val="99"/>
                <w:sz w:val="20"/>
              </w:rPr>
              <w:t>3</w:t>
            </w:r>
          </w:p>
        </w:tc>
        <w:tc>
          <w:tcPr>
            <w:tcW w:w="1900" w:type="dxa"/>
            <w:tcBorders>
              <w:top w:val="dashSmallGap" w:sz="4" w:space="0" w:color="000000"/>
              <w:bottom w:val="dashSmallGap" w:sz="4" w:space="0" w:color="000000"/>
            </w:tcBorders>
          </w:tcPr>
          <w:p>
            <w:pPr>
              <w:pStyle w:val="TableParagraph"/>
              <w:spacing w:before="67"/>
              <w:ind w:right="372"/>
              <w:jc w:val="right"/>
              <w:rPr>
                <w:sz w:val="20"/>
              </w:rPr>
            </w:pPr>
            <w:r>
              <w:rPr>
                <w:spacing w:val="-2"/>
                <w:sz w:val="20"/>
              </w:rPr>
              <w:t>Operation</w:t>
            </w:r>
          </w:p>
        </w:tc>
        <w:tc>
          <w:tcPr>
            <w:tcW w:w="1961" w:type="dxa"/>
            <w:tcBorders>
              <w:top w:val="dashSmallGap" w:sz="4" w:space="0" w:color="000000"/>
              <w:bottom w:val="dashSmallGap" w:sz="4" w:space="0" w:color="000000"/>
            </w:tcBorders>
            <w:shd w:val="clear" w:color="auto" w:fill="FFFF00"/>
          </w:tcPr>
          <w:p>
            <w:pPr>
              <w:pStyle w:val="TableParagraph"/>
              <w:spacing w:before="67"/>
              <w:ind w:right="587"/>
              <w:jc w:val="right"/>
              <w:rPr>
                <w:sz w:val="20"/>
              </w:rPr>
            </w:pPr>
            <w:r>
              <w:rPr>
                <w:spacing w:val="-2"/>
                <w:sz w:val="20"/>
              </w:rPr>
              <w:t>Medium</w:t>
            </w:r>
          </w:p>
        </w:tc>
      </w:tr>
      <w:tr>
        <w:trPr>
          <w:trHeight w:val="606" w:hRule="atLeast"/>
        </w:trPr>
        <w:tc>
          <w:tcPr>
            <w:tcW w:w="5451" w:type="dxa"/>
            <w:tcBorders>
              <w:top w:val="dashSmallGap" w:sz="4" w:space="0" w:color="000000"/>
              <w:bottom w:val="single" w:sz="4" w:space="0" w:color="000000"/>
            </w:tcBorders>
          </w:tcPr>
          <w:p>
            <w:pPr>
              <w:pStyle w:val="TableParagraph"/>
              <w:tabs>
                <w:tab w:pos="1207" w:val="left" w:leader="none"/>
              </w:tabs>
              <w:spacing w:before="182"/>
              <w:ind w:left="391"/>
              <w:rPr>
                <w:sz w:val="20"/>
              </w:rPr>
            </w:pPr>
            <w:r>
              <w:rPr>
                <w:spacing w:val="-5"/>
                <w:sz w:val="20"/>
              </w:rPr>
              <w:t>2.2</w:t>
            </w:r>
            <w:r>
              <w:rPr>
                <w:sz w:val="20"/>
              </w:rPr>
              <w:tab/>
              <w:t>Oracle</w:t>
            </w:r>
            <w:r>
              <w:rPr>
                <w:spacing w:val="-8"/>
                <w:sz w:val="20"/>
              </w:rPr>
              <w:t> </w:t>
            </w:r>
            <w:r>
              <w:rPr>
                <w:sz w:val="20"/>
              </w:rPr>
              <w:t>Invoice</w:t>
            </w:r>
            <w:r>
              <w:rPr>
                <w:spacing w:val="-9"/>
                <w:sz w:val="20"/>
              </w:rPr>
              <w:t> </w:t>
            </w:r>
            <w:r>
              <w:rPr>
                <w:sz w:val="20"/>
              </w:rPr>
              <w:t>Approval</w:t>
            </w:r>
            <w:r>
              <w:rPr>
                <w:spacing w:val="-5"/>
                <w:sz w:val="20"/>
              </w:rPr>
              <w:t> </w:t>
            </w:r>
            <w:r>
              <w:rPr>
                <w:spacing w:val="-2"/>
                <w:sz w:val="20"/>
              </w:rPr>
              <w:t>Workflow</w:t>
            </w:r>
          </w:p>
        </w:tc>
        <w:tc>
          <w:tcPr>
            <w:tcW w:w="1195" w:type="dxa"/>
            <w:tcBorders>
              <w:top w:val="dashSmallGap" w:sz="4" w:space="0" w:color="000000"/>
              <w:bottom w:val="single" w:sz="4" w:space="0" w:color="000000"/>
            </w:tcBorders>
          </w:tcPr>
          <w:p>
            <w:pPr>
              <w:pStyle w:val="TableParagraph"/>
              <w:spacing w:before="182"/>
              <w:ind w:left="525"/>
              <w:rPr>
                <w:sz w:val="20"/>
              </w:rPr>
            </w:pPr>
            <w:r>
              <w:rPr>
                <w:w w:val="99"/>
                <w:sz w:val="20"/>
              </w:rPr>
              <w:t>3</w:t>
            </w:r>
          </w:p>
        </w:tc>
        <w:tc>
          <w:tcPr>
            <w:tcW w:w="1900" w:type="dxa"/>
            <w:tcBorders>
              <w:top w:val="dashSmallGap" w:sz="4" w:space="0" w:color="000000"/>
              <w:bottom w:val="single" w:sz="4" w:space="0" w:color="000000"/>
            </w:tcBorders>
          </w:tcPr>
          <w:p>
            <w:pPr>
              <w:pStyle w:val="TableParagraph"/>
              <w:spacing w:before="60"/>
              <w:ind w:left="540" w:right="369" w:firstLine="74"/>
              <w:rPr>
                <w:sz w:val="20"/>
              </w:rPr>
            </w:pPr>
            <w:r>
              <w:rPr>
                <w:sz w:val="20"/>
              </w:rPr>
              <w:t>Design / </w:t>
            </w:r>
            <w:r>
              <w:rPr>
                <w:spacing w:val="-2"/>
                <w:sz w:val="20"/>
              </w:rPr>
              <w:t>Operation</w:t>
            </w:r>
          </w:p>
        </w:tc>
        <w:tc>
          <w:tcPr>
            <w:tcW w:w="1961" w:type="dxa"/>
            <w:tcBorders>
              <w:top w:val="dashSmallGap" w:sz="4" w:space="0" w:color="000000"/>
              <w:bottom w:val="single" w:sz="4" w:space="0" w:color="000000"/>
            </w:tcBorders>
            <w:shd w:val="clear" w:color="auto" w:fill="FFFF00"/>
          </w:tcPr>
          <w:p>
            <w:pPr>
              <w:pStyle w:val="TableParagraph"/>
              <w:spacing w:before="182"/>
              <w:ind w:right="587"/>
              <w:jc w:val="right"/>
              <w:rPr>
                <w:sz w:val="20"/>
              </w:rPr>
            </w:pPr>
            <w:r>
              <w:rPr>
                <w:spacing w:val="-2"/>
                <w:sz w:val="20"/>
              </w:rPr>
              <w:t>Medium</w:t>
            </w:r>
          </w:p>
        </w:tc>
      </w:tr>
    </w:tbl>
    <w:p>
      <w:pPr>
        <w:pStyle w:val="BodyText"/>
        <w:rPr>
          <w:sz w:val="20"/>
        </w:rPr>
      </w:pPr>
    </w:p>
    <w:p>
      <w:pPr>
        <w:pStyle w:val="BodyText"/>
        <w:spacing w:before="2"/>
        <w:rPr>
          <w:sz w:val="10"/>
        </w:rPr>
      </w:pPr>
      <w:r>
        <w:rPr/>
        <w:pict>
          <v:shape style="position:absolute;margin-left:35.400002pt;margin-top:7.410084pt;width:531.7pt;height:1.45pt;mso-position-horizontal-relative:page;mso-position-vertical-relative:paragraph;z-index:-15675904;mso-wrap-distance-left:0;mso-wrap-distance-right:0" id="docshape214" coordorigin="708,148" coordsize="10634,29" path="m11342,148l6114,148,6085,148,708,148,708,177,6085,177,6114,177,11342,177,11342,148xe" filled="true" fillcolor="#000000" stroked="false">
            <v:path arrowok="t"/>
            <v:fill type="solid"/>
            <w10:wrap type="topAndBottom"/>
          </v:shape>
        </w:pict>
      </w:r>
    </w:p>
    <w:p>
      <w:pPr>
        <w:pStyle w:val="BodyText"/>
        <w:spacing w:before="9"/>
        <w:rPr>
          <w:sz w:val="13"/>
        </w:rPr>
      </w:pPr>
    </w:p>
    <w:p>
      <w:pPr>
        <w:tabs>
          <w:tab w:pos="11237" w:val="right" w:leader="none"/>
        </w:tabs>
        <w:spacing w:before="101"/>
        <w:ind w:left="816" w:right="0" w:firstLine="0"/>
        <w:jc w:val="left"/>
        <w:rPr>
          <w:sz w:val="22"/>
        </w:rPr>
      </w:pPr>
      <w:r>
        <w:rPr>
          <w:sz w:val="22"/>
        </w:rPr>
        <w:t>NWSSP</w:t>
      </w:r>
      <w:r>
        <w:rPr>
          <w:spacing w:val="-4"/>
          <w:sz w:val="22"/>
        </w:rPr>
        <w:t> </w:t>
      </w:r>
      <w:r>
        <w:rPr>
          <w:sz w:val="22"/>
        </w:rPr>
        <w:t>Audit</w:t>
      </w:r>
      <w:r>
        <w:rPr>
          <w:spacing w:val="-6"/>
          <w:sz w:val="22"/>
        </w:rPr>
        <w:t> </w:t>
      </w:r>
      <w:r>
        <w:rPr>
          <w:sz w:val="22"/>
        </w:rPr>
        <w:t>and</w:t>
      </w:r>
      <w:r>
        <w:rPr>
          <w:spacing w:val="-5"/>
          <w:sz w:val="22"/>
        </w:rPr>
        <w:t> </w:t>
      </w:r>
      <w:r>
        <w:rPr>
          <w:sz w:val="22"/>
        </w:rPr>
        <w:t>Assurance</w:t>
      </w:r>
      <w:r>
        <w:rPr>
          <w:spacing w:val="-4"/>
          <w:sz w:val="22"/>
        </w:rPr>
        <w:t> </w:t>
      </w:r>
      <w:r>
        <w:rPr>
          <w:spacing w:val="-2"/>
          <w:sz w:val="22"/>
        </w:rPr>
        <w:t>Services</w:t>
      </w:r>
      <w:r>
        <w:rPr>
          <w:sz w:val="22"/>
        </w:rPr>
        <w:tab/>
      </w:r>
      <w:r>
        <w:rPr>
          <w:spacing w:val="-10"/>
          <w:sz w:val="22"/>
        </w:rPr>
        <w:t>3</w:t>
      </w:r>
    </w:p>
    <w:p>
      <w:pPr>
        <w:spacing w:after="0"/>
        <w:jc w:val="left"/>
        <w:rPr>
          <w:sz w:val="22"/>
        </w:rPr>
        <w:sectPr>
          <w:type w:val="continuous"/>
          <w:pgSz w:w="11910" w:h="16840"/>
          <w:pgMar w:header="0" w:footer="0" w:top="740" w:bottom="280" w:left="0" w:right="0"/>
        </w:sectPr>
      </w:pPr>
    </w:p>
    <w:p>
      <w:pPr>
        <w:pStyle w:val="BodyText"/>
        <w:tabs>
          <w:tab w:pos="7890" w:val="left" w:leader="none"/>
        </w:tabs>
        <w:spacing w:before="86"/>
        <w:ind w:left="566"/>
      </w:pPr>
      <w:r>
        <w:rPr/>
        <w:t>Accounts</w:t>
      </w:r>
      <w:r>
        <w:rPr>
          <w:spacing w:val="-2"/>
        </w:rPr>
        <w:t> Payable</w:t>
      </w:r>
      <w:r>
        <w:rPr/>
        <w:tab/>
        <w:t>Final</w:t>
      </w:r>
      <w:r>
        <w:rPr>
          <w:spacing w:val="-6"/>
        </w:rPr>
        <w:t> </w:t>
      </w:r>
      <w:r>
        <w:rPr/>
        <w:t>Internal</w:t>
      </w:r>
      <w:r>
        <w:rPr>
          <w:spacing w:val="-3"/>
        </w:rPr>
        <w:t> </w:t>
      </w:r>
      <w:r>
        <w:rPr/>
        <w:t>Audit</w:t>
      </w:r>
      <w:r>
        <w:rPr>
          <w:spacing w:val="-1"/>
        </w:rPr>
        <w:t> </w:t>
      </w:r>
      <w:r>
        <w:rPr>
          <w:spacing w:val="-2"/>
        </w:rPr>
        <w:t>Report</w:t>
      </w:r>
    </w:p>
    <w:p>
      <w:pPr>
        <w:pStyle w:val="BodyText"/>
        <w:rPr>
          <w:sz w:val="20"/>
        </w:rPr>
      </w:pPr>
      <w:r>
        <w:rPr/>
        <w:pict>
          <v:shape style="position:absolute;margin-left:27.6pt;margin-top:13.355979pt;width:532.450pt;height:1.45pt;mso-position-horizontal-relative:page;mso-position-vertical-relative:paragraph;z-index:-15672320;mso-wrap-distance-left:0;mso-wrap-distance-right:0" id="docshape218" coordorigin="552,267" coordsize="10649,29" path="m11200,267l5943,267,5929,267,5915,267,552,267,552,296,5915,296,5929,296,5943,296,11200,296,11200,267xe" filled="true" fillcolor="#000000" stroked="false">
            <v:path arrowok="t"/>
            <v:fill type="solid"/>
            <w10:wrap type="topAndBottom"/>
          </v:shape>
        </w:pict>
      </w:r>
    </w:p>
    <w:p>
      <w:pPr>
        <w:pStyle w:val="BodyText"/>
        <w:spacing w:before="1"/>
        <w:rPr>
          <w:sz w:val="20"/>
        </w:rPr>
      </w:pPr>
    </w:p>
    <w:p>
      <w:pPr>
        <w:pStyle w:val="Heading4"/>
        <w:numPr>
          <w:ilvl w:val="0"/>
          <w:numId w:val="23"/>
        </w:numPr>
        <w:tabs>
          <w:tab w:pos="1133" w:val="left" w:leader="none"/>
        </w:tabs>
        <w:spacing w:line="240" w:lineRule="auto" w:before="100" w:after="0"/>
        <w:ind w:left="1132" w:right="0" w:hanging="567"/>
        <w:jc w:val="left"/>
        <w:rPr>
          <w:color w:val="3C5A8B"/>
        </w:rPr>
      </w:pPr>
      <w:bookmarkStart w:name="_bookmark11" w:id="55"/>
      <w:bookmarkEnd w:id="55"/>
      <w:r>
        <w:rPr>
          <w:color w:val="3C5A8B"/>
          <w:spacing w:val="-2"/>
        </w:rPr>
        <w:t>Intro</w:t>
      </w:r>
      <w:r>
        <w:rPr>
          <w:color w:val="3C5A8B"/>
          <w:spacing w:val="-2"/>
        </w:rPr>
        <w:t>duction</w:t>
      </w:r>
    </w:p>
    <w:p>
      <w:pPr>
        <w:pStyle w:val="ListParagraph"/>
        <w:numPr>
          <w:ilvl w:val="1"/>
          <w:numId w:val="23"/>
        </w:numPr>
        <w:tabs>
          <w:tab w:pos="1275" w:val="left" w:leader="none"/>
        </w:tabs>
        <w:spacing w:line="259" w:lineRule="auto" w:before="153" w:after="0"/>
        <w:ind w:left="1274" w:right="707" w:hanging="708"/>
        <w:jc w:val="both"/>
        <w:rPr>
          <w:sz w:val="24"/>
        </w:rPr>
      </w:pPr>
      <w:r>
        <w:rPr>
          <w:sz w:val="24"/>
        </w:rPr>
        <w:t>NHS Wales Shared Services Partnership (NWSSP) provides a complete Procure to Pay (P2P) service to NHS Wales through sourcing, frontline local procurement, supply chain, accounts payable and eEnablement functions.</w:t>
      </w:r>
    </w:p>
    <w:p>
      <w:pPr>
        <w:pStyle w:val="ListParagraph"/>
        <w:numPr>
          <w:ilvl w:val="1"/>
          <w:numId w:val="23"/>
        </w:numPr>
        <w:tabs>
          <w:tab w:pos="1275" w:val="left" w:leader="none"/>
        </w:tabs>
        <w:spacing w:line="259" w:lineRule="auto" w:before="118" w:after="0"/>
        <w:ind w:left="1274" w:right="705" w:hanging="708"/>
        <w:jc w:val="both"/>
        <w:rPr>
          <w:sz w:val="24"/>
        </w:rPr>
      </w:pPr>
      <w:r>
        <w:rPr>
          <w:sz w:val="24"/>
        </w:rPr>
        <w:t>The</w:t>
      </w:r>
      <w:r>
        <w:rPr>
          <w:spacing w:val="-5"/>
          <w:sz w:val="24"/>
        </w:rPr>
        <w:t> </w:t>
      </w:r>
      <w:r>
        <w:rPr>
          <w:sz w:val="24"/>
        </w:rPr>
        <w:t>Accounts</w:t>
      </w:r>
      <w:r>
        <w:rPr>
          <w:spacing w:val="-4"/>
          <w:sz w:val="24"/>
        </w:rPr>
        <w:t> </w:t>
      </w:r>
      <w:r>
        <w:rPr>
          <w:sz w:val="24"/>
        </w:rPr>
        <w:t>Payable</w:t>
      </w:r>
      <w:r>
        <w:rPr>
          <w:spacing w:val="-6"/>
          <w:sz w:val="24"/>
        </w:rPr>
        <w:t> </w:t>
      </w:r>
      <w:r>
        <w:rPr>
          <w:sz w:val="24"/>
        </w:rPr>
        <w:t>(AP)</w:t>
      </w:r>
      <w:r>
        <w:rPr>
          <w:spacing w:val="-4"/>
          <w:sz w:val="24"/>
        </w:rPr>
        <w:t> </w:t>
      </w:r>
      <w:r>
        <w:rPr>
          <w:sz w:val="24"/>
        </w:rPr>
        <w:t>team</w:t>
      </w:r>
      <w:r>
        <w:rPr>
          <w:spacing w:val="-7"/>
          <w:sz w:val="24"/>
        </w:rPr>
        <w:t> </w:t>
      </w:r>
      <w:r>
        <w:rPr>
          <w:sz w:val="24"/>
        </w:rPr>
        <w:t>comprises</w:t>
      </w:r>
      <w:r>
        <w:rPr>
          <w:spacing w:val="-5"/>
          <w:sz w:val="24"/>
        </w:rPr>
        <w:t> </w:t>
      </w:r>
      <w:r>
        <w:rPr>
          <w:sz w:val="24"/>
        </w:rPr>
        <w:t>117.2</w:t>
      </w:r>
      <w:r>
        <w:rPr>
          <w:spacing w:val="-4"/>
          <w:sz w:val="24"/>
        </w:rPr>
        <w:t> </w:t>
      </w:r>
      <w:r>
        <w:rPr>
          <w:sz w:val="24"/>
        </w:rPr>
        <w:t>full</w:t>
      </w:r>
      <w:r>
        <w:rPr>
          <w:spacing w:val="-8"/>
          <w:sz w:val="24"/>
        </w:rPr>
        <w:t> </w:t>
      </w:r>
      <w:r>
        <w:rPr>
          <w:sz w:val="24"/>
        </w:rPr>
        <w:t>time</w:t>
      </w:r>
      <w:r>
        <w:rPr>
          <w:spacing w:val="-3"/>
          <w:sz w:val="24"/>
        </w:rPr>
        <w:t> </w:t>
      </w:r>
      <w:r>
        <w:rPr>
          <w:sz w:val="24"/>
        </w:rPr>
        <w:t>equivalent</w:t>
      </w:r>
      <w:r>
        <w:rPr>
          <w:spacing w:val="-7"/>
          <w:sz w:val="24"/>
        </w:rPr>
        <w:t> </w:t>
      </w:r>
      <w:r>
        <w:rPr>
          <w:sz w:val="24"/>
        </w:rPr>
        <w:t>(FTE)</w:t>
      </w:r>
      <w:r>
        <w:rPr>
          <w:spacing w:val="-7"/>
          <w:sz w:val="24"/>
        </w:rPr>
        <w:t> </w:t>
      </w:r>
      <w:r>
        <w:rPr>
          <w:sz w:val="24"/>
        </w:rPr>
        <w:t>which includes</w:t>
      </w:r>
      <w:r>
        <w:rPr>
          <w:spacing w:val="-10"/>
          <w:sz w:val="24"/>
        </w:rPr>
        <w:t> </w:t>
      </w:r>
      <w:r>
        <w:rPr>
          <w:sz w:val="24"/>
        </w:rPr>
        <w:t>3.8</w:t>
      </w:r>
      <w:r>
        <w:rPr>
          <w:spacing w:val="-10"/>
          <w:sz w:val="24"/>
        </w:rPr>
        <w:t> </w:t>
      </w:r>
      <w:r>
        <w:rPr>
          <w:sz w:val="24"/>
        </w:rPr>
        <w:t>FTE</w:t>
      </w:r>
      <w:r>
        <w:rPr>
          <w:spacing w:val="-12"/>
          <w:sz w:val="24"/>
        </w:rPr>
        <w:t> </w:t>
      </w:r>
      <w:r>
        <w:rPr>
          <w:sz w:val="24"/>
        </w:rPr>
        <w:t>responsible</w:t>
      </w:r>
      <w:r>
        <w:rPr>
          <w:spacing w:val="-10"/>
          <w:sz w:val="24"/>
        </w:rPr>
        <w:t> </w:t>
      </w:r>
      <w:r>
        <w:rPr>
          <w:sz w:val="24"/>
        </w:rPr>
        <w:t>for</w:t>
      </w:r>
      <w:r>
        <w:rPr>
          <w:spacing w:val="-8"/>
          <w:sz w:val="24"/>
        </w:rPr>
        <w:t> </w:t>
      </w:r>
      <w:r>
        <w:rPr>
          <w:sz w:val="24"/>
        </w:rPr>
        <w:t>supplier</w:t>
      </w:r>
      <w:r>
        <w:rPr>
          <w:spacing w:val="-10"/>
          <w:sz w:val="24"/>
        </w:rPr>
        <w:t> </w:t>
      </w:r>
      <w:r>
        <w:rPr>
          <w:sz w:val="24"/>
        </w:rPr>
        <w:t>masterfile</w:t>
      </w:r>
      <w:r>
        <w:rPr>
          <w:spacing w:val="-10"/>
          <w:sz w:val="24"/>
        </w:rPr>
        <w:t> </w:t>
      </w:r>
      <w:r>
        <w:rPr>
          <w:sz w:val="24"/>
        </w:rPr>
        <w:t>maintenance.</w:t>
      </w:r>
      <w:r>
        <w:rPr>
          <w:spacing w:val="-10"/>
          <w:sz w:val="24"/>
        </w:rPr>
        <w:t> </w:t>
      </w:r>
      <w:r>
        <w:rPr>
          <w:sz w:val="24"/>
        </w:rPr>
        <w:t>During</w:t>
      </w:r>
      <w:r>
        <w:rPr>
          <w:spacing w:val="-11"/>
          <w:sz w:val="24"/>
        </w:rPr>
        <w:t> </w:t>
      </w:r>
      <w:r>
        <w:rPr>
          <w:sz w:val="24"/>
        </w:rPr>
        <w:t>2021/22, the AP Team processed 2.06 million invoices, for approximately 16,000 active suppliers with a value of £6.9 billion.</w:t>
      </w:r>
    </w:p>
    <w:p>
      <w:pPr>
        <w:pStyle w:val="ListParagraph"/>
        <w:numPr>
          <w:ilvl w:val="1"/>
          <w:numId w:val="23"/>
        </w:numPr>
        <w:tabs>
          <w:tab w:pos="1275" w:val="left" w:leader="none"/>
        </w:tabs>
        <w:spacing w:line="259" w:lineRule="auto" w:before="120" w:after="0"/>
        <w:ind w:left="1274" w:right="709" w:hanging="708"/>
        <w:jc w:val="both"/>
        <w:rPr>
          <w:sz w:val="24"/>
        </w:rPr>
      </w:pPr>
      <w:r>
        <w:rPr>
          <w:sz w:val="24"/>
        </w:rPr>
        <w:t>In</w:t>
      </w:r>
      <w:r>
        <w:rPr>
          <w:spacing w:val="-4"/>
          <w:sz w:val="24"/>
        </w:rPr>
        <w:t> </w:t>
      </w:r>
      <w:r>
        <w:rPr>
          <w:sz w:val="24"/>
        </w:rPr>
        <w:t>line</w:t>
      </w:r>
      <w:r>
        <w:rPr>
          <w:spacing w:val="-3"/>
          <w:sz w:val="24"/>
        </w:rPr>
        <w:t> </w:t>
      </w:r>
      <w:r>
        <w:rPr>
          <w:sz w:val="24"/>
        </w:rPr>
        <w:t>with</w:t>
      </w:r>
      <w:r>
        <w:rPr>
          <w:spacing w:val="-4"/>
          <w:sz w:val="24"/>
        </w:rPr>
        <w:t> </w:t>
      </w:r>
      <w:r>
        <w:rPr>
          <w:sz w:val="24"/>
        </w:rPr>
        <w:t>the</w:t>
      </w:r>
      <w:r>
        <w:rPr>
          <w:spacing w:val="-3"/>
          <w:sz w:val="24"/>
        </w:rPr>
        <w:t> </w:t>
      </w:r>
      <w:r>
        <w:rPr>
          <w:sz w:val="24"/>
        </w:rPr>
        <w:t>Public</w:t>
      </w:r>
      <w:r>
        <w:rPr>
          <w:spacing w:val="-4"/>
          <w:sz w:val="24"/>
        </w:rPr>
        <w:t> </w:t>
      </w:r>
      <w:r>
        <w:rPr>
          <w:sz w:val="24"/>
        </w:rPr>
        <w:t>Sector</w:t>
      </w:r>
      <w:r>
        <w:rPr>
          <w:spacing w:val="-3"/>
          <w:sz w:val="24"/>
        </w:rPr>
        <w:t> </w:t>
      </w:r>
      <w:r>
        <w:rPr>
          <w:sz w:val="24"/>
        </w:rPr>
        <w:t>Payment</w:t>
      </w:r>
      <w:r>
        <w:rPr>
          <w:spacing w:val="-4"/>
          <w:sz w:val="24"/>
        </w:rPr>
        <w:t> </w:t>
      </w:r>
      <w:r>
        <w:rPr>
          <w:sz w:val="24"/>
        </w:rPr>
        <w:t>Policy</w:t>
      </w:r>
      <w:r>
        <w:rPr>
          <w:spacing w:val="-4"/>
          <w:sz w:val="24"/>
        </w:rPr>
        <w:t> </w:t>
      </w:r>
      <w:r>
        <w:rPr>
          <w:sz w:val="24"/>
        </w:rPr>
        <w:t>(PSPP),</w:t>
      </w:r>
      <w:r>
        <w:rPr>
          <w:spacing w:val="-4"/>
          <w:sz w:val="24"/>
        </w:rPr>
        <w:t> </w:t>
      </w:r>
      <w:r>
        <w:rPr>
          <w:sz w:val="24"/>
        </w:rPr>
        <w:t>NHS</w:t>
      </w:r>
      <w:r>
        <w:rPr>
          <w:spacing w:val="-3"/>
          <w:sz w:val="24"/>
        </w:rPr>
        <w:t> </w:t>
      </w:r>
      <w:r>
        <w:rPr>
          <w:sz w:val="24"/>
        </w:rPr>
        <w:t>Wales</w:t>
      </w:r>
      <w:r>
        <w:rPr>
          <w:spacing w:val="-3"/>
          <w:sz w:val="24"/>
        </w:rPr>
        <w:t> </w:t>
      </w:r>
      <w:r>
        <w:rPr>
          <w:sz w:val="24"/>
        </w:rPr>
        <w:t>has</w:t>
      </w:r>
      <w:r>
        <w:rPr>
          <w:spacing w:val="-4"/>
          <w:sz w:val="24"/>
        </w:rPr>
        <w:t> </w:t>
      </w:r>
      <w:r>
        <w:rPr>
          <w:sz w:val="24"/>
        </w:rPr>
        <w:t>an</w:t>
      </w:r>
      <w:r>
        <w:rPr>
          <w:spacing w:val="-4"/>
          <w:sz w:val="24"/>
        </w:rPr>
        <w:t> </w:t>
      </w:r>
      <w:r>
        <w:rPr>
          <w:sz w:val="24"/>
        </w:rPr>
        <w:t>obligation to pay its suppliers within 30 days of receipt of invoice. NHS bodies report compliance to Welsh Government in the monthly monitoring returns. To facilitate this, the AP Team report against key performance indicators to customer organisations on a monthly basis. At November 2022:</w:t>
      </w:r>
    </w:p>
    <w:p>
      <w:pPr>
        <w:tabs>
          <w:tab w:pos="6340" w:val="left" w:leader="none"/>
        </w:tabs>
        <w:spacing w:line="240" w:lineRule="auto"/>
        <w:ind w:left="1562" w:right="0" w:firstLine="0"/>
        <w:rPr>
          <w:sz w:val="20"/>
        </w:rPr>
      </w:pPr>
      <w:r>
        <w:rPr>
          <w:sz w:val="20"/>
        </w:rPr>
        <w:pict>
          <v:shape style="width:222.25pt;height:84.95pt;mso-position-horizontal-relative:char;mso-position-vertical-relative:line" type="#_x0000_t202" id="docshape219" filled="true" fillcolor="#ec7c30" stroked="false">
            <w10:anchorlock/>
            <v:textbox inset="0,0,0,0">
              <w:txbxContent>
                <w:p>
                  <w:pPr>
                    <w:pStyle w:val="BodyText"/>
                    <w:spacing w:before="6"/>
                    <w:rPr>
                      <w:color w:val="000000"/>
                      <w:sz w:val="21"/>
                    </w:rPr>
                  </w:pPr>
                </w:p>
                <w:p>
                  <w:pPr>
                    <w:spacing w:before="0"/>
                    <w:ind w:left="112" w:right="113" w:firstLine="0"/>
                    <w:jc w:val="center"/>
                    <w:rPr>
                      <w:b/>
                      <w:color w:val="000000"/>
                      <w:sz w:val="20"/>
                    </w:rPr>
                  </w:pPr>
                  <w:r>
                    <w:rPr>
                      <w:b/>
                      <w:color w:val="FFFFFF"/>
                      <w:sz w:val="20"/>
                    </w:rPr>
                    <w:t>Invoice</w:t>
                  </w:r>
                  <w:r>
                    <w:rPr>
                      <w:b/>
                      <w:color w:val="FFFFFF"/>
                      <w:spacing w:val="-10"/>
                      <w:sz w:val="20"/>
                    </w:rPr>
                    <w:t> </w:t>
                  </w:r>
                  <w:r>
                    <w:rPr>
                      <w:b/>
                      <w:color w:val="FFFFFF"/>
                      <w:spacing w:val="-2"/>
                      <w:sz w:val="20"/>
                    </w:rPr>
                    <w:t>Volumes</w:t>
                  </w:r>
                </w:p>
                <w:p>
                  <w:pPr>
                    <w:spacing w:line="302" w:lineRule="auto" w:before="59"/>
                    <w:ind w:left="305" w:right="308" w:firstLine="2"/>
                    <w:jc w:val="center"/>
                    <w:rPr>
                      <w:color w:val="000000"/>
                      <w:sz w:val="20"/>
                    </w:rPr>
                  </w:pPr>
                  <w:r>
                    <w:rPr>
                      <w:color w:val="FFFFFF"/>
                      <w:sz w:val="20"/>
                    </w:rPr>
                    <w:t>13% increase compared to 2021/22 35.9%</w:t>
                  </w:r>
                  <w:r>
                    <w:rPr>
                      <w:color w:val="FFFFFF"/>
                      <w:spacing w:val="-12"/>
                      <w:sz w:val="20"/>
                    </w:rPr>
                    <w:t> </w:t>
                  </w:r>
                  <w:r>
                    <w:rPr>
                      <w:color w:val="FFFFFF"/>
                      <w:sz w:val="20"/>
                    </w:rPr>
                    <w:t>increase</w:t>
                  </w:r>
                  <w:r>
                    <w:rPr>
                      <w:color w:val="FFFFFF"/>
                      <w:spacing w:val="-10"/>
                      <w:sz w:val="20"/>
                    </w:rPr>
                    <w:t> </w:t>
                  </w:r>
                  <w:r>
                    <w:rPr>
                      <w:color w:val="FFFFFF"/>
                      <w:sz w:val="20"/>
                    </w:rPr>
                    <w:t>compared</w:t>
                  </w:r>
                  <w:r>
                    <w:rPr>
                      <w:color w:val="FFFFFF"/>
                      <w:spacing w:val="-8"/>
                      <w:sz w:val="20"/>
                    </w:rPr>
                    <w:t> </w:t>
                  </w:r>
                  <w:r>
                    <w:rPr>
                      <w:color w:val="FFFFFF"/>
                      <w:sz w:val="20"/>
                    </w:rPr>
                    <w:t>to</w:t>
                  </w:r>
                  <w:r>
                    <w:rPr>
                      <w:color w:val="FFFFFF"/>
                      <w:spacing w:val="-12"/>
                      <w:sz w:val="20"/>
                    </w:rPr>
                    <w:t> </w:t>
                  </w:r>
                  <w:r>
                    <w:rPr>
                      <w:color w:val="FFFFFF"/>
                      <w:sz w:val="20"/>
                    </w:rPr>
                    <w:t>2020/21 Forecast to exceed 2.3m for </w:t>
                  </w:r>
                  <w:r>
                    <w:rPr>
                      <w:color w:val="FFFFFF"/>
                      <w:spacing w:val="-2"/>
                      <w:sz w:val="20"/>
                    </w:rPr>
                    <w:t>2022/23</w:t>
                  </w:r>
                </w:p>
              </w:txbxContent>
            </v:textbox>
            <v:fill type="solid"/>
          </v:shape>
        </w:pict>
      </w:r>
      <w:r>
        <w:rPr>
          <w:sz w:val="20"/>
        </w:rPr>
      </w:r>
      <w:r>
        <w:rPr>
          <w:sz w:val="20"/>
        </w:rPr>
        <w:tab/>
      </w:r>
      <w:r>
        <w:rPr>
          <w:sz w:val="20"/>
        </w:rPr>
        <w:pict>
          <v:shape style="width:222.25pt;height:84.95pt;mso-position-horizontal-relative:char;mso-position-vertical-relative:line" type="#_x0000_t202" id="docshape220" filled="true" fillcolor="#a4a4a4" stroked="false">
            <w10:anchorlock/>
            <v:textbox inset="0,0,0,0">
              <w:txbxContent>
                <w:p>
                  <w:pPr>
                    <w:pStyle w:val="BodyText"/>
                    <w:rPr>
                      <w:color w:val="000000"/>
                    </w:rPr>
                  </w:pPr>
                </w:p>
                <w:p>
                  <w:pPr>
                    <w:spacing w:before="164"/>
                    <w:ind w:left="112" w:right="110" w:firstLine="0"/>
                    <w:jc w:val="center"/>
                    <w:rPr>
                      <w:b/>
                      <w:color w:val="000000"/>
                      <w:sz w:val="20"/>
                    </w:rPr>
                  </w:pPr>
                  <w:r>
                    <w:rPr>
                      <w:b/>
                      <w:color w:val="FFFFFF"/>
                      <w:sz w:val="20"/>
                    </w:rPr>
                    <w:t>PSPP</w:t>
                  </w:r>
                  <w:r>
                    <w:rPr>
                      <w:b/>
                      <w:color w:val="FFFFFF"/>
                      <w:spacing w:val="-5"/>
                      <w:sz w:val="20"/>
                    </w:rPr>
                    <w:t> </w:t>
                  </w:r>
                  <w:r>
                    <w:rPr>
                      <w:b/>
                      <w:color w:val="FFFFFF"/>
                      <w:spacing w:val="-2"/>
                      <w:sz w:val="20"/>
                    </w:rPr>
                    <w:t>Compliance</w:t>
                  </w:r>
                </w:p>
                <w:p>
                  <w:pPr>
                    <w:spacing w:line="216" w:lineRule="auto" w:before="80"/>
                    <w:ind w:left="112" w:right="111" w:firstLine="0"/>
                    <w:jc w:val="center"/>
                    <w:rPr>
                      <w:color w:val="000000"/>
                      <w:sz w:val="20"/>
                    </w:rPr>
                  </w:pPr>
                  <w:r>
                    <w:rPr>
                      <w:color w:val="FFFFFF"/>
                      <w:sz w:val="20"/>
                    </w:rPr>
                    <w:t>9</w:t>
                  </w:r>
                  <w:r>
                    <w:rPr>
                      <w:color w:val="FFFFFF"/>
                      <w:spacing w:val="-10"/>
                      <w:sz w:val="20"/>
                    </w:rPr>
                    <w:t> </w:t>
                  </w:r>
                  <w:r>
                    <w:rPr>
                      <w:color w:val="FFFFFF"/>
                      <w:sz w:val="20"/>
                    </w:rPr>
                    <w:t>organisations</w:t>
                  </w:r>
                  <w:r>
                    <w:rPr>
                      <w:color w:val="FFFFFF"/>
                      <w:spacing w:val="-10"/>
                      <w:sz w:val="20"/>
                    </w:rPr>
                    <w:t> </w:t>
                  </w:r>
                  <w:r>
                    <w:rPr>
                      <w:color w:val="FFFFFF"/>
                      <w:sz w:val="20"/>
                    </w:rPr>
                    <w:t>have</w:t>
                  </w:r>
                  <w:r>
                    <w:rPr>
                      <w:color w:val="FFFFFF"/>
                      <w:spacing w:val="-9"/>
                      <w:sz w:val="20"/>
                    </w:rPr>
                    <w:t> </w:t>
                  </w:r>
                  <w:r>
                    <w:rPr>
                      <w:color w:val="FFFFFF"/>
                      <w:sz w:val="20"/>
                    </w:rPr>
                    <w:t>achieved</w:t>
                  </w:r>
                  <w:r>
                    <w:rPr>
                      <w:color w:val="FFFFFF"/>
                      <w:spacing w:val="-8"/>
                      <w:sz w:val="20"/>
                    </w:rPr>
                    <w:t> </w:t>
                  </w:r>
                  <w:r>
                    <w:rPr>
                      <w:color w:val="FFFFFF"/>
                      <w:sz w:val="20"/>
                    </w:rPr>
                    <w:t>the</w:t>
                  </w:r>
                  <w:r>
                    <w:rPr>
                      <w:color w:val="FFFFFF"/>
                      <w:spacing w:val="-9"/>
                      <w:sz w:val="20"/>
                    </w:rPr>
                    <w:t> </w:t>
                  </w:r>
                  <w:r>
                    <w:rPr>
                      <w:color w:val="FFFFFF"/>
                      <w:sz w:val="20"/>
                    </w:rPr>
                    <w:t>target 95% compliance (cumulative ytd)</w:t>
                  </w:r>
                </w:p>
              </w:txbxContent>
            </v:textbox>
            <v:fill type="solid"/>
          </v:shape>
        </w:pict>
      </w:r>
      <w:r>
        <w:rPr>
          <w:sz w:val="20"/>
        </w:rPr>
      </w:r>
    </w:p>
    <w:p>
      <w:pPr>
        <w:pStyle w:val="BodyText"/>
        <w:spacing w:before="3"/>
        <w:rPr>
          <w:sz w:val="23"/>
        </w:rPr>
      </w:pPr>
      <w:r>
        <w:rPr/>
        <w:pict>
          <v:shape style="position:absolute;margin-left:78.121002pt;margin-top:15.354265pt;width:222.25pt;height:92.8pt;mso-position-horizontal-relative:page;mso-position-vertical-relative:paragraph;z-index:-15670784;mso-wrap-distance-left:0;mso-wrap-distance-right:0" type="#_x0000_t202" id="docshape221" filled="true" fillcolor="#ffc000" stroked="false">
            <v:textbox inset="0,0,0,0">
              <w:txbxContent>
                <w:p>
                  <w:pPr>
                    <w:pStyle w:val="BodyText"/>
                    <w:rPr>
                      <w:color w:val="000000"/>
                    </w:rPr>
                  </w:pPr>
                </w:p>
                <w:p>
                  <w:pPr>
                    <w:pStyle w:val="BodyText"/>
                    <w:spacing w:before="11"/>
                    <w:rPr>
                      <w:color w:val="000000"/>
                      <w:sz w:val="28"/>
                    </w:rPr>
                  </w:pPr>
                </w:p>
                <w:p>
                  <w:pPr>
                    <w:spacing w:before="1"/>
                    <w:ind w:left="112" w:right="112" w:firstLine="0"/>
                    <w:jc w:val="center"/>
                    <w:rPr>
                      <w:b/>
                      <w:color w:val="000000"/>
                      <w:sz w:val="20"/>
                    </w:rPr>
                  </w:pPr>
                  <w:r>
                    <w:rPr>
                      <w:b/>
                      <w:color w:val="FFFFFF"/>
                      <w:sz w:val="20"/>
                    </w:rPr>
                    <w:t>Invoices</w:t>
                  </w:r>
                  <w:r>
                    <w:rPr>
                      <w:b/>
                      <w:color w:val="FFFFFF"/>
                      <w:spacing w:val="-5"/>
                      <w:sz w:val="20"/>
                    </w:rPr>
                    <w:t> </w:t>
                  </w:r>
                  <w:r>
                    <w:rPr>
                      <w:b/>
                      <w:color w:val="FFFFFF"/>
                      <w:sz w:val="20"/>
                    </w:rPr>
                    <w:t>on</w:t>
                  </w:r>
                  <w:r>
                    <w:rPr>
                      <w:b/>
                      <w:color w:val="FFFFFF"/>
                      <w:spacing w:val="-8"/>
                      <w:sz w:val="20"/>
                    </w:rPr>
                    <w:t> </w:t>
                  </w:r>
                  <w:r>
                    <w:rPr>
                      <w:b/>
                      <w:color w:val="FFFFFF"/>
                      <w:sz w:val="20"/>
                    </w:rPr>
                    <w:t>Hold</w:t>
                  </w:r>
                  <w:r>
                    <w:rPr>
                      <w:b/>
                      <w:color w:val="FFFFFF"/>
                      <w:spacing w:val="-9"/>
                      <w:sz w:val="20"/>
                    </w:rPr>
                    <w:t> </w:t>
                  </w:r>
                  <w:r>
                    <w:rPr>
                      <w:b/>
                      <w:color w:val="FFFFFF"/>
                      <w:spacing w:val="-4"/>
                      <w:sz w:val="20"/>
                    </w:rPr>
                    <w:t>(IOH)</w:t>
                  </w:r>
                </w:p>
                <w:p>
                  <w:pPr>
                    <w:spacing w:before="59"/>
                    <w:ind w:left="112" w:right="112" w:firstLine="0"/>
                    <w:jc w:val="center"/>
                    <w:rPr>
                      <w:color w:val="000000"/>
                      <w:sz w:val="20"/>
                    </w:rPr>
                  </w:pPr>
                  <w:r>
                    <w:rPr>
                      <w:color w:val="FFFFFF"/>
                      <w:sz w:val="20"/>
                    </w:rPr>
                    <w:t>37,145</w:t>
                  </w:r>
                  <w:r>
                    <w:rPr>
                      <w:color w:val="FFFFFF"/>
                      <w:spacing w:val="-7"/>
                      <w:sz w:val="20"/>
                    </w:rPr>
                    <w:t> </w:t>
                  </w:r>
                  <w:r>
                    <w:rPr>
                      <w:color w:val="FFFFFF"/>
                      <w:sz w:val="20"/>
                    </w:rPr>
                    <w:t>IOH</w:t>
                  </w:r>
                  <w:r>
                    <w:rPr>
                      <w:color w:val="FFFFFF"/>
                      <w:spacing w:val="-2"/>
                      <w:sz w:val="20"/>
                    </w:rPr>
                    <w:t> </w:t>
                  </w:r>
                  <w:r>
                    <w:rPr>
                      <w:color w:val="FFFFFF"/>
                      <w:sz w:val="20"/>
                    </w:rPr>
                    <w:t>&gt;30</w:t>
                  </w:r>
                  <w:r>
                    <w:rPr>
                      <w:color w:val="FFFFFF"/>
                      <w:spacing w:val="-8"/>
                      <w:sz w:val="20"/>
                    </w:rPr>
                    <w:t> </w:t>
                  </w:r>
                  <w:r>
                    <w:rPr>
                      <w:color w:val="FFFFFF"/>
                      <w:spacing w:val="-4"/>
                      <w:sz w:val="20"/>
                    </w:rPr>
                    <w:t>days</w:t>
                  </w:r>
                </w:p>
              </w:txbxContent>
            </v:textbox>
            <v:fill type="solid"/>
            <w10:wrap type="topAndBottom"/>
          </v:shape>
        </w:pict>
      </w:r>
      <w:r>
        <w:rPr/>
        <w:pict>
          <v:shape style="position:absolute;margin-left:317.040009pt;margin-top:15.389266pt;width:222.25pt;height:92.7pt;mso-position-horizontal-relative:page;mso-position-vertical-relative:paragraph;z-index:-15670272;mso-wrap-distance-left:0;mso-wrap-distance-right:0" type="#_x0000_t202" id="docshape222" filled="true" fillcolor="#5b9bd4" stroked="false">
            <v:textbox inset="0,0,0,0">
              <w:txbxContent>
                <w:p>
                  <w:pPr>
                    <w:pStyle w:val="BodyText"/>
                    <w:spacing w:before="5"/>
                    <w:rPr>
                      <w:color w:val="000000"/>
                      <w:sz w:val="31"/>
                    </w:rPr>
                  </w:pPr>
                </w:p>
                <w:p>
                  <w:pPr>
                    <w:spacing w:before="0"/>
                    <w:ind w:left="112" w:right="112" w:firstLine="0"/>
                    <w:jc w:val="center"/>
                    <w:rPr>
                      <w:b/>
                      <w:color w:val="000000"/>
                      <w:sz w:val="20"/>
                    </w:rPr>
                  </w:pPr>
                  <w:r>
                    <w:rPr>
                      <w:b/>
                      <w:color w:val="FFFFFF"/>
                      <w:sz w:val="20"/>
                    </w:rPr>
                    <w:t>Duplicate</w:t>
                  </w:r>
                  <w:r>
                    <w:rPr>
                      <w:b/>
                      <w:color w:val="FFFFFF"/>
                      <w:spacing w:val="-15"/>
                      <w:sz w:val="20"/>
                    </w:rPr>
                    <w:t> </w:t>
                  </w:r>
                  <w:r>
                    <w:rPr>
                      <w:b/>
                      <w:color w:val="FFFFFF"/>
                      <w:spacing w:val="-2"/>
                      <w:sz w:val="20"/>
                    </w:rPr>
                    <w:t>Payments</w:t>
                  </w:r>
                </w:p>
                <w:p>
                  <w:pPr>
                    <w:spacing w:before="59"/>
                    <w:ind w:left="112" w:right="113" w:firstLine="0"/>
                    <w:jc w:val="center"/>
                    <w:rPr>
                      <w:color w:val="000000"/>
                      <w:sz w:val="20"/>
                    </w:rPr>
                  </w:pPr>
                  <w:r>
                    <w:rPr>
                      <w:color w:val="FFFFFF"/>
                      <w:sz w:val="20"/>
                    </w:rPr>
                    <w:t>£7.8m</w:t>
                  </w:r>
                  <w:r>
                    <w:rPr>
                      <w:color w:val="FFFFFF"/>
                      <w:spacing w:val="-5"/>
                      <w:sz w:val="20"/>
                    </w:rPr>
                    <w:t> </w:t>
                  </w:r>
                  <w:r>
                    <w:rPr>
                      <w:color w:val="FFFFFF"/>
                      <w:spacing w:val="-2"/>
                      <w:sz w:val="20"/>
                    </w:rPr>
                    <w:t>prevented</w:t>
                  </w:r>
                </w:p>
                <w:p>
                  <w:pPr>
                    <w:spacing w:line="216" w:lineRule="auto" w:before="82"/>
                    <w:ind w:left="112" w:right="114" w:firstLine="0"/>
                    <w:jc w:val="center"/>
                    <w:rPr>
                      <w:color w:val="000000"/>
                      <w:sz w:val="20"/>
                    </w:rPr>
                  </w:pPr>
                  <w:r>
                    <w:rPr>
                      <w:color w:val="FFFFFF"/>
                      <w:sz w:val="20"/>
                    </w:rPr>
                    <w:t>£1.56m</w:t>
                  </w:r>
                  <w:r>
                    <w:rPr>
                      <w:color w:val="FFFFFF"/>
                      <w:spacing w:val="-10"/>
                      <w:sz w:val="20"/>
                    </w:rPr>
                    <w:t> </w:t>
                  </w:r>
                  <w:r>
                    <w:rPr>
                      <w:color w:val="FFFFFF"/>
                      <w:sz w:val="20"/>
                    </w:rPr>
                    <w:t>cost</w:t>
                  </w:r>
                  <w:r>
                    <w:rPr>
                      <w:color w:val="FFFFFF"/>
                      <w:spacing w:val="-7"/>
                      <w:sz w:val="20"/>
                    </w:rPr>
                    <w:t> </w:t>
                  </w:r>
                  <w:r>
                    <w:rPr>
                      <w:color w:val="FFFFFF"/>
                      <w:sz w:val="20"/>
                    </w:rPr>
                    <w:t>avoidance</w:t>
                  </w:r>
                  <w:r>
                    <w:rPr>
                      <w:color w:val="FFFFFF"/>
                      <w:spacing w:val="-11"/>
                      <w:sz w:val="20"/>
                    </w:rPr>
                    <w:t> </w:t>
                  </w:r>
                  <w:r>
                    <w:rPr>
                      <w:color w:val="FFFFFF"/>
                      <w:sz w:val="20"/>
                    </w:rPr>
                    <w:t>re:</w:t>
                  </w:r>
                  <w:r>
                    <w:rPr>
                      <w:color w:val="FFFFFF"/>
                      <w:spacing w:val="-9"/>
                      <w:sz w:val="20"/>
                    </w:rPr>
                    <w:t> </w:t>
                  </w:r>
                  <w:r>
                    <w:rPr>
                      <w:color w:val="FFFFFF"/>
                      <w:sz w:val="20"/>
                    </w:rPr>
                    <w:t>recovery</w:t>
                  </w:r>
                  <w:r>
                    <w:rPr>
                      <w:color w:val="FFFFFF"/>
                      <w:spacing w:val="-2"/>
                      <w:sz w:val="20"/>
                    </w:rPr>
                    <w:t> </w:t>
                  </w:r>
                  <w:r>
                    <w:rPr>
                      <w:color w:val="FFFFFF"/>
                      <w:sz w:val="20"/>
                    </w:rPr>
                    <w:t>audit fees @20%</w:t>
                  </w:r>
                </w:p>
              </w:txbxContent>
            </v:textbox>
            <v:fill type="solid"/>
            <w10:wrap type="topAndBottom"/>
          </v:shape>
        </w:pict>
      </w:r>
    </w:p>
    <w:p>
      <w:pPr>
        <w:pStyle w:val="BodyText"/>
        <w:spacing w:before="4"/>
        <w:rPr>
          <w:sz w:val="29"/>
        </w:rPr>
      </w:pPr>
    </w:p>
    <w:p>
      <w:pPr>
        <w:pStyle w:val="ListParagraph"/>
        <w:numPr>
          <w:ilvl w:val="1"/>
          <w:numId w:val="23"/>
        </w:numPr>
        <w:tabs>
          <w:tab w:pos="1274" w:val="left" w:leader="none"/>
          <w:tab w:pos="1275" w:val="left" w:leader="none"/>
        </w:tabs>
        <w:spacing w:line="240" w:lineRule="auto" w:before="0" w:after="0"/>
        <w:ind w:left="1274" w:right="0" w:hanging="709"/>
        <w:jc w:val="left"/>
        <w:rPr>
          <w:sz w:val="24"/>
        </w:rPr>
      </w:pPr>
      <w:r>
        <w:rPr>
          <w:sz w:val="24"/>
        </w:rPr>
        <w:t>The</w:t>
      </w:r>
      <w:r>
        <w:rPr>
          <w:spacing w:val="-3"/>
          <w:sz w:val="24"/>
        </w:rPr>
        <w:t> </w:t>
      </w:r>
      <w:r>
        <w:rPr>
          <w:sz w:val="24"/>
        </w:rPr>
        <w:t>potential</w:t>
      </w:r>
      <w:r>
        <w:rPr>
          <w:spacing w:val="-3"/>
          <w:sz w:val="24"/>
        </w:rPr>
        <w:t> </w:t>
      </w:r>
      <w:r>
        <w:rPr>
          <w:sz w:val="24"/>
        </w:rPr>
        <w:t>risks</w:t>
      </w:r>
      <w:r>
        <w:rPr>
          <w:spacing w:val="-3"/>
          <w:sz w:val="24"/>
        </w:rPr>
        <w:t> </w:t>
      </w:r>
      <w:r>
        <w:rPr>
          <w:sz w:val="24"/>
        </w:rPr>
        <w:t>considered</w:t>
      </w:r>
      <w:r>
        <w:rPr>
          <w:spacing w:val="-2"/>
          <w:sz w:val="24"/>
        </w:rPr>
        <w:t> </w:t>
      </w:r>
      <w:r>
        <w:rPr>
          <w:sz w:val="24"/>
        </w:rPr>
        <w:t>in</w:t>
      </w:r>
      <w:r>
        <w:rPr>
          <w:spacing w:val="-3"/>
          <w:sz w:val="24"/>
        </w:rPr>
        <w:t> </w:t>
      </w:r>
      <w:r>
        <w:rPr>
          <w:sz w:val="24"/>
        </w:rPr>
        <w:t>the</w:t>
      </w:r>
      <w:r>
        <w:rPr>
          <w:spacing w:val="-1"/>
          <w:sz w:val="24"/>
        </w:rPr>
        <w:t> </w:t>
      </w:r>
      <w:r>
        <w:rPr>
          <w:sz w:val="24"/>
        </w:rPr>
        <w:t>review</w:t>
      </w:r>
      <w:r>
        <w:rPr>
          <w:spacing w:val="-3"/>
          <w:sz w:val="24"/>
        </w:rPr>
        <w:t> </w:t>
      </w:r>
      <w:r>
        <w:rPr>
          <w:sz w:val="24"/>
        </w:rPr>
        <w:t>were as</w:t>
      </w:r>
      <w:r>
        <w:rPr>
          <w:spacing w:val="-2"/>
          <w:sz w:val="24"/>
        </w:rPr>
        <w:t> follows:</w:t>
      </w:r>
    </w:p>
    <w:p>
      <w:pPr>
        <w:pStyle w:val="ListParagraph"/>
        <w:numPr>
          <w:ilvl w:val="2"/>
          <w:numId w:val="23"/>
        </w:numPr>
        <w:tabs>
          <w:tab w:pos="2006" w:val="left" w:leader="none"/>
          <w:tab w:pos="2007" w:val="left" w:leader="none"/>
        </w:tabs>
        <w:spacing w:line="240" w:lineRule="auto" w:before="145" w:after="0"/>
        <w:ind w:left="2006" w:right="0" w:hanging="317"/>
        <w:jc w:val="left"/>
        <w:rPr>
          <w:rFonts w:ascii="Symbol" w:hAnsi="Symbol"/>
          <w:sz w:val="24"/>
        </w:rPr>
      </w:pPr>
      <w:r>
        <w:rPr>
          <w:sz w:val="24"/>
        </w:rPr>
        <w:t>purchases</w:t>
      </w:r>
      <w:r>
        <w:rPr>
          <w:spacing w:val="-6"/>
          <w:sz w:val="24"/>
        </w:rPr>
        <w:t> </w:t>
      </w:r>
      <w:r>
        <w:rPr>
          <w:sz w:val="24"/>
        </w:rPr>
        <w:t>and</w:t>
      </w:r>
      <w:r>
        <w:rPr>
          <w:spacing w:val="-1"/>
          <w:sz w:val="24"/>
        </w:rPr>
        <w:t> </w:t>
      </w:r>
      <w:r>
        <w:rPr>
          <w:sz w:val="24"/>
        </w:rPr>
        <w:t>payments</w:t>
      </w:r>
      <w:r>
        <w:rPr>
          <w:spacing w:val="-4"/>
          <w:sz w:val="24"/>
        </w:rPr>
        <w:t> </w:t>
      </w:r>
      <w:r>
        <w:rPr>
          <w:sz w:val="24"/>
        </w:rPr>
        <w:t>are</w:t>
      </w:r>
      <w:r>
        <w:rPr>
          <w:spacing w:val="-1"/>
          <w:sz w:val="24"/>
        </w:rPr>
        <w:t> </w:t>
      </w:r>
      <w:r>
        <w:rPr>
          <w:sz w:val="24"/>
        </w:rPr>
        <w:t>made</w:t>
      </w:r>
      <w:r>
        <w:rPr>
          <w:spacing w:val="-3"/>
          <w:sz w:val="24"/>
        </w:rPr>
        <w:t> </w:t>
      </w:r>
      <w:r>
        <w:rPr>
          <w:sz w:val="24"/>
        </w:rPr>
        <w:t>without</w:t>
      </w:r>
      <w:r>
        <w:rPr>
          <w:spacing w:val="-3"/>
          <w:sz w:val="24"/>
        </w:rPr>
        <w:t> </w:t>
      </w:r>
      <w:r>
        <w:rPr>
          <w:sz w:val="24"/>
        </w:rPr>
        <w:t>due</w:t>
      </w:r>
      <w:r>
        <w:rPr>
          <w:spacing w:val="-2"/>
          <w:sz w:val="24"/>
        </w:rPr>
        <w:t> authority;</w:t>
      </w:r>
    </w:p>
    <w:p>
      <w:pPr>
        <w:pStyle w:val="ListParagraph"/>
        <w:numPr>
          <w:ilvl w:val="2"/>
          <w:numId w:val="23"/>
        </w:numPr>
        <w:tabs>
          <w:tab w:pos="2006" w:val="left" w:leader="none"/>
          <w:tab w:pos="2007" w:val="left" w:leader="none"/>
        </w:tabs>
        <w:spacing w:line="240" w:lineRule="auto" w:before="21" w:after="0"/>
        <w:ind w:left="2006" w:right="0" w:hanging="317"/>
        <w:jc w:val="left"/>
        <w:rPr>
          <w:rFonts w:ascii="Symbol" w:hAnsi="Symbol"/>
          <w:sz w:val="24"/>
        </w:rPr>
      </w:pPr>
      <w:r>
        <w:rPr>
          <w:sz w:val="24"/>
        </w:rPr>
        <w:t>payments</w:t>
      </w:r>
      <w:r>
        <w:rPr>
          <w:spacing w:val="-6"/>
          <w:sz w:val="24"/>
        </w:rPr>
        <w:t> </w:t>
      </w:r>
      <w:r>
        <w:rPr>
          <w:sz w:val="24"/>
        </w:rPr>
        <w:t>are</w:t>
      </w:r>
      <w:r>
        <w:rPr>
          <w:spacing w:val="-1"/>
          <w:sz w:val="24"/>
        </w:rPr>
        <w:t> </w:t>
      </w:r>
      <w:r>
        <w:rPr>
          <w:sz w:val="24"/>
        </w:rPr>
        <w:t>made for</w:t>
      </w:r>
      <w:r>
        <w:rPr>
          <w:spacing w:val="-2"/>
          <w:sz w:val="24"/>
        </w:rPr>
        <w:t> </w:t>
      </w:r>
      <w:r>
        <w:rPr>
          <w:sz w:val="24"/>
        </w:rPr>
        <w:t>goods/services</w:t>
      </w:r>
      <w:r>
        <w:rPr>
          <w:spacing w:val="-2"/>
          <w:sz w:val="24"/>
        </w:rPr>
        <w:t> </w:t>
      </w:r>
      <w:r>
        <w:rPr>
          <w:sz w:val="24"/>
        </w:rPr>
        <w:t>not</w:t>
      </w:r>
      <w:r>
        <w:rPr>
          <w:spacing w:val="-3"/>
          <w:sz w:val="24"/>
        </w:rPr>
        <w:t> </w:t>
      </w:r>
      <w:r>
        <w:rPr>
          <w:spacing w:val="-2"/>
          <w:sz w:val="24"/>
        </w:rPr>
        <w:t>received;</w:t>
      </w:r>
    </w:p>
    <w:p>
      <w:pPr>
        <w:pStyle w:val="ListParagraph"/>
        <w:numPr>
          <w:ilvl w:val="2"/>
          <w:numId w:val="23"/>
        </w:numPr>
        <w:tabs>
          <w:tab w:pos="2006" w:val="left" w:leader="none"/>
          <w:tab w:pos="2007" w:val="left" w:leader="none"/>
        </w:tabs>
        <w:spacing w:line="240" w:lineRule="auto" w:before="20" w:after="0"/>
        <w:ind w:left="2006" w:right="0" w:hanging="317"/>
        <w:jc w:val="left"/>
        <w:rPr>
          <w:rFonts w:ascii="Symbol" w:hAnsi="Symbol"/>
          <w:sz w:val="24"/>
        </w:rPr>
      </w:pPr>
      <w:r>
        <w:rPr>
          <w:sz w:val="24"/>
        </w:rPr>
        <w:t>payments</w:t>
      </w:r>
      <w:r>
        <w:rPr>
          <w:spacing w:val="-5"/>
          <w:sz w:val="24"/>
        </w:rPr>
        <w:t> </w:t>
      </w:r>
      <w:r>
        <w:rPr>
          <w:sz w:val="24"/>
        </w:rPr>
        <w:t>are</w:t>
      </w:r>
      <w:r>
        <w:rPr>
          <w:spacing w:val="-1"/>
          <w:sz w:val="24"/>
        </w:rPr>
        <w:t> </w:t>
      </w:r>
      <w:r>
        <w:rPr>
          <w:sz w:val="24"/>
        </w:rPr>
        <w:t>made</w:t>
      </w:r>
      <w:r>
        <w:rPr>
          <w:spacing w:val="1"/>
          <w:sz w:val="24"/>
        </w:rPr>
        <w:t> </w:t>
      </w:r>
      <w:r>
        <w:rPr>
          <w:sz w:val="24"/>
        </w:rPr>
        <w:t>to</w:t>
      </w:r>
      <w:r>
        <w:rPr>
          <w:spacing w:val="-2"/>
          <w:sz w:val="24"/>
        </w:rPr>
        <w:t> </w:t>
      </w:r>
      <w:r>
        <w:rPr>
          <w:sz w:val="24"/>
        </w:rPr>
        <w:t>the</w:t>
      </w:r>
      <w:r>
        <w:rPr>
          <w:spacing w:val="-2"/>
          <w:sz w:val="24"/>
        </w:rPr>
        <w:t> </w:t>
      </w:r>
      <w:r>
        <w:rPr>
          <w:sz w:val="24"/>
        </w:rPr>
        <w:t>wrong</w:t>
      </w:r>
      <w:r>
        <w:rPr>
          <w:spacing w:val="-3"/>
          <w:sz w:val="24"/>
        </w:rPr>
        <w:t> </w:t>
      </w:r>
      <w:r>
        <w:rPr>
          <w:sz w:val="24"/>
        </w:rPr>
        <w:t>supplier</w:t>
      </w:r>
      <w:r>
        <w:rPr>
          <w:spacing w:val="-2"/>
          <w:sz w:val="24"/>
        </w:rPr>
        <w:t> </w:t>
      </w:r>
      <w:r>
        <w:rPr>
          <w:sz w:val="24"/>
        </w:rPr>
        <w:t>or</w:t>
      </w:r>
      <w:r>
        <w:rPr>
          <w:spacing w:val="-2"/>
          <w:sz w:val="24"/>
        </w:rPr>
        <w:t> </w:t>
      </w:r>
      <w:r>
        <w:rPr>
          <w:sz w:val="24"/>
        </w:rPr>
        <w:t>for</w:t>
      </w:r>
      <w:r>
        <w:rPr>
          <w:spacing w:val="-2"/>
          <w:sz w:val="24"/>
        </w:rPr>
        <w:t> </w:t>
      </w:r>
      <w:r>
        <w:rPr>
          <w:sz w:val="24"/>
        </w:rPr>
        <w:t>the</w:t>
      </w:r>
      <w:r>
        <w:rPr>
          <w:spacing w:val="-2"/>
          <w:sz w:val="24"/>
        </w:rPr>
        <w:t> </w:t>
      </w:r>
      <w:r>
        <w:rPr>
          <w:sz w:val="24"/>
        </w:rPr>
        <w:t>wrong</w:t>
      </w:r>
      <w:r>
        <w:rPr>
          <w:spacing w:val="-2"/>
          <w:sz w:val="24"/>
        </w:rPr>
        <w:t> amount;</w:t>
      </w:r>
    </w:p>
    <w:p>
      <w:pPr>
        <w:pStyle w:val="ListParagraph"/>
        <w:numPr>
          <w:ilvl w:val="2"/>
          <w:numId w:val="23"/>
        </w:numPr>
        <w:tabs>
          <w:tab w:pos="2006" w:val="left" w:leader="none"/>
          <w:tab w:pos="2007" w:val="left" w:leader="none"/>
        </w:tabs>
        <w:spacing w:line="240" w:lineRule="auto" w:before="20" w:after="0"/>
        <w:ind w:left="2006" w:right="0" w:hanging="317"/>
        <w:jc w:val="left"/>
        <w:rPr>
          <w:rFonts w:ascii="Symbol" w:hAnsi="Symbol"/>
          <w:sz w:val="24"/>
        </w:rPr>
      </w:pPr>
      <w:r>
        <w:rPr>
          <w:sz w:val="24"/>
        </w:rPr>
        <w:t>duplicate</w:t>
      </w:r>
      <w:r>
        <w:rPr>
          <w:spacing w:val="-5"/>
          <w:sz w:val="24"/>
        </w:rPr>
        <w:t> </w:t>
      </w:r>
      <w:r>
        <w:rPr>
          <w:sz w:val="24"/>
        </w:rPr>
        <w:t>payments</w:t>
      </w:r>
      <w:r>
        <w:rPr>
          <w:spacing w:val="-2"/>
          <w:sz w:val="24"/>
        </w:rPr>
        <w:t> </w:t>
      </w:r>
      <w:r>
        <w:rPr>
          <w:sz w:val="24"/>
        </w:rPr>
        <w:t>are</w:t>
      </w:r>
      <w:r>
        <w:rPr>
          <w:spacing w:val="-1"/>
          <w:sz w:val="24"/>
        </w:rPr>
        <w:t> </w:t>
      </w:r>
      <w:r>
        <w:rPr>
          <w:sz w:val="24"/>
        </w:rPr>
        <w:t>not</w:t>
      </w:r>
      <w:r>
        <w:rPr>
          <w:spacing w:val="-4"/>
          <w:sz w:val="24"/>
        </w:rPr>
        <w:t> </w:t>
      </w:r>
      <w:r>
        <w:rPr>
          <w:sz w:val="24"/>
        </w:rPr>
        <w:t>prevented</w:t>
      </w:r>
      <w:r>
        <w:rPr>
          <w:spacing w:val="-3"/>
          <w:sz w:val="24"/>
        </w:rPr>
        <w:t> </w:t>
      </w:r>
      <w:r>
        <w:rPr>
          <w:sz w:val="24"/>
        </w:rPr>
        <w:t>or</w:t>
      </w:r>
      <w:r>
        <w:rPr>
          <w:spacing w:val="-2"/>
          <w:sz w:val="24"/>
        </w:rPr>
        <w:t> detected;</w:t>
      </w:r>
    </w:p>
    <w:p>
      <w:pPr>
        <w:pStyle w:val="ListParagraph"/>
        <w:numPr>
          <w:ilvl w:val="2"/>
          <w:numId w:val="23"/>
        </w:numPr>
        <w:tabs>
          <w:tab w:pos="2006" w:val="left" w:leader="none"/>
          <w:tab w:pos="2007" w:val="left" w:leader="none"/>
        </w:tabs>
        <w:spacing w:line="240" w:lineRule="auto" w:before="21" w:after="0"/>
        <w:ind w:left="2006" w:right="0" w:hanging="317"/>
        <w:jc w:val="left"/>
        <w:rPr>
          <w:rFonts w:ascii="Symbol" w:hAnsi="Symbol"/>
          <w:sz w:val="24"/>
        </w:rPr>
      </w:pPr>
      <w:r>
        <w:rPr>
          <w:sz w:val="24"/>
        </w:rPr>
        <w:t>late</w:t>
      </w:r>
      <w:r>
        <w:rPr>
          <w:spacing w:val="-5"/>
          <w:sz w:val="24"/>
        </w:rPr>
        <w:t> </w:t>
      </w:r>
      <w:r>
        <w:rPr>
          <w:sz w:val="24"/>
        </w:rPr>
        <w:t>payments</w:t>
      </w:r>
      <w:r>
        <w:rPr>
          <w:spacing w:val="-3"/>
          <w:sz w:val="24"/>
        </w:rPr>
        <w:t> </w:t>
      </w:r>
      <w:r>
        <w:rPr>
          <w:sz w:val="24"/>
        </w:rPr>
        <w:t>resulting</w:t>
      </w:r>
      <w:r>
        <w:rPr>
          <w:spacing w:val="-2"/>
          <w:sz w:val="24"/>
        </w:rPr>
        <w:t> </w:t>
      </w:r>
      <w:r>
        <w:rPr>
          <w:sz w:val="24"/>
        </w:rPr>
        <w:t>in</w:t>
      </w:r>
      <w:r>
        <w:rPr>
          <w:spacing w:val="-1"/>
          <w:sz w:val="24"/>
        </w:rPr>
        <w:t> </w:t>
      </w:r>
      <w:r>
        <w:rPr>
          <w:sz w:val="24"/>
        </w:rPr>
        <w:t>breach</w:t>
      </w:r>
      <w:r>
        <w:rPr>
          <w:spacing w:val="-4"/>
          <w:sz w:val="24"/>
        </w:rPr>
        <w:t> </w:t>
      </w:r>
      <w:r>
        <w:rPr>
          <w:sz w:val="24"/>
        </w:rPr>
        <w:t>of</w:t>
      </w:r>
      <w:r>
        <w:rPr>
          <w:spacing w:val="-2"/>
          <w:sz w:val="24"/>
        </w:rPr>
        <w:t> </w:t>
      </w:r>
      <w:r>
        <w:rPr>
          <w:sz w:val="24"/>
        </w:rPr>
        <w:t>Public</w:t>
      </w:r>
      <w:r>
        <w:rPr>
          <w:spacing w:val="-2"/>
          <w:sz w:val="24"/>
        </w:rPr>
        <w:t> </w:t>
      </w:r>
      <w:r>
        <w:rPr>
          <w:sz w:val="24"/>
        </w:rPr>
        <w:t>Sector</w:t>
      </w:r>
      <w:r>
        <w:rPr>
          <w:spacing w:val="-2"/>
          <w:sz w:val="24"/>
        </w:rPr>
        <w:t> </w:t>
      </w:r>
      <w:r>
        <w:rPr>
          <w:sz w:val="24"/>
        </w:rPr>
        <w:t>Payment</w:t>
      </w:r>
      <w:r>
        <w:rPr>
          <w:spacing w:val="-1"/>
          <w:sz w:val="24"/>
        </w:rPr>
        <w:t> </w:t>
      </w:r>
      <w:r>
        <w:rPr>
          <w:spacing w:val="-2"/>
          <w:sz w:val="24"/>
        </w:rPr>
        <w:t>Policy;</w:t>
      </w:r>
    </w:p>
    <w:p>
      <w:pPr>
        <w:pStyle w:val="ListParagraph"/>
        <w:numPr>
          <w:ilvl w:val="2"/>
          <w:numId w:val="23"/>
        </w:numPr>
        <w:tabs>
          <w:tab w:pos="2006" w:val="left" w:leader="none"/>
          <w:tab w:pos="2007" w:val="left" w:leader="none"/>
        </w:tabs>
        <w:spacing w:line="240" w:lineRule="auto" w:before="20" w:after="0"/>
        <w:ind w:left="2006" w:right="0" w:hanging="317"/>
        <w:jc w:val="left"/>
        <w:rPr>
          <w:rFonts w:ascii="Symbol" w:hAnsi="Symbol"/>
          <w:sz w:val="24"/>
        </w:rPr>
      </w:pPr>
      <w:r>
        <w:rPr>
          <w:sz w:val="24"/>
        </w:rPr>
        <w:t>failure</w:t>
      </w:r>
      <w:r>
        <w:rPr>
          <w:spacing w:val="-3"/>
          <w:sz w:val="24"/>
        </w:rPr>
        <w:t> </w:t>
      </w:r>
      <w:r>
        <w:rPr>
          <w:sz w:val="24"/>
        </w:rPr>
        <w:t>to</w:t>
      </w:r>
      <w:r>
        <w:rPr>
          <w:spacing w:val="-2"/>
          <w:sz w:val="24"/>
        </w:rPr>
        <w:t> </w:t>
      </w:r>
      <w:r>
        <w:rPr>
          <w:sz w:val="24"/>
        </w:rPr>
        <w:t>achieve</w:t>
      </w:r>
      <w:r>
        <w:rPr>
          <w:spacing w:val="-2"/>
          <w:sz w:val="24"/>
        </w:rPr>
        <w:t> </w:t>
      </w:r>
      <w:r>
        <w:rPr>
          <w:sz w:val="24"/>
        </w:rPr>
        <w:t>value</w:t>
      </w:r>
      <w:r>
        <w:rPr>
          <w:spacing w:val="-2"/>
          <w:sz w:val="24"/>
        </w:rPr>
        <w:t> </w:t>
      </w:r>
      <w:r>
        <w:rPr>
          <w:sz w:val="24"/>
        </w:rPr>
        <w:t>for</w:t>
      </w:r>
      <w:r>
        <w:rPr>
          <w:spacing w:val="-2"/>
          <w:sz w:val="24"/>
        </w:rPr>
        <w:t> </w:t>
      </w:r>
      <w:r>
        <w:rPr>
          <w:sz w:val="24"/>
        </w:rPr>
        <w:t>money;</w:t>
      </w:r>
      <w:r>
        <w:rPr>
          <w:spacing w:val="-2"/>
          <w:sz w:val="24"/>
        </w:rPr>
        <w:t> </w:t>
      </w:r>
      <w:r>
        <w:rPr>
          <w:spacing w:val="-5"/>
          <w:sz w:val="24"/>
        </w:rPr>
        <w:t>and</w:t>
      </w:r>
    </w:p>
    <w:p>
      <w:pPr>
        <w:pStyle w:val="ListParagraph"/>
        <w:numPr>
          <w:ilvl w:val="2"/>
          <w:numId w:val="23"/>
        </w:numPr>
        <w:tabs>
          <w:tab w:pos="2006" w:val="left" w:leader="none"/>
          <w:tab w:pos="2007" w:val="left" w:leader="none"/>
        </w:tabs>
        <w:spacing w:line="240" w:lineRule="auto" w:before="24" w:after="0"/>
        <w:ind w:left="2006" w:right="0" w:hanging="317"/>
        <w:jc w:val="left"/>
        <w:rPr>
          <w:rFonts w:ascii="Symbol" w:hAnsi="Symbol"/>
          <w:sz w:val="22"/>
        </w:rPr>
      </w:pPr>
      <w:r>
        <w:rPr>
          <w:spacing w:val="-2"/>
          <w:sz w:val="24"/>
        </w:rPr>
        <w:t>fraud.</w:t>
      </w:r>
    </w:p>
    <w:p>
      <w:pPr>
        <w:spacing w:after="0" w:line="240" w:lineRule="auto"/>
        <w:jc w:val="left"/>
        <w:rPr>
          <w:rFonts w:ascii="Symbol" w:hAnsi="Symbol"/>
          <w:sz w:val="22"/>
        </w:rPr>
        <w:sectPr>
          <w:footerReference w:type="default" r:id="rId82"/>
          <w:pgSz w:w="11910" w:h="16840"/>
          <w:pgMar w:footer="770" w:header="0" w:top="880" w:bottom="960" w:left="0" w:right="0"/>
        </w:sectPr>
      </w:pPr>
    </w:p>
    <w:p>
      <w:pPr>
        <w:pStyle w:val="BodyText"/>
        <w:tabs>
          <w:tab w:pos="7890" w:val="left" w:leader="none"/>
        </w:tabs>
        <w:spacing w:before="86"/>
        <w:ind w:left="566"/>
      </w:pPr>
      <w:r>
        <w:rPr/>
        <w:t>Accounts</w:t>
      </w:r>
      <w:r>
        <w:rPr>
          <w:spacing w:val="-2"/>
        </w:rPr>
        <w:t> Payable</w:t>
      </w:r>
      <w:r>
        <w:rPr/>
        <w:tab/>
        <w:t>Final</w:t>
      </w:r>
      <w:r>
        <w:rPr>
          <w:spacing w:val="-6"/>
        </w:rPr>
        <w:t> </w:t>
      </w:r>
      <w:r>
        <w:rPr/>
        <w:t>Internal</w:t>
      </w:r>
      <w:r>
        <w:rPr>
          <w:spacing w:val="-3"/>
        </w:rPr>
        <w:t> </w:t>
      </w:r>
      <w:r>
        <w:rPr/>
        <w:t>Audit</w:t>
      </w:r>
      <w:r>
        <w:rPr>
          <w:spacing w:val="-1"/>
        </w:rPr>
        <w:t> </w:t>
      </w:r>
      <w:r>
        <w:rPr>
          <w:spacing w:val="-2"/>
        </w:rPr>
        <w:t>Report</w:t>
      </w:r>
    </w:p>
    <w:p>
      <w:pPr>
        <w:pStyle w:val="BodyText"/>
        <w:rPr>
          <w:sz w:val="20"/>
        </w:rPr>
      </w:pPr>
      <w:r>
        <w:rPr/>
        <w:pict>
          <v:shape style="position:absolute;margin-left:27.6pt;margin-top:13.355979pt;width:532.450pt;height:1.45pt;mso-position-horizontal-relative:page;mso-position-vertical-relative:paragraph;z-index:-15669760;mso-wrap-distance-left:0;mso-wrap-distance-right:0" id="docshape226" coordorigin="552,267" coordsize="10649,29" path="m11200,267l5943,267,5929,267,5915,267,552,267,552,296,5915,296,5929,296,5943,296,11200,296,11200,267xe" filled="true" fillcolor="#000000" stroked="false">
            <v:path arrowok="t"/>
            <v:fill type="solid"/>
            <w10:wrap type="topAndBottom"/>
          </v:shape>
        </w:pict>
      </w:r>
    </w:p>
    <w:p>
      <w:pPr>
        <w:pStyle w:val="BodyText"/>
        <w:spacing w:before="1"/>
        <w:rPr>
          <w:sz w:val="20"/>
        </w:rPr>
      </w:pPr>
    </w:p>
    <w:p>
      <w:pPr>
        <w:pStyle w:val="Heading4"/>
        <w:numPr>
          <w:ilvl w:val="0"/>
          <w:numId w:val="23"/>
        </w:numPr>
        <w:tabs>
          <w:tab w:pos="1133" w:val="left" w:leader="none"/>
        </w:tabs>
        <w:spacing w:line="240" w:lineRule="auto" w:before="100" w:after="0"/>
        <w:ind w:left="1132" w:right="0" w:hanging="567"/>
        <w:jc w:val="left"/>
        <w:rPr>
          <w:color w:val="2E5395"/>
        </w:rPr>
      </w:pPr>
      <w:bookmarkStart w:name="_bookmark12" w:id="56"/>
      <w:bookmarkEnd w:id="56"/>
      <w:r>
        <w:rPr>
          <w:color w:val="2E5395"/>
        </w:rPr>
        <w:t>Deta</w:t>
      </w:r>
      <w:r>
        <w:rPr>
          <w:color w:val="2E5395"/>
        </w:rPr>
        <w:t>iled</w:t>
      </w:r>
      <w:r>
        <w:rPr>
          <w:color w:val="2E5395"/>
          <w:spacing w:val="-3"/>
        </w:rPr>
        <w:t> </w:t>
      </w:r>
      <w:r>
        <w:rPr>
          <w:color w:val="2E5395"/>
        </w:rPr>
        <w:t>Audit </w:t>
      </w:r>
      <w:r>
        <w:rPr>
          <w:color w:val="2E5395"/>
          <w:spacing w:val="-2"/>
        </w:rPr>
        <w:t>Findings</w:t>
      </w:r>
    </w:p>
    <w:p>
      <w:pPr>
        <w:spacing w:line="259" w:lineRule="auto" w:before="153"/>
        <w:ind w:left="566" w:right="713" w:firstLine="0"/>
        <w:jc w:val="both"/>
        <w:rPr>
          <w:b/>
          <w:sz w:val="24"/>
        </w:rPr>
      </w:pPr>
      <w:r>
        <w:rPr>
          <w:b/>
          <w:color w:val="3C5A8B"/>
          <w:sz w:val="24"/>
        </w:rPr>
        <w:t>Objective 1: There is adequate control over the creation and amendments of creditor masterfile data</w:t>
      </w:r>
    </w:p>
    <w:p>
      <w:pPr>
        <w:pStyle w:val="ListParagraph"/>
        <w:numPr>
          <w:ilvl w:val="1"/>
          <w:numId w:val="23"/>
        </w:numPr>
        <w:tabs>
          <w:tab w:pos="1275" w:val="left" w:leader="none"/>
        </w:tabs>
        <w:spacing w:line="240" w:lineRule="auto" w:before="119" w:after="0"/>
        <w:ind w:left="1274" w:right="714" w:hanging="708"/>
        <w:jc w:val="both"/>
        <w:rPr>
          <w:sz w:val="24"/>
        </w:rPr>
      </w:pPr>
      <w:r>
        <w:rPr>
          <w:sz w:val="24"/>
        </w:rPr>
        <w:t>Access to the supplier masterfile is restricted to the Supplier Maintenance Team (SMT) and reviewed on a quarterly basis.</w:t>
      </w:r>
    </w:p>
    <w:p>
      <w:pPr>
        <w:pStyle w:val="ListParagraph"/>
        <w:numPr>
          <w:ilvl w:val="1"/>
          <w:numId w:val="23"/>
        </w:numPr>
        <w:tabs>
          <w:tab w:pos="1275" w:val="left" w:leader="none"/>
        </w:tabs>
        <w:spacing w:line="240" w:lineRule="auto" w:before="120" w:after="0"/>
        <w:ind w:left="1274" w:right="710" w:hanging="708"/>
        <w:jc w:val="both"/>
        <w:rPr>
          <w:sz w:val="24"/>
        </w:rPr>
      </w:pPr>
      <w:r>
        <w:rPr>
          <w:sz w:val="24"/>
        </w:rPr>
        <w:t>Additions and amendments to the supplier masterfile are processed and independently checked within the SMT to ensure accuracy.</w:t>
      </w:r>
    </w:p>
    <w:p>
      <w:pPr>
        <w:pStyle w:val="ListParagraph"/>
        <w:numPr>
          <w:ilvl w:val="1"/>
          <w:numId w:val="23"/>
        </w:numPr>
        <w:tabs>
          <w:tab w:pos="1275" w:val="left" w:leader="none"/>
        </w:tabs>
        <w:spacing w:line="240" w:lineRule="auto" w:before="120" w:after="0"/>
        <w:ind w:left="1274" w:right="711" w:hanging="708"/>
        <w:jc w:val="both"/>
        <w:rPr>
          <w:sz w:val="24"/>
        </w:rPr>
      </w:pPr>
      <w:r>
        <w:rPr>
          <w:sz w:val="24"/>
        </w:rPr>
        <w:t>In response to the heightened fraud risk due to an increase in the number of attempted bank mandate frauds, controls around the processing of supplier bank changes were enhanced during 2021:</w:t>
      </w:r>
    </w:p>
    <w:p>
      <w:pPr>
        <w:spacing w:before="110"/>
        <w:ind w:left="1389" w:right="0" w:firstLine="0"/>
        <w:jc w:val="left"/>
        <w:rPr>
          <w:sz w:val="20"/>
        </w:rPr>
      </w:pPr>
      <w:r>
        <w:rPr/>
        <w:drawing>
          <wp:inline distT="0" distB="0" distL="0" distR="0">
            <wp:extent cx="168801" cy="119298"/>
            <wp:effectExtent l="0" t="0" r="0" b="0"/>
            <wp:docPr id="69" name="image29.png"/>
            <wp:cNvGraphicFramePr>
              <a:graphicFrameLocks noChangeAspect="1"/>
            </wp:cNvGraphicFramePr>
            <a:graphic>
              <a:graphicData uri="http://schemas.openxmlformats.org/drawingml/2006/picture">
                <pic:pic>
                  <pic:nvPicPr>
                    <pic:cNvPr id="70" name="image29.png"/>
                    <pic:cNvPicPr/>
                  </pic:nvPicPr>
                  <pic:blipFill>
                    <a:blip r:embed="rId84" cstate="print"/>
                    <a:stretch>
                      <a:fillRect/>
                    </a:stretch>
                  </pic:blipFill>
                  <pic:spPr>
                    <a:xfrm>
                      <a:off x="0" y="0"/>
                      <a:ext cx="168801" cy="119298"/>
                    </a:xfrm>
                    <a:prstGeom prst="rect">
                      <a:avLst/>
                    </a:prstGeom>
                  </pic:spPr>
                </pic:pic>
              </a:graphicData>
            </a:graphic>
          </wp:inline>
        </w:drawing>
      </w:r>
      <w:r>
        <w:rPr/>
      </w:r>
      <w:r>
        <w:rPr>
          <w:rFonts w:ascii="Times New Roman"/>
          <w:spacing w:val="80"/>
          <w:position w:val="1"/>
          <w:sz w:val="20"/>
        </w:rPr>
        <w:t>  </w:t>
      </w:r>
      <w:r>
        <w:rPr>
          <w:color w:val="3C5A8B"/>
          <w:position w:val="1"/>
          <w:sz w:val="20"/>
        </w:rPr>
        <w:t>improved verification checks with the supplier</w:t>
      </w:r>
    </w:p>
    <w:p>
      <w:pPr>
        <w:spacing w:before="200"/>
        <w:ind w:left="1389" w:right="0" w:firstLine="0"/>
        <w:jc w:val="left"/>
        <w:rPr>
          <w:sz w:val="20"/>
        </w:rPr>
      </w:pPr>
      <w:r>
        <w:rPr/>
        <w:drawing>
          <wp:inline distT="0" distB="0" distL="0" distR="0">
            <wp:extent cx="168801" cy="119298"/>
            <wp:effectExtent l="0" t="0" r="0" b="0"/>
            <wp:docPr id="71" name="image30.png"/>
            <wp:cNvGraphicFramePr>
              <a:graphicFrameLocks noChangeAspect="1"/>
            </wp:cNvGraphicFramePr>
            <a:graphic>
              <a:graphicData uri="http://schemas.openxmlformats.org/drawingml/2006/picture">
                <pic:pic>
                  <pic:nvPicPr>
                    <pic:cNvPr id="72" name="image30.png"/>
                    <pic:cNvPicPr/>
                  </pic:nvPicPr>
                  <pic:blipFill>
                    <a:blip r:embed="rId85" cstate="print"/>
                    <a:stretch>
                      <a:fillRect/>
                    </a:stretch>
                  </pic:blipFill>
                  <pic:spPr>
                    <a:xfrm>
                      <a:off x="0" y="0"/>
                      <a:ext cx="168801" cy="119298"/>
                    </a:xfrm>
                    <a:prstGeom prst="rect">
                      <a:avLst/>
                    </a:prstGeom>
                  </pic:spPr>
                </pic:pic>
              </a:graphicData>
            </a:graphic>
          </wp:inline>
        </w:drawing>
      </w:r>
      <w:r>
        <w:rPr/>
      </w:r>
      <w:r>
        <w:rPr>
          <w:rFonts w:ascii="Times New Roman"/>
          <w:spacing w:val="80"/>
          <w:position w:val="2"/>
          <w:sz w:val="20"/>
        </w:rPr>
        <w:t>  </w:t>
      </w:r>
      <w:r>
        <w:rPr>
          <w:color w:val="3C5A8B"/>
          <w:position w:val="2"/>
          <w:sz w:val="20"/>
        </w:rPr>
        <w:t>implementation of a bank account mandate checklist</w:t>
      </w:r>
    </w:p>
    <w:p>
      <w:pPr>
        <w:spacing w:before="109"/>
        <w:ind w:left="1882" w:right="617" w:firstLine="0"/>
        <w:jc w:val="left"/>
        <w:rPr>
          <w:sz w:val="20"/>
        </w:rPr>
      </w:pPr>
      <w:r>
        <w:rPr/>
        <w:drawing>
          <wp:anchor distT="0" distB="0" distL="0" distR="0" allowOverlap="1" layoutInCell="1" locked="0" behindDoc="0" simplePos="0" relativeHeight="15788032">
            <wp:simplePos x="0" y="0"/>
            <wp:positionH relativeFrom="page">
              <wp:posOffset>882316</wp:posOffset>
            </wp:positionH>
            <wp:positionV relativeFrom="paragraph">
              <wp:posOffset>164441</wp:posOffset>
            </wp:positionV>
            <wp:extent cx="168801" cy="119298"/>
            <wp:effectExtent l="0" t="0" r="0" b="0"/>
            <wp:wrapNone/>
            <wp:docPr id="73" name="image30.png"/>
            <wp:cNvGraphicFramePr>
              <a:graphicFrameLocks noChangeAspect="1"/>
            </wp:cNvGraphicFramePr>
            <a:graphic>
              <a:graphicData uri="http://schemas.openxmlformats.org/drawingml/2006/picture">
                <pic:pic>
                  <pic:nvPicPr>
                    <pic:cNvPr id="74" name="image30.png"/>
                    <pic:cNvPicPr/>
                  </pic:nvPicPr>
                  <pic:blipFill>
                    <a:blip r:embed="rId85" cstate="print"/>
                    <a:stretch>
                      <a:fillRect/>
                    </a:stretch>
                  </pic:blipFill>
                  <pic:spPr>
                    <a:xfrm>
                      <a:off x="0" y="0"/>
                      <a:ext cx="168801" cy="119298"/>
                    </a:xfrm>
                    <a:prstGeom prst="rect">
                      <a:avLst/>
                    </a:prstGeom>
                  </pic:spPr>
                </pic:pic>
              </a:graphicData>
            </a:graphic>
          </wp:anchor>
        </w:drawing>
      </w:r>
      <w:r>
        <w:rPr>
          <w:color w:val="3C5A8B"/>
          <w:sz w:val="20"/>
        </w:rPr>
        <w:t>independent</w:t>
      </w:r>
      <w:r>
        <w:rPr>
          <w:color w:val="3C5A8B"/>
          <w:spacing w:val="-3"/>
          <w:sz w:val="20"/>
        </w:rPr>
        <w:t> </w:t>
      </w:r>
      <w:r>
        <w:rPr>
          <w:color w:val="3C5A8B"/>
          <w:sz w:val="20"/>
        </w:rPr>
        <w:t>review</w:t>
      </w:r>
      <w:r>
        <w:rPr>
          <w:color w:val="3C5A8B"/>
          <w:spacing w:val="-3"/>
          <w:sz w:val="20"/>
        </w:rPr>
        <w:t> </w:t>
      </w:r>
      <w:r>
        <w:rPr>
          <w:color w:val="3C5A8B"/>
          <w:sz w:val="20"/>
        </w:rPr>
        <w:t>and</w:t>
      </w:r>
      <w:r>
        <w:rPr>
          <w:color w:val="3C5A8B"/>
          <w:spacing w:val="-4"/>
          <w:sz w:val="20"/>
        </w:rPr>
        <w:t> </w:t>
      </w:r>
      <w:r>
        <w:rPr>
          <w:color w:val="3C5A8B"/>
          <w:sz w:val="20"/>
        </w:rPr>
        <w:t>approval</w:t>
      </w:r>
      <w:r>
        <w:rPr>
          <w:color w:val="3C5A8B"/>
          <w:spacing w:val="-4"/>
          <w:sz w:val="20"/>
        </w:rPr>
        <w:t> </w:t>
      </w:r>
      <w:r>
        <w:rPr>
          <w:color w:val="3C5A8B"/>
          <w:sz w:val="20"/>
        </w:rPr>
        <w:t>of</w:t>
      </w:r>
      <w:r>
        <w:rPr>
          <w:color w:val="3C5A8B"/>
          <w:spacing w:val="-6"/>
          <w:sz w:val="20"/>
        </w:rPr>
        <w:t> </w:t>
      </w:r>
      <w:r>
        <w:rPr>
          <w:color w:val="3C5A8B"/>
          <w:sz w:val="20"/>
        </w:rPr>
        <w:t>bank</w:t>
      </w:r>
      <w:r>
        <w:rPr>
          <w:color w:val="3C5A8B"/>
          <w:spacing w:val="-5"/>
          <w:sz w:val="20"/>
        </w:rPr>
        <w:t> </w:t>
      </w:r>
      <w:r>
        <w:rPr>
          <w:color w:val="3C5A8B"/>
          <w:sz w:val="20"/>
        </w:rPr>
        <w:t>account</w:t>
      </w:r>
      <w:r>
        <w:rPr>
          <w:color w:val="3C5A8B"/>
          <w:spacing w:val="-4"/>
          <w:sz w:val="20"/>
        </w:rPr>
        <w:t> </w:t>
      </w:r>
      <w:r>
        <w:rPr>
          <w:color w:val="3C5A8B"/>
          <w:sz w:val="20"/>
        </w:rPr>
        <w:t>amendments</w:t>
      </w:r>
      <w:r>
        <w:rPr>
          <w:color w:val="3C5A8B"/>
          <w:spacing w:val="-6"/>
          <w:sz w:val="20"/>
        </w:rPr>
        <w:t> </w:t>
      </w:r>
      <w:r>
        <w:rPr>
          <w:color w:val="3C5A8B"/>
          <w:sz w:val="20"/>
        </w:rPr>
        <w:t>by</w:t>
      </w:r>
      <w:r>
        <w:rPr>
          <w:color w:val="3C5A8B"/>
          <w:spacing w:val="-5"/>
          <w:sz w:val="20"/>
        </w:rPr>
        <w:t> </w:t>
      </w:r>
      <w:r>
        <w:rPr>
          <w:color w:val="3C5A8B"/>
          <w:sz w:val="20"/>
        </w:rPr>
        <w:t>the</w:t>
      </w:r>
      <w:r>
        <w:rPr>
          <w:color w:val="3C5A8B"/>
          <w:spacing w:val="-4"/>
          <w:sz w:val="20"/>
        </w:rPr>
        <w:t> </w:t>
      </w:r>
      <w:r>
        <w:rPr>
          <w:color w:val="3C5A8B"/>
          <w:sz w:val="20"/>
        </w:rPr>
        <w:t>Head</w:t>
      </w:r>
      <w:r>
        <w:rPr>
          <w:color w:val="3C5A8B"/>
          <w:spacing w:val="-1"/>
          <w:sz w:val="20"/>
        </w:rPr>
        <w:t> </w:t>
      </w:r>
      <w:r>
        <w:rPr>
          <w:color w:val="3C5A8B"/>
          <w:sz w:val="20"/>
        </w:rPr>
        <w:t>of</w:t>
      </w:r>
      <w:r>
        <w:rPr>
          <w:color w:val="3C5A8B"/>
          <w:spacing w:val="-3"/>
          <w:sz w:val="20"/>
        </w:rPr>
        <w:t> </w:t>
      </w:r>
      <w:r>
        <w:rPr>
          <w:color w:val="3C5A8B"/>
          <w:sz w:val="20"/>
        </w:rPr>
        <w:t>Finance</w:t>
      </w:r>
      <w:r>
        <w:rPr>
          <w:color w:val="3C5A8B"/>
          <w:spacing w:val="-5"/>
          <w:sz w:val="20"/>
        </w:rPr>
        <w:t> </w:t>
      </w:r>
      <w:r>
        <w:rPr>
          <w:color w:val="3C5A8B"/>
          <w:sz w:val="20"/>
        </w:rPr>
        <w:t>&amp; Business Development</w:t>
      </w:r>
    </w:p>
    <w:p>
      <w:pPr>
        <w:spacing w:before="111"/>
        <w:ind w:left="1389" w:right="0" w:firstLine="0"/>
        <w:jc w:val="left"/>
        <w:rPr>
          <w:sz w:val="20"/>
        </w:rPr>
      </w:pPr>
      <w:r>
        <w:rPr/>
        <w:drawing>
          <wp:inline distT="0" distB="0" distL="0" distR="0">
            <wp:extent cx="168801" cy="119298"/>
            <wp:effectExtent l="0" t="0" r="0" b="0"/>
            <wp:docPr id="75" name="image30.png"/>
            <wp:cNvGraphicFramePr>
              <a:graphicFrameLocks noChangeAspect="1"/>
            </wp:cNvGraphicFramePr>
            <a:graphic>
              <a:graphicData uri="http://schemas.openxmlformats.org/drawingml/2006/picture">
                <pic:pic>
                  <pic:nvPicPr>
                    <pic:cNvPr id="76" name="image30.png"/>
                    <pic:cNvPicPr/>
                  </pic:nvPicPr>
                  <pic:blipFill>
                    <a:blip r:embed="rId85" cstate="print"/>
                    <a:stretch>
                      <a:fillRect/>
                    </a:stretch>
                  </pic:blipFill>
                  <pic:spPr>
                    <a:xfrm>
                      <a:off x="0" y="0"/>
                      <a:ext cx="168801" cy="119298"/>
                    </a:xfrm>
                    <a:prstGeom prst="rect">
                      <a:avLst/>
                    </a:prstGeom>
                  </pic:spPr>
                </pic:pic>
              </a:graphicData>
            </a:graphic>
          </wp:inline>
        </w:drawing>
      </w:r>
      <w:r>
        <w:rPr/>
      </w:r>
      <w:r>
        <w:rPr>
          <w:rFonts w:ascii="Times New Roman"/>
          <w:spacing w:val="80"/>
          <w:position w:val="1"/>
          <w:sz w:val="20"/>
        </w:rPr>
        <w:t>  </w:t>
      </w:r>
      <w:r>
        <w:rPr>
          <w:color w:val="3C5A8B"/>
          <w:position w:val="1"/>
          <w:sz w:val="20"/>
        </w:rPr>
        <w:t>use of Experian bank account verification service</w:t>
      </w:r>
    </w:p>
    <w:p>
      <w:pPr>
        <w:pStyle w:val="BodyText"/>
        <w:spacing w:before="3"/>
        <w:rPr>
          <w:sz w:val="18"/>
        </w:rPr>
      </w:pPr>
    </w:p>
    <w:p>
      <w:pPr>
        <w:pStyle w:val="ListParagraph"/>
        <w:numPr>
          <w:ilvl w:val="1"/>
          <w:numId w:val="23"/>
        </w:numPr>
        <w:tabs>
          <w:tab w:pos="1275" w:val="left" w:leader="none"/>
        </w:tabs>
        <w:spacing w:line="240" w:lineRule="auto" w:before="0" w:after="0"/>
        <w:ind w:left="1274" w:right="703" w:hanging="708"/>
        <w:jc w:val="both"/>
        <w:rPr>
          <w:b/>
          <w:sz w:val="24"/>
        </w:rPr>
      </w:pPr>
      <w:r>
        <w:rPr>
          <w:sz w:val="24"/>
        </w:rPr>
        <w:t>These enhanced controls have not been formally documented or reflected in SMT procedural</w:t>
      </w:r>
      <w:r>
        <w:rPr>
          <w:spacing w:val="-9"/>
          <w:sz w:val="24"/>
        </w:rPr>
        <w:t> </w:t>
      </w:r>
      <w:r>
        <w:rPr>
          <w:sz w:val="24"/>
        </w:rPr>
        <w:t>guidance</w:t>
      </w:r>
      <w:r>
        <w:rPr>
          <w:spacing w:val="-7"/>
          <w:sz w:val="24"/>
        </w:rPr>
        <w:t> </w:t>
      </w:r>
      <w:r>
        <w:rPr>
          <w:sz w:val="24"/>
        </w:rPr>
        <w:t>documents.</w:t>
      </w:r>
      <w:r>
        <w:rPr>
          <w:spacing w:val="-8"/>
          <w:sz w:val="24"/>
        </w:rPr>
        <w:t> </w:t>
      </w:r>
      <w:r>
        <w:rPr>
          <w:sz w:val="24"/>
        </w:rPr>
        <w:t>We</w:t>
      </w:r>
      <w:r>
        <w:rPr>
          <w:spacing w:val="-8"/>
          <w:sz w:val="24"/>
        </w:rPr>
        <w:t> </w:t>
      </w:r>
      <w:r>
        <w:rPr>
          <w:sz w:val="24"/>
        </w:rPr>
        <w:t>noted</w:t>
      </w:r>
      <w:r>
        <w:rPr>
          <w:spacing w:val="-9"/>
          <w:sz w:val="24"/>
        </w:rPr>
        <w:t> </w:t>
      </w:r>
      <w:r>
        <w:rPr>
          <w:sz w:val="24"/>
        </w:rPr>
        <w:t>ambiguity</w:t>
      </w:r>
      <w:r>
        <w:rPr>
          <w:spacing w:val="-9"/>
          <w:sz w:val="24"/>
        </w:rPr>
        <w:t> </w:t>
      </w:r>
      <w:r>
        <w:rPr>
          <w:sz w:val="24"/>
        </w:rPr>
        <w:t>around</w:t>
      </w:r>
      <w:r>
        <w:rPr>
          <w:spacing w:val="-9"/>
          <w:sz w:val="24"/>
        </w:rPr>
        <w:t> </w:t>
      </w:r>
      <w:r>
        <w:rPr>
          <w:sz w:val="24"/>
        </w:rPr>
        <w:t>the</w:t>
      </w:r>
      <w:r>
        <w:rPr>
          <w:spacing w:val="-6"/>
          <w:sz w:val="24"/>
        </w:rPr>
        <w:t> </w:t>
      </w:r>
      <w:r>
        <w:rPr>
          <w:sz w:val="24"/>
        </w:rPr>
        <w:t>requirements</w:t>
      </w:r>
      <w:r>
        <w:rPr>
          <w:spacing w:val="-8"/>
          <w:sz w:val="24"/>
        </w:rPr>
        <w:t> </w:t>
      </w:r>
      <w:r>
        <w:rPr>
          <w:sz w:val="24"/>
        </w:rPr>
        <w:t>for Experian checks and escalation to the Head of Finance &amp; Business Development for approval.</w:t>
      </w:r>
      <w:r>
        <w:rPr>
          <w:spacing w:val="40"/>
          <w:sz w:val="24"/>
        </w:rPr>
        <w:t> </w:t>
      </w:r>
      <w:r>
        <w:rPr>
          <w:sz w:val="24"/>
        </w:rPr>
        <w:t>The SMT advised that checks are not completed for schools or one- off payments but the rationale for this was not clear, and the Head of Finance &amp; Business Development was not aware. </w:t>
      </w:r>
      <w:r>
        <w:rPr>
          <w:b/>
          <w:sz w:val="24"/>
        </w:rPr>
        <w:t>[See Matter Arising 1 in Appendix A]</w:t>
      </w:r>
    </w:p>
    <w:p>
      <w:pPr>
        <w:pStyle w:val="ListParagraph"/>
        <w:numPr>
          <w:ilvl w:val="1"/>
          <w:numId w:val="23"/>
        </w:numPr>
        <w:tabs>
          <w:tab w:pos="1275" w:val="left" w:leader="none"/>
        </w:tabs>
        <w:spacing w:line="240" w:lineRule="auto" w:before="120" w:after="0"/>
        <w:ind w:left="1274" w:right="703" w:hanging="708"/>
        <w:jc w:val="both"/>
        <w:rPr>
          <w:sz w:val="24"/>
        </w:rPr>
      </w:pPr>
      <w:r>
        <w:rPr>
          <w:sz w:val="24"/>
        </w:rPr>
        <w:t>The Experian check is a two-step process, firstly validating account number and sort code then matching to the payee details. Where the Experian check has resulted in a no match (for which there is no fee), additional verification checks are undertaken by the SMT Leader or Head of Finance &amp; Business Development using a personal banking application, with documented justification for approved additions/amendments where there is still no match (e.g., due to banks not participating in verification schemes).</w:t>
      </w:r>
    </w:p>
    <w:p>
      <w:pPr>
        <w:pStyle w:val="ListParagraph"/>
        <w:numPr>
          <w:ilvl w:val="1"/>
          <w:numId w:val="23"/>
        </w:numPr>
        <w:tabs>
          <w:tab w:pos="1275" w:val="left" w:leader="none"/>
        </w:tabs>
        <w:spacing w:line="240" w:lineRule="auto" w:before="120" w:after="0"/>
        <w:ind w:left="1274" w:right="705" w:hanging="708"/>
        <w:jc w:val="both"/>
        <w:rPr>
          <w:sz w:val="24"/>
        </w:rPr>
      </w:pPr>
      <w:r>
        <w:rPr>
          <w:sz w:val="24"/>
        </w:rPr>
        <w:t>Sample testing of supplier bank additions/amendments noted an Experian match rate</w:t>
      </w:r>
      <w:r>
        <w:rPr>
          <w:spacing w:val="-15"/>
          <w:sz w:val="24"/>
        </w:rPr>
        <w:t> </w:t>
      </w:r>
      <w:r>
        <w:rPr>
          <w:sz w:val="24"/>
        </w:rPr>
        <w:t>of</w:t>
      </w:r>
      <w:r>
        <w:rPr>
          <w:spacing w:val="-16"/>
          <w:sz w:val="24"/>
        </w:rPr>
        <w:t> </w:t>
      </w:r>
      <w:r>
        <w:rPr>
          <w:sz w:val="24"/>
        </w:rPr>
        <w:t>only</w:t>
      </w:r>
      <w:r>
        <w:rPr>
          <w:spacing w:val="-17"/>
          <w:sz w:val="24"/>
        </w:rPr>
        <w:t> </w:t>
      </w:r>
      <w:r>
        <w:rPr>
          <w:sz w:val="24"/>
        </w:rPr>
        <w:t>53%.</w:t>
      </w:r>
      <w:r>
        <w:rPr>
          <w:spacing w:val="-17"/>
          <w:sz w:val="24"/>
        </w:rPr>
        <w:t> </w:t>
      </w:r>
      <w:r>
        <w:rPr>
          <w:sz w:val="24"/>
        </w:rPr>
        <w:t>The</w:t>
      </w:r>
      <w:r>
        <w:rPr>
          <w:spacing w:val="-15"/>
          <w:sz w:val="24"/>
        </w:rPr>
        <w:t> </w:t>
      </w:r>
      <w:r>
        <w:rPr>
          <w:sz w:val="24"/>
        </w:rPr>
        <w:t>previous</w:t>
      </w:r>
      <w:r>
        <w:rPr>
          <w:spacing w:val="-16"/>
          <w:sz w:val="24"/>
        </w:rPr>
        <w:t> </w:t>
      </w:r>
      <w:r>
        <w:rPr>
          <w:sz w:val="24"/>
        </w:rPr>
        <w:t>audit</w:t>
      </w:r>
      <w:r>
        <w:rPr>
          <w:spacing w:val="-17"/>
          <w:sz w:val="24"/>
        </w:rPr>
        <w:t> </w:t>
      </w:r>
      <w:r>
        <w:rPr>
          <w:sz w:val="24"/>
        </w:rPr>
        <w:t>recommended</w:t>
      </w:r>
      <w:r>
        <w:rPr>
          <w:spacing w:val="-14"/>
          <w:sz w:val="24"/>
        </w:rPr>
        <w:t> </w:t>
      </w:r>
      <w:r>
        <w:rPr>
          <w:sz w:val="24"/>
        </w:rPr>
        <w:t>that</w:t>
      </w:r>
      <w:r>
        <w:rPr>
          <w:spacing w:val="-17"/>
          <w:sz w:val="24"/>
        </w:rPr>
        <w:t> </w:t>
      </w:r>
      <w:r>
        <w:rPr>
          <w:sz w:val="24"/>
        </w:rPr>
        <w:t>management</w:t>
      </w:r>
      <w:r>
        <w:rPr>
          <w:spacing w:val="-17"/>
          <w:sz w:val="24"/>
        </w:rPr>
        <w:t> </w:t>
      </w:r>
      <w:r>
        <w:rPr>
          <w:sz w:val="24"/>
        </w:rPr>
        <w:t>consider</w:t>
      </w:r>
      <w:r>
        <w:rPr>
          <w:spacing w:val="-15"/>
          <w:sz w:val="24"/>
        </w:rPr>
        <w:t> </w:t>
      </w:r>
      <w:r>
        <w:rPr>
          <w:sz w:val="24"/>
        </w:rPr>
        <w:t>the effectiveness of the Experian service to assess whether it is delivering expected benefits.</w:t>
      </w:r>
      <w:r>
        <w:rPr>
          <w:spacing w:val="40"/>
          <w:sz w:val="24"/>
        </w:rPr>
        <w:t> </w:t>
      </w:r>
      <w:r>
        <w:rPr>
          <w:sz w:val="24"/>
        </w:rPr>
        <w:t>NWSSP have escalated low matching rates to Experian whilst exploring alternative options and we understand that discussions are ongoing with an alternative supplier.</w:t>
      </w:r>
    </w:p>
    <w:p>
      <w:pPr>
        <w:pStyle w:val="ListParagraph"/>
        <w:numPr>
          <w:ilvl w:val="1"/>
          <w:numId w:val="23"/>
        </w:numPr>
        <w:tabs>
          <w:tab w:pos="1275" w:val="left" w:leader="none"/>
        </w:tabs>
        <w:spacing w:line="240" w:lineRule="auto" w:before="120" w:after="0"/>
        <w:ind w:left="1274" w:right="708" w:hanging="708"/>
        <w:jc w:val="both"/>
        <w:rPr>
          <w:sz w:val="24"/>
        </w:rPr>
      </w:pPr>
      <w:r>
        <w:rPr>
          <w:sz w:val="24"/>
        </w:rPr>
        <w:t>We reviewed a sample of 70 additions / amendments to the supplier bank details processed during the period March 2022 to November 2022. All were verified to available source documentation and confirmed to have been promptly and accurately processed. One instance was identified where a bank amendment had not</w:t>
      </w:r>
      <w:r>
        <w:rPr>
          <w:spacing w:val="-11"/>
          <w:sz w:val="24"/>
        </w:rPr>
        <w:t> </w:t>
      </w:r>
      <w:r>
        <w:rPr>
          <w:sz w:val="24"/>
        </w:rPr>
        <w:t>been</w:t>
      </w:r>
      <w:r>
        <w:rPr>
          <w:spacing w:val="-10"/>
          <w:sz w:val="24"/>
        </w:rPr>
        <w:t> </w:t>
      </w:r>
      <w:r>
        <w:rPr>
          <w:sz w:val="24"/>
        </w:rPr>
        <w:t>escalated</w:t>
      </w:r>
      <w:r>
        <w:rPr>
          <w:spacing w:val="-9"/>
          <w:sz w:val="24"/>
        </w:rPr>
        <w:t> </w:t>
      </w:r>
      <w:r>
        <w:rPr>
          <w:sz w:val="24"/>
        </w:rPr>
        <w:t>to</w:t>
      </w:r>
      <w:r>
        <w:rPr>
          <w:spacing w:val="-10"/>
          <w:sz w:val="24"/>
        </w:rPr>
        <w:t> </w:t>
      </w:r>
      <w:r>
        <w:rPr>
          <w:sz w:val="24"/>
        </w:rPr>
        <w:t>the</w:t>
      </w:r>
      <w:r>
        <w:rPr>
          <w:spacing w:val="-9"/>
          <w:sz w:val="24"/>
        </w:rPr>
        <w:t> </w:t>
      </w:r>
      <w:r>
        <w:rPr>
          <w:sz w:val="24"/>
        </w:rPr>
        <w:t>Head</w:t>
      </w:r>
      <w:r>
        <w:rPr>
          <w:spacing w:val="-9"/>
          <w:sz w:val="24"/>
        </w:rPr>
        <w:t> </w:t>
      </w:r>
      <w:r>
        <w:rPr>
          <w:sz w:val="24"/>
        </w:rPr>
        <w:t>of</w:t>
      </w:r>
      <w:r>
        <w:rPr>
          <w:spacing w:val="-8"/>
          <w:sz w:val="24"/>
        </w:rPr>
        <w:t> </w:t>
      </w:r>
      <w:r>
        <w:rPr>
          <w:sz w:val="24"/>
        </w:rPr>
        <w:t>Finance</w:t>
      </w:r>
      <w:r>
        <w:rPr>
          <w:spacing w:val="-9"/>
          <w:sz w:val="24"/>
        </w:rPr>
        <w:t> </w:t>
      </w:r>
      <w:r>
        <w:rPr>
          <w:sz w:val="24"/>
        </w:rPr>
        <w:t>&amp;</w:t>
      </w:r>
      <w:r>
        <w:rPr>
          <w:spacing w:val="-9"/>
          <w:sz w:val="24"/>
        </w:rPr>
        <w:t> </w:t>
      </w:r>
      <w:r>
        <w:rPr>
          <w:sz w:val="24"/>
        </w:rPr>
        <w:t>Business</w:t>
      </w:r>
      <w:r>
        <w:rPr>
          <w:spacing w:val="-8"/>
          <w:sz w:val="24"/>
        </w:rPr>
        <w:t> </w:t>
      </w:r>
      <w:r>
        <w:rPr>
          <w:sz w:val="24"/>
        </w:rPr>
        <w:t>Development</w:t>
      </w:r>
      <w:r>
        <w:rPr>
          <w:spacing w:val="-11"/>
          <w:sz w:val="24"/>
        </w:rPr>
        <w:t> </w:t>
      </w:r>
      <w:r>
        <w:rPr>
          <w:sz w:val="24"/>
        </w:rPr>
        <w:t>for</w:t>
      </w:r>
      <w:r>
        <w:rPr>
          <w:spacing w:val="-9"/>
          <w:sz w:val="24"/>
        </w:rPr>
        <w:t> </w:t>
      </w:r>
      <w:r>
        <w:rPr>
          <w:sz w:val="24"/>
        </w:rPr>
        <w:t>review</w:t>
      </w:r>
      <w:r>
        <w:rPr>
          <w:spacing w:val="-10"/>
          <w:sz w:val="24"/>
        </w:rPr>
        <w:t> </w:t>
      </w:r>
      <w:r>
        <w:rPr>
          <w:sz w:val="24"/>
        </w:rPr>
        <w:t>and </w:t>
      </w:r>
      <w:r>
        <w:rPr>
          <w:spacing w:val="-2"/>
          <w:sz w:val="24"/>
        </w:rPr>
        <w:t>approval.</w:t>
      </w:r>
    </w:p>
    <w:p>
      <w:pPr>
        <w:spacing w:before="122"/>
        <w:ind w:left="1274" w:right="0" w:firstLine="0"/>
        <w:jc w:val="both"/>
        <w:rPr>
          <w:b/>
          <w:sz w:val="24"/>
        </w:rPr>
      </w:pPr>
      <w:r>
        <w:rPr>
          <w:b/>
          <w:sz w:val="24"/>
        </w:rPr>
        <w:t>[See</w:t>
      </w:r>
      <w:r>
        <w:rPr>
          <w:b/>
          <w:spacing w:val="-5"/>
          <w:sz w:val="24"/>
        </w:rPr>
        <w:t> </w:t>
      </w:r>
      <w:r>
        <w:rPr>
          <w:b/>
          <w:sz w:val="24"/>
        </w:rPr>
        <w:t>Matter</w:t>
      </w:r>
      <w:r>
        <w:rPr>
          <w:b/>
          <w:spacing w:val="-2"/>
          <w:sz w:val="24"/>
        </w:rPr>
        <w:t> </w:t>
      </w:r>
      <w:r>
        <w:rPr>
          <w:b/>
          <w:sz w:val="24"/>
        </w:rPr>
        <w:t>Arising</w:t>
      </w:r>
      <w:r>
        <w:rPr>
          <w:b/>
          <w:spacing w:val="-2"/>
          <w:sz w:val="24"/>
        </w:rPr>
        <w:t> </w:t>
      </w:r>
      <w:r>
        <w:rPr>
          <w:b/>
          <w:sz w:val="24"/>
        </w:rPr>
        <w:t>1</w:t>
      </w:r>
      <w:r>
        <w:rPr>
          <w:b/>
          <w:spacing w:val="-2"/>
          <w:sz w:val="24"/>
        </w:rPr>
        <w:t> </w:t>
      </w:r>
      <w:r>
        <w:rPr>
          <w:b/>
          <w:sz w:val="24"/>
        </w:rPr>
        <w:t>in</w:t>
      </w:r>
      <w:r>
        <w:rPr>
          <w:b/>
          <w:spacing w:val="-3"/>
          <w:sz w:val="24"/>
        </w:rPr>
        <w:t> </w:t>
      </w:r>
      <w:r>
        <w:rPr>
          <w:b/>
          <w:sz w:val="24"/>
        </w:rPr>
        <w:t>Appendix</w:t>
      </w:r>
      <w:r>
        <w:rPr>
          <w:b/>
          <w:spacing w:val="-2"/>
          <w:sz w:val="24"/>
        </w:rPr>
        <w:t> </w:t>
      </w:r>
      <w:r>
        <w:rPr>
          <w:b/>
          <w:spacing w:val="-5"/>
          <w:sz w:val="24"/>
        </w:rPr>
        <w:t>A]</w:t>
      </w:r>
    </w:p>
    <w:p>
      <w:pPr>
        <w:spacing w:after="0"/>
        <w:jc w:val="both"/>
        <w:rPr>
          <w:sz w:val="24"/>
        </w:rPr>
        <w:sectPr>
          <w:footerReference w:type="default" r:id="rId83"/>
          <w:pgSz w:w="11910" w:h="16840"/>
          <w:pgMar w:footer="770" w:header="0" w:top="880" w:bottom="960" w:left="0" w:right="0"/>
        </w:sectPr>
      </w:pPr>
    </w:p>
    <w:p>
      <w:pPr>
        <w:pStyle w:val="BodyText"/>
        <w:tabs>
          <w:tab w:pos="7890" w:val="left" w:leader="none"/>
        </w:tabs>
        <w:spacing w:before="86"/>
        <w:ind w:left="566"/>
      </w:pPr>
      <w:r>
        <w:rPr/>
        <w:t>Accounts</w:t>
      </w:r>
      <w:r>
        <w:rPr>
          <w:spacing w:val="-2"/>
        </w:rPr>
        <w:t> Payable</w:t>
      </w:r>
      <w:r>
        <w:rPr/>
        <w:tab/>
        <w:t>Final</w:t>
      </w:r>
      <w:r>
        <w:rPr>
          <w:spacing w:val="-6"/>
        </w:rPr>
        <w:t> </w:t>
      </w:r>
      <w:r>
        <w:rPr/>
        <w:t>Internal</w:t>
      </w:r>
      <w:r>
        <w:rPr>
          <w:spacing w:val="-3"/>
        </w:rPr>
        <w:t> </w:t>
      </w:r>
      <w:r>
        <w:rPr/>
        <w:t>Audit</w:t>
      </w:r>
      <w:r>
        <w:rPr>
          <w:spacing w:val="-1"/>
        </w:rPr>
        <w:t> </w:t>
      </w:r>
      <w:r>
        <w:rPr>
          <w:spacing w:val="-2"/>
        </w:rPr>
        <w:t>Report</w:t>
      </w:r>
    </w:p>
    <w:p>
      <w:pPr>
        <w:pStyle w:val="BodyText"/>
        <w:rPr>
          <w:sz w:val="20"/>
        </w:rPr>
      </w:pPr>
      <w:r>
        <w:rPr/>
        <w:pict>
          <v:shape style="position:absolute;margin-left:27.6pt;margin-top:13.355979pt;width:532.450pt;height:1.45pt;mso-position-horizontal-relative:page;mso-position-vertical-relative:paragraph;z-index:-15668736;mso-wrap-distance-left:0;mso-wrap-distance-right:0" id="docshape230" coordorigin="552,267" coordsize="10649,29" path="m11200,267l5943,267,5929,267,5915,267,552,267,552,296,5915,296,5929,296,5943,296,11200,296,11200,267xe" filled="true" fillcolor="#000000" stroked="false">
            <v:path arrowok="t"/>
            <v:fill type="solid"/>
            <w10:wrap type="topAndBottom"/>
          </v:shape>
        </w:pict>
      </w:r>
    </w:p>
    <w:p>
      <w:pPr>
        <w:pStyle w:val="BodyText"/>
        <w:spacing w:before="11"/>
        <w:rPr>
          <w:sz w:val="19"/>
        </w:rPr>
      </w:pPr>
    </w:p>
    <w:p>
      <w:pPr>
        <w:pStyle w:val="BodyText"/>
        <w:spacing w:before="100"/>
        <w:ind w:left="566"/>
      </w:pPr>
      <w:r>
        <w:rPr>
          <w:color w:val="3C5A8B"/>
          <w:spacing w:val="-2"/>
        </w:rPr>
        <w:t>Conclusion:</w:t>
      </w:r>
    </w:p>
    <w:p>
      <w:pPr>
        <w:pStyle w:val="ListParagraph"/>
        <w:numPr>
          <w:ilvl w:val="1"/>
          <w:numId w:val="23"/>
        </w:numPr>
        <w:tabs>
          <w:tab w:pos="1275" w:val="left" w:leader="none"/>
        </w:tabs>
        <w:spacing w:line="240" w:lineRule="auto" w:before="119" w:after="0"/>
        <w:ind w:left="1274" w:right="703" w:hanging="708"/>
        <w:jc w:val="both"/>
        <w:rPr>
          <w:sz w:val="24"/>
        </w:rPr>
      </w:pPr>
      <w:r>
        <w:rPr>
          <w:sz w:val="24"/>
        </w:rPr>
        <w:t>Controls for additions/amendments to the supplier masterfile have been significantly enhanced albeit not documented, and an isolated instance of non- compliance</w:t>
      </w:r>
      <w:r>
        <w:rPr>
          <w:spacing w:val="-12"/>
          <w:sz w:val="24"/>
        </w:rPr>
        <w:t> </w:t>
      </w:r>
      <w:r>
        <w:rPr>
          <w:sz w:val="24"/>
        </w:rPr>
        <w:t>with</w:t>
      </w:r>
      <w:r>
        <w:rPr>
          <w:spacing w:val="-12"/>
          <w:sz w:val="24"/>
        </w:rPr>
        <w:t> </w:t>
      </w:r>
      <w:r>
        <w:rPr>
          <w:sz w:val="24"/>
        </w:rPr>
        <w:t>independent</w:t>
      </w:r>
      <w:r>
        <w:rPr>
          <w:spacing w:val="-14"/>
          <w:sz w:val="24"/>
        </w:rPr>
        <w:t> </w:t>
      </w:r>
      <w:r>
        <w:rPr>
          <w:sz w:val="24"/>
        </w:rPr>
        <w:t>review/approval</w:t>
      </w:r>
      <w:r>
        <w:rPr>
          <w:spacing w:val="-15"/>
          <w:sz w:val="24"/>
        </w:rPr>
        <w:t> </w:t>
      </w:r>
      <w:r>
        <w:rPr>
          <w:sz w:val="24"/>
        </w:rPr>
        <w:t>requirements</w:t>
      </w:r>
      <w:r>
        <w:rPr>
          <w:spacing w:val="-12"/>
          <w:sz w:val="24"/>
        </w:rPr>
        <w:t> </w:t>
      </w:r>
      <w:r>
        <w:rPr>
          <w:sz w:val="24"/>
        </w:rPr>
        <w:t>for</w:t>
      </w:r>
      <w:r>
        <w:rPr>
          <w:spacing w:val="-13"/>
          <w:sz w:val="24"/>
        </w:rPr>
        <w:t> </w:t>
      </w:r>
      <w:r>
        <w:rPr>
          <w:sz w:val="24"/>
        </w:rPr>
        <w:t>bank</w:t>
      </w:r>
      <w:r>
        <w:rPr>
          <w:spacing w:val="-14"/>
          <w:sz w:val="24"/>
        </w:rPr>
        <w:t> </w:t>
      </w:r>
      <w:r>
        <w:rPr>
          <w:sz w:val="24"/>
        </w:rPr>
        <w:t>amendments was identified (as detailed at paragraph 2.7). Nevertheless, sample testing confirmed all additions/amendments reviewed had been promptly and accurately processed.</w:t>
      </w:r>
      <w:r>
        <w:rPr>
          <w:spacing w:val="-19"/>
          <w:sz w:val="24"/>
        </w:rPr>
        <w:t> </w:t>
      </w:r>
      <w:r>
        <w:rPr>
          <w:sz w:val="24"/>
        </w:rPr>
        <w:t>We</w:t>
      </w:r>
      <w:r>
        <w:rPr>
          <w:spacing w:val="-17"/>
          <w:sz w:val="24"/>
        </w:rPr>
        <w:t> </w:t>
      </w:r>
      <w:r>
        <w:rPr>
          <w:sz w:val="24"/>
        </w:rPr>
        <w:t>have</w:t>
      </w:r>
      <w:r>
        <w:rPr>
          <w:spacing w:val="-17"/>
          <w:sz w:val="24"/>
        </w:rPr>
        <w:t> </w:t>
      </w:r>
      <w:r>
        <w:rPr>
          <w:sz w:val="24"/>
        </w:rPr>
        <w:t>therefore</w:t>
      </w:r>
      <w:r>
        <w:rPr>
          <w:spacing w:val="-17"/>
          <w:sz w:val="24"/>
        </w:rPr>
        <w:t> </w:t>
      </w:r>
      <w:r>
        <w:rPr>
          <w:sz w:val="24"/>
        </w:rPr>
        <w:t>concluded</w:t>
      </w:r>
      <w:r>
        <w:rPr>
          <w:spacing w:val="-16"/>
          <w:sz w:val="24"/>
        </w:rPr>
        <w:t> </w:t>
      </w:r>
      <w:r>
        <w:rPr>
          <w:b/>
          <w:sz w:val="24"/>
        </w:rPr>
        <w:t>Reasonable</w:t>
      </w:r>
      <w:r>
        <w:rPr>
          <w:b/>
          <w:spacing w:val="-16"/>
          <w:sz w:val="24"/>
        </w:rPr>
        <w:t> </w:t>
      </w:r>
      <w:r>
        <w:rPr>
          <w:sz w:val="24"/>
        </w:rPr>
        <w:t>assurance</w:t>
      </w:r>
      <w:r>
        <w:rPr>
          <w:spacing w:val="-18"/>
          <w:sz w:val="24"/>
        </w:rPr>
        <w:t> </w:t>
      </w:r>
      <w:r>
        <w:rPr>
          <w:sz w:val="24"/>
        </w:rPr>
        <w:t>for</w:t>
      </w:r>
      <w:r>
        <w:rPr>
          <w:spacing w:val="-17"/>
          <w:sz w:val="24"/>
        </w:rPr>
        <w:t> </w:t>
      </w:r>
      <w:r>
        <w:rPr>
          <w:sz w:val="24"/>
        </w:rPr>
        <w:t>this</w:t>
      </w:r>
      <w:r>
        <w:rPr>
          <w:spacing w:val="-19"/>
          <w:sz w:val="24"/>
        </w:rPr>
        <w:t> </w:t>
      </w:r>
      <w:r>
        <w:rPr>
          <w:sz w:val="24"/>
        </w:rPr>
        <w:t>objective.</w:t>
      </w:r>
    </w:p>
    <w:p>
      <w:pPr>
        <w:spacing w:line="259" w:lineRule="auto" w:before="242"/>
        <w:ind w:left="566" w:right="708" w:firstLine="0"/>
        <w:jc w:val="both"/>
        <w:rPr>
          <w:b/>
          <w:sz w:val="24"/>
        </w:rPr>
      </w:pPr>
      <w:r>
        <w:rPr>
          <w:b/>
          <w:color w:val="3C5A8B"/>
          <w:sz w:val="24"/>
        </w:rPr>
        <w:t>Objective 2: Invoices are supported by a purchase order (PO) in line with the No PO No Pay Policy and systems ensure that invoice values paid are in accordance with agreed prices</w:t>
      </w:r>
    </w:p>
    <w:p>
      <w:pPr>
        <w:pStyle w:val="ListParagraph"/>
        <w:numPr>
          <w:ilvl w:val="1"/>
          <w:numId w:val="23"/>
        </w:numPr>
        <w:tabs>
          <w:tab w:pos="1275" w:val="left" w:leader="none"/>
        </w:tabs>
        <w:spacing w:line="240" w:lineRule="auto" w:before="118" w:after="0"/>
        <w:ind w:left="1274" w:right="706" w:hanging="708"/>
        <w:jc w:val="both"/>
        <w:rPr>
          <w:sz w:val="24"/>
        </w:rPr>
      </w:pPr>
      <w:r>
        <w:rPr>
          <w:sz w:val="24"/>
        </w:rPr>
        <w:t>Invoice</w:t>
      </w:r>
      <w:r>
        <w:rPr>
          <w:spacing w:val="-18"/>
          <w:sz w:val="24"/>
        </w:rPr>
        <w:t> </w:t>
      </w:r>
      <w:r>
        <w:rPr>
          <w:sz w:val="24"/>
        </w:rPr>
        <w:t>matching</w:t>
      </w:r>
      <w:r>
        <w:rPr>
          <w:spacing w:val="-19"/>
          <w:sz w:val="24"/>
        </w:rPr>
        <w:t> </w:t>
      </w:r>
      <w:r>
        <w:rPr>
          <w:sz w:val="24"/>
        </w:rPr>
        <w:t>arrangements</w:t>
      </w:r>
      <w:r>
        <w:rPr>
          <w:spacing w:val="-19"/>
          <w:sz w:val="24"/>
        </w:rPr>
        <w:t> </w:t>
      </w:r>
      <w:r>
        <w:rPr>
          <w:sz w:val="24"/>
        </w:rPr>
        <w:t>are</w:t>
      </w:r>
      <w:r>
        <w:rPr>
          <w:spacing w:val="-17"/>
          <w:sz w:val="24"/>
        </w:rPr>
        <w:t> </w:t>
      </w:r>
      <w:r>
        <w:rPr>
          <w:sz w:val="24"/>
        </w:rPr>
        <w:t>determined</w:t>
      </w:r>
      <w:r>
        <w:rPr>
          <w:spacing w:val="-19"/>
          <w:sz w:val="24"/>
        </w:rPr>
        <w:t> </w:t>
      </w:r>
      <w:r>
        <w:rPr>
          <w:sz w:val="24"/>
        </w:rPr>
        <w:t>at</w:t>
      </w:r>
      <w:r>
        <w:rPr>
          <w:spacing w:val="-19"/>
          <w:sz w:val="24"/>
        </w:rPr>
        <w:t> </w:t>
      </w:r>
      <w:r>
        <w:rPr>
          <w:sz w:val="24"/>
        </w:rPr>
        <w:t>supplier</w:t>
      </w:r>
      <w:r>
        <w:rPr>
          <w:spacing w:val="-17"/>
          <w:sz w:val="24"/>
        </w:rPr>
        <w:t> </w:t>
      </w:r>
      <w:r>
        <w:rPr>
          <w:sz w:val="24"/>
        </w:rPr>
        <w:t>set-up,</w:t>
      </w:r>
      <w:r>
        <w:rPr>
          <w:spacing w:val="-17"/>
          <w:sz w:val="24"/>
        </w:rPr>
        <w:t> </w:t>
      </w:r>
      <w:r>
        <w:rPr>
          <w:sz w:val="24"/>
        </w:rPr>
        <w:t>with</w:t>
      </w:r>
      <w:r>
        <w:rPr>
          <w:spacing w:val="-19"/>
          <w:sz w:val="24"/>
        </w:rPr>
        <w:t> </w:t>
      </w:r>
      <w:r>
        <w:rPr>
          <w:sz w:val="24"/>
        </w:rPr>
        <w:t>the</w:t>
      </w:r>
      <w:r>
        <w:rPr>
          <w:spacing w:val="-17"/>
          <w:sz w:val="24"/>
        </w:rPr>
        <w:t> </w:t>
      </w:r>
      <w:r>
        <w:rPr>
          <w:sz w:val="24"/>
        </w:rPr>
        <w:t>default setting</w:t>
      </w:r>
      <w:r>
        <w:rPr>
          <w:spacing w:val="-13"/>
          <w:sz w:val="24"/>
        </w:rPr>
        <w:t> </w:t>
      </w:r>
      <w:r>
        <w:rPr>
          <w:sz w:val="24"/>
        </w:rPr>
        <w:t>requiring</w:t>
      </w:r>
      <w:r>
        <w:rPr>
          <w:spacing w:val="-13"/>
          <w:sz w:val="24"/>
        </w:rPr>
        <w:t> </w:t>
      </w:r>
      <w:r>
        <w:rPr>
          <w:sz w:val="24"/>
        </w:rPr>
        <w:t>a</w:t>
      </w:r>
      <w:r>
        <w:rPr>
          <w:spacing w:val="-13"/>
          <w:sz w:val="24"/>
        </w:rPr>
        <w:t> </w:t>
      </w:r>
      <w:r>
        <w:rPr>
          <w:sz w:val="24"/>
        </w:rPr>
        <w:t>3-way</w:t>
      </w:r>
      <w:r>
        <w:rPr>
          <w:spacing w:val="-13"/>
          <w:sz w:val="24"/>
        </w:rPr>
        <w:t> </w:t>
      </w:r>
      <w:r>
        <w:rPr>
          <w:sz w:val="24"/>
        </w:rPr>
        <w:t>match</w:t>
      </w:r>
      <w:r>
        <w:rPr>
          <w:spacing w:val="-13"/>
          <w:sz w:val="24"/>
        </w:rPr>
        <w:t> </w:t>
      </w:r>
      <w:r>
        <w:rPr>
          <w:sz w:val="24"/>
        </w:rPr>
        <w:t>between</w:t>
      </w:r>
      <w:r>
        <w:rPr>
          <w:spacing w:val="-13"/>
          <w:sz w:val="24"/>
        </w:rPr>
        <w:t> </w:t>
      </w:r>
      <w:r>
        <w:rPr>
          <w:sz w:val="24"/>
        </w:rPr>
        <w:t>the</w:t>
      </w:r>
      <w:r>
        <w:rPr>
          <w:spacing w:val="-12"/>
          <w:sz w:val="24"/>
        </w:rPr>
        <w:t> </w:t>
      </w:r>
      <w:r>
        <w:rPr>
          <w:sz w:val="24"/>
        </w:rPr>
        <w:t>invoice,</w:t>
      </w:r>
      <w:r>
        <w:rPr>
          <w:spacing w:val="-13"/>
          <w:sz w:val="24"/>
        </w:rPr>
        <w:t> </w:t>
      </w:r>
      <w:r>
        <w:rPr>
          <w:sz w:val="24"/>
        </w:rPr>
        <w:t>PO</w:t>
      </w:r>
      <w:r>
        <w:rPr>
          <w:spacing w:val="-12"/>
          <w:sz w:val="24"/>
        </w:rPr>
        <w:t> </w:t>
      </w:r>
      <w:r>
        <w:rPr>
          <w:sz w:val="24"/>
        </w:rPr>
        <w:t>and</w:t>
      </w:r>
      <w:r>
        <w:rPr>
          <w:spacing w:val="-13"/>
          <w:sz w:val="24"/>
        </w:rPr>
        <w:t> </w:t>
      </w:r>
      <w:r>
        <w:rPr>
          <w:sz w:val="24"/>
        </w:rPr>
        <w:t>order</w:t>
      </w:r>
      <w:r>
        <w:rPr>
          <w:spacing w:val="-12"/>
          <w:sz w:val="24"/>
        </w:rPr>
        <w:t> </w:t>
      </w:r>
      <w:r>
        <w:rPr>
          <w:sz w:val="24"/>
        </w:rPr>
        <w:t>receipt.</w:t>
      </w:r>
      <w:r>
        <w:rPr>
          <w:spacing w:val="-13"/>
          <w:sz w:val="24"/>
        </w:rPr>
        <w:t> </w:t>
      </w:r>
      <w:r>
        <w:rPr>
          <w:sz w:val="24"/>
        </w:rPr>
        <w:t>If</w:t>
      </w:r>
      <w:r>
        <w:rPr>
          <w:spacing w:val="-11"/>
          <w:sz w:val="24"/>
        </w:rPr>
        <w:t> </w:t>
      </w:r>
      <w:r>
        <w:rPr>
          <w:sz w:val="24"/>
        </w:rPr>
        <w:t>a</w:t>
      </w:r>
      <w:r>
        <w:rPr>
          <w:spacing w:val="-10"/>
          <w:sz w:val="24"/>
        </w:rPr>
        <w:t> </w:t>
      </w:r>
      <w:r>
        <w:rPr>
          <w:sz w:val="24"/>
        </w:rPr>
        <w:t>PO invoice does not fully match the PO details (within agreed tolerances) or has not been</w:t>
      </w:r>
      <w:r>
        <w:rPr>
          <w:spacing w:val="-4"/>
          <w:sz w:val="24"/>
        </w:rPr>
        <w:t> </w:t>
      </w:r>
      <w:r>
        <w:rPr>
          <w:sz w:val="24"/>
        </w:rPr>
        <w:t>receipted</w:t>
      </w:r>
      <w:r>
        <w:rPr>
          <w:spacing w:val="-4"/>
          <w:sz w:val="24"/>
        </w:rPr>
        <w:t> </w:t>
      </w:r>
      <w:r>
        <w:rPr>
          <w:sz w:val="24"/>
        </w:rPr>
        <w:t>on</w:t>
      </w:r>
      <w:r>
        <w:rPr>
          <w:spacing w:val="-4"/>
          <w:sz w:val="24"/>
        </w:rPr>
        <w:t> </w:t>
      </w:r>
      <w:r>
        <w:rPr>
          <w:sz w:val="24"/>
        </w:rPr>
        <w:t>Oracle</w:t>
      </w:r>
      <w:r>
        <w:rPr>
          <w:spacing w:val="-3"/>
          <w:sz w:val="24"/>
        </w:rPr>
        <w:t> </w:t>
      </w:r>
      <w:r>
        <w:rPr>
          <w:sz w:val="24"/>
        </w:rPr>
        <w:t>it</w:t>
      </w:r>
      <w:r>
        <w:rPr>
          <w:spacing w:val="-4"/>
          <w:sz w:val="24"/>
        </w:rPr>
        <w:t> </w:t>
      </w:r>
      <w:r>
        <w:rPr>
          <w:sz w:val="24"/>
        </w:rPr>
        <w:t>is</w:t>
      </w:r>
      <w:r>
        <w:rPr>
          <w:spacing w:val="-4"/>
          <w:sz w:val="24"/>
        </w:rPr>
        <w:t> </w:t>
      </w:r>
      <w:r>
        <w:rPr>
          <w:sz w:val="24"/>
        </w:rPr>
        <w:t>automatically</w:t>
      </w:r>
      <w:r>
        <w:rPr>
          <w:spacing w:val="-4"/>
          <w:sz w:val="24"/>
        </w:rPr>
        <w:t> </w:t>
      </w:r>
      <w:r>
        <w:rPr>
          <w:sz w:val="24"/>
        </w:rPr>
        <w:t>placed</w:t>
      </w:r>
      <w:r>
        <w:rPr>
          <w:spacing w:val="-3"/>
          <w:sz w:val="24"/>
        </w:rPr>
        <w:t> </w:t>
      </w:r>
      <w:r>
        <w:rPr>
          <w:sz w:val="24"/>
        </w:rPr>
        <w:t>on</w:t>
      </w:r>
      <w:r>
        <w:rPr>
          <w:spacing w:val="-4"/>
          <w:sz w:val="24"/>
        </w:rPr>
        <w:t> </w:t>
      </w:r>
      <w:r>
        <w:rPr>
          <w:sz w:val="24"/>
        </w:rPr>
        <w:t>hold</w:t>
      </w:r>
      <w:r>
        <w:rPr>
          <w:spacing w:val="-2"/>
          <w:sz w:val="24"/>
        </w:rPr>
        <w:t> </w:t>
      </w:r>
      <w:r>
        <w:rPr>
          <w:sz w:val="24"/>
        </w:rPr>
        <w:t>by</w:t>
      </w:r>
      <w:r>
        <w:rPr>
          <w:spacing w:val="-4"/>
          <w:sz w:val="24"/>
        </w:rPr>
        <w:t> </w:t>
      </w:r>
      <w:r>
        <w:rPr>
          <w:sz w:val="24"/>
        </w:rPr>
        <w:t>the</w:t>
      </w:r>
      <w:r>
        <w:rPr>
          <w:spacing w:val="-3"/>
          <w:sz w:val="24"/>
        </w:rPr>
        <w:t> </w:t>
      </w:r>
      <w:r>
        <w:rPr>
          <w:sz w:val="24"/>
        </w:rPr>
        <w:t>system.</w:t>
      </w:r>
      <w:r>
        <w:rPr>
          <w:spacing w:val="-4"/>
          <w:sz w:val="24"/>
        </w:rPr>
        <w:t> </w:t>
      </w:r>
      <w:r>
        <w:rPr>
          <w:sz w:val="24"/>
        </w:rPr>
        <w:t>Invoice matching tolerances are set within Oracle and are generally standardised for all NHS Wales organisations.</w:t>
      </w:r>
    </w:p>
    <w:p>
      <w:pPr>
        <w:pStyle w:val="ListParagraph"/>
        <w:numPr>
          <w:ilvl w:val="1"/>
          <w:numId w:val="23"/>
        </w:numPr>
        <w:tabs>
          <w:tab w:pos="1275" w:val="left" w:leader="none"/>
        </w:tabs>
        <w:spacing w:line="240" w:lineRule="auto" w:before="120" w:after="0"/>
        <w:ind w:left="1274" w:right="705" w:hanging="708"/>
        <w:jc w:val="both"/>
        <w:rPr>
          <w:sz w:val="24"/>
        </w:rPr>
      </w:pPr>
      <w:r>
        <w:rPr>
          <w:sz w:val="24"/>
        </w:rPr>
        <w:t>In line with the all-Wales No PO No Pay Policy, invoices without a purchase order (PO)</w:t>
      </w:r>
      <w:r>
        <w:rPr>
          <w:spacing w:val="-3"/>
          <w:sz w:val="24"/>
        </w:rPr>
        <w:t> </w:t>
      </w:r>
      <w:r>
        <w:rPr>
          <w:sz w:val="24"/>
        </w:rPr>
        <w:t>that</w:t>
      </w:r>
      <w:r>
        <w:rPr>
          <w:spacing w:val="-3"/>
          <w:sz w:val="24"/>
        </w:rPr>
        <w:t> </w:t>
      </w:r>
      <w:r>
        <w:rPr>
          <w:sz w:val="24"/>
        </w:rPr>
        <w:t>are</w:t>
      </w:r>
      <w:r>
        <w:rPr>
          <w:spacing w:val="-2"/>
          <w:sz w:val="24"/>
        </w:rPr>
        <w:t> </w:t>
      </w:r>
      <w:r>
        <w:rPr>
          <w:sz w:val="24"/>
        </w:rPr>
        <w:t>not</w:t>
      </w:r>
      <w:r>
        <w:rPr>
          <w:spacing w:val="-3"/>
          <w:sz w:val="24"/>
        </w:rPr>
        <w:t> </w:t>
      </w:r>
      <w:r>
        <w:rPr>
          <w:sz w:val="24"/>
        </w:rPr>
        <w:t>on</w:t>
      </w:r>
      <w:r>
        <w:rPr>
          <w:spacing w:val="-1"/>
          <w:sz w:val="24"/>
        </w:rPr>
        <w:t> </w:t>
      </w:r>
      <w:r>
        <w:rPr>
          <w:sz w:val="24"/>
        </w:rPr>
        <w:t>the</w:t>
      </w:r>
      <w:r>
        <w:rPr>
          <w:spacing w:val="-2"/>
          <w:sz w:val="24"/>
        </w:rPr>
        <w:t> </w:t>
      </w:r>
      <w:r>
        <w:rPr>
          <w:sz w:val="24"/>
        </w:rPr>
        <w:t>agreed</w:t>
      </w:r>
      <w:r>
        <w:rPr>
          <w:spacing w:val="-3"/>
          <w:sz w:val="24"/>
        </w:rPr>
        <w:t> </w:t>
      </w:r>
      <w:r>
        <w:rPr>
          <w:sz w:val="24"/>
        </w:rPr>
        <w:t>all-Wales</w:t>
      </w:r>
      <w:r>
        <w:rPr>
          <w:spacing w:val="-2"/>
          <w:sz w:val="24"/>
        </w:rPr>
        <w:t> </w:t>
      </w:r>
      <w:r>
        <w:rPr>
          <w:sz w:val="24"/>
        </w:rPr>
        <w:t>exceptions</w:t>
      </w:r>
      <w:r>
        <w:rPr>
          <w:spacing w:val="-3"/>
          <w:sz w:val="24"/>
        </w:rPr>
        <w:t> </w:t>
      </w:r>
      <w:r>
        <w:rPr>
          <w:sz w:val="24"/>
        </w:rPr>
        <w:t>list</w:t>
      </w:r>
      <w:r>
        <w:rPr>
          <w:spacing w:val="-2"/>
          <w:sz w:val="24"/>
        </w:rPr>
        <w:t> </w:t>
      </w:r>
      <w:r>
        <w:rPr>
          <w:sz w:val="24"/>
        </w:rPr>
        <w:t>should</w:t>
      </w:r>
      <w:r>
        <w:rPr>
          <w:spacing w:val="-4"/>
          <w:sz w:val="24"/>
        </w:rPr>
        <w:t> </w:t>
      </w:r>
      <w:r>
        <w:rPr>
          <w:sz w:val="24"/>
        </w:rPr>
        <w:t>be</w:t>
      </w:r>
      <w:r>
        <w:rPr>
          <w:spacing w:val="-2"/>
          <w:sz w:val="24"/>
        </w:rPr>
        <w:t> </w:t>
      </w:r>
      <w:r>
        <w:rPr>
          <w:sz w:val="24"/>
        </w:rPr>
        <w:t>placed</w:t>
      </w:r>
      <w:r>
        <w:rPr>
          <w:spacing w:val="-2"/>
          <w:sz w:val="24"/>
        </w:rPr>
        <w:t> </w:t>
      </w:r>
      <w:r>
        <w:rPr>
          <w:sz w:val="24"/>
        </w:rPr>
        <w:t>on</w:t>
      </w:r>
      <w:r>
        <w:rPr>
          <w:spacing w:val="-3"/>
          <w:sz w:val="24"/>
        </w:rPr>
        <w:t> </w:t>
      </w:r>
      <w:r>
        <w:rPr>
          <w:sz w:val="24"/>
        </w:rPr>
        <w:t>hold and</w:t>
      </w:r>
      <w:r>
        <w:rPr>
          <w:spacing w:val="-5"/>
          <w:sz w:val="24"/>
        </w:rPr>
        <w:t> </w:t>
      </w:r>
      <w:r>
        <w:rPr>
          <w:sz w:val="24"/>
        </w:rPr>
        <w:t>payment</w:t>
      </w:r>
      <w:r>
        <w:rPr>
          <w:spacing w:val="-5"/>
          <w:sz w:val="24"/>
        </w:rPr>
        <w:t> </w:t>
      </w:r>
      <w:r>
        <w:rPr>
          <w:sz w:val="24"/>
        </w:rPr>
        <w:t>withheld</w:t>
      </w:r>
      <w:r>
        <w:rPr>
          <w:spacing w:val="-6"/>
          <w:sz w:val="24"/>
        </w:rPr>
        <w:t> </w:t>
      </w:r>
      <w:r>
        <w:rPr>
          <w:sz w:val="24"/>
        </w:rPr>
        <w:t>until</w:t>
      </w:r>
      <w:r>
        <w:rPr>
          <w:spacing w:val="-6"/>
          <w:sz w:val="24"/>
        </w:rPr>
        <w:t> </w:t>
      </w:r>
      <w:r>
        <w:rPr>
          <w:sz w:val="24"/>
        </w:rPr>
        <w:t>the</w:t>
      </w:r>
      <w:r>
        <w:rPr>
          <w:spacing w:val="-4"/>
          <w:sz w:val="24"/>
        </w:rPr>
        <w:t> </w:t>
      </w:r>
      <w:r>
        <w:rPr>
          <w:sz w:val="24"/>
        </w:rPr>
        <w:t>supplier</w:t>
      </w:r>
      <w:r>
        <w:rPr>
          <w:spacing w:val="-3"/>
          <w:sz w:val="24"/>
        </w:rPr>
        <w:t> </w:t>
      </w:r>
      <w:r>
        <w:rPr>
          <w:sz w:val="24"/>
        </w:rPr>
        <w:t>provides</w:t>
      </w:r>
      <w:r>
        <w:rPr>
          <w:spacing w:val="-5"/>
          <w:sz w:val="24"/>
        </w:rPr>
        <w:t> </w:t>
      </w:r>
      <w:r>
        <w:rPr>
          <w:sz w:val="24"/>
        </w:rPr>
        <w:t>a</w:t>
      </w:r>
      <w:r>
        <w:rPr>
          <w:spacing w:val="-4"/>
          <w:sz w:val="24"/>
        </w:rPr>
        <w:t> </w:t>
      </w:r>
      <w:r>
        <w:rPr>
          <w:sz w:val="24"/>
        </w:rPr>
        <w:t>valid</w:t>
      </w:r>
      <w:r>
        <w:rPr>
          <w:spacing w:val="-2"/>
          <w:sz w:val="24"/>
        </w:rPr>
        <w:t> </w:t>
      </w:r>
      <w:r>
        <w:rPr>
          <w:sz w:val="24"/>
        </w:rPr>
        <w:t>PO</w:t>
      </w:r>
      <w:r>
        <w:rPr>
          <w:spacing w:val="-4"/>
          <w:sz w:val="24"/>
        </w:rPr>
        <w:t> </w:t>
      </w:r>
      <w:r>
        <w:rPr>
          <w:sz w:val="24"/>
        </w:rPr>
        <w:t>number.</w:t>
      </w:r>
      <w:r>
        <w:rPr>
          <w:spacing w:val="-6"/>
          <w:sz w:val="24"/>
        </w:rPr>
        <w:t> </w:t>
      </w:r>
      <w:r>
        <w:rPr>
          <w:sz w:val="24"/>
        </w:rPr>
        <w:t>Performance data for November 2022 reported No PO No Pay holds continues to remain high, with a new initiative currently being explored utilising retrospective PO data to identify which cost centres are contributing to this.</w:t>
      </w:r>
    </w:p>
    <w:p>
      <w:pPr>
        <w:pStyle w:val="ListParagraph"/>
        <w:numPr>
          <w:ilvl w:val="1"/>
          <w:numId w:val="23"/>
        </w:numPr>
        <w:tabs>
          <w:tab w:pos="1275" w:val="left" w:leader="none"/>
        </w:tabs>
        <w:spacing w:line="240" w:lineRule="auto" w:before="120" w:after="0"/>
        <w:ind w:left="1274" w:right="703" w:hanging="708"/>
        <w:jc w:val="both"/>
        <w:rPr>
          <w:sz w:val="24"/>
        </w:rPr>
      </w:pPr>
      <w:r>
        <w:rPr>
          <w:sz w:val="24"/>
        </w:rPr>
        <w:t>Whilst</w:t>
      </w:r>
      <w:r>
        <w:rPr>
          <w:spacing w:val="-4"/>
          <w:sz w:val="24"/>
        </w:rPr>
        <w:t> </w:t>
      </w:r>
      <w:r>
        <w:rPr>
          <w:sz w:val="24"/>
        </w:rPr>
        <w:t>the</w:t>
      </w:r>
      <w:r>
        <w:rPr>
          <w:spacing w:val="-2"/>
          <w:sz w:val="24"/>
        </w:rPr>
        <w:t> </w:t>
      </w:r>
      <w:r>
        <w:rPr>
          <w:sz w:val="24"/>
        </w:rPr>
        <w:t>volume</w:t>
      </w:r>
      <w:r>
        <w:rPr>
          <w:spacing w:val="-3"/>
          <w:sz w:val="24"/>
        </w:rPr>
        <w:t> </w:t>
      </w:r>
      <w:r>
        <w:rPr>
          <w:sz w:val="24"/>
        </w:rPr>
        <w:t>of</w:t>
      </w:r>
      <w:r>
        <w:rPr>
          <w:spacing w:val="-4"/>
          <w:sz w:val="24"/>
        </w:rPr>
        <w:t> </w:t>
      </w:r>
      <w:r>
        <w:rPr>
          <w:sz w:val="24"/>
        </w:rPr>
        <w:t>No</w:t>
      </w:r>
      <w:r>
        <w:rPr>
          <w:spacing w:val="-2"/>
          <w:sz w:val="24"/>
        </w:rPr>
        <w:t> </w:t>
      </w:r>
      <w:r>
        <w:rPr>
          <w:sz w:val="24"/>
        </w:rPr>
        <w:t>PO</w:t>
      </w:r>
      <w:r>
        <w:rPr>
          <w:spacing w:val="-3"/>
          <w:sz w:val="24"/>
        </w:rPr>
        <w:t> </w:t>
      </w:r>
      <w:r>
        <w:rPr>
          <w:sz w:val="24"/>
        </w:rPr>
        <w:t>No</w:t>
      </w:r>
      <w:r>
        <w:rPr>
          <w:spacing w:val="-3"/>
          <w:sz w:val="24"/>
        </w:rPr>
        <w:t> </w:t>
      </w:r>
      <w:r>
        <w:rPr>
          <w:sz w:val="24"/>
        </w:rPr>
        <w:t>Pay</w:t>
      </w:r>
      <w:r>
        <w:rPr>
          <w:spacing w:val="-4"/>
          <w:sz w:val="24"/>
        </w:rPr>
        <w:t> </w:t>
      </w:r>
      <w:r>
        <w:rPr>
          <w:sz w:val="24"/>
        </w:rPr>
        <w:t>holds</w:t>
      </w:r>
      <w:r>
        <w:rPr>
          <w:spacing w:val="-4"/>
          <w:sz w:val="24"/>
        </w:rPr>
        <w:t> </w:t>
      </w:r>
      <w:r>
        <w:rPr>
          <w:sz w:val="24"/>
        </w:rPr>
        <w:t>has</w:t>
      </w:r>
      <w:r>
        <w:rPr>
          <w:spacing w:val="-4"/>
          <w:sz w:val="24"/>
        </w:rPr>
        <w:t> </w:t>
      </w:r>
      <w:r>
        <w:rPr>
          <w:sz w:val="24"/>
        </w:rPr>
        <w:t>reduced</w:t>
      </w:r>
      <w:r>
        <w:rPr>
          <w:spacing w:val="-3"/>
          <w:sz w:val="24"/>
        </w:rPr>
        <w:t> </w:t>
      </w:r>
      <w:r>
        <w:rPr>
          <w:sz w:val="24"/>
        </w:rPr>
        <w:t>since</w:t>
      </w:r>
      <w:r>
        <w:rPr>
          <w:spacing w:val="-1"/>
          <w:sz w:val="24"/>
        </w:rPr>
        <w:t> </w:t>
      </w:r>
      <w:r>
        <w:rPr>
          <w:sz w:val="24"/>
        </w:rPr>
        <w:t>April</w:t>
      </w:r>
      <w:r>
        <w:rPr>
          <w:spacing w:val="-4"/>
          <w:sz w:val="24"/>
        </w:rPr>
        <w:t> </w:t>
      </w:r>
      <w:r>
        <w:rPr>
          <w:sz w:val="24"/>
        </w:rPr>
        <w:t>2021,</w:t>
      </w:r>
      <w:r>
        <w:rPr>
          <w:spacing w:val="-4"/>
          <w:sz w:val="24"/>
        </w:rPr>
        <w:t> </w:t>
      </w:r>
      <w:r>
        <w:rPr>
          <w:sz w:val="24"/>
        </w:rPr>
        <w:t>it</w:t>
      </w:r>
      <w:r>
        <w:rPr>
          <w:spacing w:val="-4"/>
          <w:sz w:val="24"/>
        </w:rPr>
        <w:t> </w:t>
      </w:r>
      <w:r>
        <w:rPr>
          <w:sz w:val="24"/>
        </w:rPr>
        <w:t>remains high with 7,493 invoices on hold as at November 2022. No PO No Pay holds is included on the workplan for the internal NWSSP P2P Group</w:t>
      </w:r>
      <w:r>
        <w:rPr>
          <w:position w:val="8"/>
          <w:sz w:val="16"/>
        </w:rPr>
        <w:t>1</w:t>
      </w:r>
      <w:r>
        <w:rPr>
          <w:sz w:val="24"/>
        </w:rPr>
        <w:t>. Following the All- Wales P2P group meeting in November, a No PO No Pay Communication plan setting</w:t>
      </w:r>
      <w:r>
        <w:rPr>
          <w:spacing w:val="-8"/>
          <w:sz w:val="24"/>
        </w:rPr>
        <w:t> </w:t>
      </w:r>
      <w:r>
        <w:rPr>
          <w:sz w:val="24"/>
        </w:rPr>
        <w:t>out</w:t>
      </w:r>
      <w:r>
        <w:rPr>
          <w:spacing w:val="-5"/>
          <w:sz w:val="24"/>
        </w:rPr>
        <w:t> </w:t>
      </w:r>
      <w:r>
        <w:rPr>
          <w:sz w:val="24"/>
        </w:rPr>
        <w:t>the</w:t>
      </w:r>
      <w:r>
        <w:rPr>
          <w:spacing w:val="-6"/>
          <w:sz w:val="24"/>
        </w:rPr>
        <w:t> </w:t>
      </w:r>
      <w:r>
        <w:rPr>
          <w:sz w:val="24"/>
        </w:rPr>
        <w:t>escalation</w:t>
      </w:r>
      <w:r>
        <w:rPr>
          <w:spacing w:val="-8"/>
          <w:sz w:val="24"/>
        </w:rPr>
        <w:t> </w:t>
      </w:r>
      <w:r>
        <w:rPr>
          <w:sz w:val="24"/>
        </w:rPr>
        <w:t>arrangements</w:t>
      </w:r>
      <w:r>
        <w:rPr>
          <w:spacing w:val="-1"/>
          <w:sz w:val="24"/>
        </w:rPr>
        <w:t> </w:t>
      </w:r>
      <w:r>
        <w:rPr>
          <w:sz w:val="24"/>
        </w:rPr>
        <w:t>for</w:t>
      </w:r>
      <w:r>
        <w:rPr>
          <w:spacing w:val="-6"/>
          <w:sz w:val="24"/>
        </w:rPr>
        <w:t> </w:t>
      </w:r>
      <w:r>
        <w:rPr>
          <w:sz w:val="24"/>
        </w:rPr>
        <w:t>non-compliance</w:t>
      </w:r>
      <w:r>
        <w:rPr>
          <w:spacing w:val="-5"/>
          <w:sz w:val="24"/>
        </w:rPr>
        <w:t> </w:t>
      </w:r>
      <w:r>
        <w:rPr>
          <w:sz w:val="24"/>
        </w:rPr>
        <w:t>with</w:t>
      </w:r>
      <w:r>
        <w:rPr>
          <w:spacing w:val="-8"/>
          <w:sz w:val="24"/>
        </w:rPr>
        <w:t> </w:t>
      </w:r>
      <w:r>
        <w:rPr>
          <w:sz w:val="24"/>
        </w:rPr>
        <w:t>PO</w:t>
      </w:r>
      <w:r>
        <w:rPr>
          <w:spacing w:val="-7"/>
          <w:sz w:val="24"/>
        </w:rPr>
        <w:t> </w:t>
      </w:r>
      <w:r>
        <w:rPr>
          <w:sz w:val="24"/>
        </w:rPr>
        <w:t>requirements has</w:t>
      </w:r>
      <w:r>
        <w:rPr>
          <w:spacing w:val="-10"/>
          <w:sz w:val="24"/>
        </w:rPr>
        <w:t> </w:t>
      </w:r>
      <w:r>
        <w:rPr>
          <w:sz w:val="24"/>
        </w:rPr>
        <w:t>been</w:t>
      </w:r>
      <w:r>
        <w:rPr>
          <w:spacing w:val="-11"/>
          <w:sz w:val="24"/>
        </w:rPr>
        <w:t> </w:t>
      </w:r>
      <w:r>
        <w:rPr>
          <w:sz w:val="24"/>
        </w:rPr>
        <w:t>circulated</w:t>
      </w:r>
      <w:r>
        <w:rPr>
          <w:spacing w:val="-8"/>
          <w:sz w:val="24"/>
        </w:rPr>
        <w:t> </w:t>
      </w:r>
      <w:r>
        <w:rPr>
          <w:sz w:val="24"/>
        </w:rPr>
        <w:t>to</w:t>
      </w:r>
      <w:r>
        <w:rPr>
          <w:spacing w:val="-10"/>
          <w:sz w:val="24"/>
        </w:rPr>
        <w:t> </w:t>
      </w:r>
      <w:r>
        <w:rPr>
          <w:sz w:val="24"/>
        </w:rPr>
        <w:t>all</w:t>
      </w:r>
      <w:r>
        <w:rPr>
          <w:spacing w:val="-11"/>
          <w:sz w:val="24"/>
        </w:rPr>
        <w:t> </w:t>
      </w:r>
      <w:r>
        <w:rPr>
          <w:sz w:val="24"/>
        </w:rPr>
        <w:t>members</w:t>
      </w:r>
      <w:r>
        <w:rPr>
          <w:spacing w:val="-9"/>
          <w:sz w:val="24"/>
        </w:rPr>
        <w:t> </w:t>
      </w:r>
      <w:r>
        <w:rPr>
          <w:sz w:val="24"/>
        </w:rPr>
        <w:t>for</w:t>
      </w:r>
      <w:r>
        <w:rPr>
          <w:spacing w:val="-9"/>
          <w:sz w:val="24"/>
        </w:rPr>
        <w:t> </w:t>
      </w:r>
      <w:r>
        <w:rPr>
          <w:sz w:val="24"/>
        </w:rPr>
        <w:t>review</w:t>
      </w:r>
      <w:r>
        <w:rPr>
          <w:spacing w:val="-10"/>
          <w:sz w:val="24"/>
        </w:rPr>
        <w:t> </w:t>
      </w:r>
      <w:r>
        <w:rPr>
          <w:sz w:val="24"/>
        </w:rPr>
        <w:t>and</w:t>
      </w:r>
      <w:r>
        <w:rPr>
          <w:spacing w:val="-11"/>
          <w:sz w:val="24"/>
        </w:rPr>
        <w:t> </w:t>
      </w:r>
      <w:r>
        <w:rPr>
          <w:sz w:val="24"/>
        </w:rPr>
        <w:t>feedback</w:t>
      </w:r>
      <w:r>
        <w:rPr>
          <w:spacing w:val="-4"/>
          <w:sz w:val="24"/>
        </w:rPr>
        <w:t> </w:t>
      </w:r>
      <w:r>
        <w:rPr>
          <w:sz w:val="24"/>
        </w:rPr>
        <w:t>at</w:t>
      </w:r>
      <w:r>
        <w:rPr>
          <w:spacing w:val="-11"/>
          <w:sz w:val="24"/>
        </w:rPr>
        <w:t> </w:t>
      </w:r>
      <w:r>
        <w:rPr>
          <w:sz w:val="24"/>
        </w:rPr>
        <w:t>the</w:t>
      </w:r>
      <w:r>
        <w:rPr>
          <w:spacing w:val="-9"/>
          <w:sz w:val="24"/>
        </w:rPr>
        <w:t> </w:t>
      </w:r>
      <w:r>
        <w:rPr>
          <w:sz w:val="24"/>
        </w:rPr>
        <w:t>next</w:t>
      </w:r>
      <w:r>
        <w:rPr>
          <w:spacing w:val="-9"/>
          <w:sz w:val="24"/>
        </w:rPr>
        <w:t> </w:t>
      </w:r>
      <w:r>
        <w:rPr>
          <w:sz w:val="24"/>
        </w:rPr>
        <w:t>meeting</w:t>
      </w:r>
      <w:r>
        <w:rPr>
          <w:spacing w:val="-8"/>
          <w:sz w:val="24"/>
        </w:rPr>
        <w:t> </w:t>
      </w:r>
      <w:r>
        <w:rPr>
          <w:sz w:val="24"/>
        </w:rPr>
        <w:t>in January 2023.</w:t>
      </w:r>
    </w:p>
    <w:p>
      <w:pPr>
        <w:pStyle w:val="ListParagraph"/>
        <w:numPr>
          <w:ilvl w:val="1"/>
          <w:numId w:val="23"/>
        </w:numPr>
        <w:tabs>
          <w:tab w:pos="1275" w:val="left" w:leader="none"/>
        </w:tabs>
        <w:spacing w:line="240" w:lineRule="auto" w:before="121" w:after="0"/>
        <w:ind w:left="1274" w:right="704" w:hanging="708"/>
        <w:jc w:val="both"/>
        <w:rPr>
          <w:sz w:val="24"/>
        </w:rPr>
      </w:pPr>
      <w:r>
        <w:rPr>
          <w:sz w:val="24"/>
        </w:rPr>
        <w:t>Sample testing of 110 non-PO invoices identified 17 invoices/payments that were not</w:t>
      </w:r>
      <w:r>
        <w:rPr>
          <w:spacing w:val="-16"/>
          <w:sz w:val="24"/>
        </w:rPr>
        <w:t> </w:t>
      </w:r>
      <w:r>
        <w:rPr>
          <w:sz w:val="24"/>
        </w:rPr>
        <w:t>covered</w:t>
      </w:r>
      <w:r>
        <w:rPr>
          <w:spacing w:val="-16"/>
          <w:sz w:val="24"/>
        </w:rPr>
        <w:t> </w:t>
      </w:r>
      <w:r>
        <w:rPr>
          <w:sz w:val="24"/>
        </w:rPr>
        <w:t>by</w:t>
      </w:r>
      <w:r>
        <w:rPr>
          <w:spacing w:val="-15"/>
          <w:sz w:val="24"/>
        </w:rPr>
        <w:t> </w:t>
      </w:r>
      <w:r>
        <w:rPr>
          <w:sz w:val="24"/>
        </w:rPr>
        <w:t>the</w:t>
      </w:r>
      <w:r>
        <w:rPr>
          <w:spacing w:val="-14"/>
          <w:sz w:val="24"/>
        </w:rPr>
        <w:t> </w:t>
      </w:r>
      <w:r>
        <w:rPr>
          <w:sz w:val="24"/>
        </w:rPr>
        <w:t>exceptions</w:t>
      </w:r>
      <w:r>
        <w:rPr>
          <w:spacing w:val="-13"/>
          <w:sz w:val="24"/>
        </w:rPr>
        <w:t> </w:t>
      </w:r>
      <w:r>
        <w:rPr>
          <w:sz w:val="24"/>
        </w:rPr>
        <w:t>list</w:t>
      </w:r>
      <w:r>
        <w:rPr>
          <w:spacing w:val="-14"/>
          <w:sz w:val="24"/>
        </w:rPr>
        <w:t> </w:t>
      </w:r>
      <w:r>
        <w:rPr>
          <w:sz w:val="24"/>
        </w:rPr>
        <w:t>but</w:t>
      </w:r>
      <w:r>
        <w:rPr>
          <w:spacing w:val="-13"/>
          <w:sz w:val="24"/>
        </w:rPr>
        <w:t> </w:t>
      </w:r>
      <w:r>
        <w:rPr>
          <w:sz w:val="24"/>
        </w:rPr>
        <w:t>had</w:t>
      </w:r>
      <w:r>
        <w:rPr>
          <w:spacing w:val="-16"/>
          <w:sz w:val="24"/>
        </w:rPr>
        <w:t> </w:t>
      </w:r>
      <w:r>
        <w:rPr>
          <w:sz w:val="24"/>
        </w:rPr>
        <w:t>not</w:t>
      </w:r>
      <w:r>
        <w:rPr>
          <w:spacing w:val="-16"/>
          <w:sz w:val="24"/>
        </w:rPr>
        <w:t> </w:t>
      </w:r>
      <w:r>
        <w:rPr>
          <w:sz w:val="24"/>
        </w:rPr>
        <w:t>been</w:t>
      </w:r>
      <w:r>
        <w:rPr>
          <w:spacing w:val="-16"/>
          <w:sz w:val="24"/>
        </w:rPr>
        <w:t> </w:t>
      </w:r>
      <w:r>
        <w:rPr>
          <w:sz w:val="24"/>
        </w:rPr>
        <w:t>placed</w:t>
      </w:r>
      <w:r>
        <w:rPr>
          <w:spacing w:val="-15"/>
          <w:sz w:val="24"/>
        </w:rPr>
        <w:t> </w:t>
      </w:r>
      <w:r>
        <w:rPr>
          <w:sz w:val="24"/>
        </w:rPr>
        <w:t>on</w:t>
      </w:r>
      <w:r>
        <w:rPr>
          <w:spacing w:val="-16"/>
          <w:sz w:val="24"/>
        </w:rPr>
        <w:t> </w:t>
      </w:r>
      <w:r>
        <w:rPr>
          <w:sz w:val="24"/>
        </w:rPr>
        <w:t>hold</w:t>
      </w:r>
      <w:r>
        <w:rPr>
          <w:spacing w:val="-16"/>
          <w:sz w:val="24"/>
        </w:rPr>
        <w:t> </w:t>
      </w:r>
      <w:r>
        <w:rPr>
          <w:sz w:val="24"/>
        </w:rPr>
        <w:t>to</w:t>
      </w:r>
      <w:r>
        <w:rPr>
          <w:spacing w:val="-14"/>
          <w:sz w:val="24"/>
        </w:rPr>
        <w:t> </w:t>
      </w:r>
      <w:r>
        <w:rPr>
          <w:sz w:val="24"/>
        </w:rPr>
        <w:t>obtain</w:t>
      </w:r>
      <w:r>
        <w:rPr>
          <w:spacing w:val="-16"/>
          <w:sz w:val="24"/>
        </w:rPr>
        <w:t> </w:t>
      </w:r>
      <w:r>
        <w:rPr>
          <w:sz w:val="24"/>
        </w:rPr>
        <w:t>a</w:t>
      </w:r>
      <w:r>
        <w:rPr>
          <w:spacing w:val="-15"/>
          <w:sz w:val="24"/>
        </w:rPr>
        <w:t> </w:t>
      </w:r>
      <w:r>
        <w:rPr>
          <w:sz w:val="24"/>
        </w:rPr>
        <w:t>valid PO number. However, based on the invoice description/supplier type we were satisfied</w:t>
      </w:r>
      <w:r>
        <w:rPr>
          <w:spacing w:val="-14"/>
          <w:sz w:val="24"/>
        </w:rPr>
        <w:t> </w:t>
      </w:r>
      <w:r>
        <w:rPr>
          <w:sz w:val="24"/>
        </w:rPr>
        <w:t>that</w:t>
      </w:r>
      <w:r>
        <w:rPr>
          <w:spacing w:val="-15"/>
          <w:sz w:val="24"/>
        </w:rPr>
        <w:t> </w:t>
      </w:r>
      <w:r>
        <w:rPr>
          <w:sz w:val="24"/>
        </w:rPr>
        <w:t>a</w:t>
      </w:r>
      <w:r>
        <w:rPr>
          <w:spacing w:val="-14"/>
          <w:sz w:val="24"/>
        </w:rPr>
        <w:t> </w:t>
      </w:r>
      <w:r>
        <w:rPr>
          <w:sz w:val="24"/>
        </w:rPr>
        <w:t>PO</w:t>
      </w:r>
      <w:r>
        <w:rPr>
          <w:spacing w:val="-11"/>
          <w:sz w:val="24"/>
        </w:rPr>
        <w:t> </w:t>
      </w:r>
      <w:r>
        <w:rPr>
          <w:sz w:val="24"/>
        </w:rPr>
        <w:t>may</w:t>
      </w:r>
      <w:r>
        <w:rPr>
          <w:spacing w:val="-14"/>
          <w:sz w:val="24"/>
        </w:rPr>
        <w:t> </w:t>
      </w:r>
      <w:r>
        <w:rPr>
          <w:sz w:val="24"/>
        </w:rPr>
        <w:t>not</w:t>
      </w:r>
      <w:r>
        <w:rPr>
          <w:spacing w:val="-14"/>
          <w:sz w:val="24"/>
        </w:rPr>
        <w:t> </w:t>
      </w:r>
      <w:r>
        <w:rPr>
          <w:sz w:val="24"/>
        </w:rPr>
        <w:t>be</w:t>
      </w:r>
      <w:r>
        <w:rPr>
          <w:spacing w:val="-13"/>
          <w:sz w:val="24"/>
        </w:rPr>
        <w:t> </w:t>
      </w:r>
      <w:r>
        <w:rPr>
          <w:sz w:val="24"/>
        </w:rPr>
        <w:t>appropriate</w:t>
      </w:r>
      <w:r>
        <w:rPr>
          <w:spacing w:val="-13"/>
          <w:sz w:val="24"/>
        </w:rPr>
        <w:t> </w:t>
      </w:r>
      <w:r>
        <w:rPr>
          <w:sz w:val="24"/>
        </w:rPr>
        <w:t>for</w:t>
      </w:r>
      <w:r>
        <w:rPr>
          <w:spacing w:val="-13"/>
          <w:sz w:val="24"/>
        </w:rPr>
        <w:t> </w:t>
      </w:r>
      <w:r>
        <w:rPr>
          <w:sz w:val="24"/>
        </w:rPr>
        <w:t>these</w:t>
      </w:r>
      <w:r>
        <w:rPr>
          <w:spacing w:val="-13"/>
          <w:sz w:val="24"/>
        </w:rPr>
        <w:t> </w:t>
      </w:r>
      <w:r>
        <w:rPr>
          <w:sz w:val="24"/>
        </w:rPr>
        <w:t>and</w:t>
      </w:r>
      <w:r>
        <w:rPr>
          <w:spacing w:val="-14"/>
          <w:sz w:val="24"/>
        </w:rPr>
        <w:t> </w:t>
      </w:r>
      <w:r>
        <w:rPr>
          <w:sz w:val="24"/>
        </w:rPr>
        <w:t>instead</w:t>
      </w:r>
      <w:r>
        <w:rPr>
          <w:spacing w:val="-14"/>
          <w:sz w:val="24"/>
        </w:rPr>
        <w:t> </w:t>
      </w:r>
      <w:r>
        <w:rPr>
          <w:sz w:val="24"/>
        </w:rPr>
        <w:t>the</w:t>
      </w:r>
      <w:r>
        <w:rPr>
          <w:spacing w:val="-13"/>
          <w:sz w:val="24"/>
        </w:rPr>
        <w:t> </w:t>
      </w:r>
      <w:r>
        <w:rPr>
          <w:sz w:val="24"/>
        </w:rPr>
        <w:t>exceptions</w:t>
      </w:r>
      <w:r>
        <w:rPr>
          <w:spacing w:val="-14"/>
          <w:sz w:val="24"/>
        </w:rPr>
        <w:t> </w:t>
      </w:r>
      <w:r>
        <w:rPr>
          <w:sz w:val="24"/>
        </w:rPr>
        <w:t>list requires updating to incorporate examples such as postage stamps, payments to consultants</w:t>
      </w:r>
      <w:r>
        <w:rPr>
          <w:spacing w:val="-6"/>
          <w:sz w:val="24"/>
        </w:rPr>
        <w:t> </w:t>
      </w:r>
      <w:r>
        <w:rPr>
          <w:sz w:val="24"/>
        </w:rPr>
        <w:t>and</w:t>
      </w:r>
      <w:r>
        <w:rPr>
          <w:spacing w:val="-7"/>
          <w:sz w:val="24"/>
        </w:rPr>
        <w:t> </w:t>
      </w:r>
      <w:r>
        <w:rPr>
          <w:sz w:val="24"/>
        </w:rPr>
        <w:t>Welsh</w:t>
      </w:r>
      <w:r>
        <w:rPr>
          <w:spacing w:val="-10"/>
          <w:sz w:val="24"/>
        </w:rPr>
        <w:t> </w:t>
      </w:r>
      <w:r>
        <w:rPr>
          <w:sz w:val="24"/>
        </w:rPr>
        <w:t>Health</w:t>
      </w:r>
      <w:r>
        <w:rPr>
          <w:spacing w:val="-7"/>
          <w:sz w:val="24"/>
        </w:rPr>
        <w:t> </w:t>
      </w:r>
      <w:r>
        <w:rPr>
          <w:sz w:val="24"/>
        </w:rPr>
        <w:t>Specialist</w:t>
      </w:r>
      <w:r>
        <w:rPr>
          <w:spacing w:val="-7"/>
          <w:sz w:val="24"/>
        </w:rPr>
        <w:t> </w:t>
      </w:r>
      <w:r>
        <w:rPr>
          <w:sz w:val="24"/>
        </w:rPr>
        <w:t>Services</w:t>
      </w:r>
      <w:r>
        <w:rPr>
          <w:spacing w:val="-8"/>
          <w:sz w:val="24"/>
        </w:rPr>
        <w:t> </w:t>
      </w:r>
      <w:r>
        <w:rPr>
          <w:sz w:val="24"/>
        </w:rPr>
        <w:t>Committee</w:t>
      </w:r>
      <w:r>
        <w:rPr>
          <w:spacing w:val="-8"/>
          <w:sz w:val="24"/>
        </w:rPr>
        <w:t> </w:t>
      </w:r>
      <w:r>
        <w:rPr>
          <w:sz w:val="24"/>
        </w:rPr>
        <w:t>invoices</w:t>
      </w:r>
      <w:r>
        <w:rPr>
          <w:spacing w:val="-9"/>
          <w:sz w:val="24"/>
        </w:rPr>
        <w:t> </w:t>
      </w:r>
      <w:r>
        <w:rPr>
          <w:sz w:val="24"/>
        </w:rPr>
        <w:t>which</w:t>
      </w:r>
      <w:r>
        <w:rPr>
          <w:spacing w:val="-10"/>
          <w:sz w:val="24"/>
        </w:rPr>
        <w:t> </w:t>
      </w:r>
      <w:r>
        <w:rPr>
          <w:sz w:val="24"/>
        </w:rPr>
        <w:t>are</w:t>
      </w:r>
      <w:r>
        <w:rPr>
          <w:spacing w:val="-5"/>
          <w:sz w:val="24"/>
        </w:rPr>
        <w:t> </w:t>
      </w:r>
      <w:r>
        <w:rPr>
          <w:sz w:val="24"/>
        </w:rPr>
        <w:t>all non-PO. We understand that review of the exceptions list is included on the work plan of the Finance Academy P2P Group and is ongoing.</w:t>
      </w:r>
    </w:p>
    <w:p>
      <w:pPr>
        <w:pStyle w:val="BodyText"/>
        <w:spacing w:before="122"/>
        <w:ind w:left="566"/>
      </w:pPr>
      <w:r>
        <w:rPr>
          <w:color w:val="3C5A8B"/>
          <w:spacing w:val="-2"/>
        </w:rPr>
        <w:t>Conclusion:</w:t>
      </w:r>
    </w:p>
    <w:p>
      <w:pPr>
        <w:pStyle w:val="ListParagraph"/>
        <w:numPr>
          <w:ilvl w:val="1"/>
          <w:numId w:val="23"/>
        </w:numPr>
        <w:tabs>
          <w:tab w:pos="1275" w:val="left" w:leader="none"/>
        </w:tabs>
        <w:spacing w:line="240" w:lineRule="auto" w:before="119" w:after="0"/>
        <w:ind w:left="1274" w:right="704" w:hanging="708"/>
        <w:jc w:val="both"/>
        <w:rPr>
          <w:sz w:val="24"/>
        </w:rPr>
      </w:pPr>
      <w:r>
        <w:rPr>
          <w:sz w:val="24"/>
        </w:rPr>
        <w:t>Management is aware of the need to agree an escalation process with sanctions for non-compliance with the No PO No Pay Policy and update the all-Wales exceptions list which is fundamental to the operation of the policy. These actions</w:t>
      </w:r>
    </w:p>
    <w:p>
      <w:pPr>
        <w:pStyle w:val="BodyText"/>
        <w:spacing w:before="11"/>
        <w:rPr>
          <w:sz w:val="15"/>
        </w:rPr>
      </w:pPr>
      <w:r>
        <w:rPr/>
        <w:pict>
          <v:rect style="position:absolute;margin-left:28.32pt;margin-top:10.90686pt;width:144.020pt;height:.71997pt;mso-position-horizontal-relative:page;mso-position-vertical-relative:paragraph;z-index:-15668224;mso-wrap-distance-left:0;mso-wrap-distance-right:0" id="docshape231" filled="true" fillcolor="#000000" stroked="false">
            <v:fill type="solid"/>
            <w10:wrap type="topAndBottom"/>
          </v:rect>
        </w:pict>
      </w:r>
    </w:p>
    <w:p>
      <w:pPr>
        <w:spacing w:before="109"/>
        <w:ind w:left="566" w:right="0" w:firstLine="0"/>
        <w:jc w:val="left"/>
        <w:rPr>
          <w:sz w:val="18"/>
        </w:rPr>
      </w:pPr>
      <w:r>
        <w:rPr>
          <w:rFonts w:ascii="Calibri"/>
          <w:sz w:val="18"/>
          <w:vertAlign w:val="superscript"/>
        </w:rPr>
        <w:t>1</w:t>
      </w:r>
      <w:r>
        <w:rPr>
          <w:rFonts w:ascii="Calibri"/>
          <w:spacing w:val="2"/>
          <w:sz w:val="18"/>
          <w:vertAlign w:val="baseline"/>
        </w:rPr>
        <w:t> </w:t>
      </w:r>
      <w:r>
        <w:rPr>
          <w:sz w:val="18"/>
          <w:vertAlign w:val="baseline"/>
        </w:rPr>
        <w:t>Internal</w:t>
      </w:r>
      <w:r>
        <w:rPr>
          <w:spacing w:val="-1"/>
          <w:sz w:val="18"/>
          <w:vertAlign w:val="baseline"/>
        </w:rPr>
        <w:t> </w:t>
      </w:r>
      <w:r>
        <w:rPr>
          <w:sz w:val="18"/>
          <w:vertAlign w:val="baseline"/>
        </w:rPr>
        <w:t>Audit</w:t>
      </w:r>
      <w:r>
        <w:rPr>
          <w:spacing w:val="-2"/>
          <w:sz w:val="18"/>
          <w:vertAlign w:val="baseline"/>
        </w:rPr>
        <w:t> </w:t>
      </w:r>
      <w:r>
        <w:rPr>
          <w:sz w:val="18"/>
          <w:vertAlign w:val="baseline"/>
        </w:rPr>
        <w:t>has</w:t>
      </w:r>
      <w:r>
        <w:rPr>
          <w:spacing w:val="-3"/>
          <w:sz w:val="18"/>
          <w:vertAlign w:val="baseline"/>
        </w:rPr>
        <w:t> </w:t>
      </w:r>
      <w:r>
        <w:rPr>
          <w:sz w:val="18"/>
          <w:vertAlign w:val="baseline"/>
        </w:rPr>
        <w:t>representation</w:t>
      </w:r>
      <w:r>
        <w:rPr>
          <w:spacing w:val="-2"/>
          <w:sz w:val="18"/>
          <w:vertAlign w:val="baseline"/>
        </w:rPr>
        <w:t> </w:t>
      </w:r>
      <w:r>
        <w:rPr>
          <w:sz w:val="18"/>
          <w:vertAlign w:val="baseline"/>
        </w:rPr>
        <w:t>on</w:t>
      </w:r>
      <w:r>
        <w:rPr>
          <w:spacing w:val="-5"/>
          <w:sz w:val="18"/>
          <w:vertAlign w:val="baseline"/>
        </w:rPr>
        <w:t> </w:t>
      </w:r>
      <w:r>
        <w:rPr>
          <w:sz w:val="18"/>
          <w:vertAlign w:val="baseline"/>
        </w:rPr>
        <w:t>these</w:t>
      </w:r>
      <w:r>
        <w:rPr>
          <w:spacing w:val="-2"/>
          <w:sz w:val="18"/>
          <w:vertAlign w:val="baseline"/>
        </w:rPr>
        <w:t> Groups</w:t>
      </w:r>
    </w:p>
    <w:p>
      <w:pPr>
        <w:spacing w:after="0"/>
        <w:jc w:val="left"/>
        <w:rPr>
          <w:sz w:val="18"/>
        </w:rPr>
        <w:sectPr>
          <w:footerReference w:type="default" r:id="rId86"/>
          <w:pgSz w:w="11910" w:h="16840"/>
          <w:pgMar w:footer="770" w:header="0" w:top="880" w:bottom="960" w:left="0" w:right="0"/>
          <w:pgNumType w:start="6"/>
        </w:sectPr>
      </w:pPr>
    </w:p>
    <w:p>
      <w:pPr>
        <w:pStyle w:val="BodyText"/>
        <w:tabs>
          <w:tab w:pos="7890" w:val="left" w:leader="none"/>
        </w:tabs>
        <w:spacing w:before="86"/>
        <w:ind w:left="566"/>
      </w:pPr>
      <w:r>
        <w:rPr/>
        <w:t>Accounts</w:t>
      </w:r>
      <w:r>
        <w:rPr>
          <w:spacing w:val="-2"/>
        </w:rPr>
        <w:t> Payable</w:t>
      </w:r>
      <w:r>
        <w:rPr/>
        <w:tab/>
        <w:t>Final</w:t>
      </w:r>
      <w:r>
        <w:rPr>
          <w:spacing w:val="-6"/>
        </w:rPr>
        <w:t> </w:t>
      </w:r>
      <w:r>
        <w:rPr/>
        <w:t>Internal</w:t>
      </w:r>
      <w:r>
        <w:rPr>
          <w:spacing w:val="-3"/>
        </w:rPr>
        <w:t> </w:t>
      </w:r>
      <w:r>
        <w:rPr/>
        <w:t>Audit</w:t>
      </w:r>
      <w:r>
        <w:rPr>
          <w:spacing w:val="-1"/>
        </w:rPr>
        <w:t> </w:t>
      </w:r>
      <w:r>
        <w:rPr>
          <w:spacing w:val="-2"/>
        </w:rPr>
        <w:t>Report</w:t>
      </w:r>
    </w:p>
    <w:p>
      <w:pPr>
        <w:pStyle w:val="BodyText"/>
        <w:rPr>
          <w:sz w:val="20"/>
        </w:rPr>
      </w:pPr>
      <w:r>
        <w:rPr/>
        <w:pict>
          <v:shape style="position:absolute;margin-left:27.6pt;margin-top:13.355979pt;width:532.450pt;height:1.45pt;mso-position-horizontal-relative:page;mso-position-vertical-relative:paragraph;z-index:-15667712;mso-wrap-distance-left:0;mso-wrap-distance-right:0" id="docshape235" coordorigin="552,267" coordsize="10649,29" path="m11200,267l5943,267,5929,267,5915,267,552,267,552,296,5915,296,5929,296,5943,296,11200,296,11200,267xe" filled="true" fillcolor="#000000" stroked="false">
            <v:path arrowok="t"/>
            <v:fill type="solid"/>
            <w10:wrap type="topAndBottom"/>
          </v:shape>
        </w:pict>
      </w:r>
    </w:p>
    <w:p>
      <w:pPr>
        <w:pStyle w:val="BodyText"/>
        <w:spacing w:before="11"/>
        <w:rPr>
          <w:sz w:val="19"/>
        </w:rPr>
      </w:pPr>
    </w:p>
    <w:p>
      <w:pPr>
        <w:pStyle w:val="BodyText"/>
        <w:spacing w:before="100"/>
        <w:ind w:left="1274" w:right="705"/>
        <w:jc w:val="both"/>
      </w:pPr>
      <w:r>
        <w:rPr/>
        <w:t>require collective input from all NHS Wales organisations and are reflected on the work</w:t>
      </w:r>
      <w:r>
        <w:rPr>
          <w:spacing w:val="-1"/>
        </w:rPr>
        <w:t> </w:t>
      </w:r>
      <w:r>
        <w:rPr/>
        <w:t>plans</w:t>
      </w:r>
      <w:r>
        <w:rPr>
          <w:spacing w:val="-1"/>
        </w:rPr>
        <w:t> </w:t>
      </w:r>
      <w:r>
        <w:rPr/>
        <w:t>of</w:t>
      </w:r>
      <w:r>
        <w:rPr>
          <w:spacing w:val="-2"/>
        </w:rPr>
        <w:t> </w:t>
      </w:r>
      <w:r>
        <w:rPr/>
        <w:t>the</w:t>
      </w:r>
      <w:r>
        <w:rPr>
          <w:spacing w:val="-1"/>
        </w:rPr>
        <w:t> </w:t>
      </w:r>
      <w:r>
        <w:rPr/>
        <w:t>NWSSP</w:t>
      </w:r>
      <w:r>
        <w:rPr>
          <w:spacing w:val="-2"/>
        </w:rPr>
        <w:t> </w:t>
      </w:r>
      <w:r>
        <w:rPr/>
        <w:t>P2P</w:t>
      </w:r>
      <w:r>
        <w:rPr>
          <w:spacing w:val="-2"/>
        </w:rPr>
        <w:t> </w:t>
      </w:r>
      <w:r>
        <w:rPr/>
        <w:t>and</w:t>
      </w:r>
      <w:r>
        <w:rPr>
          <w:spacing w:val="-2"/>
        </w:rPr>
        <w:t> </w:t>
      </w:r>
      <w:r>
        <w:rPr/>
        <w:t>Finance</w:t>
      </w:r>
      <w:r>
        <w:rPr>
          <w:spacing w:val="-1"/>
        </w:rPr>
        <w:t> </w:t>
      </w:r>
      <w:r>
        <w:rPr/>
        <w:t>Academy</w:t>
      </w:r>
      <w:r>
        <w:rPr>
          <w:spacing w:val="-2"/>
        </w:rPr>
        <w:t> </w:t>
      </w:r>
      <w:r>
        <w:rPr/>
        <w:t>P2P</w:t>
      </w:r>
      <w:r>
        <w:rPr>
          <w:spacing w:val="-2"/>
        </w:rPr>
        <w:t> </w:t>
      </w:r>
      <w:r>
        <w:rPr/>
        <w:t>Groups</w:t>
      </w:r>
      <w:r>
        <w:rPr>
          <w:spacing w:val="-2"/>
        </w:rPr>
        <w:t> </w:t>
      </w:r>
      <w:r>
        <w:rPr/>
        <w:t>for</w:t>
      </w:r>
      <w:r>
        <w:rPr>
          <w:spacing w:val="-1"/>
        </w:rPr>
        <w:t> </w:t>
      </w:r>
      <w:r>
        <w:rPr/>
        <w:t>2022/23 with action ongoing. Accordingly, we have concluded </w:t>
      </w:r>
      <w:r>
        <w:rPr>
          <w:b/>
        </w:rPr>
        <w:t>Reasonable </w:t>
      </w:r>
      <w:r>
        <w:rPr/>
        <w:t>assurance for this objective with no further recommendations raised.</w:t>
      </w:r>
    </w:p>
    <w:p>
      <w:pPr>
        <w:pStyle w:val="BodyText"/>
        <w:rPr>
          <w:sz w:val="28"/>
        </w:rPr>
      </w:pPr>
    </w:p>
    <w:p>
      <w:pPr>
        <w:spacing w:line="259" w:lineRule="auto" w:before="231"/>
        <w:ind w:left="566" w:right="708" w:firstLine="0"/>
        <w:jc w:val="both"/>
        <w:rPr>
          <w:b/>
          <w:sz w:val="24"/>
        </w:rPr>
      </w:pPr>
      <w:r>
        <w:rPr>
          <w:b/>
          <w:color w:val="3C5A8B"/>
          <w:sz w:val="24"/>
        </w:rPr>
        <w:t>Objective 3: Non-PO invoices and manual payments are appropriately authorised for payment and accurately processed</w:t>
      </w:r>
    </w:p>
    <w:p>
      <w:pPr>
        <w:pStyle w:val="ListParagraph"/>
        <w:numPr>
          <w:ilvl w:val="1"/>
          <w:numId w:val="23"/>
        </w:numPr>
        <w:tabs>
          <w:tab w:pos="1275" w:val="left" w:leader="none"/>
        </w:tabs>
        <w:spacing w:line="240" w:lineRule="auto" w:before="118" w:after="0"/>
        <w:ind w:left="1274" w:right="707" w:hanging="708"/>
        <w:jc w:val="both"/>
        <w:rPr>
          <w:sz w:val="24"/>
        </w:rPr>
      </w:pPr>
      <w:r>
        <w:rPr>
          <w:sz w:val="24"/>
        </w:rPr>
        <w:t>Sample testing of 110 non-purchase order invoices/payments confirmed that all were supported by an official invoice/request for payment, recorded against the correct supplier and for the correct amount. The following exceptions were identified in relation to authorisation to pay:</w:t>
      </w:r>
    </w:p>
    <w:p>
      <w:pPr>
        <w:pStyle w:val="ListParagraph"/>
        <w:numPr>
          <w:ilvl w:val="2"/>
          <w:numId w:val="23"/>
        </w:numPr>
        <w:tabs>
          <w:tab w:pos="2007" w:val="left" w:leader="none"/>
        </w:tabs>
        <w:spacing w:line="240" w:lineRule="auto" w:before="121" w:after="0"/>
        <w:ind w:left="2006" w:right="710" w:hanging="360"/>
        <w:jc w:val="both"/>
        <w:rPr>
          <w:rFonts w:ascii="Symbol" w:hAnsi="Symbol"/>
          <w:sz w:val="24"/>
        </w:rPr>
      </w:pPr>
      <w:r>
        <w:rPr>
          <w:sz w:val="24"/>
        </w:rPr>
        <w:t>three occasions where the approver was not identified on the respective authorised signatory list; and</w:t>
      </w:r>
    </w:p>
    <w:p>
      <w:pPr>
        <w:pStyle w:val="ListParagraph"/>
        <w:numPr>
          <w:ilvl w:val="2"/>
          <w:numId w:val="23"/>
        </w:numPr>
        <w:tabs>
          <w:tab w:pos="2007" w:val="left" w:leader="none"/>
        </w:tabs>
        <w:spacing w:line="240" w:lineRule="auto" w:before="117" w:after="0"/>
        <w:ind w:left="2006" w:right="0" w:hanging="361"/>
        <w:jc w:val="both"/>
        <w:rPr>
          <w:rFonts w:ascii="Symbol" w:hAnsi="Symbol"/>
          <w:sz w:val="24"/>
        </w:rPr>
      </w:pPr>
      <w:r>
        <w:rPr>
          <w:sz w:val="24"/>
        </w:rPr>
        <w:t>in</w:t>
      </w:r>
      <w:r>
        <w:rPr>
          <w:spacing w:val="-6"/>
          <w:sz w:val="24"/>
        </w:rPr>
        <w:t> </w:t>
      </w:r>
      <w:r>
        <w:rPr>
          <w:sz w:val="24"/>
        </w:rPr>
        <w:t>four</w:t>
      </w:r>
      <w:r>
        <w:rPr>
          <w:spacing w:val="-2"/>
          <w:sz w:val="24"/>
        </w:rPr>
        <w:t> </w:t>
      </w:r>
      <w:r>
        <w:rPr>
          <w:sz w:val="24"/>
        </w:rPr>
        <w:t>cases</w:t>
      </w:r>
      <w:r>
        <w:rPr>
          <w:spacing w:val="-2"/>
          <w:sz w:val="24"/>
        </w:rPr>
        <w:t> </w:t>
      </w:r>
      <w:r>
        <w:rPr>
          <w:sz w:val="24"/>
        </w:rPr>
        <w:t>the</w:t>
      </w:r>
      <w:r>
        <w:rPr>
          <w:spacing w:val="-2"/>
          <w:sz w:val="24"/>
        </w:rPr>
        <w:t> </w:t>
      </w:r>
      <w:r>
        <w:rPr>
          <w:sz w:val="24"/>
        </w:rPr>
        <w:t>invoice</w:t>
      </w:r>
      <w:r>
        <w:rPr>
          <w:spacing w:val="-2"/>
          <w:sz w:val="24"/>
        </w:rPr>
        <w:t> </w:t>
      </w:r>
      <w:r>
        <w:rPr>
          <w:sz w:val="24"/>
        </w:rPr>
        <w:t>value</w:t>
      </w:r>
      <w:r>
        <w:rPr>
          <w:spacing w:val="-2"/>
          <w:sz w:val="24"/>
        </w:rPr>
        <w:t> </w:t>
      </w:r>
      <w:r>
        <w:rPr>
          <w:sz w:val="24"/>
        </w:rPr>
        <w:t>exceeded</w:t>
      </w:r>
      <w:r>
        <w:rPr>
          <w:spacing w:val="-3"/>
          <w:sz w:val="24"/>
        </w:rPr>
        <w:t> </w:t>
      </w:r>
      <w:r>
        <w:rPr>
          <w:sz w:val="24"/>
        </w:rPr>
        <w:t>the</w:t>
      </w:r>
      <w:r>
        <w:rPr>
          <w:spacing w:val="-2"/>
          <w:sz w:val="24"/>
        </w:rPr>
        <w:t> </w:t>
      </w:r>
      <w:r>
        <w:rPr>
          <w:sz w:val="24"/>
        </w:rPr>
        <w:t>approvers</w:t>
      </w:r>
      <w:r>
        <w:rPr>
          <w:spacing w:val="-3"/>
          <w:sz w:val="24"/>
        </w:rPr>
        <w:t> </w:t>
      </w:r>
      <w:r>
        <w:rPr>
          <w:sz w:val="24"/>
        </w:rPr>
        <w:t>financial</w:t>
      </w:r>
      <w:r>
        <w:rPr>
          <w:spacing w:val="-1"/>
          <w:sz w:val="24"/>
        </w:rPr>
        <w:t> </w:t>
      </w:r>
      <w:r>
        <w:rPr>
          <w:spacing w:val="-2"/>
          <w:sz w:val="24"/>
        </w:rPr>
        <w:t>limit.</w:t>
      </w:r>
    </w:p>
    <w:p>
      <w:pPr>
        <w:pStyle w:val="ListParagraph"/>
        <w:numPr>
          <w:ilvl w:val="1"/>
          <w:numId w:val="23"/>
        </w:numPr>
        <w:tabs>
          <w:tab w:pos="1275" w:val="left" w:leader="none"/>
        </w:tabs>
        <w:spacing w:line="240" w:lineRule="auto" w:before="117" w:after="0"/>
        <w:ind w:left="1274" w:right="703" w:hanging="708"/>
        <w:jc w:val="both"/>
        <w:rPr>
          <w:sz w:val="24"/>
        </w:rPr>
      </w:pPr>
      <w:r>
        <w:rPr>
          <w:sz w:val="24"/>
        </w:rPr>
        <w:t>The AP Team are reliant on health bodies maintaining their authorised signatory lists, which vary significantly in terms of accessibility for AP, format and level of detail. Oracle has an invoice approval workflow which would enable non-PO invoices to be subject to the same authorisation system controls as POs, in line with</w:t>
      </w:r>
      <w:r>
        <w:rPr>
          <w:spacing w:val="-2"/>
          <w:sz w:val="24"/>
        </w:rPr>
        <w:t> </w:t>
      </w:r>
      <w:r>
        <w:rPr>
          <w:sz w:val="24"/>
        </w:rPr>
        <w:t>the</w:t>
      </w:r>
      <w:r>
        <w:rPr>
          <w:spacing w:val="-3"/>
          <w:sz w:val="24"/>
        </w:rPr>
        <w:t> </w:t>
      </w:r>
      <w:r>
        <w:rPr>
          <w:sz w:val="24"/>
        </w:rPr>
        <w:t>organisations</w:t>
      </w:r>
      <w:r>
        <w:rPr>
          <w:spacing w:val="-4"/>
          <w:sz w:val="24"/>
        </w:rPr>
        <w:t> </w:t>
      </w:r>
      <w:r>
        <w:rPr>
          <w:sz w:val="24"/>
        </w:rPr>
        <w:t>Oracle</w:t>
      </w:r>
      <w:r>
        <w:rPr>
          <w:spacing w:val="-3"/>
          <w:sz w:val="24"/>
        </w:rPr>
        <w:t> </w:t>
      </w:r>
      <w:r>
        <w:rPr>
          <w:sz w:val="24"/>
        </w:rPr>
        <w:t>hierarchy.</w:t>
      </w:r>
      <w:r>
        <w:rPr>
          <w:spacing w:val="-2"/>
          <w:sz w:val="24"/>
        </w:rPr>
        <w:t> </w:t>
      </w:r>
      <w:r>
        <w:rPr>
          <w:sz w:val="24"/>
        </w:rPr>
        <w:t>This</w:t>
      </w:r>
      <w:r>
        <w:rPr>
          <w:spacing w:val="-2"/>
          <w:sz w:val="24"/>
        </w:rPr>
        <w:t> </w:t>
      </w:r>
      <w:r>
        <w:rPr>
          <w:sz w:val="24"/>
        </w:rPr>
        <w:t>function</w:t>
      </w:r>
      <w:r>
        <w:rPr>
          <w:spacing w:val="-2"/>
          <w:sz w:val="24"/>
        </w:rPr>
        <w:t> </w:t>
      </w:r>
      <w:r>
        <w:rPr>
          <w:sz w:val="24"/>
        </w:rPr>
        <w:t>offers</w:t>
      </w:r>
      <w:r>
        <w:rPr>
          <w:spacing w:val="-3"/>
          <w:sz w:val="24"/>
        </w:rPr>
        <w:t> </w:t>
      </w:r>
      <w:r>
        <w:rPr>
          <w:sz w:val="24"/>
        </w:rPr>
        <w:t>efficiency</w:t>
      </w:r>
      <w:r>
        <w:rPr>
          <w:spacing w:val="-4"/>
          <w:sz w:val="24"/>
        </w:rPr>
        <w:t> </w:t>
      </w:r>
      <w:r>
        <w:rPr>
          <w:sz w:val="24"/>
        </w:rPr>
        <w:t>and</w:t>
      </w:r>
      <w:r>
        <w:rPr>
          <w:spacing w:val="-4"/>
          <w:sz w:val="24"/>
        </w:rPr>
        <w:t> </w:t>
      </w:r>
      <w:r>
        <w:rPr>
          <w:sz w:val="24"/>
        </w:rPr>
        <w:t>a</w:t>
      </w:r>
      <w:r>
        <w:rPr>
          <w:spacing w:val="-2"/>
          <w:sz w:val="24"/>
        </w:rPr>
        <w:t> </w:t>
      </w:r>
      <w:r>
        <w:rPr>
          <w:sz w:val="24"/>
        </w:rPr>
        <w:t>more robust approval mechanism through system automation and application of the organisations</w:t>
      </w:r>
      <w:r>
        <w:rPr>
          <w:spacing w:val="-11"/>
          <w:sz w:val="24"/>
        </w:rPr>
        <w:t> </w:t>
      </w:r>
      <w:r>
        <w:rPr>
          <w:sz w:val="24"/>
        </w:rPr>
        <w:t>approval</w:t>
      </w:r>
      <w:r>
        <w:rPr>
          <w:spacing w:val="-10"/>
          <w:sz w:val="24"/>
        </w:rPr>
        <w:t> </w:t>
      </w:r>
      <w:r>
        <w:rPr>
          <w:sz w:val="24"/>
        </w:rPr>
        <w:t>hierarchy.</w:t>
      </w:r>
      <w:r>
        <w:rPr>
          <w:spacing w:val="-12"/>
          <w:sz w:val="24"/>
        </w:rPr>
        <w:t> </w:t>
      </w:r>
      <w:r>
        <w:rPr>
          <w:sz w:val="24"/>
        </w:rPr>
        <w:t>Following</w:t>
      </w:r>
      <w:r>
        <w:rPr>
          <w:spacing w:val="-12"/>
          <w:sz w:val="24"/>
        </w:rPr>
        <w:t> </w:t>
      </w:r>
      <w:r>
        <w:rPr>
          <w:sz w:val="24"/>
        </w:rPr>
        <w:t>an</w:t>
      </w:r>
      <w:r>
        <w:rPr>
          <w:spacing w:val="-12"/>
          <w:sz w:val="24"/>
        </w:rPr>
        <w:t> </w:t>
      </w:r>
      <w:r>
        <w:rPr>
          <w:sz w:val="24"/>
        </w:rPr>
        <w:t>initial</w:t>
      </w:r>
      <w:r>
        <w:rPr>
          <w:spacing w:val="-12"/>
          <w:sz w:val="24"/>
        </w:rPr>
        <w:t> </w:t>
      </w:r>
      <w:r>
        <w:rPr>
          <w:sz w:val="24"/>
        </w:rPr>
        <w:t>pilot</w:t>
      </w:r>
      <w:r>
        <w:rPr>
          <w:spacing w:val="-5"/>
          <w:sz w:val="24"/>
        </w:rPr>
        <w:t> </w:t>
      </w:r>
      <w:r>
        <w:rPr>
          <w:sz w:val="24"/>
        </w:rPr>
        <w:t>exercise,</w:t>
      </w:r>
      <w:r>
        <w:rPr>
          <w:spacing w:val="-10"/>
          <w:sz w:val="24"/>
        </w:rPr>
        <w:t> </w:t>
      </w:r>
      <w:r>
        <w:rPr>
          <w:sz w:val="24"/>
        </w:rPr>
        <w:t>it</w:t>
      </w:r>
      <w:r>
        <w:rPr>
          <w:spacing w:val="-12"/>
          <w:sz w:val="24"/>
        </w:rPr>
        <w:t> </w:t>
      </w:r>
      <w:r>
        <w:rPr>
          <w:sz w:val="24"/>
        </w:rPr>
        <w:t>was</w:t>
      </w:r>
      <w:r>
        <w:rPr>
          <w:spacing w:val="-9"/>
          <w:sz w:val="24"/>
        </w:rPr>
        <w:t> </w:t>
      </w:r>
      <w:r>
        <w:rPr>
          <w:sz w:val="24"/>
        </w:rPr>
        <w:t>adopted by Digital Health &amp; Care Wales (DHCW) in 2020. Further implementation across NHS</w:t>
      </w:r>
      <w:r>
        <w:rPr>
          <w:spacing w:val="-9"/>
          <w:sz w:val="24"/>
        </w:rPr>
        <w:t> </w:t>
      </w:r>
      <w:r>
        <w:rPr>
          <w:sz w:val="24"/>
        </w:rPr>
        <w:t>Wales</w:t>
      </w:r>
      <w:r>
        <w:rPr>
          <w:spacing w:val="-8"/>
          <w:sz w:val="24"/>
        </w:rPr>
        <w:t> </w:t>
      </w:r>
      <w:r>
        <w:rPr>
          <w:sz w:val="24"/>
        </w:rPr>
        <w:t>requires</w:t>
      </w:r>
      <w:r>
        <w:rPr>
          <w:spacing w:val="-7"/>
          <w:sz w:val="24"/>
        </w:rPr>
        <w:t> </w:t>
      </w:r>
      <w:r>
        <w:rPr>
          <w:sz w:val="24"/>
        </w:rPr>
        <w:t>agreement</w:t>
      </w:r>
      <w:r>
        <w:rPr>
          <w:spacing w:val="-8"/>
          <w:sz w:val="24"/>
        </w:rPr>
        <w:t> </w:t>
      </w:r>
      <w:r>
        <w:rPr>
          <w:sz w:val="24"/>
        </w:rPr>
        <w:t>from</w:t>
      </w:r>
      <w:r>
        <w:rPr>
          <w:spacing w:val="-9"/>
          <w:sz w:val="24"/>
        </w:rPr>
        <w:t> </w:t>
      </w:r>
      <w:r>
        <w:rPr>
          <w:sz w:val="24"/>
        </w:rPr>
        <w:t>the</w:t>
      </w:r>
      <w:r>
        <w:rPr>
          <w:spacing w:val="-8"/>
          <w:sz w:val="24"/>
        </w:rPr>
        <w:t> </w:t>
      </w:r>
      <w:r>
        <w:rPr>
          <w:sz w:val="24"/>
        </w:rPr>
        <w:t>participating</w:t>
      </w:r>
      <w:r>
        <w:rPr>
          <w:spacing w:val="-8"/>
          <w:sz w:val="24"/>
        </w:rPr>
        <w:t> </w:t>
      </w:r>
      <w:r>
        <w:rPr>
          <w:sz w:val="24"/>
        </w:rPr>
        <w:t>organisations</w:t>
      </w:r>
      <w:r>
        <w:rPr>
          <w:spacing w:val="-8"/>
          <w:sz w:val="24"/>
        </w:rPr>
        <w:t> </w:t>
      </w:r>
      <w:r>
        <w:rPr>
          <w:sz w:val="24"/>
        </w:rPr>
        <w:t>and</w:t>
      </w:r>
      <w:r>
        <w:rPr>
          <w:spacing w:val="-9"/>
          <w:sz w:val="24"/>
        </w:rPr>
        <w:t> </w:t>
      </w:r>
      <w:r>
        <w:rPr>
          <w:sz w:val="24"/>
        </w:rPr>
        <w:t>should</w:t>
      </w:r>
      <w:r>
        <w:rPr>
          <w:spacing w:val="-9"/>
          <w:sz w:val="24"/>
        </w:rPr>
        <w:t> </w:t>
      </w:r>
      <w:r>
        <w:rPr>
          <w:sz w:val="24"/>
        </w:rPr>
        <w:t>be explored at the Finance Academy P2P Group.</w:t>
      </w:r>
    </w:p>
    <w:p>
      <w:pPr>
        <w:spacing w:before="122"/>
        <w:ind w:left="1274" w:right="0" w:firstLine="0"/>
        <w:jc w:val="both"/>
        <w:rPr>
          <w:b/>
          <w:sz w:val="24"/>
        </w:rPr>
      </w:pPr>
      <w:r>
        <w:rPr>
          <w:b/>
          <w:sz w:val="24"/>
        </w:rPr>
        <w:t>[See</w:t>
      </w:r>
      <w:r>
        <w:rPr>
          <w:b/>
          <w:spacing w:val="-5"/>
          <w:sz w:val="24"/>
        </w:rPr>
        <w:t> </w:t>
      </w:r>
      <w:r>
        <w:rPr>
          <w:b/>
          <w:sz w:val="24"/>
        </w:rPr>
        <w:t>Matter</w:t>
      </w:r>
      <w:r>
        <w:rPr>
          <w:b/>
          <w:spacing w:val="-2"/>
          <w:sz w:val="24"/>
        </w:rPr>
        <w:t> </w:t>
      </w:r>
      <w:r>
        <w:rPr>
          <w:b/>
          <w:sz w:val="24"/>
        </w:rPr>
        <w:t>Arising</w:t>
      </w:r>
      <w:r>
        <w:rPr>
          <w:b/>
          <w:spacing w:val="-2"/>
          <w:sz w:val="24"/>
        </w:rPr>
        <w:t> </w:t>
      </w:r>
      <w:r>
        <w:rPr>
          <w:b/>
          <w:sz w:val="24"/>
        </w:rPr>
        <w:t>2</w:t>
      </w:r>
      <w:r>
        <w:rPr>
          <w:b/>
          <w:spacing w:val="-2"/>
          <w:sz w:val="24"/>
        </w:rPr>
        <w:t> </w:t>
      </w:r>
      <w:r>
        <w:rPr>
          <w:b/>
          <w:sz w:val="24"/>
        </w:rPr>
        <w:t>in</w:t>
      </w:r>
      <w:r>
        <w:rPr>
          <w:b/>
          <w:spacing w:val="-3"/>
          <w:sz w:val="24"/>
        </w:rPr>
        <w:t> </w:t>
      </w:r>
      <w:r>
        <w:rPr>
          <w:b/>
          <w:sz w:val="24"/>
        </w:rPr>
        <w:t>Appendix</w:t>
      </w:r>
      <w:r>
        <w:rPr>
          <w:b/>
          <w:spacing w:val="-2"/>
          <w:sz w:val="24"/>
        </w:rPr>
        <w:t> </w:t>
      </w:r>
      <w:r>
        <w:rPr>
          <w:b/>
          <w:spacing w:val="-5"/>
          <w:sz w:val="24"/>
        </w:rPr>
        <w:t>A]</w:t>
      </w:r>
    </w:p>
    <w:p>
      <w:pPr>
        <w:pStyle w:val="BodyText"/>
        <w:spacing w:before="121"/>
        <w:ind w:left="566"/>
      </w:pPr>
      <w:r>
        <w:rPr>
          <w:color w:val="3C5A8B"/>
          <w:spacing w:val="-2"/>
        </w:rPr>
        <w:t>Conclusion:</w:t>
      </w:r>
    </w:p>
    <w:p>
      <w:pPr>
        <w:pStyle w:val="ListParagraph"/>
        <w:numPr>
          <w:ilvl w:val="1"/>
          <w:numId w:val="23"/>
        </w:numPr>
        <w:tabs>
          <w:tab w:pos="1287" w:val="left" w:leader="none"/>
        </w:tabs>
        <w:spacing w:line="240" w:lineRule="auto" w:before="118" w:after="0"/>
        <w:ind w:left="1286" w:right="702" w:hanging="720"/>
        <w:jc w:val="both"/>
        <w:rPr>
          <w:sz w:val="24"/>
        </w:rPr>
      </w:pPr>
      <w:r>
        <w:rPr>
          <w:sz w:val="24"/>
        </w:rPr>
        <w:t>Testing identified a small number of invoices which did not have evidence of appropriate approval on the basis that the approver did not have sufficient delegated authority or was not located on the organisations authorised signatory listing/Oracle hierarchy. Accordingly, we have concluded </w:t>
      </w:r>
      <w:r>
        <w:rPr>
          <w:b/>
          <w:sz w:val="24"/>
        </w:rPr>
        <w:t>Reasonable </w:t>
      </w:r>
      <w:r>
        <w:rPr>
          <w:sz w:val="24"/>
        </w:rPr>
        <w:t>assurance for this objective.</w:t>
      </w:r>
    </w:p>
    <w:p>
      <w:pPr>
        <w:pStyle w:val="BodyText"/>
        <w:spacing w:before="9"/>
        <w:rPr>
          <w:sz w:val="41"/>
        </w:rPr>
      </w:pPr>
    </w:p>
    <w:p>
      <w:pPr>
        <w:spacing w:line="259" w:lineRule="auto" w:before="0"/>
        <w:ind w:left="566" w:right="899" w:firstLine="0"/>
        <w:jc w:val="both"/>
        <w:rPr>
          <w:b/>
          <w:sz w:val="24"/>
        </w:rPr>
      </w:pPr>
      <w:r>
        <w:rPr>
          <w:b/>
          <w:color w:val="3C5A8B"/>
          <w:sz w:val="24"/>
        </w:rPr>
        <w:t>Objective</w:t>
      </w:r>
      <w:r>
        <w:rPr>
          <w:b/>
          <w:color w:val="3C5A8B"/>
          <w:spacing w:val="-4"/>
          <w:sz w:val="24"/>
        </w:rPr>
        <w:t> </w:t>
      </w:r>
      <w:r>
        <w:rPr>
          <w:b/>
          <w:color w:val="3C5A8B"/>
          <w:sz w:val="24"/>
        </w:rPr>
        <w:t>4:</w:t>
      </w:r>
      <w:r>
        <w:rPr>
          <w:b/>
          <w:color w:val="3C5A8B"/>
          <w:spacing w:val="-4"/>
          <w:sz w:val="24"/>
        </w:rPr>
        <w:t> </w:t>
      </w:r>
      <w:r>
        <w:rPr>
          <w:b/>
          <w:color w:val="3C5A8B"/>
          <w:sz w:val="24"/>
        </w:rPr>
        <w:t>Invoices</w:t>
      </w:r>
      <w:r>
        <w:rPr>
          <w:b/>
          <w:color w:val="3C5A8B"/>
          <w:spacing w:val="-5"/>
          <w:sz w:val="24"/>
        </w:rPr>
        <w:t> </w:t>
      </w:r>
      <w:r>
        <w:rPr>
          <w:b/>
          <w:color w:val="3C5A8B"/>
          <w:sz w:val="24"/>
        </w:rPr>
        <w:t>on</w:t>
      </w:r>
      <w:r>
        <w:rPr>
          <w:b/>
          <w:color w:val="3C5A8B"/>
          <w:spacing w:val="-4"/>
          <w:sz w:val="24"/>
        </w:rPr>
        <w:t> </w:t>
      </w:r>
      <w:r>
        <w:rPr>
          <w:b/>
          <w:color w:val="3C5A8B"/>
          <w:sz w:val="24"/>
        </w:rPr>
        <w:t>hold</w:t>
      </w:r>
      <w:r>
        <w:rPr>
          <w:b/>
          <w:color w:val="3C5A8B"/>
          <w:spacing w:val="-4"/>
          <w:sz w:val="24"/>
        </w:rPr>
        <w:t> </w:t>
      </w:r>
      <w:r>
        <w:rPr>
          <w:b/>
          <w:color w:val="3C5A8B"/>
          <w:sz w:val="24"/>
        </w:rPr>
        <w:t>are</w:t>
      </w:r>
      <w:r>
        <w:rPr>
          <w:b/>
          <w:color w:val="3C5A8B"/>
          <w:spacing w:val="-4"/>
          <w:sz w:val="24"/>
        </w:rPr>
        <w:t> </w:t>
      </w:r>
      <w:r>
        <w:rPr>
          <w:b/>
          <w:color w:val="3C5A8B"/>
          <w:sz w:val="24"/>
        </w:rPr>
        <w:t>monitored</w:t>
      </w:r>
      <w:r>
        <w:rPr>
          <w:b/>
          <w:color w:val="3C5A8B"/>
          <w:spacing w:val="-3"/>
          <w:sz w:val="24"/>
        </w:rPr>
        <w:t> </w:t>
      </w:r>
      <w:r>
        <w:rPr>
          <w:b/>
          <w:color w:val="3C5A8B"/>
          <w:sz w:val="24"/>
        </w:rPr>
        <w:t>and</w:t>
      </w:r>
      <w:r>
        <w:rPr>
          <w:b/>
          <w:color w:val="3C5A8B"/>
          <w:spacing w:val="-3"/>
          <w:sz w:val="24"/>
        </w:rPr>
        <w:t> </w:t>
      </w:r>
      <w:r>
        <w:rPr>
          <w:b/>
          <w:color w:val="3C5A8B"/>
          <w:sz w:val="24"/>
        </w:rPr>
        <w:t>cleared</w:t>
      </w:r>
      <w:r>
        <w:rPr>
          <w:b/>
          <w:color w:val="3C5A8B"/>
          <w:spacing w:val="-4"/>
          <w:sz w:val="24"/>
        </w:rPr>
        <w:t> </w:t>
      </w:r>
      <w:r>
        <w:rPr>
          <w:b/>
          <w:color w:val="3C5A8B"/>
          <w:sz w:val="24"/>
        </w:rPr>
        <w:t>on</w:t>
      </w:r>
      <w:r>
        <w:rPr>
          <w:b/>
          <w:color w:val="3C5A8B"/>
          <w:spacing w:val="-3"/>
          <w:sz w:val="24"/>
        </w:rPr>
        <w:t> </w:t>
      </w:r>
      <w:r>
        <w:rPr>
          <w:b/>
          <w:color w:val="3C5A8B"/>
          <w:sz w:val="24"/>
        </w:rPr>
        <w:t>a</w:t>
      </w:r>
      <w:r>
        <w:rPr>
          <w:b/>
          <w:color w:val="3C5A8B"/>
          <w:spacing w:val="-3"/>
          <w:sz w:val="24"/>
        </w:rPr>
        <w:t> </w:t>
      </w:r>
      <w:r>
        <w:rPr>
          <w:b/>
          <w:color w:val="3C5A8B"/>
          <w:sz w:val="24"/>
        </w:rPr>
        <w:t>regular</w:t>
      </w:r>
      <w:r>
        <w:rPr>
          <w:b/>
          <w:color w:val="3C5A8B"/>
          <w:spacing w:val="-2"/>
          <w:sz w:val="24"/>
        </w:rPr>
        <w:t> </w:t>
      </w:r>
      <w:r>
        <w:rPr>
          <w:b/>
          <w:color w:val="3C5A8B"/>
          <w:sz w:val="24"/>
        </w:rPr>
        <w:t>basis</w:t>
      </w:r>
      <w:r>
        <w:rPr>
          <w:b/>
          <w:color w:val="3C5A8B"/>
          <w:spacing w:val="-5"/>
          <w:sz w:val="24"/>
        </w:rPr>
        <w:t> </w:t>
      </w:r>
      <w:r>
        <w:rPr>
          <w:b/>
          <w:color w:val="3C5A8B"/>
          <w:sz w:val="24"/>
        </w:rPr>
        <w:t>to ensure compliance with PSPP</w:t>
      </w:r>
    </w:p>
    <w:p>
      <w:pPr>
        <w:pStyle w:val="ListParagraph"/>
        <w:numPr>
          <w:ilvl w:val="1"/>
          <w:numId w:val="23"/>
        </w:numPr>
        <w:tabs>
          <w:tab w:pos="1275" w:val="left" w:leader="none"/>
        </w:tabs>
        <w:spacing w:line="240" w:lineRule="auto" w:before="120" w:after="0"/>
        <w:ind w:left="1274" w:right="706" w:hanging="708"/>
        <w:jc w:val="both"/>
        <w:rPr>
          <w:sz w:val="24"/>
        </w:rPr>
      </w:pPr>
      <w:r>
        <w:rPr>
          <w:sz w:val="24"/>
        </w:rPr>
        <w:t>In January 2022 an IOH Guide was developed and circulated to all Procurement and AP staff. The guide covers all IOH processes, explains the roles and responsibilities,</w:t>
      </w:r>
      <w:r>
        <w:rPr>
          <w:spacing w:val="-14"/>
          <w:sz w:val="24"/>
        </w:rPr>
        <w:t> </w:t>
      </w:r>
      <w:r>
        <w:rPr>
          <w:sz w:val="24"/>
        </w:rPr>
        <w:t>rules</w:t>
      </w:r>
      <w:r>
        <w:rPr>
          <w:spacing w:val="-13"/>
          <w:sz w:val="24"/>
        </w:rPr>
        <w:t> </w:t>
      </w:r>
      <w:r>
        <w:rPr>
          <w:sz w:val="24"/>
        </w:rPr>
        <w:t>for</w:t>
      </w:r>
      <w:r>
        <w:rPr>
          <w:spacing w:val="-13"/>
          <w:sz w:val="24"/>
        </w:rPr>
        <w:t> </w:t>
      </w:r>
      <w:r>
        <w:rPr>
          <w:sz w:val="24"/>
        </w:rPr>
        <w:t>disputed</w:t>
      </w:r>
      <w:r>
        <w:rPr>
          <w:spacing w:val="-12"/>
          <w:sz w:val="24"/>
        </w:rPr>
        <w:t> </w:t>
      </w:r>
      <w:r>
        <w:rPr>
          <w:sz w:val="24"/>
        </w:rPr>
        <w:t>invoices</w:t>
      </w:r>
      <w:r>
        <w:rPr>
          <w:spacing w:val="-14"/>
          <w:sz w:val="24"/>
        </w:rPr>
        <w:t> </w:t>
      </w:r>
      <w:r>
        <w:rPr>
          <w:sz w:val="24"/>
        </w:rPr>
        <w:t>and</w:t>
      </w:r>
      <w:r>
        <w:rPr>
          <w:spacing w:val="-12"/>
          <w:sz w:val="24"/>
        </w:rPr>
        <w:t> </w:t>
      </w:r>
      <w:r>
        <w:rPr>
          <w:sz w:val="24"/>
        </w:rPr>
        <w:t>individual</w:t>
      </w:r>
      <w:r>
        <w:rPr>
          <w:spacing w:val="-13"/>
          <w:sz w:val="24"/>
        </w:rPr>
        <w:t> </w:t>
      </w:r>
      <w:r>
        <w:rPr>
          <w:sz w:val="24"/>
        </w:rPr>
        <w:t>working</w:t>
      </w:r>
      <w:r>
        <w:rPr>
          <w:spacing w:val="-12"/>
          <w:sz w:val="24"/>
        </w:rPr>
        <w:t> </w:t>
      </w:r>
      <w:r>
        <w:rPr>
          <w:sz w:val="24"/>
        </w:rPr>
        <w:t>instructions</w:t>
      </w:r>
      <w:r>
        <w:rPr>
          <w:spacing w:val="-14"/>
          <w:sz w:val="24"/>
        </w:rPr>
        <w:t> </w:t>
      </w:r>
      <w:r>
        <w:rPr>
          <w:sz w:val="24"/>
        </w:rPr>
        <w:t>with </w:t>
      </w:r>
      <w:r>
        <w:rPr>
          <w:spacing w:val="-2"/>
          <w:sz w:val="24"/>
        </w:rPr>
        <w:t>scenarios.</w:t>
      </w:r>
    </w:p>
    <w:p>
      <w:pPr>
        <w:pStyle w:val="ListParagraph"/>
        <w:numPr>
          <w:ilvl w:val="1"/>
          <w:numId w:val="23"/>
        </w:numPr>
        <w:tabs>
          <w:tab w:pos="1275" w:val="left" w:leader="none"/>
        </w:tabs>
        <w:spacing w:line="240" w:lineRule="auto" w:before="119" w:after="0"/>
        <w:ind w:left="1274" w:right="709" w:hanging="708"/>
        <w:jc w:val="both"/>
        <w:rPr>
          <w:sz w:val="24"/>
        </w:rPr>
      </w:pPr>
      <w:r>
        <w:rPr>
          <w:sz w:val="24"/>
        </w:rPr>
        <w:t>Sample testing of invoices on hold identified evidence to demonstrate action taken/ongoing to actively investigate, follow up and resolve invoice holds. However,</w:t>
      </w:r>
      <w:r>
        <w:rPr>
          <w:spacing w:val="18"/>
          <w:sz w:val="24"/>
        </w:rPr>
        <w:t> </w:t>
      </w:r>
      <w:r>
        <w:rPr>
          <w:sz w:val="24"/>
        </w:rPr>
        <w:t>the</w:t>
      </w:r>
      <w:r>
        <w:rPr>
          <w:spacing w:val="19"/>
          <w:sz w:val="24"/>
        </w:rPr>
        <w:t> </w:t>
      </w:r>
      <w:r>
        <w:rPr>
          <w:sz w:val="24"/>
        </w:rPr>
        <w:t>volume</w:t>
      </w:r>
      <w:r>
        <w:rPr>
          <w:spacing w:val="19"/>
          <w:sz w:val="24"/>
        </w:rPr>
        <w:t> </w:t>
      </w:r>
      <w:r>
        <w:rPr>
          <w:sz w:val="24"/>
        </w:rPr>
        <w:t>of</w:t>
      </w:r>
      <w:r>
        <w:rPr>
          <w:spacing w:val="18"/>
          <w:sz w:val="24"/>
        </w:rPr>
        <w:t> </w:t>
      </w:r>
      <w:r>
        <w:rPr>
          <w:sz w:val="24"/>
        </w:rPr>
        <w:t>purchase</w:t>
      </w:r>
      <w:r>
        <w:rPr>
          <w:spacing w:val="19"/>
          <w:sz w:val="24"/>
        </w:rPr>
        <w:t> </w:t>
      </w:r>
      <w:r>
        <w:rPr>
          <w:sz w:val="24"/>
        </w:rPr>
        <w:t>orders,</w:t>
      </w:r>
      <w:r>
        <w:rPr>
          <w:spacing w:val="18"/>
          <w:sz w:val="24"/>
        </w:rPr>
        <w:t> </w:t>
      </w:r>
      <w:r>
        <w:rPr>
          <w:sz w:val="24"/>
        </w:rPr>
        <w:t>invoices</w:t>
      </w:r>
      <w:r>
        <w:rPr>
          <w:spacing w:val="21"/>
          <w:sz w:val="24"/>
        </w:rPr>
        <w:t> </w:t>
      </w:r>
      <w:r>
        <w:rPr>
          <w:sz w:val="24"/>
        </w:rPr>
        <w:t>and</w:t>
      </w:r>
      <w:r>
        <w:rPr>
          <w:spacing w:val="20"/>
          <w:sz w:val="24"/>
        </w:rPr>
        <w:t> </w:t>
      </w:r>
      <w:r>
        <w:rPr>
          <w:sz w:val="24"/>
        </w:rPr>
        <w:t>invoice</w:t>
      </w:r>
      <w:r>
        <w:rPr>
          <w:spacing w:val="19"/>
          <w:sz w:val="24"/>
        </w:rPr>
        <w:t> </w:t>
      </w:r>
      <w:r>
        <w:rPr>
          <w:sz w:val="24"/>
        </w:rPr>
        <w:t>holds</w:t>
      </w:r>
      <w:r>
        <w:rPr>
          <w:spacing w:val="20"/>
          <w:sz w:val="24"/>
        </w:rPr>
        <w:t> </w:t>
      </w:r>
      <w:r>
        <w:rPr>
          <w:sz w:val="24"/>
        </w:rPr>
        <w:t>continue</w:t>
      </w:r>
      <w:r>
        <w:rPr>
          <w:spacing w:val="19"/>
          <w:sz w:val="24"/>
        </w:rPr>
        <w:t> </w:t>
      </w:r>
      <w:r>
        <w:rPr>
          <w:sz w:val="24"/>
        </w:rPr>
        <w:t>to</w:t>
      </w:r>
    </w:p>
    <w:p>
      <w:pPr>
        <w:spacing w:after="0" w:line="240" w:lineRule="auto"/>
        <w:jc w:val="both"/>
        <w:rPr>
          <w:sz w:val="24"/>
        </w:rPr>
        <w:sectPr>
          <w:footerReference w:type="default" r:id="rId87"/>
          <w:pgSz w:w="11910" w:h="16840"/>
          <w:pgMar w:footer="770" w:header="0" w:top="880" w:bottom="960" w:left="0" w:right="0"/>
        </w:sectPr>
      </w:pPr>
    </w:p>
    <w:p>
      <w:pPr>
        <w:pStyle w:val="BodyText"/>
        <w:tabs>
          <w:tab w:pos="7890" w:val="left" w:leader="none"/>
        </w:tabs>
        <w:spacing w:before="86"/>
        <w:ind w:left="566"/>
      </w:pPr>
      <w:r>
        <w:rPr/>
        <w:t>Accounts</w:t>
      </w:r>
      <w:r>
        <w:rPr>
          <w:spacing w:val="-2"/>
        </w:rPr>
        <w:t> Payable</w:t>
      </w:r>
      <w:r>
        <w:rPr/>
        <w:tab/>
        <w:t>Final</w:t>
      </w:r>
      <w:r>
        <w:rPr>
          <w:spacing w:val="-6"/>
        </w:rPr>
        <w:t> </w:t>
      </w:r>
      <w:r>
        <w:rPr/>
        <w:t>Internal</w:t>
      </w:r>
      <w:r>
        <w:rPr>
          <w:spacing w:val="-3"/>
        </w:rPr>
        <w:t> </w:t>
      </w:r>
      <w:r>
        <w:rPr/>
        <w:t>Audit</w:t>
      </w:r>
      <w:r>
        <w:rPr>
          <w:spacing w:val="-1"/>
        </w:rPr>
        <w:t> </w:t>
      </w:r>
      <w:r>
        <w:rPr>
          <w:spacing w:val="-2"/>
        </w:rPr>
        <w:t>Report</w:t>
      </w:r>
    </w:p>
    <w:p>
      <w:pPr>
        <w:pStyle w:val="BodyText"/>
        <w:rPr>
          <w:sz w:val="20"/>
        </w:rPr>
      </w:pPr>
      <w:r>
        <w:rPr/>
        <w:pict>
          <v:shape style="position:absolute;margin-left:27.6pt;margin-top:13.355979pt;width:532.450pt;height:1.45pt;mso-position-horizontal-relative:page;mso-position-vertical-relative:paragraph;z-index:-15667200;mso-wrap-distance-left:0;mso-wrap-distance-right:0" id="docshape239" coordorigin="552,267" coordsize="10649,29" path="m11200,267l5943,267,5929,267,5915,267,552,267,552,296,5915,296,5929,296,5943,296,11200,296,11200,267xe" filled="true" fillcolor="#000000" stroked="false">
            <v:path arrowok="t"/>
            <v:fill type="solid"/>
            <w10:wrap type="topAndBottom"/>
          </v:shape>
        </w:pict>
      </w:r>
    </w:p>
    <w:p>
      <w:pPr>
        <w:pStyle w:val="BodyText"/>
        <w:spacing w:before="11"/>
        <w:rPr>
          <w:sz w:val="19"/>
        </w:rPr>
      </w:pPr>
    </w:p>
    <w:p>
      <w:pPr>
        <w:pStyle w:val="BodyText"/>
        <w:spacing w:before="100"/>
        <w:ind w:left="1274" w:right="705"/>
        <w:jc w:val="both"/>
      </w:pPr>
      <w:r>
        <w:rPr/>
        <w:t>rise, with the November 2022 position (37,145 invoices on hold) representing a 20% increase in invoice holds since January 2022.</w:t>
      </w:r>
      <w:r>
        <w:rPr>
          <w:spacing w:val="40"/>
        </w:rPr>
        <w:t> </w:t>
      </w:r>
      <w:r>
        <w:rPr/>
        <w:t>Less than 30% of these are marked as in dispute with the supplier. Figure 1 illustrates the volume of invoices on hold for more than 30 days, over a four-year period:</w:t>
      </w:r>
    </w:p>
    <w:p>
      <w:pPr>
        <w:pStyle w:val="BodyText"/>
        <w:spacing w:before="2"/>
        <w:rPr>
          <w:sz w:val="7"/>
        </w:rPr>
      </w:pPr>
      <w:r>
        <w:rPr/>
        <w:pict>
          <v:group style="position:absolute;margin-left:63.424999pt;margin-top:5.593408pt;width:498pt;height:230.25pt;mso-position-horizontal-relative:page;mso-position-vertical-relative:paragraph;z-index:-15666688;mso-wrap-distance-left:0;mso-wrap-distance-right:0" id="docshapegroup240" coordorigin="1268,112" coordsize="9960,4605">
            <v:shape style="position:absolute;left:2029;top:1592;width:8972;height:1829" id="docshape241" coordorigin="2029,1592" coordsize="8972,1829" path="m2029,3421l11001,3421m2029,3056l11001,3056m2029,2691l11001,2691m2029,2324l11001,2324m2029,1959l11001,1959m2029,1592l11001,1592e" filled="false" stroked="true" strokeweight=".75pt" strokecolor="#d9d9d9">
              <v:path arrowok="t"/>
              <v:stroke dashstyle="solid"/>
            </v:shape>
            <v:shape style="position:absolute;left:2402;top:1603;width:8225;height:286" id="docshape242" coordorigin="2403,1604" coordsize="8225,286" path="m2403,1825l3151,1758,3898,1889,4646,1875,5393,1796,6142,1813,6888,1883,7637,1871,8383,1604,9132,1777,9878,1767,10627,1839e" filled="false" stroked="true" strokeweight="2.25pt" strokecolor="#4471c4">
              <v:path arrowok="t"/>
              <v:stroke dashstyle="solid"/>
            </v:shape>
            <v:shape style="position:absolute;left:2402;top:1971;width:8225;height:503" id="docshape243" coordorigin="2403,1971" coordsize="8225,503" path="m2403,2269l3151,1971,3898,2430,4646,2474,5393,2437,6142,2463,6888,2288,7637,2305,8383,2101,9132,2276,9878,2204,10627,2298e" filled="false" stroked="true" strokeweight="2.25pt" strokecolor="#ec7c30">
              <v:path arrowok="t"/>
              <v:stroke dashstyle="solid"/>
            </v:shape>
            <v:line style="position:absolute" from="2029,1227" to="11001,1227" stroked="true" strokeweight=".75pt" strokecolor="#d9d9d9">
              <v:stroke dashstyle="solid"/>
            </v:line>
            <v:shape style="position:absolute;left:2402;top:1224;width:8225;height:819" id="docshape244" coordorigin="2403,1225" coordsize="8225,819" path="m2403,2044l3151,1933,3898,2027,4646,2003,5393,1880,6142,1758,6888,1607,7637,1633,8383,1225,9132,1525,9878,1455,10627,1393e" filled="false" stroked="true" strokeweight="2.25pt" strokecolor="#a4a4a4">
              <v:path arrowok="t"/>
              <v:stroke dashstyle="solid"/>
            </v:shape>
            <v:shape style="position:absolute;left:2402;top:1070;width:5234;height:304" id="docshape245" coordorigin="2403,1070" coordsize="5234,304" path="m2403,1194l3151,1155,3898,1211,4646,1374,5393,1343,6142,1244,6888,1177,7636,1070e" filled="false" stroked="true" strokeweight="2.25pt" strokecolor="#ffc000">
              <v:path arrowok="t"/>
              <v:stroke dashstyle="solid"/>
            </v:shape>
            <v:shape style="position:absolute;left:2029;top:861;width:8972;height:2927" id="docshape246" coordorigin="2029,861" coordsize="8972,2927" path="m2029,861l11001,861m2029,3788l11001,3788e" filled="false" stroked="true" strokeweight=".75pt" strokecolor="#d9d9d9">
              <v:path arrowok="t"/>
              <v:stroke dashstyle="solid"/>
            </v:shape>
            <v:line style="position:absolute" from="3855,4421" to="4239,4421" stroked="true" strokeweight="2.25pt" strokecolor="#4471c4">
              <v:stroke dashstyle="solid"/>
            </v:line>
            <v:line style="position:absolute" from="5127,4421" to="5511,4421" stroked="true" strokeweight="2.25pt" strokecolor="#ec7c30">
              <v:stroke dashstyle="solid"/>
            </v:line>
            <v:line style="position:absolute" from="6399,4421" to="6783,4421" stroked="true" strokeweight="2.25pt" strokecolor="#a4a4a4">
              <v:stroke dashstyle="solid"/>
            </v:line>
            <v:line style="position:absolute" from="7671,4421" to="8055,4421" stroked="true" strokeweight="2.25pt" strokecolor="#ffc000">
              <v:stroke dashstyle="solid"/>
            </v:line>
            <v:rect style="position:absolute;left:1276;top:119;width:9945;height:4590" id="docshape247" filled="false" stroked="true" strokeweight=".75pt" strokecolor="#d9d9d9">
              <v:stroke dashstyle="solid"/>
            </v:rect>
            <v:shape style="position:absolute;left:4244;top:325;width:4029;height:281" type="#_x0000_t202" id="docshape248" filled="false" stroked="false">
              <v:textbox inset="0,0,0,0">
                <w:txbxContent>
                  <w:p>
                    <w:pPr>
                      <w:spacing w:line="281" w:lineRule="exact" w:before="0"/>
                      <w:ind w:left="0" w:right="0" w:firstLine="0"/>
                      <w:jc w:val="left"/>
                      <w:rPr>
                        <w:rFonts w:ascii="Calibri"/>
                        <w:sz w:val="28"/>
                      </w:rPr>
                    </w:pPr>
                    <w:r>
                      <w:rPr>
                        <w:rFonts w:ascii="Calibri"/>
                        <w:color w:val="585858"/>
                        <w:sz w:val="28"/>
                      </w:rPr>
                      <w:t>Invoices</w:t>
                    </w:r>
                    <w:r>
                      <w:rPr>
                        <w:rFonts w:ascii="Calibri"/>
                        <w:color w:val="585858"/>
                        <w:spacing w:val="-5"/>
                        <w:sz w:val="28"/>
                      </w:rPr>
                      <w:t> </w:t>
                    </w:r>
                    <w:r>
                      <w:rPr>
                        <w:rFonts w:ascii="Calibri"/>
                        <w:color w:val="585858"/>
                        <w:sz w:val="28"/>
                      </w:rPr>
                      <w:t>on</w:t>
                    </w:r>
                    <w:r>
                      <w:rPr>
                        <w:rFonts w:ascii="Calibri"/>
                        <w:color w:val="585858"/>
                        <w:spacing w:val="-6"/>
                        <w:sz w:val="28"/>
                      </w:rPr>
                      <w:t> </w:t>
                    </w:r>
                    <w:r>
                      <w:rPr>
                        <w:rFonts w:ascii="Calibri"/>
                        <w:color w:val="585858"/>
                        <w:sz w:val="28"/>
                      </w:rPr>
                      <w:t>hold</w:t>
                    </w:r>
                    <w:r>
                      <w:rPr>
                        <w:rFonts w:ascii="Calibri"/>
                        <w:color w:val="585858"/>
                        <w:spacing w:val="-4"/>
                        <w:sz w:val="28"/>
                      </w:rPr>
                      <w:t> </w:t>
                    </w:r>
                    <w:r>
                      <w:rPr>
                        <w:rFonts w:ascii="Calibri"/>
                        <w:color w:val="585858"/>
                        <w:sz w:val="28"/>
                      </w:rPr>
                      <w:t>older</w:t>
                    </w:r>
                    <w:r>
                      <w:rPr>
                        <w:rFonts w:ascii="Calibri"/>
                        <w:color w:val="585858"/>
                        <w:spacing w:val="-8"/>
                        <w:sz w:val="28"/>
                      </w:rPr>
                      <w:t> </w:t>
                    </w:r>
                    <w:r>
                      <w:rPr>
                        <w:rFonts w:ascii="Calibri"/>
                        <w:color w:val="585858"/>
                        <w:sz w:val="28"/>
                      </w:rPr>
                      <w:t>than</w:t>
                    </w:r>
                    <w:r>
                      <w:rPr>
                        <w:rFonts w:ascii="Calibri"/>
                        <w:color w:val="585858"/>
                        <w:spacing w:val="-4"/>
                        <w:sz w:val="28"/>
                      </w:rPr>
                      <w:t> </w:t>
                    </w:r>
                    <w:r>
                      <w:rPr>
                        <w:rFonts w:ascii="Calibri"/>
                        <w:color w:val="585858"/>
                        <w:sz w:val="28"/>
                      </w:rPr>
                      <w:t>30</w:t>
                    </w:r>
                    <w:r>
                      <w:rPr>
                        <w:rFonts w:ascii="Calibri"/>
                        <w:color w:val="585858"/>
                        <w:spacing w:val="-4"/>
                        <w:sz w:val="28"/>
                      </w:rPr>
                      <w:t> days</w:t>
                    </w:r>
                  </w:p>
                </w:txbxContent>
              </v:textbox>
              <w10:wrap type="none"/>
            </v:shape>
            <v:shape style="position:absolute;left:1406;top:777;width:477;height:3107" type="#_x0000_t202" id="docshape249" filled="false" stroked="false">
              <v:textbox inset="0,0,0,0">
                <w:txbxContent>
                  <w:p>
                    <w:pPr>
                      <w:spacing w:line="183" w:lineRule="exact" w:before="0"/>
                      <w:ind w:left="0" w:right="18" w:firstLine="0"/>
                      <w:jc w:val="right"/>
                      <w:rPr>
                        <w:rFonts w:ascii="Calibri"/>
                        <w:sz w:val="18"/>
                      </w:rPr>
                    </w:pPr>
                    <w:r>
                      <w:rPr>
                        <w:rFonts w:ascii="Calibri"/>
                        <w:color w:val="585858"/>
                        <w:spacing w:val="-2"/>
                        <w:sz w:val="18"/>
                      </w:rPr>
                      <w:t>40000</w:t>
                    </w:r>
                  </w:p>
                  <w:p>
                    <w:pPr>
                      <w:spacing w:before="146"/>
                      <w:ind w:left="0" w:right="0" w:firstLine="0"/>
                      <w:jc w:val="left"/>
                      <w:rPr>
                        <w:rFonts w:ascii="Calibri"/>
                        <w:sz w:val="18"/>
                      </w:rPr>
                    </w:pPr>
                    <w:r>
                      <w:rPr>
                        <w:rFonts w:ascii="Calibri"/>
                        <w:color w:val="585858"/>
                        <w:spacing w:val="-2"/>
                        <w:sz w:val="18"/>
                      </w:rPr>
                      <w:t>35000</w:t>
                    </w:r>
                  </w:p>
                  <w:p>
                    <w:pPr>
                      <w:spacing w:before="146"/>
                      <w:ind w:left="0" w:right="0" w:firstLine="0"/>
                      <w:jc w:val="left"/>
                      <w:rPr>
                        <w:rFonts w:ascii="Calibri"/>
                        <w:sz w:val="18"/>
                      </w:rPr>
                    </w:pPr>
                    <w:r>
                      <w:rPr>
                        <w:rFonts w:ascii="Calibri"/>
                        <w:color w:val="585858"/>
                        <w:spacing w:val="-2"/>
                        <w:sz w:val="18"/>
                      </w:rPr>
                      <w:t>30000</w:t>
                    </w:r>
                  </w:p>
                  <w:p>
                    <w:pPr>
                      <w:spacing w:before="146"/>
                      <w:ind w:left="0" w:right="0" w:firstLine="0"/>
                      <w:jc w:val="left"/>
                      <w:rPr>
                        <w:rFonts w:ascii="Calibri"/>
                        <w:sz w:val="18"/>
                      </w:rPr>
                    </w:pPr>
                    <w:r>
                      <w:rPr>
                        <w:rFonts w:ascii="Calibri"/>
                        <w:color w:val="585858"/>
                        <w:spacing w:val="-2"/>
                        <w:sz w:val="18"/>
                      </w:rPr>
                      <w:t>25000</w:t>
                    </w:r>
                  </w:p>
                  <w:p>
                    <w:pPr>
                      <w:spacing w:before="146"/>
                      <w:ind w:left="0" w:right="0" w:firstLine="0"/>
                      <w:jc w:val="left"/>
                      <w:rPr>
                        <w:rFonts w:ascii="Calibri"/>
                        <w:sz w:val="18"/>
                      </w:rPr>
                    </w:pPr>
                    <w:r>
                      <w:rPr>
                        <w:rFonts w:ascii="Calibri"/>
                        <w:color w:val="585858"/>
                        <w:spacing w:val="-2"/>
                        <w:sz w:val="18"/>
                      </w:rPr>
                      <w:t>20000</w:t>
                    </w:r>
                  </w:p>
                  <w:p>
                    <w:pPr>
                      <w:spacing w:before="146"/>
                      <w:ind w:left="0" w:right="0" w:firstLine="0"/>
                      <w:jc w:val="left"/>
                      <w:rPr>
                        <w:rFonts w:ascii="Calibri"/>
                        <w:sz w:val="18"/>
                      </w:rPr>
                    </w:pPr>
                    <w:r>
                      <w:rPr>
                        <w:rFonts w:ascii="Calibri"/>
                        <w:color w:val="585858"/>
                        <w:spacing w:val="-2"/>
                        <w:sz w:val="18"/>
                      </w:rPr>
                      <w:t>15000</w:t>
                    </w:r>
                  </w:p>
                  <w:p>
                    <w:pPr>
                      <w:spacing w:before="146"/>
                      <w:ind w:left="0" w:right="0" w:firstLine="0"/>
                      <w:jc w:val="left"/>
                      <w:rPr>
                        <w:rFonts w:ascii="Calibri"/>
                        <w:sz w:val="18"/>
                      </w:rPr>
                    </w:pPr>
                    <w:r>
                      <w:rPr>
                        <w:rFonts w:ascii="Calibri"/>
                        <w:color w:val="585858"/>
                        <w:spacing w:val="-2"/>
                        <w:sz w:val="18"/>
                      </w:rPr>
                      <w:t>10000</w:t>
                    </w:r>
                  </w:p>
                  <w:p>
                    <w:pPr>
                      <w:spacing w:before="147"/>
                      <w:ind w:left="91" w:right="0" w:firstLine="0"/>
                      <w:jc w:val="left"/>
                      <w:rPr>
                        <w:rFonts w:ascii="Calibri"/>
                        <w:sz w:val="18"/>
                      </w:rPr>
                    </w:pPr>
                    <w:r>
                      <w:rPr>
                        <w:rFonts w:ascii="Calibri"/>
                        <w:color w:val="585858"/>
                        <w:spacing w:val="-4"/>
                        <w:sz w:val="18"/>
                      </w:rPr>
                      <w:t>5000</w:t>
                    </w:r>
                  </w:p>
                  <w:p>
                    <w:pPr>
                      <w:spacing w:line="216" w:lineRule="exact" w:before="146"/>
                      <w:ind w:left="0" w:right="18" w:firstLine="0"/>
                      <w:jc w:val="right"/>
                      <w:rPr>
                        <w:rFonts w:ascii="Calibri"/>
                        <w:sz w:val="18"/>
                      </w:rPr>
                    </w:pPr>
                    <w:r>
                      <w:rPr>
                        <w:rFonts w:ascii="Calibri"/>
                        <w:color w:val="585858"/>
                        <w:sz w:val="18"/>
                      </w:rPr>
                      <w:t>0</w:t>
                    </w:r>
                  </w:p>
                </w:txbxContent>
              </v:textbox>
              <w10:wrap type="none"/>
            </v:shape>
            <v:shape style="position:absolute;left:2272;top:3938;width:282;height:180" type="#_x0000_t202" id="docshape250"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Apr</w:t>
                    </w:r>
                  </w:p>
                </w:txbxContent>
              </v:textbox>
              <w10:wrap type="none"/>
            </v:shape>
            <v:shape style="position:absolute;left:2990;top:3938;width:342;height:180" type="#_x0000_t202" id="docshape251"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May</w:t>
                    </w:r>
                  </w:p>
                </w:txbxContent>
              </v:textbox>
              <w10:wrap type="none"/>
            </v:shape>
            <v:shape style="position:absolute;left:3775;top:3938;width:266;height:180" type="#_x0000_t202" id="docshape252"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Jun</w:t>
                    </w:r>
                  </w:p>
                </w:txbxContent>
              </v:textbox>
              <w10:wrap type="none"/>
            </v:shape>
            <v:shape style="position:absolute;left:4550;top:3938;width:213;height:180" type="#_x0000_t202" id="docshape253"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Jul</w:t>
                    </w:r>
                  </w:p>
                </w:txbxContent>
              </v:textbox>
              <w10:wrap type="none"/>
            </v:shape>
            <v:shape style="position:absolute;left:5252;top:3938;width:304;height:180" type="#_x0000_t202" id="docshape254"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Aug</w:t>
                    </w:r>
                  </w:p>
                </w:txbxContent>
              </v:textbox>
              <w10:wrap type="none"/>
            </v:shape>
            <v:shape style="position:absolute;left:6008;top:3938;width:288;height:180" type="#_x0000_t202" id="docshape255"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Sep</w:t>
                    </w:r>
                  </w:p>
                </w:txbxContent>
              </v:textbox>
              <w10:wrap type="none"/>
            </v:shape>
            <v:shape style="position:absolute;left:6762;top:3938;width:275;height:180" type="#_x0000_t202" id="docshape256"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Oct</w:t>
                    </w:r>
                  </w:p>
                </w:txbxContent>
              </v:textbox>
              <w10:wrap type="none"/>
            </v:shape>
            <v:shape style="position:absolute;left:7491;top:3938;width:313;height:180" type="#_x0000_t202" id="docshape257"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Nov</w:t>
                    </w:r>
                  </w:p>
                </w:txbxContent>
              </v:textbox>
              <w10:wrap type="none"/>
            </v:shape>
            <v:shape style="position:absolute;left:8247;top:3938;width:296;height:180" type="#_x0000_t202" id="docshape258"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Dec</w:t>
                    </w:r>
                  </w:p>
                </w:txbxContent>
              </v:textbox>
              <w10:wrap type="none"/>
            </v:shape>
            <v:shape style="position:absolute;left:9014;top:3938;width:259;height:180" type="#_x0000_t202" id="docshape259"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Jan</w:t>
                    </w:r>
                  </w:p>
                </w:txbxContent>
              </v:textbox>
              <w10:wrap type="none"/>
            </v:shape>
            <v:shape style="position:absolute;left:9747;top:3938;width:288;height:180" type="#_x0000_t202" id="docshape260"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Feb</w:t>
                    </w:r>
                  </w:p>
                </w:txbxContent>
              </v:textbox>
              <w10:wrap type="none"/>
            </v:shape>
            <v:shape style="position:absolute;left:10477;top:3938;width:323;height:180" type="#_x0000_t202" id="docshape261"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Mar</w:t>
                    </w:r>
                  </w:p>
                </w:txbxContent>
              </v:textbox>
              <w10:wrap type="none"/>
            </v:shape>
            <v:shape style="position:absolute;left:4280;top:4337;width:637;height:180" type="#_x0000_t202" id="docshape262" filled="false" stroked="false">
              <v:textbox inset="0,0,0,0">
                <w:txbxContent>
                  <w:p>
                    <w:pPr>
                      <w:spacing w:line="180" w:lineRule="exact" w:before="0"/>
                      <w:ind w:left="0" w:right="0" w:firstLine="0"/>
                      <w:jc w:val="left"/>
                      <w:rPr>
                        <w:rFonts w:ascii="Calibri"/>
                        <w:sz w:val="18"/>
                      </w:rPr>
                    </w:pPr>
                    <w:r>
                      <w:rPr>
                        <w:rFonts w:ascii="Calibri"/>
                        <w:color w:val="585858"/>
                        <w:spacing w:val="-2"/>
                        <w:sz w:val="18"/>
                      </w:rPr>
                      <w:t>2019/20</w:t>
                    </w:r>
                  </w:p>
                </w:txbxContent>
              </v:textbox>
              <w10:wrap type="none"/>
            </v:shape>
            <v:shape style="position:absolute;left:5552;top:4337;width:637;height:180" type="#_x0000_t202" id="docshape263" filled="false" stroked="false">
              <v:textbox inset="0,0,0,0">
                <w:txbxContent>
                  <w:p>
                    <w:pPr>
                      <w:spacing w:line="180" w:lineRule="exact" w:before="0"/>
                      <w:ind w:left="0" w:right="0" w:firstLine="0"/>
                      <w:jc w:val="left"/>
                      <w:rPr>
                        <w:rFonts w:ascii="Calibri"/>
                        <w:sz w:val="18"/>
                      </w:rPr>
                    </w:pPr>
                    <w:r>
                      <w:rPr>
                        <w:rFonts w:ascii="Calibri"/>
                        <w:color w:val="585858"/>
                        <w:spacing w:val="-2"/>
                        <w:sz w:val="18"/>
                      </w:rPr>
                      <w:t>2020/21</w:t>
                    </w:r>
                  </w:p>
                </w:txbxContent>
              </v:textbox>
              <w10:wrap type="none"/>
            </v:shape>
            <v:shape style="position:absolute;left:6825;top:4337;width:637;height:180" type="#_x0000_t202" id="docshape264" filled="false" stroked="false">
              <v:textbox inset="0,0,0,0">
                <w:txbxContent>
                  <w:p>
                    <w:pPr>
                      <w:spacing w:line="180" w:lineRule="exact" w:before="0"/>
                      <w:ind w:left="0" w:right="0" w:firstLine="0"/>
                      <w:jc w:val="left"/>
                      <w:rPr>
                        <w:rFonts w:ascii="Calibri"/>
                        <w:sz w:val="18"/>
                      </w:rPr>
                    </w:pPr>
                    <w:r>
                      <w:rPr>
                        <w:rFonts w:ascii="Calibri"/>
                        <w:color w:val="585858"/>
                        <w:spacing w:val="-2"/>
                        <w:sz w:val="18"/>
                      </w:rPr>
                      <w:t>2021/22</w:t>
                    </w:r>
                  </w:p>
                </w:txbxContent>
              </v:textbox>
              <w10:wrap type="none"/>
            </v:shape>
            <v:shape style="position:absolute;left:8097;top:4337;width:637;height:180" type="#_x0000_t202" id="docshape265" filled="false" stroked="false">
              <v:textbox inset="0,0,0,0">
                <w:txbxContent>
                  <w:p>
                    <w:pPr>
                      <w:spacing w:line="180" w:lineRule="exact" w:before="0"/>
                      <w:ind w:left="0" w:right="0" w:firstLine="0"/>
                      <w:jc w:val="left"/>
                      <w:rPr>
                        <w:rFonts w:ascii="Calibri"/>
                        <w:sz w:val="18"/>
                      </w:rPr>
                    </w:pPr>
                    <w:r>
                      <w:rPr>
                        <w:rFonts w:ascii="Calibri"/>
                        <w:color w:val="585858"/>
                        <w:spacing w:val="-2"/>
                        <w:sz w:val="18"/>
                      </w:rPr>
                      <w:t>2022/23</w:t>
                    </w:r>
                  </w:p>
                </w:txbxContent>
              </v:textbox>
              <w10:wrap type="none"/>
            </v:shape>
            <w10:wrap type="topAndBottom"/>
          </v:group>
        </w:pict>
      </w:r>
    </w:p>
    <w:p>
      <w:pPr>
        <w:pStyle w:val="ListParagraph"/>
        <w:numPr>
          <w:ilvl w:val="1"/>
          <w:numId w:val="23"/>
        </w:numPr>
        <w:tabs>
          <w:tab w:pos="1287" w:val="left" w:leader="none"/>
        </w:tabs>
        <w:spacing w:line="240" w:lineRule="auto" w:before="112" w:after="0"/>
        <w:ind w:left="1286" w:right="703" w:hanging="720"/>
        <w:jc w:val="both"/>
        <w:rPr>
          <w:sz w:val="24"/>
        </w:rPr>
      </w:pPr>
      <w:r>
        <w:rPr>
          <w:sz w:val="24"/>
        </w:rPr>
        <w:t>The 2021/22 internal audit recommended that a deep dive review is undertaken to establish the root cause of key invoice holds (e.g. price holds) and identify corrective action to prevent recurrence. An exercise is underway focusing on invoices on hold prior to 1 April 2021.</w:t>
      </w:r>
    </w:p>
    <w:p>
      <w:pPr>
        <w:pStyle w:val="ListParagraph"/>
        <w:numPr>
          <w:ilvl w:val="1"/>
          <w:numId w:val="23"/>
        </w:numPr>
        <w:tabs>
          <w:tab w:pos="1275" w:val="left" w:leader="none"/>
        </w:tabs>
        <w:spacing w:line="240" w:lineRule="auto" w:before="123" w:after="0"/>
        <w:ind w:left="1274" w:right="702" w:hanging="708"/>
        <w:jc w:val="both"/>
        <w:rPr>
          <w:sz w:val="24"/>
        </w:rPr>
      </w:pPr>
      <w:r>
        <w:rPr>
          <w:sz w:val="24"/>
        </w:rPr>
        <w:t>In addition, the NWSSP P2P Group requested that the eEnablement team review the</w:t>
      </w:r>
      <w:r>
        <w:rPr>
          <w:spacing w:val="-2"/>
          <w:sz w:val="24"/>
        </w:rPr>
        <w:t> </w:t>
      </w:r>
      <w:r>
        <w:rPr>
          <w:sz w:val="24"/>
        </w:rPr>
        <w:t>top</w:t>
      </w:r>
      <w:r>
        <w:rPr>
          <w:spacing w:val="-3"/>
          <w:sz w:val="24"/>
        </w:rPr>
        <w:t> </w:t>
      </w:r>
      <w:r>
        <w:rPr>
          <w:sz w:val="24"/>
        </w:rPr>
        <w:t>ten</w:t>
      </w:r>
      <w:r>
        <w:rPr>
          <w:spacing w:val="-1"/>
          <w:sz w:val="24"/>
        </w:rPr>
        <w:t> </w:t>
      </w:r>
      <w:r>
        <w:rPr>
          <w:sz w:val="24"/>
        </w:rPr>
        <w:t>suppliers</w:t>
      </w:r>
      <w:r>
        <w:rPr>
          <w:spacing w:val="-3"/>
          <w:sz w:val="24"/>
        </w:rPr>
        <w:t> </w:t>
      </w:r>
      <w:r>
        <w:rPr>
          <w:sz w:val="24"/>
        </w:rPr>
        <w:t>with</w:t>
      </w:r>
      <w:r>
        <w:rPr>
          <w:spacing w:val="-1"/>
          <w:sz w:val="24"/>
        </w:rPr>
        <w:t> </w:t>
      </w:r>
      <w:r>
        <w:rPr>
          <w:sz w:val="24"/>
        </w:rPr>
        <w:t>price</w:t>
      </w:r>
      <w:r>
        <w:rPr>
          <w:spacing w:val="-2"/>
          <w:sz w:val="24"/>
        </w:rPr>
        <w:t> </w:t>
      </w:r>
      <w:r>
        <w:rPr>
          <w:sz w:val="24"/>
        </w:rPr>
        <w:t>holds.</w:t>
      </w:r>
      <w:r>
        <w:rPr>
          <w:spacing w:val="-2"/>
          <w:sz w:val="24"/>
        </w:rPr>
        <w:t> </w:t>
      </w:r>
      <w:r>
        <w:rPr>
          <w:sz w:val="24"/>
        </w:rPr>
        <w:t>The</w:t>
      </w:r>
      <w:r>
        <w:rPr>
          <w:spacing w:val="-2"/>
          <w:sz w:val="24"/>
        </w:rPr>
        <w:t> </w:t>
      </w:r>
      <w:r>
        <w:rPr>
          <w:sz w:val="24"/>
        </w:rPr>
        <w:t>aim</w:t>
      </w:r>
      <w:r>
        <w:rPr>
          <w:spacing w:val="-3"/>
          <w:sz w:val="24"/>
        </w:rPr>
        <w:t> </w:t>
      </w:r>
      <w:r>
        <w:rPr>
          <w:sz w:val="24"/>
        </w:rPr>
        <w:t>of</w:t>
      </w:r>
      <w:r>
        <w:rPr>
          <w:spacing w:val="-2"/>
          <w:sz w:val="24"/>
        </w:rPr>
        <w:t> </w:t>
      </w:r>
      <w:r>
        <w:rPr>
          <w:sz w:val="24"/>
        </w:rPr>
        <w:t>the</w:t>
      </w:r>
      <w:r>
        <w:rPr>
          <w:spacing w:val="-2"/>
          <w:sz w:val="24"/>
        </w:rPr>
        <w:t> </w:t>
      </w:r>
      <w:r>
        <w:rPr>
          <w:sz w:val="24"/>
        </w:rPr>
        <w:t>review</w:t>
      </w:r>
      <w:r>
        <w:rPr>
          <w:spacing w:val="-3"/>
          <w:sz w:val="24"/>
        </w:rPr>
        <w:t> </w:t>
      </w:r>
      <w:r>
        <w:rPr>
          <w:sz w:val="24"/>
        </w:rPr>
        <w:t>is</w:t>
      </w:r>
      <w:r>
        <w:rPr>
          <w:spacing w:val="-3"/>
          <w:sz w:val="24"/>
        </w:rPr>
        <w:t> </w:t>
      </w:r>
      <w:r>
        <w:rPr>
          <w:sz w:val="24"/>
        </w:rPr>
        <w:t>to develop</w:t>
      </w:r>
      <w:r>
        <w:rPr>
          <w:spacing w:val="-2"/>
          <w:sz w:val="24"/>
        </w:rPr>
        <w:t> </w:t>
      </w:r>
      <w:r>
        <w:rPr>
          <w:sz w:val="24"/>
        </w:rPr>
        <w:t>ways</w:t>
      </w:r>
      <w:r>
        <w:rPr>
          <w:spacing w:val="-3"/>
          <w:sz w:val="24"/>
        </w:rPr>
        <w:t> </w:t>
      </w:r>
      <w:r>
        <w:rPr>
          <w:sz w:val="24"/>
        </w:rPr>
        <w:t>of identifying issues / root causes in order to reduce the volume of IOH; release as many holds as possible; and develop a process and guidance for teams. This process is ongoing and will take time to impact on invoice hold volumes. Recognising this, no further recommendations are raised in respect of invoice </w:t>
      </w:r>
      <w:r>
        <w:rPr>
          <w:spacing w:val="-2"/>
          <w:sz w:val="24"/>
        </w:rPr>
        <w:t>holds.</w:t>
      </w:r>
    </w:p>
    <w:p>
      <w:pPr>
        <w:pStyle w:val="ListParagraph"/>
        <w:numPr>
          <w:ilvl w:val="1"/>
          <w:numId w:val="23"/>
        </w:numPr>
        <w:tabs>
          <w:tab w:pos="1275" w:val="left" w:leader="none"/>
        </w:tabs>
        <w:spacing w:line="240" w:lineRule="auto" w:before="118" w:after="0"/>
        <w:ind w:left="1274" w:right="712" w:hanging="708"/>
        <w:jc w:val="both"/>
        <w:rPr>
          <w:sz w:val="24"/>
        </w:rPr>
      </w:pPr>
      <w:r>
        <w:rPr>
          <w:sz w:val="24"/>
        </w:rPr>
        <w:t>The AP Team are responsible for releasing and in some cases resolving many of the invoice holds. However, addressing the root cause of the hold predominantly rests with Procurement and health bodies, for example:</w:t>
      </w:r>
    </w:p>
    <w:p>
      <w:pPr>
        <w:pStyle w:val="BodyText"/>
        <w:spacing w:before="5"/>
        <w:rPr>
          <w:sz w:val="13"/>
        </w:rPr>
      </w:pPr>
    </w:p>
    <w:tbl>
      <w:tblPr>
        <w:tblW w:w="0" w:type="auto"/>
        <w:jc w:val="left"/>
        <w:tblCellSpacing w:w="21" w:type="dxa"/>
        <w:tblInd w:w="1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103"/>
        <w:gridCol w:w="1136"/>
        <w:gridCol w:w="1277"/>
        <w:gridCol w:w="5368"/>
      </w:tblGrid>
      <w:tr>
        <w:trPr>
          <w:trHeight w:val="483" w:hRule="atLeast"/>
        </w:trPr>
        <w:tc>
          <w:tcPr>
            <w:tcW w:w="2081" w:type="dxa"/>
            <w:tcBorders>
              <w:top w:val="nil"/>
              <w:left w:val="nil"/>
            </w:tcBorders>
            <w:shd w:val="clear" w:color="auto" w:fill="001F5F"/>
          </w:tcPr>
          <w:p>
            <w:pPr>
              <w:pStyle w:val="TableParagraph"/>
              <w:spacing w:before="123"/>
              <w:ind w:left="86"/>
              <w:rPr>
                <w:b/>
                <w:sz w:val="20"/>
              </w:rPr>
            </w:pPr>
            <w:r>
              <w:rPr>
                <w:b/>
                <w:color w:val="FFFFFF"/>
                <w:spacing w:val="-4"/>
                <w:sz w:val="20"/>
              </w:rPr>
              <w:t>Hold</w:t>
            </w:r>
          </w:p>
        </w:tc>
        <w:tc>
          <w:tcPr>
            <w:tcW w:w="1093" w:type="dxa"/>
            <w:tcBorders>
              <w:top w:val="nil"/>
            </w:tcBorders>
            <w:shd w:val="clear" w:color="auto" w:fill="001F5F"/>
          </w:tcPr>
          <w:p>
            <w:pPr>
              <w:pStyle w:val="TableParagraph"/>
              <w:spacing w:before="123"/>
              <w:ind w:left="86"/>
              <w:rPr>
                <w:b/>
                <w:sz w:val="20"/>
              </w:rPr>
            </w:pPr>
            <w:r>
              <w:rPr>
                <w:b/>
                <w:color w:val="FFFFFF"/>
                <w:spacing w:val="-2"/>
                <w:sz w:val="20"/>
              </w:rPr>
              <w:t>Volume</w:t>
            </w:r>
          </w:p>
        </w:tc>
        <w:tc>
          <w:tcPr>
            <w:tcW w:w="1234" w:type="dxa"/>
            <w:tcBorders>
              <w:top w:val="nil"/>
            </w:tcBorders>
            <w:shd w:val="clear" w:color="auto" w:fill="001F5F"/>
          </w:tcPr>
          <w:p>
            <w:pPr>
              <w:pStyle w:val="TableParagraph"/>
              <w:spacing w:before="123"/>
              <w:ind w:left="88"/>
              <w:rPr>
                <w:b/>
                <w:sz w:val="20"/>
              </w:rPr>
            </w:pPr>
            <w:r>
              <w:rPr>
                <w:b/>
                <w:color w:val="FFFFFF"/>
                <w:spacing w:val="-2"/>
                <w:sz w:val="20"/>
              </w:rPr>
              <w:t>Value</w:t>
            </w:r>
          </w:p>
        </w:tc>
        <w:tc>
          <w:tcPr>
            <w:tcW w:w="5346" w:type="dxa"/>
            <w:tcBorders>
              <w:top w:val="nil"/>
              <w:right w:val="nil"/>
            </w:tcBorders>
            <w:shd w:val="clear" w:color="auto" w:fill="001F5F"/>
          </w:tcPr>
          <w:p>
            <w:pPr>
              <w:pStyle w:val="TableParagraph"/>
              <w:spacing w:before="123"/>
              <w:ind w:left="85"/>
              <w:rPr>
                <w:b/>
                <w:sz w:val="20"/>
              </w:rPr>
            </w:pPr>
            <w:r>
              <w:rPr>
                <w:b/>
                <w:color w:val="FFFFFF"/>
                <w:spacing w:val="-2"/>
                <w:sz w:val="20"/>
              </w:rPr>
              <w:t>Cause</w:t>
            </w:r>
          </w:p>
        </w:tc>
      </w:tr>
      <w:tr>
        <w:trPr>
          <w:trHeight w:val="454" w:hRule="atLeast"/>
        </w:trPr>
        <w:tc>
          <w:tcPr>
            <w:tcW w:w="2081" w:type="dxa"/>
            <w:tcBorders>
              <w:left w:val="nil"/>
            </w:tcBorders>
            <w:shd w:val="clear" w:color="auto" w:fill="D9E1F3"/>
          </w:tcPr>
          <w:p>
            <w:pPr>
              <w:pStyle w:val="TableParagraph"/>
              <w:spacing w:before="108"/>
              <w:ind w:left="86"/>
              <w:rPr>
                <w:sz w:val="20"/>
              </w:rPr>
            </w:pPr>
            <w:r>
              <w:rPr>
                <w:sz w:val="20"/>
              </w:rPr>
              <w:t>Quantity</w:t>
            </w:r>
            <w:r>
              <w:rPr>
                <w:spacing w:val="-9"/>
                <w:sz w:val="20"/>
              </w:rPr>
              <w:t> </w:t>
            </w:r>
            <w:r>
              <w:rPr>
                <w:spacing w:val="-2"/>
                <w:sz w:val="20"/>
              </w:rPr>
              <w:t>Received</w:t>
            </w:r>
          </w:p>
        </w:tc>
        <w:tc>
          <w:tcPr>
            <w:tcW w:w="1093" w:type="dxa"/>
            <w:shd w:val="clear" w:color="auto" w:fill="D9E1F3"/>
          </w:tcPr>
          <w:p>
            <w:pPr>
              <w:pStyle w:val="TableParagraph"/>
              <w:spacing w:before="108"/>
              <w:ind w:left="86"/>
              <w:rPr>
                <w:sz w:val="20"/>
              </w:rPr>
            </w:pPr>
            <w:r>
              <w:rPr>
                <w:spacing w:val="-2"/>
                <w:sz w:val="20"/>
              </w:rPr>
              <w:t>27,111</w:t>
            </w:r>
          </w:p>
        </w:tc>
        <w:tc>
          <w:tcPr>
            <w:tcW w:w="1234" w:type="dxa"/>
            <w:shd w:val="clear" w:color="auto" w:fill="D9E1F3"/>
          </w:tcPr>
          <w:p>
            <w:pPr>
              <w:pStyle w:val="TableParagraph"/>
              <w:spacing w:before="108"/>
              <w:ind w:left="88"/>
              <w:rPr>
                <w:sz w:val="20"/>
              </w:rPr>
            </w:pPr>
            <w:r>
              <w:rPr>
                <w:spacing w:val="-2"/>
                <w:sz w:val="20"/>
              </w:rPr>
              <w:t>£58.4m</w:t>
            </w:r>
          </w:p>
        </w:tc>
        <w:tc>
          <w:tcPr>
            <w:tcW w:w="5346" w:type="dxa"/>
            <w:tcBorders>
              <w:right w:val="nil"/>
            </w:tcBorders>
            <w:shd w:val="clear" w:color="auto" w:fill="D9E1F3"/>
          </w:tcPr>
          <w:p>
            <w:pPr>
              <w:pStyle w:val="TableParagraph"/>
              <w:spacing w:before="108"/>
              <w:ind w:left="85"/>
              <w:rPr>
                <w:sz w:val="20"/>
              </w:rPr>
            </w:pPr>
            <w:r>
              <w:rPr>
                <w:sz w:val="20"/>
              </w:rPr>
              <w:t>Order</w:t>
            </w:r>
            <w:r>
              <w:rPr>
                <w:spacing w:val="-6"/>
                <w:sz w:val="20"/>
              </w:rPr>
              <w:t> </w:t>
            </w:r>
            <w:r>
              <w:rPr>
                <w:sz w:val="20"/>
              </w:rPr>
              <w:t>not</w:t>
            </w:r>
            <w:r>
              <w:rPr>
                <w:spacing w:val="-6"/>
                <w:sz w:val="20"/>
              </w:rPr>
              <w:t> </w:t>
            </w:r>
            <w:r>
              <w:rPr>
                <w:sz w:val="20"/>
              </w:rPr>
              <w:t>receipted</w:t>
            </w:r>
            <w:r>
              <w:rPr>
                <w:spacing w:val="-6"/>
                <w:sz w:val="20"/>
              </w:rPr>
              <w:t> </w:t>
            </w:r>
            <w:r>
              <w:rPr>
                <w:sz w:val="20"/>
              </w:rPr>
              <w:t>by</w:t>
            </w:r>
            <w:r>
              <w:rPr>
                <w:spacing w:val="-6"/>
                <w:sz w:val="20"/>
              </w:rPr>
              <w:t> </w:t>
            </w:r>
            <w:r>
              <w:rPr>
                <w:sz w:val="20"/>
              </w:rPr>
              <w:t>health</w:t>
            </w:r>
            <w:r>
              <w:rPr>
                <w:spacing w:val="-6"/>
                <w:sz w:val="20"/>
              </w:rPr>
              <w:t> </w:t>
            </w:r>
            <w:r>
              <w:rPr>
                <w:spacing w:val="-4"/>
                <w:sz w:val="20"/>
              </w:rPr>
              <w:t>body</w:t>
            </w:r>
          </w:p>
        </w:tc>
      </w:tr>
      <w:tr>
        <w:trPr>
          <w:trHeight w:val="454" w:hRule="atLeast"/>
        </w:trPr>
        <w:tc>
          <w:tcPr>
            <w:tcW w:w="2081" w:type="dxa"/>
            <w:tcBorders>
              <w:left w:val="nil"/>
            </w:tcBorders>
            <w:shd w:val="clear" w:color="auto" w:fill="D9E1F3"/>
          </w:tcPr>
          <w:p>
            <w:pPr>
              <w:pStyle w:val="TableParagraph"/>
              <w:spacing w:before="107"/>
              <w:ind w:left="86"/>
              <w:rPr>
                <w:sz w:val="20"/>
              </w:rPr>
            </w:pPr>
            <w:r>
              <w:rPr>
                <w:spacing w:val="-2"/>
                <w:sz w:val="20"/>
              </w:rPr>
              <w:t>Price</w:t>
            </w:r>
          </w:p>
        </w:tc>
        <w:tc>
          <w:tcPr>
            <w:tcW w:w="1093" w:type="dxa"/>
            <w:shd w:val="clear" w:color="auto" w:fill="D9E1F3"/>
          </w:tcPr>
          <w:p>
            <w:pPr>
              <w:pStyle w:val="TableParagraph"/>
              <w:spacing w:before="107"/>
              <w:ind w:left="86"/>
              <w:rPr>
                <w:sz w:val="20"/>
              </w:rPr>
            </w:pPr>
            <w:r>
              <w:rPr>
                <w:spacing w:val="-4"/>
                <w:sz w:val="20"/>
              </w:rPr>
              <w:t>8,398</w:t>
            </w:r>
          </w:p>
        </w:tc>
        <w:tc>
          <w:tcPr>
            <w:tcW w:w="1234" w:type="dxa"/>
            <w:shd w:val="clear" w:color="auto" w:fill="D9E1F3"/>
          </w:tcPr>
          <w:p>
            <w:pPr>
              <w:pStyle w:val="TableParagraph"/>
              <w:spacing w:before="107"/>
              <w:ind w:left="88"/>
              <w:rPr>
                <w:sz w:val="20"/>
              </w:rPr>
            </w:pPr>
            <w:r>
              <w:rPr>
                <w:spacing w:val="-2"/>
                <w:sz w:val="20"/>
              </w:rPr>
              <w:t>£5.9m</w:t>
            </w:r>
          </w:p>
        </w:tc>
        <w:tc>
          <w:tcPr>
            <w:tcW w:w="5346" w:type="dxa"/>
            <w:tcBorders>
              <w:right w:val="nil"/>
            </w:tcBorders>
            <w:shd w:val="clear" w:color="auto" w:fill="D9E1F3"/>
          </w:tcPr>
          <w:p>
            <w:pPr>
              <w:pStyle w:val="TableParagraph"/>
              <w:spacing w:before="107"/>
              <w:ind w:left="85"/>
              <w:rPr>
                <w:sz w:val="20"/>
              </w:rPr>
            </w:pPr>
            <w:r>
              <w:rPr>
                <w:sz w:val="20"/>
              </w:rPr>
              <w:t>Discrepancy</w:t>
            </w:r>
            <w:r>
              <w:rPr>
                <w:spacing w:val="-8"/>
                <w:sz w:val="20"/>
              </w:rPr>
              <w:t> </w:t>
            </w:r>
            <w:r>
              <w:rPr>
                <w:sz w:val="20"/>
              </w:rPr>
              <w:t>between</w:t>
            </w:r>
            <w:r>
              <w:rPr>
                <w:spacing w:val="-4"/>
                <w:sz w:val="20"/>
              </w:rPr>
              <w:t> </w:t>
            </w:r>
            <w:r>
              <w:rPr>
                <w:sz w:val="20"/>
              </w:rPr>
              <w:t>item</w:t>
            </w:r>
            <w:r>
              <w:rPr>
                <w:spacing w:val="-7"/>
                <w:sz w:val="20"/>
              </w:rPr>
              <w:t> </w:t>
            </w:r>
            <w:r>
              <w:rPr>
                <w:sz w:val="20"/>
              </w:rPr>
              <w:t>price</w:t>
            </w:r>
            <w:r>
              <w:rPr>
                <w:spacing w:val="-6"/>
                <w:sz w:val="20"/>
              </w:rPr>
              <w:t> </w:t>
            </w:r>
            <w:r>
              <w:rPr>
                <w:sz w:val="20"/>
              </w:rPr>
              <w:t>on</w:t>
            </w:r>
            <w:r>
              <w:rPr>
                <w:spacing w:val="-4"/>
                <w:sz w:val="20"/>
              </w:rPr>
              <w:t> </w:t>
            </w:r>
            <w:r>
              <w:rPr>
                <w:sz w:val="20"/>
              </w:rPr>
              <w:t>PO</w:t>
            </w:r>
            <w:r>
              <w:rPr>
                <w:spacing w:val="-5"/>
                <w:sz w:val="20"/>
              </w:rPr>
              <w:t> </w:t>
            </w:r>
            <w:r>
              <w:rPr>
                <w:sz w:val="20"/>
              </w:rPr>
              <w:t>and</w:t>
            </w:r>
            <w:r>
              <w:rPr>
                <w:spacing w:val="-6"/>
                <w:sz w:val="20"/>
              </w:rPr>
              <w:t> </w:t>
            </w:r>
            <w:r>
              <w:rPr>
                <w:spacing w:val="-2"/>
                <w:sz w:val="20"/>
              </w:rPr>
              <w:t>invoice</w:t>
            </w:r>
          </w:p>
        </w:tc>
      </w:tr>
      <w:tr>
        <w:trPr>
          <w:trHeight w:val="570" w:hRule="atLeast"/>
        </w:trPr>
        <w:tc>
          <w:tcPr>
            <w:tcW w:w="2081" w:type="dxa"/>
            <w:tcBorders>
              <w:left w:val="nil"/>
              <w:bottom w:val="nil"/>
            </w:tcBorders>
            <w:shd w:val="clear" w:color="auto" w:fill="D9E1F3"/>
          </w:tcPr>
          <w:p>
            <w:pPr>
              <w:pStyle w:val="TableParagraph"/>
              <w:spacing w:before="43"/>
              <w:ind w:left="86"/>
              <w:rPr>
                <w:sz w:val="20"/>
              </w:rPr>
            </w:pPr>
            <w:r>
              <w:rPr>
                <w:spacing w:val="-2"/>
                <w:sz w:val="20"/>
              </w:rPr>
              <w:t>Awaiting Authorisation</w:t>
            </w:r>
          </w:p>
        </w:tc>
        <w:tc>
          <w:tcPr>
            <w:tcW w:w="1093" w:type="dxa"/>
            <w:tcBorders>
              <w:bottom w:val="nil"/>
            </w:tcBorders>
            <w:shd w:val="clear" w:color="auto" w:fill="D9E1F3"/>
          </w:tcPr>
          <w:p>
            <w:pPr>
              <w:pStyle w:val="TableParagraph"/>
              <w:spacing w:before="165"/>
              <w:ind w:left="86"/>
              <w:rPr>
                <w:sz w:val="20"/>
              </w:rPr>
            </w:pPr>
            <w:r>
              <w:rPr>
                <w:spacing w:val="-2"/>
                <w:sz w:val="20"/>
              </w:rPr>
              <w:t>5,248</w:t>
            </w:r>
          </w:p>
        </w:tc>
        <w:tc>
          <w:tcPr>
            <w:tcW w:w="1234" w:type="dxa"/>
            <w:tcBorders>
              <w:bottom w:val="nil"/>
            </w:tcBorders>
            <w:shd w:val="clear" w:color="auto" w:fill="D9E1F3"/>
          </w:tcPr>
          <w:p>
            <w:pPr>
              <w:pStyle w:val="TableParagraph"/>
              <w:spacing w:before="165"/>
              <w:ind w:left="88"/>
              <w:rPr>
                <w:sz w:val="20"/>
              </w:rPr>
            </w:pPr>
            <w:r>
              <w:rPr>
                <w:spacing w:val="-2"/>
                <w:sz w:val="20"/>
              </w:rPr>
              <w:t>£38.1m</w:t>
            </w:r>
          </w:p>
        </w:tc>
        <w:tc>
          <w:tcPr>
            <w:tcW w:w="5346" w:type="dxa"/>
            <w:tcBorders>
              <w:bottom w:val="nil"/>
              <w:right w:val="nil"/>
            </w:tcBorders>
            <w:shd w:val="clear" w:color="auto" w:fill="D9E1F3"/>
          </w:tcPr>
          <w:p>
            <w:pPr>
              <w:pStyle w:val="TableParagraph"/>
              <w:spacing w:before="43"/>
              <w:ind w:left="85" w:right="138"/>
              <w:rPr>
                <w:sz w:val="20"/>
              </w:rPr>
            </w:pPr>
            <w:r>
              <w:rPr>
                <w:sz w:val="20"/>
              </w:rPr>
              <w:t>Manual</w:t>
            </w:r>
            <w:r>
              <w:rPr>
                <w:spacing w:val="-7"/>
                <w:sz w:val="20"/>
              </w:rPr>
              <w:t> </w:t>
            </w:r>
            <w:r>
              <w:rPr>
                <w:sz w:val="20"/>
              </w:rPr>
              <w:t>authorisation</w:t>
            </w:r>
            <w:r>
              <w:rPr>
                <w:spacing w:val="-7"/>
                <w:sz w:val="20"/>
              </w:rPr>
              <w:t> </w:t>
            </w:r>
            <w:r>
              <w:rPr>
                <w:sz w:val="20"/>
              </w:rPr>
              <w:t>to</w:t>
            </w:r>
            <w:r>
              <w:rPr>
                <w:spacing w:val="-7"/>
                <w:sz w:val="20"/>
              </w:rPr>
              <w:t> </w:t>
            </w:r>
            <w:r>
              <w:rPr>
                <w:sz w:val="20"/>
              </w:rPr>
              <w:t>pay</w:t>
            </w:r>
            <w:r>
              <w:rPr>
                <w:spacing w:val="-8"/>
                <w:sz w:val="20"/>
              </w:rPr>
              <w:t> </w:t>
            </w:r>
            <w:r>
              <w:rPr>
                <w:sz w:val="20"/>
              </w:rPr>
              <w:t>required</w:t>
            </w:r>
            <w:r>
              <w:rPr>
                <w:spacing w:val="-7"/>
                <w:sz w:val="20"/>
              </w:rPr>
              <w:t> </w:t>
            </w:r>
            <w:r>
              <w:rPr>
                <w:sz w:val="20"/>
              </w:rPr>
              <w:t>in</w:t>
            </w:r>
            <w:r>
              <w:rPr>
                <w:spacing w:val="-6"/>
                <w:sz w:val="20"/>
              </w:rPr>
              <w:t> </w:t>
            </w:r>
            <w:r>
              <w:rPr>
                <w:sz w:val="20"/>
              </w:rPr>
              <w:t>the absence of a PO from the health body</w:t>
            </w:r>
          </w:p>
        </w:tc>
      </w:tr>
    </w:tbl>
    <w:p>
      <w:pPr>
        <w:pStyle w:val="ListParagraph"/>
        <w:numPr>
          <w:ilvl w:val="1"/>
          <w:numId w:val="23"/>
        </w:numPr>
        <w:tabs>
          <w:tab w:pos="1275" w:val="left" w:leader="none"/>
        </w:tabs>
        <w:spacing w:line="240" w:lineRule="auto" w:before="166" w:after="0"/>
        <w:ind w:left="1274" w:right="708" w:hanging="708"/>
        <w:jc w:val="both"/>
        <w:rPr>
          <w:sz w:val="24"/>
        </w:rPr>
      </w:pPr>
      <w:r>
        <w:rPr>
          <w:sz w:val="24"/>
        </w:rPr>
        <w:t>Whilst</w:t>
      </w:r>
      <w:r>
        <w:rPr>
          <w:spacing w:val="-7"/>
          <w:sz w:val="24"/>
        </w:rPr>
        <w:t> </w:t>
      </w:r>
      <w:r>
        <w:rPr>
          <w:sz w:val="24"/>
        </w:rPr>
        <w:t>the</w:t>
      </w:r>
      <w:r>
        <w:rPr>
          <w:spacing w:val="-6"/>
          <w:sz w:val="24"/>
        </w:rPr>
        <w:t> </w:t>
      </w:r>
      <w:r>
        <w:rPr>
          <w:sz w:val="24"/>
        </w:rPr>
        <w:t>volume</w:t>
      </w:r>
      <w:r>
        <w:rPr>
          <w:spacing w:val="-6"/>
          <w:sz w:val="24"/>
        </w:rPr>
        <w:t> </w:t>
      </w:r>
      <w:r>
        <w:rPr>
          <w:sz w:val="24"/>
        </w:rPr>
        <w:t>of</w:t>
      </w:r>
      <w:r>
        <w:rPr>
          <w:spacing w:val="-7"/>
          <w:sz w:val="24"/>
        </w:rPr>
        <w:t> </w:t>
      </w:r>
      <w:r>
        <w:rPr>
          <w:sz w:val="24"/>
        </w:rPr>
        <w:t>invoices</w:t>
      </w:r>
      <w:r>
        <w:rPr>
          <w:spacing w:val="-7"/>
          <w:sz w:val="24"/>
        </w:rPr>
        <w:t> </w:t>
      </w:r>
      <w:r>
        <w:rPr>
          <w:sz w:val="24"/>
        </w:rPr>
        <w:t>on</w:t>
      </w:r>
      <w:r>
        <w:rPr>
          <w:spacing w:val="-7"/>
          <w:sz w:val="24"/>
        </w:rPr>
        <w:t> </w:t>
      </w:r>
      <w:r>
        <w:rPr>
          <w:sz w:val="24"/>
        </w:rPr>
        <w:t>hold</w:t>
      </w:r>
      <w:r>
        <w:rPr>
          <w:spacing w:val="-6"/>
          <w:sz w:val="24"/>
        </w:rPr>
        <w:t> </w:t>
      </w:r>
      <w:r>
        <w:rPr>
          <w:sz w:val="24"/>
        </w:rPr>
        <w:t>inevitably</w:t>
      </w:r>
      <w:r>
        <w:rPr>
          <w:spacing w:val="-7"/>
          <w:sz w:val="24"/>
        </w:rPr>
        <w:t> </w:t>
      </w:r>
      <w:r>
        <w:rPr>
          <w:sz w:val="24"/>
        </w:rPr>
        <w:t>impacts</w:t>
      </w:r>
      <w:r>
        <w:rPr>
          <w:spacing w:val="-8"/>
          <w:sz w:val="24"/>
        </w:rPr>
        <w:t> </w:t>
      </w:r>
      <w:r>
        <w:rPr>
          <w:sz w:val="24"/>
        </w:rPr>
        <w:t>on</w:t>
      </w:r>
      <w:r>
        <w:rPr>
          <w:spacing w:val="-5"/>
          <w:sz w:val="24"/>
        </w:rPr>
        <w:t> </w:t>
      </w:r>
      <w:r>
        <w:rPr>
          <w:sz w:val="24"/>
        </w:rPr>
        <w:t>Public</w:t>
      </w:r>
      <w:r>
        <w:rPr>
          <w:spacing w:val="-7"/>
          <w:sz w:val="24"/>
        </w:rPr>
        <w:t> </w:t>
      </w:r>
      <w:r>
        <w:rPr>
          <w:sz w:val="24"/>
        </w:rPr>
        <w:t>Sector</w:t>
      </w:r>
      <w:r>
        <w:rPr>
          <w:spacing w:val="-6"/>
          <w:sz w:val="24"/>
        </w:rPr>
        <w:t> </w:t>
      </w:r>
      <w:r>
        <w:rPr>
          <w:sz w:val="24"/>
        </w:rPr>
        <w:t>Payment Performance (PSPP), year to date cumulative performance remains on target for most</w:t>
      </w:r>
      <w:r>
        <w:rPr>
          <w:spacing w:val="39"/>
          <w:sz w:val="24"/>
        </w:rPr>
        <w:t> </w:t>
      </w:r>
      <w:r>
        <w:rPr>
          <w:sz w:val="24"/>
        </w:rPr>
        <w:t>organisations.</w:t>
      </w:r>
      <w:r>
        <w:rPr>
          <w:spacing w:val="40"/>
          <w:sz w:val="24"/>
        </w:rPr>
        <w:t> </w:t>
      </w:r>
      <w:r>
        <w:rPr>
          <w:sz w:val="24"/>
        </w:rPr>
        <w:t>This</w:t>
      </w:r>
      <w:r>
        <w:rPr>
          <w:spacing w:val="40"/>
          <w:sz w:val="24"/>
        </w:rPr>
        <w:t> </w:t>
      </w:r>
      <w:r>
        <w:rPr>
          <w:sz w:val="24"/>
        </w:rPr>
        <w:t>is</w:t>
      </w:r>
      <w:r>
        <w:rPr>
          <w:spacing w:val="40"/>
          <w:sz w:val="24"/>
        </w:rPr>
        <w:t> </w:t>
      </w:r>
      <w:r>
        <w:rPr>
          <w:sz w:val="24"/>
        </w:rPr>
        <w:t>partly</w:t>
      </w:r>
      <w:r>
        <w:rPr>
          <w:spacing w:val="40"/>
          <w:sz w:val="24"/>
        </w:rPr>
        <w:t> </w:t>
      </w:r>
      <w:r>
        <w:rPr>
          <w:sz w:val="24"/>
        </w:rPr>
        <w:t>attributable</w:t>
      </w:r>
      <w:r>
        <w:rPr>
          <w:spacing w:val="40"/>
          <w:sz w:val="24"/>
        </w:rPr>
        <w:t> </w:t>
      </w:r>
      <w:r>
        <w:rPr>
          <w:sz w:val="24"/>
        </w:rPr>
        <w:t>to</w:t>
      </w:r>
      <w:r>
        <w:rPr>
          <w:spacing w:val="40"/>
          <w:sz w:val="24"/>
        </w:rPr>
        <w:t> </w:t>
      </w:r>
      <w:r>
        <w:rPr>
          <w:sz w:val="24"/>
        </w:rPr>
        <w:t>an</w:t>
      </w:r>
      <w:r>
        <w:rPr>
          <w:spacing w:val="40"/>
          <w:sz w:val="24"/>
        </w:rPr>
        <w:t> </w:t>
      </w:r>
      <w:r>
        <w:rPr>
          <w:sz w:val="24"/>
        </w:rPr>
        <w:t>increase</w:t>
      </w:r>
      <w:r>
        <w:rPr>
          <w:spacing w:val="40"/>
          <w:sz w:val="24"/>
        </w:rPr>
        <w:t> </w:t>
      </w:r>
      <w:r>
        <w:rPr>
          <w:sz w:val="24"/>
        </w:rPr>
        <w:t>in</w:t>
      </w:r>
      <w:r>
        <w:rPr>
          <w:spacing w:val="40"/>
          <w:sz w:val="24"/>
        </w:rPr>
        <w:t> </w:t>
      </w:r>
      <w:r>
        <w:rPr>
          <w:sz w:val="24"/>
        </w:rPr>
        <w:t>the</w:t>
      </w:r>
      <w:r>
        <w:rPr>
          <w:spacing w:val="40"/>
          <w:sz w:val="24"/>
        </w:rPr>
        <w:t> </w:t>
      </w:r>
      <w:r>
        <w:rPr>
          <w:sz w:val="24"/>
        </w:rPr>
        <w:t>number</w:t>
      </w:r>
      <w:r>
        <w:rPr>
          <w:spacing w:val="40"/>
          <w:sz w:val="24"/>
        </w:rPr>
        <w:t> </w:t>
      </w:r>
      <w:r>
        <w:rPr>
          <w:sz w:val="24"/>
        </w:rPr>
        <w:t>of</w:t>
      </w:r>
    </w:p>
    <w:p>
      <w:pPr>
        <w:spacing w:after="0" w:line="240" w:lineRule="auto"/>
        <w:jc w:val="both"/>
        <w:rPr>
          <w:sz w:val="24"/>
        </w:rPr>
        <w:sectPr>
          <w:footerReference w:type="default" r:id="rId88"/>
          <w:pgSz w:w="11910" w:h="16840"/>
          <w:pgMar w:footer="770" w:header="0" w:top="880" w:bottom="960" w:left="0" w:right="0"/>
        </w:sectPr>
      </w:pPr>
    </w:p>
    <w:p>
      <w:pPr>
        <w:pStyle w:val="BodyText"/>
        <w:tabs>
          <w:tab w:pos="7890" w:val="left" w:leader="none"/>
        </w:tabs>
        <w:spacing w:before="86"/>
        <w:ind w:left="566"/>
      </w:pPr>
      <w:r>
        <w:rPr/>
        <w:t>Accounts</w:t>
      </w:r>
      <w:r>
        <w:rPr>
          <w:spacing w:val="-2"/>
        </w:rPr>
        <w:t> Payable</w:t>
      </w:r>
      <w:r>
        <w:rPr/>
        <w:tab/>
        <w:t>Final</w:t>
      </w:r>
      <w:r>
        <w:rPr>
          <w:spacing w:val="-6"/>
        </w:rPr>
        <w:t> </w:t>
      </w:r>
      <w:r>
        <w:rPr/>
        <w:t>Internal</w:t>
      </w:r>
      <w:r>
        <w:rPr>
          <w:spacing w:val="-3"/>
        </w:rPr>
        <w:t> </w:t>
      </w:r>
      <w:r>
        <w:rPr/>
        <w:t>Audit</w:t>
      </w:r>
      <w:r>
        <w:rPr>
          <w:spacing w:val="-1"/>
        </w:rPr>
        <w:t> </w:t>
      </w:r>
      <w:r>
        <w:rPr>
          <w:spacing w:val="-2"/>
        </w:rPr>
        <w:t>Report</w:t>
      </w:r>
    </w:p>
    <w:p>
      <w:pPr>
        <w:pStyle w:val="BodyText"/>
        <w:rPr>
          <w:sz w:val="20"/>
        </w:rPr>
      </w:pPr>
      <w:r>
        <w:rPr/>
        <w:pict>
          <v:shape style="position:absolute;margin-left:27.6pt;margin-top:13.355979pt;width:532.450pt;height:1.45pt;mso-position-horizontal-relative:page;mso-position-vertical-relative:paragraph;z-index:-15666176;mso-wrap-distance-left:0;mso-wrap-distance-right:0" id="docshape269" coordorigin="552,267" coordsize="10649,29" path="m11200,267l5943,267,5929,267,5915,267,552,267,552,296,5915,296,5929,296,5943,296,11200,296,11200,267xe" filled="true" fillcolor="#000000" stroked="false">
            <v:path arrowok="t"/>
            <v:fill type="solid"/>
            <w10:wrap type="topAndBottom"/>
          </v:shape>
        </w:pict>
      </w:r>
    </w:p>
    <w:p>
      <w:pPr>
        <w:pStyle w:val="BodyText"/>
        <w:spacing w:before="11"/>
        <w:rPr>
          <w:sz w:val="19"/>
        </w:rPr>
      </w:pPr>
    </w:p>
    <w:p>
      <w:pPr>
        <w:pStyle w:val="BodyText"/>
        <w:spacing w:before="100"/>
        <w:ind w:left="1274" w:right="712"/>
        <w:jc w:val="both"/>
      </w:pPr>
      <w:r>
        <w:rPr/>
        <w:t>disputed invoices (which stops the clock for PSPP purposes) under the No PO No Pay policy.</w:t>
      </w:r>
    </w:p>
    <w:p>
      <w:pPr>
        <w:pStyle w:val="ListParagraph"/>
        <w:numPr>
          <w:ilvl w:val="1"/>
          <w:numId w:val="23"/>
        </w:numPr>
        <w:tabs>
          <w:tab w:pos="1275" w:val="left" w:leader="none"/>
        </w:tabs>
        <w:spacing w:line="240" w:lineRule="auto" w:before="120" w:after="0"/>
        <w:ind w:left="1274" w:right="705" w:hanging="708"/>
        <w:jc w:val="both"/>
        <w:rPr>
          <w:b/>
          <w:sz w:val="24"/>
        </w:rPr>
      </w:pPr>
      <w:r>
        <w:rPr>
          <w:sz w:val="24"/>
        </w:rPr>
        <w:t>Sample testing identified three instances where we considered an invoice to have been inappropriately marked as ‘in dispute’ based on the criteria set out within both the IOH Guide and AP’s month end procedure. Evidence was provided to demonstrate the ongoing investigation and resolution of these. </w:t>
      </w:r>
      <w:r>
        <w:rPr>
          <w:b/>
          <w:sz w:val="24"/>
        </w:rPr>
        <w:t>[See Matter Arising 3 in Appendix A]</w:t>
      </w:r>
    </w:p>
    <w:p>
      <w:pPr>
        <w:pStyle w:val="BodyText"/>
        <w:spacing w:before="121"/>
        <w:ind w:left="566"/>
      </w:pPr>
      <w:r>
        <w:rPr>
          <w:color w:val="3C5A8B"/>
          <w:spacing w:val="-2"/>
        </w:rPr>
        <w:t>Conclusion:</w:t>
      </w:r>
    </w:p>
    <w:p>
      <w:pPr>
        <w:pStyle w:val="ListParagraph"/>
        <w:numPr>
          <w:ilvl w:val="1"/>
          <w:numId w:val="23"/>
        </w:numPr>
        <w:tabs>
          <w:tab w:pos="1275" w:val="left" w:leader="none"/>
        </w:tabs>
        <w:spacing w:line="240" w:lineRule="auto" w:before="118" w:after="0"/>
        <w:ind w:left="1274" w:right="706" w:hanging="708"/>
        <w:jc w:val="both"/>
        <w:rPr>
          <w:sz w:val="24"/>
        </w:rPr>
      </w:pPr>
      <w:r>
        <w:rPr>
          <w:sz w:val="24"/>
        </w:rPr>
        <w:t>We</w:t>
      </w:r>
      <w:r>
        <w:rPr>
          <w:spacing w:val="-12"/>
          <w:sz w:val="24"/>
        </w:rPr>
        <w:t> </w:t>
      </w:r>
      <w:r>
        <w:rPr>
          <w:sz w:val="24"/>
        </w:rPr>
        <w:t>recognise</w:t>
      </w:r>
      <w:r>
        <w:rPr>
          <w:spacing w:val="-13"/>
          <w:sz w:val="24"/>
        </w:rPr>
        <w:t> </w:t>
      </w:r>
      <w:r>
        <w:rPr>
          <w:sz w:val="24"/>
        </w:rPr>
        <w:t>the</w:t>
      </w:r>
      <w:r>
        <w:rPr>
          <w:spacing w:val="-10"/>
          <w:sz w:val="24"/>
        </w:rPr>
        <w:t> </w:t>
      </w:r>
      <w:r>
        <w:rPr>
          <w:sz w:val="24"/>
        </w:rPr>
        <w:t>positive</w:t>
      </w:r>
      <w:r>
        <w:rPr>
          <w:spacing w:val="-13"/>
          <w:sz w:val="24"/>
        </w:rPr>
        <w:t> </w:t>
      </w:r>
      <w:r>
        <w:rPr>
          <w:sz w:val="24"/>
        </w:rPr>
        <w:t>steps</w:t>
      </w:r>
      <w:r>
        <w:rPr>
          <w:spacing w:val="-12"/>
          <w:sz w:val="24"/>
        </w:rPr>
        <w:t> </w:t>
      </w:r>
      <w:r>
        <w:rPr>
          <w:sz w:val="24"/>
        </w:rPr>
        <w:t>taken</w:t>
      </w:r>
      <w:r>
        <w:rPr>
          <w:spacing w:val="-12"/>
          <w:sz w:val="24"/>
        </w:rPr>
        <w:t> </w:t>
      </w:r>
      <w:r>
        <w:rPr>
          <w:sz w:val="24"/>
        </w:rPr>
        <w:t>to</w:t>
      </w:r>
      <w:r>
        <w:rPr>
          <w:spacing w:val="-11"/>
          <w:sz w:val="24"/>
        </w:rPr>
        <w:t> </w:t>
      </w:r>
      <w:r>
        <w:rPr>
          <w:sz w:val="24"/>
        </w:rPr>
        <w:t>improve</w:t>
      </w:r>
      <w:r>
        <w:rPr>
          <w:spacing w:val="-13"/>
          <w:sz w:val="24"/>
        </w:rPr>
        <w:t> </w:t>
      </w:r>
      <w:r>
        <w:rPr>
          <w:sz w:val="24"/>
        </w:rPr>
        <w:t>the</w:t>
      </w:r>
      <w:r>
        <w:rPr>
          <w:spacing w:val="-13"/>
          <w:sz w:val="24"/>
        </w:rPr>
        <w:t> </w:t>
      </w:r>
      <w:r>
        <w:rPr>
          <w:sz w:val="24"/>
        </w:rPr>
        <w:t>management</w:t>
      </w:r>
      <w:r>
        <w:rPr>
          <w:spacing w:val="-14"/>
          <w:sz w:val="24"/>
        </w:rPr>
        <w:t> </w:t>
      </w:r>
      <w:r>
        <w:rPr>
          <w:sz w:val="24"/>
        </w:rPr>
        <w:t>of</w:t>
      </w:r>
      <w:r>
        <w:rPr>
          <w:spacing w:val="-14"/>
          <w:sz w:val="24"/>
        </w:rPr>
        <w:t> </w:t>
      </w:r>
      <w:r>
        <w:rPr>
          <w:sz w:val="24"/>
        </w:rPr>
        <w:t>IOH</w:t>
      </w:r>
      <w:r>
        <w:rPr>
          <w:spacing w:val="-5"/>
          <w:sz w:val="24"/>
        </w:rPr>
        <w:t> </w:t>
      </w:r>
      <w:r>
        <w:rPr>
          <w:sz w:val="24"/>
        </w:rPr>
        <w:t>through the All-Wales P2P Group and the focus on aged IOH. However, this does not address the root cause of invoice holds, which continue to increase year on year. Failure to pay suppliers in accordance with agreed terms could pose a risk to service continuity and patient safety. Consequently, we have concluded </w:t>
      </w:r>
      <w:r>
        <w:rPr>
          <w:b/>
          <w:sz w:val="24"/>
        </w:rPr>
        <w:t>Reasonable </w:t>
      </w:r>
      <w:r>
        <w:rPr>
          <w:sz w:val="24"/>
        </w:rPr>
        <w:t>assurance for this objective.</w:t>
      </w:r>
    </w:p>
    <w:p>
      <w:pPr>
        <w:pStyle w:val="BodyText"/>
        <w:spacing w:before="11"/>
        <w:rPr>
          <w:sz w:val="41"/>
        </w:rPr>
      </w:pPr>
    </w:p>
    <w:p>
      <w:pPr>
        <w:spacing w:before="0"/>
        <w:ind w:left="566" w:right="0" w:firstLine="0"/>
        <w:jc w:val="both"/>
        <w:rPr>
          <w:b/>
          <w:sz w:val="24"/>
        </w:rPr>
      </w:pPr>
      <w:r>
        <w:rPr>
          <w:b/>
          <w:color w:val="3C5A8B"/>
          <w:sz w:val="24"/>
        </w:rPr>
        <w:t>Objective</w:t>
      </w:r>
      <w:r>
        <w:rPr>
          <w:b/>
          <w:color w:val="3C5A8B"/>
          <w:spacing w:val="-7"/>
          <w:sz w:val="24"/>
        </w:rPr>
        <w:t> </w:t>
      </w:r>
      <w:r>
        <w:rPr>
          <w:b/>
          <w:color w:val="3C5A8B"/>
          <w:sz w:val="24"/>
        </w:rPr>
        <w:t>5:</w:t>
      </w:r>
      <w:r>
        <w:rPr>
          <w:b/>
          <w:color w:val="3C5A8B"/>
          <w:spacing w:val="-3"/>
          <w:sz w:val="24"/>
        </w:rPr>
        <w:t> </w:t>
      </w:r>
      <w:r>
        <w:rPr>
          <w:b/>
          <w:color w:val="3C5A8B"/>
          <w:sz w:val="24"/>
        </w:rPr>
        <w:t>The</w:t>
      </w:r>
      <w:r>
        <w:rPr>
          <w:b/>
          <w:color w:val="3C5A8B"/>
          <w:spacing w:val="-4"/>
          <w:sz w:val="24"/>
        </w:rPr>
        <w:t> </w:t>
      </w:r>
      <w:r>
        <w:rPr>
          <w:b/>
          <w:color w:val="3C5A8B"/>
          <w:sz w:val="24"/>
        </w:rPr>
        <w:t>COVID-19</w:t>
      </w:r>
      <w:r>
        <w:rPr>
          <w:b/>
          <w:color w:val="3C5A8B"/>
          <w:spacing w:val="-5"/>
          <w:sz w:val="24"/>
        </w:rPr>
        <w:t> </w:t>
      </w:r>
      <w:r>
        <w:rPr>
          <w:b/>
          <w:color w:val="3C5A8B"/>
          <w:sz w:val="24"/>
        </w:rPr>
        <w:t>revised</w:t>
      </w:r>
      <w:r>
        <w:rPr>
          <w:b/>
          <w:color w:val="3C5A8B"/>
          <w:spacing w:val="-2"/>
          <w:sz w:val="24"/>
        </w:rPr>
        <w:t> </w:t>
      </w:r>
      <w:r>
        <w:rPr>
          <w:b/>
          <w:color w:val="3C5A8B"/>
          <w:sz w:val="24"/>
        </w:rPr>
        <w:t>payment</w:t>
      </w:r>
      <w:r>
        <w:rPr>
          <w:b/>
          <w:color w:val="3C5A8B"/>
          <w:spacing w:val="-3"/>
          <w:sz w:val="24"/>
        </w:rPr>
        <w:t> </w:t>
      </w:r>
      <w:r>
        <w:rPr>
          <w:b/>
          <w:color w:val="3C5A8B"/>
          <w:sz w:val="24"/>
        </w:rPr>
        <w:t>arrangements</w:t>
      </w:r>
      <w:r>
        <w:rPr>
          <w:b/>
          <w:color w:val="3C5A8B"/>
          <w:spacing w:val="-6"/>
          <w:sz w:val="24"/>
        </w:rPr>
        <w:t> </w:t>
      </w:r>
      <w:r>
        <w:rPr>
          <w:b/>
          <w:color w:val="3C5A8B"/>
          <w:sz w:val="24"/>
        </w:rPr>
        <w:t>are</w:t>
      </w:r>
      <w:r>
        <w:rPr>
          <w:b/>
          <w:color w:val="3C5A8B"/>
          <w:spacing w:val="-5"/>
          <w:sz w:val="24"/>
        </w:rPr>
        <w:t> </w:t>
      </w:r>
      <w:r>
        <w:rPr>
          <w:b/>
          <w:color w:val="3C5A8B"/>
          <w:sz w:val="24"/>
        </w:rPr>
        <w:t>complied</w:t>
      </w:r>
      <w:r>
        <w:rPr>
          <w:b/>
          <w:color w:val="3C5A8B"/>
          <w:spacing w:val="-4"/>
          <w:sz w:val="24"/>
        </w:rPr>
        <w:t> with</w:t>
      </w:r>
    </w:p>
    <w:p>
      <w:pPr>
        <w:pStyle w:val="ListParagraph"/>
        <w:numPr>
          <w:ilvl w:val="1"/>
          <w:numId w:val="23"/>
        </w:numPr>
        <w:tabs>
          <w:tab w:pos="1275" w:val="left" w:leader="none"/>
        </w:tabs>
        <w:spacing w:line="240" w:lineRule="auto" w:before="143" w:after="0"/>
        <w:ind w:left="1274" w:right="706" w:hanging="708"/>
        <w:jc w:val="both"/>
        <w:rPr>
          <w:sz w:val="24"/>
        </w:rPr>
      </w:pPr>
      <w:r>
        <w:rPr>
          <w:sz w:val="24"/>
        </w:rPr>
        <w:t>It was agreed at the NHS Wales Directors of Finance Forum in March 2020 that NHS Wales would support business during COVID-19 with the aim of paying suppliers quicker to improve their cash flow. A two-way matching process was introduced to allow purchase order invoices up to a value of £500 (excel VAT) to be</w:t>
      </w:r>
      <w:r>
        <w:rPr>
          <w:spacing w:val="-5"/>
          <w:sz w:val="24"/>
        </w:rPr>
        <w:t> </w:t>
      </w:r>
      <w:r>
        <w:rPr>
          <w:sz w:val="24"/>
        </w:rPr>
        <w:t>paid</w:t>
      </w:r>
      <w:r>
        <w:rPr>
          <w:spacing w:val="-7"/>
          <w:sz w:val="24"/>
        </w:rPr>
        <w:t> </w:t>
      </w:r>
      <w:r>
        <w:rPr>
          <w:sz w:val="24"/>
        </w:rPr>
        <w:t>without</w:t>
      </w:r>
      <w:r>
        <w:rPr>
          <w:spacing w:val="-7"/>
          <w:sz w:val="24"/>
        </w:rPr>
        <w:t> </w:t>
      </w:r>
      <w:r>
        <w:rPr>
          <w:sz w:val="24"/>
        </w:rPr>
        <w:t>requirement</w:t>
      </w:r>
      <w:r>
        <w:rPr>
          <w:spacing w:val="-7"/>
          <w:sz w:val="24"/>
        </w:rPr>
        <w:t> </w:t>
      </w:r>
      <w:r>
        <w:rPr>
          <w:sz w:val="24"/>
        </w:rPr>
        <w:t>for</w:t>
      </w:r>
      <w:r>
        <w:rPr>
          <w:spacing w:val="-5"/>
          <w:sz w:val="24"/>
        </w:rPr>
        <w:t> </w:t>
      </w:r>
      <w:r>
        <w:rPr>
          <w:sz w:val="24"/>
        </w:rPr>
        <w:t>confirmation</w:t>
      </w:r>
      <w:r>
        <w:rPr>
          <w:spacing w:val="-3"/>
          <w:sz w:val="24"/>
        </w:rPr>
        <w:t> </w:t>
      </w:r>
      <w:r>
        <w:rPr>
          <w:sz w:val="24"/>
        </w:rPr>
        <w:t>of</w:t>
      </w:r>
      <w:r>
        <w:rPr>
          <w:spacing w:val="-7"/>
          <w:sz w:val="24"/>
        </w:rPr>
        <w:t> </w:t>
      </w:r>
      <w:r>
        <w:rPr>
          <w:sz w:val="24"/>
        </w:rPr>
        <w:t>receipt</w:t>
      </w:r>
      <w:r>
        <w:rPr>
          <w:spacing w:val="-8"/>
          <w:sz w:val="24"/>
        </w:rPr>
        <w:t> </w:t>
      </w:r>
      <w:r>
        <w:rPr>
          <w:sz w:val="24"/>
        </w:rPr>
        <w:t>of</w:t>
      </w:r>
      <w:r>
        <w:rPr>
          <w:spacing w:val="-4"/>
          <w:sz w:val="24"/>
        </w:rPr>
        <w:t> </w:t>
      </w:r>
      <w:r>
        <w:rPr>
          <w:sz w:val="24"/>
        </w:rPr>
        <w:t>the</w:t>
      </w:r>
      <w:r>
        <w:rPr>
          <w:spacing w:val="-5"/>
          <w:sz w:val="24"/>
        </w:rPr>
        <w:t> </w:t>
      </w:r>
      <w:r>
        <w:rPr>
          <w:sz w:val="24"/>
        </w:rPr>
        <w:t>order,</w:t>
      </w:r>
      <w:r>
        <w:rPr>
          <w:spacing w:val="-6"/>
          <w:sz w:val="24"/>
        </w:rPr>
        <w:t> </w:t>
      </w:r>
      <w:r>
        <w:rPr>
          <w:sz w:val="24"/>
        </w:rPr>
        <w:t>providing</w:t>
      </w:r>
      <w:r>
        <w:rPr>
          <w:spacing w:val="-5"/>
          <w:sz w:val="24"/>
        </w:rPr>
        <w:t> </w:t>
      </w:r>
      <w:r>
        <w:rPr>
          <w:sz w:val="24"/>
        </w:rPr>
        <w:t>the invoice matches the purchase order and was supported by retrospective checks being undertaken by local procurement teams.</w:t>
      </w:r>
    </w:p>
    <w:p>
      <w:pPr>
        <w:pStyle w:val="ListParagraph"/>
        <w:numPr>
          <w:ilvl w:val="1"/>
          <w:numId w:val="23"/>
        </w:numPr>
        <w:tabs>
          <w:tab w:pos="1275" w:val="left" w:leader="none"/>
        </w:tabs>
        <w:spacing w:line="240" w:lineRule="auto" w:before="121" w:after="0"/>
        <w:ind w:left="1274" w:right="702" w:hanging="708"/>
        <w:jc w:val="both"/>
        <w:rPr>
          <w:sz w:val="24"/>
        </w:rPr>
      </w:pPr>
      <w:r>
        <w:rPr>
          <w:sz w:val="24"/>
        </w:rPr>
        <w:t>As at November 2022, 20,386 invoices with a cumulative value of £3.2m have been paid under this arrangement during 2022/23. Sample testing of released holds</w:t>
      </w:r>
      <w:r>
        <w:rPr>
          <w:spacing w:val="-9"/>
          <w:sz w:val="24"/>
        </w:rPr>
        <w:t> </w:t>
      </w:r>
      <w:r>
        <w:rPr>
          <w:sz w:val="24"/>
        </w:rPr>
        <w:t>for</w:t>
      </w:r>
      <w:r>
        <w:rPr>
          <w:spacing w:val="-10"/>
          <w:sz w:val="24"/>
        </w:rPr>
        <w:t> </w:t>
      </w:r>
      <w:r>
        <w:rPr>
          <w:sz w:val="24"/>
        </w:rPr>
        <w:t>invoices</w:t>
      </w:r>
      <w:r>
        <w:rPr>
          <w:spacing w:val="-11"/>
          <w:sz w:val="24"/>
        </w:rPr>
        <w:t> </w:t>
      </w:r>
      <w:r>
        <w:rPr>
          <w:sz w:val="24"/>
        </w:rPr>
        <w:t>over</w:t>
      </w:r>
      <w:r>
        <w:rPr>
          <w:spacing w:val="-10"/>
          <w:sz w:val="24"/>
        </w:rPr>
        <w:t> </w:t>
      </w:r>
      <w:r>
        <w:rPr>
          <w:sz w:val="24"/>
        </w:rPr>
        <w:t>£500,</w:t>
      </w:r>
      <w:r>
        <w:rPr>
          <w:spacing w:val="-12"/>
          <w:sz w:val="24"/>
        </w:rPr>
        <w:t> </w:t>
      </w:r>
      <w:r>
        <w:rPr>
          <w:sz w:val="24"/>
        </w:rPr>
        <w:t>to</w:t>
      </w:r>
      <w:r>
        <w:rPr>
          <w:spacing w:val="-11"/>
          <w:sz w:val="24"/>
        </w:rPr>
        <w:t> </w:t>
      </w:r>
      <w:r>
        <w:rPr>
          <w:sz w:val="24"/>
        </w:rPr>
        <w:t>ensure</w:t>
      </w:r>
      <w:r>
        <w:rPr>
          <w:spacing w:val="-7"/>
          <w:sz w:val="24"/>
        </w:rPr>
        <w:t> </w:t>
      </w:r>
      <w:r>
        <w:rPr>
          <w:sz w:val="24"/>
        </w:rPr>
        <w:t>that</w:t>
      </w:r>
      <w:r>
        <w:rPr>
          <w:spacing w:val="-10"/>
          <w:sz w:val="24"/>
        </w:rPr>
        <w:t> </w:t>
      </w:r>
      <w:r>
        <w:rPr>
          <w:sz w:val="24"/>
        </w:rPr>
        <w:t>the</w:t>
      </w:r>
      <w:r>
        <w:rPr>
          <w:spacing w:val="-8"/>
          <w:sz w:val="24"/>
        </w:rPr>
        <w:t> </w:t>
      </w:r>
      <w:r>
        <w:rPr>
          <w:sz w:val="24"/>
        </w:rPr>
        <w:t>COVID-19</w:t>
      </w:r>
      <w:r>
        <w:rPr>
          <w:spacing w:val="-8"/>
          <w:sz w:val="24"/>
        </w:rPr>
        <w:t> </w:t>
      </w:r>
      <w:r>
        <w:rPr>
          <w:sz w:val="24"/>
        </w:rPr>
        <w:t>payment</w:t>
      </w:r>
      <w:r>
        <w:rPr>
          <w:spacing w:val="-10"/>
          <w:sz w:val="24"/>
        </w:rPr>
        <w:t> </w:t>
      </w:r>
      <w:r>
        <w:rPr>
          <w:sz w:val="24"/>
        </w:rPr>
        <w:t>arrangements were only being applied to invoices within the agreed threshold, identified no </w:t>
      </w:r>
      <w:r>
        <w:rPr>
          <w:spacing w:val="-2"/>
          <w:sz w:val="24"/>
        </w:rPr>
        <w:t>issues.</w:t>
      </w:r>
    </w:p>
    <w:p>
      <w:pPr>
        <w:pStyle w:val="ListParagraph"/>
        <w:numPr>
          <w:ilvl w:val="1"/>
          <w:numId w:val="23"/>
        </w:numPr>
        <w:tabs>
          <w:tab w:pos="1275" w:val="left" w:leader="none"/>
        </w:tabs>
        <w:spacing w:line="240" w:lineRule="auto" w:before="118" w:after="0"/>
        <w:ind w:left="1274" w:right="705" w:hanging="708"/>
        <w:jc w:val="both"/>
        <w:rPr>
          <w:sz w:val="24"/>
        </w:rPr>
      </w:pPr>
      <w:r>
        <w:rPr>
          <w:sz w:val="24"/>
        </w:rPr>
        <w:t>At the July 2022 All-Wales P2P Group meeting all but one organisation agreed to the</w:t>
      </w:r>
      <w:r>
        <w:rPr>
          <w:spacing w:val="-13"/>
          <w:sz w:val="24"/>
        </w:rPr>
        <w:t> </w:t>
      </w:r>
      <w:r>
        <w:rPr>
          <w:sz w:val="24"/>
        </w:rPr>
        <w:t>permanent</w:t>
      </w:r>
      <w:r>
        <w:rPr>
          <w:spacing w:val="-11"/>
          <w:sz w:val="24"/>
        </w:rPr>
        <w:t> </w:t>
      </w:r>
      <w:r>
        <w:rPr>
          <w:sz w:val="24"/>
        </w:rPr>
        <w:t>adoption</w:t>
      </w:r>
      <w:r>
        <w:rPr>
          <w:spacing w:val="-14"/>
          <w:sz w:val="24"/>
        </w:rPr>
        <w:t> </w:t>
      </w:r>
      <w:r>
        <w:rPr>
          <w:sz w:val="24"/>
        </w:rPr>
        <w:t>of</w:t>
      </w:r>
      <w:r>
        <w:rPr>
          <w:spacing w:val="-11"/>
          <w:sz w:val="24"/>
        </w:rPr>
        <w:t> </w:t>
      </w:r>
      <w:r>
        <w:rPr>
          <w:sz w:val="24"/>
        </w:rPr>
        <w:t>the</w:t>
      </w:r>
      <w:r>
        <w:rPr>
          <w:spacing w:val="-13"/>
          <w:sz w:val="24"/>
        </w:rPr>
        <w:t> </w:t>
      </w:r>
      <w:r>
        <w:rPr>
          <w:sz w:val="24"/>
        </w:rPr>
        <w:t>two-way</w:t>
      </w:r>
      <w:r>
        <w:rPr>
          <w:spacing w:val="-9"/>
          <w:sz w:val="24"/>
        </w:rPr>
        <w:t> </w:t>
      </w:r>
      <w:r>
        <w:rPr>
          <w:sz w:val="24"/>
        </w:rPr>
        <w:t>matching</w:t>
      </w:r>
      <w:r>
        <w:rPr>
          <w:spacing w:val="-12"/>
          <w:sz w:val="24"/>
        </w:rPr>
        <w:t> </w:t>
      </w:r>
      <w:r>
        <w:rPr>
          <w:sz w:val="24"/>
        </w:rPr>
        <w:t>process</w:t>
      </w:r>
      <w:r>
        <w:rPr>
          <w:spacing w:val="-12"/>
          <w:sz w:val="24"/>
        </w:rPr>
        <w:t> </w:t>
      </w:r>
      <w:r>
        <w:rPr>
          <w:sz w:val="24"/>
        </w:rPr>
        <w:t>subject</w:t>
      </w:r>
      <w:r>
        <w:rPr>
          <w:spacing w:val="-13"/>
          <w:sz w:val="24"/>
        </w:rPr>
        <w:t> </w:t>
      </w:r>
      <w:r>
        <w:rPr>
          <w:sz w:val="24"/>
        </w:rPr>
        <w:t>to</w:t>
      </w:r>
      <w:r>
        <w:rPr>
          <w:spacing w:val="-13"/>
          <w:sz w:val="24"/>
        </w:rPr>
        <w:t> </w:t>
      </w:r>
      <w:r>
        <w:rPr>
          <w:sz w:val="24"/>
        </w:rPr>
        <w:t>a</w:t>
      </w:r>
      <w:r>
        <w:rPr>
          <w:spacing w:val="-11"/>
          <w:sz w:val="24"/>
        </w:rPr>
        <w:t> </w:t>
      </w:r>
      <w:r>
        <w:rPr>
          <w:sz w:val="24"/>
        </w:rPr>
        <w:t>transparent retrospective checking process by local Procurement Teams.</w:t>
      </w:r>
    </w:p>
    <w:p>
      <w:pPr>
        <w:pStyle w:val="ListParagraph"/>
        <w:numPr>
          <w:ilvl w:val="1"/>
          <w:numId w:val="23"/>
        </w:numPr>
        <w:tabs>
          <w:tab w:pos="1275" w:val="left" w:leader="none"/>
        </w:tabs>
        <w:spacing w:line="240" w:lineRule="auto" w:before="121" w:after="0"/>
        <w:ind w:left="1274" w:right="701" w:hanging="708"/>
        <w:jc w:val="both"/>
        <w:rPr>
          <w:sz w:val="24"/>
        </w:rPr>
      </w:pPr>
      <w:r>
        <w:rPr>
          <w:sz w:val="24"/>
        </w:rPr>
        <w:t>The requirements for retrospective checks have not been formally communicated to</w:t>
      </w:r>
      <w:r>
        <w:rPr>
          <w:spacing w:val="-20"/>
          <w:sz w:val="24"/>
        </w:rPr>
        <w:t> </w:t>
      </w:r>
      <w:r>
        <w:rPr>
          <w:sz w:val="24"/>
        </w:rPr>
        <w:t>local</w:t>
      </w:r>
      <w:r>
        <w:rPr>
          <w:spacing w:val="-20"/>
          <w:sz w:val="24"/>
        </w:rPr>
        <w:t> </w:t>
      </w:r>
      <w:r>
        <w:rPr>
          <w:sz w:val="24"/>
        </w:rPr>
        <w:t>Procurement</w:t>
      </w:r>
      <w:r>
        <w:rPr>
          <w:spacing w:val="-22"/>
          <w:sz w:val="24"/>
        </w:rPr>
        <w:t> </w:t>
      </w:r>
      <w:r>
        <w:rPr>
          <w:sz w:val="24"/>
        </w:rPr>
        <w:t>Teams,</w:t>
      </w:r>
      <w:r>
        <w:rPr>
          <w:spacing w:val="-21"/>
          <w:sz w:val="24"/>
        </w:rPr>
        <w:t> </w:t>
      </w:r>
      <w:r>
        <w:rPr>
          <w:sz w:val="24"/>
        </w:rPr>
        <w:t>resulting</w:t>
      </w:r>
      <w:r>
        <w:rPr>
          <w:spacing w:val="-20"/>
          <w:sz w:val="24"/>
        </w:rPr>
        <w:t> </w:t>
      </w:r>
      <w:r>
        <w:rPr>
          <w:sz w:val="24"/>
        </w:rPr>
        <w:t>inconsistent</w:t>
      </w:r>
      <w:r>
        <w:rPr>
          <w:spacing w:val="-15"/>
          <w:sz w:val="24"/>
        </w:rPr>
        <w:t> </w:t>
      </w:r>
      <w:r>
        <w:rPr>
          <w:sz w:val="24"/>
        </w:rPr>
        <w:t>checking</w:t>
      </w:r>
      <w:r>
        <w:rPr>
          <w:spacing w:val="-19"/>
          <w:sz w:val="24"/>
        </w:rPr>
        <w:t> </w:t>
      </w:r>
      <w:r>
        <w:rPr>
          <w:sz w:val="24"/>
        </w:rPr>
        <w:t>processes</w:t>
      </w:r>
      <w:r>
        <w:rPr>
          <w:spacing w:val="-21"/>
          <w:sz w:val="24"/>
        </w:rPr>
        <w:t> </w:t>
      </w:r>
      <w:r>
        <w:rPr>
          <w:sz w:val="24"/>
        </w:rPr>
        <w:t>and</w:t>
      </w:r>
      <w:r>
        <w:rPr>
          <w:spacing w:val="-21"/>
          <w:sz w:val="24"/>
        </w:rPr>
        <w:t> </w:t>
      </w:r>
      <w:r>
        <w:rPr>
          <w:sz w:val="24"/>
        </w:rPr>
        <w:t>in</w:t>
      </w:r>
      <w:r>
        <w:rPr>
          <w:spacing w:val="-20"/>
          <w:sz w:val="24"/>
        </w:rPr>
        <w:t> </w:t>
      </w:r>
      <w:r>
        <w:rPr>
          <w:sz w:val="24"/>
        </w:rPr>
        <w:t>some cases no checking at all. This was discussed at the All-Wales P2P Group meeting in November, where it was agreed a small task and finish group would be established</w:t>
      </w:r>
      <w:r>
        <w:rPr>
          <w:spacing w:val="-20"/>
          <w:sz w:val="24"/>
        </w:rPr>
        <w:t> </w:t>
      </w:r>
      <w:r>
        <w:rPr>
          <w:sz w:val="24"/>
        </w:rPr>
        <w:t>to</w:t>
      </w:r>
      <w:r>
        <w:rPr>
          <w:spacing w:val="-18"/>
          <w:sz w:val="24"/>
        </w:rPr>
        <w:t> </w:t>
      </w:r>
      <w:r>
        <w:rPr>
          <w:sz w:val="24"/>
        </w:rPr>
        <w:t>consider</w:t>
      </w:r>
      <w:r>
        <w:rPr>
          <w:spacing w:val="-19"/>
          <w:sz w:val="24"/>
        </w:rPr>
        <w:t> </w:t>
      </w:r>
      <w:r>
        <w:rPr>
          <w:sz w:val="24"/>
        </w:rPr>
        <w:t>retrospective</w:t>
      </w:r>
      <w:r>
        <w:rPr>
          <w:spacing w:val="-19"/>
          <w:sz w:val="24"/>
        </w:rPr>
        <w:t> </w:t>
      </w:r>
      <w:r>
        <w:rPr>
          <w:sz w:val="24"/>
        </w:rPr>
        <w:t>checking</w:t>
      </w:r>
      <w:r>
        <w:rPr>
          <w:spacing w:val="-21"/>
          <w:sz w:val="24"/>
        </w:rPr>
        <w:t> </w:t>
      </w:r>
      <w:r>
        <w:rPr>
          <w:sz w:val="24"/>
        </w:rPr>
        <w:t>requirements</w:t>
      </w:r>
      <w:r>
        <w:rPr>
          <w:spacing w:val="-17"/>
          <w:sz w:val="24"/>
        </w:rPr>
        <w:t> </w:t>
      </w:r>
      <w:r>
        <w:rPr>
          <w:sz w:val="24"/>
        </w:rPr>
        <w:t>and</w:t>
      </w:r>
      <w:r>
        <w:rPr>
          <w:spacing w:val="-19"/>
          <w:sz w:val="24"/>
        </w:rPr>
        <w:t> </w:t>
      </w:r>
      <w:r>
        <w:rPr>
          <w:sz w:val="24"/>
        </w:rPr>
        <w:t>propose</w:t>
      </w:r>
      <w:r>
        <w:rPr>
          <w:spacing w:val="-20"/>
          <w:sz w:val="24"/>
        </w:rPr>
        <w:t> </w:t>
      </w:r>
      <w:r>
        <w:rPr>
          <w:sz w:val="24"/>
        </w:rPr>
        <w:t>a</w:t>
      </w:r>
      <w:r>
        <w:rPr>
          <w:spacing w:val="-21"/>
          <w:sz w:val="24"/>
        </w:rPr>
        <w:t> </w:t>
      </w:r>
      <w:r>
        <w:rPr>
          <w:sz w:val="24"/>
        </w:rPr>
        <w:t>process for agreement at the all-Wales P2P Group.</w:t>
      </w:r>
    </w:p>
    <w:p>
      <w:pPr>
        <w:pStyle w:val="BodyText"/>
        <w:spacing w:before="120"/>
        <w:ind w:left="566"/>
      </w:pPr>
      <w:r>
        <w:rPr>
          <w:color w:val="3C5A8B"/>
          <w:spacing w:val="-2"/>
        </w:rPr>
        <w:t>Conclusion:</w:t>
      </w:r>
    </w:p>
    <w:p>
      <w:pPr>
        <w:pStyle w:val="ListParagraph"/>
        <w:numPr>
          <w:ilvl w:val="1"/>
          <w:numId w:val="23"/>
        </w:numPr>
        <w:tabs>
          <w:tab w:pos="1275" w:val="left" w:leader="none"/>
        </w:tabs>
        <w:spacing w:line="240" w:lineRule="auto" w:before="121" w:after="0"/>
        <w:ind w:left="1274" w:right="704" w:hanging="708"/>
        <w:jc w:val="both"/>
        <w:rPr>
          <w:sz w:val="24"/>
        </w:rPr>
      </w:pPr>
      <w:r>
        <w:rPr>
          <w:sz w:val="24"/>
        </w:rPr>
        <w:t>Proactive steps have been taken through the establishment of the task and finish group in order to clarify the requirements and ownership of the retrospective checking process. Consequently, we have concluded </w:t>
      </w:r>
      <w:r>
        <w:rPr>
          <w:b/>
          <w:sz w:val="24"/>
        </w:rPr>
        <w:t>Reasonable </w:t>
      </w:r>
      <w:r>
        <w:rPr>
          <w:sz w:val="24"/>
        </w:rPr>
        <w:t>assurance for this objective, although no further recommendations are raised.</w:t>
      </w:r>
    </w:p>
    <w:p>
      <w:pPr>
        <w:spacing w:after="0" w:line="240" w:lineRule="auto"/>
        <w:jc w:val="both"/>
        <w:rPr>
          <w:sz w:val="24"/>
        </w:rPr>
        <w:sectPr>
          <w:footerReference w:type="default" r:id="rId89"/>
          <w:pgSz w:w="11910" w:h="16840"/>
          <w:pgMar w:footer="770" w:header="0" w:top="880" w:bottom="960" w:left="0" w:right="0"/>
        </w:sectPr>
      </w:pPr>
    </w:p>
    <w:p>
      <w:pPr>
        <w:pStyle w:val="BodyText"/>
        <w:tabs>
          <w:tab w:pos="7890" w:val="left" w:leader="none"/>
        </w:tabs>
        <w:spacing w:before="86"/>
        <w:ind w:left="566"/>
      </w:pPr>
      <w:r>
        <w:rPr/>
        <w:t>Accounts</w:t>
      </w:r>
      <w:r>
        <w:rPr>
          <w:spacing w:val="-2"/>
        </w:rPr>
        <w:t> Payable</w:t>
      </w:r>
      <w:r>
        <w:rPr/>
        <w:tab/>
        <w:t>Final</w:t>
      </w:r>
      <w:r>
        <w:rPr>
          <w:spacing w:val="-6"/>
        </w:rPr>
        <w:t> </w:t>
      </w:r>
      <w:r>
        <w:rPr/>
        <w:t>Internal</w:t>
      </w:r>
      <w:r>
        <w:rPr>
          <w:spacing w:val="-3"/>
        </w:rPr>
        <w:t> </w:t>
      </w:r>
      <w:r>
        <w:rPr/>
        <w:t>Audit</w:t>
      </w:r>
      <w:r>
        <w:rPr>
          <w:spacing w:val="-1"/>
        </w:rPr>
        <w:t> </w:t>
      </w:r>
      <w:r>
        <w:rPr>
          <w:spacing w:val="-2"/>
        </w:rPr>
        <w:t>Report</w:t>
      </w:r>
    </w:p>
    <w:p>
      <w:pPr>
        <w:pStyle w:val="BodyText"/>
        <w:rPr>
          <w:sz w:val="20"/>
        </w:rPr>
      </w:pPr>
      <w:r>
        <w:rPr/>
        <w:pict>
          <v:shape style="position:absolute;margin-left:27.6pt;margin-top:13.355979pt;width:532.450pt;height:1.45pt;mso-position-horizontal-relative:page;mso-position-vertical-relative:paragraph;z-index:-15665664;mso-wrap-distance-left:0;mso-wrap-distance-right:0" id="docshape273" coordorigin="552,267" coordsize="10649,29" path="m11200,267l5943,267,5929,267,5915,267,552,267,552,296,5915,296,5929,296,5943,296,11200,296,11200,267xe" filled="true" fillcolor="#000000" stroked="false">
            <v:path arrowok="t"/>
            <v:fill type="solid"/>
            <w10:wrap type="topAndBottom"/>
          </v:shape>
        </w:pict>
      </w:r>
    </w:p>
    <w:p>
      <w:pPr>
        <w:pStyle w:val="BodyText"/>
        <w:spacing w:before="11"/>
        <w:rPr>
          <w:sz w:val="19"/>
        </w:rPr>
      </w:pPr>
    </w:p>
    <w:p>
      <w:pPr>
        <w:spacing w:line="259" w:lineRule="auto" w:before="100"/>
        <w:ind w:left="566" w:right="707" w:firstLine="0"/>
        <w:jc w:val="both"/>
        <w:rPr>
          <w:b/>
          <w:sz w:val="24"/>
        </w:rPr>
      </w:pPr>
      <w:r>
        <w:rPr>
          <w:b/>
          <w:color w:val="3C5A8B"/>
          <w:sz w:val="24"/>
        </w:rPr>
        <w:t>Objective 6: Mechanisms are in place to ensure that duplicate payments are avoided or detected</w:t>
      </w:r>
    </w:p>
    <w:p>
      <w:pPr>
        <w:pStyle w:val="ListParagraph"/>
        <w:numPr>
          <w:ilvl w:val="1"/>
          <w:numId w:val="23"/>
        </w:numPr>
        <w:tabs>
          <w:tab w:pos="1275" w:val="left" w:leader="none"/>
        </w:tabs>
        <w:spacing w:line="240" w:lineRule="auto" w:before="119" w:after="0"/>
        <w:ind w:left="1274" w:right="702" w:hanging="708"/>
        <w:jc w:val="both"/>
        <w:rPr>
          <w:sz w:val="24"/>
        </w:rPr>
      </w:pPr>
      <w:r>
        <w:rPr>
          <w:sz w:val="24"/>
        </w:rPr>
        <w:t>The Oracle system will not allow an invoice to be entered</w:t>
      </w:r>
      <w:r>
        <w:rPr>
          <w:spacing w:val="-1"/>
          <w:sz w:val="24"/>
        </w:rPr>
        <w:t> </w:t>
      </w:r>
      <w:r>
        <w:rPr>
          <w:sz w:val="24"/>
        </w:rPr>
        <w:t>more than once against the</w:t>
      </w:r>
      <w:r>
        <w:rPr>
          <w:spacing w:val="-22"/>
          <w:sz w:val="24"/>
        </w:rPr>
        <w:t> </w:t>
      </w:r>
      <w:r>
        <w:rPr>
          <w:sz w:val="24"/>
        </w:rPr>
        <w:t>same</w:t>
      </w:r>
      <w:r>
        <w:rPr>
          <w:spacing w:val="-21"/>
          <w:sz w:val="24"/>
        </w:rPr>
        <w:t> </w:t>
      </w:r>
      <w:r>
        <w:rPr>
          <w:sz w:val="24"/>
        </w:rPr>
        <w:t>organisation</w:t>
      </w:r>
      <w:r>
        <w:rPr>
          <w:spacing w:val="-21"/>
          <w:sz w:val="24"/>
        </w:rPr>
        <w:t> </w:t>
      </w:r>
      <w:r>
        <w:rPr>
          <w:sz w:val="24"/>
        </w:rPr>
        <w:t>and</w:t>
      </w:r>
      <w:r>
        <w:rPr>
          <w:spacing w:val="-21"/>
          <w:sz w:val="24"/>
        </w:rPr>
        <w:t> </w:t>
      </w:r>
      <w:r>
        <w:rPr>
          <w:sz w:val="24"/>
        </w:rPr>
        <w:t>supplier</w:t>
      </w:r>
      <w:r>
        <w:rPr>
          <w:spacing w:val="-21"/>
          <w:sz w:val="24"/>
        </w:rPr>
        <w:t> </w:t>
      </w:r>
      <w:r>
        <w:rPr>
          <w:sz w:val="24"/>
        </w:rPr>
        <w:t>site.</w:t>
      </w:r>
      <w:r>
        <w:rPr>
          <w:spacing w:val="-21"/>
          <w:sz w:val="24"/>
        </w:rPr>
        <w:t> </w:t>
      </w:r>
      <w:r>
        <w:rPr>
          <w:sz w:val="24"/>
        </w:rPr>
        <w:t>However,</w:t>
      </w:r>
      <w:r>
        <w:rPr>
          <w:spacing w:val="-21"/>
          <w:sz w:val="24"/>
        </w:rPr>
        <w:t> </w:t>
      </w:r>
      <w:r>
        <w:rPr>
          <w:sz w:val="24"/>
        </w:rPr>
        <w:t>duplicates</w:t>
      </w:r>
      <w:r>
        <w:rPr>
          <w:spacing w:val="-21"/>
          <w:sz w:val="24"/>
        </w:rPr>
        <w:t> </w:t>
      </w:r>
      <w:r>
        <w:rPr>
          <w:sz w:val="24"/>
        </w:rPr>
        <w:t>can</w:t>
      </w:r>
      <w:r>
        <w:rPr>
          <w:spacing w:val="-21"/>
          <w:sz w:val="24"/>
        </w:rPr>
        <w:t> </w:t>
      </w:r>
      <w:r>
        <w:rPr>
          <w:sz w:val="24"/>
        </w:rPr>
        <w:t>occur</w:t>
      </w:r>
      <w:r>
        <w:rPr>
          <w:spacing w:val="-21"/>
          <w:sz w:val="24"/>
        </w:rPr>
        <w:t> </w:t>
      </w:r>
      <w:r>
        <w:rPr>
          <w:sz w:val="24"/>
        </w:rPr>
        <w:t>if</w:t>
      </w:r>
      <w:r>
        <w:rPr>
          <w:spacing w:val="-22"/>
          <w:sz w:val="24"/>
        </w:rPr>
        <w:t> </w:t>
      </w:r>
      <w:r>
        <w:rPr>
          <w:sz w:val="24"/>
        </w:rPr>
        <w:t>an</w:t>
      </w:r>
      <w:r>
        <w:rPr>
          <w:spacing w:val="-21"/>
          <w:sz w:val="24"/>
        </w:rPr>
        <w:t> </w:t>
      </w:r>
      <w:r>
        <w:rPr>
          <w:sz w:val="24"/>
        </w:rPr>
        <w:t>invoice is entered incorrectly.</w:t>
      </w:r>
    </w:p>
    <w:p>
      <w:pPr>
        <w:pStyle w:val="ListParagraph"/>
        <w:numPr>
          <w:ilvl w:val="1"/>
          <w:numId w:val="23"/>
        </w:numPr>
        <w:tabs>
          <w:tab w:pos="1275" w:val="left" w:leader="none"/>
        </w:tabs>
        <w:spacing w:line="240" w:lineRule="auto" w:before="121" w:after="0"/>
        <w:ind w:left="1274" w:right="714" w:hanging="708"/>
        <w:jc w:val="both"/>
        <w:rPr>
          <w:sz w:val="24"/>
        </w:rPr>
      </w:pPr>
      <w:r>
        <w:rPr>
          <w:sz w:val="24"/>
        </w:rPr>
        <w:t>FiscalTec</w:t>
      </w:r>
      <w:r>
        <w:rPr>
          <w:spacing w:val="-2"/>
          <w:sz w:val="24"/>
        </w:rPr>
        <w:t> </w:t>
      </w:r>
      <w:r>
        <w:rPr>
          <w:sz w:val="24"/>
        </w:rPr>
        <w:t>forensic</w:t>
      </w:r>
      <w:r>
        <w:rPr>
          <w:spacing w:val="-2"/>
          <w:sz w:val="24"/>
        </w:rPr>
        <w:t> </w:t>
      </w:r>
      <w:r>
        <w:rPr>
          <w:sz w:val="24"/>
        </w:rPr>
        <w:t>software</w:t>
      </w:r>
      <w:r>
        <w:rPr>
          <w:spacing w:val="-1"/>
          <w:sz w:val="24"/>
        </w:rPr>
        <w:t> </w:t>
      </w:r>
      <w:r>
        <w:rPr>
          <w:sz w:val="24"/>
        </w:rPr>
        <w:t>is</w:t>
      </w:r>
      <w:r>
        <w:rPr>
          <w:spacing w:val="-2"/>
          <w:sz w:val="24"/>
        </w:rPr>
        <w:t> </w:t>
      </w:r>
      <w:r>
        <w:rPr>
          <w:sz w:val="24"/>
        </w:rPr>
        <w:t>used to</w:t>
      </w:r>
      <w:r>
        <w:rPr>
          <w:spacing w:val="-1"/>
          <w:sz w:val="24"/>
        </w:rPr>
        <w:t> </w:t>
      </w:r>
      <w:r>
        <w:rPr>
          <w:sz w:val="24"/>
        </w:rPr>
        <w:t>identify duplicate invoices</w:t>
      </w:r>
      <w:r>
        <w:rPr>
          <w:spacing w:val="-2"/>
          <w:sz w:val="24"/>
        </w:rPr>
        <w:t> </w:t>
      </w:r>
      <w:r>
        <w:rPr>
          <w:sz w:val="24"/>
        </w:rPr>
        <w:t>prior</w:t>
      </w:r>
      <w:r>
        <w:rPr>
          <w:spacing w:val="-1"/>
          <w:sz w:val="24"/>
        </w:rPr>
        <w:t> </w:t>
      </w:r>
      <w:r>
        <w:rPr>
          <w:sz w:val="24"/>
        </w:rPr>
        <w:t>to</w:t>
      </w:r>
      <w:r>
        <w:rPr>
          <w:spacing w:val="-1"/>
          <w:sz w:val="24"/>
        </w:rPr>
        <w:t> </w:t>
      </w:r>
      <w:r>
        <w:rPr>
          <w:sz w:val="24"/>
        </w:rPr>
        <w:t>payment. Potential duplicates are placed on hold in Oracle to prevent payment until investigation is complete, and those confirmed to be a duplicate are cancelled.</w:t>
      </w:r>
    </w:p>
    <w:p>
      <w:pPr>
        <w:pStyle w:val="ListParagraph"/>
        <w:numPr>
          <w:ilvl w:val="1"/>
          <w:numId w:val="23"/>
        </w:numPr>
        <w:tabs>
          <w:tab w:pos="1275" w:val="left" w:leader="none"/>
        </w:tabs>
        <w:spacing w:line="240" w:lineRule="auto" w:before="118" w:after="0"/>
        <w:ind w:left="1274" w:right="705" w:hanging="708"/>
        <w:jc w:val="both"/>
        <w:rPr>
          <w:sz w:val="24"/>
        </w:rPr>
      </w:pPr>
      <w:r>
        <w:rPr>
          <w:sz w:val="24"/>
        </w:rPr>
        <w:t>A review of the duplicate logs for the period February to November 2022 noted nine</w:t>
      </w:r>
      <w:r>
        <w:rPr>
          <w:spacing w:val="-17"/>
          <w:sz w:val="24"/>
        </w:rPr>
        <w:t> </w:t>
      </w:r>
      <w:r>
        <w:rPr>
          <w:sz w:val="24"/>
        </w:rPr>
        <w:t>duplicate</w:t>
      </w:r>
      <w:r>
        <w:rPr>
          <w:spacing w:val="-16"/>
          <w:sz w:val="24"/>
        </w:rPr>
        <w:t> </w:t>
      </w:r>
      <w:r>
        <w:rPr>
          <w:sz w:val="24"/>
        </w:rPr>
        <w:t>payments</w:t>
      </w:r>
      <w:r>
        <w:rPr>
          <w:spacing w:val="-19"/>
          <w:sz w:val="24"/>
        </w:rPr>
        <w:t> </w:t>
      </w:r>
      <w:r>
        <w:rPr>
          <w:sz w:val="24"/>
        </w:rPr>
        <w:t>totalling</w:t>
      </w:r>
      <w:r>
        <w:rPr>
          <w:spacing w:val="-19"/>
          <w:sz w:val="24"/>
        </w:rPr>
        <w:t> </w:t>
      </w:r>
      <w:r>
        <w:rPr>
          <w:sz w:val="24"/>
        </w:rPr>
        <w:t>£10,292.56,</w:t>
      </w:r>
      <w:r>
        <w:rPr>
          <w:spacing w:val="-19"/>
          <w:sz w:val="24"/>
        </w:rPr>
        <w:t> </w:t>
      </w:r>
      <w:r>
        <w:rPr>
          <w:sz w:val="24"/>
        </w:rPr>
        <w:t>eight</w:t>
      </w:r>
      <w:r>
        <w:rPr>
          <w:spacing w:val="-19"/>
          <w:sz w:val="24"/>
        </w:rPr>
        <w:t> </w:t>
      </w:r>
      <w:r>
        <w:rPr>
          <w:sz w:val="24"/>
        </w:rPr>
        <w:t>of</w:t>
      </w:r>
      <w:r>
        <w:rPr>
          <w:spacing w:val="-19"/>
          <w:sz w:val="24"/>
        </w:rPr>
        <w:t> </w:t>
      </w:r>
      <w:r>
        <w:rPr>
          <w:sz w:val="24"/>
        </w:rPr>
        <w:t>which</w:t>
      </w:r>
      <w:r>
        <w:rPr>
          <w:spacing w:val="-19"/>
          <w:sz w:val="24"/>
        </w:rPr>
        <w:t> </w:t>
      </w:r>
      <w:r>
        <w:rPr>
          <w:sz w:val="24"/>
        </w:rPr>
        <w:t>have</w:t>
      </w:r>
      <w:r>
        <w:rPr>
          <w:spacing w:val="-17"/>
          <w:sz w:val="24"/>
        </w:rPr>
        <w:t> </w:t>
      </w:r>
      <w:r>
        <w:rPr>
          <w:sz w:val="24"/>
        </w:rPr>
        <w:t>been</w:t>
      </w:r>
      <w:r>
        <w:rPr>
          <w:spacing w:val="-19"/>
          <w:sz w:val="24"/>
        </w:rPr>
        <w:t> </w:t>
      </w:r>
      <w:r>
        <w:rPr>
          <w:sz w:val="24"/>
        </w:rPr>
        <w:t>recovered. Performance</w:t>
      </w:r>
      <w:r>
        <w:rPr>
          <w:spacing w:val="-20"/>
          <w:sz w:val="24"/>
        </w:rPr>
        <w:t> </w:t>
      </w:r>
      <w:r>
        <w:rPr>
          <w:sz w:val="24"/>
        </w:rPr>
        <w:t>data</w:t>
      </w:r>
      <w:r>
        <w:rPr>
          <w:spacing w:val="-21"/>
          <w:sz w:val="24"/>
        </w:rPr>
        <w:t> </w:t>
      </w:r>
      <w:r>
        <w:rPr>
          <w:sz w:val="24"/>
        </w:rPr>
        <w:t>for</w:t>
      </w:r>
      <w:r>
        <w:rPr>
          <w:spacing w:val="-19"/>
          <w:sz w:val="24"/>
        </w:rPr>
        <w:t> </w:t>
      </w:r>
      <w:r>
        <w:rPr>
          <w:sz w:val="24"/>
        </w:rPr>
        <w:t>November</w:t>
      </w:r>
      <w:r>
        <w:rPr>
          <w:spacing w:val="-19"/>
          <w:sz w:val="24"/>
        </w:rPr>
        <w:t> </w:t>
      </w:r>
      <w:r>
        <w:rPr>
          <w:sz w:val="24"/>
        </w:rPr>
        <w:t>2022</w:t>
      </w:r>
      <w:r>
        <w:rPr>
          <w:spacing w:val="-20"/>
          <w:sz w:val="24"/>
        </w:rPr>
        <w:t> </w:t>
      </w:r>
      <w:r>
        <w:rPr>
          <w:sz w:val="24"/>
        </w:rPr>
        <w:t>reported</w:t>
      </w:r>
      <w:r>
        <w:rPr>
          <w:spacing w:val="-21"/>
          <w:sz w:val="24"/>
        </w:rPr>
        <w:t> </w:t>
      </w:r>
      <w:r>
        <w:rPr>
          <w:sz w:val="24"/>
        </w:rPr>
        <w:t>that</w:t>
      </w:r>
      <w:r>
        <w:rPr>
          <w:spacing w:val="-22"/>
          <w:sz w:val="24"/>
        </w:rPr>
        <w:t> </w:t>
      </w:r>
      <w:r>
        <w:rPr>
          <w:sz w:val="24"/>
        </w:rPr>
        <w:t>FiscalTec</w:t>
      </w:r>
      <w:r>
        <w:rPr>
          <w:spacing w:val="-20"/>
          <w:sz w:val="24"/>
        </w:rPr>
        <w:t> </w:t>
      </w:r>
      <w:r>
        <w:rPr>
          <w:sz w:val="24"/>
        </w:rPr>
        <w:t>has</w:t>
      </w:r>
      <w:r>
        <w:rPr>
          <w:spacing w:val="-21"/>
          <w:sz w:val="24"/>
        </w:rPr>
        <w:t> </w:t>
      </w:r>
      <w:r>
        <w:rPr>
          <w:sz w:val="24"/>
        </w:rPr>
        <w:t>prevented</w:t>
      </w:r>
      <w:r>
        <w:rPr>
          <w:spacing w:val="-21"/>
          <w:sz w:val="24"/>
        </w:rPr>
        <w:t> </w:t>
      </w:r>
      <w:r>
        <w:rPr>
          <w:sz w:val="24"/>
        </w:rPr>
        <w:t>£7.8m of duplicate payments during the year.</w:t>
      </w:r>
    </w:p>
    <w:p>
      <w:pPr>
        <w:pStyle w:val="BodyText"/>
        <w:spacing w:before="123"/>
        <w:ind w:left="566"/>
      </w:pPr>
      <w:r>
        <w:rPr>
          <w:color w:val="3C5A8B"/>
          <w:spacing w:val="-2"/>
        </w:rPr>
        <w:t>Conclusion:</w:t>
      </w:r>
    </w:p>
    <w:p>
      <w:pPr>
        <w:pStyle w:val="ListParagraph"/>
        <w:numPr>
          <w:ilvl w:val="1"/>
          <w:numId w:val="23"/>
        </w:numPr>
        <w:tabs>
          <w:tab w:pos="1275" w:val="left" w:leader="none"/>
        </w:tabs>
        <w:spacing w:line="240" w:lineRule="auto" w:before="119" w:after="0"/>
        <w:ind w:left="1274" w:right="0" w:hanging="709"/>
        <w:jc w:val="left"/>
        <w:rPr>
          <w:sz w:val="24"/>
        </w:rPr>
      </w:pPr>
      <w:r>
        <w:rPr>
          <w:sz w:val="24"/>
        </w:rPr>
        <w:t>Noting</w:t>
      </w:r>
      <w:r>
        <w:rPr>
          <w:spacing w:val="-4"/>
          <w:sz w:val="24"/>
        </w:rPr>
        <w:t> </w:t>
      </w:r>
      <w:r>
        <w:rPr>
          <w:sz w:val="24"/>
        </w:rPr>
        <w:t>the</w:t>
      </w:r>
      <w:r>
        <w:rPr>
          <w:spacing w:val="-2"/>
          <w:sz w:val="24"/>
        </w:rPr>
        <w:t> </w:t>
      </w:r>
      <w:r>
        <w:rPr>
          <w:sz w:val="24"/>
        </w:rPr>
        <w:t>above,</w:t>
      </w:r>
      <w:r>
        <w:rPr>
          <w:spacing w:val="-3"/>
          <w:sz w:val="24"/>
        </w:rPr>
        <w:t> </w:t>
      </w:r>
      <w:r>
        <w:rPr>
          <w:sz w:val="24"/>
        </w:rPr>
        <w:t>we</w:t>
      </w:r>
      <w:r>
        <w:rPr>
          <w:spacing w:val="-3"/>
          <w:sz w:val="24"/>
        </w:rPr>
        <w:t> </w:t>
      </w:r>
      <w:r>
        <w:rPr>
          <w:sz w:val="24"/>
        </w:rPr>
        <w:t>have</w:t>
      </w:r>
      <w:r>
        <w:rPr>
          <w:spacing w:val="-2"/>
          <w:sz w:val="24"/>
        </w:rPr>
        <w:t> </w:t>
      </w:r>
      <w:r>
        <w:rPr>
          <w:sz w:val="24"/>
        </w:rPr>
        <w:t>concluded</w:t>
      </w:r>
      <w:r>
        <w:rPr>
          <w:spacing w:val="-1"/>
          <w:sz w:val="24"/>
        </w:rPr>
        <w:t> </w:t>
      </w:r>
      <w:r>
        <w:rPr>
          <w:b/>
          <w:sz w:val="24"/>
        </w:rPr>
        <w:t>Substantial</w:t>
      </w:r>
      <w:r>
        <w:rPr>
          <w:b/>
          <w:spacing w:val="-1"/>
          <w:sz w:val="24"/>
        </w:rPr>
        <w:t> </w:t>
      </w:r>
      <w:r>
        <w:rPr>
          <w:sz w:val="24"/>
        </w:rPr>
        <w:t>assurance</w:t>
      </w:r>
      <w:r>
        <w:rPr>
          <w:spacing w:val="-2"/>
          <w:sz w:val="24"/>
        </w:rPr>
        <w:t> </w:t>
      </w:r>
      <w:r>
        <w:rPr>
          <w:sz w:val="24"/>
        </w:rPr>
        <w:t>for</w:t>
      </w:r>
      <w:r>
        <w:rPr>
          <w:spacing w:val="-1"/>
          <w:sz w:val="24"/>
        </w:rPr>
        <w:t> </w:t>
      </w:r>
      <w:r>
        <w:rPr>
          <w:sz w:val="24"/>
        </w:rPr>
        <w:t>this</w:t>
      </w:r>
      <w:r>
        <w:rPr>
          <w:spacing w:val="-3"/>
          <w:sz w:val="24"/>
        </w:rPr>
        <w:t> </w:t>
      </w:r>
      <w:r>
        <w:rPr>
          <w:spacing w:val="-2"/>
          <w:sz w:val="24"/>
        </w:rPr>
        <w:t>objective</w:t>
      </w:r>
    </w:p>
    <w:p>
      <w:pPr>
        <w:pStyle w:val="BodyText"/>
        <w:spacing w:before="9"/>
        <w:rPr>
          <w:sz w:val="41"/>
        </w:rPr>
      </w:pPr>
    </w:p>
    <w:p>
      <w:pPr>
        <w:spacing w:line="259" w:lineRule="auto" w:before="0"/>
        <w:ind w:left="566" w:right="1637" w:firstLine="0"/>
        <w:jc w:val="both"/>
        <w:rPr>
          <w:b/>
          <w:sz w:val="24"/>
        </w:rPr>
      </w:pPr>
      <w:r>
        <w:rPr>
          <w:b/>
          <w:color w:val="3C5A8B"/>
          <w:sz w:val="24"/>
        </w:rPr>
        <w:t>Objective</w:t>
      </w:r>
      <w:r>
        <w:rPr>
          <w:b/>
          <w:color w:val="3C5A8B"/>
          <w:spacing w:val="-4"/>
          <w:sz w:val="24"/>
        </w:rPr>
        <w:t> </w:t>
      </w:r>
      <w:r>
        <w:rPr>
          <w:b/>
          <w:color w:val="3C5A8B"/>
          <w:sz w:val="24"/>
        </w:rPr>
        <w:t>7:</w:t>
      </w:r>
      <w:r>
        <w:rPr>
          <w:b/>
          <w:color w:val="3C5A8B"/>
          <w:spacing w:val="-3"/>
          <w:sz w:val="24"/>
        </w:rPr>
        <w:t> </w:t>
      </w:r>
      <w:r>
        <w:rPr>
          <w:b/>
          <w:color w:val="3C5A8B"/>
          <w:sz w:val="24"/>
        </w:rPr>
        <w:t>Progress</w:t>
      </w:r>
      <w:r>
        <w:rPr>
          <w:b/>
          <w:color w:val="3C5A8B"/>
          <w:spacing w:val="-5"/>
          <w:sz w:val="24"/>
        </w:rPr>
        <w:t> </w:t>
      </w:r>
      <w:r>
        <w:rPr>
          <w:b/>
          <w:color w:val="3C5A8B"/>
          <w:sz w:val="24"/>
        </w:rPr>
        <w:t>in</w:t>
      </w:r>
      <w:r>
        <w:rPr>
          <w:b/>
          <w:color w:val="3C5A8B"/>
          <w:spacing w:val="-5"/>
          <w:sz w:val="24"/>
        </w:rPr>
        <w:t> </w:t>
      </w:r>
      <w:r>
        <w:rPr>
          <w:b/>
          <w:color w:val="3C5A8B"/>
          <w:sz w:val="24"/>
        </w:rPr>
        <w:t>addressing</w:t>
      </w:r>
      <w:r>
        <w:rPr>
          <w:b/>
          <w:color w:val="3C5A8B"/>
          <w:spacing w:val="-3"/>
          <w:sz w:val="24"/>
        </w:rPr>
        <w:t> </w:t>
      </w:r>
      <w:r>
        <w:rPr>
          <w:b/>
          <w:color w:val="3C5A8B"/>
          <w:sz w:val="24"/>
        </w:rPr>
        <w:t>the</w:t>
      </w:r>
      <w:r>
        <w:rPr>
          <w:b/>
          <w:color w:val="3C5A8B"/>
          <w:spacing w:val="-5"/>
          <w:sz w:val="24"/>
        </w:rPr>
        <w:t> </w:t>
      </w:r>
      <w:r>
        <w:rPr>
          <w:b/>
          <w:color w:val="3C5A8B"/>
          <w:sz w:val="24"/>
        </w:rPr>
        <w:t>issues</w:t>
      </w:r>
      <w:r>
        <w:rPr>
          <w:b/>
          <w:color w:val="3C5A8B"/>
          <w:spacing w:val="-3"/>
          <w:sz w:val="24"/>
        </w:rPr>
        <w:t> </w:t>
      </w:r>
      <w:r>
        <w:rPr>
          <w:b/>
          <w:color w:val="3C5A8B"/>
          <w:sz w:val="24"/>
        </w:rPr>
        <w:t>identified</w:t>
      </w:r>
      <w:r>
        <w:rPr>
          <w:b/>
          <w:color w:val="3C5A8B"/>
          <w:spacing w:val="-4"/>
          <w:sz w:val="24"/>
        </w:rPr>
        <w:t> </w:t>
      </w:r>
      <w:r>
        <w:rPr>
          <w:b/>
          <w:color w:val="3C5A8B"/>
          <w:sz w:val="24"/>
        </w:rPr>
        <w:t>in</w:t>
      </w:r>
      <w:r>
        <w:rPr>
          <w:b/>
          <w:color w:val="3C5A8B"/>
          <w:spacing w:val="-5"/>
          <w:sz w:val="24"/>
        </w:rPr>
        <w:t> </w:t>
      </w:r>
      <w:r>
        <w:rPr>
          <w:b/>
          <w:color w:val="3C5A8B"/>
          <w:sz w:val="24"/>
        </w:rPr>
        <w:t>the</w:t>
      </w:r>
      <w:r>
        <w:rPr>
          <w:b/>
          <w:color w:val="3C5A8B"/>
          <w:spacing w:val="-3"/>
          <w:sz w:val="24"/>
        </w:rPr>
        <w:t> </w:t>
      </w:r>
      <w:r>
        <w:rPr>
          <w:b/>
          <w:color w:val="3C5A8B"/>
          <w:sz w:val="24"/>
        </w:rPr>
        <w:t>previous internal audit (report NWSSP-2122-15 refers)</w:t>
      </w:r>
    </w:p>
    <w:p>
      <w:pPr>
        <w:pStyle w:val="ListParagraph"/>
        <w:numPr>
          <w:ilvl w:val="1"/>
          <w:numId w:val="23"/>
        </w:numPr>
        <w:tabs>
          <w:tab w:pos="1275" w:val="left" w:leader="none"/>
        </w:tabs>
        <w:spacing w:line="240" w:lineRule="auto" w:before="119" w:after="0"/>
        <w:ind w:left="1274" w:right="708" w:hanging="708"/>
        <w:jc w:val="both"/>
        <w:rPr>
          <w:sz w:val="24"/>
        </w:rPr>
      </w:pPr>
      <w:r>
        <w:rPr>
          <w:sz w:val="24"/>
        </w:rPr>
        <w:t>Progress in implementing recommendations arising from the previous internal audit</w:t>
      </w:r>
      <w:r>
        <w:rPr>
          <w:spacing w:val="-12"/>
          <w:sz w:val="24"/>
        </w:rPr>
        <w:t> </w:t>
      </w:r>
      <w:r>
        <w:rPr>
          <w:sz w:val="24"/>
        </w:rPr>
        <w:t>(report</w:t>
      </w:r>
      <w:r>
        <w:rPr>
          <w:spacing w:val="-11"/>
          <w:sz w:val="24"/>
        </w:rPr>
        <w:t> </w:t>
      </w:r>
      <w:r>
        <w:rPr>
          <w:sz w:val="24"/>
        </w:rPr>
        <w:t>NWSSP-2122-15)</w:t>
      </w:r>
      <w:r>
        <w:rPr>
          <w:spacing w:val="-12"/>
          <w:sz w:val="24"/>
        </w:rPr>
        <w:t> </w:t>
      </w:r>
      <w:r>
        <w:rPr>
          <w:sz w:val="24"/>
        </w:rPr>
        <w:t>has</w:t>
      </w:r>
      <w:r>
        <w:rPr>
          <w:spacing w:val="-11"/>
          <w:sz w:val="24"/>
        </w:rPr>
        <w:t> </w:t>
      </w:r>
      <w:r>
        <w:rPr>
          <w:sz w:val="24"/>
        </w:rPr>
        <w:t>been</w:t>
      </w:r>
      <w:r>
        <w:rPr>
          <w:spacing w:val="-12"/>
          <w:sz w:val="24"/>
        </w:rPr>
        <w:t> </w:t>
      </w:r>
      <w:r>
        <w:rPr>
          <w:sz w:val="24"/>
        </w:rPr>
        <w:t>assessed</w:t>
      </w:r>
      <w:r>
        <w:rPr>
          <w:spacing w:val="-11"/>
          <w:sz w:val="24"/>
        </w:rPr>
        <w:t> </w:t>
      </w:r>
      <w:r>
        <w:rPr>
          <w:sz w:val="24"/>
        </w:rPr>
        <w:t>under</w:t>
      </w:r>
      <w:r>
        <w:rPr>
          <w:spacing w:val="-10"/>
          <w:sz w:val="24"/>
        </w:rPr>
        <w:t> </w:t>
      </w:r>
      <w:r>
        <w:rPr>
          <w:sz w:val="24"/>
        </w:rPr>
        <w:t>the</w:t>
      </w:r>
      <w:r>
        <w:rPr>
          <w:spacing w:val="-10"/>
          <w:sz w:val="24"/>
        </w:rPr>
        <w:t> </w:t>
      </w:r>
      <w:r>
        <w:rPr>
          <w:sz w:val="24"/>
        </w:rPr>
        <w:t>objectives</w:t>
      </w:r>
      <w:r>
        <w:rPr>
          <w:spacing w:val="-11"/>
          <w:sz w:val="24"/>
        </w:rPr>
        <w:t> </w:t>
      </w:r>
      <w:r>
        <w:rPr>
          <w:sz w:val="24"/>
        </w:rPr>
        <w:t>above</w:t>
      </w:r>
      <w:r>
        <w:rPr>
          <w:spacing w:val="-8"/>
          <w:sz w:val="24"/>
        </w:rPr>
        <w:t> </w:t>
      </w:r>
      <w:r>
        <w:rPr>
          <w:sz w:val="24"/>
        </w:rPr>
        <w:t>and recommendations raised where appropriate.</w:t>
      </w:r>
    </w:p>
    <w:p>
      <w:pPr>
        <w:pStyle w:val="BodyText"/>
        <w:spacing w:before="8"/>
        <w:rPr>
          <w:sz w:val="10"/>
        </w:rPr>
      </w:pPr>
    </w:p>
    <w:tbl>
      <w:tblPr>
        <w:tblW w:w="0" w:type="auto"/>
        <w:jc w:val="left"/>
        <w:tblCellSpacing w:w="5" w:type="dxa"/>
        <w:tblInd w:w="129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08"/>
        <w:gridCol w:w="2198"/>
        <w:gridCol w:w="1401"/>
        <w:gridCol w:w="5709"/>
      </w:tblGrid>
      <w:tr>
        <w:trPr>
          <w:trHeight w:val="376" w:hRule="atLeast"/>
        </w:trPr>
        <w:tc>
          <w:tcPr>
            <w:tcW w:w="603" w:type="dxa"/>
            <w:tcBorders>
              <w:top w:val="nil"/>
              <w:left w:val="nil"/>
            </w:tcBorders>
            <w:shd w:val="clear" w:color="auto" w:fill="8EAADB"/>
          </w:tcPr>
          <w:p>
            <w:pPr>
              <w:pStyle w:val="TableParagraph"/>
              <w:spacing w:before="60"/>
              <w:ind w:left="103"/>
              <w:rPr>
                <w:b/>
                <w:sz w:val="20"/>
              </w:rPr>
            </w:pPr>
            <w:r>
              <w:rPr>
                <w:b/>
                <w:spacing w:val="-5"/>
                <w:sz w:val="20"/>
              </w:rPr>
              <w:t>Ref</w:t>
            </w:r>
          </w:p>
        </w:tc>
        <w:tc>
          <w:tcPr>
            <w:tcW w:w="2188" w:type="dxa"/>
            <w:tcBorders>
              <w:top w:val="nil"/>
              <w:right w:val="nil"/>
            </w:tcBorders>
            <w:shd w:val="clear" w:color="auto" w:fill="8EAADB"/>
          </w:tcPr>
          <w:p>
            <w:pPr>
              <w:pStyle w:val="TableParagraph"/>
              <w:spacing w:before="60"/>
              <w:ind w:left="102"/>
              <w:rPr>
                <w:b/>
                <w:sz w:val="20"/>
              </w:rPr>
            </w:pPr>
            <w:r>
              <w:rPr>
                <w:b/>
                <w:spacing w:val="-2"/>
                <w:sz w:val="20"/>
              </w:rPr>
              <w:t>Finding</w:t>
            </w:r>
          </w:p>
        </w:tc>
        <w:tc>
          <w:tcPr>
            <w:tcW w:w="1391" w:type="dxa"/>
            <w:tcBorders>
              <w:top w:val="nil"/>
              <w:left w:val="nil"/>
            </w:tcBorders>
            <w:shd w:val="clear" w:color="auto" w:fill="8EAADB"/>
          </w:tcPr>
          <w:p>
            <w:pPr>
              <w:pStyle w:val="TableParagraph"/>
              <w:spacing w:before="60"/>
              <w:ind w:left="100"/>
              <w:rPr>
                <w:b/>
                <w:sz w:val="20"/>
              </w:rPr>
            </w:pPr>
            <w:r>
              <w:rPr>
                <w:b/>
                <w:spacing w:val="-2"/>
                <w:sz w:val="20"/>
              </w:rPr>
              <w:t>Priority</w:t>
            </w:r>
          </w:p>
        </w:tc>
        <w:tc>
          <w:tcPr>
            <w:tcW w:w="5704" w:type="dxa"/>
            <w:tcBorders>
              <w:top w:val="nil"/>
              <w:right w:val="nil"/>
            </w:tcBorders>
            <w:shd w:val="clear" w:color="auto" w:fill="8EAADB"/>
          </w:tcPr>
          <w:p>
            <w:pPr>
              <w:pStyle w:val="TableParagraph"/>
              <w:spacing w:before="60"/>
              <w:ind w:left="101"/>
              <w:rPr>
                <w:b/>
                <w:sz w:val="20"/>
              </w:rPr>
            </w:pPr>
            <w:r>
              <w:rPr>
                <w:b/>
                <w:spacing w:val="-2"/>
                <w:sz w:val="20"/>
              </w:rPr>
              <w:t>Status</w:t>
            </w:r>
          </w:p>
        </w:tc>
      </w:tr>
      <w:tr>
        <w:trPr>
          <w:trHeight w:val="607" w:hRule="atLeast"/>
        </w:trPr>
        <w:tc>
          <w:tcPr>
            <w:tcW w:w="603" w:type="dxa"/>
            <w:vMerge w:val="restart"/>
            <w:tcBorders>
              <w:left w:val="nil"/>
            </w:tcBorders>
            <w:shd w:val="clear" w:color="auto" w:fill="D9E1F3"/>
          </w:tcPr>
          <w:p>
            <w:pPr>
              <w:pStyle w:val="TableParagraph"/>
              <w:spacing w:before="60"/>
              <w:ind w:left="103"/>
              <w:rPr>
                <w:sz w:val="20"/>
              </w:rPr>
            </w:pPr>
            <w:r>
              <w:rPr>
                <w:w w:val="99"/>
                <w:sz w:val="20"/>
              </w:rPr>
              <w:t>1</w:t>
            </w:r>
          </w:p>
        </w:tc>
        <w:tc>
          <w:tcPr>
            <w:tcW w:w="2188" w:type="dxa"/>
            <w:vMerge w:val="restart"/>
            <w:tcBorders>
              <w:right w:val="nil"/>
            </w:tcBorders>
            <w:shd w:val="clear" w:color="auto" w:fill="D9E1F3"/>
          </w:tcPr>
          <w:p>
            <w:pPr>
              <w:pStyle w:val="TableParagraph"/>
              <w:spacing w:before="60"/>
              <w:ind w:left="102" w:right="103"/>
              <w:jc w:val="both"/>
              <w:rPr>
                <w:sz w:val="20"/>
              </w:rPr>
            </w:pPr>
            <w:r>
              <w:rPr>
                <w:sz w:val="20"/>
              </w:rPr>
              <w:t>Supplier </w:t>
            </w:r>
            <w:r>
              <w:rPr>
                <w:sz w:val="20"/>
              </w:rPr>
              <w:t>Bank Account Additions and Amendments</w:t>
            </w:r>
          </w:p>
        </w:tc>
        <w:tc>
          <w:tcPr>
            <w:tcW w:w="1391" w:type="dxa"/>
            <w:tcBorders>
              <w:left w:val="nil"/>
            </w:tcBorders>
            <w:shd w:val="clear" w:color="auto" w:fill="FFFF00"/>
          </w:tcPr>
          <w:p>
            <w:pPr>
              <w:pStyle w:val="TableParagraph"/>
              <w:spacing w:before="60"/>
              <w:ind w:left="100"/>
              <w:rPr>
                <w:sz w:val="20"/>
              </w:rPr>
            </w:pPr>
            <w:r>
              <w:rPr>
                <w:spacing w:val="-2"/>
                <w:sz w:val="20"/>
              </w:rPr>
              <w:t>Medium</w:t>
            </w:r>
          </w:p>
        </w:tc>
        <w:tc>
          <w:tcPr>
            <w:tcW w:w="5704" w:type="dxa"/>
            <w:tcBorders>
              <w:right w:val="nil"/>
            </w:tcBorders>
            <w:shd w:val="clear" w:color="auto" w:fill="D9E1F3"/>
          </w:tcPr>
          <w:p>
            <w:pPr>
              <w:pStyle w:val="TableParagraph"/>
              <w:spacing w:before="60"/>
              <w:ind w:left="101"/>
              <w:rPr>
                <w:sz w:val="20"/>
              </w:rPr>
            </w:pPr>
            <w:r>
              <w:rPr>
                <w:sz w:val="20"/>
              </w:rPr>
              <w:t>Partially</w:t>
            </w:r>
            <w:r>
              <w:rPr>
                <w:spacing w:val="-6"/>
                <w:sz w:val="20"/>
              </w:rPr>
              <w:t> </w:t>
            </w:r>
            <w:r>
              <w:rPr>
                <w:sz w:val="20"/>
              </w:rPr>
              <w:t>Implemented</w:t>
            </w:r>
            <w:r>
              <w:rPr>
                <w:spacing w:val="-4"/>
                <w:sz w:val="20"/>
              </w:rPr>
              <w:t> </w:t>
            </w:r>
            <w:r>
              <w:rPr>
                <w:sz w:val="20"/>
              </w:rPr>
              <w:t>/</w:t>
            </w:r>
            <w:r>
              <w:rPr>
                <w:spacing w:val="-4"/>
                <w:sz w:val="20"/>
              </w:rPr>
              <w:t> </w:t>
            </w:r>
            <w:r>
              <w:rPr>
                <w:sz w:val="20"/>
              </w:rPr>
              <w:t>Ongoing</w:t>
            </w:r>
            <w:r>
              <w:rPr>
                <w:spacing w:val="-4"/>
                <w:sz w:val="20"/>
              </w:rPr>
              <w:t> </w:t>
            </w:r>
            <w:r>
              <w:rPr>
                <w:sz w:val="20"/>
              </w:rPr>
              <w:t>–</w:t>
            </w:r>
            <w:r>
              <w:rPr>
                <w:spacing w:val="-6"/>
                <w:sz w:val="20"/>
              </w:rPr>
              <w:t> </w:t>
            </w:r>
            <w:r>
              <w:rPr>
                <w:sz w:val="20"/>
              </w:rPr>
              <w:t>see</w:t>
            </w:r>
            <w:r>
              <w:rPr>
                <w:spacing w:val="-7"/>
                <w:sz w:val="20"/>
              </w:rPr>
              <w:t> </w:t>
            </w:r>
            <w:r>
              <w:rPr>
                <w:sz w:val="20"/>
              </w:rPr>
              <w:t>para.</w:t>
            </w:r>
            <w:r>
              <w:rPr>
                <w:spacing w:val="-7"/>
                <w:sz w:val="20"/>
              </w:rPr>
              <w:t> </w:t>
            </w:r>
            <w:r>
              <w:rPr>
                <w:sz w:val="20"/>
              </w:rPr>
              <w:t>2.4</w:t>
            </w:r>
            <w:r>
              <w:rPr>
                <w:spacing w:val="-3"/>
                <w:sz w:val="20"/>
              </w:rPr>
              <w:t> </w:t>
            </w:r>
            <w:r>
              <w:rPr>
                <w:sz w:val="20"/>
              </w:rPr>
              <w:t>&amp;</w:t>
            </w:r>
            <w:r>
              <w:rPr>
                <w:spacing w:val="-7"/>
                <w:sz w:val="20"/>
              </w:rPr>
              <w:t> </w:t>
            </w:r>
            <w:r>
              <w:rPr>
                <w:sz w:val="20"/>
              </w:rPr>
              <w:t>2.7 and Matter Arising 1</w:t>
            </w:r>
          </w:p>
        </w:tc>
      </w:tr>
      <w:tr>
        <w:trPr>
          <w:trHeight w:val="386" w:hRule="atLeast"/>
        </w:trPr>
        <w:tc>
          <w:tcPr>
            <w:tcW w:w="603" w:type="dxa"/>
            <w:vMerge/>
            <w:tcBorders>
              <w:top w:val="nil"/>
              <w:left w:val="nil"/>
            </w:tcBorders>
            <w:shd w:val="clear" w:color="auto" w:fill="D9E1F3"/>
          </w:tcPr>
          <w:p>
            <w:pPr>
              <w:rPr>
                <w:sz w:val="2"/>
                <w:szCs w:val="2"/>
              </w:rPr>
            </w:pPr>
          </w:p>
        </w:tc>
        <w:tc>
          <w:tcPr>
            <w:tcW w:w="2188" w:type="dxa"/>
            <w:vMerge/>
            <w:tcBorders>
              <w:top w:val="nil"/>
              <w:right w:val="nil"/>
            </w:tcBorders>
            <w:shd w:val="clear" w:color="auto" w:fill="D9E1F3"/>
          </w:tcPr>
          <w:p>
            <w:pPr>
              <w:rPr>
                <w:sz w:val="2"/>
                <w:szCs w:val="2"/>
              </w:rPr>
            </w:pPr>
          </w:p>
        </w:tc>
        <w:tc>
          <w:tcPr>
            <w:tcW w:w="1391" w:type="dxa"/>
            <w:tcBorders>
              <w:left w:val="nil"/>
            </w:tcBorders>
            <w:shd w:val="clear" w:color="auto" w:fill="92D050"/>
          </w:tcPr>
          <w:p>
            <w:pPr>
              <w:pStyle w:val="TableParagraph"/>
              <w:spacing w:before="60"/>
              <w:ind w:left="100"/>
              <w:rPr>
                <w:sz w:val="20"/>
              </w:rPr>
            </w:pPr>
            <w:r>
              <w:rPr>
                <w:spacing w:val="-5"/>
                <w:sz w:val="20"/>
              </w:rPr>
              <w:t>Low</w:t>
            </w:r>
          </w:p>
        </w:tc>
        <w:tc>
          <w:tcPr>
            <w:tcW w:w="5704" w:type="dxa"/>
            <w:tcBorders>
              <w:right w:val="nil"/>
            </w:tcBorders>
            <w:shd w:val="clear" w:color="auto" w:fill="D9E1F3"/>
          </w:tcPr>
          <w:p>
            <w:pPr>
              <w:pStyle w:val="TableParagraph"/>
              <w:spacing w:before="60"/>
              <w:ind w:left="101"/>
              <w:rPr>
                <w:sz w:val="20"/>
              </w:rPr>
            </w:pPr>
            <w:r>
              <w:rPr>
                <w:sz w:val="20"/>
              </w:rPr>
              <w:t>Ongoing</w:t>
            </w:r>
            <w:r>
              <w:rPr>
                <w:spacing w:val="-5"/>
                <w:sz w:val="20"/>
              </w:rPr>
              <w:t> </w:t>
            </w:r>
            <w:r>
              <w:rPr>
                <w:sz w:val="20"/>
              </w:rPr>
              <w:t>-</w:t>
            </w:r>
            <w:r>
              <w:rPr>
                <w:spacing w:val="-4"/>
                <w:sz w:val="20"/>
              </w:rPr>
              <w:t> </w:t>
            </w:r>
            <w:r>
              <w:rPr>
                <w:sz w:val="20"/>
              </w:rPr>
              <w:t>see</w:t>
            </w:r>
            <w:r>
              <w:rPr>
                <w:spacing w:val="-6"/>
                <w:sz w:val="20"/>
              </w:rPr>
              <w:t> </w:t>
            </w:r>
            <w:r>
              <w:rPr>
                <w:sz w:val="20"/>
              </w:rPr>
              <w:t>para.</w:t>
            </w:r>
            <w:r>
              <w:rPr>
                <w:spacing w:val="-6"/>
                <w:sz w:val="20"/>
              </w:rPr>
              <w:t> </w:t>
            </w:r>
            <w:r>
              <w:rPr>
                <w:sz w:val="20"/>
              </w:rPr>
              <w:t>2.5</w:t>
            </w:r>
            <w:r>
              <w:rPr>
                <w:spacing w:val="-3"/>
                <w:sz w:val="20"/>
              </w:rPr>
              <w:t> </w:t>
            </w:r>
            <w:r>
              <w:rPr>
                <w:sz w:val="20"/>
              </w:rPr>
              <w:t>and</w:t>
            </w:r>
            <w:r>
              <w:rPr>
                <w:spacing w:val="-4"/>
                <w:sz w:val="20"/>
              </w:rPr>
              <w:t> </w:t>
            </w:r>
            <w:r>
              <w:rPr>
                <w:sz w:val="20"/>
              </w:rPr>
              <w:t>Matter</w:t>
            </w:r>
            <w:r>
              <w:rPr>
                <w:spacing w:val="-3"/>
                <w:sz w:val="20"/>
              </w:rPr>
              <w:t> </w:t>
            </w:r>
            <w:r>
              <w:rPr>
                <w:sz w:val="20"/>
              </w:rPr>
              <w:t>Arising</w:t>
            </w:r>
            <w:r>
              <w:rPr>
                <w:spacing w:val="-5"/>
                <w:sz w:val="20"/>
              </w:rPr>
              <w:t> </w:t>
            </w:r>
            <w:r>
              <w:rPr>
                <w:spacing w:val="-10"/>
                <w:sz w:val="20"/>
              </w:rPr>
              <w:t>1</w:t>
            </w:r>
          </w:p>
        </w:tc>
      </w:tr>
      <w:tr>
        <w:trPr>
          <w:trHeight w:val="666" w:hRule="atLeast"/>
        </w:trPr>
        <w:tc>
          <w:tcPr>
            <w:tcW w:w="603" w:type="dxa"/>
            <w:tcBorders>
              <w:left w:val="nil"/>
            </w:tcBorders>
            <w:shd w:val="clear" w:color="auto" w:fill="D9E1F3"/>
          </w:tcPr>
          <w:p>
            <w:pPr>
              <w:pStyle w:val="TableParagraph"/>
              <w:spacing w:before="60"/>
              <w:ind w:left="103"/>
              <w:rPr>
                <w:sz w:val="20"/>
              </w:rPr>
            </w:pPr>
            <w:r>
              <w:rPr>
                <w:w w:val="99"/>
                <w:sz w:val="20"/>
              </w:rPr>
              <w:t>2</w:t>
            </w:r>
          </w:p>
        </w:tc>
        <w:tc>
          <w:tcPr>
            <w:tcW w:w="2188" w:type="dxa"/>
            <w:tcBorders>
              <w:right w:val="nil"/>
            </w:tcBorders>
            <w:shd w:val="clear" w:color="auto" w:fill="D9E1F3"/>
          </w:tcPr>
          <w:p>
            <w:pPr>
              <w:pStyle w:val="TableParagraph"/>
              <w:tabs>
                <w:tab w:pos="1891" w:val="left" w:leader="none"/>
              </w:tabs>
              <w:spacing w:before="60"/>
              <w:ind w:left="102" w:right="104"/>
              <w:rPr>
                <w:sz w:val="20"/>
              </w:rPr>
            </w:pPr>
            <w:r>
              <w:rPr>
                <w:spacing w:val="-2"/>
                <w:sz w:val="20"/>
              </w:rPr>
              <w:t>Authorisation</w:t>
            </w:r>
            <w:r>
              <w:rPr>
                <w:sz w:val="20"/>
              </w:rPr>
              <w:tab/>
            </w:r>
            <w:r>
              <w:rPr>
                <w:spacing w:val="-6"/>
                <w:sz w:val="20"/>
              </w:rPr>
              <w:t>of </w:t>
            </w:r>
            <w:r>
              <w:rPr>
                <w:sz w:val="20"/>
              </w:rPr>
              <w:t>Non-PO Invoices</w:t>
            </w:r>
          </w:p>
        </w:tc>
        <w:tc>
          <w:tcPr>
            <w:tcW w:w="1391" w:type="dxa"/>
            <w:tcBorders>
              <w:left w:val="nil"/>
            </w:tcBorders>
            <w:shd w:val="clear" w:color="auto" w:fill="FFFF00"/>
          </w:tcPr>
          <w:p>
            <w:pPr>
              <w:pStyle w:val="TableParagraph"/>
              <w:spacing w:before="60"/>
              <w:ind w:left="100"/>
              <w:rPr>
                <w:sz w:val="20"/>
              </w:rPr>
            </w:pPr>
            <w:r>
              <w:rPr>
                <w:spacing w:val="-2"/>
                <w:sz w:val="20"/>
              </w:rPr>
              <w:t>Medium</w:t>
            </w:r>
          </w:p>
        </w:tc>
        <w:tc>
          <w:tcPr>
            <w:tcW w:w="5704" w:type="dxa"/>
            <w:tcBorders>
              <w:right w:val="nil"/>
            </w:tcBorders>
            <w:shd w:val="clear" w:color="auto" w:fill="D9E1F3"/>
          </w:tcPr>
          <w:p>
            <w:pPr>
              <w:pStyle w:val="TableParagraph"/>
              <w:spacing w:line="304" w:lineRule="exact" w:before="18"/>
              <w:ind w:left="101" w:right="513"/>
              <w:rPr>
                <w:sz w:val="20"/>
              </w:rPr>
            </w:pPr>
            <w:r>
              <w:rPr>
                <w:sz w:val="20"/>
              </w:rPr>
              <w:t>Ongoing</w:t>
            </w:r>
            <w:r>
              <w:rPr>
                <w:spacing w:val="-7"/>
                <w:sz w:val="20"/>
              </w:rPr>
              <w:t> </w:t>
            </w:r>
            <w:r>
              <w:rPr>
                <w:sz w:val="20"/>
              </w:rPr>
              <w:t>-</w:t>
            </w:r>
            <w:r>
              <w:rPr>
                <w:spacing w:val="-7"/>
                <w:sz w:val="20"/>
              </w:rPr>
              <w:t> </w:t>
            </w:r>
            <w:r>
              <w:rPr>
                <w:sz w:val="20"/>
              </w:rPr>
              <w:t>action</w:t>
            </w:r>
            <w:r>
              <w:rPr>
                <w:spacing w:val="-7"/>
                <w:sz w:val="20"/>
              </w:rPr>
              <w:t> </w:t>
            </w:r>
            <w:r>
              <w:rPr>
                <w:sz w:val="20"/>
              </w:rPr>
              <w:t>taken</w:t>
            </w:r>
            <w:r>
              <w:rPr>
                <w:spacing w:val="-3"/>
                <w:sz w:val="20"/>
              </w:rPr>
              <w:t> </w:t>
            </w:r>
            <w:r>
              <w:rPr>
                <w:sz w:val="20"/>
              </w:rPr>
              <w:t>but</w:t>
            </w:r>
            <w:r>
              <w:rPr>
                <w:spacing w:val="-6"/>
                <w:sz w:val="20"/>
              </w:rPr>
              <w:t> </w:t>
            </w:r>
            <w:r>
              <w:rPr>
                <w:sz w:val="20"/>
              </w:rPr>
              <w:t>issue</w:t>
            </w:r>
            <w:r>
              <w:rPr>
                <w:spacing w:val="-8"/>
                <w:sz w:val="20"/>
              </w:rPr>
              <w:t> </w:t>
            </w:r>
            <w:r>
              <w:rPr>
                <w:sz w:val="20"/>
              </w:rPr>
              <w:t>not</w:t>
            </w:r>
            <w:r>
              <w:rPr>
                <w:spacing w:val="-7"/>
                <w:sz w:val="20"/>
              </w:rPr>
              <w:t> </w:t>
            </w:r>
            <w:r>
              <w:rPr>
                <w:sz w:val="20"/>
              </w:rPr>
              <w:t>addressed See para. 2.14 and Matter Arising 2</w:t>
            </w:r>
          </w:p>
        </w:tc>
      </w:tr>
      <w:tr>
        <w:trPr>
          <w:trHeight w:val="666" w:hRule="atLeast"/>
        </w:trPr>
        <w:tc>
          <w:tcPr>
            <w:tcW w:w="603" w:type="dxa"/>
            <w:tcBorders>
              <w:left w:val="nil"/>
            </w:tcBorders>
            <w:shd w:val="clear" w:color="auto" w:fill="D9E1F3"/>
          </w:tcPr>
          <w:p>
            <w:pPr>
              <w:pStyle w:val="TableParagraph"/>
              <w:spacing w:before="60"/>
              <w:ind w:left="103"/>
              <w:rPr>
                <w:sz w:val="20"/>
              </w:rPr>
            </w:pPr>
            <w:r>
              <w:rPr>
                <w:w w:val="99"/>
                <w:sz w:val="20"/>
              </w:rPr>
              <w:t>3</w:t>
            </w:r>
          </w:p>
        </w:tc>
        <w:tc>
          <w:tcPr>
            <w:tcW w:w="2188" w:type="dxa"/>
            <w:tcBorders>
              <w:right w:val="nil"/>
            </w:tcBorders>
            <w:shd w:val="clear" w:color="auto" w:fill="D9E1F3"/>
          </w:tcPr>
          <w:p>
            <w:pPr>
              <w:pStyle w:val="TableParagraph"/>
              <w:spacing w:before="60"/>
              <w:ind w:left="102"/>
              <w:rPr>
                <w:sz w:val="20"/>
              </w:rPr>
            </w:pPr>
            <w:r>
              <w:rPr>
                <w:sz w:val="20"/>
              </w:rPr>
              <w:t>Invoices</w:t>
            </w:r>
            <w:r>
              <w:rPr>
                <w:spacing w:val="-6"/>
                <w:sz w:val="20"/>
              </w:rPr>
              <w:t> </w:t>
            </w:r>
            <w:r>
              <w:rPr>
                <w:sz w:val="20"/>
              </w:rPr>
              <w:t>on</w:t>
            </w:r>
            <w:r>
              <w:rPr>
                <w:spacing w:val="-5"/>
                <w:sz w:val="20"/>
              </w:rPr>
              <w:t> </w:t>
            </w:r>
            <w:r>
              <w:rPr>
                <w:spacing w:val="-4"/>
                <w:sz w:val="20"/>
              </w:rPr>
              <w:t>Hold</w:t>
            </w:r>
          </w:p>
        </w:tc>
        <w:tc>
          <w:tcPr>
            <w:tcW w:w="1391" w:type="dxa"/>
            <w:tcBorders>
              <w:left w:val="nil"/>
            </w:tcBorders>
            <w:shd w:val="clear" w:color="auto" w:fill="FF0000"/>
          </w:tcPr>
          <w:p>
            <w:pPr>
              <w:pStyle w:val="TableParagraph"/>
              <w:spacing w:before="60"/>
              <w:ind w:left="100"/>
              <w:rPr>
                <w:sz w:val="20"/>
              </w:rPr>
            </w:pPr>
            <w:r>
              <w:rPr>
                <w:color w:val="FFFFFF"/>
                <w:spacing w:val="-4"/>
                <w:sz w:val="20"/>
              </w:rPr>
              <w:t>High</w:t>
            </w:r>
          </w:p>
        </w:tc>
        <w:tc>
          <w:tcPr>
            <w:tcW w:w="5704" w:type="dxa"/>
            <w:tcBorders>
              <w:right w:val="nil"/>
            </w:tcBorders>
            <w:shd w:val="clear" w:color="auto" w:fill="D9E1F3"/>
          </w:tcPr>
          <w:p>
            <w:pPr>
              <w:pStyle w:val="TableParagraph"/>
              <w:spacing w:before="60"/>
              <w:ind w:left="101"/>
              <w:rPr>
                <w:sz w:val="20"/>
              </w:rPr>
            </w:pPr>
            <w:r>
              <w:rPr>
                <w:sz w:val="20"/>
              </w:rPr>
              <w:t>Ongoing</w:t>
            </w:r>
            <w:r>
              <w:rPr>
                <w:spacing w:val="-4"/>
                <w:sz w:val="20"/>
              </w:rPr>
              <w:t> </w:t>
            </w:r>
            <w:r>
              <w:rPr>
                <w:sz w:val="20"/>
              </w:rPr>
              <w:t>–</w:t>
            </w:r>
            <w:r>
              <w:rPr>
                <w:spacing w:val="-4"/>
                <w:sz w:val="20"/>
              </w:rPr>
              <w:t> </w:t>
            </w:r>
            <w:r>
              <w:rPr>
                <w:sz w:val="20"/>
              </w:rPr>
              <w:t>see</w:t>
            </w:r>
            <w:r>
              <w:rPr>
                <w:spacing w:val="-6"/>
                <w:sz w:val="20"/>
              </w:rPr>
              <w:t> </w:t>
            </w:r>
            <w:r>
              <w:rPr>
                <w:sz w:val="20"/>
              </w:rPr>
              <w:t>para.</w:t>
            </w:r>
            <w:r>
              <w:rPr>
                <w:spacing w:val="-5"/>
                <w:sz w:val="20"/>
              </w:rPr>
              <w:t> </w:t>
            </w:r>
            <w:r>
              <w:rPr>
                <w:spacing w:val="-4"/>
                <w:sz w:val="20"/>
              </w:rPr>
              <w:t>2.18</w:t>
            </w:r>
          </w:p>
          <w:p>
            <w:pPr>
              <w:pStyle w:val="TableParagraph"/>
              <w:spacing w:before="59"/>
              <w:ind w:left="101"/>
              <w:rPr>
                <w:sz w:val="20"/>
              </w:rPr>
            </w:pPr>
            <w:r>
              <w:rPr>
                <w:sz w:val="20"/>
              </w:rPr>
              <w:t>No</w:t>
            </w:r>
            <w:r>
              <w:rPr>
                <w:spacing w:val="-8"/>
                <w:sz w:val="20"/>
              </w:rPr>
              <w:t> </w:t>
            </w:r>
            <w:r>
              <w:rPr>
                <w:sz w:val="20"/>
              </w:rPr>
              <w:t>further</w:t>
            </w:r>
            <w:r>
              <w:rPr>
                <w:spacing w:val="-10"/>
                <w:sz w:val="20"/>
              </w:rPr>
              <w:t> </w:t>
            </w:r>
            <w:r>
              <w:rPr>
                <w:sz w:val="20"/>
              </w:rPr>
              <w:t>recommendations</w:t>
            </w:r>
            <w:r>
              <w:rPr>
                <w:spacing w:val="-9"/>
                <w:sz w:val="20"/>
              </w:rPr>
              <w:t> </w:t>
            </w:r>
            <w:r>
              <w:rPr>
                <w:spacing w:val="-2"/>
                <w:sz w:val="20"/>
              </w:rPr>
              <w:t>raised</w:t>
            </w:r>
          </w:p>
        </w:tc>
      </w:tr>
      <w:tr>
        <w:trPr>
          <w:trHeight w:val="603" w:hRule="atLeast"/>
        </w:trPr>
        <w:tc>
          <w:tcPr>
            <w:tcW w:w="603" w:type="dxa"/>
            <w:tcBorders>
              <w:left w:val="nil"/>
              <w:bottom w:val="nil"/>
            </w:tcBorders>
            <w:shd w:val="clear" w:color="auto" w:fill="D9E1F3"/>
          </w:tcPr>
          <w:p>
            <w:pPr>
              <w:pStyle w:val="TableParagraph"/>
              <w:spacing w:before="60"/>
              <w:ind w:left="103"/>
              <w:rPr>
                <w:sz w:val="20"/>
              </w:rPr>
            </w:pPr>
            <w:r>
              <w:rPr>
                <w:w w:val="99"/>
                <w:sz w:val="20"/>
              </w:rPr>
              <w:t>4</w:t>
            </w:r>
          </w:p>
        </w:tc>
        <w:tc>
          <w:tcPr>
            <w:tcW w:w="2188" w:type="dxa"/>
            <w:tcBorders>
              <w:bottom w:val="nil"/>
              <w:right w:val="nil"/>
            </w:tcBorders>
            <w:shd w:val="clear" w:color="auto" w:fill="D9E1F3"/>
          </w:tcPr>
          <w:p>
            <w:pPr>
              <w:pStyle w:val="TableParagraph"/>
              <w:tabs>
                <w:tab w:pos="1164" w:val="left" w:leader="none"/>
              </w:tabs>
              <w:spacing w:before="60"/>
              <w:ind w:left="102" w:right="103"/>
              <w:rPr>
                <w:sz w:val="20"/>
              </w:rPr>
            </w:pPr>
            <w:r>
              <w:rPr>
                <w:spacing w:val="-2"/>
                <w:sz w:val="20"/>
              </w:rPr>
              <w:t>Finance</w:t>
            </w:r>
            <w:r>
              <w:rPr>
                <w:sz w:val="20"/>
              </w:rPr>
              <w:tab/>
            </w:r>
            <w:r>
              <w:rPr>
                <w:spacing w:val="-2"/>
                <w:sz w:val="20"/>
              </w:rPr>
              <w:t>Academy </w:t>
            </w:r>
            <w:r>
              <w:rPr>
                <w:sz w:val="20"/>
              </w:rPr>
              <w:t>P2P Group</w:t>
            </w:r>
          </w:p>
        </w:tc>
        <w:tc>
          <w:tcPr>
            <w:tcW w:w="1391" w:type="dxa"/>
            <w:tcBorders>
              <w:left w:val="nil"/>
              <w:bottom w:val="nil"/>
            </w:tcBorders>
            <w:shd w:val="clear" w:color="auto" w:fill="92D050"/>
          </w:tcPr>
          <w:p>
            <w:pPr>
              <w:pStyle w:val="TableParagraph"/>
              <w:spacing w:before="60"/>
              <w:ind w:left="100"/>
              <w:rPr>
                <w:sz w:val="20"/>
              </w:rPr>
            </w:pPr>
            <w:r>
              <w:rPr>
                <w:spacing w:val="-5"/>
                <w:sz w:val="20"/>
              </w:rPr>
              <w:t>Low</w:t>
            </w:r>
          </w:p>
        </w:tc>
        <w:tc>
          <w:tcPr>
            <w:tcW w:w="5704" w:type="dxa"/>
            <w:tcBorders>
              <w:bottom w:val="nil"/>
              <w:right w:val="nil"/>
            </w:tcBorders>
            <w:shd w:val="clear" w:color="auto" w:fill="D9E1F3"/>
          </w:tcPr>
          <w:p>
            <w:pPr>
              <w:pStyle w:val="TableParagraph"/>
              <w:spacing w:before="60"/>
              <w:ind w:left="101"/>
              <w:rPr>
                <w:sz w:val="20"/>
              </w:rPr>
            </w:pPr>
            <w:r>
              <w:rPr>
                <w:spacing w:val="-2"/>
                <w:sz w:val="20"/>
              </w:rPr>
              <w:t>Implemented</w:t>
            </w:r>
          </w:p>
        </w:tc>
      </w:tr>
      <w:tr>
        <w:trPr>
          <w:trHeight w:val="663" w:hRule="atLeast"/>
        </w:trPr>
        <w:tc>
          <w:tcPr>
            <w:tcW w:w="603" w:type="dxa"/>
            <w:tcBorders>
              <w:top w:val="nil"/>
              <w:left w:val="nil"/>
              <w:bottom w:val="nil"/>
            </w:tcBorders>
            <w:shd w:val="clear" w:color="auto" w:fill="D9E1F3"/>
          </w:tcPr>
          <w:p>
            <w:pPr>
              <w:pStyle w:val="TableParagraph"/>
              <w:spacing w:before="59"/>
              <w:ind w:left="103"/>
              <w:rPr>
                <w:sz w:val="20"/>
              </w:rPr>
            </w:pPr>
            <w:r>
              <w:rPr>
                <w:w w:val="99"/>
                <w:sz w:val="20"/>
              </w:rPr>
              <w:t>5</w:t>
            </w:r>
          </w:p>
        </w:tc>
        <w:tc>
          <w:tcPr>
            <w:tcW w:w="2188" w:type="dxa"/>
            <w:tcBorders>
              <w:top w:val="nil"/>
              <w:bottom w:val="nil"/>
              <w:right w:val="nil"/>
            </w:tcBorders>
            <w:shd w:val="clear" w:color="auto" w:fill="D9E1F3"/>
          </w:tcPr>
          <w:p>
            <w:pPr>
              <w:pStyle w:val="TableParagraph"/>
              <w:spacing w:before="59"/>
              <w:ind w:left="102"/>
              <w:rPr>
                <w:sz w:val="20"/>
              </w:rPr>
            </w:pPr>
            <w:r>
              <w:rPr>
                <w:sz w:val="20"/>
              </w:rPr>
              <w:t>Invoices</w:t>
            </w:r>
            <w:r>
              <w:rPr>
                <w:spacing w:val="-8"/>
                <w:sz w:val="20"/>
              </w:rPr>
              <w:t> </w:t>
            </w:r>
            <w:r>
              <w:rPr>
                <w:sz w:val="20"/>
              </w:rPr>
              <w:t>in</w:t>
            </w:r>
            <w:r>
              <w:rPr>
                <w:spacing w:val="-7"/>
                <w:sz w:val="20"/>
              </w:rPr>
              <w:t> </w:t>
            </w:r>
            <w:r>
              <w:rPr>
                <w:spacing w:val="-2"/>
                <w:sz w:val="20"/>
              </w:rPr>
              <w:t>Dispute</w:t>
            </w:r>
          </w:p>
        </w:tc>
        <w:tc>
          <w:tcPr>
            <w:tcW w:w="1391" w:type="dxa"/>
            <w:tcBorders>
              <w:top w:val="nil"/>
              <w:left w:val="nil"/>
              <w:bottom w:val="nil"/>
            </w:tcBorders>
            <w:shd w:val="clear" w:color="auto" w:fill="92D050"/>
          </w:tcPr>
          <w:p>
            <w:pPr>
              <w:pStyle w:val="TableParagraph"/>
              <w:spacing w:before="59"/>
              <w:ind w:left="100"/>
              <w:rPr>
                <w:sz w:val="20"/>
              </w:rPr>
            </w:pPr>
            <w:r>
              <w:rPr>
                <w:spacing w:val="-5"/>
                <w:sz w:val="20"/>
              </w:rPr>
              <w:t>Low</w:t>
            </w:r>
          </w:p>
        </w:tc>
        <w:tc>
          <w:tcPr>
            <w:tcW w:w="5704" w:type="dxa"/>
            <w:tcBorders>
              <w:top w:val="nil"/>
              <w:bottom w:val="nil"/>
              <w:right w:val="nil"/>
            </w:tcBorders>
            <w:shd w:val="clear" w:color="auto" w:fill="D9E1F3"/>
          </w:tcPr>
          <w:p>
            <w:pPr>
              <w:pStyle w:val="TableParagraph"/>
              <w:spacing w:line="302" w:lineRule="exact" w:before="18"/>
              <w:ind w:left="101" w:right="513"/>
              <w:rPr>
                <w:sz w:val="20"/>
              </w:rPr>
            </w:pPr>
            <w:r>
              <w:rPr>
                <w:sz w:val="20"/>
              </w:rPr>
              <w:t>Ongoing</w:t>
            </w:r>
            <w:r>
              <w:rPr>
                <w:spacing w:val="-6"/>
                <w:sz w:val="20"/>
              </w:rPr>
              <w:t> </w:t>
            </w:r>
            <w:r>
              <w:rPr>
                <w:sz w:val="20"/>
              </w:rPr>
              <w:t>–</w:t>
            </w:r>
            <w:r>
              <w:rPr>
                <w:spacing w:val="-6"/>
                <w:sz w:val="20"/>
              </w:rPr>
              <w:t> </w:t>
            </w:r>
            <w:r>
              <w:rPr>
                <w:sz w:val="20"/>
              </w:rPr>
              <w:t>action</w:t>
            </w:r>
            <w:r>
              <w:rPr>
                <w:spacing w:val="-6"/>
                <w:sz w:val="20"/>
              </w:rPr>
              <w:t> </w:t>
            </w:r>
            <w:r>
              <w:rPr>
                <w:sz w:val="20"/>
              </w:rPr>
              <w:t>taken</w:t>
            </w:r>
            <w:r>
              <w:rPr>
                <w:spacing w:val="-5"/>
                <w:sz w:val="20"/>
              </w:rPr>
              <w:t> </w:t>
            </w:r>
            <w:r>
              <w:rPr>
                <w:sz w:val="20"/>
              </w:rPr>
              <w:t>but</w:t>
            </w:r>
            <w:r>
              <w:rPr>
                <w:spacing w:val="-6"/>
                <w:sz w:val="20"/>
              </w:rPr>
              <w:t> </w:t>
            </w:r>
            <w:r>
              <w:rPr>
                <w:sz w:val="20"/>
              </w:rPr>
              <w:t>issue</w:t>
            </w:r>
            <w:r>
              <w:rPr>
                <w:spacing w:val="-8"/>
                <w:sz w:val="20"/>
              </w:rPr>
              <w:t> </w:t>
            </w:r>
            <w:r>
              <w:rPr>
                <w:sz w:val="20"/>
              </w:rPr>
              <w:t>not</w:t>
            </w:r>
            <w:r>
              <w:rPr>
                <w:spacing w:val="-5"/>
                <w:sz w:val="20"/>
              </w:rPr>
              <w:t> </w:t>
            </w:r>
            <w:r>
              <w:rPr>
                <w:sz w:val="20"/>
              </w:rPr>
              <w:t>addressed See para. 2.23 and Matter Arising 3</w:t>
            </w:r>
          </w:p>
        </w:tc>
      </w:tr>
    </w:tbl>
    <w:p>
      <w:pPr>
        <w:pStyle w:val="BodyText"/>
        <w:spacing w:before="134"/>
        <w:ind w:left="566"/>
      </w:pPr>
      <w:r>
        <w:rPr>
          <w:color w:val="3C5A8B"/>
          <w:spacing w:val="-2"/>
        </w:rPr>
        <w:t>Conclusion:</w:t>
      </w:r>
    </w:p>
    <w:p>
      <w:pPr>
        <w:pStyle w:val="ListParagraph"/>
        <w:numPr>
          <w:ilvl w:val="1"/>
          <w:numId w:val="23"/>
        </w:numPr>
        <w:tabs>
          <w:tab w:pos="1275" w:val="left" w:leader="none"/>
        </w:tabs>
        <w:spacing w:line="240" w:lineRule="auto" w:before="119" w:after="0"/>
        <w:ind w:left="1274" w:right="704" w:hanging="708"/>
        <w:jc w:val="both"/>
        <w:rPr>
          <w:sz w:val="24"/>
        </w:rPr>
      </w:pPr>
      <w:r>
        <w:rPr>
          <w:sz w:val="24"/>
        </w:rPr>
        <w:t>Action</w:t>
      </w:r>
      <w:r>
        <w:rPr>
          <w:spacing w:val="-22"/>
          <w:sz w:val="24"/>
        </w:rPr>
        <w:t> </w:t>
      </w:r>
      <w:r>
        <w:rPr>
          <w:sz w:val="24"/>
        </w:rPr>
        <w:t>has</w:t>
      </w:r>
      <w:r>
        <w:rPr>
          <w:spacing w:val="-21"/>
          <w:sz w:val="24"/>
        </w:rPr>
        <w:t> </w:t>
      </w:r>
      <w:r>
        <w:rPr>
          <w:sz w:val="24"/>
        </w:rPr>
        <w:t>been</w:t>
      </w:r>
      <w:r>
        <w:rPr>
          <w:spacing w:val="-21"/>
          <w:sz w:val="24"/>
        </w:rPr>
        <w:t> </w:t>
      </w:r>
      <w:r>
        <w:rPr>
          <w:sz w:val="24"/>
        </w:rPr>
        <w:t>taken</w:t>
      </w:r>
      <w:r>
        <w:rPr>
          <w:spacing w:val="-21"/>
          <w:sz w:val="24"/>
        </w:rPr>
        <w:t> </w:t>
      </w:r>
      <w:r>
        <w:rPr>
          <w:sz w:val="24"/>
        </w:rPr>
        <w:t>in</w:t>
      </w:r>
      <w:r>
        <w:rPr>
          <w:spacing w:val="-21"/>
          <w:sz w:val="24"/>
        </w:rPr>
        <w:t> </w:t>
      </w:r>
      <w:r>
        <w:rPr>
          <w:sz w:val="24"/>
        </w:rPr>
        <w:t>respect</w:t>
      </w:r>
      <w:r>
        <w:rPr>
          <w:spacing w:val="-21"/>
          <w:sz w:val="24"/>
        </w:rPr>
        <w:t> </w:t>
      </w:r>
      <w:r>
        <w:rPr>
          <w:sz w:val="24"/>
        </w:rPr>
        <w:t>of</w:t>
      </w:r>
      <w:r>
        <w:rPr>
          <w:spacing w:val="-21"/>
          <w:sz w:val="24"/>
        </w:rPr>
        <w:t> </w:t>
      </w:r>
      <w:r>
        <w:rPr>
          <w:sz w:val="24"/>
        </w:rPr>
        <w:t>all</w:t>
      </w:r>
      <w:r>
        <w:rPr>
          <w:spacing w:val="-21"/>
          <w:sz w:val="24"/>
        </w:rPr>
        <w:t> </w:t>
      </w:r>
      <w:r>
        <w:rPr>
          <w:sz w:val="24"/>
        </w:rPr>
        <w:t>previous</w:t>
      </w:r>
      <w:r>
        <w:rPr>
          <w:spacing w:val="-21"/>
          <w:sz w:val="24"/>
        </w:rPr>
        <w:t> </w:t>
      </w:r>
      <w:r>
        <w:rPr>
          <w:sz w:val="24"/>
        </w:rPr>
        <w:t>recommendations</w:t>
      </w:r>
      <w:r>
        <w:rPr>
          <w:spacing w:val="-21"/>
          <w:sz w:val="24"/>
        </w:rPr>
        <w:t> </w:t>
      </w:r>
      <w:r>
        <w:rPr>
          <w:sz w:val="24"/>
        </w:rPr>
        <w:t>although</w:t>
      </w:r>
      <w:r>
        <w:rPr>
          <w:spacing w:val="-22"/>
          <w:sz w:val="24"/>
        </w:rPr>
        <w:t> </w:t>
      </w:r>
      <w:r>
        <w:rPr>
          <w:sz w:val="24"/>
        </w:rPr>
        <w:t>in</w:t>
      </w:r>
      <w:r>
        <w:rPr>
          <w:spacing w:val="-21"/>
          <w:sz w:val="24"/>
        </w:rPr>
        <w:t> </w:t>
      </w:r>
      <w:r>
        <w:rPr>
          <w:sz w:val="24"/>
        </w:rPr>
        <w:t>some cases</w:t>
      </w:r>
      <w:r>
        <w:rPr>
          <w:spacing w:val="-15"/>
          <w:sz w:val="24"/>
        </w:rPr>
        <w:t> </w:t>
      </w:r>
      <w:r>
        <w:rPr>
          <w:sz w:val="24"/>
        </w:rPr>
        <w:t>the</w:t>
      </w:r>
      <w:r>
        <w:rPr>
          <w:spacing w:val="-15"/>
          <w:sz w:val="24"/>
        </w:rPr>
        <w:t> </w:t>
      </w:r>
      <w:r>
        <w:rPr>
          <w:sz w:val="24"/>
        </w:rPr>
        <w:t>issue/risk</w:t>
      </w:r>
      <w:r>
        <w:rPr>
          <w:spacing w:val="-14"/>
          <w:sz w:val="24"/>
        </w:rPr>
        <w:t> </w:t>
      </w:r>
      <w:r>
        <w:rPr>
          <w:sz w:val="24"/>
        </w:rPr>
        <w:t>has</w:t>
      </w:r>
      <w:r>
        <w:rPr>
          <w:spacing w:val="-16"/>
          <w:sz w:val="24"/>
        </w:rPr>
        <w:t> </w:t>
      </w:r>
      <w:r>
        <w:rPr>
          <w:sz w:val="24"/>
        </w:rPr>
        <w:t>not</w:t>
      </w:r>
      <w:r>
        <w:rPr>
          <w:spacing w:val="-14"/>
          <w:sz w:val="24"/>
        </w:rPr>
        <w:t> </w:t>
      </w:r>
      <w:r>
        <w:rPr>
          <w:sz w:val="24"/>
        </w:rPr>
        <w:t>been</w:t>
      </w:r>
      <w:r>
        <w:rPr>
          <w:spacing w:val="-17"/>
          <w:sz w:val="24"/>
        </w:rPr>
        <w:t> </w:t>
      </w:r>
      <w:r>
        <w:rPr>
          <w:sz w:val="24"/>
        </w:rPr>
        <w:t>fully</w:t>
      </w:r>
      <w:r>
        <w:rPr>
          <w:spacing w:val="-16"/>
          <w:sz w:val="24"/>
        </w:rPr>
        <w:t> </w:t>
      </w:r>
      <w:r>
        <w:rPr>
          <w:sz w:val="24"/>
        </w:rPr>
        <w:t>addressed</w:t>
      </w:r>
      <w:r>
        <w:rPr>
          <w:spacing w:val="-16"/>
          <w:sz w:val="24"/>
        </w:rPr>
        <w:t> </w:t>
      </w:r>
      <w:r>
        <w:rPr>
          <w:sz w:val="24"/>
        </w:rPr>
        <w:t>so</w:t>
      </w:r>
      <w:r>
        <w:rPr>
          <w:spacing w:val="-15"/>
          <w:sz w:val="24"/>
        </w:rPr>
        <w:t> </w:t>
      </w:r>
      <w:r>
        <w:rPr>
          <w:sz w:val="24"/>
        </w:rPr>
        <w:t>further</w:t>
      </w:r>
      <w:r>
        <w:rPr>
          <w:spacing w:val="-15"/>
          <w:sz w:val="24"/>
        </w:rPr>
        <w:t> </w:t>
      </w:r>
      <w:r>
        <w:rPr>
          <w:sz w:val="24"/>
        </w:rPr>
        <w:t>action</w:t>
      </w:r>
      <w:r>
        <w:rPr>
          <w:spacing w:val="-14"/>
          <w:sz w:val="24"/>
        </w:rPr>
        <w:t> </w:t>
      </w:r>
      <w:r>
        <w:rPr>
          <w:sz w:val="24"/>
        </w:rPr>
        <w:t>is</w:t>
      </w:r>
      <w:r>
        <w:rPr>
          <w:spacing w:val="-17"/>
          <w:sz w:val="24"/>
        </w:rPr>
        <w:t> </w:t>
      </w:r>
      <w:r>
        <w:rPr>
          <w:sz w:val="24"/>
        </w:rPr>
        <w:t>required.</w:t>
      </w:r>
      <w:r>
        <w:rPr>
          <w:spacing w:val="-14"/>
          <w:sz w:val="24"/>
        </w:rPr>
        <w:t> </w:t>
      </w:r>
      <w:r>
        <w:rPr>
          <w:sz w:val="24"/>
        </w:rPr>
        <w:t>New recommendations have been raised where appropriate, these are detailed within Appendix A. Accordingly, we have concluded </w:t>
      </w:r>
      <w:r>
        <w:rPr>
          <w:b/>
          <w:sz w:val="24"/>
        </w:rPr>
        <w:t>Reasonable </w:t>
      </w:r>
      <w:r>
        <w:rPr>
          <w:sz w:val="24"/>
        </w:rPr>
        <w:t>assurance for this </w:t>
      </w:r>
      <w:r>
        <w:rPr>
          <w:spacing w:val="-2"/>
          <w:sz w:val="24"/>
        </w:rPr>
        <w:t>objective.</w:t>
      </w:r>
    </w:p>
    <w:p>
      <w:pPr>
        <w:spacing w:after="0" w:line="240" w:lineRule="auto"/>
        <w:jc w:val="both"/>
        <w:rPr>
          <w:sz w:val="24"/>
        </w:rPr>
        <w:sectPr>
          <w:footerReference w:type="default" r:id="rId90"/>
          <w:pgSz w:w="11910" w:h="16840"/>
          <w:pgMar w:footer="770" w:header="0" w:top="880" w:bottom="960" w:left="0" w:right="0"/>
        </w:sectPr>
      </w:pPr>
    </w:p>
    <w:p>
      <w:pPr>
        <w:pStyle w:val="BodyText"/>
        <w:tabs>
          <w:tab w:pos="11857" w:val="left" w:leader="none"/>
        </w:tabs>
        <w:spacing w:line="291" w:lineRule="exact" w:before="78"/>
        <w:ind w:right="224"/>
        <w:jc w:val="right"/>
      </w:pPr>
      <w:r>
        <w:rPr/>
        <w:t>Accounts</w:t>
      </w:r>
      <w:r>
        <w:rPr>
          <w:spacing w:val="-2"/>
        </w:rPr>
        <w:t> Payable</w:t>
      </w:r>
      <w:r>
        <w:rPr/>
        <w:tab/>
        <w:t>Final</w:t>
      </w:r>
      <w:r>
        <w:rPr>
          <w:spacing w:val="-6"/>
        </w:rPr>
        <w:t> </w:t>
      </w:r>
      <w:r>
        <w:rPr/>
        <w:t>Internal</w:t>
      </w:r>
      <w:r>
        <w:rPr>
          <w:spacing w:val="-3"/>
        </w:rPr>
        <w:t> </w:t>
      </w:r>
      <w:r>
        <w:rPr/>
        <w:t>Audit</w:t>
      </w:r>
      <w:r>
        <w:rPr>
          <w:spacing w:val="-1"/>
        </w:rPr>
        <w:t> </w:t>
      </w:r>
      <w:r>
        <w:rPr>
          <w:spacing w:val="-2"/>
        </w:rPr>
        <w:t>Report</w:t>
      </w:r>
    </w:p>
    <w:p>
      <w:pPr>
        <w:pStyle w:val="BodyText"/>
        <w:spacing w:line="291" w:lineRule="exact"/>
        <w:ind w:right="226"/>
        <w:jc w:val="right"/>
      </w:pPr>
      <w:r>
        <w:rPr/>
        <w:t>Appendix</w:t>
      </w:r>
      <w:r>
        <w:rPr>
          <w:spacing w:val="-5"/>
        </w:rPr>
        <w:t> </w:t>
      </w:r>
      <w:r>
        <w:rPr>
          <w:spacing w:val="-10"/>
        </w:rPr>
        <w:t>A</w:t>
      </w:r>
    </w:p>
    <w:p>
      <w:pPr>
        <w:pStyle w:val="BodyText"/>
        <w:spacing w:before="2"/>
        <w:rPr>
          <w:sz w:val="20"/>
        </w:rPr>
      </w:pPr>
      <w:r>
        <w:rPr/>
        <w:pict>
          <v:shape style="position:absolute;margin-left:41.760002pt;margin-top:13.476014pt;width:759.25pt;height:1.45pt;mso-position-horizontal-relative:page;mso-position-vertical-relative:paragraph;z-index:-15665152;mso-wrap-distance-left:0;mso-wrap-distance-right:0" id="docshape277" coordorigin="835,270" coordsize="15185,29" path="m16020,270l9371,270,9357,270,9342,270,835,270,835,298,9342,298,9357,298,9371,298,16020,298,16020,270xe" filled="true" fillcolor="#000000" stroked="false">
            <v:path arrowok="t"/>
            <v:fill type="solid"/>
            <w10:wrap type="topAndBottom"/>
          </v:shape>
        </w:pict>
      </w:r>
    </w:p>
    <w:p>
      <w:pPr>
        <w:pStyle w:val="BodyText"/>
        <w:spacing w:before="6"/>
        <w:rPr>
          <w:sz w:val="26"/>
        </w:rPr>
      </w:pPr>
    </w:p>
    <w:p>
      <w:pPr>
        <w:pStyle w:val="Heading4"/>
        <w:spacing w:before="101" w:after="32"/>
        <w:ind w:left="110"/>
      </w:pPr>
      <w:bookmarkStart w:name="_bookmark13" w:id="57"/>
      <w:bookmarkEnd w:id="57"/>
      <w:r>
        <w:rPr/>
      </w:r>
      <w:r>
        <w:rPr>
          <w:color w:val="3C5A8B"/>
        </w:rPr>
        <w:t>Appendix</w:t>
      </w:r>
      <w:r>
        <w:rPr>
          <w:color w:val="3C5A8B"/>
          <w:spacing w:val="-1"/>
        </w:rPr>
        <w:t> </w:t>
      </w:r>
      <w:r>
        <w:rPr>
          <w:color w:val="3C5A8B"/>
        </w:rPr>
        <w:t>A:</w:t>
      </w:r>
      <w:r>
        <w:rPr>
          <w:color w:val="3C5A8B"/>
          <w:spacing w:val="-1"/>
        </w:rPr>
        <w:t> </w:t>
      </w:r>
      <w:r>
        <w:rPr>
          <w:color w:val="3C5A8B"/>
        </w:rPr>
        <w:t>Management</w:t>
      </w:r>
      <w:r>
        <w:rPr>
          <w:color w:val="3C5A8B"/>
          <w:spacing w:val="-1"/>
        </w:rPr>
        <w:t> </w:t>
      </w:r>
      <w:r>
        <w:rPr>
          <w:color w:val="3C5A8B"/>
        </w:rPr>
        <w:t>Action</w:t>
      </w:r>
      <w:r>
        <w:rPr>
          <w:color w:val="3C5A8B"/>
          <w:spacing w:val="-1"/>
        </w:rPr>
        <w:t> </w:t>
      </w:r>
      <w:r>
        <w:rPr>
          <w:color w:val="3C5A8B"/>
          <w:spacing w:val="-4"/>
        </w:rPr>
        <w:t>Plan</w:t>
      </w:r>
    </w:p>
    <w:tbl>
      <w:tblPr>
        <w:tblW w:w="0" w:type="auto"/>
        <w:jc w:val="left"/>
        <w:tblInd w:w="115" w:type="dxa"/>
        <w:tblBorders>
          <w:top w:val="dashSmallGap" w:sz="4" w:space="0" w:color="A5A5A5"/>
          <w:left w:val="dashSmallGap" w:sz="4" w:space="0" w:color="A5A5A5"/>
          <w:bottom w:val="dashSmallGap" w:sz="4" w:space="0" w:color="A5A5A5"/>
          <w:right w:val="dashSmallGap" w:sz="4" w:space="0" w:color="A5A5A5"/>
          <w:insideH w:val="dashSmallGap" w:sz="4" w:space="0" w:color="A5A5A5"/>
          <w:insideV w:val="dashSmallGap" w:sz="4" w:space="0" w:color="A5A5A5"/>
        </w:tblBorders>
        <w:tblLayout w:type="fixed"/>
        <w:tblCellMar>
          <w:top w:w="0" w:type="dxa"/>
          <w:left w:w="0" w:type="dxa"/>
          <w:bottom w:w="0" w:type="dxa"/>
          <w:right w:w="0" w:type="dxa"/>
        </w:tblCellMar>
        <w:tblLook w:val="01E0"/>
      </w:tblPr>
      <w:tblGrid>
        <w:gridCol w:w="991"/>
        <w:gridCol w:w="8303"/>
        <w:gridCol w:w="2035"/>
        <w:gridCol w:w="3980"/>
      </w:tblGrid>
      <w:tr>
        <w:trPr>
          <w:trHeight w:val="475" w:hRule="atLeast"/>
        </w:trPr>
        <w:tc>
          <w:tcPr>
            <w:tcW w:w="11329" w:type="dxa"/>
            <w:gridSpan w:val="3"/>
            <w:tcBorders>
              <w:bottom w:val="nil"/>
            </w:tcBorders>
            <w:shd w:val="clear" w:color="auto" w:fill="2E5395"/>
          </w:tcPr>
          <w:p>
            <w:pPr>
              <w:pStyle w:val="TableParagraph"/>
              <w:spacing w:before="58"/>
              <w:ind w:left="107"/>
              <w:rPr>
                <w:sz w:val="20"/>
              </w:rPr>
            </w:pPr>
            <w:r>
              <w:rPr>
                <w:b/>
                <w:color w:val="FFFFFF"/>
                <w:sz w:val="20"/>
              </w:rPr>
              <w:t>Matter</w:t>
            </w:r>
            <w:r>
              <w:rPr>
                <w:b/>
                <w:color w:val="FFFFFF"/>
                <w:spacing w:val="-8"/>
                <w:sz w:val="20"/>
              </w:rPr>
              <w:t> </w:t>
            </w:r>
            <w:r>
              <w:rPr>
                <w:b/>
                <w:color w:val="FFFFFF"/>
                <w:sz w:val="20"/>
              </w:rPr>
              <w:t>Arising</w:t>
            </w:r>
            <w:r>
              <w:rPr>
                <w:b/>
                <w:color w:val="FFFFFF"/>
                <w:spacing w:val="-9"/>
                <w:sz w:val="20"/>
              </w:rPr>
              <w:t> </w:t>
            </w:r>
            <w:r>
              <w:rPr>
                <w:b/>
                <w:color w:val="FFFFFF"/>
                <w:sz w:val="20"/>
              </w:rPr>
              <w:t>1:</w:t>
            </w:r>
            <w:r>
              <w:rPr>
                <w:b/>
                <w:color w:val="FFFFFF"/>
                <w:spacing w:val="-8"/>
                <w:sz w:val="20"/>
              </w:rPr>
              <w:t> </w:t>
            </w:r>
            <w:r>
              <w:rPr>
                <w:b/>
                <w:color w:val="FFFFFF"/>
                <w:sz w:val="20"/>
              </w:rPr>
              <w:t>Supplier</w:t>
            </w:r>
            <w:r>
              <w:rPr>
                <w:b/>
                <w:color w:val="FFFFFF"/>
                <w:spacing w:val="-9"/>
                <w:sz w:val="20"/>
              </w:rPr>
              <w:t> </w:t>
            </w:r>
            <w:r>
              <w:rPr>
                <w:b/>
                <w:color w:val="FFFFFF"/>
                <w:sz w:val="20"/>
              </w:rPr>
              <w:t>Bank</w:t>
            </w:r>
            <w:r>
              <w:rPr>
                <w:b/>
                <w:color w:val="FFFFFF"/>
                <w:spacing w:val="-8"/>
                <w:sz w:val="20"/>
              </w:rPr>
              <w:t> </w:t>
            </w:r>
            <w:r>
              <w:rPr>
                <w:b/>
                <w:color w:val="FFFFFF"/>
                <w:sz w:val="20"/>
              </w:rPr>
              <w:t>Account</w:t>
            </w:r>
            <w:r>
              <w:rPr>
                <w:b/>
                <w:color w:val="FFFFFF"/>
                <w:spacing w:val="-9"/>
                <w:sz w:val="20"/>
              </w:rPr>
              <w:t> </w:t>
            </w:r>
            <w:r>
              <w:rPr>
                <w:b/>
                <w:color w:val="FFFFFF"/>
                <w:sz w:val="20"/>
              </w:rPr>
              <w:t>Additions</w:t>
            </w:r>
            <w:r>
              <w:rPr>
                <w:b/>
                <w:color w:val="FFFFFF"/>
                <w:spacing w:val="-10"/>
                <w:sz w:val="20"/>
              </w:rPr>
              <w:t> </w:t>
            </w:r>
            <w:r>
              <w:rPr>
                <w:b/>
                <w:color w:val="FFFFFF"/>
                <w:sz w:val="20"/>
              </w:rPr>
              <w:t>and</w:t>
            </w:r>
            <w:r>
              <w:rPr>
                <w:b/>
                <w:color w:val="FFFFFF"/>
                <w:spacing w:val="-9"/>
                <w:sz w:val="20"/>
              </w:rPr>
              <w:t> </w:t>
            </w:r>
            <w:r>
              <w:rPr>
                <w:b/>
                <w:color w:val="FFFFFF"/>
                <w:sz w:val="20"/>
              </w:rPr>
              <w:t>Amendments</w:t>
            </w:r>
            <w:r>
              <w:rPr>
                <w:b/>
                <w:color w:val="FFFFFF"/>
                <w:spacing w:val="-6"/>
                <w:sz w:val="20"/>
              </w:rPr>
              <w:t> </w:t>
            </w:r>
            <w:r>
              <w:rPr>
                <w:color w:val="FFFFFF"/>
                <w:spacing w:val="-2"/>
                <w:sz w:val="20"/>
              </w:rPr>
              <w:t>(Operation)</w:t>
            </w:r>
          </w:p>
        </w:tc>
        <w:tc>
          <w:tcPr>
            <w:tcW w:w="3980" w:type="dxa"/>
            <w:tcBorders>
              <w:bottom w:val="nil"/>
            </w:tcBorders>
            <w:shd w:val="clear" w:color="auto" w:fill="2E5395"/>
          </w:tcPr>
          <w:p>
            <w:pPr>
              <w:pStyle w:val="TableParagraph"/>
              <w:spacing w:before="58"/>
              <w:ind w:left="108"/>
              <w:rPr>
                <w:b/>
                <w:sz w:val="20"/>
              </w:rPr>
            </w:pPr>
            <w:r>
              <w:rPr>
                <w:b/>
                <w:color w:val="FFFFFF"/>
                <w:spacing w:val="-2"/>
                <w:sz w:val="20"/>
              </w:rPr>
              <w:t>Impact</w:t>
            </w:r>
          </w:p>
        </w:tc>
      </w:tr>
      <w:tr>
        <w:trPr>
          <w:trHeight w:val="317" w:hRule="atLeast"/>
        </w:trPr>
        <w:tc>
          <w:tcPr>
            <w:tcW w:w="11329" w:type="dxa"/>
            <w:gridSpan w:val="3"/>
            <w:tcBorders>
              <w:top w:val="nil"/>
              <w:bottom w:val="nil"/>
            </w:tcBorders>
          </w:tcPr>
          <w:p>
            <w:pPr>
              <w:pStyle w:val="TableParagraph"/>
              <w:spacing w:line="242" w:lineRule="exact" w:before="55"/>
              <w:ind w:left="107"/>
              <w:rPr>
                <w:sz w:val="20"/>
              </w:rPr>
            </w:pPr>
            <w:r>
              <w:rPr>
                <w:sz w:val="20"/>
              </w:rPr>
              <w:t>The</w:t>
            </w:r>
            <w:r>
              <w:rPr>
                <w:spacing w:val="-12"/>
                <w:sz w:val="20"/>
              </w:rPr>
              <w:t> </w:t>
            </w:r>
            <w:r>
              <w:rPr>
                <w:sz w:val="20"/>
              </w:rPr>
              <w:t>process</w:t>
            </w:r>
            <w:r>
              <w:rPr>
                <w:spacing w:val="-12"/>
                <w:sz w:val="20"/>
              </w:rPr>
              <w:t> </w:t>
            </w:r>
            <w:r>
              <w:rPr>
                <w:sz w:val="20"/>
              </w:rPr>
              <w:t>for</w:t>
            </w:r>
            <w:r>
              <w:rPr>
                <w:spacing w:val="-12"/>
                <w:sz w:val="20"/>
              </w:rPr>
              <w:t> </w:t>
            </w:r>
            <w:r>
              <w:rPr>
                <w:sz w:val="20"/>
              </w:rPr>
              <w:t>the</w:t>
            </w:r>
            <w:r>
              <w:rPr>
                <w:spacing w:val="-12"/>
                <w:sz w:val="20"/>
              </w:rPr>
              <w:t> </w:t>
            </w:r>
            <w:r>
              <w:rPr>
                <w:sz w:val="20"/>
              </w:rPr>
              <w:t>review</w:t>
            </w:r>
            <w:r>
              <w:rPr>
                <w:spacing w:val="-12"/>
                <w:sz w:val="20"/>
              </w:rPr>
              <w:t> </w:t>
            </w:r>
            <w:r>
              <w:rPr>
                <w:sz w:val="20"/>
              </w:rPr>
              <w:t>and</w:t>
            </w:r>
            <w:r>
              <w:rPr>
                <w:spacing w:val="-10"/>
                <w:sz w:val="20"/>
              </w:rPr>
              <w:t> </w:t>
            </w:r>
            <w:r>
              <w:rPr>
                <w:sz w:val="20"/>
              </w:rPr>
              <w:t>approval</w:t>
            </w:r>
            <w:r>
              <w:rPr>
                <w:spacing w:val="-11"/>
                <w:sz w:val="20"/>
              </w:rPr>
              <w:t> </w:t>
            </w:r>
            <w:r>
              <w:rPr>
                <w:sz w:val="20"/>
              </w:rPr>
              <w:t>by</w:t>
            </w:r>
            <w:r>
              <w:rPr>
                <w:spacing w:val="-11"/>
                <w:sz w:val="20"/>
              </w:rPr>
              <w:t> </w:t>
            </w:r>
            <w:r>
              <w:rPr>
                <w:sz w:val="20"/>
              </w:rPr>
              <w:t>the</w:t>
            </w:r>
            <w:r>
              <w:rPr>
                <w:spacing w:val="-6"/>
                <w:sz w:val="20"/>
              </w:rPr>
              <w:t> </w:t>
            </w:r>
            <w:r>
              <w:rPr>
                <w:sz w:val="20"/>
              </w:rPr>
              <w:t>Head</w:t>
            </w:r>
            <w:r>
              <w:rPr>
                <w:spacing w:val="-9"/>
                <w:sz w:val="20"/>
              </w:rPr>
              <w:t> </w:t>
            </w:r>
            <w:r>
              <w:rPr>
                <w:sz w:val="20"/>
              </w:rPr>
              <w:t>of</w:t>
            </w:r>
            <w:r>
              <w:rPr>
                <w:spacing w:val="-11"/>
                <w:sz w:val="20"/>
              </w:rPr>
              <w:t> </w:t>
            </w:r>
            <w:r>
              <w:rPr>
                <w:sz w:val="20"/>
              </w:rPr>
              <w:t>Finance</w:t>
            </w:r>
            <w:r>
              <w:rPr>
                <w:spacing w:val="-10"/>
                <w:sz w:val="20"/>
              </w:rPr>
              <w:t> </w:t>
            </w:r>
            <w:r>
              <w:rPr>
                <w:sz w:val="20"/>
              </w:rPr>
              <w:t>&amp;</w:t>
            </w:r>
            <w:r>
              <w:rPr>
                <w:spacing w:val="-12"/>
                <w:sz w:val="20"/>
              </w:rPr>
              <w:t> </w:t>
            </w:r>
            <w:r>
              <w:rPr>
                <w:sz w:val="20"/>
              </w:rPr>
              <w:t>Business</w:t>
            </w:r>
            <w:r>
              <w:rPr>
                <w:spacing w:val="-10"/>
                <w:sz w:val="20"/>
              </w:rPr>
              <w:t> </w:t>
            </w:r>
            <w:r>
              <w:rPr>
                <w:sz w:val="20"/>
              </w:rPr>
              <w:t>Development</w:t>
            </w:r>
            <w:r>
              <w:rPr>
                <w:spacing w:val="-6"/>
                <w:sz w:val="20"/>
              </w:rPr>
              <w:t> </w:t>
            </w:r>
            <w:r>
              <w:rPr>
                <w:sz w:val="20"/>
              </w:rPr>
              <w:t>of</w:t>
            </w:r>
            <w:r>
              <w:rPr>
                <w:spacing w:val="-12"/>
                <w:sz w:val="20"/>
              </w:rPr>
              <w:t> </w:t>
            </w:r>
            <w:r>
              <w:rPr>
                <w:sz w:val="20"/>
              </w:rPr>
              <w:t>bank</w:t>
            </w:r>
            <w:r>
              <w:rPr>
                <w:spacing w:val="-11"/>
                <w:sz w:val="20"/>
              </w:rPr>
              <w:t> </w:t>
            </w:r>
            <w:r>
              <w:rPr>
                <w:spacing w:val="-2"/>
                <w:sz w:val="20"/>
              </w:rPr>
              <w:t>amendments</w:t>
            </w:r>
          </w:p>
        </w:tc>
        <w:tc>
          <w:tcPr>
            <w:tcW w:w="3980" w:type="dxa"/>
            <w:tcBorders>
              <w:top w:val="nil"/>
              <w:bottom w:val="nil"/>
            </w:tcBorders>
          </w:tcPr>
          <w:p>
            <w:pPr>
              <w:pStyle w:val="TableParagraph"/>
              <w:spacing w:line="242" w:lineRule="exact" w:before="55"/>
              <w:ind w:left="108"/>
              <w:rPr>
                <w:sz w:val="20"/>
              </w:rPr>
            </w:pPr>
            <w:r>
              <w:rPr>
                <w:sz w:val="20"/>
              </w:rPr>
              <w:t>Potential</w:t>
            </w:r>
            <w:r>
              <w:rPr>
                <w:spacing w:val="-6"/>
                <w:sz w:val="20"/>
              </w:rPr>
              <w:t> </w:t>
            </w:r>
            <w:r>
              <w:rPr>
                <w:sz w:val="20"/>
              </w:rPr>
              <w:t>risk</w:t>
            </w:r>
            <w:r>
              <w:rPr>
                <w:spacing w:val="-8"/>
                <w:sz w:val="20"/>
              </w:rPr>
              <w:t> </w:t>
            </w:r>
            <w:r>
              <w:rPr>
                <w:spacing w:val="-5"/>
                <w:sz w:val="20"/>
              </w:rPr>
              <w:t>of:</w:t>
            </w:r>
          </w:p>
        </w:tc>
      </w:tr>
      <w:tr>
        <w:trPr>
          <w:trHeight w:val="1226" w:hRule="atLeast"/>
        </w:trPr>
        <w:tc>
          <w:tcPr>
            <w:tcW w:w="11329" w:type="dxa"/>
            <w:gridSpan w:val="3"/>
            <w:tcBorders>
              <w:top w:val="nil"/>
              <w:bottom w:val="nil"/>
            </w:tcBorders>
          </w:tcPr>
          <w:p>
            <w:pPr>
              <w:pStyle w:val="TableParagraph"/>
              <w:spacing w:line="276" w:lineRule="auto" w:before="18"/>
              <w:ind w:left="107" w:right="99"/>
              <w:jc w:val="both"/>
              <w:rPr>
                <w:sz w:val="20"/>
              </w:rPr>
            </w:pPr>
            <w:r>
              <w:rPr>
                <w:sz w:val="20"/>
              </w:rPr>
              <w:t>and</w:t>
            </w:r>
            <w:r>
              <w:rPr>
                <w:spacing w:val="-11"/>
                <w:sz w:val="20"/>
              </w:rPr>
              <w:t> </w:t>
            </w:r>
            <w:r>
              <w:rPr>
                <w:sz w:val="20"/>
              </w:rPr>
              <w:t>additions</w:t>
            </w:r>
            <w:r>
              <w:rPr>
                <w:spacing w:val="-11"/>
                <w:sz w:val="20"/>
              </w:rPr>
              <w:t> </w:t>
            </w:r>
            <w:r>
              <w:rPr>
                <w:sz w:val="20"/>
              </w:rPr>
              <w:t>are</w:t>
            </w:r>
            <w:r>
              <w:rPr>
                <w:spacing w:val="-13"/>
                <w:sz w:val="20"/>
              </w:rPr>
              <w:t> </w:t>
            </w:r>
            <w:r>
              <w:rPr>
                <w:sz w:val="20"/>
              </w:rPr>
              <w:t>not</w:t>
            </w:r>
            <w:r>
              <w:rPr>
                <w:spacing w:val="-10"/>
                <w:sz w:val="20"/>
              </w:rPr>
              <w:t> </w:t>
            </w:r>
            <w:r>
              <w:rPr>
                <w:sz w:val="20"/>
              </w:rPr>
              <w:t>currently</w:t>
            </w:r>
            <w:r>
              <w:rPr>
                <w:spacing w:val="-11"/>
                <w:sz w:val="20"/>
              </w:rPr>
              <w:t> </w:t>
            </w:r>
            <w:r>
              <w:rPr>
                <w:sz w:val="20"/>
              </w:rPr>
              <w:t>documented.</w:t>
            </w:r>
            <w:r>
              <w:rPr>
                <w:spacing w:val="-8"/>
                <w:sz w:val="20"/>
              </w:rPr>
              <w:t> </w:t>
            </w:r>
            <w:r>
              <w:rPr>
                <w:sz w:val="20"/>
              </w:rPr>
              <w:t>We</w:t>
            </w:r>
            <w:r>
              <w:rPr>
                <w:spacing w:val="-11"/>
                <w:sz w:val="20"/>
              </w:rPr>
              <w:t> </w:t>
            </w:r>
            <w:r>
              <w:rPr>
                <w:sz w:val="20"/>
              </w:rPr>
              <w:t>noted</w:t>
            </w:r>
            <w:r>
              <w:rPr>
                <w:spacing w:val="-8"/>
                <w:sz w:val="20"/>
              </w:rPr>
              <w:t> </w:t>
            </w:r>
            <w:r>
              <w:rPr>
                <w:sz w:val="20"/>
              </w:rPr>
              <w:t>ambiguity</w:t>
            </w:r>
            <w:r>
              <w:rPr>
                <w:spacing w:val="-12"/>
                <w:sz w:val="20"/>
              </w:rPr>
              <w:t> </w:t>
            </w:r>
            <w:r>
              <w:rPr>
                <w:sz w:val="20"/>
              </w:rPr>
              <w:t>around</w:t>
            </w:r>
            <w:r>
              <w:rPr>
                <w:spacing w:val="-11"/>
                <w:sz w:val="20"/>
              </w:rPr>
              <w:t> </w:t>
            </w:r>
            <w:r>
              <w:rPr>
                <w:sz w:val="20"/>
              </w:rPr>
              <w:t>the</w:t>
            </w:r>
            <w:r>
              <w:rPr>
                <w:spacing w:val="-13"/>
                <w:sz w:val="20"/>
              </w:rPr>
              <w:t> </w:t>
            </w:r>
            <w:r>
              <w:rPr>
                <w:sz w:val="20"/>
              </w:rPr>
              <w:t>requirements</w:t>
            </w:r>
            <w:r>
              <w:rPr>
                <w:spacing w:val="-12"/>
                <w:sz w:val="20"/>
              </w:rPr>
              <w:t> </w:t>
            </w:r>
            <w:r>
              <w:rPr>
                <w:sz w:val="20"/>
              </w:rPr>
              <w:t>for</w:t>
            </w:r>
            <w:r>
              <w:rPr>
                <w:spacing w:val="-10"/>
                <w:sz w:val="20"/>
              </w:rPr>
              <w:t> </w:t>
            </w:r>
            <w:r>
              <w:rPr>
                <w:sz w:val="20"/>
              </w:rPr>
              <w:t>Experian</w:t>
            </w:r>
            <w:r>
              <w:rPr>
                <w:spacing w:val="-8"/>
                <w:sz w:val="20"/>
              </w:rPr>
              <w:t> </w:t>
            </w:r>
            <w:r>
              <w:rPr>
                <w:sz w:val="20"/>
              </w:rPr>
              <w:t>checks and</w:t>
            </w:r>
            <w:r>
              <w:rPr>
                <w:spacing w:val="-7"/>
                <w:sz w:val="20"/>
              </w:rPr>
              <w:t> </w:t>
            </w:r>
            <w:r>
              <w:rPr>
                <w:sz w:val="20"/>
              </w:rPr>
              <w:t>escalation</w:t>
            </w:r>
            <w:r>
              <w:rPr>
                <w:spacing w:val="-5"/>
                <w:sz w:val="20"/>
              </w:rPr>
              <w:t> </w:t>
            </w:r>
            <w:r>
              <w:rPr>
                <w:sz w:val="20"/>
              </w:rPr>
              <w:t>to</w:t>
            </w:r>
            <w:r>
              <w:rPr>
                <w:spacing w:val="-7"/>
                <w:sz w:val="20"/>
              </w:rPr>
              <w:t> </w:t>
            </w:r>
            <w:r>
              <w:rPr>
                <w:sz w:val="20"/>
              </w:rPr>
              <w:t>the</w:t>
            </w:r>
            <w:r>
              <w:rPr>
                <w:spacing w:val="-7"/>
                <w:sz w:val="20"/>
              </w:rPr>
              <w:t> </w:t>
            </w:r>
            <w:r>
              <w:rPr>
                <w:sz w:val="20"/>
              </w:rPr>
              <w:t>Head</w:t>
            </w:r>
            <w:r>
              <w:rPr>
                <w:spacing w:val="-7"/>
                <w:sz w:val="20"/>
              </w:rPr>
              <w:t> </w:t>
            </w:r>
            <w:r>
              <w:rPr>
                <w:sz w:val="20"/>
              </w:rPr>
              <w:t>of</w:t>
            </w:r>
            <w:r>
              <w:rPr>
                <w:spacing w:val="-8"/>
                <w:sz w:val="20"/>
              </w:rPr>
              <w:t> </w:t>
            </w:r>
            <w:r>
              <w:rPr>
                <w:sz w:val="20"/>
              </w:rPr>
              <w:t>Finance</w:t>
            </w:r>
            <w:r>
              <w:rPr>
                <w:spacing w:val="-7"/>
                <w:sz w:val="20"/>
              </w:rPr>
              <w:t> </w:t>
            </w:r>
            <w:r>
              <w:rPr>
                <w:sz w:val="20"/>
              </w:rPr>
              <w:t>&amp;</w:t>
            </w:r>
            <w:r>
              <w:rPr>
                <w:spacing w:val="-7"/>
                <w:sz w:val="20"/>
              </w:rPr>
              <w:t> </w:t>
            </w:r>
            <w:r>
              <w:rPr>
                <w:sz w:val="20"/>
              </w:rPr>
              <w:t>Business</w:t>
            </w:r>
            <w:r>
              <w:rPr>
                <w:spacing w:val="-9"/>
                <w:sz w:val="20"/>
              </w:rPr>
              <w:t> </w:t>
            </w:r>
            <w:r>
              <w:rPr>
                <w:sz w:val="20"/>
              </w:rPr>
              <w:t>Development</w:t>
            </w:r>
            <w:r>
              <w:rPr>
                <w:spacing w:val="-5"/>
                <w:sz w:val="20"/>
              </w:rPr>
              <w:t> </w:t>
            </w:r>
            <w:r>
              <w:rPr>
                <w:sz w:val="20"/>
              </w:rPr>
              <w:t>for</w:t>
            </w:r>
            <w:r>
              <w:rPr>
                <w:spacing w:val="-7"/>
                <w:sz w:val="20"/>
              </w:rPr>
              <w:t> </w:t>
            </w:r>
            <w:r>
              <w:rPr>
                <w:sz w:val="20"/>
              </w:rPr>
              <w:t>approval.</w:t>
            </w:r>
            <w:r>
              <w:rPr>
                <w:spacing w:val="40"/>
                <w:sz w:val="20"/>
              </w:rPr>
              <w:t> </w:t>
            </w:r>
            <w:r>
              <w:rPr>
                <w:sz w:val="20"/>
              </w:rPr>
              <w:t>The</w:t>
            </w:r>
            <w:r>
              <w:rPr>
                <w:spacing w:val="-7"/>
                <w:sz w:val="20"/>
              </w:rPr>
              <w:t> </w:t>
            </w:r>
            <w:r>
              <w:rPr>
                <w:sz w:val="20"/>
              </w:rPr>
              <w:t>SMT</w:t>
            </w:r>
            <w:r>
              <w:rPr>
                <w:spacing w:val="-8"/>
                <w:sz w:val="20"/>
              </w:rPr>
              <w:t> </w:t>
            </w:r>
            <w:r>
              <w:rPr>
                <w:sz w:val="20"/>
              </w:rPr>
              <w:t>advised</w:t>
            </w:r>
            <w:r>
              <w:rPr>
                <w:spacing w:val="-5"/>
                <w:sz w:val="20"/>
              </w:rPr>
              <w:t> </w:t>
            </w:r>
            <w:r>
              <w:rPr>
                <w:sz w:val="20"/>
              </w:rPr>
              <w:t>that</w:t>
            </w:r>
            <w:r>
              <w:rPr>
                <w:spacing w:val="-7"/>
                <w:sz w:val="20"/>
              </w:rPr>
              <w:t> </w:t>
            </w:r>
            <w:r>
              <w:rPr>
                <w:sz w:val="20"/>
              </w:rPr>
              <w:t>checks</w:t>
            </w:r>
            <w:r>
              <w:rPr>
                <w:spacing w:val="-7"/>
                <w:sz w:val="20"/>
              </w:rPr>
              <w:t> </w:t>
            </w:r>
            <w:r>
              <w:rPr>
                <w:sz w:val="20"/>
              </w:rPr>
              <w:t>are not</w:t>
            </w:r>
            <w:r>
              <w:rPr>
                <w:spacing w:val="-10"/>
                <w:sz w:val="20"/>
              </w:rPr>
              <w:t> </w:t>
            </w:r>
            <w:r>
              <w:rPr>
                <w:sz w:val="20"/>
              </w:rPr>
              <w:t>completed</w:t>
            </w:r>
            <w:r>
              <w:rPr>
                <w:spacing w:val="-7"/>
                <w:sz w:val="20"/>
              </w:rPr>
              <w:t> </w:t>
            </w:r>
            <w:r>
              <w:rPr>
                <w:sz w:val="20"/>
              </w:rPr>
              <w:t>for</w:t>
            </w:r>
            <w:r>
              <w:rPr>
                <w:spacing w:val="-9"/>
                <w:sz w:val="20"/>
              </w:rPr>
              <w:t> </w:t>
            </w:r>
            <w:r>
              <w:rPr>
                <w:sz w:val="20"/>
              </w:rPr>
              <w:t>schools</w:t>
            </w:r>
            <w:r>
              <w:rPr>
                <w:spacing w:val="-11"/>
                <w:sz w:val="20"/>
              </w:rPr>
              <w:t> </w:t>
            </w:r>
            <w:r>
              <w:rPr>
                <w:sz w:val="20"/>
              </w:rPr>
              <w:t>or</w:t>
            </w:r>
            <w:r>
              <w:rPr>
                <w:spacing w:val="-9"/>
                <w:sz w:val="20"/>
              </w:rPr>
              <w:t> </w:t>
            </w:r>
            <w:r>
              <w:rPr>
                <w:sz w:val="20"/>
              </w:rPr>
              <w:t>one-off</w:t>
            </w:r>
            <w:r>
              <w:rPr>
                <w:spacing w:val="-11"/>
                <w:sz w:val="20"/>
              </w:rPr>
              <w:t> </w:t>
            </w:r>
            <w:r>
              <w:rPr>
                <w:sz w:val="20"/>
              </w:rPr>
              <w:t>payments</w:t>
            </w:r>
            <w:r>
              <w:rPr>
                <w:spacing w:val="-9"/>
                <w:sz w:val="20"/>
              </w:rPr>
              <w:t> </w:t>
            </w:r>
            <w:r>
              <w:rPr>
                <w:sz w:val="20"/>
              </w:rPr>
              <w:t>but</w:t>
            </w:r>
            <w:r>
              <w:rPr>
                <w:spacing w:val="-10"/>
                <w:sz w:val="20"/>
              </w:rPr>
              <w:t> </w:t>
            </w:r>
            <w:r>
              <w:rPr>
                <w:sz w:val="20"/>
              </w:rPr>
              <w:t>the</w:t>
            </w:r>
            <w:r>
              <w:rPr>
                <w:spacing w:val="-12"/>
                <w:sz w:val="20"/>
              </w:rPr>
              <w:t> </w:t>
            </w:r>
            <w:r>
              <w:rPr>
                <w:sz w:val="20"/>
              </w:rPr>
              <w:t>rationale</w:t>
            </w:r>
            <w:r>
              <w:rPr>
                <w:spacing w:val="-8"/>
                <w:sz w:val="20"/>
              </w:rPr>
              <w:t> </w:t>
            </w:r>
            <w:r>
              <w:rPr>
                <w:sz w:val="20"/>
              </w:rPr>
              <w:t>for</w:t>
            </w:r>
            <w:r>
              <w:rPr>
                <w:spacing w:val="-9"/>
                <w:sz w:val="20"/>
              </w:rPr>
              <w:t> </w:t>
            </w:r>
            <w:r>
              <w:rPr>
                <w:sz w:val="20"/>
              </w:rPr>
              <w:t>this</w:t>
            </w:r>
            <w:r>
              <w:rPr>
                <w:spacing w:val="-9"/>
                <w:sz w:val="20"/>
              </w:rPr>
              <w:t> </w:t>
            </w:r>
            <w:r>
              <w:rPr>
                <w:sz w:val="20"/>
              </w:rPr>
              <w:t>was</w:t>
            </w:r>
            <w:r>
              <w:rPr>
                <w:spacing w:val="-11"/>
                <w:sz w:val="20"/>
              </w:rPr>
              <w:t> </w:t>
            </w:r>
            <w:r>
              <w:rPr>
                <w:sz w:val="20"/>
              </w:rPr>
              <w:t>not</w:t>
            </w:r>
            <w:r>
              <w:rPr>
                <w:spacing w:val="-7"/>
                <w:sz w:val="20"/>
              </w:rPr>
              <w:t> </w:t>
            </w:r>
            <w:r>
              <w:rPr>
                <w:sz w:val="20"/>
              </w:rPr>
              <w:t>clear,</w:t>
            </w:r>
            <w:r>
              <w:rPr>
                <w:spacing w:val="-9"/>
                <w:sz w:val="20"/>
              </w:rPr>
              <w:t> </w:t>
            </w:r>
            <w:r>
              <w:rPr>
                <w:sz w:val="20"/>
              </w:rPr>
              <w:t>and</w:t>
            </w:r>
            <w:r>
              <w:rPr>
                <w:spacing w:val="-10"/>
                <w:sz w:val="20"/>
              </w:rPr>
              <w:t> </w:t>
            </w:r>
            <w:r>
              <w:rPr>
                <w:sz w:val="20"/>
              </w:rPr>
              <w:t>the</w:t>
            </w:r>
            <w:r>
              <w:rPr>
                <w:spacing w:val="-9"/>
                <w:sz w:val="20"/>
              </w:rPr>
              <w:t> </w:t>
            </w:r>
            <w:r>
              <w:rPr>
                <w:sz w:val="20"/>
              </w:rPr>
              <w:t>Head</w:t>
            </w:r>
            <w:r>
              <w:rPr>
                <w:spacing w:val="-7"/>
                <w:sz w:val="20"/>
              </w:rPr>
              <w:t> </w:t>
            </w:r>
            <w:r>
              <w:rPr>
                <w:sz w:val="20"/>
              </w:rPr>
              <w:t>of</w:t>
            </w:r>
            <w:r>
              <w:rPr>
                <w:spacing w:val="-11"/>
                <w:sz w:val="20"/>
              </w:rPr>
              <w:t> </w:t>
            </w:r>
            <w:r>
              <w:rPr>
                <w:sz w:val="20"/>
              </w:rPr>
              <w:t>Finance &amp; Business Development was not aware.</w:t>
            </w:r>
          </w:p>
        </w:tc>
        <w:tc>
          <w:tcPr>
            <w:tcW w:w="3980" w:type="dxa"/>
            <w:tcBorders>
              <w:top w:val="nil"/>
              <w:bottom w:val="nil"/>
            </w:tcBorders>
          </w:tcPr>
          <w:p>
            <w:pPr>
              <w:pStyle w:val="TableParagraph"/>
              <w:numPr>
                <w:ilvl w:val="0"/>
                <w:numId w:val="24"/>
              </w:numPr>
              <w:tabs>
                <w:tab w:pos="468" w:val="left" w:leader="none"/>
                <w:tab w:pos="469" w:val="left" w:leader="none"/>
              </w:tabs>
              <w:spacing w:line="240" w:lineRule="auto" w:before="160" w:after="0"/>
              <w:ind w:left="468" w:right="140" w:hanging="360"/>
              <w:jc w:val="left"/>
              <w:rPr>
                <w:sz w:val="20"/>
              </w:rPr>
            </w:pPr>
            <w:r>
              <w:rPr>
                <w:sz w:val="20"/>
              </w:rPr>
              <w:t>Payments</w:t>
            </w:r>
            <w:r>
              <w:rPr>
                <w:spacing w:val="-7"/>
                <w:sz w:val="20"/>
              </w:rPr>
              <w:t> </w:t>
            </w:r>
            <w:r>
              <w:rPr>
                <w:sz w:val="20"/>
              </w:rPr>
              <w:t>are</w:t>
            </w:r>
            <w:r>
              <w:rPr>
                <w:spacing w:val="-9"/>
                <w:sz w:val="20"/>
              </w:rPr>
              <w:t> </w:t>
            </w:r>
            <w:r>
              <w:rPr>
                <w:sz w:val="20"/>
              </w:rPr>
              <w:t>made</w:t>
            </w:r>
            <w:r>
              <w:rPr>
                <w:spacing w:val="-9"/>
                <w:sz w:val="20"/>
              </w:rPr>
              <w:t> </w:t>
            </w:r>
            <w:r>
              <w:rPr>
                <w:sz w:val="20"/>
              </w:rPr>
              <w:t>to</w:t>
            </w:r>
            <w:r>
              <w:rPr>
                <w:spacing w:val="-9"/>
                <w:sz w:val="20"/>
              </w:rPr>
              <w:t> </w:t>
            </w:r>
            <w:r>
              <w:rPr>
                <w:sz w:val="20"/>
              </w:rPr>
              <w:t>the</w:t>
            </w:r>
            <w:r>
              <w:rPr>
                <w:spacing w:val="-9"/>
                <w:sz w:val="20"/>
              </w:rPr>
              <w:t> </w:t>
            </w:r>
            <w:r>
              <w:rPr>
                <w:sz w:val="20"/>
              </w:rPr>
              <w:t>wron</w:t>
            </w:r>
            <w:r>
              <w:rPr>
                <w:sz w:val="20"/>
              </w:rPr>
              <w:t>g</w:t>
            </w:r>
            <w:r>
              <w:rPr>
                <w:sz w:val="20"/>
              </w:rPr>
              <w:t> supplier or the wrong amount; </w:t>
            </w:r>
            <w:r>
              <w:rPr>
                <w:spacing w:val="-4"/>
                <w:sz w:val="20"/>
              </w:rPr>
              <w:t>and</w:t>
            </w:r>
          </w:p>
          <w:p>
            <w:pPr>
              <w:pStyle w:val="TableParagraph"/>
              <w:numPr>
                <w:ilvl w:val="0"/>
                <w:numId w:val="24"/>
              </w:numPr>
              <w:tabs>
                <w:tab w:pos="468" w:val="left" w:leader="none"/>
                <w:tab w:pos="469" w:val="left" w:leader="none"/>
              </w:tabs>
              <w:spacing w:line="244" w:lineRule="exact" w:before="0" w:after="0"/>
              <w:ind w:left="468" w:right="0" w:hanging="361"/>
              <w:jc w:val="left"/>
              <w:rPr>
                <w:sz w:val="20"/>
              </w:rPr>
            </w:pPr>
            <w:r>
              <w:rPr>
                <w:spacing w:val="-2"/>
                <w:sz w:val="20"/>
              </w:rPr>
              <w:t>Fraud</w:t>
            </w:r>
          </w:p>
        </w:tc>
      </w:tr>
      <w:tr>
        <w:trPr>
          <w:trHeight w:val="351" w:hRule="atLeast"/>
        </w:trPr>
        <w:tc>
          <w:tcPr>
            <w:tcW w:w="11329" w:type="dxa"/>
            <w:gridSpan w:val="3"/>
            <w:tcBorders>
              <w:top w:val="nil"/>
              <w:bottom w:val="nil"/>
            </w:tcBorders>
          </w:tcPr>
          <w:p>
            <w:pPr>
              <w:pStyle w:val="TableParagraph"/>
              <w:spacing w:line="241" w:lineRule="exact" w:before="90"/>
              <w:ind w:left="107"/>
              <w:rPr>
                <w:sz w:val="20"/>
              </w:rPr>
            </w:pPr>
            <w:r>
              <w:rPr>
                <w:sz w:val="20"/>
              </w:rPr>
              <w:t>We</w:t>
            </w:r>
            <w:r>
              <w:rPr>
                <w:spacing w:val="20"/>
                <w:sz w:val="20"/>
              </w:rPr>
              <w:t> </w:t>
            </w:r>
            <w:r>
              <w:rPr>
                <w:sz w:val="20"/>
              </w:rPr>
              <w:t>reviewed</w:t>
            </w:r>
            <w:r>
              <w:rPr>
                <w:spacing w:val="23"/>
                <w:sz w:val="20"/>
              </w:rPr>
              <w:t> </w:t>
            </w:r>
            <w:r>
              <w:rPr>
                <w:sz w:val="20"/>
              </w:rPr>
              <w:t>a</w:t>
            </w:r>
            <w:r>
              <w:rPr>
                <w:spacing w:val="23"/>
                <w:sz w:val="20"/>
              </w:rPr>
              <w:t> </w:t>
            </w:r>
            <w:r>
              <w:rPr>
                <w:sz w:val="20"/>
              </w:rPr>
              <w:t>sample</w:t>
            </w:r>
            <w:r>
              <w:rPr>
                <w:spacing w:val="22"/>
                <w:sz w:val="20"/>
              </w:rPr>
              <w:t> </w:t>
            </w:r>
            <w:r>
              <w:rPr>
                <w:sz w:val="20"/>
              </w:rPr>
              <w:t>of</w:t>
            </w:r>
            <w:r>
              <w:rPr>
                <w:spacing w:val="20"/>
                <w:sz w:val="20"/>
              </w:rPr>
              <w:t> </w:t>
            </w:r>
            <w:r>
              <w:rPr>
                <w:sz w:val="20"/>
              </w:rPr>
              <w:t>70</w:t>
            </w:r>
            <w:r>
              <w:rPr>
                <w:spacing w:val="23"/>
                <w:sz w:val="20"/>
              </w:rPr>
              <w:t> </w:t>
            </w:r>
            <w:r>
              <w:rPr>
                <w:sz w:val="20"/>
              </w:rPr>
              <w:t>additions</w:t>
            </w:r>
            <w:r>
              <w:rPr>
                <w:spacing w:val="19"/>
                <w:sz w:val="20"/>
              </w:rPr>
              <w:t> </w:t>
            </w:r>
            <w:r>
              <w:rPr>
                <w:sz w:val="20"/>
              </w:rPr>
              <w:t>/</w:t>
            </w:r>
            <w:r>
              <w:rPr>
                <w:spacing w:val="23"/>
                <w:sz w:val="20"/>
              </w:rPr>
              <w:t> </w:t>
            </w:r>
            <w:r>
              <w:rPr>
                <w:sz w:val="20"/>
              </w:rPr>
              <w:t>amendments</w:t>
            </w:r>
            <w:r>
              <w:rPr>
                <w:spacing w:val="18"/>
                <w:sz w:val="20"/>
              </w:rPr>
              <w:t> </w:t>
            </w:r>
            <w:r>
              <w:rPr>
                <w:sz w:val="20"/>
              </w:rPr>
              <w:t>to</w:t>
            </w:r>
            <w:r>
              <w:rPr>
                <w:spacing w:val="19"/>
                <w:sz w:val="20"/>
              </w:rPr>
              <w:t> </w:t>
            </w:r>
            <w:r>
              <w:rPr>
                <w:sz w:val="20"/>
              </w:rPr>
              <w:t>supplier</w:t>
            </w:r>
            <w:r>
              <w:rPr>
                <w:spacing w:val="19"/>
                <w:sz w:val="20"/>
              </w:rPr>
              <w:t> </w:t>
            </w:r>
            <w:r>
              <w:rPr>
                <w:sz w:val="20"/>
              </w:rPr>
              <w:t>bank</w:t>
            </w:r>
            <w:r>
              <w:rPr>
                <w:spacing w:val="20"/>
                <w:sz w:val="20"/>
              </w:rPr>
              <w:t> </w:t>
            </w:r>
            <w:r>
              <w:rPr>
                <w:sz w:val="20"/>
              </w:rPr>
              <w:t>details</w:t>
            </w:r>
            <w:r>
              <w:rPr>
                <w:spacing w:val="22"/>
                <w:sz w:val="20"/>
              </w:rPr>
              <w:t> </w:t>
            </w:r>
            <w:r>
              <w:rPr>
                <w:sz w:val="20"/>
              </w:rPr>
              <w:t>processed</w:t>
            </w:r>
            <w:r>
              <w:rPr>
                <w:spacing w:val="23"/>
                <w:sz w:val="20"/>
              </w:rPr>
              <w:t> </w:t>
            </w:r>
            <w:r>
              <w:rPr>
                <w:sz w:val="20"/>
              </w:rPr>
              <w:t>during</w:t>
            </w:r>
            <w:r>
              <w:rPr>
                <w:spacing w:val="20"/>
                <w:sz w:val="20"/>
              </w:rPr>
              <w:t> </w:t>
            </w:r>
            <w:r>
              <w:rPr>
                <w:sz w:val="20"/>
              </w:rPr>
              <w:t>the</w:t>
            </w:r>
            <w:r>
              <w:rPr>
                <w:spacing w:val="19"/>
                <w:sz w:val="20"/>
              </w:rPr>
              <w:t> </w:t>
            </w:r>
            <w:r>
              <w:rPr>
                <w:spacing w:val="-2"/>
                <w:sz w:val="20"/>
              </w:rPr>
              <w:t>period</w:t>
            </w:r>
          </w:p>
        </w:tc>
        <w:tc>
          <w:tcPr>
            <w:tcW w:w="3980" w:type="dxa"/>
            <w:tcBorders>
              <w:top w:val="nil"/>
              <w:bottom w:val="nil"/>
            </w:tcBorders>
          </w:tcPr>
          <w:p>
            <w:pPr>
              <w:pStyle w:val="TableParagraph"/>
              <w:rPr>
                <w:rFonts w:ascii="Times New Roman"/>
                <w:sz w:val="20"/>
              </w:rPr>
            </w:pPr>
          </w:p>
        </w:tc>
      </w:tr>
      <w:tr>
        <w:trPr>
          <w:trHeight w:val="279" w:hRule="atLeast"/>
        </w:trPr>
        <w:tc>
          <w:tcPr>
            <w:tcW w:w="11329" w:type="dxa"/>
            <w:gridSpan w:val="3"/>
            <w:tcBorders>
              <w:top w:val="nil"/>
              <w:bottom w:val="nil"/>
            </w:tcBorders>
          </w:tcPr>
          <w:p>
            <w:pPr>
              <w:pStyle w:val="TableParagraph"/>
              <w:spacing w:line="242" w:lineRule="exact" w:before="17"/>
              <w:ind w:left="107"/>
              <w:rPr>
                <w:sz w:val="20"/>
              </w:rPr>
            </w:pPr>
            <w:r>
              <w:rPr>
                <w:sz w:val="20"/>
              </w:rPr>
              <w:t>March</w:t>
            </w:r>
            <w:r>
              <w:rPr>
                <w:spacing w:val="10"/>
                <w:sz w:val="20"/>
              </w:rPr>
              <w:t> </w:t>
            </w:r>
            <w:r>
              <w:rPr>
                <w:sz w:val="20"/>
              </w:rPr>
              <w:t>to</w:t>
            </w:r>
            <w:r>
              <w:rPr>
                <w:spacing w:val="11"/>
                <w:sz w:val="20"/>
              </w:rPr>
              <w:t> </w:t>
            </w:r>
            <w:r>
              <w:rPr>
                <w:sz w:val="20"/>
              </w:rPr>
              <w:t>November</w:t>
            </w:r>
            <w:r>
              <w:rPr>
                <w:spacing w:val="11"/>
                <w:sz w:val="20"/>
              </w:rPr>
              <w:t> </w:t>
            </w:r>
            <w:r>
              <w:rPr>
                <w:sz w:val="20"/>
              </w:rPr>
              <w:t>2022.</w:t>
            </w:r>
            <w:r>
              <w:rPr>
                <w:spacing w:val="12"/>
                <w:sz w:val="20"/>
              </w:rPr>
              <w:t> </w:t>
            </w:r>
            <w:r>
              <w:rPr>
                <w:sz w:val="20"/>
              </w:rPr>
              <w:t>Whilst</w:t>
            </w:r>
            <w:r>
              <w:rPr>
                <w:spacing w:val="10"/>
                <w:sz w:val="20"/>
              </w:rPr>
              <w:t> </w:t>
            </w:r>
            <w:r>
              <w:rPr>
                <w:sz w:val="20"/>
              </w:rPr>
              <w:t>all</w:t>
            </w:r>
            <w:r>
              <w:rPr>
                <w:spacing w:val="12"/>
                <w:sz w:val="20"/>
              </w:rPr>
              <w:t> </w:t>
            </w:r>
            <w:r>
              <w:rPr>
                <w:sz w:val="20"/>
              </w:rPr>
              <w:t>were</w:t>
            </w:r>
            <w:r>
              <w:rPr>
                <w:spacing w:val="11"/>
                <w:sz w:val="20"/>
              </w:rPr>
              <w:t> </w:t>
            </w:r>
            <w:r>
              <w:rPr>
                <w:sz w:val="20"/>
              </w:rPr>
              <w:t>verified</w:t>
            </w:r>
            <w:r>
              <w:rPr>
                <w:spacing w:val="10"/>
                <w:sz w:val="20"/>
              </w:rPr>
              <w:t> </w:t>
            </w:r>
            <w:r>
              <w:rPr>
                <w:sz w:val="20"/>
              </w:rPr>
              <w:t>to</w:t>
            </w:r>
            <w:r>
              <w:rPr>
                <w:spacing w:val="12"/>
                <w:sz w:val="20"/>
              </w:rPr>
              <w:t> </w:t>
            </w:r>
            <w:r>
              <w:rPr>
                <w:sz w:val="20"/>
              </w:rPr>
              <w:t>available</w:t>
            </w:r>
            <w:r>
              <w:rPr>
                <w:spacing w:val="8"/>
                <w:sz w:val="20"/>
              </w:rPr>
              <w:t> </w:t>
            </w:r>
            <w:r>
              <w:rPr>
                <w:sz w:val="20"/>
              </w:rPr>
              <w:t>source</w:t>
            </w:r>
            <w:r>
              <w:rPr>
                <w:spacing w:val="10"/>
                <w:sz w:val="20"/>
              </w:rPr>
              <w:t> </w:t>
            </w:r>
            <w:r>
              <w:rPr>
                <w:sz w:val="20"/>
              </w:rPr>
              <w:t>documentation</w:t>
            </w:r>
            <w:r>
              <w:rPr>
                <w:spacing w:val="11"/>
                <w:sz w:val="20"/>
              </w:rPr>
              <w:t> </w:t>
            </w:r>
            <w:r>
              <w:rPr>
                <w:sz w:val="20"/>
              </w:rPr>
              <w:t>and</w:t>
            </w:r>
            <w:r>
              <w:rPr>
                <w:spacing w:val="10"/>
                <w:sz w:val="20"/>
              </w:rPr>
              <w:t> </w:t>
            </w:r>
            <w:r>
              <w:rPr>
                <w:sz w:val="20"/>
              </w:rPr>
              <w:t>confirmed</w:t>
            </w:r>
            <w:r>
              <w:rPr>
                <w:spacing w:val="12"/>
                <w:sz w:val="20"/>
              </w:rPr>
              <w:t> </w:t>
            </w:r>
            <w:r>
              <w:rPr>
                <w:sz w:val="20"/>
              </w:rPr>
              <w:t>to</w:t>
            </w:r>
            <w:r>
              <w:rPr>
                <w:spacing w:val="8"/>
                <w:sz w:val="20"/>
              </w:rPr>
              <w:t> </w:t>
            </w:r>
            <w:r>
              <w:rPr>
                <w:spacing w:val="-4"/>
                <w:sz w:val="20"/>
              </w:rPr>
              <w:t>have</w:t>
            </w:r>
          </w:p>
        </w:tc>
        <w:tc>
          <w:tcPr>
            <w:tcW w:w="3980" w:type="dxa"/>
            <w:tcBorders>
              <w:top w:val="nil"/>
              <w:bottom w:val="nil"/>
            </w:tcBorders>
          </w:tcPr>
          <w:p>
            <w:pPr>
              <w:pStyle w:val="TableParagraph"/>
              <w:rPr>
                <w:rFonts w:ascii="Times New Roman"/>
                <w:sz w:val="20"/>
              </w:rPr>
            </w:pPr>
          </w:p>
        </w:tc>
      </w:tr>
      <w:tr>
        <w:trPr>
          <w:trHeight w:val="279" w:hRule="atLeast"/>
        </w:trPr>
        <w:tc>
          <w:tcPr>
            <w:tcW w:w="11329" w:type="dxa"/>
            <w:gridSpan w:val="3"/>
            <w:tcBorders>
              <w:top w:val="nil"/>
              <w:bottom w:val="nil"/>
            </w:tcBorders>
          </w:tcPr>
          <w:p>
            <w:pPr>
              <w:pStyle w:val="TableParagraph"/>
              <w:spacing w:line="241" w:lineRule="exact" w:before="18"/>
              <w:ind w:left="107"/>
              <w:rPr>
                <w:sz w:val="20"/>
              </w:rPr>
            </w:pPr>
            <w:r>
              <w:rPr>
                <w:sz w:val="20"/>
              </w:rPr>
              <w:t>been</w:t>
            </w:r>
            <w:r>
              <w:rPr>
                <w:spacing w:val="-2"/>
                <w:sz w:val="20"/>
              </w:rPr>
              <w:t> </w:t>
            </w:r>
            <w:r>
              <w:rPr>
                <w:sz w:val="20"/>
              </w:rPr>
              <w:t>promptly</w:t>
            </w:r>
            <w:r>
              <w:rPr>
                <w:spacing w:val="-4"/>
                <w:sz w:val="20"/>
              </w:rPr>
              <w:t> </w:t>
            </w:r>
            <w:r>
              <w:rPr>
                <w:sz w:val="20"/>
              </w:rPr>
              <w:t>and</w:t>
            </w:r>
            <w:r>
              <w:rPr>
                <w:spacing w:val="-1"/>
                <w:sz w:val="20"/>
              </w:rPr>
              <w:t> </w:t>
            </w:r>
            <w:r>
              <w:rPr>
                <w:sz w:val="20"/>
              </w:rPr>
              <w:t>accurately</w:t>
            </w:r>
            <w:r>
              <w:rPr>
                <w:spacing w:val="-2"/>
                <w:sz w:val="20"/>
              </w:rPr>
              <w:t> </w:t>
            </w:r>
            <w:r>
              <w:rPr>
                <w:sz w:val="20"/>
              </w:rPr>
              <w:t>processed,</w:t>
            </w:r>
            <w:r>
              <w:rPr>
                <w:spacing w:val="-2"/>
                <w:sz w:val="20"/>
              </w:rPr>
              <w:t> </w:t>
            </w:r>
            <w:r>
              <w:rPr>
                <w:sz w:val="20"/>
              </w:rPr>
              <w:t>one</w:t>
            </w:r>
            <w:r>
              <w:rPr>
                <w:spacing w:val="-5"/>
                <w:sz w:val="20"/>
              </w:rPr>
              <w:t> </w:t>
            </w:r>
            <w:r>
              <w:rPr>
                <w:sz w:val="20"/>
              </w:rPr>
              <w:t>instance</w:t>
            </w:r>
            <w:r>
              <w:rPr>
                <w:spacing w:val="-3"/>
                <w:sz w:val="20"/>
              </w:rPr>
              <w:t> </w:t>
            </w:r>
            <w:r>
              <w:rPr>
                <w:sz w:val="20"/>
              </w:rPr>
              <w:t>was</w:t>
            </w:r>
            <w:r>
              <w:rPr>
                <w:spacing w:val="-2"/>
                <w:sz w:val="20"/>
              </w:rPr>
              <w:t> </w:t>
            </w:r>
            <w:r>
              <w:rPr>
                <w:sz w:val="20"/>
              </w:rPr>
              <w:t>identified</w:t>
            </w:r>
            <w:r>
              <w:rPr>
                <w:spacing w:val="-1"/>
                <w:sz w:val="20"/>
              </w:rPr>
              <w:t> </w:t>
            </w:r>
            <w:r>
              <w:rPr>
                <w:sz w:val="20"/>
              </w:rPr>
              <w:t>where</w:t>
            </w:r>
            <w:r>
              <w:rPr>
                <w:spacing w:val="-5"/>
                <w:sz w:val="20"/>
              </w:rPr>
              <w:t> </w:t>
            </w:r>
            <w:r>
              <w:rPr>
                <w:sz w:val="20"/>
              </w:rPr>
              <w:t>a</w:t>
            </w:r>
            <w:r>
              <w:rPr>
                <w:spacing w:val="-2"/>
                <w:sz w:val="20"/>
              </w:rPr>
              <w:t> </w:t>
            </w:r>
            <w:r>
              <w:rPr>
                <w:sz w:val="20"/>
              </w:rPr>
              <w:t>bank</w:t>
            </w:r>
            <w:r>
              <w:rPr>
                <w:spacing w:val="-2"/>
                <w:sz w:val="20"/>
              </w:rPr>
              <w:t> </w:t>
            </w:r>
            <w:r>
              <w:rPr>
                <w:sz w:val="20"/>
              </w:rPr>
              <w:t>amendment</w:t>
            </w:r>
            <w:r>
              <w:rPr>
                <w:spacing w:val="-4"/>
                <w:sz w:val="20"/>
              </w:rPr>
              <w:t> </w:t>
            </w:r>
            <w:r>
              <w:rPr>
                <w:sz w:val="20"/>
              </w:rPr>
              <w:t>had</w:t>
            </w:r>
            <w:r>
              <w:rPr>
                <w:spacing w:val="-3"/>
                <w:sz w:val="20"/>
              </w:rPr>
              <w:t> </w:t>
            </w:r>
            <w:r>
              <w:rPr>
                <w:sz w:val="20"/>
              </w:rPr>
              <w:t>not</w:t>
            </w:r>
            <w:r>
              <w:rPr>
                <w:spacing w:val="-2"/>
                <w:sz w:val="20"/>
              </w:rPr>
              <w:t> </w:t>
            </w:r>
            <w:r>
              <w:rPr>
                <w:spacing w:val="-4"/>
                <w:sz w:val="20"/>
              </w:rPr>
              <w:t>been</w:t>
            </w:r>
          </w:p>
        </w:tc>
        <w:tc>
          <w:tcPr>
            <w:tcW w:w="3980" w:type="dxa"/>
            <w:tcBorders>
              <w:top w:val="nil"/>
              <w:bottom w:val="nil"/>
            </w:tcBorders>
          </w:tcPr>
          <w:p>
            <w:pPr>
              <w:pStyle w:val="TableParagraph"/>
              <w:rPr>
                <w:rFonts w:ascii="Times New Roman"/>
                <w:sz w:val="20"/>
              </w:rPr>
            </w:pPr>
          </w:p>
        </w:tc>
      </w:tr>
      <w:tr>
        <w:trPr>
          <w:trHeight w:val="364" w:hRule="atLeast"/>
        </w:trPr>
        <w:tc>
          <w:tcPr>
            <w:tcW w:w="11329" w:type="dxa"/>
            <w:gridSpan w:val="3"/>
            <w:tcBorders>
              <w:top w:val="nil"/>
              <w:bottom w:val="nil"/>
            </w:tcBorders>
          </w:tcPr>
          <w:p>
            <w:pPr>
              <w:pStyle w:val="TableParagraph"/>
              <w:spacing w:before="17"/>
              <w:ind w:left="107"/>
              <w:rPr>
                <w:sz w:val="20"/>
              </w:rPr>
            </w:pPr>
            <w:r>
              <w:rPr>
                <w:sz w:val="20"/>
              </w:rPr>
              <w:t>escalated</w:t>
            </w:r>
            <w:r>
              <w:rPr>
                <w:spacing w:val="-6"/>
                <w:sz w:val="20"/>
              </w:rPr>
              <w:t> </w:t>
            </w:r>
            <w:r>
              <w:rPr>
                <w:sz w:val="20"/>
              </w:rPr>
              <w:t>to</w:t>
            </w:r>
            <w:r>
              <w:rPr>
                <w:spacing w:val="-7"/>
                <w:sz w:val="20"/>
              </w:rPr>
              <w:t> </w:t>
            </w:r>
            <w:r>
              <w:rPr>
                <w:sz w:val="20"/>
              </w:rPr>
              <w:t>the</w:t>
            </w:r>
            <w:r>
              <w:rPr>
                <w:spacing w:val="-5"/>
                <w:sz w:val="20"/>
              </w:rPr>
              <w:t> </w:t>
            </w:r>
            <w:r>
              <w:rPr>
                <w:sz w:val="20"/>
              </w:rPr>
              <w:t>Head</w:t>
            </w:r>
            <w:r>
              <w:rPr>
                <w:spacing w:val="-4"/>
                <w:sz w:val="20"/>
              </w:rPr>
              <w:t> </w:t>
            </w:r>
            <w:r>
              <w:rPr>
                <w:sz w:val="20"/>
              </w:rPr>
              <w:t>of</w:t>
            </w:r>
            <w:r>
              <w:rPr>
                <w:spacing w:val="-7"/>
                <w:sz w:val="20"/>
              </w:rPr>
              <w:t> </w:t>
            </w:r>
            <w:r>
              <w:rPr>
                <w:sz w:val="20"/>
              </w:rPr>
              <w:t>Finance</w:t>
            </w:r>
            <w:r>
              <w:rPr>
                <w:spacing w:val="-6"/>
                <w:sz w:val="20"/>
              </w:rPr>
              <w:t> </w:t>
            </w:r>
            <w:r>
              <w:rPr>
                <w:sz w:val="20"/>
              </w:rPr>
              <w:t>&amp;</w:t>
            </w:r>
            <w:r>
              <w:rPr>
                <w:spacing w:val="-6"/>
                <w:sz w:val="20"/>
              </w:rPr>
              <w:t> </w:t>
            </w:r>
            <w:r>
              <w:rPr>
                <w:sz w:val="20"/>
              </w:rPr>
              <w:t>Business</w:t>
            </w:r>
            <w:r>
              <w:rPr>
                <w:spacing w:val="-5"/>
                <w:sz w:val="20"/>
              </w:rPr>
              <w:t> </w:t>
            </w:r>
            <w:r>
              <w:rPr>
                <w:sz w:val="20"/>
              </w:rPr>
              <w:t>Development</w:t>
            </w:r>
            <w:r>
              <w:rPr>
                <w:spacing w:val="-6"/>
                <w:sz w:val="20"/>
              </w:rPr>
              <w:t> </w:t>
            </w:r>
            <w:r>
              <w:rPr>
                <w:sz w:val="20"/>
              </w:rPr>
              <w:t>for</w:t>
            </w:r>
            <w:r>
              <w:rPr>
                <w:spacing w:val="-4"/>
                <w:sz w:val="20"/>
              </w:rPr>
              <w:t> </w:t>
            </w:r>
            <w:r>
              <w:rPr>
                <w:sz w:val="20"/>
              </w:rPr>
              <w:t>review</w:t>
            </w:r>
            <w:r>
              <w:rPr>
                <w:spacing w:val="-6"/>
                <w:sz w:val="20"/>
              </w:rPr>
              <w:t> </w:t>
            </w:r>
            <w:r>
              <w:rPr>
                <w:sz w:val="20"/>
              </w:rPr>
              <w:t>and</w:t>
            </w:r>
            <w:r>
              <w:rPr>
                <w:spacing w:val="-6"/>
                <w:sz w:val="20"/>
              </w:rPr>
              <w:t> </w:t>
            </w:r>
            <w:r>
              <w:rPr>
                <w:spacing w:val="-2"/>
                <w:sz w:val="20"/>
              </w:rPr>
              <w:t>approval.</w:t>
            </w:r>
          </w:p>
        </w:tc>
        <w:tc>
          <w:tcPr>
            <w:tcW w:w="3980" w:type="dxa"/>
            <w:tcBorders>
              <w:top w:val="nil"/>
              <w:bottom w:val="nil"/>
            </w:tcBorders>
          </w:tcPr>
          <w:p>
            <w:pPr>
              <w:pStyle w:val="TableParagraph"/>
              <w:rPr>
                <w:rFonts w:ascii="Times New Roman"/>
                <w:sz w:val="20"/>
              </w:rPr>
            </w:pPr>
          </w:p>
        </w:tc>
      </w:tr>
      <w:tr>
        <w:trPr>
          <w:trHeight w:val="484" w:hRule="atLeast"/>
        </w:trPr>
        <w:tc>
          <w:tcPr>
            <w:tcW w:w="11329" w:type="dxa"/>
            <w:gridSpan w:val="3"/>
            <w:tcBorders>
              <w:top w:val="nil"/>
              <w:bottom w:val="nil"/>
            </w:tcBorders>
            <w:shd w:val="clear" w:color="auto" w:fill="2E5395"/>
          </w:tcPr>
          <w:p>
            <w:pPr>
              <w:pStyle w:val="TableParagraph"/>
              <w:spacing w:before="58"/>
              <w:ind w:left="107"/>
              <w:rPr>
                <w:b/>
                <w:sz w:val="20"/>
              </w:rPr>
            </w:pPr>
            <w:r>
              <w:rPr>
                <w:b/>
                <w:color w:val="FFFFFF"/>
                <w:spacing w:val="-2"/>
                <w:sz w:val="20"/>
              </w:rPr>
              <w:t>Recommendations</w:t>
            </w:r>
          </w:p>
        </w:tc>
        <w:tc>
          <w:tcPr>
            <w:tcW w:w="3980" w:type="dxa"/>
            <w:tcBorders>
              <w:top w:val="nil"/>
              <w:bottom w:val="nil"/>
            </w:tcBorders>
            <w:shd w:val="clear" w:color="auto" w:fill="2E5395"/>
          </w:tcPr>
          <w:p>
            <w:pPr>
              <w:pStyle w:val="TableParagraph"/>
              <w:spacing w:before="58"/>
              <w:ind w:left="1530" w:right="1523"/>
              <w:jc w:val="center"/>
              <w:rPr>
                <w:b/>
                <w:sz w:val="20"/>
              </w:rPr>
            </w:pPr>
            <w:r>
              <w:rPr>
                <w:b/>
                <w:color w:val="FFFFFF"/>
                <w:spacing w:val="-2"/>
                <w:sz w:val="20"/>
              </w:rPr>
              <w:t>Priority</w:t>
            </w:r>
          </w:p>
        </w:tc>
      </w:tr>
      <w:tr>
        <w:trPr>
          <w:trHeight w:val="895" w:hRule="atLeast"/>
        </w:trPr>
        <w:tc>
          <w:tcPr>
            <w:tcW w:w="991" w:type="dxa"/>
            <w:tcBorders>
              <w:top w:val="nil"/>
            </w:tcBorders>
          </w:tcPr>
          <w:p>
            <w:pPr>
              <w:pStyle w:val="TableParagraph"/>
              <w:spacing w:before="58"/>
              <w:ind w:left="107"/>
              <w:rPr>
                <w:sz w:val="20"/>
              </w:rPr>
            </w:pPr>
            <w:r>
              <w:rPr>
                <w:spacing w:val="-5"/>
                <w:sz w:val="20"/>
              </w:rPr>
              <w:t>1.1</w:t>
            </w:r>
          </w:p>
        </w:tc>
        <w:tc>
          <w:tcPr>
            <w:tcW w:w="10338" w:type="dxa"/>
            <w:gridSpan w:val="2"/>
            <w:tcBorders>
              <w:top w:val="nil"/>
            </w:tcBorders>
          </w:tcPr>
          <w:p>
            <w:pPr>
              <w:pStyle w:val="TableParagraph"/>
              <w:spacing w:line="278" w:lineRule="auto" w:before="58"/>
              <w:ind w:left="148" w:right="66"/>
              <w:rPr>
                <w:sz w:val="20"/>
              </w:rPr>
            </w:pPr>
            <w:r>
              <w:rPr>
                <w:sz w:val="20"/>
              </w:rPr>
              <w:t>The verification</w:t>
            </w:r>
            <w:r>
              <w:rPr>
                <w:spacing w:val="30"/>
                <w:sz w:val="20"/>
              </w:rPr>
              <w:t> </w:t>
            </w:r>
            <w:r>
              <w:rPr>
                <w:sz w:val="20"/>
              </w:rPr>
              <w:t>and</w:t>
            </w:r>
            <w:r>
              <w:rPr>
                <w:spacing w:val="30"/>
                <w:sz w:val="20"/>
              </w:rPr>
              <w:t> </w:t>
            </w:r>
            <w:r>
              <w:rPr>
                <w:sz w:val="20"/>
              </w:rPr>
              <w:t>review/approval</w:t>
            </w:r>
            <w:r>
              <w:rPr>
                <w:spacing w:val="30"/>
                <w:sz w:val="20"/>
              </w:rPr>
              <w:t> </w:t>
            </w:r>
            <w:r>
              <w:rPr>
                <w:sz w:val="20"/>
              </w:rPr>
              <w:t>process</w:t>
            </w:r>
            <w:r>
              <w:rPr>
                <w:spacing w:val="30"/>
                <w:sz w:val="20"/>
              </w:rPr>
              <w:t> </w:t>
            </w:r>
            <w:r>
              <w:rPr>
                <w:sz w:val="20"/>
              </w:rPr>
              <w:t>for</w:t>
            </w:r>
            <w:r>
              <w:rPr>
                <w:spacing w:val="31"/>
                <w:sz w:val="20"/>
              </w:rPr>
              <w:t> </w:t>
            </w:r>
            <w:r>
              <w:rPr>
                <w:sz w:val="20"/>
              </w:rPr>
              <w:t>supplier</w:t>
            </w:r>
            <w:r>
              <w:rPr>
                <w:spacing w:val="29"/>
                <w:sz w:val="20"/>
              </w:rPr>
              <w:t> </w:t>
            </w:r>
            <w:r>
              <w:rPr>
                <w:sz w:val="20"/>
              </w:rPr>
              <w:t>bank</w:t>
            </w:r>
            <w:r>
              <w:rPr>
                <w:spacing w:val="29"/>
                <w:sz w:val="20"/>
              </w:rPr>
              <w:t> </w:t>
            </w:r>
            <w:r>
              <w:rPr>
                <w:sz w:val="20"/>
              </w:rPr>
              <w:t>additions/amendments</w:t>
            </w:r>
            <w:r>
              <w:rPr>
                <w:spacing w:val="29"/>
                <w:sz w:val="20"/>
              </w:rPr>
              <w:t> </w:t>
            </w:r>
            <w:r>
              <w:rPr>
                <w:sz w:val="20"/>
              </w:rPr>
              <w:t>should</w:t>
            </w:r>
            <w:r>
              <w:rPr>
                <w:spacing w:val="30"/>
                <w:sz w:val="20"/>
              </w:rPr>
              <w:t> </w:t>
            </w:r>
            <w:r>
              <w:rPr>
                <w:sz w:val="20"/>
              </w:rPr>
              <w:t>be clarified, documented and consistently applied.</w:t>
            </w:r>
          </w:p>
        </w:tc>
        <w:tc>
          <w:tcPr>
            <w:tcW w:w="3980" w:type="dxa"/>
            <w:tcBorders>
              <w:top w:val="nil"/>
            </w:tcBorders>
            <w:shd w:val="clear" w:color="auto" w:fill="FFFF00"/>
          </w:tcPr>
          <w:p>
            <w:pPr>
              <w:pStyle w:val="TableParagraph"/>
              <w:spacing w:before="11"/>
              <w:rPr>
                <w:sz w:val="26"/>
              </w:rPr>
            </w:pPr>
          </w:p>
          <w:p>
            <w:pPr>
              <w:pStyle w:val="TableParagraph"/>
              <w:ind w:left="1533" w:right="1523"/>
              <w:jc w:val="center"/>
              <w:rPr>
                <w:b/>
                <w:sz w:val="20"/>
              </w:rPr>
            </w:pPr>
            <w:r>
              <w:rPr>
                <w:b/>
                <w:spacing w:val="-2"/>
                <w:sz w:val="20"/>
              </w:rPr>
              <w:t>Medium</w:t>
            </w:r>
          </w:p>
        </w:tc>
      </w:tr>
      <w:tr>
        <w:trPr>
          <w:trHeight w:val="474" w:hRule="atLeast"/>
        </w:trPr>
        <w:tc>
          <w:tcPr>
            <w:tcW w:w="9294" w:type="dxa"/>
            <w:gridSpan w:val="2"/>
            <w:tcBorders>
              <w:bottom w:val="nil"/>
            </w:tcBorders>
            <w:shd w:val="clear" w:color="auto" w:fill="2E5395"/>
          </w:tcPr>
          <w:p>
            <w:pPr>
              <w:pStyle w:val="TableParagraph"/>
              <w:spacing w:before="58"/>
              <w:ind w:left="107"/>
              <w:rPr>
                <w:b/>
                <w:sz w:val="20"/>
              </w:rPr>
            </w:pPr>
            <w:r>
              <w:rPr>
                <w:b/>
                <w:color w:val="FFFFFF"/>
                <w:sz w:val="20"/>
              </w:rPr>
              <w:t>Agreed</w:t>
            </w:r>
            <w:r>
              <w:rPr>
                <w:b/>
                <w:color w:val="FFFFFF"/>
                <w:spacing w:val="-14"/>
                <w:sz w:val="20"/>
              </w:rPr>
              <w:t> </w:t>
            </w:r>
            <w:r>
              <w:rPr>
                <w:b/>
                <w:color w:val="FFFFFF"/>
                <w:sz w:val="20"/>
              </w:rPr>
              <w:t>Management</w:t>
            </w:r>
            <w:r>
              <w:rPr>
                <w:b/>
                <w:color w:val="FFFFFF"/>
                <w:spacing w:val="-12"/>
                <w:sz w:val="20"/>
              </w:rPr>
              <w:t> </w:t>
            </w:r>
            <w:r>
              <w:rPr>
                <w:b/>
                <w:color w:val="FFFFFF"/>
                <w:spacing w:val="-2"/>
                <w:sz w:val="20"/>
              </w:rPr>
              <w:t>Action</w:t>
            </w:r>
          </w:p>
        </w:tc>
        <w:tc>
          <w:tcPr>
            <w:tcW w:w="2035" w:type="dxa"/>
            <w:tcBorders>
              <w:bottom w:val="nil"/>
            </w:tcBorders>
            <w:shd w:val="clear" w:color="auto" w:fill="2E5395"/>
          </w:tcPr>
          <w:p>
            <w:pPr>
              <w:pStyle w:val="TableParagraph"/>
              <w:spacing w:before="58"/>
              <w:ind w:right="345"/>
              <w:jc w:val="right"/>
              <w:rPr>
                <w:b/>
                <w:sz w:val="20"/>
              </w:rPr>
            </w:pPr>
            <w:r>
              <w:rPr>
                <w:b/>
                <w:color w:val="FFFFFF"/>
                <w:sz w:val="20"/>
              </w:rPr>
              <w:t>Target</w:t>
            </w:r>
            <w:r>
              <w:rPr>
                <w:b/>
                <w:color w:val="FFFFFF"/>
                <w:spacing w:val="-11"/>
                <w:sz w:val="20"/>
              </w:rPr>
              <w:t> </w:t>
            </w:r>
            <w:r>
              <w:rPr>
                <w:b/>
                <w:color w:val="FFFFFF"/>
                <w:spacing w:val="-4"/>
                <w:sz w:val="20"/>
              </w:rPr>
              <w:t>Date</w:t>
            </w:r>
          </w:p>
        </w:tc>
        <w:tc>
          <w:tcPr>
            <w:tcW w:w="3980" w:type="dxa"/>
            <w:tcBorders>
              <w:bottom w:val="nil"/>
            </w:tcBorders>
            <w:shd w:val="clear" w:color="auto" w:fill="2E5395"/>
          </w:tcPr>
          <w:p>
            <w:pPr>
              <w:pStyle w:val="TableParagraph"/>
              <w:spacing w:before="58"/>
              <w:ind w:left="900"/>
              <w:rPr>
                <w:b/>
                <w:sz w:val="20"/>
              </w:rPr>
            </w:pPr>
            <w:r>
              <w:rPr>
                <w:b/>
                <w:color w:val="FFFFFF"/>
                <w:spacing w:val="-2"/>
                <w:sz w:val="20"/>
              </w:rPr>
              <w:t>Responsible</w:t>
            </w:r>
            <w:r>
              <w:rPr>
                <w:b/>
                <w:color w:val="FFFFFF"/>
                <w:spacing w:val="4"/>
                <w:sz w:val="20"/>
              </w:rPr>
              <w:t> </w:t>
            </w:r>
            <w:r>
              <w:rPr>
                <w:b/>
                <w:color w:val="FFFFFF"/>
                <w:spacing w:val="-2"/>
                <w:sz w:val="20"/>
              </w:rPr>
              <w:t>Officer</w:t>
            </w:r>
          </w:p>
        </w:tc>
      </w:tr>
      <w:tr>
        <w:trPr>
          <w:trHeight w:val="1065" w:hRule="atLeast"/>
        </w:trPr>
        <w:tc>
          <w:tcPr>
            <w:tcW w:w="991" w:type="dxa"/>
            <w:tcBorders>
              <w:top w:val="nil"/>
            </w:tcBorders>
          </w:tcPr>
          <w:p>
            <w:pPr>
              <w:pStyle w:val="TableParagraph"/>
              <w:spacing w:before="58"/>
              <w:ind w:left="107"/>
              <w:rPr>
                <w:sz w:val="20"/>
              </w:rPr>
            </w:pPr>
            <w:r>
              <w:rPr>
                <w:spacing w:val="-5"/>
                <w:sz w:val="20"/>
              </w:rPr>
              <w:t>1.1</w:t>
            </w:r>
          </w:p>
        </w:tc>
        <w:tc>
          <w:tcPr>
            <w:tcW w:w="8303" w:type="dxa"/>
            <w:tcBorders>
              <w:top w:val="nil"/>
            </w:tcBorders>
          </w:tcPr>
          <w:p>
            <w:pPr>
              <w:pStyle w:val="TableParagraph"/>
              <w:spacing w:line="276" w:lineRule="auto" w:before="58"/>
              <w:ind w:left="148" w:right="117"/>
              <w:jc w:val="both"/>
              <w:rPr>
                <w:sz w:val="20"/>
              </w:rPr>
            </w:pPr>
            <w:r>
              <w:rPr>
                <w:sz w:val="20"/>
              </w:rPr>
              <w:t>Agreed. The verification and review process will be documented as suggested, including</w:t>
            </w:r>
            <w:r>
              <w:rPr>
                <w:spacing w:val="-18"/>
                <w:sz w:val="20"/>
              </w:rPr>
              <w:t> </w:t>
            </w:r>
            <w:r>
              <w:rPr>
                <w:sz w:val="20"/>
              </w:rPr>
              <w:t>the</w:t>
            </w:r>
            <w:r>
              <w:rPr>
                <w:spacing w:val="-18"/>
                <w:sz w:val="20"/>
              </w:rPr>
              <w:t> </w:t>
            </w:r>
            <w:r>
              <w:rPr>
                <w:sz w:val="20"/>
              </w:rPr>
              <w:t>requirement</w:t>
            </w:r>
            <w:r>
              <w:rPr>
                <w:spacing w:val="-17"/>
                <w:sz w:val="20"/>
              </w:rPr>
              <w:t> </w:t>
            </w:r>
            <w:r>
              <w:rPr>
                <w:sz w:val="20"/>
              </w:rPr>
              <w:t>for</w:t>
            </w:r>
            <w:r>
              <w:rPr>
                <w:spacing w:val="-18"/>
                <w:sz w:val="20"/>
              </w:rPr>
              <w:t> </w:t>
            </w:r>
            <w:r>
              <w:rPr>
                <w:sz w:val="20"/>
              </w:rPr>
              <w:t>bank</w:t>
            </w:r>
            <w:r>
              <w:rPr>
                <w:spacing w:val="-17"/>
                <w:sz w:val="20"/>
              </w:rPr>
              <w:t> </w:t>
            </w:r>
            <w:r>
              <w:rPr>
                <w:sz w:val="20"/>
              </w:rPr>
              <w:t>validation</w:t>
            </w:r>
            <w:r>
              <w:rPr>
                <w:spacing w:val="-18"/>
                <w:sz w:val="20"/>
              </w:rPr>
              <w:t> </w:t>
            </w:r>
            <w:r>
              <w:rPr>
                <w:sz w:val="20"/>
              </w:rPr>
              <w:t>checks</w:t>
            </w:r>
            <w:r>
              <w:rPr>
                <w:spacing w:val="-18"/>
                <w:sz w:val="20"/>
              </w:rPr>
              <w:t> </w:t>
            </w:r>
            <w:r>
              <w:rPr>
                <w:sz w:val="20"/>
              </w:rPr>
              <w:t>to</w:t>
            </w:r>
            <w:r>
              <w:rPr>
                <w:spacing w:val="-17"/>
                <w:sz w:val="20"/>
              </w:rPr>
              <w:t> </w:t>
            </w:r>
            <w:r>
              <w:rPr>
                <w:sz w:val="20"/>
              </w:rPr>
              <w:t>be</w:t>
            </w:r>
            <w:r>
              <w:rPr>
                <w:spacing w:val="-18"/>
                <w:sz w:val="20"/>
              </w:rPr>
              <w:t> </w:t>
            </w:r>
            <w:r>
              <w:rPr>
                <w:sz w:val="20"/>
              </w:rPr>
              <w:t>carried</w:t>
            </w:r>
            <w:r>
              <w:rPr>
                <w:spacing w:val="-15"/>
                <w:sz w:val="20"/>
              </w:rPr>
              <w:t> </w:t>
            </w:r>
            <w:r>
              <w:rPr>
                <w:sz w:val="20"/>
              </w:rPr>
              <w:t>out</w:t>
            </w:r>
            <w:r>
              <w:rPr>
                <w:spacing w:val="-18"/>
                <w:sz w:val="20"/>
              </w:rPr>
              <w:t> </w:t>
            </w:r>
            <w:r>
              <w:rPr>
                <w:sz w:val="20"/>
              </w:rPr>
              <w:t>for</w:t>
            </w:r>
            <w:r>
              <w:rPr>
                <w:spacing w:val="-17"/>
                <w:sz w:val="20"/>
              </w:rPr>
              <w:t> </w:t>
            </w:r>
            <w:r>
              <w:rPr>
                <w:sz w:val="20"/>
              </w:rPr>
              <w:t>schools and one-off payments.</w:t>
            </w:r>
          </w:p>
        </w:tc>
        <w:tc>
          <w:tcPr>
            <w:tcW w:w="2035" w:type="dxa"/>
            <w:tcBorders>
              <w:top w:val="nil"/>
            </w:tcBorders>
          </w:tcPr>
          <w:p>
            <w:pPr>
              <w:pStyle w:val="TableParagraph"/>
              <w:spacing w:before="58"/>
              <w:ind w:right="327"/>
              <w:jc w:val="right"/>
              <w:rPr>
                <w:sz w:val="20"/>
              </w:rPr>
            </w:pPr>
            <w:r>
              <w:rPr>
                <w:sz w:val="20"/>
              </w:rPr>
              <w:t>31</w:t>
            </w:r>
            <w:r>
              <w:rPr>
                <w:spacing w:val="-5"/>
                <w:sz w:val="20"/>
              </w:rPr>
              <w:t> </w:t>
            </w:r>
            <w:r>
              <w:rPr>
                <w:sz w:val="20"/>
              </w:rPr>
              <w:t>January</w:t>
            </w:r>
            <w:r>
              <w:rPr>
                <w:spacing w:val="-6"/>
                <w:sz w:val="20"/>
              </w:rPr>
              <w:t> </w:t>
            </w:r>
            <w:r>
              <w:rPr>
                <w:spacing w:val="-4"/>
                <w:sz w:val="20"/>
              </w:rPr>
              <w:t>2023</w:t>
            </w:r>
          </w:p>
        </w:tc>
        <w:tc>
          <w:tcPr>
            <w:tcW w:w="3980" w:type="dxa"/>
            <w:tcBorders>
              <w:top w:val="nil"/>
            </w:tcBorders>
          </w:tcPr>
          <w:p>
            <w:pPr>
              <w:pStyle w:val="TableParagraph"/>
              <w:spacing w:line="259" w:lineRule="auto" w:before="58"/>
              <w:ind w:left="108"/>
              <w:rPr>
                <w:sz w:val="20"/>
              </w:rPr>
            </w:pPr>
            <w:r>
              <w:rPr>
                <w:sz w:val="20"/>
              </w:rPr>
              <w:t>Head</w:t>
            </w:r>
            <w:r>
              <w:rPr>
                <w:spacing w:val="-9"/>
                <w:sz w:val="20"/>
              </w:rPr>
              <w:t> </w:t>
            </w:r>
            <w:r>
              <w:rPr>
                <w:sz w:val="20"/>
              </w:rPr>
              <w:t>of</w:t>
            </w:r>
            <w:r>
              <w:rPr>
                <w:spacing w:val="-11"/>
                <w:sz w:val="20"/>
              </w:rPr>
              <w:t> </w:t>
            </w:r>
            <w:r>
              <w:rPr>
                <w:sz w:val="20"/>
              </w:rPr>
              <w:t>Finance</w:t>
            </w:r>
            <w:r>
              <w:rPr>
                <w:spacing w:val="-12"/>
                <w:sz w:val="20"/>
              </w:rPr>
              <w:t> </w:t>
            </w:r>
            <w:r>
              <w:rPr>
                <w:sz w:val="20"/>
              </w:rPr>
              <w:t>&amp;</w:t>
            </w:r>
            <w:r>
              <w:rPr>
                <w:spacing w:val="-12"/>
                <w:sz w:val="20"/>
              </w:rPr>
              <w:t> </w:t>
            </w:r>
            <w:r>
              <w:rPr>
                <w:sz w:val="20"/>
              </w:rPr>
              <w:t>Business </w:t>
            </w:r>
            <w:r>
              <w:rPr>
                <w:spacing w:val="-2"/>
                <w:sz w:val="20"/>
              </w:rPr>
              <w:t>Development</w:t>
            </w:r>
          </w:p>
        </w:tc>
      </w:tr>
    </w:tbl>
    <w:p>
      <w:pPr>
        <w:spacing w:after="0" w:line="259" w:lineRule="auto"/>
        <w:rPr>
          <w:sz w:val="20"/>
        </w:rPr>
        <w:sectPr>
          <w:footerReference w:type="default" r:id="rId91"/>
          <w:pgSz w:w="16840" w:h="11910" w:orient="landscape"/>
          <w:pgMar w:footer="770" w:header="0" w:top="900" w:bottom="960" w:left="600" w:right="700"/>
        </w:sectPr>
      </w:pPr>
    </w:p>
    <w:p>
      <w:pPr>
        <w:pStyle w:val="BodyText"/>
        <w:tabs>
          <w:tab w:pos="11857" w:val="left" w:leader="none"/>
        </w:tabs>
        <w:spacing w:line="291" w:lineRule="exact" w:before="78"/>
        <w:ind w:right="224"/>
        <w:jc w:val="right"/>
      </w:pPr>
      <w:r>
        <w:rPr/>
        <w:t>Accounts</w:t>
      </w:r>
      <w:r>
        <w:rPr>
          <w:spacing w:val="-2"/>
        </w:rPr>
        <w:t> Payable</w:t>
      </w:r>
      <w:r>
        <w:rPr/>
        <w:tab/>
        <w:t>Final</w:t>
      </w:r>
      <w:r>
        <w:rPr>
          <w:spacing w:val="-6"/>
        </w:rPr>
        <w:t> </w:t>
      </w:r>
      <w:r>
        <w:rPr/>
        <w:t>Internal</w:t>
      </w:r>
      <w:r>
        <w:rPr>
          <w:spacing w:val="-3"/>
        </w:rPr>
        <w:t> </w:t>
      </w:r>
      <w:r>
        <w:rPr/>
        <w:t>Audit</w:t>
      </w:r>
      <w:r>
        <w:rPr>
          <w:spacing w:val="-1"/>
        </w:rPr>
        <w:t> </w:t>
      </w:r>
      <w:r>
        <w:rPr>
          <w:spacing w:val="-2"/>
        </w:rPr>
        <w:t>Report</w:t>
      </w:r>
    </w:p>
    <w:p>
      <w:pPr>
        <w:pStyle w:val="BodyText"/>
        <w:spacing w:line="291" w:lineRule="exact"/>
        <w:ind w:right="226"/>
        <w:jc w:val="right"/>
      </w:pPr>
      <w:r>
        <w:rPr/>
        <w:t>Appendix</w:t>
      </w:r>
      <w:r>
        <w:rPr>
          <w:spacing w:val="-5"/>
        </w:rPr>
        <w:t> </w:t>
      </w:r>
      <w:r>
        <w:rPr>
          <w:spacing w:val="-10"/>
        </w:rPr>
        <w:t>A</w:t>
      </w:r>
    </w:p>
    <w:p>
      <w:pPr>
        <w:pStyle w:val="BodyText"/>
        <w:spacing w:before="2"/>
        <w:rPr>
          <w:sz w:val="20"/>
        </w:rPr>
      </w:pPr>
      <w:r>
        <w:rPr/>
        <w:pict>
          <v:shape style="position:absolute;margin-left:41.760002pt;margin-top:13.476014pt;width:759.25pt;height:1.45pt;mso-position-horizontal-relative:page;mso-position-vertical-relative:paragraph;z-index:-15664640;mso-wrap-distance-left:0;mso-wrap-distance-right:0" id="docshape281" coordorigin="835,270" coordsize="15185,29" path="m16020,270l9371,270,9357,270,9342,270,835,270,835,298,9342,298,9357,298,9371,298,16020,298,16020,270xe" filled="true" fillcolor="#000000" stroked="false">
            <v:path arrowok="t"/>
            <v:fill type="solid"/>
            <w10:wrap type="topAndBottom"/>
          </v:shape>
        </w:pict>
      </w:r>
    </w:p>
    <w:p>
      <w:pPr>
        <w:pStyle w:val="BodyText"/>
        <w:rPr>
          <w:sz w:val="28"/>
        </w:rPr>
      </w:pPr>
    </w:p>
    <w:tbl>
      <w:tblPr>
        <w:tblW w:w="0" w:type="auto"/>
        <w:jc w:val="left"/>
        <w:tblInd w:w="115" w:type="dxa"/>
        <w:tblBorders>
          <w:top w:val="dashSmallGap" w:sz="4" w:space="0" w:color="A5A5A5"/>
          <w:left w:val="dashSmallGap" w:sz="4" w:space="0" w:color="A5A5A5"/>
          <w:bottom w:val="dashSmallGap" w:sz="4" w:space="0" w:color="A5A5A5"/>
          <w:right w:val="dashSmallGap" w:sz="4" w:space="0" w:color="A5A5A5"/>
          <w:insideH w:val="dashSmallGap" w:sz="4" w:space="0" w:color="A5A5A5"/>
          <w:insideV w:val="dashSmallGap" w:sz="4" w:space="0" w:color="A5A5A5"/>
        </w:tblBorders>
        <w:tblLayout w:type="fixed"/>
        <w:tblCellMar>
          <w:top w:w="0" w:type="dxa"/>
          <w:left w:w="0" w:type="dxa"/>
          <w:bottom w:w="0" w:type="dxa"/>
          <w:right w:w="0" w:type="dxa"/>
        </w:tblCellMar>
        <w:tblLook w:val="01E0"/>
      </w:tblPr>
      <w:tblGrid>
        <w:gridCol w:w="991"/>
        <w:gridCol w:w="8303"/>
        <w:gridCol w:w="2035"/>
        <w:gridCol w:w="3980"/>
      </w:tblGrid>
      <w:tr>
        <w:trPr>
          <w:trHeight w:val="475" w:hRule="atLeast"/>
        </w:trPr>
        <w:tc>
          <w:tcPr>
            <w:tcW w:w="11329" w:type="dxa"/>
            <w:gridSpan w:val="3"/>
            <w:tcBorders>
              <w:bottom w:val="nil"/>
            </w:tcBorders>
            <w:shd w:val="clear" w:color="auto" w:fill="2E5395"/>
          </w:tcPr>
          <w:p>
            <w:pPr>
              <w:pStyle w:val="TableParagraph"/>
              <w:spacing w:before="58"/>
              <w:ind w:left="107"/>
              <w:rPr>
                <w:sz w:val="20"/>
              </w:rPr>
            </w:pPr>
            <w:r>
              <w:rPr>
                <w:b/>
                <w:color w:val="FFFFFF"/>
                <w:sz w:val="20"/>
              </w:rPr>
              <w:t>Matter</w:t>
            </w:r>
            <w:r>
              <w:rPr>
                <w:b/>
                <w:color w:val="FFFFFF"/>
                <w:spacing w:val="-6"/>
                <w:sz w:val="20"/>
              </w:rPr>
              <w:t> </w:t>
            </w:r>
            <w:r>
              <w:rPr>
                <w:b/>
                <w:color w:val="FFFFFF"/>
                <w:sz w:val="20"/>
              </w:rPr>
              <w:t>Arising</w:t>
            </w:r>
            <w:r>
              <w:rPr>
                <w:b/>
                <w:color w:val="FFFFFF"/>
                <w:spacing w:val="-6"/>
                <w:sz w:val="20"/>
              </w:rPr>
              <w:t> </w:t>
            </w:r>
            <w:r>
              <w:rPr>
                <w:b/>
                <w:color w:val="FFFFFF"/>
                <w:sz w:val="20"/>
              </w:rPr>
              <w:t>2:</w:t>
            </w:r>
            <w:r>
              <w:rPr>
                <w:b/>
                <w:color w:val="FFFFFF"/>
                <w:spacing w:val="-7"/>
                <w:sz w:val="20"/>
              </w:rPr>
              <w:t> </w:t>
            </w:r>
            <w:r>
              <w:rPr>
                <w:b/>
                <w:color w:val="FFFFFF"/>
                <w:sz w:val="20"/>
              </w:rPr>
              <w:t>Authorisation</w:t>
            </w:r>
            <w:r>
              <w:rPr>
                <w:b/>
                <w:color w:val="FFFFFF"/>
                <w:spacing w:val="-10"/>
                <w:sz w:val="20"/>
              </w:rPr>
              <w:t> </w:t>
            </w:r>
            <w:r>
              <w:rPr>
                <w:b/>
                <w:color w:val="FFFFFF"/>
                <w:sz w:val="20"/>
              </w:rPr>
              <w:t>of</w:t>
            </w:r>
            <w:r>
              <w:rPr>
                <w:b/>
                <w:color w:val="FFFFFF"/>
                <w:spacing w:val="-7"/>
                <w:sz w:val="20"/>
              </w:rPr>
              <w:t> </w:t>
            </w:r>
            <w:r>
              <w:rPr>
                <w:b/>
                <w:color w:val="FFFFFF"/>
                <w:sz w:val="20"/>
              </w:rPr>
              <w:t>Non-PO</w:t>
            </w:r>
            <w:r>
              <w:rPr>
                <w:b/>
                <w:color w:val="FFFFFF"/>
                <w:spacing w:val="-4"/>
                <w:sz w:val="20"/>
              </w:rPr>
              <w:t> </w:t>
            </w:r>
            <w:r>
              <w:rPr>
                <w:b/>
                <w:color w:val="FFFFFF"/>
                <w:sz w:val="20"/>
              </w:rPr>
              <w:t>Invoices</w:t>
            </w:r>
            <w:r>
              <w:rPr>
                <w:b/>
                <w:color w:val="FFFFFF"/>
                <w:spacing w:val="-6"/>
                <w:sz w:val="20"/>
              </w:rPr>
              <w:t> </w:t>
            </w:r>
            <w:r>
              <w:rPr>
                <w:color w:val="FFFFFF"/>
                <w:sz w:val="20"/>
              </w:rPr>
              <w:t>(Design</w:t>
            </w:r>
            <w:r>
              <w:rPr>
                <w:color w:val="FFFFFF"/>
                <w:spacing w:val="-7"/>
                <w:sz w:val="20"/>
              </w:rPr>
              <w:t> </w:t>
            </w:r>
            <w:r>
              <w:rPr>
                <w:color w:val="FFFFFF"/>
                <w:sz w:val="20"/>
              </w:rPr>
              <w:t>/</w:t>
            </w:r>
            <w:r>
              <w:rPr>
                <w:color w:val="FFFFFF"/>
                <w:spacing w:val="-6"/>
                <w:sz w:val="20"/>
              </w:rPr>
              <w:t> </w:t>
            </w:r>
            <w:r>
              <w:rPr>
                <w:color w:val="FFFFFF"/>
                <w:spacing w:val="-2"/>
                <w:sz w:val="20"/>
              </w:rPr>
              <w:t>Operation)</w:t>
            </w:r>
          </w:p>
        </w:tc>
        <w:tc>
          <w:tcPr>
            <w:tcW w:w="3980" w:type="dxa"/>
            <w:tcBorders>
              <w:bottom w:val="nil"/>
            </w:tcBorders>
            <w:shd w:val="clear" w:color="auto" w:fill="2E5395"/>
          </w:tcPr>
          <w:p>
            <w:pPr>
              <w:pStyle w:val="TableParagraph"/>
              <w:spacing w:before="58"/>
              <w:ind w:left="108"/>
              <w:rPr>
                <w:b/>
                <w:sz w:val="20"/>
              </w:rPr>
            </w:pPr>
            <w:r>
              <w:rPr>
                <w:b/>
                <w:color w:val="FFFFFF"/>
                <w:spacing w:val="-2"/>
                <w:sz w:val="20"/>
              </w:rPr>
              <w:t>Impact</w:t>
            </w:r>
          </w:p>
        </w:tc>
      </w:tr>
      <w:tr>
        <w:trPr>
          <w:trHeight w:val="3662" w:hRule="atLeast"/>
        </w:trPr>
        <w:tc>
          <w:tcPr>
            <w:tcW w:w="11329" w:type="dxa"/>
            <w:gridSpan w:val="3"/>
            <w:tcBorders>
              <w:top w:val="nil"/>
              <w:bottom w:val="nil"/>
            </w:tcBorders>
          </w:tcPr>
          <w:p>
            <w:pPr>
              <w:pStyle w:val="TableParagraph"/>
              <w:spacing w:before="175"/>
              <w:ind w:left="107" w:right="95"/>
              <w:jc w:val="both"/>
              <w:rPr>
                <w:sz w:val="20"/>
              </w:rPr>
            </w:pPr>
            <w:r>
              <w:rPr>
                <w:sz w:val="20"/>
              </w:rPr>
              <w:t>Sample</w:t>
            </w:r>
            <w:r>
              <w:rPr>
                <w:spacing w:val="-1"/>
                <w:sz w:val="20"/>
              </w:rPr>
              <w:t> </w:t>
            </w:r>
            <w:r>
              <w:rPr>
                <w:sz w:val="20"/>
              </w:rPr>
              <w:t>testing of 110 non-purchase</w:t>
            </w:r>
            <w:r>
              <w:rPr>
                <w:spacing w:val="-1"/>
                <w:sz w:val="20"/>
              </w:rPr>
              <w:t> </w:t>
            </w:r>
            <w:r>
              <w:rPr>
                <w:sz w:val="20"/>
              </w:rPr>
              <w:t>order</w:t>
            </w:r>
            <w:r>
              <w:rPr>
                <w:spacing w:val="-1"/>
                <w:sz w:val="20"/>
              </w:rPr>
              <w:t> </w:t>
            </w:r>
            <w:r>
              <w:rPr>
                <w:sz w:val="20"/>
              </w:rPr>
              <w:t>invoices/payments confirmed that all were</w:t>
            </w:r>
            <w:r>
              <w:rPr>
                <w:spacing w:val="-1"/>
                <w:sz w:val="20"/>
              </w:rPr>
              <w:t> </w:t>
            </w:r>
            <w:r>
              <w:rPr>
                <w:sz w:val="20"/>
              </w:rPr>
              <w:t>supported by an official invoice/request for payment, recorded against the correct supplier and for the correct amount. The following exceptions</w:t>
            </w:r>
            <w:r>
              <w:rPr>
                <w:spacing w:val="-6"/>
                <w:sz w:val="20"/>
              </w:rPr>
              <w:t> </w:t>
            </w:r>
            <w:r>
              <w:rPr>
                <w:sz w:val="20"/>
              </w:rPr>
              <w:t>were</w:t>
            </w:r>
            <w:r>
              <w:rPr>
                <w:spacing w:val="-7"/>
                <w:sz w:val="20"/>
              </w:rPr>
              <w:t> </w:t>
            </w:r>
            <w:r>
              <w:rPr>
                <w:sz w:val="20"/>
              </w:rPr>
              <w:t>identified</w:t>
            </w:r>
            <w:r>
              <w:rPr>
                <w:spacing w:val="-7"/>
                <w:sz w:val="20"/>
              </w:rPr>
              <w:t> </w:t>
            </w:r>
            <w:r>
              <w:rPr>
                <w:sz w:val="20"/>
              </w:rPr>
              <w:t>in</w:t>
            </w:r>
            <w:r>
              <w:rPr>
                <w:spacing w:val="-5"/>
                <w:sz w:val="20"/>
              </w:rPr>
              <w:t> </w:t>
            </w:r>
            <w:r>
              <w:rPr>
                <w:sz w:val="20"/>
              </w:rPr>
              <w:t>relation</w:t>
            </w:r>
            <w:r>
              <w:rPr>
                <w:spacing w:val="-7"/>
                <w:sz w:val="20"/>
              </w:rPr>
              <w:t> </w:t>
            </w:r>
            <w:r>
              <w:rPr>
                <w:sz w:val="20"/>
              </w:rPr>
              <w:t>to</w:t>
            </w:r>
            <w:r>
              <w:rPr>
                <w:spacing w:val="-9"/>
                <w:sz w:val="20"/>
              </w:rPr>
              <w:t> </w:t>
            </w:r>
            <w:r>
              <w:rPr>
                <w:sz w:val="20"/>
              </w:rPr>
              <w:t>authorisation</w:t>
            </w:r>
            <w:r>
              <w:rPr>
                <w:spacing w:val="-7"/>
                <w:sz w:val="20"/>
              </w:rPr>
              <w:t> </w:t>
            </w:r>
            <w:r>
              <w:rPr>
                <w:sz w:val="20"/>
              </w:rPr>
              <w:t>to</w:t>
            </w:r>
            <w:r>
              <w:rPr>
                <w:spacing w:val="-1"/>
                <w:sz w:val="20"/>
              </w:rPr>
              <w:t> </w:t>
            </w:r>
            <w:r>
              <w:rPr>
                <w:sz w:val="20"/>
              </w:rPr>
              <w:t>pay,</w:t>
            </w:r>
            <w:r>
              <w:rPr>
                <w:spacing w:val="-6"/>
                <w:sz w:val="20"/>
              </w:rPr>
              <w:t> </w:t>
            </w:r>
            <w:r>
              <w:rPr>
                <w:sz w:val="20"/>
              </w:rPr>
              <w:t>although</w:t>
            </w:r>
            <w:r>
              <w:rPr>
                <w:spacing w:val="-5"/>
                <w:sz w:val="20"/>
              </w:rPr>
              <w:t> </w:t>
            </w:r>
            <w:r>
              <w:rPr>
                <w:sz w:val="20"/>
              </w:rPr>
              <w:t>we</w:t>
            </w:r>
            <w:r>
              <w:rPr>
                <w:spacing w:val="-7"/>
                <w:sz w:val="20"/>
              </w:rPr>
              <w:t> </w:t>
            </w:r>
            <w:r>
              <w:rPr>
                <w:sz w:val="20"/>
              </w:rPr>
              <w:t>recognise</w:t>
            </w:r>
            <w:r>
              <w:rPr>
                <w:spacing w:val="-8"/>
                <w:sz w:val="20"/>
              </w:rPr>
              <w:t> </w:t>
            </w:r>
            <w:r>
              <w:rPr>
                <w:sz w:val="20"/>
              </w:rPr>
              <w:t>that</w:t>
            </w:r>
            <w:r>
              <w:rPr>
                <w:spacing w:val="-7"/>
                <w:sz w:val="20"/>
              </w:rPr>
              <w:t> </w:t>
            </w:r>
            <w:r>
              <w:rPr>
                <w:sz w:val="20"/>
              </w:rPr>
              <w:t>Accounts</w:t>
            </w:r>
            <w:r>
              <w:rPr>
                <w:spacing w:val="-9"/>
                <w:sz w:val="20"/>
              </w:rPr>
              <w:t> </w:t>
            </w:r>
            <w:r>
              <w:rPr>
                <w:sz w:val="20"/>
              </w:rPr>
              <w:t>Payable</w:t>
            </w:r>
            <w:r>
              <w:rPr>
                <w:spacing w:val="-7"/>
                <w:sz w:val="20"/>
              </w:rPr>
              <w:t> </w:t>
            </w:r>
            <w:r>
              <w:rPr>
                <w:sz w:val="20"/>
              </w:rPr>
              <w:t>are reliant on health bodies to maintain their authorised signatory lists:</w:t>
            </w:r>
          </w:p>
          <w:p>
            <w:pPr>
              <w:pStyle w:val="TableParagraph"/>
              <w:numPr>
                <w:ilvl w:val="0"/>
                <w:numId w:val="25"/>
              </w:numPr>
              <w:tabs>
                <w:tab w:pos="703" w:val="left" w:leader="none"/>
              </w:tabs>
              <w:spacing w:line="240" w:lineRule="auto" w:before="121" w:after="0"/>
              <w:ind w:left="703" w:right="0" w:hanging="284"/>
              <w:jc w:val="both"/>
              <w:rPr>
                <w:sz w:val="20"/>
              </w:rPr>
            </w:pPr>
            <w:r>
              <w:rPr>
                <w:sz w:val="20"/>
              </w:rPr>
              <w:t>three</w:t>
            </w:r>
            <w:r>
              <w:rPr>
                <w:spacing w:val="-6"/>
                <w:sz w:val="20"/>
              </w:rPr>
              <w:t> </w:t>
            </w:r>
            <w:r>
              <w:rPr>
                <w:sz w:val="20"/>
              </w:rPr>
              <w:t>occasions</w:t>
            </w:r>
            <w:r>
              <w:rPr>
                <w:spacing w:val="-5"/>
                <w:sz w:val="20"/>
              </w:rPr>
              <w:t> </w:t>
            </w:r>
            <w:r>
              <w:rPr>
                <w:sz w:val="20"/>
              </w:rPr>
              <w:t>where</w:t>
            </w:r>
            <w:r>
              <w:rPr>
                <w:spacing w:val="-7"/>
                <w:sz w:val="20"/>
              </w:rPr>
              <w:t> </w:t>
            </w:r>
            <w:r>
              <w:rPr>
                <w:sz w:val="20"/>
              </w:rPr>
              <w:t>the</w:t>
            </w:r>
            <w:r>
              <w:rPr>
                <w:spacing w:val="-8"/>
                <w:sz w:val="20"/>
              </w:rPr>
              <w:t> </w:t>
            </w:r>
            <w:r>
              <w:rPr>
                <w:sz w:val="20"/>
              </w:rPr>
              <w:t>approver</w:t>
            </w:r>
            <w:r>
              <w:rPr>
                <w:spacing w:val="-5"/>
                <w:sz w:val="20"/>
              </w:rPr>
              <w:t> </w:t>
            </w:r>
            <w:r>
              <w:rPr>
                <w:sz w:val="20"/>
              </w:rPr>
              <w:t>was</w:t>
            </w:r>
            <w:r>
              <w:rPr>
                <w:spacing w:val="-6"/>
                <w:sz w:val="20"/>
              </w:rPr>
              <w:t> </w:t>
            </w:r>
            <w:r>
              <w:rPr>
                <w:sz w:val="20"/>
              </w:rPr>
              <w:t>not</w:t>
            </w:r>
            <w:r>
              <w:rPr>
                <w:spacing w:val="-7"/>
                <w:sz w:val="20"/>
              </w:rPr>
              <w:t> </w:t>
            </w:r>
            <w:r>
              <w:rPr>
                <w:sz w:val="20"/>
              </w:rPr>
              <w:t>identified</w:t>
            </w:r>
            <w:r>
              <w:rPr>
                <w:spacing w:val="-6"/>
                <w:sz w:val="20"/>
              </w:rPr>
              <w:t> </w:t>
            </w:r>
            <w:r>
              <w:rPr>
                <w:sz w:val="20"/>
              </w:rPr>
              <w:t>on</w:t>
            </w:r>
            <w:r>
              <w:rPr>
                <w:spacing w:val="-6"/>
                <w:sz w:val="20"/>
              </w:rPr>
              <w:t> </w:t>
            </w:r>
            <w:r>
              <w:rPr>
                <w:sz w:val="20"/>
              </w:rPr>
              <w:t>the</w:t>
            </w:r>
            <w:r>
              <w:rPr>
                <w:spacing w:val="-7"/>
                <w:sz w:val="20"/>
              </w:rPr>
              <w:t> </w:t>
            </w:r>
            <w:r>
              <w:rPr>
                <w:sz w:val="20"/>
              </w:rPr>
              <w:t>respective</w:t>
            </w:r>
            <w:r>
              <w:rPr>
                <w:spacing w:val="-6"/>
                <w:sz w:val="20"/>
              </w:rPr>
              <w:t> </w:t>
            </w:r>
            <w:r>
              <w:rPr>
                <w:sz w:val="20"/>
              </w:rPr>
              <w:t>authorised</w:t>
            </w:r>
            <w:r>
              <w:rPr>
                <w:spacing w:val="-6"/>
                <w:sz w:val="20"/>
              </w:rPr>
              <w:t> </w:t>
            </w:r>
            <w:r>
              <w:rPr>
                <w:sz w:val="20"/>
              </w:rPr>
              <w:t>signatory</w:t>
            </w:r>
            <w:r>
              <w:rPr>
                <w:spacing w:val="-6"/>
                <w:sz w:val="20"/>
              </w:rPr>
              <w:t> </w:t>
            </w:r>
            <w:r>
              <w:rPr>
                <w:sz w:val="20"/>
              </w:rPr>
              <w:t>list;</w:t>
            </w:r>
            <w:r>
              <w:rPr>
                <w:spacing w:val="-6"/>
                <w:sz w:val="20"/>
              </w:rPr>
              <w:t> </w:t>
            </w:r>
            <w:r>
              <w:rPr>
                <w:spacing w:val="-5"/>
                <w:sz w:val="20"/>
              </w:rPr>
              <w:t>and</w:t>
            </w:r>
          </w:p>
          <w:p>
            <w:pPr>
              <w:pStyle w:val="TableParagraph"/>
              <w:numPr>
                <w:ilvl w:val="0"/>
                <w:numId w:val="25"/>
              </w:numPr>
              <w:tabs>
                <w:tab w:pos="703" w:val="left" w:leader="none"/>
              </w:tabs>
              <w:spacing w:line="240" w:lineRule="auto" w:before="121" w:after="0"/>
              <w:ind w:left="703" w:right="0" w:hanging="284"/>
              <w:jc w:val="both"/>
              <w:rPr>
                <w:sz w:val="20"/>
              </w:rPr>
            </w:pPr>
            <w:r>
              <w:rPr>
                <w:sz w:val="20"/>
              </w:rPr>
              <w:t>in</w:t>
            </w:r>
            <w:r>
              <w:rPr>
                <w:spacing w:val="-6"/>
                <w:sz w:val="20"/>
              </w:rPr>
              <w:t> </w:t>
            </w:r>
            <w:r>
              <w:rPr>
                <w:sz w:val="20"/>
              </w:rPr>
              <w:t>four</w:t>
            </w:r>
            <w:r>
              <w:rPr>
                <w:spacing w:val="-5"/>
                <w:sz w:val="20"/>
              </w:rPr>
              <w:t> </w:t>
            </w:r>
            <w:r>
              <w:rPr>
                <w:sz w:val="20"/>
              </w:rPr>
              <w:t>cases</w:t>
            </w:r>
            <w:r>
              <w:rPr>
                <w:spacing w:val="-5"/>
                <w:sz w:val="20"/>
              </w:rPr>
              <w:t> </w:t>
            </w:r>
            <w:r>
              <w:rPr>
                <w:sz w:val="20"/>
              </w:rPr>
              <w:t>the</w:t>
            </w:r>
            <w:r>
              <w:rPr>
                <w:spacing w:val="-8"/>
                <w:sz w:val="20"/>
              </w:rPr>
              <w:t> </w:t>
            </w:r>
            <w:r>
              <w:rPr>
                <w:sz w:val="20"/>
              </w:rPr>
              <w:t>invoice</w:t>
            </w:r>
            <w:r>
              <w:rPr>
                <w:spacing w:val="-6"/>
                <w:sz w:val="20"/>
              </w:rPr>
              <w:t> </w:t>
            </w:r>
            <w:r>
              <w:rPr>
                <w:sz w:val="20"/>
              </w:rPr>
              <w:t>value</w:t>
            </w:r>
            <w:r>
              <w:rPr>
                <w:spacing w:val="-6"/>
                <w:sz w:val="20"/>
              </w:rPr>
              <w:t> </w:t>
            </w:r>
            <w:r>
              <w:rPr>
                <w:sz w:val="20"/>
              </w:rPr>
              <w:t>exceeded</w:t>
            </w:r>
            <w:r>
              <w:rPr>
                <w:spacing w:val="-4"/>
                <w:sz w:val="20"/>
              </w:rPr>
              <w:t> </w:t>
            </w:r>
            <w:r>
              <w:rPr>
                <w:sz w:val="20"/>
              </w:rPr>
              <w:t>the</w:t>
            </w:r>
            <w:r>
              <w:rPr>
                <w:spacing w:val="-8"/>
                <w:sz w:val="20"/>
              </w:rPr>
              <w:t> </w:t>
            </w:r>
            <w:r>
              <w:rPr>
                <w:sz w:val="20"/>
              </w:rPr>
              <w:t>approvers</w:t>
            </w:r>
            <w:r>
              <w:rPr>
                <w:spacing w:val="-5"/>
                <w:sz w:val="20"/>
              </w:rPr>
              <w:t> </w:t>
            </w:r>
            <w:r>
              <w:rPr>
                <w:sz w:val="20"/>
              </w:rPr>
              <w:t>financial</w:t>
            </w:r>
            <w:r>
              <w:rPr>
                <w:spacing w:val="-6"/>
                <w:sz w:val="20"/>
              </w:rPr>
              <w:t> </w:t>
            </w:r>
            <w:r>
              <w:rPr>
                <w:spacing w:val="-2"/>
                <w:sz w:val="20"/>
              </w:rPr>
              <w:t>limit.</w:t>
            </w:r>
          </w:p>
          <w:p>
            <w:pPr>
              <w:pStyle w:val="TableParagraph"/>
              <w:spacing w:before="120"/>
              <w:ind w:left="107" w:right="97"/>
              <w:jc w:val="both"/>
              <w:rPr>
                <w:sz w:val="20"/>
              </w:rPr>
            </w:pPr>
            <w:r>
              <w:rPr>
                <w:sz w:val="20"/>
              </w:rPr>
              <w:t>The AP Team are reliant on health bodies maintaining their authorised signatory lists, which vary significantly in</w:t>
            </w:r>
            <w:r>
              <w:rPr>
                <w:spacing w:val="-8"/>
                <w:sz w:val="20"/>
              </w:rPr>
              <w:t> </w:t>
            </w:r>
            <w:r>
              <w:rPr>
                <w:sz w:val="20"/>
              </w:rPr>
              <w:t>terms</w:t>
            </w:r>
            <w:r>
              <w:rPr>
                <w:spacing w:val="-7"/>
                <w:sz w:val="20"/>
              </w:rPr>
              <w:t> </w:t>
            </w:r>
            <w:r>
              <w:rPr>
                <w:sz w:val="20"/>
              </w:rPr>
              <w:t>of</w:t>
            </w:r>
            <w:r>
              <w:rPr>
                <w:spacing w:val="-7"/>
                <w:sz w:val="20"/>
              </w:rPr>
              <w:t> </w:t>
            </w:r>
            <w:r>
              <w:rPr>
                <w:sz w:val="20"/>
              </w:rPr>
              <w:t>accessibility</w:t>
            </w:r>
            <w:r>
              <w:rPr>
                <w:spacing w:val="-7"/>
                <w:sz w:val="20"/>
              </w:rPr>
              <w:t> </w:t>
            </w:r>
            <w:r>
              <w:rPr>
                <w:sz w:val="20"/>
              </w:rPr>
              <w:t>for</w:t>
            </w:r>
            <w:r>
              <w:rPr>
                <w:spacing w:val="-8"/>
                <w:sz w:val="20"/>
              </w:rPr>
              <w:t> </w:t>
            </w:r>
            <w:r>
              <w:rPr>
                <w:sz w:val="20"/>
              </w:rPr>
              <w:t>AP,</w:t>
            </w:r>
            <w:r>
              <w:rPr>
                <w:spacing w:val="-7"/>
                <w:sz w:val="20"/>
              </w:rPr>
              <w:t> </w:t>
            </w:r>
            <w:r>
              <w:rPr>
                <w:sz w:val="20"/>
              </w:rPr>
              <w:t>format</w:t>
            </w:r>
            <w:r>
              <w:rPr>
                <w:spacing w:val="-8"/>
                <w:sz w:val="20"/>
              </w:rPr>
              <w:t> </w:t>
            </w:r>
            <w:r>
              <w:rPr>
                <w:sz w:val="20"/>
              </w:rPr>
              <w:t>and</w:t>
            </w:r>
            <w:r>
              <w:rPr>
                <w:spacing w:val="-8"/>
                <w:sz w:val="20"/>
              </w:rPr>
              <w:t> </w:t>
            </w:r>
            <w:r>
              <w:rPr>
                <w:sz w:val="20"/>
              </w:rPr>
              <w:t>level</w:t>
            </w:r>
            <w:r>
              <w:rPr>
                <w:spacing w:val="-6"/>
                <w:sz w:val="20"/>
              </w:rPr>
              <w:t> </w:t>
            </w:r>
            <w:r>
              <w:rPr>
                <w:sz w:val="20"/>
              </w:rPr>
              <w:t>of</w:t>
            </w:r>
            <w:r>
              <w:rPr>
                <w:spacing w:val="-9"/>
                <w:sz w:val="20"/>
              </w:rPr>
              <w:t> </w:t>
            </w:r>
            <w:r>
              <w:rPr>
                <w:sz w:val="20"/>
              </w:rPr>
              <w:t>detail.</w:t>
            </w:r>
            <w:r>
              <w:rPr>
                <w:spacing w:val="-4"/>
                <w:sz w:val="20"/>
              </w:rPr>
              <w:t> </w:t>
            </w:r>
            <w:r>
              <w:rPr>
                <w:sz w:val="20"/>
              </w:rPr>
              <w:t>Oracle</w:t>
            </w:r>
            <w:r>
              <w:rPr>
                <w:spacing w:val="-10"/>
                <w:sz w:val="20"/>
              </w:rPr>
              <w:t> </w:t>
            </w:r>
            <w:r>
              <w:rPr>
                <w:sz w:val="20"/>
              </w:rPr>
              <w:t>has</w:t>
            </w:r>
            <w:r>
              <w:rPr>
                <w:spacing w:val="-7"/>
                <w:sz w:val="20"/>
              </w:rPr>
              <w:t> </w:t>
            </w:r>
            <w:r>
              <w:rPr>
                <w:sz w:val="20"/>
              </w:rPr>
              <w:t>an</w:t>
            </w:r>
            <w:r>
              <w:rPr>
                <w:spacing w:val="-8"/>
                <w:sz w:val="20"/>
              </w:rPr>
              <w:t> </w:t>
            </w:r>
            <w:r>
              <w:rPr>
                <w:sz w:val="20"/>
              </w:rPr>
              <w:t>invoice</w:t>
            </w:r>
            <w:r>
              <w:rPr>
                <w:spacing w:val="-10"/>
                <w:sz w:val="20"/>
              </w:rPr>
              <w:t> </w:t>
            </w:r>
            <w:r>
              <w:rPr>
                <w:sz w:val="20"/>
              </w:rPr>
              <w:t>approval</w:t>
            </w:r>
            <w:r>
              <w:rPr>
                <w:spacing w:val="-9"/>
                <w:sz w:val="20"/>
              </w:rPr>
              <w:t> </w:t>
            </w:r>
            <w:r>
              <w:rPr>
                <w:sz w:val="20"/>
              </w:rPr>
              <w:t>workflow</w:t>
            </w:r>
            <w:r>
              <w:rPr>
                <w:spacing w:val="-9"/>
                <w:sz w:val="20"/>
              </w:rPr>
              <w:t> </w:t>
            </w:r>
            <w:r>
              <w:rPr>
                <w:sz w:val="20"/>
              </w:rPr>
              <w:t>which</w:t>
            </w:r>
            <w:r>
              <w:rPr>
                <w:spacing w:val="-8"/>
                <w:sz w:val="20"/>
              </w:rPr>
              <w:t> </w:t>
            </w:r>
            <w:r>
              <w:rPr>
                <w:sz w:val="20"/>
              </w:rPr>
              <w:t>offers efficiency and a more robust approval mechanism through system automation and application of the organisations approval hierarchy. Following an initial pilot exercise, it was adopted by Digital Health &amp; Care Wales (DHCW) in 2020. Further implementation across NHS Wales requires agreement from the participating organisations and should be explored at the Finance Academy P2P Group.</w:t>
            </w:r>
          </w:p>
        </w:tc>
        <w:tc>
          <w:tcPr>
            <w:tcW w:w="3980" w:type="dxa"/>
            <w:tcBorders>
              <w:top w:val="nil"/>
              <w:bottom w:val="nil"/>
            </w:tcBorders>
          </w:tcPr>
          <w:p>
            <w:pPr>
              <w:pStyle w:val="TableParagraph"/>
              <w:spacing w:before="55"/>
              <w:ind w:left="108"/>
              <w:rPr>
                <w:sz w:val="20"/>
              </w:rPr>
            </w:pPr>
            <w:r>
              <w:rPr>
                <w:sz w:val="20"/>
              </w:rPr>
              <w:t>Potential</w:t>
            </w:r>
            <w:r>
              <w:rPr>
                <w:spacing w:val="-6"/>
                <w:sz w:val="20"/>
              </w:rPr>
              <w:t> </w:t>
            </w:r>
            <w:r>
              <w:rPr>
                <w:sz w:val="20"/>
              </w:rPr>
              <w:t>risk</w:t>
            </w:r>
            <w:r>
              <w:rPr>
                <w:spacing w:val="-8"/>
                <w:sz w:val="20"/>
              </w:rPr>
              <w:t> </w:t>
            </w:r>
            <w:r>
              <w:rPr>
                <w:spacing w:val="-5"/>
                <w:sz w:val="20"/>
              </w:rPr>
              <w:t>of:</w:t>
            </w:r>
          </w:p>
          <w:p>
            <w:pPr>
              <w:pStyle w:val="TableParagraph"/>
              <w:numPr>
                <w:ilvl w:val="0"/>
                <w:numId w:val="26"/>
              </w:numPr>
              <w:tabs>
                <w:tab w:pos="468" w:val="left" w:leader="none"/>
                <w:tab w:pos="469" w:val="left" w:leader="none"/>
              </w:tabs>
              <w:spacing w:line="240" w:lineRule="auto" w:before="180" w:after="0"/>
              <w:ind w:left="468" w:right="140" w:hanging="360"/>
              <w:jc w:val="left"/>
              <w:rPr>
                <w:sz w:val="20"/>
              </w:rPr>
            </w:pPr>
            <w:r>
              <w:rPr>
                <w:sz w:val="20"/>
              </w:rPr>
              <w:t>Payments</w:t>
            </w:r>
            <w:r>
              <w:rPr>
                <w:spacing w:val="-7"/>
                <w:sz w:val="20"/>
              </w:rPr>
              <w:t> </w:t>
            </w:r>
            <w:r>
              <w:rPr>
                <w:sz w:val="20"/>
              </w:rPr>
              <w:t>are</w:t>
            </w:r>
            <w:r>
              <w:rPr>
                <w:spacing w:val="-9"/>
                <w:sz w:val="20"/>
              </w:rPr>
              <w:t> </w:t>
            </w:r>
            <w:r>
              <w:rPr>
                <w:sz w:val="20"/>
              </w:rPr>
              <w:t>made</w:t>
            </w:r>
            <w:r>
              <w:rPr>
                <w:spacing w:val="-9"/>
                <w:sz w:val="20"/>
              </w:rPr>
              <w:t> </w:t>
            </w:r>
            <w:r>
              <w:rPr>
                <w:sz w:val="20"/>
              </w:rPr>
              <w:t>to</w:t>
            </w:r>
            <w:r>
              <w:rPr>
                <w:spacing w:val="-9"/>
                <w:sz w:val="20"/>
              </w:rPr>
              <w:t> </w:t>
            </w:r>
            <w:r>
              <w:rPr>
                <w:sz w:val="20"/>
              </w:rPr>
              <w:t>the</w:t>
            </w:r>
            <w:r>
              <w:rPr>
                <w:spacing w:val="-9"/>
                <w:sz w:val="20"/>
              </w:rPr>
              <w:t> </w:t>
            </w:r>
            <w:r>
              <w:rPr>
                <w:sz w:val="20"/>
              </w:rPr>
              <w:t>wron</w:t>
            </w:r>
            <w:r>
              <w:rPr>
                <w:sz w:val="20"/>
              </w:rPr>
              <w:t>g</w:t>
            </w:r>
            <w:r>
              <w:rPr>
                <w:sz w:val="20"/>
              </w:rPr>
              <w:t> supplier or the wrong amount </w:t>
            </w:r>
            <w:r>
              <w:rPr>
                <w:spacing w:val="-2"/>
                <w:sz w:val="20"/>
              </w:rPr>
              <w:t>paid;</w:t>
            </w:r>
          </w:p>
          <w:p>
            <w:pPr>
              <w:pStyle w:val="TableParagraph"/>
              <w:numPr>
                <w:ilvl w:val="0"/>
                <w:numId w:val="26"/>
              </w:numPr>
              <w:tabs>
                <w:tab w:pos="468" w:val="left" w:leader="none"/>
                <w:tab w:pos="469" w:val="left" w:leader="none"/>
              </w:tabs>
              <w:spacing w:line="237" w:lineRule="auto" w:before="1" w:after="0"/>
              <w:ind w:left="468" w:right="234" w:hanging="360"/>
              <w:jc w:val="left"/>
              <w:rPr>
                <w:sz w:val="20"/>
              </w:rPr>
            </w:pPr>
            <w:r>
              <w:rPr>
                <w:sz w:val="20"/>
              </w:rPr>
              <w:t>Payments</w:t>
            </w:r>
            <w:r>
              <w:rPr>
                <w:spacing w:val="-9"/>
                <w:sz w:val="20"/>
              </w:rPr>
              <w:t> </w:t>
            </w:r>
            <w:r>
              <w:rPr>
                <w:sz w:val="20"/>
              </w:rPr>
              <w:t>are</w:t>
            </w:r>
            <w:r>
              <w:rPr>
                <w:spacing w:val="-12"/>
                <w:sz w:val="20"/>
              </w:rPr>
              <w:t> </w:t>
            </w:r>
            <w:r>
              <w:rPr>
                <w:sz w:val="20"/>
              </w:rPr>
              <w:t>made</w:t>
            </w:r>
            <w:r>
              <w:rPr>
                <w:spacing w:val="-12"/>
                <w:sz w:val="20"/>
              </w:rPr>
              <w:t> </w:t>
            </w:r>
            <w:r>
              <w:rPr>
                <w:sz w:val="20"/>
              </w:rPr>
              <w:t>without</w:t>
            </w:r>
            <w:r>
              <w:rPr>
                <w:spacing w:val="-10"/>
                <w:sz w:val="20"/>
              </w:rPr>
              <w:t> </w:t>
            </w:r>
            <w:r>
              <w:rPr>
                <w:sz w:val="20"/>
              </w:rPr>
              <w:t>due</w:t>
            </w:r>
            <w:r>
              <w:rPr>
                <w:sz w:val="20"/>
              </w:rPr>
              <w:t> authority; and</w:t>
            </w:r>
          </w:p>
          <w:p>
            <w:pPr>
              <w:pStyle w:val="TableParagraph"/>
              <w:numPr>
                <w:ilvl w:val="0"/>
                <w:numId w:val="26"/>
              </w:numPr>
              <w:tabs>
                <w:tab w:pos="468" w:val="left" w:leader="none"/>
                <w:tab w:pos="469" w:val="left" w:leader="none"/>
              </w:tabs>
              <w:spacing w:line="240" w:lineRule="auto" w:before="2" w:after="0"/>
              <w:ind w:left="468" w:right="0" w:hanging="361"/>
              <w:jc w:val="left"/>
              <w:rPr>
                <w:sz w:val="20"/>
              </w:rPr>
            </w:pPr>
            <w:r>
              <w:rPr>
                <w:spacing w:val="-2"/>
                <w:sz w:val="20"/>
              </w:rPr>
              <w:t>Fraud.</w:t>
            </w:r>
          </w:p>
        </w:tc>
      </w:tr>
      <w:tr>
        <w:trPr>
          <w:trHeight w:val="485" w:hRule="atLeast"/>
        </w:trPr>
        <w:tc>
          <w:tcPr>
            <w:tcW w:w="11329" w:type="dxa"/>
            <w:gridSpan w:val="3"/>
            <w:tcBorders>
              <w:top w:val="nil"/>
              <w:bottom w:val="nil"/>
            </w:tcBorders>
            <w:shd w:val="clear" w:color="auto" w:fill="2E5395"/>
          </w:tcPr>
          <w:p>
            <w:pPr>
              <w:pStyle w:val="TableParagraph"/>
              <w:spacing w:before="58"/>
              <w:ind w:left="107"/>
              <w:rPr>
                <w:b/>
                <w:sz w:val="20"/>
              </w:rPr>
            </w:pPr>
            <w:r>
              <w:rPr>
                <w:b/>
                <w:color w:val="FFFFFF"/>
                <w:spacing w:val="-2"/>
                <w:sz w:val="20"/>
              </w:rPr>
              <w:t>Recommendations</w:t>
            </w:r>
          </w:p>
        </w:tc>
        <w:tc>
          <w:tcPr>
            <w:tcW w:w="3980" w:type="dxa"/>
            <w:tcBorders>
              <w:top w:val="nil"/>
              <w:bottom w:val="nil"/>
            </w:tcBorders>
            <w:shd w:val="clear" w:color="auto" w:fill="2E5395"/>
          </w:tcPr>
          <w:p>
            <w:pPr>
              <w:pStyle w:val="TableParagraph"/>
              <w:spacing w:before="58"/>
              <w:ind w:left="1530" w:right="1523"/>
              <w:jc w:val="center"/>
              <w:rPr>
                <w:b/>
                <w:sz w:val="20"/>
              </w:rPr>
            </w:pPr>
            <w:r>
              <w:rPr>
                <w:b/>
                <w:color w:val="FFFFFF"/>
                <w:spacing w:val="-2"/>
                <w:sz w:val="20"/>
              </w:rPr>
              <w:t>Priority</w:t>
            </w:r>
          </w:p>
        </w:tc>
      </w:tr>
      <w:tr>
        <w:trPr>
          <w:trHeight w:val="1365" w:hRule="atLeast"/>
        </w:trPr>
        <w:tc>
          <w:tcPr>
            <w:tcW w:w="991" w:type="dxa"/>
            <w:tcBorders>
              <w:top w:val="nil"/>
            </w:tcBorders>
          </w:tcPr>
          <w:p>
            <w:pPr>
              <w:pStyle w:val="TableParagraph"/>
              <w:spacing w:before="58"/>
              <w:ind w:left="317" w:right="311"/>
              <w:jc w:val="center"/>
              <w:rPr>
                <w:sz w:val="20"/>
              </w:rPr>
            </w:pPr>
            <w:r>
              <w:rPr>
                <w:spacing w:val="-5"/>
                <w:sz w:val="20"/>
              </w:rPr>
              <w:t>2.1</w:t>
            </w:r>
          </w:p>
        </w:tc>
        <w:tc>
          <w:tcPr>
            <w:tcW w:w="10338" w:type="dxa"/>
            <w:gridSpan w:val="2"/>
            <w:tcBorders>
              <w:top w:val="nil"/>
            </w:tcBorders>
          </w:tcPr>
          <w:p>
            <w:pPr>
              <w:pStyle w:val="TableParagraph"/>
              <w:spacing w:before="58"/>
              <w:ind w:left="148"/>
              <w:jc w:val="both"/>
              <w:rPr>
                <w:i/>
                <w:sz w:val="20"/>
              </w:rPr>
            </w:pPr>
            <w:r>
              <w:rPr>
                <w:i/>
                <w:sz w:val="20"/>
              </w:rPr>
              <w:t>Reiterated</w:t>
            </w:r>
            <w:r>
              <w:rPr>
                <w:i/>
                <w:spacing w:val="-9"/>
                <w:sz w:val="20"/>
              </w:rPr>
              <w:t> </w:t>
            </w:r>
            <w:r>
              <w:rPr>
                <w:i/>
                <w:sz w:val="20"/>
              </w:rPr>
              <w:t>from</w:t>
            </w:r>
            <w:r>
              <w:rPr>
                <w:i/>
                <w:spacing w:val="-9"/>
                <w:sz w:val="20"/>
              </w:rPr>
              <w:t> </w:t>
            </w:r>
            <w:r>
              <w:rPr>
                <w:i/>
                <w:sz w:val="20"/>
              </w:rPr>
              <w:t>2021/22</w:t>
            </w:r>
            <w:r>
              <w:rPr>
                <w:i/>
                <w:spacing w:val="-10"/>
                <w:sz w:val="20"/>
              </w:rPr>
              <w:t> </w:t>
            </w:r>
            <w:r>
              <w:rPr>
                <w:i/>
                <w:spacing w:val="-2"/>
                <w:sz w:val="20"/>
              </w:rPr>
              <w:t>audit:</w:t>
            </w:r>
          </w:p>
          <w:p>
            <w:pPr>
              <w:pStyle w:val="TableParagraph"/>
              <w:spacing w:line="276" w:lineRule="auto" w:before="196"/>
              <w:ind w:left="148" w:right="126"/>
              <w:jc w:val="both"/>
              <w:rPr>
                <w:sz w:val="20"/>
              </w:rPr>
            </w:pPr>
            <w:r>
              <w:rPr>
                <w:sz w:val="20"/>
              </w:rPr>
              <w:t>Invoices</w:t>
            </w:r>
            <w:r>
              <w:rPr>
                <w:spacing w:val="-5"/>
                <w:sz w:val="20"/>
              </w:rPr>
              <w:t> </w:t>
            </w:r>
            <w:r>
              <w:rPr>
                <w:sz w:val="20"/>
              </w:rPr>
              <w:t>or</w:t>
            </w:r>
            <w:r>
              <w:rPr>
                <w:spacing w:val="-8"/>
                <w:sz w:val="20"/>
              </w:rPr>
              <w:t> </w:t>
            </w:r>
            <w:r>
              <w:rPr>
                <w:sz w:val="20"/>
              </w:rPr>
              <w:t>requests</w:t>
            </w:r>
            <w:r>
              <w:rPr>
                <w:spacing w:val="-5"/>
                <w:sz w:val="20"/>
              </w:rPr>
              <w:t> </w:t>
            </w:r>
            <w:r>
              <w:rPr>
                <w:sz w:val="20"/>
              </w:rPr>
              <w:t>for</w:t>
            </w:r>
            <w:r>
              <w:rPr>
                <w:spacing w:val="-5"/>
                <w:sz w:val="20"/>
              </w:rPr>
              <w:t> </w:t>
            </w:r>
            <w:r>
              <w:rPr>
                <w:sz w:val="20"/>
              </w:rPr>
              <w:t>payment</w:t>
            </w:r>
            <w:r>
              <w:rPr>
                <w:spacing w:val="-6"/>
                <w:sz w:val="20"/>
              </w:rPr>
              <w:t> </w:t>
            </w:r>
            <w:r>
              <w:rPr>
                <w:sz w:val="20"/>
              </w:rPr>
              <w:t>that</w:t>
            </w:r>
            <w:r>
              <w:rPr>
                <w:spacing w:val="-6"/>
                <w:sz w:val="20"/>
              </w:rPr>
              <w:t> </w:t>
            </w:r>
            <w:r>
              <w:rPr>
                <w:sz w:val="20"/>
              </w:rPr>
              <w:t>have</w:t>
            </w:r>
            <w:r>
              <w:rPr>
                <w:spacing w:val="-6"/>
                <w:sz w:val="20"/>
              </w:rPr>
              <w:t> </w:t>
            </w:r>
            <w:r>
              <w:rPr>
                <w:sz w:val="20"/>
              </w:rPr>
              <w:t>not</w:t>
            </w:r>
            <w:r>
              <w:rPr>
                <w:spacing w:val="-3"/>
                <w:sz w:val="20"/>
              </w:rPr>
              <w:t> </w:t>
            </w:r>
            <w:r>
              <w:rPr>
                <w:sz w:val="20"/>
              </w:rPr>
              <w:t>been</w:t>
            </w:r>
            <w:r>
              <w:rPr>
                <w:spacing w:val="-6"/>
                <w:sz w:val="20"/>
              </w:rPr>
              <w:t> </w:t>
            </w:r>
            <w:r>
              <w:rPr>
                <w:sz w:val="20"/>
              </w:rPr>
              <w:t>approved</w:t>
            </w:r>
            <w:r>
              <w:rPr>
                <w:spacing w:val="-4"/>
                <w:sz w:val="20"/>
              </w:rPr>
              <w:t> </w:t>
            </w:r>
            <w:r>
              <w:rPr>
                <w:sz w:val="20"/>
              </w:rPr>
              <w:t>in</w:t>
            </w:r>
            <w:r>
              <w:rPr>
                <w:spacing w:val="-6"/>
                <w:sz w:val="20"/>
              </w:rPr>
              <w:t> </w:t>
            </w:r>
            <w:r>
              <w:rPr>
                <w:sz w:val="20"/>
              </w:rPr>
              <w:t>accordance</w:t>
            </w:r>
            <w:r>
              <w:rPr>
                <w:spacing w:val="-8"/>
                <w:sz w:val="20"/>
              </w:rPr>
              <w:t> </w:t>
            </w:r>
            <w:r>
              <w:rPr>
                <w:sz w:val="20"/>
              </w:rPr>
              <w:t>with</w:t>
            </w:r>
            <w:r>
              <w:rPr>
                <w:spacing w:val="-6"/>
                <w:sz w:val="20"/>
              </w:rPr>
              <w:t> </w:t>
            </w:r>
            <w:r>
              <w:rPr>
                <w:sz w:val="20"/>
              </w:rPr>
              <w:t>the</w:t>
            </w:r>
            <w:r>
              <w:rPr>
                <w:spacing w:val="-6"/>
                <w:sz w:val="20"/>
              </w:rPr>
              <w:t> </w:t>
            </w:r>
            <w:r>
              <w:rPr>
                <w:sz w:val="20"/>
              </w:rPr>
              <w:t>organisations purchase order hierarchy / authorised signatory list must be placed on hold and returned to the organisation for appropriate authorisation.</w:t>
            </w:r>
          </w:p>
        </w:tc>
        <w:tc>
          <w:tcPr>
            <w:tcW w:w="3980" w:type="dxa"/>
            <w:tcBorders>
              <w:top w:val="nil"/>
            </w:tcBorders>
            <w:shd w:val="clear" w:color="auto" w:fill="FFFF00"/>
          </w:tcPr>
          <w:p>
            <w:pPr>
              <w:pStyle w:val="TableParagraph"/>
              <w:rPr>
                <w:sz w:val="24"/>
              </w:rPr>
            </w:pPr>
          </w:p>
          <w:p>
            <w:pPr>
              <w:pStyle w:val="TableParagraph"/>
              <w:spacing w:before="3"/>
              <w:rPr>
                <w:sz w:val="22"/>
              </w:rPr>
            </w:pPr>
          </w:p>
          <w:p>
            <w:pPr>
              <w:pStyle w:val="TableParagraph"/>
              <w:ind w:left="1533" w:right="1523"/>
              <w:jc w:val="center"/>
              <w:rPr>
                <w:b/>
                <w:sz w:val="20"/>
              </w:rPr>
            </w:pPr>
            <w:r>
              <w:rPr>
                <w:b/>
                <w:spacing w:val="-2"/>
                <w:sz w:val="20"/>
              </w:rPr>
              <w:t>Medium</w:t>
            </w:r>
          </w:p>
        </w:tc>
      </w:tr>
      <w:tr>
        <w:trPr>
          <w:trHeight w:val="885" w:hRule="atLeast"/>
        </w:trPr>
        <w:tc>
          <w:tcPr>
            <w:tcW w:w="991" w:type="dxa"/>
          </w:tcPr>
          <w:p>
            <w:pPr>
              <w:pStyle w:val="TableParagraph"/>
              <w:spacing w:before="48"/>
              <w:ind w:left="317" w:right="311"/>
              <w:jc w:val="center"/>
              <w:rPr>
                <w:sz w:val="20"/>
              </w:rPr>
            </w:pPr>
            <w:r>
              <w:rPr>
                <w:spacing w:val="-5"/>
                <w:sz w:val="20"/>
              </w:rPr>
              <w:t>2.2</w:t>
            </w:r>
          </w:p>
        </w:tc>
        <w:tc>
          <w:tcPr>
            <w:tcW w:w="10338" w:type="dxa"/>
            <w:gridSpan w:val="2"/>
          </w:tcPr>
          <w:p>
            <w:pPr>
              <w:pStyle w:val="TableParagraph"/>
              <w:spacing w:line="276" w:lineRule="auto" w:before="79"/>
              <w:ind w:left="148" w:right="66"/>
              <w:rPr>
                <w:sz w:val="20"/>
              </w:rPr>
            </w:pPr>
            <w:r>
              <w:rPr>
                <w:sz w:val="20"/>
              </w:rPr>
              <w:t>Management</w:t>
            </w:r>
            <w:r>
              <w:rPr>
                <w:spacing w:val="-4"/>
                <w:sz w:val="20"/>
              </w:rPr>
              <w:t> </w:t>
            </w:r>
            <w:r>
              <w:rPr>
                <w:sz w:val="20"/>
              </w:rPr>
              <w:t>should</w:t>
            </w:r>
            <w:r>
              <w:rPr>
                <w:spacing w:val="-5"/>
                <w:sz w:val="20"/>
              </w:rPr>
              <w:t> </w:t>
            </w:r>
            <w:r>
              <w:rPr>
                <w:sz w:val="20"/>
              </w:rPr>
              <w:t>propose</w:t>
            </w:r>
            <w:r>
              <w:rPr>
                <w:spacing w:val="-9"/>
                <w:sz w:val="20"/>
              </w:rPr>
              <w:t> </w:t>
            </w:r>
            <w:r>
              <w:rPr>
                <w:sz w:val="20"/>
              </w:rPr>
              <w:t>that</w:t>
            </w:r>
            <w:r>
              <w:rPr>
                <w:spacing w:val="-4"/>
                <w:sz w:val="20"/>
              </w:rPr>
              <w:t> </w:t>
            </w:r>
            <w:r>
              <w:rPr>
                <w:sz w:val="20"/>
              </w:rPr>
              <w:t>All-Wales</w:t>
            </w:r>
            <w:r>
              <w:rPr>
                <w:spacing w:val="-6"/>
                <w:sz w:val="20"/>
              </w:rPr>
              <w:t> </w:t>
            </w:r>
            <w:r>
              <w:rPr>
                <w:sz w:val="20"/>
              </w:rPr>
              <w:t>P2P</w:t>
            </w:r>
            <w:r>
              <w:rPr>
                <w:spacing w:val="-5"/>
                <w:sz w:val="20"/>
              </w:rPr>
              <w:t> </w:t>
            </w:r>
            <w:r>
              <w:rPr>
                <w:sz w:val="20"/>
              </w:rPr>
              <w:t>Group</w:t>
            </w:r>
            <w:r>
              <w:rPr>
                <w:spacing w:val="-4"/>
                <w:sz w:val="20"/>
              </w:rPr>
              <w:t> </w:t>
            </w:r>
            <w:r>
              <w:rPr>
                <w:sz w:val="20"/>
              </w:rPr>
              <w:t>explore</w:t>
            </w:r>
            <w:r>
              <w:rPr>
                <w:spacing w:val="-4"/>
                <w:sz w:val="20"/>
              </w:rPr>
              <w:t> </w:t>
            </w:r>
            <w:r>
              <w:rPr>
                <w:sz w:val="20"/>
              </w:rPr>
              <w:t>Oracle</w:t>
            </w:r>
            <w:r>
              <w:rPr>
                <w:spacing w:val="-7"/>
                <w:sz w:val="20"/>
              </w:rPr>
              <w:t> </w:t>
            </w:r>
            <w:r>
              <w:rPr>
                <w:sz w:val="20"/>
              </w:rPr>
              <w:t>Invoice</w:t>
            </w:r>
            <w:r>
              <w:rPr>
                <w:spacing w:val="-7"/>
                <w:sz w:val="20"/>
              </w:rPr>
              <w:t> </w:t>
            </w:r>
            <w:r>
              <w:rPr>
                <w:sz w:val="20"/>
              </w:rPr>
              <w:t>Approval</w:t>
            </w:r>
            <w:r>
              <w:rPr>
                <w:spacing w:val="-4"/>
                <w:sz w:val="20"/>
              </w:rPr>
              <w:t> </w:t>
            </w:r>
            <w:r>
              <w:rPr>
                <w:sz w:val="20"/>
              </w:rPr>
              <w:t>Workflow</w:t>
            </w:r>
            <w:r>
              <w:rPr>
                <w:spacing w:val="-4"/>
                <w:sz w:val="20"/>
              </w:rPr>
              <w:t> </w:t>
            </w:r>
            <w:r>
              <w:rPr>
                <w:sz w:val="20"/>
              </w:rPr>
              <w:t>as a potentially more efficient and robust option for the approval of non-PO invoices.</w:t>
            </w:r>
          </w:p>
        </w:tc>
        <w:tc>
          <w:tcPr>
            <w:tcW w:w="3980" w:type="dxa"/>
            <w:shd w:val="clear" w:color="auto" w:fill="FFFF00"/>
          </w:tcPr>
          <w:p>
            <w:pPr>
              <w:pStyle w:val="TableParagraph"/>
              <w:spacing w:before="1"/>
              <w:rPr>
                <w:sz w:val="26"/>
              </w:rPr>
            </w:pPr>
          </w:p>
          <w:p>
            <w:pPr>
              <w:pStyle w:val="TableParagraph"/>
              <w:ind w:left="1533" w:right="1523"/>
              <w:jc w:val="center"/>
              <w:rPr>
                <w:b/>
                <w:sz w:val="20"/>
              </w:rPr>
            </w:pPr>
            <w:r>
              <w:rPr>
                <w:b/>
                <w:spacing w:val="-2"/>
                <w:sz w:val="20"/>
              </w:rPr>
              <w:t>Medium</w:t>
            </w:r>
          </w:p>
        </w:tc>
      </w:tr>
      <w:tr>
        <w:trPr>
          <w:trHeight w:val="475" w:hRule="atLeast"/>
        </w:trPr>
        <w:tc>
          <w:tcPr>
            <w:tcW w:w="9294" w:type="dxa"/>
            <w:gridSpan w:val="2"/>
            <w:shd w:val="clear" w:color="auto" w:fill="2E5395"/>
          </w:tcPr>
          <w:p>
            <w:pPr>
              <w:pStyle w:val="TableParagraph"/>
              <w:spacing w:before="58"/>
              <w:ind w:left="107"/>
              <w:rPr>
                <w:b/>
                <w:sz w:val="20"/>
              </w:rPr>
            </w:pPr>
            <w:r>
              <w:rPr>
                <w:b/>
                <w:color w:val="FFFFFF"/>
                <w:sz w:val="20"/>
              </w:rPr>
              <w:t>Agreed</w:t>
            </w:r>
            <w:r>
              <w:rPr>
                <w:b/>
                <w:color w:val="FFFFFF"/>
                <w:spacing w:val="-14"/>
                <w:sz w:val="20"/>
              </w:rPr>
              <w:t> </w:t>
            </w:r>
            <w:r>
              <w:rPr>
                <w:b/>
                <w:color w:val="FFFFFF"/>
                <w:sz w:val="20"/>
              </w:rPr>
              <w:t>Management</w:t>
            </w:r>
            <w:r>
              <w:rPr>
                <w:b/>
                <w:color w:val="FFFFFF"/>
                <w:spacing w:val="-12"/>
                <w:sz w:val="20"/>
              </w:rPr>
              <w:t> </w:t>
            </w:r>
            <w:r>
              <w:rPr>
                <w:b/>
                <w:color w:val="FFFFFF"/>
                <w:spacing w:val="-2"/>
                <w:sz w:val="20"/>
              </w:rPr>
              <w:t>Action</w:t>
            </w:r>
          </w:p>
        </w:tc>
        <w:tc>
          <w:tcPr>
            <w:tcW w:w="2035" w:type="dxa"/>
            <w:shd w:val="clear" w:color="auto" w:fill="2E5395"/>
          </w:tcPr>
          <w:p>
            <w:pPr>
              <w:pStyle w:val="TableParagraph"/>
              <w:spacing w:before="58"/>
              <w:ind w:left="355"/>
              <w:rPr>
                <w:b/>
                <w:sz w:val="20"/>
              </w:rPr>
            </w:pPr>
            <w:r>
              <w:rPr>
                <w:b/>
                <w:color w:val="FFFFFF"/>
                <w:sz w:val="20"/>
              </w:rPr>
              <w:t>Target</w:t>
            </w:r>
            <w:r>
              <w:rPr>
                <w:b/>
                <w:color w:val="FFFFFF"/>
                <w:spacing w:val="-11"/>
                <w:sz w:val="20"/>
              </w:rPr>
              <w:t> </w:t>
            </w:r>
            <w:r>
              <w:rPr>
                <w:b/>
                <w:color w:val="FFFFFF"/>
                <w:spacing w:val="-4"/>
                <w:sz w:val="20"/>
              </w:rPr>
              <w:t>Date</w:t>
            </w:r>
          </w:p>
        </w:tc>
        <w:tc>
          <w:tcPr>
            <w:tcW w:w="3980" w:type="dxa"/>
            <w:shd w:val="clear" w:color="auto" w:fill="2E5395"/>
          </w:tcPr>
          <w:p>
            <w:pPr>
              <w:pStyle w:val="TableParagraph"/>
              <w:spacing w:before="58"/>
              <w:ind w:left="900"/>
              <w:rPr>
                <w:b/>
                <w:sz w:val="20"/>
              </w:rPr>
            </w:pPr>
            <w:r>
              <w:rPr>
                <w:b/>
                <w:color w:val="FFFFFF"/>
                <w:spacing w:val="-2"/>
                <w:sz w:val="20"/>
              </w:rPr>
              <w:t>Responsible</w:t>
            </w:r>
            <w:r>
              <w:rPr>
                <w:b/>
                <w:color w:val="FFFFFF"/>
                <w:spacing w:val="4"/>
                <w:sz w:val="20"/>
              </w:rPr>
              <w:t> </w:t>
            </w:r>
            <w:r>
              <w:rPr>
                <w:b/>
                <w:color w:val="FFFFFF"/>
                <w:spacing w:val="-2"/>
                <w:sz w:val="20"/>
              </w:rPr>
              <w:t>Officer</w:t>
            </w:r>
          </w:p>
        </w:tc>
      </w:tr>
    </w:tbl>
    <w:p>
      <w:pPr>
        <w:spacing w:after="0"/>
        <w:rPr>
          <w:sz w:val="20"/>
        </w:rPr>
        <w:sectPr>
          <w:footerReference w:type="default" r:id="rId92"/>
          <w:pgSz w:w="16840" w:h="11910" w:orient="landscape"/>
          <w:pgMar w:footer="770" w:header="0" w:top="900" w:bottom="960" w:left="600" w:right="700"/>
          <w:pgNumType w:start="12"/>
        </w:sectPr>
      </w:pPr>
    </w:p>
    <w:p>
      <w:pPr>
        <w:pStyle w:val="BodyText"/>
        <w:tabs>
          <w:tab w:pos="11857" w:val="left" w:leader="none"/>
        </w:tabs>
        <w:spacing w:line="291" w:lineRule="exact" w:before="78"/>
        <w:ind w:right="224"/>
        <w:jc w:val="right"/>
      </w:pPr>
      <w:r>
        <w:rPr/>
        <w:t>Accounts</w:t>
      </w:r>
      <w:r>
        <w:rPr>
          <w:spacing w:val="-2"/>
        </w:rPr>
        <w:t> Payable</w:t>
      </w:r>
      <w:r>
        <w:rPr/>
        <w:tab/>
        <w:t>Final</w:t>
      </w:r>
      <w:r>
        <w:rPr>
          <w:spacing w:val="-6"/>
        </w:rPr>
        <w:t> </w:t>
      </w:r>
      <w:r>
        <w:rPr/>
        <w:t>Internal</w:t>
      </w:r>
      <w:r>
        <w:rPr>
          <w:spacing w:val="-3"/>
        </w:rPr>
        <w:t> </w:t>
      </w:r>
      <w:r>
        <w:rPr/>
        <w:t>Audit</w:t>
      </w:r>
      <w:r>
        <w:rPr>
          <w:spacing w:val="-1"/>
        </w:rPr>
        <w:t> </w:t>
      </w:r>
      <w:r>
        <w:rPr>
          <w:spacing w:val="-2"/>
        </w:rPr>
        <w:t>Report</w:t>
      </w:r>
    </w:p>
    <w:p>
      <w:pPr>
        <w:pStyle w:val="BodyText"/>
        <w:spacing w:line="291" w:lineRule="exact"/>
        <w:ind w:right="226"/>
        <w:jc w:val="right"/>
      </w:pPr>
      <w:r>
        <w:rPr/>
        <w:t>Appendix</w:t>
      </w:r>
      <w:r>
        <w:rPr>
          <w:spacing w:val="-5"/>
        </w:rPr>
        <w:t> </w:t>
      </w:r>
      <w:r>
        <w:rPr>
          <w:spacing w:val="-10"/>
        </w:rPr>
        <w:t>A</w:t>
      </w:r>
    </w:p>
    <w:p>
      <w:pPr>
        <w:pStyle w:val="BodyText"/>
        <w:spacing w:before="2"/>
        <w:rPr>
          <w:sz w:val="20"/>
        </w:rPr>
      </w:pPr>
      <w:r>
        <w:rPr/>
        <w:pict>
          <v:shape style="position:absolute;margin-left:41.760002pt;margin-top:13.476014pt;width:759.25pt;height:1.45pt;mso-position-horizontal-relative:page;mso-position-vertical-relative:paragraph;z-index:-15664128;mso-wrap-distance-left:0;mso-wrap-distance-right:0" id="docshape282" coordorigin="835,270" coordsize="15185,29" path="m16020,270l9371,270,9357,270,9342,270,835,270,835,298,9342,298,9357,298,9371,298,16020,298,16020,270xe" filled="true" fillcolor="#000000" stroked="false">
            <v:path arrowok="t"/>
            <v:fill type="solid"/>
            <w10:wrap type="topAndBottom"/>
          </v:shape>
        </w:pict>
      </w:r>
    </w:p>
    <w:p>
      <w:pPr>
        <w:pStyle w:val="BodyText"/>
        <w:rPr>
          <w:sz w:val="28"/>
        </w:rPr>
      </w:pPr>
    </w:p>
    <w:tbl>
      <w:tblPr>
        <w:tblW w:w="0" w:type="auto"/>
        <w:jc w:val="left"/>
        <w:tblInd w:w="115" w:type="dxa"/>
        <w:tblBorders>
          <w:top w:val="dashSmallGap" w:sz="4" w:space="0" w:color="A5A5A5"/>
          <w:left w:val="dashSmallGap" w:sz="4" w:space="0" w:color="A5A5A5"/>
          <w:bottom w:val="dashSmallGap" w:sz="4" w:space="0" w:color="A5A5A5"/>
          <w:right w:val="dashSmallGap" w:sz="4" w:space="0" w:color="A5A5A5"/>
          <w:insideH w:val="dashSmallGap" w:sz="4" w:space="0" w:color="A5A5A5"/>
          <w:insideV w:val="dashSmallGap" w:sz="4" w:space="0" w:color="A5A5A5"/>
        </w:tblBorders>
        <w:tblLayout w:type="fixed"/>
        <w:tblCellMar>
          <w:top w:w="0" w:type="dxa"/>
          <w:left w:w="0" w:type="dxa"/>
          <w:bottom w:w="0" w:type="dxa"/>
          <w:right w:w="0" w:type="dxa"/>
        </w:tblCellMar>
        <w:tblLook w:val="01E0"/>
      </w:tblPr>
      <w:tblGrid>
        <w:gridCol w:w="991"/>
        <w:gridCol w:w="8303"/>
        <w:gridCol w:w="2035"/>
        <w:gridCol w:w="3980"/>
      </w:tblGrid>
      <w:tr>
        <w:trPr>
          <w:trHeight w:val="1204" w:hRule="atLeast"/>
        </w:trPr>
        <w:tc>
          <w:tcPr>
            <w:tcW w:w="991" w:type="dxa"/>
          </w:tcPr>
          <w:p>
            <w:pPr>
              <w:pStyle w:val="TableParagraph"/>
              <w:spacing w:before="58"/>
              <w:ind w:left="107"/>
              <w:rPr>
                <w:sz w:val="20"/>
              </w:rPr>
            </w:pPr>
            <w:r>
              <w:rPr>
                <w:spacing w:val="-5"/>
                <w:sz w:val="20"/>
              </w:rPr>
              <w:t>2.1</w:t>
            </w:r>
          </w:p>
        </w:tc>
        <w:tc>
          <w:tcPr>
            <w:tcW w:w="8303" w:type="dxa"/>
          </w:tcPr>
          <w:p>
            <w:pPr>
              <w:pStyle w:val="TableParagraph"/>
              <w:spacing w:line="276" w:lineRule="auto" w:before="58"/>
              <w:ind w:left="148" w:right="120"/>
              <w:jc w:val="both"/>
              <w:rPr>
                <w:sz w:val="20"/>
              </w:rPr>
            </w:pPr>
            <w:r>
              <w:rPr>
                <w:sz w:val="20"/>
              </w:rPr>
              <w:t>Agreed</w:t>
            </w:r>
            <w:r>
              <w:rPr>
                <w:spacing w:val="-18"/>
                <w:sz w:val="20"/>
              </w:rPr>
              <w:t> </w:t>
            </w:r>
            <w:r>
              <w:rPr>
                <w:sz w:val="20"/>
              </w:rPr>
              <w:t>–</w:t>
            </w:r>
            <w:r>
              <w:rPr>
                <w:spacing w:val="-18"/>
                <w:sz w:val="20"/>
              </w:rPr>
              <w:t> </w:t>
            </w:r>
            <w:r>
              <w:rPr>
                <w:sz w:val="20"/>
              </w:rPr>
              <w:t>Staff</w:t>
            </w:r>
            <w:r>
              <w:rPr>
                <w:spacing w:val="-17"/>
                <w:sz w:val="20"/>
              </w:rPr>
              <w:t> </w:t>
            </w:r>
            <w:r>
              <w:rPr>
                <w:sz w:val="20"/>
              </w:rPr>
              <w:t>will</w:t>
            </w:r>
            <w:r>
              <w:rPr>
                <w:spacing w:val="-18"/>
                <w:sz w:val="20"/>
              </w:rPr>
              <w:t> </w:t>
            </w:r>
            <w:r>
              <w:rPr>
                <w:sz w:val="20"/>
              </w:rPr>
              <w:t>be</w:t>
            </w:r>
            <w:r>
              <w:rPr>
                <w:spacing w:val="-17"/>
                <w:sz w:val="20"/>
              </w:rPr>
              <w:t> </w:t>
            </w:r>
            <w:r>
              <w:rPr>
                <w:sz w:val="20"/>
              </w:rPr>
              <w:t>reminded</w:t>
            </w:r>
            <w:r>
              <w:rPr>
                <w:spacing w:val="-18"/>
                <w:sz w:val="20"/>
              </w:rPr>
              <w:t> </w:t>
            </w:r>
            <w:r>
              <w:rPr>
                <w:sz w:val="20"/>
              </w:rPr>
              <w:t>of</w:t>
            </w:r>
            <w:r>
              <w:rPr>
                <w:spacing w:val="-18"/>
                <w:sz w:val="20"/>
              </w:rPr>
              <w:t> </w:t>
            </w:r>
            <w:r>
              <w:rPr>
                <w:sz w:val="20"/>
              </w:rPr>
              <w:t>the</w:t>
            </w:r>
            <w:r>
              <w:rPr>
                <w:spacing w:val="-17"/>
                <w:sz w:val="20"/>
              </w:rPr>
              <w:t> </w:t>
            </w:r>
            <w:r>
              <w:rPr>
                <w:sz w:val="20"/>
              </w:rPr>
              <w:t>process</w:t>
            </w:r>
            <w:r>
              <w:rPr>
                <w:spacing w:val="-18"/>
                <w:sz w:val="20"/>
              </w:rPr>
              <w:t> </w:t>
            </w:r>
            <w:r>
              <w:rPr>
                <w:sz w:val="20"/>
              </w:rPr>
              <w:t>to</w:t>
            </w:r>
            <w:r>
              <w:rPr>
                <w:spacing w:val="-17"/>
                <w:sz w:val="20"/>
              </w:rPr>
              <w:t> </w:t>
            </w:r>
            <w:r>
              <w:rPr>
                <w:sz w:val="20"/>
              </w:rPr>
              <w:t>ensure</w:t>
            </w:r>
            <w:r>
              <w:rPr>
                <w:spacing w:val="-18"/>
                <w:sz w:val="20"/>
              </w:rPr>
              <w:t> </w:t>
            </w:r>
            <w:r>
              <w:rPr>
                <w:sz w:val="20"/>
              </w:rPr>
              <w:t>that</w:t>
            </w:r>
            <w:r>
              <w:rPr>
                <w:spacing w:val="-17"/>
                <w:sz w:val="20"/>
              </w:rPr>
              <w:t> </w:t>
            </w:r>
            <w:r>
              <w:rPr>
                <w:sz w:val="20"/>
              </w:rPr>
              <w:t>invoices</w:t>
            </w:r>
            <w:r>
              <w:rPr>
                <w:spacing w:val="-18"/>
                <w:sz w:val="20"/>
              </w:rPr>
              <w:t> </w:t>
            </w:r>
            <w:r>
              <w:rPr>
                <w:sz w:val="20"/>
              </w:rPr>
              <w:t>or</w:t>
            </w:r>
            <w:r>
              <w:rPr>
                <w:spacing w:val="-18"/>
                <w:sz w:val="20"/>
              </w:rPr>
              <w:t> </w:t>
            </w:r>
            <w:r>
              <w:rPr>
                <w:sz w:val="20"/>
              </w:rPr>
              <w:t>requests for payment that have not been approved in accordance</w:t>
            </w:r>
            <w:r>
              <w:rPr>
                <w:spacing w:val="-2"/>
                <w:sz w:val="20"/>
              </w:rPr>
              <w:t> </w:t>
            </w:r>
            <w:r>
              <w:rPr>
                <w:sz w:val="20"/>
              </w:rPr>
              <w:t>with the</w:t>
            </w:r>
            <w:r>
              <w:rPr>
                <w:spacing w:val="-2"/>
                <w:sz w:val="20"/>
              </w:rPr>
              <w:t> </w:t>
            </w:r>
            <w:r>
              <w:rPr>
                <w:sz w:val="20"/>
              </w:rPr>
              <w:t>organisations purchase</w:t>
            </w:r>
            <w:r>
              <w:rPr>
                <w:spacing w:val="-8"/>
                <w:sz w:val="20"/>
              </w:rPr>
              <w:t> </w:t>
            </w:r>
            <w:r>
              <w:rPr>
                <w:sz w:val="20"/>
              </w:rPr>
              <w:t>order</w:t>
            </w:r>
            <w:r>
              <w:rPr>
                <w:spacing w:val="-8"/>
                <w:sz w:val="20"/>
              </w:rPr>
              <w:t> </w:t>
            </w:r>
            <w:r>
              <w:rPr>
                <w:sz w:val="20"/>
              </w:rPr>
              <w:t>hierarchy</w:t>
            </w:r>
            <w:r>
              <w:rPr>
                <w:spacing w:val="-7"/>
                <w:sz w:val="20"/>
              </w:rPr>
              <w:t> </w:t>
            </w:r>
            <w:r>
              <w:rPr>
                <w:sz w:val="20"/>
              </w:rPr>
              <w:t>/</w:t>
            </w:r>
            <w:r>
              <w:rPr>
                <w:spacing w:val="-5"/>
                <w:sz w:val="20"/>
              </w:rPr>
              <w:t> </w:t>
            </w:r>
            <w:r>
              <w:rPr>
                <w:sz w:val="20"/>
              </w:rPr>
              <w:t>authorised</w:t>
            </w:r>
            <w:r>
              <w:rPr>
                <w:spacing w:val="-5"/>
                <w:sz w:val="20"/>
              </w:rPr>
              <w:t> </w:t>
            </w:r>
            <w:r>
              <w:rPr>
                <w:sz w:val="20"/>
              </w:rPr>
              <w:t>signatory</w:t>
            </w:r>
            <w:r>
              <w:rPr>
                <w:spacing w:val="-5"/>
                <w:sz w:val="20"/>
              </w:rPr>
              <w:t> </w:t>
            </w:r>
            <w:r>
              <w:rPr>
                <w:sz w:val="20"/>
              </w:rPr>
              <w:t>list</w:t>
            </w:r>
            <w:r>
              <w:rPr>
                <w:spacing w:val="-6"/>
                <w:sz w:val="20"/>
              </w:rPr>
              <w:t> </w:t>
            </w:r>
            <w:r>
              <w:rPr>
                <w:sz w:val="20"/>
              </w:rPr>
              <w:t>must</w:t>
            </w:r>
            <w:r>
              <w:rPr>
                <w:spacing w:val="-6"/>
                <w:sz w:val="20"/>
              </w:rPr>
              <w:t> </w:t>
            </w:r>
            <w:r>
              <w:rPr>
                <w:sz w:val="20"/>
              </w:rPr>
              <w:t>be</w:t>
            </w:r>
            <w:r>
              <w:rPr>
                <w:spacing w:val="-8"/>
                <w:sz w:val="20"/>
              </w:rPr>
              <w:t> </w:t>
            </w:r>
            <w:r>
              <w:rPr>
                <w:sz w:val="20"/>
              </w:rPr>
              <w:t>placed</w:t>
            </w:r>
            <w:r>
              <w:rPr>
                <w:spacing w:val="-4"/>
                <w:sz w:val="20"/>
              </w:rPr>
              <w:t> </w:t>
            </w:r>
            <w:r>
              <w:rPr>
                <w:sz w:val="20"/>
              </w:rPr>
              <w:t>on</w:t>
            </w:r>
            <w:r>
              <w:rPr>
                <w:spacing w:val="-4"/>
                <w:sz w:val="20"/>
              </w:rPr>
              <w:t> </w:t>
            </w:r>
            <w:r>
              <w:rPr>
                <w:sz w:val="20"/>
              </w:rPr>
              <w:t>hold</w:t>
            </w:r>
            <w:r>
              <w:rPr>
                <w:spacing w:val="-6"/>
                <w:sz w:val="20"/>
              </w:rPr>
              <w:t> </w:t>
            </w:r>
            <w:r>
              <w:rPr>
                <w:sz w:val="20"/>
              </w:rPr>
              <w:t>and returned to the organisation for appropriate authorisation.</w:t>
            </w:r>
          </w:p>
        </w:tc>
        <w:tc>
          <w:tcPr>
            <w:tcW w:w="2035" w:type="dxa"/>
          </w:tcPr>
          <w:p>
            <w:pPr>
              <w:pStyle w:val="TableParagraph"/>
              <w:spacing w:before="58"/>
              <w:ind w:left="7"/>
              <w:rPr>
                <w:sz w:val="20"/>
              </w:rPr>
            </w:pPr>
            <w:r>
              <w:rPr>
                <w:sz w:val="20"/>
              </w:rPr>
              <w:t>31</w:t>
            </w:r>
            <w:r>
              <w:rPr>
                <w:spacing w:val="-5"/>
                <w:sz w:val="20"/>
              </w:rPr>
              <w:t> </w:t>
            </w:r>
            <w:r>
              <w:rPr>
                <w:sz w:val="20"/>
              </w:rPr>
              <w:t>March</w:t>
            </w:r>
            <w:r>
              <w:rPr>
                <w:spacing w:val="-4"/>
                <w:sz w:val="20"/>
              </w:rPr>
              <w:t> 2023</w:t>
            </w:r>
          </w:p>
        </w:tc>
        <w:tc>
          <w:tcPr>
            <w:tcW w:w="3980" w:type="dxa"/>
          </w:tcPr>
          <w:p>
            <w:pPr>
              <w:pStyle w:val="TableParagraph"/>
              <w:spacing w:line="259" w:lineRule="auto" w:before="58"/>
              <w:ind w:left="108"/>
              <w:rPr>
                <w:sz w:val="20"/>
              </w:rPr>
            </w:pPr>
            <w:r>
              <w:rPr>
                <w:sz w:val="20"/>
              </w:rPr>
              <w:t>Head</w:t>
            </w:r>
            <w:r>
              <w:rPr>
                <w:spacing w:val="-8"/>
                <w:sz w:val="20"/>
              </w:rPr>
              <w:t> </w:t>
            </w:r>
            <w:r>
              <w:rPr>
                <w:sz w:val="20"/>
              </w:rPr>
              <w:t>of</w:t>
            </w:r>
            <w:r>
              <w:rPr>
                <w:spacing w:val="-10"/>
                <w:sz w:val="20"/>
              </w:rPr>
              <w:t> </w:t>
            </w:r>
            <w:r>
              <w:rPr>
                <w:sz w:val="20"/>
              </w:rPr>
              <w:t>Accounts</w:t>
            </w:r>
            <w:r>
              <w:rPr>
                <w:spacing w:val="-12"/>
                <w:sz w:val="20"/>
              </w:rPr>
              <w:t> </w:t>
            </w:r>
            <w:r>
              <w:rPr>
                <w:sz w:val="20"/>
              </w:rPr>
              <w:t>Payable</w:t>
            </w:r>
            <w:r>
              <w:rPr>
                <w:spacing w:val="-12"/>
                <w:sz w:val="20"/>
              </w:rPr>
              <w:t> </w:t>
            </w:r>
            <w:r>
              <w:rPr>
                <w:sz w:val="20"/>
              </w:rPr>
              <w:t>&amp; </w:t>
            </w:r>
            <w:r>
              <w:rPr>
                <w:spacing w:val="-2"/>
                <w:sz w:val="20"/>
              </w:rPr>
              <w:t>eEnablement</w:t>
            </w:r>
          </w:p>
        </w:tc>
      </w:tr>
      <w:tr>
        <w:trPr>
          <w:trHeight w:val="1195" w:hRule="atLeast"/>
        </w:trPr>
        <w:tc>
          <w:tcPr>
            <w:tcW w:w="991" w:type="dxa"/>
          </w:tcPr>
          <w:p>
            <w:pPr>
              <w:pStyle w:val="TableParagraph"/>
              <w:spacing w:before="48"/>
              <w:ind w:left="107"/>
              <w:rPr>
                <w:sz w:val="20"/>
              </w:rPr>
            </w:pPr>
            <w:r>
              <w:rPr>
                <w:spacing w:val="-5"/>
                <w:sz w:val="20"/>
              </w:rPr>
              <w:t>2.2</w:t>
            </w:r>
          </w:p>
        </w:tc>
        <w:tc>
          <w:tcPr>
            <w:tcW w:w="8303" w:type="dxa"/>
          </w:tcPr>
          <w:p>
            <w:pPr>
              <w:pStyle w:val="TableParagraph"/>
              <w:spacing w:before="48"/>
              <w:ind w:left="148"/>
              <w:rPr>
                <w:sz w:val="20"/>
              </w:rPr>
            </w:pPr>
            <w:r>
              <w:rPr>
                <w:sz w:val="20"/>
              </w:rPr>
              <w:t>Agreed</w:t>
            </w:r>
            <w:r>
              <w:rPr>
                <w:spacing w:val="-4"/>
                <w:sz w:val="20"/>
              </w:rPr>
              <w:t> </w:t>
            </w:r>
            <w:r>
              <w:rPr>
                <w:sz w:val="20"/>
              </w:rPr>
              <w:t>–</w:t>
            </w:r>
            <w:r>
              <w:rPr>
                <w:spacing w:val="-2"/>
                <w:sz w:val="20"/>
              </w:rPr>
              <w:t> </w:t>
            </w:r>
            <w:r>
              <w:rPr>
                <w:sz w:val="20"/>
              </w:rPr>
              <w:t>This</w:t>
            </w:r>
            <w:r>
              <w:rPr>
                <w:spacing w:val="-5"/>
                <w:sz w:val="20"/>
              </w:rPr>
              <w:t> </w:t>
            </w:r>
            <w:r>
              <w:rPr>
                <w:sz w:val="20"/>
              </w:rPr>
              <w:t>will</w:t>
            </w:r>
            <w:r>
              <w:rPr>
                <w:spacing w:val="-4"/>
                <w:sz w:val="20"/>
              </w:rPr>
              <w:t> </w:t>
            </w:r>
            <w:r>
              <w:rPr>
                <w:sz w:val="20"/>
              </w:rPr>
              <w:t>be</w:t>
            </w:r>
            <w:r>
              <w:rPr>
                <w:spacing w:val="-5"/>
                <w:sz w:val="20"/>
              </w:rPr>
              <w:t> </w:t>
            </w:r>
            <w:r>
              <w:rPr>
                <w:sz w:val="20"/>
              </w:rPr>
              <w:t>raised</w:t>
            </w:r>
            <w:r>
              <w:rPr>
                <w:spacing w:val="-4"/>
                <w:sz w:val="20"/>
              </w:rPr>
              <w:t> </w:t>
            </w:r>
            <w:r>
              <w:rPr>
                <w:sz w:val="20"/>
              </w:rPr>
              <w:t>at</w:t>
            </w:r>
            <w:r>
              <w:rPr>
                <w:spacing w:val="-4"/>
                <w:sz w:val="20"/>
              </w:rPr>
              <w:t> </w:t>
            </w:r>
            <w:r>
              <w:rPr>
                <w:sz w:val="20"/>
              </w:rPr>
              <w:t>the</w:t>
            </w:r>
            <w:r>
              <w:rPr>
                <w:spacing w:val="-5"/>
                <w:sz w:val="20"/>
              </w:rPr>
              <w:t> </w:t>
            </w:r>
            <w:r>
              <w:rPr>
                <w:sz w:val="20"/>
              </w:rPr>
              <w:t>next</w:t>
            </w:r>
            <w:r>
              <w:rPr>
                <w:spacing w:val="-5"/>
                <w:sz w:val="20"/>
              </w:rPr>
              <w:t> </w:t>
            </w:r>
            <w:r>
              <w:rPr>
                <w:sz w:val="20"/>
              </w:rPr>
              <w:t>All</w:t>
            </w:r>
            <w:r>
              <w:rPr>
                <w:spacing w:val="-3"/>
                <w:sz w:val="20"/>
              </w:rPr>
              <w:t> </w:t>
            </w:r>
            <w:r>
              <w:rPr>
                <w:sz w:val="20"/>
              </w:rPr>
              <w:t>Wales</w:t>
            </w:r>
            <w:r>
              <w:rPr>
                <w:spacing w:val="-6"/>
                <w:sz w:val="20"/>
              </w:rPr>
              <w:t> </w:t>
            </w:r>
            <w:r>
              <w:rPr>
                <w:sz w:val="20"/>
              </w:rPr>
              <w:t>P2P</w:t>
            </w:r>
            <w:r>
              <w:rPr>
                <w:spacing w:val="-2"/>
                <w:sz w:val="20"/>
              </w:rPr>
              <w:t> Group.</w:t>
            </w:r>
          </w:p>
        </w:tc>
        <w:tc>
          <w:tcPr>
            <w:tcW w:w="2035" w:type="dxa"/>
          </w:tcPr>
          <w:p>
            <w:pPr>
              <w:pStyle w:val="TableParagraph"/>
              <w:spacing w:line="259" w:lineRule="auto" w:before="48"/>
              <w:ind w:left="7" w:right="-15"/>
              <w:jc w:val="both"/>
              <w:rPr>
                <w:sz w:val="20"/>
              </w:rPr>
            </w:pPr>
            <w:r>
              <w:rPr>
                <w:sz w:val="20"/>
              </w:rPr>
              <w:t>At the next All Wales P2P Group – no date confirmed as yet.</w:t>
            </w:r>
          </w:p>
        </w:tc>
        <w:tc>
          <w:tcPr>
            <w:tcW w:w="3980" w:type="dxa"/>
          </w:tcPr>
          <w:p>
            <w:pPr>
              <w:pStyle w:val="TableParagraph"/>
              <w:spacing w:line="259" w:lineRule="auto" w:before="48"/>
              <w:ind w:left="108"/>
              <w:rPr>
                <w:sz w:val="20"/>
              </w:rPr>
            </w:pPr>
            <w:r>
              <w:rPr>
                <w:sz w:val="20"/>
              </w:rPr>
              <w:t>Head</w:t>
            </w:r>
            <w:r>
              <w:rPr>
                <w:spacing w:val="-8"/>
                <w:sz w:val="20"/>
              </w:rPr>
              <w:t> </w:t>
            </w:r>
            <w:r>
              <w:rPr>
                <w:sz w:val="20"/>
              </w:rPr>
              <w:t>of</w:t>
            </w:r>
            <w:r>
              <w:rPr>
                <w:spacing w:val="-10"/>
                <w:sz w:val="20"/>
              </w:rPr>
              <w:t> </w:t>
            </w:r>
            <w:r>
              <w:rPr>
                <w:sz w:val="20"/>
              </w:rPr>
              <w:t>Accounts</w:t>
            </w:r>
            <w:r>
              <w:rPr>
                <w:spacing w:val="-11"/>
                <w:sz w:val="20"/>
              </w:rPr>
              <w:t> </w:t>
            </w:r>
            <w:r>
              <w:rPr>
                <w:sz w:val="20"/>
              </w:rPr>
              <w:t>Payable</w:t>
            </w:r>
            <w:r>
              <w:rPr>
                <w:spacing w:val="-12"/>
                <w:sz w:val="20"/>
              </w:rPr>
              <w:t> </w:t>
            </w:r>
            <w:r>
              <w:rPr>
                <w:sz w:val="20"/>
              </w:rPr>
              <w:t>&amp; </w:t>
            </w:r>
            <w:r>
              <w:rPr>
                <w:spacing w:val="-2"/>
                <w:sz w:val="20"/>
              </w:rPr>
              <w:t>eEnablement</w:t>
            </w:r>
          </w:p>
        </w:tc>
      </w:tr>
    </w:tbl>
    <w:p>
      <w:pPr>
        <w:spacing w:after="0" w:line="259" w:lineRule="auto"/>
        <w:rPr>
          <w:sz w:val="20"/>
        </w:rPr>
        <w:sectPr>
          <w:pgSz w:w="16840" w:h="11910" w:orient="landscape"/>
          <w:pgMar w:header="0" w:footer="770" w:top="900" w:bottom="960" w:left="600" w:right="700"/>
        </w:sectPr>
      </w:pPr>
    </w:p>
    <w:p>
      <w:pPr>
        <w:pStyle w:val="BodyText"/>
        <w:tabs>
          <w:tab w:pos="11857" w:val="left" w:leader="none"/>
        </w:tabs>
        <w:spacing w:line="291" w:lineRule="exact" w:before="78"/>
        <w:ind w:right="224"/>
        <w:jc w:val="right"/>
      </w:pPr>
      <w:r>
        <w:rPr/>
        <w:t>Accounts</w:t>
      </w:r>
      <w:r>
        <w:rPr>
          <w:spacing w:val="-2"/>
        </w:rPr>
        <w:t> Payable</w:t>
      </w:r>
      <w:r>
        <w:rPr/>
        <w:tab/>
        <w:t>Final</w:t>
      </w:r>
      <w:r>
        <w:rPr>
          <w:spacing w:val="-6"/>
        </w:rPr>
        <w:t> </w:t>
      </w:r>
      <w:r>
        <w:rPr/>
        <w:t>Internal</w:t>
      </w:r>
      <w:r>
        <w:rPr>
          <w:spacing w:val="-3"/>
        </w:rPr>
        <w:t> </w:t>
      </w:r>
      <w:r>
        <w:rPr/>
        <w:t>Audit</w:t>
      </w:r>
      <w:r>
        <w:rPr>
          <w:spacing w:val="-1"/>
        </w:rPr>
        <w:t> </w:t>
      </w:r>
      <w:r>
        <w:rPr>
          <w:spacing w:val="-2"/>
        </w:rPr>
        <w:t>Report</w:t>
      </w:r>
    </w:p>
    <w:p>
      <w:pPr>
        <w:pStyle w:val="BodyText"/>
        <w:spacing w:line="291" w:lineRule="exact"/>
        <w:ind w:right="226"/>
        <w:jc w:val="right"/>
      </w:pPr>
      <w:r>
        <w:rPr/>
        <w:t>Appendix</w:t>
      </w:r>
      <w:r>
        <w:rPr>
          <w:spacing w:val="-5"/>
        </w:rPr>
        <w:t> </w:t>
      </w:r>
      <w:r>
        <w:rPr>
          <w:spacing w:val="-10"/>
        </w:rPr>
        <w:t>A</w:t>
      </w:r>
    </w:p>
    <w:p>
      <w:pPr>
        <w:pStyle w:val="BodyText"/>
        <w:spacing w:before="2"/>
        <w:rPr>
          <w:sz w:val="20"/>
        </w:rPr>
      </w:pPr>
      <w:r>
        <w:rPr/>
        <w:pict>
          <v:shape style="position:absolute;margin-left:41.760002pt;margin-top:13.476014pt;width:759.25pt;height:1.45pt;mso-position-horizontal-relative:page;mso-position-vertical-relative:paragraph;z-index:-15663616;mso-wrap-distance-left:0;mso-wrap-distance-right:0" id="docshape283" coordorigin="835,270" coordsize="15185,29" path="m16020,270l9371,270,9357,270,9342,270,835,270,835,298,9342,298,9357,298,9371,298,16020,298,16020,270xe" filled="true" fillcolor="#000000" stroked="false">
            <v:path arrowok="t"/>
            <v:fill type="solid"/>
            <w10:wrap type="topAndBottom"/>
          </v:shape>
        </w:pict>
      </w:r>
    </w:p>
    <w:p>
      <w:pPr>
        <w:pStyle w:val="BodyText"/>
        <w:rPr>
          <w:sz w:val="28"/>
        </w:rPr>
      </w:pPr>
    </w:p>
    <w:tbl>
      <w:tblPr>
        <w:tblW w:w="0" w:type="auto"/>
        <w:jc w:val="left"/>
        <w:tblInd w:w="115" w:type="dxa"/>
        <w:tblBorders>
          <w:top w:val="dashSmallGap" w:sz="4" w:space="0" w:color="A5A5A5"/>
          <w:left w:val="dashSmallGap" w:sz="4" w:space="0" w:color="A5A5A5"/>
          <w:bottom w:val="dashSmallGap" w:sz="4" w:space="0" w:color="A5A5A5"/>
          <w:right w:val="dashSmallGap" w:sz="4" w:space="0" w:color="A5A5A5"/>
          <w:insideH w:val="dashSmallGap" w:sz="4" w:space="0" w:color="A5A5A5"/>
          <w:insideV w:val="dashSmallGap" w:sz="4" w:space="0" w:color="A5A5A5"/>
        </w:tblBorders>
        <w:tblLayout w:type="fixed"/>
        <w:tblCellMar>
          <w:top w:w="0" w:type="dxa"/>
          <w:left w:w="0" w:type="dxa"/>
          <w:bottom w:w="0" w:type="dxa"/>
          <w:right w:w="0" w:type="dxa"/>
        </w:tblCellMar>
        <w:tblLook w:val="01E0"/>
      </w:tblPr>
      <w:tblGrid>
        <w:gridCol w:w="991"/>
        <w:gridCol w:w="8303"/>
        <w:gridCol w:w="2035"/>
        <w:gridCol w:w="3980"/>
      </w:tblGrid>
      <w:tr>
        <w:trPr>
          <w:trHeight w:val="475" w:hRule="atLeast"/>
        </w:trPr>
        <w:tc>
          <w:tcPr>
            <w:tcW w:w="11329" w:type="dxa"/>
            <w:gridSpan w:val="3"/>
            <w:tcBorders>
              <w:bottom w:val="nil"/>
            </w:tcBorders>
            <w:shd w:val="clear" w:color="auto" w:fill="2E5395"/>
          </w:tcPr>
          <w:p>
            <w:pPr>
              <w:pStyle w:val="TableParagraph"/>
              <w:spacing w:before="58"/>
              <w:ind w:left="107"/>
              <w:rPr>
                <w:sz w:val="20"/>
              </w:rPr>
            </w:pPr>
            <w:r>
              <w:rPr>
                <w:b/>
                <w:color w:val="FFFFFF"/>
                <w:sz w:val="20"/>
              </w:rPr>
              <w:t>Matter</w:t>
            </w:r>
            <w:r>
              <w:rPr>
                <w:b/>
                <w:color w:val="FFFFFF"/>
                <w:spacing w:val="-6"/>
                <w:sz w:val="20"/>
              </w:rPr>
              <w:t> </w:t>
            </w:r>
            <w:r>
              <w:rPr>
                <w:b/>
                <w:color w:val="FFFFFF"/>
                <w:sz w:val="20"/>
              </w:rPr>
              <w:t>Arising</w:t>
            </w:r>
            <w:r>
              <w:rPr>
                <w:b/>
                <w:color w:val="FFFFFF"/>
                <w:spacing w:val="-6"/>
                <w:sz w:val="20"/>
              </w:rPr>
              <w:t> </w:t>
            </w:r>
            <w:r>
              <w:rPr>
                <w:b/>
                <w:color w:val="FFFFFF"/>
                <w:sz w:val="20"/>
              </w:rPr>
              <w:t>3:</w:t>
            </w:r>
            <w:r>
              <w:rPr>
                <w:b/>
                <w:color w:val="FFFFFF"/>
                <w:spacing w:val="-8"/>
                <w:sz w:val="20"/>
              </w:rPr>
              <w:t> </w:t>
            </w:r>
            <w:r>
              <w:rPr>
                <w:b/>
                <w:color w:val="FFFFFF"/>
                <w:sz w:val="20"/>
              </w:rPr>
              <w:t>Invoices</w:t>
            </w:r>
            <w:r>
              <w:rPr>
                <w:b/>
                <w:color w:val="FFFFFF"/>
                <w:spacing w:val="-9"/>
                <w:sz w:val="20"/>
              </w:rPr>
              <w:t> </w:t>
            </w:r>
            <w:r>
              <w:rPr>
                <w:b/>
                <w:color w:val="FFFFFF"/>
                <w:sz w:val="20"/>
              </w:rPr>
              <w:t>in</w:t>
            </w:r>
            <w:r>
              <w:rPr>
                <w:b/>
                <w:color w:val="FFFFFF"/>
                <w:spacing w:val="-8"/>
                <w:sz w:val="20"/>
              </w:rPr>
              <w:t> </w:t>
            </w:r>
            <w:r>
              <w:rPr>
                <w:b/>
                <w:color w:val="FFFFFF"/>
                <w:sz w:val="20"/>
              </w:rPr>
              <w:t>Dispute</w:t>
            </w:r>
            <w:r>
              <w:rPr>
                <w:b/>
                <w:color w:val="FFFFFF"/>
                <w:spacing w:val="-3"/>
                <w:sz w:val="20"/>
              </w:rPr>
              <w:t> </w:t>
            </w:r>
            <w:r>
              <w:rPr>
                <w:color w:val="FFFFFF"/>
                <w:spacing w:val="-2"/>
                <w:sz w:val="20"/>
              </w:rPr>
              <w:t>(Operation)</w:t>
            </w:r>
          </w:p>
        </w:tc>
        <w:tc>
          <w:tcPr>
            <w:tcW w:w="3980" w:type="dxa"/>
            <w:tcBorders>
              <w:bottom w:val="nil"/>
            </w:tcBorders>
            <w:shd w:val="clear" w:color="auto" w:fill="2E5395"/>
          </w:tcPr>
          <w:p>
            <w:pPr>
              <w:pStyle w:val="TableParagraph"/>
              <w:spacing w:before="58"/>
              <w:ind w:left="108"/>
              <w:rPr>
                <w:b/>
                <w:sz w:val="20"/>
              </w:rPr>
            </w:pPr>
            <w:r>
              <w:rPr>
                <w:b/>
                <w:color w:val="FFFFFF"/>
                <w:spacing w:val="-2"/>
                <w:sz w:val="20"/>
              </w:rPr>
              <w:t>Impact</w:t>
            </w:r>
          </w:p>
        </w:tc>
      </w:tr>
      <w:tr>
        <w:trPr>
          <w:trHeight w:val="1385" w:hRule="atLeast"/>
        </w:trPr>
        <w:tc>
          <w:tcPr>
            <w:tcW w:w="11329" w:type="dxa"/>
            <w:gridSpan w:val="3"/>
            <w:tcBorders>
              <w:top w:val="nil"/>
              <w:bottom w:val="nil"/>
            </w:tcBorders>
          </w:tcPr>
          <w:p>
            <w:pPr>
              <w:pStyle w:val="TableParagraph"/>
              <w:spacing w:line="259" w:lineRule="auto" w:before="55"/>
              <w:ind w:left="107" w:right="38"/>
              <w:rPr>
                <w:sz w:val="20"/>
              </w:rPr>
            </w:pPr>
            <w:r>
              <w:rPr>
                <w:sz w:val="20"/>
              </w:rPr>
              <w:t>Sample</w:t>
            </w:r>
            <w:r>
              <w:rPr>
                <w:spacing w:val="-6"/>
                <w:sz w:val="20"/>
              </w:rPr>
              <w:t> </w:t>
            </w:r>
            <w:r>
              <w:rPr>
                <w:sz w:val="20"/>
              </w:rPr>
              <w:t>testing</w:t>
            </w:r>
            <w:r>
              <w:rPr>
                <w:spacing w:val="-4"/>
                <w:sz w:val="20"/>
              </w:rPr>
              <w:t> </w:t>
            </w:r>
            <w:r>
              <w:rPr>
                <w:sz w:val="20"/>
              </w:rPr>
              <w:t>identified</w:t>
            </w:r>
            <w:r>
              <w:rPr>
                <w:spacing w:val="-4"/>
                <w:sz w:val="20"/>
              </w:rPr>
              <w:t> </w:t>
            </w:r>
            <w:r>
              <w:rPr>
                <w:sz w:val="20"/>
              </w:rPr>
              <w:t>two</w:t>
            </w:r>
            <w:r>
              <w:rPr>
                <w:spacing w:val="-6"/>
                <w:sz w:val="20"/>
              </w:rPr>
              <w:t> </w:t>
            </w:r>
            <w:r>
              <w:rPr>
                <w:sz w:val="20"/>
              </w:rPr>
              <w:t>instances</w:t>
            </w:r>
            <w:r>
              <w:rPr>
                <w:spacing w:val="-3"/>
                <w:sz w:val="20"/>
              </w:rPr>
              <w:t> </w:t>
            </w:r>
            <w:r>
              <w:rPr>
                <w:sz w:val="20"/>
              </w:rPr>
              <w:t>where</w:t>
            </w:r>
            <w:r>
              <w:rPr>
                <w:spacing w:val="-2"/>
                <w:sz w:val="20"/>
              </w:rPr>
              <w:t> </w:t>
            </w:r>
            <w:r>
              <w:rPr>
                <w:sz w:val="20"/>
              </w:rPr>
              <w:t>we</w:t>
            </w:r>
            <w:r>
              <w:rPr>
                <w:spacing w:val="-4"/>
                <w:sz w:val="20"/>
              </w:rPr>
              <w:t> </w:t>
            </w:r>
            <w:r>
              <w:rPr>
                <w:sz w:val="20"/>
              </w:rPr>
              <w:t>considered</w:t>
            </w:r>
            <w:r>
              <w:rPr>
                <w:spacing w:val="-4"/>
                <w:sz w:val="20"/>
              </w:rPr>
              <w:t> </w:t>
            </w:r>
            <w:r>
              <w:rPr>
                <w:sz w:val="20"/>
              </w:rPr>
              <w:t>an</w:t>
            </w:r>
            <w:r>
              <w:rPr>
                <w:spacing w:val="-4"/>
                <w:sz w:val="20"/>
              </w:rPr>
              <w:t> </w:t>
            </w:r>
            <w:r>
              <w:rPr>
                <w:sz w:val="20"/>
              </w:rPr>
              <w:t>invoice</w:t>
            </w:r>
            <w:r>
              <w:rPr>
                <w:spacing w:val="-6"/>
                <w:sz w:val="20"/>
              </w:rPr>
              <w:t> </w:t>
            </w:r>
            <w:r>
              <w:rPr>
                <w:sz w:val="20"/>
              </w:rPr>
              <w:t>to</w:t>
            </w:r>
            <w:r>
              <w:rPr>
                <w:spacing w:val="-3"/>
                <w:sz w:val="20"/>
              </w:rPr>
              <w:t> </w:t>
            </w:r>
            <w:r>
              <w:rPr>
                <w:sz w:val="20"/>
              </w:rPr>
              <w:t>have</w:t>
            </w:r>
            <w:r>
              <w:rPr>
                <w:spacing w:val="-4"/>
                <w:sz w:val="20"/>
              </w:rPr>
              <w:t> </w:t>
            </w:r>
            <w:r>
              <w:rPr>
                <w:sz w:val="20"/>
              </w:rPr>
              <w:t>been</w:t>
            </w:r>
            <w:r>
              <w:rPr>
                <w:spacing w:val="-4"/>
                <w:sz w:val="20"/>
              </w:rPr>
              <w:t> </w:t>
            </w:r>
            <w:r>
              <w:rPr>
                <w:sz w:val="20"/>
              </w:rPr>
              <w:t>inappropriately</w:t>
            </w:r>
            <w:r>
              <w:rPr>
                <w:spacing w:val="-5"/>
                <w:sz w:val="20"/>
              </w:rPr>
              <w:t> </w:t>
            </w:r>
            <w:r>
              <w:rPr>
                <w:sz w:val="20"/>
              </w:rPr>
              <w:t>marked as ‘in dispute’ (which stops the clock for PSPP purposes), based on the criteria set out within both the IOH Guide and Accounts Payables month-end procedure.</w:t>
            </w:r>
          </w:p>
        </w:tc>
        <w:tc>
          <w:tcPr>
            <w:tcW w:w="3980" w:type="dxa"/>
            <w:tcBorders>
              <w:top w:val="nil"/>
              <w:bottom w:val="nil"/>
            </w:tcBorders>
          </w:tcPr>
          <w:p>
            <w:pPr>
              <w:pStyle w:val="TableParagraph"/>
              <w:spacing w:before="55"/>
              <w:ind w:left="108"/>
              <w:rPr>
                <w:sz w:val="20"/>
              </w:rPr>
            </w:pPr>
            <w:r>
              <w:rPr>
                <w:sz w:val="20"/>
              </w:rPr>
              <w:t>Potential</w:t>
            </w:r>
            <w:r>
              <w:rPr>
                <w:spacing w:val="-6"/>
                <w:sz w:val="20"/>
              </w:rPr>
              <w:t> </w:t>
            </w:r>
            <w:r>
              <w:rPr>
                <w:sz w:val="20"/>
              </w:rPr>
              <w:t>risk</w:t>
            </w:r>
            <w:r>
              <w:rPr>
                <w:spacing w:val="-8"/>
                <w:sz w:val="20"/>
              </w:rPr>
              <w:t> </w:t>
            </w:r>
            <w:r>
              <w:rPr>
                <w:spacing w:val="-5"/>
                <w:sz w:val="20"/>
              </w:rPr>
              <w:t>of:</w:t>
            </w:r>
          </w:p>
          <w:p>
            <w:pPr>
              <w:pStyle w:val="TableParagraph"/>
              <w:numPr>
                <w:ilvl w:val="0"/>
                <w:numId w:val="27"/>
              </w:numPr>
              <w:tabs>
                <w:tab w:pos="468" w:val="left" w:leader="none"/>
                <w:tab w:pos="469" w:val="left" w:leader="none"/>
              </w:tabs>
              <w:spacing w:line="240" w:lineRule="auto" w:before="180" w:after="0"/>
              <w:ind w:left="468" w:right="241" w:hanging="360"/>
              <w:jc w:val="left"/>
              <w:rPr>
                <w:sz w:val="20"/>
              </w:rPr>
            </w:pPr>
            <w:r>
              <w:rPr>
                <w:sz w:val="20"/>
              </w:rPr>
              <w:t>Late payments resulting in breach</w:t>
            </w:r>
            <w:r>
              <w:rPr>
                <w:spacing w:val="-11"/>
                <w:sz w:val="20"/>
              </w:rPr>
              <w:t> </w:t>
            </w:r>
            <w:r>
              <w:rPr>
                <w:sz w:val="20"/>
              </w:rPr>
              <w:t>of</w:t>
            </w:r>
            <w:r>
              <w:rPr>
                <w:spacing w:val="-12"/>
                <w:sz w:val="20"/>
              </w:rPr>
              <w:t> </w:t>
            </w:r>
            <w:r>
              <w:rPr>
                <w:sz w:val="20"/>
              </w:rPr>
              <w:t>Public</w:t>
            </w:r>
            <w:r>
              <w:rPr>
                <w:spacing w:val="-12"/>
                <w:sz w:val="20"/>
              </w:rPr>
              <w:t> </w:t>
            </w:r>
            <w:r>
              <w:rPr>
                <w:sz w:val="20"/>
              </w:rPr>
              <w:t>Sector</w:t>
            </w:r>
            <w:r>
              <w:rPr>
                <w:spacing w:val="-9"/>
                <w:sz w:val="20"/>
              </w:rPr>
              <w:t> </w:t>
            </w:r>
            <w:r>
              <w:rPr>
                <w:sz w:val="20"/>
              </w:rPr>
              <w:t>Payment </w:t>
            </w:r>
            <w:r>
              <w:rPr>
                <w:spacing w:val="-2"/>
                <w:sz w:val="20"/>
              </w:rPr>
              <w:t>Policy.</w:t>
            </w:r>
          </w:p>
        </w:tc>
      </w:tr>
      <w:tr>
        <w:trPr>
          <w:trHeight w:val="484" w:hRule="atLeast"/>
        </w:trPr>
        <w:tc>
          <w:tcPr>
            <w:tcW w:w="11329" w:type="dxa"/>
            <w:gridSpan w:val="3"/>
            <w:tcBorders>
              <w:top w:val="nil"/>
              <w:bottom w:val="nil"/>
            </w:tcBorders>
            <w:shd w:val="clear" w:color="auto" w:fill="2E5395"/>
          </w:tcPr>
          <w:p>
            <w:pPr>
              <w:pStyle w:val="TableParagraph"/>
              <w:spacing w:before="58"/>
              <w:ind w:left="107"/>
              <w:rPr>
                <w:b/>
                <w:sz w:val="20"/>
              </w:rPr>
            </w:pPr>
            <w:r>
              <w:rPr>
                <w:b/>
                <w:color w:val="FFFFFF"/>
                <w:spacing w:val="-2"/>
                <w:sz w:val="20"/>
              </w:rPr>
              <w:t>Recommendations</w:t>
            </w:r>
          </w:p>
        </w:tc>
        <w:tc>
          <w:tcPr>
            <w:tcW w:w="3980" w:type="dxa"/>
            <w:tcBorders>
              <w:top w:val="nil"/>
              <w:bottom w:val="nil"/>
            </w:tcBorders>
            <w:shd w:val="clear" w:color="auto" w:fill="2E5395"/>
          </w:tcPr>
          <w:p>
            <w:pPr>
              <w:pStyle w:val="TableParagraph"/>
              <w:spacing w:before="58"/>
              <w:ind w:left="1530" w:right="1523"/>
              <w:jc w:val="center"/>
              <w:rPr>
                <w:b/>
                <w:sz w:val="20"/>
              </w:rPr>
            </w:pPr>
            <w:r>
              <w:rPr>
                <w:b/>
                <w:color w:val="FFFFFF"/>
                <w:spacing w:val="-2"/>
                <w:sz w:val="20"/>
              </w:rPr>
              <w:t>Priority</w:t>
            </w:r>
          </w:p>
        </w:tc>
      </w:tr>
      <w:tr>
        <w:trPr>
          <w:trHeight w:val="1226" w:hRule="atLeast"/>
        </w:trPr>
        <w:tc>
          <w:tcPr>
            <w:tcW w:w="991" w:type="dxa"/>
            <w:tcBorders>
              <w:top w:val="nil"/>
            </w:tcBorders>
          </w:tcPr>
          <w:p>
            <w:pPr>
              <w:pStyle w:val="TableParagraph"/>
              <w:spacing w:before="55"/>
              <w:ind w:left="107"/>
              <w:rPr>
                <w:sz w:val="20"/>
              </w:rPr>
            </w:pPr>
            <w:r>
              <w:rPr>
                <w:spacing w:val="-5"/>
                <w:sz w:val="20"/>
              </w:rPr>
              <w:t>3.1</w:t>
            </w:r>
          </w:p>
        </w:tc>
        <w:tc>
          <w:tcPr>
            <w:tcW w:w="10338" w:type="dxa"/>
            <w:gridSpan w:val="2"/>
            <w:tcBorders>
              <w:top w:val="nil"/>
            </w:tcBorders>
          </w:tcPr>
          <w:p>
            <w:pPr>
              <w:pStyle w:val="TableParagraph"/>
              <w:spacing w:before="55"/>
              <w:ind w:left="148"/>
              <w:rPr>
                <w:i/>
                <w:sz w:val="20"/>
              </w:rPr>
            </w:pPr>
            <w:r>
              <w:rPr>
                <w:i/>
                <w:sz w:val="20"/>
              </w:rPr>
              <w:t>Reiterated</w:t>
            </w:r>
            <w:r>
              <w:rPr>
                <w:i/>
                <w:spacing w:val="-9"/>
                <w:sz w:val="20"/>
              </w:rPr>
              <w:t> </w:t>
            </w:r>
            <w:r>
              <w:rPr>
                <w:i/>
                <w:sz w:val="20"/>
              </w:rPr>
              <w:t>from</w:t>
            </w:r>
            <w:r>
              <w:rPr>
                <w:i/>
                <w:spacing w:val="-9"/>
                <w:sz w:val="20"/>
              </w:rPr>
              <w:t> </w:t>
            </w:r>
            <w:r>
              <w:rPr>
                <w:i/>
                <w:sz w:val="20"/>
              </w:rPr>
              <w:t>2021/22</w:t>
            </w:r>
            <w:r>
              <w:rPr>
                <w:i/>
                <w:spacing w:val="-10"/>
                <w:sz w:val="20"/>
              </w:rPr>
              <w:t> </w:t>
            </w:r>
            <w:r>
              <w:rPr>
                <w:i/>
                <w:spacing w:val="-2"/>
                <w:sz w:val="20"/>
              </w:rPr>
              <w:t>audit:</w:t>
            </w:r>
          </w:p>
          <w:p>
            <w:pPr>
              <w:pStyle w:val="TableParagraph"/>
              <w:spacing w:line="278" w:lineRule="auto" w:before="197"/>
              <w:ind w:left="148" w:right="66"/>
              <w:rPr>
                <w:sz w:val="20"/>
              </w:rPr>
            </w:pPr>
            <w:r>
              <w:rPr>
                <w:sz w:val="20"/>
              </w:rPr>
              <w:t>Invoices</w:t>
            </w:r>
            <w:r>
              <w:rPr>
                <w:spacing w:val="-2"/>
                <w:sz w:val="20"/>
              </w:rPr>
              <w:t> </w:t>
            </w:r>
            <w:r>
              <w:rPr>
                <w:sz w:val="20"/>
              </w:rPr>
              <w:t>should</w:t>
            </w:r>
            <w:r>
              <w:rPr>
                <w:spacing w:val="-2"/>
                <w:sz w:val="20"/>
              </w:rPr>
              <w:t> </w:t>
            </w:r>
            <w:r>
              <w:rPr>
                <w:sz w:val="20"/>
              </w:rPr>
              <w:t>only</w:t>
            </w:r>
            <w:r>
              <w:rPr>
                <w:spacing w:val="-4"/>
                <w:sz w:val="20"/>
              </w:rPr>
              <w:t> </w:t>
            </w:r>
            <w:r>
              <w:rPr>
                <w:sz w:val="20"/>
              </w:rPr>
              <w:t>be</w:t>
            </w:r>
            <w:r>
              <w:rPr>
                <w:spacing w:val="-1"/>
                <w:sz w:val="20"/>
              </w:rPr>
              <w:t> </w:t>
            </w:r>
            <w:r>
              <w:rPr>
                <w:sz w:val="20"/>
              </w:rPr>
              <w:t>placed</w:t>
            </w:r>
            <w:r>
              <w:rPr>
                <w:spacing w:val="-3"/>
                <w:sz w:val="20"/>
              </w:rPr>
              <w:t> </w:t>
            </w:r>
            <w:r>
              <w:rPr>
                <w:sz w:val="20"/>
              </w:rPr>
              <w:t>as</w:t>
            </w:r>
            <w:r>
              <w:rPr>
                <w:spacing w:val="-5"/>
                <w:sz w:val="20"/>
              </w:rPr>
              <w:t> </w:t>
            </w:r>
            <w:r>
              <w:rPr>
                <w:sz w:val="20"/>
              </w:rPr>
              <w:t>in</w:t>
            </w:r>
            <w:r>
              <w:rPr>
                <w:spacing w:val="-3"/>
                <w:sz w:val="20"/>
              </w:rPr>
              <w:t> </w:t>
            </w:r>
            <w:r>
              <w:rPr>
                <w:sz w:val="20"/>
              </w:rPr>
              <w:t>dispute</w:t>
            </w:r>
            <w:r>
              <w:rPr>
                <w:spacing w:val="-3"/>
                <w:sz w:val="20"/>
              </w:rPr>
              <w:t> </w:t>
            </w:r>
            <w:r>
              <w:rPr>
                <w:sz w:val="20"/>
              </w:rPr>
              <w:t>as</w:t>
            </w:r>
            <w:r>
              <w:rPr>
                <w:spacing w:val="-4"/>
                <w:sz w:val="20"/>
              </w:rPr>
              <w:t> </w:t>
            </w:r>
            <w:r>
              <w:rPr>
                <w:sz w:val="20"/>
              </w:rPr>
              <w:t>in</w:t>
            </w:r>
            <w:r>
              <w:rPr>
                <w:spacing w:val="-3"/>
                <w:sz w:val="20"/>
              </w:rPr>
              <w:t> </w:t>
            </w:r>
            <w:r>
              <w:rPr>
                <w:sz w:val="20"/>
              </w:rPr>
              <w:t>line</w:t>
            </w:r>
            <w:r>
              <w:rPr>
                <w:spacing w:val="-5"/>
                <w:sz w:val="20"/>
              </w:rPr>
              <w:t> </w:t>
            </w:r>
            <w:r>
              <w:rPr>
                <w:sz w:val="20"/>
              </w:rPr>
              <w:t>with</w:t>
            </w:r>
            <w:r>
              <w:rPr>
                <w:spacing w:val="-3"/>
                <w:sz w:val="20"/>
              </w:rPr>
              <w:t> </w:t>
            </w:r>
            <w:r>
              <w:rPr>
                <w:sz w:val="20"/>
              </w:rPr>
              <w:t>the</w:t>
            </w:r>
            <w:r>
              <w:rPr>
                <w:spacing w:val="-5"/>
                <w:sz w:val="20"/>
              </w:rPr>
              <w:t> </w:t>
            </w:r>
            <w:r>
              <w:rPr>
                <w:sz w:val="20"/>
              </w:rPr>
              <w:t>prescribed</w:t>
            </w:r>
            <w:r>
              <w:rPr>
                <w:spacing w:val="-3"/>
                <w:sz w:val="20"/>
              </w:rPr>
              <w:t> </w:t>
            </w:r>
            <w:r>
              <w:rPr>
                <w:sz w:val="20"/>
              </w:rPr>
              <w:t>criteria</w:t>
            </w:r>
            <w:r>
              <w:rPr>
                <w:spacing w:val="-2"/>
                <w:sz w:val="20"/>
              </w:rPr>
              <w:t> </w:t>
            </w:r>
            <w:r>
              <w:rPr>
                <w:sz w:val="20"/>
              </w:rPr>
              <w:t>within both</w:t>
            </w:r>
            <w:r>
              <w:rPr>
                <w:spacing w:val="-3"/>
                <w:sz w:val="20"/>
              </w:rPr>
              <w:t> </w:t>
            </w:r>
            <w:r>
              <w:rPr>
                <w:sz w:val="20"/>
              </w:rPr>
              <w:t>the Invoice on Hold guide and the Accounts Payable month-end procedure.</w:t>
            </w:r>
          </w:p>
        </w:tc>
        <w:tc>
          <w:tcPr>
            <w:tcW w:w="3980" w:type="dxa"/>
            <w:tcBorders>
              <w:top w:val="nil"/>
            </w:tcBorders>
            <w:shd w:val="clear" w:color="auto" w:fill="92D050"/>
          </w:tcPr>
          <w:p>
            <w:pPr>
              <w:pStyle w:val="TableParagraph"/>
              <w:rPr>
                <w:sz w:val="24"/>
              </w:rPr>
            </w:pPr>
          </w:p>
          <w:p>
            <w:pPr>
              <w:pStyle w:val="TableParagraph"/>
              <w:spacing w:before="201"/>
              <w:ind w:left="1531" w:right="1523"/>
              <w:jc w:val="center"/>
              <w:rPr>
                <w:b/>
                <w:sz w:val="20"/>
              </w:rPr>
            </w:pPr>
            <w:r>
              <w:rPr>
                <w:b/>
                <w:spacing w:val="-5"/>
                <w:sz w:val="20"/>
              </w:rPr>
              <w:t>Low</w:t>
            </w:r>
          </w:p>
        </w:tc>
      </w:tr>
      <w:tr>
        <w:trPr>
          <w:trHeight w:val="474" w:hRule="atLeast"/>
        </w:trPr>
        <w:tc>
          <w:tcPr>
            <w:tcW w:w="9294" w:type="dxa"/>
            <w:gridSpan w:val="2"/>
            <w:tcBorders>
              <w:bottom w:val="nil"/>
            </w:tcBorders>
            <w:shd w:val="clear" w:color="auto" w:fill="2E5395"/>
          </w:tcPr>
          <w:p>
            <w:pPr>
              <w:pStyle w:val="TableParagraph"/>
              <w:spacing w:before="58"/>
              <w:ind w:left="107"/>
              <w:rPr>
                <w:b/>
                <w:sz w:val="20"/>
              </w:rPr>
            </w:pPr>
            <w:r>
              <w:rPr>
                <w:b/>
                <w:color w:val="FFFFFF"/>
                <w:sz w:val="20"/>
              </w:rPr>
              <w:t>Agreed</w:t>
            </w:r>
            <w:r>
              <w:rPr>
                <w:b/>
                <w:color w:val="FFFFFF"/>
                <w:spacing w:val="-14"/>
                <w:sz w:val="20"/>
              </w:rPr>
              <w:t> </w:t>
            </w:r>
            <w:r>
              <w:rPr>
                <w:b/>
                <w:color w:val="FFFFFF"/>
                <w:sz w:val="20"/>
              </w:rPr>
              <w:t>Management</w:t>
            </w:r>
            <w:r>
              <w:rPr>
                <w:b/>
                <w:color w:val="FFFFFF"/>
                <w:spacing w:val="-12"/>
                <w:sz w:val="20"/>
              </w:rPr>
              <w:t> </w:t>
            </w:r>
            <w:r>
              <w:rPr>
                <w:b/>
                <w:color w:val="FFFFFF"/>
                <w:spacing w:val="-2"/>
                <w:sz w:val="20"/>
              </w:rPr>
              <w:t>Action</w:t>
            </w:r>
          </w:p>
        </w:tc>
        <w:tc>
          <w:tcPr>
            <w:tcW w:w="2035" w:type="dxa"/>
            <w:tcBorders>
              <w:bottom w:val="nil"/>
            </w:tcBorders>
            <w:shd w:val="clear" w:color="auto" w:fill="2E5395"/>
          </w:tcPr>
          <w:p>
            <w:pPr>
              <w:pStyle w:val="TableParagraph"/>
              <w:spacing w:before="58"/>
              <w:ind w:left="253" w:right="246"/>
              <w:jc w:val="center"/>
              <w:rPr>
                <w:b/>
                <w:sz w:val="20"/>
              </w:rPr>
            </w:pPr>
            <w:r>
              <w:rPr>
                <w:b/>
                <w:color w:val="FFFFFF"/>
                <w:sz w:val="20"/>
              </w:rPr>
              <w:t>Target</w:t>
            </w:r>
            <w:r>
              <w:rPr>
                <w:b/>
                <w:color w:val="FFFFFF"/>
                <w:spacing w:val="-11"/>
                <w:sz w:val="20"/>
              </w:rPr>
              <w:t> </w:t>
            </w:r>
            <w:r>
              <w:rPr>
                <w:b/>
                <w:color w:val="FFFFFF"/>
                <w:spacing w:val="-4"/>
                <w:sz w:val="20"/>
              </w:rPr>
              <w:t>Date</w:t>
            </w:r>
          </w:p>
        </w:tc>
        <w:tc>
          <w:tcPr>
            <w:tcW w:w="3980" w:type="dxa"/>
            <w:tcBorders>
              <w:bottom w:val="nil"/>
            </w:tcBorders>
            <w:shd w:val="clear" w:color="auto" w:fill="2E5395"/>
          </w:tcPr>
          <w:p>
            <w:pPr>
              <w:pStyle w:val="TableParagraph"/>
              <w:spacing w:before="58"/>
              <w:ind w:left="900"/>
              <w:rPr>
                <w:b/>
                <w:sz w:val="20"/>
              </w:rPr>
            </w:pPr>
            <w:r>
              <w:rPr>
                <w:b/>
                <w:color w:val="FFFFFF"/>
                <w:spacing w:val="-2"/>
                <w:sz w:val="20"/>
              </w:rPr>
              <w:t>Responsible</w:t>
            </w:r>
            <w:r>
              <w:rPr>
                <w:b/>
                <w:color w:val="FFFFFF"/>
                <w:spacing w:val="4"/>
                <w:sz w:val="20"/>
              </w:rPr>
              <w:t> </w:t>
            </w:r>
            <w:r>
              <w:rPr>
                <w:b/>
                <w:color w:val="FFFFFF"/>
                <w:spacing w:val="-2"/>
                <w:sz w:val="20"/>
              </w:rPr>
              <w:t>Officer</w:t>
            </w:r>
          </w:p>
        </w:tc>
      </w:tr>
      <w:tr>
        <w:trPr>
          <w:trHeight w:val="1204" w:hRule="atLeast"/>
        </w:trPr>
        <w:tc>
          <w:tcPr>
            <w:tcW w:w="991" w:type="dxa"/>
            <w:tcBorders>
              <w:top w:val="nil"/>
            </w:tcBorders>
          </w:tcPr>
          <w:p>
            <w:pPr>
              <w:pStyle w:val="TableParagraph"/>
              <w:spacing w:before="58"/>
              <w:ind w:left="107"/>
              <w:rPr>
                <w:sz w:val="20"/>
              </w:rPr>
            </w:pPr>
            <w:r>
              <w:rPr>
                <w:spacing w:val="-5"/>
                <w:sz w:val="20"/>
              </w:rPr>
              <w:t>3.1</w:t>
            </w:r>
          </w:p>
        </w:tc>
        <w:tc>
          <w:tcPr>
            <w:tcW w:w="8303" w:type="dxa"/>
            <w:tcBorders>
              <w:top w:val="nil"/>
            </w:tcBorders>
          </w:tcPr>
          <w:p>
            <w:pPr>
              <w:pStyle w:val="TableParagraph"/>
              <w:spacing w:line="276" w:lineRule="auto" w:before="58"/>
              <w:ind w:left="148" w:right="9"/>
              <w:rPr>
                <w:sz w:val="20"/>
              </w:rPr>
            </w:pPr>
            <w:r>
              <w:rPr>
                <w:sz w:val="20"/>
              </w:rPr>
              <w:t>Agreed</w:t>
            </w:r>
            <w:r>
              <w:rPr>
                <w:spacing w:val="-4"/>
                <w:sz w:val="20"/>
              </w:rPr>
              <w:t> </w:t>
            </w:r>
            <w:r>
              <w:rPr>
                <w:sz w:val="20"/>
              </w:rPr>
              <w:t>–</w:t>
            </w:r>
            <w:r>
              <w:rPr>
                <w:spacing w:val="-5"/>
                <w:sz w:val="20"/>
              </w:rPr>
              <w:t> </w:t>
            </w:r>
            <w:r>
              <w:rPr>
                <w:sz w:val="20"/>
              </w:rPr>
              <w:t>All</w:t>
            </w:r>
            <w:r>
              <w:rPr>
                <w:spacing w:val="-4"/>
                <w:sz w:val="20"/>
              </w:rPr>
              <w:t> </w:t>
            </w:r>
            <w:r>
              <w:rPr>
                <w:sz w:val="20"/>
              </w:rPr>
              <w:t>AP</w:t>
            </w:r>
            <w:r>
              <w:rPr>
                <w:spacing w:val="-2"/>
                <w:sz w:val="20"/>
              </w:rPr>
              <w:t> </w:t>
            </w:r>
            <w:r>
              <w:rPr>
                <w:sz w:val="20"/>
              </w:rPr>
              <w:t>&amp;</w:t>
            </w:r>
            <w:r>
              <w:rPr>
                <w:spacing w:val="-4"/>
                <w:sz w:val="20"/>
              </w:rPr>
              <w:t> </w:t>
            </w:r>
            <w:r>
              <w:rPr>
                <w:sz w:val="20"/>
              </w:rPr>
              <w:t>eEnablement</w:t>
            </w:r>
            <w:r>
              <w:rPr>
                <w:spacing w:val="-4"/>
                <w:sz w:val="20"/>
              </w:rPr>
              <w:t> </w:t>
            </w:r>
            <w:r>
              <w:rPr>
                <w:sz w:val="20"/>
              </w:rPr>
              <w:t>Staff</w:t>
            </w:r>
            <w:r>
              <w:rPr>
                <w:spacing w:val="-6"/>
                <w:sz w:val="20"/>
              </w:rPr>
              <w:t> </w:t>
            </w:r>
            <w:r>
              <w:rPr>
                <w:sz w:val="20"/>
              </w:rPr>
              <w:t>involved</w:t>
            </w:r>
            <w:r>
              <w:rPr>
                <w:spacing w:val="-4"/>
                <w:sz w:val="20"/>
              </w:rPr>
              <w:t> </w:t>
            </w:r>
            <w:r>
              <w:rPr>
                <w:sz w:val="20"/>
              </w:rPr>
              <w:t>in</w:t>
            </w:r>
            <w:r>
              <w:rPr>
                <w:spacing w:val="-1"/>
                <w:sz w:val="20"/>
              </w:rPr>
              <w:t> </w:t>
            </w:r>
            <w:r>
              <w:rPr>
                <w:sz w:val="20"/>
              </w:rPr>
              <w:t>placing</w:t>
            </w:r>
            <w:r>
              <w:rPr>
                <w:spacing w:val="-4"/>
                <w:sz w:val="20"/>
              </w:rPr>
              <w:t> </w:t>
            </w:r>
            <w:r>
              <w:rPr>
                <w:sz w:val="20"/>
              </w:rPr>
              <w:t>invoices</w:t>
            </w:r>
            <w:r>
              <w:rPr>
                <w:spacing w:val="-3"/>
                <w:sz w:val="20"/>
              </w:rPr>
              <w:t> </w:t>
            </w:r>
            <w:r>
              <w:rPr>
                <w:sz w:val="20"/>
              </w:rPr>
              <w:t>in</w:t>
            </w:r>
            <w:r>
              <w:rPr>
                <w:spacing w:val="-3"/>
                <w:sz w:val="20"/>
              </w:rPr>
              <w:t> </w:t>
            </w:r>
            <w:r>
              <w:rPr>
                <w:sz w:val="20"/>
              </w:rPr>
              <w:t>dispute</w:t>
            </w:r>
            <w:r>
              <w:rPr>
                <w:spacing w:val="-6"/>
                <w:sz w:val="20"/>
              </w:rPr>
              <w:t> </w:t>
            </w:r>
            <w:r>
              <w:rPr>
                <w:sz w:val="20"/>
              </w:rPr>
              <w:t>will be reminded that they should only be placed as in dispute in line with the prescribed criteria within both the Invoice on Hold guide and the Accounts Payable month-end procedure.</w:t>
            </w:r>
          </w:p>
        </w:tc>
        <w:tc>
          <w:tcPr>
            <w:tcW w:w="2035" w:type="dxa"/>
            <w:tcBorders>
              <w:top w:val="nil"/>
            </w:tcBorders>
          </w:tcPr>
          <w:p>
            <w:pPr>
              <w:pStyle w:val="TableParagraph"/>
              <w:spacing w:before="58"/>
              <w:ind w:left="254" w:right="246"/>
              <w:jc w:val="center"/>
              <w:rPr>
                <w:sz w:val="20"/>
              </w:rPr>
            </w:pPr>
            <w:r>
              <w:rPr>
                <w:sz w:val="20"/>
              </w:rPr>
              <w:t>31</w:t>
            </w:r>
            <w:r>
              <w:rPr>
                <w:spacing w:val="-4"/>
                <w:sz w:val="20"/>
              </w:rPr>
              <w:t> </w:t>
            </w:r>
            <w:r>
              <w:rPr>
                <w:sz w:val="20"/>
              </w:rPr>
              <w:t>March</w:t>
            </w:r>
            <w:r>
              <w:rPr>
                <w:spacing w:val="-5"/>
                <w:sz w:val="20"/>
              </w:rPr>
              <w:t> </w:t>
            </w:r>
            <w:r>
              <w:rPr>
                <w:spacing w:val="-4"/>
                <w:sz w:val="20"/>
              </w:rPr>
              <w:t>2023</w:t>
            </w:r>
          </w:p>
        </w:tc>
        <w:tc>
          <w:tcPr>
            <w:tcW w:w="3980" w:type="dxa"/>
            <w:tcBorders>
              <w:top w:val="nil"/>
            </w:tcBorders>
          </w:tcPr>
          <w:p>
            <w:pPr>
              <w:pStyle w:val="TableParagraph"/>
              <w:spacing w:line="259" w:lineRule="auto" w:before="58"/>
              <w:ind w:left="108"/>
              <w:rPr>
                <w:sz w:val="20"/>
              </w:rPr>
            </w:pPr>
            <w:r>
              <w:rPr>
                <w:sz w:val="20"/>
              </w:rPr>
              <w:t>Head</w:t>
            </w:r>
            <w:r>
              <w:rPr>
                <w:spacing w:val="-8"/>
                <w:sz w:val="20"/>
              </w:rPr>
              <w:t> </w:t>
            </w:r>
            <w:r>
              <w:rPr>
                <w:sz w:val="20"/>
              </w:rPr>
              <w:t>of</w:t>
            </w:r>
            <w:r>
              <w:rPr>
                <w:spacing w:val="-10"/>
                <w:sz w:val="20"/>
              </w:rPr>
              <w:t> </w:t>
            </w:r>
            <w:r>
              <w:rPr>
                <w:sz w:val="20"/>
              </w:rPr>
              <w:t>Accounts</w:t>
            </w:r>
            <w:r>
              <w:rPr>
                <w:spacing w:val="-12"/>
                <w:sz w:val="20"/>
              </w:rPr>
              <w:t> </w:t>
            </w:r>
            <w:r>
              <w:rPr>
                <w:sz w:val="20"/>
              </w:rPr>
              <w:t>Payable</w:t>
            </w:r>
            <w:r>
              <w:rPr>
                <w:spacing w:val="-12"/>
                <w:sz w:val="20"/>
              </w:rPr>
              <w:t> </w:t>
            </w:r>
            <w:r>
              <w:rPr>
                <w:sz w:val="20"/>
              </w:rPr>
              <w:t>&amp; </w:t>
            </w:r>
            <w:r>
              <w:rPr>
                <w:spacing w:val="-2"/>
                <w:sz w:val="20"/>
              </w:rPr>
              <w:t>eEnablement</w:t>
            </w:r>
          </w:p>
        </w:tc>
      </w:tr>
    </w:tbl>
    <w:p>
      <w:pPr>
        <w:spacing w:after="0" w:line="259" w:lineRule="auto"/>
        <w:rPr>
          <w:sz w:val="20"/>
        </w:rPr>
        <w:sectPr>
          <w:pgSz w:w="16840" w:h="11910" w:orient="landscape"/>
          <w:pgMar w:header="0" w:footer="770" w:top="900" w:bottom="960" w:left="600" w:right="700"/>
        </w:sectPr>
      </w:pPr>
    </w:p>
    <w:p>
      <w:pPr>
        <w:pStyle w:val="BodyText"/>
        <w:tabs>
          <w:tab w:pos="7892" w:val="left" w:leader="none"/>
        </w:tabs>
        <w:spacing w:before="77"/>
        <w:ind w:left="9729" w:right="809" w:hanging="9163"/>
        <w:jc w:val="right"/>
      </w:pPr>
      <w:r>
        <w:rPr/>
        <w:t>Accounts Payable</w:t>
        <w:tab/>
        <w:t>Final</w:t>
      </w:r>
      <w:r>
        <w:rPr>
          <w:spacing w:val="-12"/>
        </w:rPr>
        <w:t> </w:t>
      </w:r>
      <w:r>
        <w:rPr/>
        <w:t>Internal</w:t>
      </w:r>
      <w:r>
        <w:rPr>
          <w:spacing w:val="-12"/>
        </w:rPr>
        <w:t> </w:t>
      </w:r>
      <w:r>
        <w:rPr/>
        <w:t>Audit</w:t>
      </w:r>
      <w:r>
        <w:rPr>
          <w:spacing w:val="-10"/>
        </w:rPr>
        <w:t> </w:t>
      </w:r>
      <w:r>
        <w:rPr/>
        <w:t>Report Appendix</w:t>
      </w:r>
      <w:r>
        <w:rPr>
          <w:spacing w:val="-5"/>
        </w:rPr>
        <w:t> </w:t>
      </w:r>
      <w:r>
        <w:rPr>
          <w:spacing w:val="-10"/>
        </w:rPr>
        <w:t>B</w:t>
      </w:r>
    </w:p>
    <w:p>
      <w:pPr>
        <w:pStyle w:val="BodyText"/>
        <w:rPr>
          <w:sz w:val="20"/>
        </w:rPr>
      </w:pPr>
      <w:r>
        <w:rPr/>
        <w:pict>
          <v:shape style="position:absolute;margin-left:27.6pt;margin-top:13.381995pt;width:532.450pt;height:1.5pt;mso-position-horizontal-relative:page;mso-position-vertical-relative:paragraph;z-index:-15663104;mso-wrap-distance-left:0;mso-wrap-distance-right:0" id="docshape286" coordorigin="552,268" coordsize="10649,30" path="m11200,268l6529,268,6500,268,6500,268,552,268,552,297,6515,297,6515,296,6529,296,11200,296,11200,268xe" filled="true" fillcolor="#000000" stroked="false">
            <v:path arrowok="t"/>
            <v:fill type="solid"/>
            <w10:wrap type="topAndBottom"/>
          </v:shape>
        </w:pict>
      </w:r>
    </w:p>
    <w:p>
      <w:pPr>
        <w:pStyle w:val="BodyText"/>
        <w:rPr>
          <w:sz w:val="20"/>
        </w:rPr>
      </w:pPr>
    </w:p>
    <w:p>
      <w:pPr>
        <w:pStyle w:val="Heading4"/>
        <w:ind w:left="566"/>
      </w:pPr>
      <w:bookmarkStart w:name="_bookmark14" w:id="58"/>
      <w:bookmarkEnd w:id="58"/>
      <w:r>
        <w:rPr/>
      </w:r>
      <w:r>
        <w:rPr>
          <w:color w:val="3C5A8B"/>
        </w:rPr>
        <w:t>Appendix</w:t>
      </w:r>
      <w:r>
        <w:rPr>
          <w:color w:val="3C5A8B"/>
          <w:spacing w:val="-1"/>
        </w:rPr>
        <w:t> </w:t>
      </w:r>
      <w:r>
        <w:rPr>
          <w:color w:val="3C5A8B"/>
        </w:rPr>
        <w:t>B:</w:t>
      </w:r>
      <w:r>
        <w:rPr>
          <w:color w:val="3C5A8B"/>
          <w:spacing w:val="1"/>
        </w:rPr>
        <w:t> </w:t>
      </w:r>
      <w:r>
        <w:rPr>
          <w:color w:val="3C5A8B"/>
        </w:rPr>
        <w:t>Assurance</w:t>
      </w:r>
      <w:r>
        <w:rPr>
          <w:color w:val="3C5A8B"/>
          <w:spacing w:val="-3"/>
        </w:rPr>
        <w:t> </w:t>
      </w:r>
      <w:r>
        <w:rPr>
          <w:color w:val="3C5A8B"/>
        </w:rPr>
        <w:t>opinion</w:t>
      </w:r>
      <w:r>
        <w:rPr>
          <w:color w:val="3C5A8B"/>
          <w:spacing w:val="-1"/>
        </w:rPr>
        <w:t> </w:t>
      </w:r>
      <w:r>
        <w:rPr>
          <w:color w:val="3C5A8B"/>
        </w:rPr>
        <w:t>and</w:t>
      </w:r>
      <w:r>
        <w:rPr>
          <w:color w:val="3C5A8B"/>
          <w:spacing w:val="-1"/>
        </w:rPr>
        <w:t> </w:t>
      </w:r>
      <w:r>
        <w:rPr>
          <w:color w:val="3C5A8B"/>
        </w:rPr>
        <w:t>action</w:t>
      </w:r>
      <w:r>
        <w:rPr>
          <w:color w:val="3C5A8B"/>
          <w:spacing w:val="-1"/>
        </w:rPr>
        <w:t> </w:t>
      </w:r>
      <w:r>
        <w:rPr>
          <w:color w:val="3C5A8B"/>
        </w:rPr>
        <w:t>plan</w:t>
      </w:r>
      <w:r>
        <w:rPr>
          <w:color w:val="3C5A8B"/>
          <w:spacing w:val="-1"/>
        </w:rPr>
        <w:t> </w:t>
      </w:r>
      <w:r>
        <w:rPr>
          <w:color w:val="3C5A8B"/>
        </w:rPr>
        <w:t>risk</w:t>
      </w:r>
      <w:r>
        <w:rPr>
          <w:color w:val="3C5A8B"/>
          <w:spacing w:val="-1"/>
        </w:rPr>
        <w:t> </w:t>
      </w:r>
      <w:r>
        <w:rPr>
          <w:color w:val="3C5A8B"/>
          <w:spacing w:val="-2"/>
        </w:rPr>
        <w:t>rating</w:t>
      </w:r>
    </w:p>
    <w:p>
      <w:pPr>
        <w:pStyle w:val="Heading8"/>
        <w:spacing w:before="154"/>
        <w:rPr>
          <w:rFonts w:ascii="Verdana"/>
        </w:rPr>
      </w:pPr>
      <w:r>
        <w:rPr>
          <w:rFonts w:ascii="Verdana"/>
          <w:color w:val="3C5A8B"/>
        </w:rPr>
        <w:t>Audit</w:t>
      </w:r>
      <w:r>
        <w:rPr>
          <w:rFonts w:ascii="Verdana"/>
          <w:color w:val="3C5A8B"/>
          <w:spacing w:val="-5"/>
        </w:rPr>
        <w:t> </w:t>
      </w:r>
      <w:r>
        <w:rPr>
          <w:rFonts w:ascii="Verdana"/>
          <w:color w:val="3C5A8B"/>
        </w:rPr>
        <w:t>Assurance</w:t>
      </w:r>
      <w:r>
        <w:rPr>
          <w:rFonts w:ascii="Verdana"/>
          <w:color w:val="3C5A8B"/>
          <w:spacing w:val="-5"/>
        </w:rPr>
        <w:t> </w:t>
      </w:r>
      <w:r>
        <w:rPr>
          <w:rFonts w:ascii="Verdana"/>
          <w:color w:val="3C5A8B"/>
          <w:spacing w:val="-2"/>
        </w:rPr>
        <w:t>Ratings</w:t>
      </w:r>
    </w:p>
    <w:p>
      <w:pPr>
        <w:spacing w:line="259" w:lineRule="auto" w:before="145"/>
        <w:ind w:left="566" w:right="617" w:firstLine="0"/>
        <w:jc w:val="left"/>
        <w:rPr>
          <w:sz w:val="22"/>
        </w:rPr>
      </w:pPr>
      <w:r>
        <w:rPr>
          <w:sz w:val="22"/>
        </w:rPr>
        <w:t>We</w:t>
      </w:r>
      <w:r>
        <w:rPr>
          <w:spacing w:val="37"/>
          <w:sz w:val="22"/>
        </w:rPr>
        <w:t> </w:t>
      </w:r>
      <w:r>
        <w:rPr>
          <w:sz w:val="22"/>
        </w:rPr>
        <w:t>define</w:t>
      </w:r>
      <w:r>
        <w:rPr>
          <w:spacing w:val="37"/>
          <w:sz w:val="22"/>
        </w:rPr>
        <w:t> </w:t>
      </w:r>
      <w:r>
        <w:rPr>
          <w:sz w:val="22"/>
        </w:rPr>
        <w:t>the</w:t>
      </w:r>
      <w:r>
        <w:rPr>
          <w:spacing w:val="37"/>
          <w:sz w:val="22"/>
        </w:rPr>
        <w:t> </w:t>
      </w:r>
      <w:r>
        <w:rPr>
          <w:sz w:val="22"/>
        </w:rPr>
        <w:t>following</w:t>
      </w:r>
      <w:r>
        <w:rPr>
          <w:spacing w:val="35"/>
          <w:sz w:val="22"/>
        </w:rPr>
        <w:t> </w:t>
      </w:r>
      <w:r>
        <w:rPr>
          <w:sz w:val="22"/>
        </w:rPr>
        <w:t>levels</w:t>
      </w:r>
      <w:r>
        <w:rPr>
          <w:spacing w:val="37"/>
          <w:sz w:val="22"/>
        </w:rPr>
        <w:t> </w:t>
      </w:r>
      <w:r>
        <w:rPr>
          <w:sz w:val="22"/>
        </w:rPr>
        <w:t>of</w:t>
      </w:r>
      <w:r>
        <w:rPr>
          <w:spacing w:val="36"/>
          <w:sz w:val="22"/>
        </w:rPr>
        <w:t> </w:t>
      </w:r>
      <w:r>
        <w:rPr>
          <w:sz w:val="22"/>
        </w:rPr>
        <w:t>assurance</w:t>
      </w:r>
      <w:r>
        <w:rPr>
          <w:spacing w:val="37"/>
          <w:sz w:val="22"/>
        </w:rPr>
        <w:t> </w:t>
      </w:r>
      <w:r>
        <w:rPr>
          <w:sz w:val="22"/>
        </w:rPr>
        <w:t>that</w:t>
      </w:r>
      <w:r>
        <w:rPr>
          <w:spacing w:val="36"/>
          <w:sz w:val="22"/>
        </w:rPr>
        <w:t> </w:t>
      </w:r>
      <w:r>
        <w:rPr>
          <w:sz w:val="22"/>
        </w:rPr>
        <w:t>governance,</w:t>
      </w:r>
      <w:r>
        <w:rPr>
          <w:spacing w:val="37"/>
          <w:sz w:val="22"/>
        </w:rPr>
        <w:t> </w:t>
      </w:r>
      <w:r>
        <w:rPr>
          <w:sz w:val="22"/>
        </w:rPr>
        <w:t>risk</w:t>
      </w:r>
      <w:r>
        <w:rPr>
          <w:spacing w:val="35"/>
          <w:sz w:val="22"/>
        </w:rPr>
        <w:t> </w:t>
      </w:r>
      <w:r>
        <w:rPr>
          <w:sz w:val="22"/>
        </w:rPr>
        <w:t>management</w:t>
      </w:r>
      <w:r>
        <w:rPr>
          <w:spacing w:val="36"/>
          <w:sz w:val="22"/>
        </w:rPr>
        <w:t> </w:t>
      </w:r>
      <w:r>
        <w:rPr>
          <w:sz w:val="22"/>
        </w:rPr>
        <w:t>and</w:t>
      </w:r>
      <w:r>
        <w:rPr>
          <w:spacing w:val="33"/>
          <w:sz w:val="22"/>
        </w:rPr>
        <w:t> </w:t>
      </w:r>
      <w:r>
        <w:rPr>
          <w:sz w:val="22"/>
        </w:rPr>
        <w:t>internal control within the area under review are suitable designed and applied effectively:</w:t>
      </w:r>
    </w:p>
    <w:p>
      <w:pPr>
        <w:pStyle w:val="BodyText"/>
        <w:spacing w:before="7"/>
        <w:rPr>
          <w:sz w:val="9"/>
        </w:rPr>
      </w:pPr>
    </w:p>
    <w:p>
      <w:pPr>
        <w:spacing w:after="0"/>
        <w:rPr>
          <w:sz w:val="9"/>
        </w:rPr>
        <w:sectPr>
          <w:footerReference w:type="default" r:id="rId93"/>
          <w:pgSz w:w="11910" w:h="16840"/>
          <w:pgMar w:footer="125" w:header="0" w:top="880" w:bottom="320" w:left="0" w:right="0"/>
        </w:sectPr>
      </w:pPr>
    </w:p>
    <w:p>
      <w:pPr>
        <w:spacing w:before="226"/>
        <w:ind w:left="2654" w:right="0" w:hanging="75"/>
        <w:jc w:val="left"/>
        <w:rPr>
          <w:b/>
          <w:sz w:val="22"/>
        </w:rPr>
      </w:pPr>
      <w:r>
        <w:rPr>
          <w:b/>
          <w:color w:val="3C5A8B"/>
          <w:spacing w:val="-2"/>
          <w:sz w:val="22"/>
        </w:rPr>
        <w:t>Substantial assurance</w:t>
      </w:r>
    </w:p>
    <w:p>
      <w:pPr>
        <w:pStyle w:val="BodyText"/>
        <w:spacing w:before="9"/>
        <w:rPr>
          <w:b/>
          <w:sz w:val="35"/>
        </w:rPr>
      </w:pPr>
    </w:p>
    <w:p>
      <w:pPr>
        <w:spacing w:before="0"/>
        <w:ind w:left="2654" w:right="0" w:hanging="87"/>
        <w:jc w:val="left"/>
        <w:rPr>
          <w:b/>
          <w:sz w:val="22"/>
        </w:rPr>
      </w:pPr>
      <w:r>
        <w:rPr>
          <w:b/>
          <w:color w:val="3C5A8B"/>
          <w:spacing w:val="-2"/>
          <w:sz w:val="22"/>
        </w:rPr>
        <w:t>Reasonable assurance</w:t>
      </w:r>
    </w:p>
    <w:p>
      <w:pPr>
        <w:spacing w:before="99"/>
        <w:ind w:left="354" w:right="339" w:firstLine="0"/>
        <w:jc w:val="left"/>
        <w:rPr>
          <w:sz w:val="20"/>
        </w:rPr>
      </w:pPr>
      <w:r>
        <w:rPr/>
        <w:br w:type="column"/>
      </w:r>
      <w:r>
        <w:rPr>
          <w:sz w:val="20"/>
        </w:rPr>
        <w:t>Few matters require attention and are compliance or advisory in </w:t>
      </w:r>
      <w:r>
        <w:rPr>
          <w:spacing w:val="-2"/>
          <w:sz w:val="20"/>
        </w:rPr>
        <w:t>nature.</w:t>
      </w:r>
    </w:p>
    <w:p>
      <w:pPr>
        <w:spacing w:before="61"/>
        <w:ind w:left="354" w:right="0" w:firstLine="0"/>
        <w:jc w:val="left"/>
        <w:rPr>
          <w:sz w:val="20"/>
        </w:rPr>
      </w:pPr>
      <w:r>
        <w:rPr/>
        <w:pict>
          <v:group style="position:absolute;margin-left:28.32pt;margin-top:-29.136292pt;width:531.7pt;height:194.55pt;mso-position-horizontal-relative:page;mso-position-vertical-relative:paragraph;z-index:-24124416" id="docshapegroup287" coordorigin="566,-583" coordsize="10634,3891">
            <v:shape style="position:absolute;left:566;top:-583;width:10634;height:982" id="docshape288" coordorigin="566,-583" coordsize="10634,982" path="m4280,389l2292,389,2283,389,2283,389,566,389,566,399,2283,399,2283,399,2292,399,4280,399,4280,389xm4280,-583l2292,-583,2283,-583,2283,-583,566,-583,566,-573,2283,-573,2283,-573,2292,-573,4280,-573,4280,-583xm11200,389l4290,389,4280,389,4280,399,4290,399,11200,399,11200,389xm11200,-583l4290,-583,4280,-583,4280,-573,4290,-573,11200,-573,11200,-583xe" filled="true" fillcolor="#000000" stroked="false">
              <v:path arrowok="t"/>
              <v:fill type="solid"/>
            </v:shape>
            <v:shape style="position:absolute;left:675;top:-513;width:1499;height:839" type="#_x0000_t75" id="docshape289" stroked="false">
              <v:imagedata r:id="rId73" o:title=""/>
            </v:shape>
            <v:shape style="position:absolute;left:566;top:1364;width:10634;height:2" id="docshape290" coordorigin="566,1364" coordsize="10634,0" path="m566,1364l2283,1364m2283,1364l2292,1364m2292,1364l4280,1364m4280,1364l4290,1364m4290,1364l11200,1364e" filled="false" stroked="true" strokeweight=".48pt" strokecolor="#000000">
              <v:path arrowok="t"/>
              <v:stroke dashstyle="shortdash"/>
            </v:shape>
            <v:shape style="position:absolute;left:675;top:457;width:1499;height:839" type="#_x0000_t75" id="docshape291" stroked="false">
              <v:imagedata r:id="rId39" o:title=""/>
            </v:shape>
            <v:shape style="position:absolute;left:566;top:2333;width:10634;height:2" id="docshape292" coordorigin="566,2334" coordsize="10634,0" path="m566,2334l2283,2334m2283,2334l2292,2334m2292,2334l4280,2334m4280,2334l4290,2334m4290,2334l11200,2334e" filled="false" stroked="true" strokeweight=".48pt" strokecolor="#000000">
              <v:path arrowok="t"/>
              <v:stroke dashstyle="shortdash"/>
            </v:shape>
            <v:shape style="position:absolute;left:675;top:1427;width:1499;height:839" type="#_x0000_t75" id="docshape293" stroked="false">
              <v:imagedata r:id="rId74" o:title=""/>
            </v:shape>
            <v:shape style="position:absolute;left:566;top:3303;width:10634;height:2" id="docshape294" coordorigin="566,3303" coordsize="10634,0" path="m566,3303l2283,3303m2283,3303l2292,3303m2292,3303l4280,3303m4280,3303l4290,3303m4290,3303l11200,3303e" filled="false" stroked="true" strokeweight=".48pt" strokecolor="#000000">
              <v:path arrowok="t"/>
              <v:stroke dashstyle="shortdash"/>
            </v:shape>
            <v:shape style="position:absolute;left:675;top:2397;width:1499;height:839" type="#_x0000_t75" id="docshape295" stroked="false">
              <v:imagedata r:id="rId75" o:title=""/>
            </v:shape>
            <w10:wrap type="none"/>
          </v:group>
        </w:pict>
      </w:r>
      <w:r>
        <w:rPr>
          <w:b/>
          <w:color w:val="3C5A8B"/>
          <w:sz w:val="20"/>
        </w:rPr>
        <w:t>Low</w:t>
      </w:r>
      <w:r>
        <w:rPr>
          <w:b/>
          <w:color w:val="3C5A8B"/>
          <w:spacing w:val="-7"/>
          <w:sz w:val="20"/>
        </w:rPr>
        <w:t> </w:t>
      </w:r>
      <w:r>
        <w:rPr>
          <w:b/>
          <w:color w:val="3C5A8B"/>
          <w:sz w:val="20"/>
        </w:rPr>
        <w:t>impact</w:t>
      </w:r>
      <w:r>
        <w:rPr>
          <w:b/>
          <w:color w:val="3C5A8B"/>
          <w:spacing w:val="-2"/>
          <w:sz w:val="20"/>
        </w:rPr>
        <w:t> </w:t>
      </w:r>
      <w:r>
        <w:rPr>
          <w:sz w:val="20"/>
        </w:rPr>
        <w:t>on</w:t>
      </w:r>
      <w:r>
        <w:rPr>
          <w:spacing w:val="-4"/>
          <w:sz w:val="20"/>
        </w:rPr>
        <w:t> </w:t>
      </w:r>
      <w:r>
        <w:rPr>
          <w:sz w:val="20"/>
        </w:rPr>
        <w:t>residual</w:t>
      </w:r>
      <w:r>
        <w:rPr>
          <w:spacing w:val="-7"/>
          <w:sz w:val="20"/>
        </w:rPr>
        <w:t> </w:t>
      </w:r>
      <w:r>
        <w:rPr>
          <w:sz w:val="20"/>
        </w:rPr>
        <w:t>risk</w:t>
      </w:r>
      <w:r>
        <w:rPr>
          <w:spacing w:val="-6"/>
          <w:sz w:val="20"/>
        </w:rPr>
        <w:t> </w:t>
      </w:r>
      <w:r>
        <w:rPr>
          <w:spacing w:val="-2"/>
          <w:sz w:val="20"/>
        </w:rPr>
        <w:t>exposure.</w:t>
      </w:r>
    </w:p>
    <w:p>
      <w:pPr>
        <w:spacing w:before="180"/>
        <w:ind w:left="354" w:right="339" w:firstLine="0"/>
        <w:jc w:val="left"/>
        <w:rPr>
          <w:sz w:val="20"/>
        </w:rPr>
      </w:pPr>
      <w:r>
        <w:rPr>
          <w:sz w:val="20"/>
        </w:rPr>
        <w:t>Some matters require management attention in control design or </w:t>
      </w:r>
      <w:r>
        <w:rPr>
          <w:spacing w:val="-2"/>
          <w:sz w:val="20"/>
        </w:rPr>
        <w:t>compliance.</w:t>
      </w:r>
    </w:p>
    <w:p>
      <w:pPr>
        <w:spacing w:before="61"/>
        <w:ind w:left="354" w:right="0" w:firstLine="0"/>
        <w:jc w:val="left"/>
        <w:rPr>
          <w:sz w:val="20"/>
        </w:rPr>
      </w:pPr>
      <w:r>
        <w:rPr>
          <w:b/>
          <w:color w:val="3C5A8B"/>
          <w:spacing w:val="-2"/>
          <w:sz w:val="20"/>
        </w:rPr>
        <w:t>Low</w:t>
      </w:r>
      <w:r>
        <w:rPr>
          <w:b/>
          <w:color w:val="3C5A8B"/>
          <w:spacing w:val="-13"/>
          <w:sz w:val="20"/>
        </w:rPr>
        <w:t> </w:t>
      </w:r>
      <w:r>
        <w:rPr>
          <w:b/>
          <w:color w:val="3C5A8B"/>
          <w:spacing w:val="-2"/>
          <w:sz w:val="20"/>
        </w:rPr>
        <w:t>to</w:t>
      </w:r>
      <w:r>
        <w:rPr>
          <w:b/>
          <w:color w:val="3C5A8B"/>
          <w:spacing w:val="-12"/>
          <w:sz w:val="20"/>
        </w:rPr>
        <w:t> </w:t>
      </w:r>
      <w:r>
        <w:rPr>
          <w:b/>
          <w:color w:val="3C5A8B"/>
          <w:spacing w:val="-2"/>
          <w:sz w:val="20"/>
        </w:rPr>
        <w:t>moderate</w:t>
      </w:r>
      <w:r>
        <w:rPr>
          <w:b/>
          <w:color w:val="3C5A8B"/>
          <w:spacing w:val="-9"/>
          <w:sz w:val="20"/>
        </w:rPr>
        <w:t> </w:t>
      </w:r>
      <w:r>
        <w:rPr>
          <w:b/>
          <w:color w:val="3C5A8B"/>
          <w:spacing w:val="-2"/>
          <w:sz w:val="20"/>
        </w:rPr>
        <w:t>impact</w:t>
      </w:r>
      <w:r>
        <w:rPr>
          <w:b/>
          <w:color w:val="3C5A8B"/>
          <w:spacing w:val="-6"/>
          <w:sz w:val="20"/>
        </w:rPr>
        <w:t> </w:t>
      </w:r>
      <w:r>
        <w:rPr>
          <w:spacing w:val="-2"/>
          <w:sz w:val="20"/>
        </w:rPr>
        <w:t>on</w:t>
      </w:r>
      <w:r>
        <w:rPr>
          <w:spacing w:val="-10"/>
          <w:sz w:val="20"/>
        </w:rPr>
        <w:t> </w:t>
      </w:r>
      <w:r>
        <w:rPr>
          <w:spacing w:val="-2"/>
          <w:sz w:val="20"/>
        </w:rPr>
        <w:t>residual</w:t>
      </w:r>
      <w:r>
        <w:rPr>
          <w:spacing w:val="-11"/>
          <w:sz w:val="20"/>
        </w:rPr>
        <w:t> </w:t>
      </w:r>
      <w:r>
        <w:rPr>
          <w:spacing w:val="-2"/>
          <w:sz w:val="20"/>
        </w:rPr>
        <w:t>risk</w:t>
      </w:r>
      <w:r>
        <w:rPr>
          <w:spacing w:val="-8"/>
          <w:sz w:val="20"/>
        </w:rPr>
        <w:t> </w:t>
      </w:r>
      <w:r>
        <w:rPr>
          <w:spacing w:val="-2"/>
          <w:sz w:val="20"/>
        </w:rPr>
        <w:t>exposure</w:t>
      </w:r>
      <w:r>
        <w:rPr>
          <w:spacing w:val="-10"/>
          <w:sz w:val="20"/>
        </w:rPr>
        <w:t> </w:t>
      </w:r>
      <w:r>
        <w:rPr>
          <w:spacing w:val="-2"/>
          <w:sz w:val="20"/>
        </w:rPr>
        <w:t>until</w:t>
      </w:r>
      <w:r>
        <w:rPr>
          <w:spacing w:val="-10"/>
          <w:sz w:val="20"/>
        </w:rPr>
        <w:t> </w:t>
      </w:r>
      <w:r>
        <w:rPr>
          <w:spacing w:val="-2"/>
          <w:sz w:val="20"/>
        </w:rPr>
        <w:t>resolved.</w:t>
      </w:r>
    </w:p>
    <w:p>
      <w:pPr>
        <w:spacing w:after="0"/>
        <w:jc w:val="left"/>
        <w:rPr>
          <w:sz w:val="20"/>
        </w:rPr>
        <w:sectPr>
          <w:type w:val="continuous"/>
          <w:pgSz w:w="11910" w:h="16840"/>
          <w:pgMar w:header="0" w:footer="125" w:top="740" w:bottom="280" w:left="0" w:right="0"/>
          <w:cols w:num="2" w:equalWidth="0">
            <w:col w:w="3994" w:space="40"/>
            <w:col w:w="7876"/>
          </w:cols>
        </w:sectPr>
      </w:pPr>
    </w:p>
    <w:p>
      <w:pPr>
        <w:pStyle w:val="BodyText"/>
        <w:spacing w:before="8"/>
        <w:rPr>
          <w:sz w:val="16"/>
        </w:rPr>
      </w:pPr>
    </w:p>
    <w:p>
      <w:pPr>
        <w:spacing w:after="0"/>
        <w:rPr>
          <w:sz w:val="16"/>
        </w:rPr>
        <w:sectPr>
          <w:type w:val="continuous"/>
          <w:pgSz w:w="11910" w:h="16840"/>
          <w:pgMar w:header="0" w:footer="125" w:top="740" w:bottom="280" w:left="0" w:right="0"/>
        </w:sectPr>
      </w:pPr>
    </w:p>
    <w:p>
      <w:pPr>
        <w:spacing w:before="103"/>
        <w:ind w:left="2654" w:right="0" w:firstLine="163"/>
        <w:jc w:val="left"/>
        <w:rPr>
          <w:b/>
          <w:sz w:val="22"/>
        </w:rPr>
      </w:pPr>
      <w:r>
        <w:rPr>
          <w:b/>
          <w:color w:val="3C5A8B"/>
          <w:spacing w:val="-2"/>
          <w:sz w:val="22"/>
        </w:rPr>
        <w:t>Limited assurance</w:t>
      </w:r>
    </w:p>
    <w:p>
      <w:pPr>
        <w:spacing w:before="100"/>
        <w:ind w:left="438" w:right="0" w:firstLine="0"/>
        <w:jc w:val="left"/>
        <w:rPr>
          <w:sz w:val="20"/>
        </w:rPr>
      </w:pPr>
      <w:r>
        <w:rPr/>
        <w:br w:type="column"/>
      </w:r>
      <w:r>
        <w:rPr>
          <w:sz w:val="20"/>
        </w:rPr>
        <w:t>More</w:t>
      </w:r>
      <w:r>
        <w:rPr>
          <w:spacing w:val="-10"/>
          <w:sz w:val="20"/>
        </w:rPr>
        <w:t> </w:t>
      </w:r>
      <w:r>
        <w:rPr>
          <w:sz w:val="20"/>
        </w:rPr>
        <w:t>significant</w:t>
      </w:r>
      <w:r>
        <w:rPr>
          <w:spacing w:val="-9"/>
          <w:sz w:val="20"/>
        </w:rPr>
        <w:t> </w:t>
      </w:r>
      <w:r>
        <w:rPr>
          <w:sz w:val="20"/>
        </w:rPr>
        <w:t>matters</w:t>
      </w:r>
      <w:r>
        <w:rPr>
          <w:spacing w:val="-8"/>
          <w:sz w:val="20"/>
        </w:rPr>
        <w:t> </w:t>
      </w:r>
      <w:r>
        <w:rPr>
          <w:sz w:val="20"/>
        </w:rPr>
        <w:t>require</w:t>
      </w:r>
      <w:r>
        <w:rPr>
          <w:spacing w:val="-9"/>
          <w:sz w:val="20"/>
        </w:rPr>
        <w:t> </w:t>
      </w:r>
      <w:r>
        <w:rPr>
          <w:sz w:val="20"/>
        </w:rPr>
        <w:t>management</w:t>
      </w:r>
      <w:r>
        <w:rPr>
          <w:spacing w:val="-9"/>
          <w:sz w:val="20"/>
        </w:rPr>
        <w:t> </w:t>
      </w:r>
      <w:r>
        <w:rPr>
          <w:spacing w:val="-2"/>
          <w:sz w:val="20"/>
        </w:rPr>
        <w:t>attention.</w:t>
      </w:r>
    </w:p>
    <w:p>
      <w:pPr>
        <w:spacing w:before="59"/>
        <w:ind w:left="438" w:right="0" w:firstLine="0"/>
        <w:jc w:val="left"/>
        <w:rPr>
          <w:sz w:val="20"/>
        </w:rPr>
      </w:pPr>
      <w:r>
        <w:rPr>
          <w:b/>
          <w:color w:val="3C5A8B"/>
          <w:sz w:val="20"/>
        </w:rPr>
        <w:t>Moderate</w:t>
      </w:r>
      <w:r>
        <w:rPr>
          <w:b/>
          <w:color w:val="3C5A8B"/>
          <w:spacing w:val="-6"/>
          <w:sz w:val="20"/>
        </w:rPr>
        <w:t> </w:t>
      </w:r>
      <w:r>
        <w:rPr>
          <w:b/>
          <w:color w:val="3C5A8B"/>
          <w:sz w:val="20"/>
        </w:rPr>
        <w:t>impact</w:t>
      </w:r>
      <w:r>
        <w:rPr>
          <w:b/>
          <w:color w:val="3C5A8B"/>
          <w:spacing w:val="-3"/>
          <w:sz w:val="20"/>
        </w:rPr>
        <w:t> </w:t>
      </w:r>
      <w:r>
        <w:rPr>
          <w:sz w:val="20"/>
        </w:rPr>
        <w:t>on</w:t>
      </w:r>
      <w:r>
        <w:rPr>
          <w:spacing w:val="-5"/>
          <w:sz w:val="20"/>
        </w:rPr>
        <w:t> </w:t>
      </w:r>
      <w:r>
        <w:rPr>
          <w:sz w:val="20"/>
        </w:rPr>
        <w:t>residual</w:t>
      </w:r>
      <w:r>
        <w:rPr>
          <w:spacing w:val="-7"/>
          <w:sz w:val="20"/>
        </w:rPr>
        <w:t> </w:t>
      </w:r>
      <w:r>
        <w:rPr>
          <w:sz w:val="20"/>
        </w:rPr>
        <w:t>risk</w:t>
      </w:r>
      <w:r>
        <w:rPr>
          <w:spacing w:val="-7"/>
          <w:sz w:val="20"/>
        </w:rPr>
        <w:t> </w:t>
      </w:r>
      <w:r>
        <w:rPr>
          <w:sz w:val="20"/>
        </w:rPr>
        <w:t>exposure</w:t>
      </w:r>
      <w:r>
        <w:rPr>
          <w:spacing w:val="-7"/>
          <w:sz w:val="20"/>
        </w:rPr>
        <w:t> </w:t>
      </w:r>
      <w:r>
        <w:rPr>
          <w:sz w:val="20"/>
        </w:rPr>
        <w:t>until</w:t>
      </w:r>
      <w:r>
        <w:rPr>
          <w:spacing w:val="-7"/>
          <w:sz w:val="20"/>
        </w:rPr>
        <w:t> </w:t>
      </w:r>
      <w:r>
        <w:rPr>
          <w:spacing w:val="-2"/>
          <w:sz w:val="20"/>
        </w:rPr>
        <w:t>resolved.</w:t>
      </w:r>
    </w:p>
    <w:p>
      <w:pPr>
        <w:spacing w:after="0"/>
        <w:jc w:val="left"/>
        <w:rPr>
          <w:sz w:val="20"/>
        </w:rPr>
        <w:sectPr>
          <w:type w:val="continuous"/>
          <w:pgSz w:w="11910" w:h="16840"/>
          <w:pgMar w:header="0" w:footer="125" w:top="740" w:bottom="280" w:left="0" w:right="0"/>
          <w:cols w:num="2" w:equalWidth="0">
            <w:col w:w="3910" w:space="40"/>
            <w:col w:w="7960"/>
          </w:cols>
        </w:sectPr>
      </w:pPr>
    </w:p>
    <w:p>
      <w:pPr>
        <w:pStyle w:val="BodyText"/>
        <w:spacing w:before="10"/>
        <w:rPr>
          <w:sz w:val="16"/>
        </w:rPr>
      </w:pPr>
    </w:p>
    <w:p>
      <w:pPr>
        <w:spacing w:after="0"/>
        <w:rPr>
          <w:sz w:val="16"/>
        </w:rPr>
        <w:sectPr>
          <w:type w:val="continuous"/>
          <w:pgSz w:w="11910" w:h="16840"/>
          <w:pgMar w:header="0" w:footer="125" w:top="740" w:bottom="280" w:left="0" w:right="0"/>
        </w:sectPr>
      </w:pPr>
    </w:p>
    <w:p>
      <w:pPr>
        <w:pStyle w:val="BodyText"/>
        <w:spacing w:before="5"/>
        <w:rPr>
          <w:sz w:val="29"/>
        </w:rPr>
      </w:pPr>
    </w:p>
    <w:p>
      <w:pPr>
        <w:spacing w:before="0"/>
        <w:ind w:left="2403" w:right="0" w:firstLine="0"/>
        <w:jc w:val="center"/>
        <w:rPr>
          <w:b/>
          <w:sz w:val="22"/>
        </w:rPr>
      </w:pPr>
      <w:r>
        <w:rPr>
          <w:b/>
          <w:color w:val="3C5A8B"/>
          <w:sz w:val="22"/>
        </w:rPr>
        <w:t>No</w:t>
      </w:r>
      <w:r>
        <w:rPr>
          <w:b/>
          <w:color w:val="3C5A8B"/>
          <w:spacing w:val="-1"/>
          <w:sz w:val="22"/>
        </w:rPr>
        <w:t> </w:t>
      </w:r>
      <w:r>
        <w:rPr>
          <w:b/>
          <w:color w:val="3C5A8B"/>
          <w:spacing w:val="-2"/>
          <w:sz w:val="22"/>
        </w:rPr>
        <w:t>assurance</w:t>
      </w:r>
    </w:p>
    <w:p>
      <w:pPr>
        <w:pStyle w:val="BodyText"/>
        <w:rPr>
          <w:b/>
          <w:sz w:val="26"/>
        </w:rPr>
      </w:pPr>
    </w:p>
    <w:p>
      <w:pPr>
        <w:pStyle w:val="BodyText"/>
        <w:spacing w:before="9"/>
        <w:rPr>
          <w:b/>
          <w:sz w:val="38"/>
        </w:rPr>
      </w:pPr>
    </w:p>
    <w:p>
      <w:pPr>
        <w:spacing w:before="0"/>
        <w:ind w:left="2398" w:right="0" w:firstLine="0"/>
        <w:jc w:val="center"/>
        <w:rPr>
          <w:b/>
          <w:sz w:val="22"/>
        </w:rPr>
      </w:pPr>
      <w:r>
        <w:rPr/>
        <w:drawing>
          <wp:anchor distT="0" distB="0" distL="0" distR="0" allowOverlap="1" layoutInCell="1" locked="0" behindDoc="0" simplePos="0" relativeHeight="15796224">
            <wp:simplePos x="0" y="0"/>
            <wp:positionH relativeFrom="page">
              <wp:posOffset>428625</wp:posOffset>
            </wp:positionH>
            <wp:positionV relativeFrom="paragraph">
              <wp:posOffset>-96531</wp:posOffset>
            </wp:positionV>
            <wp:extent cx="939800" cy="520700"/>
            <wp:effectExtent l="0" t="0" r="0" b="0"/>
            <wp:wrapNone/>
            <wp:docPr id="77" name="image19.png"/>
            <wp:cNvGraphicFramePr>
              <a:graphicFrameLocks noChangeAspect="1"/>
            </wp:cNvGraphicFramePr>
            <a:graphic>
              <a:graphicData uri="http://schemas.openxmlformats.org/drawingml/2006/picture">
                <pic:pic>
                  <pic:nvPicPr>
                    <pic:cNvPr id="78" name="image19.png"/>
                    <pic:cNvPicPr/>
                  </pic:nvPicPr>
                  <pic:blipFill>
                    <a:blip r:embed="rId61" cstate="print"/>
                    <a:stretch>
                      <a:fillRect/>
                    </a:stretch>
                  </pic:blipFill>
                  <pic:spPr>
                    <a:xfrm>
                      <a:off x="0" y="0"/>
                      <a:ext cx="939800" cy="520700"/>
                    </a:xfrm>
                    <a:prstGeom prst="rect">
                      <a:avLst/>
                    </a:prstGeom>
                  </pic:spPr>
                </pic:pic>
              </a:graphicData>
            </a:graphic>
          </wp:anchor>
        </w:drawing>
      </w:r>
      <w:r>
        <w:rPr>
          <w:b/>
          <w:color w:val="3C5A8B"/>
          <w:sz w:val="22"/>
        </w:rPr>
        <w:t>Assurance</w:t>
      </w:r>
      <w:r>
        <w:rPr>
          <w:b/>
          <w:color w:val="3C5A8B"/>
          <w:spacing w:val="-19"/>
          <w:sz w:val="22"/>
        </w:rPr>
        <w:t> </w:t>
      </w:r>
      <w:r>
        <w:rPr>
          <w:b/>
          <w:color w:val="3C5A8B"/>
          <w:sz w:val="22"/>
        </w:rPr>
        <w:t>not </w:t>
      </w:r>
      <w:r>
        <w:rPr>
          <w:b/>
          <w:color w:val="3C5A8B"/>
          <w:spacing w:val="-2"/>
          <w:sz w:val="22"/>
        </w:rPr>
        <w:t>applicable</w:t>
      </w:r>
    </w:p>
    <w:p>
      <w:pPr>
        <w:spacing w:before="100"/>
        <w:ind w:left="186" w:right="819" w:firstLine="0"/>
        <w:jc w:val="both"/>
        <w:rPr>
          <w:sz w:val="20"/>
        </w:rPr>
      </w:pPr>
      <w:r>
        <w:rPr/>
        <w:br w:type="column"/>
      </w:r>
      <w:r>
        <w:rPr>
          <w:sz w:val="20"/>
        </w:rPr>
        <w:t>Action is required to address the whole control framework in this </w:t>
      </w:r>
      <w:r>
        <w:rPr>
          <w:spacing w:val="-2"/>
          <w:sz w:val="20"/>
        </w:rPr>
        <w:t>area.</w:t>
      </w:r>
    </w:p>
    <w:p>
      <w:pPr>
        <w:spacing w:before="58"/>
        <w:ind w:left="186" w:right="0" w:firstLine="0"/>
        <w:jc w:val="both"/>
        <w:rPr>
          <w:sz w:val="20"/>
        </w:rPr>
      </w:pPr>
      <w:r>
        <w:rPr>
          <w:b/>
          <w:color w:val="3C5A8B"/>
          <w:sz w:val="20"/>
        </w:rPr>
        <w:t>High</w:t>
      </w:r>
      <w:r>
        <w:rPr>
          <w:b/>
          <w:color w:val="3C5A8B"/>
          <w:spacing w:val="-7"/>
          <w:sz w:val="20"/>
        </w:rPr>
        <w:t> </w:t>
      </w:r>
      <w:r>
        <w:rPr>
          <w:b/>
          <w:color w:val="3C5A8B"/>
          <w:sz w:val="20"/>
        </w:rPr>
        <w:t>impact</w:t>
      </w:r>
      <w:r>
        <w:rPr>
          <w:b/>
          <w:color w:val="3C5A8B"/>
          <w:spacing w:val="-2"/>
          <w:sz w:val="20"/>
        </w:rPr>
        <w:t> </w:t>
      </w:r>
      <w:r>
        <w:rPr>
          <w:sz w:val="20"/>
        </w:rPr>
        <w:t>on</w:t>
      </w:r>
      <w:r>
        <w:rPr>
          <w:spacing w:val="-6"/>
          <w:sz w:val="20"/>
        </w:rPr>
        <w:t> </w:t>
      </w:r>
      <w:r>
        <w:rPr>
          <w:sz w:val="20"/>
        </w:rPr>
        <w:t>residual</w:t>
      </w:r>
      <w:r>
        <w:rPr>
          <w:spacing w:val="-6"/>
          <w:sz w:val="20"/>
        </w:rPr>
        <w:t> </w:t>
      </w:r>
      <w:r>
        <w:rPr>
          <w:sz w:val="20"/>
        </w:rPr>
        <w:t>risk</w:t>
      </w:r>
      <w:r>
        <w:rPr>
          <w:spacing w:val="-5"/>
          <w:sz w:val="20"/>
        </w:rPr>
        <w:t> </w:t>
      </w:r>
      <w:r>
        <w:rPr>
          <w:sz w:val="20"/>
        </w:rPr>
        <w:t>exposure</w:t>
      </w:r>
      <w:r>
        <w:rPr>
          <w:spacing w:val="-8"/>
          <w:sz w:val="20"/>
        </w:rPr>
        <w:t> </w:t>
      </w:r>
      <w:r>
        <w:rPr>
          <w:sz w:val="20"/>
        </w:rPr>
        <w:t>until</w:t>
      </w:r>
      <w:r>
        <w:rPr>
          <w:spacing w:val="-7"/>
          <w:sz w:val="20"/>
        </w:rPr>
        <w:t> </w:t>
      </w:r>
      <w:r>
        <w:rPr>
          <w:spacing w:val="-2"/>
          <w:sz w:val="20"/>
        </w:rPr>
        <w:t>resolved.</w:t>
      </w:r>
    </w:p>
    <w:p>
      <w:pPr>
        <w:spacing w:before="156"/>
        <w:ind w:left="186" w:right="821" w:firstLine="0"/>
        <w:jc w:val="both"/>
        <w:rPr>
          <w:sz w:val="20"/>
        </w:rPr>
      </w:pPr>
      <w:r>
        <w:rPr>
          <w:sz w:val="20"/>
        </w:rPr>
        <w:t>Given</w:t>
      </w:r>
      <w:r>
        <w:rPr>
          <w:spacing w:val="-10"/>
          <w:sz w:val="20"/>
        </w:rPr>
        <w:t> </w:t>
      </w:r>
      <w:r>
        <w:rPr>
          <w:sz w:val="20"/>
        </w:rPr>
        <w:t>to</w:t>
      </w:r>
      <w:r>
        <w:rPr>
          <w:spacing w:val="-12"/>
          <w:sz w:val="20"/>
        </w:rPr>
        <w:t> </w:t>
      </w:r>
      <w:r>
        <w:rPr>
          <w:sz w:val="20"/>
        </w:rPr>
        <w:t>reviews</w:t>
      </w:r>
      <w:r>
        <w:rPr>
          <w:spacing w:val="-11"/>
          <w:sz w:val="20"/>
        </w:rPr>
        <w:t> </w:t>
      </w:r>
      <w:r>
        <w:rPr>
          <w:sz w:val="20"/>
        </w:rPr>
        <w:t>and</w:t>
      </w:r>
      <w:r>
        <w:rPr>
          <w:spacing w:val="-10"/>
          <w:sz w:val="20"/>
        </w:rPr>
        <w:t> </w:t>
      </w:r>
      <w:r>
        <w:rPr>
          <w:sz w:val="20"/>
        </w:rPr>
        <w:t>support</w:t>
      </w:r>
      <w:r>
        <w:rPr>
          <w:spacing w:val="-10"/>
          <w:sz w:val="20"/>
        </w:rPr>
        <w:t> </w:t>
      </w:r>
      <w:r>
        <w:rPr>
          <w:sz w:val="20"/>
        </w:rPr>
        <w:t>provided</w:t>
      </w:r>
      <w:r>
        <w:rPr>
          <w:spacing w:val="-10"/>
          <w:sz w:val="20"/>
        </w:rPr>
        <w:t> </w:t>
      </w:r>
      <w:r>
        <w:rPr>
          <w:sz w:val="20"/>
        </w:rPr>
        <w:t>to</w:t>
      </w:r>
      <w:r>
        <w:rPr>
          <w:spacing w:val="-12"/>
          <w:sz w:val="20"/>
        </w:rPr>
        <w:t> </w:t>
      </w:r>
      <w:r>
        <w:rPr>
          <w:sz w:val="20"/>
        </w:rPr>
        <w:t>management</w:t>
      </w:r>
      <w:r>
        <w:rPr>
          <w:spacing w:val="-10"/>
          <w:sz w:val="20"/>
        </w:rPr>
        <w:t> </w:t>
      </w:r>
      <w:r>
        <w:rPr>
          <w:sz w:val="20"/>
        </w:rPr>
        <w:t>which</w:t>
      </w:r>
      <w:r>
        <w:rPr>
          <w:spacing w:val="-10"/>
          <w:sz w:val="20"/>
        </w:rPr>
        <w:t> </w:t>
      </w:r>
      <w:r>
        <w:rPr>
          <w:sz w:val="20"/>
        </w:rPr>
        <w:t>form part of the internal audit plan, to which the assurance definitions are not appropriate.</w:t>
      </w:r>
    </w:p>
    <w:p>
      <w:pPr>
        <w:spacing w:before="60"/>
        <w:ind w:left="186" w:right="824" w:firstLine="0"/>
        <w:jc w:val="both"/>
        <w:rPr>
          <w:sz w:val="20"/>
        </w:rPr>
      </w:pPr>
      <w:r>
        <w:rPr>
          <w:sz w:val="20"/>
        </w:rPr>
        <w:t>These reviews are still relevant to the evidence base upon which the overall opinion is formed.</w:t>
      </w:r>
    </w:p>
    <w:p>
      <w:pPr>
        <w:spacing w:after="0"/>
        <w:jc w:val="both"/>
        <w:rPr>
          <w:sz w:val="20"/>
        </w:rPr>
        <w:sectPr>
          <w:type w:val="continuous"/>
          <w:pgSz w:w="11910" w:h="16840"/>
          <w:pgMar w:header="0" w:footer="125" w:top="740" w:bottom="280" w:left="0" w:right="0"/>
          <w:cols w:num="2" w:equalWidth="0">
            <w:col w:w="4162" w:space="40"/>
            <w:col w:w="7708"/>
          </w:cols>
        </w:sectPr>
      </w:pPr>
    </w:p>
    <w:p>
      <w:pPr>
        <w:pStyle w:val="BodyText"/>
        <w:rPr>
          <w:sz w:val="5"/>
        </w:rPr>
      </w:pPr>
    </w:p>
    <w:p>
      <w:pPr>
        <w:pStyle w:val="BodyText"/>
        <w:spacing w:line="20" w:lineRule="exact"/>
        <w:ind w:left="552"/>
        <w:rPr>
          <w:sz w:val="2"/>
        </w:rPr>
      </w:pPr>
      <w:r>
        <w:rPr>
          <w:sz w:val="2"/>
        </w:rPr>
        <w:pict>
          <v:group style="width:532.450pt;height:.5pt;mso-position-horizontal-relative:char;mso-position-vertical-relative:line" id="docshapegroup296" coordorigin="0,0" coordsize="10649,10">
            <v:rect style="position:absolute;left:0;top:0;width:10649;height:10" id="docshape297" filled="true" fillcolor="#000000" stroked="false">
              <v:fill type="solid"/>
            </v:rect>
          </v:group>
        </w:pict>
      </w:r>
      <w:r>
        <w:rPr>
          <w:sz w:val="2"/>
        </w:rPr>
      </w:r>
    </w:p>
    <w:p>
      <w:pPr>
        <w:pStyle w:val="Heading8"/>
        <w:spacing w:before="111"/>
        <w:rPr>
          <w:rFonts w:ascii="Verdana"/>
        </w:rPr>
      </w:pPr>
      <w:r>
        <w:rPr>
          <w:rFonts w:ascii="Verdana"/>
          <w:color w:val="3C5A8B"/>
        </w:rPr>
        <w:t>Prioritisation</w:t>
      </w:r>
      <w:r>
        <w:rPr>
          <w:rFonts w:ascii="Verdana"/>
          <w:color w:val="3C5A8B"/>
          <w:spacing w:val="-4"/>
        </w:rPr>
        <w:t> </w:t>
      </w:r>
      <w:r>
        <w:rPr>
          <w:rFonts w:ascii="Verdana"/>
          <w:color w:val="3C5A8B"/>
        </w:rPr>
        <w:t>of</w:t>
      </w:r>
      <w:r>
        <w:rPr>
          <w:rFonts w:ascii="Verdana"/>
          <w:color w:val="3C5A8B"/>
          <w:spacing w:val="-4"/>
        </w:rPr>
        <w:t> </w:t>
      </w:r>
      <w:r>
        <w:rPr>
          <w:rFonts w:ascii="Verdana"/>
          <w:color w:val="3C5A8B"/>
          <w:spacing w:val="-2"/>
        </w:rPr>
        <w:t>Recommendations</w:t>
      </w:r>
    </w:p>
    <w:p>
      <w:pPr>
        <w:spacing w:before="148"/>
        <w:ind w:left="566" w:right="0" w:firstLine="0"/>
        <w:jc w:val="left"/>
        <w:rPr>
          <w:sz w:val="22"/>
        </w:rPr>
      </w:pPr>
      <w:r>
        <w:rPr>
          <w:sz w:val="22"/>
        </w:rPr>
        <w:t>We</w:t>
      </w:r>
      <w:r>
        <w:rPr>
          <w:spacing w:val="-6"/>
          <w:sz w:val="22"/>
        </w:rPr>
        <w:t> </w:t>
      </w:r>
      <w:r>
        <w:rPr>
          <w:sz w:val="22"/>
        </w:rPr>
        <w:t>categorise</w:t>
      </w:r>
      <w:r>
        <w:rPr>
          <w:spacing w:val="-3"/>
          <w:sz w:val="22"/>
        </w:rPr>
        <w:t> </w:t>
      </w:r>
      <w:r>
        <w:rPr>
          <w:sz w:val="22"/>
        </w:rPr>
        <w:t>our</w:t>
      </w:r>
      <w:r>
        <w:rPr>
          <w:spacing w:val="-6"/>
          <w:sz w:val="22"/>
        </w:rPr>
        <w:t> </w:t>
      </w:r>
      <w:r>
        <w:rPr>
          <w:sz w:val="22"/>
        </w:rPr>
        <w:t>recommendations</w:t>
      </w:r>
      <w:r>
        <w:rPr>
          <w:spacing w:val="-4"/>
          <w:sz w:val="22"/>
        </w:rPr>
        <w:t> </w:t>
      </w:r>
      <w:r>
        <w:rPr>
          <w:sz w:val="22"/>
        </w:rPr>
        <w:t>according</w:t>
      </w:r>
      <w:r>
        <w:rPr>
          <w:spacing w:val="-5"/>
          <w:sz w:val="22"/>
        </w:rPr>
        <w:t> </w:t>
      </w:r>
      <w:r>
        <w:rPr>
          <w:sz w:val="22"/>
        </w:rPr>
        <w:t>to</w:t>
      </w:r>
      <w:r>
        <w:rPr>
          <w:spacing w:val="-5"/>
          <w:sz w:val="22"/>
        </w:rPr>
        <w:t> </w:t>
      </w:r>
      <w:r>
        <w:rPr>
          <w:sz w:val="22"/>
        </w:rPr>
        <w:t>their</w:t>
      </w:r>
      <w:r>
        <w:rPr>
          <w:spacing w:val="-4"/>
          <w:sz w:val="22"/>
        </w:rPr>
        <w:t> </w:t>
      </w:r>
      <w:r>
        <w:rPr>
          <w:sz w:val="22"/>
        </w:rPr>
        <w:t>level</w:t>
      </w:r>
      <w:r>
        <w:rPr>
          <w:spacing w:val="-4"/>
          <w:sz w:val="22"/>
        </w:rPr>
        <w:t> </w:t>
      </w:r>
      <w:r>
        <w:rPr>
          <w:sz w:val="22"/>
        </w:rPr>
        <w:t>of</w:t>
      </w:r>
      <w:r>
        <w:rPr>
          <w:spacing w:val="-6"/>
          <w:sz w:val="22"/>
        </w:rPr>
        <w:t> </w:t>
      </w:r>
      <w:r>
        <w:rPr>
          <w:sz w:val="22"/>
        </w:rPr>
        <w:t>priority</w:t>
      </w:r>
      <w:r>
        <w:rPr>
          <w:spacing w:val="-5"/>
          <w:sz w:val="22"/>
        </w:rPr>
        <w:t> </w:t>
      </w:r>
      <w:r>
        <w:rPr>
          <w:sz w:val="22"/>
        </w:rPr>
        <w:t>as</w:t>
      </w:r>
      <w:r>
        <w:rPr>
          <w:spacing w:val="-4"/>
          <w:sz w:val="22"/>
        </w:rPr>
        <w:t> </w:t>
      </w:r>
      <w:r>
        <w:rPr>
          <w:spacing w:val="-2"/>
          <w:sz w:val="22"/>
        </w:rPr>
        <w:t>follows:</w:t>
      </w:r>
    </w:p>
    <w:p>
      <w:pPr>
        <w:pStyle w:val="BodyText"/>
        <w:spacing w:before="9"/>
        <w:rPr>
          <w:sz w:val="14"/>
        </w:rPr>
      </w:pPr>
    </w:p>
    <w:tbl>
      <w:tblPr>
        <w:tblW w:w="0" w:type="auto"/>
        <w:jc w:val="left"/>
        <w:tblInd w:w="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560"/>
        <w:gridCol w:w="6375"/>
        <w:gridCol w:w="2698"/>
      </w:tblGrid>
      <w:tr>
        <w:trPr>
          <w:trHeight w:val="498" w:hRule="atLeast"/>
        </w:trPr>
        <w:tc>
          <w:tcPr>
            <w:tcW w:w="1560" w:type="dxa"/>
            <w:tcBorders>
              <w:top w:val="single" w:sz="4" w:space="0" w:color="000000"/>
              <w:bottom w:val="single" w:sz="4" w:space="0" w:color="000000"/>
            </w:tcBorders>
            <w:shd w:val="clear" w:color="auto" w:fill="2E5395"/>
          </w:tcPr>
          <w:p>
            <w:pPr>
              <w:pStyle w:val="TableParagraph"/>
              <w:spacing w:line="266" w:lineRule="exact"/>
              <w:ind w:left="487" w:hanging="171"/>
              <w:rPr>
                <w:b/>
                <w:sz w:val="22"/>
              </w:rPr>
            </w:pPr>
            <w:r>
              <w:rPr>
                <w:b/>
                <w:color w:val="FFFFFF"/>
                <w:spacing w:val="-2"/>
                <w:sz w:val="22"/>
              </w:rPr>
              <w:t>Priority </w:t>
            </w:r>
            <w:r>
              <w:rPr>
                <w:b/>
                <w:color w:val="FFFFFF"/>
                <w:spacing w:val="-4"/>
                <w:sz w:val="22"/>
              </w:rPr>
              <w:t>level</w:t>
            </w:r>
          </w:p>
        </w:tc>
        <w:tc>
          <w:tcPr>
            <w:tcW w:w="6375" w:type="dxa"/>
            <w:tcBorders>
              <w:top w:val="single" w:sz="4" w:space="0" w:color="000000"/>
              <w:bottom w:val="single" w:sz="4" w:space="0" w:color="000000"/>
            </w:tcBorders>
            <w:shd w:val="clear" w:color="auto" w:fill="2E5395"/>
          </w:tcPr>
          <w:p>
            <w:pPr>
              <w:pStyle w:val="TableParagraph"/>
              <w:spacing w:before="114"/>
              <w:ind w:left="108"/>
              <w:rPr>
                <w:b/>
                <w:sz w:val="22"/>
              </w:rPr>
            </w:pPr>
            <w:r>
              <w:rPr>
                <w:b/>
                <w:color w:val="FFFFFF"/>
                <w:spacing w:val="-2"/>
                <w:sz w:val="22"/>
              </w:rPr>
              <w:t>Explanation</w:t>
            </w:r>
          </w:p>
        </w:tc>
        <w:tc>
          <w:tcPr>
            <w:tcW w:w="2698" w:type="dxa"/>
            <w:tcBorders>
              <w:top w:val="single" w:sz="4" w:space="0" w:color="000000"/>
              <w:bottom w:val="single" w:sz="4" w:space="0" w:color="000000"/>
            </w:tcBorders>
            <w:shd w:val="clear" w:color="auto" w:fill="2E5395"/>
          </w:tcPr>
          <w:p>
            <w:pPr>
              <w:pStyle w:val="TableParagraph"/>
              <w:spacing w:before="114"/>
              <w:ind w:left="113"/>
              <w:rPr>
                <w:b/>
                <w:sz w:val="22"/>
              </w:rPr>
            </w:pPr>
            <w:r>
              <w:rPr>
                <w:b/>
                <w:color w:val="FFFFFF"/>
                <w:sz w:val="22"/>
              </w:rPr>
              <w:t>Management</w:t>
            </w:r>
            <w:r>
              <w:rPr>
                <w:b/>
                <w:color w:val="FFFFFF"/>
                <w:spacing w:val="-10"/>
                <w:sz w:val="22"/>
              </w:rPr>
              <w:t> </w:t>
            </w:r>
            <w:r>
              <w:rPr>
                <w:b/>
                <w:color w:val="FFFFFF"/>
                <w:spacing w:val="-2"/>
                <w:sz w:val="22"/>
              </w:rPr>
              <w:t>action</w:t>
            </w:r>
          </w:p>
        </w:tc>
      </w:tr>
      <w:tr>
        <w:trPr>
          <w:trHeight w:val="876" w:hRule="atLeast"/>
        </w:trPr>
        <w:tc>
          <w:tcPr>
            <w:tcW w:w="1560" w:type="dxa"/>
            <w:tcBorders>
              <w:top w:val="single" w:sz="4" w:space="0" w:color="000000"/>
              <w:bottom w:val="dashSmallGap" w:sz="4" w:space="0" w:color="000000"/>
            </w:tcBorders>
            <w:shd w:val="clear" w:color="auto" w:fill="FF0000"/>
          </w:tcPr>
          <w:p>
            <w:pPr>
              <w:pStyle w:val="TableParagraph"/>
              <w:spacing w:before="8"/>
              <w:rPr>
                <w:sz w:val="23"/>
              </w:rPr>
            </w:pPr>
          </w:p>
          <w:p>
            <w:pPr>
              <w:pStyle w:val="TableParagraph"/>
              <w:ind w:left="322" w:right="323"/>
              <w:jc w:val="center"/>
              <w:rPr>
                <w:sz w:val="22"/>
              </w:rPr>
            </w:pPr>
            <w:r>
              <w:rPr>
                <w:color w:val="FFFFFF"/>
                <w:spacing w:val="-4"/>
                <w:sz w:val="22"/>
              </w:rPr>
              <w:t>High</w:t>
            </w:r>
          </w:p>
        </w:tc>
        <w:tc>
          <w:tcPr>
            <w:tcW w:w="6375" w:type="dxa"/>
            <w:tcBorders>
              <w:top w:val="single" w:sz="4" w:space="0" w:color="000000"/>
              <w:bottom w:val="dashSmallGap" w:sz="4" w:space="0" w:color="000000"/>
            </w:tcBorders>
          </w:tcPr>
          <w:p>
            <w:pPr>
              <w:pStyle w:val="TableParagraph"/>
              <w:spacing w:before="27"/>
              <w:ind w:left="108"/>
              <w:rPr>
                <w:sz w:val="20"/>
              </w:rPr>
            </w:pPr>
            <w:r>
              <w:rPr>
                <w:sz w:val="20"/>
              </w:rPr>
              <w:t>Poor</w:t>
            </w:r>
            <w:r>
              <w:rPr>
                <w:spacing w:val="-8"/>
                <w:sz w:val="20"/>
              </w:rPr>
              <w:t> </w:t>
            </w:r>
            <w:r>
              <w:rPr>
                <w:sz w:val="20"/>
              </w:rPr>
              <w:t>system</w:t>
            </w:r>
            <w:r>
              <w:rPr>
                <w:spacing w:val="-9"/>
                <w:sz w:val="20"/>
              </w:rPr>
              <w:t> </w:t>
            </w:r>
            <w:r>
              <w:rPr>
                <w:sz w:val="20"/>
              </w:rPr>
              <w:t>design</w:t>
            </w:r>
            <w:r>
              <w:rPr>
                <w:spacing w:val="-6"/>
                <w:sz w:val="20"/>
              </w:rPr>
              <w:t> </w:t>
            </w:r>
            <w:r>
              <w:rPr>
                <w:sz w:val="20"/>
              </w:rPr>
              <w:t>OR</w:t>
            </w:r>
            <w:r>
              <w:rPr>
                <w:spacing w:val="-7"/>
                <w:sz w:val="20"/>
              </w:rPr>
              <w:t> </w:t>
            </w:r>
            <w:r>
              <w:rPr>
                <w:sz w:val="20"/>
              </w:rPr>
              <w:t>widespread</w:t>
            </w:r>
            <w:r>
              <w:rPr>
                <w:spacing w:val="-8"/>
                <w:sz w:val="20"/>
              </w:rPr>
              <w:t> </w:t>
            </w:r>
            <w:r>
              <w:rPr>
                <w:sz w:val="20"/>
              </w:rPr>
              <w:t>non-</w:t>
            </w:r>
            <w:r>
              <w:rPr>
                <w:spacing w:val="-2"/>
                <w:sz w:val="20"/>
              </w:rPr>
              <w:t>compliance.</w:t>
            </w:r>
          </w:p>
          <w:p>
            <w:pPr>
              <w:pStyle w:val="TableParagraph"/>
              <w:spacing w:before="62"/>
              <w:ind w:left="108"/>
              <w:rPr>
                <w:sz w:val="20"/>
              </w:rPr>
            </w:pPr>
            <w:r>
              <w:rPr>
                <w:sz w:val="20"/>
              </w:rPr>
              <w:t>Significant risk to achievement of a system objective OR evidence</w:t>
            </w:r>
            <w:r>
              <w:rPr>
                <w:spacing w:val="-7"/>
                <w:sz w:val="20"/>
              </w:rPr>
              <w:t> </w:t>
            </w:r>
            <w:r>
              <w:rPr>
                <w:sz w:val="20"/>
              </w:rPr>
              <w:t>present</w:t>
            </w:r>
            <w:r>
              <w:rPr>
                <w:spacing w:val="-7"/>
                <w:sz w:val="20"/>
              </w:rPr>
              <w:t> </w:t>
            </w:r>
            <w:r>
              <w:rPr>
                <w:sz w:val="20"/>
              </w:rPr>
              <w:t>of</w:t>
            </w:r>
            <w:r>
              <w:rPr>
                <w:spacing w:val="-6"/>
                <w:sz w:val="20"/>
              </w:rPr>
              <w:t> </w:t>
            </w:r>
            <w:r>
              <w:rPr>
                <w:sz w:val="20"/>
              </w:rPr>
              <w:t>material</w:t>
            </w:r>
            <w:r>
              <w:rPr>
                <w:spacing w:val="-7"/>
                <w:sz w:val="20"/>
              </w:rPr>
              <w:t> </w:t>
            </w:r>
            <w:r>
              <w:rPr>
                <w:sz w:val="20"/>
              </w:rPr>
              <w:t>loss,</w:t>
            </w:r>
            <w:r>
              <w:rPr>
                <w:spacing w:val="-7"/>
                <w:sz w:val="20"/>
              </w:rPr>
              <w:t> </w:t>
            </w:r>
            <w:r>
              <w:rPr>
                <w:sz w:val="20"/>
              </w:rPr>
              <w:t>error</w:t>
            </w:r>
            <w:r>
              <w:rPr>
                <w:spacing w:val="-7"/>
                <w:sz w:val="20"/>
              </w:rPr>
              <w:t> </w:t>
            </w:r>
            <w:r>
              <w:rPr>
                <w:sz w:val="20"/>
              </w:rPr>
              <w:t>or</w:t>
            </w:r>
            <w:r>
              <w:rPr>
                <w:spacing w:val="-9"/>
                <w:sz w:val="20"/>
              </w:rPr>
              <w:t> </w:t>
            </w:r>
            <w:r>
              <w:rPr>
                <w:sz w:val="20"/>
              </w:rPr>
              <w:t>misstatement.</w:t>
            </w:r>
          </w:p>
        </w:tc>
        <w:tc>
          <w:tcPr>
            <w:tcW w:w="2698" w:type="dxa"/>
            <w:tcBorders>
              <w:top w:val="single" w:sz="4" w:space="0" w:color="000000"/>
              <w:bottom w:val="dashSmallGap" w:sz="4" w:space="0" w:color="000000"/>
            </w:tcBorders>
          </w:tcPr>
          <w:p>
            <w:pPr>
              <w:pStyle w:val="TableParagraph"/>
              <w:spacing w:before="9"/>
              <w:rPr>
                <w:sz w:val="24"/>
              </w:rPr>
            </w:pPr>
          </w:p>
          <w:p>
            <w:pPr>
              <w:pStyle w:val="TableParagraph"/>
              <w:ind w:left="113"/>
              <w:rPr>
                <w:sz w:val="20"/>
              </w:rPr>
            </w:pPr>
            <w:r>
              <w:rPr>
                <w:spacing w:val="-2"/>
                <w:sz w:val="20"/>
              </w:rPr>
              <w:t>Immediate*</w:t>
            </w:r>
          </w:p>
        </w:tc>
      </w:tr>
      <w:tr>
        <w:trPr>
          <w:trHeight w:val="666" w:hRule="atLeast"/>
        </w:trPr>
        <w:tc>
          <w:tcPr>
            <w:tcW w:w="1560" w:type="dxa"/>
            <w:tcBorders>
              <w:top w:val="dashSmallGap" w:sz="4" w:space="0" w:color="000000"/>
              <w:bottom w:val="dashSmallGap" w:sz="4" w:space="0" w:color="000000"/>
            </w:tcBorders>
            <w:shd w:val="clear" w:color="auto" w:fill="FFFF00"/>
          </w:tcPr>
          <w:p>
            <w:pPr>
              <w:pStyle w:val="TableParagraph"/>
              <w:spacing w:before="198"/>
              <w:ind w:left="322" w:right="323"/>
              <w:jc w:val="center"/>
              <w:rPr>
                <w:sz w:val="22"/>
              </w:rPr>
            </w:pPr>
            <w:r>
              <w:rPr>
                <w:spacing w:val="-2"/>
                <w:sz w:val="22"/>
              </w:rPr>
              <w:t>Medium</w:t>
            </w:r>
          </w:p>
        </w:tc>
        <w:tc>
          <w:tcPr>
            <w:tcW w:w="9073" w:type="dxa"/>
            <w:gridSpan w:val="2"/>
            <w:tcBorders>
              <w:top w:val="dashSmallGap" w:sz="4" w:space="0" w:color="000000"/>
              <w:bottom w:val="dashSmallGap" w:sz="4" w:space="0" w:color="000000"/>
            </w:tcBorders>
          </w:tcPr>
          <w:p>
            <w:pPr>
              <w:pStyle w:val="TableParagraph"/>
              <w:tabs>
                <w:tab w:pos="6488" w:val="left" w:leader="none"/>
              </w:tabs>
              <w:spacing w:line="187" w:lineRule="auto" w:before="71"/>
              <w:ind w:left="108" w:right="662"/>
              <w:rPr>
                <w:sz w:val="20"/>
              </w:rPr>
            </w:pPr>
            <w:r>
              <w:rPr>
                <w:sz w:val="20"/>
              </w:rPr>
              <w:t>Minor weakness in system design OR limited non-compliance.</w:t>
              <w:tab/>
            </w:r>
            <w:r>
              <w:rPr>
                <w:position w:val="-14"/>
                <w:sz w:val="20"/>
              </w:rPr>
              <w:t>Within</w:t>
            </w:r>
            <w:r>
              <w:rPr>
                <w:spacing w:val="-18"/>
                <w:position w:val="-14"/>
                <w:sz w:val="20"/>
              </w:rPr>
              <w:t> </w:t>
            </w:r>
            <w:r>
              <w:rPr>
                <w:position w:val="-14"/>
                <w:sz w:val="20"/>
              </w:rPr>
              <w:t>one</w:t>
            </w:r>
            <w:r>
              <w:rPr>
                <w:spacing w:val="-18"/>
                <w:position w:val="-14"/>
                <w:sz w:val="20"/>
              </w:rPr>
              <w:t> </w:t>
            </w:r>
            <w:r>
              <w:rPr>
                <w:position w:val="-14"/>
                <w:sz w:val="20"/>
              </w:rPr>
              <w:t>month* </w:t>
            </w:r>
            <w:r>
              <w:rPr>
                <w:sz w:val="20"/>
              </w:rPr>
              <w:t>Some risk to achievement of a system objective.</w:t>
            </w:r>
          </w:p>
        </w:tc>
      </w:tr>
      <w:tr>
        <w:trPr>
          <w:trHeight w:val="1152" w:hRule="atLeast"/>
        </w:trPr>
        <w:tc>
          <w:tcPr>
            <w:tcW w:w="1560" w:type="dxa"/>
            <w:tcBorders>
              <w:top w:val="dashSmallGap" w:sz="4" w:space="0" w:color="000000"/>
              <w:bottom w:val="single" w:sz="4" w:space="0" w:color="000000"/>
            </w:tcBorders>
            <w:shd w:val="clear" w:color="auto" w:fill="92D050"/>
          </w:tcPr>
          <w:p>
            <w:pPr>
              <w:pStyle w:val="TableParagraph"/>
              <w:spacing w:before="3"/>
              <w:rPr>
                <w:sz w:val="36"/>
              </w:rPr>
            </w:pPr>
          </w:p>
          <w:p>
            <w:pPr>
              <w:pStyle w:val="TableParagraph"/>
              <w:ind w:left="322" w:right="321"/>
              <w:jc w:val="center"/>
              <w:rPr>
                <w:sz w:val="22"/>
              </w:rPr>
            </w:pPr>
            <w:r>
              <w:rPr>
                <w:spacing w:val="-5"/>
                <w:sz w:val="22"/>
              </w:rPr>
              <w:t>Low</w:t>
            </w:r>
          </w:p>
        </w:tc>
        <w:tc>
          <w:tcPr>
            <w:tcW w:w="6375" w:type="dxa"/>
            <w:tcBorders>
              <w:top w:val="dashSmallGap" w:sz="4" w:space="0" w:color="000000"/>
              <w:bottom w:val="single" w:sz="4" w:space="0" w:color="000000"/>
            </w:tcBorders>
          </w:tcPr>
          <w:p>
            <w:pPr>
              <w:pStyle w:val="TableParagraph"/>
              <w:spacing w:before="60"/>
              <w:ind w:left="108"/>
              <w:rPr>
                <w:sz w:val="20"/>
              </w:rPr>
            </w:pPr>
            <w:r>
              <w:rPr>
                <w:sz w:val="20"/>
              </w:rPr>
              <w:t>Potential to enhance system design to improve efficiency or effectiveness of controls.</w:t>
            </w:r>
          </w:p>
          <w:p>
            <w:pPr>
              <w:pStyle w:val="TableParagraph"/>
              <w:spacing w:before="62"/>
              <w:ind w:left="108"/>
              <w:rPr>
                <w:sz w:val="20"/>
              </w:rPr>
            </w:pPr>
            <w:r>
              <w:rPr>
                <w:sz w:val="20"/>
              </w:rPr>
              <w:t>Generally</w:t>
            </w:r>
            <w:r>
              <w:rPr>
                <w:spacing w:val="-6"/>
                <w:sz w:val="20"/>
              </w:rPr>
              <w:t> </w:t>
            </w:r>
            <w:r>
              <w:rPr>
                <w:sz w:val="20"/>
              </w:rPr>
              <w:t>issues</w:t>
            </w:r>
            <w:r>
              <w:rPr>
                <w:spacing w:val="-6"/>
                <w:sz w:val="20"/>
              </w:rPr>
              <w:t> </w:t>
            </w:r>
            <w:r>
              <w:rPr>
                <w:sz w:val="20"/>
              </w:rPr>
              <w:t>of</w:t>
            </w:r>
            <w:r>
              <w:rPr>
                <w:spacing w:val="-6"/>
                <w:sz w:val="20"/>
              </w:rPr>
              <w:t> </w:t>
            </w:r>
            <w:r>
              <w:rPr>
                <w:sz w:val="20"/>
              </w:rPr>
              <w:t>good</w:t>
            </w:r>
            <w:r>
              <w:rPr>
                <w:spacing w:val="-7"/>
                <w:sz w:val="20"/>
              </w:rPr>
              <w:t> </w:t>
            </w:r>
            <w:r>
              <w:rPr>
                <w:sz w:val="20"/>
              </w:rPr>
              <w:t>practice</w:t>
            </w:r>
            <w:r>
              <w:rPr>
                <w:spacing w:val="-7"/>
                <w:sz w:val="20"/>
              </w:rPr>
              <w:t> </w:t>
            </w:r>
            <w:r>
              <w:rPr>
                <w:sz w:val="20"/>
              </w:rPr>
              <w:t>for</w:t>
            </w:r>
            <w:r>
              <w:rPr>
                <w:spacing w:val="-9"/>
                <w:sz w:val="20"/>
              </w:rPr>
              <w:t> </w:t>
            </w:r>
            <w:r>
              <w:rPr>
                <w:sz w:val="20"/>
              </w:rPr>
              <w:t>management </w:t>
            </w:r>
            <w:r>
              <w:rPr>
                <w:spacing w:val="-2"/>
                <w:sz w:val="20"/>
              </w:rPr>
              <w:t>consideration.</w:t>
            </w:r>
          </w:p>
        </w:tc>
        <w:tc>
          <w:tcPr>
            <w:tcW w:w="2698" w:type="dxa"/>
            <w:tcBorders>
              <w:top w:val="dashSmallGap" w:sz="4" w:space="0" w:color="000000"/>
              <w:bottom w:val="single" w:sz="4" w:space="0" w:color="000000"/>
            </w:tcBorders>
          </w:tcPr>
          <w:p>
            <w:pPr>
              <w:pStyle w:val="TableParagraph"/>
              <w:rPr>
                <w:sz w:val="24"/>
              </w:rPr>
            </w:pPr>
          </w:p>
          <w:p>
            <w:pPr>
              <w:pStyle w:val="TableParagraph"/>
              <w:spacing w:before="162"/>
              <w:ind w:left="113"/>
              <w:rPr>
                <w:sz w:val="20"/>
              </w:rPr>
            </w:pPr>
            <w:r>
              <w:rPr>
                <w:sz w:val="20"/>
              </w:rPr>
              <w:t>Within</w:t>
            </w:r>
            <w:r>
              <w:rPr>
                <w:spacing w:val="-7"/>
                <w:sz w:val="20"/>
              </w:rPr>
              <w:t> </w:t>
            </w:r>
            <w:r>
              <w:rPr>
                <w:sz w:val="20"/>
              </w:rPr>
              <w:t>three</w:t>
            </w:r>
            <w:r>
              <w:rPr>
                <w:spacing w:val="-6"/>
                <w:sz w:val="20"/>
              </w:rPr>
              <w:t> </w:t>
            </w:r>
            <w:r>
              <w:rPr>
                <w:spacing w:val="-2"/>
                <w:sz w:val="20"/>
              </w:rPr>
              <w:t>months*</w:t>
            </w:r>
          </w:p>
        </w:tc>
      </w:tr>
    </w:tbl>
    <w:p>
      <w:pPr>
        <w:spacing w:before="122"/>
        <w:ind w:left="566" w:right="0" w:firstLine="0"/>
        <w:jc w:val="left"/>
        <w:rPr>
          <w:sz w:val="20"/>
        </w:rPr>
      </w:pPr>
      <w:r>
        <w:rPr>
          <w:sz w:val="20"/>
        </w:rPr>
        <w:t>*</w:t>
      </w:r>
      <w:r>
        <w:rPr>
          <w:spacing w:val="-18"/>
          <w:sz w:val="20"/>
        </w:rPr>
        <w:t> </w:t>
      </w:r>
      <w:r>
        <w:rPr>
          <w:sz w:val="20"/>
        </w:rPr>
        <w:t>Unless</w:t>
      </w:r>
      <w:r>
        <w:rPr>
          <w:spacing w:val="-8"/>
          <w:sz w:val="20"/>
        </w:rPr>
        <w:t> </w:t>
      </w:r>
      <w:r>
        <w:rPr>
          <w:sz w:val="20"/>
        </w:rPr>
        <w:t>a</w:t>
      </w:r>
      <w:r>
        <w:rPr>
          <w:spacing w:val="-6"/>
          <w:sz w:val="20"/>
        </w:rPr>
        <w:t> </w:t>
      </w:r>
      <w:r>
        <w:rPr>
          <w:sz w:val="20"/>
        </w:rPr>
        <w:t>more</w:t>
      </w:r>
      <w:r>
        <w:rPr>
          <w:spacing w:val="-8"/>
          <w:sz w:val="20"/>
        </w:rPr>
        <w:t> </w:t>
      </w:r>
      <w:r>
        <w:rPr>
          <w:sz w:val="20"/>
        </w:rPr>
        <w:t>appropriate</w:t>
      </w:r>
      <w:r>
        <w:rPr>
          <w:spacing w:val="-8"/>
          <w:sz w:val="20"/>
        </w:rPr>
        <w:t> </w:t>
      </w:r>
      <w:r>
        <w:rPr>
          <w:sz w:val="20"/>
        </w:rPr>
        <w:t>timescale</w:t>
      </w:r>
      <w:r>
        <w:rPr>
          <w:spacing w:val="-7"/>
          <w:sz w:val="20"/>
        </w:rPr>
        <w:t> </w:t>
      </w:r>
      <w:r>
        <w:rPr>
          <w:sz w:val="20"/>
        </w:rPr>
        <w:t>is</w:t>
      </w:r>
      <w:r>
        <w:rPr>
          <w:spacing w:val="-8"/>
          <w:sz w:val="20"/>
        </w:rPr>
        <w:t> </w:t>
      </w:r>
      <w:r>
        <w:rPr>
          <w:sz w:val="20"/>
        </w:rPr>
        <w:t>identified/agreed</w:t>
      </w:r>
      <w:r>
        <w:rPr>
          <w:spacing w:val="-6"/>
          <w:sz w:val="20"/>
        </w:rPr>
        <w:t> </w:t>
      </w:r>
      <w:r>
        <w:rPr>
          <w:sz w:val="20"/>
        </w:rPr>
        <w:t>at</w:t>
      </w:r>
      <w:r>
        <w:rPr>
          <w:spacing w:val="-4"/>
          <w:sz w:val="20"/>
        </w:rPr>
        <w:t> </w:t>
      </w:r>
      <w:r>
        <w:rPr>
          <w:sz w:val="20"/>
        </w:rPr>
        <w:t>the</w:t>
      </w:r>
      <w:r>
        <w:rPr>
          <w:spacing w:val="-2"/>
          <w:sz w:val="20"/>
        </w:rPr>
        <w:t> assignment.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4"/>
        </w:rPr>
      </w:pPr>
      <w:r>
        <w:rPr/>
        <w:pict>
          <v:shape style="position:absolute;margin-left:28.320002pt;margin-top:10.029415pt;width:531.7pt;height:1.45pt;mso-position-horizontal-relative:page;mso-position-vertical-relative:paragraph;z-index:-15662080;mso-wrap-distance-left:0;mso-wrap-distance-right:0" id="docshape298" coordorigin="566,201" coordsize="10634,29" path="m5559,201l5531,201,566,201,566,229,5531,229,5559,229,5559,201xm11200,201l5559,201,5559,229,11200,229,11200,201xe" filled="true" fillcolor="#000000" stroked="false">
            <v:path arrowok="t"/>
            <v:fill type="solid"/>
            <w10:wrap type="topAndBottom"/>
          </v:shape>
        </w:pict>
      </w:r>
    </w:p>
    <w:p>
      <w:pPr>
        <w:pStyle w:val="BodyText"/>
        <w:spacing w:before="9"/>
        <w:rPr>
          <w:sz w:val="13"/>
        </w:rPr>
      </w:pPr>
    </w:p>
    <w:p>
      <w:pPr>
        <w:tabs>
          <w:tab w:pos="11092" w:val="right" w:leader="none"/>
        </w:tabs>
        <w:spacing w:before="101"/>
        <w:ind w:left="566" w:right="0" w:firstLine="0"/>
        <w:jc w:val="left"/>
        <w:rPr>
          <w:rFonts w:ascii="Arial"/>
          <w:sz w:val="22"/>
        </w:rPr>
      </w:pPr>
      <w:r>
        <w:rPr>
          <w:sz w:val="22"/>
        </w:rPr>
        <w:t>NWSSP</w:t>
      </w:r>
      <w:r>
        <w:rPr>
          <w:spacing w:val="-4"/>
          <w:sz w:val="22"/>
        </w:rPr>
        <w:t> </w:t>
      </w:r>
      <w:r>
        <w:rPr>
          <w:sz w:val="22"/>
        </w:rPr>
        <w:t>Audit</w:t>
      </w:r>
      <w:r>
        <w:rPr>
          <w:spacing w:val="-6"/>
          <w:sz w:val="22"/>
        </w:rPr>
        <w:t> </w:t>
      </w:r>
      <w:r>
        <w:rPr>
          <w:sz w:val="22"/>
        </w:rPr>
        <w:t>and</w:t>
      </w:r>
      <w:r>
        <w:rPr>
          <w:spacing w:val="-5"/>
          <w:sz w:val="22"/>
        </w:rPr>
        <w:t> </w:t>
      </w:r>
      <w:r>
        <w:rPr>
          <w:sz w:val="22"/>
        </w:rPr>
        <w:t>Assurance</w:t>
      </w:r>
      <w:r>
        <w:rPr>
          <w:spacing w:val="-4"/>
          <w:sz w:val="22"/>
        </w:rPr>
        <w:t> </w:t>
      </w:r>
      <w:r>
        <w:rPr>
          <w:spacing w:val="-2"/>
          <w:sz w:val="22"/>
        </w:rPr>
        <w:t>Services</w:t>
      </w:r>
      <w:r>
        <w:rPr>
          <w:sz w:val="22"/>
        </w:rPr>
        <w:tab/>
      </w:r>
      <w:r>
        <w:rPr>
          <w:rFonts w:ascii="Arial"/>
          <w:spacing w:val="-5"/>
          <w:position w:val="1"/>
          <w:sz w:val="22"/>
        </w:rPr>
        <w:t>15</w:t>
      </w:r>
    </w:p>
    <w:p>
      <w:pPr>
        <w:spacing w:after="0"/>
        <w:jc w:val="left"/>
        <w:rPr>
          <w:rFonts w:ascii="Arial"/>
          <w:sz w:val="22"/>
        </w:rPr>
        <w:sectPr>
          <w:type w:val="continuous"/>
          <w:pgSz w:w="11910" w:h="16840"/>
          <w:pgMar w:header="0" w:footer="125" w:top="740" w:bottom="280" w:left="0" w:right="0"/>
        </w:sect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spacing w:before="1"/>
        <w:rPr>
          <w:rFonts w:ascii="Arial"/>
          <w:sz w:val="12"/>
        </w:rPr>
      </w:pPr>
    </w:p>
    <w:p>
      <w:pPr>
        <w:spacing w:line="184" w:lineRule="auto" w:before="1"/>
        <w:ind w:left="1634" w:right="9389" w:firstLine="7"/>
        <w:jc w:val="left"/>
        <w:rPr>
          <w:rFonts w:ascii="Times New Roman"/>
          <w:sz w:val="12"/>
        </w:rPr>
      </w:pPr>
      <w:r>
        <w:rPr/>
        <w:pict>
          <v:group style="position:absolute;margin-left:26.91791pt;margin-top:-3.565807pt;width:51.7pt;height:39.450pt;mso-position-horizontal-relative:page;mso-position-vertical-relative:paragraph;z-index:15797248" id="docshapegroup301" coordorigin="538,-71" coordsize="1034,789">
            <v:shape style="position:absolute;left:538;top:-72;width:981;height:558" type="#_x0000_t75" id="docshape302" stroked="false">
              <v:imagedata r:id="rId63" o:title=""/>
            </v:shape>
            <v:line style="position:absolute" from="1567,717" to="1567,6" stroked="true" strokeweight=".480677pt" strokecolor="#000000">
              <v:stroke dashstyle="solid"/>
            </v:line>
            <w10:wrap type="none"/>
          </v:group>
        </w:pict>
      </w:r>
      <w:r>
        <w:rPr/>
        <w:drawing>
          <wp:anchor distT="0" distB="0" distL="0" distR="0" allowOverlap="1" layoutInCell="1" locked="0" behindDoc="0" simplePos="0" relativeHeight="15797760">
            <wp:simplePos x="0" y="0"/>
            <wp:positionH relativeFrom="page">
              <wp:posOffset>3174390</wp:posOffset>
            </wp:positionH>
            <wp:positionV relativeFrom="paragraph">
              <wp:posOffset>-6917208</wp:posOffset>
            </wp:positionV>
            <wp:extent cx="4383101" cy="7970453"/>
            <wp:effectExtent l="0" t="0" r="0" b="0"/>
            <wp:wrapNone/>
            <wp:docPr id="79" name="image21.jpeg"/>
            <wp:cNvGraphicFramePr>
              <a:graphicFrameLocks noChangeAspect="1"/>
            </wp:cNvGraphicFramePr>
            <a:graphic>
              <a:graphicData uri="http://schemas.openxmlformats.org/drawingml/2006/picture">
                <pic:pic>
                  <pic:nvPicPr>
                    <pic:cNvPr id="80" name="image21.jpeg"/>
                    <pic:cNvPicPr/>
                  </pic:nvPicPr>
                  <pic:blipFill>
                    <a:blip r:embed="rId64" cstate="print"/>
                    <a:stretch>
                      <a:fillRect/>
                    </a:stretch>
                  </pic:blipFill>
                  <pic:spPr>
                    <a:xfrm>
                      <a:off x="0" y="0"/>
                      <a:ext cx="4383101" cy="7970453"/>
                    </a:xfrm>
                    <a:prstGeom prst="rect">
                      <a:avLst/>
                    </a:prstGeom>
                  </pic:spPr>
                </pic:pic>
              </a:graphicData>
            </a:graphic>
          </wp:anchor>
        </w:drawing>
      </w:r>
      <w:r>
        <w:rPr>
          <w:rFonts w:ascii="Times New Roman"/>
          <w:color w:val="6B7482"/>
          <w:spacing w:val="-2"/>
          <w:w w:val="110"/>
          <w:sz w:val="12"/>
        </w:rPr>
        <w:t>Partneriaeth</w:t>
      </w:r>
      <w:r>
        <w:rPr>
          <w:rFonts w:ascii="Times New Roman"/>
          <w:color w:val="6B7482"/>
          <w:spacing w:val="40"/>
          <w:w w:val="110"/>
          <w:sz w:val="12"/>
        </w:rPr>
        <w:t> </w:t>
      </w:r>
      <w:r>
        <w:rPr>
          <w:rFonts w:ascii="Times New Roman"/>
          <w:color w:val="7B8290"/>
          <w:spacing w:val="-2"/>
          <w:w w:val="110"/>
          <w:sz w:val="12"/>
        </w:rPr>
        <w:t>Cydwasanaethau</w:t>
      </w:r>
    </w:p>
    <w:p>
      <w:pPr>
        <w:spacing w:before="20"/>
        <w:ind w:left="1635" w:right="0" w:firstLine="0"/>
        <w:jc w:val="left"/>
        <w:rPr>
          <w:rFonts w:ascii="Times New Roman"/>
          <w:sz w:val="9"/>
        </w:rPr>
      </w:pPr>
      <w:r>
        <w:rPr>
          <w:rFonts w:ascii="Times New Roman"/>
          <w:color w:val="C3B5A1"/>
          <w:w w:val="105"/>
          <w:sz w:val="9"/>
        </w:rPr>
        <w:t>Gwasan.aethau</w:t>
      </w:r>
      <w:r>
        <w:rPr>
          <w:rFonts w:ascii="Times New Roman"/>
          <w:color w:val="C3B5A1"/>
          <w:spacing w:val="15"/>
          <w:w w:val="105"/>
          <w:sz w:val="9"/>
        </w:rPr>
        <w:t> </w:t>
      </w:r>
      <w:r>
        <w:rPr>
          <w:rFonts w:ascii="Times New Roman"/>
          <w:color w:val="C3B5A1"/>
          <w:w w:val="105"/>
          <w:sz w:val="9"/>
        </w:rPr>
        <w:t>Archwilio</w:t>
      </w:r>
      <w:r>
        <w:rPr>
          <w:rFonts w:ascii="Times New Roman"/>
          <w:color w:val="C3B5A1"/>
          <w:spacing w:val="1"/>
          <w:w w:val="105"/>
          <w:sz w:val="9"/>
        </w:rPr>
        <w:t> </w:t>
      </w:r>
      <w:r>
        <w:rPr>
          <w:rFonts w:ascii="Times New Roman"/>
          <w:color w:val="C3B5A1"/>
          <w:w w:val="105"/>
          <w:sz w:val="9"/>
        </w:rPr>
        <w:t>a</w:t>
      </w:r>
      <w:r>
        <w:rPr>
          <w:rFonts w:ascii="Times New Roman"/>
          <w:color w:val="C3B5A1"/>
          <w:spacing w:val="3"/>
          <w:w w:val="105"/>
          <w:sz w:val="9"/>
        </w:rPr>
        <w:t> </w:t>
      </w:r>
      <w:r>
        <w:rPr>
          <w:rFonts w:ascii="Times New Roman"/>
          <w:color w:val="C3B5A1"/>
          <w:w w:val="105"/>
          <w:sz w:val="9"/>
        </w:rPr>
        <w:t>Sim-</w:t>
      </w:r>
      <w:r>
        <w:rPr>
          <w:rFonts w:ascii="Times New Roman"/>
          <w:color w:val="C3B5A1"/>
          <w:spacing w:val="-4"/>
          <w:w w:val="105"/>
          <w:sz w:val="9"/>
        </w:rPr>
        <w:t>vydd</w:t>
      </w:r>
    </w:p>
    <w:p>
      <w:pPr>
        <w:spacing w:line="112" w:lineRule="exact" w:before="50"/>
        <w:ind w:left="1634" w:right="0" w:firstLine="0"/>
        <w:jc w:val="left"/>
        <w:rPr>
          <w:rFonts w:ascii="Arial"/>
          <w:sz w:val="11"/>
        </w:rPr>
      </w:pPr>
      <w:r>
        <w:rPr>
          <w:rFonts w:ascii="Arial"/>
          <w:color w:val="6B7482"/>
          <w:sz w:val="11"/>
        </w:rPr>
        <w:t>Sha</w:t>
      </w:r>
      <w:r>
        <w:rPr>
          <w:rFonts w:ascii="Arial"/>
          <w:color w:val="525D69"/>
          <w:sz w:val="11"/>
        </w:rPr>
        <w:t>r</w:t>
      </w:r>
      <w:r>
        <w:rPr>
          <w:rFonts w:ascii="Arial"/>
          <w:color w:val="6B7482"/>
          <w:sz w:val="11"/>
        </w:rPr>
        <w:t>ed</w:t>
      </w:r>
      <w:r>
        <w:rPr>
          <w:rFonts w:ascii="Arial"/>
          <w:color w:val="6B7482"/>
          <w:spacing w:val="-4"/>
          <w:sz w:val="11"/>
        </w:rPr>
        <w:t> </w:t>
      </w:r>
      <w:r>
        <w:rPr>
          <w:rFonts w:ascii="Arial"/>
          <w:color w:val="7B8290"/>
          <w:spacing w:val="-2"/>
          <w:sz w:val="11"/>
        </w:rPr>
        <w:t>Se</w:t>
      </w:r>
      <w:r>
        <w:rPr>
          <w:rFonts w:ascii="Arial"/>
          <w:color w:val="525D69"/>
          <w:spacing w:val="-2"/>
          <w:sz w:val="11"/>
        </w:rPr>
        <w:t>r</w:t>
      </w:r>
      <w:r>
        <w:rPr>
          <w:rFonts w:ascii="Arial"/>
          <w:color w:val="7B8290"/>
          <w:spacing w:val="-2"/>
          <w:sz w:val="11"/>
        </w:rPr>
        <w:t>vices</w:t>
      </w:r>
    </w:p>
    <w:p>
      <w:pPr>
        <w:spacing w:line="123" w:lineRule="exact" w:before="0"/>
        <w:ind w:left="1637" w:right="0" w:firstLine="0"/>
        <w:jc w:val="left"/>
        <w:rPr>
          <w:rFonts w:ascii="Times New Roman"/>
          <w:sz w:val="12"/>
        </w:rPr>
      </w:pPr>
      <w:r>
        <w:rPr>
          <w:rFonts w:ascii="Times New Roman"/>
          <w:color w:val="6B7482"/>
          <w:spacing w:val="-2"/>
          <w:sz w:val="12"/>
        </w:rPr>
        <w:t>Partners.h</w:t>
      </w:r>
      <w:r>
        <w:rPr>
          <w:rFonts w:ascii="Times New Roman"/>
          <w:color w:val="525D69"/>
          <w:spacing w:val="-2"/>
          <w:sz w:val="12"/>
        </w:rPr>
        <w:t>i</w:t>
      </w:r>
      <w:r>
        <w:rPr>
          <w:rFonts w:ascii="Times New Roman"/>
          <w:color w:val="6B7482"/>
          <w:spacing w:val="-2"/>
          <w:sz w:val="12"/>
        </w:rPr>
        <w:t>p</w:t>
      </w:r>
    </w:p>
    <w:p>
      <w:pPr>
        <w:spacing w:before="6"/>
        <w:ind w:left="1638" w:right="0" w:firstLine="0"/>
        <w:jc w:val="left"/>
        <w:rPr>
          <w:rFonts w:ascii="Times New Roman"/>
          <w:sz w:val="9"/>
        </w:rPr>
      </w:pPr>
      <w:r>
        <w:rPr>
          <w:rFonts w:ascii="Times New Roman"/>
          <w:color w:val="C3B5A1"/>
          <w:w w:val="110"/>
          <w:sz w:val="9"/>
        </w:rPr>
        <w:t>Audit and</w:t>
      </w:r>
      <w:r>
        <w:rPr>
          <w:rFonts w:ascii="Times New Roman"/>
          <w:color w:val="C3B5A1"/>
          <w:spacing w:val="15"/>
          <w:w w:val="110"/>
          <w:sz w:val="9"/>
        </w:rPr>
        <w:t> </w:t>
      </w:r>
      <w:r>
        <w:rPr>
          <w:rFonts w:ascii="Times New Roman"/>
          <w:color w:val="C3B5A1"/>
          <w:w w:val="110"/>
          <w:sz w:val="9"/>
        </w:rPr>
        <w:t>Assurance</w:t>
      </w:r>
      <w:r>
        <w:rPr>
          <w:rFonts w:ascii="Times New Roman"/>
          <w:color w:val="C3B5A1"/>
          <w:spacing w:val="-3"/>
          <w:w w:val="110"/>
          <w:sz w:val="9"/>
        </w:rPr>
        <w:t> </w:t>
      </w:r>
      <w:r>
        <w:rPr>
          <w:rFonts w:ascii="Times New Roman"/>
          <w:color w:val="C3B5A1"/>
          <w:spacing w:val="-2"/>
          <w:w w:val="110"/>
          <w:sz w:val="9"/>
        </w:rPr>
        <w:t>Services</w:t>
      </w:r>
    </w:p>
    <w:p>
      <w:pPr>
        <w:pStyle w:val="BodyText"/>
        <w:rPr>
          <w:rFonts w:ascii="Times New Roman"/>
          <w:sz w:val="10"/>
        </w:rPr>
      </w:pPr>
    </w:p>
    <w:p>
      <w:pPr>
        <w:spacing w:before="72"/>
        <w:ind w:left="472" w:right="7420" w:firstLine="0"/>
        <w:jc w:val="both"/>
        <w:rPr>
          <w:sz w:val="20"/>
        </w:rPr>
      </w:pPr>
      <w:r>
        <w:rPr>
          <w:sz w:val="20"/>
        </w:rPr>
        <w:t>NHS</w:t>
      </w:r>
      <w:r>
        <w:rPr>
          <w:spacing w:val="-8"/>
          <w:sz w:val="20"/>
        </w:rPr>
        <w:t> </w:t>
      </w:r>
      <w:r>
        <w:rPr>
          <w:sz w:val="20"/>
        </w:rPr>
        <w:t>Wales</w:t>
      </w:r>
      <w:r>
        <w:rPr>
          <w:spacing w:val="-12"/>
          <w:sz w:val="20"/>
        </w:rPr>
        <w:t> </w:t>
      </w:r>
      <w:r>
        <w:rPr>
          <w:sz w:val="20"/>
        </w:rPr>
        <w:t>Shared</w:t>
      </w:r>
      <w:r>
        <w:rPr>
          <w:spacing w:val="-10"/>
          <w:sz w:val="20"/>
        </w:rPr>
        <w:t> </w:t>
      </w:r>
      <w:r>
        <w:rPr>
          <w:sz w:val="20"/>
        </w:rPr>
        <w:t>Services</w:t>
      </w:r>
      <w:r>
        <w:rPr>
          <w:spacing w:val="-9"/>
          <w:sz w:val="20"/>
        </w:rPr>
        <w:t> </w:t>
      </w:r>
      <w:r>
        <w:rPr>
          <w:sz w:val="20"/>
        </w:rPr>
        <w:t>Partnership 4-5 Charnwood Court</w:t>
      </w:r>
    </w:p>
    <w:p>
      <w:pPr>
        <w:spacing w:before="1"/>
        <w:ind w:left="472" w:right="9913" w:firstLine="0"/>
        <w:jc w:val="both"/>
        <w:rPr>
          <w:sz w:val="20"/>
        </w:rPr>
      </w:pPr>
      <w:r>
        <w:rPr>
          <w:sz w:val="20"/>
        </w:rPr>
        <w:t>Heol</w:t>
      </w:r>
      <w:r>
        <w:rPr>
          <w:spacing w:val="-18"/>
          <w:sz w:val="20"/>
        </w:rPr>
        <w:t> </w:t>
      </w:r>
      <w:r>
        <w:rPr>
          <w:sz w:val="20"/>
        </w:rPr>
        <w:t>Billingsley Parc Nantgarw </w:t>
      </w:r>
      <w:r>
        <w:rPr>
          <w:spacing w:val="-2"/>
          <w:sz w:val="20"/>
        </w:rPr>
        <w:t>Cardiff</w:t>
      </w:r>
    </w:p>
    <w:p>
      <w:pPr>
        <w:spacing w:line="242" w:lineRule="exact" w:before="0"/>
        <w:ind w:left="472" w:right="0" w:firstLine="0"/>
        <w:jc w:val="both"/>
        <w:rPr>
          <w:sz w:val="20"/>
        </w:rPr>
      </w:pPr>
      <w:r>
        <w:rPr>
          <w:sz w:val="20"/>
        </w:rPr>
        <w:t>CF15</w:t>
      </w:r>
      <w:r>
        <w:rPr>
          <w:spacing w:val="-7"/>
          <w:sz w:val="20"/>
        </w:rPr>
        <w:t> </w:t>
      </w:r>
      <w:r>
        <w:rPr>
          <w:spacing w:val="-5"/>
          <w:sz w:val="20"/>
        </w:rPr>
        <w:t>7QZ</w:t>
      </w:r>
    </w:p>
    <w:p>
      <w:pPr>
        <w:pStyle w:val="BodyText"/>
        <w:spacing w:before="2"/>
        <w:rPr>
          <w:sz w:val="18"/>
        </w:rPr>
      </w:pPr>
      <w:r>
        <w:rPr/>
        <w:pict>
          <v:group style="position:absolute;margin-left:0pt;margin-top:12.246289pt;width:594.15pt;height:72pt;mso-position-horizontal-relative:page;mso-position-vertical-relative:paragraph;z-index:-15660544;mso-wrap-distance-left:0;mso-wrap-distance-right:0" id="docshapegroup303" coordorigin="0,245" coordsize="11883,1440">
            <v:shape style="position:absolute;left:0;top:416;width:11883;height:1269" type="#_x0000_t75" id="docshape304" stroked="false">
              <v:imagedata r:id="rId65" o:title=""/>
            </v:shape>
            <v:shape style="position:absolute;left:0;top:244;width:11883;height:1440" type="#_x0000_t202" id="docshape305" filled="false" stroked="false">
              <v:textbox inset="0,0,0,0">
                <w:txbxContent>
                  <w:p>
                    <w:pPr>
                      <w:spacing w:line="242" w:lineRule="exact" w:before="0"/>
                      <w:ind w:left="472" w:right="0" w:firstLine="0"/>
                      <w:jc w:val="left"/>
                      <w:rPr>
                        <w:sz w:val="20"/>
                      </w:rPr>
                    </w:pPr>
                    <w:r>
                      <w:rPr>
                        <w:sz w:val="20"/>
                      </w:rPr>
                      <w:t>Website:</w:t>
                    </w:r>
                    <w:r>
                      <w:rPr>
                        <w:spacing w:val="-7"/>
                        <w:sz w:val="20"/>
                      </w:rPr>
                      <w:t> </w:t>
                    </w:r>
                    <w:hyperlink r:id="rId44">
                      <w:r>
                        <w:rPr>
                          <w:color w:val="0000FF"/>
                          <w:sz w:val="20"/>
                        </w:rPr>
                        <w:t>Audit</w:t>
                      </w:r>
                      <w:r>
                        <w:rPr>
                          <w:color w:val="0000FF"/>
                          <w:spacing w:val="-6"/>
                          <w:sz w:val="20"/>
                        </w:rPr>
                        <w:t> </w:t>
                      </w:r>
                      <w:r>
                        <w:rPr>
                          <w:color w:val="0000FF"/>
                          <w:sz w:val="20"/>
                        </w:rPr>
                        <w:t>&amp;</w:t>
                      </w:r>
                      <w:r>
                        <w:rPr>
                          <w:color w:val="0000FF"/>
                          <w:spacing w:val="-8"/>
                          <w:sz w:val="20"/>
                        </w:rPr>
                        <w:t> </w:t>
                      </w:r>
                      <w:r>
                        <w:rPr>
                          <w:color w:val="0000FF"/>
                          <w:sz w:val="20"/>
                        </w:rPr>
                        <w:t>Assurance</w:t>
                      </w:r>
                      <w:r>
                        <w:rPr>
                          <w:color w:val="0000FF"/>
                          <w:spacing w:val="-7"/>
                          <w:sz w:val="20"/>
                        </w:rPr>
                        <w:t> </w:t>
                      </w:r>
                      <w:r>
                        <w:rPr>
                          <w:color w:val="0000FF"/>
                          <w:sz w:val="20"/>
                        </w:rPr>
                        <w:t>Services</w:t>
                      </w:r>
                      <w:r>
                        <w:rPr>
                          <w:color w:val="0000FF"/>
                          <w:spacing w:val="-6"/>
                          <w:sz w:val="20"/>
                        </w:rPr>
                        <w:t> </w:t>
                      </w:r>
                      <w:r>
                        <w:rPr>
                          <w:color w:val="0000FF"/>
                          <w:sz w:val="20"/>
                        </w:rPr>
                        <w:t>-</w:t>
                      </w:r>
                      <w:r>
                        <w:rPr>
                          <w:color w:val="0000FF"/>
                          <w:spacing w:val="-4"/>
                          <w:sz w:val="20"/>
                        </w:rPr>
                        <w:t> </w:t>
                      </w:r>
                      <w:r>
                        <w:rPr>
                          <w:color w:val="0000FF"/>
                          <w:sz w:val="20"/>
                        </w:rPr>
                        <w:t>NHS</w:t>
                      </w:r>
                      <w:r>
                        <w:rPr>
                          <w:color w:val="0000FF"/>
                          <w:spacing w:val="-4"/>
                          <w:sz w:val="20"/>
                        </w:rPr>
                        <w:t> </w:t>
                      </w:r>
                      <w:r>
                        <w:rPr>
                          <w:color w:val="0000FF"/>
                          <w:sz w:val="20"/>
                        </w:rPr>
                        <w:t>Wales</w:t>
                      </w:r>
                      <w:r>
                        <w:rPr>
                          <w:color w:val="0000FF"/>
                          <w:spacing w:val="-8"/>
                          <w:sz w:val="20"/>
                        </w:rPr>
                        <w:t> </w:t>
                      </w:r>
                      <w:r>
                        <w:rPr>
                          <w:color w:val="0000FF"/>
                          <w:sz w:val="20"/>
                        </w:rPr>
                        <w:t>Shared</w:t>
                      </w:r>
                      <w:r>
                        <w:rPr>
                          <w:color w:val="0000FF"/>
                          <w:spacing w:val="-4"/>
                          <w:sz w:val="20"/>
                        </w:rPr>
                        <w:t> </w:t>
                      </w:r>
                      <w:r>
                        <w:rPr>
                          <w:color w:val="0000FF"/>
                          <w:sz w:val="20"/>
                        </w:rPr>
                        <w:t>Services</w:t>
                      </w:r>
                      <w:r>
                        <w:rPr>
                          <w:color w:val="0000FF"/>
                          <w:spacing w:val="-6"/>
                          <w:sz w:val="20"/>
                        </w:rPr>
                        <w:t> </w:t>
                      </w:r>
                      <w:r>
                        <w:rPr>
                          <w:color w:val="0000FF"/>
                          <w:spacing w:val="-2"/>
                          <w:sz w:val="20"/>
                        </w:rPr>
                        <w:t>Partnership</w:t>
                      </w:r>
                    </w:hyperlink>
                  </w:p>
                </w:txbxContent>
              </v:textbox>
              <w10:wrap type="none"/>
            </v:shape>
            <w10:wrap type="topAndBottom"/>
          </v:group>
        </w:pict>
      </w:r>
    </w:p>
    <w:p>
      <w:pPr>
        <w:spacing w:after="0"/>
        <w:rPr>
          <w:sz w:val="18"/>
        </w:rPr>
        <w:sectPr>
          <w:footerReference w:type="default" r:id="rId94"/>
          <w:pgSz w:w="11910" w:h="16840"/>
          <w:pgMar w:footer="173" w:header="0" w:top="540" w:bottom="36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9"/>
        </w:rPr>
      </w:pPr>
    </w:p>
    <w:p>
      <w:pPr>
        <w:spacing w:before="87"/>
        <w:ind w:left="2465" w:right="2893" w:firstLine="0"/>
        <w:jc w:val="center"/>
        <w:rPr>
          <w:rFonts w:ascii="Arial"/>
          <w:b/>
          <w:sz w:val="40"/>
        </w:rPr>
      </w:pPr>
      <w:r>
        <w:rPr/>
        <w:pict>
          <v:group style="position:absolute;margin-left:54.900002pt;margin-top:-139.444244pt;width:464pt;height:659.5pt;mso-position-horizontal-relative:page;mso-position-vertical-relative:paragraph;z-index:-24121856" id="docshapegroup308" coordorigin="1098,-2789" coordsize="9280,13190">
            <v:shape style="position:absolute;left:1098;top:-2784;width:9280;height:13180" id="docshape309" coordorigin="1098,-2784" coordsize="9280,13180" path="m1103,-2779l1103,10390m10373,-2779l10373,10390m1098,-2784l10378,-2784m1098,10395l10378,10395e" filled="false" stroked="true" strokeweight=".5pt" strokecolor="#000000">
              <v:path arrowok="t"/>
              <v:stroke dashstyle="solid"/>
            </v:shape>
            <v:shape style="position:absolute;left:3834;top:-2447;width:3864;height:1372" type="#_x0000_t75" id="docshape310" stroked="false">
              <v:imagedata r:id="rId96" o:title=""/>
            </v:shape>
            <w10:wrap type="none"/>
          </v:group>
        </w:pict>
      </w:r>
      <w:bookmarkStart w:name=" 5.1 NWSSP Period 3 draft 2022 LCFS Prog" w:id="59"/>
      <w:bookmarkEnd w:id="59"/>
      <w:r>
        <w:rPr/>
      </w:r>
      <w:r>
        <w:rPr>
          <w:rFonts w:ascii="Arial"/>
          <w:b/>
          <w:sz w:val="40"/>
        </w:rPr>
        <w:t>NHS</w:t>
      </w:r>
      <w:r>
        <w:rPr>
          <w:rFonts w:ascii="Arial"/>
          <w:b/>
          <w:spacing w:val="-3"/>
          <w:sz w:val="40"/>
        </w:rPr>
        <w:t> </w:t>
      </w:r>
      <w:r>
        <w:rPr>
          <w:rFonts w:ascii="Arial"/>
          <w:b/>
          <w:spacing w:val="-2"/>
          <w:sz w:val="40"/>
        </w:rPr>
        <w:t>WALES</w:t>
      </w:r>
    </w:p>
    <w:p>
      <w:pPr>
        <w:spacing w:before="0"/>
        <w:ind w:left="2465" w:right="2893" w:firstLine="0"/>
        <w:jc w:val="center"/>
        <w:rPr>
          <w:rFonts w:ascii="Arial"/>
          <w:b/>
          <w:sz w:val="40"/>
        </w:rPr>
      </w:pPr>
      <w:r>
        <w:rPr>
          <w:rFonts w:ascii="Arial"/>
          <w:b/>
          <w:sz w:val="40"/>
        </w:rPr>
        <w:t>Shared</w:t>
      </w:r>
      <w:r>
        <w:rPr>
          <w:rFonts w:ascii="Arial"/>
          <w:b/>
          <w:spacing w:val="-17"/>
          <w:sz w:val="40"/>
        </w:rPr>
        <w:t> </w:t>
      </w:r>
      <w:r>
        <w:rPr>
          <w:rFonts w:ascii="Arial"/>
          <w:b/>
          <w:sz w:val="40"/>
        </w:rPr>
        <w:t>Services</w:t>
      </w:r>
      <w:r>
        <w:rPr>
          <w:rFonts w:ascii="Arial"/>
          <w:b/>
          <w:spacing w:val="-18"/>
          <w:sz w:val="40"/>
        </w:rPr>
        <w:t> </w:t>
      </w:r>
      <w:r>
        <w:rPr>
          <w:rFonts w:ascii="Arial"/>
          <w:b/>
          <w:sz w:val="40"/>
        </w:rPr>
        <w:t>Partnership </w:t>
      </w:r>
      <w:r>
        <w:rPr>
          <w:rFonts w:ascii="Arial"/>
          <w:b/>
          <w:spacing w:val="-2"/>
          <w:sz w:val="40"/>
        </w:rPr>
        <w:t>(NWSSP)</w:t>
      </w:r>
    </w:p>
    <w:p>
      <w:pPr>
        <w:pStyle w:val="BodyText"/>
        <w:rPr>
          <w:rFonts w:ascii="Arial"/>
          <w:b/>
          <w:sz w:val="40"/>
        </w:rPr>
      </w:pPr>
    </w:p>
    <w:p>
      <w:pPr>
        <w:spacing w:before="0"/>
        <w:ind w:left="3513" w:right="1226" w:hanging="777"/>
        <w:jc w:val="left"/>
        <w:rPr>
          <w:rFonts w:ascii="Arial" w:hAnsi="Arial"/>
          <w:b/>
          <w:sz w:val="40"/>
        </w:rPr>
      </w:pPr>
      <w:r>
        <w:rPr>
          <w:rFonts w:ascii="Arial" w:hAnsi="Arial"/>
          <w:b/>
          <w:sz w:val="40"/>
        </w:rPr>
        <w:t>Counter</w:t>
      </w:r>
      <w:r>
        <w:rPr>
          <w:rFonts w:ascii="Arial" w:hAnsi="Arial"/>
          <w:b/>
          <w:spacing w:val="-12"/>
          <w:sz w:val="40"/>
        </w:rPr>
        <w:t> </w:t>
      </w:r>
      <w:r>
        <w:rPr>
          <w:rFonts w:ascii="Arial" w:hAnsi="Arial"/>
          <w:b/>
          <w:sz w:val="40"/>
        </w:rPr>
        <w:t>Fraud</w:t>
      </w:r>
      <w:r>
        <w:rPr>
          <w:rFonts w:ascii="Arial" w:hAnsi="Arial"/>
          <w:b/>
          <w:spacing w:val="-11"/>
          <w:sz w:val="40"/>
        </w:rPr>
        <w:t> </w:t>
      </w:r>
      <w:r>
        <w:rPr>
          <w:rFonts w:ascii="Arial" w:hAnsi="Arial"/>
          <w:b/>
          <w:sz w:val="40"/>
        </w:rPr>
        <w:t>Progress</w:t>
      </w:r>
      <w:r>
        <w:rPr>
          <w:rFonts w:ascii="Arial" w:hAnsi="Arial"/>
          <w:b/>
          <w:spacing w:val="-12"/>
          <w:sz w:val="40"/>
        </w:rPr>
        <w:t> </w:t>
      </w:r>
      <w:r>
        <w:rPr>
          <w:rFonts w:ascii="Arial" w:hAnsi="Arial"/>
          <w:b/>
          <w:sz w:val="40"/>
        </w:rPr>
        <w:t>Report 01/10/2022 – 31/12/2022</w:t>
      </w:r>
    </w:p>
    <w:p>
      <w:pPr>
        <w:pStyle w:val="BodyText"/>
        <w:rPr>
          <w:rFonts w:ascii="Arial"/>
          <w:b/>
          <w:sz w:val="44"/>
        </w:rPr>
      </w:pPr>
    </w:p>
    <w:p>
      <w:pPr>
        <w:pStyle w:val="BodyText"/>
        <w:rPr>
          <w:rFonts w:ascii="Arial"/>
          <w:b/>
          <w:sz w:val="44"/>
        </w:rPr>
      </w:pPr>
    </w:p>
    <w:p>
      <w:pPr>
        <w:pStyle w:val="BodyText"/>
        <w:rPr>
          <w:rFonts w:ascii="Arial"/>
          <w:b/>
          <w:sz w:val="44"/>
        </w:rPr>
      </w:pPr>
    </w:p>
    <w:p>
      <w:pPr>
        <w:pStyle w:val="BodyText"/>
        <w:rPr>
          <w:rFonts w:ascii="Arial"/>
          <w:b/>
          <w:sz w:val="44"/>
        </w:rPr>
      </w:pPr>
    </w:p>
    <w:p>
      <w:pPr>
        <w:pStyle w:val="BodyText"/>
        <w:rPr>
          <w:rFonts w:ascii="Arial"/>
          <w:b/>
          <w:sz w:val="44"/>
        </w:rPr>
      </w:pPr>
    </w:p>
    <w:p>
      <w:pPr>
        <w:pStyle w:val="BodyText"/>
        <w:rPr>
          <w:rFonts w:ascii="Arial"/>
          <w:b/>
          <w:sz w:val="44"/>
        </w:rPr>
      </w:pPr>
    </w:p>
    <w:p>
      <w:pPr>
        <w:pStyle w:val="BodyText"/>
        <w:rPr>
          <w:rFonts w:ascii="Arial"/>
          <w:b/>
          <w:sz w:val="44"/>
        </w:rPr>
      </w:pPr>
    </w:p>
    <w:p>
      <w:pPr>
        <w:pStyle w:val="BodyText"/>
        <w:rPr>
          <w:rFonts w:ascii="Arial"/>
          <w:b/>
          <w:sz w:val="44"/>
        </w:rPr>
      </w:pPr>
    </w:p>
    <w:p>
      <w:pPr>
        <w:pStyle w:val="BodyText"/>
        <w:rPr>
          <w:rFonts w:ascii="Arial"/>
          <w:b/>
          <w:sz w:val="44"/>
        </w:rPr>
      </w:pPr>
    </w:p>
    <w:p>
      <w:pPr>
        <w:pStyle w:val="BodyText"/>
        <w:rPr>
          <w:rFonts w:ascii="Arial"/>
          <w:b/>
          <w:sz w:val="44"/>
        </w:rPr>
      </w:pPr>
    </w:p>
    <w:p>
      <w:pPr>
        <w:pStyle w:val="BodyText"/>
        <w:rPr>
          <w:rFonts w:ascii="Arial"/>
          <w:b/>
          <w:sz w:val="44"/>
        </w:rPr>
      </w:pPr>
    </w:p>
    <w:p>
      <w:pPr>
        <w:pStyle w:val="BodyText"/>
        <w:rPr>
          <w:rFonts w:ascii="Arial"/>
          <w:b/>
          <w:sz w:val="44"/>
        </w:rPr>
      </w:pPr>
    </w:p>
    <w:p>
      <w:pPr>
        <w:pStyle w:val="BodyText"/>
        <w:rPr>
          <w:rFonts w:ascii="Arial"/>
          <w:b/>
          <w:sz w:val="56"/>
        </w:rPr>
      </w:pPr>
    </w:p>
    <w:p>
      <w:pPr>
        <w:spacing w:before="1"/>
        <w:ind w:left="1210" w:right="0" w:firstLine="0"/>
        <w:jc w:val="left"/>
        <w:rPr>
          <w:rFonts w:ascii="Arial"/>
          <w:b/>
          <w:sz w:val="24"/>
        </w:rPr>
      </w:pPr>
      <w:r>
        <w:rPr>
          <w:rFonts w:ascii="Arial"/>
          <w:b/>
          <w:sz w:val="24"/>
        </w:rPr>
        <w:t>Mark </w:t>
      </w:r>
      <w:r>
        <w:rPr>
          <w:rFonts w:ascii="Arial"/>
          <w:b/>
          <w:spacing w:val="-2"/>
          <w:sz w:val="24"/>
        </w:rPr>
        <w:t>Weston</w:t>
      </w:r>
    </w:p>
    <w:p>
      <w:pPr>
        <w:spacing w:before="0"/>
        <w:ind w:left="1210" w:right="0" w:firstLine="0"/>
        <w:jc w:val="left"/>
        <w:rPr>
          <w:rFonts w:ascii="Arial"/>
          <w:b/>
          <w:sz w:val="24"/>
        </w:rPr>
      </w:pPr>
      <w:r>
        <w:rPr>
          <w:rFonts w:ascii="Arial"/>
          <w:b/>
          <w:sz w:val="24"/>
        </w:rPr>
        <w:t>Local</w:t>
      </w:r>
      <w:r>
        <w:rPr>
          <w:rFonts w:ascii="Arial"/>
          <w:b/>
          <w:spacing w:val="-2"/>
          <w:sz w:val="24"/>
        </w:rPr>
        <w:t> </w:t>
      </w:r>
      <w:r>
        <w:rPr>
          <w:rFonts w:ascii="Arial"/>
          <w:b/>
          <w:sz w:val="24"/>
        </w:rPr>
        <w:t>Counter</w:t>
      </w:r>
      <w:r>
        <w:rPr>
          <w:rFonts w:ascii="Arial"/>
          <w:b/>
          <w:spacing w:val="-3"/>
          <w:sz w:val="24"/>
        </w:rPr>
        <w:t> </w:t>
      </w:r>
      <w:r>
        <w:rPr>
          <w:rFonts w:ascii="Arial"/>
          <w:b/>
          <w:sz w:val="24"/>
        </w:rPr>
        <w:t>Fraud</w:t>
      </w:r>
      <w:r>
        <w:rPr>
          <w:rFonts w:ascii="Arial"/>
          <w:b/>
          <w:spacing w:val="-1"/>
          <w:sz w:val="24"/>
        </w:rPr>
        <w:t> </w:t>
      </w:r>
      <w:r>
        <w:rPr>
          <w:rFonts w:ascii="Arial"/>
          <w:b/>
          <w:spacing w:val="-2"/>
          <w:sz w:val="24"/>
        </w:rPr>
        <w:t>Manager</w:t>
      </w:r>
    </w:p>
    <w:p>
      <w:pPr>
        <w:spacing w:before="0"/>
        <w:ind w:left="1210" w:right="0" w:firstLine="0"/>
        <w:jc w:val="left"/>
        <w:rPr>
          <w:rFonts w:ascii="Arial"/>
          <w:b/>
          <w:sz w:val="24"/>
        </w:rPr>
      </w:pPr>
      <w:r>
        <w:rPr>
          <w:rFonts w:ascii="Arial"/>
          <w:b/>
          <w:sz w:val="24"/>
        </w:rPr>
        <w:t>NHS</w:t>
      </w:r>
      <w:r>
        <w:rPr>
          <w:rFonts w:ascii="Arial"/>
          <w:b/>
          <w:spacing w:val="-4"/>
          <w:sz w:val="24"/>
        </w:rPr>
        <w:t> </w:t>
      </w:r>
      <w:r>
        <w:rPr>
          <w:rFonts w:ascii="Arial"/>
          <w:b/>
          <w:sz w:val="24"/>
        </w:rPr>
        <w:t>Wales</w:t>
      </w:r>
      <w:r>
        <w:rPr>
          <w:rFonts w:ascii="Arial"/>
          <w:b/>
          <w:spacing w:val="-1"/>
          <w:sz w:val="24"/>
        </w:rPr>
        <w:t> </w:t>
      </w:r>
      <w:r>
        <w:rPr>
          <w:rFonts w:ascii="Arial"/>
          <w:b/>
          <w:sz w:val="24"/>
        </w:rPr>
        <w:t>Shared</w:t>
      </w:r>
      <w:r>
        <w:rPr>
          <w:rFonts w:ascii="Arial"/>
          <w:b/>
          <w:spacing w:val="-1"/>
          <w:sz w:val="24"/>
        </w:rPr>
        <w:t> </w:t>
      </w:r>
      <w:r>
        <w:rPr>
          <w:rFonts w:ascii="Arial"/>
          <w:b/>
          <w:sz w:val="24"/>
        </w:rPr>
        <w:t>Services</w:t>
      </w:r>
      <w:r>
        <w:rPr>
          <w:rFonts w:ascii="Arial"/>
          <w:b/>
          <w:spacing w:val="-2"/>
          <w:sz w:val="24"/>
        </w:rPr>
        <w:t> Partnership</w:t>
      </w:r>
    </w:p>
    <w:p>
      <w:pPr>
        <w:spacing w:after="0"/>
        <w:jc w:val="left"/>
        <w:rPr>
          <w:rFonts w:ascii="Arial"/>
          <w:sz w:val="24"/>
        </w:rPr>
        <w:sectPr>
          <w:footerReference w:type="default" r:id="rId95"/>
          <w:pgSz w:w="11910" w:h="16840"/>
          <w:pgMar w:footer="173" w:header="0" w:top="1420" w:bottom="360" w:left="0" w:right="0"/>
        </w:sectPr>
      </w:pPr>
    </w:p>
    <w:p>
      <w:pPr>
        <w:spacing w:before="62"/>
        <w:ind w:left="1800" w:right="0" w:firstLine="0"/>
        <w:jc w:val="left"/>
        <w:rPr>
          <w:rFonts w:ascii="Arial"/>
          <w:b/>
          <w:sz w:val="28"/>
        </w:rPr>
      </w:pPr>
      <w:r>
        <w:rPr>
          <w:rFonts w:ascii="Arial"/>
          <w:b/>
          <w:color w:val="2E73B5"/>
          <w:sz w:val="28"/>
        </w:rPr>
        <w:t>TABLE OF</w:t>
      </w:r>
      <w:r>
        <w:rPr>
          <w:rFonts w:ascii="Arial"/>
          <w:b/>
          <w:color w:val="2E73B5"/>
          <w:spacing w:val="-1"/>
          <w:sz w:val="28"/>
        </w:rPr>
        <w:t> </w:t>
      </w:r>
      <w:r>
        <w:rPr>
          <w:rFonts w:ascii="Arial"/>
          <w:b/>
          <w:color w:val="2E73B5"/>
          <w:spacing w:val="-2"/>
          <w:sz w:val="28"/>
        </w:rPr>
        <w:t>CONTENTS</w:t>
      </w:r>
    </w:p>
    <w:p>
      <w:pPr>
        <w:pStyle w:val="BodyText"/>
        <w:rPr>
          <w:rFonts w:ascii="Arial"/>
          <w:b/>
          <w:sz w:val="30"/>
        </w:rPr>
      </w:pPr>
    </w:p>
    <w:p>
      <w:pPr>
        <w:pStyle w:val="BodyText"/>
        <w:spacing w:before="6"/>
        <w:rPr>
          <w:rFonts w:ascii="Arial"/>
          <w:b/>
          <w:sz w:val="43"/>
        </w:rPr>
      </w:pPr>
    </w:p>
    <w:p>
      <w:pPr>
        <w:pStyle w:val="ListParagraph"/>
        <w:numPr>
          <w:ilvl w:val="0"/>
          <w:numId w:val="28"/>
        </w:numPr>
        <w:tabs>
          <w:tab w:pos="2160" w:val="left" w:leader="none"/>
        </w:tabs>
        <w:spacing w:line="240" w:lineRule="auto" w:before="0" w:after="0"/>
        <w:ind w:left="2159" w:right="0" w:hanging="360"/>
        <w:jc w:val="left"/>
        <w:rPr>
          <w:rFonts w:ascii="Arial"/>
          <w:sz w:val="24"/>
        </w:rPr>
      </w:pPr>
      <w:r>
        <w:rPr>
          <w:rFonts w:ascii="Arial"/>
          <w:color w:val="231F20"/>
          <w:spacing w:val="-2"/>
          <w:sz w:val="24"/>
        </w:rPr>
        <w:t>Introduction</w:t>
      </w:r>
    </w:p>
    <w:p>
      <w:pPr>
        <w:pStyle w:val="BodyText"/>
        <w:rPr>
          <w:rFonts w:ascii="Arial"/>
        </w:rPr>
      </w:pPr>
    </w:p>
    <w:p>
      <w:pPr>
        <w:pStyle w:val="ListParagraph"/>
        <w:numPr>
          <w:ilvl w:val="0"/>
          <w:numId w:val="28"/>
        </w:numPr>
        <w:tabs>
          <w:tab w:pos="2160" w:val="left" w:leader="none"/>
        </w:tabs>
        <w:spacing w:line="480" w:lineRule="auto" w:before="0" w:after="0"/>
        <w:ind w:left="2160" w:right="8784" w:hanging="360"/>
        <w:jc w:val="left"/>
        <w:rPr>
          <w:rFonts w:ascii="Arial"/>
          <w:i/>
          <w:sz w:val="20"/>
        </w:rPr>
      </w:pPr>
      <w:r>
        <w:rPr>
          <w:rFonts w:ascii="Arial"/>
          <w:color w:val="231F20"/>
          <w:spacing w:val="-2"/>
          <w:sz w:val="24"/>
        </w:rPr>
        <w:t>Progress </w:t>
      </w:r>
      <w:r>
        <w:rPr>
          <w:rFonts w:ascii="Arial"/>
          <w:i/>
          <w:color w:val="231F20"/>
          <w:spacing w:val="-2"/>
          <w:sz w:val="20"/>
        </w:rPr>
        <w:t>Staffing</w:t>
      </w:r>
      <w:r>
        <w:rPr>
          <w:rFonts w:ascii="Arial"/>
          <w:i/>
          <w:color w:val="231F20"/>
          <w:spacing w:val="-2"/>
          <w:sz w:val="20"/>
        </w:rPr>
        <w:t> </w:t>
      </w:r>
      <w:r>
        <w:rPr>
          <w:rFonts w:ascii="Arial"/>
          <w:i/>
          <w:color w:val="231F20"/>
          <w:sz w:val="20"/>
        </w:rPr>
        <w:t>Activity -</w:t>
      </w:r>
    </w:p>
    <w:p>
      <w:pPr>
        <w:spacing w:line="480" w:lineRule="auto" w:before="0"/>
        <w:ind w:left="2160" w:right="7424" w:firstLine="0"/>
        <w:jc w:val="left"/>
        <w:rPr>
          <w:rFonts w:ascii="Arial"/>
          <w:i/>
          <w:sz w:val="20"/>
        </w:rPr>
      </w:pPr>
      <w:r>
        <w:rPr>
          <w:rFonts w:ascii="Arial"/>
          <w:i/>
          <w:color w:val="231F20"/>
          <w:sz w:val="20"/>
        </w:rPr>
        <w:t>Infrastructure/Annual</w:t>
      </w:r>
      <w:r>
        <w:rPr>
          <w:rFonts w:ascii="Arial"/>
          <w:i/>
          <w:color w:val="231F20"/>
          <w:spacing w:val="-14"/>
          <w:sz w:val="20"/>
        </w:rPr>
        <w:t> </w:t>
      </w:r>
      <w:r>
        <w:rPr>
          <w:rFonts w:ascii="Arial"/>
          <w:i/>
          <w:color w:val="231F20"/>
          <w:sz w:val="20"/>
        </w:rPr>
        <w:t>Plan</w:t>
      </w:r>
      <w:r>
        <w:rPr>
          <w:rFonts w:ascii="Arial"/>
          <w:i/>
          <w:color w:val="231F20"/>
          <w:sz w:val="20"/>
        </w:rPr>
        <w:t> Awareness sessions Fraud Survey</w:t>
      </w:r>
    </w:p>
    <w:p>
      <w:pPr>
        <w:spacing w:before="0"/>
        <w:ind w:left="2160" w:right="0" w:firstLine="0"/>
        <w:jc w:val="left"/>
        <w:rPr>
          <w:rFonts w:ascii="Arial"/>
          <w:i/>
          <w:sz w:val="20"/>
        </w:rPr>
      </w:pPr>
      <w:r>
        <w:rPr>
          <w:rFonts w:ascii="Arial"/>
          <w:i/>
          <w:color w:val="231F20"/>
          <w:spacing w:val="-2"/>
          <w:sz w:val="20"/>
        </w:rPr>
        <w:t>Newsletters</w:t>
      </w:r>
    </w:p>
    <w:p>
      <w:pPr>
        <w:pStyle w:val="BodyText"/>
        <w:rPr>
          <w:rFonts w:ascii="Arial"/>
          <w:i/>
          <w:sz w:val="20"/>
        </w:rPr>
      </w:pPr>
    </w:p>
    <w:p>
      <w:pPr>
        <w:spacing w:line="480" w:lineRule="auto" w:before="0"/>
        <w:ind w:left="2160" w:right="5182" w:firstLine="0"/>
        <w:jc w:val="left"/>
        <w:rPr>
          <w:rFonts w:ascii="Arial"/>
          <w:i/>
          <w:sz w:val="20"/>
        </w:rPr>
      </w:pPr>
      <w:r>
        <w:rPr>
          <w:rFonts w:ascii="Arial"/>
          <w:i/>
          <w:color w:val="231F20"/>
          <w:sz w:val="20"/>
        </w:rPr>
        <w:t>Fraud</w:t>
      </w:r>
      <w:r>
        <w:rPr>
          <w:rFonts w:ascii="Arial"/>
          <w:i/>
          <w:color w:val="231F20"/>
          <w:spacing w:val="-9"/>
          <w:sz w:val="20"/>
        </w:rPr>
        <w:t> </w:t>
      </w:r>
      <w:r>
        <w:rPr>
          <w:rFonts w:ascii="Arial"/>
          <w:i/>
          <w:color w:val="231F20"/>
          <w:sz w:val="20"/>
        </w:rPr>
        <w:t>Alerts</w:t>
      </w:r>
      <w:r>
        <w:rPr>
          <w:rFonts w:ascii="Arial"/>
          <w:i/>
          <w:color w:val="231F20"/>
          <w:spacing w:val="-9"/>
          <w:sz w:val="20"/>
        </w:rPr>
        <w:t> </w:t>
      </w:r>
      <w:r>
        <w:rPr>
          <w:rFonts w:ascii="Arial"/>
          <w:i/>
          <w:color w:val="231F20"/>
          <w:sz w:val="20"/>
        </w:rPr>
        <w:t>and</w:t>
      </w:r>
      <w:r>
        <w:rPr>
          <w:rFonts w:ascii="Arial"/>
          <w:i/>
          <w:color w:val="231F20"/>
          <w:spacing w:val="-9"/>
          <w:sz w:val="20"/>
        </w:rPr>
        <w:t> </w:t>
      </w:r>
      <w:r>
        <w:rPr>
          <w:rFonts w:ascii="Arial"/>
          <w:i/>
          <w:color w:val="231F20"/>
          <w:sz w:val="20"/>
        </w:rPr>
        <w:t>Bulletins</w:t>
      </w:r>
      <w:r>
        <w:rPr>
          <w:rFonts w:ascii="Arial"/>
          <w:i/>
          <w:color w:val="231F20"/>
          <w:spacing w:val="-10"/>
          <w:sz w:val="20"/>
        </w:rPr>
        <w:t> </w:t>
      </w:r>
      <w:r>
        <w:rPr>
          <w:rFonts w:ascii="Arial"/>
          <w:i/>
          <w:color w:val="231F20"/>
          <w:sz w:val="20"/>
        </w:rPr>
        <w:t>(FPN/IBURN)</w:t>
      </w:r>
      <w:r>
        <w:rPr>
          <w:rFonts w:ascii="Arial"/>
          <w:i/>
          <w:color w:val="231F20"/>
          <w:sz w:val="20"/>
        </w:rPr>
        <w:t> </w:t>
      </w:r>
      <w:r>
        <w:rPr>
          <w:rFonts w:ascii="Arial"/>
          <w:i/>
          <w:color w:val="231F20"/>
          <w:spacing w:val="-2"/>
          <w:sz w:val="20"/>
        </w:rPr>
        <w:t>Referrals/Enquiries/Investigations</w:t>
      </w:r>
    </w:p>
    <w:p>
      <w:pPr>
        <w:spacing w:line="480" w:lineRule="auto" w:before="0"/>
        <w:ind w:left="2160" w:right="7424" w:firstLine="0"/>
        <w:jc w:val="left"/>
        <w:rPr>
          <w:rFonts w:ascii="Arial"/>
          <w:i/>
          <w:sz w:val="20"/>
        </w:rPr>
      </w:pPr>
      <w:r>
        <w:rPr>
          <w:rFonts w:ascii="Arial"/>
          <w:i/>
          <w:color w:val="231F20"/>
          <w:sz w:val="20"/>
        </w:rPr>
        <w:t>Local</w:t>
      </w:r>
      <w:r>
        <w:rPr>
          <w:rFonts w:ascii="Arial"/>
          <w:i/>
          <w:color w:val="231F20"/>
          <w:spacing w:val="-14"/>
          <w:sz w:val="20"/>
        </w:rPr>
        <w:t> </w:t>
      </w:r>
      <w:r>
        <w:rPr>
          <w:rFonts w:ascii="Arial"/>
          <w:i/>
          <w:color w:val="231F20"/>
          <w:sz w:val="20"/>
        </w:rPr>
        <w:t>Proactive</w:t>
      </w:r>
      <w:r>
        <w:rPr>
          <w:rFonts w:ascii="Arial"/>
          <w:i/>
          <w:color w:val="231F20"/>
          <w:spacing w:val="-14"/>
          <w:sz w:val="20"/>
        </w:rPr>
        <w:t> </w:t>
      </w:r>
      <w:r>
        <w:rPr>
          <w:rFonts w:ascii="Arial"/>
          <w:i/>
          <w:color w:val="231F20"/>
          <w:sz w:val="20"/>
        </w:rPr>
        <w:t>Exercises</w:t>
      </w:r>
      <w:r>
        <w:rPr>
          <w:rFonts w:ascii="Arial"/>
          <w:i/>
          <w:color w:val="231F20"/>
          <w:sz w:val="20"/>
        </w:rPr>
        <w:t> Fraud Risk Assessments </w:t>
      </w:r>
      <w:r>
        <w:rPr>
          <w:rFonts w:ascii="Arial"/>
          <w:i/>
          <w:color w:val="231F20"/>
          <w:spacing w:val="-2"/>
          <w:sz w:val="20"/>
        </w:rPr>
        <w:t>Other</w:t>
      </w:r>
    </w:p>
    <w:p>
      <w:pPr>
        <w:pStyle w:val="ListParagraph"/>
        <w:numPr>
          <w:ilvl w:val="0"/>
          <w:numId w:val="28"/>
        </w:numPr>
        <w:tabs>
          <w:tab w:pos="2160" w:val="left" w:leader="none"/>
        </w:tabs>
        <w:spacing w:line="240" w:lineRule="auto" w:before="0" w:after="0"/>
        <w:ind w:left="2159" w:right="0" w:hanging="360"/>
        <w:jc w:val="left"/>
        <w:rPr>
          <w:rFonts w:ascii="Arial"/>
          <w:sz w:val="24"/>
        </w:rPr>
      </w:pPr>
      <w:r>
        <w:rPr>
          <w:rFonts w:ascii="Arial"/>
          <w:color w:val="231F20"/>
          <w:spacing w:val="-2"/>
          <w:sz w:val="24"/>
        </w:rPr>
        <w:t>Appendices</w:t>
      </w:r>
    </w:p>
    <w:p>
      <w:pPr>
        <w:spacing w:after="0" w:line="240" w:lineRule="auto"/>
        <w:jc w:val="left"/>
        <w:rPr>
          <w:rFonts w:ascii="Arial"/>
          <w:sz w:val="24"/>
        </w:rPr>
        <w:sectPr>
          <w:footerReference w:type="default" r:id="rId97"/>
          <w:pgSz w:w="11910" w:h="16840"/>
          <w:pgMar w:footer="1007" w:header="0" w:top="1360" w:bottom="1200" w:left="0" w:right="0"/>
        </w:sectPr>
      </w:pPr>
    </w:p>
    <w:p>
      <w:pPr>
        <w:pStyle w:val="ListParagraph"/>
        <w:numPr>
          <w:ilvl w:val="0"/>
          <w:numId w:val="29"/>
        </w:numPr>
        <w:tabs>
          <w:tab w:pos="2160" w:val="left" w:leader="none"/>
        </w:tabs>
        <w:spacing w:line="240" w:lineRule="auto" w:before="62" w:after="0"/>
        <w:ind w:left="2160" w:right="0" w:hanging="360"/>
        <w:jc w:val="left"/>
        <w:rPr>
          <w:rFonts w:ascii="Arial"/>
          <w:b/>
          <w:color w:val="4472C4"/>
          <w:sz w:val="28"/>
        </w:rPr>
      </w:pPr>
      <w:r>
        <w:rPr>
          <w:rFonts w:ascii="Arial"/>
          <w:b/>
          <w:color w:val="4472C4"/>
          <w:spacing w:val="-2"/>
          <w:sz w:val="28"/>
        </w:rPr>
        <w:t>Introduction</w:t>
      </w:r>
    </w:p>
    <w:p>
      <w:pPr>
        <w:pStyle w:val="BodyText"/>
        <w:spacing w:before="161"/>
        <w:ind w:left="2160" w:right="1438"/>
        <w:jc w:val="both"/>
        <w:rPr>
          <w:rFonts w:ascii="Arial" w:hAnsi="Arial"/>
        </w:rPr>
      </w:pPr>
      <w:r>
        <w:rPr>
          <w:rFonts w:ascii="Arial" w:hAnsi="Arial"/>
        </w:rPr>
        <w:t>In</w:t>
      </w:r>
      <w:r>
        <w:rPr>
          <w:rFonts w:ascii="Arial" w:hAnsi="Arial"/>
          <w:spacing w:val="-7"/>
        </w:rPr>
        <w:t> </w:t>
      </w:r>
      <w:r>
        <w:rPr>
          <w:rFonts w:ascii="Arial" w:hAnsi="Arial"/>
        </w:rPr>
        <w:t>compliance</w:t>
      </w:r>
      <w:r>
        <w:rPr>
          <w:rFonts w:ascii="Arial" w:hAnsi="Arial"/>
          <w:spacing w:val="-8"/>
        </w:rPr>
        <w:t> </w:t>
      </w:r>
      <w:r>
        <w:rPr>
          <w:rFonts w:ascii="Arial" w:hAnsi="Arial"/>
        </w:rPr>
        <w:t>with</w:t>
      </w:r>
      <w:r>
        <w:rPr>
          <w:rFonts w:ascii="Arial" w:hAnsi="Arial"/>
          <w:spacing w:val="-8"/>
        </w:rPr>
        <w:t> </w:t>
      </w:r>
      <w:r>
        <w:rPr>
          <w:rFonts w:ascii="Arial" w:hAnsi="Arial"/>
        </w:rPr>
        <w:t>the</w:t>
      </w:r>
      <w:r>
        <w:rPr>
          <w:rFonts w:ascii="Arial" w:hAnsi="Arial"/>
          <w:spacing w:val="-7"/>
        </w:rPr>
        <w:t> </w:t>
      </w:r>
      <w:r>
        <w:rPr>
          <w:rFonts w:ascii="Arial" w:hAnsi="Arial"/>
        </w:rPr>
        <w:t>Secretary</w:t>
      </w:r>
      <w:r>
        <w:rPr>
          <w:rFonts w:ascii="Arial" w:hAnsi="Arial"/>
          <w:spacing w:val="-8"/>
        </w:rPr>
        <w:t> </w:t>
      </w:r>
      <w:r>
        <w:rPr>
          <w:rFonts w:ascii="Arial" w:hAnsi="Arial"/>
        </w:rPr>
        <w:t>of</w:t>
      </w:r>
      <w:r>
        <w:rPr>
          <w:rFonts w:ascii="Arial" w:hAnsi="Arial"/>
          <w:spacing w:val="-8"/>
        </w:rPr>
        <w:t> </w:t>
      </w:r>
      <w:r>
        <w:rPr>
          <w:rFonts w:ascii="Arial" w:hAnsi="Arial"/>
        </w:rPr>
        <w:t>State</w:t>
      </w:r>
      <w:r>
        <w:rPr>
          <w:rFonts w:ascii="Arial" w:hAnsi="Arial"/>
          <w:spacing w:val="-8"/>
        </w:rPr>
        <w:t> </w:t>
      </w:r>
      <w:r>
        <w:rPr>
          <w:rFonts w:ascii="Arial" w:hAnsi="Arial"/>
        </w:rPr>
        <w:t>for</w:t>
      </w:r>
      <w:r>
        <w:rPr>
          <w:rFonts w:ascii="Arial" w:hAnsi="Arial"/>
          <w:spacing w:val="-7"/>
        </w:rPr>
        <w:t> </w:t>
      </w:r>
      <w:r>
        <w:rPr>
          <w:rFonts w:ascii="Arial" w:hAnsi="Arial"/>
        </w:rPr>
        <w:t>Health’s</w:t>
      </w:r>
      <w:r>
        <w:rPr>
          <w:rFonts w:ascii="Arial" w:hAnsi="Arial"/>
          <w:spacing w:val="-8"/>
        </w:rPr>
        <w:t> </w:t>
      </w:r>
      <w:r>
        <w:rPr>
          <w:rFonts w:ascii="Arial" w:hAnsi="Arial"/>
        </w:rPr>
        <w:t>Directions</w:t>
      </w:r>
      <w:r>
        <w:rPr>
          <w:rFonts w:ascii="Arial" w:hAnsi="Arial"/>
          <w:spacing w:val="-8"/>
        </w:rPr>
        <w:t> </w:t>
      </w:r>
      <w:r>
        <w:rPr>
          <w:rFonts w:ascii="Arial" w:hAnsi="Arial"/>
        </w:rPr>
        <w:t>on</w:t>
      </w:r>
      <w:r>
        <w:rPr>
          <w:rFonts w:ascii="Arial" w:hAnsi="Arial"/>
          <w:spacing w:val="-8"/>
        </w:rPr>
        <w:t> </w:t>
      </w:r>
      <w:r>
        <w:rPr>
          <w:rFonts w:ascii="Arial" w:hAnsi="Arial"/>
        </w:rPr>
        <w:t>Countering Fraud in the NHS, this report provides details of the work carried out by the NHS Wales Shared Service Partnership (NWSSP) Local Counter Fraud Manager supported by Cardiff and Vale University Health Board’s (CAVUHB) Local Counter Fraud Specialists for NWSSP from the 1</w:t>
      </w:r>
      <w:r>
        <w:rPr>
          <w:rFonts w:ascii="Arial" w:hAnsi="Arial"/>
          <w:position w:val="7"/>
          <w:sz w:val="16"/>
        </w:rPr>
        <w:t>st</w:t>
      </w:r>
      <w:r>
        <w:rPr>
          <w:rFonts w:ascii="Arial" w:hAnsi="Arial"/>
          <w:spacing w:val="80"/>
          <w:position w:val="7"/>
          <w:sz w:val="16"/>
        </w:rPr>
        <w:t> </w:t>
      </w:r>
      <w:r>
        <w:rPr>
          <w:rFonts w:ascii="Arial" w:hAnsi="Arial"/>
        </w:rPr>
        <w:t>October 2022 to the 31</w:t>
      </w:r>
      <w:r>
        <w:rPr>
          <w:rFonts w:ascii="Arial" w:hAnsi="Arial"/>
          <w:position w:val="7"/>
          <w:sz w:val="16"/>
        </w:rPr>
        <w:t>st</w:t>
      </w:r>
      <w:r>
        <w:rPr>
          <w:rFonts w:ascii="Arial" w:hAnsi="Arial"/>
          <w:spacing w:val="40"/>
          <w:position w:val="7"/>
          <w:sz w:val="16"/>
        </w:rPr>
        <w:t> </w:t>
      </w:r>
      <w:r>
        <w:rPr>
          <w:rFonts w:ascii="Arial" w:hAnsi="Arial"/>
        </w:rPr>
        <w:t>December 2022.</w:t>
      </w:r>
    </w:p>
    <w:p>
      <w:pPr>
        <w:pStyle w:val="BodyText"/>
        <w:rPr>
          <w:rFonts w:ascii="Arial"/>
        </w:rPr>
      </w:pPr>
    </w:p>
    <w:p>
      <w:pPr>
        <w:pStyle w:val="BodyText"/>
        <w:ind w:left="2160" w:right="1438"/>
        <w:jc w:val="both"/>
        <w:rPr>
          <w:rFonts w:ascii="Arial" w:hAnsi="Arial"/>
        </w:rPr>
      </w:pPr>
      <w:r>
        <w:rPr>
          <w:rFonts w:ascii="Arial" w:hAnsi="Arial"/>
        </w:rPr>
        <w:t>The report’s format has been adopted, in consultation with the Director of Finance and Corporate Services, to update the Audit and Assurance Committee</w:t>
      </w:r>
      <w:r>
        <w:rPr>
          <w:rFonts w:ascii="Arial" w:hAnsi="Arial"/>
          <w:spacing w:val="-17"/>
        </w:rPr>
        <w:t> </w:t>
      </w:r>
      <w:r>
        <w:rPr>
          <w:rFonts w:ascii="Arial" w:hAnsi="Arial"/>
        </w:rPr>
        <w:t>about</w:t>
      </w:r>
      <w:r>
        <w:rPr>
          <w:rFonts w:ascii="Arial" w:hAnsi="Arial"/>
          <w:spacing w:val="-17"/>
        </w:rPr>
        <w:t> </w:t>
      </w:r>
      <w:r>
        <w:rPr>
          <w:rFonts w:ascii="Arial" w:hAnsi="Arial"/>
        </w:rPr>
        <w:t>counter</w:t>
      </w:r>
      <w:r>
        <w:rPr>
          <w:rFonts w:ascii="Arial" w:hAnsi="Arial"/>
          <w:spacing w:val="-16"/>
        </w:rPr>
        <w:t> </w:t>
      </w:r>
      <w:r>
        <w:rPr>
          <w:rFonts w:ascii="Arial" w:hAnsi="Arial"/>
        </w:rPr>
        <w:t>fraud</w:t>
      </w:r>
      <w:r>
        <w:rPr>
          <w:rFonts w:ascii="Arial" w:hAnsi="Arial"/>
          <w:spacing w:val="-17"/>
        </w:rPr>
        <w:t> </w:t>
      </w:r>
      <w:r>
        <w:rPr>
          <w:rFonts w:ascii="Arial" w:hAnsi="Arial"/>
        </w:rPr>
        <w:t>referrals,</w:t>
      </w:r>
      <w:r>
        <w:rPr>
          <w:rFonts w:ascii="Arial" w:hAnsi="Arial"/>
          <w:spacing w:val="-17"/>
        </w:rPr>
        <w:t> </w:t>
      </w:r>
      <w:r>
        <w:rPr>
          <w:rFonts w:ascii="Arial" w:hAnsi="Arial"/>
        </w:rPr>
        <w:t>investigations,</w:t>
      </w:r>
      <w:r>
        <w:rPr>
          <w:rFonts w:ascii="Arial" w:hAnsi="Arial"/>
          <w:spacing w:val="-17"/>
        </w:rPr>
        <w:t> </w:t>
      </w:r>
      <w:r>
        <w:rPr>
          <w:rFonts w:ascii="Arial" w:hAnsi="Arial"/>
        </w:rPr>
        <w:t>activity</w:t>
      </w:r>
      <w:r>
        <w:rPr>
          <w:rFonts w:ascii="Arial" w:hAnsi="Arial"/>
          <w:spacing w:val="-16"/>
        </w:rPr>
        <w:t> </w:t>
      </w:r>
      <w:r>
        <w:rPr>
          <w:rFonts w:ascii="Arial" w:hAnsi="Arial"/>
        </w:rPr>
        <w:t>and</w:t>
      </w:r>
      <w:r>
        <w:rPr>
          <w:rFonts w:ascii="Arial" w:hAnsi="Arial"/>
          <w:spacing w:val="-17"/>
        </w:rPr>
        <w:t> </w:t>
      </w:r>
      <w:r>
        <w:rPr>
          <w:rFonts w:ascii="Arial" w:hAnsi="Arial"/>
        </w:rPr>
        <w:t>operational </w:t>
      </w:r>
      <w:r>
        <w:rPr>
          <w:rFonts w:ascii="Arial" w:hAnsi="Arial"/>
          <w:spacing w:val="-2"/>
        </w:rPr>
        <w:t>issues.</w:t>
      </w:r>
    </w:p>
    <w:p>
      <w:pPr>
        <w:pStyle w:val="BodyText"/>
        <w:rPr>
          <w:rFonts w:ascii="Arial"/>
        </w:rPr>
      </w:pPr>
    </w:p>
    <w:p>
      <w:pPr>
        <w:pStyle w:val="BodyText"/>
        <w:ind w:left="2160" w:right="1437"/>
        <w:jc w:val="both"/>
        <w:rPr>
          <w:rFonts w:ascii="Arial"/>
        </w:rPr>
      </w:pPr>
      <w:r>
        <w:rPr>
          <w:rFonts w:ascii="Arial"/>
        </w:rPr>
        <w:t>At</w:t>
      </w:r>
      <w:r>
        <w:rPr>
          <w:rFonts w:ascii="Arial"/>
          <w:spacing w:val="-10"/>
        </w:rPr>
        <w:t> </w:t>
      </w:r>
      <w:r>
        <w:rPr>
          <w:rFonts w:ascii="Arial"/>
        </w:rPr>
        <w:t>31</w:t>
      </w:r>
      <w:r>
        <w:rPr>
          <w:rFonts w:ascii="Arial"/>
          <w:position w:val="7"/>
          <w:sz w:val="16"/>
        </w:rPr>
        <w:t>st</w:t>
      </w:r>
      <w:r>
        <w:rPr>
          <w:rFonts w:ascii="Arial"/>
          <w:spacing w:val="12"/>
          <w:position w:val="7"/>
          <w:sz w:val="16"/>
        </w:rPr>
        <w:t> </w:t>
      </w:r>
      <w:r>
        <w:rPr>
          <w:rFonts w:ascii="Arial"/>
        </w:rPr>
        <w:t>December</w:t>
      </w:r>
      <w:r>
        <w:rPr>
          <w:rFonts w:ascii="Arial"/>
          <w:spacing w:val="-10"/>
        </w:rPr>
        <w:t> </w:t>
      </w:r>
      <w:r>
        <w:rPr>
          <w:rFonts w:ascii="Arial"/>
        </w:rPr>
        <w:t>2022,</w:t>
      </w:r>
      <w:r>
        <w:rPr>
          <w:rFonts w:ascii="Arial"/>
          <w:spacing w:val="-10"/>
        </w:rPr>
        <w:t> </w:t>
      </w:r>
      <w:r>
        <w:rPr>
          <w:rFonts w:ascii="Arial"/>
        </w:rPr>
        <w:t>148</w:t>
      </w:r>
      <w:r>
        <w:rPr>
          <w:rFonts w:ascii="Arial"/>
          <w:spacing w:val="-10"/>
        </w:rPr>
        <w:t> </w:t>
      </w:r>
      <w:r>
        <w:rPr>
          <w:rFonts w:ascii="Arial"/>
        </w:rPr>
        <w:t>days</w:t>
      </w:r>
      <w:r>
        <w:rPr>
          <w:rFonts w:ascii="Arial"/>
          <w:spacing w:val="-10"/>
        </w:rPr>
        <w:t> </w:t>
      </w:r>
      <w:r>
        <w:rPr>
          <w:rFonts w:ascii="Arial"/>
        </w:rPr>
        <w:t>of</w:t>
      </w:r>
      <w:r>
        <w:rPr>
          <w:rFonts w:ascii="Arial"/>
          <w:spacing w:val="-10"/>
        </w:rPr>
        <w:t> </w:t>
      </w:r>
      <w:r>
        <w:rPr>
          <w:rFonts w:ascii="Arial"/>
        </w:rPr>
        <w:t>Counter</w:t>
      </w:r>
      <w:r>
        <w:rPr>
          <w:rFonts w:ascii="Arial"/>
          <w:spacing w:val="-10"/>
        </w:rPr>
        <w:t> </w:t>
      </w:r>
      <w:r>
        <w:rPr>
          <w:rFonts w:ascii="Arial"/>
        </w:rPr>
        <w:t>Fraud</w:t>
      </w:r>
      <w:r>
        <w:rPr>
          <w:rFonts w:ascii="Arial"/>
          <w:spacing w:val="-10"/>
        </w:rPr>
        <w:t> </w:t>
      </w:r>
      <w:r>
        <w:rPr>
          <w:rFonts w:ascii="Arial"/>
        </w:rPr>
        <w:t>work</w:t>
      </w:r>
      <w:r>
        <w:rPr>
          <w:rFonts w:ascii="Arial"/>
          <w:spacing w:val="-10"/>
        </w:rPr>
        <w:t> </w:t>
      </w:r>
      <w:r>
        <w:rPr>
          <w:rFonts w:ascii="Arial"/>
        </w:rPr>
        <w:t>have</w:t>
      </w:r>
      <w:r>
        <w:rPr>
          <w:rFonts w:ascii="Arial"/>
          <w:spacing w:val="-10"/>
        </w:rPr>
        <w:t> </w:t>
      </w:r>
      <w:r>
        <w:rPr>
          <w:rFonts w:ascii="Arial"/>
        </w:rPr>
        <w:t>been</w:t>
      </w:r>
      <w:r>
        <w:rPr>
          <w:rFonts w:ascii="Arial"/>
          <w:spacing w:val="-10"/>
        </w:rPr>
        <w:t> </w:t>
      </w:r>
      <w:r>
        <w:rPr>
          <w:rFonts w:ascii="Arial"/>
        </w:rPr>
        <w:t>completed against the agreed 242 days in the Counter Fraud Annual Work-Plan for the 2022/23 financial year. In summary the days have been used concluding ongoing fraud investigations and two new fraud referrals; Fraud Awareness activity was mainly focussed on Fraud Awareness Week and development of fraud awareness material, responses to NHS CFA Fraud Prevention Notices, and</w:t>
      </w:r>
      <w:r>
        <w:rPr>
          <w:rFonts w:ascii="Arial"/>
          <w:spacing w:val="40"/>
        </w:rPr>
        <w:t> </w:t>
      </w:r>
      <w:r>
        <w:rPr>
          <w:rFonts w:ascii="Arial"/>
        </w:rPr>
        <w:t>Local Proactive Exercises.</w:t>
      </w:r>
    </w:p>
    <w:p>
      <w:pPr>
        <w:pStyle w:val="BodyText"/>
        <w:rPr>
          <w:rFonts w:ascii="Arial"/>
        </w:rPr>
      </w:pPr>
    </w:p>
    <w:p>
      <w:pPr>
        <w:pStyle w:val="BodyText"/>
        <w:ind w:left="2160"/>
        <w:jc w:val="both"/>
        <w:rPr>
          <w:rFonts w:ascii="Arial"/>
        </w:rPr>
      </w:pPr>
      <w:r>
        <w:rPr>
          <w:rFonts w:ascii="Arial"/>
        </w:rPr>
        <w:t>The</w:t>
      </w:r>
      <w:r>
        <w:rPr>
          <w:rFonts w:ascii="Arial"/>
          <w:spacing w:val="-4"/>
        </w:rPr>
        <w:t> </w:t>
      </w:r>
      <w:r>
        <w:rPr>
          <w:rFonts w:ascii="Arial"/>
        </w:rPr>
        <w:t>breakdown</w:t>
      </w:r>
      <w:r>
        <w:rPr>
          <w:rFonts w:ascii="Arial"/>
          <w:spacing w:val="-3"/>
        </w:rPr>
        <w:t> </w:t>
      </w:r>
      <w:r>
        <w:rPr>
          <w:rFonts w:ascii="Arial"/>
        </w:rPr>
        <w:t>of</w:t>
      </w:r>
      <w:r>
        <w:rPr>
          <w:rFonts w:ascii="Arial"/>
          <w:spacing w:val="-3"/>
        </w:rPr>
        <w:t> </w:t>
      </w:r>
      <w:r>
        <w:rPr>
          <w:rFonts w:ascii="Arial"/>
        </w:rPr>
        <w:t>these</w:t>
      </w:r>
      <w:r>
        <w:rPr>
          <w:rFonts w:ascii="Arial"/>
          <w:spacing w:val="-2"/>
        </w:rPr>
        <w:t> </w:t>
      </w:r>
      <w:r>
        <w:rPr>
          <w:rFonts w:ascii="Arial"/>
        </w:rPr>
        <w:t>days</w:t>
      </w:r>
      <w:r>
        <w:rPr>
          <w:rFonts w:ascii="Arial"/>
          <w:spacing w:val="-3"/>
        </w:rPr>
        <w:t> </w:t>
      </w:r>
      <w:r>
        <w:rPr>
          <w:rFonts w:ascii="Arial"/>
        </w:rPr>
        <w:t>is</w:t>
      </w:r>
      <w:r>
        <w:rPr>
          <w:rFonts w:ascii="Arial"/>
          <w:spacing w:val="-3"/>
        </w:rPr>
        <w:t> </w:t>
      </w:r>
      <w:r>
        <w:rPr>
          <w:rFonts w:ascii="Arial"/>
        </w:rPr>
        <w:t>as</w:t>
      </w:r>
      <w:r>
        <w:rPr>
          <w:rFonts w:ascii="Arial"/>
          <w:spacing w:val="-2"/>
        </w:rPr>
        <w:t> follows:</w:t>
      </w:r>
    </w:p>
    <w:p>
      <w:pPr>
        <w:pStyle w:val="BodyText"/>
        <w:rPr>
          <w:rFonts w:ascii="Arial"/>
          <w:sz w:val="12"/>
        </w:rPr>
      </w:pPr>
    </w:p>
    <w:tbl>
      <w:tblPr>
        <w:tblW w:w="0" w:type="auto"/>
        <w:jc w:val="left"/>
        <w:tblInd w:w="21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62"/>
        <w:gridCol w:w="4134"/>
      </w:tblGrid>
      <w:tr>
        <w:trPr>
          <w:trHeight w:val="413" w:hRule="atLeast"/>
        </w:trPr>
        <w:tc>
          <w:tcPr>
            <w:tcW w:w="4162" w:type="dxa"/>
            <w:shd w:val="clear" w:color="auto" w:fill="4472C4"/>
          </w:tcPr>
          <w:p>
            <w:pPr>
              <w:pStyle w:val="TableParagraph"/>
              <w:ind w:left="108"/>
              <w:rPr>
                <w:rFonts w:ascii="Arial"/>
                <w:sz w:val="24"/>
              </w:rPr>
            </w:pPr>
            <w:r>
              <w:rPr>
                <w:rFonts w:ascii="Arial"/>
                <w:color w:val="FFFFFF"/>
                <w:spacing w:val="-4"/>
                <w:sz w:val="24"/>
              </w:rPr>
              <w:t>TYPE</w:t>
            </w:r>
          </w:p>
        </w:tc>
        <w:tc>
          <w:tcPr>
            <w:tcW w:w="4134" w:type="dxa"/>
          </w:tcPr>
          <w:p>
            <w:pPr>
              <w:pStyle w:val="TableParagraph"/>
              <w:ind w:left="1685" w:right="1676"/>
              <w:jc w:val="center"/>
              <w:rPr>
                <w:rFonts w:ascii="Arial"/>
                <w:sz w:val="24"/>
              </w:rPr>
            </w:pPr>
            <w:r>
              <w:rPr>
                <w:rFonts w:ascii="Arial"/>
                <w:spacing w:val="-4"/>
                <w:sz w:val="24"/>
              </w:rPr>
              <w:t>Days</w:t>
            </w:r>
          </w:p>
        </w:tc>
      </w:tr>
      <w:tr>
        <w:trPr>
          <w:trHeight w:val="413" w:hRule="atLeast"/>
        </w:trPr>
        <w:tc>
          <w:tcPr>
            <w:tcW w:w="4162" w:type="dxa"/>
            <w:shd w:val="clear" w:color="auto" w:fill="4472C4"/>
          </w:tcPr>
          <w:p>
            <w:pPr>
              <w:pStyle w:val="TableParagraph"/>
              <w:ind w:left="108"/>
              <w:rPr>
                <w:rFonts w:ascii="Arial"/>
                <w:sz w:val="24"/>
              </w:rPr>
            </w:pPr>
            <w:r>
              <w:rPr>
                <w:rFonts w:ascii="Arial"/>
                <w:color w:val="FFFFFF"/>
                <w:spacing w:val="-2"/>
                <w:sz w:val="24"/>
              </w:rPr>
              <w:t>Proactive</w:t>
            </w:r>
          </w:p>
        </w:tc>
        <w:tc>
          <w:tcPr>
            <w:tcW w:w="4134" w:type="dxa"/>
          </w:tcPr>
          <w:p>
            <w:pPr>
              <w:pStyle w:val="TableParagraph"/>
              <w:ind w:left="1685" w:right="1676"/>
              <w:jc w:val="center"/>
              <w:rPr>
                <w:rFonts w:ascii="Arial"/>
                <w:sz w:val="24"/>
              </w:rPr>
            </w:pPr>
            <w:r>
              <w:rPr>
                <w:rFonts w:ascii="Arial"/>
                <w:spacing w:val="-2"/>
                <w:sz w:val="24"/>
              </w:rPr>
              <w:t>120.75</w:t>
            </w:r>
          </w:p>
        </w:tc>
      </w:tr>
      <w:tr>
        <w:trPr>
          <w:trHeight w:val="413" w:hRule="atLeast"/>
        </w:trPr>
        <w:tc>
          <w:tcPr>
            <w:tcW w:w="4162" w:type="dxa"/>
            <w:shd w:val="clear" w:color="auto" w:fill="4472C4"/>
          </w:tcPr>
          <w:p>
            <w:pPr>
              <w:pStyle w:val="TableParagraph"/>
              <w:ind w:left="108"/>
              <w:rPr>
                <w:rFonts w:ascii="Arial"/>
                <w:sz w:val="24"/>
              </w:rPr>
            </w:pPr>
            <w:r>
              <w:rPr>
                <w:rFonts w:ascii="Arial"/>
                <w:color w:val="FFFFFF"/>
                <w:spacing w:val="-2"/>
                <w:sz w:val="24"/>
              </w:rPr>
              <w:t>Reactive</w:t>
            </w:r>
          </w:p>
        </w:tc>
        <w:tc>
          <w:tcPr>
            <w:tcW w:w="4134" w:type="dxa"/>
          </w:tcPr>
          <w:p>
            <w:pPr>
              <w:pStyle w:val="TableParagraph"/>
              <w:ind w:left="1685" w:right="1676"/>
              <w:jc w:val="center"/>
              <w:rPr>
                <w:rFonts w:ascii="Arial"/>
                <w:sz w:val="24"/>
              </w:rPr>
            </w:pPr>
            <w:r>
              <w:rPr>
                <w:rFonts w:ascii="Arial"/>
                <w:spacing w:val="-2"/>
                <w:sz w:val="24"/>
              </w:rPr>
              <w:t>27.25</w:t>
            </w:r>
          </w:p>
        </w:tc>
      </w:tr>
    </w:tbl>
    <w:p>
      <w:pPr>
        <w:pStyle w:val="BodyText"/>
        <w:spacing w:before="2"/>
        <w:rPr>
          <w:rFonts w:ascii="Arial"/>
          <w:sz w:val="36"/>
        </w:rPr>
      </w:pPr>
    </w:p>
    <w:p>
      <w:pPr>
        <w:numPr>
          <w:ilvl w:val="0"/>
          <w:numId w:val="29"/>
        </w:numPr>
        <w:tabs>
          <w:tab w:pos="2160" w:val="left" w:leader="none"/>
        </w:tabs>
        <w:spacing w:before="1"/>
        <w:ind w:left="2159" w:right="0" w:hanging="360"/>
        <w:jc w:val="left"/>
        <w:rPr>
          <w:rFonts w:ascii="Arial"/>
          <w:b/>
          <w:color w:val="4472C4"/>
          <w:sz w:val="24"/>
        </w:rPr>
      </w:pPr>
      <w:r>
        <w:rPr>
          <w:rFonts w:ascii="Arial"/>
          <w:b/>
          <w:color w:val="4472C4"/>
          <w:spacing w:val="-2"/>
          <w:sz w:val="24"/>
        </w:rPr>
        <w:t>Progress</w:t>
      </w:r>
    </w:p>
    <w:p>
      <w:pPr>
        <w:pStyle w:val="BodyText"/>
        <w:spacing w:before="2"/>
        <w:rPr>
          <w:rFonts w:ascii="Arial"/>
          <w:b/>
          <w:sz w:val="31"/>
        </w:rPr>
      </w:pPr>
    </w:p>
    <w:p>
      <w:pPr>
        <w:pStyle w:val="BodyText"/>
        <w:ind w:left="2160" w:right="1438"/>
        <w:jc w:val="both"/>
        <w:rPr>
          <w:rFonts w:ascii="Arial"/>
        </w:rPr>
      </w:pPr>
      <w:r>
        <w:rPr>
          <w:rFonts w:ascii="Arial"/>
        </w:rPr>
        <w:t>The Counter Fraud Annual Plan 2022/2023 and the Annual Counter Fraud report 2021/2022 were completed and approved by the</w:t>
      </w:r>
      <w:r>
        <w:rPr>
          <w:rFonts w:ascii="Arial"/>
          <w:spacing w:val="40"/>
        </w:rPr>
        <w:t> </w:t>
      </w:r>
      <w:r>
        <w:rPr>
          <w:rFonts w:ascii="Arial"/>
        </w:rPr>
        <w:t>Director of Finance and Corporate Services and the Audit Committee.</w:t>
      </w:r>
    </w:p>
    <w:p>
      <w:pPr>
        <w:pStyle w:val="BodyText"/>
        <w:spacing w:before="7"/>
        <w:rPr>
          <w:rFonts w:ascii="Arial"/>
          <w:sz w:val="27"/>
        </w:rPr>
      </w:pPr>
    </w:p>
    <w:p>
      <w:pPr>
        <w:spacing w:before="0"/>
        <w:ind w:left="2160" w:right="0" w:firstLine="0"/>
        <w:jc w:val="left"/>
        <w:rPr>
          <w:rFonts w:ascii="Arial"/>
          <w:i/>
          <w:sz w:val="24"/>
        </w:rPr>
      </w:pPr>
      <w:r>
        <w:rPr>
          <w:rFonts w:ascii="Arial"/>
          <w:i/>
          <w:color w:val="4472C4"/>
          <w:spacing w:val="-2"/>
          <w:sz w:val="24"/>
        </w:rPr>
        <w:t>Staffing</w:t>
      </w:r>
    </w:p>
    <w:p>
      <w:pPr>
        <w:pStyle w:val="BodyText"/>
        <w:spacing w:before="2"/>
        <w:rPr>
          <w:rFonts w:ascii="Arial"/>
          <w:i/>
          <w:sz w:val="31"/>
        </w:rPr>
      </w:pPr>
    </w:p>
    <w:p>
      <w:pPr>
        <w:pStyle w:val="BodyText"/>
        <w:ind w:left="2160" w:right="1437"/>
        <w:jc w:val="both"/>
        <w:rPr>
          <w:rFonts w:ascii="Arial"/>
        </w:rPr>
      </w:pPr>
      <w:r>
        <w:rPr>
          <w:rFonts w:ascii="Arial"/>
        </w:rPr>
        <w:t>Previous</w:t>
      </w:r>
      <w:r>
        <w:rPr>
          <w:rFonts w:ascii="Arial"/>
          <w:spacing w:val="-4"/>
        </w:rPr>
        <w:t> </w:t>
      </w:r>
      <w:r>
        <w:rPr>
          <w:rFonts w:ascii="Arial"/>
        </w:rPr>
        <w:t>reports</w:t>
      </w:r>
      <w:r>
        <w:rPr>
          <w:rFonts w:ascii="Arial"/>
          <w:spacing w:val="-4"/>
        </w:rPr>
        <w:t> </w:t>
      </w:r>
      <w:r>
        <w:rPr>
          <w:rFonts w:ascii="Arial"/>
        </w:rPr>
        <w:t>this</w:t>
      </w:r>
      <w:r>
        <w:rPr>
          <w:rFonts w:ascii="Arial"/>
          <w:spacing w:val="-4"/>
        </w:rPr>
        <w:t> </w:t>
      </w:r>
      <w:r>
        <w:rPr>
          <w:rFonts w:ascii="Arial"/>
        </w:rPr>
        <w:t>financial</w:t>
      </w:r>
      <w:r>
        <w:rPr>
          <w:rFonts w:ascii="Arial"/>
          <w:spacing w:val="-4"/>
        </w:rPr>
        <w:t> </w:t>
      </w:r>
      <w:r>
        <w:rPr>
          <w:rFonts w:ascii="Arial"/>
        </w:rPr>
        <w:t>year</w:t>
      </w:r>
      <w:r>
        <w:rPr>
          <w:rFonts w:ascii="Arial"/>
          <w:spacing w:val="-4"/>
        </w:rPr>
        <w:t> </w:t>
      </w:r>
      <w:r>
        <w:rPr>
          <w:rFonts w:ascii="Arial"/>
        </w:rPr>
        <w:t>have</w:t>
      </w:r>
      <w:r>
        <w:rPr>
          <w:rFonts w:ascii="Arial"/>
          <w:spacing w:val="-4"/>
        </w:rPr>
        <w:t> </w:t>
      </w:r>
      <w:r>
        <w:rPr>
          <w:rFonts w:ascii="Arial"/>
        </w:rPr>
        <w:t>outlined</w:t>
      </w:r>
      <w:r>
        <w:rPr>
          <w:rFonts w:ascii="Arial"/>
          <w:spacing w:val="-4"/>
        </w:rPr>
        <w:t> </w:t>
      </w:r>
      <w:r>
        <w:rPr>
          <w:rFonts w:ascii="Arial"/>
        </w:rPr>
        <w:t>recent</w:t>
      </w:r>
      <w:r>
        <w:rPr>
          <w:rFonts w:ascii="Arial"/>
          <w:spacing w:val="-4"/>
        </w:rPr>
        <w:t> </w:t>
      </w:r>
      <w:r>
        <w:rPr>
          <w:rFonts w:ascii="Arial"/>
        </w:rPr>
        <w:t>changes</w:t>
      </w:r>
      <w:r>
        <w:rPr>
          <w:rFonts w:ascii="Arial"/>
          <w:spacing w:val="-4"/>
        </w:rPr>
        <w:t> </w:t>
      </w:r>
      <w:r>
        <w:rPr>
          <w:rFonts w:ascii="Arial"/>
        </w:rPr>
        <w:t>in</w:t>
      </w:r>
      <w:r>
        <w:rPr>
          <w:rFonts w:ascii="Arial"/>
          <w:spacing w:val="-4"/>
        </w:rPr>
        <w:t> </w:t>
      </w:r>
      <w:r>
        <w:rPr>
          <w:rFonts w:ascii="Arial"/>
        </w:rPr>
        <w:t>personnel. The NWSSP LCFS service will continue to be supported by the LCFS team at CAVUHB. CAVUHB team have now appointed a new LCFS with previous experience</w:t>
      </w:r>
      <w:r>
        <w:rPr>
          <w:rFonts w:ascii="Arial"/>
          <w:spacing w:val="-16"/>
        </w:rPr>
        <w:t> </w:t>
      </w:r>
      <w:r>
        <w:rPr>
          <w:rFonts w:ascii="Arial"/>
        </w:rPr>
        <w:t>from</w:t>
      </w:r>
      <w:r>
        <w:rPr>
          <w:rFonts w:ascii="Arial"/>
          <w:spacing w:val="-16"/>
        </w:rPr>
        <w:t> </w:t>
      </w:r>
      <w:r>
        <w:rPr>
          <w:rFonts w:ascii="Arial"/>
        </w:rPr>
        <w:t>the</w:t>
      </w:r>
      <w:r>
        <w:rPr>
          <w:rFonts w:ascii="Arial"/>
          <w:spacing w:val="-16"/>
        </w:rPr>
        <w:t> </w:t>
      </w:r>
      <w:r>
        <w:rPr>
          <w:rFonts w:ascii="Arial"/>
        </w:rPr>
        <w:t>NHS</w:t>
      </w:r>
      <w:r>
        <w:rPr>
          <w:rFonts w:ascii="Arial"/>
          <w:spacing w:val="-16"/>
        </w:rPr>
        <w:t> </w:t>
      </w:r>
      <w:r>
        <w:rPr>
          <w:rFonts w:ascii="Arial"/>
        </w:rPr>
        <w:t>CFS</w:t>
      </w:r>
      <w:r>
        <w:rPr>
          <w:rFonts w:ascii="Arial"/>
          <w:spacing w:val="-16"/>
        </w:rPr>
        <w:t> </w:t>
      </w:r>
      <w:r>
        <w:rPr>
          <w:rFonts w:ascii="Arial"/>
        </w:rPr>
        <w:t>Wales</w:t>
      </w:r>
      <w:r>
        <w:rPr>
          <w:rFonts w:ascii="Arial"/>
          <w:spacing w:val="-16"/>
        </w:rPr>
        <w:t> </w:t>
      </w:r>
      <w:r>
        <w:rPr>
          <w:rFonts w:ascii="Arial"/>
        </w:rPr>
        <w:t>team,</w:t>
      </w:r>
      <w:r>
        <w:rPr>
          <w:rFonts w:ascii="Arial"/>
          <w:spacing w:val="-16"/>
        </w:rPr>
        <w:t> </w:t>
      </w:r>
      <w:r>
        <w:rPr>
          <w:rFonts w:ascii="Arial"/>
        </w:rPr>
        <w:t>the</w:t>
      </w:r>
      <w:r>
        <w:rPr>
          <w:rFonts w:ascii="Arial"/>
          <w:spacing w:val="-16"/>
        </w:rPr>
        <w:t> </w:t>
      </w:r>
      <w:r>
        <w:rPr>
          <w:rFonts w:ascii="Arial"/>
        </w:rPr>
        <w:t>new</w:t>
      </w:r>
      <w:r>
        <w:rPr>
          <w:rFonts w:ascii="Arial"/>
          <w:spacing w:val="-16"/>
        </w:rPr>
        <w:t> </w:t>
      </w:r>
      <w:r>
        <w:rPr>
          <w:rFonts w:ascii="Arial"/>
        </w:rPr>
        <w:t>LCFS</w:t>
      </w:r>
      <w:r>
        <w:rPr>
          <w:rFonts w:ascii="Arial"/>
          <w:spacing w:val="-16"/>
        </w:rPr>
        <w:t> </w:t>
      </w:r>
      <w:r>
        <w:rPr>
          <w:rFonts w:ascii="Arial"/>
        </w:rPr>
        <w:t>will</w:t>
      </w:r>
      <w:r>
        <w:rPr>
          <w:rFonts w:ascii="Arial"/>
          <w:spacing w:val="-16"/>
        </w:rPr>
        <w:t> </w:t>
      </w:r>
      <w:r>
        <w:rPr>
          <w:rFonts w:ascii="Arial"/>
        </w:rPr>
        <w:t>commence</w:t>
      </w:r>
      <w:r>
        <w:rPr>
          <w:rFonts w:ascii="Arial"/>
          <w:spacing w:val="-16"/>
        </w:rPr>
        <w:t> </w:t>
      </w:r>
      <w:r>
        <w:rPr>
          <w:rFonts w:ascii="Arial"/>
        </w:rPr>
        <w:t>early January 2023.</w:t>
      </w:r>
    </w:p>
    <w:p>
      <w:pPr>
        <w:pStyle w:val="BodyText"/>
        <w:rPr>
          <w:rFonts w:ascii="Arial"/>
          <w:sz w:val="36"/>
        </w:rPr>
      </w:pPr>
    </w:p>
    <w:p>
      <w:pPr>
        <w:spacing w:before="0"/>
        <w:ind w:left="2160" w:right="0" w:firstLine="0"/>
        <w:jc w:val="left"/>
        <w:rPr>
          <w:rFonts w:ascii="Arial"/>
          <w:i/>
          <w:sz w:val="24"/>
        </w:rPr>
      </w:pPr>
      <w:r>
        <w:rPr>
          <w:rFonts w:ascii="Arial"/>
          <w:i/>
          <w:color w:val="4472C4"/>
          <w:sz w:val="24"/>
        </w:rPr>
        <w:t>Activity- Infrastructure/Annual </w:t>
      </w:r>
      <w:r>
        <w:rPr>
          <w:rFonts w:ascii="Arial"/>
          <w:i/>
          <w:color w:val="4472C4"/>
          <w:spacing w:val="-4"/>
          <w:sz w:val="24"/>
        </w:rPr>
        <w:t>Plan</w:t>
      </w:r>
    </w:p>
    <w:p>
      <w:pPr>
        <w:pStyle w:val="BodyText"/>
        <w:rPr>
          <w:rFonts w:ascii="Arial"/>
          <w:i/>
          <w:sz w:val="26"/>
        </w:rPr>
      </w:pPr>
    </w:p>
    <w:p>
      <w:pPr>
        <w:pStyle w:val="BodyText"/>
        <w:spacing w:before="156"/>
        <w:ind w:left="2160" w:right="1437"/>
        <w:jc w:val="both"/>
        <w:rPr>
          <w:rFonts w:ascii="Arial"/>
        </w:rPr>
      </w:pPr>
      <w:r>
        <w:rPr>
          <w:rFonts w:ascii="Arial"/>
        </w:rPr>
        <w:t>The Counter Fraud Plan for 2022-2023. is aligned fully to the NHSCFA requirements as stipulated in Government Standard 13. The plan states proposed</w:t>
      </w:r>
      <w:r>
        <w:rPr>
          <w:rFonts w:ascii="Arial"/>
          <w:spacing w:val="69"/>
        </w:rPr>
        <w:t> </w:t>
      </w:r>
      <w:r>
        <w:rPr>
          <w:rFonts w:ascii="Arial"/>
        </w:rPr>
        <w:t>actions</w:t>
      </w:r>
      <w:r>
        <w:rPr>
          <w:rFonts w:ascii="Arial"/>
          <w:spacing w:val="69"/>
        </w:rPr>
        <w:t> </w:t>
      </w:r>
      <w:r>
        <w:rPr>
          <w:rFonts w:ascii="Arial"/>
        </w:rPr>
        <w:t>throughout</w:t>
      </w:r>
      <w:r>
        <w:rPr>
          <w:rFonts w:ascii="Arial"/>
          <w:spacing w:val="69"/>
        </w:rPr>
        <w:t> </w:t>
      </w:r>
      <w:r>
        <w:rPr>
          <w:rFonts w:ascii="Arial"/>
        </w:rPr>
        <w:t>the</w:t>
      </w:r>
      <w:r>
        <w:rPr>
          <w:rFonts w:ascii="Arial"/>
          <w:spacing w:val="70"/>
        </w:rPr>
        <w:t> </w:t>
      </w:r>
      <w:r>
        <w:rPr>
          <w:rFonts w:ascii="Arial"/>
        </w:rPr>
        <w:t>year.</w:t>
      </w:r>
      <w:r>
        <w:rPr>
          <w:rFonts w:ascii="Arial"/>
          <w:spacing w:val="69"/>
        </w:rPr>
        <w:t> </w:t>
      </w:r>
      <w:r>
        <w:rPr>
          <w:rFonts w:ascii="Arial"/>
        </w:rPr>
        <w:t>In</w:t>
      </w:r>
      <w:r>
        <w:rPr>
          <w:rFonts w:ascii="Arial"/>
          <w:spacing w:val="69"/>
        </w:rPr>
        <w:t> </w:t>
      </w:r>
      <w:r>
        <w:rPr>
          <w:rFonts w:ascii="Arial"/>
        </w:rPr>
        <w:t>tandem</w:t>
      </w:r>
      <w:r>
        <w:rPr>
          <w:rFonts w:ascii="Arial"/>
          <w:spacing w:val="69"/>
        </w:rPr>
        <w:t> </w:t>
      </w:r>
      <w:r>
        <w:rPr>
          <w:rFonts w:ascii="Arial"/>
        </w:rPr>
        <w:t>with</w:t>
      </w:r>
      <w:r>
        <w:rPr>
          <w:rFonts w:ascii="Arial"/>
          <w:spacing w:val="69"/>
        </w:rPr>
        <w:t> </w:t>
      </w:r>
      <w:r>
        <w:rPr>
          <w:rFonts w:ascii="Arial"/>
        </w:rPr>
        <w:t>investigation</w:t>
      </w:r>
      <w:r>
        <w:rPr>
          <w:rFonts w:ascii="Arial"/>
          <w:spacing w:val="69"/>
        </w:rPr>
        <w:t> </w:t>
      </w:r>
      <w:r>
        <w:rPr>
          <w:rFonts w:ascii="Arial"/>
        </w:rPr>
        <w:t>work</w:t>
      </w:r>
    </w:p>
    <w:p>
      <w:pPr>
        <w:spacing w:after="0"/>
        <w:jc w:val="both"/>
        <w:rPr>
          <w:rFonts w:ascii="Arial"/>
        </w:rPr>
        <w:sectPr>
          <w:footerReference w:type="default" r:id="rId98"/>
          <w:pgSz w:w="11910" w:h="16840"/>
          <w:pgMar w:footer="1007" w:header="0" w:top="1360" w:bottom="1200" w:left="0" w:right="0"/>
          <w:pgNumType w:start="3"/>
        </w:sectPr>
      </w:pPr>
    </w:p>
    <w:p>
      <w:pPr>
        <w:pStyle w:val="BodyText"/>
        <w:spacing w:before="82"/>
        <w:ind w:left="2160" w:right="1405"/>
        <w:rPr>
          <w:rFonts w:ascii="Arial"/>
        </w:rPr>
      </w:pPr>
      <w:r>
        <w:rPr>
          <w:rFonts w:ascii="Arial"/>
        </w:rPr>
        <w:t>required, the main focus of the NWSSP Local Counter Fraud Manager during the last quarter was as follows:</w:t>
      </w:r>
    </w:p>
    <w:p>
      <w:pPr>
        <w:pStyle w:val="BodyText"/>
        <w:rPr>
          <w:rFonts w:ascii="Arial"/>
        </w:rPr>
      </w:pPr>
    </w:p>
    <w:p>
      <w:pPr>
        <w:pStyle w:val="ListParagraph"/>
        <w:numPr>
          <w:ilvl w:val="1"/>
          <w:numId w:val="29"/>
        </w:numPr>
        <w:tabs>
          <w:tab w:pos="2520" w:val="left" w:leader="none"/>
        </w:tabs>
        <w:spacing w:line="240" w:lineRule="auto" w:before="0" w:after="0"/>
        <w:ind w:left="2520" w:right="1438" w:hanging="360"/>
        <w:jc w:val="both"/>
        <w:rPr>
          <w:rFonts w:ascii="Arial" w:hAnsi="Arial"/>
          <w:sz w:val="24"/>
        </w:rPr>
      </w:pPr>
      <w:r>
        <w:rPr>
          <w:rFonts w:ascii="Arial" w:hAnsi="Arial"/>
          <w:sz w:val="24"/>
        </w:rPr>
        <w:t>Review of the Counter Fraud Bribery and Corruption Policy – review and update</w:t>
      </w:r>
      <w:r>
        <w:rPr>
          <w:rFonts w:ascii="Arial" w:hAnsi="Arial"/>
          <w:spacing w:val="-12"/>
          <w:sz w:val="24"/>
        </w:rPr>
        <w:t> </w:t>
      </w:r>
      <w:r>
        <w:rPr>
          <w:rFonts w:ascii="Arial" w:hAnsi="Arial"/>
          <w:sz w:val="24"/>
        </w:rPr>
        <w:t>is</w:t>
      </w:r>
      <w:r>
        <w:rPr>
          <w:rFonts w:ascii="Arial" w:hAnsi="Arial"/>
          <w:spacing w:val="-12"/>
          <w:sz w:val="24"/>
        </w:rPr>
        <w:t> </w:t>
      </w:r>
      <w:r>
        <w:rPr>
          <w:rFonts w:ascii="Arial" w:hAnsi="Arial"/>
          <w:sz w:val="24"/>
        </w:rPr>
        <w:t>currently</w:t>
      </w:r>
      <w:r>
        <w:rPr>
          <w:rFonts w:ascii="Arial" w:hAnsi="Arial"/>
          <w:spacing w:val="-13"/>
          <w:sz w:val="24"/>
        </w:rPr>
        <w:t> </w:t>
      </w:r>
      <w:r>
        <w:rPr>
          <w:rFonts w:ascii="Arial" w:hAnsi="Arial"/>
          <w:sz w:val="24"/>
        </w:rPr>
        <w:t>being</w:t>
      </w:r>
      <w:r>
        <w:rPr>
          <w:rFonts w:ascii="Arial" w:hAnsi="Arial"/>
          <w:spacing w:val="-12"/>
          <w:sz w:val="24"/>
        </w:rPr>
        <w:t> </w:t>
      </w:r>
      <w:r>
        <w:rPr>
          <w:rFonts w:ascii="Arial" w:hAnsi="Arial"/>
          <w:sz w:val="24"/>
        </w:rPr>
        <w:t>undertaken</w:t>
      </w:r>
      <w:r>
        <w:rPr>
          <w:rFonts w:ascii="Arial" w:hAnsi="Arial"/>
          <w:spacing w:val="-12"/>
          <w:sz w:val="24"/>
        </w:rPr>
        <w:t> </w:t>
      </w:r>
      <w:r>
        <w:rPr>
          <w:rFonts w:ascii="Arial" w:hAnsi="Arial"/>
          <w:sz w:val="24"/>
        </w:rPr>
        <w:t>by</w:t>
      </w:r>
      <w:r>
        <w:rPr>
          <w:rFonts w:ascii="Arial" w:hAnsi="Arial"/>
          <w:spacing w:val="-12"/>
          <w:sz w:val="24"/>
        </w:rPr>
        <w:t> </w:t>
      </w:r>
      <w:r>
        <w:rPr>
          <w:rFonts w:ascii="Arial" w:hAnsi="Arial"/>
          <w:sz w:val="24"/>
        </w:rPr>
        <w:t>NWSSP</w:t>
      </w:r>
      <w:r>
        <w:rPr>
          <w:rFonts w:ascii="Arial" w:hAnsi="Arial"/>
          <w:spacing w:val="-12"/>
          <w:sz w:val="24"/>
        </w:rPr>
        <w:t> </w:t>
      </w:r>
      <w:r>
        <w:rPr>
          <w:rFonts w:ascii="Arial" w:hAnsi="Arial"/>
          <w:sz w:val="24"/>
        </w:rPr>
        <w:t>LCFS</w:t>
      </w:r>
      <w:r>
        <w:rPr>
          <w:rFonts w:ascii="Arial" w:hAnsi="Arial"/>
          <w:spacing w:val="-12"/>
          <w:sz w:val="24"/>
        </w:rPr>
        <w:t> </w:t>
      </w:r>
      <w:r>
        <w:rPr>
          <w:rFonts w:ascii="Arial" w:hAnsi="Arial"/>
          <w:sz w:val="24"/>
        </w:rPr>
        <w:t>Manager</w:t>
      </w:r>
      <w:r>
        <w:rPr>
          <w:rFonts w:ascii="Arial" w:hAnsi="Arial"/>
          <w:spacing w:val="-12"/>
          <w:sz w:val="24"/>
        </w:rPr>
        <w:t> </w:t>
      </w:r>
      <w:r>
        <w:rPr>
          <w:rFonts w:ascii="Arial" w:hAnsi="Arial"/>
          <w:sz w:val="24"/>
        </w:rPr>
        <w:t>and</w:t>
      </w:r>
      <w:r>
        <w:rPr>
          <w:rFonts w:ascii="Arial" w:hAnsi="Arial"/>
          <w:spacing w:val="-12"/>
          <w:sz w:val="24"/>
        </w:rPr>
        <w:t> </w:t>
      </w:r>
      <w:r>
        <w:rPr>
          <w:rFonts w:ascii="Arial" w:hAnsi="Arial"/>
          <w:sz w:val="24"/>
        </w:rPr>
        <w:t>will</w:t>
      </w:r>
      <w:r>
        <w:rPr>
          <w:rFonts w:ascii="Arial" w:hAnsi="Arial"/>
          <w:spacing w:val="-13"/>
          <w:sz w:val="24"/>
        </w:rPr>
        <w:t> </w:t>
      </w:r>
      <w:r>
        <w:rPr>
          <w:rFonts w:ascii="Arial" w:hAnsi="Arial"/>
          <w:sz w:val="24"/>
        </w:rPr>
        <w:t>be concluded during Quarter 4.</w:t>
      </w:r>
    </w:p>
    <w:p>
      <w:pPr>
        <w:pStyle w:val="ListParagraph"/>
        <w:numPr>
          <w:ilvl w:val="1"/>
          <w:numId w:val="29"/>
        </w:numPr>
        <w:tabs>
          <w:tab w:pos="2520" w:val="left" w:leader="none"/>
        </w:tabs>
        <w:spacing w:line="240" w:lineRule="auto" w:before="0" w:after="0"/>
        <w:ind w:left="2520" w:right="1438" w:hanging="360"/>
        <w:jc w:val="both"/>
        <w:rPr>
          <w:rFonts w:ascii="Arial"/>
          <w:sz w:val="24"/>
        </w:rPr>
      </w:pPr>
      <w:r>
        <w:rPr>
          <w:rFonts w:ascii="Arial"/>
          <w:sz w:val="24"/>
        </w:rPr>
        <w:t>The NWSSP Local Counter Fraud Service intranet page has been frequently updated with assistance from the Communications team. It will be</w:t>
      </w:r>
      <w:r>
        <w:rPr>
          <w:rFonts w:ascii="Arial"/>
          <w:spacing w:val="-17"/>
          <w:sz w:val="24"/>
        </w:rPr>
        <w:t> </w:t>
      </w:r>
      <w:r>
        <w:rPr>
          <w:rFonts w:ascii="Arial"/>
          <w:sz w:val="24"/>
        </w:rPr>
        <w:t>continuously</w:t>
      </w:r>
      <w:r>
        <w:rPr>
          <w:rFonts w:ascii="Arial"/>
          <w:spacing w:val="-17"/>
          <w:sz w:val="24"/>
        </w:rPr>
        <w:t> </w:t>
      </w:r>
      <w:r>
        <w:rPr>
          <w:rFonts w:ascii="Arial"/>
          <w:sz w:val="24"/>
        </w:rPr>
        <w:t>reviewed</w:t>
      </w:r>
      <w:r>
        <w:rPr>
          <w:rFonts w:ascii="Arial"/>
          <w:spacing w:val="-16"/>
          <w:sz w:val="24"/>
        </w:rPr>
        <w:t> </w:t>
      </w:r>
      <w:r>
        <w:rPr>
          <w:rFonts w:ascii="Arial"/>
          <w:sz w:val="24"/>
        </w:rPr>
        <w:t>and</w:t>
      </w:r>
      <w:r>
        <w:rPr>
          <w:rFonts w:ascii="Arial"/>
          <w:spacing w:val="-17"/>
          <w:sz w:val="24"/>
        </w:rPr>
        <w:t> </w:t>
      </w:r>
      <w:r>
        <w:rPr>
          <w:rFonts w:ascii="Arial"/>
          <w:sz w:val="24"/>
        </w:rPr>
        <w:t>kept</w:t>
      </w:r>
      <w:r>
        <w:rPr>
          <w:rFonts w:ascii="Arial"/>
          <w:spacing w:val="-17"/>
          <w:sz w:val="24"/>
        </w:rPr>
        <w:t> </w:t>
      </w:r>
      <w:r>
        <w:rPr>
          <w:rFonts w:ascii="Arial"/>
          <w:sz w:val="24"/>
        </w:rPr>
        <w:t>up</w:t>
      </w:r>
      <w:r>
        <w:rPr>
          <w:rFonts w:ascii="Arial"/>
          <w:spacing w:val="-17"/>
          <w:sz w:val="24"/>
        </w:rPr>
        <w:t> </w:t>
      </w:r>
      <w:r>
        <w:rPr>
          <w:rFonts w:ascii="Arial"/>
          <w:sz w:val="24"/>
        </w:rPr>
        <w:t>to</w:t>
      </w:r>
      <w:r>
        <w:rPr>
          <w:rFonts w:ascii="Arial"/>
          <w:spacing w:val="-16"/>
          <w:sz w:val="24"/>
        </w:rPr>
        <w:t> </w:t>
      </w:r>
      <w:r>
        <w:rPr>
          <w:rFonts w:ascii="Arial"/>
          <w:sz w:val="24"/>
        </w:rPr>
        <w:t>date</w:t>
      </w:r>
      <w:r>
        <w:rPr>
          <w:rFonts w:ascii="Arial"/>
          <w:spacing w:val="-17"/>
          <w:sz w:val="24"/>
        </w:rPr>
        <w:t> </w:t>
      </w:r>
      <w:r>
        <w:rPr>
          <w:rFonts w:ascii="Arial"/>
          <w:sz w:val="24"/>
        </w:rPr>
        <w:t>with</w:t>
      </w:r>
      <w:r>
        <w:rPr>
          <w:rFonts w:ascii="Arial"/>
          <w:spacing w:val="-17"/>
          <w:sz w:val="24"/>
        </w:rPr>
        <w:t> </w:t>
      </w:r>
      <w:r>
        <w:rPr>
          <w:rFonts w:ascii="Arial"/>
          <w:sz w:val="24"/>
        </w:rPr>
        <w:t>news</w:t>
      </w:r>
      <w:r>
        <w:rPr>
          <w:rFonts w:ascii="Arial"/>
          <w:spacing w:val="-16"/>
          <w:sz w:val="24"/>
        </w:rPr>
        <w:t> </w:t>
      </w:r>
      <w:r>
        <w:rPr>
          <w:rFonts w:ascii="Arial"/>
          <w:sz w:val="24"/>
        </w:rPr>
        <w:t>and</w:t>
      </w:r>
      <w:r>
        <w:rPr>
          <w:rFonts w:ascii="Arial"/>
          <w:spacing w:val="10"/>
          <w:sz w:val="24"/>
        </w:rPr>
        <w:t> </w:t>
      </w:r>
      <w:r>
        <w:rPr>
          <w:rFonts w:ascii="Arial"/>
          <w:sz w:val="24"/>
        </w:rPr>
        <w:t>relevant</w:t>
      </w:r>
      <w:r>
        <w:rPr>
          <w:rFonts w:ascii="Arial"/>
          <w:spacing w:val="-17"/>
          <w:sz w:val="24"/>
        </w:rPr>
        <w:t> </w:t>
      </w:r>
      <w:r>
        <w:rPr>
          <w:rFonts w:ascii="Arial"/>
          <w:sz w:val="24"/>
        </w:rPr>
        <w:t>topics.</w:t>
      </w:r>
    </w:p>
    <w:p>
      <w:pPr>
        <w:pStyle w:val="ListParagraph"/>
        <w:numPr>
          <w:ilvl w:val="1"/>
          <w:numId w:val="29"/>
        </w:numPr>
        <w:tabs>
          <w:tab w:pos="2520" w:val="left" w:leader="none"/>
        </w:tabs>
        <w:spacing w:line="240" w:lineRule="auto" w:before="0" w:after="0"/>
        <w:ind w:left="2520" w:right="1439" w:hanging="360"/>
        <w:jc w:val="both"/>
        <w:rPr>
          <w:rFonts w:ascii="Arial"/>
          <w:sz w:val="24"/>
        </w:rPr>
      </w:pPr>
      <w:r>
        <w:rPr>
          <w:rFonts w:ascii="Arial"/>
          <w:sz w:val="24"/>
        </w:rPr>
        <w:t>Joint working protocol with Internal Audit has been updated with the Head of Internal Audit.</w:t>
      </w:r>
    </w:p>
    <w:p>
      <w:pPr>
        <w:pStyle w:val="ListParagraph"/>
        <w:numPr>
          <w:ilvl w:val="1"/>
          <w:numId w:val="29"/>
        </w:numPr>
        <w:tabs>
          <w:tab w:pos="2520" w:val="left" w:leader="none"/>
        </w:tabs>
        <w:spacing w:line="240" w:lineRule="auto" w:before="0" w:after="0"/>
        <w:ind w:left="2520" w:right="1436" w:hanging="360"/>
        <w:jc w:val="both"/>
        <w:rPr>
          <w:rFonts w:ascii="Arial" w:hAnsi="Arial"/>
          <w:sz w:val="24"/>
        </w:rPr>
      </w:pPr>
      <w:r>
        <w:rPr>
          <w:rFonts w:ascii="Arial" w:hAnsi="Arial"/>
          <w:sz w:val="24"/>
        </w:rPr>
        <w:t>E-learning Module </w:t>
      </w:r>
      <w:r>
        <w:rPr>
          <w:rFonts w:ascii="Arial" w:hAnsi="Arial"/>
          <w:b/>
          <w:sz w:val="24"/>
        </w:rPr>
        <w:t>– </w:t>
      </w:r>
      <w:r>
        <w:rPr>
          <w:rFonts w:ascii="Arial" w:hAnsi="Arial"/>
          <w:sz w:val="24"/>
        </w:rPr>
        <w:t>The NWSSP LCFS Manager has been involved with NHS CFS Wales in the development of the All-Wales Counter Fraud Awareness E-learning module. The module is currently being updated following review by the Finance Academy Steering Group and other stakeholders</w:t>
      </w:r>
      <w:r>
        <w:rPr>
          <w:rFonts w:ascii="Arial" w:hAnsi="Arial"/>
          <w:spacing w:val="-6"/>
          <w:sz w:val="24"/>
        </w:rPr>
        <w:t> </w:t>
      </w:r>
      <w:r>
        <w:rPr>
          <w:rFonts w:ascii="Arial" w:hAnsi="Arial"/>
          <w:sz w:val="24"/>
        </w:rPr>
        <w:t>and</w:t>
      </w:r>
      <w:r>
        <w:rPr>
          <w:rFonts w:ascii="Arial" w:hAnsi="Arial"/>
          <w:spacing w:val="-6"/>
          <w:sz w:val="24"/>
        </w:rPr>
        <w:t> </w:t>
      </w:r>
      <w:r>
        <w:rPr>
          <w:rFonts w:ascii="Arial" w:hAnsi="Arial"/>
          <w:sz w:val="24"/>
        </w:rPr>
        <w:t>will</w:t>
      </w:r>
      <w:r>
        <w:rPr>
          <w:rFonts w:ascii="Arial" w:hAnsi="Arial"/>
          <w:spacing w:val="-6"/>
          <w:sz w:val="24"/>
        </w:rPr>
        <w:t> </w:t>
      </w:r>
      <w:r>
        <w:rPr>
          <w:rFonts w:ascii="Arial" w:hAnsi="Arial"/>
          <w:sz w:val="24"/>
        </w:rPr>
        <w:t>be</w:t>
      </w:r>
      <w:r>
        <w:rPr>
          <w:rFonts w:ascii="Arial" w:hAnsi="Arial"/>
          <w:spacing w:val="-6"/>
          <w:sz w:val="24"/>
        </w:rPr>
        <w:t> </w:t>
      </w:r>
      <w:r>
        <w:rPr>
          <w:rFonts w:ascii="Arial" w:hAnsi="Arial"/>
          <w:sz w:val="24"/>
        </w:rPr>
        <w:t>implemented</w:t>
      </w:r>
      <w:r>
        <w:rPr>
          <w:rFonts w:ascii="Arial" w:hAnsi="Arial"/>
          <w:spacing w:val="-6"/>
          <w:sz w:val="24"/>
        </w:rPr>
        <w:t> </w:t>
      </w:r>
      <w:r>
        <w:rPr>
          <w:rFonts w:ascii="Arial" w:hAnsi="Arial"/>
          <w:sz w:val="24"/>
        </w:rPr>
        <w:t>by</w:t>
      </w:r>
      <w:r>
        <w:rPr>
          <w:rFonts w:ascii="Arial" w:hAnsi="Arial"/>
          <w:spacing w:val="-6"/>
          <w:sz w:val="24"/>
        </w:rPr>
        <w:t> </w:t>
      </w:r>
      <w:r>
        <w:rPr>
          <w:rFonts w:ascii="Arial" w:hAnsi="Arial"/>
          <w:sz w:val="24"/>
        </w:rPr>
        <w:t>the</w:t>
      </w:r>
      <w:r>
        <w:rPr>
          <w:rFonts w:ascii="Arial" w:hAnsi="Arial"/>
          <w:spacing w:val="-6"/>
          <w:sz w:val="24"/>
        </w:rPr>
        <w:t> </w:t>
      </w:r>
      <w:r>
        <w:rPr>
          <w:rFonts w:ascii="Arial" w:hAnsi="Arial"/>
          <w:sz w:val="24"/>
        </w:rPr>
        <w:t>start</w:t>
      </w:r>
      <w:r>
        <w:rPr>
          <w:rFonts w:ascii="Arial" w:hAnsi="Arial"/>
          <w:spacing w:val="-6"/>
          <w:sz w:val="24"/>
        </w:rPr>
        <w:t> </w:t>
      </w:r>
      <w:r>
        <w:rPr>
          <w:rFonts w:ascii="Arial" w:hAnsi="Arial"/>
          <w:sz w:val="24"/>
        </w:rPr>
        <w:t>of</w:t>
      </w:r>
      <w:r>
        <w:rPr>
          <w:rFonts w:ascii="Arial" w:hAnsi="Arial"/>
          <w:spacing w:val="-6"/>
          <w:sz w:val="24"/>
        </w:rPr>
        <w:t> </w:t>
      </w:r>
      <w:r>
        <w:rPr>
          <w:rFonts w:ascii="Arial" w:hAnsi="Arial"/>
          <w:sz w:val="24"/>
        </w:rPr>
        <w:t>the</w:t>
      </w:r>
      <w:r>
        <w:rPr>
          <w:rFonts w:ascii="Arial" w:hAnsi="Arial"/>
          <w:spacing w:val="-6"/>
          <w:sz w:val="24"/>
        </w:rPr>
        <w:t> </w:t>
      </w:r>
      <w:r>
        <w:rPr>
          <w:rFonts w:ascii="Arial" w:hAnsi="Arial"/>
          <w:sz w:val="24"/>
        </w:rPr>
        <w:t>new</w:t>
      </w:r>
      <w:r>
        <w:rPr>
          <w:rFonts w:ascii="Arial" w:hAnsi="Arial"/>
          <w:spacing w:val="-6"/>
          <w:sz w:val="24"/>
        </w:rPr>
        <w:t> </w:t>
      </w:r>
      <w:r>
        <w:rPr>
          <w:rFonts w:ascii="Arial" w:hAnsi="Arial"/>
          <w:sz w:val="24"/>
        </w:rPr>
        <w:t>financial</w:t>
      </w:r>
      <w:r>
        <w:rPr>
          <w:rFonts w:ascii="Arial" w:hAnsi="Arial"/>
          <w:spacing w:val="-6"/>
          <w:sz w:val="24"/>
        </w:rPr>
        <w:t> </w:t>
      </w:r>
      <w:r>
        <w:rPr>
          <w:rFonts w:ascii="Arial" w:hAnsi="Arial"/>
          <w:sz w:val="24"/>
        </w:rPr>
        <w:t>year. NWSSP</w:t>
      </w:r>
      <w:r>
        <w:rPr>
          <w:rFonts w:ascii="Arial" w:hAnsi="Arial"/>
          <w:spacing w:val="-3"/>
          <w:sz w:val="24"/>
        </w:rPr>
        <w:t> </w:t>
      </w:r>
      <w:r>
        <w:rPr>
          <w:rFonts w:ascii="Arial" w:hAnsi="Arial"/>
          <w:sz w:val="24"/>
        </w:rPr>
        <w:t>staff</w:t>
      </w:r>
      <w:r>
        <w:rPr>
          <w:rFonts w:ascii="Arial" w:hAnsi="Arial"/>
          <w:spacing w:val="-3"/>
          <w:sz w:val="24"/>
        </w:rPr>
        <w:t> </w:t>
      </w:r>
      <w:r>
        <w:rPr>
          <w:rFonts w:ascii="Arial" w:hAnsi="Arial"/>
          <w:sz w:val="24"/>
        </w:rPr>
        <w:t>will</w:t>
      </w:r>
      <w:r>
        <w:rPr>
          <w:rFonts w:ascii="Arial" w:hAnsi="Arial"/>
          <w:spacing w:val="-3"/>
          <w:sz w:val="24"/>
        </w:rPr>
        <w:t> </w:t>
      </w:r>
      <w:r>
        <w:rPr>
          <w:rFonts w:ascii="Arial" w:hAnsi="Arial"/>
          <w:sz w:val="24"/>
        </w:rPr>
        <w:t>initially</w:t>
      </w:r>
      <w:r>
        <w:rPr>
          <w:rFonts w:ascii="Arial" w:hAnsi="Arial"/>
          <w:spacing w:val="-3"/>
          <w:sz w:val="24"/>
        </w:rPr>
        <w:t> </w:t>
      </w:r>
      <w:r>
        <w:rPr>
          <w:rFonts w:ascii="Arial" w:hAnsi="Arial"/>
          <w:sz w:val="24"/>
        </w:rPr>
        <w:t>be</w:t>
      </w:r>
      <w:r>
        <w:rPr>
          <w:rFonts w:ascii="Arial" w:hAnsi="Arial"/>
          <w:spacing w:val="-3"/>
          <w:sz w:val="24"/>
        </w:rPr>
        <w:t> </w:t>
      </w:r>
      <w:r>
        <w:rPr>
          <w:rFonts w:ascii="Arial" w:hAnsi="Arial"/>
          <w:sz w:val="24"/>
        </w:rPr>
        <w:t>encouraged</w:t>
      </w:r>
      <w:r>
        <w:rPr>
          <w:rFonts w:ascii="Arial" w:hAnsi="Arial"/>
          <w:spacing w:val="-3"/>
          <w:sz w:val="24"/>
        </w:rPr>
        <w:t> </w:t>
      </w:r>
      <w:r>
        <w:rPr>
          <w:rFonts w:ascii="Arial" w:hAnsi="Arial"/>
          <w:sz w:val="24"/>
        </w:rPr>
        <w:t>to</w:t>
      </w:r>
      <w:r>
        <w:rPr>
          <w:rFonts w:ascii="Arial" w:hAnsi="Arial"/>
          <w:spacing w:val="-2"/>
          <w:sz w:val="24"/>
        </w:rPr>
        <w:t> </w:t>
      </w:r>
      <w:r>
        <w:rPr>
          <w:rFonts w:ascii="Arial" w:hAnsi="Arial"/>
          <w:sz w:val="24"/>
        </w:rPr>
        <w:t>complete</w:t>
      </w:r>
      <w:r>
        <w:rPr>
          <w:rFonts w:ascii="Arial" w:hAnsi="Arial"/>
          <w:spacing w:val="-2"/>
          <w:sz w:val="24"/>
        </w:rPr>
        <w:t> </w:t>
      </w:r>
      <w:r>
        <w:rPr>
          <w:rFonts w:ascii="Arial" w:hAnsi="Arial"/>
          <w:sz w:val="24"/>
        </w:rPr>
        <w:t>this</w:t>
      </w:r>
      <w:r>
        <w:rPr>
          <w:rFonts w:ascii="Arial" w:hAnsi="Arial"/>
          <w:spacing w:val="-3"/>
          <w:sz w:val="24"/>
        </w:rPr>
        <w:t> </w:t>
      </w:r>
      <w:r>
        <w:rPr>
          <w:rFonts w:ascii="Arial" w:hAnsi="Arial"/>
          <w:sz w:val="24"/>
        </w:rPr>
        <w:t>module</w:t>
      </w:r>
      <w:r>
        <w:rPr>
          <w:rFonts w:ascii="Arial" w:hAnsi="Arial"/>
          <w:spacing w:val="-3"/>
          <w:sz w:val="24"/>
        </w:rPr>
        <w:t> </w:t>
      </w:r>
      <w:r>
        <w:rPr>
          <w:rFonts w:ascii="Arial" w:hAnsi="Arial"/>
          <w:sz w:val="24"/>
        </w:rPr>
        <w:t>which</w:t>
      </w:r>
      <w:r>
        <w:rPr>
          <w:rFonts w:ascii="Arial" w:hAnsi="Arial"/>
          <w:spacing w:val="-3"/>
          <w:sz w:val="24"/>
        </w:rPr>
        <w:t> </w:t>
      </w:r>
      <w:r>
        <w:rPr>
          <w:rFonts w:ascii="Arial" w:hAnsi="Arial"/>
          <w:sz w:val="24"/>
        </w:rPr>
        <w:t>will be recorded against the Staff Learning and Development Record.</w:t>
      </w:r>
    </w:p>
    <w:p>
      <w:pPr>
        <w:pStyle w:val="ListParagraph"/>
        <w:numPr>
          <w:ilvl w:val="1"/>
          <w:numId w:val="29"/>
        </w:numPr>
        <w:tabs>
          <w:tab w:pos="2520" w:val="left" w:leader="none"/>
        </w:tabs>
        <w:spacing w:line="240" w:lineRule="auto" w:before="0" w:after="0"/>
        <w:ind w:left="2520" w:right="1437" w:hanging="360"/>
        <w:jc w:val="both"/>
        <w:rPr>
          <w:rFonts w:ascii="Arial"/>
          <w:sz w:val="24"/>
        </w:rPr>
      </w:pPr>
      <w:r>
        <w:rPr>
          <w:rFonts w:ascii="Arial"/>
          <w:sz w:val="24"/>
        </w:rPr>
        <w:t>The</w:t>
      </w:r>
      <w:r>
        <w:rPr>
          <w:rFonts w:ascii="Arial"/>
          <w:spacing w:val="-17"/>
          <w:sz w:val="24"/>
        </w:rPr>
        <w:t> </w:t>
      </w:r>
      <w:r>
        <w:rPr>
          <w:rFonts w:ascii="Arial"/>
          <w:sz w:val="24"/>
        </w:rPr>
        <w:t>NWSSP</w:t>
      </w:r>
      <w:r>
        <w:rPr>
          <w:rFonts w:ascii="Arial"/>
          <w:spacing w:val="-17"/>
          <w:sz w:val="24"/>
        </w:rPr>
        <w:t> </w:t>
      </w:r>
      <w:r>
        <w:rPr>
          <w:rFonts w:ascii="Arial"/>
          <w:sz w:val="24"/>
        </w:rPr>
        <w:t>LCFS</w:t>
      </w:r>
      <w:r>
        <w:rPr>
          <w:rFonts w:ascii="Arial"/>
          <w:spacing w:val="-16"/>
          <w:sz w:val="24"/>
        </w:rPr>
        <w:t> </w:t>
      </w:r>
      <w:r>
        <w:rPr>
          <w:rFonts w:ascii="Arial"/>
          <w:sz w:val="24"/>
        </w:rPr>
        <w:t>Manager</w:t>
      </w:r>
      <w:r>
        <w:rPr>
          <w:rFonts w:ascii="Arial"/>
          <w:spacing w:val="-17"/>
          <w:sz w:val="24"/>
        </w:rPr>
        <w:t> </w:t>
      </w:r>
      <w:r>
        <w:rPr>
          <w:rFonts w:ascii="Arial"/>
          <w:sz w:val="24"/>
        </w:rPr>
        <w:t>has</w:t>
      </w:r>
      <w:r>
        <w:rPr>
          <w:rFonts w:ascii="Arial"/>
          <w:spacing w:val="-17"/>
          <w:sz w:val="24"/>
        </w:rPr>
        <w:t> </w:t>
      </w:r>
      <w:r>
        <w:rPr>
          <w:rFonts w:ascii="Arial"/>
          <w:sz w:val="24"/>
        </w:rPr>
        <w:t>liaised</w:t>
      </w:r>
      <w:r>
        <w:rPr>
          <w:rFonts w:ascii="Arial"/>
          <w:spacing w:val="-17"/>
          <w:sz w:val="24"/>
        </w:rPr>
        <w:t> </w:t>
      </w:r>
      <w:r>
        <w:rPr>
          <w:rFonts w:ascii="Arial"/>
          <w:sz w:val="24"/>
        </w:rPr>
        <w:t>with</w:t>
      </w:r>
      <w:r>
        <w:rPr>
          <w:rFonts w:ascii="Arial"/>
          <w:spacing w:val="-16"/>
          <w:sz w:val="24"/>
        </w:rPr>
        <w:t> </w:t>
      </w:r>
      <w:r>
        <w:rPr>
          <w:rFonts w:ascii="Arial"/>
          <w:sz w:val="24"/>
        </w:rPr>
        <w:t>a</w:t>
      </w:r>
      <w:r>
        <w:rPr>
          <w:rFonts w:ascii="Arial"/>
          <w:spacing w:val="-17"/>
          <w:sz w:val="24"/>
        </w:rPr>
        <w:t> </w:t>
      </w:r>
      <w:r>
        <w:rPr>
          <w:rFonts w:ascii="Arial"/>
          <w:sz w:val="24"/>
        </w:rPr>
        <w:t>number</w:t>
      </w:r>
      <w:r>
        <w:rPr>
          <w:rFonts w:ascii="Arial"/>
          <w:spacing w:val="-17"/>
          <w:sz w:val="24"/>
        </w:rPr>
        <w:t> </w:t>
      </w:r>
      <w:r>
        <w:rPr>
          <w:rFonts w:ascii="Arial"/>
          <w:sz w:val="24"/>
        </w:rPr>
        <w:t>of</w:t>
      </w:r>
      <w:r>
        <w:rPr>
          <w:rFonts w:ascii="Arial"/>
          <w:spacing w:val="-16"/>
          <w:sz w:val="24"/>
        </w:rPr>
        <w:t> </w:t>
      </w:r>
      <w:r>
        <w:rPr>
          <w:rFonts w:ascii="Arial"/>
          <w:sz w:val="24"/>
        </w:rPr>
        <w:t>divisions</w:t>
      </w:r>
      <w:r>
        <w:rPr>
          <w:rFonts w:ascii="Arial"/>
          <w:spacing w:val="-17"/>
          <w:sz w:val="24"/>
        </w:rPr>
        <w:t> </w:t>
      </w:r>
      <w:r>
        <w:rPr>
          <w:rFonts w:ascii="Arial"/>
          <w:sz w:val="24"/>
        </w:rPr>
        <w:t>to</w:t>
      </w:r>
      <w:r>
        <w:rPr>
          <w:rFonts w:ascii="Arial"/>
          <w:spacing w:val="-17"/>
          <w:sz w:val="24"/>
        </w:rPr>
        <w:t> </w:t>
      </w:r>
      <w:r>
        <w:rPr>
          <w:rFonts w:ascii="Arial"/>
          <w:sz w:val="24"/>
        </w:rPr>
        <w:t>deliver bespoke and general awareness sessions to staff in order to refresh knowledge</w:t>
      </w:r>
      <w:r>
        <w:rPr>
          <w:rFonts w:ascii="Arial"/>
          <w:spacing w:val="-9"/>
          <w:sz w:val="24"/>
        </w:rPr>
        <w:t> </w:t>
      </w:r>
      <w:r>
        <w:rPr>
          <w:rFonts w:ascii="Arial"/>
          <w:sz w:val="24"/>
        </w:rPr>
        <w:t>of</w:t>
      </w:r>
      <w:r>
        <w:rPr>
          <w:rFonts w:ascii="Arial"/>
          <w:spacing w:val="-9"/>
          <w:sz w:val="24"/>
        </w:rPr>
        <w:t> </w:t>
      </w:r>
      <w:r>
        <w:rPr>
          <w:rFonts w:ascii="Arial"/>
          <w:sz w:val="24"/>
        </w:rPr>
        <w:t>fraud</w:t>
      </w:r>
      <w:r>
        <w:rPr>
          <w:rFonts w:ascii="Arial"/>
          <w:spacing w:val="-9"/>
          <w:sz w:val="24"/>
        </w:rPr>
        <w:t> </w:t>
      </w:r>
      <w:r>
        <w:rPr>
          <w:rFonts w:ascii="Arial"/>
          <w:sz w:val="24"/>
        </w:rPr>
        <w:t>in</w:t>
      </w:r>
      <w:r>
        <w:rPr>
          <w:rFonts w:ascii="Arial"/>
          <w:spacing w:val="-9"/>
          <w:sz w:val="24"/>
        </w:rPr>
        <w:t> </w:t>
      </w:r>
      <w:r>
        <w:rPr>
          <w:rFonts w:ascii="Arial"/>
          <w:sz w:val="24"/>
        </w:rPr>
        <w:t>the</w:t>
      </w:r>
      <w:r>
        <w:rPr>
          <w:rFonts w:ascii="Arial"/>
          <w:spacing w:val="-9"/>
          <w:sz w:val="24"/>
        </w:rPr>
        <w:t> </w:t>
      </w:r>
      <w:r>
        <w:rPr>
          <w:rFonts w:ascii="Arial"/>
          <w:sz w:val="24"/>
        </w:rPr>
        <w:t>NHS,</w:t>
      </w:r>
      <w:r>
        <w:rPr>
          <w:rFonts w:ascii="Arial"/>
          <w:spacing w:val="-9"/>
          <w:sz w:val="24"/>
        </w:rPr>
        <w:t> </w:t>
      </w:r>
      <w:r>
        <w:rPr>
          <w:rFonts w:ascii="Arial"/>
          <w:sz w:val="24"/>
        </w:rPr>
        <w:t>this</w:t>
      </w:r>
      <w:r>
        <w:rPr>
          <w:rFonts w:ascii="Arial"/>
          <w:spacing w:val="-9"/>
          <w:sz w:val="24"/>
        </w:rPr>
        <w:t> </w:t>
      </w:r>
      <w:r>
        <w:rPr>
          <w:rFonts w:ascii="Arial"/>
          <w:sz w:val="24"/>
        </w:rPr>
        <w:t>includes</w:t>
      </w:r>
      <w:r>
        <w:rPr>
          <w:rFonts w:ascii="Arial"/>
          <w:spacing w:val="-9"/>
          <w:sz w:val="24"/>
        </w:rPr>
        <w:t> </w:t>
      </w:r>
      <w:r>
        <w:rPr>
          <w:rFonts w:ascii="Arial"/>
          <w:sz w:val="24"/>
        </w:rPr>
        <w:t>the</w:t>
      </w:r>
      <w:r>
        <w:rPr>
          <w:rFonts w:ascii="Arial"/>
          <w:spacing w:val="-9"/>
          <w:sz w:val="24"/>
        </w:rPr>
        <w:t> </w:t>
      </w:r>
      <w:r>
        <w:rPr>
          <w:rFonts w:ascii="Arial"/>
          <w:sz w:val="24"/>
        </w:rPr>
        <w:t>People</w:t>
      </w:r>
      <w:r>
        <w:rPr>
          <w:rFonts w:ascii="Arial"/>
          <w:spacing w:val="-9"/>
          <w:sz w:val="24"/>
        </w:rPr>
        <w:t> </w:t>
      </w:r>
      <w:r>
        <w:rPr>
          <w:rFonts w:ascii="Arial"/>
          <w:sz w:val="24"/>
        </w:rPr>
        <w:t>and</w:t>
      </w:r>
      <w:r>
        <w:rPr>
          <w:rFonts w:ascii="Arial"/>
          <w:spacing w:val="-9"/>
          <w:sz w:val="24"/>
        </w:rPr>
        <w:t> </w:t>
      </w:r>
      <w:r>
        <w:rPr>
          <w:rFonts w:ascii="Arial"/>
          <w:sz w:val="24"/>
        </w:rPr>
        <w:t>Organisational Development (POD) Division, liaison is ongoing with meetings planned during the next quarter.</w:t>
      </w:r>
    </w:p>
    <w:p>
      <w:pPr>
        <w:pStyle w:val="ListParagraph"/>
        <w:numPr>
          <w:ilvl w:val="1"/>
          <w:numId w:val="29"/>
        </w:numPr>
        <w:tabs>
          <w:tab w:pos="2520" w:val="left" w:leader="none"/>
        </w:tabs>
        <w:spacing w:line="240" w:lineRule="auto" w:before="0" w:after="0"/>
        <w:ind w:left="2520" w:right="1437" w:hanging="360"/>
        <w:jc w:val="both"/>
        <w:rPr>
          <w:rFonts w:ascii="Arial"/>
          <w:sz w:val="24"/>
        </w:rPr>
      </w:pPr>
      <w:r>
        <w:rPr>
          <w:rFonts w:ascii="Arial"/>
          <w:sz w:val="24"/>
        </w:rPr>
        <w:t>Main focus for fraud awareness was International Fraud Awareness week as detailed further below.</w:t>
      </w:r>
    </w:p>
    <w:p>
      <w:pPr>
        <w:pStyle w:val="ListParagraph"/>
        <w:numPr>
          <w:ilvl w:val="1"/>
          <w:numId w:val="29"/>
        </w:numPr>
        <w:tabs>
          <w:tab w:pos="2520" w:val="left" w:leader="none"/>
        </w:tabs>
        <w:spacing w:line="240" w:lineRule="auto" w:before="0" w:after="0"/>
        <w:ind w:left="2520" w:right="1438" w:hanging="360"/>
        <w:jc w:val="both"/>
        <w:rPr>
          <w:rFonts w:ascii="Arial"/>
          <w:sz w:val="24"/>
        </w:rPr>
      </w:pPr>
      <w:r>
        <w:rPr>
          <w:rFonts w:ascii="Arial"/>
          <w:sz w:val="24"/>
        </w:rPr>
        <w:t>Liaison has taken place with the NWSSP POD Learning and Development team to arrange to include reference to fraud awareness on staff induction as the current content does not include a message from Counter Fraud. In general</w:t>
      </w:r>
      <w:r>
        <w:rPr>
          <w:rFonts w:ascii="Arial"/>
          <w:spacing w:val="-16"/>
          <w:sz w:val="24"/>
        </w:rPr>
        <w:t> </w:t>
      </w:r>
      <w:r>
        <w:rPr>
          <w:rFonts w:ascii="Arial"/>
          <w:sz w:val="24"/>
        </w:rPr>
        <w:t>induction</w:t>
      </w:r>
      <w:r>
        <w:rPr>
          <w:rFonts w:ascii="Arial"/>
          <w:spacing w:val="-16"/>
          <w:sz w:val="24"/>
        </w:rPr>
        <w:t> </w:t>
      </w:r>
      <w:r>
        <w:rPr>
          <w:rFonts w:ascii="Arial"/>
          <w:sz w:val="24"/>
        </w:rPr>
        <w:t>has</w:t>
      </w:r>
      <w:r>
        <w:rPr>
          <w:rFonts w:ascii="Arial"/>
          <w:spacing w:val="-16"/>
          <w:sz w:val="24"/>
        </w:rPr>
        <w:t> </w:t>
      </w:r>
      <w:r>
        <w:rPr>
          <w:rFonts w:ascii="Arial"/>
          <w:sz w:val="24"/>
        </w:rPr>
        <w:t>now</w:t>
      </w:r>
      <w:r>
        <w:rPr>
          <w:rFonts w:ascii="Arial"/>
          <w:spacing w:val="-16"/>
          <w:sz w:val="24"/>
        </w:rPr>
        <w:t> </w:t>
      </w:r>
      <w:r>
        <w:rPr>
          <w:rFonts w:ascii="Arial"/>
          <w:sz w:val="24"/>
        </w:rPr>
        <w:t>moved</w:t>
      </w:r>
      <w:r>
        <w:rPr>
          <w:rFonts w:ascii="Arial"/>
          <w:spacing w:val="-16"/>
          <w:sz w:val="24"/>
        </w:rPr>
        <w:t> </w:t>
      </w:r>
      <w:r>
        <w:rPr>
          <w:rFonts w:ascii="Arial"/>
          <w:sz w:val="24"/>
        </w:rPr>
        <w:t>to</w:t>
      </w:r>
      <w:r>
        <w:rPr>
          <w:rFonts w:ascii="Arial"/>
          <w:spacing w:val="-16"/>
          <w:sz w:val="24"/>
        </w:rPr>
        <w:t> </w:t>
      </w:r>
      <w:r>
        <w:rPr>
          <w:rFonts w:ascii="Arial"/>
          <w:sz w:val="24"/>
        </w:rPr>
        <w:t>a</w:t>
      </w:r>
      <w:r>
        <w:rPr>
          <w:rFonts w:ascii="Arial"/>
          <w:spacing w:val="-16"/>
          <w:sz w:val="24"/>
        </w:rPr>
        <w:t> </w:t>
      </w:r>
      <w:r>
        <w:rPr>
          <w:rFonts w:ascii="Arial"/>
          <w:sz w:val="24"/>
        </w:rPr>
        <w:t>virtual</w:t>
      </w:r>
      <w:r>
        <w:rPr>
          <w:rFonts w:ascii="Arial"/>
          <w:spacing w:val="-16"/>
          <w:sz w:val="24"/>
        </w:rPr>
        <w:t> </w:t>
      </w:r>
      <w:r>
        <w:rPr>
          <w:rFonts w:ascii="Arial"/>
          <w:sz w:val="24"/>
        </w:rPr>
        <w:t>delivery</w:t>
      </w:r>
      <w:r>
        <w:rPr>
          <w:rFonts w:ascii="Arial"/>
          <w:spacing w:val="-16"/>
          <w:sz w:val="24"/>
        </w:rPr>
        <w:t> </w:t>
      </w:r>
      <w:r>
        <w:rPr>
          <w:rFonts w:ascii="Arial"/>
          <w:sz w:val="24"/>
        </w:rPr>
        <w:t>and</w:t>
      </w:r>
      <w:r>
        <w:rPr>
          <w:rFonts w:ascii="Arial"/>
          <w:spacing w:val="-16"/>
          <w:sz w:val="24"/>
        </w:rPr>
        <w:t> </w:t>
      </w:r>
      <w:r>
        <w:rPr>
          <w:rFonts w:ascii="Arial"/>
          <w:sz w:val="24"/>
        </w:rPr>
        <w:t>not</w:t>
      </w:r>
      <w:r>
        <w:rPr>
          <w:rFonts w:ascii="Arial"/>
          <w:spacing w:val="-16"/>
          <w:sz w:val="24"/>
        </w:rPr>
        <w:t> </w:t>
      </w:r>
      <w:r>
        <w:rPr>
          <w:rFonts w:ascii="Arial"/>
          <w:sz w:val="24"/>
        </w:rPr>
        <w:t>individual</w:t>
      </w:r>
      <w:r>
        <w:rPr>
          <w:rFonts w:ascii="Arial"/>
          <w:spacing w:val="-16"/>
          <w:sz w:val="24"/>
        </w:rPr>
        <w:t> </w:t>
      </w:r>
      <w:r>
        <w:rPr>
          <w:rFonts w:ascii="Arial"/>
          <w:sz w:val="24"/>
        </w:rPr>
        <w:t>face to face sessions, further meetings are planned next quarter.</w:t>
      </w:r>
    </w:p>
    <w:p>
      <w:pPr>
        <w:pStyle w:val="ListParagraph"/>
        <w:numPr>
          <w:ilvl w:val="1"/>
          <w:numId w:val="29"/>
        </w:numPr>
        <w:tabs>
          <w:tab w:pos="2520" w:val="left" w:leader="none"/>
        </w:tabs>
        <w:spacing w:line="240" w:lineRule="auto" w:before="0" w:after="0"/>
        <w:ind w:left="2520" w:right="1437" w:hanging="360"/>
        <w:jc w:val="both"/>
        <w:rPr>
          <w:rFonts w:ascii="Arial"/>
          <w:sz w:val="24"/>
        </w:rPr>
      </w:pPr>
      <w:r>
        <w:rPr>
          <w:rFonts w:ascii="Arial"/>
          <w:sz w:val="24"/>
        </w:rPr>
        <w:t>Work is ongoing to develop the communications strategy for the Counter Fraud</w:t>
      </w:r>
      <w:r>
        <w:rPr>
          <w:rFonts w:ascii="Arial"/>
          <w:spacing w:val="-10"/>
          <w:sz w:val="24"/>
        </w:rPr>
        <w:t> </w:t>
      </w:r>
      <w:r>
        <w:rPr>
          <w:rFonts w:ascii="Arial"/>
          <w:sz w:val="24"/>
        </w:rPr>
        <w:t>Team.</w:t>
      </w:r>
      <w:r>
        <w:rPr>
          <w:rFonts w:ascii="Arial"/>
          <w:spacing w:val="40"/>
          <w:sz w:val="24"/>
        </w:rPr>
        <w:t> </w:t>
      </w:r>
      <w:r>
        <w:rPr>
          <w:rFonts w:ascii="Arial"/>
          <w:sz w:val="24"/>
        </w:rPr>
        <w:t>A</w:t>
      </w:r>
      <w:r>
        <w:rPr>
          <w:rFonts w:ascii="Arial"/>
          <w:spacing w:val="-10"/>
          <w:sz w:val="24"/>
        </w:rPr>
        <w:t> </w:t>
      </w:r>
      <w:r>
        <w:rPr>
          <w:rFonts w:ascii="Arial"/>
          <w:sz w:val="24"/>
        </w:rPr>
        <w:t>Counter</w:t>
      </w:r>
      <w:r>
        <w:rPr>
          <w:rFonts w:ascii="Arial"/>
          <w:spacing w:val="-10"/>
          <w:sz w:val="24"/>
        </w:rPr>
        <w:t> </w:t>
      </w:r>
      <w:r>
        <w:rPr>
          <w:rFonts w:ascii="Arial"/>
          <w:sz w:val="24"/>
        </w:rPr>
        <w:t>Fraud</w:t>
      </w:r>
      <w:r>
        <w:rPr>
          <w:rFonts w:ascii="Arial"/>
          <w:spacing w:val="-10"/>
          <w:sz w:val="24"/>
        </w:rPr>
        <w:t> </w:t>
      </w:r>
      <w:r>
        <w:rPr>
          <w:rFonts w:ascii="Arial"/>
          <w:sz w:val="24"/>
        </w:rPr>
        <w:t>App</w:t>
      </w:r>
      <w:r>
        <w:rPr>
          <w:rFonts w:ascii="Arial"/>
          <w:spacing w:val="-10"/>
          <w:sz w:val="24"/>
        </w:rPr>
        <w:t> </w:t>
      </w:r>
      <w:r>
        <w:rPr>
          <w:rFonts w:ascii="Arial"/>
          <w:sz w:val="24"/>
        </w:rPr>
        <w:t>has</w:t>
      </w:r>
      <w:r>
        <w:rPr>
          <w:rFonts w:ascii="Arial"/>
          <w:spacing w:val="-10"/>
          <w:sz w:val="24"/>
        </w:rPr>
        <w:t> </w:t>
      </w:r>
      <w:r>
        <w:rPr>
          <w:rFonts w:ascii="Arial"/>
          <w:sz w:val="24"/>
        </w:rPr>
        <w:t>been</w:t>
      </w:r>
      <w:r>
        <w:rPr>
          <w:rFonts w:ascii="Arial"/>
          <w:spacing w:val="-10"/>
          <w:sz w:val="24"/>
        </w:rPr>
        <w:t> </w:t>
      </w:r>
      <w:r>
        <w:rPr>
          <w:rFonts w:ascii="Arial"/>
          <w:sz w:val="24"/>
        </w:rPr>
        <w:t>developed</w:t>
      </w:r>
      <w:r>
        <w:rPr>
          <w:rFonts w:ascii="Arial"/>
          <w:spacing w:val="-10"/>
          <w:sz w:val="24"/>
        </w:rPr>
        <w:t> </w:t>
      </w:r>
      <w:r>
        <w:rPr>
          <w:rFonts w:ascii="Arial"/>
          <w:sz w:val="24"/>
        </w:rPr>
        <w:t>in</w:t>
      </w:r>
      <w:r>
        <w:rPr>
          <w:rFonts w:ascii="Arial"/>
          <w:spacing w:val="-10"/>
          <w:sz w:val="24"/>
        </w:rPr>
        <w:t> </w:t>
      </w:r>
      <w:r>
        <w:rPr>
          <w:rFonts w:ascii="Arial"/>
          <w:sz w:val="24"/>
        </w:rPr>
        <w:t>conjunction</w:t>
      </w:r>
      <w:r>
        <w:rPr>
          <w:rFonts w:ascii="Arial"/>
          <w:spacing w:val="-10"/>
          <w:sz w:val="24"/>
        </w:rPr>
        <w:t> </w:t>
      </w:r>
      <w:r>
        <w:rPr>
          <w:rFonts w:ascii="Arial"/>
          <w:sz w:val="24"/>
        </w:rPr>
        <w:t>with the</w:t>
      </w:r>
      <w:r>
        <w:rPr>
          <w:rFonts w:ascii="Arial"/>
          <w:spacing w:val="-8"/>
          <w:sz w:val="24"/>
        </w:rPr>
        <w:t> </w:t>
      </w:r>
      <w:r>
        <w:rPr>
          <w:rFonts w:ascii="Arial"/>
          <w:sz w:val="24"/>
        </w:rPr>
        <w:t>NWSSP</w:t>
      </w:r>
      <w:r>
        <w:rPr>
          <w:rFonts w:ascii="Arial"/>
          <w:spacing w:val="-8"/>
          <w:sz w:val="24"/>
        </w:rPr>
        <w:t> </w:t>
      </w:r>
      <w:r>
        <w:rPr>
          <w:rFonts w:ascii="Arial"/>
          <w:sz w:val="24"/>
        </w:rPr>
        <w:t>Communications</w:t>
      </w:r>
      <w:r>
        <w:rPr>
          <w:rFonts w:ascii="Arial"/>
          <w:spacing w:val="-9"/>
          <w:sz w:val="24"/>
        </w:rPr>
        <w:t> </w:t>
      </w:r>
      <w:r>
        <w:rPr>
          <w:rFonts w:ascii="Arial"/>
          <w:sz w:val="24"/>
        </w:rPr>
        <w:t>Team</w:t>
      </w:r>
      <w:r>
        <w:rPr>
          <w:rFonts w:ascii="Arial"/>
          <w:spacing w:val="-8"/>
          <w:sz w:val="24"/>
        </w:rPr>
        <w:t> </w:t>
      </w:r>
      <w:r>
        <w:rPr>
          <w:rFonts w:ascii="Arial"/>
          <w:sz w:val="24"/>
        </w:rPr>
        <w:t>and</w:t>
      </w:r>
      <w:r>
        <w:rPr>
          <w:rFonts w:ascii="Arial"/>
          <w:spacing w:val="-9"/>
          <w:sz w:val="24"/>
        </w:rPr>
        <w:t> </w:t>
      </w:r>
      <w:r>
        <w:rPr>
          <w:rFonts w:ascii="Arial"/>
          <w:sz w:val="24"/>
        </w:rPr>
        <w:t>is</w:t>
      </w:r>
      <w:r>
        <w:rPr>
          <w:rFonts w:ascii="Arial"/>
          <w:spacing w:val="-8"/>
          <w:sz w:val="24"/>
        </w:rPr>
        <w:t> </w:t>
      </w:r>
      <w:r>
        <w:rPr>
          <w:rFonts w:ascii="Arial"/>
          <w:sz w:val="24"/>
        </w:rPr>
        <w:t>ready</w:t>
      </w:r>
      <w:r>
        <w:rPr>
          <w:rFonts w:ascii="Arial"/>
          <w:spacing w:val="-8"/>
          <w:sz w:val="24"/>
        </w:rPr>
        <w:t> </w:t>
      </w:r>
      <w:r>
        <w:rPr>
          <w:rFonts w:ascii="Arial"/>
          <w:sz w:val="24"/>
        </w:rPr>
        <w:t>to</w:t>
      </w:r>
      <w:r>
        <w:rPr>
          <w:rFonts w:ascii="Arial"/>
          <w:spacing w:val="-8"/>
          <w:sz w:val="24"/>
        </w:rPr>
        <w:t> </w:t>
      </w:r>
      <w:r>
        <w:rPr>
          <w:rFonts w:ascii="Arial"/>
          <w:sz w:val="24"/>
        </w:rPr>
        <w:t>be</w:t>
      </w:r>
      <w:r>
        <w:rPr>
          <w:rFonts w:ascii="Arial"/>
          <w:spacing w:val="-8"/>
          <w:sz w:val="24"/>
        </w:rPr>
        <w:t> </w:t>
      </w:r>
      <w:r>
        <w:rPr>
          <w:rFonts w:ascii="Arial"/>
          <w:sz w:val="24"/>
        </w:rPr>
        <w:t>launched</w:t>
      </w:r>
      <w:r>
        <w:rPr>
          <w:rFonts w:ascii="Arial"/>
          <w:spacing w:val="-8"/>
          <w:sz w:val="24"/>
        </w:rPr>
        <w:t> </w:t>
      </w:r>
      <w:r>
        <w:rPr>
          <w:rFonts w:ascii="Arial"/>
          <w:sz w:val="24"/>
        </w:rPr>
        <w:t>in</w:t>
      </w:r>
      <w:r>
        <w:rPr>
          <w:rFonts w:ascii="Arial"/>
          <w:spacing w:val="-8"/>
          <w:sz w:val="24"/>
        </w:rPr>
        <w:t> </w:t>
      </w:r>
      <w:r>
        <w:rPr>
          <w:rFonts w:ascii="Arial"/>
          <w:sz w:val="24"/>
        </w:rPr>
        <w:t>the</w:t>
      </w:r>
      <w:r>
        <w:rPr>
          <w:rFonts w:ascii="Arial"/>
          <w:spacing w:val="-8"/>
          <w:sz w:val="24"/>
        </w:rPr>
        <w:t> </w:t>
      </w:r>
      <w:r>
        <w:rPr>
          <w:rFonts w:ascii="Arial"/>
          <w:sz w:val="24"/>
        </w:rPr>
        <w:t>next few</w:t>
      </w:r>
      <w:r>
        <w:rPr>
          <w:rFonts w:ascii="Arial"/>
          <w:spacing w:val="-7"/>
          <w:sz w:val="24"/>
        </w:rPr>
        <w:t> </w:t>
      </w:r>
      <w:r>
        <w:rPr>
          <w:rFonts w:ascii="Arial"/>
          <w:sz w:val="24"/>
        </w:rPr>
        <w:t>weeks.</w:t>
      </w:r>
      <w:r>
        <w:rPr>
          <w:rFonts w:ascii="Arial"/>
          <w:spacing w:val="-8"/>
          <w:sz w:val="24"/>
        </w:rPr>
        <w:t> </w:t>
      </w:r>
      <w:r>
        <w:rPr>
          <w:rFonts w:ascii="Arial"/>
          <w:sz w:val="24"/>
        </w:rPr>
        <w:t>Microsoft</w:t>
      </w:r>
      <w:r>
        <w:rPr>
          <w:rFonts w:ascii="Arial"/>
          <w:spacing w:val="-8"/>
          <w:sz w:val="24"/>
        </w:rPr>
        <w:t> </w:t>
      </w:r>
      <w:r>
        <w:rPr>
          <w:rFonts w:ascii="Arial"/>
          <w:sz w:val="24"/>
        </w:rPr>
        <w:t>Sway</w:t>
      </w:r>
      <w:r>
        <w:rPr>
          <w:rFonts w:ascii="Arial"/>
          <w:spacing w:val="-7"/>
          <w:sz w:val="24"/>
        </w:rPr>
        <w:t> </w:t>
      </w:r>
      <w:r>
        <w:rPr>
          <w:rFonts w:ascii="Arial"/>
          <w:sz w:val="24"/>
        </w:rPr>
        <w:t>was</w:t>
      </w:r>
      <w:r>
        <w:rPr>
          <w:rFonts w:ascii="Arial"/>
          <w:spacing w:val="-8"/>
          <w:sz w:val="24"/>
        </w:rPr>
        <w:t> </w:t>
      </w:r>
      <w:r>
        <w:rPr>
          <w:rFonts w:ascii="Arial"/>
          <w:sz w:val="24"/>
        </w:rPr>
        <w:t>used</w:t>
      </w:r>
      <w:r>
        <w:rPr>
          <w:rFonts w:ascii="Arial"/>
          <w:spacing w:val="-7"/>
          <w:sz w:val="24"/>
        </w:rPr>
        <w:t> </w:t>
      </w:r>
      <w:r>
        <w:rPr>
          <w:rFonts w:ascii="Arial"/>
          <w:sz w:val="24"/>
        </w:rPr>
        <w:t>as</w:t>
      </w:r>
      <w:r>
        <w:rPr>
          <w:rFonts w:ascii="Arial"/>
          <w:spacing w:val="-8"/>
          <w:sz w:val="24"/>
        </w:rPr>
        <w:t> </w:t>
      </w:r>
      <w:r>
        <w:rPr>
          <w:rFonts w:ascii="Arial"/>
          <w:sz w:val="24"/>
        </w:rPr>
        <w:t>an</w:t>
      </w:r>
      <w:r>
        <w:rPr>
          <w:rFonts w:ascii="Arial"/>
          <w:spacing w:val="-7"/>
          <w:sz w:val="24"/>
        </w:rPr>
        <w:t> </w:t>
      </w:r>
      <w:r>
        <w:rPr>
          <w:rFonts w:ascii="Arial"/>
          <w:sz w:val="24"/>
        </w:rPr>
        <w:t>interactive</w:t>
      </w:r>
      <w:r>
        <w:rPr>
          <w:rFonts w:ascii="Arial"/>
          <w:spacing w:val="-8"/>
          <w:sz w:val="24"/>
        </w:rPr>
        <w:t> </w:t>
      </w:r>
      <w:r>
        <w:rPr>
          <w:rFonts w:ascii="Arial"/>
          <w:sz w:val="24"/>
        </w:rPr>
        <w:t>tool</w:t>
      </w:r>
      <w:r>
        <w:rPr>
          <w:rFonts w:ascii="Arial"/>
          <w:spacing w:val="-7"/>
          <w:sz w:val="24"/>
        </w:rPr>
        <w:t> </w:t>
      </w:r>
      <w:r>
        <w:rPr>
          <w:rFonts w:ascii="Arial"/>
          <w:sz w:val="24"/>
        </w:rPr>
        <w:t>to</w:t>
      </w:r>
      <w:r>
        <w:rPr>
          <w:rFonts w:ascii="Arial"/>
          <w:spacing w:val="-7"/>
          <w:sz w:val="24"/>
        </w:rPr>
        <w:t> </w:t>
      </w:r>
      <w:r>
        <w:rPr>
          <w:rFonts w:ascii="Arial"/>
          <w:sz w:val="24"/>
        </w:rPr>
        <w:t>communicate fraud awareness material. The Social Media Platform Twitter was used to promote new fraud awareness videos on YouTube. With these new methods we are able to collect data on the numbers who engage with the material,</w:t>
      </w:r>
      <w:r>
        <w:rPr>
          <w:rFonts w:ascii="Arial"/>
          <w:spacing w:val="-16"/>
          <w:sz w:val="24"/>
        </w:rPr>
        <w:t> </w:t>
      </w:r>
      <w:r>
        <w:rPr>
          <w:rFonts w:ascii="Arial"/>
          <w:sz w:val="24"/>
        </w:rPr>
        <w:t>this</w:t>
      </w:r>
      <w:r>
        <w:rPr>
          <w:rFonts w:ascii="Arial"/>
          <w:spacing w:val="-16"/>
          <w:sz w:val="24"/>
        </w:rPr>
        <w:t> </w:t>
      </w:r>
      <w:r>
        <w:rPr>
          <w:rFonts w:ascii="Arial"/>
          <w:sz w:val="24"/>
        </w:rPr>
        <w:t>has</w:t>
      </w:r>
      <w:r>
        <w:rPr>
          <w:rFonts w:ascii="Arial"/>
          <w:spacing w:val="-16"/>
          <w:sz w:val="24"/>
        </w:rPr>
        <w:t> </w:t>
      </w:r>
      <w:r>
        <w:rPr>
          <w:rFonts w:ascii="Arial"/>
          <w:sz w:val="24"/>
        </w:rPr>
        <w:t>been</w:t>
      </w:r>
      <w:r>
        <w:rPr>
          <w:rFonts w:ascii="Arial"/>
          <w:spacing w:val="-16"/>
          <w:sz w:val="24"/>
        </w:rPr>
        <w:t> </w:t>
      </w:r>
      <w:r>
        <w:rPr>
          <w:rFonts w:ascii="Arial"/>
          <w:sz w:val="24"/>
        </w:rPr>
        <w:t>fed</w:t>
      </w:r>
      <w:r>
        <w:rPr>
          <w:rFonts w:ascii="Arial"/>
          <w:spacing w:val="-16"/>
          <w:sz w:val="24"/>
        </w:rPr>
        <w:t> </w:t>
      </w:r>
      <w:r>
        <w:rPr>
          <w:rFonts w:ascii="Arial"/>
          <w:sz w:val="24"/>
        </w:rPr>
        <w:t>back</w:t>
      </w:r>
      <w:r>
        <w:rPr>
          <w:rFonts w:ascii="Arial"/>
          <w:spacing w:val="-16"/>
          <w:sz w:val="24"/>
        </w:rPr>
        <w:t> </w:t>
      </w:r>
      <w:r>
        <w:rPr>
          <w:rFonts w:ascii="Arial"/>
          <w:sz w:val="24"/>
        </w:rPr>
        <w:t>to</w:t>
      </w:r>
      <w:r>
        <w:rPr>
          <w:rFonts w:ascii="Arial"/>
          <w:spacing w:val="-16"/>
          <w:sz w:val="24"/>
        </w:rPr>
        <w:t> </w:t>
      </w:r>
      <w:r>
        <w:rPr>
          <w:rFonts w:ascii="Arial"/>
          <w:sz w:val="24"/>
        </w:rPr>
        <w:t>CFS</w:t>
      </w:r>
      <w:r>
        <w:rPr>
          <w:rFonts w:ascii="Arial"/>
          <w:spacing w:val="-16"/>
          <w:sz w:val="24"/>
        </w:rPr>
        <w:t> </w:t>
      </w:r>
      <w:r>
        <w:rPr>
          <w:rFonts w:ascii="Arial"/>
          <w:sz w:val="24"/>
        </w:rPr>
        <w:t>Wales</w:t>
      </w:r>
      <w:r>
        <w:rPr>
          <w:rFonts w:ascii="Arial"/>
          <w:spacing w:val="-16"/>
          <w:sz w:val="24"/>
        </w:rPr>
        <w:t> </w:t>
      </w:r>
      <w:r>
        <w:rPr>
          <w:rFonts w:ascii="Arial"/>
          <w:sz w:val="24"/>
        </w:rPr>
        <w:t>who</w:t>
      </w:r>
      <w:r>
        <w:rPr>
          <w:rFonts w:ascii="Arial"/>
          <w:spacing w:val="-16"/>
          <w:sz w:val="24"/>
        </w:rPr>
        <w:t> </w:t>
      </w:r>
      <w:r>
        <w:rPr>
          <w:rFonts w:ascii="Arial"/>
          <w:sz w:val="24"/>
        </w:rPr>
        <w:t>will</w:t>
      </w:r>
      <w:r>
        <w:rPr>
          <w:rFonts w:ascii="Arial"/>
          <w:spacing w:val="-16"/>
          <w:sz w:val="24"/>
        </w:rPr>
        <w:t> </w:t>
      </w:r>
      <w:r>
        <w:rPr>
          <w:rFonts w:ascii="Arial"/>
          <w:sz w:val="24"/>
        </w:rPr>
        <w:t>look</w:t>
      </w:r>
      <w:r>
        <w:rPr>
          <w:rFonts w:ascii="Arial"/>
          <w:spacing w:val="-16"/>
          <w:sz w:val="24"/>
        </w:rPr>
        <w:t> </w:t>
      </w:r>
      <w:r>
        <w:rPr>
          <w:rFonts w:ascii="Arial"/>
          <w:sz w:val="24"/>
        </w:rPr>
        <w:t>to</w:t>
      </w:r>
      <w:r>
        <w:rPr>
          <w:rFonts w:ascii="Arial"/>
          <w:spacing w:val="-16"/>
          <w:sz w:val="24"/>
        </w:rPr>
        <w:t> </w:t>
      </w:r>
      <w:r>
        <w:rPr>
          <w:rFonts w:ascii="Arial"/>
          <w:sz w:val="24"/>
        </w:rPr>
        <w:t>collate</w:t>
      </w:r>
      <w:r>
        <w:rPr>
          <w:rFonts w:ascii="Arial"/>
          <w:spacing w:val="-16"/>
          <w:sz w:val="24"/>
        </w:rPr>
        <w:t> </w:t>
      </w:r>
      <w:r>
        <w:rPr>
          <w:rFonts w:ascii="Arial"/>
          <w:sz w:val="24"/>
        </w:rPr>
        <w:t>similar data on an all-Wales basis.</w:t>
      </w:r>
    </w:p>
    <w:p>
      <w:pPr>
        <w:spacing w:after="0" w:line="240" w:lineRule="auto"/>
        <w:jc w:val="both"/>
        <w:rPr>
          <w:rFonts w:ascii="Arial"/>
          <w:sz w:val="24"/>
        </w:rPr>
        <w:sectPr>
          <w:pgSz w:w="11910" w:h="16840"/>
          <w:pgMar w:header="0" w:footer="1007" w:top="1340" w:bottom="1200" w:left="0" w:right="0"/>
        </w:sectPr>
      </w:pPr>
    </w:p>
    <w:p>
      <w:pPr>
        <w:spacing w:before="82"/>
        <w:ind w:left="2160" w:right="0" w:firstLine="0"/>
        <w:jc w:val="both"/>
        <w:rPr>
          <w:rFonts w:ascii="Arial"/>
          <w:i/>
          <w:sz w:val="24"/>
        </w:rPr>
      </w:pPr>
      <w:r>
        <w:rPr>
          <w:rFonts w:ascii="Arial"/>
          <w:i/>
          <w:color w:val="4472C4"/>
          <w:sz w:val="24"/>
        </w:rPr>
        <w:t>Awareness</w:t>
      </w:r>
      <w:r>
        <w:rPr>
          <w:rFonts w:ascii="Arial"/>
          <w:i/>
          <w:color w:val="4472C4"/>
          <w:spacing w:val="-5"/>
          <w:sz w:val="24"/>
        </w:rPr>
        <w:t> </w:t>
      </w:r>
      <w:r>
        <w:rPr>
          <w:rFonts w:ascii="Arial"/>
          <w:i/>
          <w:color w:val="4472C4"/>
          <w:spacing w:val="-2"/>
          <w:sz w:val="24"/>
        </w:rPr>
        <w:t>Sessions</w:t>
      </w:r>
    </w:p>
    <w:p>
      <w:pPr>
        <w:pStyle w:val="BodyText"/>
        <w:spacing w:before="10"/>
        <w:rPr>
          <w:rFonts w:ascii="Arial"/>
          <w:i/>
          <w:sz w:val="32"/>
        </w:rPr>
      </w:pPr>
    </w:p>
    <w:p>
      <w:pPr>
        <w:pStyle w:val="BodyText"/>
        <w:ind w:left="2160" w:right="1438"/>
        <w:jc w:val="both"/>
        <w:rPr>
          <w:rFonts w:ascii="Arial"/>
        </w:rPr>
      </w:pPr>
      <w:r>
        <w:rPr>
          <w:rFonts w:ascii="Arial"/>
        </w:rPr>
        <w:t>During this reporting period three fraud awareness sessions have been delivered to NWSSP staff.</w:t>
      </w:r>
    </w:p>
    <w:p>
      <w:pPr>
        <w:pStyle w:val="BodyText"/>
        <w:spacing w:before="10"/>
        <w:rPr>
          <w:rFonts w:ascii="Arial"/>
          <w:sz w:val="20"/>
        </w:rPr>
      </w:pPr>
    </w:p>
    <w:tbl>
      <w:tblPr>
        <w:tblW w:w="0" w:type="auto"/>
        <w:jc w:val="left"/>
        <w:tblInd w:w="21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38"/>
        <w:gridCol w:w="2693"/>
      </w:tblGrid>
      <w:tr>
        <w:trPr>
          <w:trHeight w:val="791" w:hRule="atLeast"/>
        </w:trPr>
        <w:tc>
          <w:tcPr>
            <w:tcW w:w="5938" w:type="dxa"/>
          </w:tcPr>
          <w:p>
            <w:pPr>
              <w:pStyle w:val="TableParagraph"/>
              <w:ind w:left="2954" w:right="2224"/>
              <w:jc w:val="center"/>
              <w:rPr>
                <w:rFonts w:ascii="Arial"/>
                <w:b/>
                <w:sz w:val="24"/>
              </w:rPr>
            </w:pPr>
            <w:r>
              <w:rPr>
                <w:rFonts w:ascii="Arial"/>
                <w:b/>
                <w:spacing w:val="-2"/>
                <w:sz w:val="24"/>
              </w:rPr>
              <w:t>Group</w:t>
            </w:r>
          </w:p>
        </w:tc>
        <w:tc>
          <w:tcPr>
            <w:tcW w:w="2693" w:type="dxa"/>
          </w:tcPr>
          <w:p>
            <w:pPr>
              <w:pStyle w:val="TableParagraph"/>
              <w:ind w:left="659" w:hanging="280"/>
              <w:rPr>
                <w:rFonts w:ascii="Arial"/>
                <w:b/>
                <w:sz w:val="24"/>
              </w:rPr>
            </w:pPr>
            <w:r>
              <w:rPr>
                <w:rFonts w:ascii="Arial"/>
                <w:b/>
                <w:sz w:val="24"/>
              </w:rPr>
              <w:t>No</w:t>
            </w:r>
            <w:r>
              <w:rPr>
                <w:rFonts w:ascii="Arial"/>
                <w:b/>
                <w:spacing w:val="-13"/>
                <w:sz w:val="24"/>
              </w:rPr>
              <w:t> </w:t>
            </w:r>
            <w:r>
              <w:rPr>
                <w:rFonts w:ascii="Arial"/>
                <w:b/>
                <w:sz w:val="24"/>
              </w:rPr>
              <w:t>of</w:t>
            </w:r>
            <w:r>
              <w:rPr>
                <w:rFonts w:ascii="Arial"/>
                <w:b/>
                <w:spacing w:val="-13"/>
                <w:sz w:val="24"/>
              </w:rPr>
              <w:t> </w:t>
            </w:r>
            <w:r>
              <w:rPr>
                <w:rFonts w:ascii="Arial"/>
                <w:b/>
                <w:sz w:val="24"/>
              </w:rPr>
              <w:t>attendees</w:t>
            </w:r>
            <w:r>
              <w:rPr>
                <w:rFonts w:ascii="Arial"/>
                <w:b/>
                <w:spacing w:val="-13"/>
                <w:sz w:val="24"/>
              </w:rPr>
              <w:t> </w:t>
            </w:r>
            <w:r>
              <w:rPr>
                <w:rFonts w:ascii="Arial"/>
                <w:b/>
                <w:sz w:val="24"/>
              </w:rPr>
              <w:t>/ </w:t>
            </w:r>
            <w:r>
              <w:rPr>
                <w:rFonts w:ascii="Arial"/>
                <w:b/>
                <w:spacing w:val="-2"/>
                <w:sz w:val="24"/>
              </w:rPr>
              <w:t>Participants</w:t>
            </w:r>
          </w:p>
        </w:tc>
      </w:tr>
      <w:tr>
        <w:trPr>
          <w:trHeight w:val="515" w:hRule="atLeast"/>
        </w:trPr>
        <w:tc>
          <w:tcPr>
            <w:tcW w:w="5938" w:type="dxa"/>
          </w:tcPr>
          <w:p>
            <w:pPr>
              <w:pStyle w:val="TableParagraph"/>
              <w:ind w:left="108"/>
              <w:rPr>
                <w:rFonts w:ascii="Arial"/>
                <w:sz w:val="24"/>
              </w:rPr>
            </w:pPr>
            <w:r>
              <w:rPr>
                <w:rFonts w:ascii="Arial"/>
                <w:sz w:val="24"/>
              </w:rPr>
              <w:t>Electronic</w:t>
            </w:r>
            <w:r>
              <w:rPr>
                <w:rFonts w:ascii="Arial"/>
                <w:spacing w:val="-2"/>
                <w:sz w:val="24"/>
              </w:rPr>
              <w:t> </w:t>
            </w:r>
            <w:r>
              <w:rPr>
                <w:rFonts w:ascii="Arial"/>
                <w:sz w:val="24"/>
              </w:rPr>
              <w:t>Sway</w:t>
            </w:r>
            <w:r>
              <w:rPr>
                <w:rFonts w:ascii="Arial"/>
                <w:spacing w:val="-1"/>
                <w:sz w:val="24"/>
              </w:rPr>
              <w:t> </w:t>
            </w:r>
            <w:r>
              <w:rPr>
                <w:rFonts w:ascii="Arial"/>
                <w:spacing w:val="-2"/>
                <w:sz w:val="24"/>
              </w:rPr>
              <w:t>Newsletter</w:t>
            </w:r>
          </w:p>
        </w:tc>
        <w:tc>
          <w:tcPr>
            <w:tcW w:w="2693" w:type="dxa"/>
          </w:tcPr>
          <w:p>
            <w:pPr>
              <w:pStyle w:val="TableParagraph"/>
              <w:ind w:left="1146"/>
              <w:rPr>
                <w:rFonts w:ascii="Arial"/>
                <w:sz w:val="24"/>
              </w:rPr>
            </w:pPr>
            <w:r>
              <w:rPr>
                <w:rFonts w:ascii="Arial"/>
                <w:spacing w:val="-5"/>
                <w:sz w:val="24"/>
              </w:rPr>
              <w:t>146</w:t>
            </w:r>
          </w:p>
        </w:tc>
      </w:tr>
      <w:tr>
        <w:trPr>
          <w:trHeight w:val="515" w:hRule="atLeast"/>
        </w:trPr>
        <w:tc>
          <w:tcPr>
            <w:tcW w:w="5938" w:type="dxa"/>
          </w:tcPr>
          <w:p>
            <w:pPr>
              <w:pStyle w:val="TableParagraph"/>
              <w:ind w:left="108"/>
              <w:rPr>
                <w:rFonts w:ascii="Arial"/>
                <w:sz w:val="24"/>
              </w:rPr>
            </w:pPr>
            <w:r>
              <w:rPr>
                <w:rFonts w:ascii="Arial"/>
                <w:sz w:val="24"/>
              </w:rPr>
              <w:t>Matrix</w:t>
            </w:r>
            <w:r>
              <w:rPr>
                <w:rFonts w:ascii="Arial"/>
                <w:spacing w:val="-4"/>
                <w:sz w:val="24"/>
              </w:rPr>
              <w:t> </w:t>
            </w:r>
            <w:r>
              <w:rPr>
                <w:rFonts w:ascii="Arial"/>
                <w:sz w:val="24"/>
              </w:rPr>
              <w:t>House</w:t>
            </w:r>
            <w:r>
              <w:rPr>
                <w:rFonts w:ascii="Arial"/>
                <w:spacing w:val="-2"/>
                <w:sz w:val="24"/>
              </w:rPr>
              <w:t> </w:t>
            </w:r>
            <w:r>
              <w:rPr>
                <w:rFonts w:ascii="Arial"/>
                <w:spacing w:val="-4"/>
                <w:sz w:val="24"/>
              </w:rPr>
              <w:t>site</w:t>
            </w:r>
          </w:p>
        </w:tc>
        <w:tc>
          <w:tcPr>
            <w:tcW w:w="2693" w:type="dxa"/>
          </w:tcPr>
          <w:p>
            <w:pPr>
              <w:pStyle w:val="TableParagraph"/>
              <w:ind w:left="9"/>
              <w:jc w:val="center"/>
              <w:rPr>
                <w:rFonts w:ascii="Arial"/>
                <w:sz w:val="24"/>
              </w:rPr>
            </w:pPr>
            <w:r>
              <w:rPr>
                <w:rFonts w:ascii="Arial"/>
                <w:sz w:val="24"/>
              </w:rPr>
              <w:t>8</w:t>
            </w:r>
          </w:p>
        </w:tc>
      </w:tr>
      <w:tr>
        <w:trPr>
          <w:trHeight w:val="515" w:hRule="atLeast"/>
        </w:trPr>
        <w:tc>
          <w:tcPr>
            <w:tcW w:w="5938" w:type="dxa"/>
          </w:tcPr>
          <w:p>
            <w:pPr>
              <w:pStyle w:val="TableParagraph"/>
              <w:ind w:left="108"/>
              <w:rPr>
                <w:rFonts w:ascii="Arial"/>
                <w:sz w:val="24"/>
              </w:rPr>
            </w:pPr>
            <w:r>
              <w:rPr>
                <w:rFonts w:ascii="Arial"/>
                <w:sz w:val="24"/>
              </w:rPr>
              <w:t>Nantgarw</w:t>
            </w:r>
            <w:r>
              <w:rPr>
                <w:rFonts w:ascii="Arial"/>
                <w:spacing w:val="-5"/>
                <w:sz w:val="24"/>
              </w:rPr>
              <w:t> </w:t>
            </w:r>
            <w:r>
              <w:rPr>
                <w:rFonts w:ascii="Arial"/>
                <w:spacing w:val="-4"/>
                <w:sz w:val="24"/>
              </w:rPr>
              <w:t>Site</w:t>
            </w:r>
          </w:p>
        </w:tc>
        <w:tc>
          <w:tcPr>
            <w:tcW w:w="2693" w:type="dxa"/>
          </w:tcPr>
          <w:p>
            <w:pPr>
              <w:pStyle w:val="TableParagraph"/>
              <w:ind w:left="1213"/>
              <w:rPr>
                <w:rFonts w:ascii="Arial"/>
                <w:sz w:val="24"/>
              </w:rPr>
            </w:pPr>
            <w:r>
              <w:rPr>
                <w:rFonts w:ascii="Arial"/>
                <w:spacing w:val="-5"/>
                <w:sz w:val="24"/>
              </w:rPr>
              <w:t>10</w:t>
            </w:r>
          </w:p>
        </w:tc>
      </w:tr>
      <w:tr>
        <w:trPr>
          <w:trHeight w:val="515" w:hRule="atLeast"/>
        </w:trPr>
        <w:tc>
          <w:tcPr>
            <w:tcW w:w="5938" w:type="dxa"/>
          </w:tcPr>
          <w:p>
            <w:pPr>
              <w:pStyle w:val="TableParagraph"/>
              <w:ind w:left="108"/>
              <w:rPr>
                <w:rFonts w:ascii="Arial"/>
                <w:b/>
                <w:sz w:val="24"/>
              </w:rPr>
            </w:pPr>
            <w:r>
              <w:rPr>
                <w:rFonts w:ascii="Arial"/>
                <w:b/>
                <w:spacing w:val="-2"/>
                <w:sz w:val="24"/>
              </w:rPr>
              <w:t>Total</w:t>
            </w:r>
          </w:p>
        </w:tc>
        <w:tc>
          <w:tcPr>
            <w:tcW w:w="2693" w:type="dxa"/>
          </w:tcPr>
          <w:p>
            <w:pPr>
              <w:pStyle w:val="TableParagraph"/>
              <w:ind w:left="1146"/>
              <w:rPr>
                <w:rFonts w:ascii="Arial"/>
                <w:b/>
                <w:sz w:val="24"/>
              </w:rPr>
            </w:pPr>
            <w:r>
              <w:rPr>
                <w:rFonts w:ascii="Arial"/>
                <w:b/>
                <w:spacing w:val="-5"/>
                <w:sz w:val="24"/>
              </w:rPr>
              <w:t>164</w:t>
            </w:r>
          </w:p>
        </w:tc>
      </w:tr>
    </w:tbl>
    <w:p>
      <w:pPr>
        <w:pStyle w:val="BodyText"/>
        <w:rPr>
          <w:rFonts w:ascii="Arial"/>
          <w:sz w:val="26"/>
        </w:rPr>
      </w:pPr>
    </w:p>
    <w:p>
      <w:pPr>
        <w:pStyle w:val="BodyText"/>
        <w:spacing w:before="3"/>
        <w:rPr>
          <w:rFonts w:ascii="Arial"/>
          <w:sz w:val="31"/>
        </w:rPr>
      </w:pPr>
    </w:p>
    <w:p>
      <w:pPr>
        <w:pStyle w:val="BodyText"/>
        <w:ind w:left="2160" w:right="1437"/>
        <w:jc w:val="both"/>
        <w:rPr>
          <w:rFonts w:ascii="Arial"/>
        </w:rPr>
      </w:pPr>
      <w:r>
        <w:rPr>
          <w:rFonts w:ascii="Arial"/>
        </w:rPr>
        <w:t>A</w:t>
      </w:r>
      <w:r>
        <w:rPr>
          <w:rFonts w:ascii="Arial"/>
          <w:spacing w:val="-6"/>
        </w:rPr>
        <w:t> </w:t>
      </w:r>
      <w:r>
        <w:rPr>
          <w:rFonts w:ascii="Arial"/>
        </w:rPr>
        <w:t>feedback</w:t>
      </w:r>
      <w:r>
        <w:rPr>
          <w:rFonts w:ascii="Arial"/>
          <w:spacing w:val="-6"/>
        </w:rPr>
        <w:t> </w:t>
      </w:r>
      <w:r>
        <w:rPr>
          <w:rFonts w:ascii="Arial"/>
        </w:rPr>
        <w:t>form</w:t>
      </w:r>
      <w:r>
        <w:rPr>
          <w:rFonts w:ascii="Arial"/>
          <w:spacing w:val="-6"/>
        </w:rPr>
        <w:t> </w:t>
      </w:r>
      <w:r>
        <w:rPr>
          <w:rFonts w:ascii="Arial"/>
        </w:rPr>
        <w:t>has</w:t>
      </w:r>
      <w:r>
        <w:rPr>
          <w:rFonts w:ascii="Arial"/>
          <w:spacing w:val="-6"/>
        </w:rPr>
        <w:t> </w:t>
      </w:r>
      <w:r>
        <w:rPr>
          <w:rFonts w:ascii="Arial"/>
        </w:rPr>
        <w:t>been</w:t>
      </w:r>
      <w:r>
        <w:rPr>
          <w:rFonts w:ascii="Arial"/>
          <w:spacing w:val="-6"/>
        </w:rPr>
        <w:t> </w:t>
      </w:r>
      <w:r>
        <w:rPr>
          <w:rFonts w:ascii="Arial"/>
        </w:rPr>
        <w:t>devised</w:t>
      </w:r>
      <w:r>
        <w:rPr>
          <w:rFonts w:ascii="Arial"/>
          <w:spacing w:val="-6"/>
        </w:rPr>
        <w:t> </w:t>
      </w:r>
      <w:r>
        <w:rPr>
          <w:rFonts w:ascii="Arial"/>
        </w:rPr>
        <w:t>and</w:t>
      </w:r>
      <w:r>
        <w:rPr>
          <w:rFonts w:ascii="Arial"/>
          <w:spacing w:val="-6"/>
        </w:rPr>
        <w:t> </w:t>
      </w:r>
      <w:r>
        <w:rPr>
          <w:rFonts w:ascii="Arial"/>
        </w:rPr>
        <w:t>will</w:t>
      </w:r>
      <w:r>
        <w:rPr>
          <w:rFonts w:ascii="Arial"/>
          <w:spacing w:val="-6"/>
        </w:rPr>
        <w:t> </w:t>
      </w:r>
      <w:r>
        <w:rPr>
          <w:rFonts w:ascii="Arial"/>
        </w:rPr>
        <w:t>be</w:t>
      </w:r>
      <w:r>
        <w:rPr>
          <w:rFonts w:ascii="Arial"/>
          <w:spacing w:val="-6"/>
        </w:rPr>
        <w:t> </w:t>
      </w:r>
      <w:r>
        <w:rPr>
          <w:rFonts w:ascii="Arial"/>
        </w:rPr>
        <w:t>issued</w:t>
      </w:r>
      <w:r>
        <w:rPr>
          <w:rFonts w:ascii="Arial"/>
          <w:spacing w:val="-6"/>
        </w:rPr>
        <w:t> </w:t>
      </w:r>
      <w:r>
        <w:rPr>
          <w:rFonts w:ascii="Arial"/>
        </w:rPr>
        <w:t>retrospectively</w:t>
      </w:r>
      <w:r>
        <w:rPr>
          <w:rFonts w:ascii="Arial"/>
          <w:spacing w:val="40"/>
        </w:rPr>
        <w:t> </w:t>
      </w:r>
      <w:r>
        <w:rPr>
          <w:rFonts w:ascii="Arial"/>
        </w:rPr>
        <w:t>following future</w:t>
      </w:r>
      <w:r>
        <w:rPr>
          <w:rFonts w:ascii="Arial"/>
          <w:spacing w:val="-11"/>
        </w:rPr>
        <w:t> </w:t>
      </w:r>
      <w:r>
        <w:rPr>
          <w:rFonts w:ascii="Arial"/>
        </w:rPr>
        <w:t>sessions,</w:t>
      </w:r>
      <w:r>
        <w:rPr>
          <w:rFonts w:ascii="Arial"/>
          <w:spacing w:val="-11"/>
        </w:rPr>
        <w:t> </w:t>
      </w:r>
      <w:r>
        <w:rPr>
          <w:rFonts w:ascii="Arial"/>
        </w:rPr>
        <w:t>however</w:t>
      </w:r>
      <w:r>
        <w:rPr>
          <w:rFonts w:ascii="Arial"/>
          <w:spacing w:val="-11"/>
        </w:rPr>
        <w:t> </w:t>
      </w:r>
      <w:r>
        <w:rPr>
          <w:rFonts w:ascii="Arial"/>
        </w:rPr>
        <w:t>instant</w:t>
      </w:r>
      <w:r>
        <w:rPr>
          <w:rFonts w:ascii="Arial"/>
          <w:spacing w:val="-11"/>
        </w:rPr>
        <w:t> </w:t>
      </w:r>
      <w:r>
        <w:rPr>
          <w:rFonts w:ascii="Arial"/>
        </w:rPr>
        <w:t>feedback</w:t>
      </w:r>
      <w:r>
        <w:rPr>
          <w:rFonts w:ascii="Arial"/>
          <w:spacing w:val="-11"/>
        </w:rPr>
        <w:t> </w:t>
      </w:r>
      <w:r>
        <w:rPr>
          <w:rFonts w:ascii="Arial"/>
        </w:rPr>
        <w:t>from</w:t>
      </w:r>
      <w:r>
        <w:rPr>
          <w:rFonts w:ascii="Arial"/>
          <w:spacing w:val="-11"/>
        </w:rPr>
        <w:t> </w:t>
      </w:r>
      <w:r>
        <w:rPr>
          <w:rFonts w:ascii="Arial"/>
        </w:rPr>
        <w:t>each</w:t>
      </w:r>
      <w:r>
        <w:rPr>
          <w:rFonts w:ascii="Arial"/>
          <w:spacing w:val="-10"/>
        </w:rPr>
        <w:t> </w:t>
      </w:r>
      <w:r>
        <w:rPr>
          <w:rFonts w:ascii="Arial"/>
        </w:rPr>
        <w:t>session</w:t>
      </w:r>
      <w:r>
        <w:rPr>
          <w:rFonts w:ascii="Arial"/>
          <w:spacing w:val="-10"/>
        </w:rPr>
        <w:t> </w:t>
      </w:r>
      <w:r>
        <w:rPr>
          <w:rFonts w:ascii="Arial"/>
        </w:rPr>
        <w:t>was</w:t>
      </w:r>
      <w:r>
        <w:rPr>
          <w:rFonts w:ascii="Arial"/>
          <w:spacing w:val="-11"/>
        </w:rPr>
        <w:t> </w:t>
      </w:r>
      <w:r>
        <w:rPr>
          <w:rFonts w:ascii="Arial"/>
        </w:rPr>
        <w:t>very</w:t>
      </w:r>
      <w:r>
        <w:rPr>
          <w:rFonts w:ascii="Arial"/>
          <w:spacing w:val="-11"/>
        </w:rPr>
        <w:t> </w:t>
      </w:r>
      <w:r>
        <w:rPr>
          <w:rFonts w:ascii="Arial"/>
        </w:rPr>
        <w:t>positive and instigated much discussion.</w:t>
      </w:r>
    </w:p>
    <w:p>
      <w:pPr>
        <w:pStyle w:val="BodyText"/>
        <w:spacing w:before="10"/>
        <w:rPr>
          <w:rFonts w:ascii="Arial"/>
          <w:sz w:val="20"/>
        </w:rPr>
      </w:pPr>
    </w:p>
    <w:p>
      <w:pPr>
        <w:pStyle w:val="BodyText"/>
        <w:ind w:left="2160" w:right="1437"/>
        <w:jc w:val="both"/>
        <w:rPr>
          <w:rFonts w:ascii="Arial"/>
        </w:rPr>
      </w:pPr>
      <w:r>
        <w:rPr>
          <w:rFonts w:ascii="Arial"/>
        </w:rPr>
        <w:t>Further</w:t>
      </w:r>
      <w:r>
        <w:rPr>
          <w:rFonts w:ascii="Arial"/>
          <w:spacing w:val="-6"/>
        </w:rPr>
        <w:t> </w:t>
      </w:r>
      <w:r>
        <w:rPr>
          <w:rFonts w:ascii="Arial"/>
        </w:rPr>
        <w:t>arrangements</w:t>
      </w:r>
      <w:r>
        <w:rPr>
          <w:rFonts w:ascii="Arial"/>
          <w:spacing w:val="-6"/>
        </w:rPr>
        <w:t> </w:t>
      </w:r>
      <w:r>
        <w:rPr>
          <w:rFonts w:ascii="Arial"/>
        </w:rPr>
        <w:t>have</w:t>
      </w:r>
      <w:r>
        <w:rPr>
          <w:rFonts w:ascii="Arial"/>
          <w:spacing w:val="-6"/>
        </w:rPr>
        <w:t> </w:t>
      </w:r>
      <w:r>
        <w:rPr>
          <w:rFonts w:ascii="Arial"/>
        </w:rPr>
        <w:t>been</w:t>
      </w:r>
      <w:r>
        <w:rPr>
          <w:rFonts w:ascii="Arial"/>
          <w:spacing w:val="-6"/>
        </w:rPr>
        <w:t> </w:t>
      </w:r>
      <w:r>
        <w:rPr>
          <w:rFonts w:ascii="Arial"/>
        </w:rPr>
        <w:t>made</w:t>
      </w:r>
      <w:r>
        <w:rPr>
          <w:rFonts w:ascii="Arial"/>
          <w:spacing w:val="-6"/>
        </w:rPr>
        <w:t> </w:t>
      </w:r>
      <w:r>
        <w:rPr>
          <w:rFonts w:ascii="Arial"/>
        </w:rPr>
        <w:t>to</w:t>
      </w:r>
      <w:r>
        <w:rPr>
          <w:rFonts w:ascii="Arial"/>
          <w:spacing w:val="-6"/>
        </w:rPr>
        <w:t> </w:t>
      </w:r>
      <w:r>
        <w:rPr>
          <w:rFonts w:ascii="Arial"/>
        </w:rPr>
        <w:t>deliver</w:t>
      </w:r>
      <w:r>
        <w:rPr>
          <w:rFonts w:ascii="Arial"/>
          <w:spacing w:val="-6"/>
        </w:rPr>
        <w:t> </w:t>
      </w:r>
      <w:r>
        <w:rPr>
          <w:rFonts w:ascii="Arial"/>
        </w:rPr>
        <w:t>sessions</w:t>
      </w:r>
      <w:r>
        <w:rPr>
          <w:rFonts w:ascii="Arial"/>
          <w:spacing w:val="-6"/>
        </w:rPr>
        <w:t> </w:t>
      </w:r>
      <w:r>
        <w:rPr>
          <w:rFonts w:ascii="Arial"/>
        </w:rPr>
        <w:t>to</w:t>
      </w:r>
      <w:r>
        <w:rPr>
          <w:rFonts w:ascii="Arial"/>
          <w:spacing w:val="-6"/>
        </w:rPr>
        <w:t> </w:t>
      </w:r>
      <w:r>
        <w:rPr>
          <w:rFonts w:ascii="Arial"/>
        </w:rPr>
        <w:t>POD</w:t>
      </w:r>
      <w:r>
        <w:rPr>
          <w:rFonts w:ascii="Arial"/>
          <w:spacing w:val="-6"/>
        </w:rPr>
        <w:t> </w:t>
      </w:r>
      <w:r>
        <w:rPr>
          <w:rFonts w:ascii="Arial"/>
        </w:rPr>
        <w:t>Teams</w:t>
      </w:r>
      <w:r>
        <w:rPr>
          <w:rFonts w:ascii="Arial"/>
          <w:spacing w:val="-6"/>
        </w:rPr>
        <w:t> </w:t>
      </w:r>
      <w:r>
        <w:rPr>
          <w:rFonts w:ascii="Arial"/>
        </w:rPr>
        <w:t>and Accounts Payable Teams on Mandate Fraud Risk Update.</w:t>
      </w:r>
    </w:p>
    <w:p>
      <w:pPr>
        <w:pStyle w:val="BodyText"/>
        <w:spacing w:before="10"/>
        <w:rPr>
          <w:rFonts w:ascii="Arial"/>
          <w:sz w:val="20"/>
        </w:rPr>
      </w:pPr>
    </w:p>
    <w:p>
      <w:pPr>
        <w:spacing w:before="0"/>
        <w:ind w:left="2160" w:right="0" w:firstLine="0"/>
        <w:jc w:val="both"/>
        <w:rPr>
          <w:rFonts w:ascii="Arial"/>
          <w:i/>
          <w:sz w:val="24"/>
        </w:rPr>
      </w:pPr>
      <w:r>
        <w:rPr>
          <w:rFonts w:ascii="Arial"/>
          <w:i/>
          <w:color w:val="4472C4"/>
          <w:sz w:val="24"/>
        </w:rPr>
        <w:t>Fraud </w:t>
      </w:r>
      <w:r>
        <w:rPr>
          <w:rFonts w:ascii="Arial"/>
          <w:i/>
          <w:color w:val="4472C4"/>
          <w:spacing w:val="-2"/>
          <w:sz w:val="24"/>
        </w:rPr>
        <w:t>Survey</w:t>
      </w:r>
    </w:p>
    <w:p>
      <w:pPr>
        <w:pStyle w:val="BodyText"/>
        <w:spacing w:before="10"/>
        <w:rPr>
          <w:rFonts w:ascii="Arial"/>
          <w:i/>
          <w:sz w:val="32"/>
        </w:rPr>
      </w:pPr>
    </w:p>
    <w:p>
      <w:pPr>
        <w:pStyle w:val="BodyText"/>
        <w:ind w:left="2160" w:right="1437"/>
        <w:jc w:val="both"/>
        <w:rPr>
          <w:rFonts w:ascii="Arial"/>
        </w:rPr>
      </w:pPr>
      <w:r>
        <w:rPr>
          <w:rFonts w:ascii="Arial"/>
        </w:rPr>
        <w:t>On 22</w:t>
      </w:r>
      <w:r>
        <w:rPr>
          <w:rFonts w:ascii="Arial"/>
          <w:position w:val="7"/>
          <w:sz w:val="16"/>
        </w:rPr>
        <w:t>nd</w:t>
      </w:r>
      <w:r>
        <w:rPr>
          <w:rFonts w:ascii="Arial"/>
          <w:spacing w:val="40"/>
          <w:position w:val="7"/>
          <w:sz w:val="16"/>
        </w:rPr>
        <w:t> </w:t>
      </w:r>
      <w:r>
        <w:rPr>
          <w:rFonts w:ascii="Arial"/>
        </w:rPr>
        <w:t>July 2022 an email was issued to all NWSSP staff inviting them to complete a fraud awareness survey.</w:t>
      </w:r>
      <w:r>
        <w:rPr>
          <w:rFonts w:ascii="Arial"/>
          <w:spacing w:val="40"/>
        </w:rPr>
        <w:t> </w:t>
      </w:r>
      <w:r>
        <w:rPr>
          <w:rFonts w:ascii="Arial"/>
        </w:rPr>
        <w:t>The survey included a short video to measure staff awareness before and after the video. A further request was made in the newsletter to complete the survey by 31</w:t>
      </w:r>
      <w:r>
        <w:rPr>
          <w:rFonts w:ascii="Arial"/>
          <w:position w:val="7"/>
          <w:sz w:val="16"/>
        </w:rPr>
        <w:t>st</w:t>
      </w:r>
      <w:r>
        <w:rPr>
          <w:rFonts w:ascii="Arial"/>
          <w:spacing w:val="33"/>
          <w:position w:val="7"/>
          <w:sz w:val="16"/>
        </w:rPr>
        <w:t> </w:t>
      </w:r>
      <w:r>
        <w:rPr>
          <w:rFonts w:ascii="Arial"/>
        </w:rPr>
        <w:t>October 2022.</w:t>
      </w:r>
    </w:p>
    <w:p>
      <w:pPr>
        <w:pStyle w:val="BodyText"/>
        <w:spacing w:before="10"/>
        <w:rPr>
          <w:rFonts w:ascii="Arial"/>
          <w:sz w:val="20"/>
        </w:rPr>
      </w:pPr>
    </w:p>
    <w:p>
      <w:pPr>
        <w:pStyle w:val="BodyText"/>
        <w:ind w:left="2160"/>
        <w:jc w:val="both"/>
        <w:rPr>
          <w:rFonts w:ascii="Arial"/>
        </w:rPr>
      </w:pPr>
      <w:r>
        <w:rPr>
          <w:rFonts w:ascii="Arial"/>
          <w:spacing w:val="-2"/>
        </w:rPr>
        <w:t>As</w:t>
      </w:r>
      <w:r>
        <w:rPr>
          <w:rFonts w:ascii="Arial"/>
          <w:spacing w:val="-11"/>
        </w:rPr>
        <w:t> </w:t>
      </w:r>
      <w:r>
        <w:rPr>
          <w:rFonts w:ascii="Arial"/>
          <w:spacing w:val="-2"/>
        </w:rPr>
        <w:t>at</w:t>
      </w:r>
      <w:r>
        <w:rPr>
          <w:rFonts w:ascii="Arial"/>
          <w:spacing w:val="-9"/>
        </w:rPr>
        <w:t> </w:t>
      </w:r>
      <w:r>
        <w:rPr>
          <w:rFonts w:ascii="Arial"/>
          <w:spacing w:val="-2"/>
        </w:rPr>
        <w:t>31</w:t>
      </w:r>
      <w:r>
        <w:rPr>
          <w:rFonts w:ascii="Arial"/>
          <w:spacing w:val="-2"/>
          <w:position w:val="7"/>
          <w:sz w:val="16"/>
        </w:rPr>
        <w:t>st</w:t>
      </w:r>
      <w:r>
        <w:rPr>
          <w:rFonts w:ascii="Arial"/>
          <w:spacing w:val="12"/>
          <w:position w:val="7"/>
          <w:sz w:val="16"/>
        </w:rPr>
        <w:t> </w:t>
      </w:r>
      <w:r>
        <w:rPr>
          <w:rFonts w:ascii="Arial"/>
          <w:spacing w:val="-2"/>
        </w:rPr>
        <w:t>December</w:t>
      </w:r>
      <w:r>
        <w:rPr>
          <w:rFonts w:ascii="Arial"/>
          <w:spacing w:val="-9"/>
        </w:rPr>
        <w:t> </w:t>
      </w:r>
      <w:r>
        <w:rPr>
          <w:rFonts w:ascii="Arial"/>
          <w:spacing w:val="-2"/>
        </w:rPr>
        <w:t>2022,</w:t>
      </w:r>
      <w:r>
        <w:rPr>
          <w:rFonts w:ascii="Arial"/>
          <w:spacing w:val="-9"/>
        </w:rPr>
        <w:t> </w:t>
      </w:r>
      <w:r>
        <w:rPr>
          <w:rFonts w:ascii="Arial"/>
          <w:spacing w:val="-2"/>
        </w:rPr>
        <w:t>304</w:t>
      </w:r>
      <w:r>
        <w:rPr>
          <w:rFonts w:ascii="Arial"/>
          <w:spacing w:val="-9"/>
        </w:rPr>
        <w:t> </w:t>
      </w:r>
      <w:r>
        <w:rPr>
          <w:rFonts w:ascii="Arial"/>
          <w:spacing w:val="-2"/>
        </w:rPr>
        <w:t>staff</w:t>
      </w:r>
      <w:r>
        <w:rPr>
          <w:rFonts w:ascii="Arial"/>
          <w:spacing w:val="-9"/>
        </w:rPr>
        <w:t> </w:t>
      </w:r>
      <w:r>
        <w:rPr>
          <w:rFonts w:ascii="Arial"/>
          <w:spacing w:val="-2"/>
        </w:rPr>
        <w:t>participated</w:t>
      </w:r>
      <w:r>
        <w:rPr>
          <w:rFonts w:ascii="Arial"/>
          <w:spacing w:val="-8"/>
        </w:rPr>
        <w:t> </w:t>
      </w:r>
      <w:r>
        <w:rPr>
          <w:rFonts w:ascii="Arial"/>
          <w:spacing w:val="-2"/>
        </w:rPr>
        <w:t>and</w:t>
      </w:r>
      <w:r>
        <w:rPr>
          <w:rFonts w:ascii="Arial"/>
          <w:spacing w:val="-9"/>
        </w:rPr>
        <w:t> </w:t>
      </w:r>
      <w:r>
        <w:rPr>
          <w:rFonts w:ascii="Arial"/>
          <w:spacing w:val="-2"/>
        </w:rPr>
        <w:t>awareness</w:t>
      </w:r>
      <w:r>
        <w:rPr>
          <w:rFonts w:ascii="Arial"/>
          <w:spacing w:val="-9"/>
        </w:rPr>
        <w:t> </w:t>
      </w:r>
      <w:r>
        <w:rPr>
          <w:rFonts w:ascii="Arial"/>
          <w:spacing w:val="-2"/>
        </w:rPr>
        <w:t>increased</w:t>
      </w:r>
      <w:r>
        <w:rPr>
          <w:rFonts w:ascii="Arial"/>
          <w:spacing w:val="-9"/>
        </w:rPr>
        <w:t> </w:t>
      </w:r>
      <w:r>
        <w:rPr>
          <w:rFonts w:ascii="Arial"/>
          <w:spacing w:val="-4"/>
        </w:rPr>
        <w:t>from</w:t>
      </w:r>
    </w:p>
    <w:p>
      <w:pPr>
        <w:pStyle w:val="BodyText"/>
        <w:ind w:left="2160" w:right="1438"/>
        <w:jc w:val="both"/>
        <w:rPr>
          <w:rFonts w:ascii="Arial"/>
        </w:rPr>
      </w:pPr>
      <w:r>
        <w:rPr>
          <w:rFonts w:ascii="Arial"/>
        </w:rPr>
        <w:t>6.96</w:t>
      </w:r>
      <w:r>
        <w:rPr>
          <w:rFonts w:ascii="Arial"/>
          <w:spacing w:val="-17"/>
        </w:rPr>
        <w:t> </w:t>
      </w:r>
      <w:r>
        <w:rPr>
          <w:rFonts w:ascii="Arial"/>
        </w:rPr>
        <w:t>(before</w:t>
      </w:r>
      <w:r>
        <w:rPr>
          <w:rFonts w:ascii="Arial"/>
          <w:spacing w:val="-17"/>
        </w:rPr>
        <w:t> </w:t>
      </w:r>
      <w:r>
        <w:rPr>
          <w:rFonts w:ascii="Arial"/>
        </w:rPr>
        <w:t>the</w:t>
      </w:r>
      <w:r>
        <w:rPr>
          <w:rFonts w:ascii="Arial"/>
          <w:spacing w:val="-16"/>
        </w:rPr>
        <w:t> </w:t>
      </w:r>
      <w:r>
        <w:rPr>
          <w:rFonts w:ascii="Arial"/>
        </w:rPr>
        <w:t>video)</w:t>
      </w:r>
      <w:r>
        <w:rPr>
          <w:rFonts w:ascii="Arial"/>
          <w:spacing w:val="-17"/>
        </w:rPr>
        <w:t> </w:t>
      </w:r>
      <w:r>
        <w:rPr>
          <w:rFonts w:ascii="Arial"/>
        </w:rPr>
        <w:t>to</w:t>
      </w:r>
      <w:r>
        <w:rPr>
          <w:rFonts w:ascii="Arial"/>
          <w:spacing w:val="-17"/>
        </w:rPr>
        <w:t> </w:t>
      </w:r>
      <w:r>
        <w:rPr>
          <w:rFonts w:ascii="Arial"/>
        </w:rPr>
        <w:t>8.56</w:t>
      </w:r>
      <w:r>
        <w:rPr>
          <w:rFonts w:ascii="Arial"/>
          <w:spacing w:val="-16"/>
        </w:rPr>
        <w:t> </w:t>
      </w:r>
      <w:r>
        <w:rPr>
          <w:rFonts w:ascii="Arial"/>
        </w:rPr>
        <w:t>(after</w:t>
      </w:r>
      <w:r>
        <w:rPr>
          <w:rFonts w:ascii="Arial"/>
          <w:spacing w:val="-17"/>
        </w:rPr>
        <w:t> </w:t>
      </w:r>
      <w:r>
        <w:rPr>
          <w:rFonts w:ascii="Arial"/>
        </w:rPr>
        <w:t>the</w:t>
      </w:r>
      <w:r>
        <w:rPr>
          <w:rFonts w:ascii="Arial"/>
          <w:spacing w:val="-17"/>
        </w:rPr>
        <w:t> </w:t>
      </w:r>
      <w:r>
        <w:rPr>
          <w:rFonts w:ascii="Arial"/>
        </w:rPr>
        <w:t>video)</w:t>
      </w:r>
      <w:r>
        <w:rPr>
          <w:rFonts w:ascii="Arial"/>
          <w:spacing w:val="-16"/>
        </w:rPr>
        <w:t> </w:t>
      </w:r>
      <w:r>
        <w:rPr>
          <w:rFonts w:ascii="Arial"/>
        </w:rPr>
        <w:t>(Ratings</w:t>
      </w:r>
      <w:r>
        <w:rPr>
          <w:rFonts w:ascii="Arial"/>
          <w:spacing w:val="-17"/>
        </w:rPr>
        <w:t> </w:t>
      </w:r>
      <w:r>
        <w:rPr>
          <w:rFonts w:ascii="Arial"/>
        </w:rPr>
        <w:t>of</w:t>
      </w:r>
      <w:r>
        <w:rPr>
          <w:rFonts w:ascii="Arial"/>
          <w:spacing w:val="-17"/>
        </w:rPr>
        <w:t> </w:t>
      </w:r>
      <w:r>
        <w:rPr>
          <w:rFonts w:ascii="Arial"/>
        </w:rPr>
        <w:t>1-10).</w:t>
      </w:r>
      <w:r>
        <w:rPr>
          <w:rFonts w:ascii="Arial"/>
          <w:spacing w:val="-16"/>
        </w:rPr>
        <w:t> </w:t>
      </w:r>
      <w:r>
        <w:rPr>
          <w:rFonts w:ascii="Arial"/>
        </w:rPr>
        <w:t>Further</w:t>
      </w:r>
      <w:r>
        <w:rPr>
          <w:rFonts w:ascii="Arial"/>
          <w:spacing w:val="-17"/>
        </w:rPr>
        <w:t> </w:t>
      </w:r>
      <w:r>
        <w:rPr>
          <w:rFonts w:ascii="Arial"/>
        </w:rPr>
        <w:t>details are included (Appendix 1). This survey will now assist in identifying which divisions and or locations require further fraud awareness training.</w:t>
      </w:r>
    </w:p>
    <w:p>
      <w:pPr>
        <w:pStyle w:val="BodyText"/>
        <w:spacing w:before="10"/>
        <w:rPr>
          <w:rFonts w:ascii="Arial"/>
          <w:sz w:val="20"/>
        </w:rPr>
      </w:pPr>
    </w:p>
    <w:p>
      <w:pPr>
        <w:spacing w:before="0"/>
        <w:ind w:left="2160" w:right="0" w:firstLine="0"/>
        <w:jc w:val="both"/>
        <w:rPr>
          <w:rFonts w:ascii="Arial"/>
          <w:i/>
          <w:sz w:val="24"/>
        </w:rPr>
      </w:pPr>
      <w:r>
        <w:rPr>
          <w:rFonts w:ascii="Arial"/>
          <w:i/>
          <w:color w:val="4472C4"/>
          <w:sz w:val="24"/>
        </w:rPr>
        <w:t>Newsletters</w:t>
      </w:r>
      <w:r>
        <w:rPr>
          <w:rFonts w:ascii="Arial"/>
          <w:i/>
          <w:color w:val="4472C4"/>
          <w:spacing w:val="-4"/>
          <w:sz w:val="24"/>
        </w:rPr>
        <w:t> </w:t>
      </w:r>
      <w:r>
        <w:rPr>
          <w:rFonts w:ascii="Arial"/>
          <w:i/>
          <w:color w:val="4472C4"/>
          <w:sz w:val="24"/>
        </w:rPr>
        <w:t>/</w:t>
      </w:r>
      <w:r>
        <w:rPr>
          <w:rFonts w:ascii="Arial"/>
          <w:i/>
          <w:color w:val="4472C4"/>
          <w:spacing w:val="-2"/>
          <w:sz w:val="24"/>
        </w:rPr>
        <w:t> </w:t>
      </w:r>
      <w:r>
        <w:rPr>
          <w:rFonts w:ascii="Arial"/>
          <w:i/>
          <w:color w:val="4472C4"/>
          <w:sz w:val="24"/>
        </w:rPr>
        <w:t>International</w:t>
      </w:r>
      <w:r>
        <w:rPr>
          <w:rFonts w:ascii="Arial"/>
          <w:i/>
          <w:color w:val="4472C4"/>
          <w:spacing w:val="-4"/>
          <w:sz w:val="24"/>
        </w:rPr>
        <w:t> </w:t>
      </w:r>
      <w:r>
        <w:rPr>
          <w:rFonts w:ascii="Arial"/>
          <w:i/>
          <w:color w:val="4472C4"/>
          <w:sz w:val="24"/>
        </w:rPr>
        <w:t>Fraud</w:t>
      </w:r>
      <w:r>
        <w:rPr>
          <w:rFonts w:ascii="Arial"/>
          <w:i/>
          <w:color w:val="4472C4"/>
          <w:spacing w:val="-2"/>
          <w:sz w:val="24"/>
        </w:rPr>
        <w:t> </w:t>
      </w:r>
      <w:r>
        <w:rPr>
          <w:rFonts w:ascii="Arial"/>
          <w:i/>
          <w:color w:val="4472C4"/>
          <w:sz w:val="24"/>
        </w:rPr>
        <w:t>Awareness</w:t>
      </w:r>
      <w:r>
        <w:rPr>
          <w:rFonts w:ascii="Arial"/>
          <w:i/>
          <w:color w:val="4472C4"/>
          <w:spacing w:val="-3"/>
          <w:sz w:val="24"/>
        </w:rPr>
        <w:t> </w:t>
      </w:r>
      <w:r>
        <w:rPr>
          <w:rFonts w:ascii="Arial"/>
          <w:i/>
          <w:color w:val="4472C4"/>
          <w:spacing w:val="-2"/>
          <w:sz w:val="24"/>
        </w:rPr>
        <w:t>Week.</w:t>
      </w:r>
    </w:p>
    <w:p>
      <w:pPr>
        <w:pStyle w:val="BodyText"/>
        <w:spacing w:before="10"/>
        <w:rPr>
          <w:rFonts w:ascii="Arial"/>
          <w:i/>
          <w:sz w:val="32"/>
        </w:rPr>
      </w:pPr>
    </w:p>
    <w:p>
      <w:pPr>
        <w:pStyle w:val="BodyText"/>
        <w:ind w:left="2160" w:right="1437"/>
        <w:jc w:val="both"/>
        <w:rPr>
          <w:rFonts w:ascii="Arial" w:hAnsi="Arial"/>
        </w:rPr>
      </w:pPr>
      <w:r>
        <w:rPr>
          <w:rFonts w:ascii="Arial" w:hAnsi="Arial"/>
        </w:rPr>
        <w:t>The last newsletter was issued at the end of the previous reporting period on 28</w:t>
      </w:r>
      <w:r>
        <w:rPr>
          <w:rFonts w:ascii="Arial" w:hAnsi="Arial"/>
          <w:position w:val="7"/>
          <w:sz w:val="16"/>
        </w:rPr>
        <w:t>th </w:t>
      </w:r>
      <w:r>
        <w:rPr>
          <w:rFonts w:ascii="Arial" w:hAnsi="Arial"/>
        </w:rPr>
        <w:t>September</w:t>
      </w:r>
      <w:r>
        <w:rPr>
          <w:rFonts w:ascii="Arial" w:hAnsi="Arial"/>
          <w:spacing w:val="-7"/>
        </w:rPr>
        <w:t> </w:t>
      </w:r>
      <w:r>
        <w:rPr>
          <w:rFonts w:ascii="Arial" w:hAnsi="Arial"/>
        </w:rPr>
        <w:t>2022.</w:t>
      </w:r>
      <w:r>
        <w:rPr>
          <w:rFonts w:ascii="Arial" w:hAnsi="Arial"/>
          <w:spacing w:val="40"/>
        </w:rPr>
        <w:t> </w:t>
      </w:r>
      <w:r>
        <w:rPr>
          <w:rFonts w:ascii="Arial" w:hAnsi="Arial"/>
        </w:rPr>
        <w:t>A</w:t>
      </w:r>
      <w:r>
        <w:rPr>
          <w:rFonts w:ascii="Arial" w:hAnsi="Arial"/>
          <w:spacing w:val="-7"/>
        </w:rPr>
        <w:t> </w:t>
      </w:r>
      <w:r>
        <w:rPr>
          <w:rFonts w:ascii="Arial" w:hAnsi="Arial"/>
        </w:rPr>
        <w:t>significant</w:t>
      </w:r>
      <w:r>
        <w:rPr>
          <w:rFonts w:ascii="Arial" w:hAnsi="Arial"/>
          <w:spacing w:val="-7"/>
        </w:rPr>
        <w:t> </w:t>
      </w:r>
      <w:r>
        <w:rPr>
          <w:rFonts w:ascii="Arial" w:hAnsi="Arial"/>
        </w:rPr>
        <w:t>focus</w:t>
      </w:r>
      <w:r>
        <w:rPr>
          <w:rFonts w:ascii="Arial" w:hAnsi="Arial"/>
          <w:spacing w:val="-7"/>
        </w:rPr>
        <w:t> </w:t>
      </w:r>
      <w:r>
        <w:rPr>
          <w:rFonts w:ascii="Arial" w:hAnsi="Arial"/>
        </w:rPr>
        <w:t>was</w:t>
      </w:r>
      <w:r>
        <w:rPr>
          <w:rFonts w:ascii="Arial" w:hAnsi="Arial"/>
          <w:spacing w:val="-7"/>
        </w:rPr>
        <w:t> </w:t>
      </w:r>
      <w:r>
        <w:rPr>
          <w:rFonts w:ascii="Arial" w:hAnsi="Arial"/>
        </w:rPr>
        <w:t>given</w:t>
      </w:r>
      <w:r>
        <w:rPr>
          <w:rFonts w:ascii="Arial" w:hAnsi="Arial"/>
          <w:spacing w:val="-7"/>
        </w:rPr>
        <w:t> </w:t>
      </w:r>
      <w:r>
        <w:rPr>
          <w:rFonts w:ascii="Arial" w:hAnsi="Arial"/>
        </w:rPr>
        <w:t>to</w:t>
      </w:r>
      <w:r>
        <w:rPr>
          <w:rFonts w:ascii="Arial" w:hAnsi="Arial"/>
          <w:spacing w:val="-7"/>
        </w:rPr>
        <w:t> </w:t>
      </w:r>
      <w:r>
        <w:rPr>
          <w:rFonts w:ascii="Arial" w:hAnsi="Arial"/>
        </w:rPr>
        <w:t>fraud</w:t>
      </w:r>
      <w:r>
        <w:rPr>
          <w:rFonts w:ascii="Arial" w:hAnsi="Arial"/>
          <w:spacing w:val="-7"/>
        </w:rPr>
        <w:t> </w:t>
      </w:r>
      <w:r>
        <w:rPr>
          <w:rFonts w:ascii="Arial" w:hAnsi="Arial"/>
        </w:rPr>
        <w:t>awareness</w:t>
      </w:r>
      <w:r>
        <w:rPr>
          <w:rFonts w:ascii="Arial" w:hAnsi="Arial"/>
          <w:spacing w:val="-7"/>
        </w:rPr>
        <w:t> </w:t>
      </w:r>
      <w:r>
        <w:rPr>
          <w:rFonts w:ascii="Arial" w:hAnsi="Arial"/>
        </w:rPr>
        <w:t>during International Fraud Awareness Week (13</w:t>
      </w:r>
      <w:r>
        <w:rPr>
          <w:rFonts w:ascii="Arial" w:hAnsi="Arial"/>
          <w:position w:val="7"/>
          <w:sz w:val="16"/>
        </w:rPr>
        <w:t>th</w:t>
      </w:r>
      <w:r>
        <w:rPr>
          <w:rFonts w:ascii="Arial" w:hAnsi="Arial"/>
          <w:spacing w:val="30"/>
          <w:position w:val="7"/>
          <w:sz w:val="16"/>
        </w:rPr>
        <w:t> </w:t>
      </w:r>
      <w:r>
        <w:rPr>
          <w:rFonts w:ascii="Arial" w:hAnsi="Arial"/>
        </w:rPr>
        <w:t>Nov – 20</w:t>
      </w:r>
      <w:r>
        <w:rPr>
          <w:rFonts w:ascii="Arial" w:hAnsi="Arial"/>
          <w:position w:val="7"/>
          <w:sz w:val="16"/>
        </w:rPr>
        <w:t>th</w:t>
      </w:r>
      <w:r>
        <w:rPr>
          <w:rFonts w:ascii="Arial" w:hAnsi="Arial"/>
          <w:spacing w:val="30"/>
          <w:position w:val="7"/>
          <w:sz w:val="16"/>
        </w:rPr>
        <w:t> </w:t>
      </w:r>
      <w:r>
        <w:rPr>
          <w:rFonts w:ascii="Arial" w:hAnsi="Arial"/>
        </w:rPr>
        <w:t>Nov 2022.) All NWSSP staff</w:t>
      </w:r>
      <w:r>
        <w:rPr>
          <w:rFonts w:ascii="Arial" w:hAnsi="Arial"/>
          <w:spacing w:val="-6"/>
        </w:rPr>
        <w:t> </w:t>
      </w:r>
      <w:r>
        <w:rPr>
          <w:rFonts w:ascii="Arial" w:hAnsi="Arial"/>
        </w:rPr>
        <w:t>received</w:t>
      </w:r>
      <w:r>
        <w:rPr>
          <w:rFonts w:ascii="Arial" w:hAnsi="Arial"/>
          <w:spacing w:val="-6"/>
        </w:rPr>
        <w:t> </w:t>
      </w:r>
      <w:r>
        <w:rPr>
          <w:rFonts w:ascii="Arial" w:hAnsi="Arial"/>
        </w:rPr>
        <w:t>an</w:t>
      </w:r>
      <w:r>
        <w:rPr>
          <w:rFonts w:ascii="Arial" w:hAnsi="Arial"/>
          <w:spacing w:val="-6"/>
        </w:rPr>
        <w:t> </w:t>
      </w:r>
      <w:r>
        <w:rPr>
          <w:rFonts w:ascii="Arial" w:hAnsi="Arial"/>
        </w:rPr>
        <w:t>email</w:t>
      </w:r>
      <w:r>
        <w:rPr>
          <w:rFonts w:ascii="Arial" w:hAnsi="Arial"/>
          <w:spacing w:val="-6"/>
        </w:rPr>
        <w:t> </w:t>
      </w:r>
      <w:r>
        <w:rPr>
          <w:rFonts w:ascii="Arial" w:hAnsi="Arial"/>
        </w:rPr>
        <w:t>with</w:t>
      </w:r>
      <w:r>
        <w:rPr>
          <w:rFonts w:ascii="Arial" w:hAnsi="Arial"/>
          <w:spacing w:val="-6"/>
        </w:rPr>
        <w:t> </w:t>
      </w:r>
      <w:r>
        <w:rPr>
          <w:rFonts w:ascii="Arial" w:hAnsi="Arial"/>
        </w:rPr>
        <w:t>a</w:t>
      </w:r>
      <w:r>
        <w:rPr>
          <w:rFonts w:ascii="Arial" w:hAnsi="Arial"/>
          <w:spacing w:val="-6"/>
        </w:rPr>
        <w:t> </w:t>
      </w:r>
      <w:r>
        <w:rPr>
          <w:rFonts w:ascii="Arial" w:hAnsi="Arial"/>
        </w:rPr>
        <w:t>link</w:t>
      </w:r>
      <w:r>
        <w:rPr>
          <w:rFonts w:ascii="Arial" w:hAnsi="Arial"/>
          <w:spacing w:val="-6"/>
        </w:rPr>
        <w:t> </w:t>
      </w:r>
      <w:r>
        <w:rPr>
          <w:rFonts w:ascii="Arial" w:hAnsi="Arial"/>
        </w:rPr>
        <w:t>to</w:t>
      </w:r>
      <w:r>
        <w:rPr>
          <w:rFonts w:ascii="Arial" w:hAnsi="Arial"/>
          <w:spacing w:val="-6"/>
        </w:rPr>
        <w:t> </w:t>
      </w:r>
      <w:r>
        <w:rPr>
          <w:rFonts w:ascii="Arial" w:hAnsi="Arial"/>
        </w:rPr>
        <w:t>a</w:t>
      </w:r>
      <w:r>
        <w:rPr>
          <w:rFonts w:ascii="Arial" w:hAnsi="Arial"/>
          <w:spacing w:val="-6"/>
        </w:rPr>
        <w:t> </w:t>
      </w:r>
      <w:r>
        <w:rPr>
          <w:rFonts w:ascii="Arial" w:hAnsi="Arial"/>
        </w:rPr>
        <w:t>Microsoft</w:t>
      </w:r>
      <w:r>
        <w:rPr>
          <w:rFonts w:ascii="Arial" w:hAnsi="Arial"/>
          <w:spacing w:val="-6"/>
        </w:rPr>
        <w:t> </w:t>
      </w:r>
      <w:r>
        <w:rPr>
          <w:rFonts w:ascii="Arial" w:hAnsi="Arial"/>
        </w:rPr>
        <w:t>SWAY</w:t>
      </w:r>
      <w:r>
        <w:rPr>
          <w:rFonts w:ascii="Arial" w:hAnsi="Arial"/>
          <w:spacing w:val="-6"/>
        </w:rPr>
        <w:t> </w:t>
      </w:r>
      <w:r>
        <w:rPr>
          <w:rFonts w:ascii="Arial" w:hAnsi="Arial"/>
        </w:rPr>
        <w:t>newsletter,</w:t>
      </w:r>
      <w:r>
        <w:rPr>
          <w:rFonts w:ascii="Arial" w:hAnsi="Arial"/>
          <w:spacing w:val="-6"/>
        </w:rPr>
        <w:t> </w:t>
      </w:r>
      <w:r>
        <w:rPr>
          <w:rFonts w:ascii="Arial" w:hAnsi="Arial"/>
        </w:rPr>
        <w:t>this</w:t>
      </w:r>
      <w:r>
        <w:rPr>
          <w:rFonts w:ascii="Arial" w:hAnsi="Arial"/>
          <w:spacing w:val="-6"/>
        </w:rPr>
        <w:t> </w:t>
      </w:r>
      <w:r>
        <w:rPr>
          <w:rFonts w:ascii="Arial" w:hAnsi="Arial"/>
        </w:rPr>
        <w:t>allowed for</w:t>
      </w:r>
      <w:r>
        <w:rPr>
          <w:rFonts w:ascii="Arial" w:hAnsi="Arial"/>
          <w:spacing w:val="-9"/>
        </w:rPr>
        <w:t> </w:t>
      </w:r>
      <w:r>
        <w:rPr>
          <w:rFonts w:ascii="Arial" w:hAnsi="Arial"/>
        </w:rPr>
        <w:t>a</w:t>
      </w:r>
      <w:r>
        <w:rPr>
          <w:rFonts w:ascii="Arial" w:hAnsi="Arial"/>
          <w:spacing w:val="-9"/>
        </w:rPr>
        <w:t> </w:t>
      </w:r>
      <w:r>
        <w:rPr>
          <w:rFonts w:ascii="Arial" w:hAnsi="Arial"/>
        </w:rPr>
        <w:t>more</w:t>
      </w:r>
      <w:r>
        <w:rPr>
          <w:rFonts w:ascii="Arial" w:hAnsi="Arial"/>
          <w:spacing w:val="-9"/>
        </w:rPr>
        <w:t> </w:t>
      </w:r>
      <w:r>
        <w:rPr>
          <w:rFonts w:ascii="Arial" w:hAnsi="Arial"/>
        </w:rPr>
        <w:t>interactive</w:t>
      </w:r>
      <w:r>
        <w:rPr>
          <w:rFonts w:ascii="Arial" w:hAnsi="Arial"/>
          <w:spacing w:val="-9"/>
        </w:rPr>
        <w:t> </w:t>
      </w:r>
      <w:r>
        <w:rPr>
          <w:rFonts w:ascii="Arial" w:hAnsi="Arial"/>
        </w:rPr>
        <w:t>communication</w:t>
      </w:r>
      <w:r>
        <w:rPr>
          <w:rFonts w:ascii="Arial" w:hAnsi="Arial"/>
          <w:spacing w:val="-8"/>
        </w:rPr>
        <w:t> </w:t>
      </w:r>
      <w:r>
        <w:rPr>
          <w:rFonts w:ascii="Arial" w:hAnsi="Arial"/>
        </w:rPr>
        <w:t>and</w:t>
      </w:r>
      <w:r>
        <w:rPr>
          <w:rFonts w:ascii="Arial" w:hAnsi="Arial"/>
          <w:spacing w:val="-9"/>
        </w:rPr>
        <w:t> </w:t>
      </w:r>
      <w:r>
        <w:rPr>
          <w:rFonts w:ascii="Arial" w:hAnsi="Arial"/>
        </w:rPr>
        <w:t>collection</w:t>
      </w:r>
      <w:r>
        <w:rPr>
          <w:rFonts w:ascii="Arial" w:hAnsi="Arial"/>
          <w:spacing w:val="-9"/>
        </w:rPr>
        <w:t> </w:t>
      </w:r>
      <w:r>
        <w:rPr>
          <w:rFonts w:ascii="Arial" w:hAnsi="Arial"/>
        </w:rPr>
        <w:t>of</w:t>
      </w:r>
      <w:r>
        <w:rPr>
          <w:rFonts w:ascii="Arial" w:hAnsi="Arial"/>
          <w:spacing w:val="-9"/>
        </w:rPr>
        <w:t> </w:t>
      </w:r>
      <w:r>
        <w:rPr>
          <w:rFonts w:ascii="Arial" w:hAnsi="Arial"/>
        </w:rPr>
        <w:t>metrics</w:t>
      </w:r>
      <w:r>
        <w:rPr>
          <w:rFonts w:ascii="Arial" w:hAnsi="Arial"/>
          <w:spacing w:val="-9"/>
        </w:rPr>
        <w:t> </w:t>
      </w:r>
      <w:r>
        <w:rPr>
          <w:rFonts w:ascii="Arial" w:hAnsi="Arial"/>
        </w:rPr>
        <w:t>to</w:t>
      </w:r>
      <w:r>
        <w:rPr>
          <w:rFonts w:ascii="Arial" w:hAnsi="Arial"/>
          <w:spacing w:val="-8"/>
        </w:rPr>
        <w:t> </w:t>
      </w:r>
      <w:r>
        <w:rPr>
          <w:rFonts w:ascii="Arial" w:hAnsi="Arial"/>
        </w:rPr>
        <w:t>measure</w:t>
      </w:r>
      <w:r>
        <w:rPr>
          <w:rFonts w:ascii="Arial" w:hAnsi="Arial"/>
          <w:spacing w:val="-9"/>
        </w:rPr>
        <w:t> </w:t>
      </w:r>
      <w:r>
        <w:rPr>
          <w:rFonts w:ascii="Arial" w:hAnsi="Arial"/>
        </w:rPr>
        <w:t>staff engagement. The newsletter included fraud awareness videos, which were produced in collaboration with the communications team, the videos were bilingual and made available to support all Health Bodies in Wales. Additional communication was issued via Twitter which resulted in reaching a wider audience.</w:t>
      </w:r>
      <w:r>
        <w:rPr>
          <w:rFonts w:ascii="Arial" w:hAnsi="Arial"/>
          <w:spacing w:val="-4"/>
        </w:rPr>
        <w:t> </w:t>
      </w:r>
      <w:r>
        <w:rPr>
          <w:rFonts w:ascii="Arial" w:hAnsi="Arial"/>
        </w:rPr>
        <w:t>Face</w:t>
      </w:r>
      <w:r>
        <w:rPr>
          <w:rFonts w:ascii="Arial" w:hAnsi="Arial"/>
          <w:spacing w:val="-4"/>
        </w:rPr>
        <w:t> </w:t>
      </w:r>
      <w:r>
        <w:rPr>
          <w:rFonts w:ascii="Arial" w:hAnsi="Arial"/>
        </w:rPr>
        <w:t>to</w:t>
      </w:r>
      <w:r>
        <w:rPr>
          <w:rFonts w:ascii="Arial" w:hAnsi="Arial"/>
          <w:spacing w:val="-4"/>
        </w:rPr>
        <w:t> </w:t>
      </w:r>
      <w:r>
        <w:rPr>
          <w:rFonts w:ascii="Arial" w:hAnsi="Arial"/>
        </w:rPr>
        <w:t>face</w:t>
      </w:r>
      <w:r>
        <w:rPr>
          <w:rFonts w:ascii="Arial" w:hAnsi="Arial"/>
          <w:spacing w:val="-4"/>
        </w:rPr>
        <w:t> </w:t>
      </w:r>
      <w:r>
        <w:rPr>
          <w:rFonts w:ascii="Arial" w:hAnsi="Arial"/>
        </w:rPr>
        <w:t>PowerPoint</w:t>
      </w:r>
      <w:r>
        <w:rPr>
          <w:rFonts w:ascii="Arial" w:hAnsi="Arial"/>
          <w:spacing w:val="-4"/>
        </w:rPr>
        <w:t> </w:t>
      </w:r>
      <w:r>
        <w:rPr>
          <w:rFonts w:ascii="Arial" w:hAnsi="Arial"/>
        </w:rPr>
        <w:t>presentations</w:t>
      </w:r>
      <w:r>
        <w:rPr>
          <w:rFonts w:ascii="Arial" w:hAnsi="Arial"/>
          <w:spacing w:val="-4"/>
        </w:rPr>
        <w:t> </w:t>
      </w:r>
      <w:r>
        <w:rPr>
          <w:rFonts w:ascii="Arial" w:hAnsi="Arial"/>
        </w:rPr>
        <w:t>were</w:t>
      </w:r>
      <w:r>
        <w:rPr>
          <w:rFonts w:ascii="Arial" w:hAnsi="Arial"/>
          <w:spacing w:val="-4"/>
        </w:rPr>
        <w:t> </w:t>
      </w:r>
      <w:r>
        <w:rPr>
          <w:rFonts w:ascii="Arial" w:hAnsi="Arial"/>
        </w:rPr>
        <w:t>provided</w:t>
      </w:r>
      <w:r>
        <w:rPr>
          <w:rFonts w:ascii="Arial" w:hAnsi="Arial"/>
          <w:spacing w:val="-4"/>
        </w:rPr>
        <w:t> </w:t>
      </w:r>
      <w:r>
        <w:rPr>
          <w:rFonts w:ascii="Arial" w:hAnsi="Arial"/>
        </w:rPr>
        <w:t>to</w:t>
      </w:r>
      <w:r>
        <w:rPr>
          <w:rFonts w:ascii="Arial" w:hAnsi="Arial"/>
          <w:spacing w:val="-4"/>
        </w:rPr>
        <w:t> </w:t>
      </w:r>
      <w:r>
        <w:rPr>
          <w:rFonts w:ascii="Arial" w:hAnsi="Arial"/>
        </w:rPr>
        <w:t>staff</w:t>
      </w:r>
      <w:r>
        <w:rPr>
          <w:rFonts w:ascii="Arial" w:hAnsi="Arial"/>
          <w:spacing w:val="-4"/>
        </w:rPr>
        <w:t> </w:t>
      </w:r>
      <w:r>
        <w:rPr>
          <w:rFonts w:ascii="Arial" w:hAnsi="Arial"/>
        </w:rPr>
        <w:t>based at</w:t>
      </w:r>
      <w:r>
        <w:rPr>
          <w:rFonts w:ascii="Arial" w:hAnsi="Arial"/>
          <w:spacing w:val="3"/>
        </w:rPr>
        <w:t> </w:t>
      </w:r>
      <w:r>
        <w:rPr>
          <w:rFonts w:ascii="Arial" w:hAnsi="Arial"/>
        </w:rPr>
        <w:t>Nantgarw</w:t>
      </w:r>
      <w:r>
        <w:rPr>
          <w:rFonts w:ascii="Arial" w:hAnsi="Arial"/>
          <w:spacing w:val="3"/>
        </w:rPr>
        <w:t> </w:t>
      </w:r>
      <w:r>
        <w:rPr>
          <w:rFonts w:ascii="Arial" w:hAnsi="Arial"/>
        </w:rPr>
        <w:t>HQ</w:t>
      </w:r>
      <w:r>
        <w:rPr>
          <w:rFonts w:ascii="Arial" w:hAnsi="Arial"/>
          <w:spacing w:val="3"/>
        </w:rPr>
        <w:t> </w:t>
      </w:r>
      <w:r>
        <w:rPr>
          <w:rFonts w:ascii="Arial" w:hAnsi="Arial"/>
        </w:rPr>
        <w:t>and</w:t>
      </w:r>
      <w:r>
        <w:rPr>
          <w:rFonts w:ascii="Arial" w:hAnsi="Arial"/>
          <w:spacing w:val="3"/>
        </w:rPr>
        <w:t> </w:t>
      </w:r>
      <w:r>
        <w:rPr>
          <w:rFonts w:ascii="Arial" w:hAnsi="Arial"/>
        </w:rPr>
        <w:t>Matrix</w:t>
      </w:r>
      <w:r>
        <w:rPr>
          <w:rFonts w:ascii="Arial" w:hAnsi="Arial"/>
          <w:spacing w:val="3"/>
        </w:rPr>
        <w:t> </w:t>
      </w:r>
      <w:r>
        <w:rPr>
          <w:rFonts w:ascii="Arial" w:hAnsi="Arial"/>
        </w:rPr>
        <w:t>House,</w:t>
      </w:r>
      <w:r>
        <w:rPr>
          <w:rFonts w:ascii="Arial" w:hAnsi="Arial"/>
          <w:spacing w:val="3"/>
        </w:rPr>
        <w:t> </w:t>
      </w:r>
      <w:r>
        <w:rPr>
          <w:rFonts w:ascii="Arial" w:hAnsi="Arial"/>
        </w:rPr>
        <w:t>they</w:t>
      </w:r>
      <w:r>
        <w:rPr>
          <w:rFonts w:ascii="Arial" w:hAnsi="Arial"/>
          <w:spacing w:val="3"/>
        </w:rPr>
        <w:t> </w:t>
      </w:r>
      <w:r>
        <w:rPr>
          <w:rFonts w:ascii="Arial" w:hAnsi="Arial"/>
        </w:rPr>
        <w:t>were</w:t>
      </w:r>
      <w:r>
        <w:rPr>
          <w:rFonts w:ascii="Arial" w:hAnsi="Arial"/>
          <w:spacing w:val="3"/>
        </w:rPr>
        <w:t> </w:t>
      </w:r>
      <w:r>
        <w:rPr>
          <w:rFonts w:ascii="Arial" w:hAnsi="Arial"/>
        </w:rPr>
        <w:t>also</w:t>
      </w:r>
      <w:r>
        <w:rPr>
          <w:rFonts w:ascii="Arial" w:hAnsi="Arial"/>
          <w:spacing w:val="3"/>
        </w:rPr>
        <w:t> </w:t>
      </w:r>
      <w:r>
        <w:rPr>
          <w:rFonts w:ascii="Arial" w:hAnsi="Arial"/>
        </w:rPr>
        <w:t>made</w:t>
      </w:r>
      <w:r>
        <w:rPr>
          <w:rFonts w:ascii="Arial" w:hAnsi="Arial"/>
          <w:spacing w:val="3"/>
        </w:rPr>
        <w:t> </w:t>
      </w:r>
      <w:r>
        <w:rPr>
          <w:rFonts w:ascii="Arial" w:hAnsi="Arial"/>
        </w:rPr>
        <w:t>available</w:t>
      </w:r>
      <w:r>
        <w:rPr>
          <w:rFonts w:ascii="Arial" w:hAnsi="Arial"/>
          <w:spacing w:val="72"/>
        </w:rPr>
        <w:t> </w:t>
      </w:r>
      <w:r>
        <w:rPr>
          <w:rFonts w:ascii="Arial" w:hAnsi="Arial"/>
        </w:rPr>
        <w:t>for</w:t>
      </w:r>
      <w:r>
        <w:rPr>
          <w:rFonts w:ascii="Arial" w:hAnsi="Arial"/>
          <w:spacing w:val="3"/>
        </w:rPr>
        <w:t> </w:t>
      </w:r>
      <w:r>
        <w:rPr>
          <w:rFonts w:ascii="Arial" w:hAnsi="Arial"/>
        </w:rPr>
        <w:t>staff</w:t>
      </w:r>
      <w:r>
        <w:rPr>
          <w:rFonts w:ascii="Arial" w:hAnsi="Arial"/>
          <w:spacing w:val="4"/>
        </w:rPr>
        <w:t> </w:t>
      </w:r>
      <w:r>
        <w:rPr>
          <w:rFonts w:ascii="Arial" w:hAnsi="Arial"/>
          <w:spacing w:val="-5"/>
        </w:rPr>
        <w:t>to</w:t>
      </w:r>
    </w:p>
    <w:p>
      <w:pPr>
        <w:spacing w:after="0"/>
        <w:jc w:val="both"/>
        <w:rPr>
          <w:rFonts w:ascii="Arial" w:hAnsi="Arial"/>
        </w:rPr>
        <w:sectPr>
          <w:pgSz w:w="11910" w:h="16840"/>
          <w:pgMar w:header="0" w:footer="1007" w:top="1340" w:bottom="1200" w:left="0" w:right="0"/>
        </w:sectPr>
      </w:pPr>
    </w:p>
    <w:p>
      <w:pPr>
        <w:pStyle w:val="BodyText"/>
        <w:spacing w:before="82"/>
        <w:ind w:left="2160" w:right="1438"/>
        <w:jc w:val="both"/>
        <w:rPr>
          <w:rFonts w:ascii="Arial"/>
        </w:rPr>
      </w:pPr>
      <w:r>
        <w:rPr>
          <w:rFonts w:ascii="Arial"/>
        </w:rPr>
        <w:t>join via TEAMS.</w:t>
      </w:r>
      <w:r>
        <w:rPr>
          <w:rFonts w:ascii="Arial"/>
          <w:spacing w:val="40"/>
        </w:rPr>
        <w:t> </w:t>
      </w:r>
      <w:r>
        <w:rPr>
          <w:rFonts w:ascii="Arial"/>
        </w:rPr>
        <w:t>The metrics showing engagement are produced in Appendix </w:t>
      </w:r>
      <w:r>
        <w:rPr>
          <w:rFonts w:ascii="Arial"/>
          <w:spacing w:val="-6"/>
        </w:rPr>
        <w:t>2.</w:t>
      </w:r>
    </w:p>
    <w:p>
      <w:pPr>
        <w:pStyle w:val="BodyText"/>
        <w:spacing w:before="10"/>
        <w:rPr>
          <w:rFonts w:ascii="Arial"/>
          <w:sz w:val="20"/>
        </w:rPr>
      </w:pPr>
    </w:p>
    <w:p>
      <w:pPr>
        <w:spacing w:before="0"/>
        <w:ind w:left="2160" w:right="0" w:firstLine="0"/>
        <w:jc w:val="both"/>
        <w:rPr>
          <w:rFonts w:ascii="Arial" w:hAnsi="Arial"/>
          <w:i/>
          <w:sz w:val="24"/>
        </w:rPr>
      </w:pPr>
      <w:r>
        <w:rPr>
          <w:rFonts w:ascii="Arial" w:hAnsi="Arial"/>
          <w:i/>
          <w:color w:val="4472C4"/>
          <w:sz w:val="24"/>
        </w:rPr>
        <w:t>Fraud</w:t>
      </w:r>
      <w:r>
        <w:rPr>
          <w:rFonts w:ascii="Arial" w:hAnsi="Arial"/>
          <w:i/>
          <w:color w:val="4472C4"/>
          <w:spacing w:val="-3"/>
          <w:sz w:val="24"/>
        </w:rPr>
        <w:t> </w:t>
      </w:r>
      <w:r>
        <w:rPr>
          <w:rFonts w:ascii="Arial" w:hAnsi="Arial"/>
          <w:i/>
          <w:color w:val="4472C4"/>
          <w:sz w:val="24"/>
        </w:rPr>
        <w:t>Prevention</w:t>
      </w:r>
      <w:r>
        <w:rPr>
          <w:rFonts w:ascii="Arial" w:hAnsi="Arial"/>
          <w:i/>
          <w:color w:val="4472C4"/>
          <w:spacing w:val="-3"/>
          <w:sz w:val="24"/>
        </w:rPr>
        <w:t> </w:t>
      </w:r>
      <w:r>
        <w:rPr>
          <w:rFonts w:ascii="Arial" w:hAnsi="Arial"/>
          <w:i/>
          <w:color w:val="4472C4"/>
          <w:sz w:val="24"/>
        </w:rPr>
        <w:t>Notices</w:t>
      </w:r>
      <w:r>
        <w:rPr>
          <w:rFonts w:ascii="Arial" w:hAnsi="Arial"/>
          <w:i/>
          <w:color w:val="4472C4"/>
          <w:spacing w:val="-4"/>
          <w:sz w:val="24"/>
        </w:rPr>
        <w:t> </w:t>
      </w:r>
      <w:r>
        <w:rPr>
          <w:rFonts w:ascii="Arial" w:hAnsi="Arial"/>
          <w:i/>
          <w:color w:val="4472C4"/>
          <w:sz w:val="24"/>
        </w:rPr>
        <w:t>(FPN’S)</w:t>
      </w:r>
      <w:r>
        <w:rPr>
          <w:rFonts w:ascii="Arial" w:hAnsi="Arial"/>
          <w:i/>
          <w:color w:val="4472C4"/>
          <w:spacing w:val="-2"/>
          <w:sz w:val="24"/>
        </w:rPr>
        <w:t> </w:t>
      </w:r>
      <w:r>
        <w:rPr>
          <w:rFonts w:ascii="Arial" w:hAnsi="Arial"/>
          <w:i/>
          <w:color w:val="4472C4"/>
          <w:sz w:val="24"/>
        </w:rPr>
        <w:t>and</w:t>
      </w:r>
      <w:r>
        <w:rPr>
          <w:rFonts w:ascii="Arial" w:hAnsi="Arial"/>
          <w:i/>
          <w:color w:val="4472C4"/>
          <w:spacing w:val="-3"/>
          <w:sz w:val="24"/>
        </w:rPr>
        <w:t> </w:t>
      </w:r>
      <w:r>
        <w:rPr>
          <w:rFonts w:ascii="Arial" w:hAnsi="Arial"/>
          <w:i/>
          <w:color w:val="4472C4"/>
          <w:sz w:val="24"/>
        </w:rPr>
        <w:t>IBURN’s</w:t>
      </w:r>
      <w:r>
        <w:rPr>
          <w:rFonts w:ascii="Arial" w:hAnsi="Arial"/>
          <w:i/>
          <w:color w:val="4472C4"/>
          <w:spacing w:val="-3"/>
          <w:sz w:val="24"/>
        </w:rPr>
        <w:t> </w:t>
      </w:r>
      <w:r>
        <w:rPr>
          <w:rFonts w:ascii="Arial" w:hAnsi="Arial"/>
          <w:i/>
          <w:color w:val="4472C4"/>
          <w:sz w:val="24"/>
        </w:rPr>
        <w:t>(Intelligence</w:t>
      </w:r>
      <w:r>
        <w:rPr>
          <w:rFonts w:ascii="Arial" w:hAnsi="Arial"/>
          <w:i/>
          <w:color w:val="4472C4"/>
          <w:spacing w:val="-2"/>
          <w:sz w:val="24"/>
        </w:rPr>
        <w:t> Bulletins)</w:t>
      </w:r>
    </w:p>
    <w:p>
      <w:pPr>
        <w:pStyle w:val="BodyText"/>
        <w:spacing w:before="10"/>
        <w:rPr>
          <w:rFonts w:ascii="Arial"/>
          <w:i/>
          <w:sz w:val="32"/>
        </w:rPr>
      </w:pPr>
    </w:p>
    <w:p>
      <w:pPr>
        <w:pStyle w:val="BodyText"/>
        <w:ind w:left="2160"/>
        <w:jc w:val="both"/>
        <w:rPr>
          <w:rFonts w:ascii="Arial"/>
        </w:rPr>
      </w:pPr>
      <w:r>
        <w:rPr>
          <w:rFonts w:ascii="Arial"/>
        </w:rPr>
        <w:t>During</w:t>
      </w:r>
      <w:r>
        <w:rPr>
          <w:rFonts w:ascii="Arial"/>
          <w:spacing w:val="-5"/>
        </w:rPr>
        <w:t> </w:t>
      </w:r>
      <w:r>
        <w:rPr>
          <w:rFonts w:ascii="Arial"/>
        </w:rPr>
        <w:t>this</w:t>
      </w:r>
      <w:r>
        <w:rPr>
          <w:rFonts w:ascii="Arial"/>
          <w:spacing w:val="-3"/>
        </w:rPr>
        <w:t> </w:t>
      </w:r>
      <w:r>
        <w:rPr>
          <w:rFonts w:ascii="Arial"/>
        </w:rPr>
        <w:t>reporting</w:t>
      </w:r>
      <w:r>
        <w:rPr>
          <w:rFonts w:ascii="Arial"/>
          <w:spacing w:val="-2"/>
        </w:rPr>
        <w:t> </w:t>
      </w:r>
      <w:r>
        <w:rPr>
          <w:rFonts w:ascii="Arial"/>
        </w:rPr>
        <w:t>period</w:t>
      </w:r>
      <w:r>
        <w:rPr>
          <w:rFonts w:ascii="Arial"/>
          <w:spacing w:val="-2"/>
        </w:rPr>
        <w:t> </w:t>
      </w:r>
      <w:r>
        <w:rPr>
          <w:rFonts w:ascii="Arial"/>
        </w:rPr>
        <w:t>one</w:t>
      </w:r>
      <w:r>
        <w:rPr>
          <w:rFonts w:ascii="Arial"/>
          <w:spacing w:val="-2"/>
        </w:rPr>
        <w:t> </w:t>
      </w:r>
      <w:r>
        <w:rPr>
          <w:rFonts w:ascii="Arial"/>
        </w:rPr>
        <w:t>FPN</w:t>
      </w:r>
      <w:r>
        <w:rPr>
          <w:rFonts w:ascii="Arial"/>
          <w:spacing w:val="-2"/>
        </w:rPr>
        <w:t> </w:t>
      </w:r>
      <w:r>
        <w:rPr>
          <w:rFonts w:ascii="Arial"/>
        </w:rPr>
        <w:t>has</w:t>
      </w:r>
      <w:r>
        <w:rPr>
          <w:rFonts w:ascii="Arial"/>
          <w:spacing w:val="-3"/>
        </w:rPr>
        <w:t> </w:t>
      </w:r>
      <w:r>
        <w:rPr>
          <w:rFonts w:ascii="Arial"/>
        </w:rPr>
        <w:t>been</w:t>
      </w:r>
      <w:r>
        <w:rPr>
          <w:rFonts w:ascii="Arial"/>
          <w:spacing w:val="-2"/>
        </w:rPr>
        <w:t> </w:t>
      </w:r>
      <w:r>
        <w:rPr>
          <w:rFonts w:ascii="Arial"/>
        </w:rPr>
        <w:t>issued</w:t>
      </w:r>
      <w:r>
        <w:rPr>
          <w:rFonts w:ascii="Arial"/>
          <w:spacing w:val="-3"/>
        </w:rPr>
        <w:t> </w:t>
      </w:r>
      <w:r>
        <w:rPr>
          <w:rFonts w:ascii="Arial"/>
        </w:rPr>
        <w:t>by</w:t>
      </w:r>
      <w:r>
        <w:rPr>
          <w:rFonts w:ascii="Arial"/>
          <w:spacing w:val="-3"/>
        </w:rPr>
        <w:t> </w:t>
      </w:r>
      <w:r>
        <w:rPr>
          <w:rFonts w:ascii="Arial"/>
        </w:rPr>
        <w:t>the</w:t>
      </w:r>
      <w:r>
        <w:rPr>
          <w:rFonts w:ascii="Arial"/>
          <w:spacing w:val="-2"/>
        </w:rPr>
        <w:t> </w:t>
      </w:r>
      <w:r>
        <w:rPr>
          <w:rFonts w:ascii="Arial"/>
        </w:rPr>
        <w:t>NHS</w:t>
      </w:r>
      <w:r>
        <w:rPr>
          <w:rFonts w:ascii="Arial"/>
          <w:spacing w:val="-2"/>
        </w:rPr>
        <w:t> </w:t>
      </w:r>
      <w:r>
        <w:rPr>
          <w:rFonts w:ascii="Arial"/>
          <w:spacing w:val="-4"/>
        </w:rPr>
        <w:t>CFA.</w:t>
      </w:r>
    </w:p>
    <w:p>
      <w:pPr>
        <w:pStyle w:val="BodyText"/>
        <w:spacing w:before="10"/>
        <w:rPr>
          <w:rFonts w:ascii="Arial"/>
          <w:sz w:val="20"/>
        </w:rPr>
      </w:pPr>
    </w:p>
    <w:p>
      <w:pPr>
        <w:pStyle w:val="BodyText"/>
        <w:ind w:left="2160" w:right="1437"/>
        <w:jc w:val="both"/>
        <w:rPr>
          <w:rFonts w:ascii="Arial" w:hAnsi="Arial"/>
        </w:rPr>
      </w:pPr>
      <w:r>
        <w:rPr>
          <w:rFonts w:ascii="Arial" w:hAnsi="Arial"/>
        </w:rPr>
        <w:t>FPN</w:t>
      </w:r>
      <w:r>
        <w:rPr>
          <w:rFonts w:ascii="Arial" w:hAnsi="Arial"/>
          <w:spacing w:val="-1"/>
        </w:rPr>
        <w:t> </w:t>
      </w:r>
      <w:r>
        <w:rPr>
          <w:rFonts w:ascii="Arial" w:hAnsi="Arial"/>
        </w:rPr>
        <w:t>issued</w:t>
      </w:r>
      <w:r>
        <w:rPr>
          <w:rFonts w:ascii="Arial" w:hAnsi="Arial"/>
          <w:spacing w:val="-1"/>
        </w:rPr>
        <w:t> </w:t>
      </w:r>
      <w:r>
        <w:rPr>
          <w:rFonts w:ascii="Arial" w:hAnsi="Arial"/>
        </w:rPr>
        <w:t>on</w:t>
      </w:r>
      <w:r>
        <w:rPr>
          <w:rFonts w:ascii="Arial" w:hAnsi="Arial"/>
          <w:spacing w:val="-1"/>
        </w:rPr>
        <w:t> </w:t>
      </w:r>
      <w:r>
        <w:rPr>
          <w:rFonts w:ascii="Arial" w:hAnsi="Arial"/>
        </w:rPr>
        <w:t>19/12/2022</w:t>
      </w:r>
      <w:r>
        <w:rPr>
          <w:rFonts w:ascii="Arial" w:hAnsi="Arial"/>
          <w:spacing w:val="-1"/>
        </w:rPr>
        <w:t> </w:t>
      </w:r>
      <w:r>
        <w:rPr>
          <w:rFonts w:ascii="Arial" w:hAnsi="Arial"/>
        </w:rPr>
        <w:t>to</w:t>
      </w:r>
      <w:r>
        <w:rPr>
          <w:rFonts w:ascii="Arial" w:hAnsi="Arial"/>
          <w:spacing w:val="-1"/>
        </w:rPr>
        <w:t> </w:t>
      </w:r>
      <w:r>
        <w:rPr>
          <w:rFonts w:ascii="Arial" w:hAnsi="Arial"/>
        </w:rPr>
        <w:t>raise</w:t>
      </w:r>
      <w:r>
        <w:rPr>
          <w:rFonts w:ascii="Arial" w:hAnsi="Arial"/>
          <w:spacing w:val="-1"/>
        </w:rPr>
        <w:t> </w:t>
      </w:r>
      <w:r>
        <w:rPr>
          <w:rFonts w:ascii="Arial" w:hAnsi="Arial"/>
        </w:rPr>
        <w:t>awareness</w:t>
      </w:r>
      <w:r>
        <w:rPr>
          <w:rFonts w:ascii="Arial" w:hAnsi="Arial"/>
          <w:spacing w:val="-1"/>
        </w:rPr>
        <w:t> </w:t>
      </w:r>
      <w:r>
        <w:rPr>
          <w:rFonts w:ascii="Arial" w:hAnsi="Arial"/>
        </w:rPr>
        <w:t>as</w:t>
      </w:r>
      <w:r>
        <w:rPr>
          <w:rFonts w:ascii="Arial" w:hAnsi="Arial"/>
          <w:spacing w:val="-1"/>
        </w:rPr>
        <w:t> </w:t>
      </w:r>
      <w:r>
        <w:rPr>
          <w:rFonts w:ascii="Arial" w:hAnsi="Arial"/>
        </w:rPr>
        <w:t>to</w:t>
      </w:r>
      <w:r>
        <w:rPr>
          <w:rFonts w:ascii="Arial" w:hAnsi="Arial"/>
          <w:spacing w:val="-1"/>
        </w:rPr>
        <w:t> </w:t>
      </w:r>
      <w:r>
        <w:rPr>
          <w:rFonts w:ascii="Arial" w:hAnsi="Arial"/>
        </w:rPr>
        <w:t>the</w:t>
      </w:r>
      <w:r>
        <w:rPr>
          <w:rFonts w:ascii="Arial" w:hAnsi="Arial"/>
          <w:spacing w:val="-1"/>
        </w:rPr>
        <w:t> </w:t>
      </w:r>
      <w:r>
        <w:rPr>
          <w:rFonts w:ascii="Arial" w:hAnsi="Arial"/>
        </w:rPr>
        <w:t>possible</w:t>
      </w:r>
      <w:r>
        <w:rPr>
          <w:rFonts w:ascii="Arial" w:hAnsi="Arial"/>
          <w:spacing w:val="-1"/>
        </w:rPr>
        <w:t> </w:t>
      </w:r>
      <w:r>
        <w:rPr>
          <w:rFonts w:ascii="Arial" w:hAnsi="Arial"/>
        </w:rPr>
        <w:t>fraud</w:t>
      </w:r>
      <w:r>
        <w:rPr>
          <w:rFonts w:ascii="Arial" w:hAnsi="Arial"/>
          <w:spacing w:val="-1"/>
        </w:rPr>
        <w:t> </w:t>
      </w:r>
      <w:r>
        <w:rPr>
          <w:rFonts w:ascii="Arial" w:hAnsi="Arial"/>
        </w:rPr>
        <w:t>risks</w:t>
      </w:r>
      <w:r>
        <w:rPr>
          <w:rFonts w:ascii="Arial" w:hAnsi="Arial"/>
          <w:spacing w:val="-1"/>
        </w:rPr>
        <w:t> </w:t>
      </w:r>
      <w:r>
        <w:rPr>
          <w:rFonts w:ascii="Arial" w:hAnsi="Arial"/>
        </w:rPr>
        <w:t>in relation to fraudulent attempts with false invoices relating to payment of office supplies/consumables concentrating mainly on printer toners and printer drums. In most cases the items have not been ordered or received. It should be noted that the fraud not only applies to office supplies but could apply to supplies in general. The risk was mainly with Primary Care Contractors. The methodology of the fraudster is to impersonate a company that may do business with the NHS, therefore adding plausibility that the invoice request is legitimate.</w:t>
      </w:r>
      <w:r>
        <w:rPr>
          <w:rFonts w:ascii="Arial" w:hAnsi="Arial"/>
          <w:spacing w:val="40"/>
        </w:rPr>
        <w:t> </w:t>
      </w:r>
      <w:r>
        <w:rPr>
          <w:rFonts w:ascii="Arial" w:hAnsi="Arial"/>
        </w:rPr>
        <w:t>The</w:t>
      </w:r>
      <w:r>
        <w:rPr>
          <w:rFonts w:ascii="Arial" w:hAnsi="Arial"/>
          <w:spacing w:val="-2"/>
        </w:rPr>
        <w:t> </w:t>
      </w:r>
      <w:r>
        <w:rPr>
          <w:rFonts w:ascii="Arial" w:hAnsi="Arial"/>
        </w:rPr>
        <w:t>information</w:t>
      </w:r>
      <w:r>
        <w:rPr>
          <w:rFonts w:ascii="Arial" w:hAnsi="Arial"/>
          <w:spacing w:val="-3"/>
        </w:rPr>
        <w:t> </w:t>
      </w:r>
      <w:r>
        <w:rPr>
          <w:rFonts w:ascii="Arial" w:hAnsi="Arial"/>
        </w:rPr>
        <w:t>was</w:t>
      </w:r>
      <w:r>
        <w:rPr>
          <w:rFonts w:ascii="Arial" w:hAnsi="Arial"/>
          <w:spacing w:val="-3"/>
        </w:rPr>
        <w:t> </w:t>
      </w:r>
      <w:r>
        <w:rPr>
          <w:rFonts w:ascii="Arial" w:hAnsi="Arial"/>
        </w:rPr>
        <w:t>disseminated</w:t>
      </w:r>
      <w:r>
        <w:rPr>
          <w:rFonts w:ascii="Arial" w:hAnsi="Arial"/>
          <w:spacing w:val="-3"/>
        </w:rPr>
        <w:t> </w:t>
      </w:r>
      <w:r>
        <w:rPr>
          <w:rFonts w:ascii="Arial" w:hAnsi="Arial"/>
        </w:rPr>
        <w:t>to</w:t>
      </w:r>
      <w:r>
        <w:rPr>
          <w:rFonts w:ascii="Arial" w:hAnsi="Arial"/>
          <w:spacing w:val="-2"/>
        </w:rPr>
        <w:t> </w:t>
      </w:r>
      <w:r>
        <w:rPr>
          <w:rFonts w:ascii="Arial" w:hAnsi="Arial"/>
        </w:rPr>
        <w:t>Finance</w:t>
      </w:r>
      <w:r>
        <w:rPr>
          <w:rFonts w:ascii="Arial" w:hAnsi="Arial"/>
          <w:spacing w:val="-2"/>
        </w:rPr>
        <w:t> </w:t>
      </w:r>
      <w:r>
        <w:rPr>
          <w:rFonts w:ascii="Arial" w:hAnsi="Arial"/>
        </w:rPr>
        <w:t>Leads</w:t>
      </w:r>
      <w:r>
        <w:rPr>
          <w:rFonts w:ascii="Arial" w:hAnsi="Arial"/>
          <w:spacing w:val="-3"/>
        </w:rPr>
        <w:t> </w:t>
      </w:r>
      <w:r>
        <w:rPr>
          <w:rFonts w:ascii="Arial" w:hAnsi="Arial"/>
        </w:rPr>
        <w:t>and</w:t>
      </w:r>
      <w:r>
        <w:rPr>
          <w:rFonts w:ascii="Arial" w:hAnsi="Arial"/>
          <w:spacing w:val="-3"/>
        </w:rPr>
        <w:t> </w:t>
      </w:r>
      <w:r>
        <w:rPr>
          <w:rFonts w:ascii="Arial" w:hAnsi="Arial"/>
        </w:rPr>
        <w:t>Accounts Payable Managers who assessed that the risk to NWSSP and HB’s was minimal. The information was also circulated to all NHS Wales Primary Care </w:t>
      </w:r>
      <w:r>
        <w:rPr>
          <w:rFonts w:ascii="Arial" w:hAnsi="Arial"/>
          <w:spacing w:val="-2"/>
        </w:rPr>
        <w:t>contractors.</w:t>
      </w:r>
    </w:p>
    <w:p>
      <w:pPr>
        <w:pStyle w:val="BodyText"/>
        <w:spacing w:before="10"/>
        <w:rPr>
          <w:rFonts w:ascii="Arial"/>
          <w:sz w:val="20"/>
        </w:rPr>
      </w:pPr>
    </w:p>
    <w:p>
      <w:pPr>
        <w:pStyle w:val="BodyText"/>
        <w:ind w:left="2160" w:right="1438"/>
        <w:jc w:val="both"/>
        <w:rPr>
          <w:rFonts w:ascii="Arial" w:hAnsi="Arial"/>
        </w:rPr>
      </w:pPr>
      <w:r>
        <w:rPr>
          <w:rFonts w:ascii="Arial" w:hAnsi="Arial"/>
        </w:rPr>
        <w:t>The</w:t>
      </w:r>
      <w:r>
        <w:rPr>
          <w:rFonts w:ascii="Arial" w:hAnsi="Arial"/>
          <w:spacing w:val="-17"/>
        </w:rPr>
        <w:t> </w:t>
      </w:r>
      <w:r>
        <w:rPr>
          <w:rFonts w:ascii="Arial" w:hAnsi="Arial"/>
        </w:rPr>
        <w:t>IBURN</w:t>
      </w:r>
      <w:r>
        <w:rPr>
          <w:rFonts w:ascii="Arial" w:hAnsi="Arial"/>
          <w:spacing w:val="-17"/>
        </w:rPr>
        <w:t> </w:t>
      </w:r>
      <w:r>
        <w:rPr>
          <w:rFonts w:ascii="Arial" w:hAnsi="Arial"/>
        </w:rPr>
        <w:t>issued</w:t>
      </w:r>
      <w:r>
        <w:rPr>
          <w:rFonts w:ascii="Arial" w:hAnsi="Arial"/>
          <w:spacing w:val="-16"/>
        </w:rPr>
        <w:t> </w:t>
      </w:r>
      <w:r>
        <w:rPr>
          <w:rFonts w:ascii="Arial" w:hAnsi="Arial"/>
        </w:rPr>
        <w:t>on</w:t>
      </w:r>
      <w:r>
        <w:rPr>
          <w:rFonts w:ascii="Arial" w:hAnsi="Arial"/>
          <w:spacing w:val="-17"/>
        </w:rPr>
        <w:t> </w:t>
      </w:r>
      <w:r>
        <w:rPr>
          <w:rFonts w:ascii="Arial" w:hAnsi="Arial"/>
        </w:rPr>
        <w:t>22/12/22</w:t>
      </w:r>
      <w:r>
        <w:rPr>
          <w:rFonts w:ascii="Arial" w:hAnsi="Arial"/>
          <w:spacing w:val="-17"/>
        </w:rPr>
        <w:t> </w:t>
      </w:r>
      <w:r>
        <w:rPr>
          <w:rFonts w:ascii="Arial" w:hAnsi="Arial"/>
        </w:rPr>
        <w:t>related</w:t>
      </w:r>
      <w:r>
        <w:rPr>
          <w:rFonts w:ascii="Arial" w:hAnsi="Arial"/>
          <w:spacing w:val="-17"/>
        </w:rPr>
        <w:t> </w:t>
      </w:r>
      <w:r>
        <w:rPr>
          <w:rFonts w:ascii="Arial" w:hAnsi="Arial"/>
        </w:rPr>
        <w:t>to</w:t>
      </w:r>
      <w:r>
        <w:rPr>
          <w:rFonts w:ascii="Arial" w:hAnsi="Arial"/>
          <w:spacing w:val="-16"/>
        </w:rPr>
        <w:t> </w:t>
      </w:r>
      <w:r>
        <w:rPr>
          <w:rFonts w:ascii="Arial" w:hAnsi="Arial"/>
        </w:rPr>
        <w:t>Mandate</w:t>
      </w:r>
      <w:r>
        <w:rPr>
          <w:rFonts w:ascii="Arial" w:hAnsi="Arial"/>
          <w:spacing w:val="-17"/>
        </w:rPr>
        <w:t> </w:t>
      </w:r>
      <w:r>
        <w:rPr>
          <w:rFonts w:ascii="Arial" w:hAnsi="Arial"/>
        </w:rPr>
        <w:t>Fraud</w:t>
      </w:r>
      <w:r>
        <w:rPr>
          <w:rFonts w:ascii="Arial" w:hAnsi="Arial"/>
          <w:spacing w:val="-17"/>
        </w:rPr>
        <w:t> </w:t>
      </w:r>
      <w:r>
        <w:rPr>
          <w:rFonts w:ascii="Arial" w:hAnsi="Arial"/>
        </w:rPr>
        <w:t>against</w:t>
      </w:r>
      <w:r>
        <w:rPr>
          <w:rFonts w:ascii="Arial" w:hAnsi="Arial"/>
          <w:spacing w:val="-16"/>
        </w:rPr>
        <w:t> </w:t>
      </w:r>
      <w:r>
        <w:rPr>
          <w:rFonts w:ascii="Arial" w:hAnsi="Arial"/>
        </w:rPr>
        <w:t>Health</w:t>
      </w:r>
      <w:r>
        <w:rPr>
          <w:rFonts w:ascii="Arial" w:hAnsi="Arial"/>
          <w:spacing w:val="-17"/>
        </w:rPr>
        <w:t> </w:t>
      </w:r>
      <w:r>
        <w:rPr>
          <w:rFonts w:ascii="Arial" w:hAnsi="Arial"/>
        </w:rPr>
        <w:t>Bodies in NHS England where a supplier’s bank account had been hacked and fake emails issued in an attempt to request a change of their bank account details. Checks</w:t>
      </w:r>
      <w:r>
        <w:rPr>
          <w:rFonts w:ascii="Arial" w:hAnsi="Arial"/>
          <w:spacing w:val="-17"/>
        </w:rPr>
        <w:t> </w:t>
      </w:r>
      <w:r>
        <w:rPr>
          <w:rFonts w:ascii="Arial" w:hAnsi="Arial"/>
        </w:rPr>
        <w:t>carried</w:t>
      </w:r>
      <w:r>
        <w:rPr>
          <w:rFonts w:ascii="Arial" w:hAnsi="Arial"/>
          <w:spacing w:val="-17"/>
        </w:rPr>
        <w:t> </w:t>
      </w:r>
      <w:r>
        <w:rPr>
          <w:rFonts w:ascii="Arial" w:hAnsi="Arial"/>
        </w:rPr>
        <w:t>out</w:t>
      </w:r>
      <w:r>
        <w:rPr>
          <w:rFonts w:ascii="Arial" w:hAnsi="Arial"/>
          <w:spacing w:val="-16"/>
        </w:rPr>
        <w:t> </w:t>
      </w:r>
      <w:r>
        <w:rPr>
          <w:rFonts w:ascii="Arial" w:hAnsi="Arial"/>
        </w:rPr>
        <w:t>with</w:t>
      </w:r>
      <w:r>
        <w:rPr>
          <w:rFonts w:ascii="Arial" w:hAnsi="Arial"/>
          <w:spacing w:val="-17"/>
        </w:rPr>
        <w:t> </w:t>
      </w:r>
      <w:r>
        <w:rPr>
          <w:rFonts w:ascii="Arial" w:hAnsi="Arial"/>
        </w:rPr>
        <w:t>NWSSP</w:t>
      </w:r>
      <w:r>
        <w:rPr>
          <w:rFonts w:ascii="Arial" w:hAnsi="Arial"/>
          <w:spacing w:val="-17"/>
        </w:rPr>
        <w:t> </w:t>
      </w:r>
      <w:r>
        <w:rPr>
          <w:rFonts w:ascii="Arial" w:hAnsi="Arial"/>
        </w:rPr>
        <w:t>Supplier</w:t>
      </w:r>
      <w:r>
        <w:rPr>
          <w:rFonts w:ascii="Arial" w:hAnsi="Arial"/>
          <w:spacing w:val="-17"/>
        </w:rPr>
        <w:t> </w:t>
      </w:r>
      <w:r>
        <w:rPr>
          <w:rFonts w:ascii="Arial" w:hAnsi="Arial"/>
        </w:rPr>
        <w:t>Maintenance</w:t>
      </w:r>
      <w:r>
        <w:rPr>
          <w:rFonts w:ascii="Arial" w:hAnsi="Arial"/>
          <w:spacing w:val="-16"/>
        </w:rPr>
        <w:t> </w:t>
      </w:r>
      <w:r>
        <w:rPr>
          <w:rFonts w:ascii="Arial" w:hAnsi="Arial"/>
        </w:rPr>
        <w:t>Team</w:t>
      </w:r>
      <w:r>
        <w:rPr>
          <w:rFonts w:ascii="Arial" w:hAnsi="Arial"/>
          <w:spacing w:val="-17"/>
        </w:rPr>
        <w:t> </w:t>
      </w:r>
      <w:r>
        <w:rPr>
          <w:rFonts w:ascii="Arial" w:hAnsi="Arial"/>
        </w:rPr>
        <w:t>show</w:t>
      </w:r>
      <w:r>
        <w:rPr>
          <w:rFonts w:ascii="Arial" w:hAnsi="Arial"/>
          <w:spacing w:val="-17"/>
        </w:rPr>
        <w:t> </w:t>
      </w:r>
      <w:r>
        <w:rPr>
          <w:rFonts w:ascii="Arial" w:hAnsi="Arial"/>
        </w:rPr>
        <w:t>no</w:t>
      </w:r>
      <w:r>
        <w:rPr>
          <w:rFonts w:ascii="Arial" w:hAnsi="Arial"/>
          <w:spacing w:val="-16"/>
        </w:rPr>
        <w:t> </w:t>
      </w:r>
      <w:r>
        <w:rPr>
          <w:rFonts w:ascii="Arial" w:hAnsi="Arial"/>
        </w:rPr>
        <w:t>attempts made</w:t>
      </w:r>
      <w:r>
        <w:rPr>
          <w:rFonts w:ascii="Arial" w:hAnsi="Arial"/>
          <w:spacing w:val="-8"/>
        </w:rPr>
        <w:t> </w:t>
      </w:r>
      <w:r>
        <w:rPr>
          <w:rFonts w:ascii="Arial" w:hAnsi="Arial"/>
        </w:rPr>
        <w:t>by</w:t>
      </w:r>
      <w:r>
        <w:rPr>
          <w:rFonts w:ascii="Arial" w:hAnsi="Arial"/>
          <w:spacing w:val="-9"/>
        </w:rPr>
        <w:t> </w:t>
      </w:r>
      <w:r>
        <w:rPr>
          <w:rFonts w:ascii="Arial" w:hAnsi="Arial"/>
        </w:rPr>
        <w:t>the</w:t>
      </w:r>
      <w:r>
        <w:rPr>
          <w:rFonts w:ascii="Arial" w:hAnsi="Arial"/>
          <w:spacing w:val="-8"/>
        </w:rPr>
        <w:t> </w:t>
      </w:r>
      <w:r>
        <w:rPr>
          <w:rFonts w:ascii="Arial" w:hAnsi="Arial"/>
        </w:rPr>
        <w:t>parties</w:t>
      </w:r>
      <w:r>
        <w:rPr>
          <w:rFonts w:ascii="Arial" w:hAnsi="Arial"/>
          <w:spacing w:val="-9"/>
        </w:rPr>
        <w:t> </w:t>
      </w:r>
      <w:r>
        <w:rPr>
          <w:rFonts w:ascii="Arial" w:hAnsi="Arial"/>
        </w:rPr>
        <w:t>involved</w:t>
      </w:r>
      <w:r>
        <w:rPr>
          <w:rFonts w:ascii="Arial" w:hAnsi="Arial"/>
          <w:spacing w:val="-8"/>
        </w:rPr>
        <w:t> </w:t>
      </w:r>
      <w:r>
        <w:rPr>
          <w:rFonts w:ascii="Arial" w:hAnsi="Arial"/>
        </w:rPr>
        <w:t>to</w:t>
      </w:r>
      <w:r>
        <w:rPr>
          <w:rFonts w:ascii="Arial" w:hAnsi="Arial"/>
          <w:spacing w:val="-8"/>
        </w:rPr>
        <w:t> </w:t>
      </w:r>
      <w:r>
        <w:rPr>
          <w:rFonts w:ascii="Arial" w:hAnsi="Arial"/>
        </w:rPr>
        <w:t>NWSSP</w:t>
      </w:r>
      <w:r>
        <w:rPr>
          <w:rFonts w:ascii="Arial" w:hAnsi="Arial"/>
          <w:spacing w:val="-9"/>
        </w:rPr>
        <w:t> </w:t>
      </w:r>
      <w:r>
        <w:rPr>
          <w:rFonts w:ascii="Arial" w:hAnsi="Arial"/>
        </w:rPr>
        <w:t>and</w:t>
      </w:r>
      <w:r>
        <w:rPr>
          <w:rFonts w:ascii="Arial" w:hAnsi="Arial"/>
          <w:spacing w:val="-9"/>
        </w:rPr>
        <w:t> </w:t>
      </w:r>
      <w:r>
        <w:rPr>
          <w:rFonts w:ascii="Arial" w:hAnsi="Arial"/>
        </w:rPr>
        <w:t>that</w:t>
      </w:r>
      <w:r>
        <w:rPr>
          <w:rFonts w:ascii="Arial" w:hAnsi="Arial"/>
          <w:spacing w:val="-8"/>
        </w:rPr>
        <w:t> </w:t>
      </w:r>
      <w:r>
        <w:rPr>
          <w:rFonts w:ascii="Arial" w:hAnsi="Arial"/>
        </w:rPr>
        <w:t>NHS</w:t>
      </w:r>
      <w:r>
        <w:rPr>
          <w:rFonts w:ascii="Arial" w:hAnsi="Arial"/>
          <w:spacing w:val="-9"/>
        </w:rPr>
        <w:t> </w:t>
      </w:r>
      <w:r>
        <w:rPr>
          <w:rFonts w:ascii="Arial" w:hAnsi="Arial"/>
        </w:rPr>
        <w:t>Wales</w:t>
      </w:r>
      <w:r>
        <w:rPr>
          <w:rFonts w:ascii="Arial" w:hAnsi="Arial"/>
          <w:spacing w:val="-8"/>
        </w:rPr>
        <w:t> </w:t>
      </w:r>
      <w:r>
        <w:rPr>
          <w:rFonts w:ascii="Arial" w:hAnsi="Arial"/>
        </w:rPr>
        <w:t>does</w:t>
      </w:r>
      <w:r>
        <w:rPr>
          <w:rFonts w:ascii="Arial" w:hAnsi="Arial"/>
          <w:spacing w:val="-9"/>
        </w:rPr>
        <w:t> </w:t>
      </w:r>
      <w:r>
        <w:rPr>
          <w:rFonts w:ascii="Arial" w:hAnsi="Arial"/>
        </w:rPr>
        <w:t>not</w:t>
      </w:r>
      <w:r>
        <w:rPr>
          <w:rFonts w:ascii="Arial" w:hAnsi="Arial"/>
          <w:spacing w:val="-9"/>
        </w:rPr>
        <w:t> </w:t>
      </w:r>
      <w:r>
        <w:rPr>
          <w:rFonts w:ascii="Arial" w:hAnsi="Arial"/>
        </w:rPr>
        <w:t>pay</w:t>
      </w:r>
      <w:r>
        <w:rPr>
          <w:rFonts w:ascii="Arial" w:hAnsi="Arial"/>
          <w:spacing w:val="-9"/>
        </w:rPr>
        <w:t> </w:t>
      </w:r>
      <w:r>
        <w:rPr>
          <w:rFonts w:ascii="Arial" w:hAnsi="Arial"/>
        </w:rPr>
        <w:t>this company. Checks also made with DCHW show no emails received from the email domains reported and they were subsequently blocked to mitigate the </w:t>
      </w:r>
      <w:r>
        <w:rPr>
          <w:rFonts w:ascii="Arial" w:hAnsi="Arial"/>
          <w:spacing w:val="-2"/>
        </w:rPr>
        <w:t>risk.</w:t>
      </w:r>
    </w:p>
    <w:p>
      <w:pPr>
        <w:pStyle w:val="BodyText"/>
        <w:spacing w:before="10"/>
        <w:rPr>
          <w:rFonts w:ascii="Arial"/>
          <w:sz w:val="20"/>
        </w:rPr>
      </w:pPr>
    </w:p>
    <w:p>
      <w:pPr>
        <w:pStyle w:val="BodyText"/>
        <w:ind w:left="2160" w:right="1437"/>
        <w:jc w:val="both"/>
        <w:rPr>
          <w:rFonts w:ascii="Arial"/>
        </w:rPr>
      </w:pPr>
      <w:r>
        <w:rPr>
          <w:rFonts w:ascii="Arial"/>
        </w:rPr>
        <w:t>Changes to supplier bank accounts are limited to the Supplier Maintenance Team to conduct checks. Further checks are made independently at a senior level by the Head of Finance and Business Development. A bespoke fraud awareness session will be delivered to the Supplier Maintenance Team in February 2023.</w:t>
      </w:r>
    </w:p>
    <w:p>
      <w:pPr>
        <w:pStyle w:val="BodyText"/>
        <w:spacing w:before="10"/>
        <w:rPr>
          <w:rFonts w:ascii="Arial"/>
          <w:sz w:val="20"/>
        </w:rPr>
      </w:pPr>
    </w:p>
    <w:p>
      <w:pPr>
        <w:pStyle w:val="BodyText"/>
        <w:ind w:left="2160" w:right="1437"/>
        <w:jc w:val="both"/>
        <w:rPr>
          <w:rFonts w:ascii="Arial"/>
        </w:rPr>
      </w:pPr>
      <w:r>
        <w:rPr>
          <w:rFonts w:ascii="Arial"/>
        </w:rPr>
        <w:t>Both the FPN and IBURNs were recorded and actioned on the CLUE 2 database in accordance with NHS CFA requirements, they were also disseminated to all Lead LCFS in NHS Wales to avoid duplication which previously existed in verifying similar alerts.</w:t>
      </w:r>
    </w:p>
    <w:p>
      <w:pPr>
        <w:pStyle w:val="BodyText"/>
        <w:spacing w:before="10"/>
        <w:rPr>
          <w:rFonts w:ascii="Arial"/>
          <w:sz w:val="20"/>
        </w:rPr>
      </w:pPr>
    </w:p>
    <w:p>
      <w:pPr>
        <w:spacing w:before="0"/>
        <w:ind w:left="2160" w:right="0" w:firstLine="0"/>
        <w:jc w:val="left"/>
        <w:rPr>
          <w:rFonts w:ascii="Arial"/>
          <w:i/>
          <w:sz w:val="24"/>
        </w:rPr>
      </w:pPr>
      <w:r>
        <w:rPr>
          <w:rFonts w:ascii="Arial"/>
          <w:i/>
          <w:color w:val="4472C4"/>
          <w:spacing w:val="-2"/>
          <w:sz w:val="24"/>
        </w:rPr>
        <w:t>Referrals/Enquiries/Investigations</w:t>
      </w:r>
    </w:p>
    <w:p>
      <w:pPr>
        <w:pStyle w:val="BodyText"/>
        <w:spacing w:before="10"/>
        <w:rPr>
          <w:rFonts w:ascii="Arial"/>
          <w:i/>
          <w:sz w:val="32"/>
        </w:rPr>
      </w:pPr>
    </w:p>
    <w:p>
      <w:pPr>
        <w:pStyle w:val="BodyText"/>
        <w:ind w:left="2160" w:right="617"/>
        <w:rPr>
          <w:rFonts w:ascii="Arial"/>
        </w:rPr>
      </w:pPr>
      <w:r>
        <w:rPr>
          <w:rFonts w:ascii="Arial"/>
        </w:rPr>
        <w:t>During</w:t>
      </w:r>
      <w:r>
        <w:rPr>
          <w:rFonts w:ascii="Arial"/>
          <w:spacing w:val="-17"/>
        </w:rPr>
        <w:t> </w:t>
      </w:r>
      <w:r>
        <w:rPr>
          <w:rFonts w:ascii="Arial"/>
        </w:rPr>
        <w:t>this</w:t>
      </w:r>
      <w:r>
        <w:rPr>
          <w:rFonts w:ascii="Arial"/>
          <w:spacing w:val="-17"/>
        </w:rPr>
        <w:t> </w:t>
      </w:r>
      <w:r>
        <w:rPr>
          <w:rFonts w:ascii="Arial"/>
        </w:rPr>
        <w:t>reporting</w:t>
      </w:r>
      <w:r>
        <w:rPr>
          <w:rFonts w:ascii="Arial"/>
          <w:spacing w:val="-16"/>
        </w:rPr>
        <w:t> </w:t>
      </w:r>
      <w:r>
        <w:rPr>
          <w:rFonts w:ascii="Arial"/>
        </w:rPr>
        <w:t>period</w:t>
      </w:r>
      <w:r>
        <w:rPr>
          <w:rFonts w:ascii="Arial"/>
          <w:spacing w:val="-17"/>
        </w:rPr>
        <w:t> </w:t>
      </w:r>
      <w:r>
        <w:rPr>
          <w:rFonts w:ascii="Arial"/>
        </w:rPr>
        <w:t>the</w:t>
      </w:r>
      <w:r>
        <w:rPr>
          <w:rFonts w:ascii="Arial"/>
          <w:spacing w:val="-17"/>
        </w:rPr>
        <w:t> </w:t>
      </w:r>
      <w:r>
        <w:rPr>
          <w:rFonts w:ascii="Arial"/>
        </w:rPr>
        <w:t>NWSSP</w:t>
      </w:r>
      <w:r>
        <w:rPr>
          <w:rFonts w:ascii="Arial"/>
          <w:spacing w:val="-17"/>
        </w:rPr>
        <w:t> </w:t>
      </w:r>
      <w:r>
        <w:rPr>
          <w:rFonts w:ascii="Arial"/>
        </w:rPr>
        <w:t>Counter</w:t>
      </w:r>
      <w:r>
        <w:rPr>
          <w:rFonts w:ascii="Arial"/>
          <w:spacing w:val="-16"/>
        </w:rPr>
        <w:t> </w:t>
      </w:r>
      <w:r>
        <w:rPr>
          <w:rFonts w:ascii="Arial"/>
        </w:rPr>
        <w:t>Fraud</w:t>
      </w:r>
      <w:r>
        <w:rPr>
          <w:rFonts w:ascii="Arial"/>
          <w:spacing w:val="-17"/>
        </w:rPr>
        <w:t> </w:t>
      </w:r>
      <w:r>
        <w:rPr>
          <w:rFonts w:ascii="Arial"/>
        </w:rPr>
        <w:t>Team</w:t>
      </w:r>
      <w:r>
        <w:rPr>
          <w:rFonts w:ascii="Arial"/>
          <w:spacing w:val="-17"/>
        </w:rPr>
        <w:t> </w:t>
      </w:r>
      <w:r>
        <w:rPr>
          <w:rFonts w:ascii="Arial"/>
        </w:rPr>
        <w:t>received</w:t>
      </w:r>
      <w:r>
        <w:rPr>
          <w:rFonts w:ascii="Arial"/>
          <w:spacing w:val="-16"/>
        </w:rPr>
        <w:t> </w:t>
      </w:r>
      <w:r>
        <w:rPr>
          <w:rFonts w:ascii="Arial"/>
        </w:rPr>
        <w:t>two</w:t>
      </w:r>
      <w:r>
        <w:rPr>
          <w:rFonts w:ascii="Arial"/>
          <w:spacing w:val="-17"/>
        </w:rPr>
        <w:t> </w:t>
      </w:r>
      <w:r>
        <w:rPr>
          <w:rFonts w:ascii="Arial"/>
        </w:rPr>
        <w:t>new referrals for investigation.</w:t>
      </w:r>
    </w:p>
    <w:p>
      <w:pPr>
        <w:pStyle w:val="BodyText"/>
        <w:spacing w:before="10"/>
        <w:rPr>
          <w:rFonts w:ascii="Arial"/>
          <w:sz w:val="20"/>
        </w:rPr>
      </w:pPr>
    </w:p>
    <w:p>
      <w:pPr>
        <w:pStyle w:val="BodyText"/>
        <w:ind w:left="2160" w:right="1437"/>
        <w:jc w:val="both"/>
        <w:rPr>
          <w:rFonts w:ascii="Arial"/>
        </w:rPr>
      </w:pPr>
      <w:r>
        <w:rPr>
          <w:rFonts w:ascii="Arial"/>
          <w:b/>
        </w:rPr>
        <w:t>Case</w:t>
      </w:r>
      <w:r>
        <w:rPr>
          <w:rFonts w:ascii="Arial"/>
          <w:b/>
          <w:spacing w:val="-4"/>
        </w:rPr>
        <w:t> </w:t>
      </w:r>
      <w:r>
        <w:rPr>
          <w:rFonts w:ascii="Arial"/>
          <w:b/>
        </w:rPr>
        <w:t>1</w:t>
      </w:r>
      <w:r>
        <w:rPr>
          <w:rFonts w:ascii="Arial"/>
          <w:b/>
          <w:spacing w:val="-4"/>
        </w:rPr>
        <w:t> </w:t>
      </w:r>
      <w:r>
        <w:rPr>
          <w:rFonts w:ascii="Arial"/>
        </w:rPr>
        <w:t>related</w:t>
      </w:r>
      <w:r>
        <w:rPr>
          <w:rFonts w:ascii="Arial"/>
          <w:spacing w:val="-4"/>
        </w:rPr>
        <w:t> </w:t>
      </w:r>
      <w:r>
        <w:rPr>
          <w:rFonts w:ascii="Arial"/>
        </w:rPr>
        <w:t>to</w:t>
      </w:r>
      <w:r>
        <w:rPr>
          <w:rFonts w:ascii="Arial"/>
          <w:spacing w:val="-4"/>
        </w:rPr>
        <w:t> </w:t>
      </w:r>
      <w:r>
        <w:rPr>
          <w:rFonts w:ascii="Arial"/>
        </w:rPr>
        <w:t>working</w:t>
      </w:r>
      <w:r>
        <w:rPr>
          <w:rFonts w:ascii="Arial"/>
          <w:spacing w:val="-4"/>
        </w:rPr>
        <w:t> </w:t>
      </w:r>
      <w:r>
        <w:rPr>
          <w:rFonts w:ascii="Arial"/>
        </w:rPr>
        <w:t>whilst</w:t>
      </w:r>
      <w:r>
        <w:rPr>
          <w:rFonts w:ascii="Arial"/>
          <w:spacing w:val="-4"/>
        </w:rPr>
        <w:t> </w:t>
      </w:r>
      <w:r>
        <w:rPr>
          <w:rFonts w:ascii="Arial"/>
        </w:rPr>
        <w:t>on</w:t>
      </w:r>
      <w:r>
        <w:rPr>
          <w:rFonts w:ascii="Arial"/>
          <w:spacing w:val="-4"/>
        </w:rPr>
        <w:t> </w:t>
      </w:r>
      <w:r>
        <w:rPr>
          <w:rFonts w:ascii="Arial"/>
        </w:rPr>
        <w:t>sick</w:t>
      </w:r>
      <w:r>
        <w:rPr>
          <w:rFonts w:ascii="Arial"/>
          <w:spacing w:val="-4"/>
        </w:rPr>
        <w:t> </w:t>
      </w:r>
      <w:r>
        <w:rPr>
          <w:rFonts w:ascii="Arial"/>
        </w:rPr>
        <w:t>leave.</w:t>
      </w:r>
      <w:r>
        <w:rPr>
          <w:rFonts w:ascii="Arial"/>
          <w:spacing w:val="-4"/>
        </w:rPr>
        <w:t> </w:t>
      </w:r>
      <w:r>
        <w:rPr>
          <w:rFonts w:ascii="Arial"/>
        </w:rPr>
        <w:t>The</w:t>
      </w:r>
      <w:r>
        <w:rPr>
          <w:rFonts w:ascii="Arial"/>
          <w:spacing w:val="-4"/>
        </w:rPr>
        <w:t> </w:t>
      </w:r>
      <w:r>
        <w:rPr>
          <w:rFonts w:ascii="Arial"/>
        </w:rPr>
        <w:t>most</w:t>
      </w:r>
      <w:r>
        <w:rPr>
          <w:rFonts w:ascii="Arial"/>
          <w:spacing w:val="-4"/>
        </w:rPr>
        <w:t> </w:t>
      </w:r>
      <w:r>
        <w:rPr>
          <w:rFonts w:ascii="Arial"/>
        </w:rPr>
        <w:t>appropriate</w:t>
      </w:r>
      <w:r>
        <w:rPr>
          <w:rFonts w:ascii="Arial"/>
          <w:spacing w:val="-4"/>
        </w:rPr>
        <w:t> </w:t>
      </w:r>
      <w:r>
        <w:rPr>
          <w:rFonts w:ascii="Arial"/>
        </w:rPr>
        <w:t>action</w:t>
      </w:r>
      <w:r>
        <w:rPr>
          <w:rFonts w:ascii="Arial"/>
          <w:spacing w:val="-4"/>
        </w:rPr>
        <w:t> </w:t>
      </w:r>
      <w:r>
        <w:rPr>
          <w:rFonts w:ascii="Arial"/>
        </w:rPr>
        <w:t>for that</w:t>
      </w:r>
      <w:r>
        <w:rPr>
          <w:rFonts w:ascii="Arial"/>
          <w:spacing w:val="-9"/>
        </w:rPr>
        <w:t> </w:t>
      </w:r>
      <w:r>
        <w:rPr>
          <w:rFonts w:ascii="Arial"/>
        </w:rPr>
        <w:t>case</w:t>
      </w:r>
      <w:r>
        <w:rPr>
          <w:rFonts w:ascii="Arial"/>
          <w:spacing w:val="-9"/>
        </w:rPr>
        <w:t> </w:t>
      </w:r>
      <w:r>
        <w:rPr>
          <w:rFonts w:ascii="Arial"/>
        </w:rPr>
        <w:t>was</w:t>
      </w:r>
      <w:r>
        <w:rPr>
          <w:rFonts w:ascii="Arial"/>
          <w:spacing w:val="-9"/>
        </w:rPr>
        <w:t> </w:t>
      </w:r>
      <w:r>
        <w:rPr>
          <w:rFonts w:ascii="Arial"/>
        </w:rPr>
        <w:t>for</w:t>
      </w:r>
      <w:r>
        <w:rPr>
          <w:rFonts w:ascii="Arial"/>
          <w:spacing w:val="-8"/>
        </w:rPr>
        <w:t> </w:t>
      </w:r>
      <w:r>
        <w:rPr>
          <w:rFonts w:ascii="Arial"/>
        </w:rPr>
        <w:t>Managers</w:t>
      </w:r>
      <w:r>
        <w:rPr>
          <w:rFonts w:ascii="Arial"/>
          <w:spacing w:val="-8"/>
        </w:rPr>
        <w:t> </w:t>
      </w:r>
      <w:r>
        <w:rPr>
          <w:rFonts w:ascii="Arial"/>
        </w:rPr>
        <w:t>and</w:t>
      </w:r>
      <w:r>
        <w:rPr>
          <w:rFonts w:ascii="Arial"/>
          <w:spacing w:val="-9"/>
        </w:rPr>
        <w:t> </w:t>
      </w:r>
      <w:r>
        <w:rPr>
          <w:rFonts w:ascii="Arial"/>
        </w:rPr>
        <w:t>POD</w:t>
      </w:r>
      <w:r>
        <w:rPr>
          <w:rFonts w:ascii="Arial"/>
          <w:spacing w:val="-9"/>
        </w:rPr>
        <w:t> </w:t>
      </w:r>
      <w:r>
        <w:rPr>
          <w:rFonts w:ascii="Arial"/>
        </w:rPr>
        <w:t>to</w:t>
      </w:r>
      <w:r>
        <w:rPr>
          <w:rFonts w:ascii="Arial"/>
          <w:spacing w:val="-8"/>
        </w:rPr>
        <w:t> </w:t>
      </w:r>
      <w:r>
        <w:rPr>
          <w:rFonts w:ascii="Arial"/>
        </w:rPr>
        <w:t>liaise</w:t>
      </w:r>
      <w:r>
        <w:rPr>
          <w:rFonts w:ascii="Arial"/>
          <w:spacing w:val="-8"/>
        </w:rPr>
        <w:t> </w:t>
      </w:r>
      <w:r>
        <w:rPr>
          <w:rFonts w:ascii="Arial"/>
        </w:rPr>
        <w:t>with</w:t>
      </w:r>
      <w:r>
        <w:rPr>
          <w:rFonts w:ascii="Arial"/>
          <w:spacing w:val="-8"/>
        </w:rPr>
        <w:t> </w:t>
      </w:r>
      <w:r>
        <w:rPr>
          <w:rFonts w:ascii="Arial"/>
        </w:rPr>
        <w:t>the</w:t>
      </w:r>
      <w:r>
        <w:rPr>
          <w:rFonts w:ascii="Arial"/>
          <w:spacing w:val="-8"/>
        </w:rPr>
        <w:t> </w:t>
      </w:r>
      <w:r>
        <w:rPr>
          <w:rFonts w:ascii="Arial"/>
        </w:rPr>
        <w:t>individual</w:t>
      </w:r>
      <w:r>
        <w:rPr>
          <w:rFonts w:ascii="Arial"/>
          <w:spacing w:val="-9"/>
        </w:rPr>
        <w:t> </w:t>
      </w:r>
      <w:r>
        <w:rPr>
          <w:rFonts w:ascii="Arial"/>
        </w:rPr>
        <w:t>on</w:t>
      </w:r>
      <w:r>
        <w:rPr>
          <w:rFonts w:ascii="Arial"/>
          <w:spacing w:val="-9"/>
        </w:rPr>
        <w:t> </w:t>
      </w:r>
      <w:r>
        <w:rPr>
          <w:rFonts w:ascii="Arial"/>
        </w:rPr>
        <w:t>their</w:t>
      </w:r>
      <w:r>
        <w:rPr>
          <w:rFonts w:ascii="Arial"/>
          <w:spacing w:val="-9"/>
        </w:rPr>
        <w:t> </w:t>
      </w:r>
      <w:r>
        <w:rPr>
          <w:rFonts w:ascii="Arial"/>
        </w:rPr>
        <w:t>future conduct and the case closed. However, the LCFS met with Senior Managers who discussed such allegations and agreed on the importance of early liaison with Counter Fraud.</w:t>
      </w:r>
    </w:p>
    <w:p>
      <w:pPr>
        <w:spacing w:after="0"/>
        <w:jc w:val="both"/>
        <w:rPr>
          <w:rFonts w:ascii="Arial"/>
        </w:rPr>
        <w:sectPr>
          <w:footerReference w:type="default" r:id="rId99"/>
          <w:pgSz w:w="11910" w:h="16840"/>
          <w:pgMar w:footer="1007" w:header="0" w:top="1340" w:bottom="1200" w:left="0" w:right="0"/>
        </w:sectPr>
      </w:pPr>
    </w:p>
    <w:p>
      <w:pPr>
        <w:pStyle w:val="BodyText"/>
        <w:spacing w:before="82"/>
        <w:ind w:left="2160" w:right="1438"/>
        <w:jc w:val="both"/>
        <w:rPr>
          <w:rFonts w:ascii="Arial" w:hAnsi="Arial"/>
        </w:rPr>
      </w:pPr>
      <w:r>
        <w:rPr>
          <w:rFonts w:ascii="Arial" w:hAnsi="Arial"/>
          <w:b/>
        </w:rPr>
        <w:t>Case</w:t>
      </w:r>
      <w:r>
        <w:rPr>
          <w:rFonts w:ascii="Arial" w:hAnsi="Arial"/>
          <w:b/>
          <w:spacing w:val="-16"/>
        </w:rPr>
        <w:t> </w:t>
      </w:r>
      <w:r>
        <w:rPr>
          <w:rFonts w:ascii="Arial" w:hAnsi="Arial"/>
          <w:b/>
        </w:rPr>
        <w:t>2</w:t>
      </w:r>
      <w:r>
        <w:rPr>
          <w:rFonts w:ascii="Arial" w:hAnsi="Arial"/>
          <w:b/>
          <w:spacing w:val="-16"/>
        </w:rPr>
        <w:t> </w:t>
      </w:r>
      <w:r>
        <w:rPr>
          <w:rFonts w:ascii="Arial" w:hAnsi="Arial"/>
        </w:rPr>
        <w:t>related</w:t>
      </w:r>
      <w:r>
        <w:rPr>
          <w:rFonts w:ascii="Arial" w:hAnsi="Arial"/>
          <w:spacing w:val="-16"/>
        </w:rPr>
        <w:t> </w:t>
      </w:r>
      <w:r>
        <w:rPr>
          <w:rFonts w:ascii="Arial" w:hAnsi="Arial"/>
        </w:rPr>
        <w:t>to</w:t>
      </w:r>
      <w:r>
        <w:rPr>
          <w:rFonts w:ascii="Arial" w:hAnsi="Arial"/>
          <w:spacing w:val="-16"/>
        </w:rPr>
        <w:t> </w:t>
      </w:r>
      <w:r>
        <w:rPr>
          <w:rFonts w:ascii="Arial" w:hAnsi="Arial"/>
        </w:rPr>
        <w:t>an</w:t>
      </w:r>
      <w:r>
        <w:rPr>
          <w:rFonts w:ascii="Arial" w:hAnsi="Arial"/>
          <w:spacing w:val="-16"/>
        </w:rPr>
        <w:t> </w:t>
      </w:r>
      <w:r>
        <w:rPr>
          <w:rFonts w:ascii="Arial" w:hAnsi="Arial"/>
        </w:rPr>
        <w:t>overpayment</w:t>
      </w:r>
      <w:r>
        <w:rPr>
          <w:rFonts w:ascii="Arial" w:hAnsi="Arial"/>
          <w:spacing w:val="-16"/>
        </w:rPr>
        <w:t> </w:t>
      </w:r>
      <w:r>
        <w:rPr>
          <w:rFonts w:ascii="Arial" w:hAnsi="Arial"/>
        </w:rPr>
        <w:t>of</w:t>
      </w:r>
      <w:r>
        <w:rPr>
          <w:rFonts w:ascii="Arial" w:hAnsi="Arial"/>
          <w:spacing w:val="-16"/>
        </w:rPr>
        <w:t> </w:t>
      </w:r>
      <w:r>
        <w:rPr>
          <w:rFonts w:ascii="Arial" w:hAnsi="Arial"/>
        </w:rPr>
        <w:t>Salary</w:t>
      </w:r>
      <w:r>
        <w:rPr>
          <w:rFonts w:ascii="Arial" w:hAnsi="Arial"/>
          <w:spacing w:val="-16"/>
        </w:rPr>
        <w:t> </w:t>
      </w:r>
      <w:r>
        <w:rPr>
          <w:rFonts w:ascii="Arial" w:hAnsi="Arial"/>
        </w:rPr>
        <w:t>of</w:t>
      </w:r>
      <w:r>
        <w:rPr>
          <w:rFonts w:ascii="Arial" w:hAnsi="Arial"/>
          <w:spacing w:val="-16"/>
        </w:rPr>
        <w:t> </w:t>
      </w:r>
      <w:r>
        <w:rPr>
          <w:rFonts w:ascii="Arial" w:hAnsi="Arial"/>
        </w:rPr>
        <w:t>£22k</w:t>
      </w:r>
      <w:r>
        <w:rPr>
          <w:rFonts w:ascii="Arial" w:hAnsi="Arial"/>
          <w:spacing w:val="-16"/>
        </w:rPr>
        <w:t> </w:t>
      </w:r>
      <w:r>
        <w:rPr>
          <w:rFonts w:ascii="Arial" w:hAnsi="Arial"/>
        </w:rPr>
        <w:t>received</w:t>
      </w:r>
      <w:r>
        <w:rPr>
          <w:rFonts w:ascii="Arial" w:hAnsi="Arial"/>
          <w:spacing w:val="-16"/>
        </w:rPr>
        <w:t> </w:t>
      </w:r>
      <w:r>
        <w:rPr>
          <w:rFonts w:ascii="Arial" w:hAnsi="Arial"/>
        </w:rPr>
        <w:t>over</w:t>
      </w:r>
      <w:r>
        <w:rPr>
          <w:rFonts w:ascii="Arial" w:hAnsi="Arial"/>
          <w:spacing w:val="-16"/>
        </w:rPr>
        <w:t> </w:t>
      </w:r>
      <w:r>
        <w:rPr>
          <w:rFonts w:ascii="Arial" w:hAnsi="Arial"/>
        </w:rPr>
        <w:t>a</w:t>
      </w:r>
      <w:r>
        <w:rPr>
          <w:rFonts w:ascii="Arial" w:hAnsi="Arial"/>
          <w:spacing w:val="-16"/>
        </w:rPr>
        <w:t> </w:t>
      </w:r>
      <w:r>
        <w:rPr>
          <w:rFonts w:ascii="Arial" w:hAnsi="Arial"/>
        </w:rPr>
        <w:t>nine-month period. Initial enquiries concluded that the case would not have been suitable for further criminal investigation. An agreement was made to recover the amount</w:t>
      </w:r>
      <w:r>
        <w:rPr>
          <w:rFonts w:ascii="Arial" w:hAnsi="Arial"/>
          <w:spacing w:val="-16"/>
        </w:rPr>
        <w:t> </w:t>
      </w:r>
      <w:r>
        <w:rPr>
          <w:rFonts w:ascii="Arial" w:hAnsi="Arial"/>
        </w:rPr>
        <w:t>overpaid</w:t>
      </w:r>
      <w:r>
        <w:rPr>
          <w:rFonts w:ascii="Arial" w:hAnsi="Arial"/>
          <w:spacing w:val="-16"/>
        </w:rPr>
        <w:t> </w:t>
      </w:r>
      <w:r>
        <w:rPr>
          <w:rFonts w:ascii="Arial" w:hAnsi="Arial"/>
        </w:rPr>
        <w:t>in</w:t>
      </w:r>
      <w:r>
        <w:rPr>
          <w:rFonts w:ascii="Arial" w:hAnsi="Arial"/>
          <w:spacing w:val="-16"/>
        </w:rPr>
        <w:t> </w:t>
      </w:r>
      <w:r>
        <w:rPr>
          <w:rFonts w:ascii="Arial" w:hAnsi="Arial"/>
        </w:rPr>
        <w:t>one</w:t>
      </w:r>
      <w:r>
        <w:rPr>
          <w:rFonts w:ascii="Arial" w:hAnsi="Arial"/>
          <w:spacing w:val="-16"/>
        </w:rPr>
        <w:t> </w:t>
      </w:r>
      <w:r>
        <w:rPr>
          <w:rFonts w:ascii="Arial" w:hAnsi="Arial"/>
        </w:rPr>
        <w:t>lump</w:t>
      </w:r>
      <w:r>
        <w:rPr>
          <w:rFonts w:ascii="Arial" w:hAnsi="Arial"/>
          <w:spacing w:val="-16"/>
        </w:rPr>
        <w:t> </w:t>
      </w:r>
      <w:r>
        <w:rPr>
          <w:rFonts w:ascii="Arial" w:hAnsi="Arial"/>
        </w:rPr>
        <w:t>sum</w:t>
      </w:r>
      <w:r>
        <w:rPr>
          <w:rFonts w:ascii="Arial" w:hAnsi="Arial"/>
          <w:spacing w:val="-16"/>
        </w:rPr>
        <w:t> </w:t>
      </w:r>
      <w:r>
        <w:rPr>
          <w:rFonts w:ascii="Arial" w:hAnsi="Arial"/>
        </w:rPr>
        <w:t>payment</w:t>
      </w:r>
      <w:r>
        <w:rPr>
          <w:rFonts w:ascii="Arial" w:hAnsi="Arial"/>
          <w:spacing w:val="-16"/>
        </w:rPr>
        <w:t> </w:t>
      </w:r>
      <w:r>
        <w:rPr>
          <w:rFonts w:ascii="Arial" w:hAnsi="Arial"/>
        </w:rPr>
        <w:t>of</w:t>
      </w:r>
      <w:r>
        <w:rPr>
          <w:rFonts w:ascii="Arial" w:hAnsi="Arial"/>
          <w:spacing w:val="-16"/>
        </w:rPr>
        <w:t> </w:t>
      </w:r>
      <w:r>
        <w:rPr>
          <w:rFonts w:ascii="Arial" w:hAnsi="Arial"/>
        </w:rPr>
        <w:t>£10k</w:t>
      </w:r>
      <w:r>
        <w:rPr>
          <w:rFonts w:ascii="Arial" w:hAnsi="Arial"/>
          <w:spacing w:val="-16"/>
        </w:rPr>
        <w:t> </w:t>
      </w:r>
      <w:r>
        <w:rPr>
          <w:rFonts w:ascii="Arial" w:hAnsi="Arial"/>
        </w:rPr>
        <w:t>and</w:t>
      </w:r>
      <w:r>
        <w:rPr>
          <w:rFonts w:ascii="Arial" w:hAnsi="Arial"/>
          <w:spacing w:val="-16"/>
        </w:rPr>
        <w:t> </w:t>
      </w:r>
      <w:r>
        <w:rPr>
          <w:rFonts w:ascii="Arial" w:hAnsi="Arial"/>
        </w:rPr>
        <w:t>four</w:t>
      </w:r>
      <w:r>
        <w:rPr>
          <w:rFonts w:ascii="Arial" w:hAnsi="Arial"/>
          <w:spacing w:val="-16"/>
        </w:rPr>
        <w:t> </w:t>
      </w:r>
      <w:r>
        <w:rPr>
          <w:rFonts w:ascii="Arial" w:hAnsi="Arial"/>
        </w:rPr>
        <w:t>instalments</w:t>
      </w:r>
      <w:r>
        <w:rPr>
          <w:rFonts w:ascii="Arial" w:hAnsi="Arial"/>
          <w:spacing w:val="-16"/>
        </w:rPr>
        <w:t> </w:t>
      </w:r>
      <w:r>
        <w:rPr>
          <w:rFonts w:ascii="Arial" w:hAnsi="Arial"/>
        </w:rPr>
        <w:t>of</w:t>
      </w:r>
      <w:r>
        <w:rPr>
          <w:rFonts w:ascii="Arial" w:hAnsi="Arial"/>
          <w:spacing w:val="-16"/>
        </w:rPr>
        <w:t> </w:t>
      </w:r>
      <w:r>
        <w:rPr>
          <w:rFonts w:ascii="Arial" w:hAnsi="Arial"/>
        </w:rPr>
        <w:t>£3k. There was a delay in the recovery process and discussions with Payroll and Finance have since taken place to speed up the process.</w:t>
      </w:r>
    </w:p>
    <w:p>
      <w:pPr>
        <w:pStyle w:val="BodyText"/>
        <w:spacing w:before="10"/>
        <w:rPr>
          <w:rFonts w:ascii="Arial"/>
          <w:sz w:val="20"/>
        </w:rPr>
      </w:pPr>
    </w:p>
    <w:p>
      <w:pPr>
        <w:pStyle w:val="BodyText"/>
        <w:ind w:left="2160" w:right="1437"/>
        <w:jc w:val="both"/>
        <w:rPr>
          <w:rFonts w:ascii="Arial"/>
        </w:rPr>
      </w:pPr>
      <w:r>
        <w:rPr>
          <w:rFonts w:ascii="Arial"/>
        </w:rPr>
        <w:t>The</w:t>
      </w:r>
      <w:r>
        <w:rPr>
          <w:rFonts w:ascii="Arial"/>
          <w:spacing w:val="-3"/>
        </w:rPr>
        <w:t> </w:t>
      </w:r>
      <w:r>
        <w:rPr>
          <w:rFonts w:ascii="Arial"/>
        </w:rPr>
        <w:t>case</w:t>
      </w:r>
      <w:r>
        <w:rPr>
          <w:rFonts w:ascii="Arial"/>
          <w:spacing w:val="-3"/>
        </w:rPr>
        <w:t> </w:t>
      </w:r>
      <w:r>
        <w:rPr>
          <w:rFonts w:ascii="Arial"/>
        </w:rPr>
        <w:t>from</w:t>
      </w:r>
      <w:r>
        <w:rPr>
          <w:rFonts w:ascii="Arial"/>
          <w:spacing w:val="-3"/>
        </w:rPr>
        <w:t> </w:t>
      </w:r>
      <w:r>
        <w:rPr>
          <w:rFonts w:ascii="Arial"/>
        </w:rPr>
        <w:t>the</w:t>
      </w:r>
      <w:r>
        <w:rPr>
          <w:rFonts w:ascii="Arial"/>
          <w:spacing w:val="-3"/>
        </w:rPr>
        <w:t> </w:t>
      </w:r>
      <w:r>
        <w:rPr>
          <w:rFonts w:ascii="Arial"/>
        </w:rPr>
        <w:t>previous</w:t>
      </w:r>
      <w:r>
        <w:rPr>
          <w:rFonts w:ascii="Arial"/>
          <w:spacing w:val="-3"/>
        </w:rPr>
        <w:t> </w:t>
      </w:r>
      <w:r>
        <w:rPr>
          <w:rFonts w:ascii="Arial"/>
        </w:rPr>
        <w:t>quarter</w:t>
      </w:r>
      <w:r>
        <w:rPr>
          <w:rFonts w:ascii="Arial"/>
          <w:spacing w:val="-3"/>
        </w:rPr>
        <w:t> </w:t>
      </w:r>
      <w:r>
        <w:rPr>
          <w:rFonts w:ascii="Arial"/>
        </w:rPr>
        <w:t>concerning</w:t>
      </w:r>
      <w:r>
        <w:rPr>
          <w:rFonts w:ascii="Arial"/>
          <w:spacing w:val="-3"/>
        </w:rPr>
        <w:t> </w:t>
      </w:r>
      <w:r>
        <w:rPr>
          <w:rFonts w:ascii="Arial"/>
        </w:rPr>
        <w:t>the</w:t>
      </w:r>
      <w:r>
        <w:rPr>
          <w:rFonts w:ascii="Arial"/>
          <w:spacing w:val="-3"/>
        </w:rPr>
        <w:t> </w:t>
      </w:r>
      <w:r>
        <w:rPr>
          <w:rFonts w:ascii="Arial"/>
        </w:rPr>
        <w:t>owner</w:t>
      </w:r>
      <w:r>
        <w:rPr>
          <w:rFonts w:ascii="Arial"/>
          <w:spacing w:val="-3"/>
        </w:rPr>
        <w:t> </w:t>
      </w:r>
      <w:r>
        <w:rPr>
          <w:rFonts w:ascii="Arial"/>
        </w:rPr>
        <w:t>of</w:t>
      </w:r>
      <w:r>
        <w:rPr>
          <w:rFonts w:ascii="Arial"/>
          <w:spacing w:val="-3"/>
        </w:rPr>
        <w:t> </w:t>
      </w:r>
      <w:r>
        <w:rPr>
          <w:rFonts w:ascii="Arial"/>
        </w:rPr>
        <w:t>a</w:t>
      </w:r>
      <w:r>
        <w:rPr>
          <w:rFonts w:ascii="Arial"/>
          <w:spacing w:val="-3"/>
        </w:rPr>
        <w:t> </w:t>
      </w:r>
      <w:r>
        <w:rPr>
          <w:rFonts w:ascii="Arial"/>
        </w:rPr>
        <w:t>domiciliary</w:t>
      </w:r>
      <w:r>
        <w:rPr>
          <w:rFonts w:ascii="Arial"/>
          <w:spacing w:val="-3"/>
        </w:rPr>
        <w:t> </w:t>
      </w:r>
      <w:r>
        <w:rPr>
          <w:rFonts w:ascii="Arial"/>
        </w:rPr>
        <w:t>care service</w:t>
      </w:r>
      <w:r>
        <w:rPr>
          <w:rFonts w:ascii="Arial"/>
          <w:spacing w:val="-11"/>
        </w:rPr>
        <w:t> </w:t>
      </w:r>
      <w:r>
        <w:rPr>
          <w:rFonts w:ascii="Arial"/>
        </w:rPr>
        <w:t>provider</w:t>
      </w:r>
      <w:r>
        <w:rPr>
          <w:rFonts w:ascii="Arial"/>
          <w:spacing w:val="-11"/>
        </w:rPr>
        <w:t> </w:t>
      </w:r>
      <w:r>
        <w:rPr>
          <w:rFonts w:ascii="Arial"/>
        </w:rPr>
        <w:t>selling</w:t>
      </w:r>
      <w:r>
        <w:rPr>
          <w:rFonts w:ascii="Arial"/>
          <w:spacing w:val="-11"/>
        </w:rPr>
        <w:t> </w:t>
      </w:r>
      <w:r>
        <w:rPr>
          <w:rFonts w:ascii="Arial"/>
        </w:rPr>
        <w:t>boxes</w:t>
      </w:r>
      <w:r>
        <w:rPr>
          <w:rFonts w:ascii="Arial"/>
          <w:spacing w:val="-11"/>
        </w:rPr>
        <w:t> </w:t>
      </w:r>
      <w:r>
        <w:rPr>
          <w:rFonts w:ascii="Arial"/>
        </w:rPr>
        <w:t>of</w:t>
      </w:r>
      <w:r>
        <w:rPr>
          <w:rFonts w:ascii="Arial"/>
          <w:spacing w:val="-11"/>
        </w:rPr>
        <w:t> </w:t>
      </w:r>
      <w:r>
        <w:rPr>
          <w:rFonts w:ascii="Arial"/>
        </w:rPr>
        <w:t>PPE</w:t>
      </w:r>
      <w:r>
        <w:rPr>
          <w:rFonts w:ascii="Arial"/>
          <w:spacing w:val="-11"/>
        </w:rPr>
        <w:t> </w:t>
      </w:r>
      <w:r>
        <w:rPr>
          <w:rFonts w:ascii="Arial"/>
        </w:rPr>
        <w:t>items</w:t>
      </w:r>
      <w:r>
        <w:rPr>
          <w:rFonts w:ascii="Arial"/>
          <w:spacing w:val="-11"/>
        </w:rPr>
        <w:t> </w:t>
      </w:r>
      <w:r>
        <w:rPr>
          <w:rFonts w:ascii="Arial"/>
        </w:rPr>
        <w:t>on</w:t>
      </w:r>
      <w:r>
        <w:rPr>
          <w:rFonts w:ascii="Arial"/>
          <w:spacing w:val="-11"/>
        </w:rPr>
        <w:t> </w:t>
      </w:r>
      <w:r>
        <w:rPr>
          <w:rFonts w:ascii="Arial"/>
        </w:rPr>
        <w:t>social</w:t>
      </w:r>
      <w:r>
        <w:rPr>
          <w:rFonts w:ascii="Arial"/>
          <w:spacing w:val="-11"/>
        </w:rPr>
        <w:t> </w:t>
      </w:r>
      <w:r>
        <w:rPr>
          <w:rFonts w:ascii="Arial"/>
        </w:rPr>
        <w:t>media</w:t>
      </w:r>
      <w:r>
        <w:rPr>
          <w:rFonts w:ascii="Arial"/>
          <w:spacing w:val="-11"/>
        </w:rPr>
        <w:t> </w:t>
      </w:r>
      <w:r>
        <w:rPr>
          <w:rFonts w:ascii="Arial"/>
        </w:rPr>
        <w:t>remains</w:t>
      </w:r>
      <w:r>
        <w:rPr>
          <w:rFonts w:ascii="Arial"/>
          <w:spacing w:val="-11"/>
        </w:rPr>
        <w:t> </w:t>
      </w:r>
      <w:r>
        <w:rPr>
          <w:rFonts w:ascii="Arial"/>
        </w:rPr>
        <w:t>open.</w:t>
      </w:r>
      <w:r>
        <w:rPr>
          <w:rFonts w:ascii="Arial"/>
          <w:spacing w:val="-11"/>
        </w:rPr>
        <w:t> </w:t>
      </w:r>
      <w:r>
        <w:rPr>
          <w:rFonts w:ascii="Arial"/>
        </w:rPr>
        <w:t>The LCFS liaised with the NWSSP National Clinical Logistics Manager to ensure that</w:t>
      </w:r>
      <w:r>
        <w:rPr>
          <w:rFonts w:ascii="Arial"/>
          <w:spacing w:val="-13"/>
        </w:rPr>
        <w:t> </w:t>
      </w:r>
      <w:r>
        <w:rPr>
          <w:rFonts w:ascii="Arial"/>
        </w:rPr>
        <w:t>all</w:t>
      </w:r>
      <w:r>
        <w:rPr>
          <w:rFonts w:ascii="Arial"/>
          <w:spacing w:val="-13"/>
        </w:rPr>
        <w:t> </w:t>
      </w:r>
      <w:r>
        <w:rPr>
          <w:rFonts w:ascii="Arial"/>
        </w:rPr>
        <w:t>related</w:t>
      </w:r>
      <w:r>
        <w:rPr>
          <w:rFonts w:ascii="Arial"/>
          <w:spacing w:val="-13"/>
        </w:rPr>
        <w:t> </w:t>
      </w:r>
      <w:r>
        <w:rPr>
          <w:rFonts w:ascii="Arial"/>
        </w:rPr>
        <w:t>documentation</w:t>
      </w:r>
      <w:r>
        <w:rPr>
          <w:rFonts w:ascii="Arial"/>
          <w:spacing w:val="-13"/>
        </w:rPr>
        <w:t> </w:t>
      </w:r>
      <w:r>
        <w:rPr>
          <w:rFonts w:ascii="Arial"/>
        </w:rPr>
        <w:t>includes</w:t>
      </w:r>
      <w:r>
        <w:rPr>
          <w:rFonts w:ascii="Arial"/>
          <w:spacing w:val="-13"/>
        </w:rPr>
        <w:t> </w:t>
      </w:r>
      <w:r>
        <w:rPr>
          <w:rFonts w:ascii="Arial"/>
        </w:rPr>
        <w:t>a</w:t>
      </w:r>
      <w:r>
        <w:rPr>
          <w:rFonts w:ascii="Arial"/>
          <w:spacing w:val="-13"/>
        </w:rPr>
        <w:t> </w:t>
      </w:r>
      <w:r>
        <w:rPr>
          <w:rFonts w:ascii="Arial"/>
        </w:rPr>
        <w:t>notice</w:t>
      </w:r>
      <w:r>
        <w:rPr>
          <w:rFonts w:ascii="Arial"/>
          <w:spacing w:val="-13"/>
        </w:rPr>
        <w:t> </w:t>
      </w:r>
      <w:r>
        <w:rPr>
          <w:rFonts w:ascii="Arial"/>
        </w:rPr>
        <w:t>to</w:t>
      </w:r>
      <w:r>
        <w:rPr>
          <w:rFonts w:ascii="Arial"/>
          <w:spacing w:val="-13"/>
        </w:rPr>
        <w:t> </w:t>
      </w:r>
      <w:r>
        <w:rPr>
          <w:rFonts w:ascii="Arial"/>
        </w:rPr>
        <w:t>stipulate</w:t>
      </w:r>
      <w:r>
        <w:rPr>
          <w:rFonts w:ascii="Arial"/>
          <w:spacing w:val="-13"/>
        </w:rPr>
        <w:t> </w:t>
      </w:r>
      <w:r>
        <w:rPr>
          <w:rFonts w:ascii="Arial"/>
        </w:rPr>
        <w:t>that</w:t>
      </w:r>
      <w:r>
        <w:rPr>
          <w:rFonts w:ascii="Arial"/>
          <w:spacing w:val="-13"/>
        </w:rPr>
        <w:t> </w:t>
      </w:r>
      <w:r>
        <w:rPr>
          <w:rFonts w:ascii="Arial"/>
        </w:rPr>
        <w:t>PPE</w:t>
      </w:r>
      <w:r>
        <w:rPr>
          <w:rFonts w:ascii="Arial"/>
          <w:spacing w:val="-13"/>
        </w:rPr>
        <w:t> </w:t>
      </w:r>
      <w:r>
        <w:rPr>
          <w:rFonts w:ascii="Arial"/>
        </w:rPr>
        <w:t>should</w:t>
      </w:r>
      <w:r>
        <w:rPr>
          <w:rFonts w:ascii="Arial"/>
          <w:spacing w:val="-13"/>
        </w:rPr>
        <w:t> </w:t>
      </w:r>
      <w:r>
        <w:rPr>
          <w:rFonts w:ascii="Arial"/>
        </w:rPr>
        <w:t>not be resold and is for use only by the NHS and Health and Social Care only.</w:t>
      </w:r>
    </w:p>
    <w:p>
      <w:pPr>
        <w:pStyle w:val="BodyText"/>
        <w:spacing w:before="10"/>
        <w:rPr>
          <w:rFonts w:ascii="Arial"/>
          <w:sz w:val="20"/>
        </w:rPr>
      </w:pPr>
    </w:p>
    <w:p>
      <w:pPr>
        <w:pStyle w:val="BodyText"/>
        <w:ind w:left="2160" w:right="1438"/>
        <w:jc w:val="both"/>
        <w:rPr>
          <w:rFonts w:ascii="Arial" w:hAnsi="Arial"/>
        </w:rPr>
      </w:pPr>
      <w:r>
        <w:rPr>
          <w:rFonts w:ascii="Arial" w:hAnsi="Arial"/>
        </w:rPr>
        <w:t>The</w:t>
      </w:r>
      <w:r>
        <w:rPr>
          <w:rFonts w:ascii="Arial" w:hAnsi="Arial"/>
          <w:spacing w:val="-7"/>
        </w:rPr>
        <w:t> </w:t>
      </w:r>
      <w:r>
        <w:rPr>
          <w:rFonts w:ascii="Arial" w:hAnsi="Arial"/>
        </w:rPr>
        <w:t>amount</w:t>
      </w:r>
      <w:r>
        <w:rPr>
          <w:rFonts w:ascii="Arial" w:hAnsi="Arial"/>
          <w:spacing w:val="-7"/>
        </w:rPr>
        <w:t> </w:t>
      </w:r>
      <w:r>
        <w:rPr>
          <w:rFonts w:ascii="Arial" w:hAnsi="Arial"/>
        </w:rPr>
        <w:t>saved</w:t>
      </w:r>
      <w:r>
        <w:rPr>
          <w:rFonts w:ascii="Arial" w:hAnsi="Arial"/>
          <w:spacing w:val="-7"/>
        </w:rPr>
        <w:t> </w:t>
      </w:r>
      <w:r>
        <w:rPr>
          <w:rFonts w:ascii="Arial" w:hAnsi="Arial"/>
        </w:rPr>
        <w:t>due</w:t>
      </w:r>
      <w:r>
        <w:rPr>
          <w:rFonts w:ascii="Arial" w:hAnsi="Arial"/>
          <w:spacing w:val="-7"/>
        </w:rPr>
        <w:t> </w:t>
      </w:r>
      <w:r>
        <w:rPr>
          <w:rFonts w:ascii="Arial" w:hAnsi="Arial"/>
        </w:rPr>
        <w:t>to</w:t>
      </w:r>
      <w:r>
        <w:rPr>
          <w:rFonts w:ascii="Arial" w:hAnsi="Arial"/>
          <w:spacing w:val="-7"/>
        </w:rPr>
        <w:t> </w:t>
      </w:r>
      <w:r>
        <w:rPr>
          <w:rFonts w:ascii="Arial" w:hAnsi="Arial"/>
        </w:rPr>
        <w:t>this</w:t>
      </w:r>
      <w:r>
        <w:rPr>
          <w:rFonts w:ascii="Arial" w:hAnsi="Arial"/>
          <w:spacing w:val="-7"/>
        </w:rPr>
        <w:t> </w:t>
      </w:r>
      <w:r>
        <w:rPr>
          <w:rFonts w:ascii="Arial" w:hAnsi="Arial"/>
        </w:rPr>
        <w:t>intervention</w:t>
      </w:r>
      <w:r>
        <w:rPr>
          <w:rFonts w:ascii="Arial" w:hAnsi="Arial"/>
          <w:spacing w:val="-7"/>
        </w:rPr>
        <w:t> </w:t>
      </w:r>
      <w:r>
        <w:rPr>
          <w:rFonts w:ascii="Arial" w:hAnsi="Arial"/>
        </w:rPr>
        <w:t>was</w:t>
      </w:r>
      <w:r>
        <w:rPr>
          <w:rFonts w:ascii="Arial" w:hAnsi="Arial"/>
          <w:spacing w:val="-7"/>
        </w:rPr>
        <w:t> </w:t>
      </w:r>
      <w:r>
        <w:rPr>
          <w:rFonts w:ascii="Arial" w:hAnsi="Arial"/>
        </w:rPr>
        <w:t>valued</w:t>
      </w:r>
      <w:r>
        <w:rPr>
          <w:rFonts w:ascii="Arial" w:hAnsi="Arial"/>
          <w:spacing w:val="-7"/>
        </w:rPr>
        <w:t> </w:t>
      </w:r>
      <w:r>
        <w:rPr>
          <w:rFonts w:ascii="Arial" w:hAnsi="Arial"/>
        </w:rPr>
        <w:t>at</w:t>
      </w:r>
      <w:r>
        <w:rPr>
          <w:rFonts w:ascii="Arial" w:hAnsi="Arial"/>
          <w:spacing w:val="-7"/>
        </w:rPr>
        <w:t> </w:t>
      </w:r>
      <w:r>
        <w:rPr>
          <w:rFonts w:ascii="Arial" w:hAnsi="Arial"/>
          <w:b/>
        </w:rPr>
        <w:t>£2,700</w:t>
      </w:r>
      <w:r>
        <w:rPr>
          <w:rFonts w:ascii="Arial" w:hAnsi="Arial"/>
          <w:b/>
          <w:spacing w:val="-7"/>
        </w:rPr>
        <w:t> </w:t>
      </w:r>
      <w:r>
        <w:rPr>
          <w:rFonts w:ascii="Arial" w:hAnsi="Arial"/>
        </w:rPr>
        <w:t>as</w:t>
      </w:r>
      <w:r>
        <w:rPr>
          <w:rFonts w:ascii="Arial" w:hAnsi="Arial"/>
          <w:spacing w:val="-7"/>
        </w:rPr>
        <w:t> </w:t>
      </w:r>
      <w:r>
        <w:rPr>
          <w:rFonts w:ascii="Arial" w:hAnsi="Arial"/>
        </w:rPr>
        <w:t>the</w:t>
      </w:r>
      <w:r>
        <w:rPr>
          <w:rFonts w:ascii="Arial" w:hAnsi="Arial"/>
          <w:spacing w:val="-7"/>
        </w:rPr>
        <w:t> </w:t>
      </w:r>
      <w:r>
        <w:rPr>
          <w:rFonts w:ascii="Arial" w:hAnsi="Arial"/>
        </w:rPr>
        <w:t>subject was prevented from selling the PPE items and warned of her future conduct. LCFS also liaised with Care Inspectorate Wales on this matter.</w:t>
      </w:r>
    </w:p>
    <w:p>
      <w:pPr>
        <w:pStyle w:val="BodyText"/>
        <w:spacing w:before="10"/>
        <w:rPr>
          <w:rFonts w:ascii="Arial"/>
          <w:sz w:val="20"/>
        </w:rPr>
      </w:pPr>
    </w:p>
    <w:p>
      <w:pPr>
        <w:spacing w:before="0"/>
        <w:ind w:left="2160" w:right="0" w:firstLine="0"/>
        <w:jc w:val="both"/>
        <w:rPr>
          <w:rFonts w:ascii="Arial"/>
          <w:i/>
          <w:sz w:val="24"/>
        </w:rPr>
      </w:pPr>
      <w:r>
        <w:rPr>
          <w:rFonts w:ascii="Arial"/>
          <w:i/>
          <w:color w:val="4472C4"/>
          <w:sz w:val="24"/>
        </w:rPr>
        <w:t>Local</w:t>
      </w:r>
      <w:r>
        <w:rPr>
          <w:rFonts w:ascii="Arial"/>
          <w:i/>
          <w:color w:val="4472C4"/>
          <w:spacing w:val="-6"/>
          <w:sz w:val="24"/>
        </w:rPr>
        <w:t> </w:t>
      </w:r>
      <w:r>
        <w:rPr>
          <w:rFonts w:ascii="Arial"/>
          <w:i/>
          <w:color w:val="4472C4"/>
          <w:sz w:val="24"/>
        </w:rPr>
        <w:t>Proactive</w:t>
      </w:r>
      <w:r>
        <w:rPr>
          <w:rFonts w:ascii="Arial"/>
          <w:i/>
          <w:color w:val="4472C4"/>
          <w:spacing w:val="-6"/>
          <w:sz w:val="24"/>
        </w:rPr>
        <w:t> </w:t>
      </w:r>
      <w:r>
        <w:rPr>
          <w:rFonts w:ascii="Arial"/>
          <w:i/>
          <w:color w:val="4472C4"/>
          <w:spacing w:val="-2"/>
          <w:sz w:val="24"/>
        </w:rPr>
        <w:t>Exercises</w:t>
      </w:r>
    </w:p>
    <w:p>
      <w:pPr>
        <w:pStyle w:val="BodyText"/>
        <w:spacing w:before="10"/>
        <w:rPr>
          <w:rFonts w:ascii="Arial"/>
          <w:i/>
          <w:sz w:val="32"/>
        </w:rPr>
      </w:pPr>
    </w:p>
    <w:p>
      <w:pPr>
        <w:pStyle w:val="BodyText"/>
        <w:ind w:left="2160" w:right="1438"/>
        <w:jc w:val="both"/>
        <w:rPr>
          <w:rFonts w:ascii="Arial" w:hAnsi="Arial"/>
        </w:rPr>
      </w:pPr>
      <w:r>
        <w:rPr>
          <w:rFonts w:ascii="Arial" w:hAnsi="Arial"/>
        </w:rPr>
        <w:t>As</w:t>
      </w:r>
      <w:r>
        <w:rPr>
          <w:rFonts w:ascii="Arial" w:hAnsi="Arial"/>
          <w:spacing w:val="-10"/>
        </w:rPr>
        <w:t> </w:t>
      </w:r>
      <w:r>
        <w:rPr>
          <w:rFonts w:ascii="Arial" w:hAnsi="Arial"/>
        </w:rPr>
        <w:t>part</w:t>
      </w:r>
      <w:r>
        <w:rPr>
          <w:rFonts w:ascii="Arial" w:hAnsi="Arial"/>
          <w:spacing w:val="-10"/>
        </w:rPr>
        <w:t> </w:t>
      </w:r>
      <w:r>
        <w:rPr>
          <w:rFonts w:ascii="Arial" w:hAnsi="Arial"/>
        </w:rPr>
        <w:t>or</w:t>
      </w:r>
      <w:r>
        <w:rPr>
          <w:rFonts w:ascii="Arial" w:hAnsi="Arial"/>
          <w:spacing w:val="-10"/>
        </w:rPr>
        <w:t> </w:t>
      </w:r>
      <w:r>
        <w:rPr>
          <w:rFonts w:ascii="Arial" w:hAnsi="Arial"/>
        </w:rPr>
        <w:t>the</w:t>
      </w:r>
      <w:r>
        <w:rPr>
          <w:rFonts w:ascii="Arial" w:hAnsi="Arial"/>
          <w:spacing w:val="-10"/>
        </w:rPr>
        <w:t> </w:t>
      </w:r>
      <w:r>
        <w:rPr>
          <w:rFonts w:ascii="Arial" w:hAnsi="Arial"/>
        </w:rPr>
        <w:t>Government</w:t>
      </w:r>
      <w:r>
        <w:rPr>
          <w:rFonts w:ascii="Arial" w:hAnsi="Arial"/>
          <w:spacing w:val="-10"/>
        </w:rPr>
        <w:t> </w:t>
      </w:r>
      <w:r>
        <w:rPr>
          <w:rFonts w:ascii="Arial" w:hAnsi="Arial"/>
        </w:rPr>
        <w:t>Functional</w:t>
      </w:r>
      <w:r>
        <w:rPr>
          <w:rFonts w:ascii="Arial" w:hAnsi="Arial"/>
          <w:spacing w:val="-10"/>
        </w:rPr>
        <w:t> </w:t>
      </w:r>
      <w:r>
        <w:rPr>
          <w:rFonts w:ascii="Arial" w:hAnsi="Arial"/>
        </w:rPr>
        <w:t>Standards</w:t>
      </w:r>
      <w:r>
        <w:rPr>
          <w:rFonts w:ascii="Arial" w:hAnsi="Arial"/>
          <w:spacing w:val="-10"/>
        </w:rPr>
        <w:t> </w:t>
      </w:r>
      <w:r>
        <w:rPr>
          <w:rFonts w:ascii="Arial" w:hAnsi="Arial"/>
        </w:rPr>
        <w:t>LCFS</w:t>
      </w:r>
      <w:r>
        <w:rPr>
          <w:rFonts w:ascii="Arial" w:hAnsi="Arial"/>
          <w:spacing w:val="-10"/>
        </w:rPr>
        <w:t> </w:t>
      </w:r>
      <w:r>
        <w:rPr>
          <w:rFonts w:ascii="Arial" w:hAnsi="Arial"/>
        </w:rPr>
        <w:t>are</w:t>
      </w:r>
      <w:r>
        <w:rPr>
          <w:rFonts w:ascii="Arial" w:hAnsi="Arial"/>
          <w:spacing w:val="-10"/>
        </w:rPr>
        <w:t> </w:t>
      </w:r>
      <w:r>
        <w:rPr>
          <w:rFonts w:ascii="Arial" w:hAnsi="Arial"/>
        </w:rPr>
        <w:t>required</w:t>
      </w:r>
      <w:r>
        <w:rPr>
          <w:rFonts w:ascii="Arial" w:hAnsi="Arial"/>
          <w:spacing w:val="-10"/>
        </w:rPr>
        <w:t> </w:t>
      </w:r>
      <w:r>
        <w:rPr>
          <w:rFonts w:ascii="Arial" w:hAnsi="Arial"/>
        </w:rPr>
        <w:t>to</w:t>
      </w:r>
      <w:r>
        <w:rPr>
          <w:rFonts w:ascii="Arial" w:hAnsi="Arial"/>
          <w:spacing w:val="-10"/>
        </w:rPr>
        <w:t> </w:t>
      </w:r>
      <w:r>
        <w:rPr>
          <w:rFonts w:ascii="Arial" w:hAnsi="Arial"/>
        </w:rPr>
        <w:t>conduct Local Proactive Exercises (LPE’s) and Fraud Risk Assessments and record them</w:t>
      </w:r>
      <w:r>
        <w:rPr>
          <w:rFonts w:ascii="Arial" w:hAnsi="Arial"/>
          <w:spacing w:val="-2"/>
        </w:rPr>
        <w:t> </w:t>
      </w:r>
      <w:r>
        <w:rPr>
          <w:rFonts w:ascii="Arial" w:hAnsi="Arial"/>
        </w:rPr>
        <w:t>on</w:t>
      </w:r>
      <w:r>
        <w:rPr>
          <w:rFonts w:ascii="Arial" w:hAnsi="Arial"/>
          <w:spacing w:val="-2"/>
        </w:rPr>
        <w:t> </w:t>
      </w:r>
      <w:r>
        <w:rPr>
          <w:rFonts w:ascii="Arial" w:hAnsi="Arial"/>
        </w:rPr>
        <w:t>the</w:t>
      </w:r>
      <w:r>
        <w:rPr>
          <w:rFonts w:ascii="Arial" w:hAnsi="Arial"/>
          <w:spacing w:val="-2"/>
        </w:rPr>
        <w:t> </w:t>
      </w:r>
      <w:r>
        <w:rPr>
          <w:rFonts w:ascii="Arial" w:hAnsi="Arial"/>
        </w:rPr>
        <w:t>CLUE</w:t>
      </w:r>
      <w:r>
        <w:rPr>
          <w:rFonts w:ascii="Arial" w:hAnsi="Arial"/>
          <w:spacing w:val="-2"/>
        </w:rPr>
        <w:t> </w:t>
      </w:r>
      <w:r>
        <w:rPr>
          <w:rFonts w:ascii="Arial" w:hAnsi="Arial"/>
        </w:rPr>
        <w:t>case</w:t>
      </w:r>
      <w:r>
        <w:rPr>
          <w:rFonts w:ascii="Arial" w:hAnsi="Arial"/>
          <w:spacing w:val="-2"/>
        </w:rPr>
        <w:t> </w:t>
      </w:r>
      <w:r>
        <w:rPr>
          <w:rFonts w:ascii="Arial" w:hAnsi="Arial"/>
        </w:rPr>
        <w:t>management</w:t>
      </w:r>
      <w:r>
        <w:rPr>
          <w:rFonts w:ascii="Arial" w:hAnsi="Arial"/>
          <w:spacing w:val="-2"/>
        </w:rPr>
        <w:t> </w:t>
      </w:r>
      <w:r>
        <w:rPr>
          <w:rFonts w:ascii="Arial" w:hAnsi="Arial"/>
        </w:rPr>
        <w:t>system.</w:t>
      </w:r>
      <w:r>
        <w:rPr>
          <w:rFonts w:ascii="Arial" w:hAnsi="Arial"/>
          <w:spacing w:val="40"/>
        </w:rPr>
        <w:t> </w:t>
      </w:r>
      <w:r>
        <w:rPr>
          <w:rFonts w:ascii="Arial" w:hAnsi="Arial"/>
        </w:rPr>
        <w:t>LPE’s</w:t>
      </w:r>
      <w:r>
        <w:rPr>
          <w:rFonts w:ascii="Arial" w:hAnsi="Arial"/>
          <w:spacing w:val="-2"/>
        </w:rPr>
        <w:t> </w:t>
      </w:r>
      <w:r>
        <w:rPr>
          <w:rFonts w:ascii="Arial" w:hAnsi="Arial"/>
        </w:rPr>
        <w:t>should</w:t>
      </w:r>
      <w:r>
        <w:rPr>
          <w:rFonts w:ascii="Arial" w:hAnsi="Arial"/>
          <w:spacing w:val="-2"/>
        </w:rPr>
        <w:t> </w:t>
      </w:r>
      <w:r>
        <w:rPr>
          <w:rFonts w:ascii="Arial" w:hAnsi="Arial"/>
        </w:rPr>
        <w:t>be</w:t>
      </w:r>
      <w:r>
        <w:rPr>
          <w:rFonts w:ascii="Arial" w:hAnsi="Arial"/>
          <w:spacing w:val="-2"/>
        </w:rPr>
        <w:t> </w:t>
      </w:r>
      <w:r>
        <w:rPr>
          <w:rFonts w:ascii="Arial" w:hAnsi="Arial"/>
        </w:rPr>
        <w:t>conducted</w:t>
      </w:r>
      <w:r>
        <w:rPr>
          <w:rFonts w:ascii="Arial" w:hAnsi="Arial"/>
          <w:spacing w:val="-2"/>
        </w:rPr>
        <w:t> </w:t>
      </w:r>
      <w:r>
        <w:rPr>
          <w:rFonts w:ascii="Arial" w:hAnsi="Arial"/>
        </w:rPr>
        <w:t>on a</w:t>
      </w:r>
      <w:r>
        <w:rPr>
          <w:rFonts w:ascii="Arial" w:hAnsi="Arial"/>
          <w:spacing w:val="-10"/>
        </w:rPr>
        <w:t> </w:t>
      </w:r>
      <w:r>
        <w:rPr>
          <w:rFonts w:ascii="Arial" w:hAnsi="Arial"/>
        </w:rPr>
        <w:t>local</w:t>
      </w:r>
      <w:r>
        <w:rPr>
          <w:rFonts w:ascii="Arial" w:hAnsi="Arial"/>
          <w:spacing w:val="-10"/>
        </w:rPr>
        <w:t> </w:t>
      </w:r>
      <w:r>
        <w:rPr>
          <w:rFonts w:ascii="Arial" w:hAnsi="Arial"/>
        </w:rPr>
        <w:t>risk-based</w:t>
      </w:r>
      <w:r>
        <w:rPr>
          <w:rFonts w:ascii="Arial" w:hAnsi="Arial"/>
          <w:spacing w:val="-10"/>
        </w:rPr>
        <w:t> </w:t>
      </w:r>
      <w:r>
        <w:rPr>
          <w:rFonts w:ascii="Arial" w:hAnsi="Arial"/>
        </w:rPr>
        <w:t>approach</w:t>
      </w:r>
      <w:r>
        <w:rPr>
          <w:rFonts w:ascii="Arial" w:hAnsi="Arial"/>
          <w:spacing w:val="-10"/>
        </w:rPr>
        <w:t> </w:t>
      </w:r>
      <w:r>
        <w:rPr>
          <w:rFonts w:ascii="Arial" w:hAnsi="Arial"/>
        </w:rPr>
        <w:t>or</w:t>
      </w:r>
      <w:r>
        <w:rPr>
          <w:rFonts w:ascii="Arial" w:hAnsi="Arial"/>
          <w:spacing w:val="-10"/>
        </w:rPr>
        <w:t> </w:t>
      </w:r>
      <w:r>
        <w:rPr>
          <w:rFonts w:ascii="Arial" w:hAnsi="Arial"/>
        </w:rPr>
        <w:t>can</w:t>
      </w:r>
      <w:r>
        <w:rPr>
          <w:rFonts w:ascii="Arial" w:hAnsi="Arial"/>
          <w:spacing w:val="-10"/>
        </w:rPr>
        <w:t> </w:t>
      </w:r>
      <w:r>
        <w:rPr>
          <w:rFonts w:ascii="Arial" w:hAnsi="Arial"/>
        </w:rPr>
        <w:t>be</w:t>
      </w:r>
      <w:r>
        <w:rPr>
          <w:rFonts w:ascii="Arial" w:hAnsi="Arial"/>
          <w:spacing w:val="-10"/>
        </w:rPr>
        <w:t> </w:t>
      </w:r>
      <w:r>
        <w:rPr>
          <w:rFonts w:ascii="Arial" w:hAnsi="Arial"/>
        </w:rPr>
        <w:t>directed</w:t>
      </w:r>
      <w:r>
        <w:rPr>
          <w:rFonts w:ascii="Arial" w:hAnsi="Arial"/>
          <w:spacing w:val="-10"/>
        </w:rPr>
        <w:t> </w:t>
      </w:r>
      <w:r>
        <w:rPr>
          <w:rFonts w:ascii="Arial" w:hAnsi="Arial"/>
        </w:rPr>
        <w:t>by</w:t>
      </w:r>
      <w:r>
        <w:rPr>
          <w:rFonts w:ascii="Arial" w:hAnsi="Arial"/>
          <w:spacing w:val="-10"/>
        </w:rPr>
        <w:t> </w:t>
      </w:r>
      <w:r>
        <w:rPr>
          <w:rFonts w:ascii="Arial" w:hAnsi="Arial"/>
        </w:rPr>
        <w:t>NHS</w:t>
      </w:r>
      <w:r>
        <w:rPr>
          <w:rFonts w:ascii="Arial" w:hAnsi="Arial"/>
          <w:spacing w:val="-10"/>
        </w:rPr>
        <w:t> </w:t>
      </w:r>
      <w:r>
        <w:rPr>
          <w:rFonts w:ascii="Arial" w:hAnsi="Arial"/>
        </w:rPr>
        <w:t>CFA</w:t>
      </w:r>
      <w:r>
        <w:rPr>
          <w:rFonts w:ascii="Arial" w:hAnsi="Arial"/>
          <w:spacing w:val="-10"/>
        </w:rPr>
        <w:t> </w:t>
      </w:r>
      <w:r>
        <w:rPr>
          <w:rFonts w:ascii="Arial" w:hAnsi="Arial"/>
        </w:rPr>
        <w:t>or</w:t>
      </w:r>
      <w:r>
        <w:rPr>
          <w:rFonts w:ascii="Arial" w:hAnsi="Arial"/>
          <w:spacing w:val="-10"/>
        </w:rPr>
        <w:t> </w:t>
      </w:r>
      <w:r>
        <w:rPr>
          <w:rFonts w:ascii="Arial" w:hAnsi="Arial"/>
        </w:rPr>
        <w:t>as</w:t>
      </w:r>
      <w:r>
        <w:rPr>
          <w:rFonts w:ascii="Arial" w:hAnsi="Arial"/>
          <w:spacing w:val="-10"/>
        </w:rPr>
        <w:t> </w:t>
      </w:r>
      <w:r>
        <w:rPr>
          <w:rFonts w:ascii="Arial" w:hAnsi="Arial"/>
        </w:rPr>
        <w:t>a</w:t>
      </w:r>
      <w:r>
        <w:rPr>
          <w:rFonts w:ascii="Arial" w:hAnsi="Arial"/>
          <w:spacing w:val="-10"/>
        </w:rPr>
        <w:t> </w:t>
      </w:r>
      <w:r>
        <w:rPr>
          <w:rFonts w:ascii="Arial" w:hAnsi="Arial"/>
        </w:rPr>
        <w:t>result</w:t>
      </w:r>
      <w:r>
        <w:rPr>
          <w:rFonts w:ascii="Arial" w:hAnsi="Arial"/>
          <w:spacing w:val="-10"/>
        </w:rPr>
        <w:t> </w:t>
      </w:r>
      <w:r>
        <w:rPr>
          <w:rFonts w:ascii="Arial" w:hAnsi="Arial"/>
        </w:rPr>
        <w:t>of</w:t>
      </w:r>
      <w:r>
        <w:rPr>
          <w:rFonts w:ascii="Arial" w:hAnsi="Arial"/>
          <w:spacing w:val="-10"/>
        </w:rPr>
        <w:t> </w:t>
      </w:r>
      <w:r>
        <w:rPr>
          <w:rFonts w:ascii="Arial" w:hAnsi="Arial"/>
        </w:rPr>
        <w:t>an action point e.g. from an investigation, a</w:t>
      </w:r>
      <w:r>
        <w:rPr>
          <w:rFonts w:ascii="Arial" w:hAnsi="Arial"/>
          <w:spacing w:val="40"/>
        </w:rPr>
        <w:t> </w:t>
      </w:r>
      <w:r>
        <w:rPr>
          <w:rFonts w:ascii="Arial" w:hAnsi="Arial"/>
        </w:rPr>
        <w:t>Fraud Prevention Notice (FPN) or a wider nationally driven proactive exercise.</w:t>
      </w:r>
    </w:p>
    <w:p>
      <w:pPr>
        <w:pStyle w:val="BodyText"/>
        <w:spacing w:before="10"/>
        <w:rPr>
          <w:rFonts w:ascii="Arial"/>
          <w:sz w:val="20"/>
        </w:rPr>
      </w:pPr>
    </w:p>
    <w:p>
      <w:pPr>
        <w:pStyle w:val="BodyText"/>
        <w:ind w:left="2160" w:right="1438"/>
        <w:jc w:val="both"/>
        <w:rPr>
          <w:rFonts w:ascii="Arial" w:hAnsi="Arial"/>
        </w:rPr>
      </w:pPr>
      <w:r>
        <w:rPr>
          <w:rFonts w:ascii="Arial" w:hAnsi="Arial"/>
        </w:rPr>
        <w:t>LPE’s were conducted following the issue of the FPN on mandate fraud risks and the IBURN invoice fraud which were detailed above and also on the </w:t>
      </w:r>
      <w:r>
        <w:rPr>
          <w:rFonts w:ascii="Arial" w:hAnsi="Arial"/>
          <w:spacing w:val="-2"/>
        </w:rPr>
        <w:t>following:</w:t>
      </w:r>
    </w:p>
    <w:p>
      <w:pPr>
        <w:pStyle w:val="BodyText"/>
        <w:spacing w:before="10"/>
        <w:rPr>
          <w:rFonts w:ascii="Arial"/>
          <w:sz w:val="20"/>
        </w:rPr>
      </w:pPr>
    </w:p>
    <w:p>
      <w:pPr>
        <w:pStyle w:val="BodyText"/>
        <w:ind w:left="2160" w:right="1437"/>
        <w:jc w:val="both"/>
        <w:rPr>
          <w:rFonts w:ascii="Arial"/>
        </w:rPr>
      </w:pPr>
      <w:r>
        <w:rPr>
          <w:rFonts w:ascii="Arial"/>
          <w:b/>
          <w:color w:val="000000"/>
          <w:sz w:val="20"/>
          <w:shd w:fill="C0C0C0" w:color="auto" w:val="clear"/>
        </w:rPr>
        <w:t>Salary Overpayments </w:t>
      </w:r>
      <w:r>
        <w:rPr>
          <w:rFonts w:ascii="Arial"/>
          <w:color w:val="000000"/>
          <w:sz w:val="20"/>
          <w:shd w:fill="C0C0C0" w:color="auto" w:val="clear"/>
        </w:rPr>
        <w:t>-</w:t>
      </w:r>
      <w:r>
        <w:rPr>
          <w:rFonts w:ascii="Arial"/>
          <w:color w:val="000000"/>
          <w:sz w:val="20"/>
        </w:rPr>
        <w:t> </w:t>
      </w:r>
      <w:r>
        <w:rPr>
          <w:rFonts w:ascii="Arial"/>
          <w:color w:val="000000"/>
        </w:rPr>
        <w:t>As reported in the previous quarter a current common theme</w:t>
      </w:r>
      <w:r>
        <w:rPr>
          <w:rFonts w:ascii="Arial"/>
          <w:color w:val="000000"/>
          <w:spacing w:val="-17"/>
        </w:rPr>
        <w:t> </w:t>
      </w:r>
      <w:r>
        <w:rPr>
          <w:rFonts w:ascii="Arial"/>
          <w:color w:val="000000"/>
        </w:rPr>
        <w:t>which</w:t>
      </w:r>
      <w:r>
        <w:rPr>
          <w:rFonts w:ascii="Arial"/>
          <w:color w:val="000000"/>
          <w:spacing w:val="-17"/>
        </w:rPr>
        <w:t> </w:t>
      </w:r>
      <w:r>
        <w:rPr>
          <w:rFonts w:ascii="Arial"/>
          <w:color w:val="000000"/>
        </w:rPr>
        <w:t>result</w:t>
      </w:r>
      <w:r>
        <w:rPr>
          <w:rFonts w:ascii="Arial"/>
          <w:color w:val="000000"/>
          <w:spacing w:val="-16"/>
        </w:rPr>
        <w:t> </w:t>
      </w:r>
      <w:r>
        <w:rPr>
          <w:rFonts w:ascii="Arial"/>
          <w:color w:val="000000"/>
        </w:rPr>
        <w:t>in</w:t>
      </w:r>
      <w:r>
        <w:rPr>
          <w:rFonts w:ascii="Arial"/>
          <w:color w:val="000000"/>
          <w:spacing w:val="-17"/>
        </w:rPr>
        <w:t> </w:t>
      </w:r>
      <w:r>
        <w:rPr>
          <w:rFonts w:ascii="Arial"/>
          <w:color w:val="000000"/>
        </w:rPr>
        <w:t>investigations</w:t>
      </w:r>
      <w:r>
        <w:rPr>
          <w:rFonts w:ascii="Arial"/>
          <w:color w:val="000000"/>
          <w:spacing w:val="-17"/>
        </w:rPr>
        <w:t> </w:t>
      </w:r>
      <w:r>
        <w:rPr>
          <w:rFonts w:ascii="Arial"/>
          <w:color w:val="000000"/>
        </w:rPr>
        <w:t>throughout</w:t>
      </w:r>
      <w:r>
        <w:rPr>
          <w:rFonts w:ascii="Arial"/>
          <w:color w:val="000000"/>
          <w:spacing w:val="-17"/>
        </w:rPr>
        <w:t> </w:t>
      </w:r>
      <w:r>
        <w:rPr>
          <w:rFonts w:ascii="Arial"/>
          <w:color w:val="000000"/>
        </w:rPr>
        <w:t>most</w:t>
      </w:r>
      <w:r>
        <w:rPr>
          <w:rFonts w:ascii="Arial"/>
          <w:color w:val="000000"/>
          <w:spacing w:val="-16"/>
        </w:rPr>
        <w:t> </w:t>
      </w:r>
      <w:r>
        <w:rPr>
          <w:rFonts w:ascii="Arial"/>
          <w:color w:val="000000"/>
        </w:rPr>
        <w:t>NHS</w:t>
      </w:r>
      <w:r>
        <w:rPr>
          <w:rFonts w:ascii="Arial"/>
          <w:color w:val="000000"/>
          <w:spacing w:val="-17"/>
        </w:rPr>
        <w:t> </w:t>
      </w:r>
      <w:r>
        <w:rPr>
          <w:rFonts w:ascii="Arial"/>
          <w:color w:val="000000"/>
        </w:rPr>
        <w:t>Wales</w:t>
      </w:r>
      <w:r>
        <w:rPr>
          <w:rFonts w:ascii="Arial"/>
          <w:color w:val="000000"/>
          <w:spacing w:val="-17"/>
        </w:rPr>
        <w:t> </w:t>
      </w:r>
      <w:r>
        <w:rPr>
          <w:rFonts w:ascii="Arial"/>
          <w:color w:val="000000"/>
        </w:rPr>
        <w:t>Health</w:t>
      </w:r>
      <w:r>
        <w:rPr>
          <w:rFonts w:ascii="Arial"/>
          <w:color w:val="000000"/>
          <w:spacing w:val="-16"/>
        </w:rPr>
        <w:t> </w:t>
      </w:r>
      <w:r>
        <w:rPr>
          <w:rFonts w:ascii="Arial"/>
          <w:color w:val="000000"/>
        </w:rPr>
        <w:t>Bodies is overpayment of salary where staff receive an overpayment in error and are aware of it but do not report it to their Manager or Payroll.</w:t>
      </w:r>
      <w:r>
        <w:rPr>
          <w:rFonts w:ascii="Arial"/>
          <w:color w:val="000000"/>
          <w:spacing w:val="40"/>
        </w:rPr>
        <w:t> </w:t>
      </w:r>
      <w:r>
        <w:rPr>
          <w:rFonts w:ascii="Arial"/>
          <w:color w:val="000000"/>
        </w:rPr>
        <w:t>Where unreported overpayments</w:t>
      </w:r>
      <w:r>
        <w:rPr>
          <w:rFonts w:ascii="Arial"/>
          <w:color w:val="000000"/>
          <w:spacing w:val="-5"/>
        </w:rPr>
        <w:t> </w:t>
      </w:r>
      <w:r>
        <w:rPr>
          <w:rFonts w:ascii="Arial"/>
          <w:color w:val="000000"/>
        </w:rPr>
        <w:t>are</w:t>
      </w:r>
      <w:r>
        <w:rPr>
          <w:rFonts w:ascii="Arial"/>
          <w:color w:val="000000"/>
          <w:spacing w:val="-5"/>
        </w:rPr>
        <w:t> </w:t>
      </w:r>
      <w:r>
        <w:rPr>
          <w:rFonts w:ascii="Arial"/>
          <w:color w:val="000000"/>
        </w:rPr>
        <w:t>subsequently</w:t>
      </w:r>
      <w:r>
        <w:rPr>
          <w:rFonts w:ascii="Arial"/>
          <w:color w:val="000000"/>
          <w:spacing w:val="-5"/>
        </w:rPr>
        <w:t> </w:t>
      </w:r>
      <w:r>
        <w:rPr>
          <w:rFonts w:ascii="Arial"/>
          <w:color w:val="000000"/>
        </w:rPr>
        <w:t>identified,</w:t>
      </w:r>
      <w:r>
        <w:rPr>
          <w:rFonts w:ascii="Arial"/>
          <w:color w:val="000000"/>
          <w:spacing w:val="-5"/>
        </w:rPr>
        <w:t> </w:t>
      </w:r>
      <w:r>
        <w:rPr>
          <w:rFonts w:ascii="Arial"/>
          <w:color w:val="000000"/>
        </w:rPr>
        <w:t>the</w:t>
      </w:r>
      <w:r>
        <w:rPr>
          <w:rFonts w:ascii="Arial"/>
          <w:color w:val="000000"/>
          <w:spacing w:val="-5"/>
        </w:rPr>
        <w:t> </w:t>
      </w:r>
      <w:r>
        <w:rPr>
          <w:rFonts w:ascii="Arial"/>
          <w:color w:val="000000"/>
        </w:rPr>
        <w:t>Payroll</w:t>
      </w:r>
      <w:r>
        <w:rPr>
          <w:rFonts w:ascii="Arial"/>
          <w:color w:val="000000"/>
          <w:spacing w:val="-5"/>
        </w:rPr>
        <w:t> </w:t>
      </w:r>
      <w:r>
        <w:rPr>
          <w:rFonts w:ascii="Arial"/>
          <w:color w:val="000000"/>
        </w:rPr>
        <w:t>Department</w:t>
      </w:r>
      <w:r>
        <w:rPr>
          <w:rFonts w:ascii="Arial"/>
          <w:color w:val="000000"/>
          <w:spacing w:val="-5"/>
        </w:rPr>
        <w:t> </w:t>
      </w:r>
      <w:r>
        <w:rPr>
          <w:rFonts w:ascii="Arial"/>
          <w:color w:val="000000"/>
        </w:rPr>
        <w:t>or</w:t>
      </w:r>
      <w:r>
        <w:rPr>
          <w:rFonts w:ascii="Arial"/>
          <w:color w:val="000000"/>
          <w:spacing w:val="-5"/>
        </w:rPr>
        <w:t> </w:t>
      </w:r>
      <w:r>
        <w:rPr>
          <w:rFonts w:ascii="Arial"/>
          <w:color w:val="000000"/>
        </w:rPr>
        <w:t>Manager should refer relevant cases to Counter Fraud to be assessed for investigation. If it is discovered that the employee or former employee has spent the money, appropriate</w:t>
      </w:r>
      <w:r>
        <w:rPr>
          <w:rFonts w:ascii="Arial"/>
          <w:color w:val="000000"/>
          <w:spacing w:val="-1"/>
        </w:rPr>
        <w:t> </w:t>
      </w:r>
      <w:r>
        <w:rPr>
          <w:rFonts w:ascii="Arial"/>
          <w:color w:val="000000"/>
        </w:rPr>
        <w:t>action</w:t>
      </w:r>
      <w:r>
        <w:rPr>
          <w:rFonts w:ascii="Arial"/>
          <w:color w:val="000000"/>
          <w:spacing w:val="-1"/>
        </w:rPr>
        <w:t> </w:t>
      </w:r>
      <w:r>
        <w:rPr>
          <w:rFonts w:ascii="Arial"/>
          <w:color w:val="000000"/>
        </w:rPr>
        <w:t>will</w:t>
      </w:r>
      <w:r>
        <w:rPr>
          <w:rFonts w:ascii="Arial"/>
          <w:color w:val="000000"/>
          <w:spacing w:val="-1"/>
        </w:rPr>
        <w:t> </w:t>
      </w:r>
      <w:r>
        <w:rPr>
          <w:rFonts w:ascii="Arial"/>
          <w:color w:val="000000"/>
        </w:rPr>
        <w:t>be</w:t>
      </w:r>
      <w:r>
        <w:rPr>
          <w:rFonts w:ascii="Arial"/>
          <w:color w:val="000000"/>
          <w:spacing w:val="-1"/>
        </w:rPr>
        <w:t> </w:t>
      </w:r>
      <w:r>
        <w:rPr>
          <w:rFonts w:ascii="Arial"/>
          <w:color w:val="000000"/>
        </w:rPr>
        <w:t>taken on a</w:t>
      </w:r>
      <w:r>
        <w:rPr>
          <w:rFonts w:ascii="Arial"/>
          <w:color w:val="000000"/>
          <w:spacing w:val="-1"/>
        </w:rPr>
        <w:t> </w:t>
      </w:r>
      <w:r>
        <w:rPr>
          <w:rFonts w:ascii="Arial"/>
          <w:color w:val="000000"/>
        </w:rPr>
        <w:t>case-by-case</w:t>
      </w:r>
      <w:r>
        <w:rPr>
          <w:rFonts w:ascii="Arial"/>
          <w:color w:val="000000"/>
          <w:spacing w:val="-1"/>
        </w:rPr>
        <w:t> </w:t>
      </w:r>
      <w:r>
        <w:rPr>
          <w:rFonts w:ascii="Arial"/>
          <w:color w:val="000000"/>
        </w:rPr>
        <w:t>basis</w:t>
      </w:r>
      <w:r>
        <w:rPr>
          <w:rFonts w:ascii="Arial"/>
          <w:color w:val="000000"/>
          <w:spacing w:val="-1"/>
        </w:rPr>
        <w:t> </w:t>
      </w:r>
      <w:r>
        <w:rPr>
          <w:rFonts w:ascii="Arial"/>
          <w:color w:val="000000"/>
        </w:rPr>
        <w:t>as</w:t>
      </w:r>
      <w:r>
        <w:rPr>
          <w:rFonts w:ascii="Arial"/>
          <w:color w:val="000000"/>
          <w:spacing w:val="-1"/>
        </w:rPr>
        <w:t> </w:t>
      </w:r>
      <w:r>
        <w:rPr>
          <w:rFonts w:ascii="Arial"/>
          <w:color w:val="000000"/>
        </w:rPr>
        <w:t>it</w:t>
      </w:r>
      <w:r>
        <w:rPr>
          <w:rFonts w:ascii="Arial"/>
          <w:color w:val="000000"/>
          <w:spacing w:val="-1"/>
        </w:rPr>
        <w:t> </w:t>
      </w:r>
      <w:r>
        <w:rPr>
          <w:rFonts w:ascii="Arial"/>
          <w:color w:val="000000"/>
        </w:rPr>
        <w:t>represents</w:t>
      </w:r>
      <w:r>
        <w:rPr>
          <w:rFonts w:ascii="Arial"/>
          <w:color w:val="000000"/>
          <w:spacing w:val="-1"/>
        </w:rPr>
        <w:t> </w:t>
      </w:r>
      <w:r>
        <w:rPr>
          <w:rFonts w:ascii="Arial"/>
          <w:color w:val="000000"/>
        </w:rPr>
        <w:t>theft. No</w:t>
      </w:r>
      <w:r>
        <w:rPr>
          <w:rFonts w:ascii="Arial"/>
          <w:color w:val="000000"/>
          <w:spacing w:val="-15"/>
        </w:rPr>
        <w:t> </w:t>
      </w:r>
      <w:r>
        <w:rPr>
          <w:rFonts w:ascii="Arial"/>
          <w:color w:val="000000"/>
        </w:rPr>
        <w:t>such</w:t>
      </w:r>
      <w:r>
        <w:rPr>
          <w:rFonts w:ascii="Arial"/>
          <w:color w:val="000000"/>
          <w:spacing w:val="-12"/>
        </w:rPr>
        <w:t> </w:t>
      </w:r>
      <w:r>
        <w:rPr>
          <w:rFonts w:ascii="Arial"/>
          <w:color w:val="000000"/>
        </w:rPr>
        <w:t>referrals</w:t>
      </w:r>
      <w:r>
        <w:rPr>
          <w:rFonts w:ascii="Arial"/>
          <w:color w:val="000000"/>
          <w:spacing w:val="-12"/>
        </w:rPr>
        <w:t> </w:t>
      </w:r>
      <w:r>
        <w:rPr>
          <w:rFonts w:ascii="Arial"/>
          <w:color w:val="000000"/>
        </w:rPr>
        <w:t>have</w:t>
      </w:r>
      <w:r>
        <w:rPr>
          <w:rFonts w:ascii="Arial"/>
          <w:color w:val="000000"/>
          <w:spacing w:val="-13"/>
        </w:rPr>
        <w:t> </w:t>
      </w:r>
      <w:r>
        <w:rPr>
          <w:rFonts w:ascii="Arial"/>
          <w:color w:val="000000"/>
        </w:rPr>
        <w:t>currently</w:t>
      </w:r>
      <w:r>
        <w:rPr>
          <w:rFonts w:ascii="Arial"/>
          <w:color w:val="000000"/>
          <w:spacing w:val="-12"/>
        </w:rPr>
        <w:t> </w:t>
      </w:r>
      <w:r>
        <w:rPr>
          <w:rFonts w:ascii="Arial"/>
          <w:color w:val="000000"/>
        </w:rPr>
        <w:t>been</w:t>
      </w:r>
      <w:r>
        <w:rPr>
          <w:rFonts w:ascii="Arial"/>
          <w:color w:val="000000"/>
          <w:spacing w:val="-12"/>
        </w:rPr>
        <w:t> </w:t>
      </w:r>
      <w:r>
        <w:rPr>
          <w:rFonts w:ascii="Arial"/>
          <w:color w:val="000000"/>
        </w:rPr>
        <w:t>made</w:t>
      </w:r>
      <w:r>
        <w:rPr>
          <w:rFonts w:ascii="Arial"/>
          <w:color w:val="000000"/>
          <w:spacing w:val="-13"/>
        </w:rPr>
        <w:t> </w:t>
      </w:r>
      <w:r>
        <w:rPr>
          <w:rFonts w:ascii="Arial"/>
          <w:color w:val="000000"/>
        </w:rPr>
        <w:t>to</w:t>
      </w:r>
      <w:r>
        <w:rPr>
          <w:rFonts w:ascii="Arial"/>
          <w:color w:val="000000"/>
          <w:spacing w:val="-12"/>
        </w:rPr>
        <w:t> </w:t>
      </w:r>
      <w:r>
        <w:rPr>
          <w:rFonts w:ascii="Arial"/>
          <w:color w:val="000000"/>
        </w:rPr>
        <w:t>Counter</w:t>
      </w:r>
      <w:r>
        <w:rPr>
          <w:rFonts w:ascii="Arial"/>
          <w:color w:val="000000"/>
          <w:spacing w:val="-12"/>
        </w:rPr>
        <w:t> </w:t>
      </w:r>
      <w:r>
        <w:rPr>
          <w:rFonts w:ascii="Arial"/>
          <w:color w:val="000000"/>
        </w:rPr>
        <w:t>Fraud</w:t>
      </w:r>
      <w:r>
        <w:rPr>
          <w:rFonts w:ascii="Arial"/>
          <w:color w:val="000000"/>
          <w:spacing w:val="-13"/>
        </w:rPr>
        <w:t> </w:t>
      </w:r>
      <w:r>
        <w:rPr>
          <w:rFonts w:ascii="Arial"/>
          <w:color w:val="000000"/>
        </w:rPr>
        <w:t>for</w:t>
      </w:r>
      <w:r>
        <w:rPr>
          <w:rFonts w:ascii="Arial"/>
          <w:color w:val="000000"/>
          <w:spacing w:val="-12"/>
        </w:rPr>
        <w:t> </w:t>
      </w:r>
      <w:r>
        <w:rPr>
          <w:rFonts w:ascii="Arial"/>
          <w:color w:val="000000"/>
        </w:rPr>
        <w:t>NWSSP</w:t>
      </w:r>
      <w:r>
        <w:rPr>
          <w:rFonts w:ascii="Arial"/>
          <w:color w:val="000000"/>
          <w:spacing w:val="-12"/>
        </w:rPr>
        <w:t> </w:t>
      </w:r>
      <w:r>
        <w:rPr>
          <w:rFonts w:ascii="Arial"/>
          <w:color w:val="000000"/>
          <w:spacing w:val="-2"/>
        </w:rPr>
        <w:t>staff.</w:t>
      </w:r>
    </w:p>
    <w:p>
      <w:pPr>
        <w:pStyle w:val="BodyText"/>
        <w:spacing w:before="10"/>
        <w:rPr>
          <w:rFonts w:ascii="Arial"/>
          <w:sz w:val="20"/>
        </w:rPr>
      </w:pPr>
    </w:p>
    <w:p>
      <w:pPr>
        <w:pStyle w:val="BodyText"/>
        <w:ind w:left="2160" w:right="1438"/>
        <w:jc w:val="both"/>
        <w:rPr>
          <w:rFonts w:ascii="Arial"/>
        </w:rPr>
      </w:pPr>
      <w:r>
        <w:rPr>
          <w:rFonts w:ascii="Arial"/>
        </w:rPr>
        <w:t>The NWSSP LCFS Manager has liaised with Internal Audit to obtain details of a recent audit of salary overpayments and have also obtained new data to conduct a LPE. The LCFS Manager has liaised further with the POD Single Lead Employer Team on ongoing cases and due to meet Finance leads to discuss referrals to LCFS and the existing Salary Overpayment Policy.</w:t>
      </w:r>
    </w:p>
    <w:p>
      <w:pPr>
        <w:pStyle w:val="BodyText"/>
        <w:spacing w:before="10"/>
        <w:rPr>
          <w:rFonts w:ascii="Arial"/>
          <w:sz w:val="20"/>
        </w:rPr>
      </w:pPr>
    </w:p>
    <w:p>
      <w:pPr>
        <w:spacing w:before="0"/>
        <w:ind w:left="2160" w:right="0" w:firstLine="0"/>
        <w:jc w:val="both"/>
        <w:rPr>
          <w:rFonts w:ascii="Arial"/>
          <w:i/>
          <w:sz w:val="24"/>
        </w:rPr>
      </w:pPr>
      <w:r>
        <w:rPr>
          <w:rFonts w:ascii="Arial"/>
          <w:i/>
          <w:color w:val="0070C0"/>
          <w:sz w:val="24"/>
        </w:rPr>
        <w:t>Risk</w:t>
      </w:r>
      <w:r>
        <w:rPr>
          <w:rFonts w:ascii="Arial"/>
          <w:i/>
          <w:color w:val="0070C0"/>
          <w:spacing w:val="-4"/>
          <w:sz w:val="24"/>
        </w:rPr>
        <w:t> </w:t>
      </w:r>
      <w:r>
        <w:rPr>
          <w:rFonts w:ascii="Arial"/>
          <w:i/>
          <w:color w:val="0070C0"/>
          <w:spacing w:val="-2"/>
          <w:sz w:val="24"/>
        </w:rPr>
        <w:t>Assessments</w:t>
      </w:r>
    </w:p>
    <w:p>
      <w:pPr>
        <w:pStyle w:val="BodyText"/>
        <w:spacing w:before="10"/>
        <w:rPr>
          <w:rFonts w:ascii="Arial"/>
          <w:i/>
          <w:sz w:val="32"/>
        </w:rPr>
      </w:pPr>
    </w:p>
    <w:p>
      <w:pPr>
        <w:pStyle w:val="BodyText"/>
        <w:ind w:left="2160"/>
        <w:jc w:val="both"/>
        <w:rPr>
          <w:rFonts w:ascii="Arial"/>
        </w:rPr>
      </w:pPr>
      <w:r>
        <w:rPr>
          <w:rFonts w:ascii="Arial"/>
        </w:rPr>
        <w:t>The</w:t>
      </w:r>
      <w:r>
        <w:rPr>
          <w:rFonts w:ascii="Arial"/>
          <w:spacing w:val="-3"/>
        </w:rPr>
        <w:t> </w:t>
      </w:r>
      <w:r>
        <w:rPr>
          <w:rFonts w:ascii="Arial"/>
        </w:rPr>
        <w:t>NWSSP</w:t>
      </w:r>
      <w:r>
        <w:rPr>
          <w:rFonts w:ascii="Arial"/>
          <w:spacing w:val="-3"/>
        </w:rPr>
        <w:t> </w:t>
      </w:r>
      <w:r>
        <w:rPr>
          <w:rFonts w:ascii="Arial"/>
        </w:rPr>
        <w:t>LCFS</w:t>
      </w:r>
      <w:r>
        <w:rPr>
          <w:rFonts w:ascii="Arial"/>
          <w:spacing w:val="-2"/>
        </w:rPr>
        <w:t> </w:t>
      </w:r>
      <w:r>
        <w:rPr>
          <w:rFonts w:ascii="Arial"/>
        </w:rPr>
        <w:t>is</w:t>
      </w:r>
      <w:r>
        <w:rPr>
          <w:rFonts w:ascii="Arial"/>
          <w:spacing w:val="-3"/>
        </w:rPr>
        <w:t> </w:t>
      </w:r>
      <w:r>
        <w:rPr>
          <w:rFonts w:ascii="Arial"/>
          <w:spacing w:val="-2"/>
        </w:rPr>
        <w:t>currently:</w:t>
      </w:r>
    </w:p>
    <w:p>
      <w:pPr>
        <w:spacing w:after="0"/>
        <w:jc w:val="both"/>
        <w:rPr>
          <w:rFonts w:ascii="Arial"/>
        </w:rPr>
        <w:sectPr>
          <w:footerReference w:type="default" r:id="rId100"/>
          <w:pgSz w:w="11910" w:h="16840"/>
          <w:pgMar w:footer="1007" w:header="0" w:top="1340" w:bottom="1200" w:left="0" w:right="0"/>
          <w:pgNumType w:start="7"/>
        </w:sectPr>
      </w:pPr>
    </w:p>
    <w:p>
      <w:pPr>
        <w:pStyle w:val="ListParagraph"/>
        <w:numPr>
          <w:ilvl w:val="0"/>
          <w:numId w:val="30"/>
        </w:numPr>
        <w:tabs>
          <w:tab w:pos="2944" w:val="left" w:leader="none"/>
        </w:tabs>
        <w:spacing w:line="240" w:lineRule="auto" w:before="78" w:after="0"/>
        <w:ind w:left="2944" w:right="1439" w:hanging="360"/>
        <w:jc w:val="both"/>
        <w:rPr>
          <w:rFonts w:ascii="Arial" w:hAnsi="Arial"/>
          <w:sz w:val="24"/>
        </w:rPr>
      </w:pPr>
      <w:r>
        <w:rPr>
          <w:rFonts w:ascii="Arial" w:hAnsi="Arial"/>
          <w:sz w:val="24"/>
        </w:rPr>
        <w:t>liaising with SBUHB LCFS to conduct a risk measurement exercise on pre-Employment checks undertaken by NWSSP Recruitment and Health Board Departmental Managers;</w:t>
      </w:r>
    </w:p>
    <w:p>
      <w:pPr>
        <w:pStyle w:val="ListParagraph"/>
        <w:numPr>
          <w:ilvl w:val="0"/>
          <w:numId w:val="30"/>
        </w:numPr>
        <w:tabs>
          <w:tab w:pos="2944" w:val="left" w:leader="none"/>
        </w:tabs>
        <w:spacing w:line="240" w:lineRule="auto" w:before="0" w:after="0"/>
        <w:ind w:left="2944" w:right="1439" w:hanging="360"/>
        <w:jc w:val="both"/>
        <w:rPr>
          <w:rFonts w:ascii="Arial" w:hAnsi="Arial"/>
          <w:sz w:val="24"/>
        </w:rPr>
      </w:pPr>
      <w:r>
        <w:rPr>
          <w:rFonts w:ascii="Arial" w:hAnsi="Arial"/>
          <w:sz w:val="24"/>
        </w:rPr>
        <w:t>Liaising with C&amp;VUHB /HEIW LCFS to conduct a risk measurement exercise on Bursary Fraud;</w:t>
      </w:r>
    </w:p>
    <w:p>
      <w:pPr>
        <w:pStyle w:val="ListParagraph"/>
        <w:numPr>
          <w:ilvl w:val="0"/>
          <w:numId w:val="30"/>
        </w:numPr>
        <w:tabs>
          <w:tab w:pos="2944" w:val="left" w:leader="none"/>
        </w:tabs>
        <w:spacing w:line="291" w:lineRule="exact" w:before="0" w:after="0"/>
        <w:ind w:left="2944" w:right="0" w:hanging="360"/>
        <w:jc w:val="both"/>
        <w:rPr>
          <w:rFonts w:ascii="Arial" w:hAnsi="Arial"/>
          <w:sz w:val="24"/>
        </w:rPr>
      </w:pPr>
      <w:r>
        <w:rPr>
          <w:rFonts w:ascii="Arial" w:hAnsi="Arial"/>
          <w:sz w:val="24"/>
        </w:rPr>
        <w:t>Conducting</w:t>
      </w:r>
      <w:r>
        <w:rPr>
          <w:rFonts w:ascii="Arial" w:hAnsi="Arial"/>
          <w:spacing w:val="-4"/>
          <w:sz w:val="24"/>
        </w:rPr>
        <w:t> </w:t>
      </w:r>
      <w:r>
        <w:rPr>
          <w:rFonts w:ascii="Arial" w:hAnsi="Arial"/>
          <w:sz w:val="24"/>
        </w:rPr>
        <w:t>a</w:t>
      </w:r>
      <w:r>
        <w:rPr>
          <w:rFonts w:ascii="Arial" w:hAnsi="Arial"/>
          <w:spacing w:val="-4"/>
          <w:sz w:val="24"/>
        </w:rPr>
        <w:t> </w:t>
      </w:r>
      <w:r>
        <w:rPr>
          <w:rFonts w:ascii="Arial" w:hAnsi="Arial"/>
          <w:sz w:val="24"/>
        </w:rPr>
        <w:t>risk</w:t>
      </w:r>
      <w:r>
        <w:rPr>
          <w:rFonts w:ascii="Arial" w:hAnsi="Arial"/>
          <w:spacing w:val="-3"/>
          <w:sz w:val="24"/>
        </w:rPr>
        <w:t> </w:t>
      </w:r>
      <w:r>
        <w:rPr>
          <w:rFonts w:ascii="Arial" w:hAnsi="Arial"/>
          <w:sz w:val="24"/>
        </w:rPr>
        <w:t>assessment</w:t>
      </w:r>
      <w:r>
        <w:rPr>
          <w:rFonts w:ascii="Arial" w:hAnsi="Arial"/>
          <w:spacing w:val="-4"/>
          <w:sz w:val="24"/>
        </w:rPr>
        <w:t> </w:t>
      </w:r>
      <w:r>
        <w:rPr>
          <w:rFonts w:ascii="Arial" w:hAnsi="Arial"/>
          <w:sz w:val="24"/>
        </w:rPr>
        <w:t>on</w:t>
      </w:r>
      <w:r>
        <w:rPr>
          <w:rFonts w:ascii="Arial" w:hAnsi="Arial"/>
          <w:spacing w:val="-3"/>
          <w:sz w:val="24"/>
        </w:rPr>
        <w:t> </w:t>
      </w:r>
      <w:r>
        <w:rPr>
          <w:rFonts w:ascii="Arial" w:hAnsi="Arial"/>
          <w:sz w:val="24"/>
        </w:rPr>
        <w:t>Mandate</w:t>
      </w:r>
      <w:r>
        <w:rPr>
          <w:rFonts w:ascii="Arial" w:hAnsi="Arial"/>
          <w:spacing w:val="-4"/>
          <w:sz w:val="24"/>
        </w:rPr>
        <w:t> </w:t>
      </w:r>
      <w:r>
        <w:rPr>
          <w:rFonts w:ascii="Arial" w:hAnsi="Arial"/>
          <w:sz w:val="24"/>
        </w:rPr>
        <w:t>Fraud;</w:t>
      </w:r>
      <w:r>
        <w:rPr>
          <w:rFonts w:ascii="Arial" w:hAnsi="Arial"/>
          <w:spacing w:val="-2"/>
          <w:sz w:val="24"/>
        </w:rPr>
        <w:t> </w:t>
      </w:r>
      <w:r>
        <w:rPr>
          <w:rFonts w:ascii="Arial" w:hAnsi="Arial"/>
          <w:spacing w:val="-5"/>
          <w:sz w:val="24"/>
        </w:rPr>
        <w:t>and</w:t>
      </w:r>
    </w:p>
    <w:p>
      <w:pPr>
        <w:pStyle w:val="ListParagraph"/>
        <w:numPr>
          <w:ilvl w:val="0"/>
          <w:numId w:val="30"/>
        </w:numPr>
        <w:tabs>
          <w:tab w:pos="2944" w:val="left" w:leader="none"/>
        </w:tabs>
        <w:spacing w:line="240" w:lineRule="auto" w:before="0" w:after="0"/>
        <w:ind w:left="2944" w:right="1438" w:hanging="360"/>
        <w:jc w:val="both"/>
        <w:rPr>
          <w:rFonts w:ascii="Arial" w:hAnsi="Arial"/>
          <w:sz w:val="24"/>
        </w:rPr>
      </w:pPr>
      <w:r>
        <w:rPr>
          <w:rFonts w:ascii="Arial" w:hAnsi="Arial"/>
          <w:sz w:val="24"/>
        </w:rPr>
        <w:t>Discussing the methodology of recording fraud risk assessments with the Head of Finance and Business Development.</w:t>
      </w:r>
    </w:p>
    <w:p>
      <w:pPr>
        <w:pStyle w:val="BodyText"/>
        <w:spacing w:before="5"/>
        <w:rPr>
          <w:rFonts w:ascii="Arial"/>
          <w:sz w:val="20"/>
        </w:rPr>
      </w:pPr>
    </w:p>
    <w:p>
      <w:pPr>
        <w:pStyle w:val="BodyText"/>
        <w:ind w:left="2160"/>
        <w:jc w:val="both"/>
        <w:rPr>
          <w:rFonts w:ascii="Arial"/>
        </w:rPr>
      </w:pPr>
      <w:r>
        <w:rPr>
          <w:rFonts w:ascii="Arial"/>
          <w:color w:val="4472C4"/>
        </w:rPr>
        <w:t>National</w:t>
      </w:r>
      <w:r>
        <w:rPr>
          <w:rFonts w:ascii="Arial"/>
          <w:color w:val="4472C4"/>
          <w:spacing w:val="-4"/>
        </w:rPr>
        <w:t> </w:t>
      </w:r>
      <w:r>
        <w:rPr>
          <w:rFonts w:ascii="Arial"/>
          <w:color w:val="4472C4"/>
        </w:rPr>
        <w:t>Fraud</w:t>
      </w:r>
      <w:r>
        <w:rPr>
          <w:rFonts w:ascii="Arial"/>
          <w:color w:val="4472C4"/>
          <w:spacing w:val="-3"/>
        </w:rPr>
        <w:t> </w:t>
      </w:r>
      <w:r>
        <w:rPr>
          <w:rFonts w:ascii="Arial"/>
          <w:color w:val="4472C4"/>
          <w:spacing w:val="-2"/>
        </w:rPr>
        <w:t>Initiative</w:t>
      </w:r>
    </w:p>
    <w:p>
      <w:pPr>
        <w:pStyle w:val="BodyText"/>
        <w:spacing w:before="10"/>
        <w:rPr>
          <w:rFonts w:ascii="Arial"/>
          <w:sz w:val="20"/>
        </w:rPr>
      </w:pPr>
    </w:p>
    <w:p>
      <w:pPr>
        <w:pStyle w:val="BodyText"/>
        <w:ind w:left="2160" w:right="1439"/>
        <w:jc w:val="both"/>
        <w:rPr>
          <w:rFonts w:ascii="Arial"/>
        </w:rPr>
      </w:pPr>
      <w:r>
        <w:rPr>
          <w:rFonts w:ascii="Arial"/>
        </w:rPr>
        <w:t>National Fraud (NFI) data privacy notices were issued to staff during the last quarter.</w:t>
      </w:r>
      <w:r>
        <w:rPr>
          <w:rFonts w:ascii="Arial"/>
          <w:spacing w:val="-10"/>
        </w:rPr>
        <w:t> </w:t>
      </w:r>
      <w:r>
        <w:rPr>
          <w:rFonts w:ascii="Arial"/>
        </w:rPr>
        <w:t>Data</w:t>
      </w:r>
      <w:r>
        <w:rPr>
          <w:rFonts w:ascii="Arial"/>
          <w:spacing w:val="-10"/>
        </w:rPr>
        <w:t> </w:t>
      </w:r>
      <w:r>
        <w:rPr>
          <w:rFonts w:ascii="Arial"/>
        </w:rPr>
        <w:t>has</w:t>
      </w:r>
      <w:r>
        <w:rPr>
          <w:rFonts w:ascii="Arial"/>
          <w:spacing w:val="-10"/>
        </w:rPr>
        <w:t> </w:t>
      </w:r>
      <w:r>
        <w:rPr>
          <w:rFonts w:ascii="Arial"/>
        </w:rPr>
        <w:t>now</w:t>
      </w:r>
      <w:r>
        <w:rPr>
          <w:rFonts w:ascii="Arial"/>
          <w:spacing w:val="-10"/>
        </w:rPr>
        <w:t> </w:t>
      </w:r>
      <w:r>
        <w:rPr>
          <w:rFonts w:ascii="Arial"/>
        </w:rPr>
        <w:t>been</w:t>
      </w:r>
      <w:r>
        <w:rPr>
          <w:rFonts w:ascii="Arial"/>
          <w:spacing w:val="-10"/>
        </w:rPr>
        <w:t> </w:t>
      </w:r>
      <w:r>
        <w:rPr>
          <w:rFonts w:ascii="Arial"/>
        </w:rPr>
        <w:t>collected</w:t>
      </w:r>
      <w:r>
        <w:rPr>
          <w:rFonts w:ascii="Arial"/>
          <w:spacing w:val="-10"/>
        </w:rPr>
        <w:t> </w:t>
      </w:r>
      <w:r>
        <w:rPr>
          <w:rFonts w:ascii="Arial"/>
        </w:rPr>
        <w:t>and</w:t>
      </w:r>
      <w:r>
        <w:rPr>
          <w:rFonts w:ascii="Arial"/>
          <w:spacing w:val="-10"/>
        </w:rPr>
        <w:t> </w:t>
      </w:r>
      <w:r>
        <w:rPr>
          <w:rFonts w:ascii="Arial"/>
        </w:rPr>
        <w:t>processed</w:t>
      </w:r>
      <w:r>
        <w:rPr>
          <w:rFonts w:ascii="Arial"/>
          <w:spacing w:val="-10"/>
        </w:rPr>
        <w:t> </w:t>
      </w:r>
      <w:r>
        <w:rPr>
          <w:rFonts w:ascii="Arial"/>
        </w:rPr>
        <w:t>by</w:t>
      </w:r>
      <w:r>
        <w:rPr>
          <w:rFonts w:ascii="Arial"/>
          <w:spacing w:val="-10"/>
        </w:rPr>
        <w:t> </w:t>
      </w:r>
      <w:r>
        <w:rPr>
          <w:rFonts w:ascii="Arial"/>
        </w:rPr>
        <w:t>the</w:t>
      </w:r>
      <w:r>
        <w:rPr>
          <w:rFonts w:ascii="Arial"/>
          <w:spacing w:val="-10"/>
        </w:rPr>
        <w:t> </w:t>
      </w:r>
      <w:r>
        <w:rPr>
          <w:rFonts w:ascii="Arial"/>
        </w:rPr>
        <w:t>Cabinet</w:t>
      </w:r>
      <w:r>
        <w:rPr>
          <w:rFonts w:ascii="Arial"/>
          <w:spacing w:val="-10"/>
        </w:rPr>
        <w:t> </w:t>
      </w:r>
      <w:r>
        <w:rPr>
          <w:rFonts w:ascii="Arial"/>
        </w:rPr>
        <w:t>Office</w:t>
      </w:r>
      <w:r>
        <w:rPr>
          <w:rFonts w:ascii="Arial"/>
          <w:spacing w:val="-9"/>
        </w:rPr>
        <w:t> </w:t>
      </w:r>
      <w:r>
        <w:rPr>
          <w:rFonts w:ascii="Arial"/>
        </w:rPr>
        <w:t>NFI Team, and the results will be made available for analysis in January 2023.</w:t>
      </w:r>
    </w:p>
    <w:p>
      <w:pPr>
        <w:pStyle w:val="BodyText"/>
        <w:spacing w:before="10"/>
        <w:rPr>
          <w:rFonts w:ascii="Arial"/>
          <w:sz w:val="20"/>
        </w:rPr>
      </w:pPr>
    </w:p>
    <w:p>
      <w:pPr>
        <w:pStyle w:val="BodyText"/>
        <w:ind w:left="2160" w:right="1436"/>
        <w:jc w:val="both"/>
        <w:rPr>
          <w:rFonts w:ascii="Arial"/>
        </w:rPr>
      </w:pPr>
      <w:r>
        <w:rPr>
          <w:rFonts w:ascii="Arial"/>
        </w:rPr>
        <w:t>The</w:t>
      </w:r>
      <w:r>
        <w:rPr>
          <w:rFonts w:ascii="Arial"/>
          <w:spacing w:val="-11"/>
        </w:rPr>
        <w:t> </w:t>
      </w:r>
      <w:r>
        <w:rPr>
          <w:rFonts w:ascii="Arial"/>
        </w:rPr>
        <w:t>NWSSP</w:t>
      </w:r>
      <w:r>
        <w:rPr>
          <w:rFonts w:ascii="Arial"/>
          <w:spacing w:val="-11"/>
        </w:rPr>
        <w:t> </w:t>
      </w:r>
      <w:r>
        <w:rPr>
          <w:rFonts w:ascii="Arial"/>
        </w:rPr>
        <w:t>Lead</w:t>
      </w:r>
      <w:r>
        <w:rPr>
          <w:rFonts w:ascii="Arial"/>
          <w:spacing w:val="-11"/>
        </w:rPr>
        <w:t> </w:t>
      </w:r>
      <w:r>
        <w:rPr>
          <w:rFonts w:ascii="Arial"/>
        </w:rPr>
        <w:t>LCFS</w:t>
      </w:r>
      <w:r>
        <w:rPr>
          <w:rFonts w:ascii="Arial"/>
          <w:spacing w:val="-11"/>
        </w:rPr>
        <w:t> </w:t>
      </w:r>
      <w:r>
        <w:rPr>
          <w:rFonts w:ascii="Arial"/>
        </w:rPr>
        <w:t>has</w:t>
      </w:r>
      <w:r>
        <w:rPr>
          <w:rFonts w:ascii="Arial"/>
          <w:spacing w:val="-11"/>
        </w:rPr>
        <w:t> </w:t>
      </w:r>
      <w:r>
        <w:rPr>
          <w:rFonts w:ascii="Arial"/>
        </w:rPr>
        <w:t>now</w:t>
      </w:r>
      <w:r>
        <w:rPr>
          <w:rFonts w:ascii="Arial"/>
          <w:spacing w:val="-11"/>
        </w:rPr>
        <w:t> </w:t>
      </w:r>
      <w:r>
        <w:rPr>
          <w:rFonts w:ascii="Arial"/>
        </w:rPr>
        <w:t>obtained</w:t>
      </w:r>
      <w:r>
        <w:rPr>
          <w:rFonts w:ascii="Arial"/>
          <w:spacing w:val="-11"/>
        </w:rPr>
        <w:t> </w:t>
      </w:r>
      <w:r>
        <w:rPr>
          <w:rFonts w:ascii="Arial"/>
        </w:rPr>
        <w:t>access</w:t>
      </w:r>
      <w:r>
        <w:rPr>
          <w:rFonts w:ascii="Arial"/>
          <w:spacing w:val="-11"/>
        </w:rPr>
        <w:t> </w:t>
      </w:r>
      <w:r>
        <w:rPr>
          <w:rFonts w:ascii="Arial"/>
        </w:rPr>
        <w:t>to</w:t>
      </w:r>
      <w:r>
        <w:rPr>
          <w:rFonts w:ascii="Arial"/>
          <w:spacing w:val="-11"/>
        </w:rPr>
        <w:t> </w:t>
      </w:r>
      <w:r>
        <w:rPr>
          <w:rFonts w:ascii="Arial"/>
        </w:rPr>
        <w:t>historic</w:t>
      </w:r>
      <w:r>
        <w:rPr>
          <w:rFonts w:ascii="Arial"/>
          <w:spacing w:val="-11"/>
        </w:rPr>
        <w:t> </w:t>
      </w:r>
      <w:r>
        <w:rPr>
          <w:rFonts w:ascii="Arial"/>
        </w:rPr>
        <w:t>NFI</w:t>
      </w:r>
      <w:r>
        <w:rPr>
          <w:rFonts w:ascii="Arial"/>
          <w:spacing w:val="-11"/>
        </w:rPr>
        <w:t> </w:t>
      </w:r>
      <w:r>
        <w:rPr>
          <w:rFonts w:ascii="Arial"/>
        </w:rPr>
        <w:t>data</w:t>
      </w:r>
      <w:r>
        <w:rPr>
          <w:rFonts w:ascii="Arial"/>
          <w:spacing w:val="-11"/>
        </w:rPr>
        <w:t> </w:t>
      </w:r>
      <w:r>
        <w:rPr>
          <w:rFonts w:ascii="Arial"/>
        </w:rPr>
        <w:t>and</w:t>
      </w:r>
      <w:r>
        <w:rPr>
          <w:rFonts w:ascii="Arial"/>
          <w:spacing w:val="-11"/>
        </w:rPr>
        <w:t> </w:t>
      </w:r>
      <w:r>
        <w:rPr>
          <w:rFonts w:ascii="Arial"/>
        </w:rPr>
        <w:t>has commenced</w:t>
      </w:r>
      <w:r>
        <w:rPr>
          <w:rFonts w:ascii="Arial"/>
          <w:spacing w:val="-3"/>
        </w:rPr>
        <w:t> </w:t>
      </w:r>
      <w:r>
        <w:rPr>
          <w:rFonts w:ascii="Arial"/>
        </w:rPr>
        <w:t>a</w:t>
      </w:r>
      <w:r>
        <w:rPr>
          <w:rFonts w:ascii="Arial"/>
          <w:spacing w:val="-3"/>
        </w:rPr>
        <w:t> </w:t>
      </w:r>
      <w:r>
        <w:rPr>
          <w:rFonts w:ascii="Arial"/>
        </w:rPr>
        <w:t>review</w:t>
      </w:r>
      <w:r>
        <w:rPr>
          <w:rFonts w:ascii="Arial"/>
          <w:spacing w:val="-3"/>
        </w:rPr>
        <w:t> </w:t>
      </w:r>
      <w:r>
        <w:rPr>
          <w:rFonts w:ascii="Arial"/>
        </w:rPr>
        <w:t>of</w:t>
      </w:r>
      <w:r>
        <w:rPr>
          <w:rFonts w:ascii="Arial"/>
          <w:spacing w:val="-3"/>
        </w:rPr>
        <w:t> </w:t>
      </w:r>
      <w:r>
        <w:rPr>
          <w:rFonts w:ascii="Arial"/>
        </w:rPr>
        <w:t>checks</w:t>
      </w:r>
      <w:r>
        <w:rPr>
          <w:rFonts w:ascii="Arial"/>
          <w:spacing w:val="-3"/>
        </w:rPr>
        <w:t> </w:t>
      </w:r>
      <w:r>
        <w:rPr>
          <w:rFonts w:ascii="Arial"/>
        </w:rPr>
        <w:t>made</w:t>
      </w:r>
      <w:r>
        <w:rPr>
          <w:rFonts w:ascii="Arial"/>
          <w:spacing w:val="-3"/>
        </w:rPr>
        <w:t> </w:t>
      </w:r>
      <w:r>
        <w:rPr>
          <w:rFonts w:ascii="Arial"/>
        </w:rPr>
        <w:t>on</w:t>
      </w:r>
      <w:r>
        <w:rPr>
          <w:rFonts w:ascii="Arial"/>
          <w:spacing w:val="-3"/>
        </w:rPr>
        <w:t> </w:t>
      </w:r>
      <w:r>
        <w:rPr>
          <w:rFonts w:ascii="Arial"/>
        </w:rPr>
        <w:t>Accounts</w:t>
      </w:r>
      <w:r>
        <w:rPr>
          <w:rFonts w:ascii="Arial"/>
          <w:spacing w:val="-3"/>
        </w:rPr>
        <w:t> </w:t>
      </w:r>
      <w:r>
        <w:rPr>
          <w:rFonts w:ascii="Arial"/>
        </w:rPr>
        <w:t>Payable</w:t>
      </w:r>
      <w:r>
        <w:rPr>
          <w:rFonts w:ascii="Arial"/>
          <w:spacing w:val="-3"/>
        </w:rPr>
        <w:t> </w:t>
      </w:r>
      <w:r>
        <w:rPr>
          <w:rFonts w:ascii="Arial"/>
        </w:rPr>
        <w:t>matches.</w:t>
      </w:r>
      <w:r>
        <w:rPr>
          <w:rFonts w:ascii="Arial"/>
          <w:spacing w:val="-3"/>
        </w:rPr>
        <w:t> </w:t>
      </w:r>
      <w:r>
        <w:rPr>
          <w:rFonts w:ascii="Arial"/>
        </w:rPr>
        <w:t>This</w:t>
      </w:r>
      <w:r>
        <w:rPr>
          <w:rFonts w:ascii="Arial"/>
          <w:spacing w:val="-3"/>
        </w:rPr>
        <w:t> </w:t>
      </w:r>
      <w:r>
        <w:rPr>
          <w:rFonts w:ascii="Arial"/>
        </w:rPr>
        <w:t>will be</w:t>
      </w:r>
      <w:r>
        <w:rPr>
          <w:rFonts w:ascii="Arial"/>
          <w:spacing w:val="-10"/>
        </w:rPr>
        <w:t> </w:t>
      </w:r>
      <w:r>
        <w:rPr>
          <w:rFonts w:ascii="Arial"/>
        </w:rPr>
        <w:t>used</w:t>
      </w:r>
      <w:r>
        <w:rPr>
          <w:rFonts w:ascii="Arial"/>
          <w:spacing w:val="-10"/>
        </w:rPr>
        <w:t> </w:t>
      </w:r>
      <w:r>
        <w:rPr>
          <w:rFonts w:ascii="Arial"/>
        </w:rPr>
        <w:t>to</w:t>
      </w:r>
      <w:r>
        <w:rPr>
          <w:rFonts w:ascii="Arial"/>
          <w:spacing w:val="-10"/>
        </w:rPr>
        <w:t> </w:t>
      </w:r>
      <w:r>
        <w:rPr>
          <w:rFonts w:ascii="Arial"/>
        </w:rPr>
        <w:t>consider</w:t>
      </w:r>
      <w:r>
        <w:rPr>
          <w:rFonts w:ascii="Arial"/>
          <w:spacing w:val="-10"/>
        </w:rPr>
        <w:t> </w:t>
      </w:r>
      <w:r>
        <w:rPr>
          <w:rFonts w:ascii="Arial"/>
        </w:rPr>
        <w:t>the</w:t>
      </w:r>
      <w:r>
        <w:rPr>
          <w:rFonts w:ascii="Arial"/>
          <w:spacing w:val="-10"/>
        </w:rPr>
        <w:t> </w:t>
      </w:r>
      <w:r>
        <w:rPr>
          <w:rFonts w:ascii="Arial"/>
        </w:rPr>
        <w:t>best</w:t>
      </w:r>
      <w:r>
        <w:rPr>
          <w:rFonts w:ascii="Arial"/>
          <w:spacing w:val="-10"/>
        </w:rPr>
        <w:t> </w:t>
      </w:r>
      <w:r>
        <w:rPr>
          <w:rFonts w:ascii="Arial"/>
        </w:rPr>
        <w:t>use</w:t>
      </w:r>
      <w:r>
        <w:rPr>
          <w:rFonts w:ascii="Arial"/>
          <w:spacing w:val="-10"/>
        </w:rPr>
        <w:t> </w:t>
      </w:r>
      <w:r>
        <w:rPr>
          <w:rFonts w:ascii="Arial"/>
        </w:rPr>
        <w:t>of</w:t>
      </w:r>
      <w:r>
        <w:rPr>
          <w:rFonts w:ascii="Arial"/>
          <w:spacing w:val="-10"/>
        </w:rPr>
        <w:t> </w:t>
      </w:r>
      <w:r>
        <w:rPr>
          <w:rFonts w:ascii="Arial"/>
        </w:rPr>
        <w:t>resources</w:t>
      </w:r>
      <w:r>
        <w:rPr>
          <w:rFonts w:ascii="Arial"/>
          <w:spacing w:val="-10"/>
        </w:rPr>
        <w:t> </w:t>
      </w:r>
      <w:r>
        <w:rPr>
          <w:rFonts w:ascii="Arial"/>
        </w:rPr>
        <w:t>for</w:t>
      </w:r>
      <w:r>
        <w:rPr>
          <w:rFonts w:ascii="Arial"/>
          <w:spacing w:val="-10"/>
        </w:rPr>
        <w:t> </w:t>
      </w:r>
      <w:r>
        <w:rPr>
          <w:rFonts w:ascii="Arial"/>
        </w:rPr>
        <w:t>checking</w:t>
      </w:r>
      <w:r>
        <w:rPr>
          <w:rFonts w:ascii="Arial"/>
          <w:spacing w:val="-10"/>
        </w:rPr>
        <w:t> </w:t>
      </w:r>
      <w:r>
        <w:rPr>
          <w:rFonts w:ascii="Arial"/>
        </w:rPr>
        <w:t>the</w:t>
      </w:r>
      <w:r>
        <w:rPr>
          <w:rFonts w:ascii="Arial"/>
          <w:spacing w:val="-10"/>
        </w:rPr>
        <w:t> </w:t>
      </w:r>
      <w:r>
        <w:rPr>
          <w:rFonts w:ascii="Arial"/>
        </w:rPr>
        <w:t>forthcoming</w:t>
      </w:r>
      <w:r>
        <w:rPr>
          <w:rFonts w:ascii="Arial"/>
          <w:spacing w:val="-10"/>
        </w:rPr>
        <w:t> </w:t>
      </w:r>
      <w:r>
        <w:rPr>
          <w:rFonts w:ascii="Arial"/>
        </w:rPr>
        <w:t>NFI data output.</w:t>
      </w:r>
    </w:p>
    <w:p>
      <w:pPr>
        <w:pStyle w:val="BodyText"/>
        <w:spacing w:before="10"/>
        <w:rPr>
          <w:rFonts w:ascii="Arial"/>
          <w:sz w:val="20"/>
        </w:rPr>
      </w:pPr>
    </w:p>
    <w:p>
      <w:pPr>
        <w:spacing w:before="0"/>
        <w:ind w:left="2160" w:right="0" w:firstLine="0"/>
        <w:jc w:val="left"/>
        <w:rPr>
          <w:rFonts w:ascii="Arial"/>
          <w:i/>
          <w:sz w:val="24"/>
        </w:rPr>
      </w:pPr>
      <w:r>
        <w:rPr>
          <w:rFonts w:ascii="Arial"/>
          <w:i/>
          <w:color w:val="4472C4"/>
          <w:spacing w:val="-2"/>
          <w:sz w:val="24"/>
        </w:rPr>
        <w:t>Other</w:t>
      </w:r>
    </w:p>
    <w:p>
      <w:pPr>
        <w:pStyle w:val="BodyText"/>
        <w:spacing w:before="10"/>
        <w:rPr>
          <w:rFonts w:ascii="Arial"/>
          <w:i/>
          <w:sz w:val="32"/>
        </w:rPr>
      </w:pPr>
    </w:p>
    <w:p>
      <w:pPr>
        <w:pStyle w:val="BodyText"/>
        <w:ind w:left="2160" w:right="1405"/>
        <w:rPr>
          <w:rFonts w:ascii="Arial"/>
        </w:rPr>
      </w:pPr>
      <w:r>
        <w:rPr>
          <w:rFonts w:ascii="Arial"/>
        </w:rPr>
        <w:t>Work</w:t>
      </w:r>
      <w:r>
        <w:rPr>
          <w:rFonts w:ascii="Arial"/>
          <w:spacing w:val="-15"/>
        </w:rPr>
        <w:t> </w:t>
      </w:r>
      <w:r>
        <w:rPr>
          <w:rFonts w:ascii="Arial"/>
        </w:rPr>
        <w:t>is</w:t>
      </w:r>
      <w:r>
        <w:rPr>
          <w:rFonts w:ascii="Arial"/>
          <w:spacing w:val="-15"/>
        </w:rPr>
        <w:t> </w:t>
      </w:r>
      <w:r>
        <w:rPr>
          <w:rFonts w:ascii="Arial"/>
        </w:rPr>
        <w:t>ongoing</w:t>
      </w:r>
      <w:r>
        <w:rPr>
          <w:rFonts w:ascii="Arial"/>
          <w:spacing w:val="-15"/>
        </w:rPr>
        <w:t> </w:t>
      </w:r>
      <w:r>
        <w:rPr>
          <w:rFonts w:ascii="Arial"/>
        </w:rPr>
        <w:t>on</w:t>
      </w:r>
      <w:r>
        <w:rPr>
          <w:rFonts w:ascii="Arial"/>
          <w:spacing w:val="-15"/>
        </w:rPr>
        <w:t> </w:t>
      </w:r>
      <w:r>
        <w:rPr>
          <w:rFonts w:ascii="Arial"/>
        </w:rPr>
        <w:t>relevant</w:t>
      </w:r>
      <w:r>
        <w:rPr>
          <w:rFonts w:ascii="Arial"/>
          <w:spacing w:val="-15"/>
        </w:rPr>
        <w:t> </w:t>
      </w:r>
      <w:r>
        <w:rPr>
          <w:rFonts w:ascii="Arial"/>
        </w:rPr>
        <w:t>projects</w:t>
      </w:r>
      <w:r>
        <w:rPr>
          <w:rFonts w:ascii="Arial"/>
          <w:spacing w:val="-15"/>
        </w:rPr>
        <w:t> </w:t>
      </w:r>
      <w:r>
        <w:rPr>
          <w:rFonts w:ascii="Arial"/>
        </w:rPr>
        <w:t>with</w:t>
      </w:r>
      <w:r>
        <w:rPr>
          <w:rFonts w:ascii="Arial"/>
          <w:spacing w:val="-15"/>
        </w:rPr>
        <w:t> </w:t>
      </w:r>
      <w:r>
        <w:rPr>
          <w:rFonts w:ascii="Arial"/>
        </w:rPr>
        <w:t>NHS</w:t>
      </w:r>
      <w:r>
        <w:rPr>
          <w:rFonts w:ascii="Arial"/>
          <w:spacing w:val="-15"/>
        </w:rPr>
        <w:t> </w:t>
      </w:r>
      <w:r>
        <w:rPr>
          <w:rFonts w:ascii="Arial"/>
        </w:rPr>
        <w:t>CFS</w:t>
      </w:r>
      <w:r>
        <w:rPr>
          <w:rFonts w:ascii="Arial"/>
          <w:spacing w:val="-15"/>
        </w:rPr>
        <w:t> </w:t>
      </w:r>
      <w:r>
        <w:rPr>
          <w:rFonts w:ascii="Arial"/>
        </w:rPr>
        <w:t>Wales</w:t>
      </w:r>
      <w:r>
        <w:rPr>
          <w:rFonts w:ascii="Arial"/>
          <w:spacing w:val="-15"/>
        </w:rPr>
        <w:t> </w:t>
      </w:r>
      <w:r>
        <w:rPr>
          <w:rFonts w:ascii="Arial"/>
        </w:rPr>
        <w:t>to</w:t>
      </w:r>
      <w:r>
        <w:rPr>
          <w:rFonts w:ascii="Arial"/>
          <w:spacing w:val="-15"/>
        </w:rPr>
        <w:t> </w:t>
      </w:r>
      <w:r>
        <w:rPr>
          <w:rFonts w:ascii="Arial"/>
        </w:rPr>
        <w:t>ensure</w:t>
      </w:r>
      <w:r>
        <w:rPr>
          <w:rFonts w:ascii="Arial"/>
          <w:spacing w:val="-15"/>
        </w:rPr>
        <w:t> </w:t>
      </w:r>
      <w:r>
        <w:rPr>
          <w:rFonts w:ascii="Arial"/>
        </w:rPr>
        <w:t>continuity, which will also benefit NWSSP Local Counter Fraud as follows:</w:t>
      </w:r>
    </w:p>
    <w:p>
      <w:pPr>
        <w:pStyle w:val="BodyText"/>
        <w:spacing w:before="10"/>
        <w:rPr>
          <w:rFonts w:ascii="Arial"/>
          <w:sz w:val="20"/>
        </w:rPr>
      </w:pPr>
    </w:p>
    <w:p>
      <w:pPr>
        <w:pStyle w:val="ListParagraph"/>
        <w:numPr>
          <w:ilvl w:val="0"/>
          <w:numId w:val="30"/>
        </w:numPr>
        <w:tabs>
          <w:tab w:pos="2880" w:val="left" w:leader="none"/>
        </w:tabs>
        <w:spacing w:line="240" w:lineRule="auto" w:before="0" w:after="0"/>
        <w:ind w:left="2880" w:right="1438" w:hanging="360"/>
        <w:jc w:val="both"/>
        <w:rPr>
          <w:rFonts w:ascii="Arial" w:hAnsi="Arial"/>
          <w:sz w:val="24"/>
        </w:rPr>
      </w:pPr>
      <w:r>
        <w:rPr>
          <w:rFonts w:ascii="Arial" w:hAnsi="Arial"/>
          <w:sz w:val="24"/>
        </w:rPr>
        <w:t>Development of the All-Wales Fraud Awareness E-Learning module as detailed earlier in this report.</w:t>
      </w:r>
    </w:p>
    <w:p>
      <w:pPr>
        <w:pStyle w:val="ListParagraph"/>
        <w:numPr>
          <w:ilvl w:val="0"/>
          <w:numId w:val="30"/>
        </w:numPr>
        <w:tabs>
          <w:tab w:pos="2880" w:val="left" w:leader="none"/>
        </w:tabs>
        <w:spacing w:line="240" w:lineRule="auto" w:before="0" w:after="0"/>
        <w:ind w:left="2880" w:right="1437" w:hanging="360"/>
        <w:jc w:val="both"/>
        <w:rPr>
          <w:rFonts w:ascii="Arial" w:hAnsi="Arial"/>
          <w:sz w:val="24"/>
        </w:rPr>
      </w:pPr>
      <w:r>
        <w:rPr>
          <w:rFonts w:ascii="Arial" w:hAnsi="Arial"/>
          <w:sz w:val="24"/>
        </w:rPr>
        <w:t>Community Pharmacy Data Analytics Exercise - a long-term data analytical exercise with NHS CFS Wales and Audit Wales to analyse Primary Care Services Community Pharmacy Services claims data for expensive items to identify and assess unusual claiming trends.</w:t>
      </w:r>
      <w:r>
        <w:rPr>
          <w:rFonts w:ascii="Arial" w:hAnsi="Arial"/>
          <w:spacing w:val="40"/>
          <w:sz w:val="24"/>
        </w:rPr>
        <w:t> </w:t>
      </w:r>
      <w:r>
        <w:rPr>
          <w:rFonts w:ascii="Arial" w:hAnsi="Arial"/>
          <w:sz w:val="24"/>
        </w:rPr>
        <w:t>The exercise</w:t>
      </w:r>
      <w:r>
        <w:rPr>
          <w:rFonts w:ascii="Arial" w:hAnsi="Arial"/>
          <w:spacing w:val="-2"/>
          <w:sz w:val="24"/>
        </w:rPr>
        <w:t> </w:t>
      </w:r>
      <w:r>
        <w:rPr>
          <w:rFonts w:ascii="Arial" w:hAnsi="Arial"/>
          <w:sz w:val="24"/>
        </w:rPr>
        <w:t>is</w:t>
      </w:r>
      <w:r>
        <w:rPr>
          <w:rFonts w:ascii="Arial" w:hAnsi="Arial"/>
          <w:spacing w:val="-2"/>
          <w:sz w:val="24"/>
        </w:rPr>
        <w:t> </w:t>
      </w:r>
      <w:r>
        <w:rPr>
          <w:rFonts w:ascii="Arial" w:hAnsi="Arial"/>
          <w:sz w:val="24"/>
        </w:rPr>
        <w:t>still</w:t>
      </w:r>
      <w:r>
        <w:rPr>
          <w:rFonts w:ascii="Arial" w:hAnsi="Arial"/>
          <w:spacing w:val="-2"/>
          <w:sz w:val="24"/>
        </w:rPr>
        <w:t> </w:t>
      </w:r>
      <w:r>
        <w:rPr>
          <w:rFonts w:ascii="Arial" w:hAnsi="Arial"/>
          <w:sz w:val="24"/>
        </w:rPr>
        <w:t>in</w:t>
      </w:r>
      <w:r>
        <w:rPr>
          <w:rFonts w:ascii="Arial" w:hAnsi="Arial"/>
          <w:spacing w:val="-2"/>
          <w:sz w:val="24"/>
        </w:rPr>
        <w:t> </w:t>
      </w:r>
      <w:r>
        <w:rPr>
          <w:rFonts w:ascii="Arial" w:hAnsi="Arial"/>
          <w:sz w:val="24"/>
        </w:rPr>
        <w:t>a</w:t>
      </w:r>
      <w:r>
        <w:rPr>
          <w:rFonts w:ascii="Arial" w:hAnsi="Arial"/>
          <w:spacing w:val="-2"/>
          <w:sz w:val="24"/>
        </w:rPr>
        <w:t> </w:t>
      </w:r>
      <w:r>
        <w:rPr>
          <w:rFonts w:ascii="Arial" w:hAnsi="Arial"/>
          <w:sz w:val="24"/>
        </w:rPr>
        <w:t>pilot</w:t>
      </w:r>
      <w:r>
        <w:rPr>
          <w:rFonts w:ascii="Arial" w:hAnsi="Arial"/>
          <w:spacing w:val="-2"/>
          <w:sz w:val="24"/>
        </w:rPr>
        <w:t> </w:t>
      </w:r>
      <w:r>
        <w:rPr>
          <w:rFonts w:ascii="Arial" w:hAnsi="Arial"/>
          <w:sz w:val="24"/>
        </w:rPr>
        <w:t>stage</w:t>
      </w:r>
      <w:r>
        <w:rPr>
          <w:rFonts w:ascii="Arial" w:hAnsi="Arial"/>
          <w:spacing w:val="-2"/>
          <w:sz w:val="24"/>
        </w:rPr>
        <w:t> </w:t>
      </w:r>
      <w:r>
        <w:rPr>
          <w:rFonts w:ascii="Arial" w:hAnsi="Arial"/>
          <w:sz w:val="24"/>
        </w:rPr>
        <w:t>with</w:t>
      </w:r>
      <w:r>
        <w:rPr>
          <w:rFonts w:ascii="Arial" w:hAnsi="Arial"/>
          <w:spacing w:val="-2"/>
          <w:sz w:val="24"/>
        </w:rPr>
        <w:t> </w:t>
      </w:r>
      <w:r>
        <w:rPr>
          <w:rFonts w:ascii="Arial" w:hAnsi="Arial"/>
          <w:sz w:val="24"/>
        </w:rPr>
        <w:t>two</w:t>
      </w:r>
      <w:r>
        <w:rPr>
          <w:rFonts w:ascii="Arial" w:hAnsi="Arial"/>
          <w:spacing w:val="-2"/>
          <w:sz w:val="24"/>
        </w:rPr>
        <w:t> </w:t>
      </w:r>
      <w:r>
        <w:rPr>
          <w:rFonts w:ascii="Arial" w:hAnsi="Arial"/>
          <w:sz w:val="24"/>
        </w:rPr>
        <w:t>Health</w:t>
      </w:r>
      <w:r>
        <w:rPr>
          <w:rFonts w:ascii="Arial" w:hAnsi="Arial"/>
          <w:spacing w:val="-2"/>
          <w:sz w:val="24"/>
        </w:rPr>
        <w:t> </w:t>
      </w:r>
      <w:r>
        <w:rPr>
          <w:rFonts w:ascii="Arial" w:hAnsi="Arial"/>
          <w:sz w:val="24"/>
        </w:rPr>
        <w:t>Board’s</w:t>
      </w:r>
      <w:r>
        <w:rPr>
          <w:rFonts w:ascii="Arial" w:hAnsi="Arial"/>
          <w:spacing w:val="-2"/>
          <w:sz w:val="24"/>
        </w:rPr>
        <w:t> </w:t>
      </w:r>
      <w:r>
        <w:rPr>
          <w:rFonts w:ascii="Arial" w:hAnsi="Arial"/>
          <w:sz w:val="24"/>
        </w:rPr>
        <w:t>data</w:t>
      </w:r>
      <w:r>
        <w:rPr>
          <w:rFonts w:ascii="Arial" w:hAnsi="Arial"/>
          <w:spacing w:val="-2"/>
          <w:sz w:val="24"/>
        </w:rPr>
        <w:t> </w:t>
      </w:r>
      <w:r>
        <w:rPr>
          <w:rFonts w:ascii="Arial" w:hAnsi="Arial"/>
          <w:sz w:val="24"/>
        </w:rPr>
        <w:t>used</w:t>
      </w:r>
      <w:r>
        <w:rPr>
          <w:rFonts w:ascii="Arial" w:hAnsi="Arial"/>
          <w:spacing w:val="-2"/>
          <w:sz w:val="24"/>
        </w:rPr>
        <w:t> </w:t>
      </w:r>
      <w:r>
        <w:rPr>
          <w:rFonts w:ascii="Arial" w:hAnsi="Arial"/>
          <w:sz w:val="24"/>
        </w:rPr>
        <w:t>to</w:t>
      </w:r>
      <w:r>
        <w:rPr>
          <w:rFonts w:ascii="Arial" w:hAnsi="Arial"/>
          <w:spacing w:val="-2"/>
          <w:sz w:val="24"/>
        </w:rPr>
        <w:t> </w:t>
      </w:r>
      <w:r>
        <w:rPr>
          <w:rFonts w:ascii="Arial" w:hAnsi="Arial"/>
          <w:sz w:val="24"/>
        </w:rPr>
        <w:t>test analyse the data and collaborate with the Pharmacy Teams. The NWSSP LCFS Manager will continue to engage with the project with CFS Wales, Audit Wales and the Health Boards involved.</w:t>
      </w:r>
    </w:p>
    <w:p>
      <w:pPr>
        <w:pStyle w:val="ListParagraph"/>
        <w:numPr>
          <w:ilvl w:val="0"/>
          <w:numId w:val="30"/>
        </w:numPr>
        <w:tabs>
          <w:tab w:pos="2880" w:val="left" w:leader="none"/>
        </w:tabs>
        <w:spacing w:line="240" w:lineRule="auto" w:before="0" w:after="0"/>
        <w:ind w:left="2880" w:right="1438" w:hanging="360"/>
        <w:jc w:val="both"/>
        <w:rPr>
          <w:rFonts w:ascii="Arial" w:hAnsi="Arial"/>
          <w:sz w:val="24"/>
        </w:rPr>
      </w:pPr>
      <w:r>
        <w:rPr>
          <w:rFonts w:ascii="Arial" w:hAnsi="Arial"/>
          <w:sz w:val="24"/>
        </w:rPr>
        <w:t>The NWSSP Lead LCFS also met with CFS Wales, Audit Wales, NWSSP Primary Care Services and others to consider a further data analytical exercise to provide assurance on General Medical Services Patient Registration and Capitation Fees. Further meetings have taken place</w:t>
      </w:r>
      <w:r>
        <w:rPr>
          <w:rFonts w:ascii="Arial" w:hAnsi="Arial"/>
          <w:spacing w:val="40"/>
          <w:sz w:val="24"/>
        </w:rPr>
        <w:t> </w:t>
      </w:r>
      <w:r>
        <w:rPr>
          <w:rFonts w:ascii="Arial" w:hAnsi="Arial"/>
          <w:sz w:val="24"/>
        </w:rPr>
        <w:t>with Audit Wales, NWSSP, and the BCUHB Lead LCFS’.</w:t>
      </w:r>
    </w:p>
    <w:p>
      <w:pPr>
        <w:spacing w:after="0" w:line="240" w:lineRule="auto"/>
        <w:jc w:val="both"/>
        <w:rPr>
          <w:rFonts w:ascii="Arial" w:hAnsi="Arial"/>
          <w:sz w:val="24"/>
        </w:rPr>
        <w:sectPr>
          <w:pgSz w:w="11910" w:h="16840"/>
          <w:pgMar w:header="0" w:footer="1007" w:top="1860" w:bottom="1200" w:left="0" w:right="0"/>
        </w:sectPr>
      </w:pPr>
    </w:p>
    <w:p>
      <w:pPr>
        <w:spacing w:before="70"/>
        <w:ind w:left="1440" w:right="0" w:firstLine="0"/>
        <w:jc w:val="left"/>
        <w:rPr>
          <w:rFonts w:ascii="Arial"/>
          <w:b/>
          <w:sz w:val="24"/>
        </w:rPr>
      </w:pPr>
      <w:bookmarkStart w:name=" 5.1.1 Fraud awareness week summary.pdf" w:id="60"/>
      <w:bookmarkEnd w:id="60"/>
      <w:r>
        <w:rPr/>
      </w:r>
      <w:r>
        <w:rPr>
          <w:rFonts w:ascii="Arial"/>
          <w:b/>
          <w:sz w:val="24"/>
        </w:rPr>
        <w:t>Summary</w:t>
      </w:r>
      <w:r>
        <w:rPr>
          <w:rFonts w:ascii="Arial"/>
          <w:b/>
          <w:spacing w:val="-4"/>
          <w:sz w:val="24"/>
        </w:rPr>
        <w:t> </w:t>
      </w:r>
      <w:r>
        <w:rPr>
          <w:rFonts w:ascii="Arial"/>
          <w:b/>
          <w:sz w:val="24"/>
        </w:rPr>
        <w:t>of</w:t>
      </w:r>
      <w:r>
        <w:rPr>
          <w:rFonts w:ascii="Arial"/>
          <w:b/>
          <w:spacing w:val="-2"/>
          <w:sz w:val="24"/>
        </w:rPr>
        <w:t> </w:t>
      </w:r>
      <w:r>
        <w:rPr>
          <w:rFonts w:ascii="Arial"/>
          <w:b/>
          <w:sz w:val="24"/>
        </w:rPr>
        <w:t>NWSP</w:t>
      </w:r>
      <w:r>
        <w:rPr>
          <w:rFonts w:ascii="Arial"/>
          <w:b/>
          <w:spacing w:val="-3"/>
          <w:sz w:val="24"/>
        </w:rPr>
        <w:t> </w:t>
      </w:r>
      <w:r>
        <w:rPr>
          <w:rFonts w:ascii="Arial"/>
          <w:b/>
          <w:sz w:val="24"/>
        </w:rPr>
        <w:t>International</w:t>
      </w:r>
      <w:r>
        <w:rPr>
          <w:rFonts w:ascii="Arial"/>
          <w:b/>
          <w:spacing w:val="-3"/>
          <w:sz w:val="24"/>
        </w:rPr>
        <w:t> </w:t>
      </w:r>
      <w:r>
        <w:rPr>
          <w:rFonts w:ascii="Arial"/>
          <w:b/>
          <w:sz w:val="24"/>
        </w:rPr>
        <w:t>Fraud</w:t>
      </w:r>
      <w:r>
        <w:rPr>
          <w:rFonts w:ascii="Arial"/>
          <w:b/>
          <w:spacing w:val="-2"/>
          <w:sz w:val="24"/>
        </w:rPr>
        <w:t> </w:t>
      </w:r>
      <w:r>
        <w:rPr>
          <w:rFonts w:ascii="Arial"/>
          <w:b/>
          <w:sz w:val="24"/>
        </w:rPr>
        <w:t>Awareness</w:t>
      </w:r>
      <w:r>
        <w:rPr>
          <w:rFonts w:ascii="Arial"/>
          <w:b/>
          <w:spacing w:val="-3"/>
          <w:sz w:val="24"/>
        </w:rPr>
        <w:t> </w:t>
      </w:r>
      <w:r>
        <w:rPr>
          <w:rFonts w:ascii="Arial"/>
          <w:b/>
          <w:sz w:val="24"/>
        </w:rPr>
        <w:t>Week</w:t>
      </w:r>
      <w:r>
        <w:rPr>
          <w:rFonts w:ascii="Arial"/>
          <w:b/>
          <w:spacing w:val="-2"/>
          <w:sz w:val="24"/>
        </w:rPr>
        <w:t> interactions</w:t>
      </w:r>
    </w:p>
    <w:p>
      <w:pPr>
        <w:pStyle w:val="BodyText"/>
        <w:spacing w:before="7"/>
        <w:rPr>
          <w:rFonts w:ascii="Arial"/>
          <w:b/>
          <w:sz w:val="10"/>
        </w:rPr>
      </w:pPr>
      <w:r>
        <w:rPr/>
        <w:pict>
          <v:group style="position:absolute;margin-left:21.974998pt;margin-top:7.326149pt;width:326.25pt;height:161.75pt;mso-position-horizontal-relative:page;mso-position-vertical-relative:paragraph;z-index:-15658496;mso-wrap-distance-left:0;mso-wrap-distance-right:0" id="docshapegroup325" coordorigin="439,147" coordsize="6525,3235">
            <v:rect style="position:absolute;left:447;top:154;width:6510;height:3220" id="docshape326" filled="true" fillcolor="#bbd6ee" stroked="false">
              <v:fill type="solid"/>
            </v:rect>
            <v:rect style="position:absolute;left:447;top:154;width:6510;height:3220" id="docshape327" filled="false" stroked="true" strokeweight=".75pt" strokecolor="#bfbfbf">
              <v:stroke dashstyle="solid"/>
            </v:rect>
            <v:shape style="position:absolute;left:2883;top:851;width:2;height:1027" id="docshape328" coordorigin="2883,852" coordsize="0,1027" path="m2883,1878l2883,852,2883,1878xe" filled="true" fillcolor="#4f88bb" stroked="false">
              <v:path arrowok="t"/>
              <v:fill type="solid"/>
            </v:shape>
            <v:line style="position:absolute" from="2883,852" to="2883,1878" stroked="true" strokeweight="0pt" strokecolor="#4f88bb">
              <v:stroke dashstyle="solid"/>
            </v:line>
            <v:rect style="position:absolute;left:2831;top:852;width:52;height:1026" id="docshape329" filled="true" fillcolor="#41719c" stroked="false">
              <v:fill type="solid"/>
            </v:rect>
            <v:shape style="position:absolute;left:2831;top:852;width:52;height:1213" id="docshape330" coordorigin="2832,852" coordsize="52,1213" path="m2832,852l2883,1878,2883,2065,2832,1039,2832,852xe" filled="false" stroked="true" strokeweight="0pt" strokecolor="#41719c">
              <v:path arrowok="t"/>
              <v:stroke dashstyle="solid"/>
            </v:shape>
            <v:rect style="position:absolute;left:2831;top:852;width:52;height:1026" id="docshape331" filled="true" fillcolor="#e1a900" stroked="false">
              <v:fill type="solid"/>
            </v:rect>
            <v:shape style="position:absolute;left:2831;top:852;width:52;height:1213" id="docshape332" coordorigin="2832,852" coordsize="52,1213" path="m2832,852l2883,1878,2883,2065,2832,1039,2832,852xe" filled="false" stroked="true" strokeweight="0pt" strokecolor="#e1a900">
              <v:path arrowok="t"/>
              <v:stroke dashstyle="solid"/>
            </v:shape>
            <v:rect style="position:absolute;left:1429;top:1878;width:1454;height:187" id="docshape333" filled="true" fillcolor="#e1a900" stroked="false">
              <v:fill type="solid"/>
            </v:rect>
            <v:rect style="position:absolute;left:1429;top:1878;width:1454;height:187" id="docshape334" filled="false" stroked="true" strokeweight="0pt" strokecolor="#e1a900">
              <v:stroke dashstyle="solid"/>
            </v:rect>
            <v:shape style="position:absolute;left:2883;top:1878;width:2;height:1300" id="docshape335" coordorigin="2883,1878" coordsize="0,1300" path="m2883,3178l2883,2991,2883,1878,2883,3178xe" filled="true" fillcolor="#bc8c00" stroked="false">
              <v:path arrowok="t"/>
              <v:fill type="solid"/>
            </v:shape>
            <v:shape style="position:absolute;left:2883;top:1878;width:2;height:1300" id="docshape336" coordorigin="2883,1878" coordsize="0,1300" path="m2883,2991l2883,1878,2883,2065,2883,3178,2883,2991xe" filled="false" stroked="true" strokeweight="0pt" strokecolor="#bc8c00">
              <v:path arrowok="t"/>
              <v:stroke dashstyle="solid"/>
            </v:shape>
            <v:shape style="position:absolute;left:2883;top:851;width:2;height:1214" id="docshape337" coordorigin="2883,852" coordsize="0,1214" path="m2883,2065l2883,852,2883,2065xe" filled="true" fillcolor="#2f528f" stroked="false">
              <v:path arrowok="t"/>
              <v:fill type="solid"/>
            </v:shape>
            <v:shape style="position:absolute;left:2883;top:851;width:2;height:1214" id="docshape338" coordorigin="2883,852" coordsize="0,1214" path="m2883,852l2883,1878,2883,2065,2883,1038,2883,852xe" filled="false" stroked="true" strokeweight="0pt" strokecolor="#2f528f">
              <v:path arrowok="t"/>
              <v:stroke dashstyle="solid"/>
            </v:shape>
            <v:shape style="position:absolute;left:2883;top:894;width:414;height:1171" id="docshape339" coordorigin="2883,894" coordsize="414,1171" path="m2883,2065l2883,1878,3296,894,3296,1081,2883,2065xe" filled="true" fillcolor="#3b64ac" stroked="false">
              <v:path arrowok="t"/>
              <v:fill type="solid"/>
            </v:shape>
            <v:shape style="position:absolute;left:2883;top:894;width:414;height:1171" id="docshape340" coordorigin="2883,894" coordsize="414,1171" path="m3296,894l2883,1878,2883,2065,3296,1081,3296,894xe" filled="false" stroked="true" strokeweight="0pt" strokecolor="#3b64ac">
              <v:path arrowok="t"/>
              <v:stroke dashstyle="solid"/>
            </v:shape>
            <v:shape style="position:absolute;left:2883;top:894;width:414;height:1171" id="docshape341" coordorigin="2883,894" coordsize="414,1171" path="m2883,2065l2883,1878,3296,894,3296,1081,2883,2065xe" filled="true" fillcolor="#ae5a21" stroked="false">
              <v:path arrowok="t"/>
              <v:fill type="solid"/>
            </v:shape>
            <v:shape style="position:absolute;left:2883;top:894;width:414;height:1171" id="docshape342" coordorigin="2883,894" coordsize="414,1171" path="m3296,894l2883,1878,2883,2065,3296,1081,3296,894xe" filled="false" stroked="true" strokeweight="0pt" strokecolor="#ae5a21">
              <v:path arrowok="t"/>
              <v:stroke dashstyle="solid"/>
            </v:shape>
            <v:shape style="position:absolute;left:2883;top:916;width:507;height:1149" id="docshape343" coordorigin="2883,916" coordsize="507,1149" path="m2883,2065l2883,1878,3390,916,3390,1103,2883,2065xe" filled="true" fillcolor="#d16c2a" stroked="false">
              <v:path arrowok="t"/>
              <v:fill type="solid"/>
            </v:shape>
            <v:shape style="position:absolute;left:2883;top:916;width:507;height:1149" id="docshape344" coordorigin="2883,916" coordsize="507,1149" path="m3390,916l2883,1878,2883,2065,3390,1103,3390,916xe" filled="false" stroked="true" strokeweight="0pt" strokecolor="#d16c2a">
              <v:path arrowok="t"/>
              <v:stroke dashstyle="solid"/>
            </v:shape>
            <v:shape style="position:absolute;left:2883;top:916;width:507;height:1149" id="docshape345" coordorigin="2883,916" coordsize="507,1149" path="m2883,2065l2883,1878,3390,916,3390,1103,2883,2065xe" filled="true" fillcolor="#787878" stroked="false">
              <v:path arrowok="t"/>
              <v:fill type="solid"/>
            </v:shape>
            <v:shape style="position:absolute;left:2883;top:916;width:507;height:1149" id="docshape346" coordorigin="2883,916" coordsize="507,1149" path="m3390,916l2883,1878,2883,2065,3390,1103,3390,916xe" filled="false" stroked="true" strokeweight="0pt" strokecolor="#787878">
              <v:path arrowok="t"/>
              <v:stroke dashstyle="solid"/>
            </v:shape>
            <v:shape style="position:absolute;left:2883;top:1687;width:1428;height:378" id="docshape347" coordorigin="2883,1687" coordsize="1428,378" path="m2883,2065l2883,1878,4311,1687,4311,1874,2883,2065xe" filled="true" fillcolor="#919191" stroked="false">
              <v:path arrowok="t"/>
              <v:fill type="solid"/>
            </v:shape>
            <v:shape style="position:absolute;left:2883;top:1687;width:1428;height:378" id="docshape348" coordorigin="2883,1687" coordsize="1428,378" path="m4311,1687l2883,1878,2883,2065,4311,1874,4311,1687xe" filled="false" stroked="true" strokeweight="0pt" strokecolor="#919191">
              <v:path arrowok="t"/>
              <v:stroke dashstyle="solid"/>
            </v:shape>
            <v:shape style="position:absolute;left:2883;top:1687;width:1428;height:378" id="docshape349" coordorigin="2883,1687" coordsize="1428,378" path="m2883,2065l2883,1878,4311,1687,4311,1874,2883,2065xe" filled="true" fillcolor="#bc8c00" stroked="false">
              <v:path arrowok="t"/>
              <v:fill type="solid"/>
            </v:shape>
            <v:shape style="position:absolute;left:2883;top:1687;width:1428;height:378" id="docshape350" coordorigin="2883,1687" coordsize="1428,378" path="m4311,1687l2883,1878,2883,2065,4311,1874,4311,1687xe" filled="false" stroked="true" strokeweight="0pt" strokecolor="#bc8c00">
              <v:path arrowok="t"/>
              <v:stroke dashstyle="solid"/>
            </v:shape>
            <v:rect style="position:absolute;left:2883;top:1878;width:1454;height:187" id="docshape351" filled="true" fillcolor="#bc8c00" stroked="false">
              <v:fill type="solid"/>
            </v:rect>
            <v:rect style="position:absolute;left:2883;top:1878;width:1454;height:187" id="docshape352" filled="false" stroked="true" strokeweight="0pt" strokecolor="#bc8c00">
              <v:stroke dashstyle="solid"/>
            </v:rect>
            <v:shape style="position:absolute;left:2883;top:1878;width:2;height:1300" id="docshape353" coordorigin="2883,1878" coordsize="0,1300" path="m2883,3178l2883,2991,2883,1878,2883,3178xe" filled="true" fillcolor="#e1a900" stroked="false">
              <v:path arrowok="t"/>
              <v:fill type="solid"/>
            </v:shape>
            <v:shape style="position:absolute;left:2883;top:1878;width:2;height:1300" id="docshape354" coordorigin="2883,1878" coordsize="0,1300" path="m2883,2991l2883,1878,2883,2065,2883,3178,2883,2991xe" filled="false" stroked="true" strokeweight="0pt" strokecolor="#e1a900">
              <v:path arrowok="t"/>
              <v:stroke dashstyle="solid"/>
            </v:shape>
            <v:shape style="position:absolute;left:2883;top:851;width:414;height:1027" id="docshape355" coordorigin="2883,852" coordsize="414,1027" path="m2883,1878l2883,852,2967,853,3050,858,3133,867,3215,879,3296,894,2883,1878xe" filled="true" fillcolor="#4472c4" stroked="false">
              <v:path arrowok="t"/>
              <v:fill type="solid"/>
            </v:shape>
            <v:shape style="position:absolute;left:2883;top:851;width:414;height:1027" id="docshape356" coordorigin="2883,852" coordsize="414,1027" path="m2883,852l2967,853,3050,858,3133,867,3215,879,3296,894,2883,1878,2883,852xe" filled="false" stroked="true" strokeweight="0pt" strokecolor="#4472c4">
              <v:path arrowok="t"/>
              <v:stroke dashstyle="solid"/>
            </v:shape>
            <v:shape style="position:absolute;left:2883;top:894;width:507;height:985" id="docshape357" coordorigin="2883,894" coordsize="507,985" path="m2883,1878l3296,894,3320,899,3343,905,3367,910,3390,916,2883,1878xe" filled="true" fillcolor="#ed7d31" stroked="false">
              <v:path arrowok="t"/>
              <v:fill type="solid"/>
            </v:shape>
            <v:shape style="position:absolute;left:2883;top:894;width:507;height:985" id="docshape358" coordorigin="2883,894" coordsize="507,985" path="m3296,894l3320,899,3343,905,3367,910,3390,916,2883,1878,3296,894xe" filled="false" stroked="true" strokeweight="0pt" strokecolor="#ed7d31">
              <v:path arrowok="t"/>
              <v:stroke dashstyle="solid"/>
            </v:shape>
            <v:shape style="position:absolute;left:2883;top:916;width:1428;height:962" id="docshape359" coordorigin="2883,916" coordsize="1428,962" path="m2883,1878l3390,916,3474,940,3555,968,3633,999,3708,1033,3780,1070,3848,1111,3913,1154,3973,1200,4030,1248,4083,1299,4131,1352,4175,1408,4214,1466,4245,1520,4271,1575,4293,1631,4311,1687,2883,1878xe" filled="true" fillcolor="#a5a5a5" stroked="false">
              <v:path arrowok="t"/>
              <v:fill type="solid"/>
            </v:shape>
            <v:shape style="position:absolute;left:2883;top:916;width:1428;height:962" id="docshape360" coordorigin="2883,916" coordsize="1428,962" path="m3390,916l3474,940,3555,968,3633,999,3708,1033,3780,1070,3848,1111,3913,1154,3973,1200,4030,1248,4083,1299,4131,1352,4175,1408,4214,1466,4245,1520,4271,1575,4293,1631,4311,1687,2883,1878,3390,916xe" filled="false" stroked="true" strokeweight="0pt" strokecolor="#a5a5a5">
              <v:path arrowok="t"/>
              <v:stroke dashstyle="solid"/>
            </v:shape>
            <v:shape style="position:absolute;left:1429;top:1878;width:2907;height:1300" type="#_x0000_t75" id="docshape361" stroked="false">
              <v:imagedata r:id="rId102" o:title=""/>
            </v:shape>
            <v:shape style="position:absolute;left:1429;top:852;width:2907;height:2139" id="docshape362" coordorigin="1430,852" coordsize="2907,2139" path="m2883,2991l2803,2990,2724,2985,2646,2976,2568,2965,2492,2950,2416,2932,2343,2911,2270,2887,2199,2860,2131,2830,2064,2797,1999,2762,1925,2715,1855,2665,1790,2611,1730,2555,1674,2496,1625,2435,1580,2371,1541,2305,1508,2237,1480,2168,1458,2097,1443,2025,1433,1952,1430,1878,1433,1807,1444,1737,1461,1668,1484,1600,1514,1533,1551,1469,1593,1406,1641,1345,1695,1287,1754,1232,1819,1179,1889,1129,1965,1083,2045,1040,2115,1007,2188,977,2263,950,2340,926,2419,905,2499,888,2581,874,2663,863,2747,856,2832,852,2883,1878,4336,1878,4333,1952,4323,2025,4308,2097,4286,2168,4258,2237,4225,2305,4186,2371,4141,2435,4092,2496,4036,2555,3976,2611,3911,2665,3841,2715,3767,2762,3702,2797,3635,2830,3567,2860,3496,2887,3424,2911,3350,2932,3274,2950,3198,2965,3120,2976,3042,2985,2963,2990,2883,2991xm4336,1878l2883,1878,4311,1687,4322,1735,4330,1782,4335,1830,4336,1878xe" filled="true" fillcolor="#ffc000" stroked="false">
              <v:path arrowok="t"/>
              <v:fill type="solid"/>
            </v:shape>
            <v:shape style="position:absolute;left:1429;top:852;width:2907;height:2139" id="docshape363" coordorigin="1430,852" coordsize="2907,2139" path="m4311,1687l4322,1735,4330,1782,4335,1830,4336,1878,4333,1952,4323,2025,4308,2097,4286,2168,4258,2237,4225,2305,4186,2371,4141,2435,4092,2496,4036,2555,3976,2611,3911,2665,3841,2715,3767,2762,3702,2797,3635,2830,3567,2860,3496,2887,3424,2911,3350,2932,3274,2950,3198,2965,3120,2976,3042,2985,2963,2990,2883,2991,2803,2990,2724,2985,2646,2976,2568,2965,2492,2950,2416,2932,2343,2911,2270,2887,2199,2860,2131,2830,2064,2797,1999,2762,1925,2715,1855,2665,1790,2611,1730,2555,1674,2496,1625,2435,1580,2371,1541,2305,1508,2237,1480,2168,1458,2097,1443,2025,1433,1952,1430,1878,1433,1807,1444,1737,1461,1668,1484,1600,1514,1533,1551,1469,1593,1406,1641,1345,1695,1287,1754,1232,1819,1179,1889,1129,1965,1083,2045,1040,2115,1007,2188,977,2263,950,2340,926,2419,905,2499,888,2581,874,2663,863,2747,856,2832,852,2883,1878,4311,1687xe" filled="false" stroked="true" strokeweight="0pt" strokecolor="#ffc000">
              <v:path arrowok="t"/>
              <v:stroke dashstyle="solid"/>
            </v:shape>
            <v:shape style="position:absolute;left:2831;top:851;width:52;height:1027" id="docshape364" coordorigin="2832,852" coordsize="52,1027" path="m2883,1878l2832,852,2844,852,2883,852,2883,1878xe" filled="true" fillcolor="#5b9bd5" stroked="false">
              <v:path arrowok="t"/>
              <v:fill type="solid"/>
            </v:shape>
            <v:shape style="position:absolute;left:2831;top:851;width:52;height:1027" id="docshape365" coordorigin="2832,852" coordsize="52,1027" path="m2832,852l2844,852,2857,852,2870,852,2883,852,2883,1878,2832,852xe" filled="false" stroked="true" strokeweight="0pt" strokecolor="#5b9bd5">
              <v:path arrowok="t"/>
              <v:stroke dashstyle="solid"/>
            </v:shape>
            <v:line style="position:absolute" from="3097,863" to="3311,763" stroked="true" strokeweight=".75pt" strokecolor="#7f7f7f">
              <v:stroke dashstyle="solid"/>
            </v:line>
            <v:shape style="position:absolute;left:3098;top:732;width:511;height:451" type="#_x0000_t75" id="docshape366" stroked="false">
              <v:imagedata r:id="rId103" o:title=""/>
            </v:shape>
            <v:shape style="position:absolute;left:3127;top:762;width:368;height:305" type="#_x0000_t75" id="docshape367" stroked="false">
              <v:imagedata r:id="rId104" o:title=""/>
            </v:shape>
            <v:shape style="position:absolute;left:2864;top:1242;width:511;height:451" type="#_x0000_t75" id="docshape368" stroked="false">
              <v:imagedata r:id="rId103" o:title=""/>
            </v:shape>
            <v:shape style="position:absolute;left:2893;top:1272;width:368;height:305" type="#_x0000_t75" id="docshape369" stroked="false">
              <v:imagedata r:id="rId105" o:title=""/>
            </v:shape>
            <v:shape style="position:absolute;left:3154;top:1320;width:616;height:451" type="#_x0000_t75" id="docshape370" stroked="false">
              <v:imagedata r:id="rId106" o:title=""/>
            </v:shape>
            <v:shape style="position:absolute;left:3185;top:1351;width:469;height:305" type="#_x0000_t75" id="docshape371" stroked="false">
              <v:imagedata r:id="rId107" o:title=""/>
            </v:shape>
            <v:shape style="position:absolute;left:2227;top:2164;width:616;height:451" type="#_x0000_t75" id="docshape372" stroked="false">
              <v:imagedata r:id="rId106" o:title=""/>
            </v:shape>
            <v:shape style="position:absolute;left:2258;top:2195;width:469;height:305" type="#_x0000_t75" id="docshape373" stroked="false">
              <v:imagedata r:id="rId108" o:title=""/>
            </v:shape>
            <v:shape style="position:absolute;left:2402;top:1131;width:511;height:451" type="#_x0000_t75" id="docshape374" stroked="false">
              <v:imagedata r:id="rId103" o:title=""/>
            </v:shape>
            <v:shape style="position:absolute;left:2431;top:1162;width:368;height:305" type="#_x0000_t75" id="docshape375" stroked="false">
              <v:imagedata r:id="rId109" o:title=""/>
            </v:shape>
            <v:rect style="position:absolute;left:4762;top:1224;width:2065;height:1699" id="docshape376" filled="true" fillcolor="#f2f2f2" stroked="false">
              <v:fill opacity="25443f" type="solid"/>
            </v:rect>
            <v:rect style="position:absolute;left:4872;top:1356;width:99;height:99" id="docshape377" filled="true" fillcolor="#4472c4" stroked="false">
              <v:fill type="solid"/>
            </v:rect>
            <v:rect style="position:absolute;left:4872;top:1696;width:99;height:99" id="docshape378" filled="true" fillcolor="#ed7d31" stroked="false">
              <v:fill type="solid"/>
            </v:rect>
            <v:rect style="position:absolute;left:4872;top:2036;width:99;height:99" id="docshape379" filled="true" fillcolor="#a5a5a5" stroked="false">
              <v:fill type="solid"/>
            </v:rect>
            <v:rect style="position:absolute;left:4872;top:2376;width:99;height:99" id="docshape380" filled="true" fillcolor="#ffc000" stroked="false">
              <v:fill type="solid"/>
            </v:rect>
            <v:rect style="position:absolute;left:4872;top:2715;width:99;height:99" id="docshape381" filled="true" fillcolor="#5b9bd5" stroked="false">
              <v:fill type="solid"/>
            </v:rect>
            <v:shape style="position:absolute;left:2638;top:376;width:2147;height:657" type="#_x0000_t202" id="docshape382" filled="false" stroked="false">
              <v:textbox inset="0,0,0,0">
                <w:txbxContent>
                  <w:p>
                    <w:pPr>
                      <w:spacing w:line="367" w:lineRule="exact" w:before="0"/>
                      <w:ind w:left="0" w:right="0" w:firstLine="0"/>
                      <w:jc w:val="left"/>
                      <w:rPr>
                        <w:rFonts w:ascii="Calibri"/>
                        <w:b/>
                        <w:sz w:val="36"/>
                      </w:rPr>
                    </w:pPr>
                    <w:r>
                      <w:rPr>
                        <w:rFonts w:ascii="Calibri"/>
                        <w:b/>
                        <w:color w:val="3E3E3E"/>
                        <w:sz w:val="36"/>
                      </w:rPr>
                      <w:t>Type</w:t>
                    </w:r>
                    <w:r>
                      <w:rPr>
                        <w:rFonts w:ascii="Calibri"/>
                        <w:b/>
                        <w:color w:val="3E3E3E"/>
                        <w:spacing w:val="-4"/>
                        <w:sz w:val="36"/>
                      </w:rPr>
                      <w:t> </w:t>
                    </w:r>
                    <w:r>
                      <w:rPr>
                        <w:rFonts w:ascii="Calibri"/>
                        <w:b/>
                        <w:color w:val="3E3E3E"/>
                        <w:sz w:val="36"/>
                      </w:rPr>
                      <w:t>of</w:t>
                    </w:r>
                    <w:r>
                      <w:rPr>
                        <w:rFonts w:ascii="Calibri"/>
                        <w:b/>
                        <w:color w:val="3E3E3E"/>
                        <w:spacing w:val="-2"/>
                        <w:sz w:val="36"/>
                      </w:rPr>
                      <w:t> </w:t>
                    </w:r>
                    <w:r>
                      <w:rPr>
                        <w:rFonts w:ascii="Calibri"/>
                        <w:b/>
                        <w:color w:val="3E3E3E"/>
                        <w:spacing w:val="-4"/>
                        <w:sz w:val="36"/>
                      </w:rPr>
                      <w:t>media</w:t>
                    </w:r>
                  </w:p>
                  <w:p>
                    <w:pPr>
                      <w:spacing w:line="240" w:lineRule="exact" w:before="49"/>
                      <w:ind w:left="548" w:right="0" w:firstLine="0"/>
                      <w:jc w:val="left"/>
                      <w:rPr>
                        <w:rFonts w:ascii="Calibri"/>
                        <w:b/>
                        <w:sz w:val="20"/>
                      </w:rPr>
                    </w:pPr>
                    <w:r>
                      <w:rPr>
                        <w:rFonts w:ascii="Calibri"/>
                        <w:b/>
                        <w:color w:val="FFFFFF"/>
                        <w:spacing w:val="-5"/>
                        <w:sz w:val="20"/>
                      </w:rPr>
                      <w:t>5%</w:t>
                    </w:r>
                  </w:p>
                </w:txbxContent>
              </v:textbox>
              <w10:wrap type="none"/>
            </v:shape>
            <v:shape style="position:absolute;left:2491;top:1232;width:268;height:200" type="#_x0000_t202" id="docshape383" filled="false" stroked="false">
              <v:textbox inset="0,0,0,0">
                <w:txbxContent>
                  <w:p>
                    <w:pPr>
                      <w:spacing w:line="200" w:lineRule="exact" w:before="0"/>
                      <w:ind w:left="0" w:right="0" w:firstLine="0"/>
                      <w:jc w:val="left"/>
                      <w:rPr>
                        <w:rFonts w:ascii="Calibri"/>
                        <w:b/>
                        <w:sz w:val="20"/>
                      </w:rPr>
                    </w:pPr>
                    <w:r>
                      <w:rPr>
                        <w:rFonts w:ascii="Calibri"/>
                        <w:b/>
                        <w:color w:val="FFFFFF"/>
                        <w:spacing w:val="-5"/>
                        <w:sz w:val="20"/>
                      </w:rPr>
                      <w:t>1%</w:t>
                    </w:r>
                  </w:p>
                </w:txbxContent>
              </v:textbox>
              <w10:wrap type="none"/>
            </v:shape>
            <v:shape style="position:absolute;left:2953;top:1343;width:661;height:279" type="#_x0000_t202" id="docshape384" filled="false" stroked="false">
              <v:textbox inset="0,0,0,0">
                <w:txbxContent>
                  <w:p>
                    <w:pPr>
                      <w:spacing w:line="279" w:lineRule="exact" w:before="0"/>
                      <w:ind w:left="0" w:right="0" w:firstLine="0"/>
                      <w:jc w:val="left"/>
                      <w:rPr>
                        <w:rFonts w:ascii="Calibri"/>
                        <w:b/>
                        <w:sz w:val="20"/>
                      </w:rPr>
                    </w:pPr>
                    <w:r>
                      <w:rPr>
                        <w:rFonts w:ascii="Calibri"/>
                        <w:b/>
                        <w:color w:val="FFFFFF"/>
                        <w:position w:val="8"/>
                        <w:sz w:val="20"/>
                      </w:rPr>
                      <w:t>1%</w:t>
                    </w:r>
                    <w:r>
                      <w:rPr>
                        <w:rFonts w:ascii="Calibri"/>
                        <w:b/>
                        <w:color w:val="FFFFFF"/>
                        <w:spacing w:val="-1"/>
                        <w:position w:val="8"/>
                        <w:sz w:val="20"/>
                      </w:rPr>
                      <w:t> </w:t>
                    </w:r>
                    <w:r>
                      <w:rPr>
                        <w:rFonts w:ascii="Calibri"/>
                        <w:b/>
                        <w:color w:val="FFFFFF"/>
                        <w:spacing w:val="-5"/>
                        <w:sz w:val="20"/>
                      </w:rPr>
                      <w:t>16%</w:t>
                    </w:r>
                  </w:p>
                </w:txbxContent>
              </v:textbox>
              <w10:wrap type="none"/>
            </v:shape>
            <v:shape style="position:absolute;left:2258;top:2195;width:469;height:305" type="#_x0000_t202" id="docshape385" filled="false" stroked="false">
              <v:textbox inset="0,0,0,0">
                <w:txbxContent>
                  <w:p>
                    <w:pPr>
                      <w:spacing w:before="30"/>
                      <w:ind w:left="60" w:right="0" w:firstLine="0"/>
                      <w:jc w:val="left"/>
                      <w:rPr>
                        <w:rFonts w:ascii="Calibri"/>
                        <w:b/>
                        <w:sz w:val="20"/>
                      </w:rPr>
                    </w:pPr>
                    <w:r>
                      <w:rPr>
                        <w:rFonts w:ascii="Calibri"/>
                        <w:b/>
                        <w:color w:val="FFFFFF"/>
                        <w:spacing w:val="-5"/>
                        <w:sz w:val="20"/>
                      </w:rPr>
                      <w:t>77%</w:t>
                    </w:r>
                  </w:p>
                </w:txbxContent>
              </v:textbox>
              <w10:wrap type="none"/>
            </v:shape>
            <v:shape style="position:absolute;left:4762;top:1224;width:2065;height:1699" type="#_x0000_t202" id="docshape386" filled="false" stroked="false">
              <v:textbox inset="0,0,0,0">
                <w:txbxContent>
                  <w:p>
                    <w:pPr>
                      <w:spacing w:line="372" w:lineRule="auto" w:before="60"/>
                      <w:ind w:left="251" w:right="1198" w:firstLine="0"/>
                      <w:jc w:val="left"/>
                      <w:rPr>
                        <w:rFonts w:ascii="Calibri"/>
                        <w:sz w:val="18"/>
                      </w:rPr>
                    </w:pPr>
                    <w:r>
                      <w:rPr>
                        <w:rFonts w:ascii="Calibri"/>
                        <w:color w:val="3E3E3E"/>
                        <w:spacing w:val="-4"/>
                        <w:sz w:val="18"/>
                      </w:rPr>
                      <w:t>Sway</w:t>
                    </w:r>
                    <w:r>
                      <w:rPr>
                        <w:rFonts w:ascii="Calibri"/>
                        <w:color w:val="3E3E3E"/>
                        <w:sz w:val="18"/>
                      </w:rPr>
                      <w:t> </w:t>
                    </w:r>
                    <w:r>
                      <w:rPr>
                        <w:rFonts w:ascii="Calibri"/>
                        <w:color w:val="3E3E3E"/>
                        <w:spacing w:val="-2"/>
                        <w:sz w:val="18"/>
                      </w:rPr>
                      <w:t>Intranet</w:t>
                    </w:r>
                    <w:r>
                      <w:rPr>
                        <w:rFonts w:ascii="Calibri"/>
                        <w:color w:val="3E3E3E"/>
                        <w:sz w:val="18"/>
                      </w:rPr>
                      <w:t> </w:t>
                    </w:r>
                    <w:r>
                      <w:rPr>
                        <w:rFonts w:ascii="Calibri"/>
                        <w:color w:val="3E3E3E"/>
                        <w:spacing w:val="-2"/>
                        <w:sz w:val="18"/>
                      </w:rPr>
                      <w:t>youtube</w:t>
                    </w:r>
                    <w:r>
                      <w:rPr>
                        <w:rFonts w:ascii="Calibri"/>
                        <w:color w:val="3E3E3E"/>
                        <w:sz w:val="18"/>
                      </w:rPr>
                      <w:t> </w:t>
                    </w:r>
                    <w:r>
                      <w:rPr>
                        <w:rFonts w:ascii="Calibri"/>
                        <w:color w:val="3E3E3E"/>
                        <w:spacing w:val="-2"/>
                        <w:sz w:val="18"/>
                      </w:rPr>
                      <w:t>Twitter</w:t>
                    </w:r>
                  </w:p>
                  <w:p>
                    <w:pPr>
                      <w:spacing w:line="216" w:lineRule="exact" w:before="0"/>
                      <w:ind w:left="251" w:right="0" w:firstLine="0"/>
                      <w:jc w:val="left"/>
                      <w:rPr>
                        <w:rFonts w:ascii="Calibri"/>
                        <w:sz w:val="18"/>
                      </w:rPr>
                    </w:pPr>
                    <w:r>
                      <w:rPr>
                        <w:rFonts w:ascii="Calibri"/>
                        <w:color w:val="3E3E3E"/>
                        <w:sz w:val="18"/>
                      </w:rPr>
                      <w:t>In</w:t>
                    </w:r>
                    <w:r>
                      <w:rPr>
                        <w:rFonts w:ascii="Calibri"/>
                        <w:color w:val="3E3E3E"/>
                        <w:spacing w:val="-3"/>
                        <w:sz w:val="18"/>
                      </w:rPr>
                      <w:t> </w:t>
                    </w:r>
                    <w:r>
                      <w:rPr>
                        <w:rFonts w:ascii="Calibri"/>
                        <w:color w:val="3E3E3E"/>
                        <w:sz w:val="18"/>
                      </w:rPr>
                      <w:t>person </w:t>
                    </w:r>
                    <w:r>
                      <w:rPr>
                        <w:rFonts w:ascii="Calibri"/>
                        <w:color w:val="3E3E3E"/>
                        <w:spacing w:val="-2"/>
                        <w:sz w:val="18"/>
                      </w:rPr>
                      <w:t>presentations</w:t>
                    </w:r>
                  </w:p>
                </w:txbxContent>
              </v:textbox>
              <w10:wrap type="none"/>
            </v:shape>
            <w10:wrap type="topAndBottom"/>
          </v:group>
        </w:pict>
      </w:r>
      <w:r>
        <w:rPr/>
        <w:pict>
          <v:shape style="position:absolute;margin-left:361.700012pt;margin-top:11.351147pt;width:212.9pt;height:112.1pt;mso-position-horizontal-relative:page;mso-position-vertical-relative:paragraph;z-index:-15728640;mso-wrap-distance-left:0;mso-wrap-distance-right:0" type="#_x0000_t202" id="docshape387" filled="false" stroked="false">
            <v:textbox inset="0,0,0,0">
              <w:txbxContent>
                <w:tbl>
                  <w:tblPr>
                    <w:tblW w:w="0" w:type="auto"/>
                    <w:jc w:val="lef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5"/>
                    <w:gridCol w:w="1843"/>
                  </w:tblGrid>
                  <w:tr>
                    <w:trPr>
                      <w:trHeight w:val="370" w:hRule="atLeast"/>
                    </w:trPr>
                    <w:tc>
                      <w:tcPr>
                        <w:tcW w:w="2405" w:type="dxa"/>
                        <w:shd w:val="clear" w:color="auto" w:fill="BDD7EE"/>
                      </w:tcPr>
                      <w:p>
                        <w:pPr>
                          <w:pStyle w:val="TableParagraph"/>
                          <w:spacing w:line="322" w:lineRule="exact" w:before="28"/>
                          <w:ind w:left="108"/>
                          <w:rPr>
                            <w:rFonts w:ascii="Calibri"/>
                            <w:b/>
                            <w:sz w:val="28"/>
                          </w:rPr>
                        </w:pPr>
                        <w:r>
                          <w:rPr>
                            <w:rFonts w:ascii="Calibri"/>
                            <w:b/>
                            <w:spacing w:val="-2"/>
                            <w:sz w:val="28"/>
                          </w:rPr>
                          <w:t>Media</w:t>
                        </w:r>
                      </w:p>
                    </w:tc>
                    <w:tc>
                      <w:tcPr>
                        <w:tcW w:w="1843" w:type="dxa"/>
                        <w:shd w:val="clear" w:color="auto" w:fill="BDD7EE"/>
                      </w:tcPr>
                      <w:p>
                        <w:pPr>
                          <w:pStyle w:val="TableParagraph"/>
                          <w:spacing w:line="322" w:lineRule="exact" w:before="28"/>
                          <w:ind w:right="612"/>
                          <w:jc w:val="right"/>
                          <w:rPr>
                            <w:rFonts w:ascii="Calibri"/>
                            <w:b/>
                            <w:sz w:val="28"/>
                          </w:rPr>
                        </w:pPr>
                        <w:r>
                          <w:rPr>
                            <w:rFonts w:ascii="Calibri"/>
                            <w:b/>
                            <w:spacing w:val="-4"/>
                            <w:sz w:val="28"/>
                          </w:rPr>
                          <w:t>Total</w:t>
                        </w:r>
                      </w:p>
                    </w:tc>
                  </w:tr>
                  <w:tr>
                    <w:trPr>
                      <w:trHeight w:val="290" w:hRule="atLeast"/>
                    </w:trPr>
                    <w:tc>
                      <w:tcPr>
                        <w:tcW w:w="2405" w:type="dxa"/>
                        <w:shd w:val="clear" w:color="auto" w:fill="BDD7EE"/>
                      </w:tcPr>
                      <w:p>
                        <w:pPr>
                          <w:pStyle w:val="TableParagraph"/>
                          <w:spacing w:line="249" w:lineRule="exact" w:before="21"/>
                          <w:ind w:left="108"/>
                          <w:rPr>
                            <w:rFonts w:ascii="Calibri"/>
                            <w:b/>
                            <w:sz w:val="22"/>
                          </w:rPr>
                        </w:pPr>
                        <w:r>
                          <w:rPr>
                            <w:rFonts w:ascii="Calibri"/>
                            <w:b/>
                            <w:spacing w:val="-4"/>
                            <w:sz w:val="22"/>
                          </w:rPr>
                          <w:t>Sway</w:t>
                        </w:r>
                      </w:p>
                    </w:tc>
                    <w:tc>
                      <w:tcPr>
                        <w:tcW w:w="1843" w:type="dxa"/>
                        <w:shd w:val="clear" w:color="auto" w:fill="BDD7EE"/>
                      </w:tcPr>
                      <w:p>
                        <w:pPr>
                          <w:pStyle w:val="TableParagraph"/>
                          <w:spacing w:line="249" w:lineRule="exact" w:before="21"/>
                          <w:ind w:left="686" w:right="676"/>
                          <w:jc w:val="center"/>
                          <w:rPr>
                            <w:rFonts w:ascii="Calibri"/>
                            <w:b/>
                            <w:sz w:val="22"/>
                          </w:rPr>
                        </w:pPr>
                        <w:r>
                          <w:rPr>
                            <w:rFonts w:ascii="Calibri"/>
                            <w:b/>
                            <w:spacing w:val="-5"/>
                            <w:sz w:val="22"/>
                          </w:rPr>
                          <w:t>146</w:t>
                        </w:r>
                      </w:p>
                    </w:tc>
                  </w:tr>
                  <w:tr>
                    <w:trPr>
                      <w:trHeight w:val="290" w:hRule="atLeast"/>
                    </w:trPr>
                    <w:tc>
                      <w:tcPr>
                        <w:tcW w:w="2405" w:type="dxa"/>
                        <w:shd w:val="clear" w:color="auto" w:fill="BDD7EE"/>
                      </w:tcPr>
                      <w:p>
                        <w:pPr>
                          <w:pStyle w:val="TableParagraph"/>
                          <w:spacing w:line="249" w:lineRule="exact" w:before="21"/>
                          <w:ind w:left="108"/>
                          <w:rPr>
                            <w:rFonts w:ascii="Calibri"/>
                            <w:b/>
                            <w:sz w:val="22"/>
                          </w:rPr>
                        </w:pPr>
                        <w:r>
                          <w:rPr>
                            <w:rFonts w:ascii="Calibri"/>
                            <w:b/>
                            <w:spacing w:val="-2"/>
                            <w:sz w:val="22"/>
                          </w:rPr>
                          <w:t>Intranet</w:t>
                        </w:r>
                      </w:p>
                    </w:tc>
                    <w:tc>
                      <w:tcPr>
                        <w:tcW w:w="1843" w:type="dxa"/>
                        <w:shd w:val="clear" w:color="auto" w:fill="BDD7EE"/>
                      </w:tcPr>
                      <w:p>
                        <w:pPr>
                          <w:pStyle w:val="TableParagraph"/>
                          <w:spacing w:line="249" w:lineRule="exact" w:before="21"/>
                          <w:ind w:left="686" w:right="676"/>
                          <w:jc w:val="center"/>
                          <w:rPr>
                            <w:rFonts w:ascii="Calibri"/>
                            <w:b/>
                            <w:sz w:val="22"/>
                          </w:rPr>
                        </w:pPr>
                        <w:r>
                          <w:rPr>
                            <w:rFonts w:ascii="Calibri"/>
                            <w:b/>
                            <w:spacing w:val="-5"/>
                            <w:sz w:val="22"/>
                          </w:rPr>
                          <w:t>34</w:t>
                        </w:r>
                      </w:p>
                    </w:tc>
                  </w:tr>
                  <w:tr>
                    <w:trPr>
                      <w:trHeight w:val="290" w:hRule="atLeast"/>
                    </w:trPr>
                    <w:tc>
                      <w:tcPr>
                        <w:tcW w:w="2405" w:type="dxa"/>
                        <w:shd w:val="clear" w:color="auto" w:fill="BDD7EE"/>
                      </w:tcPr>
                      <w:p>
                        <w:pPr>
                          <w:pStyle w:val="TableParagraph"/>
                          <w:spacing w:line="249" w:lineRule="exact" w:before="21"/>
                          <w:ind w:left="108"/>
                          <w:rPr>
                            <w:rFonts w:ascii="Calibri"/>
                            <w:b/>
                            <w:sz w:val="22"/>
                          </w:rPr>
                        </w:pPr>
                        <w:r>
                          <w:rPr>
                            <w:rFonts w:ascii="Calibri"/>
                            <w:b/>
                            <w:spacing w:val="-2"/>
                            <w:sz w:val="22"/>
                          </w:rPr>
                          <w:t>YouTube</w:t>
                        </w:r>
                      </w:p>
                    </w:tc>
                    <w:tc>
                      <w:tcPr>
                        <w:tcW w:w="1843" w:type="dxa"/>
                        <w:shd w:val="clear" w:color="auto" w:fill="BDD7EE"/>
                      </w:tcPr>
                      <w:p>
                        <w:pPr>
                          <w:pStyle w:val="TableParagraph"/>
                          <w:spacing w:line="249" w:lineRule="exact" w:before="21"/>
                          <w:ind w:left="686" w:right="676"/>
                          <w:jc w:val="center"/>
                          <w:rPr>
                            <w:rFonts w:ascii="Calibri"/>
                            <w:b/>
                            <w:sz w:val="22"/>
                          </w:rPr>
                        </w:pPr>
                        <w:r>
                          <w:rPr>
                            <w:rFonts w:ascii="Calibri"/>
                            <w:b/>
                            <w:spacing w:val="-5"/>
                            <w:sz w:val="22"/>
                          </w:rPr>
                          <w:t>476</w:t>
                        </w:r>
                      </w:p>
                    </w:tc>
                  </w:tr>
                  <w:tr>
                    <w:trPr>
                      <w:trHeight w:val="290" w:hRule="atLeast"/>
                    </w:trPr>
                    <w:tc>
                      <w:tcPr>
                        <w:tcW w:w="2405" w:type="dxa"/>
                        <w:shd w:val="clear" w:color="auto" w:fill="BDD7EE"/>
                      </w:tcPr>
                      <w:p>
                        <w:pPr>
                          <w:pStyle w:val="TableParagraph"/>
                          <w:spacing w:line="249" w:lineRule="exact" w:before="21"/>
                          <w:ind w:left="108"/>
                          <w:rPr>
                            <w:rFonts w:ascii="Calibri"/>
                            <w:b/>
                            <w:sz w:val="22"/>
                          </w:rPr>
                        </w:pPr>
                        <w:r>
                          <w:rPr>
                            <w:rFonts w:ascii="Calibri"/>
                            <w:b/>
                            <w:spacing w:val="-2"/>
                            <w:sz w:val="22"/>
                          </w:rPr>
                          <w:t>Twitter</w:t>
                        </w:r>
                      </w:p>
                    </w:tc>
                    <w:tc>
                      <w:tcPr>
                        <w:tcW w:w="1843" w:type="dxa"/>
                        <w:shd w:val="clear" w:color="auto" w:fill="BDD7EE"/>
                      </w:tcPr>
                      <w:p>
                        <w:pPr>
                          <w:pStyle w:val="TableParagraph"/>
                          <w:spacing w:line="249" w:lineRule="exact" w:before="21"/>
                          <w:ind w:left="686" w:right="676"/>
                          <w:jc w:val="center"/>
                          <w:rPr>
                            <w:rFonts w:ascii="Calibri"/>
                            <w:b/>
                            <w:sz w:val="22"/>
                          </w:rPr>
                        </w:pPr>
                        <w:r>
                          <w:rPr>
                            <w:rFonts w:ascii="Calibri"/>
                            <w:b/>
                            <w:spacing w:val="-4"/>
                            <w:sz w:val="22"/>
                          </w:rPr>
                          <w:t>2274</w:t>
                        </w:r>
                      </w:p>
                    </w:tc>
                  </w:tr>
                  <w:tr>
                    <w:trPr>
                      <w:trHeight w:val="290" w:hRule="atLeast"/>
                    </w:trPr>
                    <w:tc>
                      <w:tcPr>
                        <w:tcW w:w="2405" w:type="dxa"/>
                        <w:shd w:val="clear" w:color="auto" w:fill="BDD7EE"/>
                      </w:tcPr>
                      <w:p>
                        <w:pPr>
                          <w:pStyle w:val="TableParagraph"/>
                          <w:spacing w:line="249" w:lineRule="exact" w:before="21"/>
                          <w:ind w:left="108"/>
                          <w:rPr>
                            <w:rFonts w:ascii="Calibri"/>
                            <w:b/>
                            <w:sz w:val="22"/>
                          </w:rPr>
                        </w:pPr>
                        <w:r>
                          <w:rPr>
                            <w:rFonts w:ascii="Calibri"/>
                            <w:b/>
                            <w:sz w:val="22"/>
                          </w:rPr>
                          <w:t>In</w:t>
                        </w:r>
                        <w:r>
                          <w:rPr>
                            <w:rFonts w:ascii="Calibri"/>
                            <w:b/>
                            <w:spacing w:val="-2"/>
                            <w:sz w:val="22"/>
                          </w:rPr>
                          <w:t> </w:t>
                        </w:r>
                        <w:r>
                          <w:rPr>
                            <w:rFonts w:ascii="Calibri"/>
                            <w:b/>
                            <w:sz w:val="22"/>
                          </w:rPr>
                          <w:t>person </w:t>
                        </w:r>
                        <w:r>
                          <w:rPr>
                            <w:rFonts w:ascii="Calibri"/>
                            <w:b/>
                            <w:spacing w:val="-2"/>
                            <w:sz w:val="22"/>
                          </w:rPr>
                          <w:t>presentations</w:t>
                        </w:r>
                      </w:p>
                    </w:tc>
                    <w:tc>
                      <w:tcPr>
                        <w:tcW w:w="1843" w:type="dxa"/>
                        <w:shd w:val="clear" w:color="auto" w:fill="BDD7EE"/>
                      </w:tcPr>
                      <w:p>
                        <w:pPr>
                          <w:pStyle w:val="TableParagraph"/>
                          <w:spacing w:line="249" w:lineRule="exact" w:before="21"/>
                          <w:ind w:left="686" w:right="676"/>
                          <w:jc w:val="center"/>
                          <w:rPr>
                            <w:rFonts w:ascii="Calibri"/>
                            <w:b/>
                            <w:sz w:val="22"/>
                          </w:rPr>
                        </w:pPr>
                        <w:r>
                          <w:rPr>
                            <w:rFonts w:ascii="Calibri"/>
                            <w:b/>
                            <w:spacing w:val="-5"/>
                            <w:sz w:val="22"/>
                          </w:rPr>
                          <w:t>18</w:t>
                        </w:r>
                      </w:p>
                    </w:tc>
                  </w:tr>
                  <w:tr>
                    <w:trPr>
                      <w:trHeight w:val="341" w:hRule="atLeast"/>
                    </w:trPr>
                    <w:tc>
                      <w:tcPr>
                        <w:tcW w:w="2405" w:type="dxa"/>
                        <w:shd w:val="clear" w:color="auto" w:fill="BDD7EE"/>
                      </w:tcPr>
                      <w:p>
                        <w:pPr>
                          <w:pStyle w:val="TableParagraph"/>
                          <w:spacing w:line="322" w:lineRule="exact"/>
                          <w:ind w:left="108"/>
                          <w:rPr>
                            <w:rFonts w:ascii="Calibri"/>
                            <w:b/>
                            <w:sz w:val="28"/>
                          </w:rPr>
                        </w:pPr>
                        <w:r>
                          <w:rPr>
                            <w:rFonts w:ascii="Calibri"/>
                            <w:b/>
                            <w:spacing w:val="-4"/>
                            <w:sz w:val="28"/>
                          </w:rPr>
                          <w:t>Total</w:t>
                        </w:r>
                      </w:p>
                    </w:tc>
                    <w:tc>
                      <w:tcPr>
                        <w:tcW w:w="1843" w:type="dxa"/>
                        <w:shd w:val="clear" w:color="auto" w:fill="BDD7EE"/>
                      </w:tcPr>
                      <w:p>
                        <w:pPr>
                          <w:pStyle w:val="TableParagraph"/>
                          <w:spacing w:line="322" w:lineRule="exact"/>
                          <w:ind w:right="625"/>
                          <w:jc w:val="right"/>
                          <w:rPr>
                            <w:rFonts w:ascii="Calibri"/>
                            <w:b/>
                            <w:sz w:val="28"/>
                          </w:rPr>
                        </w:pPr>
                        <w:r>
                          <w:rPr>
                            <w:rFonts w:ascii="Calibri"/>
                            <w:b/>
                            <w:spacing w:val="-4"/>
                            <w:sz w:val="28"/>
                          </w:rPr>
                          <w:t>2948</w:t>
                        </w:r>
                      </w:p>
                    </w:tc>
                  </w:tr>
                </w:tbl>
                <w:p>
                  <w:pPr>
                    <w:pStyle w:val="BodyText"/>
                  </w:pPr>
                </w:p>
              </w:txbxContent>
            </v:textbox>
            <w10:wrap type="topAndBottom"/>
          </v:shape>
        </w:pict>
      </w:r>
    </w:p>
    <w:p>
      <w:pPr>
        <w:tabs>
          <w:tab w:pos="5969" w:val="left" w:leader="none"/>
        </w:tabs>
        <w:spacing w:before="193"/>
        <w:ind w:left="612" w:right="0" w:firstLine="0"/>
        <w:jc w:val="center"/>
        <w:rPr>
          <w:rFonts w:ascii="Calibri"/>
          <w:b/>
          <w:sz w:val="28"/>
        </w:rPr>
      </w:pPr>
      <w:r>
        <w:rPr>
          <w:rFonts w:ascii="Calibri"/>
          <w:b/>
          <w:color w:val="2E73B5"/>
          <w:spacing w:val="-2"/>
          <w:sz w:val="28"/>
        </w:rPr>
        <w:t>Intranet</w:t>
      </w:r>
      <w:r>
        <w:rPr>
          <w:rFonts w:ascii="Calibri"/>
          <w:b/>
          <w:color w:val="2E73B5"/>
          <w:sz w:val="28"/>
        </w:rPr>
        <w:tab/>
        <w:t>Video</w:t>
      </w:r>
      <w:r>
        <w:rPr>
          <w:rFonts w:ascii="Calibri"/>
          <w:b/>
          <w:color w:val="2E73B5"/>
          <w:spacing w:val="-3"/>
          <w:sz w:val="28"/>
        </w:rPr>
        <w:t> </w:t>
      </w:r>
      <w:r>
        <w:rPr>
          <w:rFonts w:ascii="Calibri"/>
          <w:b/>
          <w:color w:val="2E73B5"/>
          <w:spacing w:val="-2"/>
          <w:sz w:val="28"/>
        </w:rPr>
        <w:t>views</w:t>
      </w:r>
    </w:p>
    <w:p>
      <w:pPr>
        <w:pStyle w:val="BodyText"/>
        <w:spacing w:before="5"/>
        <w:rPr>
          <w:rFonts w:ascii="Calibri"/>
          <w:b/>
          <w:sz w:val="13"/>
        </w:rPr>
      </w:pPr>
      <w:r>
        <w:rPr/>
        <w:pict>
          <v:shape style="position:absolute;margin-left:23.75pt;margin-top:9.390162pt;width:262.5pt;height:60.5pt;mso-position-horizontal-relative:page;mso-position-vertical-relative:paragraph;z-index:-15728640;mso-wrap-distance-left:0;mso-wrap-distance-right:0" type="#_x0000_t202" id="docshape388" filled="false" stroked="false">
            <v:textbox inset="0,0,0,0">
              <w:txbxContent>
                <w:tbl>
                  <w:tblPr>
                    <w:tblW w:w="0" w:type="auto"/>
                    <w:jc w:val="lef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40"/>
                    <w:gridCol w:w="1341"/>
                    <w:gridCol w:w="1559"/>
                  </w:tblGrid>
                  <w:tr>
                    <w:trPr>
                      <w:trHeight w:val="290" w:hRule="atLeast"/>
                    </w:trPr>
                    <w:tc>
                      <w:tcPr>
                        <w:tcW w:w="2340" w:type="dxa"/>
                        <w:shd w:val="clear" w:color="auto" w:fill="BDD7EE"/>
                      </w:tcPr>
                      <w:p>
                        <w:pPr>
                          <w:pStyle w:val="TableParagraph"/>
                          <w:spacing w:line="249" w:lineRule="exact" w:before="21"/>
                          <w:ind w:left="785" w:right="775"/>
                          <w:jc w:val="center"/>
                          <w:rPr>
                            <w:rFonts w:ascii="Calibri"/>
                            <w:b/>
                            <w:sz w:val="22"/>
                          </w:rPr>
                        </w:pPr>
                        <w:r>
                          <w:rPr>
                            <w:rFonts w:ascii="Calibri"/>
                            <w:b/>
                            <w:color w:val="2F75B5"/>
                            <w:spacing w:val="-2"/>
                            <w:sz w:val="22"/>
                          </w:rPr>
                          <w:t>Intranet</w:t>
                        </w:r>
                      </w:p>
                    </w:tc>
                    <w:tc>
                      <w:tcPr>
                        <w:tcW w:w="1341" w:type="dxa"/>
                        <w:shd w:val="clear" w:color="auto" w:fill="BDD7EE"/>
                      </w:tcPr>
                      <w:p>
                        <w:pPr>
                          <w:pStyle w:val="TableParagraph"/>
                          <w:spacing w:line="249" w:lineRule="exact" w:before="21"/>
                          <w:ind w:left="150" w:right="141"/>
                          <w:jc w:val="center"/>
                          <w:rPr>
                            <w:rFonts w:ascii="Calibri"/>
                            <w:b/>
                            <w:sz w:val="22"/>
                          </w:rPr>
                        </w:pPr>
                        <w:r>
                          <w:rPr>
                            <w:rFonts w:ascii="Calibri"/>
                            <w:b/>
                            <w:color w:val="2F75B5"/>
                            <w:sz w:val="22"/>
                          </w:rPr>
                          <w:t>Page</w:t>
                        </w:r>
                        <w:r>
                          <w:rPr>
                            <w:rFonts w:ascii="Calibri"/>
                            <w:b/>
                            <w:color w:val="2F75B5"/>
                            <w:spacing w:val="-3"/>
                            <w:sz w:val="22"/>
                          </w:rPr>
                          <w:t> </w:t>
                        </w:r>
                        <w:r>
                          <w:rPr>
                            <w:rFonts w:ascii="Calibri"/>
                            <w:b/>
                            <w:color w:val="2F75B5"/>
                            <w:spacing w:val="-2"/>
                            <w:sz w:val="22"/>
                          </w:rPr>
                          <w:t>views</w:t>
                        </w:r>
                      </w:p>
                    </w:tc>
                    <w:tc>
                      <w:tcPr>
                        <w:tcW w:w="1559" w:type="dxa"/>
                        <w:shd w:val="clear" w:color="auto" w:fill="BDD7EE"/>
                      </w:tcPr>
                      <w:p>
                        <w:pPr>
                          <w:pStyle w:val="TableParagraph"/>
                          <w:spacing w:line="249" w:lineRule="exact" w:before="21"/>
                          <w:ind w:left="142" w:right="133"/>
                          <w:jc w:val="center"/>
                          <w:rPr>
                            <w:rFonts w:ascii="Calibri"/>
                            <w:b/>
                            <w:sz w:val="22"/>
                          </w:rPr>
                        </w:pPr>
                        <w:r>
                          <w:rPr>
                            <w:rFonts w:ascii="Calibri"/>
                            <w:b/>
                            <w:color w:val="2F75B5"/>
                            <w:sz w:val="22"/>
                          </w:rPr>
                          <w:t>Average</w:t>
                        </w:r>
                        <w:r>
                          <w:rPr>
                            <w:rFonts w:ascii="Calibri"/>
                            <w:b/>
                            <w:color w:val="2F75B5"/>
                            <w:spacing w:val="-4"/>
                            <w:sz w:val="22"/>
                          </w:rPr>
                          <w:t> Time</w:t>
                        </w:r>
                      </w:p>
                    </w:tc>
                  </w:tr>
                  <w:tr>
                    <w:trPr>
                      <w:trHeight w:val="290" w:hRule="atLeast"/>
                    </w:trPr>
                    <w:tc>
                      <w:tcPr>
                        <w:tcW w:w="2340" w:type="dxa"/>
                        <w:shd w:val="clear" w:color="auto" w:fill="F2F2F2"/>
                      </w:tcPr>
                      <w:p>
                        <w:pPr>
                          <w:pStyle w:val="TableParagraph"/>
                          <w:spacing w:line="249" w:lineRule="exact" w:before="21"/>
                          <w:ind w:left="108"/>
                          <w:rPr>
                            <w:rFonts w:ascii="Calibri"/>
                            <w:sz w:val="22"/>
                          </w:rPr>
                        </w:pPr>
                        <w:r>
                          <w:rPr>
                            <w:rFonts w:ascii="Calibri"/>
                            <w:spacing w:val="-2"/>
                            <w:sz w:val="22"/>
                          </w:rPr>
                          <w:t>English</w:t>
                        </w:r>
                      </w:p>
                    </w:tc>
                    <w:tc>
                      <w:tcPr>
                        <w:tcW w:w="1341" w:type="dxa"/>
                        <w:shd w:val="clear" w:color="auto" w:fill="F2F2F2"/>
                      </w:tcPr>
                      <w:p>
                        <w:pPr>
                          <w:pStyle w:val="TableParagraph"/>
                          <w:spacing w:line="249" w:lineRule="exact" w:before="21"/>
                          <w:ind w:left="150" w:right="140"/>
                          <w:jc w:val="center"/>
                          <w:rPr>
                            <w:rFonts w:ascii="Calibri"/>
                            <w:sz w:val="22"/>
                          </w:rPr>
                        </w:pPr>
                        <w:r>
                          <w:rPr>
                            <w:rFonts w:ascii="Calibri"/>
                            <w:spacing w:val="-5"/>
                            <w:sz w:val="22"/>
                          </w:rPr>
                          <w:t>36</w:t>
                        </w:r>
                      </w:p>
                    </w:tc>
                    <w:tc>
                      <w:tcPr>
                        <w:tcW w:w="1559" w:type="dxa"/>
                        <w:shd w:val="clear" w:color="auto" w:fill="F2F2F2"/>
                      </w:tcPr>
                      <w:p>
                        <w:pPr>
                          <w:pStyle w:val="TableParagraph"/>
                          <w:spacing w:line="249" w:lineRule="exact" w:before="21"/>
                          <w:ind w:left="142" w:right="132"/>
                          <w:jc w:val="center"/>
                          <w:rPr>
                            <w:rFonts w:ascii="Calibri"/>
                            <w:sz w:val="22"/>
                          </w:rPr>
                        </w:pPr>
                        <w:r>
                          <w:rPr>
                            <w:rFonts w:ascii="Calibri"/>
                            <w:spacing w:val="-4"/>
                            <w:sz w:val="22"/>
                          </w:rPr>
                          <w:t>1.36</w:t>
                        </w:r>
                      </w:p>
                    </w:tc>
                  </w:tr>
                  <w:tr>
                    <w:trPr>
                      <w:trHeight w:val="290" w:hRule="atLeast"/>
                    </w:trPr>
                    <w:tc>
                      <w:tcPr>
                        <w:tcW w:w="2340" w:type="dxa"/>
                      </w:tcPr>
                      <w:p>
                        <w:pPr>
                          <w:pStyle w:val="TableParagraph"/>
                          <w:spacing w:line="249" w:lineRule="exact" w:before="21"/>
                          <w:ind w:left="108"/>
                          <w:rPr>
                            <w:rFonts w:ascii="Calibri"/>
                            <w:sz w:val="22"/>
                          </w:rPr>
                        </w:pPr>
                        <w:r>
                          <w:rPr>
                            <w:rFonts w:ascii="Calibri"/>
                            <w:spacing w:val="-2"/>
                            <w:sz w:val="22"/>
                          </w:rPr>
                          <w:t>Welsh</w:t>
                        </w:r>
                      </w:p>
                    </w:tc>
                    <w:tc>
                      <w:tcPr>
                        <w:tcW w:w="1341" w:type="dxa"/>
                      </w:tcPr>
                      <w:p>
                        <w:pPr>
                          <w:pStyle w:val="TableParagraph"/>
                          <w:spacing w:line="249" w:lineRule="exact" w:before="21"/>
                          <w:ind w:left="9"/>
                          <w:jc w:val="center"/>
                          <w:rPr>
                            <w:rFonts w:ascii="Calibri"/>
                            <w:sz w:val="22"/>
                          </w:rPr>
                        </w:pPr>
                        <w:r>
                          <w:rPr>
                            <w:rFonts w:ascii="Calibri"/>
                            <w:sz w:val="22"/>
                          </w:rPr>
                          <w:t>5</w:t>
                        </w:r>
                      </w:p>
                    </w:tc>
                    <w:tc>
                      <w:tcPr>
                        <w:tcW w:w="1559" w:type="dxa"/>
                      </w:tcPr>
                      <w:p>
                        <w:pPr>
                          <w:pStyle w:val="TableParagraph"/>
                          <w:spacing w:line="249" w:lineRule="exact" w:before="21"/>
                          <w:ind w:left="142" w:right="132"/>
                          <w:jc w:val="center"/>
                          <w:rPr>
                            <w:rFonts w:ascii="Calibri"/>
                            <w:sz w:val="22"/>
                          </w:rPr>
                        </w:pPr>
                        <w:r>
                          <w:rPr>
                            <w:rFonts w:ascii="Calibri"/>
                            <w:spacing w:val="-5"/>
                            <w:sz w:val="22"/>
                          </w:rPr>
                          <w:t>23s</w:t>
                        </w:r>
                      </w:p>
                    </w:tc>
                  </w:tr>
                  <w:tr>
                    <w:trPr>
                      <w:trHeight w:val="290" w:hRule="atLeast"/>
                    </w:trPr>
                    <w:tc>
                      <w:tcPr>
                        <w:tcW w:w="2340" w:type="dxa"/>
                      </w:tcPr>
                      <w:p>
                        <w:pPr>
                          <w:pStyle w:val="TableParagraph"/>
                          <w:spacing w:line="249" w:lineRule="exact" w:before="21"/>
                          <w:ind w:left="108"/>
                          <w:rPr>
                            <w:rFonts w:ascii="Calibri"/>
                            <w:b/>
                            <w:sz w:val="22"/>
                          </w:rPr>
                        </w:pPr>
                        <w:r>
                          <w:rPr>
                            <w:rFonts w:ascii="Calibri"/>
                            <w:b/>
                            <w:spacing w:val="-2"/>
                            <w:sz w:val="22"/>
                          </w:rPr>
                          <w:t>Total</w:t>
                        </w:r>
                      </w:p>
                    </w:tc>
                    <w:tc>
                      <w:tcPr>
                        <w:tcW w:w="1341" w:type="dxa"/>
                      </w:tcPr>
                      <w:p>
                        <w:pPr>
                          <w:pStyle w:val="TableParagraph"/>
                          <w:spacing w:line="249" w:lineRule="exact" w:before="21"/>
                          <w:ind w:left="150" w:right="140"/>
                          <w:jc w:val="center"/>
                          <w:rPr>
                            <w:rFonts w:ascii="Calibri"/>
                            <w:b/>
                            <w:sz w:val="22"/>
                          </w:rPr>
                        </w:pPr>
                        <w:r>
                          <w:rPr>
                            <w:rFonts w:ascii="Calibri"/>
                            <w:b/>
                            <w:spacing w:val="-5"/>
                            <w:sz w:val="22"/>
                          </w:rPr>
                          <w:t>41</w:t>
                        </w:r>
                      </w:p>
                    </w:tc>
                    <w:tc>
                      <w:tcPr>
                        <w:tcW w:w="1559" w:type="dxa"/>
                        <w:tcBorders>
                          <w:bottom w:val="nil"/>
                          <w:right w:val="nil"/>
                        </w:tcBorders>
                      </w:tcPr>
                      <w:p>
                        <w:pPr>
                          <w:pStyle w:val="TableParagraph"/>
                          <w:rPr>
                            <w:rFonts w:ascii="Times New Roman"/>
                            <w:sz w:val="20"/>
                          </w:rPr>
                        </w:pPr>
                      </w:p>
                    </w:tc>
                  </w:tr>
                </w:tbl>
                <w:p>
                  <w:pPr>
                    <w:pStyle w:val="BodyText"/>
                  </w:pPr>
                </w:p>
              </w:txbxContent>
            </v:textbox>
            <w10:wrap type="topAndBottom"/>
          </v:shape>
        </w:pict>
      </w:r>
      <w:r>
        <w:rPr/>
        <w:pict>
          <v:shape style="position:absolute;margin-left:347.5pt;margin-top:11.440142pt;width:197.5pt;height:45.5pt;mso-position-horizontal-relative:page;mso-position-vertical-relative:paragraph;z-index:-15728640;mso-wrap-distance-left:0;mso-wrap-distance-right:0" type="#_x0000_t202" id="docshape389" filled="false" stroked="false">
            <v:textbox inset="0,0,0,0">
              <w:txbxContent>
                <w:tbl>
                  <w:tblPr>
                    <w:tblW w:w="0" w:type="auto"/>
                    <w:jc w:val="lef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84"/>
                    <w:gridCol w:w="1856"/>
                  </w:tblGrid>
                  <w:tr>
                    <w:trPr>
                      <w:trHeight w:val="290" w:hRule="atLeast"/>
                    </w:trPr>
                    <w:tc>
                      <w:tcPr>
                        <w:tcW w:w="3940" w:type="dxa"/>
                        <w:gridSpan w:val="2"/>
                        <w:shd w:val="clear" w:color="auto" w:fill="BDD7EE"/>
                      </w:tcPr>
                      <w:p>
                        <w:pPr>
                          <w:pStyle w:val="TableParagraph"/>
                          <w:spacing w:line="249" w:lineRule="exact" w:before="21"/>
                          <w:ind w:left="1148"/>
                          <w:rPr>
                            <w:rFonts w:ascii="Calibri"/>
                            <w:b/>
                            <w:sz w:val="22"/>
                          </w:rPr>
                        </w:pPr>
                        <w:r>
                          <w:rPr>
                            <w:rFonts w:ascii="Calibri"/>
                            <w:b/>
                            <w:color w:val="2F75B5"/>
                            <w:sz w:val="22"/>
                          </w:rPr>
                          <w:t>Total</w:t>
                        </w:r>
                        <w:r>
                          <w:rPr>
                            <w:rFonts w:ascii="Calibri"/>
                            <w:b/>
                            <w:color w:val="2F75B5"/>
                            <w:spacing w:val="-4"/>
                            <w:sz w:val="22"/>
                          </w:rPr>
                          <w:t> </w:t>
                        </w:r>
                        <w:r>
                          <w:rPr>
                            <w:rFonts w:ascii="Calibri"/>
                            <w:b/>
                            <w:color w:val="2F75B5"/>
                            <w:sz w:val="22"/>
                          </w:rPr>
                          <w:t>Video</w:t>
                        </w:r>
                        <w:r>
                          <w:rPr>
                            <w:rFonts w:ascii="Calibri"/>
                            <w:b/>
                            <w:color w:val="2F75B5"/>
                            <w:spacing w:val="-3"/>
                            <w:sz w:val="22"/>
                          </w:rPr>
                          <w:t> </w:t>
                        </w:r>
                        <w:r>
                          <w:rPr>
                            <w:rFonts w:ascii="Calibri"/>
                            <w:b/>
                            <w:color w:val="2F75B5"/>
                            <w:spacing w:val="-2"/>
                            <w:sz w:val="22"/>
                          </w:rPr>
                          <w:t>Views</w:t>
                        </w:r>
                      </w:p>
                    </w:tc>
                  </w:tr>
                  <w:tr>
                    <w:trPr>
                      <w:trHeight w:val="290" w:hRule="atLeast"/>
                    </w:trPr>
                    <w:tc>
                      <w:tcPr>
                        <w:tcW w:w="2084" w:type="dxa"/>
                      </w:tcPr>
                      <w:p>
                        <w:pPr>
                          <w:pStyle w:val="TableParagraph"/>
                          <w:spacing w:line="249" w:lineRule="exact" w:before="21"/>
                          <w:ind w:left="713" w:right="704"/>
                          <w:jc w:val="center"/>
                          <w:rPr>
                            <w:rFonts w:ascii="Calibri"/>
                            <w:sz w:val="22"/>
                          </w:rPr>
                        </w:pPr>
                        <w:r>
                          <w:rPr>
                            <w:rFonts w:ascii="Calibri"/>
                            <w:spacing w:val="-2"/>
                            <w:sz w:val="22"/>
                          </w:rPr>
                          <w:t>English</w:t>
                        </w:r>
                      </w:p>
                    </w:tc>
                    <w:tc>
                      <w:tcPr>
                        <w:tcW w:w="1856" w:type="dxa"/>
                      </w:tcPr>
                      <w:p>
                        <w:pPr>
                          <w:pStyle w:val="TableParagraph"/>
                          <w:spacing w:line="249" w:lineRule="exact" w:before="21"/>
                          <w:ind w:left="633" w:right="624"/>
                          <w:jc w:val="center"/>
                          <w:rPr>
                            <w:rFonts w:ascii="Calibri"/>
                            <w:sz w:val="22"/>
                          </w:rPr>
                        </w:pPr>
                        <w:r>
                          <w:rPr>
                            <w:rFonts w:ascii="Calibri"/>
                            <w:spacing w:val="-2"/>
                            <w:sz w:val="22"/>
                          </w:rPr>
                          <w:t>Welsh</w:t>
                        </w:r>
                      </w:p>
                    </w:tc>
                  </w:tr>
                  <w:tr>
                    <w:trPr>
                      <w:trHeight w:val="290" w:hRule="atLeast"/>
                    </w:trPr>
                    <w:tc>
                      <w:tcPr>
                        <w:tcW w:w="2084" w:type="dxa"/>
                      </w:tcPr>
                      <w:p>
                        <w:pPr>
                          <w:pStyle w:val="TableParagraph"/>
                          <w:spacing w:line="249" w:lineRule="exact" w:before="21"/>
                          <w:ind w:left="713" w:right="703"/>
                          <w:jc w:val="center"/>
                          <w:rPr>
                            <w:rFonts w:ascii="Calibri"/>
                            <w:b/>
                            <w:sz w:val="22"/>
                          </w:rPr>
                        </w:pPr>
                        <w:r>
                          <w:rPr>
                            <w:rFonts w:ascii="Calibri"/>
                            <w:b/>
                            <w:spacing w:val="-5"/>
                            <w:sz w:val="22"/>
                          </w:rPr>
                          <w:t>712</w:t>
                        </w:r>
                      </w:p>
                    </w:tc>
                    <w:tc>
                      <w:tcPr>
                        <w:tcW w:w="1856" w:type="dxa"/>
                      </w:tcPr>
                      <w:p>
                        <w:pPr>
                          <w:pStyle w:val="TableParagraph"/>
                          <w:spacing w:line="249" w:lineRule="exact" w:before="21"/>
                          <w:ind w:left="633" w:right="623"/>
                          <w:jc w:val="center"/>
                          <w:rPr>
                            <w:rFonts w:ascii="Calibri"/>
                            <w:b/>
                            <w:sz w:val="22"/>
                          </w:rPr>
                        </w:pPr>
                        <w:r>
                          <w:rPr>
                            <w:rFonts w:ascii="Calibri"/>
                            <w:b/>
                            <w:spacing w:val="-5"/>
                            <w:sz w:val="22"/>
                          </w:rPr>
                          <w:t>118</w:t>
                        </w:r>
                      </w:p>
                    </w:tc>
                  </w:tr>
                </w:tbl>
                <w:p>
                  <w:pPr>
                    <w:pStyle w:val="BodyText"/>
                  </w:pPr>
                </w:p>
              </w:txbxContent>
            </v:textbox>
            <w10:wrap type="topAndBottom"/>
          </v:shape>
        </w:pict>
      </w:r>
    </w:p>
    <w:p>
      <w:pPr>
        <w:pStyle w:val="BodyText"/>
        <w:spacing w:before="10"/>
        <w:rPr>
          <w:rFonts w:ascii="Calibri"/>
          <w:b/>
          <w:sz w:val="36"/>
        </w:rPr>
      </w:pPr>
    </w:p>
    <w:p>
      <w:pPr>
        <w:spacing w:before="0"/>
        <w:ind w:left="2465" w:right="1825" w:firstLine="0"/>
        <w:jc w:val="center"/>
        <w:rPr>
          <w:rFonts w:ascii="Calibri"/>
          <w:b/>
          <w:sz w:val="28"/>
        </w:rPr>
      </w:pPr>
      <w:r>
        <w:rPr>
          <w:rFonts w:ascii="Calibri"/>
          <w:b/>
          <w:color w:val="2E73B5"/>
          <w:spacing w:val="-2"/>
          <w:sz w:val="28"/>
        </w:rPr>
        <w:t>YouTube</w:t>
      </w:r>
    </w:p>
    <w:p>
      <w:pPr>
        <w:pStyle w:val="BodyText"/>
        <w:spacing w:before="4"/>
        <w:rPr>
          <w:rFonts w:ascii="Calibri"/>
          <w:b/>
          <w:sz w:val="15"/>
        </w:rPr>
      </w:pPr>
    </w:p>
    <w:tbl>
      <w:tblPr>
        <w:tblW w:w="0" w:type="auto"/>
        <w:jc w:val="left"/>
        <w:tblInd w:w="14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0"/>
        <w:gridCol w:w="2340"/>
        <w:gridCol w:w="2340"/>
        <w:gridCol w:w="1460"/>
      </w:tblGrid>
      <w:tr>
        <w:trPr>
          <w:trHeight w:val="537" w:hRule="atLeast"/>
        </w:trPr>
        <w:tc>
          <w:tcPr>
            <w:tcW w:w="2540" w:type="dxa"/>
            <w:shd w:val="clear" w:color="auto" w:fill="BDD7EE"/>
          </w:tcPr>
          <w:p>
            <w:pPr>
              <w:pStyle w:val="TableParagraph"/>
              <w:rPr>
                <w:rFonts w:ascii="Calibri"/>
                <w:b/>
                <w:sz w:val="22"/>
              </w:rPr>
            </w:pPr>
          </w:p>
          <w:p>
            <w:pPr>
              <w:pStyle w:val="TableParagraph"/>
              <w:spacing w:line="249" w:lineRule="exact"/>
              <w:ind w:left="532"/>
              <w:rPr>
                <w:rFonts w:ascii="Calibri"/>
                <w:b/>
                <w:sz w:val="22"/>
              </w:rPr>
            </w:pPr>
            <w:r>
              <w:rPr>
                <w:rFonts w:ascii="Calibri"/>
                <w:b/>
                <w:color w:val="2F75B5"/>
                <w:sz w:val="22"/>
              </w:rPr>
              <w:t>YouTube</w:t>
            </w:r>
            <w:r>
              <w:rPr>
                <w:rFonts w:ascii="Calibri"/>
                <w:b/>
                <w:color w:val="2F75B5"/>
                <w:spacing w:val="-2"/>
                <w:sz w:val="22"/>
              </w:rPr>
              <w:t> Videos</w:t>
            </w:r>
          </w:p>
        </w:tc>
        <w:tc>
          <w:tcPr>
            <w:tcW w:w="2340" w:type="dxa"/>
            <w:shd w:val="clear" w:color="auto" w:fill="BDD7EE"/>
          </w:tcPr>
          <w:p>
            <w:pPr>
              <w:pStyle w:val="TableParagraph"/>
              <w:rPr>
                <w:rFonts w:ascii="Calibri"/>
                <w:b/>
                <w:sz w:val="22"/>
              </w:rPr>
            </w:pPr>
          </w:p>
          <w:p>
            <w:pPr>
              <w:pStyle w:val="TableParagraph"/>
              <w:spacing w:line="249" w:lineRule="exact"/>
              <w:ind w:left="785" w:right="775"/>
              <w:jc w:val="center"/>
              <w:rPr>
                <w:rFonts w:ascii="Calibri"/>
                <w:b/>
                <w:sz w:val="22"/>
              </w:rPr>
            </w:pPr>
            <w:r>
              <w:rPr>
                <w:rFonts w:ascii="Calibri"/>
                <w:b/>
                <w:color w:val="2F75B5"/>
                <w:spacing w:val="-2"/>
                <w:sz w:val="22"/>
              </w:rPr>
              <w:t>English</w:t>
            </w:r>
          </w:p>
        </w:tc>
        <w:tc>
          <w:tcPr>
            <w:tcW w:w="2340" w:type="dxa"/>
            <w:shd w:val="clear" w:color="auto" w:fill="BDD7EE"/>
          </w:tcPr>
          <w:p>
            <w:pPr>
              <w:pStyle w:val="TableParagraph"/>
              <w:rPr>
                <w:rFonts w:ascii="Calibri"/>
                <w:b/>
                <w:sz w:val="22"/>
              </w:rPr>
            </w:pPr>
          </w:p>
          <w:p>
            <w:pPr>
              <w:pStyle w:val="TableParagraph"/>
              <w:spacing w:line="249" w:lineRule="exact"/>
              <w:ind w:left="784" w:right="775"/>
              <w:jc w:val="center"/>
              <w:rPr>
                <w:rFonts w:ascii="Calibri"/>
                <w:b/>
                <w:sz w:val="22"/>
              </w:rPr>
            </w:pPr>
            <w:r>
              <w:rPr>
                <w:rFonts w:ascii="Calibri"/>
                <w:b/>
                <w:color w:val="2F75B5"/>
                <w:spacing w:val="-2"/>
                <w:sz w:val="22"/>
              </w:rPr>
              <w:t>Welsh</w:t>
            </w:r>
          </w:p>
        </w:tc>
        <w:tc>
          <w:tcPr>
            <w:tcW w:w="1460" w:type="dxa"/>
            <w:shd w:val="clear" w:color="auto" w:fill="BDD7EE"/>
          </w:tcPr>
          <w:p>
            <w:pPr>
              <w:pStyle w:val="TableParagraph"/>
              <w:spacing w:line="270" w:lineRule="atLeast"/>
              <w:ind w:left="503" w:right="339" w:hanging="149"/>
              <w:rPr>
                <w:rFonts w:ascii="Calibri"/>
                <w:b/>
                <w:sz w:val="22"/>
              </w:rPr>
            </w:pPr>
            <w:r>
              <w:rPr>
                <w:rFonts w:ascii="Calibri"/>
                <w:b/>
                <w:color w:val="2F75B5"/>
                <w:spacing w:val="-2"/>
                <w:sz w:val="22"/>
              </w:rPr>
              <w:t>Average </w:t>
            </w:r>
            <w:r>
              <w:rPr>
                <w:rFonts w:ascii="Calibri"/>
                <w:b/>
                <w:color w:val="2F75B5"/>
                <w:spacing w:val="-4"/>
                <w:sz w:val="22"/>
              </w:rPr>
              <w:t>Time</w:t>
            </w:r>
          </w:p>
        </w:tc>
      </w:tr>
      <w:tr>
        <w:trPr>
          <w:trHeight w:val="287" w:hRule="atLeast"/>
        </w:trPr>
        <w:tc>
          <w:tcPr>
            <w:tcW w:w="2540" w:type="dxa"/>
            <w:shd w:val="clear" w:color="auto" w:fill="F2F2F2"/>
          </w:tcPr>
          <w:p>
            <w:pPr>
              <w:pStyle w:val="TableParagraph"/>
              <w:spacing w:line="249" w:lineRule="exact" w:before="18"/>
              <w:ind w:left="108"/>
              <w:rPr>
                <w:rFonts w:ascii="Calibri"/>
                <w:sz w:val="22"/>
              </w:rPr>
            </w:pPr>
            <w:r>
              <w:rPr>
                <w:rFonts w:ascii="Calibri"/>
                <w:sz w:val="22"/>
              </w:rPr>
              <w:t>What is</w:t>
            </w:r>
            <w:r>
              <w:rPr>
                <w:rFonts w:ascii="Calibri"/>
                <w:spacing w:val="-1"/>
                <w:sz w:val="22"/>
              </w:rPr>
              <w:t> </w:t>
            </w:r>
            <w:r>
              <w:rPr>
                <w:rFonts w:ascii="Calibri"/>
                <w:spacing w:val="-2"/>
                <w:sz w:val="22"/>
              </w:rPr>
              <w:t>Fraud?</w:t>
            </w:r>
          </w:p>
        </w:tc>
        <w:tc>
          <w:tcPr>
            <w:tcW w:w="2340" w:type="dxa"/>
            <w:shd w:val="clear" w:color="auto" w:fill="F2F2F2"/>
          </w:tcPr>
          <w:p>
            <w:pPr>
              <w:pStyle w:val="TableParagraph"/>
              <w:spacing w:line="249" w:lineRule="exact" w:before="18"/>
              <w:ind w:left="785" w:right="775"/>
              <w:jc w:val="center"/>
              <w:rPr>
                <w:rFonts w:ascii="Calibri"/>
                <w:sz w:val="22"/>
              </w:rPr>
            </w:pPr>
            <w:r>
              <w:rPr>
                <w:rFonts w:ascii="Calibri"/>
                <w:spacing w:val="-5"/>
                <w:sz w:val="22"/>
              </w:rPr>
              <w:t>116</w:t>
            </w:r>
          </w:p>
        </w:tc>
        <w:tc>
          <w:tcPr>
            <w:tcW w:w="2340" w:type="dxa"/>
            <w:shd w:val="clear" w:color="auto" w:fill="F2F2F2"/>
          </w:tcPr>
          <w:p>
            <w:pPr>
              <w:pStyle w:val="TableParagraph"/>
              <w:spacing w:line="249" w:lineRule="exact" w:before="18"/>
              <w:ind w:left="785" w:right="775"/>
              <w:jc w:val="center"/>
              <w:rPr>
                <w:rFonts w:ascii="Calibri"/>
                <w:sz w:val="22"/>
              </w:rPr>
            </w:pPr>
            <w:r>
              <w:rPr>
                <w:rFonts w:ascii="Calibri"/>
                <w:spacing w:val="-5"/>
                <w:sz w:val="22"/>
              </w:rPr>
              <w:t>17</w:t>
            </w:r>
          </w:p>
        </w:tc>
        <w:tc>
          <w:tcPr>
            <w:tcW w:w="1460" w:type="dxa"/>
            <w:shd w:val="clear" w:color="auto" w:fill="F2F2F2"/>
          </w:tcPr>
          <w:p>
            <w:pPr>
              <w:pStyle w:val="TableParagraph"/>
              <w:spacing w:line="249" w:lineRule="exact" w:before="18"/>
              <w:ind w:left="534"/>
              <w:rPr>
                <w:rFonts w:ascii="Calibri"/>
                <w:sz w:val="22"/>
              </w:rPr>
            </w:pPr>
            <w:r>
              <w:rPr>
                <w:rFonts w:ascii="Calibri"/>
                <w:spacing w:val="-4"/>
                <w:sz w:val="22"/>
              </w:rPr>
              <w:t>1.44</w:t>
            </w:r>
          </w:p>
        </w:tc>
      </w:tr>
      <w:tr>
        <w:trPr>
          <w:trHeight w:val="290" w:hRule="atLeast"/>
        </w:trPr>
        <w:tc>
          <w:tcPr>
            <w:tcW w:w="2540" w:type="dxa"/>
          </w:tcPr>
          <w:p>
            <w:pPr>
              <w:pStyle w:val="TableParagraph"/>
              <w:spacing w:line="249" w:lineRule="exact" w:before="21"/>
              <w:ind w:left="108"/>
              <w:rPr>
                <w:rFonts w:ascii="Calibri"/>
                <w:sz w:val="22"/>
              </w:rPr>
            </w:pPr>
            <w:r>
              <w:rPr>
                <w:rFonts w:ascii="Calibri"/>
                <w:sz w:val="22"/>
              </w:rPr>
              <w:t>Who </w:t>
            </w:r>
            <w:r>
              <w:rPr>
                <w:rFonts w:ascii="Calibri"/>
                <w:spacing w:val="-2"/>
                <w:sz w:val="22"/>
              </w:rPr>
              <w:t>pays?</w:t>
            </w:r>
          </w:p>
        </w:tc>
        <w:tc>
          <w:tcPr>
            <w:tcW w:w="2340" w:type="dxa"/>
          </w:tcPr>
          <w:p>
            <w:pPr>
              <w:pStyle w:val="TableParagraph"/>
              <w:spacing w:line="249" w:lineRule="exact" w:before="21"/>
              <w:ind w:left="785" w:right="775"/>
              <w:jc w:val="center"/>
              <w:rPr>
                <w:rFonts w:ascii="Calibri"/>
                <w:sz w:val="22"/>
              </w:rPr>
            </w:pPr>
            <w:r>
              <w:rPr>
                <w:rFonts w:ascii="Calibri"/>
                <w:spacing w:val="-5"/>
                <w:sz w:val="22"/>
              </w:rPr>
              <w:t>54</w:t>
            </w:r>
          </w:p>
        </w:tc>
        <w:tc>
          <w:tcPr>
            <w:tcW w:w="2340" w:type="dxa"/>
          </w:tcPr>
          <w:p>
            <w:pPr>
              <w:pStyle w:val="TableParagraph"/>
              <w:spacing w:line="249" w:lineRule="exact" w:before="21"/>
              <w:ind w:left="9"/>
              <w:jc w:val="center"/>
              <w:rPr>
                <w:rFonts w:ascii="Calibri"/>
                <w:sz w:val="22"/>
              </w:rPr>
            </w:pPr>
            <w:r>
              <w:rPr>
                <w:rFonts w:ascii="Calibri"/>
                <w:sz w:val="22"/>
              </w:rPr>
              <w:t>9</w:t>
            </w:r>
          </w:p>
        </w:tc>
        <w:tc>
          <w:tcPr>
            <w:tcW w:w="1460" w:type="dxa"/>
          </w:tcPr>
          <w:p>
            <w:pPr>
              <w:pStyle w:val="TableParagraph"/>
              <w:spacing w:line="249" w:lineRule="exact" w:before="21"/>
              <w:ind w:left="534"/>
              <w:rPr>
                <w:rFonts w:ascii="Calibri"/>
                <w:sz w:val="22"/>
              </w:rPr>
            </w:pPr>
            <w:r>
              <w:rPr>
                <w:rFonts w:ascii="Calibri"/>
                <w:spacing w:val="-4"/>
                <w:sz w:val="22"/>
              </w:rPr>
              <w:t>1.08</w:t>
            </w:r>
          </w:p>
        </w:tc>
      </w:tr>
      <w:tr>
        <w:trPr>
          <w:trHeight w:val="290" w:hRule="atLeast"/>
        </w:trPr>
        <w:tc>
          <w:tcPr>
            <w:tcW w:w="2540" w:type="dxa"/>
            <w:shd w:val="clear" w:color="auto" w:fill="F2F2F2"/>
          </w:tcPr>
          <w:p>
            <w:pPr>
              <w:pStyle w:val="TableParagraph"/>
              <w:spacing w:line="249" w:lineRule="exact" w:before="21"/>
              <w:ind w:left="108"/>
              <w:rPr>
                <w:rFonts w:ascii="Calibri"/>
                <w:sz w:val="22"/>
              </w:rPr>
            </w:pPr>
            <w:r>
              <w:rPr>
                <w:rFonts w:ascii="Calibri"/>
                <w:sz w:val="22"/>
              </w:rPr>
              <w:t>Procurement</w:t>
            </w:r>
            <w:r>
              <w:rPr>
                <w:rFonts w:ascii="Calibri"/>
                <w:spacing w:val="-4"/>
                <w:sz w:val="22"/>
              </w:rPr>
              <w:t> </w:t>
            </w:r>
            <w:r>
              <w:rPr>
                <w:rFonts w:ascii="Calibri"/>
                <w:spacing w:val="-2"/>
                <w:sz w:val="22"/>
              </w:rPr>
              <w:t>Fraud</w:t>
            </w:r>
          </w:p>
        </w:tc>
        <w:tc>
          <w:tcPr>
            <w:tcW w:w="2340" w:type="dxa"/>
            <w:shd w:val="clear" w:color="auto" w:fill="F2F2F2"/>
          </w:tcPr>
          <w:p>
            <w:pPr>
              <w:pStyle w:val="TableParagraph"/>
              <w:spacing w:line="249" w:lineRule="exact" w:before="21"/>
              <w:ind w:left="785" w:right="775"/>
              <w:jc w:val="center"/>
              <w:rPr>
                <w:rFonts w:ascii="Calibri"/>
                <w:sz w:val="22"/>
              </w:rPr>
            </w:pPr>
            <w:r>
              <w:rPr>
                <w:rFonts w:ascii="Calibri"/>
                <w:spacing w:val="-5"/>
                <w:sz w:val="22"/>
              </w:rPr>
              <w:t>65</w:t>
            </w:r>
          </w:p>
        </w:tc>
        <w:tc>
          <w:tcPr>
            <w:tcW w:w="2340" w:type="dxa"/>
            <w:shd w:val="clear" w:color="auto" w:fill="F2F2F2"/>
          </w:tcPr>
          <w:p>
            <w:pPr>
              <w:pStyle w:val="TableParagraph"/>
              <w:spacing w:line="249" w:lineRule="exact" w:before="21"/>
              <w:ind w:left="9"/>
              <w:jc w:val="center"/>
              <w:rPr>
                <w:rFonts w:ascii="Calibri"/>
                <w:sz w:val="22"/>
              </w:rPr>
            </w:pPr>
            <w:r>
              <w:rPr>
                <w:rFonts w:ascii="Calibri"/>
                <w:sz w:val="22"/>
              </w:rPr>
              <w:t>8</w:t>
            </w:r>
          </w:p>
        </w:tc>
        <w:tc>
          <w:tcPr>
            <w:tcW w:w="1460" w:type="dxa"/>
            <w:shd w:val="clear" w:color="auto" w:fill="F2F2F2"/>
          </w:tcPr>
          <w:p>
            <w:pPr>
              <w:pStyle w:val="TableParagraph"/>
              <w:spacing w:line="249" w:lineRule="exact" w:before="21"/>
              <w:ind w:left="534"/>
              <w:rPr>
                <w:rFonts w:ascii="Calibri"/>
                <w:sz w:val="22"/>
              </w:rPr>
            </w:pPr>
            <w:r>
              <w:rPr>
                <w:rFonts w:ascii="Calibri"/>
                <w:spacing w:val="-4"/>
                <w:sz w:val="22"/>
              </w:rPr>
              <w:t>1.03</w:t>
            </w:r>
          </w:p>
        </w:tc>
      </w:tr>
      <w:tr>
        <w:trPr>
          <w:trHeight w:val="290" w:hRule="atLeast"/>
        </w:trPr>
        <w:tc>
          <w:tcPr>
            <w:tcW w:w="2540" w:type="dxa"/>
          </w:tcPr>
          <w:p>
            <w:pPr>
              <w:pStyle w:val="TableParagraph"/>
              <w:spacing w:line="249" w:lineRule="exact" w:before="21"/>
              <w:ind w:left="108"/>
              <w:rPr>
                <w:rFonts w:ascii="Calibri"/>
                <w:sz w:val="22"/>
              </w:rPr>
            </w:pPr>
            <w:r>
              <w:rPr>
                <w:rFonts w:ascii="Calibri"/>
                <w:sz w:val="22"/>
              </w:rPr>
              <w:t>Mandate</w:t>
            </w:r>
            <w:r>
              <w:rPr>
                <w:rFonts w:ascii="Calibri"/>
                <w:spacing w:val="-1"/>
                <w:sz w:val="22"/>
              </w:rPr>
              <w:t> </w:t>
            </w:r>
            <w:r>
              <w:rPr>
                <w:rFonts w:ascii="Calibri"/>
                <w:spacing w:val="-2"/>
                <w:sz w:val="22"/>
              </w:rPr>
              <w:t>Fraud</w:t>
            </w:r>
          </w:p>
        </w:tc>
        <w:tc>
          <w:tcPr>
            <w:tcW w:w="2340" w:type="dxa"/>
          </w:tcPr>
          <w:p>
            <w:pPr>
              <w:pStyle w:val="TableParagraph"/>
              <w:spacing w:line="249" w:lineRule="exact" w:before="21"/>
              <w:ind w:left="785" w:right="775"/>
              <w:jc w:val="center"/>
              <w:rPr>
                <w:rFonts w:ascii="Calibri"/>
                <w:sz w:val="22"/>
              </w:rPr>
            </w:pPr>
            <w:r>
              <w:rPr>
                <w:rFonts w:ascii="Calibri"/>
                <w:spacing w:val="-5"/>
                <w:sz w:val="22"/>
              </w:rPr>
              <w:t>122</w:t>
            </w:r>
          </w:p>
        </w:tc>
        <w:tc>
          <w:tcPr>
            <w:tcW w:w="2340" w:type="dxa"/>
          </w:tcPr>
          <w:p>
            <w:pPr>
              <w:pStyle w:val="TableParagraph"/>
              <w:spacing w:line="249" w:lineRule="exact" w:before="21"/>
              <w:ind w:left="785" w:right="775"/>
              <w:jc w:val="center"/>
              <w:rPr>
                <w:rFonts w:ascii="Calibri"/>
                <w:sz w:val="22"/>
              </w:rPr>
            </w:pPr>
            <w:r>
              <w:rPr>
                <w:rFonts w:ascii="Calibri"/>
                <w:spacing w:val="-5"/>
                <w:sz w:val="22"/>
              </w:rPr>
              <w:t>12</w:t>
            </w:r>
          </w:p>
        </w:tc>
        <w:tc>
          <w:tcPr>
            <w:tcW w:w="1460" w:type="dxa"/>
          </w:tcPr>
          <w:p>
            <w:pPr>
              <w:pStyle w:val="TableParagraph"/>
              <w:spacing w:line="249" w:lineRule="exact" w:before="21"/>
              <w:ind w:left="534"/>
              <w:rPr>
                <w:rFonts w:ascii="Calibri"/>
                <w:sz w:val="22"/>
              </w:rPr>
            </w:pPr>
            <w:r>
              <w:rPr>
                <w:rFonts w:ascii="Calibri"/>
                <w:spacing w:val="-4"/>
                <w:sz w:val="22"/>
              </w:rPr>
              <w:t>1.08</w:t>
            </w:r>
          </w:p>
        </w:tc>
      </w:tr>
      <w:tr>
        <w:trPr>
          <w:trHeight w:val="290" w:hRule="atLeast"/>
        </w:trPr>
        <w:tc>
          <w:tcPr>
            <w:tcW w:w="2540" w:type="dxa"/>
            <w:shd w:val="clear" w:color="auto" w:fill="F2F2F2"/>
          </w:tcPr>
          <w:p>
            <w:pPr>
              <w:pStyle w:val="TableParagraph"/>
              <w:spacing w:line="249" w:lineRule="exact" w:before="21"/>
              <w:ind w:left="108"/>
              <w:rPr>
                <w:rFonts w:ascii="Calibri"/>
                <w:sz w:val="22"/>
              </w:rPr>
            </w:pPr>
            <w:r>
              <w:rPr>
                <w:rFonts w:ascii="Calibri"/>
                <w:sz w:val="22"/>
              </w:rPr>
              <w:t>Theft</w:t>
            </w:r>
            <w:r>
              <w:rPr>
                <w:rFonts w:ascii="Calibri"/>
                <w:spacing w:val="-3"/>
                <w:sz w:val="22"/>
              </w:rPr>
              <w:t> </w:t>
            </w:r>
            <w:r>
              <w:rPr>
                <w:rFonts w:ascii="Calibri"/>
                <w:sz w:val="22"/>
              </w:rPr>
              <w:t>of</w:t>
            </w:r>
            <w:r>
              <w:rPr>
                <w:rFonts w:ascii="Calibri"/>
                <w:spacing w:val="-2"/>
                <w:sz w:val="22"/>
              </w:rPr>
              <w:t> Overpayment</w:t>
            </w:r>
          </w:p>
        </w:tc>
        <w:tc>
          <w:tcPr>
            <w:tcW w:w="2340" w:type="dxa"/>
            <w:shd w:val="clear" w:color="auto" w:fill="F2F2F2"/>
          </w:tcPr>
          <w:p>
            <w:pPr>
              <w:pStyle w:val="TableParagraph"/>
              <w:spacing w:line="249" w:lineRule="exact" w:before="21"/>
              <w:ind w:left="785" w:right="775"/>
              <w:jc w:val="center"/>
              <w:rPr>
                <w:rFonts w:ascii="Calibri"/>
                <w:sz w:val="22"/>
              </w:rPr>
            </w:pPr>
            <w:r>
              <w:rPr>
                <w:rFonts w:ascii="Calibri"/>
                <w:spacing w:val="-5"/>
                <w:sz w:val="22"/>
              </w:rPr>
              <w:t>66</w:t>
            </w:r>
          </w:p>
        </w:tc>
        <w:tc>
          <w:tcPr>
            <w:tcW w:w="2340" w:type="dxa"/>
            <w:shd w:val="clear" w:color="auto" w:fill="F2F2F2"/>
          </w:tcPr>
          <w:p>
            <w:pPr>
              <w:pStyle w:val="TableParagraph"/>
              <w:spacing w:line="249" w:lineRule="exact" w:before="21"/>
              <w:ind w:left="9"/>
              <w:jc w:val="center"/>
              <w:rPr>
                <w:rFonts w:ascii="Calibri"/>
                <w:sz w:val="22"/>
              </w:rPr>
            </w:pPr>
            <w:r>
              <w:rPr>
                <w:rFonts w:ascii="Calibri"/>
                <w:sz w:val="22"/>
              </w:rPr>
              <w:t>6</w:t>
            </w:r>
          </w:p>
        </w:tc>
        <w:tc>
          <w:tcPr>
            <w:tcW w:w="1460" w:type="dxa"/>
            <w:shd w:val="clear" w:color="auto" w:fill="F2F2F2"/>
          </w:tcPr>
          <w:p>
            <w:pPr>
              <w:pStyle w:val="TableParagraph"/>
              <w:spacing w:line="249" w:lineRule="exact" w:before="21"/>
              <w:ind w:left="590"/>
              <w:rPr>
                <w:rFonts w:ascii="Calibri"/>
                <w:sz w:val="22"/>
              </w:rPr>
            </w:pPr>
            <w:r>
              <w:rPr>
                <w:rFonts w:ascii="Calibri"/>
                <w:spacing w:val="-5"/>
                <w:sz w:val="22"/>
              </w:rPr>
              <w:t>1.3</w:t>
            </w:r>
          </w:p>
        </w:tc>
      </w:tr>
      <w:tr>
        <w:trPr>
          <w:trHeight w:val="290" w:hRule="atLeast"/>
        </w:trPr>
        <w:tc>
          <w:tcPr>
            <w:tcW w:w="2540" w:type="dxa"/>
          </w:tcPr>
          <w:p>
            <w:pPr>
              <w:pStyle w:val="TableParagraph"/>
              <w:spacing w:line="259" w:lineRule="exact" w:before="10"/>
              <w:ind w:left="710" w:right="701"/>
              <w:jc w:val="center"/>
              <w:rPr>
                <w:rFonts w:ascii="Calibri"/>
                <w:b/>
                <w:sz w:val="22"/>
              </w:rPr>
            </w:pPr>
            <w:r>
              <w:rPr>
                <w:rFonts w:ascii="Calibri"/>
                <w:b/>
                <w:spacing w:val="-2"/>
                <w:sz w:val="22"/>
              </w:rPr>
              <w:t>Total</w:t>
            </w:r>
          </w:p>
        </w:tc>
        <w:tc>
          <w:tcPr>
            <w:tcW w:w="2340" w:type="dxa"/>
          </w:tcPr>
          <w:p>
            <w:pPr>
              <w:pStyle w:val="TableParagraph"/>
              <w:spacing w:line="249" w:lineRule="exact" w:before="21"/>
              <w:ind w:left="785" w:right="775"/>
              <w:jc w:val="center"/>
              <w:rPr>
                <w:rFonts w:ascii="Calibri"/>
                <w:b/>
                <w:sz w:val="22"/>
              </w:rPr>
            </w:pPr>
            <w:r>
              <w:rPr>
                <w:rFonts w:ascii="Calibri"/>
                <w:b/>
                <w:spacing w:val="-5"/>
                <w:sz w:val="22"/>
              </w:rPr>
              <w:t>423</w:t>
            </w:r>
          </w:p>
        </w:tc>
        <w:tc>
          <w:tcPr>
            <w:tcW w:w="2340" w:type="dxa"/>
          </w:tcPr>
          <w:p>
            <w:pPr>
              <w:pStyle w:val="TableParagraph"/>
              <w:spacing w:line="249" w:lineRule="exact" w:before="21"/>
              <w:ind w:left="785" w:right="775"/>
              <w:jc w:val="center"/>
              <w:rPr>
                <w:rFonts w:ascii="Calibri"/>
                <w:b/>
                <w:sz w:val="22"/>
              </w:rPr>
            </w:pPr>
            <w:r>
              <w:rPr>
                <w:rFonts w:ascii="Calibri"/>
                <w:b/>
                <w:spacing w:val="-5"/>
                <w:sz w:val="22"/>
              </w:rPr>
              <w:t>52</w:t>
            </w:r>
          </w:p>
        </w:tc>
        <w:tc>
          <w:tcPr>
            <w:tcW w:w="1460" w:type="dxa"/>
          </w:tcPr>
          <w:p>
            <w:pPr>
              <w:pStyle w:val="TableParagraph"/>
              <w:spacing w:line="249" w:lineRule="exact" w:before="21"/>
              <w:ind w:left="555"/>
              <w:rPr>
                <w:rFonts w:ascii="Calibri"/>
                <w:b/>
                <w:sz w:val="22"/>
              </w:rPr>
            </w:pPr>
            <w:r>
              <w:rPr>
                <w:rFonts w:ascii="Calibri"/>
                <w:b/>
                <w:spacing w:val="-5"/>
                <w:sz w:val="22"/>
              </w:rPr>
              <w:t>475</w:t>
            </w:r>
          </w:p>
        </w:tc>
      </w:tr>
    </w:tbl>
    <w:p>
      <w:pPr>
        <w:pStyle w:val="BodyText"/>
        <w:spacing w:before="10"/>
        <w:rPr>
          <w:rFonts w:ascii="Calibri"/>
          <w:b/>
          <w:sz w:val="36"/>
        </w:rPr>
      </w:pPr>
    </w:p>
    <w:p>
      <w:pPr>
        <w:spacing w:before="0"/>
        <w:ind w:left="2465" w:right="2002" w:firstLine="0"/>
        <w:jc w:val="center"/>
        <w:rPr>
          <w:rFonts w:ascii="Calibri"/>
          <w:b/>
          <w:sz w:val="28"/>
        </w:rPr>
      </w:pPr>
      <w:r>
        <w:rPr>
          <w:rFonts w:ascii="Calibri"/>
          <w:b/>
          <w:color w:val="2E73B5"/>
          <w:spacing w:val="-2"/>
          <w:sz w:val="28"/>
        </w:rPr>
        <w:t>Twitter</w:t>
      </w:r>
    </w:p>
    <w:p>
      <w:pPr>
        <w:pStyle w:val="BodyText"/>
        <w:spacing w:before="4"/>
        <w:rPr>
          <w:rFonts w:ascii="Calibri"/>
          <w:b/>
          <w:sz w:val="15"/>
        </w:rPr>
      </w:pPr>
    </w:p>
    <w:tbl>
      <w:tblPr>
        <w:tblW w:w="0" w:type="auto"/>
        <w:jc w:val="left"/>
        <w:tblInd w:w="14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0"/>
        <w:gridCol w:w="1220"/>
        <w:gridCol w:w="1500"/>
        <w:gridCol w:w="1960"/>
        <w:gridCol w:w="2540"/>
      </w:tblGrid>
      <w:tr>
        <w:trPr>
          <w:trHeight w:val="290" w:hRule="atLeast"/>
        </w:trPr>
        <w:tc>
          <w:tcPr>
            <w:tcW w:w="2720" w:type="dxa"/>
            <w:tcBorders>
              <w:right w:val="dashed" w:sz="4" w:space="0" w:color="000000"/>
            </w:tcBorders>
            <w:shd w:val="clear" w:color="auto" w:fill="BDD7EE"/>
          </w:tcPr>
          <w:p>
            <w:pPr>
              <w:pStyle w:val="TableParagraph"/>
              <w:spacing w:line="249" w:lineRule="exact" w:before="21"/>
              <w:ind w:left="625"/>
              <w:rPr>
                <w:rFonts w:ascii="Calibri"/>
                <w:b/>
                <w:sz w:val="22"/>
              </w:rPr>
            </w:pPr>
            <w:r>
              <w:rPr>
                <w:rFonts w:ascii="Calibri"/>
                <w:b/>
                <w:color w:val="2F75B5"/>
                <w:sz w:val="22"/>
              </w:rPr>
              <w:t>Tweets</w:t>
            </w:r>
            <w:r>
              <w:rPr>
                <w:rFonts w:ascii="Calibri"/>
                <w:b/>
                <w:color w:val="2F75B5"/>
                <w:spacing w:val="-3"/>
                <w:sz w:val="22"/>
              </w:rPr>
              <w:t> </w:t>
            </w:r>
            <w:r>
              <w:rPr>
                <w:rFonts w:ascii="Calibri"/>
                <w:b/>
                <w:color w:val="2F75B5"/>
                <w:sz w:val="22"/>
              </w:rPr>
              <w:t>-</w:t>
            </w:r>
            <w:r>
              <w:rPr>
                <w:rFonts w:ascii="Calibri"/>
                <w:b/>
                <w:color w:val="2F75B5"/>
                <w:spacing w:val="-3"/>
                <w:sz w:val="22"/>
              </w:rPr>
              <w:t> </w:t>
            </w:r>
            <w:r>
              <w:rPr>
                <w:rFonts w:ascii="Calibri"/>
                <w:b/>
                <w:color w:val="2F75B5"/>
                <w:spacing w:val="-2"/>
                <w:sz w:val="22"/>
              </w:rPr>
              <w:t>English</w:t>
            </w:r>
          </w:p>
        </w:tc>
        <w:tc>
          <w:tcPr>
            <w:tcW w:w="1220" w:type="dxa"/>
            <w:tcBorders>
              <w:left w:val="dashed" w:sz="4" w:space="0" w:color="000000"/>
              <w:right w:val="dashed" w:sz="4" w:space="0" w:color="000000"/>
            </w:tcBorders>
            <w:shd w:val="clear" w:color="auto" w:fill="BDD7EE"/>
          </w:tcPr>
          <w:p>
            <w:pPr>
              <w:pStyle w:val="TableParagraph"/>
              <w:spacing w:line="249" w:lineRule="exact" w:before="21"/>
              <w:ind w:left="369" w:right="359"/>
              <w:jc w:val="center"/>
              <w:rPr>
                <w:rFonts w:ascii="Calibri"/>
                <w:b/>
                <w:sz w:val="22"/>
              </w:rPr>
            </w:pPr>
            <w:r>
              <w:rPr>
                <w:rFonts w:ascii="Calibri"/>
                <w:b/>
                <w:color w:val="2F75B5"/>
                <w:spacing w:val="-2"/>
                <w:sz w:val="22"/>
              </w:rPr>
              <w:t>Likes</w:t>
            </w:r>
          </w:p>
        </w:tc>
        <w:tc>
          <w:tcPr>
            <w:tcW w:w="1500" w:type="dxa"/>
            <w:tcBorders>
              <w:left w:val="dashed" w:sz="4" w:space="0" w:color="000000"/>
              <w:right w:val="dashed" w:sz="4" w:space="0" w:color="000000"/>
            </w:tcBorders>
            <w:shd w:val="clear" w:color="auto" w:fill="BDD7EE"/>
          </w:tcPr>
          <w:p>
            <w:pPr>
              <w:pStyle w:val="TableParagraph"/>
              <w:spacing w:line="249" w:lineRule="exact" w:before="21"/>
              <w:ind w:left="307" w:right="298"/>
              <w:jc w:val="center"/>
              <w:rPr>
                <w:rFonts w:ascii="Calibri"/>
                <w:b/>
                <w:sz w:val="22"/>
              </w:rPr>
            </w:pPr>
            <w:r>
              <w:rPr>
                <w:rFonts w:ascii="Calibri"/>
                <w:b/>
                <w:color w:val="2F75B5"/>
                <w:spacing w:val="-2"/>
                <w:sz w:val="22"/>
              </w:rPr>
              <w:t>Retweets</w:t>
            </w:r>
          </w:p>
        </w:tc>
        <w:tc>
          <w:tcPr>
            <w:tcW w:w="1960" w:type="dxa"/>
            <w:tcBorders>
              <w:left w:val="dashed" w:sz="4" w:space="0" w:color="000000"/>
              <w:right w:val="dashed" w:sz="4" w:space="0" w:color="000000"/>
            </w:tcBorders>
            <w:shd w:val="clear" w:color="auto" w:fill="BDD7EE"/>
          </w:tcPr>
          <w:p>
            <w:pPr>
              <w:pStyle w:val="TableParagraph"/>
              <w:spacing w:line="249" w:lineRule="exact" w:before="21"/>
              <w:ind w:left="315" w:right="307"/>
              <w:jc w:val="center"/>
              <w:rPr>
                <w:rFonts w:ascii="Calibri"/>
                <w:b/>
                <w:sz w:val="22"/>
              </w:rPr>
            </w:pPr>
            <w:r>
              <w:rPr>
                <w:rFonts w:ascii="Calibri"/>
                <w:b/>
                <w:color w:val="2F75B5"/>
                <w:sz w:val="22"/>
              </w:rPr>
              <w:t>Video</w:t>
            </w:r>
            <w:r>
              <w:rPr>
                <w:rFonts w:ascii="Calibri"/>
                <w:b/>
                <w:color w:val="2F75B5"/>
                <w:spacing w:val="-5"/>
                <w:sz w:val="22"/>
              </w:rPr>
              <w:t> </w:t>
            </w:r>
            <w:r>
              <w:rPr>
                <w:rFonts w:ascii="Calibri"/>
                <w:b/>
                <w:color w:val="2F75B5"/>
                <w:spacing w:val="-2"/>
                <w:sz w:val="22"/>
              </w:rPr>
              <w:t>Views</w:t>
            </w:r>
          </w:p>
        </w:tc>
        <w:tc>
          <w:tcPr>
            <w:tcW w:w="2540" w:type="dxa"/>
            <w:tcBorders>
              <w:left w:val="dashed" w:sz="4" w:space="0" w:color="000000"/>
            </w:tcBorders>
            <w:shd w:val="clear" w:color="auto" w:fill="BDD7EE"/>
          </w:tcPr>
          <w:p>
            <w:pPr>
              <w:pStyle w:val="TableParagraph"/>
              <w:spacing w:line="249" w:lineRule="exact" w:before="21"/>
              <w:ind w:left="711" w:right="701"/>
              <w:jc w:val="center"/>
              <w:rPr>
                <w:rFonts w:ascii="Calibri"/>
                <w:b/>
                <w:sz w:val="22"/>
              </w:rPr>
            </w:pPr>
            <w:r>
              <w:rPr>
                <w:rFonts w:ascii="Calibri"/>
                <w:b/>
                <w:color w:val="2F75B5"/>
                <w:spacing w:val="-2"/>
                <w:sz w:val="22"/>
              </w:rPr>
              <w:t>Impressions</w:t>
            </w:r>
          </w:p>
        </w:tc>
      </w:tr>
      <w:tr>
        <w:trPr>
          <w:trHeight w:val="290" w:hRule="atLeast"/>
        </w:trPr>
        <w:tc>
          <w:tcPr>
            <w:tcW w:w="2720" w:type="dxa"/>
            <w:tcBorders>
              <w:right w:val="dashed" w:sz="4" w:space="0" w:color="000000"/>
            </w:tcBorders>
            <w:shd w:val="clear" w:color="auto" w:fill="F2F2F2"/>
          </w:tcPr>
          <w:p>
            <w:pPr>
              <w:pStyle w:val="TableParagraph"/>
              <w:spacing w:line="249" w:lineRule="exact" w:before="21"/>
              <w:ind w:left="108"/>
              <w:rPr>
                <w:rFonts w:ascii="Calibri"/>
                <w:sz w:val="22"/>
              </w:rPr>
            </w:pPr>
            <w:r>
              <w:rPr>
                <w:rFonts w:ascii="Calibri"/>
                <w:sz w:val="22"/>
              </w:rPr>
              <w:t>Mon</w:t>
            </w:r>
            <w:r>
              <w:rPr>
                <w:rFonts w:ascii="Calibri"/>
                <w:spacing w:val="-2"/>
                <w:sz w:val="22"/>
              </w:rPr>
              <w:t> </w:t>
            </w:r>
            <w:r>
              <w:rPr>
                <w:rFonts w:ascii="Calibri"/>
                <w:sz w:val="22"/>
              </w:rPr>
              <w:t>(Who</w:t>
            </w:r>
            <w:r>
              <w:rPr>
                <w:rFonts w:ascii="Calibri"/>
                <w:spacing w:val="-1"/>
                <w:sz w:val="22"/>
              </w:rPr>
              <w:t> </w:t>
            </w:r>
            <w:r>
              <w:rPr>
                <w:rFonts w:ascii="Calibri"/>
                <w:sz w:val="22"/>
              </w:rPr>
              <w:t>Pays</w:t>
            </w:r>
            <w:r>
              <w:rPr>
                <w:rFonts w:ascii="Calibri"/>
                <w:spacing w:val="-2"/>
                <w:sz w:val="22"/>
              </w:rPr>
              <w:t> </w:t>
            </w:r>
            <w:r>
              <w:rPr>
                <w:rFonts w:ascii="Calibri"/>
                <w:sz w:val="22"/>
              </w:rPr>
              <w:t>for</w:t>
            </w:r>
            <w:r>
              <w:rPr>
                <w:rFonts w:ascii="Calibri"/>
                <w:spacing w:val="-2"/>
                <w:sz w:val="22"/>
              </w:rPr>
              <w:t> Fraud)</w:t>
            </w:r>
          </w:p>
        </w:tc>
        <w:tc>
          <w:tcPr>
            <w:tcW w:w="1220" w:type="dxa"/>
            <w:tcBorders>
              <w:left w:val="dashed" w:sz="4" w:space="0" w:color="000000"/>
              <w:right w:val="dashed" w:sz="4" w:space="0" w:color="000000"/>
            </w:tcBorders>
            <w:shd w:val="clear" w:color="auto" w:fill="F2F2F2"/>
          </w:tcPr>
          <w:p>
            <w:pPr>
              <w:pStyle w:val="TableParagraph"/>
              <w:spacing w:line="249" w:lineRule="exact" w:before="21"/>
              <w:ind w:left="9"/>
              <w:jc w:val="center"/>
              <w:rPr>
                <w:rFonts w:ascii="Calibri"/>
                <w:sz w:val="22"/>
              </w:rPr>
            </w:pPr>
            <w:r>
              <w:rPr>
                <w:rFonts w:ascii="Calibri"/>
                <w:sz w:val="22"/>
              </w:rPr>
              <w:t>5</w:t>
            </w:r>
          </w:p>
        </w:tc>
        <w:tc>
          <w:tcPr>
            <w:tcW w:w="1500" w:type="dxa"/>
            <w:tcBorders>
              <w:left w:val="dashed" w:sz="4" w:space="0" w:color="000000"/>
              <w:right w:val="dashed" w:sz="4" w:space="0" w:color="000000"/>
            </w:tcBorders>
            <w:shd w:val="clear" w:color="auto" w:fill="F2F2F2"/>
          </w:tcPr>
          <w:p>
            <w:pPr>
              <w:pStyle w:val="TableParagraph"/>
              <w:spacing w:line="249" w:lineRule="exact" w:before="21"/>
              <w:ind w:left="9"/>
              <w:jc w:val="center"/>
              <w:rPr>
                <w:rFonts w:ascii="Calibri"/>
                <w:sz w:val="22"/>
              </w:rPr>
            </w:pPr>
            <w:r>
              <w:rPr>
                <w:rFonts w:ascii="Calibri"/>
                <w:sz w:val="22"/>
              </w:rPr>
              <w:t>5</w:t>
            </w:r>
          </w:p>
        </w:tc>
        <w:tc>
          <w:tcPr>
            <w:tcW w:w="1960" w:type="dxa"/>
            <w:tcBorders>
              <w:left w:val="dashed" w:sz="4" w:space="0" w:color="000000"/>
              <w:right w:val="dashed" w:sz="4" w:space="0" w:color="000000"/>
            </w:tcBorders>
            <w:shd w:val="clear" w:color="auto" w:fill="F2F2F2"/>
          </w:tcPr>
          <w:p>
            <w:pPr>
              <w:pStyle w:val="TableParagraph"/>
              <w:spacing w:line="249" w:lineRule="exact" w:before="21"/>
              <w:ind w:left="316" w:right="306"/>
              <w:jc w:val="center"/>
              <w:rPr>
                <w:rFonts w:ascii="Calibri"/>
                <w:sz w:val="22"/>
              </w:rPr>
            </w:pPr>
            <w:r>
              <w:rPr>
                <w:rFonts w:ascii="Calibri"/>
                <w:spacing w:val="-5"/>
                <w:sz w:val="22"/>
              </w:rPr>
              <w:t>138</w:t>
            </w:r>
          </w:p>
        </w:tc>
        <w:tc>
          <w:tcPr>
            <w:tcW w:w="2540" w:type="dxa"/>
            <w:tcBorders>
              <w:left w:val="dashed" w:sz="4" w:space="0" w:color="000000"/>
            </w:tcBorders>
            <w:shd w:val="clear" w:color="auto" w:fill="F2F2F2"/>
          </w:tcPr>
          <w:p>
            <w:pPr>
              <w:pStyle w:val="TableParagraph"/>
              <w:spacing w:line="249" w:lineRule="exact" w:before="21"/>
              <w:ind w:left="711" w:right="701"/>
              <w:jc w:val="center"/>
              <w:rPr>
                <w:rFonts w:ascii="Calibri"/>
                <w:sz w:val="22"/>
              </w:rPr>
            </w:pPr>
            <w:r>
              <w:rPr>
                <w:rFonts w:ascii="Calibri"/>
                <w:spacing w:val="-5"/>
                <w:sz w:val="22"/>
              </w:rPr>
              <w:t>703</w:t>
            </w:r>
          </w:p>
        </w:tc>
      </w:tr>
      <w:tr>
        <w:trPr>
          <w:trHeight w:val="290" w:hRule="atLeast"/>
        </w:trPr>
        <w:tc>
          <w:tcPr>
            <w:tcW w:w="2720" w:type="dxa"/>
            <w:tcBorders>
              <w:right w:val="dashed" w:sz="4" w:space="0" w:color="000000"/>
            </w:tcBorders>
          </w:tcPr>
          <w:p>
            <w:pPr>
              <w:pStyle w:val="TableParagraph"/>
              <w:spacing w:line="249" w:lineRule="exact" w:before="21"/>
              <w:ind w:left="108"/>
              <w:rPr>
                <w:rFonts w:ascii="Calibri"/>
                <w:sz w:val="22"/>
              </w:rPr>
            </w:pPr>
            <w:r>
              <w:rPr>
                <w:rFonts w:ascii="Calibri"/>
                <w:sz w:val="22"/>
              </w:rPr>
              <w:t>Tues</w:t>
            </w:r>
            <w:r>
              <w:rPr>
                <w:rFonts w:ascii="Calibri"/>
                <w:spacing w:val="-3"/>
                <w:sz w:val="22"/>
              </w:rPr>
              <w:t> </w:t>
            </w:r>
            <w:r>
              <w:rPr>
                <w:rFonts w:ascii="Calibri"/>
                <w:sz w:val="22"/>
              </w:rPr>
              <w:t>(What</w:t>
            </w:r>
            <w:r>
              <w:rPr>
                <w:rFonts w:ascii="Calibri"/>
                <w:spacing w:val="-2"/>
                <w:sz w:val="22"/>
              </w:rPr>
              <w:t> </w:t>
            </w:r>
            <w:r>
              <w:rPr>
                <w:rFonts w:ascii="Calibri"/>
                <w:sz w:val="22"/>
              </w:rPr>
              <w:t>is</w:t>
            </w:r>
            <w:r>
              <w:rPr>
                <w:rFonts w:ascii="Calibri"/>
                <w:spacing w:val="-2"/>
                <w:sz w:val="22"/>
              </w:rPr>
              <w:t> Fraud?)</w:t>
            </w:r>
          </w:p>
        </w:tc>
        <w:tc>
          <w:tcPr>
            <w:tcW w:w="1220" w:type="dxa"/>
            <w:tcBorders>
              <w:left w:val="dashed" w:sz="4" w:space="0" w:color="000000"/>
              <w:right w:val="dashed" w:sz="4" w:space="0" w:color="000000"/>
            </w:tcBorders>
          </w:tcPr>
          <w:p>
            <w:pPr>
              <w:pStyle w:val="TableParagraph"/>
              <w:spacing w:line="249" w:lineRule="exact" w:before="21"/>
              <w:ind w:left="9"/>
              <w:jc w:val="center"/>
              <w:rPr>
                <w:rFonts w:ascii="Calibri"/>
                <w:sz w:val="22"/>
              </w:rPr>
            </w:pPr>
            <w:r>
              <w:rPr>
                <w:rFonts w:ascii="Calibri"/>
                <w:sz w:val="22"/>
              </w:rPr>
              <w:t>7</w:t>
            </w:r>
          </w:p>
        </w:tc>
        <w:tc>
          <w:tcPr>
            <w:tcW w:w="1500" w:type="dxa"/>
            <w:tcBorders>
              <w:left w:val="dashed" w:sz="4" w:space="0" w:color="000000"/>
              <w:right w:val="dashed" w:sz="4" w:space="0" w:color="000000"/>
            </w:tcBorders>
          </w:tcPr>
          <w:p>
            <w:pPr>
              <w:pStyle w:val="TableParagraph"/>
              <w:spacing w:line="249" w:lineRule="exact" w:before="21"/>
              <w:ind w:left="9"/>
              <w:jc w:val="center"/>
              <w:rPr>
                <w:rFonts w:ascii="Calibri"/>
                <w:sz w:val="22"/>
              </w:rPr>
            </w:pPr>
            <w:r>
              <w:rPr>
                <w:rFonts w:ascii="Calibri"/>
                <w:sz w:val="22"/>
              </w:rPr>
              <w:t>6</w:t>
            </w:r>
          </w:p>
        </w:tc>
        <w:tc>
          <w:tcPr>
            <w:tcW w:w="1960" w:type="dxa"/>
            <w:tcBorders>
              <w:left w:val="dashed" w:sz="4" w:space="0" w:color="000000"/>
              <w:right w:val="dashed" w:sz="4" w:space="0" w:color="000000"/>
            </w:tcBorders>
          </w:tcPr>
          <w:p>
            <w:pPr>
              <w:pStyle w:val="TableParagraph"/>
              <w:spacing w:line="249" w:lineRule="exact" w:before="21"/>
              <w:ind w:left="316" w:right="307"/>
              <w:jc w:val="center"/>
              <w:rPr>
                <w:rFonts w:ascii="Calibri"/>
                <w:sz w:val="22"/>
              </w:rPr>
            </w:pPr>
            <w:r>
              <w:rPr>
                <w:rFonts w:ascii="Calibri"/>
                <w:sz w:val="22"/>
              </w:rPr>
              <w:t>116 </w:t>
            </w:r>
            <w:r>
              <w:rPr>
                <w:rFonts w:ascii="Calibri"/>
                <w:spacing w:val="-2"/>
                <w:sz w:val="22"/>
              </w:rPr>
              <w:t>(YouTube)</w:t>
            </w:r>
          </w:p>
        </w:tc>
        <w:tc>
          <w:tcPr>
            <w:tcW w:w="2540" w:type="dxa"/>
            <w:tcBorders>
              <w:left w:val="dashed" w:sz="4" w:space="0" w:color="000000"/>
            </w:tcBorders>
          </w:tcPr>
          <w:p>
            <w:pPr>
              <w:pStyle w:val="TableParagraph"/>
              <w:spacing w:line="249" w:lineRule="exact" w:before="21"/>
              <w:ind w:left="711" w:right="701"/>
              <w:jc w:val="center"/>
              <w:rPr>
                <w:rFonts w:ascii="Calibri"/>
                <w:sz w:val="22"/>
              </w:rPr>
            </w:pPr>
            <w:r>
              <w:rPr>
                <w:rFonts w:ascii="Calibri"/>
                <w:spacing w:val="-5"/>
                <w:sz w:val="22"/>
              </w:rPr>
              <w:t>318</w:t>
            </w:r>
          </w:p>
        </w:tc>
      </w:tr>
      <w:tr>
        <w:trPr>
          <w:trHeight w:val="290" w:hRule="atLeast"/>
        </w:trPr>
        <w:tc>
          <w:tcPr>
            <w:tcW w:w="2720" w:type="dxa"/>
            <w:tcBorders>
              <w:right w:val="dashed" w:sz="4" w:space="0" w:color="000000"/>
            </w:tcBorders>
            <w:shd w:val="clear" w:color="auto" w:fill="F2F2F2"/>
          </w:tcPr>
          <w:p>
            <w:pPr>
              <w:pStyle w:val="TableParagraph"/>
              <w:spacing w:line="249" w:lineRule="exact" w:before="21"/>
              <w:ind w:left="108"/>
              <w:rPr>
                <w:rFonts w:ascii="Calibri"/>
                <w:sz w:val="22"/>
              </w:rPr>
            </w:pPr>
            <w:r>
              <w:rPr>
                <w:rFonts w:ascii="Calibri"/>
                <w:sz w:val="22"/>
              </w:rPr>
              <w:t>Wed</w:t>
            </w:r>
            <w:r>
              <w:rPr>
                <w:rFonts w:ascii="Calibri"/>
                <w:spacing w:val="-5"/>
                <w:sz w:val="22"/>
              </w:rPr>
              <w:t> </w:t>
            </w:r>
            <w:r>
              <w:rPr>
                <w:rFonts w:ascii="Calibri"/>
                <w:sz w:val="22"/>
              </w:rPr>
              <w:t>(Salary</w:t>
            </w:r>
            <w:r>
              <w:rPr>
                <w:rFonts w:ascii="Calibri"/>
                <w:spacing w:val="-2"/>
                <w:sz w:val="22"/>
              </w:rPr>
              <w:t> Overpayment)</w:t>
            </w:r>
          </w:p>
        </w:tc>
        <w:tc>
          <w:tcPr>
            <w:tcW w:w="1220" w:type="dxa"/>
            <w:tcBorders>
              <w:left w:val="dashed" w:sz="4" w:space="0" w:color="000000"/>
              <w:right w:val="dashed" w:sz="4" w:space="0" w:color="000000"/>
            </w:tcBorders>
            <w:shd w:val="clear" w:color="auto" w:fill="F2F2F2"/>
          </w:tcPr>
          <w:p>
            <w:pPr>
              <w:pStyle w:val="TableParagraph"/>
              <w:spacing w:line="249" w:lineRule="exact" w:before="21"/>
              <w:ind w:left="9"/>
              <w:jc w:val="center"/>
              <w:rPr>
                <w:rFonts w:ascii="Calibri"/>
                <w:sz w:val="22"/>
              </w:rPr>
            </w:pPr>
            <w:r>
              <w:rPr>
                <w:rFonts w:ascii="Calibri"/>
                <w:sz w:val="22"/>
              </w:rPr>
              <w:t>5</w:t>
            </w:r>
          </w:p>
        </w:tc>
        <w:tc>
          <w:tcPr>
            <w:tcW w:w="1500" w:type="dxa"/>
            <w:tcBorders>
              <w:left w:val="dashed" w:sz="4" w:space="0" w:color="000000"/>
              <w:right w:val="dashed" w:sz="4" w:space="0" w:color="000000"/>
            </w:tcBorders>
            <w:shd w:val="clear" w:color="auto" w:fill="F2F2F2"/>
          </w:tcPr>
          <w:p>
            <w:pPr>
              <w:pStyle w:val="TableParagraph"/>
              <w:spacing w:line="249" w:lineRule="exact" w:before="21"/>
              <w:ind w:left="9"/>
              <w:jc w:val="center"/>
              <w:rPr>
                <w:rFonts w:ascii="Calibri"/>
                <w:sz w:val="22"/>
              </w:rPr>
            </w:pPr>
            <w:r>
              <w:rPr>
                <w:rFonts w:ascii="Calibri"/>
                <w:sz w:val="22"/>
              </w:rPr>
              <w:t>4</w:t>
            </w:r>
          </w:p>
        </w:tc>
        <w:tc>
          <w:tcPr>
            <w:tcW w:w="1960" w:type="dxa"/>
            <w:tcBorders>
              <w:left w:val="dashed" w:sz="4" w:space="0" w:color="000000"/>
              <w:right w:val="dashed" w:sz="4" w:space="0" w:color="000000"/>
            </w:tcBorders>
            <w:shd w:val="clear" w:color="auto" w:fill="F2F2F2"/>
          </w:tcPr>
          <w:p>
            <w:pPr>
              <w:pStyle w:val="TableParagraph"/>
              <w:spacing w:line="249" w:lineRule="exact" w:before="21"/>
              <w:ind w:left="316" w:right="306"/>
              <w:jc w:val="center"/>
              <w:rPr>
                <w:rFonts w:ascii="Calibri"/>
                <w:sz w:val="22"/>
              </w:rPr>
            </w:pPr>
            <w:r>
              <w:rPr>
                <w:rFonts w:ascii="Calibri"/>
                <w:spacing w:val="-5"/>
                <w:sz w:val="22"/>
              </w:rPr>
              <w:t>67</w:t>
            </w:r>
          </w:p>
        </w:tc>
        <w:tc>
          <w:tcPr>
            <w:tcW w:w="2540" w:type="dxa"/>
            <w:tcBorders>
              <w:left w:val="dashed" w:sz="4" w:space="0" w:color="000000"/>
            </w:tcBorders>
            <w:shd w:val="clear" w:color="auto" w:fill="F2F2F2"/>
          </w:tcPr>
          <w:p>
            <w:pPr>
              <w:pStyle w:val="TableParagraph"/>
              <w:spacing w:line="249" w:lineRule="exact" w:before="21"/>
              <w:ind w:left="711" w:right="701"/>
              <w:jc w:val="center"/>
              <w:rPr>
                <w:rFonts w:ascii="Calibri"/>
                <w:sz w:val="22"/>
              </w:rPr>
            </w:pPr>
            <w:r>
              <w:rPr>
                <w:rFonts w:ascii="Calibri"/>
                <w:spacing w:val="-5"/>
                <w:sz w:val="22"/>
              </w:rPr>
              <w:t>280</w:t>
            </w:r>
          </w:p>
        </w:tc>
      </w:tr>
      <w:tr>
        <w:trPr>
          <w:trHeight w:val="290" w:hRule="atLeast"/>
        </w:trPr>
        <w:tc>
          <w:tcPr>
            <w:tcW w:w="2720" w:type="dxa"/>
            <w:tcBorders>
              <w:right w:val="dashed" w:sz="4" w:space="0" w:color="000000"/>
            </w:tcBorders>
          </w:tcPr>
          <w:p>
            <w:pPr>
              <w:pStyle w:val="TableParagraph"/>
              <w:spacing w:line="249" w:lineRule="exact" w:before="21"/>
              <w:ind w:left="108"/>
              <w:rPr>
                <w:rFonts w:ascii="Calibri"/>
                <w:sz w:val="22"/>
              </w:rPr>
            </w:pPr>
            <w:r>
              <w:rPr>
                <w:rFonts w:ascii="Calibri"/>
                <w:sz w:val="22"/>
              </w:rPr>
              <w:t>Thurs</w:t>
            </w:r>
            <w:r>
              <w:rPr>
                <w:rFonts w:ascii="Calibri"/>
                <w:spacing w:val="-5"/>
                <w:sz w:val="22"/>
              </w:rPr>
              <w:t> </w:t>
            </w:r>
            <w:r>
              <w:rPr>
                <w:rFonts w:ascii="Calibri"/>
                <w:sz w:val="22"/>
              </w:rPr>
              <w:t>(Procurement</w:t>
            </w:r>
            <w:r>
              <w:rPr>
                <w:rFonts w:ascii="Calibri"/>
                <w:spacing w:val="-3"/>
                <w:sz w:val="22"/>
              </w:rPr>
              <w:t> </w:t>
            </w:r>
            <w:r>
              <w:rPr>
                <w:rFonts w:ascii="Calibri"/>
                <w:spacing w:val="-2"/>
                <w:sz w:val="22"/>
              </w:rPr>
              <w:t>Fraud)</w:t>
            </w:r>
          </w:p>
        </w:tc>
        <w:tc>
          <w:tcPr>
            <w:tcW w:w="1220" w:type="dxa"/>
            <w:tcBorders>
              <w:left w:val="dashed" w:sz="4" w:space="0" w:color="000000"/>
              <w:right w:val="dashed" w:sz="4" w:space="0" w:color="000000"/>
            </w:tcBorders>
          </w:tcPr>
          <w:p>
            <w:pPr>
              <w:pStyle w:val="TableParagraph"/>
              <w:spacing w:line="249" w:lineRule="exact" w:before="21"/>
              <w:ind w:left="9"/>
              <w:jc w:val="center"/>
              <w:rPr>
                <w:rFonts w:ascii="Calibri"/>
                <w:sz w:val="22"/>
              </w:rPr>
            </w:pPr>
            <w:r>
              <w:rPr>
                <w:rFonts w:ascii="Calibri"/>
                <w:sz w:val="22"/>
              </w:rPr>
              <w:t>2</w:t>
            </w:r>
          </w:p>
        </w:tc>
        <w:tc>
          <w:tcPr>
            <w:tcW w:w="1500" w:type="dxa"/>
            <w:tcBorders>
              <w:left w:val="dashed" w:sz="4" w:space="0" w:color="000000"/>
              <w:right w:val="dashed" w:sz="4" w:space="0" w:color="000000"/>
            </w:tcBorders>
          </w:tcPr>
          <w:p>
            <w:pPr>
              <w:pStyle w:val="TableParagraph"/>
              <w:spacing w:line="249" w:lineRule="exact" w:before="21"/>
              <w:ind w:left="9"/>
              <w:jc w:val="center"/>
              <w:rPr>
                <w:rFonts w:ascii="Calibri"/>
                <w:sz w:val="22"/>
              </w:rPr>
            </w:pPr>
            <w:r>
              <w:rPr>
                <w:rFonts w:ascii="Calibri"/>
                <w:sz w:val="22"/>
              </w:rPr>
              <w:t>3</w:t>
            </w:r>
          </w:p>
        </w:tc>
        <w:tc>
          <w:tcPr>
            <w:tcW w:w="1960" w:type="dxa"/>
            <w:tcBorders>
              <w:left w:val="dashed" w:sz="4" w:space="0" w:color="000000"/>
              <w:right w:val="dashed" w:sz="4" w:space="0" w:color="000000"/>
            </w:tcBorders>
          </w:tcPr>
          <w:p>
            <w:pPr>
              <w:pStyle w:val="TableParagraph"/>
              <w:spacing w:line="249" w:lineRule="exact" w:before="21"/>
              <w:ind w:left="316" w:right="306"/>
              <w:jc w:val="center"/>
              <w:rPr>
                <w:rFonts w:ascii="Calibri"/>
                <w:sz w:val="22"/>
              </w:rPr>
            </w:pPr>
            <w:r>
              <w:rPr>
                <w:rFonts w:ascii="Calibri"/>
                <w:spacing w:val="-5"/>
                <w:sz w:val="22"/>
              </w:rPr>
              <w:t>39</w:t>
            </w:r>
          </w:p>
        </w:tc>
        <w:tc>
          <w:tcPr>
            <w:tcW w:w="2540" w:type="dxa"/>
            <w:tcBorders>
              <w:left w:val="dashed" w:sz="4" w:space="0" w:color="000000"/>
            </w:tcBorders>
          </w:tcPr>
          <w:p>
            <w:pPr>
              <w:pStyle w:val="TableParagraph"/>
              <w:spacing w:line="249" w:lineRule="exact" w:before="21"/>
              <w:ind w:left="711" w:right="701"/>
              <w:jc w:val="center"/>
              <w:rPr>
                <w:rFonts w:ascii="Calibri"/>
                <w:sz w:val="22"/>
              </w:rPr>
            </w:pPr>
            <w:r>
              <w:rPr>
                <w:rFonts w:ascii="Calibri"/>
                <w:spacing w:val="-5"/>
                <w:sz w:val="22"/>
              </w:rPr>
              <w:t>195</w:t>
            </w:r>
          </w:p>
        </w:tc>
      </w:tr>
      <w:tr>
        <w:trPr>
          <w:trHeight w:val="290" w:hRule="atLeast"/>
        </w:trPr>
        <w:tc>
          <w:tcPr>
            <w:tcW w:w="2720" w:type="dxa"/>
            <w:tcBorders>
              <w:right w:val="dashed" w:sz="4" w:space="0" w:color="000000"/>
            </w:tcBorders>
            <w:shd w:val="clear" w:color="auto" w:fill="F2F2F2"/>
          </w:tcPr>
          <w:p>
            <w:pPr>
              <w:pStyle w:val="TableParagraph"/>
              <w:spacing w:line="249" w:lineRule="exact" w:before="21"/>
              <w:ind w:left="108"/>
              <w:rPr>
                <w:rFonts w:ascii="Calibri"/>
                <w:sz w:val="22"/>
              </w:rPr>
            </w:pPr>
            <w:r>
              <w:rPr>
                <w:rFonts w:ascii="Calibri"/>
                <w:sz w:val="22"/>
              </w:rPr>
              <w:t>Fri</w:t>
            </w:r>
            <w:r>
              <w:rPr>
                <w:rFonts w:ascii="Calibri"/>
                <w:spacing w:val="-4"/>
                <w:sz w:val="22"/>
              </w:rPr>
              <w:t> </w:t>
            </w:r>
            <w:r>
              <w:rPr>
                <w:rFonts w:ascii="Calibri"/>
                <w:sz w:val="22"/>
              </w:rPr>
              <w:t>(Mandate</w:t>
            </w:r>
            <w:r>
              <w:rPr>
                <w:rFonts w:ascii="Calibri"/>
                <w:spacing w:val="-3"/>
                <w:sz w:val="22"/>
              </w:rPr>
              <w:t> </w:t>
            </w:r>
            <w:r>
              <w:rPr>
                <w:rFonts w:ascii="Calibri"/>
                <w:spacing w:val="-2"/>
                <w:sz w:val="22"/>
              </w:rPr>
              <w:t>Fraud)</w:t>
            </w:r>
          </w:p>
        </w:tc>
        <w:tc>
          <w:tcPr>
            <w:tcW w:w="1220" w:type="dxa"/>
            <w:tcBorders>
              <w:left w:val="dashed" w:sz="4" w:space="0" w:color="000000"/>
              <w:right w:val="dashed" w:sz="4" w:space="0" w:color="000000"/>
            </w:tcBorders>
            <w:shd w:val="clear" w:color="auto" w:fill="F2F2F2"/>
          </w:tcPr>
          <w:p>
            <w:pPr>
              <w:pStyle w:val="TableParagraph"/>
              <w:spacing w:line="249" w:lineRule="exact" w:before="21"/>
              <w:ind w:left="9"/>
              <w:jc w:val="center"/>
              <w:rPr>
                <w:rFonts w:ascii="Calibri"/>
                <w:sz w:val="22"/>
              </w:rPr>
            </w:pPr>
            <w:r>
              <w:rPr>
                <w:rFonts w:ascii="Calibri"/>
                <w:sz w:val="22"/>
              </w:rPr>
              <w:t>7</w:t>
            </w:r>
          </w:p>
        </w:tc>
        <w:tc>
          <w:tcPr>
            <w:tcW w:w="1500" w:type="dxa"/>
            <w:tcBorders>
              <w:left w:val="dashed" w:sz="4" w:space="0" w:color="000000"/>
              <w:right w:val="dashed" w:sz="4" w:space="0" w:color="000000"/>
            </w:tcBorders>
            <w:shd w:val="clear" w:color="auto" w:fill="F2F2F2"/>
          </w:tcPr>
          <w:p>
            <w:pPr>
              <w:pStyle w:val="TableParagraph"/>
              <w:spacing w:line="249" w:lineRule="exact" w:before="21"/>
              <w:ind w:left="9"/>
              <w:jc w:val="center"/>
              <w:rPr>
                <w:rFonts w:ascii="Calibri"/>
                <w:sz w:val="22"/>
              </w:rPr>
            </w:pPr>
            <w:r>
              <w:rPr>
                <w:rFonts w:ascii="Calibri"/>
                <w:sz w:val="22"/>
              </w:rPr>
              <w:t>7</w:t>
            </w:r>
          </w:p>
        </w:tc>
        <w:tc>
          <w:tcPr>
            <w:tcW w:w="1960" w:type="dxa"/>
            <w:tcBorders>
              <w:left w:val="dashed" w:sz="4" w:space="0" w:color="000000"/>
              <w:right w:val="dashed" w:sz="4" w:space="0" w:color="000000"/>
            </w:tcBorders>
            <w:shd w:val="clear" w:color="auto" w:fill="F2F2F2"/>
          </w:tcPr>
          <w:p>
            <w:pPr>
              <w:pStyle w:val="TableParagraph"/>
              <w:spacing w:line="249" w:lineRule="exact" w:before="21"/>
              <w:ind w:left="316" w:right="306"/>
              <w:jc w:val="center"/>
              <w:rPr>
                <w:rFonts w:ascii="Calibri"/>
                <w:sz w:val="22"/>
              </w:rPr>
            </w:pPr>
            <w:r>
              <w:rPr>
                <w:rFonts w:ascii="Calibri"/>
                <w:spacing w:val="-5"/>
                <w:sz w:val="22"/>
              </w:rPr>
              <w:t>45</w:t>
            </w:r>
          </w:p>
        </w:tc>
        <w:tc>
          <w:tcPr>
            <w:tcW w:w="2540" w:type="dxa"/>
            <w:tcBorders>
              <w:left w:val="dashed" w:sz="4" w:space="0" w:color="000000"/>
            </w:tcBorders>
            <w:shd w:val="clear" w:color="auto" w:fill="F2F2F2"/>
          </w:tcPr>
          <w:p>
            <w:pPr>
              <w:pStyle w:val="TableParagraph"/>
              <w:spacing w:line="249" w:lineRule="exact" w:before="21"/>
              <w:ind w:left="711" w:right="701"/>
              <w:jc w:val="center"/>
              <w:rPr>
                <w:rFonts w:ascii="Calibri"/>
                <w:sz w:val="22"/>
              </w:rPr>
            </w:pPr>
            <w:r>
              <w:rPr>
                <w:rFonts w:ascii="Calibri"/>
                <w:spacing w:val="-5"/>
                <w:sz w:val="22"/>
              </w:rPr>
              <w:t>235</w:t>
            </w:r>
          </w:p>
        </w:tc>
      </w:tr>
      <w:tr>
        <w:trPr>
          <w:trHeight w:val="290" w:hRule="atLeast"/>
        </w:trPr>
        <w:tc>
          <w:tcPr>
            <w:tcW w:w="2720" w:type="dxa"/>
            <w:tcBorders>
              <w:right w:val="dashed" w:sz="4" w:space="0" w:color="000000"/>
            </w:tcBorders>
          </w:tcPr>
          <w:p>
            <w:pPr>
              <w:pStyle w:val="TableParagraph"/>
              <w:rPr>
                <w:rFonts w:ascii="Times New Roman"/>
                <w:sz w:val="20"/>
              </w:rPr>
            </w:pPr>
          </w:p>
        </w:tc>
        <w:tc>
          <w:tcPr>
            <w:tcW w:w="1220" w:type="dxa"/>
            <w:tcBorders>
              <w:left w:val="dashed" w:sz="4" w:space="0" w:color="000000"/>
              <w:right w:val="dashed" w:sz="4" w:space="0" w:color="000000"/>
            </w:tcBorders>
          </w:tcPr>
          <w:p>
            <w:pPr>
              <w:pStyle w:val="TableParagraph"/>
              <w:rPr>
                <w:rFonts w:ascii="Times New Roman"/>
                <w:sz w:val="20"/>
              </w:rPr>
            </w:pPr>
          </w:p>
        </w:tc>
        <w:tc>
          <w:tcPr>
            <w:tcW w:w="1500" w:type="dxa"/>
            <w:tcBorders>
              <w:left w:val="dashed" w:sz="4" w:space="0" w:color="000000"/>
              <w:right w:val="dashed" w:sz="4" w:space="0" w:color="000000"/>
            </w:tcBorders>
          </w:tcPr>
          <w:p>
            <w:pPr>
              <w:pStyle w:val="TableParagraph"/>
              <w:rPr>
                <w:rFonts w:ascii="Times New Roman"/>
                <w:sz w:val="20"/>
              </w:rPr>
            </w:pPr>
          </w:p>
        </w:tc>
        <w:tc>
          <w:tcPr>
            <w:tcW w:w="1960" w:type="dxa"/>
            <w:tcBorders>
              <w:left w:val="dashed" w:sz="4" w:space="0" w:color="000000"/>
              <w:right w:val="dashed" w:sz="4" w:space="0" w:color="000000"/>
            </w:tcBorders>
          </w:tcPr>
          <w:p>
            <w:pPr>
              <w:pStyle w:val="TableParagraph"/>
              <w:spacing w:line="249" w:lineRule="exact" w:before="21"/>
              <w:ind w:left="316" w:right="307"/>
              <w:jc w:val="center"/>
              <w:rPr>
                <w:rFonts w:ascii="Calibri"/>
                <w:b/>
                <w:sz w:val="22"/>
              </w:rPr>
            </w:pPr>
            <w:r>
              <w:rPr>
                <w:rFonts w:ascii="Calibri"/>
                <w:b/>
                <w:spacing w:val="-2"/>
                <w:sz w:val="22"/>
              </w:rPr>
              <w:t>Total</w:t>
            </w:r>
          </w:p>
        </w:tc>
        <w:tc>
          <w:tcPr>
            <w:tcW w:w="2540" w:type="dxa"/>
            <w:tcBorders>
              <w:left w:val="dashed" w:sz="4" w:space="0" w:color="000000"/>
            </w:tcBorders>
          </w:tcPr>
          <w:p>
            <w:pPr>
              <w:pStyle w:val="TableParagraph"/>
              <w:spacing w:line="249" w:lineRule="exact" w:before="21"/>
              <w:ind w:left="711" w:right="701"/>
              <w:jc w:val="center"/>
              <w:rPr>
                <w:rFonts w:ascii="Calibri"/>
                <w:b/>
                <w:sz w:val="22"/>
              </w:rPr>
            </w:pPr>
            <w:r>
              <w:rPr>
                <w:rFonts w:ascii="Calibri"/>
                <w:b/>
                <w:spacing w:val="-4"/>
                <w:sz w:val="22"/>
              </w:rPr>
              <w:t>1731</w:t>
            </w:r>
          </w:p>
        </w:tc>
      </w:tr>
      <w:tr>
        <w:trPr>
          <w:trHeight w:val="290" w:hRule="atLeast"/>
        </w:trPr>
        <w:tc>
          <w:tcPr>
            <w:tcW w:w="2720" w:type="dxa"/>
            <w:tcBorders>
              <w:right w:val="dashed" w:sz="4" w:space="0" w:color="000000"/>
            </w:tcBorders>
            <w:shd w:val="clear" w:color="auto" w:fill="BDD7EE"/>
          </w:tcPr>
          <w:p>
            <w:pPr>
              <w:pStyle w:val="TableParagraph"/>
              <w:spacing w:line="249" w:lineRule="exact" w:before="21"/>
              <w:ind w:left="662"/>
              <w:rPr>
                <w:rFonts w:ascii="Calibri"/>
                <w:b/>
                <w:sz w:val="22"/>
              </w:rPr>
            </w:pPr>
            <w:r>
              <w:rPr>
                <w:rFonts w:ascii="Calibri"/>
                <w:b/>
                <w:color w:val="305496"/>
                <w:sz w:val="22"/>
              </w:rPr>
              <w:t>Tweets</w:t>
            </w:r>
            <w:r>
              <w:rPr>
                <w:rFonts w:ascii="Calibri"/>
                <w:b/>
                <w:color w:val="305496"/>
                <w:spacing w:val="-3"/>
                <w:sz w:val="22"/>
              </w:rPr>
              <w:t> </w:t>
            </w:r>
            <w:r>
              <w:rPr>
                <w:rFonts w:ascii="Calibri"/>
                <w:b/>
                <w:color w:val="305496"/>
                <w:sz w:val="22"/>
              </w:rPr>
              <w:t>-</w:t>
            </w:r>
            <w:r>
              <w:rPr>
                <w:rFonts w:ascii="Calibri"/>
                <w:b/>
                <w:color w:val="305496"/>
                <w:spacing w:val="-3"/>
                <w:sz w:val="22"/>
              </w:rPr>
              <w:t> </w:t>
            </w:r>
            <w:r>
              <w:rPr>
                <w:rFonts w:ascii="Calibri"/>
                <w:b/>
                <w:color w:val="305496"/>
                <w:spacing w:val="-2"/>
                <w:sz w:val="22"/>
              </w:rPr>
              <w:t>Welsh</w:t>
            </w:r>
          </w:p>
        </w:tc>
        <w:tc>
          <w:tcPr>
            <w:tcW w:w="1220" w:type="dxa"/>
            <w:tcBorders>
              <w:left w:val="dashed" w:sz="4" w:space="0" w:color="000000"/>
              <w:right w:val="dashed" w:sz="4" w:space="0" w:color="000000"/>
            </w:tcBorders>
            <w:shd w:val="clear" w:color="auto" w:fill="BDD7EE"/>
          </w:tcPr>
          <w:p>
            <w:pPr>
              <w:pStyle w:val="TableParagraph"/>
              <w:spacing w:line="249" w:lineRule="exact" w:before="21"/>
              <w:ind w:left="369" w:right="359"/>
              <w:jc w:val="center"/>
              <w:rPr>
                <w:rFonts w:ascii="Calibri"/>
                <w:b/>
                <w:sz w:val="22"/>
              </w:rPr>
            </w:pPr>
            <w:r>
              <w:rPr>
                <w:rFonts w:ascii="Calibri"/>
                <w:b/>
                <w:color w:val="305496"/>
                <w:spacing w:val="-2"/>
                <w:sz w:val="22"/>
              </w:rPr>
              <w:t>Likes</w:t>
            </w:r>
          </w:p>
        </w:tc>
        <w:tc>
          <w:tcPr>
            <w:tcW w:w="1500" w:type="dxa"/>
            <w:tcBorders>
              <w:left w:val="dashed" w:sz="4" w:space="0" w:color="000000"/>
              <w:right w:val="dashed" w:sz="4" w:space="0" w:color="000000"/>
            </w:tcBorders>
            <w:shd w:val="clear" w:color="auto" w:fill="BDD7EE"/>
          </w:tcPr>
          <w:p>
            <w:pPr>
              <w:pStyle w:val="TableParagraph"/>
              <w:spacing w:line="249" w:lineRule="exact" w:before="21"/>
              <w:ind w:left="307" w:right="298"/>
              <w:jc w:val="center"/>
              <w:rPr>
                <w:rFonts w:ascii="Calibri"/>
                <w:b/>
                <w:sz w:val="22"/>
              </w:rPr>
            </w:pPr>
            <w:r>
              <w:rPr>
                <w:rFonts w:ascii="Calibri"/>
                <w:b/>
                <w:color w:val="305496"/>
                <w:spacing w:val="-2"/>
                <w:sz w:val="22"/>
              </w:rPr>
              <w:t>Retweets</w:t>
            </w:r>
          </w:p>
        </w:tc>
        <w:tc>
          <w:tcPr>
            <w:tcW w:w="1960" w:type="dxa"/>
            <w:tcBorders>
              <w:left w:val="dashed" w:sz="4" w:space="0" w:color="000000"/>
              <w:right w:val="dashed" w:sz="4" w:space="0" w:color="000000"/>
            </w:tcBorders>
            <w:shd w:val="clear" w:color="auto" w:fill="BDD7EE"/>
          </w:tcPr>
          <w:p>
            <w:pPr>
              <w:pStyle w:val="TableParagraph"/>
              <w:spacing w:line="249" w:lineRule="exact" w:before="21"/>
              <w:ind w:left="315" w:right="307"/>
              <w:jc w:val="center"/>
              <w:rPr>
                <w:rFonts w:ascii="Calibri"/>
                <w:b/>
                <w:sz w:val="22"/>
              </w:rPr>
            </w:pPr>
            <w:r>
              <w:rPr>
                <w:rFonts w:ascii="Calibri"/>
                <w:b/>
                <w:color w:val="305496"/>
                <w:sz w:val="22"/>
              </w:rPr>
              <w:t>Video</w:t>
            </w:r>
            <w:r>
              <w:rPr>
                <w:rFonts w:ascii="Calibri"/>
                <w:b/>
                <w:color w:val="305496"/>
                <w:spacing w:val="-5"/>
                <w:sz w:val="22"/>
              </w:rPr>
              <w:t> </w:t>
            </w:r>
            <w:r>
              <w:rPr>
                <w:rFonts w:ascii="Calibri"/>
                <w:b/>
                <w:color w:val="305496"/>
                <w:spacing w:val="-2"/>
                <w:sz w:val="22"/>
              </w:rPr>
              <w:t>Views</w:t>
            </w:r>
          </w:p>
        </w:tc>
        <w:tc>
          <w:tcPr>
            <w:tcW w:w="2540" w:type="dxa"/>
            <w:tcBorders>
              <w:left w:val="dashed" w:sz="4" w:space="0" w:color="000000"/>
            </w:tcBorders>
            <w:shd w:val="clear" w:color="auto" w:fill="BDD7EE"/>
          </w:tcPr>
          <w:p>
            <w:pPr>
              <w:pStyle w:val="TableParagraph"/>
              <w:spacing w:line="249" w:lineRule="exact" w:before="21"/>
              <w:ind w:left="711" w:right="701"/>
              <w:jc w:val="center"/>
              <w:rPr>
                <w:rFonts w:ascii="Calibri"/>
                <w:b/>
                <w:sz w:val="22"/>
              </w:rPr>
            </w:pPr>
            <w:r>
              <w:rPr>
                <w:rFonts w:ascii="Calibri"/>
                <w:b/>
                <w:color w:val="305496"/>
                <w:spacing w:val="-2"/>
                <w:sz w:val="22"/>
              </w:rPr>
              <w:t>Impressions</w:t>
            </w:r>
          </w:p>
        </w:tc>
      </w:tr>
      <w:tr>
        <w:trPr>
          <w:trHeight w:val="290" w:hRule="atLeast"/>
        </w:trPr>
        <w:tc>
          <w:tcPr>
            <w:tcW w:w="2720" w:type="dxa"/>
            <w:tcBorders>
              <w:right w:val="dashed" w:sz="4" w:space="0" w:color="000000"/>
            </w:tcBorders>
            <w:shd w:val="clear" w:color="auto" w:fill="F2F2F2"/>
          </w:tcPr>
          <w:p>
            <w:pPr>
              <w:pStyle w:val="TableParagraph"/>
              <w:spacing w:line="249" w:lineRule="exact" w:before="21"/>
              <w:ind w:left="108"/>
              <w:rPr>
                <w:rFonts w:ascii="Calibri"/>
                <w:sz w:val="22"/>
              </w:rPr>
            </w:pPr>
            <w:r>
              <w:rPr>
                <w:rFonts w:ascii="Calibri"/>
                <w:sz w:val="22"/>
              </w:rPr>
              <w:t>Mon</w:t>
            </w:r>
            <w:r>
              <w:rPr>
                <w:rFonts w:ascii="Calibri"/>
                <w:spacing w:val="-2"/>
                <w:sz w:val="22"/>
              </w:rPr>
              <w:t> </w:t>
            </w:r>
            <w:r>
              <w:rPr>
                <w:rFonts w:ascii="Calibri"/>
                <w:sz w:val="22"/>
              </w:rPr>
              <w:t>(Who</w:t>
            </w:r>
            <w:r>
              <w:rPr>
                <w:rFonts w:ascii="Calibri"/>
                <w:spacing w:val="-1"/>
                <w:sz w:val="22"/>
              </w:rPr>
              <w:t> </w:t>
            </w:r>
            <w:r>
              <w:rPr>
                <w:rFonts w:ascii="Calibri"/>
                <w:sz w:val="22"/>
              </w:rPr>
              <w:t>Pays</w:t>
            </w:r>
            <w:r>
              <w:rPr>
                <w:rFonts w:ascii="Calibri"/>
                <w:spacing w:val="-2"/>
                <w:sz w:val="22"/>
              </w:rPr>
              <w:t> </w:t>
            </w:r>
            <w:r>
              <w:rPr>
                <w:rFonts w:ascii="Calibri"/>
                <w:sz w:val="22"/>
              </w:rPr>
              <w:t>for</w:t>
            </w:r>
            <w:r>
              <w:rPr>
                <w:rFonts w:ascii="Calibri"/>
                <w:spacing w:val="-2"/>
                <w:sz w:val="22"/>
              </w:rPr>
              <w:t> Fraud)</w:t>
            </w:r>
          </w:p>
        </w:tc>
        <w:tc>
          <w:tcPr>
            <w:tcW w:w="1220" w:type="dxa"/>
            <w:tcBorders>
              <w:left w:val="dashed" w:sz="4" w:space="0" w:color="000000"/>
              <w:right w:val="dashed" w:sz="4" w:space="0" w:color="000000"/>
            </w:tcBorders>
            <w:shd w:val="clear" w:color="auto" w:fill="F2F2F2"/>
          </w:tcPr>
          <w:p>
            <w:pPr>
              <w:pStyle w:val="TableParagraph"/>
              <w:spacing w:line="249" w:lineRule="exact" w:before="21"/>
              <w:ind w:left="9"/>
              <w:jc w:val="center"/>
              <w:rPr>
                <w:rFonts w:ascii="Calibri"/>
                <w:sz w:val="22"/>
              </w:rPr>
            </w:pPr>
            <w:r>
              <w:rPr>
                <w:rFonts w:ascii="Calibri"/>
                <w:sz w:val="22"/>
              </w:rPr>
              <w:t>3</w:t>
            </w:r>
          </w:p>
        </w:tc>
        <w:tc>
          <w:tcPr>
            <w:tcW w:w="1500" w:type="dxa"/>
            <w:tcBorders>
              <w:left w:val="dashed" w:sz="4" w:space="0" w:color="000000"/>
              <w:right w:val="dashed" w:sz="4" w:space="0" w:color="000000"/>
            </w:tcBorders>
            <w:shd w:val="clear" w:color="auto" w:fill="F2F2F2"/>
          </w:tcPr>
          <w:p>
            <w:pPr>
              <w:pStyle w:val="TableParagraph"/>
              <w:spacing w:line="249" w:lineRule="exact" w:before="21"/>
              <w:ind w:left="9"/>
              <w:jc w:val="center"/>
              <w:rPr>
                <w:rFonts w:ascii="Calibri"/>
                <w:sz w:val="22"/>
              </w:rPr>
            </w:pPr>
            <w:r>
              <w:rPr>
                <w:rFonts w:ascii="Calibri"/>
                <w:sz w:val="22"/>
              </w:rPr>
              <w:t>1</w:t>
            </w:r>
          </w:p>
        </w:tc>
        <w:tc>
          <w:tcPr>
            <w:tcW w:w="1960" w:type="dxa"/>
            <w:tcBorders>
              <w:left w:val="dashed" w:sz="4" w:space="0" w:color="000000"/>
              <w:right w:val="dashed" w:sz="4" w:space="0" w:color="000000"/>
            </w:tcBorders>
            <w:shd w:val="clear" w:color="auto" w:fill="F2F2F2"/>
          </w:tcPr>
          <w:p>
            <w:pPr>
              <w:pStyle w:val="TableParagraph"/>
              <w:spacing w:line="249" w:lineRule="exact" w:before="21"/>
              <w:ind w:left="316" w:right="306"/>
              <w:jc w:val="center"/>
              <w:rPr>
                <w:rFonts w:ascii="Calibri"/>
                <w:sz w:val="22"/>
              </w:rPr>
            </w:pPr>
            <w:r>
              <w:rPr>
                <w:rFonts w:ascii="Calibri"/>
                <w:spacing w:val="-5"/>
                <w:sz w:val="22"/>
              </w:rPr>
              <w:t>18</w:t>
            </w:r>
          </w:p>
        </w:tc>
        <w:tc>
          <w:tcPr>
            <w:tcW w:w="2540" w:type="dxa"/>
            <w:tcBorders>
              <w:left w:val="dashed" w:sz="4" w:space="0" w:color="000000"/>
            </w:tcBorders>
            <w:shd w:val="clear" w:color="auto" w:fill="F2F2F2"/>
          </w:tcPr>
          <w:p>
            <w:pPr>
              <w:pStyle w:val="TableParagraph"/>
              <w:spacing w:line="249" w:lineRule="exact" w:before="21"/>
              <w:ind w:left="711" w:right="701"/>
              <w:jc w:val="center"/>
              <w:rPr>
                <w:rFonts w:ascii="Calibri"/>
                <w:sz w:val="22"/>
              </w:rPr>
            </w:pPr>
            <w:r>
              <w:rPr>
                <w:rFonts w:ascii="Calibri"/>
                <w:spacing w:val="-5"/>
                <w:sz w:val="22"/>
              </w:rPr>
              <w:t>143</w:t>
            </w:r>
          </w:p>
        </w:tc>
      </w:tr>
      <w:tr>
        <w:trPr>
          <w:trHeight w:val="290" w:hRule="atLeast"/>
        </w:trPr>
        <w:tc>
          <w:tcPr>
            <w:tcW w:w="2720" w:type="dxa"/>
            <w:tcBorders>
              <w:right w:val="dashed" w:sz="4" w:space="0" w:color="000000"/>
            </w:tcBorders>
          </w:tcPr>
          <w:p>
            <w:pPr>
              <w:pStyle w:val="TableParagraph"/>
              <w:spacing w:line="249" w:lineRule="exact" w:before="21"/>
              <w:ind w:left="108"/>
              <w:rPr>
                <w:rFonts w:ascii="Calibri"/>
                <w:sz w:val="22"/>
              </w:rPr>
            </w:pPr>
            <w:r>
              <w:rPr>
                <w:rFonts w:ascii="Calibri"/>
                <w:sz w:val="22"/>
              </w:rPr>
              <w:t>Tues</w:t>
            </w:r>
            <w:r>
              <w:rPr>
                <w:rFonts w:ascii="Calibri"/>
                <w:spacing w:val="-3"/>
                <w:sz w:val="22"/>
              </w:rPr>
              <w:t> </w:t>
            </w:r>
            <w:r>
              <w:rPr>
                <w:rFonts w:ascii="Calibri"/>
                <w:sz w:val="22"/>
              </w:rPr>
              <w:t>(What</w:t>
            </w:r>
            <w:r>
              <w:rPr>
                <w:rFonts w:ascii="Calibri"/>
                <w:spacing w:val="-2"/>
                <w:sz w:val="22"/>
              </w:rPr>
              <w:t> </w:t>
            </w:r>
            <w:r>
              <w:rPr>
                <w:rFonts w:ascii="Calibri"/>
                <w:sz w:val="22"/>
              </w:rPr>
              <w:t>is</w:t>
            </w:r>
            <w:r>
              <w:rPr>
                <w:rFonts w:ascii="Calibri"/>
                <w:spacing w:val="-2"/>
                <w:sz w:val="22"/>
              </w:rPr>
              <w:t> Fraud?)</w:t>
            </w:r>
          </w:p>
        </w:tc>
        <w:tc>
          <w:tcPr>
            <w:tcW w:w="1220" w:type="dxa"/>
            <w:tcBorders>
              <w:left w:val="dashed" w:sz="4" w:space="0" w:color="000000"/>
              <w:right w:val="dashed" w:sz="4" w:space="0" w:color="000000"/>
            </w:tcBorders>
          </w:tcPr>
          <w:p>
            <w:pPr>
              <w:pStyle w:val="TableParagraph"/>
              <w:spacing w:line="249" w:lineRule="exact" w:before="21"/>
              <w:ind w:left="9"/>
              <w:jc w:val="center"/>
              <w:rPr>
                <w:rFonts w:ascii="Calibri"/>
                <w:sz w:val="22"/>
              </w:rPr>
            </w:pPr>
            <w:r>
              <w:rPr>
                <w:rFonts w:ascii="Calibri"/>
                <w:sz w:val="22"/>
              </w:rPr>
              <w:t>2</w:t>
            </w:r>
          </w:p>
        </w:tc>
        <w:tc>
          <w:tcPr>
            <w:tcW w:w="1500" w:type="dxa"/>
            <w:tcBorders>
              <w:left w:val="dashed" w:sz="4" w:space="0" w:color="000000"/>
              <w:right w:val="dashed" w:sz="4" w:space="0" w:color="000000"/>
            </w:tcBorders>
          </w:tcPr>
          <w:p>
            <w:pPr>
              <w:pStyle w:val="TableParagraph"/>
              <w:spacing w:line="249" w:lineRule="exact" w:before="21"/>
              <w:ind w:left="9"/>
              <w:jc w:val="center"/>
              <w:rPr>
                <w:rFonts w:ascii="Calibri"/>
                <w:sz w:val="22"/>
              </w:rPr>
            </w:pPr>
            <w:r>
              <w:rPr>
                <w:rFonts w:ascii="Calibri"/>
                <w:sz w:val="22"/>
              </w:rPr>
              <w:t>0</w:t>
            </w:r>
          </w:p>
        </w:tc>
        <w:tc>
          <w:tcPr>
            <w:tcW w:w="1960" w:type="dxa"/>
            <w:tcBorders>
              <w:left w:val="dashed" w:sz="4" w:space="0" w:color="000000"/>
              <w:right w:val="dashed" w:sz="4" w:space="0" w:color="000000"/>
            </w:tcBorders>
          </w:tcPr>
          <w:p>
            <w:pPr>
              <w:pStyle w:val="TableParagraph"/>
              <w:spacing w:line="249" w:lineRule="exact" w:before="21"/>
              <w:ind w:left="316" w:right="307"/>
              <w:jc w:val="center"/>
              <w:rPr>
                <w:rFonts w:ascii="Calibri"/>
                <w:sz w:val="22"/>
              </w:rPr>
            </w:pPr>
            <w:r>
              <w:rPr>
                <w:rFonts w:ascii="Calibri"/>
                <w:sz w:val="22"/>
              </w:rPr>
              <w:t>17 </w:t>
            </w:r>
            <w:r>
              <w:rPr>
                <w:rFonts w:ascii="Calibri"/>
                <w:spacing w:val="-2"/>
                <w:sz w:val="22"/>
              </w:rPr>
              <w:t>(YouTube)</w:t>
            </w:r>
          </w:p>
        </w:tc>
        <w:tc>
          <w:tcPr>
            <w:tcW w:w="2540" w:type="dxa"/>
            <w:tcBorders>
              <w:left w:val="dashed" w:sz="4" w:space="0" w:color="000000"/>
            </w:tcBorders>
          </w:tcPr>
          <w:p>
            <w:pPr>
              <w:pStyle w:val="TableParagraph"/>
              <w:spacing w:line="249" w:lineRule="exact" w:before="21"/>
              <w:ind w:left="711" w:right="701"/>
              <w:jc w:val="center"/>
              <w:rPr>
                <w:rFonts w:ascii="Calibri"/>
                <w:sz w:val="22"/>
              </w:rPr>
            </w:pPr>
            <w:r>
              <w:rPr>
                <w:rFonts w:ascii="Calibri"/>
                <w:spacing w:val="-5"/>
                <w:sz w:val="22"/>
              </w:rPr>
              <w:t>117</w:t>
            </w:r>
          </w:p>
        </w:tc>
      </w:tr>
      <w:tr>
        <w:trPr>
          <w:trHeight w:val="290" w:hRule="atLeast"/>
        </w:trPr>
        <w:tc>
          <w:tcPr>
            <w:tcW w:w="2720" w:type="dxa"/>
            <w:tcBorders>
              <w:right w:val="dashed" w:sz="4" w:space="0" w:color="000000"/>
            </w:tcBorders>
            <w:shd w:val="clear" w:color="auto" w:fill="F2F2F2"/>
          </w:tcPr>
          <w:p>
            <w:pPr>
              <w:pStyle w:val="TableParagraph"/>
              <w:spacing w:line="249" w:lineRule="exact" w:before="21"/>
              <w:ind w:left="108"/>
              <w:rPr>
                <w:rFonts w:ascii="Calibri"/>
                <w:sz w:val="22"/>
              </w:rPr>
            </w:pPr>
            <w:r>
              <w:rPr>
                <w:rFonts w:ascii="Calibri"/>
                <w:sz w:val="22"/>
              </w:rPr>
              <w:t>Wed</w:t>
            </w:r>
            <w:r>
              <w:rPr>
                <w:rFonts w:ascii="Calibri"/>
                <w:spacing w:val="-5"/>
                <w:sz w:val="22"/>
              </w:rPr>
              <w:t> </w:t>
            </w:r>
            <w:r>
              <w:rPr>
                <w:rFonts w:ascii="Calibri"/>
                <w:sz w:val="22"/>
              </w:rPr>
              <w:t>(Salary</w:t>
            </w:r>
            <w:r>
              <w:rPr>
                <w:rFonts w:ascii="Calibri"/>
                <w:spacing w:val="-2"/>
                <w:sz w:val="22"/>
              </w:rPr>
              <w:t> Overpayment)</w:t>
            </w:r>
          </w:p>
        </w:tc>
        <w:tc>
          <w:tcPr>
            <w:tcW w:w="1220" w:type="dxa"/>
            <w:tcBorders>
              <w:left w:val="dashed" w:sz="4" w:space="0" w:color="000000"/>
              <w:right w:val="dashed" w:sz="4" w:space="0" w:color="000000"/>
            </w:tcBorders>
            <w:shd w:val="clear" w:color="auto" w:fill="F2F2F2"/>
          </w:tcPr>
          <w:p>
            <w:pPr>
              <w:pStyle w:val="TableParagraph"/>
              <w:spacing w:line="249" w:lineRule="exact" w:before="21"/>
              <w:ind w:left="9"/>
              <w:jc w:val="center"/>
              <w:rPr>
                <w:rFonts w:ascii="Calibri"/>
                <w:sz w:val="22"/>
              </w:rPr>
            </w:pPr>
            <w:r>
              <w:rPr>
                <w:rFonts w:ascii="Calibri"/>
                <w:sz w:val="22"/>
              </w:rPr>
              <w:t>1</w:t>
            </w:r>
          </w:p>
        </w:tc>
        <w:tc>
          <w:tcPr>
            <w:tcW w:w="1500" w:type="dxa"/>
            <w:tcBorders>
              <w:left w:val="dashed" w:sz="4" w:space="0" w:color="000000"/>
              <w:right w:val="dashed" w:sz="4" w:space="0" w:color="000000"/>
            </w:tcBorders>
            <w:shd w:val="clear" w:color="auto" w:fill="F2F2F2"/>
          </w:tcPr>
          <w:p>
            <w:pPr>
              <w:pStyle w:val="TableParagraph"/>
              <w:spacing w:line="249" w:lineRule="exact" w:before="21"/>
              <w:ind w:left="9"/>
              <w:jc w:val="center"/>
              <w:rPr>
                <w:rFonts w:ascii="Calibri"/>
                <w:sz w:val="22"/>
              </w:rPr>
            </w:pPr>
            <w:r>
              <w:rPr>
                <w:rFonts w:ascii="Calibri"/>
                <w:sz w:val="22"/>
              </w:rPr>
              <w:t>1</w:t>
            </w:r>
          </w:p>
        </w:tc>
        <w:tc>
          <w:tcPr>
            <w:tcW w:w="1960" w:type="dxa"/>
            <w:tcBorders>
              <w:left w:val="dashed" w:sz="4" w:space="0" w:color="000000"/>
              <w:right w:val="dashed" w:sz="4" w:space="0" w:color="000000"/>
            </w:tcBorders>
            <w:shd w:val="clear" w:color="auto" w:fill="F2F2F2"/>
          </w:tcPr>
          <w:p>
            <w:pPr>
              <w:pStyle w:val="TableParagraph"/>
              <w:spacing w:line="249" w:lineRule="exact" w:before="21"/>
              <w:ind w:left="316" w:right="306"/>
              <w:jc w:val="center"/>
              <w:rPr>
                <w:rFonts w:ascii="Calibri"/>
                <w:sz w:val="22"/>
              </w:rPr>
            </w:pPr>
            <w:r>
              <w:rPr>
                <w:rFonts w:ascii="Calibri"/>
                <w:spacing w:val="-5"/>
                <w:sz w:val="22"/>
              </w:rPr>
              <w:t>20</w:t>
            </w:r>
          </w:p>
        </w:tc>
        <w:tc>
          <w:tcPr>
            <w:tcW w:w="2540" w:type="dxa"/>
            <w:tcBorders>
              <w:left w:val="dashed" w:sz="4" w:space="0" w:color="000000"/>
            </w:tcBorders>
            <w:shd w:val="clear" w:color="auto" w:fill="F2F2F2"/>
          </w:tcPr>
          <w:p>
            <w:pPr>
              <w:pStyle w:val="TableParagraph"/>
              <w:spacing w:line="249" w:lineRule="exact" w:before="21"/>
              <w:ind w:left="711" w:right="701"/>
              <w:jc w:val="center"/>
              <w:rPr>
                <w:rFonts w:ascii="Calibri"/>
                <w:sz w:val="22"/>
              </w:rPr>
            </w:pPr>
            <w:r>
              <w:rPr>
                <w:rFonts w:ascii="Calibri"/>
                <w:spacing w:val="-5"/>
                <w:sz w:val="22"/>
              </w:rPr>
              <w:t>115</w:t>
            </w:r>
          </w:p>
        </w:tc>
      </w:tr>
      <w:tr>
        <w:trPr>
          <w:trHeight w:val="290" w:hRule="atLeast"/>
        </w:trPr>
        <w:tc>
          <w:tcPr>
            <w:tcW w:w="2720" w:type="dxa"/>
            <w:tcBorders>
              <w:right w:val="dashed" w:sz="4" w:space="0" w:color="000000"/>
            </w:tcBorders>
          </w:tcPr>
          <w:p>
            <w:pPr>
              <w:pStyle w:val="TableParagraph"/>
              <w:spacing w:line="249" w:lineRule="exact" w:before="21"/>
              <w:ind w:left="108"/>
              <w:rPr>
                <w:rFonts w:ascii="Calibri"/>
                <w:sz w:val="22"/>
              </w:rPr>
            </w:pPr>
            <w:r>
              <w:rPr>
                <w:rFonts w:ascii="Calibri"/>
                <w:sz w:val="22"/>
              </w:rPr>
              <w:t>Thurs</w:t>
            </w:r>
            <w:r>
              <w:rPr>
                <w:rFonts w:ascii="Calibri"/>
                <w:spacing w:val="-5"/>
                <w:sz w:val="22"/>
              </w:rPr>
              <w:t> </w:t>
            </w:r>
            <w:r>
              <w:rPr>
                <w:rFonts w:ascii="Calibri"/>
                <w:sz w:val="22"/>
              </w:rPr>
              <w:t>(Procurement</w:t>
            </w:r>
            <w:r>
              <w:rPr>
                <w:rFonts w:ascii="Calibri"/>
                <w:spacing w:val="-3"/>
                <w:sz w:val="22"/>
              </w:rPr>
              <w:t> </w:t>
            </w:r>
            <w:r>
              <w:rPr>
                <w:rFonts w:ascii="Calibri"/>
                <w:spacing w:val="-2"/>
                <w:sz w:val="22"/>
              </w:rPr>
              <w:t>Fraud)</w:t>
            </w:r>
          </w:p>
        </w:tc>
        <w:tc>
          <w:tcPr>
            <w:tcW w:w="1220" w:type="dxa"/>
            <w:tcBorders>
              <w:left w:val="dashed" w:sz="4" w:space="0" w:color="000000"/>
              <w:right w:val="dashed" w:sz="4" w:space="0" w:color="000000"/>
            </w:tcBorders>
          </w:tcPr>
          <w:p>
            <w:pPr>
              <w:pStyle w:val="TableParagraph"/>
              <w:spacing w:line="249" w:lineRule="exact" w:before="21"/>
              <w:ind w:left="9"/>
              <w:jc w:val="center"/>
              <w:rPr>
                <w:rFonts w:ascii="Calibri"/>
                <w:sz w:val="22"/>
              </w:rPr>
            </w:pPr>
            <w:r>
              <w:rPr>
                <w:rFonts w:ascii="Calibri"/>
                <w:sz w:val="22"/>
              </w:rPr>
              <w:t>1</w:t>
            </w:r>
          </w:p>
        </w:tc>
        <w:tc>
          <w:tcPr>
            <w:tcW w:w="1500" w:type="dxa"/>
            <w:tcBorders>
              <w:left w:val="dashed" w:sz="4" w:space="0" w:color="000000"/>
              <w:right w:val="dashed" w:sz="4" w:space="0" w:color="000000"/>
            </w:tcBorders>
          </w:tcPr>
          <w:p>
            <w:pPr>
              <w:pStyle w:val="TableParagraph"/>
              <w:spacing w:line="249" w:lineRule="exact" w:before="21"/>
              <w:ind w:left="9"/>
              <w:jc w:val="center"/>
              <w:rPr>
                <w:rFonts w:ascii="Calibri"/>
                <w:sz w:val="22"/>
              </w:rPr>
            </w:pPr>
            <w:r>
              <w:rPr>
                <w:rFonts w:ascii="Calibri"/>
                <w:sz w:val="22"/>
              </w:rPr>
              <w:t>0</w:t>
            </w:r>
          </w:p>
        </w:tc>
        <w:tc>
          <w:tcPr>
            <w:tcW w:w="1960" w:type="dxa"/>
            <w:tcBorders>
              <w:left w:val="dashed" w:sz="4" w:space="0" w:color="000000"/>
              <w:right w:val="dashed" w:sz="4" w:space="0" w:color="000000"/>
            </w:tcBorders>
          </w:tcPr>
          <w:p>
            <w:pPr>
              <w:pStyle w:val="TableParagraph"/>
              <w:spacing w:line="249" w:lineRule="exact" w:before="21"/>
              <w:ind w:left="316" w:right="306"/>
              <w:jc w:val="center"/>
              <w:rPr>
                <w:rFonts w:ascii="Calibri"/>
                <w:sz w:val="22"/>
              </w:rPr>
            </w:pPr>
            <w:r>
              <w:rPr>
                <w:rFonts w:ascii="Calibri"/>
                <w:spacing w:val="-5"/>
                <w:sz w:val="22"/>
              </w:rPr>
              <w:t>13</w:t>
            </w:r>
          </w:p>
        </w:tc>
        <w:tc>
          <w:tcPr>
            <w:tcW w:w="2540" w:type="dxa"/>
            <w:tcBorders>
              <w:left w:val="dashed" w:sz="4" w:space="0" w:color="000000"/>
            </w:tcBorders>
          </w:tcPr>
          <w:p>
            <w:pPr>
              <w:pStyle w:val="TableParagraph"/>
              <w:spacing w:line="249" w:lineRule="exact" w:before="21"/>
              <w:ind w:left="711" w:right="701"/>
              <w:jc w:val="center"/>
              <w:rPr>
                <w:rFonts w:ascii="Calibri"/>
                <w:sz w:val="22"/>
              </w:rPr>
            </w:pPr>
            <w:r>
              <w:rPr>
                <w:rFonts w:ascii="Calibri"/>
                <w:spacing w:val="-5"/>
                <w:sz w:val="22"/>
              </w:rPr>
              <w:t>86</w:t>
            </w:r>
          </w:p>
        </w:tc>
      </w:tr>
      <w:tr>
        <w:trPr>
          <w:trHeight w:val="290" w:hRule="atLeast"/>
        </w:trPr>
        <w:tc>
          <w:tcPr>
            <w:tcW w:w="2720" w:type="dxa"/>
            <w:tcBorders>
              <w:right w:val="dashed" w:sz="4" w:space="0" w:color="000000"/>
            </w:tcBorders>
            <w:shd w:val="clear" w:color="auto" w:fill="F2F2F2"/>
          </w:tcPr>
          <w:p>
            <w:pPr>
              <w:pStyle w:val="TableParagraph"/>
              <w:spacing w:line="249" w:lineRule="exact" w:before="21"/>
              <w:ind w:left="108"/>
              <w:rPr>
                <w:rFonts w:ascii="Calibri"/>
                <w:sz w:val="22"/>
              </w:rPr>
            </w:pPr>
            <w:r>
              <w:rPr>
                <w:rFonts w:ascii="Calibri"/>
                <w:sz w:val="22"/>
              </w:rPr>
              <w:t>Fri</w:t>
            </w:r>
            <w:r>
              <w:rPr>
                <w:rFonts w:ascii="Calibri"/>
                <w:spacing w:val="-4"/>
                <w:sz w:val="22"/>
              </w:rPr>
              <w:t> </w:t>
            </w:r>
            <w:r>
              <w:rPr>
                <w:rFonts w:ascii="Calibri"/>
                <w:sz w:val="22"/>
              </w:rPr>
              <w:t>(Mandate</w:t>
            </w:r>
            <w:r>
              <w:rPr>
                <w:rFonts w:ascii="Calibri"/>
                <w:spacing w:val="-3"/>
                <w:sz w:val="22"/>
              </w:rPr>
              <w:t> </w:t>
            </w:r>
            <w:r>
              <w:rPr>
                <w:rFonts w:ascii="Calibri"/>
                <w:spacing w:val="-2"/>
                <w:sz w:val="22"/>
              </w:rPr>
              <w:t>Fraud)</w:t>
            </w:r>
          </w:p>
        </w:tc>
        <w:tc>
          <w:tcPr>
            <w:tcW w:w="1220" w:type="dxa"/>
            <w:tcBorders>
              <w:left w:val="dashed" w:sz="4" w:space="0" w:color="000000"/>
              <w:right w:val="dashed" w:sz="4" w:space="0" w:color="000000"/>
            </w:tcBorders>
            <w:shd w:val="clear" w:color="auto" w:fill="F2F2F2"/>
          </w:tcPr>
          <w:p>
            <w:pPr>
              <w:pStyle w:val="TableParagraph"/>
              <w:spacing w:line="249" w:lineRule="exact" w:before="21"/>
              <w:ind w:left="9"/>
              <w:jc w:val="center"/>
              <w:rPr>
                <w:rFonts w:ascii="Calibri"/>
                <w:sz w:val="22"/>
              </w:rPr>
            </w:pPr>
            <w:r>
              <w:rPr>
                <w:rFonts w:ascii="Calibri"/>
                <w:sz w:val="22"/>
              </w:rPr>
              <w:t>1</w:t>
            </w:r>
          </w:p>
        </w:tc>
        <w:tc>
          <w:tcPr>
            <w:tcW w:w="1500" w:type="dxa"/>
            <w:tcBorders>
              <w:left w:val="dashed" w:sz="4" w:space="0" w:color="000000"/>
              <w:right w:val="dashed" w:sz="4" w:space="0" w:color="000000"/>
            </w:tcBorders>
            <w:shd w:val="clear" w:color="auto" w:fill="F2F2F2"/>
          </w:tcPr>
          <w:p>
            <w:pPr>
              <w:pStyle w:val="TableParagraph"/>
              <w:spacing w:line="249" w:lineRule="exact" w:before="21"/>
              <w:ind w:left="9"/>
              <w:jc w:val="center"/>
              <w:rPr>
                <w:rFonts w:ascii="Calibri"/>
                <w:sz w:val="22"/>
              </w:rPr>
            </w:pPr>
            <w:r>
              <w:rPr>
                <w:rFonts w:ascii="Calibri"/>
                <w:sz w:val="22"/>
              </w:rPr>
              <w:t>0</w:t>
            </w:r>
          </w:p>
        </w:tc>
        <w:tc>
          <w:tcPr>
            <w:tcW w:w="1960" w:type="dxa"/>
            <w:tcBorders>
              <w:left w:val="dashed" w:sz="4" w:space="0" w:color="000000"/>
              <w:right w:val="dashed" w:sz="4" w:space="0" w:color="000000"/>
            </w:tcBorders>
            <w:shd w:val="clear" w:color="auto" w:fill="F2F2F2"/>
          </w:tcPr>
          <w:p>
            <w:pPr>
              <w:pStyle w:val="TableParagraph"/>
              <w:spacing w:line="249" w:lineRule="exact" w:before="21"/>
              <w:ind w:left="316" w:right="306"/>
              <w:jc w:val="center"/>
              <w:rPr>
                <w:rFonts w:ascii="Calibri"/>
                <w:sz w:val="22"/>
              </w:rPr>
            </w:pPr>
            <w:r>
              <w:rPr>
                <w:rFonts w:ascii="Calibri"/>
                <w:spacing w:val="-5"/>
                <w:sz w:val="22"/>
              </w:rPr>
              <w:t>14</w:t>
            </w:r>
          </w:p>
        </w:tc>
        <w:tc>
          <w:tcPr>
            <w:tcW w:w="2540" w:type="dxa"/>
            <w:tcBorders>
              <w:left w:val="dashed" w:sz="4" w:space="0" w:color="000000"/>
            </w:tcBorders>
            <w:shd w:val="clear" w:color="auto" w:fill="F2F2F2"/>
          </w:tcPr>
          <w:p>
            <w:pPr>
              <w:pStyle w:val="TableParagraph"/>
              <w:spacing w:line="249" w:lineRule="exact" w:before="21"/>
              <w:ind w:left="711" w:right="701"/>
              <w:jc w:val="center"/>
              <w:rPr>
                <w:rFonts w:ascii="Calibri"/>
                <w:sz w:val="22"/>
              </w:rPr>
            </w:pPr>
            <w:r>
              <w:rPr>
                <w:rFonts w:ascii="Calibri"/>
                <w:spacing w:val="-5"/>
                <w:sz w:val="22"/>
              </w:rPr>
              <w:t>82</w:t>
            </w:r>
          </w:p>
        </w:tc>
      </w:tr>
      <w:tr>
        <w:trPr>
          <w:trHeight w:val="290" w:hRule="atLeast"/>
        </w:trPr>
        <w:tc>
          <w:tcPr>
            <w:tcW w:w="2720" w:type="dxa"/>
            <w:tcBorders>
              <w:right w:val="dashed" w:sz="4" w:space="0" w:color="000000"/>
            </w:tcBorders>
          </w:tcPr>
          <w:p>
            <w:pPr>
              <w:pStyle w:val="TableParagraph"/>
              <w:rPr>
                <w:rFonts w:ascii="Times New Roman"/>
                <w:sz w:val="20"/>
              </w:rPr>
            </w:pPr>
          </w:p>
        </w:tc>
        <w:tc>
          <w:tcPr>
            <w:tcW w:w="1220" w:type="dxa"/>
            <w:tcBorders>
              <w:left w:val="dashed" w:sz="4" w:space="0" w:color="000000"/>
              <w:right w:val="dashed" w:sz="4" w:space="0" w:color="000000"/>
            </w:tcBorders>
          </w:tcPr>
          <w:p>
            <w:pPr>
              <w:pStyle w:val="TableParagraph"/>
              <w:rPr>
                <w:rFonts w:ascii="Times New Roman"/>
                <w:sz w:val="20"/>
              </w:rPr>
            </w:pPr>
          </w:p>
        </w:tc>
        <w:tc>
          <w:tcPr>
            <w:tcW w:w="1500" w:type="dxa"/>
            <w:tcBorders>
              <w:left w:val="dashed" w:sz="4" w:space="0" w:color="000000"/>
              <w:right w:val="dashed" w:sz="4" w:space="0" w:color="000000"/>
            </w:tcBorders>
          </w:tcPr>
          <w:p>
            <w:pPr>
              <w:pStyle w:val="TableParagraph"/>
              <w:rPr>
                <w:rFonts w:ascii="Times New Roman"/>
                <w:sz w:val="20"/>
              </w:rPr>
            </w:pPr>
          </w:p>
        </w:tc>
        <w:tc>
          <w:tcPr>
            <w:tcW w:w="1960" w:type="dxa"/>
            <w:tcBorders>
              <w:left w:val="dashed" w:sz="4" w:space="0" w:color="000000"/>
              <w:right w:val="dashed" w:sz="4" w:space="0" w:color="000000"/>
            </w:tcBorders>
          </w:tcPr>
          <w:p>
            <w:pPr>
              <w:pStyle w:val="TableParagraph"/>
              <w:spacing w:line="249" w:lineRule="exact" w:before="21"/>
              <w:ind w:left="316" w:right="307"/>
              <w:jc w:val="center"/>
              <w:rPr>
                <w:rFonts w:ascii="Calibri"/>
                <w:b/>
                <w:sz w:val="22"/>
              </w:rPr>
            </w:pPr>
            <w:r>
              <w:rPr>
                <w:rFonts w:ascii="Calibri"/>
                <w:b/>
                <w:spacing w:val="-2"/>
                <w:sz w:val="22"/>
              </w:rPr>
              <w:t>Total</w:t>
            </w:r>
          </w:p>
        </w:tc>
        <w:tc>
          <w:tcPr>
            <w:tcW w:w="2540" w:type="dxa"/>
            <w:tcBorders>
              <w:left w:val="dashed" w:sz="4" w:space="0" w:color="000000"/>
            </w:tcBorders>
          </w:tcPr>
          <w:p>
            <w:pPr>
              <w:pStyle w:val="TableParagraph"/>
              <w:spacing w:line="249" w:lineRule="exact" w:before="21"/>
              <w:ind w:left="711" w:right="701"/>
              <w:jc w:val="center"/>
              <w:rPr>
                <w:rFonts w:ascii="Calibri"/>
                <w:b/>
                <w:sz w:val="22"/>
              </w:rPr>
            </w:pPr>
            <w:r>
              <w:rPr>
                <w:rFonts w:ascii="Calibri"/>
                <w:b/>
                <w:spacing w:val="-5"/>
                <w:sz w:val="22"/>
              </w:rPr>
              <w:t>543</w:t>
            </w:r>
          </w:p>
        </w:tc>
      </w:tr>
    </w:tbl>
    <w:p>
      <w:pPr>
        <w:spacing w:after="0" w:line="249" w:lineRule="exact"/>
        <w:jc w:val="center"/>
        <w:rPr>
          <w:rFonts w:ascii="Calibri"/>
          <w:sz w:val="22"/>
        </w:rPr>
        <w:sectPr>
          <w:footerReference w:type="default" r:id="rId101"/>
          <w:pgSz w:w="11910" w:h="16840"/>
          <w:pgMar w:footer="158" w:header="0" w:top="620" w:bottom="340" w:left="0" w:right="0"/>
          <w:pgNumType w:start="76"/>
        </w:sectPr>
      </w:pPr>
    </w:p>
    <w:p>
      <w:pPr>
        <w:spacing w:line="285" w:lineRule="auto" w:before="62"/>
        <w:ind w:left="1288" w:right="1405" w:hanging="1"/>
        <w:jc w:val="left"/>
        <w:rPr>
          <w:rFonts w:ascii="Arial"/>
          <w:b/>
          <w:sz w:val="40"/>
        </w:rPr>
      </w:pPr>
      <w:bookmarkStart w:name=" 5.1.2 NWSSP Staff Fraud Survey Results." w:id="61"/>
      <w:bookmarkEnd w:id="61"/>
      <w:r>
        <w:rPr/>
      </w:r>
      <w:r>
        <w:rPr>
          <w:rFonts w:ascii="Arial"/>
          <w:b/>
          <w:color w:val="232323"/>
          <w:spacing w:val="-14"/>
          <w:sz w:val="40"/>
        </w:rPr>
        <w:t>NHS</w:t>
      </w:r>
      <w:r>
        <w:rPr>
          <w:rFonts w:ascii="Arial"/>
          <w:b/>
          <w:color w:val="232323"/>
          <w:spacing w:val="-12"/>
          <w:sz w:val="40"/>
        </w:rPr>
        <w:t> </w:t>
      </w:r>
      <w:r>
        <w:rPr>
          <w:rFonts w:ascii="Arial"/>
          <w:b/>
          <w:color w:val="232323"/>
          <w:spacing w:val="-14"/>
          <w:sz w:val="40"/>
        </w:rPr>
        <w:t>Wales</w:t>
      </w:r>
      <w:r>
        <w:rPr>
          <w:rFonts w:ascii="Arial"/>
          <w:b/>
          <w:color w:val="232323"/>
          <w:spacing w:val="-5"/>
          <w:sz w:val="40"/>
        </w:rPr>
        <w:t> </w:t>
      </w:r>
      <w:r>
        <w:rPr>
          <w:rFonts w:ascii="Arial"/>
          <w:b/>
          <w:color w:val="232323"/>
          <w:spacing w:val="-14"/>
          <w:sz w:val="40"/>
        </w:rPr>
        <w:t>Shared</w:t>
      </w:r>
      <w:r>
        <w:rPr>
          <w:rFonts w:ascii="Arial"/>
          <w:b/>
          <w:color w:val="232323"/>
          <w:sz w:val="40"/>
        </w:rPr>
        <w:t> </w:t>
      </w:r>
      <w:r>
        <w:rPr>
          <w:rFonts w:ascii="Arial"/>
          <w:b/>
          <w:color w:val="232323"/>
          <w:spacing w:val="-14"/>
          <w:sz w:val="40"/>
        </w:rPr>
        <w:t>Services</w:t>
      </w:r>
      <w:r>
        <w:rPr>
          <w:rFonts w:ascii="Arial"/>
          <w:b/>
          <w:color w:val="232323"/>
          <w:spacing w:val="-4"/>
          <w:sz w:val="40"/>
        </w:rPr>
        <w:t> </w:t>
      </w:r>
      <w:r>
        <w:rPr>
          <w:rFonts w:ascii="Arial"/>
          <w:b/>
          <w:color w:val="232323"/>
          <w:spacing w:val="-14"/>
          <w:sz w:val="40"/>
        </w:rPr>
        <w:t>Partnership</w:t>
      </w:r>
      <w:r>
        <w:rPr>
          <w:rFonts w:ascii="Arial"/>
          <w:b/>
          <w:color w:val="232323"/>
          <w:sz w:val="40"/>
        </w:rPr>
        <w:t> </w:t>
      </w:r>
      <w:r>
        <w:rPr>
          <w:rFonts w:ascii="Arial"/>
          <w:b/>
          <w:color w:val="232323"/>
          <w:spacing w:val="-14"/>
          <w:sz w:val="40"/>
        </w:rPr>
        <w:t>(NWSSP) </w:t>
      </w:r>
      <w:r>
        <w:rPr>
          <w:rFonts w:ascii="Arial"/>
          <w:b/>
          <w:color w:val="232323"/>
          <w:spacing w:val="-8"/>
          <w:sz w:val="40"/>
        </w:rPr>
        <w:t>Staff</w:t>
      </w:r>
      <w:r>
        <w:rPr>
          <w:rFonts w:ascii="Arial"/>
          <w:b/>
          <w:color w:val="232323"/>
          <w:spacing w:val="-17"/>
          <w:sz w:val="40"/>
        </w:rPr>
        <w:t> </w:t>
      </w:r>
      <w:r>
        <w:rPr>
          <w:rFonts w:ascii="Arial"/>
          <w:b/>
          <w:color w:val="232323"/>
          <w:spacing w:val="-8"/>
          <w:sz w:val="40"/>
        </w:rPr>
        <w:t>Fraud</w:t>
      </w:r>
      <w:r>
        <w:rPr>
          <w:rFonts w:ascii="Arial"/>
          <w:b/>
          <w:color w:val="232323"/>
          <w:spacing w:val="-13"/>
          <w:sz w:val="40"/>
        </w:rPr>
        <w:t> </w:t>
      </w:r>
      <w:r>
        <w:rPr>
          <w:rFonts w:ascii="Arial"/>
          <w:b/>
          <w:color w:val="232323"/>
          <w:spacing w:val="-8"/>
          <w:sz w:val="40"/>
        </w:rPr>
        <w:t>Awareness</w:t>
      </w:r>
      <w:r>
        <w:rPr>
          <w:rFonts w:ascii="Arial"/>
          <w:b/>
          <w:color w:val="232323"/>
          <w:spacing w:val="-6"/>
          <w:sz w:val="40"/>
        </w:rPr>
        <w:t> </w:t>
      </w:r>
      <w:r>
        <w:rPr>
          <w:rFonts w:ascii="Arial"/>
          <w:b/>
          <w:color w:val="232323"/>
          <w:spacing w:val="-8"/>
          <w:sz w:val="40"/>
        </w:rPr>
        <w:t>Survey</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1"/>
        <w:rPr>
          <w:rFonts w:ascii="Arial"/>
          <w:b/>
          <w:sz w:val="21"/>
        </w:rPr>
      </w:pPr>
    </w:p>
    <w:p>
      <w:pPr>
        <w:spacing w:after="0"/>
        <w:rPr>
          <w:rFonts w:ascii="Arial"/>
          <w:sz w:val="21"/>
        </w:rPr>
        <w:sectPr>
          <w:pgSz w:w="11910" w:h="16840"/>
          <w:pgMar w:header="0" w:footer="158" w:top="1880" w:bottom="340" w:left="0" w:right="0"/>
        </w:sectPr>
      </w:pPr>
    </w:p>
    <w:p>
      <w:pPr>
        <w:tabs>
          <w:tab w:pos="5635" w:val="left" w:leader="none"/>
        </w:tabs>
        <w:spacing w:before="87"/>
        <w:ind w:left="2488" w:right="0" w:firstLine="0"/>
        <w:jc w:val="left"/>
        <w:rPr>
          <w:rFonts w:ascii="Arial"/>
          <w:b/>
          <w:sz w:val="41"/>
        </w:rPr>
      </w:pPr>
      <w:r>
        <w:rPr>
          <w:rFonts w:ascii="Arial"/>
          <w:b/>
          <w:color w:val="1C345D"/>
          <w:spacing w:val="-5"/>
          <w:sz w:val="41"/>
        </w:rPr>
        <w:t>304</w:t>
      </w:r>
      <w:r>
        <w:rPr>
          <w:rFonts w:ascii="Arial"/>
          <w:b/>
          <w:color w:val="1C345D"/>
          <w:sz w:val="41"/>
        </w:rPr>
        <w:tab/>
      </w:r>
      <w:r>
        <w:rPr>
          <w:rFonts w:ascii="Arial"/>
          <w:b/>
          <w:color w:val="1C345D"/>
          <w:spacing w:val="-2"/>
          <w:sz w:val="41"/>
        </w:rPr>
        <w:t>03:52</w:t>
      </w:r>
    </w:p>
    <w:p>
      <w:pPr>
        <w:tabs>
          <w:tab w:pos="4845" w:val="left" w:leader="none"/>
        </w:tabs>
        <w:spacing w:before="101"/>
        <w:ind w:left="2304" w:right="0" w:firstLine="0"/>
        <w:jc w:val="left"/>
        <w:rPr>
          <w:rFonts w:ascii="Arial"/>
          <w:sz w:val="22"/>
        </w:rPr>
      </w:pPr>
      <w:r>
        <w:rPr>
          <w:rFonts w:ascii="Arial"/>
          <w:color w:val="606060"/>
          <w:spacing w:val="-2"/>
          <w:sz w:val="22"/>
        </w:rPr>
        <w:t>Responses</w:t>
      </w:r>
      <w:r>
        <w:rPr>
          <w:rFonts w:ascii="Arial"/>
          <w:color w:val="606060"/>
          <w:sz w:val="22"/>
        </w:rPr>
        <w:tab/>
        <w:t>Average</w:t>
      </w:r>
      <w:r>
        <w:rPr>
          <w:rFonts w:ascii="Arial"/>
          <w:color w:val="606060"/>
          <w:spacing w:val="16"/>
          <w:sz w:val="22"/>
        </w:rPr>
        <w:t> </w:t>
      </w:r>
      <w:r>
        <w:rPr>
          <w:rFonts w:ascii="Arial"/>
          <w:color w:val="606060"/>
          <w:sz w:val="22"/>
        </w:rPr>
        <w:t>time</w:t>
      </w:r>
      <w:r>
        <w:rPr>
          <w:rFonts w:ascii="Arial"/>
          <w:color w:val="606060"/>
          <w:spacing w:val="5"/>
          <w:sz w:val="22"/>
        </w:rPr>
        <w:t> </w:t>
      </w:r>
      <w:r>
        <w:rPr>
          <w:rFonts w:ascii="Arial"/>
          <w:color w:val="606060"/>
          <w:sz w:val="22"/>
        </w:rPr>
        <w:t>to</w:t>
      </w:r>
      <w:r>
        <w:rPr>
          <w:rFonts w:ascii="Arial"/>
          <w:color w:val="606060"/>
          <w:spacing w:val="19"/>
          <w:sz w:val="22"/>
        </w:rPr>
        <w:t> </w:t>
      </w:r>
      <w:r>
        <w:rPr>
          <w:rFonts w:ascii="Arial"/>
          <w:color w:val="606060"/>
          <w:spacing w:val="-2"/>
          <w:sz w:val="22"/>
        </w:rPr>
        <w:t>complete</w:t>
      </w:r>
    </w:p>
    <w:p>
      <w:pPr>
        <w:spacing w:before="96"/>
        <w:ind w:left="1305" w:right="1928" w:firstLine="0"/>
        <w:jc w:val="center"/>
        <w:rPr>
          <w:rFonts w:ascii="Arial"/>
          <w:b/>
          <w:sz w:val="40"/>
        </w:rPr>
      </w:pPr>
      <w:r>
        <w:rPr/>
        <w:br w:type="column"/>
      </w:r>
      <w:r>
        <w:rPr>
          <w:rFonts w:ascii="Arial"/>
          <w:b/>
          <w:color w:val="1C345D"/>
          <w:spacing w:val="-2"/>
          <w:sz w:val="40"/>
        </w:rPr>
        <w:t>Active</w:t>
      </w:r>
    </w:p>
    <w:p>
      <w:pPr>
        <w:spacing w:before="108"/>
        <w:ind w:left="1601" w:right="2210" w:firstLine="0"/>
        <w:jc w:val="center"/>
        <w:rPr>
          <w:rFonts w:ascii="Arial"/>
          <w:sz w:val="22"/>
        </w:rPr>
      </w:pPr>
      <w:r>
        <w:rPr>
          <w:rFonts w:ascii="Arial"/>
          <w:color w:val="606060"/>
          <w:spacing w:val="-2"/>
          <w:sz w:val="22"/>
        </w:rPr>
        <w:t>Status</w:t>
      </w:r>
    </w:p>
    <w:p>
      <w:pPr>
        <w:spacing w:after="0"/>
        <w:jc w:val="center"/>
        <w:rPr>
          <w:rFonts w:ascii="Arial"/>
          <w:sz w:val="22"/>
        </w:rPr>
        <w:sectPr>
          <w:type w:val="continuous"/>
          <w:pgSz w:w="11910" w:h="16840"/>
          <w:pgMar w:header="0" w:footer="158" w:top="740" w:bottom="280" w:left="0" w:right="0"/>
          <w:cols w:num="2" w:equalWidth="0">
            <w:col w:w="7407" w:space="40"/>
            <w:col w:w="4463"/>
          </w:cols>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sz w:val="18"/>
        </w:rPr>
      </w:pPr>
    </w:p>
    <w:p>
      <w:pPr>
        <w:pStyle w:val="BodyText"/>
        <w:spacing w:line="20" w:lineRule="exact"/>
        <w:ind w:left="1303"/>
        <w:rPr>
          <w:rFonts w:ascii="Arial"/>
          <w:sz w:val="2"/>
        </w:rPr>
      </w:pPr>
      <w:r>
        <w:rPr>
          <w:rFonts w:ascii="Arial"/>
          <w:sz w:val="2"/>
        </w:rPr>
        <w:pict>
          <v:group style="width:482.05pt;height:.85pt;mso-position-horizontal-relative:char;mso-position-vertical-relative:line" id="docshapegroup390" coordorigin="0,0" coordsize="9641,17">
            <v:rect style="position:absolute;left:0;top:0;width:9641;height:17" id="docshape391" filled="true" fillcolor="#e9e9e9" stroked="false">
              <v:fill type="solid"/>
            </v:rect>
          </v:group>
        </w:pict>
      </w:r>
      <w:r>
        <w:rPr>
          <w:rFonts w:ascii="Arial"/>
          <w:sz w:val="2"/>
        </w:rPr>
      </w:r>
    </w:p>
    <w:p>
      <w:pPr>
        <w:pStyle w:val="BodyText"/>
        <w:rPr>
          <w:rFonts w:ascii="Arial"/>
          <w:sz w:val="20"/>
        </w:rPr>
      </w:pPr>
    </w:p>
    <w:p>
      <w:pPr>
        <w:pStyle w:val="ListParagraph"/>
        <w:numPr>
          <w:ilvl w:val="0"/>
          <w:numId w:val="31"/>
        </w:numPr>
        <w:tabs>
          <w:tab w:pos="1794" w:val="left" w:leader="none"/>
        </w:tabs>
        <w:spacing w:line="314" w:lineRule="auto" w:before="93" w:after="0"/>
        <w:ind w:left="1795" w:right="2022" w:hanging="306"/>
        <w:jc w:val="left"/>
        <w:rPr>
          <w:rFonts w:ascii="Arial"/>
          <w:color w:val="232323"/>
          <w:sz w:val="22"/>
        </w:rPr>
      </w:pPr>
      <w:r>
        <w:rPr>
          <w:rFonts w:ascii="Arial"/>
          <w:color w:val="232323"/>
          <w:w w:val="105"/>
          <w:sz w:val="22"/>
        </w:rPr>
        <w:t>Are</w:t>
      </w:r>
      <w:r>
        <w:rPr>
          <w:rFonts w:ascii="Arial"/>
          <w:color w:val="232323"/>
          <w:spacing w:val="-13"/>
          <w:w w:val="105"/>
          <w:sz w:val="22"/>
        </w:rPr>
        <w:t> </w:t>
      </w:r>
      <w:r>
        <w:rPr>
          <w:rFonts w:ascii="Arial"/>
          <w:color w:val="232323"/>
          <w:w w:val="105"/>
          <w:sz w:val="22"/>
        </w:rPr>
        <w:t>you</w:t>
      </w:r>
      <w:r>
        <w:rPr>
          <w:rFonts w:ascii="Arial"/>
          <w:color w:val="232323"/>
          <w:spacing w:val="-8"/>
          <w:w w:val="105"/>
          <w:sz w:val="22"/>
        </w:rPr>
        <w:t> </w:t>
      </w:r>
      <w:r>
        <w:rPr>
          <w:rFonts w:ascii="Arial"/>
          <w:color w:val="232323"/>
          <w:w w:val="105"/>
          <w:sz w:val="22"/>
        </w:rPr>
        <w:t>aware</w:t>
      </w:r>
      <w:r>
        <w:rPr>
          <w:rFonts w:ascii="Arial"/>
          <w:color w:val="232323"/>
          <w:spacing w:val="-11"/>
          <w:w w:val="105"/>
          <w:sz w:val="22"/>
        </w:rPr>
        <w:t> </w:t>
      </w:r>
      <w:r>
        <w:rPr>
          <w:rFonts w:ascii="Arial"/>
          <w:color w:val="232323"/>
          <w:w w:val="105"/>
          <w:sz w:val="22"/>
        </w:rPr>
        <w:t>that</w:t>
      </w:r>
      <w:r>
        <w:rPr>
          <w:rFonts w:ascii="Arial"/>
          <w:color w:val="232323"/>
          <w:spacing w:val="-6"/>
          <w:w w:val="105"/>
          <w:sz w:val="22"/>
        </w:rPr>
        <w:t> </w:t>
      </w:r>
      <w:r>
        <w:rPr>
          <w:rFonts w:ascii="Arial"/>
          <w:color w:val="232323"/>
          <w:w w:val="105"/>
          <w:sz w:val="22"/>
        </w:rPr>
        <w:t>NWSSP employs Local</w:t>
      </w:r>
      <w:r>
        <w:rPr>
          <w:rFonts w:ascii="Arial"/>
          <w:color w:val="232323"/>
          <w:spacing w:val="-6"/>
          <w:w w:val="105"/>
          <w:sz w:val="22"/>
        </w:rPr>
        <w:t> </w:t>
      </w:r>
      <w:r>
        <w:rPr>
          <w:rFonts w:ascii="Arial"/>
          <w:color w:val="232323"/>
          <w:w w:val="105"/>
          <w:sz w:val="22"/>
        </w:rPr>
        <w:t>Counter Fraud</w:t>
      </w:r>
      <w:r>
        <w:rPr>
          <w:rFonts w:ascii="Arial"/>
          <w:color w:val="232323"/>
          <w:spacing w:val="-2"/>
          <w:w w:val="105"/>
          <w:sz w:val="22"/>
        </w:rPr>
        <w:t> </w:t>
      </w:r>
      <w:r>
        <w:rPr>
          <w:rFonts w:ascii="Arial"/>
          <w:color w:val="232323"/>
          <w:w w:val="105"/>
          <w:sz w:val="22"/>
        </w:rPr>
        <w:t>Specialists (</w:t>
      </w:r>
      <w:r>
        <w:rPr>
          <w:rFonts w:ascii="Arial"/>
          <w:color w:val="232323"/>
          <w:spacing w:val="-16"/>
          <w:w w:val="105"/>
          <w:sz w:val="22"/>
        </w:rPr>
        <w:t> </w:t>
      </w:r>
      <w:r>
        <w:rPr>
          <w:rFonts w:ascii="Arial"/>
          <w:color w:val="232323"/>
          <w:w w:val="105"/>
          <w:sz w:val="22"/>
        </w:rPr>
        <w:t>LCFS</w:t>
      </w:r>
      <w:r>
        <w:rPr>
          <w:rFonts w:ascii="Arial"/>
          <w:color w:val="232323"/>
          <w:spacing w:val="-14"/>
          <w:w w:val="105"/>
          <w:sz w:val="22"/>
        </w:rPr>
        <w:t> </w:t>
      </w:r>
      <w:r>
        <w:rPr>
          <w:rFonts w:ascii="Arial"/>
          <w:color w:val="232323"/>
          <w:w w:val="105"/>
          <w:sz w:val="22"/>
        </w:rPr>
        <w:t>), specifically</w:t>
      </w:r>
      <w:r>
        <w:rPr>
          <w:rFonts w:ascii="Arial"/>
          <w:color w:val="232323"/>
          <w:spacing w:val="40"/>
          <w:w w:val="105"/>
          <w:sz w:val="22"/>
        </w:rPr>
        <w:t> </w:t>
      </w:r>
      <w:r>
        <w:rPr>
          <w:rFonts w:ascii="Arial"/>
          <w:color w:val="232323"/>
          <w:w w:val="105"/>
          <w:sz w:val="22"/>
        </w:rPr>
        <w:t>trained to</w:t>
      </w:r>
      <w:r>
        <w:rPr>
          <w:rFonts w:ascii="Arial"/>
          <w:color w:val="232323"/>
          <w:spacing w:val="40"/>
          <w:w w:val="105"/>
          <w:sz w:val="22"/>
        </w:rPr>
        <w:t> </w:t>
      </w:r>
      <w:r>
        <w:rPr>
          <w:rFonts w:ascii="Arial"/>
          <w:color w:val="232323"/>
          <w:w w:val="105"/>
          <w:sz w:val="22"/>
        </w:rPr>
        <w:t>address</w:t>
      </w:r>
      <w:r>
        <w:rPr>
          <w:rFonts w:ascii="Arial"/>
          <w:color w:val="232323"/>
          <w:spacing w:val="35"/>
          <w:w w:val="105"/>
          <w:sz w:val="22"/>
        </w:rPr>
        <w:t> </w:t>
      </w:r>
      <w:r>
        <w:rPr>
          <w:rFonts w:ascii="Arial"/>
          <w:color w:val="232323"/>
          <w:w w:val="105"/>
          <w:sz w:val="22"/>
        </w:rPr>
        <w:t>all matters</w:t>
      </w:r>
      <w:r>
        <w:rPr>
          <w:rFonts w:ascii="Arial"/>
          <w:color w:val="232323"/>
          <w:spacing w:val="40"/>
          <w:w w:val="105"/>
          <w:sz w:val="22"/>
        </w:rPr>
        <w:t> </w:t>
      </w:r>
      <w:r>
        <w:rPr>
          <w:rFonts w:ascii="Arial"/>
          <w:color w:val="232323"/>
          <w:w w:val="105"/>
          <w:sz w:val="22"/>
        </w:rPr>
        <w:t>of</w:t>
      </w:r>
      <w:r>
        <w:rPr>
          <w:rFonts w:ascii="Arial"/>
          <w:color w:val="232323"/>
          <w:spacing w:val="40"/>
          <w:w w:val="105"/>
          <w:sz w:val="22"/>
        </w:rPr>
        <w:t> </w:t>
      </w:r>
      <w:r>
        <w:rPr>
          <w:rFonts w:ascii="Arial"/>
          <w:color w:val="232323"/>
          <w:w w:val="105"/>
          <w:sz w:val="22"/>
        </w:rPr>
        <w:t>Fraud, bribery</w:t>
      </w:r>
      <w:r>
        <w:rPr>
          <w:rFonts w:ascii="Arial"/>
          <w:color w:val="232323"/>
          <w:spacing w:val="39"/>
          <w:w w:val="105"/>
          <w:sz w:val="22"/>
        </w:rPr>
        <w:t> </w:t>
      </w:r>
      <w:r>
        <w:rPr>
          <w:rFonts w:ascii="Arial"/>
          <w:color w:val="232323"/>
          <w:w w:val="105"/>
          <w:sz w:val="22"/>
        </w:rPr>
        <w:t>and Corruption?</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rPr>
          <w:rFonts w:ascii="Arial"/>
          <w:sz w:val="26"/>
        </w:rPr>
      </w:pPr>
    </w:p>
    <w:p>
      <w:pPr>
        <w:spacing w:after="0"/>
        <w:rPr>
          <w:rFonts w:ascii="Arial"/>
          <w:sz w:val="26"/>
        </w:rPr>
        <w:sectPr>
          <w:type w:val="continuous"/>
          <w:pgSz w:w="11910" w:h="16840"/>
          <w:pgMar w:header="0" w:footer="158" w:top="740" w:bottom="280" w:left="0" w:right="0"/>
        </w:sectPr>
      </w:pPr>
    </w:p>
    <w:p>
      <w:pPr>
        <w:spacing w:before="102"/>
        <w:ind w:left="0" w:right="38" w:firstLine="0"/>
        <w:jc w:val="right"/>
        <w:rPr>
          <w:rFonts w:ascii="Arial"/>
          <w:sz w:val="17"/>
        </w:rPr>
      </w:pPr>
      <w:r>
        <w:rPr>
          <w:position w:val="-6"/>
        </w:rPr>
        <w:drawing>
          <wp:inline distT="0" distB="0" distL="0" distR="0">
            <wp:extent cx="144779" cy="141731"/>
            <wp:effectExtent l="0" t="0" r="0" b="0"/>
            <wp:docPr id="81" name="image40.jpeg"/>
            <wp:cNvGraphicFramePr>
              <a:graphicFrameLocks noChangeAspect="1"/>
            </wp:cNvGraphicFramePr>
            <a:graphic>
              <a:graphicData uri="http://schemas.openxmlformats.org/drawingml/2006/picture">
                <pic:pic>
                  <pic:nvPicPr>
                    <pic:cNvPr id="82" name="image40.jpeg"/>
                    <pic:cNvPicPr/>
                  </pic:nvPicPr>
                  <pic:blipFill>
                    <a:blip r:embed="rId110" cstate="print"/>
                    <a:stretch>
                      <a:fillRect/>
                    </a:stretch>
                  </pic:blipFill>
                  <pic:spPr>
                    <a:xfrm>
                      <a:off x="0" y="0"/>
                      <a:ext cx="144779" cy="141731"/>
                    </a:xfrm>
                    <a:prstGeom prst="rect">
                      <a:avLst/>
                    </a:prstGeom>
                  </pic:spPr>
                </pic:pic>
              </a:graphicData>
            </a:graphic>
          </wp:inline>
        </w:drawing>
      </w:r>
      <w:r>
        <w:rPr>
          <w:position w:val="-6"/>
        </w:rPr>
      </w:r>
      <w:r>
        <w:rPr>
          <w:rFonts w:ascii="Times New Roman"/>
          <w:spacing w:val="80"/>
          <w:sz w:val="20"/>
        </w:rPr>
        <w:t> </w:t>
      </w:r>
      <w:r>
        <w:rPr>
          <w:rFonts w:ascii="Arial"/>
          <w:color w:val="232323"/>
          <w:w w:val="95"/>
          <w:sz w:val="17"/>
        </w:rPr>
        <w:t>Yes</w:t>
      </w:r>
    </w:p>
    <w:p>
      <w:pPr>
        <w:pStyle w:val="BodyText"/>
        <w:spacing w:before="7"/>
        <w:rPr>
          <w:rFonts w:ascii="Arial"/>
          <w:sz w:val="19"/>
        </w:rPr>
      </w:pPr>
    </w:p>
    <w:p>
      <w:pPr>
        <w:spacing w:before="0"/>
        <w:ind w:left="0" w:right="41" w:firstLine="0"/>
        <w:jc w:val="right"/>
        <w:rPr>
          <w:rFonts w:ascii="Courier New"/>
          <w:sz w:val="21"/>
        </w:rPr>
      </w:pPr>
      <w:r>
        <w:rPr/>
        <w:drawing>
          <wp:anchor distT="0" distB="0" distL="0" distR="0" allowOverlap="1" layoutInCell="1" locked="0" behindDoc="0" simplePos="0" relativeHeight="15800832">
            <wp:simplePos x="0" y="0"/>
            <wp:positionH relativeFrom="page">
              <wp:posOffset>1115567</wp:posOffset>
            </wp:positionH>
            <wp:positionV relativeFrom="paragraph">
              <wp:posOffset>11862</wp:posOffset>
            </wp:positionV>
            <wp:extent cx="144779" cy="141731"/>
            <wp:effectExtent l="0" t="0" r="0" b="0"/>
            <wp:wrapNone/>
            <wp:docPr id="83" name="image41.jpeg"/>
            <wp:cNvGraphicFramePr>
              <a:graphicFrameLocks noChangeAspect="1"/>
            </wp:cNvGraphicFramePr>
            <a:graphic>
              <a:graphicData uri="http://schemas.openxmlformats.org/drawingml/2006/picture">
                <pic:pic>
                  <pic:nvPicPr>
                    <pic:cNvPr id="84" name="image41.jpeg"/>
                    <pic:cNvPicPr/>
                  </pic:nvPicPr>
                  <pic:blipFill>
                    <a:blip r:embed="rId111" cstate="print"/>
                    <a:stretch>
                      <a:fillRect/>
                    </a:stretch>
                  </pic:blipFill>
                  <pic:spPr>
                    <a:xfrm>
                      <a:off x="0" y="0"/>
                      <a:ext cx="144779" cy="141731"/>
                    </a:xfrm>
                    <a:prstGeom prst="rect">
                      <a:avLst/>
                    </a:prstGeom>
                  </pic:spPr>
                </pic:pic>
              </a:graphicData>
            </a:graphic>
          </wp:anchor>
        </w:drawing>
      </w:r>
      <w:r>
        <w:rPr>
          <w:rFonts w:ascii="Courier New"/>
          <w:color w:val="232323"/>
          <w:spacing w:val="-5"/>
          <w:sz w:val="21"/>
        </w:rPr>
        <w:t>No</w:t>
      </w:r>
    </w:p>
    <w:p>
      <w:pPr>
        <w:spacing w:before="93"/>
        <w:ind w:left="1759" w:right="0" w:firstLine="0"/>
        <w:jc w:val="left"/>
        <w:rPr>
          <w:rFonts w:ascii="Times New Roman"/>
          <w:sz w:val="18"/>
        </w:rPr>
      </w:pPr>
      <w:r>
        <w:rPr/>
        <w:br w:type="column"/>
      </w:r>
      <w:r>
        <w:rPr>
          <w:rFonts w:ascii="Times New Roman"/>
          <w:color w:val="232323"/>
          <w:spacing w:val="-5"/>
          <w:w w:val="105"/>
          <w:sz w:val="18"/>
        </w:rPr>
        <w:t>272</w:t>
      </w:r>
    </w:p>
    <w:p>
      <w:pPr>
        <w:pStyle w:val="BodyText"/>
        <w:spacing w:before="4"/>
        <w:rPr>
          <w:rFonts w:ascii="Times New Roman"/>
          <w:sz w:val="23"/>
        </w:rPr>
      </w:pPr>
    </w:p>
    <w:p>
      <w:pPr>
        <w:spacing w:before="0"/>
        <w:ind w:left="1756" w:right="0" w:firstLine="0"/>
        <w:jc w:val="left"/>
        <w:rPr>
          <w:rFonts w:ascii="Times New Roman"/>
          <w:sz w:val="17"/>
        </w:rPr>
      </w:pPr>
      <w:r>
        <w:rPr/>
        <w:drawing>
          <wp:anchor distT="0" distB="0" distL="0" distR="0" allowOverlap="1" layoutInCell="1" locked="0" behindDoc="0" simplePos="0" relativeHeight="15801344">
            <wp:simplePos x="0" y="0"/>
            <wp:positionH relativeFrom="page">
              <wp:posOffset>4488163</wp:posOffset>
            </wp:positionH>
            <wp:positionV relativeFrom="paragraph">
              <wp:posOffset>-745132</wp:posOffset>
            </wp:positionV>
            <wp:extent cx="1441723" cy="1415778"/>
            <wp:effectExtent l="0" t="0" r="0" b="0"/>
            <wp:wrapNone/>
            <wp:docPr id="85" name="image42.jpeg"/>
            <wp:cNvGraphicFramePr>
              <a:graphicFrameLocks noChangeAspect="1"/>
            </wp:cNvGraphicFramePr>
            <a:graphic>
              <a:graphicData uri="http://schemas.openxmlformats.org/drawingml/2006/picture">
                <pic:pic>
                  <pic:nvPicPr>
                    <pic:cNvPr id="86" name="image42.jpeg"/>
                    <pic:cNvPicPr/>
                  </pic:nvPicPr>
                  <pic:blipFill>
                    <a:blip r:embed="rId112" cstate="print"/>
                    <a:stretch>
                      <a:fillRect/>
                    </a:stretch>
                  </pic:blipFill>
                  <pic:spPr>
                    <a:xfrm>
                      <a:off x="0" y="0"/>
                      <a:ext cx="1441723" cy="1415778"/>
                    </a:xfrm>
                    <a:prstGeom prst="rect">
                      <a:avLst/>
                    </a:prstGeom>
                  </pic:spPr>
                </pic:pic>
              </a:graphicData>
            </a:graphic>
          </wp:anchor>
        </w:drawing>
      </w:r>
      <w:r>
        <w:rPr>
          <w:rFonts w:ascii="Times New Roman"/>
          <w:color w:val="232323"/>
          <w:spacing w:val="-5"/>
          <w:w w:val="105"/>
          <w:sz w:val="17"/>
        </w:rPr>
        <w:t>31</w:t>
      </w:r>
    </w:p>
    <w:p>
      <w:pPr>
        <w:spacing w:after="0"/>
        <w:jc w:val="left"/>
        <w:rPr>
          <w:rFonts w:ascii="Times New Roman"/>
          <w:sz w:val="17"/>
        </w:rPr>
        <w:sectPr>
          <w:type w:val="continuous"/>
          <w:pgSz w:w="11910" w:h="16840"/>
          <w:pgMar w:header="0" w:footer="158" w:top="740" w:bottom="280" w:left="0" w:right="0"/>
          <w:cols w:num="2" w:equalWidth="0">
            <w:col w:w="2442" w:space="774"/>
            <w:col w:w="8694"/>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0"/>
        </w:rPr>
      </w:pPr>
    </w:p>
    <w:p>
      <w:pPr>
        <w:pStyle w:val="BodyText"/>
        <w:spacing w:line="20" w:lineRule="exact"/>
        <w:ind w:left="1303"/>
        <w:rPr>
          <w:rFonts w:ascii="Times New Roman"/>
          <w:sz w:val="2"/>
        </w:rPr>
      </w:pPr>
      <w:r>
        <w:rPr>
          <w:rFonts w:ascii="Times New Roman"/>
          <w:sz w:val="2"/>
        </w:rPr>
        <w:pict>
          <v:group style="width:482.05pt;height:.85pt;mso-position-horizontal-relative:char;mso-position-vertical-relative:line" id="docshapegroup392" coordorigin="0,0" coordsize="9641,17">
            <v:rect style="position:absolute;left:0;top:0;width:9641;height:17" id="docshape393" filled="true" fillcolor="#e9e9e9" stroked="false">
              <v:fill type="solid"/>
            </v:rect>
          </v:group>
        </w:pict>
      </w:r>
      <w:r>
        <w:rPr>
          <w:rFonts w:ascii="Times New Roman"/>
          <w:sz w:val="2"/>
        </w:rPr>
      </w:r>
    </w:p>
    <w:p>
      <w:pPr>
        <w:pStyle w:val="BodyText"/>
        <w:spacing w:before="7"/>
        <w:rPr>
          <w:rFonts w:ascii="Times New Roman"/>
          <w:sz w:val="20"/>
        </w:rPr>
      </w:pPr>
    </w:p>
    <w:p>
      <w:pPr>
        <w:pStyle w:val="ListParagraph"/>
        <w:numPr>
          <w:ilvl w:val="0"/>
          <w:numId w:val="31"/>
        </w:numPr>
        <w:tabs>
          <w:tab w:pos="1796" w:val="left" w:leader="none"/>
        </w:tabs>
        <w:spacing w:line="314" w:lineRule="auto" w:before="93" w:after="0"/>
        <w:ind w:left="1795" w:right="1603" w:hanging="303"/>
        <w:jc w:val="left"/>
        <w:rPr>
          <w:rFonts w:ascii="Arial"/>
          <w:color w:val="232323"/>
          <w:sz w:val="22"/>
        </w:rPr>
      </w:pPr>
      <w:r>
        <w:rPr>
          <w:rFonts w:ascii="Arial"/>
          <w:color w:val="232323"/>
          <w:spacing w:val="-2"/>
          <w:w w:val="110"/>
          <w:sz w:val="22"/>
        </w:rPr>
        <w:t>Did</w:t>
      </w:r>
      <w:r>
        <w:rPr>
          <w:rFonts w:ascii="Arial"/>
          <w:color w:val="232323"/>
          <w:spacing w:val="-15"/>
          <w:w w:val="110"/>
          <w:sz w:val="22"/>
        </w:rPr>
        <w:t> </w:t>
      </w:r>
      <w:r>
        <w:rPr>
          <w:rFonts w:ascii="Arial"/>
          <w:color w:val="232323"/>
          <w:spacing w:val="-2"/>
          <w:w w:val="110"/>
          <w:sz w:val="22"/>
        </w:rPr>
        <w:t>you</w:t>
      </w:r>
      <w:r>
        <w:rPr>
          <w:rFonts w:ascii="Arial"/>
          <w:color w:val="232323"/>
          <w:spacing w:val="-10"/>
          <w:w w:val="110"/>
          <w:sz w:val="22"/>
        </w:rPr>
        <w:t> </w:t>
      </w:r>
      <w:r>
        <w:rPr>
          <w:rFonts w:ascii="Arial"/>
          <w:color w:val="232323"/>
          <w:spacing w:val="-2"/>
          <w:w w:val="110"/>
          <w:sz w:val="22"/>
        </w:rPr>
        <w:t>know</w:t>
      </w:r>
      <w:r>
        <w:rPr>
          <w:rFonts w:ascii="Arial"/>
          <w:color w:val="232323"/>
          <w:spacing w:val="-9"/>
          <w:w w:val="110"/>
          <w:sz w:val="22"/>
        </w:rPr>
        <w:t> </w:t>
      </w:r>
      <w:r>
        <w:rPr>
          <w:rFonts w:ascii="Arial"/>
          <w:color w:val="232323"/>
          <w:spacing w:val="-2"/>
          <w:w w:val="110"/>
          <w:sz w:val="22"/>
        </w:rPr>
        <w:t>that</w:t>
      </w:r>
      <w:r>
        <w:rPr>
          <w:rFonts w:ascii="Arial"/>
          <w:color w:val="232323"/>
          <w:spacing w:val="-10"/>
          <w:w w:val="110"/>
          <w:sz w:val="22"/>
        </w:rPr>
        <w:t> </w:t>
      </w:r>
      <w:r>
        <w:rPr>
          <w:rFonts w:ascii="Arial"/>
          <w:color w:val="232323"/>
          <w:spacing w:val="-2"/>
          <w:w w:val="110"/>
          <w:sz w:val="22"/>
        </w:rPr>
        <w:t>NWSSP has</w:t>
      </w:r>
      <w:r>
        <w:rPr>
          <w:rFonts w:ascii="Arial"/>
          <w:color w:val="232323"/>
          <w:spacing w:val="-10"/>
          <w:w w:val="110"/>
          <w:sz w:val="22"/>
        </w:rPr>
        <w:t> </w:t>
      </w:r>
      <w:r>
        <w:rPr>
          <w:rFonts w:ascii="Arial"/>
          <w:color w:val="232323"/>
          <w:spacing w:val="-2"/>
          <w:w w:val="110"/>
          <w:sz w:val="22"/>
        </w:rPr>
        <w:t>a</w:t>
      </w:r>
      <w:r>
        <w:rPr>
          <w:rFonts w:ascii="Arial"/>
          <w:color w:val="232323"/>
          <w:spacing w:val="-14"/>
          <w:w w:val="110"/>
          <w:sz w:val="22"/>
        </w:rPr>
        <w:t> </w:t>
      </w:r>
      <w:r>
        <w:rPr>
          <w:rFonts w:ascii="Arial"/>
          <w:color w:val="232323"/>
          <w:spacing w:val="-2"/>
          <w:w w:val="110"/>
          <w:sz w:val="22"/>
        </w:rPr>
        <w:t>Counter Fraud,</w:t>
      </w:r>
      <w:r>
        <w:rPr>
          <w:rFonts w:ascii="Arial"/>
          <w:color w:val="232323"/>
          <w:spacing w:val="-14"/>
          <w:w w:val="110"/>
          <w:sz w:val="22"/>
        </w:rPr>
        <w:t> </w:t>
      </w:r>
      <w:r>
        <w:rPr>
          <w:rFonts w:ascii="Arial"/>
          <w:color w:val="232323"/>
          <w:spacing w:val="-2"/>
          <w:w w:val="110"/>
          <w:sz w:val="22"/>
        </w:rPr>
        <w:t>Bribery</w:t>
      </w:r>
      <w:r>
        <w:rPr>
          <w:rFonts w:ascii="Arial"/>
          <w:color w:val="232323"/>
          <w:spacing w:val="-12"/>
          <w:w w:val="110"/>
          <w:sz w:val="22"/>
        </w:rPr>
        <w:t> </w:t>
      </w:r>
      <w:r>
        <w:rPr>
          <w:rFonts w:ascii="Arial"/>
          <w:color w:val="232323"/>
          <w:spacing w:val="-2"/>
          <w:w w:val="110"/>
          <w:sz w:val="22"/>
        </w:rPr>
        <w:t>and</w:t>
      </w:r>
      <w:r>
        <w:rPr>
          <w:rFonts w:ascii="Arial"/>
          <w:color w:val="232323"/>
          <w:spacing w:val="-14"/>
          <w:w w:val="110"/>
          <w:sz w:val="22"/>
        </w:rPr>
        <w:t> </w:t>
      </w:r>
      <w:r>
        <w:rPr>
          <w:rFonts w:ascii="Arial"/>
          <w:color w:val="232323"/>
          <w:spacing w:val="-2"/>
          <w:w w:val="110"/>
          <w:sz w:val="22"/>
        </w:rPr>
        <w:t>Corruption</w:t>
      </w:r>
      <w:r>
        <w:rPr>
          <w:rFonts w:ascii="Arial"/>
          <w:color w:val="232323"/>
          <w:spacing w:val="-3"/>
          <w:w w:val="110"/>
          <w:sz w:val="22"/>
        </w:rPr>
        <w:t> </w:t>
      </w:r>
      <w:r>
        <w:rPr>
          <w:rFonts w:ascii="Arial"/>
          <w:color w:val="232323"/>
          <w:spacing w:val="-2"/>
          <w:w w:val="110"/>
          <w:sz w:val="22"/>
        </w:rPr>
        <w:t>Policy</w:t>
      </w:r>
      <w:r>
        <w:rPr>
          <w:rFonts w:ascii="Arial"/>
          <w:color w:val="232323"/>
          <w:spacing w:val="-12"/>
          <w:w w:val="110"/>
          <w:sz w:val="22"/>
        </w:rPr>
        <w:t> </w:t>
      </w:r>
      <w:r>
        <w:rPr>
          <w:rFonts w:ascii="Arial"/>
          <w:color w:val="232323"/>
          <w:spacing w:val="-2"/>
          <w:w w:val="110"/>
          <w:sz w:val="22"/>
        </w:rPr>
        <w:t>to </w:t>
      </w:r>
      <w:r>
        <w:rPr>
          <w:rFonts w:ascii="Arial"/>
          <w:color w:val="232323"/>
          <w:w w:val="110"/>
          <w:sz w:val="22"/>
        </w:rPr>
        <w:t>support all staff in dealing with matters of fraud, bribery and corruption?</w:t>
      </w:r>
    </w:p>
    <w:p>
      <w:pPr>
        <w:pStyle w:val="BodyText"/>
        <w:rPr>
          <w:rFonts w:ascii="Arial"/>
          <w:sz w:val="20"/>
        </w:rPr>
      </w:pPr>
    </w:p>
    <w:p>
      <w:pPr>
        <w:pStyle w:val="BodyText"/>
        <w:rPr>
          <w:rFonts w:ascii="Arial"/>
          <w:sz w:val="20"/>
        </w:rPr>
      </w:pPr>
    </w:p>
    <w:p>
      <w:pPr>
        <w:pStyle w:val="BodyText"/>
        <w:spacing w:before="2"/>
        <w:rPr>
          <w:rFonts w:ascii="Arial"/>
          <w:sz w:val="27"/>
        </w:rPr>
      </w:pPr>
    </w:p>
    <w:p>
      <w:pPr>
        <w:spacing w:after="0"/>
        <w:rPr>
          <w:rFonts w:ascii="Arial"/>
          <w:sz w:val="27"/>
        </w:rPr>
        <w:sectPr>
          <w:type w:val="continuous"/>
          <w:pgSz w:w="11910" w:h="16840"/>
          <w:pgMar w:header="0" w:footer="158" w:top="740" w:bottom="280" w:left="0" w:right="0"/>
        </w:sectPr>
      </w:pPr>
    </w:p>
    <w:p>
      <w:pPr>
        <w:spacing w:before="94"/>
        <w:ind w:left="1756" w:right="0" w:firstLine="0"/>
        <w:jc w:val="left"/>
        <w:rPr>
          <w:rFonts w:ascii="Arial"/>
          <w:sz w:val="17"/>
        </w:rPr>
      </w:pPr>
      <w:r>
        <w:rPr>
          <w:position w:val="-5"/>
        </w:rPr>
        <w:drawing>
          <wp:inline distT="0" distB="0" distL="0" distR="0">
            <wp:extent cx="144779" cy="144779"/>
            <wp:effectExtent l="0" t="0" r="0" b="0"/>
            <wp:docPr id="87" name="image43.jpeg"/>
            <wp:cNvGraphicFramePr>
              <a:graphicFrameLocks noChangeAspect="1"/>
            </wp:cNvGraphicFramePr>
            <a:graphic>
              <a:graphicData uri="http://schemas.openxmlformats.org/drawingml/2006/picture">
                <pic:pic>
                  <pic:nvPicPr>
                    <pic:cNvPr id="88" name="image43.jpeg"/>
                    <pic:cNvPicPr/>
                  </pic:nvPicPr>
                  <pic:blipFill>
                    <a:blip r:embed="rId113" cstate="print"/>
                    <a:stretch>
                      <a:fillRect/>
                    </a:stretch>
                  </pic:blipFill>
                  <pic:spPr>
                    <a:xfrm>
                      <a:off x="0" y="0"/>
                      <a:ext cx="144779" cy="144779"/>
                    </a:xfrm>
                    <a:prstGeom prst="rect">
                      <a:avLst/>
                    </a:prstGeom>
                  </pic:spPr>
                </pic:pic>
              </a:graphicData>
            </a:graphic>
          </wp:inline>
        </w:drawing>
      </w:r>
      <w:r>
        <w:rPr>
          <w:position w:val="-5"/>
        </w:rPr>
      </w:r>
      <w:r>
        <w:rPr>
          <w:rFonts w:ascii="Times New Roman"/>
          <w:spacing w:val="80"/>
          <w:sz w:val="20"/>
        </w:rPr>
        <w:t> </w:t>
      </w:r>
      <w:r>
        <w:rPr>
          <w:rFonts w:ascii="Arial"/>
          <w:color w:val="232323"/>
          <w:w w:val="95"/>
          <w:sz w:val="17"/>
        </w:rPr>
        <w:t>Yes</w:t>
      </w:r>
    </w:p>
    <w:p>
      <w:pPr>
        <w:pStyle w:val="BodyText"/>
        <w:rPr>
          <w:rFonts w:ascii="Arial"/>
          <w:sz w:val="20"/>
        </w:rPr>
      </w:pPr>
    </w:p>
    <w:p>
      <w:pPr>
        <w:spacing w:before="0"/>
        <w:ind w:left="1756" w:right="0" w:firstLine="0"/>
        <w:jc w:val="left"/>
        <w:rPr>
          <w:rFonts w:ascii="Courier New"/>
          <w:sz w:val="21"/>
        </w:rPr>
      </w:pPr>
      <w:r>
        <w:rPr>
          <w:position w:val="-5"/>
        </w:rPr>
        <w:drawing>
          <wp:inline distT="0" distB="0" distL="0" distR="0">
            <wp:extent cx="144779" cy="143255"/>
            <wp:effectExtent l="0" t="0" r="0" b="0"/>
            <wp:docPr id="89" name="image44.jpeg"/>
            <wp:cNvGraphicFramePr>
              <a:graphicFrameLocks noChangeAspect="1"/>
            </wp:cNvGraphicFramePr>
            <a:graphic>
              <a:graphicData uri="http://schemas.openxmlformats.org/drawingml/2006/picture">
                <pic:pic>
                  <pic:nvPicPr>
                    <pic:cNvPr id="90" name="image44.jpeg"/>
                    <pic:cNvPicPr/>
                  </pic:nvPicPr>
                  <pic:blipFill>
                    <a:blip r:embed="rId114" cstate="print"/>
                    <a:stretch>
                      <a:fillRect/>
                    </a:stretch>
                  </pic:blipFill>
                  <pic:spPr>
                    <a:xfrm>
                      <a:off x="0" y="0"/>
                      <a:ext cx="144779" cy="143255"/>
                    </a:xfrm>
                    <a:prstGeom prst="rect">
                      <a:avLst/>
                    </a:prstGeom>
                  </pic:spPr>
                </pic:pic>
              </a:graphicData>
            </a:graphic>
          </wp:inline>
        </w:drawing>
      </w:r>
      <w:r>
        <w:rPr>
          <w:position w:val="-5"/>
        </w:rPr>
      </w:r>
      <w:r>
        <w:rPr>
          <w:rFonts w:ascii="Times New Roman"/>
          <w:spacing w:val="80"/>
          <w:sz w:val="20"/>
        </w:rPr>
        <w:t> </w:t>
      </w:r>
      <w:r>
        <w:rPr>
          <w:rFonts w:ascii="Courier New"/>
          <w:color w:val="232323"/>
          <w:sz w:val="21"/>
        </w:rPr>
        <w:t>No</w:t>
      </w:r>
    </w:p>
    <w:p>
      <w:pPr>
        <w:pStyle w:val="BodyText"/>
        <w:spacing w:before="6"/>
        <w:rPr>
          <w:rFonts w:ascii="Courier New"/>
          <w:sz w:val="21"/>
        </w:rPr>
      </w:pPr>
    </w:p>
    <w:p>
      <w:pPr>
        <w:spacing w:before="0"/>
        <w:ind w:left="0" w:right="38" w:firstLine="0"/>
        <w:jc w:val="right"/>
        <w:rPr>
          <w:rFonts w:ascii="Arial"/>
          <w:sz w:val="17"/>
        </w:rPr>
      </w:pPr>
      <w:r>
        <w:rPr/>
        <w:drawing>
          <wp:anchor distT="0" distB="0" distL="0" distR="0" allowOverlap="1" layoutInCell="1" locked="0" behindDoc="0" simplePos="0" relativeHeight="15801856">
            <wp:simplePos x="0" y="0"/>
            <wp:positionH relativeFrom="page">
              <wp:posOffset>1115567</wp:posOffset>
            </wp:positionH>
            <wp:positionV relativeFrom="paragraph">
              <wp:posOffset>-2459</wp:posOffset>
            </wp:positionV>
            <wp:extent cx="144779" cy="141731"/>
            <wp:effectExtent l="0" t="0" r="0" b="0"/>
            <wp:wrapNone/>
            <wp:docPr id="91" name="image45.jpeg"/>
            <wp:cNvGraphicFramePr>
              <a:graphicFrameLocks noChangeAspect="1"/>
            </wp:cNvGraphicFramePr>
            <a:graphic>
              <a:graphicData uri="http://schemas.openxmlformats.org/drawingml/2006/picture">
                <pic:pic>
                  <pic:nvPicPr>
                    <pic:cNvPr id="92" name="image45.jpeg"/>
                    <pic:cNvPicPr/>
                  </pic:nvPicPr>
                  <pic:blipFill>
                    <a:blip r:embed="rId115" cstate="print"/>
                    <a:stretch>
                      <a:fillRect/>
                    </a:stretch>
                  </pic:blipFill>
                  <pic:spPr>
                    <a:xfrm>
                      <a:off x="0" y="0"/>
                      <a:ext cx="144779" cy="141731"/>
                    </a:xfrm>
                    <a:prstGeom prst="rect">
                      <a:avLst/>
                    </a:prstGeom>
                  </pic:spPr>
                </pic:pic>
              </a:graphicData>
            </a:graphic>
          </wp:anchor>
        </w:drawing>
      </w:r>
      <w:r>
        <w:rPr>
          <w:rFonts w:ascii="Arial"/>
          <w:color w:val="232323"/>
          <w:spacing w:val="-4"/>
          <w:w w:val="105"/>
          <w:sz w:val="17"/>
        </w:rPr>
        <w:t>Maybe</w:t>
      </w:r>
    </w:p>
    <w:p>
      <w:pPr>
        <w:spacing w:before="93"/>
        <w:ind w:left="1769" w:right="0" w:firstLine="0"/>
        <w:jc w:val="left"/>
        <w:rPr>
          <w:rFonts w:ascii="Times New Roman"/>
          <w:sz w:val="18"/>
        </w:rPr>
      </w:pPr>
      <w:r>
        <w:rPr/>
        <w:br w:type="column"/>
      </w:r>
      <w:r>
        <w:rPr>
          <w:rFonts w:ascii="Times New Roman"/>
          <w:color w:val="232323"/>
          <w:spacing w:val="-5"/>
          <w:w w:val="105"/>
          <w:sz w:val="18"/>
        </w:rPr>
        <w:t>242</w:t>
      </w:r>
    </w:p>
    <w:p>
      <w:pPr>
        <w:pStyle w:val="BodyText"/>
        <w:spacing w:before="6"/>
        <w:rPr>
          <w:rFonts w:ascii="Times New Roman"/>
          <w:sz w:val="22"/>
        </w:rPr>
      </w:pPr>
    </w:p>
    <w:p>
      <w:pPr>
        <w:spacing w:before="0"/>
        <w:ind w:left="1766" w:right="0" w:firstLine="0"/>
        <w:jc w:val="left"/>
        <w:rPr>
          <w:rFonts w:ascii="Times New Roman"/>
          <w:sz w:val="18"/>
        </w:rPr>
      </w:pPr>
      <w:r>
        <w:rPr/>
        <w:drawing>
          <wp:anchor distT="0" distB="0" distL="0" distR="0" allowOverlap="1" layoutInCell="1" locked="0" behindDoc="0" simplePos="0" relativeHeight="15802368">
            <wp:simplePos x="0" y="0"/>
            <wp:positionH relativeFrom="page">
              <wp:posOffset>4488163</wp:posOffset>
            </wp:positionH>
            <wp:positionV relativeFrom="paragraph">
              <wp:posOffset>-594076</wp:posOffset>
            </wp:positionV>
            <wp:extent cx="1441723" cy="1417300"/>
            <wp:effectExtent l="0" t="0" r="0" b="0"/>
            <wp:wrapNone/>
            <wp:docPr id="93" name="image46.jpeg"/>
            <wp:cNvGraphicFramePr>
              <a:graphicFrameLocks noChangeAspect="1"/>
            </wp:cNvGraphicFramePr>
            <a:graphic>
              <a:graphicData uri="http://schemas.openxmlformats.org/drawingml/2006/picture">
                <pic:pic>
                  <pic:nvPicPr>
                    <pic:cNvPr id="94" name="image46.jpeg"/>
                    <pic:cNvPicPr/>
                  </pic:nvPicPr>
                  <pic:blipFill>
                    <a:blip r:embed="rId116" cstate="print"/>
                    <a:stretch>
                      <a:fillRect/>
                    </a:stretch>
                  </pic:blipFill>
                  <pic:spPr>
                    <a:xfrm>
                      <a:off x="0" y="0"/>
                      <a:ext cx="1441723" cy="1417300"/>
                    </a:xfrm>
                    <a:prstGeom prst="rect">
                      <a:avLst/>
                    </a:prstGeom>
                  </pic:spPr>
                </pic:pic>
              </a:graphicData>
            </a:graphic>
          </wp:anchor>
        </w:drawing>
      </w:r>
      <w:r>
        <w:rPr>
          <w:rFonts w:ascii="Times New Roman"/>
          <w:color w:val="232323"/>
          <w:spacing w:val="-5"/>
          <w:w w:val="110"/>
          <w:sz w:val="18"/>
        </w:rPr>
        <w:t>34</w:t>
      </w:r>
    </w:p>
    <w:p>
      <w:pPr>
        <w:pStyle w:val="BodyText"/>
        <w:spacing w:before="7"/>
        <w:rPr>
          <w:rFonts w:ascii="Times New Roman"/>
          <w:sz w:val="22"/>
        </w:rPr>
      </w:pPr>
    </w:p>
    <w:p>
      <w:pPr>
        <w:spacing w:before="1"/>
        <w:ind w:left="1756" w:right="0" w:firstLine="0"/>
        <w:jc w:val="left"/>
        <w:rPr>
          <w:rFonts w:ascii="Courier New"/>
          <w:sz w:val="20"/>
        </w:rPr>
      </w:pPr>
      <w:r>
        <w:rPr>
          <w:rFonts w:ascii="Courier New"/>
          <w:color w:val="232323"/>
          <w:spacing w:val="-5"/>
          <w:sz w:val="20"/>
        </w:rPr>
        <w:t>28</w:t>
      </w:r>
    </w:p>
    <w:p>
      <w:pPr>
        <w:spacing w:after="0"/>
        <w:jc w:val="left"/>
        <w:rPr>
          <w:rFonts w:ascii="Courier New"/>
          <w:sz w:val="20"/>
        </w:rPr>
        <w:sectPr>
          <w:type w:val="continuous"/>
          <w:pgSz w:w="11910" w:h="16840"/>
          <w:pgMar w:header="0" w:footer="158" w:top="740" w:bottom="280" w:left="0" w:right="0"/>
          <w:cols w:num="2" w:equalWidth="0">
            <w:col w:w="2732" w:space="474"/>
            <w:col w:w="8704"/>
          </w:cols>
        </w:sectPr>
      </w:pPr>
    </w:p>
    <w:p>
      <w:pPr>
        <w:pStyle w:val="BodyText"/>
        <w:rPr>
          <w:rFonts w:ascii="Courier New"/>
          <w:sz w:val="20"/>
        </w:rPr>
      </w:pPr>
    </w:p>
    <w:p>
      <w:pPr>
        <w:pStyle w:val="BodyText"/>
        <w:rPr>
          <w:rFonts w:ascii="Courier New"/>
          <w:sz w:val="20"/>
        </w:rPr>
      </w:pPr>
    </w:p>
    <w:p>
      <w:pPr>
        <w:pStyle w:val="BodyText"/>
        <w:rPr>
          <w:rFonts w:ascii="Courier New"/>
          <w:sz w:val="20"/>
        </w:rPr>
      </w:pPr>
    </w:p>
    <w:p>
      <w:pPr>
        <w:pStyle w:val="BodyText"/>
        <w:spacing w:before="7" w:after="1"/>
        <w:rPr>
          <w:rFonts w:ascii="Courier New"/>
          <w:sz w:val="20"/>
        </w:rPr>
      </w:pPr>
    </w:p>
    <w:p>
      <w:pPr>
        <w:pStyle w:val="BodyText"/>
        <w:spacing w:line="20" w:lineRule="exact"/>
        <w:ind w:left="1303"/>
        <w:rPr>
          <w:rFonts w:ascii="Courier New"/>
          <w:sz w:val="2"/>
        </w:rPr>
      </w:pPr>
      <w:r>
        <w:rPr>
          <w:rFonts w:ascii="Courier New"/>
          <w:sz w:val="2"/>
        </w:rPr>
        <w:pict>
          <v:group style="width:482.05pt;height:.85pt;mso-position-horizontal-relative:char;mso-position-vertical-relative:line" id="docshapegroup394" coordorigin="0,0" coordsize="9641,17">
            <v:rect style="position:absolute;left:0;top:0;width:9641;height:17" id="docshape395" filled="true" fillcolor="#e9e9e9" stroked="false">
              <v:fill type="solid"/>
            </v:rect>
          </v:group>
        </w:pict>
      </w:r>
      <w:r>
        <w:rPr>
          <w:rFonts w:ascii="Courier New"/>
          <w:sz w:val="2"/>
        </w:rPr>
      </w:r>
    </w:p>
    <w:p>
      <w:pPr>
        <w:spacing w:after="0" w:line="20" w:lineRule="exact"/>
        <w:rPr>
          <w:rFonts w:ascii="Courier New"/>
          <w:sz w:val="2"/>
        </w:rPr>
        <w:sectPr>
          <w:type w:val="continuous"/>
          <w:pgSz w:w="11910" w:h="16840"/>
          <w:pgMar w:header="0" w:footer="158" w:top="740" w:bottom="280" w:left="0" w:right="0"/>
        </w:sectPr>
      </w:pPr>
    </w:p>
    <w:p>
      <w:pPr>
        <w:pStyle w:val="ListParagraph"/>
        <w:numPr>
          <w:ilvl w:val="0"/>
          <w:numId w:val="31"/>
        </w:numPr>
        <w:tabs>
          <w:tab w:pos="1794" w:val="left" w:leader="none"/>
        </w:tabs>
        <w:spacing w:line="300" w:lineRule="auto" w:before="76" w:after="0"/>
        <w:ind w:left="1794" w:right="1225" w:hanging="300"/>
        <w:jc w:val="left"/>
        <w:rPr>
          <w:rFonts w:ascii="Arial"/>
          <w:color w:val="232323"/>
          <w:sz w:val="23"/>
        </w:rPr>
      </w:pPr>
      <w:r>
        <w:rPr>
          <w:rFonts w:ascii="Arial"/>
          <w:color w:val="232323"/>
          <w:spacing w:val="-2"/>
          <w:w w:val="105"/>
          <w:sz w:val="23"/>
        </w:rPr>
        <w:t>Have</w:t>
      </w:r>
      <w:r>
        <w:rPr>
          <w:rFonts w:ascii="Arial"/>
          <w:color w:val="232323"/>
          <w:spacing w:val="-15"/>
          <w:w w:val="105"/>
          <w:sz w:val="23"/>
        </w:rPr>
        <w:t> </w:t>
      </w:r>
      <w:r>
        <w:rPr>
          <w:rFonts w:ascii="Arial"/>
          <w:color w:val="232323"/>
          <w:spacing w:val="-2"/>
          <w:w w:val="105"/>
          <w:sz w:val="23"/>
        </w:rPr>
        <w:t>you</w:t>
      </w:r>
      <w:r>
        <w:rPr>
          <w:rFonts w:ascii="Arial"/>
          <w:color w:val="232323"/>
          <w:spacing w:val="-13"/>
          <w:w w:val="105"/>
          <w:sz w:val="23"/>
        </w:rPr>
        <w:t> </w:t>
      </w:r>
      <w:r>
        <w:rPr>
          <w:rFonts w:ascii="Arial"/>
          <w:color w:val="232323"/>
          <w:spacing w:val="-2"/>
          <w:w w:val="105"/>
          <w:sz w:val="23"/>
        </w:rPr>
        <w:t>ever</w:t>
      </w:r>
      <w:r>
        <w:rPr>
          <w:rFonts w:ascii="Arial"/>
          <w:color w:val="232323"/>
          <w:spacing w:val="-8"/>
          <w:w w:val="105"/>
          <w:sz w:val="23"/>
        </w:rPr>
        <w:t> </w:t>
      </w:r>
      <w:r>
        <w:rPr>
          <w:rFonts w:ascii="Arial"/>
          <w:color w:val="232323"/>
          <w:spacing w:val="-2"/>
          <w:w w:val="105"/>
          <w:sz w:val="23"/>
        </w:rPr>
        <w:t>needed</w:t>
      </w:r>
      <w:r>
        <w:rPr>
          <w:rFonts w:ascii="Arial"/>
          <w:color w:val="232323"/>
          <w:spacing w:val="-6"/>
          <w:w w:val="105"/>
          <w:sz w:val="23"/>
        </w:rPr>
        <w:t> </w:t>
      </w:r>
      <w:r>
        <w:rPr>
          <w:rFonts w:ascii="Arial"/>
          <w:color w:val="232323"/>
          <w:spacing w:val="-2"/>
          <w:w w:val="105"/>
          <w:sz w:val="23"/>
        </w:rPr>
        <w:t>to consult</w:t>
      </w:r>
      <w:r>
        <w:rPr>
          <w:rFonts w:ascii="Arial"/>
          <w:color w:val="232323"/>
          <w:spacing w:val="-7"/>
          <w:w w:val="105"/>
          <w:sz w:val="23"/>
        </w:rPr>
        <w:t> </w:t>
      </w:r>
      <w:r>
        <w:rPr>
          <w:rFonts w:ascii="Arial"/>
          <w:color w:val="232323"/>
          <w:spacing w:val="-2"/>
          <w:w w:val="105"/>
          <w:sz w:val="23"/>
        </w:rPr>
        <w:t>the</w:t>
      </w:r>
      <w:r>
        <w:rPr>
          <w:rFonts w:ascii="Arial"/>
          <w:color w:val="232323"/>
          <w:spacing w:val="-11"/>
          <w:w w:val="105"/>
          <w:sz w:val="23"/>
        </w:rPr>
        <w:t> </w:t>
      </w:r>
      <w:r>
        <w:rPr>
          <w:rFonts w:ascii="Arial"/>
          <w:color w:val="232323"/>
          <w:spacing w:val="-2"/>
          <w:w w:val="105"/>
          <w:sz w:val="23"/>
        </w:rPr>
        <w:t>NWSSP</w:t>
      </w:r>
      <w:r>
        <w:rPr>
          <w:rFonts w:ascii="Arial"/>
          <w:color w:val="232323"/>
          <w:spacing w:val="-7"/>
          <w:w w:val="105"/>
          <w:sz w:val="23"/>
        </w:rPr>
        <w:t> </w:t>
      </w:r>
      <w:r>
        <w:rPr>
          <w:rFonts w:ascii="Arial"/>
          <w:color w:val="232323"/>
          <w:spacing w:val="-2"/>
          <w:w w:val="105"/>
          <w:sz w:val="23"/>
        </w:rPr>
        <w:t>Counter</w:t>
      </w:r>
      <w:r>
        <w:rPr>
          <w:rFonts w:ascii="Arial"/>
          <w:color w:val="232323"/>
          <w:spacing w:val="-4"/>
          <w:w w:val="105"/>
          <w:sz w:val="23"/>
        </w:rPr>
        <w:t> </w:t>
      </w:r>
      <w:r>
        <w:rPr>
          <w:rFonts w:ascii="Arial"/>
          <w:color w:val="232323"/>
          <w:spacing w:val="-2"/>
          <w:w w:val="105"/>
          <w:sz w:val="23"/>
        </w:rPr>
        <w:t>Fraud,</w:t>
      </w:r>
      <w:r>
        <w:rPr>
          <w:rFonts w:ascii="Arial"/>
          <w:color w:val="232323"/>
          <w:spacing w:val="-8"/>
          <w:w w:val="105"/>
          <w:sz w:val="23"/>
        </w:rPr>
        <w:t> </w:t>
      </w:r>
      <w:r>
        <w:rPr>
          <w:rFonts w:ascii="Arial"/>
          <w:color w:val="232323"/>
          <w:spacing w:val="-2"/>
          <w:w w:val="105"/>
          <w:sz w:val="23"/>
        </w:rPr>
        <w:t>Bribery</w:t>
      </w:r>
      <w:r>
        <w:rPr>
          <w:rFonts w:ascii="Arial"/>
          <w:color w:val="232323"/>
          <w:spacing w:val="-5"/>
          <w:w w:val="105"/>
          <w:sz w:val="23"/>
        </w:rPr>
        <w:t> </w:t>
      </w:r>
      <w:r>
        <w:rPr>
          <w:rFonts w:ascii="Arial"/>
          <w:color w:val="232323"/>
          <w:spacing w:val="-2"/>
          <w:w w:val="105"/>
          <w:sz w:val="23"/>
        </w:rPr>
        <w:t>and</w:t>
      </w:r>
      <w:r>
        <w:rPr>
          <w:rFonts w:ascii="Arial"/>
          <w:color w:val="232323"/>
          <w:spacing w:val="-14"/>
          <w:w w:val="105"/>
          <w:sz w:val="23"/>
        </w:rPr>
        <w:t> </w:t>
      </w:r>
      <w:r>
        <w:rPr>
          <w:rFonts w:ascii="Arial"/>
          <w:color w:val="232323"/>
          <w:spacing w:val="-2"/>
          <w:w w:val="105"/>
          <w:sz w:val="23"/>
        </w:rPr>
        <w:t>Corruption Policy?</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spacing w:after="0"/>
        <w:rPr>
          <w:rFonts w:ascii="Arial"/>
          <w:sz w:val="20"/>
        </w:rPr>
        <w:sectPr>
          <w:footerReference w:type="default" r:id="rId117"/>
          <w:pgSz w:w="11910" w:h="16840"/>
          <w:pgMar w:footer="158" w:header="0" w:top="800" w:bottom="340" w:left="0" w:right="0"/>
        </w:sectPr>
      </w:pPr>
    </w:p>
    <w:p>
      <w:pPr>
        <w:pStyle w:val="BodyText"/>
        <w:spacing w:before="6"/>
        <w:rPr>
          <w:rFonts w:ascii="Arial"/>
          <w:sz w:val="21"/>
        </w:rPr>
      </w:pPr>
    </w:p>
    <w:p>
      <w:pPr>
        <w:spacing w:line="489" w:lineRule="auto" w:before="1"/>
        <w:ind w:left="2154" w:right="38" w:hanging="399"/>
        <w:jc w:val="right"/>
        <w:rPr>
          <w:rFonts w:ascii="Arial"/>
          <w:sz w:val="17"/>
        </w:rPr>
      </w:pPr>
      <w:r>
        <w:rPr/>
        <w:drawing>
          <wp:anchor distT="0" distB="0" distL="0" distR="0" allowOverlap="1" layoutInCell="1" locked="0" behindDoc="0" simplePos="0" relativeHeight="15804416">
            <wp:simplePos x="0" y="0"/>
            <wp:positionH relativeFrom="page">
              <wp:posOffset>1115567</wp:posOffset>
            </wp:positionH>
            <wp:positionV relativeFrom="paragraph">
              <wp:posOffset>299437</wp:posOffset>
            </wp:positionV>
            <wp:extent cx="144779" cy="143255"/>
            <wp:effectExtent l="0" t="0" r="0" b="0"/>
            <wp:wrapNone/>
            <wp:docPr id="95" name="image47.jpeg"/>
            <wp:cNvGraphicFramePr>
              <a:graphicFrameLocks noChangeAspect="1"/>
            </wp:cNvGraphicFramePr>
            <a:graphic>
              <a:graphicData uri="http://schemas.openxmlformats.org/drawingml/2006/picture">
                <pic:pic>
                  <pic:nvPicPr>
                    <pic:cNvPr id="96" name="image47.jpeg"/>
                    <pic:cNvPicPr/>
                  </pic:nvPicPr>
                  <pic:blipFill>
                    <a:blip r:embed="rId118" cstate="print"/>
                    <a:stretch>
                      <a:fillRect/>
                    </a:stretch>
                  </pic:blipFill>
                  <pic:spPr>
                    <a:xfrm>
                      <a:off x="0" y="0"/>
                      <a:ext cx="144779" cy="143255"/>
                    </a:xfrm>
                    <a:prstGeom prst="rect">
                      <a:avLst/>
                    </a:prstGeom>
                  </pic:spPr>
                </pic:pic>
              </a:graphicData>
            </a:graphic>
          </wp:anchor>
        </w:drawing>
      </w:r>
      <w:r>
        <w:rPr>
          <w:position w:val="-6"/>
        </w:rPr>
        <w:drawing>
          <wp:inline distT="0" distB="0" distL="0" distR="0">
            <wp:extent cx="144779" cy="135635"/>
            <wp:effectExtent l="0" t="0" r="0" b="0"/>
            <wp:docPr id="97" name="image48.jpeg"/>
            <wp:cNvGraphicFramePr>
              <a:graphicFrameLocks noChangeAspect="1"/>
            </wp:cNvGraphicFramePr>
            <a:graphic>
              <a:graphicData uri="http://schemas.openxmlformats.org/drawingml/2006/picture">
                <pic:pic>
                  <pic:nvPicPr>
                    <pic:cNvPr id="98" name="image48.jpeg"/>
                    <pic:cNvPicPr/>
                  </pic:nvPicPr>
                  <pic:blipFill>
                    <a:blip r:embed="rId119" cstate="print"/>
                    <a:stretch>
                      <a:fillRect/>
                    </a:stretch>
                  </pic:blipFill>
                  <pic:spPr>
                    <a:xfrm>
                      <a:off x="0" y="0"/>
                      <a:ext cx="144779" cy="135635"/>
                    </a:xfrm>
                    <a:prstGeom prst="rect">
                      <a:avLst/>
                    </a:prstGeom>
                  </pic:spPr>
                </pic:pic>
              </a:graphicData>
            </a:graphic>
          </wp:inline>
        </w:drawing>
      </w:r>
      <w:r>
        <w:rPr>
          <w:position w:val="-6"/>
        </w:rPr>
      </w:r>
      <w:r>
        <w:rPr>
          <w:rFonts w:ascii="Times New Roman"/>
          <w:spacing w:val="59"/>
          <w:sz w:val="20"/>
        </w:rPr>
        <w:t> </w:t>
      </w:r>
      <w:r>
        <w:rPr>
          <w:rFonts w:ascii="Arial"/>
          <w:color w:val="232323"/>
          <w:sz w:val="17"/>
        </w:rPr>
        <w:t>Yes </w:t>
      </w:r>
      <w:r>
        <w:rPr>
          <w:rFonts w:ascii="Arial"/>
          <w:color w:val="232323"/>
          <w:spacing w:val="-5"/>
          <w:sz w:val="17"/>
        </w:rPr>
        <w:t>No</w:t>
      </w:r>
    </w:p>
    <w:p>
      <w:pPr>
        <w:spacing w:line="240" w:lineRule="auto" w:before="6"/>
        <w:rPr>
          <w:rFonts w:ascii="Arial"/>
          <w:sz w:val="21"/>
        </w:rPr>
      </w:pPr>
      <w:r>
        <w:rPr/>
        <w:br w:type="column"/>
      </w:r>
      <w:r>
        <w:rPr>
          <w:rFonts w:ascii="Arial"/>
          <w:sz w:val="21"/>
        </w:rPr>
      </w:r>
    </w:p>
    <w:p>
      <w:pPr>
        <w:spacing w:before="1"/>
        <w:ind w:left="1768" w:right="0" w:firstLine="0"/>
        <w:jc w:val="left"/>
        <w:rPr>
          <w:rFonts w:ascii="Arial"/>
          <w:sz w:val="17"/>
        </w:rPr>
      </w:pPr>
      <w:r>
        <w:rPr/>
        <w:drawing>
          <wp:anchor distT="0" distB="0" distL="0" distR="0" allowOverlap="1" layoutInCell="1" locked="0" behindDoc="0" simplePos="0" relativeHeight="15804928">
            <wp:simplePos x="0" y="0"/>
            <wp:positionH relativeFrom="page">
              <wp:posOffset>4488163</wp:posOffset>
            </wp:positionH>
            <wp:positionV relativeFrom="paragraph">
              <wp:posOffset>-445798</wp:posOffset>
            </wp:positionV>
            <wp:extent cx="1441723" cy="1415778"/>
            <wp:effectExtent l="0" t="0" r="0" b="0"/>
            <wp:wrapNone/>
            <wp:docPr id="99" name="image49.jpeg"/>
            <wp:cNvGraphicFramePr>
              <a:graphicFrameLocks noChangeAspect="1"/>
            </wp:cNvGraphicFramePr>
            <a:graphic>
              <a:graphicData uri="http://schemas.openxmlformats.org/drawingml/2006/picture">
                <pic:pic>
                  <pic:nvPicPr>
                    <pic:cNvPr id="100" name="image49.jpeg"/>
                    <pic:cNvPicPr/>
                  </pic:nvPicPr>
                  <pic:blipFill>
                    <a:blip r:embed="rId120" cstate="print"/>
                    <a:stretch>
                      <a:fillRect/>
                    </a:stretch>
                  </pic:blipFill>
                  <pic:spPr>
                    <a:xfrm>
                      <a:off x="0" y="0"/>
                      <a:ext cx="1441723" cy="1415778"/>
                    </a:xfrm>
                    <a:prstGeom prst="rect">
                      <a:avLst/>
                    </a:prstGeom>
                  </pic:spPr>
                </pic:pic>
              </a:graphicData>
            </a:graphic>
          </wp:anchor>
        </w:drawing>
      </w:r>
      <w:r>
        <w:rPr>
          <w:rFonts w:ascii="Arial"/>
          <w:color w:val="232323"/>
          <w:spacing w:val="-5"/>
          <w:sz w:val="17"/>
        </w:rPr>
        <w:t>29</w:t>
      </w:r>
    </w:p>
    <w:p>
      <w:pPr>
        <w:pStyle w:val="BodyText"/>
        <w:spacing w:before="10"/>
        <w:rPr>
          <w:rFonts w:ascii="Arial"/>
          <w:sz w:val="22"/>
        </w:rPr>
      </w:pPr>
    </w:p>
    <w:p>
      <w:pPr>
        <w:spacing w:before="0"/>
        <w:ind w:left="1756" w:right="0" w:firstLine="0"/>
        <w:jc w:val="left"/>
        <w:rPr>
          <w:rFonts w:ascii="Courier New"/>
          <w:sz w:val="20"/>
        </w:rPr>
      </w:pPr>
      <w:r>
        <w:rPr>
          <w:rFonts w:ascii="Courier New"/>
          <w:color w:val="232323"/>
          <w:spacing w:val="-5"/>
          <w:w w:val="95"/>
          <w:sz w:val="20"/>
        </w:rPr>
        <w:t>275</w:t>
      </w:r>
    </w:p>
    <w:p>
      <w:pPr>
        <w:spacing w:after="0"/>
        <w:jc w:val="left"/>
        <w:rPr>
          <w:rFonts w:ascii="Courier New"/>
          <w:sz w:val="20"/>
        </w:rPr>
        <w:sectPr>
          <w:type w:val="continuous"/>
          <w:pgSz w:w="11910" w:h="16840"/>
          <w:pgMar w:header="0" w:footer="158" w:top="740" w:bottom="280" w:left="0" w:right="0"/>
          <w:cols w:num="2" w:equalWidth="0">
            <w:col w:w="2442" w:space="764"/>
            <w:col w:w="8704"/>
          </w:cols>
        </w:sectPr>
      </w:pPr>
    </w:p>
    <w:p>
      <w:pPr>
        <w:pStyle w:val="BodyText"/>
        <w:rPr>
          <w:rFonts w:ascii="Courier New"/>
          <w:sz w:val="20"/>
        </w:rPr>
      </w:pPr>
    </w:p>
    <w:p>
      <w:pPr>
        <w:pStyle w:val="BodyText"/>
        <w:rPr>
          <w:rFonts w:ascii="Courier New"/>
          <w:sz w:val="20"/>
        </w:rPr>
      </w:pPr>
    </w:p>
    <w:p>
      <w:pPr>
        <w:pStyle w:val="BodyText"/>
        <w:rPr>
          <w:rFonts w:ascii="Courier New"/>
          <w:sz w:val="20"/>
        </w:rPr>
      </w:pPr>
    </w:p>
    <w:p>
      <w:pPr>
        <w:pStyle w:val="BodyText"/>
        <w:spacing w:before="9"/>
        <w:rPr>
          <w:rFonts w:ascii="Courier New"/>
          <w:sz w:val="28"/>
        </w:rPr>
      </w:pPr>
    </w:p>
    <w:p>
      <w:pPr>
        <w:pStyle w:val="BodyText"/>
        <w:spacing w:line="20" w:lineRule="exact"/>
        <w:ind w:left="1303"/>
        <w:rPr>
          <w:rFonts w:ascii="Courier New"/>
          <w:sz w:val="2"/>
        </w:rPr>
      </w:pPr>
      <w:r>
        <w:rPr>
          <w:rFonts w:ascii="Courier New"/>
          <w:sz w:val="2"/>
        </w:rPr>
        <w:pict>
          <v:group style="width:482.05pt;height:.85pt;mso-position-horizontal-relative:char;mso-position-vertical-relative:line" id="docshapegroup398" coordorigin="0,0" coordsize="9641,17">
            <v:rect style="position:absolute;left:0;top:0;width:9641;height:17" id="docshape399" filled="true" fillcolor="#e9e9e9" stroked="false">
              <v:fill type="solid"/>
            </v:rect>
          </v:group>
        </w:pict>
      </w:r>
      <w:r>
        <w:rPr>
          <w:rFonts w:ascii="Courier New"/>
          <w:sz w:val="2"/>
        </w:rPr>
      </w:r>
    </w:p>
    <w:p>
      <w:pPr>
        <w:pStyle w:val="BodyText"/>
        <w:spacing w:before="10"/>
        <w:rPr>
          <w:rFonts w:ascii="Courier New"/>
          <w:sz w:val="18"/>
        </w:rPr>
      </w:pPr>
    </w:p>
    <w:p>
      <w:pPr>
        <w:pStyle w:val="ListParagraph"/>
        <w:numPr>
          <w:ilvl w:val="0"/>
          <w:numId w:val="31"/>
        </w:numPr>
        <w:tabs>
          <w:tab w:pos="1791" w:val="left" w:leader="none"/>
        </w:tabs>
        <w:spacing w:line="295" w:lineRule="auto" w:before="90" w:after="0"/>
        <w:ind w:left="1789" w:right="1175" w:hanging="303"/>
        <w:jc w:val="left"/>
        <w:rPr>
          <w:rFonts w:ascii="Times New Roman"/>
          <w:color w:val="232323"/>
          <w:sz w:val="24"/>
        </w:rPr>
      </w:pPr>
      <w:r>
        <w:rPr/>
        <w:drawing>
          <wp:anchor distT="0" distB="0" distL="0" distR="0" allowOverlap="1" layoutInCell="1" locked="0" behindDoc="0" simplePos="0" relativeHeight="15805440">
            <wp:simplePos x="0" y="0"/>
            <wp:positionH relativeFrom="page">
              <wp:posOffset>4488163</wp:posOffset>
            </wp:positionH>
            <wp:positionV relativeFrom="paragraph">
              <wp:posOffset>779398</wp:posOffset>
            </wp:positionV>
            <wp:extent cx="1441723" cy="1417293"/>
            <wp:effectExtent l="0" t="0" r="0" b="0"/>
            <wp:wrapNone/>
            <wp:docPr id="101" name="image50.jpeg"/>
            <wp:cNvGraphicFramePr>
              <a:graphicFrameLocks noChangeAspect="1"/>
            </wp:cNvGraphicFramePr>
            <a:graphic>
              <a:graphicData uri="http://schemas.openxmlformats.org/drawingml/2006/picture">
                <pic:pic>
                  <pic:nvPicPr>
                    <pic:cNvPr id="102" name="image50.jpeg"/>
                    <pic:cNvPicPr/>
                  </pic:nvPicPr>
                  <pic:blipFill>
                    <a:blip r:embed="rId121" cstate="print"/>
                    <a:stretch>
                      <a:fillRect/>
                    </a:stretch>
                  </pic:blipFill>
                  <pic:spPr>
                    <a:xfrm>
                      <a:off x="0" y="0"/>
                      <a:ext cx="1441723" cy="1417293"/>
                    </a:xfrm>
                    <a:prstGeom prst="rect">
                      <a:avLst/>
                    </a:prstGeom>
                  </pic:spPr>
                </pic:pic>
              </a:graphicData>
            </a:graphic>
          </wp:anchor>
        </w:drawing>
      </w:r>
      <w:r>
        <w:rPr>
          <w:rFonts w:ascii="Arial"/>
          <w:color w:val="232323"/>
          <w:w w:val="105"/>
          <w:sz w:val="23"/>
        </w:rPr>
        <w:t>If</w:t>
      </w:r>
      <w:r>
        <w:rPr>
          <w:rFonts w:ascii="Arial"/>
          <w:color w:val="232323"/>
          <w:spacing w:val="-8"/>
          <w:w w:val="105"/>
          <w:sz w:val="23"/>
        </w:rPr>
        <w:t> </w:t>
      </w:r>
      <w:r>
        <w:rPr>
          <w:rFonts w:ascii="Arial"/>
          <w:color w:val="232323"/>
          <w:w w:val="105"/>
          <w:sz w:val="23"/>
        </w:rPr>
        <w:t>you</w:t>
      </w:r>
      <w:r>
        <w:rPr>
          <w:rFonts w:ascii="Arial"/>
          <w:color w:val="232323"/>
          <w:spacing w:val="-4"/>
          <w:w w:val="105"/>
          <w:sz w:val="23"/>
        </w:rPr>
        <w:t> </w:t>
      </w:r>
      <w:r>
        <w:rPr>
          <w:rFonts w:ascii="Arial"/>
          <w:color w:val="232323"/>
          <w:w w:val="105"/>
          <w:sz w:val="23"/>
        </w:rPr>
        <w:t>suspect a</w:t>
      </w:r>
      <w:r>
        <w:rPr>
          <w:rFonts w:ascii="Arial"/>
          <w:color w:val="232323"/>
          <w:spacing w:val="-5"/>
          <w:w w:val="105"/>
          <w:sz w:val="23"/>
        </w:rPr>
        <w:t> </w:t>
      </w:r>
      <w:r>
        <w:rPr>
          <w:rFonts w:ascii="Arial"/>
          <w:color w:val="232323"/>
          <w:w w:val="105"/>
          <w:sz w:val="23"/>
        </w:rPr>
        <w:t>concern of</w:t>
      </w:r>
      <w:r>
        <w:rPr>
          <w:rFonts w:ascii="Arial"/>
          <w:color w:val="232323"/>
          <w:spacing w:val="-4"/>
          <w:w w:val="105"/>
          <w:sz w:val="23"/>
        </w:rPr>
        <w:t> </w:t>
      </w:r>
      <w:r>
        <w:rPr>
          <w:rFonts w:ascii="Arial"/>
          <w:color w:val="232323"/>
          <w:w w:val="105"/>
          <w:sz w:val="23"/>
        </w:rPr>
        <w:t>fraud,</w:t>
      </w:r>
      <w:r>
        <w:rPr>
          <w:rFonts w:ascii="Arial"/>
          <w:color w:val="232323"/>
          <w:spacing w:val="-3"/>
          <w:w w:val="105"/>
          <w:sz w:val="23"/>
        </w:rPr>
        <w:t> </w:t>
      </w:r>
      <w:r>
        <w:rPr>
          <w:rFonts w:ascii="Arial"/>
          <w:color w:val="232323"/>
          <w:w w:val="105"/>
          <w:sz w:val="23"/>
        </w:rPr>
        <w:t>bribery</w:t>
      </w:r>
      <w:r>
        <w:rPr>
          <w:rFonts w:ascii="Arial"/>
          <w:color w:val="232323"/>
          <w:spacing w:val="-1"/>
          <w:w w:val="105"/>
          <w:sz w:val="23"/>
        </w:rPr>
        <w:t> </w:t>
      </w:r>
      <w:r>
        <w:rPr>
          <w:rFonts w:ascii="Arial"/>
          <w:color w:val="232323"/>
          <w:w w:val="105"/>
          <w:sz w:val="23"/>
        </w:rPr>
        <w:t>or</w:t>
      </w:r>
      <w:r>
        <w:rPr>
          <w:rFonts w:ascii="Arial"/>
          <w:color w:val="232323"/>
          <w:spacing w:val="-2"/>
          <w:w w:val="105"/>
          <w:sz w:val="23"/>
        </w:rPr>
        <w:t> </w:t>
      </w:r>
      <w:r>
        <w:rPr>
          <w:rFonts w:ascii="Arial"/>
          <w:color w:val="232323"/>
          <w:w w:val="105"/>
          <w:sz w:val="23"/>
        </w:rPr>
        <w:t>corruption,</w:t>
      </w:r>
      <w:r>
        <w:rPr>
          <w:rFonts w:ascii="Arial"/>
          <w:color w:val="232323"/>
          <w:spacing w:val="-3"/>
          <w:w w:val="105"/>
          <w:sz w:val="23"/>
        </w:rPr>
        <w:t> </w:t>
      </w:r>
      <w:r>
        <w:rPr>
          <w:rFonts w:ascii="Arial"/>
          <w:color w:val="232323"/>
          <w:w w:val="105"/>
          <w:sz w:val="23"/>
        </w:rPr>
        <w:t>then</w:t>
      </w:r>
      <w:r>
        <w:rPr>
          <w:rFonts w:ascii="Arial"/>
          <w:color w:val="232323"/>
          <w:spacing w:val="-5"/>
          <w:w w:val="105"/>
          <w:sz w:val="23"/>
        </w:rPr>
        <w:t> </w:t>
      </w:r>
      <w:r>
        <w:rPr>
          <w:rFonts w:ascii="Arial"/>
          <w:color w:val="232323"/>
          <w:w w:val="105"/>
          <w:sz w:val="23"/>
        </w:rPr>
        <w:t>what action should</w:t>
      </w:r>
      <w:r>
        <w:rPr>
          <w:rFonts w:ascii="Arial"/>
          <w:color w:val="232323"/>
          <w:spacing w:val="-5"/>
          <w:w w:val="105"/>
          <w:sz w:val="23"/>
        </w:rPr>
        <w:t> </w:t>
      </w:r>
      <w:r>
        <w:rPr>
          <w:rFonts w:ascii="Arial"/>
          <w:color w:val="232323"/>
          <w:w w:val="105"/>
          <w:sz w:val="23"/>
        </w:rPr>
        <w:t>you </w:t>
      </w:r>
      <w:r>
        <w:rPr>
          <w:rFonts w:ascii="Arial"/>
          <w:color w:val="232323"/>
          <w:spacing w:val="-2"/>
          <w:w w:val="105"/>
          <w:sz w:val="23"/>
        </w:rPr>
        <w:t>take?</w:t>
      </w:r>
    </w:p>
    <w:p>
      <w:pPr>
        <w:pStyle w:val="BodyText"/>
        <w:rPr>
          <w:rFonts w:ascii="Arial"/>
          <w:sz w:val="26"/>
        </w:rPr>
      </w:pPr>
    </w:p>
    <w:p>
      <w:pPr>
        <w:pStyle w:val="BodyText"/>
        <w:rPr>
          <w:rFonts w:ascii="Arial"/>
          <w:sz w:val="26"/>
        </w:rPr>
      </w:pPr>
    </w:p>
    <w:p>
      <w:pPr>
        <w:pStyle w:val="BodyText"/>
        <w:spacing w:before="4"/>
        <w:rPr>
          <w:rFonts w:ascii="Arial"/>
          <w:sz w:val="30"/>
        </w:rPr>
      </w:pPr>
    </w:p>
    <w:p>
      <w:pPr>
        <w:spacing w:line="489" w:lineRule="auto" w:before="0"/>
        <w:ind w:left="1756" w:right="6640" w:firstLine="0"/>
        <w:jc w:val="left"/>
        <w:rPr>
          <w:rFonts w:ascii="Arial"/>
          <w:sz w:val="17"/>
        </w:rPr>
      </w:pPr>
      <w:r>
        <w:rPr>
          <w:position w:val="-6"/>
        </w:rPr>
        <w:drawing>
          <wp:inline distT="0" distB="0" distL="0" distR="0">
            <wp:extent cx="144779" cy="144779"/>
            <wp:effectExtent l="0" t="0" r="0" b="0"/>
            <wp:docPr id="103" name="image43.jpeg"/>
            <wp:cNvGraphicFramePr>
              <a:graphicFrameLocks noChangeAspect="1"/>
            </wp:cNvGraphicFramePr>
            <a:graphic>
              <a:graphicData uri="http://schemas.openxmlformats.org/drawingml/2006/picture">
                <pic:pic>
                  <pic:nvPicPr>
                    <pic:cNvPr id="104" name="image43.jpeg"/>
                    <pic:cNvPicPr/>
                  </pic:nvPicPr>
                  <pic:blipFill>
                    <a:blip r:embed="rId113" cstate="print"/>
                    <a:stretch>
                      <a:fillRect/>
                    </a:stretch>
                  </pic:blipFill>
                  <pic:spPr>
                    <a:xfrm>
                      <a:off x="0" y="0"/>
                      <a:ext cx="144779" cy="144779"/>
                    </a:xfrm>
                    <a:prstGeom prst="rect">
                      <a:avLst/>
                    </a:prstGeom>
                  </pic:spPr>
                </pic:pic>
              </a:graphicData>
            </a:graphic>
          </wp:inline>
        </w:drawing>
      </w:r>
      <w:r>
        <w:rPr>
          <w:position w:val="-6"/>
        </w:rPr>
      </w:r>
      <w:r>
        <w:rPr>
          <w:rFonts w:ascii="Times New Roman"/>
          <w:spacing w:val="40"/>
          <w:sz w:val="20"/>
        </w:rPr>
        <w:t>  </w:t>
      </w:r>
      <w:r>
        <w:rPr>
          <w:rFonts w:ascii="Arial"/>
          <w:color w:val="232323"/>
          <w:sz w:val="17"/>
        </w:rPr>
        <w:t>Gather</w:t>
      </w:r>
      <w:r>
        <w:rPr>
          <w:rFonts w:ascii="Arial"/>
          <w:color w:val="232323"/>
          <w:spacing w:val="34"/>
          <w:sz w:val="17"/>
        </w:rPr>
        <w:t> </w:t>
      </w:r>
      <w:r>
        <w:rPr>
          <w:rFonts w:ascii="Arial"/>
          <w:color w:val="232323"/>
          <w:sz w:val="17"/>
        </w:rPr>
        <w:t>evidence</w:t>
      </w:r>
      <w:r>
        <w:rPr>
          <w:rFonts w:ascii="Arial"/>
          <w:color w:val="232323"/>
          <w:spacing w:val="34"/>
          <w:sz w:val="17"/>
        </w:rPr>
        <w:t> </w:t>
      </w:r>
      <w:r>
        <w:rPr>
          <w:rFonts w:ascii="Arial"/>
          <w:color w:val="232323"/>
          <w:sz w:val="17"/>
        </w:rPr>
        <w:t>yourself</w:t>
      </w:r>
      <w:r>
        <w:rPr>
          <w:rFonts w:ascii="Arial"/>
          <w:color w:val="232323"/>
          <w:spacing w:val="35"/>
          <w:sz w:val="17"/>
        </w:rPr>
        <w:t> </w:t>
      </w:r>
      <w:r>
        <w:rPr>
          <w:rFonts w:ascii="Arial"/>
          <w:color w:val="232323"/>
          <w:sz w:val="17"/>
        </w:rPr>
        <w:t>and</w:t>
      </w:r>
      <w:r>
        <w:rPr>
          <w:rFonts w:ascii="Arial"/>
          <w:color w:val="232323"/>
          <w:spacing w:val="24"/>
          <w:sz w:val="17"/>
        </w:rPr>
        <w:t> </w:t>
      </w:r>
      <w:r>
        <w:rPr>
          <w:rFonts w:ascii="Arial"/>
          <w:color w:val="232323"/>
          <w:sz w:val="17"/>
        </w:rPr>
        <w:t>ta...</w:t>
      </w:r>
      <w:r>
        <w:rPr>
          <w:rFonts w:ascii="Arial"/>
          <w:color w:val="232323"/>
          <w:spacing w:val="80"/>
          <w:w w:val="150"/>
          <w:sz w:val="17"/>
        </w:rPr>
        <w:t> </w:t>
      </w:r>
      <w:r>
        <w:rPr>
          <w:rFonts w:ascii="Arial"/>
          <w:color w:val="232323"/>
          <w:sz w:val="17"/>
        </w:rPr>
        <w:t>0 </w:t>
      </w:r>
      <w:r>
        <w:rPr>
          <w:rFonts w:ascii="Arial"/>
          <w:color w:val="232323"/>
          <w:position w:val="-6"/>
          <w:sz w:val="17"/>
        </w:rPr>
        <w:drawing>
          <wp:inline distT="0" distB="0" distL="0" distR="0">
            <wp:extent cx="144779" cy="144779"/>
            <wp:effectExtent l="0" t="0" r="0" b="0"/>
            <wp:docPr id="105" name="image51.jpeg"/>
            <wp:cNvGraphicFramePr>
              <a:graphicFrameLocks noChangeAspect="1"/>
            </wp:cNvGraphicFramePr>
            <a:graphic>
              <a:graphicData uri="http://schemas.openxmlformats.org/drawingml/2006/picture">
                <pic:pic>
                  <pic:nvPicPr>
                    <pic:cNvPr id="106" name="image51.jpeg"/>
                    <pic:cNvPicPr/>
                  </pic:nvPicPr>
                  <pic:blipFill>
                    <a:blip r:embed="rId122" cstate="print"/>
                    <a:stretch>
                      <a:fillRect/>
                    </a:stretch>
                  </pic:blipFill>
                  <pic:spPr>
                    <a:xfrm>
                      <a:off x="0" y="0"/>
                      <a:ext cx="144779" cy="144779"/>
                    </a:xfrm>
                    <a:prstGeom prst="rect">
                      <a:avLst/>
                    </a:prstGeom>
                  </pic:spPr>
                </pic:pic>
              </a:graphicData>
            </a:graphic>
          </wp:inline>
        </w:drawing>
      </w:r>
      <w:r>
        <w:rPr>
          <w:rFonts w:ascii="Arial"/>
          <w:color w:val="232323"/>
          <w:position w:val="-6"/>
          <w:sz w:val="17"/>
        </w:rPr>
      </w:r>
      <w:r>
        <w:rPr>
          <w:rFonts w:ascii="Times New Roman"/>
          <w:color w:val="232323"/>
          <w:spacing w:val="80"/>
          <w:sz w:val="17"/>
        </w:rPr>
        <w:t> </w:t>
      </w:r>
      <w:r>
        <w:rPr>
          <w:rFonts w:ascii="Arial"/>
          <w:color w:val="232323"/>
          <w:sz w:val="17"/>
        </w:rPr>
        <w:t>Report to</w:t>
      </w:r>
      <w:r>
        <w:rPr>
          <w:rFonts w:ascii="Arial"/>
          <w:color w:val="232323"/>
          <w:spacing w:val="34"/>
          <w:sz w:val="17"/>
        </w:rPr>
        <w:t> </w:t>
      </w:r>
      <w:r>
        <w:rPr>
          <w:rFonts w:ascii="Arial"/>
          <w:color w:val="232323"/>
          <w:sz w:val="17"/>
        </w:rPr>
        <w:t>line manager to consi...</w:t>
      </w:r>
      <w:r>
        <w:rPr>
          <w:rFonts w:ascii="Arial"/>
          <w:color w:val="232323"/>
          <w:spacing w:val="80"/>
          <w:sz w:val="17"/>
        </w:rPr>
        <w:t> </w:t>
      </w:r>
      <w:r>
        <w:rPr>
          <w:rFonts w:ascii="Arial"/>
          <w:color w:val="232323"/>
          <w:sz w:val="17"/>
        </w:rPr>
        <w:t>110 </w:t>
      </w:r>
      <w:r>
        <w:rPr>
          <w:rFonts w:ascii="Arial"/>
          <w:color w:val="232323"/>
          <w:spacing w:val="-1"/>
          <w:position w:val="-6"/>
          <w:sz w:val="17"/>
        </w:rPr>
        <w:drawing>
          <wp:inline distT="0" distB="0" distL="0" distR="0">
            <wp:extent cx="144779" cy="144779"/>
            <wp:effectExtent l="0" t="0" r="0" b="0"/>
            <wp:docPr id="107" name="image52.jpeg"/>
            <wp:cNvGraphicFramePr>
              <a:graphicFrameLocks noChangeAspect="1"/>
            </wp:cNvGraphicFramePr>
            <a:graphic>
              <a:graphicData uri="http://schemas.openxmlformats.org/drawingml/2006/picture">
                <pic:pic>
                  <pic:nvPicPr>
                    <pic:cNvPr id="108" name="image52.jpeg"/>
                    <pic:cNvPicPr/>
                  </pic:nvPicPr>
                  <pic:blipFill>
                    <a:blip r:embed="rId123" cstate="print"/>
                    <a:stretch>
                      <a:fillRect/>
                    </a:stretch>
                  </pic:blipFill>
                  <pic:spPr>
                    <a:xfrm>
                      <a:off x="0" y="0"/>
                      <a:ext cx="144779" cy="144779"/>
                    </a:xfrm>
                    <a:prstGeom prst="rect">
                      <a:avLst/>
                    </a:prstGeom>
                  </pic:spPr>
                </pic:pic>
              </a:graphicData>
            </a:graphic>
          </wp:inline>
        </w:drawing>
      </w:r>
      <w:r>
        <w:rPr>
          <w:rFonts w:ascii="Arial"/>
          <w:color w:val="232323"/>
          <w:spacing w:val="-1"/>
          <w:position w:val="-6"/>
          <w:sz w:val="17"/>
        </w:rPr>
      </w:r>
      <w:r>
        <w:rPr>
          <w:rFonts w:ascii="Times New Roman"/>
          <w:color w:val="232323"/>
          <w:spacing w:val="80"/>
          <w:w w:val="150"/>
          <w:sz w:val="17"/>
        </w:rPr>
        <w:t> </w:t>
      </w:r>
      <w:r>
        <w:rPr>
          <w:rFonts w:ascii="Arial"/>
          <w:color w:val="232323"/>
          <w:sz w:val="17"/>
        </w:rPr>
        <w:t>Report to</w:t>
      </w:r>
      <w:r>
        <w:rPr>
          <w:rFonts w:ascii="Arial"/>
          <w:color w:val="232323"/>
          <w:spacing w:val="20"/>
          <w:sz w:val="17"/>
        </w:rPr>
        <w:t> </w:t>
      </w:r>
      <w:r>
        <w:rPr>
          <w:rFonts w:ascii="Arial"/>
          <w:color w:val="232323"/>
          <w:sz w:val="17"/>
        </w:rPr>
        <w:t>the</w:t>
      </w:r>
      <w:r>
        <w:rPr>
          <w:rFonts w:ascii="Arial"/>
          <w:color w:val="232323"/>
          <w:spacing w:val="-1"/>
          <w:sz w:val="17"/>
        </w:rPr>
        <w:t> </w:t>
      </w:r>
      <w:r>
        <w:rPr>
          <w:rFonts w:ascii="Arial"/>
          <w:color w:val="232323"/>
          <w:sz w:val="17"/>
        </w:rPr>
        <w:t>LCFS</w:t>
      </w:r>
      <w:r>
        <w:rPr>
          <w:rFonts w:ascii="Arial"/>
          <w:color w:val="232323"/>
          <w:spacing w:val="5"/>
          <w:sz w:val="17"/>
        </w:rPr>
        <w:t> </w:t>
      </w:r>
      <w:r>
        <w:rPr>
          <w:rFonts w:ascii="Arial"/>
          <w:color w:val="232323"/>
          <w:sz w:val="17"/>
        </w:rPr>
        <w:t>for</w:t>
      </w:r>
      <w:r>
        <w:rPr>
          <w:rFonts w:ascii="Arial"/>
          <w:color w:val="232323"/>
          <w:spacing w:val="40"/>
          <w:sz w:val="17"/>
        </w:rPr>
        <w:t> </w:t>
      </w:r>
      <w:r>
        <w:rPr>
          <w:rFonts w:ascii="Arial"/>
          <w:color w:val="232323"/>
          <w:sz w:val="17"/>
        </w:rPr>
        <w:t>review</w:t>
      </w:r>
      <w:r>
        <w:rPr>
          <w:rFonts w:ascii="Arial"/>
          <w:color w:val="232323"/>
          <w:spacing w:val="7"/>
          <w:sz w:val="17"/>
        </w:rPr>
        <w:t> </w:t>
      </w:r>
      <w:r>
        <w:rPr>
          <w:rFonts w:ascii="Arial"/>
          <w:color w:val="232323"/>
          <w:sz w:val="17"/>
        </w:rPr>
        <w:t>an.</w:t>
      </w:r>
      <w:r>
        <w:rPr>
          <w:rFonts w:ascii="Arial"/>
          <w:color w:val="595959"/>
          <w:sz w:val="17"/>
        </w:rPr>
        <w:t>.</w:t>
      </w:r>
      <w:r>
        <w:rPr>
          <w:rFonts w:ascii="Arial"/>
          <w:color w:val="232323"/>
          <w:sz w:val="17"/>
        </w:rPr>
        <w:t>.</w:t>
      </w:r>
      <w:r>
        <w:rPr>
          <w:rFonts w:ascii="Arial"/>
          <w:color w:val="232323"/>
          <w:spacing w:val="49"/>
          <w:sz w:val="17"/>
        </w:rPr>
        <w:t> </w:t>
      </w:r>
      <w:r>
        <w:rPr>
          <w:rFonts w:ascii="Arial"/>
          <w:color w:val="232323"/>
          <w:sz w:val="17"/>
        </w:rPr>
        <w:t>192</w:t>
      </w:r>
    </w:p>
    <w:p>
      <w:pPr>
        <w:pStyle w:val="BodyText"/>
        <w:rPr>
          <w:rFonts w:ascii="Arial"/>
          <w:sz w:val="20"/>
        </w:rPr>
      </w:pPr>
    </w:p>
    <w:p>
      <w:pPr>
        <w:pStyle w:val="BodyText"/>
        <w:rPr>
          <w:rFonts w:ascii="Arial"/>
          <w:sz w:val="20"/>
        </w:rPr>
      </w:pPr>
    </w:p>
    <w:p>
      <w:pPr>
        <w:pStyle w:val="BodyText"/>
        <w:spacing w:before="10"/>
        <w:rPr>
          <w:rFonts w:ascii="Arial"/>
          <w:sz w:val="16"/>
        </w:rPr>
      </w:pPr>
      <w:r>
        <w:rPr/>
        <w:pict>
          <v:rect style="position:absolute;margin-left:65.160004pt;margin-top:10.937805pt;width:482.040014pt;height:.84pt;mso-position-horizontal-relative:page;mso-position-vertical-relative:paragraph;z-index:-15653888;mso-wrap-distance-left:0;mso-wrap-distance-right:0" id="docshape400" filled="true" fillcolor="#e9e9e9" stroked="false">
            <v:fill type="solid"/>
            <w10:wrap type="topAndBottom"/>
          </v:rect>
        </w:pict>
      </w:r>
    </w:p>
    <w:p>
      <w:pPr>
        <w:pStyle w:val="BodyText"/>
        <w:rPr>
          <w:rFonts w:ascii="Arial"/>
          <w:sz w:val="28"/>
        </w:rPr>
      </w:pPr>
    </w:p>
    <w:p>
      <w:pPr>
        <w:pStyle w:val="ListParagraph"/>
        <w:numPr>
          <w:ilvl w:val="0"/>
          <w:numId w:val="31"/>
        </w:numPr>
        <w:tabs>
          <w:tab w:pos="1795" w:val="left" w:leader="none"/>
        </w:tabs>
        <w:spacing w:line="240" w:lineRule="auto" w:before="0" w:after="0"/>
        <w:ind w:left="1794" w:right="0" w:hanging="297"/>
        <w:jc w:val="left"/>
        <w:rPr>
          <w:rFonts w:ascii="Times New Roman"/>
          <w:color w:val="232323"/>
          <w:sz w:val="22"/>
        </w:rPr>
      </w:pPr>
      <w:r>
        <w:rPr>
          <w:rFonts w:ascii="Arial"/>
          <w:color w:val="232323"/>
          <w:sz w:val="23"/>
        </w:rPr>
        <w:t>Please</w:t>
      </w:r>
      <w:r>
        <w:rPr>
          <w:rFonts w:ascii="Arial"/>
          <w:color w:val="232323"/>
          <w:spacing w:val="17"/>
          <w:sz w:val="23"/>
        </w:rPr>
        <w:t> </w:t>
      </w:r>
      <w:r>
        <w:rPr>
          <w:rFonts w:ascii="Arial"/>
          <w:color w:val="232323"/>
          <w:sz w:val="23"/>
        </w:rPr>
        <w:t>score</w:t>
      </w:r>
      <w:r>
        <w:rPr>
          <w:rFonts w:ascii="Arial"/>
          <w:color w:val="232323"/>
          <w:spacing w:val="6"/>
          <w:sz w:val="23"/>
        </w:rPr>
        <w:t> </w:t>
      </w:r>
      <w:r>
        <w:rPr>
          <w:rFonts w:ascii="Arial"/>
          <w:color w:val="232323"/>
          <w:sz w:val="23"/>
        </w:rPr>
        <w:t>your</w:t>
      </w:r>
      <w:r>
        <w:rPr>
          <w:rFonts w:ascii="Arial"/>
          <w:color w:val="232323"/>
          <w:spacing w:val="17"/>
          <w:sz w:val="23"/>
        </w:rPr>
        <w:t> </w:t>
      </w:r>
      <w:r>
        <w:rPr>
          <w:rFonts w:ascii="Arial"/>
          <w:color w:val="232323"/>
          <w:sz w:val="23"/>
        </w:rPr>
        <w:t>current</w:t>
      </w:r>
      <w:r>
        <w:rPr>
          <w:rFonts w:ascii="Arial"/>
          <w:color w:val="232323"/>
          <w:spacing w:val="15"/>
          <w:sz w:val="23"/>
        </w:rPr>
        <w:t> </w:t>
      </w:r>
      <w:r>
        <w:rPr>
          <w:rFonts w:ascii="Arial"/>
          <w:color w:val="232323"/>
          <w:sz w:val="23"/>
        </w:rPr>
        <w:t>level</w:t>
      </w:r>
      <w:r>
        <w:rPr>
          <w:rFonts w:ascii="Arial"/>
          <w:color w:val="232323"/>
          <w:spacing w:val="12"/>
          <w:sz w:val="23"/>
        </w:rPr>
        <w:t> </w:t>
      </w:r>
      <w:r>
        <w:rPr>
          <w:rFonts w:ascii="Arial"/>
          <w:color w:val="232323"/>
          <w:sz w:val="23"/>
        </w:rPr>
        <w:t>of</w:t>
      </w:r>
      <w:r>
        <w:rPr>
          <w:rFonts w:ascii="Arial"/>
          <w:color w:val="232323"/>
          <w:spacing w:val="5"/>
          <w:sz w:val="23"/>
        </w:rPr>
        <w:t> </w:t>
      </w:r>
      <w:r>
        <w:rPr>
          <w:rFonts w:ascii="Arial"/>
          <w:color w:val="232323"/>
          <w:sz w:val="23"/>
        </w:rPr>
        <w:t>awareness</w:t>
      </w:r>
      <w:r>
        <w:rPr>
          <w:rFonts w:ascii="Arial"/>
          <w:color w:val="232323"/>
          <w:spacing w:val="25"/>
          <w:sz w:val="23"/>
        </w:rPr>
        <w:t> </w:t>
      </w:r>
      <w:r>
        <w:rPr>
          <w:rFonts w:ascii="Arial"/>
          <w:color w:val="232323"/>
          <w:sz w:val="23"/>
        </w:rPr>
        <w:t>of</w:t>
      </w:r>
      <w:r>
        <w:rPr>
          <w:rFonts w:ascii="Arial"/>
          <w:color w:val="232323"/>
          <w:spacing w:val="9"/>
          <w:sz w:val="23"/>
        </w:rPr>
        <w:t> </w:t>
      </w:r>
      <w:r>
        <w:rPr>
          <w:rFonts w:ascii="Arial"/>
          <w:color w:val="232323"/>
          <w:sz w:val="23"/>
        </w:rPr>
        <w:t>fraud</w:t>
      </w:r>
      <w:r>
        <w:rPr>
          <w:rFonts w:ascii="Arial"/>
          <w:color w:val="232323"/>
          <w:spacing w:val="13"/>
          <w:sz w:val="23"/>
        </w:rPr>
        <w:t> </w:t>
      </w:r>
      <w:r>
        <w:rPr>
          <w:rFonts w:ascii="Arial"/>
          <w:color w:val="232323"/>
          <w:sz w:val="23"/>
        </w:rPr>
        <w:t>against</w:t>
      </w:r>
      <w:r>
        <w:rPr>
          <w:rFonts w:ascii="Arial"/>
          <w:color w:val="232323"/>
          <w:spacing w:val="17"/>
          <w:sz w:val="23"/>
        </w:rPr>
        <w:t> </w:t>
      </w:r>
      <w:r>
        <w:rPr>
          <w:rFonts w:ascii="Arial"/>
          <w:color w:val="232323"/>
          <w:sz w:val="23"/>
        </w:rPr>
        <w:t>the</w:t>
      </w:r>
      <w:r>
        <w:rPr>
          <w:rFonts w:ascii="Arial"/>
          <w:color w:val="232323"/>
          <w:spacing w:val="4"/>
          <w:sz w:val="23"/>
        </w:rPr>
        <w:t> </w:t>
      </w:r>
      <w:r>
        <w:rPr>
          <w:rFonts w:ascii="Arial"/>
          <w:color w:val="232323"/>
          <w:spacing w:val="-4"/>
          <w:sz w:val="23"/>
        </w:rPr>
        <w:t>NHS.</w:t>
      </w:r>
    </w:p>
    <w:p>
      <w:pPr>
        <w:pStyle w:val="BodyText"/>
        <w:spacing w:before="3"/>
        <w:rPr>
          <w:rFonts w:ascii="Arial"/>
          <w:sz w:val="34"/>
        </w:rPr>
      </w:pPr>
    </w:p>
    <w:p>
      <w:pPr>
        <w:tabs>
          <w:tab w:pos="2136" w:val="left" w:leader="none"/>
        </w:tabs>
        <w:spacing w:line="304" w:lineRule="auto" w:before="0"/>
        <w:ind w:left="1792" w:right="9049" w:hanging="1"/>
        <w:jc w:val="left"/>
        <w:rPr>
          <w:rFonts w:ascii="Arial"/>
          <w:sz w:val="23"/>
        </w:rPr>
      </w:pPr>
      <w:r>
        <w:rPr/>
        <w:drawing>
          <wp:anchor distT="0" distB="0" distL="0" distR="0" allowOverlap="1" layoutInCell="1" locked="0" behindDoc="0" simplePos="0" relativeHeight="15805952">
            <wp:simplePos x="0" y="0"/>
            <wp:positionH relativeFrom="page">
              <wp:posOffset>3606035</wp:posOffset>
            </wp:positionH>
            <wp:positionV relativeFrom="paragraph">
              <wp:posOffset>1192165</wp:posOffset>
            </wp:positionV>
            <wp:extent cx="3224532" cy="2282828"/>
            <wp:effectExtent l="0" t="0" r="0" b="0"/>
            <wp:wrapNone/>
            <wp:docPr id="109" name="image53.png"/>
            <wp:cNvGraphicFramePr>
              <a:graphicFrameLocks noChangeAspect="1"/>
            </wp:cNvGraphicFramePr>
            <a:graphic>
              <a:graphicData uri="http://schemas.openxmlformats.org/drawingml/2006/picture">
                <pic:pic>
                  <pic:nvPicPr>
                    <pic:cNvPr id="110" name="image53.png"/>
                    <pic:cNvPicPr/>
                  </pic:nvPicPr>
                  <pic:blipFill>
                    <a:blip r:embed="rId124" cstate="print"/>
                    <a:stretch>
                      <a:fillRect/>
                    </a:stretch>
                  </pic:blipFill>
                  <pic:spPr>
                    <a:xfrm>
                      <a:off x="0" y="0"/>
                      <a:ext cx="3224532" cy="2282828"/>
                    </a:xfrm>
                    <a:prstGeom prst="rect">
                      <a:avLst/>
                    </a:prstGeom>
                  </pic:spPr>
                </pic:pic>
              </a:graphicData>
            </a:graphic>
          </wp:anchor>
        </w:drawing>
      </w:r>
      <w:r>
        <w:rPr>
          <w:rFonts w:ascii="Times New Roman"/>
          <w:color w:val="232323"/>
          <w:spacing w:val="-10"/>
          <w:w w:val="110"/>
          <w:sz w:val="22"/>
        </w:rPr>
        <w:t>1</w:t>
      </w:r>
      <w:r>
        <w:rPr>
          <w:rFonts w:ascii="Times New Roman"/>
          <w:color w:val="232323"/>
          <w:sz w:val="22"/>
        </w:rPr>
        <w:tab/>
      </w:r>
      <w:r>
        <w:rPr>
          <w:rFonts w:ascii="Arial"/>
          <w:color w:val="232323"/>
          <w:w w:val="110"/>
          <w:sz w:val="21"/>
        </w:rPr>
        <w:t>= </w:t>
      </w:r>
      <w:r>
        <w:rPr>
          <w:rFonts w:ascii="Arial"/>
          <w:color w:val="232323"/>
          <w:w w:val="110"/>
          <w:sz w:val="23"/>
        </w:rPr>
        <w:t>Low </w:t>
      </w:r>
      <w:r>
        <w:rPr>
          <w:rFonts w:ascii="Arial"/>
          <w:color w:val="232323"/>
          <w:spacing w:val="-2"/>
          <w:w w:val="110"/>
          <w:sz w:val="23"/>
        </w:rPr>
        <w:t>10=High</w:t>
      </w:r>
    </w:p>
    <w:p>
      <w:pPr>
        <w:pStyle w:val="BodyText"/>
        <w:rPr>
          <w:rFonts w:ascii="Arial"/>
          <w:sz w:val="26"/>
        </w:rPr>
      </w:pPr>
    </w:p>
    <w:p>
      <w:pPr>
        <w:pStyle w:val="BodyText"/>
        <w:rPr>
          <w:rFonts w:ascii="Arial"/>
          <w:sz w:val="26"/>
        </w:rPr>
      </w:pPr>
    </w:p>
    <w:p>
      <w:pPr>
        <w:pStyle w:val="BodyText"/>
        <w:rPr>
          <w:rFonts w:ascii="Arial"/>
          <w:sz w:val="26"/>
        </w:rPr>
      </w:pPr>
    </w:p>
    <w:p>
      <w:pPr>
        <w:pStyle w:val="BodyText"/>
        <w:rPr>
          <w:rFonts w:ascii="Arial"/>
          <w:sz w:val="26"/>
        </w:rPr>
      </w:pPr>
    </w:p>
    <w:p>
      <w:pPr>
        <w:pStyle w:val="BodyText"/>
        <w:rPr>
          <w:rFonts w:ascii="Arial"/>
          <w:sz w:val="26"/>
        </w:rPr>
      </w:pPr>
    </w:p>
    <w:p>
      <w:pPr>
        <w:pStyle w:val="BodyText"/>
        <w:rPr>
          <w:rFonts w:ascii="Arial"/>
          <w:sz w:val="26"/>
        </w:rPr>
      </w:pPr>
    </w:p>
    <w:p>
      <w:pPr>
        <w:pStyle w:val="BodyText"/>
        <w:rPr>
          <w:rFonts w:ascii="Arial"/>
          <w:sz w:val="26"/>
        </w:rPr>
      </w:pPr>
    </w:p>
    <w:p>
      <w:pPr>
        <w:pStyle w:val="BodyText"/>
        <w:rPr>
          <w:rFonts w:ascii="Arial"/>
          <w:sz w:val="26"/>
        </w:rPr>
      </w:pPr>
    </w:p>
    <w:p>
      <w:pPr>
        <w:pStyle w:val="BodyText"/>
        <w:spacing w:before="8"/>
        <w:rPr>
          <w:rFonts w:ascii="Arial"/>
          <w:sz w:val="22"/>
        </w:rPr>
      </w:pPr>
    </w:p>
    <w:p>
      <w:pPr>
        <w:pStyle w:val="Heading3"/>
        <w:ind w:left="576"/>
      </w:pPr>
      <w:r>
        <w:rPr>
          <w:color w:val="232323"/>
          <w:spacing w:val="-4"/>
        </w:rPr>
        <w:t>6.96</w:t>
      </w:r>
    </w:p>
    <w:p>
      <w:pPr>
        <w:spacing w:before="64"/>
        <w:ind w:left="570" w:right="5931" w:firstLine="0"/>
        <w:jc w:val="center"/>
        <w:rPr>
          <w:rFonts w:ascii="Arial"/>
          <w:sz w:val="23"/>
        </w:rPr>
      </w:pPr>
      <w:r>
        <w:rPr>
          <w:rFonts w:ascii="Arial"/>
          <w:color w:val="595959"/>
          <w:sz w:val="23"/>
        </w:rPr>
        <w:t>Average</w:t>
      </w:r>
      <w:r>
        <w:rPr>
          <w:rFonts w:ascii="Arial"/>
          <w:color w:val="595959"/>
          <w:spacing w:val="5"/>
          <w:sz w:val="23"/>
        </w:rPr>
        <w:t> </w:t>
      </w:r>
      <w:r>
        <w:rPr>
          <w:rFonts w:ascii="Arial"/>
          <w:color w:val="595959"/>
          <w:spacing w:val="-2"/>
          <w:sz w:val="23"/>
        </w:rPr>
        <w:t>Rating</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
        <w:rPr>
          <w:rFonts w:ascii="Arial"/>
          <w:sz w:val="18"/>
        </w:rPr>
      </w:pPr>
      <w:r>
        <w:rPr/>
        <w:pict>
          <v:rect style="position:absolute;margin-left:65.160004pt;margin-top:11.649488pt;width:482.040014pt;height:.84pt;mso-position-horizontal-relative:page;mso-position-vertical-relative:paragraph;z-index:-15653376;mso-wrap-distance-left:0;mso-wrap-distance-right:0" id="docshape401" filled="true" fillcolor="#e9e9e9" stroked="false">
            <v:fill type="solid"/>
            <w10:wrap type="topAndBottom"/>
          </v:rect>
        </w:pict>
      </w:r>
    </w:p>
    <w:p>
      <w:pPr>
        <w:spacing w:after="0"/>
        <w:rPr>
          <w:rFonts w:ascii="Arial"/>
          <w:sz w:val="18"/>
        </w:rPr>
        <w:sectPr>
          <w:type w:val="continuous"/>
          <w:pgSz w:w="11910" w:h="16840"/>
          <w:pgMar w:header="0" w:footer="158" w:top="740" w:bottom="280" w:left="0" w:right="0"/>
        </w:sectPr>
      </w:pPr>
    </w:p>
    <w:p>
      <w:pPr>
        <w:pStyle w:val="ListParagraph"/>
        <w:numPr>
          <w:ilvl w:val="0"/>
          <w:numId w:val="31"/>
        </w:numPr>
        <w:tabs>
          <w:tab w:pos="1795" w:val="left" w:leader="none"/>
        </w:tabs>
        <w:spacing w:line="240" w:lineRule="auto" w:before="76" w:after="0"/>
        <w:ind w:left="1794" w:right="0" w:hanging="305"/>
        <w:jc w:val="left"/>
        <w:rPr>
          <w:rFonts w:ascii="Arial"/>
          <w:color w:val="212121"/>
          <w:sz w:val="23"/>
        </w:rPr>
      </w:pPr>
      <w:r>
        <w:rPr>
          <w:rFonts w:ascii="Arial"/>
          <w:color w:val="212121"/>
          <w:sz w:val="23"/>
        </w:rPr>
        <w:t>Please</w:t>
      </w:r>
      <w:r>
        <w:rPr>
          <w:rFonts w:ascii="Arial"/>
          <w:color w:val="212121"/>
          <w:spacing w:val="29"/>
          <w:sz w:val="23"/>
        </w:rPr>
        <w:t> </w:t>
      </w:r>
      <w:r>
        <w:rPr>
          <w:rFonts w:ascii="Arial"/>
          <w:color w:val="212121"/>
          <w:sz w:val="23"/>
        </w:rPr>
        <w:t>watch</w:t>
      </w:r>
      <w:r>
        <w:rPr>
          <w:rFonts w:ascii="Arial"/>
          <w:color w:val="212121"/>
          <w:spacing w:val="15"/>
          <w:sz w:val="23"/>
        </w:rPr>
        <w:t> </w:t>
      </w:r>
      <w:r>
        <w:rPr>
          <w:rFonts w:ascii="Arial"/>
          <w:color w:val="212121"/>
          <w:sz w:val="23"/>
        </w:rPr>
        <w:t>the</w:t>
      </w:r>
      <w:r>
        <w:rPr>
          <w:rFonts w:ascii="Arial"/>
          <w:color w:val="212121"/>
          <w:spacing w:val="13"/>
          <w:sz w:val="23"/>
        </w:rPr>
        <w:t> </w:t>
      </w:r>
      <w:r>
        <w:rPr>
          <w:rFonts w:ascii="Arial"/>
          <w:color w:val="212121"/>
          <w:sz w:val="23"/>
        </w:rPr>
        <w:t>following</w:t>
      </w:r>
      <w:r>
        <w:rPr>
          <w:rFonts w:ascii="Arial"/>
          <w:color w:val="212121"/>
          <w:spacing w:val="34"/>
          <w:sz w:val="23"/>
        </w:rPr>
        <w:t> </w:t>
      </w:r>
      <w:r>
        <w:rPr>
          <w:rFonts w:ascii="Arial"/>
          <w:color w:val="212121"/>
          <w:sz w:val="23"/>
        </w:rPr>
        <w:t>video</w:t>
      </w:r>
      <w:r>
        <w:rPr>
          <w:rFonts w:ascii="Arial"/>
          <w:color w:val="212121"/>
          <w:spacing w:val="20"/>
          <w:sz w:val="23"/>
        </w:rPr>
        <w:t> </w:t>
      </w:r>
      <w:r>
        <w:rPr>
          <w:rFonts w:ascii="Arial"/>
          <w:color w:val="212121"/>
          <w:sz w:val="23"/>
        </w:rPr>
        <w:t>and</w:t>
      </w:r>
      <w:r>
        <w:rPr>
          <w:rFonts w:ascii="Arial"/>
          <w:color w:val="212121"/>
          <w:spacing w:val="16"/>
          <w:sz w:val="23"/>
        </w:rPr>
        <w:t> </w:t>
      </w:r>
      <w:r>
        <w:rPr>
          <w:rFonts w:ascii="Arial"/>
          <w:color w:val="212121"/>
          <w:sz w:val="23"/>
        </w:rPr>
        <w:t>proceed</w:t>
      </w:r>
      <w:r>
        <w:rPr>
          <w:rFonts w:ascii="Arial"/>
          <w:color w:val="212121"/>
          <w:spacing w:val="22"/>
          <w:sz w:val="23"/>
        </w:rPr>
        <w:t> </w:t>
      </w:r>
      <w:r>
        <w:rPr>
          <w:rFonts w:ascii="Arial"/>
          <w:color w:val="212121"/>
          <w:sz w:val="23"/>
        </w:rPr>
        <w:t>to</w:t>
      </w:r>
      <w:r>
        <w:rPr>
          <w:rFonts w:ascii="Arial"/>
          <w:color w:val="212121"/>
          <w:spacing w:val="41"/>
          <w:sz w:val="23"/>
        </w:rPr>
        <w:t> </w:t>
      </w:r>
      <w:r>
        <w:rPr>
          <w:rFonts w:ascii="Arial"/>
          <w:color w:val="212121"/>
          <w:sz w:val="23"/>
        </w:rPr>
        <w:t>Q7</w:t>
      </w:r>
      <w:r>
        <w:rPr>
          <w:rFonts w:ascii="Arial"/>
          <w:color w:val="212121"/>
          <w:spacing w:val="17"/>
          <w:sz w:val="23"/>
        </w:rPr>
        <w:t> </w:t>
      </w:r>
      <w:r>
        <w:rPr>
          <w:rFonts w:ascii="Arial"/>
          <w:color w:val="212121"/>
          <w:sz w:val="23"/>
        </w:rPr>
        <w:t>when</w:t>
      </w:r>
      <w:r>
        <w:rPr>
          <w:rFonts w:ascii="Arial"/>
          <w:color w:val="212121"/>
          <w:spacing w:val="21"/>
          <w:sz w:val="23"/>
        </w:rPr>
        <w:t> </w:t>
      </w:r>
      <w:r>
        <w:rPr>
          <w:rFonts w:ascii="Arial"/>
          <w:color w:val="212121"/>
          <w:spacing w:val="-2"/>
          <w:sz w:val="23"/>
        </w:rPr>
        <w:t>finished</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10"/>
        </w:rPr>
      </w:pPr>
      <w:r>
        <w:rPr/>
        <w:pict>
          <v:rect style="position:absolute;margin-left:65.160004pt;margin-top:7.159056pt;width:482.040014pt;height:.84pt;mso-position-horizontal-relative:page;mso-position-vertical-relative:paragraph;z-index:-15650816;mso-wrap-distance-left:0;mso-wrap-distance-right:0" id="docshape404" filled="true" fillcolor="#e9e9e9" stroked="false">
            <v:fill type="solid"/>
            <w10:wrap type="topAndBottom"/>
          </v:rect>
        </w:pict>
      </w:r>
    </w:p>
    <w:p>
      <w:pPr>
        <w:pStyle w:val="BodyText"/>
        <w:spacing w:before="5"/>
        <w:rPr>
          <w:rFonts w:ascii="Arial"/>
          <w:sz w:val="26"/>
        </w:rPr>
      </w:pPr>
    </w:p>
    <w:p>
      <w:pPr>
        <w:pStyle w:val="ListParagraph"/>
        <w:numPr>
          <w:ilvl w:val="0"/>
          <w:numId w:val="31"/>
        </w:numPr>
        <w:tabs>
          <w:tab w:pos="1795" w:val="left" w:leader="none"/>
        </w:tabs>
        <w:spacing w:line="295" w:lineRule="auto" w:before="0" w:after="0"/>
        <w:ind w:left="1795" w:right="1078" w:hanging="305"/>
        <w:jc w:val="left"/>
        <w:rPr>
          <w:rFonts w:ascii="Times New Roman"/>
          <w:color w:val="212121"/>
          <w:sz w:val="24"/>
        </w:rPr>
      </w:pPr>
      <w:r>
        <w:rPr>
          <w:rFonts w:ascii="Arial"/>
          <w:color w:val="212121"/>
          <w:sz w:val="23"/>
        </w:rPr>
        <w:t>Now you have watched the video please score your fraud awareness</w:t>
      </w:r>
      <w:r>
        <w:rPr>
          <w:rFonts w:ascii="Arial"/>
          <w:color w:val="212121"/>
          <w:spacing w:val="34"/>
          <w:sz w:val="23"/>
        </w:rPr>
        <w:t> </w:t>
      </w:r>
      <w:r>
        <w:rPr>
          <w:rFonts w:ascii="Arial"/>
          <w:color w:val="212121"/>
          <w:sz w:val="23"/>
        </w:rPr>
        <w:t>on the examples </w:t>
      </w:r>
      <w:r>
        <w:rPr>
          <w:rFonts w:ascii="Arial"/>
          <w:color w:val="212121"/>
          <w:spacing w:val="-2"/>
          <w:sz w:val="23"/>
        </w:rPr>
        <w:t>shown.</w:t>
      </w:r>
    </w:p>
    <w:p>
      <w:pPr>
        <w:pStyle w:val="BodyText"/>
        <w:spacing w:before="5"/>
        <w:rPr>
          <w:rFonts w:ascii="Arial"/>
          <w:sz w:val="29"/>
        </w:rPr>
      </w:pPr>
    </w:p>
    <w:p>
      <w:pPr>
        <w:tabs>
          <w:tab w:pos="2136" w:val="left" w:leader="none"/>
        </w:tabs>
        <w:spacing w:line="300" w:lineRule="auto" w:before="0"/>
        <w:ind w:left="1792" w:right="9049" w:hanging="2"/>
        <w:jc w:val="left"/>
        <w:rPr>
          <w:rFonts w:ascii="Arial"/>
          <w:sz w:val="23"/>
        </w:rPr>
      </w:pPr>
      <w:r>
        <w:rPr/>
        <w:drawing>
          <wp:anchor distT="0" distB="0" distL="0" distR="0" allowOverlap="1" layoutInCell="1" locked="0" behindDoc="0" simplePos="0" relativeHeight="15807488">
            <wp:simplePos x="0" y="0"/>
            <wp:positionH relativeFrom="page">
              <wp:posOffset>3618255</wp:posOffset>
            </wp:positionH>
            <wp:positionV relativeFrom="paragraph">
              <wp:posOffset>1190604</wp:posOffset>
            </wp:positionV>
            <wp:extent cx="3212312" cy="2295027"/>
            <wp:effectExtent l="0" t="0" r="0" b="0"/>
            <wp:wrapNone/>
            <wp:docPr id="111" name="image54.png"/>
            <wp:cNvGraphicFramePr>
              <a:graphicFrameLocks noChangeAspect="1"/>
            </wp:cNvGraphicFramePr>
            <a:graphic>
              <a:graphicData uri="http://schemas.openxmlformats.org/drawingml/2006/picture">
                <pic:pic>
                  <pic:nvPicPr>
                    <pic:cNvPr id="112" name="image54.png"/>
                    <pic:cNvPicPr/>
                  </pic:nvPicPr>
                  <pic:blipFill>
                    <a:blip r:embed="rId126" cstate="print"/>
                    <a:stretch>
                      <a:fillRect/>
                    </a:stretch>
                  </pic:blipFill>
                  <pic:spPr>
                    <a:xfrm>
                      <a:off x="0" y="0"/>
                      <a:ext cx="3212312" cy="2295027"/>
                    </a:xfrm>
                    <a:prstGeom prst="rect">
                      <a:avLst/>
                    </a:prstGeom>
                  </pic:spPr>
                </pic:pic>
              </a:graphicData>
            </a:graphic>
          </wp:anchor>
        </w:drawing>
      </w:r>
      <w:r>
        <w:rPr>
          <w:rFonts w:ascii="Times New Roman"/>
          <w:color w:val="212121"/>
          <w:spacing w:val="-10"/>
          <w:w w:val="110"/>
          <w:sz w:val="23"/>
        </w:rPr>
        <w:t>1</w:t>
      </w:r>
      <w:r>
        <w:rPr>
          <w:rFonts w:ascii="Times New Roman"/>
          <w:color w:val="212121"/>
          <w:sz w:val="23"/>
        </w:rPr>
        <w:tab/>
      </w:r>
      <w:r>
        <w:rPr>
          <w:rFonts w:ascii="Arial"/>
          <w:color w:val="212121"/>
          <w:w w:val="110"/>
          <w:sz w:val="21"/>
        </w:rPr>
        <w:t>= </w:t>
      </w:r>
      <w:r>
        <w:rPr>
          <w:rFonts w:ascii="Arial"/>
          <w:color w:val="212121"/>
          <w:w w:val="110"/>
          <w:sz w:val="23"/>
        </w:rPr>
        <w:t>Low </w:t>
      </w:r>
      <w:r>
        <w:rPr>
          <w:rFonts w:ascii="Arial"/>
          <w:color w:val="212121"/>
          <w:spacing w:val="-2"/>
          <w:w w:val="110"/>
          <w:sz w:val="23"/>
        </w:rPr>
        <w:t>10=High</w:t>
      </w:r>
    </w:p>
    <w:p>
      <w:pPr>
        <w:pStyle w:val="BodyText"/>
        <w:rPr>
          <w:rFonts w:ascii="Arial"/>
          <w:sz w:val="26"/>
        </w:rPr>
      </w:pPr>
    </w:p>
    <w:p>
      <w:pPr>
        <w:pStyle w:val="BodyText"/>
        <w:rPr>
          <w:rFonts w:ascii="Arial"/>
          <w:sz w:val="26"/>
        </w:rPr>
      </w:pPr>
    </w:p>
    <w:p>
      <w:pPr>
        <w:pStyle w:val="BodyText"/>
        <w:rPr>
          <w:rFonts w:ascii="Arial"/>
          <w:sz w:val="26"/>
        </w:rPr>
      </w:pPr>
    </w:p>
    <w:p>
      <w:pPr>
        <w:pStyle w:val="BodyText"/>
        <w:rPr>
          <w:rFonts w:ascii="Arial"/>
          <w:sz w:val="26"/>
        </w:rPr>
      </w:pPr>
    </w:p>
    <w:p>
      <w:pPr>
        <w:pStyle w:val="BodyText"/>
        <w:rPr>
          <w:rFonts w:ascii="Arial"/>
          <w:sz w:val="26"/>
        </w:rPr>
      </w:pPr>
    </w:p>
    <w:p>
      <w:pPr>
        <w:pStyle w:val="BodyText"/>
        <w:rPr>
          <w:rFonts w:ascii="Arial"/>
          <w:sz w:val="26"/>
        </w:rPr>
      </w:pPr>
    </w:p>
    <w:p>
      <w:pPr>
        <w:pStyle w:val="BodyText"/>
        <w:rPr>
          <w:rFonts w:ascii="Arial"/>
          <w:sz w:val="26"/>
        </w:rPr>
      </w:pPr>
    </w:p>
    <w:p>
      <w:pPr>
        <w:pStyle w:val="BodyText"/>
        <w:rPr>
          <w:rFonts w:ascii="Arial"/>
          <w:sz w:val="26"/>
        </w:rPr>
      </w:pPr>
    </w:p>
    <w:p>
      <w:pPr>
        <w:pStyle w:val="BodyText"/>
        <w:spacing w:before="1"/>
        <w:rPr>
          <w:rFonts w:ascii="Arial"/>
          <w:sz w:val="23"/>
        </w:rPr>
      </w:pPr>
    </w:p>
    <w:p>
      <w:pPr>
        <w:pStyle w:val="Heading3"/>
      </w:pPr>
      <w:r>
        <w:rPr>
          <w:color w:val="212121"/>
          <w:spacing w:val="-4"/>
        </w:rPr>
        <w:t>8.56</w:t>
      </w:r>
    </w:p>
    <w:p>
      <w:pPr>
        <w:spacing w:before="64"/>
        <w:ind w:left="570" w:right="5931" w:firstLine="0"/>
        <w:jc w:val="center"/>
        <w:rPr>
          <w:rFonts w:ascii="Arial"/>
          <w:sz w:val="23"/>
        </w:rPr>
      </w:pPr>
      <w:r>
        <w:rPr>
          <w:rFonts w:ascii="Arial"/>
          <w:color w:val="595959"/>
          <w:sz w:val="23"/>
        </w:rPr>
        <w:t>Average</w:t>
      </w:r>
      <w:r>
        <w:rPr>
          <w:rFonts w:ascii="Arial"/>
          <w:color w:val="595959"/>
          <w:spacing w:val="5"/>
          <w:sz w:val="23"/>
        </w:rPr>
        <w:t> </w:t>
      </w:r>
      <w:r>
        <w:rPr>
          <w:rFonts w:ascii="Arial"/>
          <w:color w:val="595959"/>
          <w:spacing w:val="-2"/>
          <w:sz w:val="23"/>
        </w:rPr>
        <w:t>Rating</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1"/>
        <w:rPr>
          <w:rFonts w:ascii="Arial"/>
          <w:sz w:val="18"/>
        </w:rPr>
      </w:pPr>
      <w:r>
        <w:rPr/>
        <w:pict>
          <v:rect style="position:absolute;margin-left:65.160004pt;margin-top:12.099121pt;width:482.040014pt;height:.84pt;mso-position-horizontal-relative:page;mso-position-vertical-relative:paragraph;z-index:-15650304;mso-wrap-distance-left:0;mso-wrap-distance-right:0" id="docshape405" filled="true" fillcolor="#e9e9e9" stroked="false">
            <v:fill type="solid"/>
            <w10:wrap type="topAndBottom"/>
          </v:rect>
        </w:pict>
      </w:r>
    </w:p>
    <w:p>
      <w:pPr>
        <w:spacing w:after="0"/>
        <w:rPr>
          <w:rFonts w:ascii="Arial"/>
          <w:sz w:val="18"/>
        </w:rPr>
        <w:sectPr>
          <w:footerReference w:type="default" r:id="rId125"/>
          <w:pgSz w:w="11910" w:h="16840"/>
          <w:pgMar w:footer="162" w:header="0" w:top="800" w:bottom="360" w:left="0" w:right="0"/>
          <w:pgNumType w:start="3"/>
        </w:sectPr>
      </w:pPr>
    </w:p>
    <w:p>
      <w:pPr>
        <w:pStyle w:val="ListParagraph"/>
        <w:numPr>
          <w:ilvl w:val="0"/>
          <w:numId w:val="31"/>
        </w:numPr>
        <w:tabs>
          <w:tab w:pos="1795" w:val="left" w:leader="none"/>
        </w:tabs>
        <w:spacing w:line="240" w:lineRule="auto" w:before="76" w:after="0"/>
        <w:ind w:left="1794" w:right="0" w:hanging="305"/>
        <w:jc w:val="left"/>
        <w:rPr>
          <w:rFonts w:ascii="Arial"/>
          <w:color w:val="262626"/>
          <w:sz w:val="23"/>
        </w:rPr>
      </w:pPr>
      <w:r>
        <w:rPr/>
        <w:drawing>
          <wp:anchor distT="0" distB="0" distL="0" distR="0" allowOverlap="1" layoutInCell="1" locked="0" behindDoc="0" simplePos="0" relativeHeight="15808512">
            <wp:simplePos x="0" y="0"/>
            <wp:positionH relativeFrom="page">
              <wp:posOffset>1115567</wp:posOffset>
            </wp:positionH>
            <wp:positionV relativeFrom="paragraph">
              <wp:posOffset>640112</wp:posOffset>
            </wp:positionV>
            <wp:extent cx="144780" cy="144779"/>
            <wp:effectExtent l="0" t="0" r="0" b="0"/>
            <wp:wrapNone/>
            <wp:docPr id="113" name="image43.jpeg"/>
            <wp:cNvGraphicFramePr>
              <a:graphicFrameLocks noChangeAspect="1"/>
            </wp:cNvGraphicFramePr>
            <a:graphic>
              <a:graphicData uri="http://schemas.openxmlformats.org/drawingml/2006/picture">
                <pic:pic>
                  <pic:nvPicPr>
                    <pic:cNvPr id="114" name="image43.jpeg"/>
                    <pic:cNvPicPr/>
                  </pic:nvPicPr>
                  <pic:blipFill>
                    <a:blip r:embed="rId113" cstate="print"/>
                    <a:stretch>
                      <a:fillRect/>
                    </a:stretch>
                  </pic:blipFill>
                  <pic:spPr>
                    <a:xfrm>
                      <a:off x="0" y="0"/>
                      <a:ext cx="144780" cy="144779"/>
                    </a:xfrm>
                    <a:prstGeom prst="rect">
                      <a:avLst/>
                    </a:prstGeom>
                  </pic:spPr>
                </pic:pic>
              </a:graphicData>
            </a:graphic>
          </wp:anchor>
        </w:drawing>
      </w:r>
      <w:r>
        <w:rPr/>
        <w:drawing>
          <wp:anchor distT="0" distB="0" distL="0" distR="0" allowOverlap="1" layoutInCell="1" locked="0" behindDoc="0" simplePos="0" relativeHeight="15809024">
            <wp:simplePos x="0" y="0"/>
            <wp:positionH relativeFrom="page">
              <wp:posOffset>1115567</wp:posOffset>
            </wp:positionH>
            <wp:positionV relativeFrom="paragraph">
              <wp:posOffset>937292</wp:posOffset>
            </wp:positionV>
            <wp:extent cx="144780" cy="143255"/>
            <wp:effectExtent l="0" t="0" r="0" b="0"/>
            <wp:wrapNone/>
            <wp:docPr id="115" name="image44.jpeg"/>
            <wp:cNvGraphicFramePr>
              <a:graphicFrameLocks noChangeAspect="1"/>
            </wp:cNvGraphicFramePr>
            <a:graphic>
              <a:graphicData uri="http://schemas.openxmlformats.org/drawingml/2006/picture">
                <pic:pic>
                  <pic:nvPicPr>
                    <pic:cNvPr id="116" name="image44.jpeg"/>
                    <pic:cNvPicPr/>
                  </pic:nvPicPr>
                  <pic:blipFill>
                    <a:blip r:embed="rId114" cstate="print"/>
                    <a:stretch>
                      <a:fillRect/>
                    </a:stretch>
                  </pic:blipFill>
                  <pic:spPr>
                    <a:xfrm>
                      <a:off x="0" y="0"/>
                      <a:ext cx="144780" cy="143255"/>
                    </a:xfrm>
                    <a:prstGeom prst="rect">
                      <a:avLst/>
                    </a:prstGeom>
                  </pic:spPr>
                </pic:pic>
              </a:graphicData>
            </a:graphic>
          </wp:anchor>
        </w:drawing>
      </w:r>
      <w:r>
        <w:rPr/>
        <w:drawing>
          <wp:anchor distT="0" distB="0" distL="0" distR="0" allowOverlap="1" layoutInCell="1" locked="0" behindDoc="0" simplePos="0" relativeHeight="15809536">
            <wp:simplePos x="0" y="0"/>
            <wp:positionH relativeFrom="page">
              <wp:posOffset>1115567</wp:posOffset>
            </wp:positionH>
            <wp:positionV relativeFrom="paragraph">
              <wp:posOffset>1234472</wp:posOffset>
            </wp:positionV>
            <wp:extent cx="143239" cy="141731"/>
            <wp:effectExtent l="0" t="0" r="0" b="0"/>
            <wp:wrapNone/>
            <wp:docPr id="117" name="image45.jpeg"/>
            <wp:cNvGraphicFramePr>
              <a:graphicFrameLocks noChangeAspect="1"/>
            </wp:cNvGraphicFramePr>
            <a:graphic>
              <a:graphicData uri="http://schemas.openxmlformats.org/drawingml/2006/picture">
                <pic:pic>
                  <pic:nvPicPr>
                    <pic:cNvPr id="118" name="image45.jpeg"/>
                    <pic:cNvPicPr/>
                  </pic:nvPicPr>
                  <pic:blipFill>
                    <a:blip r:embed="rId115" cstate="print"/>
                    <a:stretch>
                      <a:fillRect/>
                    </a:stretch>
                  </pic:blipFill>
                  <pic:spPr>
                    <a:xfrm>
                      <a:off x="0" y="0"/>
                      <a:ext cx="143239" cy="141731"/>
                    </a:xfrm>
                    <a:prstGeom prst="rect">
                      <a:avLst/>
                    </a:prstGeom>
                  </pic:spPr>
                </pic:pic>
              </a:graphicData>
            </a:graphic>
          </wp:anchor>
        </w:drawing>
      </w:r>
      <w:r>
        <w:rPr/>
        <w:drawing>
          <wp:anchor distT="0" distB="0" distL="0" distR="0" allowOverlap="1" layoutInCell="1" locked="0" behindDoc="0" simplePos="0" relativeHeight="15810048">
            <wp:simplePos x="0" y="0"/>
            <wp:positionH relativeFrom="page">
              <wp:posOffset>1115567</wp:posOffset>
            </wp:positionH>
            <wp:positionV relativeFrom="page">
              <wp:posOffset>2052828</wp:posOffset>
            </wp:positionV>
            <wp:extent cx="144779" cy="132588"/>
            <wp:effectExtent l="0" t="0" r="0" b="0"/>
            <wp:wrapNone/>
            <wp:docPr id="119" name="image55.jpeg"/>
            <wp:cNvGraphicFramePr>
              <a:graphicFrameLocks noChangeAspect="1"/>
            </wp:cNvGraphicFramePr>
            <a:graphic>
              <a:graphicData uri="http://schemas.openxmlformats.org/drawingml/2006/picture">
                <pic:pic>
                  <pic:nvPicPr>
                    <pic:cNvPr id="120" name="image55.jpeg"/>
                    <pic:cNvPicPr/>
                  </pic:nvPicPr>
                  <pic:blipFill>
                    <a:blip r:embed="rId127" cstate="print"/>
                    <a:stretch>
                      <a:fillRect/>
                    </a:stretch>
                  </pic:blipFill>
                  <pic:spPr>
                    <a:xfrm>
                      <a:off x="0" y="0"/>
                      <a:ext cx="144779" cy="132588"/>
                    </a:xfrm>
                    <a:prstGeom prst="rect">
                      <a:avLst/>
                    </a:prstGeom>
                  </pic:spPr>
                </pic:pic>
              </a:graphicData>
            </a:graphic>
          </wp:anchor>
        </w:drawing>
      </w:r>
      <w:r>
        <w:rPr/>
        <w:drawing>
          <wp:anchor distT="0" distB="0" distL="0" distR="0" allowOverlap="1" layoutInCell="1" locked="0" behindDoc="0" simplePos="0" relativeHeight="15810560">
            <wp:simplePos x="0" y="0"/>
            <wp:positionH relativeFrom="page">
              <wp:posOffset>1115567</wp:posOffset>
            </wp:positionH>
            <wp:positionV relativeFrom="page">
              <wp:posOffset>2350008</wp:posOffset>
            </wp:positionV>
            <wp:extent cx="144779" cy="132588"/>
            <wp:effectExtent l="0" t="0" r="0" b="0"/>
            <wp:wrapNone/>
            <wp:docPr id="121" name="image56.jpeg"/>
            <wp:cNvGraphicFramePr>
              <a:graphicFrameLocks noChangeAspect="1"/>
            </wp:cNvGraphicFramePr>
            <a:graphic>
              <a:graphicData uri="http://schemas.openxmlformats.org/drawingml/2006/picture">
                <pic:pic>
                  <pic:nvPicPr>
                    <pic:cNvPr id="122" name="image56.jpeg"/>
                    <pic:cNvPicPr/>
                  </pic:nvPicPr>
                  <pic:blipFill>
                    <a:blip r:embed="rId128" cstate="print"/>
                    <a:stretch>
                      <a:fillRect/>
                    </a:stretch>
                  </pic:blipFill>
                  <pic:spPr>
                    <a:xfrm>
                      <a:off x="0" y="0"/>
                      <a:ext cx="144779" cy="132588"/>
                    </a:xfrm>
                    <a:prstGeom prst="rect">
                      <a:avLst/>
                    </a:prstGeom>
                  </pic:spPr>
                </pic:pic>
              </a:graphicData>
            </a:graphic>
          </wp:anchor>
        </w:drawing>
      </w:r>
      <w:r>
        <w:rPr/>
        <w:drawing>
          <wp:anchor distT="0" distB="0" distL="0" distR="0" allowOverlap="1" layoutInCell="1" locked="0" behindDoc="0" simplePos="0" relativeHeight="15811072">
            <wp:simplePos x="0" y="0"/>
            <wp:positionH relativeFrom="page">
              <wp:posOffset>1115567</wp:posOffset>
            </wp:positionH>
            <wp:positionV relativeFrom="page">
              <wp:posOffset>2638044</wp:posOffset>
            </wp:positionV>
            <wp:extent cx="144780" cy="141731"/>
            <wp:effectExtent l="0" t="0" r="0" b="0"/>
            <wp:wrapNone/>
            <wp:docPr id="123" name="image57.jpeg"/>
            <wp:cNvGraphicFramePr>
              <a:graphicFrameLocks noChangeAspect="1"/>
            </wp:cNvGraphicFramePr>
            <a:graphic>
              <a:graphicData uri="http://schemas.openxmlformats.org/drawingml/2006/picture">
                <pic:pic>
                  <pic:nvPicPr>
                    <pic:cNvPr id="124" name="image57.jpeg"/>
                    <pic:cNvPicPr/>
                  </pic:nvPicPr>
                  <pic:blipFill>
                    <a:blip r:embed="rId129" cstate="print"/>
                    <a:stretch>
                      <a:fillRect/>
                    </a:stretch>
                  </pic:blipFill>
                  <pic:spPr>
                    <a:xfrm>
                      <a:off x="0" y="0"/>
                      <a:ext cx="144780" cy="141731"/>
                    </a:xfrm>
                    <a:prstGeom prst="rect">
                      <a:avLst/>
                    </a:prstGeom>
                  </pic:spPr>
                </pic:pic>
              </a:graphicData>
            </a:graphic>
          </wp:anchor>
        </w:drawing>
      </w:r>
      <w:r>
        <w:rPr/>
        <w:drawing>
          <wp:anchor distT="0" distB="0" distL="0" distR="0" allowOverlap="1" layoutInCell="1" locked="0" behindDoc="0" simplePos="0" relativeHeight="15811584">
            <wp:simplePos x="0" y="0"/>
            <wp:positionH relativeFrom="page">
              <wp:posOffset>1115567</wp:posOffset>
            </wp:positionH>
            <wp:positionV relativeFrom="page">
              <wp:posOffset>2935224</wp:posOffset>
            </wp:positionV>
            <wp:extent cx="144780" cy="143255"/>
            <wp:effectExtent l="0" t="0" r="0" b="0"/>
            <wp:wrapNone/>
            <wp:docPr id="125" name="image58.jpeg"/>
            <wp:cNvGraphicFramePr>
              <a:graphicFrameLocks noChangeAspect="1"/>
            </wp:cNvGraphicFramePr>
            <a:graphic>
              <a:graphicData uri="http://schemas.openxmlformats.org/drawingml/2006/picture">
                <pic:pic>
                  <pic:nvPicPr>
                    <pic:cNvPr id="126" name="image58.jpeg"/>
                    <pic:cNvPicPr/>
                  </pic:nvPicPr>
                  <pic:blipFill>
                    <a:blip r:embed="rId130" cstate="print"/>
                    <a:stretch>
                      <a:fillRect/>
                    </a:stretch>
                  </pic:blipFill>
                  <pic:spPr>
                    <a:xfrm>
                      <a:off x="0" y="0"/>
                      <a:ext cx="144780" cy="143255"/>
                    </a:xfrm>
                    <a:prstGeom prst="rect">
                      <a:avLst/>
                    </a:prstGeom>
                  </pic:spPr>
                </pic:pic>
              </a:graphicData>
            </a:graphic>
          </wp:anchor>
        </w:drawing>
      </w:r>
      <w:r>
        <w:rPr/>
        <w:drawing>
          <wp:anchor distT="0" distB="0" distL="0" distR="0" allowOverlap="1" layoutInCell="1" locked="0" behindDoc="0" simplePos="0" relativeHeight="15812096">
            <wp:simplePos x="0" y="0"/>
            <wp:positionH relativeFrom="page">
              <wp:posOffset>1115567</wp:posOffset>
            </wp:positionH>
            <wp:positionV relativeFrom="page">
              <wp:posOffset>3230880</wp:posOffset>
            </wp:positionV>
            <wp:extent cx="144780" cy="144779"/>
            <wp:effectExtent l="0" t="0" r="0" b="0"/>
            <wp:wrapNone/>
            <wp:docPr id="127" name="image59.jpeg"/>
            <wp:cNvGraphicFramePr>
              <a:graphicFrameLocks noChangeAspect="1"/>
            </wp:cNvGraphicFramePr>
            <a:graphic>
              <a:graphicData uri="http://schemas.openxmlformats.org/drawingml/2006/picture">
                <pic:pic>
                  <pic:nvPicPr>
                    <pic:cNvPr id="128" name="image59.jpeg"/>
                    <pic:cNvPicPr/>
                  </pic:nvPicPr>
                  <pic:blipFill>
                    <a:blip r:embed="rId131" cstate="print"/>
                    <a:stretch>
                      <a:fillRect/>
                    </a:stretch>
                  </pic:blipFill>
                  <pic:spPr>
                    <a:xfrm>
                      <a:off x="0" y="0"/>
                      <a:ext cx="144780" cy="144779"/>
                    </a:xfrm>
                    <a:prstGeom prst="rect">
                      <a:avLst/>
                    </a:prstGeom>
                  </pic:spPr>
                </pic:pic>
              </a:graphicData>
            </a:graphic>
          </wp:anchor>
        </w:drawing>
      </w:r>
      <w:r>
        <w:rPr/>
        <w:drawing>
          <wp:anchor distT="0" distB="0" distL="0" distR="0" allowOverlap="1" layoutInCell="1" locked="0" behindDoc="0" simplePos="0" relativeHeight="15812608">
            <wp:simplePos x="0" y="0"/>
            <wp:positionH relativeFrom="page">
              <wp:posOffset>1115567</wp:posOffset>
            </wp:positionH>
            <wp:positionV relativeFrom="page">
              <wp:posOffset>3526536</wp:posOffset>
            </wp:positionV>
            <wp:extent cx="144780" cy="144779"/>
            <wp:effectExtent l="0" t="0" r="0" b="0"/>
            <wp:wrapNone/>
            <wp:docPr id="129" name="image60.jpeg"/>
            <wp:cNvGraphicFramePr>
              <a:graphicFrameLocks noChangeAspect="1"/>
            </wp:cNvGraphicFramePr>
            <a:graphic>
              <a:graphicData uri="http://schemas.openxmlformats.org/drawingml/2006/picture">
                <pic:pic>
                  <pic:nvPicPr>
                    <pic:cNvPr id="130" name="image60.jpeg"/>
                    <pic:cNvPicPr/>
                  </pic:nvPicPr>
                  <pic:blipFill>
                    <a:blip r:embed="rId132" cstate="print"/>
                    <a:stretch>
                      <a:fillRect/>
                    </a:stretch>
                  </pic:blipFill>
                  <pic:spPr>
                    <a:xfrm>
                      <a:off x="0" y="0"/>
                      <a:ext cx="144780" cy="144779"/>
                    </a:xfrm>
                    <a:prstGeom prst="rect">
                      <a:avLst/>
                    </a:prstGeom>
                  </pic:spPr>
                </pic:pic>
              </a:graphicData>
            </a:graphic>
          </wp:anchor>
        </w:drawing>
      </w:r>
      <w:r>
        <w:rPr/>
        <w:drawing>
          <wp:anchor distT="0" distB="0" distL="0" distR="0" allowOverlap="1" layoutInCell="1" locked="0" behindDoc="0" simplePos="0" relativeHeight="15813120">
            <wp:simplePos x="0" y="0"/>
            <wp:positionH relativeFrom="page">
              <wp:posOffset>1115567</wp:posOffset>
            </wp:positionH>
            <wp:positionV relativeFrom="page">
              <wp:posOffset>3822192</wp:posOffset>
            </wp:positionV>
            <wp:extent cx="143271" cy="144779"/>
            <wp:effectExtent l="0" t="0" r="0" b="0"/>
            <wp:wrapNone/>
            <wp:docPr id="131" name="image61.jpeg"/>
            <wp:cNvGraphicFramePr>
              <a:graphicFrameLocks noChangeAspect="1"/>
            </wp:cNvGraphicFramePr>
            <a:graphic>
              <a:graphicData uri="http://schemas.openxmlformats.org/drawingml/2006/picture">
                <pic:pic>
                  <pic:nvPicPr>
                    <pic:cNvPr id="132" name="image61.jpeg"/>
                    <pic:cNvPicPr/>
                  </pic:nvPicPr>
                  <pic:blipFill>
                    <a:blip r:embed="rId133" cstate="print"/>
                    <a:stretch>
                      <a:fillRect/>
                    </a:stretch>
                  </pic:blipFill>
                  <pic:spPr>
                    <a:xfrm>
                      <a:off x="0" y="0"/>
                      <a:ext cx="143271" cy="144779"/>
                    </a:xfrm>
                    <a:prstGeom prst="rect">
                      <a:avLst/>
                    </a:prstGeom>
                  </pic:spPr>
                </pic:pic>
              </a:graphicData>
            </a:graphic>
          </wp:anchor>
        </w:drawing>
      </w:r>
      <w:r>
        <w:rPr/>
        <w:drawing>
          <wp:anchor distT="0" distB="0" distL="0" distR="0" allowOverlap="1" layoutInCell="1" locked="0" behindDoc="0" simplePos="0" relativeHeight="15813632">
            <wp:simplePos x="0" y="0"/>
            <wp:positionH relativeFrom="page">
              <wp:posOffset>1115567</wp:posOffset>
            </wp:positionH>
            <wp:positionV relativeFrom="page">
              <wp:posOffset>4119372</wp:posOffset>
            </wp:positionV>
            <wp:extent cx="144780" cy="143255"/>
            <wp:effectExtent l="0" t="0" r="0" b="0"/>
            <wp:wrapNone/>
            <wp:docPr id="133" name="image62.jpeg"/>
            <wp:cNvGraphicFramePr>
              <a:graphicFrameLocks noChangeAspect="1"/>
            </wp:cNvGraphicFramePr>
            <a:graphic>
              <a:graphicData uri="http://schemas.openxmlformats.org/drawingml/2006/picture">
                <pic:pic>
                  <pic:nvPicPr>
                    <pic:cNvPr id="134" name="image62.jpeg"/>
                    <pic:cNvPicPr/>
                  </pic:nvPicPr>
                  <pic:blipFill>
                    <a:blip r:embed="rId134" cstate="print"/>
                    <a:stretch>
                      <a:fillRect/>
                    </a:stretch>
                  </pic:blipFill>
                  <pic:spPr>
                    <a:xfrm>
                      <a:off x="0" y="0"/>
                      <a:ext cx="144780" cy="143255"/>
                    </a:xfrm>
                    <a:prstGeom prst="rect">
                      <a:avLst/>
                    </a:prstGeom>
                  </pic:spPr>
                </pic:pic>
              </a:graphicData>
            </a:graphic>
          </wp:anchor>
        </w:drawing>
      </w:r>
      <w:r>
        <w:rPr/>
        <w:drawing>
          <wp:anchor distT="0" distB="0" distL="0" distR="0" allowOverlap="1" layoutInCell="1" locked="0" behindDoc="0" simplePos="0" relativeHeight="15814144">
            <wp:simplePos x="0" y="0"/>
            <wp:positionH relativeFrom="page">
              <wp:posOffset>1115567</wp:posOffset>
            </wp:positionH>
            <wp:positionV relativeFrom="page">
              <wp:posOffset>4416552</wp:posOffset>
            </wp:positionV>
            <wp:extent cx="144779" cy="141732"/>
            <wp:effectExtent l="0" t="0" r="0" b="0"/>
            <wp:wrapNone/>
            <wp:docPr id="135" name="image63.jpeg"/>
            <wp:cNvGraphicFramePr>
              <a:graphicFrameLocks noChangeAspect="1"/>
            </wp:cNvGraphicFramePr>
            <a:graphic>
              <a:graphicData uri="http://schemas.openxmlformats.org/drawingml/2006/picture">
                <pic:pic>
                  <pic:nvPicPr>
                    <pic:cNvPr id="136" name="image63.jpeg"/>
                    <pic:cNvPicPr/>
                  </pic:nvPicPr>
                  <pic:blipFill>
                    <a:blip r:embed="rId135" cstate="print"/>
                    <a:stretch>
                      <a:fillRect/>
                    </a:stretch>
                  </pic:blipFill>
                  <pic:spPr>
                    <a:xfrm>
                      <a:off x="0" y="0"/>
                      <a:ext cx="144779" cy="141732"/>
                    </a:xfrm>
                    <a:prstGeom prst="rect">
                      <a:avLst/>
                    </a:prstGeom>
                  </pic:spPr>
                </pic:pic>
              </a:graphicData>
            </a:graphic>
          </wp:anchor>
        </w:drawing>
      </w:r>
      <w:r>
        <w:rPr/>
        <w:drawing>
          <wp:anchor distT="0" distB="0" distL="0" distR="0" allowOverlap="1" layoutInCell="1" locked="0" behindDoc="0" simplePos="0" relativeHeight="15814656">
            <wp:simplePos x="0" y="0"/>
            <wp:positionH relativeFrom="page">
              <wp:posOffset>1115567</wp:posOffset>
            </wp:positionH>
            <wp:positionV relativeFrom="page">
              <wp:posOffset>4713732</wp:posOffset>
            </wp:positionV>
            <wp:extent cx="144779" cy="134112"/>
            <wp:effectExtent l="0" t="0" r="0" b="0"/>
            <wp:wrapNone/>
            <wp:docPr id="137" name="image64.jpeg"/>
            <wp:cNvGraphicFramePr>
              <a:graphicFrameLocks noChangeAspect="1"/>
            </wp:cNvGraphicFramePr>
            <a:graphic>
              <a:graphicData uri="http://schemas.openxmlformats.org/drawingml/2006/picture">
                <pic:pic>
                  <pic:nvPicPr>
                    <pic:cNvPr id="138" name="image64.jpeg"/>
                    <pic:cNvPicPr/>
                  </pic:nvPicPr>
                  <pic:blipFill>
                    <a:blip r:embed="rId136" cstate="print"/>
                    <a:stretch>
                      <a:fillRect/>
                    </a:stretch>
                  </pic:blipFill>
                  <pic:spPr>
                    <a:xfrm>
                      <a:off x="0" y="0"/>
                      <a:ext cx="144779" cy="134112"/>
                    </a:xfrm>
                    <a:prstGeom prst="rect">
                      <a:avLst/>
                    </a:prstGeom>
                  </pic:spPr>
                </pic:pic>
              </a:graphicData>
            </a:graphic>
          </wp:anchor>
        </w:drawing>
      </w:r>
      <w:r>
        <w:rPr/>
        <w:drawing>
          <wp:anchor distT="0" distB="0" distL="0" distR="0" allowOverlap="1" layoutInCell="1" locked="0" behindDoc="0" simplePos="0" relativeHeight="15815168">
            <wp:simplePos x="0" y="0"/>
            <wp:positionH relativeFrom="page">
              <wp:posOffset>1115567</wp:posOffset>
            </wp:positionH>
            <wp:positionV relativeFrom="page">
              <wp:posOffset>5012436</wp:posOffset>
            </wp:positionV>
            <wp:extent cx="144779" cy="134112"/>
            <wp:effectExtent l="0" t="0" r="0" b="0"/>
            <wp:wrapNone/>
            <wp:docPr id="139" name="image65.jpeg"/>
            <wp:cNvGraphicFramePr>
              <a:graphicFrameLocks noChangeAspect="1"/>
            </wp:cNvGraphicFramePr>
            <a:graphic>
              <a:graphicData uri="http://schemas.openxmlformats.org/drawingml/2006/picture">
                <pic:pic>
                  <pic:nvPicPr>
                    <pic:cNvPr id="140" name="image65.jpeg"/>
                    <pic:cNvPicPr/>
                  </pic:nvPicPr>
                  <pic:blipFill>
                    <a:blip r:embed="rId137" cstate="print"/>
                    <a:stretch>
                      <a:fillRect/>
                    </a:stretch>
                  </pic:blipFill>
                  <pic:spPr>
                    <a:xfrm>
                      <a:off x="0" y="0"/>
                      <a:ext cx="144779" cy="134112"/>
                    </a:xfrm>
                    <a:prstGeom prst="rect">
                      <a:avLst/>
                    </a:prstGeom>
                  </pic:spPr>
                </pic:pic>
              </a:graphicData>
            </a:graphic>
          </wp:anchor>
        </w:drawing>
      </w:r>
      <w:r>
        <w:rPr/>
        <w:drawing>
          <wp:anchor distT="0" distB="0" distL="0" distR="0" allowOverlap="1" layoutInCell="1" locked="0" behindDoc="0" simplePos="0" relativeHeight="15815680">
            <wp:simplePos x="0" y="0"/>
            <wp:positionH relativeFrom="page">
              <wp:posOffset>1115567</wp:posOffset>
            </wp:positionH>
            <wp:positionV relativeFrom="page">
              <wp:posOffset>5309616</wp:posOffset>
            </wp:positionV>
            <wp:extent cx="144780" cy="132587"/>
            <wp:effectExtent l="0" t="0" r="0" b="0"/>
            <wp:wrapNone/>
            <wp:docPr id="141" name="image66.jpeg"/>
            <wp:cNvGraphicFramePr>
              <a:graphicFrameLocks noChangeAspect="1"/>
            </wp:cNvGraphicFramePr>
            <a:graphic>
              <a:graphicData uri="http://schemas.openxmlformats.org/drawingml/2006/picture">
                <pic:pic>
                  <pic:nvPicPr>
                    <pic:cNvPr id="142" name="image66.jpeg"/>
                    <pic:cNvPicPr/>
                  </pic:nvPicPr>
                  <pic:blipFill>
                    <a:blip r:embed="rId138" cstate="print"/>
                    <a:stretch>
                      <a:fillRect/>
                    </a:stretch>
                  </pic:blipFill>
                  <pic:spPr>
                    <a:xfrm>
                      <a:off x="0" y="0"/>
                      <a:ext cx="144780" cy="132587"/>
                    </a:xfrm>
                    <a:prstGeom prst="rect">
                      <a:avLst/>
                    </a:prstGeom>
                  </pic:spPr>
                </pic:pic>
              </a:graphicData>
            </a:graphic>
          </wp:anchor>
        </w:drawing>
      </w:r>
      <w:r>
        <w:rPr/>
        <w:drawing>
          <wp:anchor distT="0" distB="0" distL="0" distR="0" allowOverlap="1" layoutInCell="1" locked="0" behindDoc="0" simplePos="0" relativeHeight="15816192">
            <wp:simplePos x="0" y="0"/>
            <wp:positionH relativeFrom="page">
              <wp:posOffset>1115567</wp:posOffset>
            </wp:positionH>
            <wp:positionV relativeFrom="page">
              <wp:posOffset>5597652</wp:posOffset>
            </wp:positionV>
            <wp:extent cx="144780" cy="141732"/>
            <wp:effectExtent l="0" t="0" r="0" b="0"/>
            <wp:wrapNone/>
            <wp:docPr id="143" name="image57.jpeg"/>
            <wp:cNvGraphicFramePr>
              <a:graphicFrameLocks noChangeAspect="1"/>
            </wp:cNvGraphicFramePr>
            <a:graphic>
              <a:graphicData uri="http://schemas.openxmlformats.org/drawingml/2006/picture">
                <pic:pic>
                  <pic:nvPicPr>
                    <pic:cNvPr id="144" name="image57.jpeg"/>
                    <pic:cNvPicPr/>
                  </pic:nvPicPr>
                  <pic:blipFill>
                    <a:blip r:embed="rId129" cstate="print"/>
                    <a:stretch>
                      <a:fillRect/>
                    </a:stretch>
                  </pic:blipFill>
                  <pic:spPr>
                    <a:xfrm>
                      <a:off x="0" y="0"/>
                      <a:ext cx="144780" cy="141732"/>
                    </a:xfrm>
                    <a:prstGeom prst="rect">
                      <a:avLst/>
                    </a:prstGeom>
                  </pic:spPr>
                </pic:pic>
              </a:graphicData>
            </a:graphic>
          </wp:anchor>
        </w:drawing>
      </w:r>
      <w:r>
        <w:rPr/>
        <w:drawing>
          <wp:anchor distT="0" distB="0" distL="0" distR="0" allowOverlap="1" layoutInCell="1" locked="0" behindDoc="0" simplePos="0" relativeHeight="15816704">
            <wp:simplePos x="0" y="0"/>
            <wp:positionH relativeFrom="page">
              <wp:posOffset>1115567</wp:posOffset>
            </wp:positionH>
            <wp:positionV relativeFrom="page">
              <wp:posOffset>5893308</wp:posOffset>
            </wp:positionV>
            <wp:extent cx="143256" cy="143255"/>
            <wp:effectExtent l="0" t="0" r="0" b="0"/>
            <wp:wrapNone/>
            <wp:docPr id="145" name="image67.jpeg"/>
            <wp:cNvGraphicFramePr>
              <a:graphicFrameLocks noChangeAspect="1"/>
            </wp:cNvGraphicFramePr>
            <a:graphic>
              <a:graphicData uri="http://schemas.openxmlformats.org/drawingml/2006/picture">
                <pic:pic>
                  <pic:nvPicPr>
                    <pic:cNvPr id="146" name="image67.jpeg"/>
                    <pic:cNvPicPr/>
                  </pic:nvPicPr>
                  <pic:blipFill>
                    <a:blip r:embed="rId139" cstate="print"/>
                    <a:stretch>
                      <a:fillRect/>
                    </a:stretch>
                  </pic:blipFill>
                  <pic:spPr>
                    <a:xfrm>
                      <a:off x="0" y="0"/>
                      <a:ext cx="143256" cy="143255"/>
                    </a:xfrm>
                    <a:prstGeom prst="rect">
                      <a:avLst/>
                    </a:prstGeom>
                  </pic:spPr>
                </pic:pic>
              </a:graphicData>
            </a:graphic>
          </wp:anchor>
        </w:drawing>
      </w:r>
      <w:r>
        <w:rPr/>
        <w:drawing>
          <wp:anchor distT="0" distB="0" distL="0" distR="0" allowOverlap="1" layoutInCell="1" locked="0" behindDoc="0" simplePos="0" relativeHeight="15817216">
            <wp:simplePos x="0" y="0"/>
            <wp:positionH relativeFrom="page">
              <wp:posOffset>1115567</wp:posOffset>
            </wp:positionH>
            <wp:positionV relativeFrom="page">
              <wp:posOffset>6188964</wp:posOffset>
            </wp:positionV>
            <wp:extent cx="144780" cy="144779"/>
            <wp:effectExtent l="0" t="0" r="0" b="0"/>
            <wp:wrapNone/>
            <wp:docPr id="147" name="image59.jpeg"/>
            <wp:cNvGraphicFramePr>
              <a:graphicFrameLocks noChangeAspect="1"/>
            </wp:cNvGraphicFramePr>
            <a:graphic>
              <a:graphicData uri="http://schemas.openxmlformats.org/drawingml/2006/picture">
                <pic:pic>
                  <pic:nvPicPr>
                    <pic:cNvPr id="148" name="image59.jpeg"/>
                    <pic:cNvPicPr/>
                  </pic:nvPicPr>
                  <pic:blipFill>
                    <a:blip r:embed="rId131" cstate="print"/>
                    <a:stretch>
                      <a:fillRect/>
                    </a:stretch>
                  </pic:blipFill>
                  <pic:spPr>
                    <a:xfrm>
                      <a:off x="0" y="0"/>
                      <a:ext cx="144780" cy="144779"/>
                    </a:xfrm>
                    <a:prstGeom prst="rect">
                      <a:avLst/>
                    </a:prstGeom>
                  </pic:spPr>
                </pic:pic>
              </a:graphicData>
            </a:graphic>
          </wp:anchor>
        </w:drawing>
      </w:r>
      <w:r>
        <w:rPr/>
        <w:drawing>
          <wp:anchor distT="0" distB="0" distL="0" distR="0" allowOverlap="1" layoutInCell="1" locked="0" behindDoc="0" simplePos="0" relativeHeight="15817728">
            <wp:simplePos x="0" y="0"/>
            <wp:positionH relativeFrom="page">
              <wp:posOffset>1115567</wp:posOffset>
            </wp:positionH>
            <wp:positionV relativeFrom="page">
              <wp:posOffset>6484620</wp:posOffset>
            </wp:positionV>
            <wp:extent cx="144780" cy="144779"/>
            <wp:effectExtent l="0" t="0" r="0" b="0"/>
            <wp:wrapNone/>
            <wp:docPr id="149" name="image60.jpeg"/>
            <wp:cNvGraphicFramePr>
              <a:graphicFrameLocks noChangeAspect="1"/>
            </wp:cNvGraphicFramePr>
            <a:graphic>
              <a:graphicData uri="http://schemas.openxmlformats.org/drawingml/2006/picture">
                <pic:pic>
                  <pic:nvPicPr>
                    <pic:cNvPr id="150" name="image60.jpeg"/>
                    <pic:cNvPicPr/>
                  </pic:nvPicPr>
                  <pic:blipFill>
                    <a:blip r:embed="rId132" cstate="print"/>
                    <a:stretch>
                      <a:fillRect/>
                    </a:stretch>
                  </pic:blipFill>
                  <pic:spPr>
                    <a:xfrm>
                      <a:off x="0" y="0"/>
                      <a:ext cx="144780" cy="144779"/>
                    </a:xfrm>
                    <a:prstGeom prst="rect">
                      <a:avLst/>
                    </a:prstGeom>
                  </pic:spPr>
                </pic:pic>
              </a:graphicData>
            </a:graphic>
          </wp:anchor>
        </w:drawing>
      </w:r>
      <w:r>
        <w:rPr/>
        <w:drawing>
          <wp:anchor distT="0" distB="0" distL="0" distR="0" allowOverlap="1" layoutInCell="1" locked="0" behindDoc="0" simplePos="0" relativeHeight="15818240">
            <wp:simplePos x="0" y="0"/>
            <wp:positionH relativeFrom="page">
              <wp:posOffset>1115567</wp:posOffset>
            </wp:positionH>
            <wp:positionV relativeFrom="page">
              <wp:posOffset>6780276</wp:posOffset>
            </wp:positionV>
            <wp:extent cx="144780" cy="144779"/>
            <wp:effectExtent l="0" t="0" r="0" b="0"/>
            <wp:wrapNone/>
            <wp:docPr id="151" name="image61.jpeg"/>
            <wp:cNvGraphicFramePr>
              <a:graphicFrameLocks noChangeAspect="1"/>
            </wp:cNvGraphicFramePr>
            <a:graphic>
              <a:graphicData uri="http://schemas.openxmlformats.org/drawingml/2006/picture">
                <pic:pic>
                  <pic:nvPicPr>
                    <pic:cNvPr id="152" name="image61.jpeg"/>
                    <pic:cNvPicPr/>
                  </pic:nvPicPr>
                  <pic:blipFill>
                    <a:blip r:embed="rId133" cstate="print"/>
                    <a:stretch>
                      <a:fillRect/>
                    </a:stretch>
                  </pic:blipFill>
                  <pic:spPr>
                    <a:xfrm>
                      <a:off x="0" y="0"/>
                      <a:ext cx="144780" cy="144779"/>
                    </a:xfrm>
                    <a:prstGeom prst="rect">
                      <a:avLst/>
                    </a:prstGeom>
                  </pic:spPr>
                </pic:pic>
              </a:graphicData>
            </a:graphic>
          </wp:anchor>
        </w:drawing>
      </w:r>
      <w:r>
        <w:rPr/>
        <w:drawing>
          <wp:anchor distT="0" distB="0" distL="0" distR="0" allowOverlap="1" layoutInCell="1" locked="0" behindDoc="0" simplePos="0" relativeHeight="15821312">
            <wp:simplePos x="0" y="0"/>
            <wp:positionH relativeFrom="page">
              <wp:posOffset>3650230</wp:posOffset>
            </wp:positionH>
            <wp:positionV relativeFrom="page">
              <wp:posOffset>3974639</wp:posOffset>
            </wp:positionV>
            <wp:extent cx="3229547" cy="2292096"/>
            <wp:effectExtent l="0" t="0" r="0" b="0"/>
            <wp:wrapNone/>
            <wp:docPr id="153" name="image68.png"/>
            <wp:cNvGraphicFramePr>
              <a:graphicFrameLocks noChangeAspect="1"/>
            </wp:cNvGraphicFramePr>
            <a:graphic>
              <a:graphicData uri="http://schemas.openxmlformats.org/drawingml/2006/picture">
                <pic:pic>
                  <pic:nvPicPr>
                    <pic:cNvPr id="154" name="image68.png"/>
                    <pic:cNvPicPr/>
                  </pic:nvPicPr>
                  <pic:blipFill>
                    <a:blip r:embed="rId140" cstate="print"/>
                    <a:stretch>
                      <a:fillRect/>
                    </a:stretch>
                  </pic:blipFill>
                  <pic:spPr>
                    <a:xfrm>
                      <a:off x="0" y="0"/>
                      <a:ext cx="3229547" cy="2292096"/>
                    </a:xfrm>
                    <a:prstGeom prst="rect">
                      <a:avLst/>
                    </a:prstGeom>
                  </pic:spPr>
                </pic:pic>
              </a:graphicData>
            </a:graphic>
          </wp:anchor>
        </w:drawing>
      </w:r>
      <w:r>
        <w:rPr>
          <w:rFonts w:ascii="Arial"/>
          <w:color w:val="262626"/>
          <w:w w:val="105"/>
          <w:sz w:val="23"/>
        </w:rPr>
        <w:t>What</w:t>
      </w:r>
      <w:r>
        <w:rPr>
          <w:rFonts w:ascii="Arial"/>
          <w:color w:val="262626"/>
          <w:spacing w:val="5"/>
          <w:w w:val="105"/>
          <w:sz w:val="23"/>
        </w:rPr>
        <w:t> </w:t>
      </w:r>
      <w:r>
        <w:rPr>
          <w:rFonts w:ascii="Arial"/>
          <w:color w:val="262626"/>
          <w:w w:val="105"/>
          <w:sz w:val="23"/>
        </w:rPr>
        <w:t>department/</w:t>
      </w:r>
      <w:r>
        <w:rPr>
          <w:rFonts w:ascii="Arial"/>
          <w:color w:val="262626"/>
          <w:spacing w:val="24"/>
          <w:w w:val="105"/>
          <w:sz w:val="23"/>
        </w:rPr>
        <w:t> </w:t>
      </w:r>
      <w:r>
        <w:rPr>
          <w:rFonts w:ascii="Arial"/>
          <w:color w:val="262626"/>
          <w:w w:val="105"/>
          <w:sz w:val="23"/>
        </w:rPr>
        <w:t>division</w:t>
      </w:r>
      <w:r>
        <w:rPr>
          <w:rFonts w:ascii="Arial"/>
          <w:color w:val="262626"/>
          <w:spacing w:val="10"/>
          <w:w w:val="105"/>
          <w:sz w:val="23"/>
        </w:rPr>
        <w:t> </w:t>
      </w:r>
      <w:r>
        <w:rPr>
          <w:rFonts w:ascii="Arial"/>
          <w:color w:val="262626"/>
          <w:w w:val="105"/>
          <w:sz w:val="23"/>
        </w:rPr>
        <w:t>do</w:t>
      </w:r>
      <w:r>
        <w:rPr>
          <w:rFonts w:ascii="Arial"/>
          <w:color w:val="262626"/>
          <w:spacing w:val="-2"/>
          <w:w w:val="105"/>
          <w:sz w:val="23"/>
        </w:rPr>
        <w:t> </w:t>
      </w:r>
      <w:r>
        <w:rPr>
          <w:rFonts w:ascii="Arial"/>
          <w:color w:val="262626"/>
          <w:w w:val="105"/>
          <w:sz w:val="23"/>
        </w:rPr>
        <w:t>you</w:t>
      </w:r>
      <w:r>
        <w:rPr>
          <w:rFonts w:ascii="Arial"/>
          <w:color w:val="262626"/>
          <w:spacing w:val="-4"/>
          <w:w w:val="105"/>
          <w:sz w:val="23"/>
        </w:rPr>
        <w:t> </w:t>
      </w:r>
      <w:r>
        <w:rPr>
          <w:rFonts w:ascii="Arial"/>
          <w:color w:val="262626"/>
          <w:w w:val="105"/>
          <w:sz w:val="23"/>
        </w:rPr>
        <w:t>currently</w:t>
      </w:r>
      <w:r>
        <w:rPr>
          <w:rFonts w:ascii="Arial"/>
          <w:color w:val="262626"/>
          <w:spacing w:val="14"/>
          <w:w w:val="105"/>
          <w:sz w:val="23"/>
        </w:rPr>
        <w:t> </w:t>
      </w:r>
      <w:r>
        <w:rPr>
          <w:rFonts w:ascii="Arial"/>
          <w:color w:val="262626"/>
          <w:w w:val="105"/>
          <w:sz w:val="23"/>
        </w:rPr>
        <w:t>work</w:t>
      </w:r>
      <w:r>
        <w:rPr>
          <w:rFonts w:ascii="Arial"/>
          <w:color w:val="262626"/>
          <w:spacing w:val="8"/>
          <w:w w:val="105"/>
          <w:sz w:val="23"/>
        </w:rPr>
        <w:t> </w:t>
      </w:r>
      <w:r>
        <w:rPr>
          <w:rFonts w:ascii="Arial"/>
          <w:color w:val="262626"/>
          <w:spacing w:val="-4"/>
          <w:w w:val="105"/>
          <w:sz w:val="23"/>
        </w:rPr>
        <w:t>for?</w:t>
      </w:r>
    </w:p>
    <w:p>
      <w:pPr>
        <w:pStyle w:val="BodyText"/>
        <w:rPr>
          <w:rFonts w:ascii="Arial"/>
          <w:sz w:val="20"/>
        </w:rPr>
      </w:pPr>
    </w:p>
    <w:p>
      <w:pPr>
        <w:pStyle w:val="BodyText"/>
        <w:rPr>
          <w:rFonts w:ascii="Arial"/>
          <w:sz w:val="20"/>
        </w:rPr>
      </w:pPr>
    </w:p>
    <w:p>
      <w:pPr>
        <w:pStyle w:val="BodyText"/>
        <w:spacing w:before="10"/>
        <w:rPr>
          <w:rFonts w:ascii="Arial"/>
          <w:sz w:val="16"/>
        </w:rPr>
      </w:pPr>
    </w:p>
    <w:tbl>
      <w:tblPr>
        <w:tblW w:w="0" w:type="auto"/>
        <w:jc w:val="left"/>
        <w:tblInd w:w="21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797"/>
        <w:gridCol w:w="329"/>
      </w:tblGrid>
      <w:tr>
        <w:trPr>
          <w:trHeight w:val="348" w:hRule="atLeast"/>
        </w:trPr>
        <w:tc>
          <w:tcPr>
            <w:tcW w:w="2797" w:type="dxa"/>
          </w:tcPr>
          <w:p>
            <w:pPr>
              <w:pStyle w:val="TableParagraph"/>
              <w:spacing w:before="7"/>
              <w:ind w:left="58"/>
              <w:rPr>
                <w:rFonts w:ascii="Arial"/>
                <w:sz w:val="17"/>
              </w:rPr>
            </w:pPr>
            <w:r>
              <w:rPr>
                <w:rFonts w:ascii="Arial"/>
                <w:color w:val="262626"/>
                <w:sz w:val="17"/>
              </w:rPr>
              <w:t>Accounts</w:t>
            </w:r>
            <w:r>
              <w:rPr>
                <w:rFonts w:ascii="Arial"/>
                <w:color w:val="262626"/>
                <w:spacing w:val="25"/>
                <w:sz w:val="17"/>
              </w:rPr>
              <w:t> </w:t>
            </w:r>
            <w:r>
              <w:rPr>
                <w:rFonts w:ascii="Arial"/>
                <w:color w:val="262626"/>
                <w:spacing w:val="-2"/>
                <w:sz w:val="17"/>
              </w:rPr>
              <w:t>Payable</w:t>
            </w:r>
          </w:p>
        </w:tc>
        <w:tc>
          <w:tcPr>
            <w:tcW w:w="329" w:type="dxa"/>
          </w:tcPr>
          <w:p>
            <w:pPr>
              <w:pStyle w:val="TableParagraph"/>
              <w:ind w:left="27" w:right="18"/>
              <w:jc w:val="center"/>
              <w:rPr>
                <w:rFonts w:ascii="Courier New"/>
                <w:sz w:val="20"/>
              </w:rPr>
            </w:pPr>
            <w:r>
              <w:rPr>
                <w:rFonts w:ascii="Courier New"/>
                <w:color w:val="262626"/>
                <w:spacing w:val="-5"/>
                <w:w w:val="90"/>
                <w:sz w:val="20"/>
              </w:rPr>
              <w:t>19</w:t>
            </w:r>
          </w:p>
        </w:tc>
      </w:tr>
      <w:tr>
        <w:trPr>
          <w:trHeight w:val="471" w:hRule="atLeast"/>
        </w:trPr>
        <w:tc>
          <w:tcPr>
            <w:tcW w:w="2797" w:type="dxa"/>
          </w:tcPr>
          <w:p>
            <w:pPr>
              <w:pStyle w:val="TableParagraph"/>
              <w:spacing w:before="129"/>
              <w:ind w:left="58"/>
              <w:rPr>
                <w:rFonts w:ascii="Arial"/>
                <w:sz w:val="17"/>
              </w:rPr>
            </w:pPr>
            <w:r>
              <w:rPr>
                <w:rFonts w:ascii="Arial"/>
                <w:color w:val="262626"/>
                <w:sz w:val="17"/>
              </w:rPr>
              <w:t>Audit</w:t>
            </w:r>
            <w:r>
              <w:rPr>
                <w:rFonts w:ascii="Arial"/>
                <w:color w:val="262626"/>
                <w:spacing w:val="15"/>
                <w:sz w:val="17"/>
              </w:rPr>
              <w:t> </w:t>
            </w:r>
            <w:r>
              <w:rPr>
                <w:rFonts w:ascii="Arial"/>
                <w:color w:val="262626"/>
                <w:sz w:val="17"/>
              </w:rPr>
              <w:t>and</w:t>
            </w:r>
            <w:r>
              <w:rPr>
                <w:rFonts w:ascii="Arial"/>
                <w:color w:val="262626"/>
                <w:spacing w:val="11"/>
                <w:sz w:val="17"/>
              </w:rPr>
              <w:t> </w:t>
            </w:r>
            <w:r>
              <w:rPr>
                <w:rFonts w:ascii="Arial"/>
                <w:color w:val="262626"/>
                <w:sz w:val="17"/>
              </w:rPr>
              <w:t>Assurance</w:t>
            </w:r>
            <w:r>
              <w:rPr>
                <w:rFonts w:ascii="Arial"/>
                <w:color w:val="262626"/>
                <w:spacing w:val="22"/>
                <w:sz w:val="17"/>
              </w:rPr>
              <w:t> </w:t>
            </w:r>
            <w:r>
              <w:rPr>
                <w:rFonts w:ascii="Arial"/>
                <w:color w:val="262626"/>
                <w:spacing w:val="-2"/>
                <w:sz w:val="17"/>
              </w:rPr>
              <w:t>Services</w:t>
            </w:r>
          </w:p>
        </w:tc>
        <w:tc>
          <w:tcPr>
            <w:tcW w:w="329" w:type="dxa"/>
          </w:tcPr>
          <w:p>
            <w:pPr>
              <w:pStyle w:val="TableParagraph"/>
              <w:spacing w:before="122"/>
              <w:ind w:left="27" w:right="14"/>
              <w:jc w:val="center"/>
              <w:rPr>
                <w:rFonts w:ascii="Courier New"/>
                <w:sz w:val="20"/>
              </w:rPr>
            </w:pPr>
            <w:r>
              <w:rPr>
                <w:rFonts w:ascii="Courier New"/>
                <w:color w:val="262626"/>
                <w:spacing w:val="-5"/>
                <w:w w:val="95"/>
                <w:sz w:val="20"/>
              </w:rPr>
              <w:t>16</w:t>
            </w:r>
          </w:p>
        </w:tc>
      </w:tr>
      <w:tr>
        <w:trPr>
          <w:trHeight w:val="456" w:hRule="atLeast"/>
        </w:trPr>
        <w:tc>
          <w:tcPr>
            <w:tcW w:w="2797" w:type="dxa"/>
          </w:tcPr>
          <w:p>
            <w:pPr>
              <w:pStyle w:val="TableParagraph"/>
              <w:spacing w:before="119"/>
              <w:ind w:left="50"/>
              <w:rPr>
                <w:rFonts w:ascii="Arial"/>
                <w:sz w:val="17"/>
              </w:rPr>
            </w:pPr>
            <w:r>
              <w:rPr>
                <w:rFonts w:ascii="Arial"/>
                <w:color w:val="262626"/>
                <w:sz w:val="17"/>
              </w:rPr>
              <w:t>Central</w:t>
            </w:r>
            <w:r>
              <w:rPr>
                <w:rFonts w:ascii="Arial"/>
                <w:color w:val="262626"/>
                <w:spacing w:val="-10"/>
                <w:sz w:val="17"/>
              </w:rPr>
              <w:t> </w:t>
            </w:r>
            <w:r>
              <w:rPr>
                <w:rFonts w:ascii="Arial"/>
                <w:color w:val="262626"/>
                <w:sz w:val="17"/>
              </w:rPr>
              <w:t>E</w:t>
            </w:r>
            <w:r>
              <w:rPr>
                <w:rFonts w:ascii="Arial"/>
                <w:color w:val="262626"/>
                <w:spacing w:val="-12"/>
                <w:sz w:val="17"/>
              </w:rPr>
              <w:t> </w:t>
            </w:r>
            <w:r>
              <w:rPr>
                <w:rFonts w:ascii="Arial"/>
                <w:color w:val="262626"/>
                <w:sz w:val="17"/>
              </w:rPr>
              <w:t>Business</w:t>
            </w:r>
            <w:r>
              <w:rPr>
                <w:rFonts w:ascii="Arial"/>
                <w:color w:val="262626"/>
                <w:spacing w:val="-2"/>
                <w:sz w:val="17"/>
              </w:rPr>
              <w:t> </w:t>
            </w:r>
            <w:r>
              <w:rPr>
                <w:rFonts w:ascii="Arial"/>
                <w:color w:val="262626"/>
                <w:spacing w:val="-4"/>
                <w:sz w:val="17"/>
              </w:rPr>
              <w:t>Team</w:t>
            </w:r>
          </w:p>
        </w:tc>
        <w:tc>
          <w:tcPr>
            <w:tcW w:w="329" w:type="dxa"/>
          </w:tcPr>
          <w:p>
            <w:pPr>
              <w:pStyle w:val="TableParagraph"/>
              <w:spacing w:before="115"/>
              <w:ind w:right="84"/>
              <w:jc w:val="center"/>
              <w:rPr>
                <w:rFonts w:ascii="Times New Roman"/>
                <w:sz w:val="18"/>
              </w:rPr>
            </w:pPr>
            <w:r>
              <w:rPr>
                <w:rFonts w:ascii="Times New Roman"/>
                <w:color w:val="262626"/>
                <w:w w:val="110"/>
                <w:sz w:val="18"/>
              </w:rPr>
              <w:t>0</w:t>
            </w:r>
          </w:p>
        </w:tc>
      </w:tr>
      <w:tr>
        <w:trPr>
          <w:trHeight w:val="460" w:hRule="atLeast"/>
        </w:trPr>
        <w:tc>
          <w:tcPr>
            <w:tcW w:w="2797" w:type="dxa"/>
          </w:tcPr>
          <w:p>
            <w:pPr>
              <w:pStyle w:val="TableParagraph"/>
              <w:spacing w:before="128"/>
              <w:ind w:left="50"/>
              <w:rPr>
                <w:rFonts w:ascii="Arial"/>
                <w:sz w:val="17"/>
              </w:rPr>
            </w:pPr>
            <w:r>
              <w:rPr>
                <w:rFonts w:ascii="Arial"/>
                <w:color w:val="262626"/>
                <w:sz w:val="17"/>
              </w:rPr>
              <w:t>Counter</w:t>
            </w:r>
            <w:r>
              <w:rPr>
                <w:rFonts w:ascii="Arial"/>
                <w:color w:val="262626"/>
                <w:spacing w:val="17"/>
                <w:sz w:val="17"/>
              </w:rPr>
              <w:t> </w:t>
            </w:r>
            <w:r>
              <w:rPr>
                <w:rFonts w:ascii="Arial"/>
                <w:color w:val="262626"/>
                <w:sz w:val="17"/>
              </w:rPr>
              <w:t>Fraud</w:t>
            </w:r>
            <w:r>
              <w:rPr>
                <w:rFonts w:ascii="Arial"/>
                <w:color w:val="262626"/>
                <w:spacing w:val="21"/>
                <w:sz w:val="17"/>
              </w:rPr>
              <w:t> </w:t>
            </w:r>
            <w:r>
              <w:rPr>
                <w:rFonts w:ascii="Arial"/>
                <w:color w:val="262626"/>
                <w:spacing w:val="-2"/>
                <w:sz w:val="17"/>
              </w:rPr>
              <w:t>Wales</w:t>
            </w:r>
          </w:p>
        </w:tc>
        <w:tc>
          <w:tcPr>
            <w:tcW w:w="329" w:type="dxa"/>
          </w:tcPr>
          <w:p>
            <w:pPr>
              <w:pStyle w:val="TableParagraph"/>
              <w:spacing w:before="133"/>
              <w:ind w:right="86"/>
              <w:jc w:val="center"/>
              <w:rPr>
                <w:rFonts w:ascii="Arial"/>
                <w:sz w:val="17"/>
              </w:rPr>
            </w:pPr>
            <w:r>
              <w:rPr>
                <w:rFonts w:ascii="Arial"/>
                <w:color w:val="262626"/>
                <w:w w:val="94"/>
                <w:sz w:val="17"/>
              </w:rPr>
              <w:t>3</w:t>
            </w:r>
          </w:p>
        </w:tc>
      </w:tr>
      <w:tr>
        <w:trPr>
          <w:trHeight w:val="478" w:hRule="atLeast"/>
        </w:trPr>
        <w:tc>
          <w:tcPr>
            <w:tcW w:w="2797" w:type="dxa"/>
          </w:tcPr>
          <w:p>
            <w:pPr>
              <w:pStyle w:val="TableParagraph"/>
              <w:spacing w:before="139"/>
              <w:ind w:left="55"/>
              <w:rPr>
                <w:rFonts w:ascii="Arial"/>
                <w:sz w:val="17"/>
              </w:rPr>
            </w:pPr>
            <w:r>
              <w:rPr>
                <w:rFonts w:ascii="Arial"/>
                <w:color w:val="262626"/>
                <w:w w:val="105"/>
                <w:sz w:val="17"/>
              </w:rPr>
              <w:t>Digital Wrokforce</w:t>
            </w:r>
            <w:r>
              <w:rPr>
                <w:rFonts w:ascii="Arial"/>
                <w:color w:val="262626"/>
                <w:spacing w:val="19"/>
                <w:w w:val="105"/>
                <w:sz w:val="17"/>
              </w:rPr>
              <w:t> </w:t>
            </w:r>
            <w:r>
              <w:rPr>
                <w:rFonts w:ascii="Arial"/>
                <w:color w:val="262626"/>
                <w:spacing w:val="-2"/>
                <w:w w:val="105"/>
                <w:sz w:val="17"/>
              </w:rPr>
              <w:t>Solutions</w:t>
            </w:r>
          </w:p>
        </w:tc>
        <w:tc>
          <w:tcPr>
            <w:tcW w:w="329" w:type="dxa"/>
          </w:tcPr>
          <w:p>
            <w:pPr>
              <w:pStyle w:val="TableParagraph"/>
              <w:spacing w:before="132"/>
              <w:ind w:right="86"/>
              <w:jc w:val="center"/>
              <w:rPr>
                <w:rFonts w:ascii="Courier New"/>
                <w:sz w:val="20"/>
              </w:rPr>
            </w:pPr>
            <w:r>
              <w:rPr>
                <w:rFonts w:ascii="Courier New"/>
                <w:color w:val="262626"/>
                <w:w w:val="106"/>
                <w:sz w:val="20"/>
              </w:rPr>
              <w:t>6</w:t>
            </w:r>
          </w:p>
        </w:tc>
      </w:tr>
      <w:tr>
        <w:trPr>
          <w:trHeight w:val="466" w:hRule="atLeast"/>
        </w:trPr>
        <w:tc>
          <w:tcPr>
            <w:tcW w:w="2797" w:type="dxa"/>
          </w:tcPr>
          <w:p>
            <w:pPr>
              <w:pStyle w:val="TableParagraph"/>
              <w:spacing w:before="122"/>
              <w:ind w:left="52"/>
              <w:rPr>
                <w:rFonts w:ascii="Arial"/>
                <w:sz w:val="17"/>
              </w:rPr>
            </w:pPr>
            <w:r>
              <w:rPr>
                <w:rFonts w:ascii="Arial"/>
                <w:color w:val="262626"/>
                <w:sz w:val="17"/>
              </w:rPr>
              <w:t>e-</w:t>
            </w:r>
            <w:r>
              <w:rPr>
                <w:rFonts w:ascii="Arial"/>
                <w:color w:val="262626"/>
                <w:spacing w:val="-2"/>
                <w:sz w:val="17"/>
              </w:rPr>
              <w:t>Enablement</w:t>
            </w:r>
          </w:p>
        </w:tc>
        <w:tc>
          <w:tcPr>
            <w:tcW w:w="329" w:type="dxa"/>
          </w:tcPr>
          <w:p>
            <w:pPr>
              <w:pStyle w:val="TableParagraph"/>
              <w:spacing w:before="120"/>
              <w:ind w:right="98"/>
              <w:jc w:val="center"/>
              <w:rPr>
                <w:rFonts w:ascii="Courier New"/>
                <w:sz w:val="20"/>
              </w:rPr>
            </w:pPr>
            <w:r>
              <w:rPr>
                <w:rFonts w:ascii="Courier New"/>
                <w:color w:val="262626"/>
                <w:w w:val="103"/>
                <w:sz w:val="20"/>
              </w:rPr>
              <w:t>4</w:t>
            </w:r>
          </w:p>
        </w:tc>
      </w:tr>
      <w:tr>
        <w:trPr>
          <w:trHeight w:val="470" w:hRule="atLeast"/>
        </w:trPr>
        <w:tc>
          <w:tcPr>
            <w:tcW w:w="2797" w:type="dxa"/>
          </w:tcPr>
          <w:p>
            <w:pPr>
              <w:pStyle w:val="TableParagraph"/>
              <w:spacing w:before="127"/>
              <w:ind w:left="54"/>
              <w:rPr>
                <w:rFonts w:ascii="Arial"/>
                <w:sz w:val="17"/>
              </w:rPr>
            </w:pPr>
            <w:r>
              <w:rPr>
                <w:rFonts w:ascii="Arial"/>
                <w:color w:val="262626"/>
                <w:sz w:val="17"/>
              </w:rPr>
              <w:t>Employment</w:t>
            </w:r>
            <w:r>
              <w:rPr>
                <w:rFonts w:ascii="Arial"/>
                <w:color w:val="262626"/>
                <w:spacing w:val="51"/>
                <w:sz w:val="17"/>
              </w:rPr>
              <w:t> </w:t>
            </w:r>
            <w:r>
              <w:rPr>
                <w:rFonts w:ascii="Arial"/>
                <w:color w:val="262626"/>
                <w:spacing w:val="-2"/>
                <w:sz w:val="17"/>
              </w:rPr>
              <w:t>Services</w:t>
            </w:r>
          </w:p>
        </w:tc>
        <w:tc>
          <w:tcPr>
            <w:tcW w:w="329" w:type="dxa"/>
          </w:tcPr>
          <w:p>
            <w:pPr>
              <w:pStyle w:val="TableParagraph"/>
              <w:spacing w:before="120"/>
              <w:ind w:left="21" w:right="24"/>
              <w:jc w:val="center"/>
              <w:rPr>
                <w:rFonts w:ascii="Courier New"/>
                <w:sz w:val="20"/>
              </w:rPr>
            </w:pPr>
            <w:r>
              <w:rPr>
                <w:rFonts w:ascii="Courier New"/>
                <w:color w:val="262626"/>
                <w:spacing w:val="-5"/>
                <w:sz w:val="20"/>
              </w:rPr>
              <w:t>49</w:t>
            </w:r>
          </w:p>
        </w:tc>
      </w:tr>
      <w:tr>
        <w:trPr>
          <w:trHeight w:val="450" w:hRule="atLeast"/>
        </w:trPr>
        <w:tc>
          <w:tcPr>
            <w:tcW w:w="2797" w:type="dxa"/>
          </w:tcPr>
          <w:p>
            <w:pPr>
              <w:pStyle w:val="TableParagraph"/>
              <w:spacing w:before="118"/>
              <w:ind w:left="54"/>
              <w:rPr>
                <w:rFonts w:ascii="Arial"/>
                <w:sz w:val="17"/>
              </w:rPr>
            </w:pPr>
            <w:r>
              <w:rPr>
                <w:rFonts w:ascii="Arial"/>
                <w:color w:val="262626"/>
                <w:sz w:val="17"/>
              </w:rPr>
              <w:t>Finance</w:t>
            </w:r>
            <w:r>
              <w:rPr>
                <w:rFonts w:ascii="Arial"/>
                <w:color w:val="262626"/>
                <w:spacing w:val="8"/>
                <w:sz w:val="17"/>
              </w:rPr>
              <w:t> </w:t>
            </w:r>
            <w:r>
              <w:rPr>
                <w:rFonts w:ascii="Arial"/>
                <w:color w:val="262626"/>
                <w:sz w:val="17"/>
              </w:rPr>
              <w:t>Academy</w:t>
            </w:r>
            <w:r>
              <w:rPr>
                <w:rFonts w:ascii="Arial"/>
                <w:color w:val="262626"/>
                <w:spacing w:val="7"/>
                <w:sz w:val="17"/>
              </w:rPr>
              <w:t> </w:t>
            </w:r>
            <w:r>
              <w:rPr>
                <w:rFonts w:ascii="Arial"/>
                <w:color w:val="262626"/>
                <w:spacing w:val="-2"/>
                <w:sz w:val="17"/>
              </w:rPr>
              <w:t>(hosted)</w:t>
            </w:r>
          </w:p>
        </w:tc>
        <w:tc>
          <w:tcPr>
            <w:tcW w:w="329" w:type="dxa"/>
          </w:tcPr>
          <w:p>
            <w:pPr>
              <w:pStyle w:val="TableParagraph"/>
              <w:rPr>
                <w:rFonts w:ascii="Times New Roman"/>
                <w:sz w:val="16"/>
              </w:rPr>
            </w:pPr>
          </w:p>
        </w:tc>
      </w:tr>
      <w:tr>
        <w:trPr>
          <w:trHeight w:val="466" w:hRule="atLeast"/>
        </w:trPr>
        <w:tc>
          <w:tcPr>
            <w:tcW w:w="2797" w:type="dxa"/>
          </w:tcPr>
          <w:p>
            <w:pPr>
              <w:pStyle w:val="TableParagraph"/>
              <w:spacing w:before="138"/>
              <w:ind w:left="55"/>
              <w:rPr>
                <w:rFonts w:ascii="Arial"/>
                <w:sz w:val="17"/>
              </w:rPr>
            </w:pPr>
            <w:r>
              <w:rPr>
                <w:rFonts w:ascii="Arial"/>
                <w:color w:val="262626"/>
                <w:sz w:val="17"/>
              </w:rPr>
              <w:t>Laundry</w:t>
            </w:r>
            <w:r>
              <w:rPr>
                <w:rFonts w:ascii="Arial"/>
                <w:color w:val="262626"/>
                <w:spacing w:val="13"/>
                <w:sz w:val="17"/>
              </w:rPr>
              <w:t> </w:t>
            </w:r>
            <w:r>
              <w:rPr>
                <w:rFonts w:ascii="Arial"/>
                <w:color w:val="262626"/>
                <w:spacing w:val="-2"/>
                <w:sz w:val="17"/>
              </w:rPr>
              <w:t>Services</w:t>
            </w:r>
          </w:p>
        </w:tc>
        <w:tc>
          <w:tcPr>
            <w:tcW w:w="329" w:type="dxa"/>
          </w:tcPr>
          <w:p>
            <w:pPr>
              <w:pStyle w:val="TableParagraph"/>
              <w:spacing w:before="129"/>
              <w:ind w:right="84"/>
              <w:jc w:val="center"/>
              <w:rPr>
                <w:rFonts w:ascii="Times New Roman"/>
                <w:sz w:val="18"/>
              </w:rPr>
            </w:pPr>
            <w:r>
              <w:rPr>
                <w:rFonts w:ascii="Times New Roman"/>
                <w:color w:val="262626"/>
                <w:w w:val="110"/>
                <w:sz w:val="18"/>
              </w:rPr>
              <w:t>0</w:t>
            </w:r>
          </w:p>
        </w:tc>
      </w:tr>
      <w:tr>
        <w:trPr>
          <w:trHeight w:val="476" w:hRule="atLeast"/>
        </w:trPr>
        <w:tc>
          <w:tcPr>
            <w:tcW w:w="2797" w:type="dxa"/>
          </w:tcPr>
          <w:p>
            <w:pPr>
              <w:pStyle w:val="TableParagraph"/>
              <w:spacing w:before="137"/>
              <w:ind w:left="54"/>
              <w:rPr>
                <w:rFonts w:ascii="Arial"/>
                <w:sz w:val="17"/>
              </w:rPr>
            </w:pPr>
            <w:r>
              <w:rPr>
                <w:rFonts w:ascii="Arial"/>
                <w:color w:val="262626"/>
                <w:sz w:val="17"/>
              </w:rPr>
              <w:t>Health</w:t>
            </w:r>
            <w:r>
              <w:rPr>
                <w:rFonts w:ascii="Arial"/>
                <w:color w:val="262626"/>
                <w:spacing w:val="20"/>
                <w:sz w:val="17"/>
              </w:rPr>
              <w:t> </w:t>
            </w:r>
            <w:r>
              <w:rPr>
                <w:rFonts w:ascii="Arial"/>
                <w:color w:val="262626"/>
                <w:sz w:val="17"/>
              </w:rPr>
              <w:t>Courier</w:t>
            </w:r>
            <w:r>
              <w:rPr>
                <w:rFonts w:ascii="Arial"/>
                <w:color w:val="262626"/>
                <w:spacing w:val="26"/>
                <w:sz w:val="17"/>
              </w:rPr>
              <w:t> </w:t>
            </w:r>
            <w:r>
              <w:rPr>
                <w:rFonts w:ascii="Arial"/>
                <w:color w:val="262626"/>
                <w:spacing w:val="-2"/>
                <w:sz w:val="17"/>
              </w:rPr>
              <w:t>Services</w:t>
            </w:r>
          </w:p>
        </w:tc>
        <w:tc>
          <w:tcPr>
            <w:tcW w:w="329" w:type="dxa"/>
          </w:tcPr>
          <w:p>
            <w:pPr>
              <w:pStyle w:val="TableParagraph"/>
              <w:spacing w:before="130"/>
              <w:ind w:right="86"/>
              <w:jc w:val="center"/>
              <w:rPr>
                <w:rFonts w:ascii="Courier New"/>
                <w:sz w:val="20"/>
              </w:rPr>
            </w:pPr>
            <w:r>
              <w:rPr>
                <w:rFonts w:ascii="Courier New"/>
                <w:color w:val="262626"/>
                <w:w w:val="106"/>
                <w:sz w:val="20"/>
              </w:rPr>
              <w:t>6</w:t>
            </w:r>
          </w:p>
        </w:tc>
      </w:tr>
      <w:tr>
        <w:trPr>
          <w:trHeight w:val="471" w:hRule="atLeast"/>
        </w:trPr>
        <w:tc>
          <w:tcPr>
            <w:tcW w:w="2797" w:type="dxa"/>
          </w:tcPr>
          <w:p>
            <w:pPr>
              <w:pStyle w:val="TableParagraph"/>
              <w:spacing w:before="127"/>
              <w:ind w:left="55"/>
              <w:rPr>
                <w:rFonts w:ascii="Arial"/>
                <w:sz w:val="17"/>
              </w:rPr>
            </w:pPr>
            <w:r>
              <w:rPr>
                <w:rFonts w:ascii="Arial"/>
                <w:color w:val="262626"/>
                <w:sz w:val="17"/>
              </w:rPr>
              <w:t>Legal</w:t>
            </w:r>
            <w:r>
              <w:rPr>
                <w:rFonts w:ascii="Arial"/>
                <w:color w:val="262626"/>
                <w:spacing w:val="-3"/>
                <w:sz w:val="17"/>
              </w:rPr>
              <w:t> </w:t>
            </w:r>
            <w:r>
              <w:rPr>
                <w:rFonts w:ascii="Arial"/>
                <w:color w:val="262626"/>
                <w:sz w:val="17"/>
              </w:rPr>
              <w:t>and Risk</w:t>
            </w:r>
            <w:r>
              <w:rPr>
                <w:rFonts w:ascii="Arial"/>
                <w:color w:val="262626"/>
                <w:spacing w:val="6"/>
                <w:sz w:val="17"/>
              </w:rPr>
              <w:t> </w:t>
            </w:r>
            <w:r>
              <w:rPr>
                <w:rFonts w:ascii="Arial"/>
                <w:color w:val="262626"/>
                <w:spacing w:val="-2"/>
                <w:sz w:val="17"/>
              </w:rPr>
              <w:t>Services</w:t>
            </w:r>
          </w:p>
        </w:tc>
        <w:tc>
          <w:tcPr>
            <w:tcW w:w="329" w:type="dxa"/>
          </w:tcPr>
          <w:p>
            <w:pPr>
              <w:pStyle w:val="TableParagraph"/>
              <w:spacing w:before="120"/>
              <w:ind w:left="27" w:right="15"/>
              <w:jc w:val="center"/>
              <w:rPr>
                <w:rFonts w:ascii="Courier New"/>
                <w:sz w:val="20"/>
              </w:rPr>
            </w:pPr>
            <w:r>
              <w:rPr>
                <w:rFonts w:ascii="Courier New"/>
                <w:color w:val="262626"/>
                <w:spacing w:val="-5"/>
                <w:w w:val="95"/>
                <w:sz w:val="20"/>
              </w:rPr>
              <w:t>26</w:t>
            </w:r>
          </w:p>
        </w:tc>
      </w:tr>
      <w:tr>
        <w:trPr>
          <w:trHeight w:val="452" w:hRule="atLeast"/>
        </w:trPr>
        <w:tc>
          <w:tcPr>
            <w:tcW w:w="2797" w:type="dxa"/>
          </w:tcPr>
          <w:p>
            <w:pPr>
              <w:pStyle w:val="TableParagraph"/>
              <w:spacing w:before="121"/>
              <w:ind w:left="55"/>
              <w:rPr>
                <w:rFonts w:ascii="Arial"/>
                <w:sz w:val="17"/>
              </w:rPr>
            </w:pPr>
            <w:r>
              <w:rPr>
                <w:rFonts w:ascii="Arial"/>
                <w:color w:val="262626"/>
                <w:w w:val="105"/>
                <w:sz w:val="17"/>
              </w:rPr>
              <w:t>Lead</w:t>
            </w:r>
            <w:r>
              <w:rPr>
                <w:rFonts w:ascii="Arial"/>
                <w:color w:val="262626"/>
                <w:spacing w:val="-7"/>
                <w:w w:val="105"/>
                <w:sz w:val="17"/>
              </w:rPr>
              <w:t> </w:t>
            </w:r>
            <w:r>
              <w:rPr>
                <w:rFonts w:ascii="Arial"/>
                <w:color w:val="262626"/>
                <w:w w:val="105"/>
                <w:sz w:val="17"/>
              </w:rPr>
              <w:t>Employer</w:t>
            </w:r>
            <w:r>
              <w:rPr>
                <w:rFonts w:ascii="Arial"/>
                <w:color w:val="262626"/>
                <w:spacing w:val="-3"/>
                <w:w w:val="105"/>
                <w:sz w:val="17"/>
              </w:rPr>
              <w:t> </w:t>
            </w:r>
            <w:r>
              <w:rPr>
                <w:rFonts w:ascii="Arial"/>
                <w:color w:val="262626"/>
                <w:w w:val="105"/>
                <w:sz w:val="17"/>
              </w:rPr>
              <w:t>for</w:t>
            </w:r>
            <w:r>
              <w:rPr>
                <w:rFonts w:ascii="Arial"/>
                <w:color w:val="262626"/>
                <w:spacing w:val="-9"/>
                <w:w w:val="105"/>
                <w:sz w:val="17"/>
              </w:rPr>
              <w:t> </w:t>
            </w:r>
            <w:r>
              <w:rPr>
                <w:rFonts w:ascii="Arial"/>
                <w:color w:val="262626"/>
                <w:w w:val="105"/>
                <w:sz w:val="17"/>
              </w:rPr>
              <w:t>Medical,</w:t>
            </w:r>
            <w:r>
              <w:rPr>
                <w:rFonts w:ascii="Arial"/>
                <w:color w:val="262626"/>
                <w:spacing w:val="-8"/>
                <w:w w:val="105"/>
                <w:sz w:val="17"/>
              </w:rPr>
              <w:t> </w:t>
            </w:r>
            <w:r>
              <w:rPr>
                <w:rFonts w:ascii="Arial"/>
                <w:color w:val="262626"/>
                <w:spacing w:val="-2"/>
                <w:w w:val="105"/>
                <w:sz w:val="17"/>
              </w:rPr>
              <w:t>Den.</w:t>
            </w:r>
            <w:r>
              <w:rPr>
                <w:rFonts w:ascii="Arial"/>
                <w:color w:val="6B6B6B"/>
                <w:spacing w:val="-2"/>
                <w:w w:val="105"/>
                <w:sz w:val="17"/>
              </w:rPr>
              <w:t>..</w:t>
            </w:r>
          </w:p>
        </w:tc>
        <w:tc>
          <w:tcPr>
            <w:tcW w:w="329" w:type="dxa"/>
          </w:tcPr>
          <w:p>
            <w:pPr>
              <w:pStyle w:val="TableParagraph"/>
              <w:spacing w:before="117"/>
              <w:ind w:right="84"/>
              <w:jc w:val="center"/>
              <w:rPr>
                <w:rFonts w:ascii="Times New Roman"/>
                <w:sz w:val="18"/>
              </w:rPr>
            </w:pPr>
            <w:r>
              <w:rPr>
                <w:rFonts w:ascii="Times New Roman"/>
                <w:color w:val="262626"/>
                <w:w w:val="110"/>
                <w:sz w:val="18"/>
              </w:rPr>
              <w:t>0</w:t>
            </w:r>
          </w:p>
        </w:tc>
      </w:tr>
      <w:tr>
        <w:trPr>
          <w:trHeight w:val="480" w:hRule="atLeast"/>
        </w:trPr>
        <w:tc>
          <w:tcPr>
            <w:tcW w:w="2797" w:type="dxa"/>
          </w:tcPr>
          <w:p>
            <w:pPr>
              <w:pStyle w:val="TableParagraph"/>
              <w:spacing w:before="135"/>
              <w:ind w:left="55"/>
              <w:rPr>
                <w:rFonts w:ascii="Arial"/>
                <w:sz w:val="17"/>
              </w:rPr>
            </w:pPr>
            <w:r>
              <w:rPr>
                <w:rFonts w:ascii="Arial"/>
                <w:color w:val="262626"/>
                <w:sz w:val="17"/>
              </w:rPr>
              <w:t>Medical</w:t>
            </w:r>
            <w:r>
              <w:rPr>
                <w:rFonts w:ascii="Arial"/>
                <w:color w:val="262626"/>
                <w:spacing w:val="38"/>
                <w:sz w:val="17"/>
              </w:rPr>
              <w:t> </w:t>
            </w:r>
            <w:r>
              <w:rPr>
                <w:rFonts w:ascii="Arial"/>
                <w:color w:val="262626"/>
                <w:spacing w:val="-2"/>
                <w:sz w:val="17"/>
              </w:rPr>
              <w:t>Examiner</w:t>
            </w:r>
          </w:p>
        </w:tc>
        <w:tc>
          <w:tcPr>
            <w:tcW w:w="329" w:type="dxa"/>
          </w:tcPr>
          <w:p>
            <w:pPr>
              <w:pStyle w:val="TableParagraph"/>
              <w:spacing w:before="128"/>
              <w:ind w:right="73"/>
              <w:jc w:val="center"/>
              <w:rPr>
                <w:rFonts w:ascii="Courier New"/>
                <w:sz w:val="20"/>
              </w:rPr>
            </w:pPr>
            <w:r>
              <w:rPr>
                <w:rFonts w:ascii="Courier New"/>
                <w:color w:val="262626"/>
                <w:w w:val="101"/>
                <w:sz w:val="20"/>
              </w:rPr>
              <w:t>2</w:t>
            </w:r>
          </w:p>
        </w:tc>
      </w:tr>
      <w:tr>
        <w:trPr>
          <w:trHeight w:val="453" w:hRule="atLeast"/>
        </w:trPr>
        <w:tc>
          <w:tcPr>
            <w:tcW w:w="2797" w:type="dxa"/>
          </w:tcPr>
          <w:p>
            <w:pPr>
              <w:pStyle w:val="TableParagraph"/>
              <w:spacing w:before="120"/>
              <w:ind w:left="55"/>
              <w:rPr>
                <w:rFonts w:ascii="Arial"/>
                <w:sz w:val="17"/>
              </w:rPr>
            </w:pPr>
            <w:r>
              <w:rPr>
                <w:rFonts w:ascii="Arial"/>
                <w:color w:val="262626"/>
                <w:sz w:val="17"/>
              </w:rPr>
              <w:t>Pharmacy</w:t>
            </w:r>
            <w:r>
              <w:rPr>
                <w:rFonts w:ascii="Arial"/>
                <w:color w:val="262626"/>
                <w:spacing w:val="-6"/>
                <w:sz w:val="17"/>
              </w:rPr>
              <w:t> </w:t>
            </w:r>
            <w:r>
              <w:rPr>
                <w:rFonts w:ascii="Arial"/>
                <w:color w:val="262626"/>
                <w:sz w:val="17"/>
              </w:rPr>
              <w:t>Technical</w:t>
            </w:r>
            <w:r>
              <w:rPr>
                <w:rFonts w:ascii="Arial"/>
                <w:color w:val="262626"/>
                <w:spacing w:val="-1"/>
                <w:sz w:val="17"/>
              </w:rPr>
              <w:t> </w:t>
            </w:r>
            <w:r>
              <w:rPr>
                <w:rFonts w:ascii="Arial"/>
                <w:color w:val="262626"/>
                <w:spacing w:val="-2"/>
                <w:sz w:val="17"/>
              </w:rPr>
              <w:t>Services</w:t>
            </w:r>
          </w:p>
        </w:tc>
        <w:tc>
          <w:tcPr>
            <w:tcW w:w="329" w:type="dxa"/>
          </w:tcPr>
          <w:p>
            <w:pPr>
              <w:pStyle w:val="TableParagraph"/>
              <w:rPr>
                <w:rFonts w:ascii="Times New Roman"/>
                <w:sz w:val="16"/>
              </w:rPr>
            </w:pPr>
          </w:p>
        </w:tc>
      </w:tr>
      <w:tr>
        <w:trPr>
          <w:trHeight w:val="464" w:hRule="atLeast"/>
        </w:trPr>
        <w:tc>
          <w:tcPr>
            <w:tcW w:w="2797" w:type="dxa"/>
          </w:tcPr>
          <w:p>
            <w:pPr>
              <w:pStyle w:val="TableParagraph"/>
              <w:spacing w:before="133"/>
              <w:ind w:left="55"/>
              <w:rPr>
                <w:rFonts w:ascii="Arial"/>
                <w:sz w:val="17"/>
              </w:rPr>
            </w:pPr>
            <w:r>
              <w:rPr>
                <w:rFonts w:ascii="Arial"/>
                <w:color w:val="262626"/>
                <w:sz w:val="17"/>
              </w:rPr>
              <w:t>Student</w:t>
            </w:r>
            <w:r>
              <w:rPr>
                <w:rFonts w:ascii="Arial"/>
                <w:color w:val="262626"/>
                <w:spacing w:val="21"/>
                <w:sz w:val="17"/>
              </w:rPr>
              <w:t> </w:t>
            </w:r>
            <w:r>
              <w:rPr>
                <w:rFonts w:ascii="Arial"/>
                <w:color w:val="262626"/>
                <w:sz w:val="17"/>
              </w:rPr>
              <w:t>Awards</w:t>
            </w:r>
            <w:r>
              <w:rPr>
                <w:rFonts w:ascii="Arial"/>
                <w:color w:val="262626"/>
                <w:spacing w:val="17"/>
                <w:sz w:val="17"/>
              </w:rPr>
              <w:t> </w:t>
            </w:r>
            <w:r>
              <w:rPr>
                <w:rFonts w:ascii="Arial"/>
                <w:color w:val="262626"/>
                <w:spacing w:val="-2"/>
                <w:sz w:val="17"/>
              </w:rPr>
              <w:t>Services</w:t>
            </w:r>
          </w:p>
        </w:tc>
        <w:tc>
          <w:tcPr>
            <w:tcW w:w="329" w:type="dxa"/>
          </w:tcPr>
          <w:p>
            <w:pPr>
              <w:pStyle w:val="TableParagraph"/>
              <w:spacing w:before="129"/>
              <w:ind w:right="84"/>
              <w:jc w:val="center"/>
              <w:rPr>
                <w:rFonts w:ascii="Times New Roman"/>
                <w:sz w:val="18"/>
              </w:rPr>
            </w:pPr>
            <w:r>
              <w:rPr>
                <w:rFonts w:ascii="Times New Roman"/>
                <w:color w:val="262626"/>
                <w:w w:val="110"/>
                <w:sz w:val="18"/>
              </w:rPr>
              <w:t>0</w:t>
            </w:r>
          </w:p>
        </w:tc>
      </w:tr>
      <w:tr>
        <w:trPr>
          <w:trHeight w:val="474" w:hRule="atLeast"/>
        </w:trPr>
        <w:tc>
          <w:tcPr>
            <w:tcW w:w="2797" w:type="dxa"/>
          </w:tcPr>
          <w:p>
            <w:pPr>
              <w:pStyle w:val="TableParagraph"/>
              <w:spacing w:before="135"/>
              <w:ind w:left="55"/>
              <w:rPr>
                <w:rFonts w:ascii="Arial"/>
                <w:sz w:val="17"/>
              </w:rPr>
            </w:pPr>
            <w:r>
              <w:rPr>
                <w:rFonts w:ascii="Arial"/>
                <w:color w:val="262626"/>
                <w:sz w:val="17"/>
              </w:rPr>
              <w:t>Primary</w:t>
            </w:r>
            <w:r>
              <w:rPr>
                <w:rFonts w:ascii="Arial"/>
                <w:color w:val="262626"/>
                <w:spacing w:val="5"/>
                <w:sz w:val="17"/>
              </w:rPr>
              <w:t> </w:t>
            </w:r>
            <w:r>
              <w:rPr>
                <w:rFonts w:ascii="Arial"/>
                <w:color w:val="262626"/>
                <w:sz w:val="17"/>
              </w:rPr>
              <w:t>Care</w:t>
            </w:r>
            <w:r>
              <w:rPr>
                <w:rFonts w:ascii="Arial"/>
                <w:color w:val="262626"/>
                <w:spacing w:val="-1"/>
                <w:sz w:val="17"/>
              </w:rPr>
              <w:t> </w:t>
            </w:r>
            <w:r>
              <w:rPr>
                <w:rFonts w:ascii="Arial"/>
                <w:color w:val="262626"/>
                <w:spacing w:val="-2"/>
                <w:sz w:val="17"/>
              </w:rPr>
              <w:t>Services</w:t>
            </w:r>
          </w:p>
        </w:tc>
        <w:tc>
          <w:tcPr>
            <w:tcW w:w="329" w:type="dxa"/>
          </w:tcPr>
          <w:p>
            <w:pPr>
              <w:pStyle w:val="TableParagraph"/>
              <w:spacing w:before="128"/>
              <w:ind w:left="26" w:right="24"/>
              <w:jc w:val="center"/>
              <w:rPr>
                <w:rFonts w:ascii="Courier New"/>
                <w:sz w:val="20"/>
              </w:rPr>
            </w:pPr>
            <w:r>
              <w:rPr>
                <w:rFonts w:ascii="Courier New"/>
                <w:color w:val="262626"/>
                <w:spacing w:val="-5"/>
                <w:sz w:val="20"/>
              </w:rPr>
              <w:t>42</w:t>
            </w:r>
          </w:p>
        </w:tc>
      </w:tr>
      <w:tr>
        <w:trPr>
          <w:trHeight w:val="466" w:hRule="atLeast"/>
        </w:trPr>
        <w:tc>
          <w:tcPr>
            <w:tcW w:w="2797" w:type="dxa"/>
          </w:tcPr>
          <w:p>
            <w:pPr>
              <w:pStyle w:val="TableParagraph"/>
              <w:spacing w:before="127"/>
              <w:ind w:left="55"/>
              <w:rPr>
                <w:rFonts w:ascii="Arial"/>
                <w:sz w:val="17"/>
              </w:rPr>
            </w:pPr>
            <w:r>
              <w:rPr>
                <w:rFonts w:ascii="Arial"/>
                <w:color w:val="262626"/>
                <w:spacing w:val="-4"/>
                <w:sz w:val="17"/>
              </w:rPr>
              <w:t>SMTL</w:t>
            </w:r>
          </w:p>
        </w:tc>
        <w:tc>
          <w:tcPr>
            <w:tcW w:w="329" w:type="dxa"/>
          </w:tcPr>
          <w:p>
            <w:pPr>
              <w:pStyle w:val="TableParagraph"/>
              <w:spacing w:before="120"/>
              <w:ind w:right="107"/>
              <w:jc w:val="center"/>
              <w:rPr>
                <w:rFonts w:ascii="Courier New"/>
                <w:sz w:val="20"/>
              </w:rPr>
            </w:pPr>
            <w:r>
              <w:rPr>
                <w:rFonts w:ascii="Courier New"/>
                <w:color w:val="262626"/>
                <w:w w:val="95"/>
                <w:sz w:val="20"/>
              </w:rPr>
              <w:t>4</w:t>
            </w:r>
          </w:p>
        </w:tc>
      </w:tr>
      <w:tr>
        <w:trPr>
          <w:trHeight w:val="468" w:hRule="atLeast"/>
        </w:trPr>
        <w:tc>
          <w:tcPr>
            <w:tcW w:w="2797" w:type="dxa"/>
          </w:tcPr>
          <w:p>
            <w:pPr>
              <w:pStyle w:val="TableParagraph"/>
              <w:spacing w:before="127"/>
              <w:ind w:left="55"/>
              <w:rPr>
                <w:rFonts w:ascii="Arial"/>
                <w:sz w:val="17"/>
              </w:rPr>
            </w:pPr>
            <w:r>
              <w:rPr>
                <w:rFonts w:ascii="Arial"/>
                <w:color w:val="262626"/>
                <w:sz w:val="17"/>
              </w:rPr>
              <w:t>Procurement</w:t>
            </w:r>
            <w:r>
              <w:rPr>
                <w:rFonts w:ascii="Arial"/>
                <w:color w:val="262626"/>
                <w:spacing w:val="32"/>
                <w:sz w:val="17"/>
              </w:rPr>
              <w:t> </w:t>
            </w:r>
            <w:r>
              <w:rPr>
                <w:rFonts w:ascii="Arial"/>
                <w:color w:val="262626"/>
                <w:sz w:val="17"/>
              </w:rPr>
              <w:t>and</w:t>
            </w:r>
            <w:r>
              <w:rPr>
                <w:rFonts w:ascii="Arial"/>
                <w:color w:val="262626"/>
                <w:spacing w:val="15"/>
                <w:sz w:val="17"/>
              </w:rPr>
              <w:t> </w:t>
            </w:r>
            <w:r>
              <w:rPr>
                <w:rFonts w:ascii="Arial"/>
                <w:color w:val="262626"/>
                <w:sz w:val="17"/>
              </w:rPr>
              <w:t>Supply</w:t>
            </w:r>
            <w:r>
              <w:rPr>
                <w:rFonts w:ascii="Arial"/>
                <w:color w:val="262626"/>
                <w:spacing w:val="20"/>
                <w:sz w:val="17"/>
              </w:rPr>
              <w:t> </w:t>
            </w:r>
            <w:r>
              <w:rPr>
                <w:rFonts w:ascii="Arial"/>
                <w:color w:val="262626"/>
                <w:sz w:val="17"/>
              </w:rPr>
              <w:t>Chain</w:t>
            </w:r>
            <w:r>
              <w:rPr>
                <w:rFonts w:ascii="Arial"/>
                <w:color w:val="262626"/>
                <w:spacing w:val="11"/>
                <w:sz w:val="17"/>
              </w:rPr>
              <w:t> </w:t>
            </w:r>
            <w:r>
              <w:rPr>
                <w:rFonts w:ascii="Arial"/>
                <w:color w:val="4D4D4D"/>
                <w:spacing w:val="-5"/>
                <w:sz w:val="17"/>
              </w:rPr>
              <w:t>...</w:t>
            </w:r>
          </w:p>
        </w:tc>
        <w:tc>
          <w:tcPr>
            <w:tcW w:w="329" w:type="dxa"/>
          </w:tcPr>
          <w:p>
            <w:pPr>
              <w:pStyle w:val="TableParagraph"/>
              <w:spacing w:before="120"/>
              <w:ind w:left="11" w:right="24"/>
              <w:jc w:val="center"/>
              <w:rPr>
                <w:rFonts w:ascii="Courier New"/>
                <w:sz w:val="20"/>
              </w:rPr>
            </w:pPr>
            <w:r>
              <w:rPr>
                <w:rFonts w:ascii="Courier New"/>
                <w:color w:val="262626"/>
                <w:spacing w:val="-5"/>
                <w:w w:val="85"/>
                <w:sz w:val="20"/>
              </w:rPr>
              <w:t>51</w:t>
            </w:r>
          </w:p>
        </w:tc>
      </w:tr>
      <w:tr>
        <w:trPr>
          <w:trHeight w:val="474" w:hRule="atLeast"/>
        </w:trPr>
        <w:tc>
          <w:tcPr>
            <w:tcW w:w="2797" w:type="dxa"/>
          </w:tcPr>
          <w:p>
            <w:pPr>
              <w:pStyle w:val="TableParagraph"/>
              <w:spacing w:before="129"/>
              <w:ind w:left="51"/>
              <w:rPr>
                <w:rFonts w:ascii="Arial"/>
                <w:sz w:val="17"/>
              </w:rPr>
            </w:pPr>
            <w:r>
              <w:rPr>
                <w:rFonts w:ascii="Arial"/>
                <w:color w:val="262626"/>
                <w:sz w:val="17"/>
              </w:rPr>
              <w:t>Welsh</w:t>
            </w:r>
            <w:r>
              <w:rPr>
                <w:rFonts w:ascii="Arial"/>
                <w:color w:val="262626"/>
                <w:spacing w:val="-2"/>
                <w:sz w:val="17"/>
              </w:rPr>
              <w:t> </w:t>
            </w:r>
            <w:r>
              <w:rPr>
                <w:rFonts w:ascii="Arial"/>
                <w:color w:val="262626"/>
                <w:sz w:val="17"/>
              </w:rPr>
              <w:t>Risk</w:t>
            </w:r>
            <w:r>
              <w:rPr>
                <w:rFonts w:ascii="Arial"/>
                <w:color w:val="262626"/>
                <w:spacing w:val="-6"/>
                <w:sz w:val="17"/>
              </w:rPr>
              <w:t> </w:t>
            </w:r>
            <w:r>
              <w:rPr>
                <w:rFonts w:ascii="Arial"/>
                <w:color w:val="262626"/>
                <w:spacing w:val="-4"/>
                <w:sz w:val="17"/>
              </w:rPr>
              <w:t>Pool</w:t>
            </w:r>
          </w:p>
        </w:tc>
        <w:tc>
          <w:tcPr>
            <w:tcW w:w="329" w:type="dxa"/>
          </w:tcPr>
          <w:p>
            <w:pPr>
              <w:pStyle w:val="TableParagraph"/>
              <w:spacing w:before="122"/>
              <w:ind w:right="86"/>
              <w:jc w:val="center"/>
              <w:rPr>
                <w:rFonts w:ascii="Courier New"/>
                <w:sz w:val="20"/>
              </w:rPr>
            </w:pPr>
            <w:r>
              <w:rPr>
                <w:rFonts w:ascii="Courier New"/>
                <w:color w:val="262626"/>
                <w:w w:val="106"/>
                <w:sz w:val="20"/>
              </w:rPr>
              <w:t>6</w:t>
            </w:r>
          </w:p>
        </w:tc>
      </w:tr>
      <w:tr>
        <w:trPr>
          <w:trHeight w:val="450" w:hRule="atLeast"/>
        </w:trPr>
        <w:tc>
          <w:tcPr>
            <w:tcW w:w="2797" w:type="dxa"/>
          </w:tcPr>
          <w:p>
            <w:pPr>
              <w:pStyle w:val="TableParagraph"/>
              <w:spacing w:before="120"/>
              <w:ind w:left="55"/>
              <w:rPr>
                <w:rFonts w:ascii="Arial"/>
                <w:sz w:val="17"/>
              </w:rPr>
            </w:pPr>
            <w:r>
              <w:rPr>
                <w:rFonts w:ascii="Arial"/>
                <w:color w:val="262626"/>
                <w:spacing w:val="-2"/>
                <w:sz w:val="17"/>
              </w:rPr>
              <w:t>Salary</w:t>
            </w:r>
            <w:r>
              <w:rPr>
                <w:rFonts w:ascii="Arial"/>
                <w:color w:val="262626"/>
                <w:spacing w:val="-4"/>
                <w:sz w:val="17"/>
              </w:rPr>
              <w:t> </w:t>
            </w:r>
            <w:r>
              <w:rPr>
                <w:rFonts w:ascii="Arial"/>
                <w:color w:val="262626"/>
                <w:spacing w:val="-2"/>
                <w:sz w:val="17"/>
              </w:rPr>
              <w:t>Sacrifice</w:t>
            </w:r>
          </w:p>
        </w:tc>
        <w:tc>
          <w:tcPr>
            <w:tcW w:w="329" w:type="dxa"/>
          </w:tcPr>
          <w:p>
            <w:pPr>
              <w:pStyle w:val="TableParagraph"/>
              <w:rPr>
                <w:rFonts w:ascii="Times New Roman"/>
                <w:sz w:val="16"/>
              </w:rPr>
            </w:pPr>
          </w:p>
        </w:tc>
      </w:tr>
      <w:tr>
        <w:trPr>
          <w:trHeight w:val="464" w:hRule="atLeast"/>
        </w:trPr>
        <w:tc>
          <w:tcPr>
            <w:tcW w:w="2797" w:type="dxa"/>
          </w:tcPr>
          <w:p>
            <w:pPr>
              <w:pStyle w:val="TableParagraph"/>
              <w:spacing w:before="131"/>
              <w:ind w:left="51"/>
              <w:rPr>
                <w:rFonts w:ascii="Arial"/>
                <w:sz w:val="17"/>
              </w:rPr>
            </w:pPr>
            <w:r>
              <w:rPr>
                <w:rFonts w:ascii="Arial"/>
                <w:color w:val="262626"/>
                <w:w w:val="105"/>
                <w:sz w:val="17"/>
              </w:rPr>
              <w:t>Wales</w:t>
            </w:r>
            <w:r>
              <w:rPr>
                <w:rFonts w:ascii="Arial"/>
                <w:color w:val="262626"/>
                <w:spacing w:val="-3"/>
                <w:w w:val="105"/>
                <w:sz w:val="17"/>
              </w:rPr>
              <w:t> </w:t>
            </w:r>
            <w:r>
              <w:rPr>
                <w:rFonts w:ascii="Arial"/>
                <w:color w:val="262626"/>
                <w:w w:val="105"/>
                <w:sz w:val="17"/>
              </w:rPr>
              <w:t>Infected</w:t>
            </w:r>
            <w:r>
              <w:rPr>
                <w:rFonts w:ascii="Arial"/>
                <w:color w:val="262626"/>
                <w:spacing w:val="-3"/>
                <w:w w:val="105"/>
                <w:sz w:val="17"/>
              </w:rPr>
              <w:t> </w:t>
            </w:r>
            <w:r>
              <w:rPr>
                <w:rFonts w:ascii="Arial"/>
                <w:color w:val="262626"/>
                <w:w w:val="105"/>
                <w:sz w:val="17"/>
              </w:rPr>
              <w:t>Blood</w:t>
            </w:r>
            <w:r>
              <w:rPr>
                <w:rFonts w:ascii="Arial"/>
                <w:color w:val="262626"/>
                <w:spacing w:val="-9"/>
                <w:w w:val="105"/>
                <w:sz w:val="17"/>
              </w:rPr>
              <w:t> </w:t>
            </w:r>
            <w:r>
              <w:rPr>
                <w:rFonts w:ascii="Arial"/>
                <w:color w:val="262626"/>
                <w:w w:val="105"/>
                <w:sz w:val="17"/>
              </w:rPr>
              <w:t>Support</w:t>
            </w:r>
            <w:r>
              <w:rPr>
                <w:rFonts w:ascii="Arial"/>
                <w:color w:val="262626"/>
                <w:spacing w:val="-1"/>
                <w:w w:val="105"/>
                <w:sz w:val="17"/>
              </w:rPr>
              <w:t> </w:t>
            </w:r>
            <w:r>
              <w:rPr>
                <w:rFonts w:ascii="Arial"/>
                <w:color w:val="262626"/>
                <w:spacing w:val="-4"/>
                <w:w w:val="105"/>
                <w:sz w:val="17"/>
              </w:rPr>
              <w:t>S</w:t>
            </w:r>
            <w:r>
              <w:rPr>
                <w:rFonts w:ascii="Arial"/>
                <w:color w:val="6B6B6B"/>
                <w:spacing w:val="-4"/>
                <w:w w:val="105"/>
                <w:sz w:val="17"/>
              </w:rPr>
              <w:t>...</w:t>
            </w:r>
          </w:p>
        </w:tc>
        <w:tc>
          <w:tcPr>
            <w:tcW w:w="329" w:type="dxa"/>
          </w:tcPr>
          <w:p>
            <w:pPr>
              <w:pStyle w:val="TableParagraph"/>
              <w:spacing w:before="127"/>
              <w:ind w:right="84"/>
              <w:jc w:val="center"/>
              <w:rPr>
                <w:rFonts w:ascii="Times New Roman"/>
                <w:sz w:val="18"/>
              </w:rPr>
            </w:pPr>
            <w:r>
              <w:rPr>
                <w:rFonts w:ascii="Times New Roman"/>
                <w:color w:val="262626"/>
                <w:w w:val="110"/>
                <w:sz w:val="18"/>
              </w:rPr>
              <w:t>0</w:t>
            </w:r>
          </w:p>
        </w:tc>
      </w:tr>
      <w:tr>
        <w:trPr>
          <w:trHeight w:val="476" w:hRule="atLeast"/>
        </w:trPr>
        <w:tc>
          <w:tcPr>
            <w:tcW w:w="2797" w:type="dxa"/>
          </w:tcPr>
          <w:p>
            <w:pPr>
              <w:pStyle w:val="TableParagraph"/>
              <w:spacing w:before="137"/>
              <w:ind w:left="55"/>
              <w:rPr>
                <w:rFonts w:ascii="Arial"/>
                <w:sz w:val="17"/>
              </w:rPr>
            </w:pPr>
            <w:r>
              <w:rPr>
                <w:rFonts w:ascii="Arial"/>
                <w:color w:val="262626"/>
                <w:spacing w:val="-2"/>
                <w:sz w:val="17"/>
              </w:rPr>
              <w:t>Specialist</w:t>
            </w:r>
            <w:r>
              <w:rPr>
                <w:rFonts w:ascii="Arial"/>
                <w:color w:val="262626"/>
                <w:spacing w:val="13"/>
                <w:sz w:val="17"/>
              </w:rPr>
              <w:t> </w:t>
            </w:r>
            <w:r>
              <w:rPr>
                <w:rFonts w:ascii="Arial"/>
                <w:color w:val="262626"/>
                <w:spacing w:val="-2"/>
                <w:sz w:val="17"/>
              </w:rPr>
              <w:t>Estates</w:t>
            </w:r>
            <w:r>
              <w:rPr>
                <w:rFonts w:ascii="Arial"/>
                <w:color w:val="262626"/>
                <w:spacing w:val="6"/>
                <w:sz w:val="17"/>
              </w:rPr>
              <w:t> </w:t>
            </w:r>
            <w:r>
              <w:rPr>
                <w:rFonts w:ascii="Arial"/>
                <w:color w:val="262626"/>
                <w:spacing w:val="-2"/>
                <w:sz w:val="17"/>
              </w:rPr>
              <w:t>Services</w:t>
            </w:r>
          </w:p>
        </w:tc>
        <w:tc>
          <w:tcPr>
            <w:tcW w:w="329" w:type="dxa"/>
          </w:tcPr>
          <w:p>
            <w:pPr>
              <w:pStyle w:val="TableParagraph"/>
              <w:spacing w:before="130"/>
              <w:ind w:left="27" w:right="16"/>
              <w:jc w:val="center"/>
              <w:rPr>
                <w:rFonts w:ascii="Courier New"/>
                <w:sz w:val="20"/>
              </w:rPr>
            </w:pPr>
            <w:r>
              <w:rPr>
                <w:rFonts w:ascii="Courier New"/>
                <w:color w:val="262626"/>
                <w:spacing w:val="-5"/>
                <w:w w:val="95"/>
                <w:sz w:val="20"/>
              </w:rPr>
              <w:t>15</w:t>
            </w:r>
          </w:p>
        </w:tc>
      </w:tr>
      <w:tr>
        <w:trPr>
          <w:trHeight w:val="466" w:hRule="atLeast"/>
        </w:trPr>
        <w:tc>
          <w:tcPr>
            <w:tcW w:w="2797" w:type="dxa"/>
          </w:tcPr>
          <w:p>
            <w:pPr>
              <w:pStyle w:val="TableParagraph"/>
              <w:spacing w:before="127"/>
              <w:ind w:left="54"/>
              <w:rPr>
                <w:rFonts w:ascii="Arial"/>
                <w:sz w:val="17"/>
              </w:rPr>
            </w:pPr>
            <w:r>
              <w:rPr>
                <w:rFonts w:ascii="Arial"/>
                <w:color w:val="262626"/>
                <w:sz w:val="17"/>
              </w:rPr>
              <w:t>Finance</w:t>
            </w:r>
            <w:r>
              <w:rPr>
                <w:rFonts w:ascii="Arial"/>
                <w:color w:val="262626"/>
                <w:spacing w:val="20"/>
                <w:sz w:val="17"/>
              </w:rPr>
              <w:t> </w:t>
            </w:r>
            <w:r>
              <w:rPr>
                <w:rFonts w:ascii="Arial"/>
                <w:color w:val="262626"/>
                <w:sz w:val="17"/>
              </w:rPr>
              <w:t>and</w:t>
            </w:r>
            <w:r>
              <w:rPr>
                <w:rFonts w:ascii="Arial"/>
                <w:color w:val="262626"/>
                <w:spacing w:val="10"/>
                <w:sz w:val="17"/>
              </w:rPr>
              <w:t> </w:t>
            </w:r>
            <w:r>
              <w:rPr>
                <w:rFonts w:ascii="Arial"/>
                <w:color w:val="262626"/>
                <w:sz w:val="17"/>
              </w:rPr>
              <w:t>Corporate</w:t>
            </w:r>
            <w:r>
              <w:rPr>
                <w:rFonts w:ascii="Arial"/>
                <w:color w:val="262626"/>
                <w:spacing w:val="22"/>
                <w:sz w:val="17"/>
              </w:rPr>
              <w:t> </w:t>
            </w:r>
            <w:r>
              <w:rPr>
                <w:rFonts w:ascii="Arial"/>
                <w:color w:val="262626"/>
                <w:spacing w:val="-2"/>
                <w:sz w:val="17"/>
              </w:rPr>
              <w:t>Services</w:t>
            </w:r>
          </w:p>
        </w:tc>
        <w:tc>
          <w:tcPr>
            <w:tcW w:w="329" w:type="dxa"/>
          </w:tcPr>
          <w:p>
            <w:pPr>
              <w:pStyle w:val="TableParagraph"/>
              <w:spacing w:before="120"/>
              <w:ind w:left="27" w:right="6"/>
              <w:jc w:val="center"/>
              <w:rPr>
                <w:rFonts w:ascii="Courier New"/>
                <w:sz w:val="20"/>
              </w:rPr>
            </w:pPr>
            <w:r>
              <w:rPr>
                <w:rFonts w:ascii="Courier New"/>
                <w:color w:val="262626"/>
                <w:spacing w:val="-5"/>
                <w:w w:val="95"/>
                <w:sz w:val="20"/>
              </w:rPr>
              <w:t>18</w:t>
            </w:r>
          </w:p>
        </w:tc>
      </w:tr>
      <w:tr>
        <w:trPr>
          <w:trHeight w:val="346" w:hRule="atLeast"/>
        </w:trPr>
        <w:tc>
          <w:tcPr>
            <w:tcW w:w="2797" w:type="dxa"/>
          </w:tcPr>
          <w:p>
            <w:pPr>
              <w:pStyle w:val="TableParagraph"/>
              <w:spacing w:before="127"/>
              <w:ind w:left="55"/>
              <w:rPr>
                <w:rFonts w:ascii="Arial"/>
                <w:sz w:val="17"/>
              </w:rPr>
            </w:pPr>
            <w:r>
              <w:rPr>
                <w:rFonts w:ascii="Arial"/>
                <w:color w:val="262626"/>
                <w:w w:val="105"/>
                <w:sz w:val="17"/>
              </w:rPr>
              <w:t>People</w:t>
            </w:r>
            <w:r>
              <w:rPr>
                <w:rFonts w:ascii="Arial"/>
                <w:color w:val="262626"/>
                <w:spacing w:val="-8"/>
                <w:w w:val="105"/>
                <w:sz w:val="17"/>
              </w:rPr>
              <w:t> </w:t>
            </w:r>
            <w:r>
              <w:rPr>
                <w:rFonts w:ascii="Arial"/>
                <w:color w:val="262626"/>
                <w:w w:val="105"/>
                <w:sz w:val="17"/>
              </w:rPr>
              <w:t>and</w:t>
            </w:r>
            <w:r>
              <w:rPr>
                <w:rFonts w:ascii="Arial"/>
                <w:color w:val="262626"/>
                <w:spacing w:val="-11"/>
                <w:w w:val="105"/>
                <w:sz w:val="17"/>
              </w:rPr>
              <w:t> </w:t>
            </w:r>
            <w:r>
              <w:rPr>
                <w:rFonts w:ascii="Arial"/>
                <w:color w:val="262626"/>
                <w:w w:val="105"/>
                <w:sz w:val="17"/>
              </w:rPr>
              <w:t>Organisational</w:t>
            </w:r>
            <w:r>
              <w:rPr>
                <w:rFonts w:ascii="Arial"/>
                <w:color w:val="262626"/>
                <w:spacing w:val="-7"/>
                <w:w w:val="105"/>
                <w:sz w:val="17"/>
              </w:rPr>
              <w:t> </w:t>
            </w:r>
            <w:r>
              <w:rPr>
                <w:rFonts w:ascii="Arial"/>
                <w:color w:val="262626"/>
                <w:spacing w:val="-2"/>
                <w:w w:val="105"/>
                <w:sz w:val="17"/>
              </w:rPr>
              <w:t>Deve</w:t>
            </w:r>
            <w:r>
              <w:rPr>
                <w:rFonts w:ascii="Arial"/>
                <w:color w:val="4D4D4D"/>
                <w:spacing w:val="-2"/>
                <w:w w:val="105"/>
                <w:sz w:val="17"/>
              </w:rPr>
              <w:t>...</w:t>
            </w:r>
          </w:p>
        </w:tc>
        <w:tc>
          <w:tcPr>
            <w:tcW w:w="329" w:type="dxa"/>
          </w:tcPr>
          <w:p>
            <w:pPr>
              <w:pStyle w:val="TableParagraph"/>
              <w:spacing w:line="207" w:lineRule="exact" w:before="120"/>
              <w:ind w:right="86"/>
              <w:jc w:val="center"/>
              <w:rPr>
                <w:rFonts w:ascii="Courier New"/>
                <w:sz w:val="20"/>
              </w:rPr>
            </w:pPr>
            <w:r>
              <w:rPr>
                <w:rFonts w:ascii="Courier New"/>
                <w:color w:val="262626"/>
                <w:w w:val="106"/>
                <w:sz w:val="20"/>
              </w:rPr>
              <w:t>6</w:t>
            </w:r>
          </w:p>
        </w:tc>
      </w:tr>
    </w:tbl>
    <w:p>
      <w:pPr>
        <w:pStyle w:val="BodyText"/>
        <w:spacing w:before="2"/>
        <w:rPr>
          <w:rFonts w:ascii="Arial"/>
          <w:sz w:val="13"/>
        </w:rPr>
      </w:pPr>
    </w:p>
    <w:p>
      <w:pPr>
        <w:spacing w:before="98"/>
        <w:ind w:left="1756" w:right="0" w:firstLine="0"/>
        <w:jc w:val="left"/>
        <w:rPr>
          <w:rFonts w:ascii="Courier New"/>
          <w:sz w:val="20"/>
        </w:rPr>
      </w:pPr>
      <w:r>
        <w:rPr/>
        <w:drawing>
          <wp:anchor distT="0" distB="0" distL="0" distR="0" allowOverlap="1" layoutInCell="1" locked="0" behindDoc="0" simplePos="0" relativeHeight="15818752">
            <wp:simplePos x="0" y="0"/>
            <wp:positionH relativeFrom="page">
              <wp:posOffset>1115567</wp:posOffset>
            </wp:positionH>
            <wp:positionV relativeFrom="paragraph">
              <wp:posOffset>-1118869</wp:posOffset>
            </wp:positionV>
            <wp:extent cx="144780" cy="143255"/>
            <wp:effectExtent l="0" t="0" r="0" b="0"/>
            <wp:wrapNone/>
            <wp:docPr id="155" name="image69.jpeg"/>
            <wp:cNvGraphicFramePr>
              <a:graphicFrameLocks noChangeAspect="1"/>
            </wp:cNvGraphicFramePr>
            <a:graphic>
              <a:graphicData uri="http://schemas.openxmlformats.org/drawingml/2006/picture">
                <pic:pic>
                  <pic:nvPicPr>
                    <pic:cNvPr id="156" name="image69.jpeg"/>
                    <pic:cNvPicPr/>
                  </pic:nvPicPr>
                  <pic:blipFill>
                    <a:blip r:embed="rId141" cstate="print"/>
                    <a:stretch>
                      <a:fillRect/>
                    </a:stretch>
                  </pic:blipFill>
                  <pic:spPr>
                    <a:xfrm>
                      <a:off x="0" y="0"/>
                      <a:ext cx="144780" cy="143255"/>
                    </a:xfrm>
                    <a:prstGeom prst="rect">
                      <a:avLst/>
                    </a:prstGeom>
                  </pic:spPr>
                </pic:pic>
              </a:graphicData>
            </a:graphic>
          </wp:anchor>
        </w:drawing>
      </w:r>
      <w:r>
        <w:rPr/>
        <w:drawing>
          <wp:anchor distT="0" distB="0" distL="0" distR="0" allowOverlap="1" layoutInCell="1" locked="0" behindDoc="0" simplePos="0" relativeHeight="15819264">
            <wp:simplePos x="0" y="0"/>
            <wp:positionH relativeFrom="page">
              <wp:posOffset>1115567</wp:posOffset>
            </wp:positionH>
            <wp:positionV relativeFrom="paragraph">
              <wp:posOffset>-821689</wp:posOffset>
            </wp:positionV>
            <wp:extent cx="144779" cy="141731"/>
            <wp:effectExtent l="0" t="0" r="0" b="0"/>
            <wp:wrapNone/>
            <wp:docPr id="157" name="image63.jpeg"/>
            <wp:cNvGraphicFramePr>
              <a:graphicFrameLocks noChangeAspect="1"/>
            </wp:cNvGraphicFramePr>
            <a:graphic>
              <a:graphicData uri="http://schemas.openxmlformats.org/drawingml/2006/picture">
                <pic:pic>
                  <pic:nvPicPr>
                    <pic:cNvPr id="158" name="image63.jpeg"/>
                    <pic:cNvPicPr/>
                  </pic:nvPicPr>
                  <pic:blipFill>
                    <a:blip r:embed="rId135" cstate="print"/>
                    <a:stretch>
                      <a:fillRect/>
                    </a:stretch>
                  </pic:blipFill>
                  <pic:spPr>
                    <a:xfrm>
                      <a:off x="0" y="0"/>
                      <a:ext cx="144779" cy="141731"/>
                    </a:xfrm>
                    <a:prstGeom prst="rect">
                      <a:avLst/>
                    </a:prstGeom>
                  </pic:spPr>
                </pic:pic>
              </a:graphicData>
            </a:graphic>
          </wp:anchor>
        </w:drawing>
      </w:r>
      <w:r>
        <w:rPr/>
        <w:drawing>
          <wp:anchor distT="0" distB="0" distL="0" distR="0" allowOverlap="1" layoutInCell="1" locked="0" behindDoc="0" simplePos="0" relativeHeight="15819776">
            <wp:simplePos x="0" y="0"/>
            <wp:positionH relativeFrom="page">
              <wp:posOffset>1115567</wp:posOffset>
            </wp:positionH>
            <wp:positionV relativeFrom="paragraph">
              <wp:posOffset>-524509</wp:posOffset>
            </wp:positionV>
            <wp:extent cx="144780" cy="134112"/>
            <wp:effectExtent l="0" t="0" r="0" b="0"/>
            <wp:wrapNone/>
            <wp:docPr id="159" name="image70.jpeg"/>
            <wp:cNvGraphicFramePr>
              <a:graphicFrameLocks noChangeAspect="1"/>
            </wp:cNvGraphicFramePr>
            <a:graphic>
              <a:graphicData uri="http://schemas.openxmlformats.org/drawingml/2006/picture">
                <pic:pic>
                  <pic:nvPicPr>
                    <pic:cNvPr id="160" name="image70.jpeg"/>
                    <pic:cNvPicPr/>
                  </pic:nvPicPr>
                  <pic:blipFill>
                    <a:blip r:embed="rId142" cstate="print"/>
                    <a:stretch>
                      <a:fillRect/>
                    </a:stretch>
                  </pic:blipFill>
                  <pic:spPr>
                    <a:xfrm>
                      <a:off x="0" y="0"/>
                      <a:ext cx="144780" cy="134112"/>
                    </a:xfrm>
                    <a:prstGeom prst="rect">
                      <a:avLst/>
                    </a:prstGeom>
                  </pic:spPr>
                </pic:pic>
              </a:graphicData>
            </a:graphic>
          </wp:anchor>
        </w:drawing>
      </w:r>
      <w:r>
        <w:rPr/>
        <w:drawing>
          <wp:anchor distT="0" distB="0" distL="0" distR="0" allowOverlap="1" layoutInCell="1" locked="0" behindDoc="0" simplePos="0" relativeHeight="15820288">
            <wp:simplePos x="0" y="0"/>
            <wp:positionH relativeFrom="page">
              <wp:posOffset>1115567</wp:posOffset>
            </wp:positionH>
            <wp:positionV relativeFrom="paragraph">
              <wp:posOffset>-225806</wp:posOffset>
            </wp:positionV>
            <wp:extent cx="144780" cy="134112"/>
            <wp:effectExtent l="0" t="0" r="0" b="0"/>
            <wp:wrapNone/>
            <wp:docPr id="161" name="image71.jpeg"/>
            <wp:cNvGraphicFramePr>
              <a:graphicFrameLocks noChangeAspect="1"/>
            </wp:cNvGraphicFramePr>
            <a:graphic>
              <a:graphicData uri="http://schemas.openxmlformats.org/drawingml/2006/picture">
                <pic:pic>
                  <pic:nvPicPr>
                    <pic:cNvPr id="162" name="image71.jpeg"/>
                    <pic:cNvPicPr/>
                  </pic:nvPicPr>
                  <pic:blipFill>
                    <a:blip r:embed="rId143" cstate="print"/>
                    <a:stretch>
                      <a:fillRect/>
                    </a:stretch>
                  </pic:blipFill>
                  <pic:spPr>
                    <a:xfrm>
                      <a:off x="0" y="0"/>
                      <a:ext cx="144780" cy="134112"/>
                    </a:xfrm>
                    <a:prstGeom prst="rect">
                      <a:avLst/>
                    </a:prstGeom>
                  </pic:spPr>
                </pic:pic>
              </a:graphicData>
            </a:graphic>
          </wp:anchor>
        </w:drawing>
      </w:r>
      <w:r>
        <w:rPr>
          <w:position w:val="-5"/>
        </w:rPr>
        <w:drawing>
          <wp:inline distT="0" distB="0" distL="0" distR="0">
            <wp:extent cx="144779" cy="143255"/>
            <wp:effectExtent l="0" t="0" r="0" b="0"/>
            <wp:docPr id="163" name="image72.jpeg"/>
            <wp:cNvGraphicFramePr>
              <a:graphicFrameLocks noChangeAspect="1"/>
            </wp:cNvGraphicFramePr>
            <a:graphic>
              <a:graphicData uri="http://schemas.openxmlformats.org/drawingml/2006/picture">
                <pic:pic>
                  <pic:nvPicPr>
                    <pic:cNvPr id="164" name="image72.jpeg"/>
                    <pic:cNvPicPr/>
                  </pic:nvPicPr>
                  <pic:blipFill>
                    <a:blip r:embed="rId144" cstate="print"/>
                    <a:stretch>
                      <a:fillRect/>
                    </a:stretch>
                  </pic:blipFill>
                  <pic:spPr>
                    <a:xfrm>
                      <a:off x="0" y="0"/>
                      <a:ext cx="144779" cy="143255"/>
                    </a:xfrm>
                    <a:prstGeom prst="rect">
                      <a:avLst/>
                    </a:prstGeom>
                  </pic:spPr>
                </pic:pic>
              </a:graphicData>
            </a:graphic>
          </wp:inline>
        </w:drawing>
      </w:r>
      <w:r>
        <w:rPr>
          <w:position w:val="-5"/>
        </w:rPr>
      </w:r>
      <w:r>
        <w:rPr>
          <w:rFonts w:ascii="Times New Roman"/>
          <w:spacing w:val="80"/>
          <w:w w:val="105"/>
          <w:sz w:val="20"/>
        </w:rPr>
        <w:t> </w:t>
      </w:r>
      <w:r>
        <w:rPr>
          <w:rFonts w:ascii="Arial"/>
          <w:color w:val="262626"/>
          <w:w w:val="105"/>
          <w:sz w:val="17"/>
        </w:rPr>
        <w:t>Planning, Performance and lnfor</w:t>
      </w:r>
      <w:r>
        <w:rPr>
          <w:rFonts w:ascii="Arial"/>
          <w:color w:val="4D4D4D"/>
          <w:w w:val="105"/>
          <w:sz w:val="17"/>
        </w:rPr>
        <w:t>...</w:t>
      </w:r>
      <w:r>
        <w:rPr>
          <w:rFonts w:ascii="Arial"/>
          <w:color w:val="4D4D4D"/>
          <w:spacing w:val="40"/>
          <w:w w:val="105"/>
          <w:sz w:val="17"/>
        </w:rPr>
        <w:t> </w:t>
      </w:r>
      <w:r>
        <w:rPr>
          <w:rFonts w:ascii="Courier New"/>
          <w:color w:val="262626"/>
          <w:w w:val="105"/>
          <w:sz w:val="20"/>
        </w:rPr>
        <w:t>8</w:t>
      </w:r>
    </w:p>
    <w:p>
      <w:pPr>
        <w:tabs>
          <w:tab w:pos="5067" w:val="right" w:leader="none"/>
          <w:tab w:pos="5176" w:val="right" w:leader="none"/>
        </w:tabs>
        <w:spacing w:line="494" w:lineRule="auto" w:before="237"/>
        <w:ind w:left="2150" w:right="6728" w:hanging="394"/>
        <w:jc w:val="left"/>
        <w:rPr>
          <w:rFonts w:ascii="Courier New"/>
          <w:sz w:val="20"/>
        </w:rPr>
      </w:pPr>
      <w:r>
        <w:rPr/>
        <w:drawing>
          <wp:anchor distT="0" distB="0" distL="0" distR="0" allowOverlap="1" layoutInCell="1" locked="0" behindDoc="1" simplePos="0" relativeHeight="479217152">
            <wp:simplePos x="0" y="0"/>
            <wp:positionH relativeFrom="page">
              <wp:posOffset>1115567</wp:posOffset>
            </wp:positionH>
            <wp:positionV relativeFrom="paragraph">
              <wp:posOffset>446151</wp:posOffset>
            </wp:positionV>
            <wp:extent cx="144779" cy="146303"/>
            <wp:effectExtent l="0" t="0" r="0" b="0"/>
            <wp:wrapNone/>
            <wp:docPr id="165" name="image73.jpeg"/>
            <wp:cNvGraphicFramePr>
              <a:graphicFrameLocks noChangeAspect="1"/>
            </wp:cNvGraphicFramePr>
            <a:graphic>
              <a:graphicData uri="http://schemas.openxmlformats.org/drawingml/2006/picture">
                <pic:pic>
                  <pic:nvPicPr>
                    <pic:cNvPr id="166" name="image73.jpeg"/>
                    <pic:cNvPicPr/>
                  </pic:nvPicPr>
                  <pic:blipFill>
                    <a:blip r:embed="rId145" cstate="print"/>
                    <a:stretch>
                      <a:fillRect/>
                    </a:stretch>
                  </pic:blipFill>
                  <pic:spPr>
                    <a:xfrm>
                      <a:off x="0" y="0"/>
                      <a:ext cx="144779" cy="146303"/>
                    </a:xfrm>
                    <a:prstGeom prst="rect">
                      <a:avLst/>
                    </a:prstGeom>
                  </pic:spPr>
                </pic:pic>
              </a:graphicData>
            </a:graphic>
          </wp:anchor>
        </w:drawing>
      </w:r>
      <w:r>
        <w:rPr>
          <w:position w:val="-4"/>
        </w:rPr>
        <w:drawing>
          <wp:inline distT="0" distB="0" distL="0" distR="0">
            <wp:extent cx="144779" cy="144779"/>
            <wp:effectExtent l="0" t="0" r="0" b="0"/>
            <wp:docPr id="167" name="image74.jpeg"/>
            <wp:cNvGraphicFramePr>
              <a:graphicFrameLocks noChangeAspect="1"/>
            </wp:cNvGraphicFramePr>
            <a:graphic>
              <a:graphicData uri="http://schemas.openxmlformats.org/drawingml/2006/picture">
                <pic:pic>
                  <pic:nvPicPr>
                    <pic:cNvPr id="168" name="image74.jpeg"/>
                    <pic:cNvPicPr/>
                  </pic:nvPicPr>
                  <pic:blipFill>
                    <a:blip r:embed="rId146" cstate="print"/>
                    <a:stretch>
                      <a:fillRect/>
                    </a:stretch>
                  </pic:blipFill>
                  <pic:spPr>
                    <a:xfrm>
                      <a:off x="0" y="0"/>
                      <a:ext cx="144779" cy="144779"/>
                    </a:xfrm>
                    <a:prstGeom prst="rect">
                      <a:avLst/>
                    </a:prstGeom>
                  </pic:spPr>
                </pic:pic>
              </a:graphicData>
            </a:graphic>
          </wp:inline>
        </w:drawing>
      </w:r>
      <w:r>
        <w:rPr>
          <w:position w:val="-4"/>
        </w:rPr>
      </w:r>
      <w:r>
        <w:rPr>
          <w:rFonts w:ascii="Times New Roman"/>
          <w:spacing w:val="80"/>
          <w:sz w:val="20"/>
        </w:rPr>
        <w:t> </w:t>
      </w:r>
      <w:r>
        <w:rPr>
          <w:rFonts w:ascii="Arial"/>
          <w:color w:val="262626"/>
          <w:sz w:val="17"/>
        </w:rPr>
        <w:t>PROMPT Wales</w:t>
        <w:tab/>
      </w:r>
      <w:r>
        <w:rPr>
          <w:rFonts w:ascii="Times New Roman"/>
          <w:color w:val="262626"/>
          <w:sz w:val="18"/>
        </w:rPr>
        <w:t>0</w:t>
      </w:r>
      <w:r>
        <w:rPr>
          <w:rFonts w:ascii="Times New Roman"/>
          <w:color w:val="262626"/>
          <w:spacing w:val="80"/>
          <w:w w:val="150"/>
          <w:sz w:val="18"/>
        </w:rPr>
        <w:t>  </w:t>
      </w:r>
      <w:r>
        <w:rPr>
          <w:rFonts w:ascii="Arial"/>
          <w:color w:val="262626"/>
          <w:sz w:val="17"/>
        </w:rPr>
        <w:t>Other</w:t>
        <w:tab/>
      </w:r>
      <w:r>
        <w:rPr>
          <w:rFonts w:ascii="Courier New"/>
          <w:color w:val="262626"/>
          <w:spacing w:val="-6"/>
          <w:sz w:val="20"/>
        </w:rPr>
        <w:t>14</w:t>
      </w:r>
    </w:p>
    <w:p>
      <w:pPr>
        <w:pStyle w:val="BodyText"/>
        <w:spacing w:before="1"/>
        <w:rPr>
          <w:rFonts w:ascii="Courier New"/>
          <w:sz w:val="28"/>
        </w:rPr>
      </w:pPr>
      <w:r>
        <w:rPr/>
        <w:pict>
          <v:rect style="position:absolute;margin-left:65.160004pt;margin-top:17.109375pt;width:482.04pt;height:.84pt;mso-position-horizontal-relative:page;mso-position-vertical-relative:paragraph;z-index:-15649280;mso-wrap-distance-left:0;mso-wrap-distance-right:0" id="docshape406" filled="true" fillcolor="#e9e9e9" stroked="false">
            <v:fill type="solid"/>
            <w10:wrap type="topAndBottom"/>
          </v:rect>
        </w:pict>
      </w:r>
    </w:p>
    <w:p>
      <w:pPr>
        <w:spacing w:after="0"/>
        <w:rPr>
          <w:rFonts w:ascii="Courier New"/>
          <w:sz w:val="28"/>
        </w:rPr>
        <w:sectPr>
          <w:pgSz w:w="11910" w:h="16840"/>
          <w:pgMar w:header="0" w:footer="162" w:top="800" w:bottom="360" w:left="0" w:right="0"/>
        </w:sectPr>
      </w:pPr>
    </w:p>
    <w:p>
      <w:pPr>
        <w:pStyle w:val="ListParagraph"/>
        <w:numPr>
          <w:ilvl w:val="0"/>
          <w:numId w:val="31"/>
        </w:numPr>
        <w:tabs>
          <w:tab w:pos="1796" w:val="left" w:leader="none"/>
        </w:tabs>
        <w:spacing w:line="240" w:lineRule="auto" w:before="65" w:after="0"/>
        <w:ind w:left="1795" w:right="0" w:hanging="306"/>
        <w:jc w:val="left"/>
        <w:rPr>
          <w:rFonts w:ascii="Arial"/>
          <w:color w:val="212121"/>
          <w:sz w:val="22"/>
        </w:rPr>
      </w:pPr>
      <w:r>
        <w:rPr>
          <w:rFonts w:ascii="Arial"/>
          <w:color w:val="212121"/>
          <w:w w:val="105"/>
          <w:sz w:val="22"/>
        </w:rPr>
        <w:t>Workplace</w:t>
      </w:r>
      <w:r>
        <w:rPr>
          <w:rFonts w:ascii="Arial"/>
          <w:color w:val="212121"/>
          <w:spacing w:val="24"/>
          <w:w w:val="105"/>
          <w:sz w:val="22"/>
        </w:rPr>
        <w:t> </w:t>
      </w:r>
      <w:r>
        <w:rPr>
          <w:rFonts w:ascii="Arial"/>
          <w:color w:val="212121"/>
          <w:spacing w:val="-2"/>
          <w:w w:val="105"/>
          <w:sz w:val="22"/>
        </w:rPr>
        <w:t>Location</w:t>
      </w:r>
    </w:p>
    <w:p>
      <w:pPr>
        <w:pStyle w:val="BodyText"/>
        <w:rPr>
          <w:rFonts w:ascii="Arial"/>
          <w:sz w:val="20"/>
        </w:rPr>
      </w:pPr>
    </w:p>
    <w:p>
      <w:pPr>
        <w:spacing w:after="0"/>
        <w:rPr>
          <w:rFonts w:ascii="Arial"/>
          <w:sz w:val="20"/>
        </w:rPr>
        <w:sectPr>
          <w:pgSz w:w="11910" w:h="16840"/>
          <w:pgMar w:header="0" w:footer="162" w:top="820" w:bottom="360" w:left="0" w:right="0"/>
        </w:sectPr>
      </w:pPr>
    </w:p>
    <w:p>
      <w:pPr>
        <w:pStyle w:val="BodyText"/>
        <w:spacing w:before="8"/>
        <w:rPr>
          <w:rFonts w:ascii="Arial"/>
          <w:sz w:val="54"/>
        </w:rPr>
      </w:pPr>
    </w:p>
    <w:p>
      <w:pPr>
        <w:spacing w:before="0"/>
        <w:ind w:left="2712" w:right="0" w:firstLine="0"/>
        <w:jc w:val="center"/>
        <w:rPr>
          <w:rFonts w:ascii="Times New Roman"/>
          <w:sz w:val="42"/>
        </w:rPr>
      </w:pPr>
      <w:r>
        <w:rPr>
          <w:rFonts w:ascii="Times New Roman"/>
          <w:color w:val="212121"/>
          <w:spacing w:val="-5"/>
          <w:sz w:val="42"/>
        </w:rPr>
        <w:t>301</w:t>
      </w:r>
    </w:p>
    <w:p>
      <w:pPr>
        <w:spacing w:before="63"/>
        <w:ind w:left="2722" w:right="0" w:firstLine="0"/>
        <w:jc w:val="center"/>
        <w:rPr>
          <w:rFonts w:ascii="Arial"/>
          <w:sz w:val="22"/>
        </w:rPr>
      </w:pPr>
      <w:r>
        <w:rPr>
          <w:rFonts w:ascii="Arial"/>
          <w:color w:val="212121"/>
          <w:spacing w:val="-4"/>
          <w:sz w:val="22"/>
        </w:rPr>
        <w:t>Responses</w:t>
      </w:r>
    </w:p>
    <w:p>
      <w:pPr>
        <w:spacing w:line="240" w:lineRule="auto" w:before="7"/>
        <w:rPr>
          <w:rFonts w:ascii="Arial"/>
          <w:sz w:val="23"/>
        </w:rPr>
      </w:pPr>
      <w:r>
        <w:rPr/>
        <w:br w:type="column"/>
      </w:r>
      <w:r>
        <w:rPr>
          <w:rFonts w:ascii="Arial"/>
          <w:sz w:val="23"/>
        </w:rPr>
      </w:r>
    </w:p>
    <w:p>
      <w:pPr>
        <w:spacing w:before="0"/>
        <w:ind w:left="1914" w:right="1605" w:firstLine="0"/>
        <w:jc w:val="center"/>
        <w:rPr>
          <w:rFonts w:ascii="Arial"/>
          <w:sz w:val="22"/>
        </w:rPr>
      </w:pPr>
      <w:r>
        <w:rPr>
          <w:rFonts w:ascii="Arial"/>
          <w:color w:val="595959"/>
          <w:sz w:val="22"/>
        </w:rPr>
        <w:t>Latest</w:t>
      </w:r>
      <w:r>
        <w:rPr>
          <w:rFonts w:ascii="Arial"/>
          <w:color w:val="595959"/>
          <w:spacing w:val="28"/>
          <w:sz w:val="22"/>
        </w:rPr>
        <w:t> </w:t>
      </w:r>
      <w:r>
        <w:rPr>
          <w:rFonts w:ascii="Arial"/>
          <w:color w:val="595959"/>
          <w:spacing w:val="-2"/>
          <w:sz w:val="22"/>
        </w:rPr>
        <w:t>Responses</w:t>
      </w:r>
    </w:p>
    <w:p>
      <w:pPr>
        <w:spacing w:before="136"/>
        <w:ind w:left="1908" w:right="1613" w:firstLine="0"/>
        <w:jc w:val="center"/>
        <w:rPr>
          <w:rFonts w:ascii="Arial"/>
          <w:i/>
          <w:sz w:val="19"/>
        </w:rPr>
      </w:pPr>
      <w:r>
        <w:rPr>
          <w:rFonts w:ascii="Arial"/>
          <w:i/>
          <w:color w:val="030303"/>
          <w:sz w:val="19"/>
        </w:rPr>
        <w:t>"Alder</w:t>
      </w:r>
      <w:r>
        <w:rPr>
          <w:rFonts w:ascii="Arial"/>
          <w:i/>
          <w:color w:val="030303"/>
          <w:spacing w:val="44"/>
          <w:sz w:val="19"/>
        </w:rPr>
        <w:t> </w:t>
      </w:r>
      <w:r>
        <w:rPr>
          <w:rFonts w:ascii="Arial"/>
          <w:i/>
          <w:color w:val="030303"/>
          <w:spacing w:val="-2"/>
          <w:sz w:val="19"/>
        </w:rPr>
        <w:t>House"</w:t>
      </w:r>
    </w:p>
    <w:p>
      <w:pPr>
        <w:pStyle w:val="BodyText"/>
        <w:spacing w:before="8"/>
        <w:rPr>
          <w:rFonts w:ascii="Arial"/>
          <w:i/>
          <w:sz w:val="17"/>
        </w:rPr>
      </w:pPr>
    </w:p>
    <w:p>
      <w:pPr>
        <w:spacing w:line="465" w:lineRule="auto" w:before="1"/>
        <w:ind w:left="1914" w:right="1613" w:firstLine="0"/>
        <w:jc w:val="center"/>
        <w:rPr>
          <w:rFonts w:ascii="Arial"/>
          <w:i/>
          <w:sz w:val="19"/>
        </w:rPr>
      </w:pPr>
      <w:r>
        <w:rPr>
          <w:rFonts w:ascii="Arial"/>
          <w:i/>
          <w:color w:val="212121"/>
          <w:w w:val="105"/>
          <w:sz w:val="19"/>
        </w:rPr>
        <w:t>"Nantgarw </w:t>
      </w:r>
      <w:r>
        <w:rPr>
          <w:rFonts w:ascii="Arial"/>
          <w:i/>
          <w:color w:val="030303"/>
          <w:w w:val="105"/>
          <w:sz w:val="19"/>
        </w:rPr>
        <w:t>Head office </w:t>
      </w:r>
      <w:r>
        <w:rPr>
          <w:rFonts w:ascii="Arial"/>
          <w:color w:val="030303"/>
          <w:w w:val="105"/>
          <w:sz w:val="19"/>
        </w:rPr>
        <w:t>- </w:t>
      </w:r>
      <w:r>
        <w:rPr>
          <w:rFonts w:ascii="Arial"/>
          <w:i/>
          <w:color w:val="030303"/>
          <w:w w:val="105"/>
          <w:sz w:val="19"/>
        </w:rPr>
        <w:t>currently work from home"</w:t>
      </w:r>
      <w:r>
        <w:rPr>
          <w:rFonts w:ascii="Arial"/>
          <w:i/>
          <w:color w:val="030303"/>
          <w:w w:val="105"/>
          <w:sz w:val="19"/>
        </w:rPr>
        <w:t> "companies</w:t>
      </w:r>
      <w:r>
        <w:rPr>
          <w:rFonts w:ascii="Arial"/>
          <w:i/>
          <w:color w:val="030303"/>
          <w:w w:val="105"/>
          <w:sz w:val="19"/>
        </w:rPr>
        <w:t> house"</w:t>
      </w:r>
    </w:p>
    <w:p>
      <w:pPr>
        <w:spacing w:after="0" w:line="465" w:lineRule="auto"/>
        <w:jc w:val="center"/>
        <w:rPr>
          <w:rFonts w:ascii="Arial"/>
          <w:sz w:val="19"/>
        </w:rPr>
        <w:sectPr>
          <w:type w:val="continuous"/>
          <w:pgSz w:w="11910" w:h="16840"/>
          <w:pgMar w:header="0" w:footer="162" w:top="740" w:bottom="280" w:left="0" w:right="0"/>
          <w:cols w:num="2" w:equalWidth="0">
            <w:col w:w="3814" w:space="40"/>
            <w:col w:w="8056"/>
          </w:cols>
        </w:sectPr>
      </w:pPr>
    </w:p>
    <w:p>
      <w:pPr>
        <w:pStyle w:val="BodyText"/>
        <w:spacing w:before="8"/>
        <w:rPr>
          <w:rFonts w:ascii="Arial"/>
          <w:i/>
          <w:sz w:val="11"/>
        </w:rPr>
      </w:pPr>
    </w:p>
    <w:p>
      <w:pPr>
        <w:spacing w:before="94"/>
        <w:ind w:left="1695" w:right="0" w:firstLine="0"/>
        <w:jc w:val="left"/>
        <w:rPr>
          <w:rFonts w:ascii="Arial"/>
          <w:sz w:val="20"/>
        </w:rPr>
      </w:pPr>
      <w:r>
        <w:rPr>
          <w:rFonts w:ascii="Arial"/>
          <w:color w:val="26898E"/>
          <w:w w:val="105"/>
          <w:sz w:val="20"/>
        </w:rPr>
        <w:t>0</w:t>
      </w:r>
      <w:r>
        <w:rPr>
          <w:rFonts w:ascii="Arial"/>
          <w:color w:val="26898E"/>
          <w:spacing w:val="78"/>
          <w:w w:val="150"/>
          <w:sz w:val="20"/>
        </w:rPr>
        <w:t> </w:t>
      </w:r>
      <w:r>
        <w:rPr>
          <w:rFonts w:ascii="Arial"/>
          <w:color w:val="016D70"/>
          <w:spacing w:val="-2"/>
          <w:w w:val="105"/>
          <w:sz w:val="20"/>
        </w:rPr>
        <w:t>Update</w:t>
      </w:r>
    </w:p>
    <w:p>
      <w:pPr>
        <w:pStyle w:val="BodyText"/>
        <w:spacing w:before="7"/>
        <w:rPr>
          <w:rFonts w:ascii="Arial"/>
          <w:sz w:val="15"/>
        </w:rPr>
      </w:pPr>
      <w:r>
        <w:rPr/>
        <w:pict>
          <v:group style="position:absolute;margin-left:65.160004pt;margin-top:10.203142pt;width:482.2pt;height:192.05pt;mso-position-horizontal-relative:page;mso-position-vertical-relative:paragraph;z-index:-15635456;mso-wrap-distance-left:0;mso-wrap-distance-right:0" id="docshapegroup407" coordorigin="1303,204" coordsize="9644,3841">
            <v:rect style="position:absolute;left:1303;top:4027;width:9641;height:17" id="docshape408" filled="true" fillcolor="#e9e9e9" stroked="false">
              <v:fill type="solid"/>
            </v:rect>
            <v:shape style="position:absolute;left:1313;top:212;width:9625;height:3809" id="docshape409" coordorigin="1314,212" coordsize="9625,3809" path="m1314,3968l1314,265,1314,258,1314,251,1316,244,1321,239,1323,232,1328,227,1333,222,1340,220,1345,217,1352,215,1359,212,1367,212,10885,212,10892,212,10899,215,10904,217,10911,220,10916,222,10921,227,10928,232,10931,239,10933,244,10935,251,10938,258,10938,265,10938,3968,10938,3975,10935,3982,10933,3987,10931,3994,10904,4016,10899,4018,10892,4021,10885,4021,1367,4021,1359,4021,1352,4018,1345,4016,1340,4014,1333,4011,1328,4006,1323,3999,1321,3994,1316,3987,1314,3982,1314,3975,1314,3968xe" filled="false" stroked="true" strokeweight=".84225pt" strokecolor="#c8c8c8">
              <v:path arrowok="t"/>
              <v:stroke dashstyle="solid"/>
            </v:shape>
            <v:shape style="position:absolute;left:1570;top:482;width:6603;height:224" type="#_x0000_t202" id="docshape410" filled="false" stroked="false">
              <v:textbox inset="0,0,0,0">
                <w:txbxContent>
                  <w:p>
                    <w:pPr>
                      <w:spacing w:line="224" w:lineRule="exact" w:before="0"/>
                      <w:ind w:left="0" w:right="0" w:firstLine="0"/>
                      <w:jc w:val="left"/>
                      <w:rPr>
                        <w:rFonts w:ascii="Arial"/>
                        <w:sz w:val="20"/>
                      </w:rPr>
                    </w:pPr>
                    <w:r>
                      <w:rPr>
                        <w:rFonts w:ascii="Arial"/>
                        <w:b/>
                        <w:color w:val="212121"/>
                        <w:sz w:val="20"/>
                      </w:rPr>
                      <w:t>108</w:t>
                    </w:r>
                    <w:r>
                      <w:rPr>
                        <w:rFonts w:ascii="Arial"/>
                        <w:b/>
                        <w:color w:val="212121"/>
                        <w:spacing w:val="8"/>
                        <w:sz w:val="20"/>
                      </w:rPr>
                      <w:t> </w:t>
                    </w:r>
                    <w:r>
                      <w:rPr>
                        <w:rFonts w:ascii="Arial"/>
                        <w:color w:val="212121"/>
                        <w:sz w:val="20"/>
                      </w:rPr>
                      <w:t>respondents</w:t>
                    </w:r>
                    <w:r>
                      <w:rPr>
                        <w:rFonts w:ascii="Arial"/>
                        <w:color w:val="212121"/>
                        <w:spacing w:val="33"/>
                        <w:sz w:val="20"/>
                      </w:rPr>
                      <w:t> </w:t>
                    </w:r>
                    <w:r>
                      <w:rPr>
                        <w:rFonts w:ascii="Arial"/>
                        <w:b/>
                        <w:color w:val="212121"/>
                        <w:sz w:val="20"/>
                      </w:rPr>
                      <w:t>(36%)</w:t>
                    </w:r>
                    <w:r>
                      <w:rPr>
                        <w:rFonts w:ascii="Arial"/>
                        <w:b/>
                        <w:color w:val="212121"/>
                        <w:spacing w:val="19"/>
                        <w:sz w:val="20"/>
                      </w:rPr>
                      <w:t> </w:t>
                    </w:r>
                    <w:r>
                      <w:rPr>
                        <w:rFonts w:ascii="Arial"/>
                        <w:color w:val="212121"/>
                        <w:sz w:val="20"/>
                      </w:rPr>
                      <w:t>answered</w:t>
                    </w:r>
                    <w:r>
                      <w:rPr>
                        <w:rFonts w:ascii="Arial"/>
                        <w:color w:val="212121"/>
                        <w:spacing w:val="21"/>
                        <w:sz w:val="20"/>
                      </w:rPr>
                      <w:t> </w:t>
                    </w:r>
                    <w:r>
                      <w:rPr>
                        <w:rFonts w:ascii="Arial"/>
                        <w:b/>
                        <w:color w:val="212121"/>
                        <w:sz w:val="20"/>
                      </w:rPr>
                      <w:t>Companies</w:t>
                    </w:r>
                    <w:r>
                      <w:rPr>
                        <w:rFonts w:ascii="Arial"/>
                        <w:b/>
                        <w:color w:val="212121"/>
                        <w:spacing w:val="23"/>
                        <w:sz w:val="20"/>
                      </w:rPr>
                      <w:t> </w:t>
                    </w:r>
                    <w:r>
                      <w:rPr>
                        <w:rFonts w:ascii="Arial"/>
                        <w:b/>
                        <w:color w:val="212121"/>
                        <w:sz w:val="20"/>
                      </w:rPr>
                      <w:t>House</w:t>
                    </w:r>
                    <w:r>
                      <w:rPr>
                        <w:rFonts w:ascii="Arial"/>
                        <w:b/>
                        <w:color w:val="212121"/>
                        <w:spacing w:val="11"/>
                        <w:sz w:val="20"/>
                      </w:rPr>
                      <w:t> </w:t>
                    </w:r>
                    <w:r>
                      <w:rPr>
                        <w:rFonts w:ascii="Arial"/>
                        <w:color w:val="212121"/>
                        <w:sz w:val="20"/>
                      </w:rPr>
                      <w:t>for</w:t>
                    </w:r>
                    <w:r>
                      <w:rPr>
                        <w:rFonts w:ascii="Arial"/>
                        <w:color w:val="212121"/>
                        <w:spacing w:val="34"/>
                        <w:sz w:val="20"/>
                      </w:rPr>
                      <w:t> </w:t>
                    </w:r>
                    <w:r>
                      <w:rPr>
                        <w:rFonts w:ascii="Arial"/>
                        <w:color w:val="212121"/>
                        <w:sz w:val="20"/>
                      </w:rPr>
                      <w:t>this</w:t>
                    </w:r>
                    <w:r>
                      <w:rPr>
                        <w:rFonts w:ascii="Arial"/>
                        <w:color w:val="212121"/>
                        <w:spacing w:val="11"/>
                        <w:sz w:val="20"/>
                      </w:rPr>
                      <w:t> </w:t>
                    </w:r>
                    <w:r>
                      <w:rPr>
                        <w:rFonts w:ascii="Arial"/>
                        <w:color w:val="212121"/>
                        <w:spacing w:val="-2"/>
                        <w:sz w:val="20"/>
                      </w:rPr>
                      <w:t>question</w:t>
                    </w:r>
                    <w:r>
                      <w:rPr>
                        <w:rFonts w:ascii="Arial"/>
                        <w:color w:val="595959"/>
                        <w:spacing w:val="-2"/>
                        <w:sz w:val="20"/>
                      </w:rPr>
                      <w:t>.</w:t>
                    </w:r>
                  </w:p>
                </w:txbxContent>
              </v:textbox>
              <w10:wrap type="none"/>
            </v:shape>
            <v:shape style="position:absolute;left:1870;top:1128;width:2240;height:280" type="#_x0000_t202" id="docshape411" filled="false" stroked="false">
              <v:textbox inset="0,0,0,0">
                <w:txbxContent>
                  <w:p>
                    <w:pPr>
                      <w:spacing w:line="280" w:lineRule="exact" w:before="0"/>
                      <w:ind w:left="0" w:right="0" w:firstLine="0"/>
                      <w:jc w:val="left"/>
                      <w:rPr>
                        <w:rFonts w:ascii="Arial"/>
                        <w:b/>
                        <w:sz w:val="25"/>
                      </w:rPr>
                    </w:pPr>
                    <w:r>
                      <w:rPr>
                        <w:rFonts w:ascii="Arial"/>
                        <w:b/>
                        <w:color w:val="4FA0A7"/>
                        <w:spacing w:val="-2"/>
                        <w:w w:val="105"/>
                        <w:sz w:val="25"/>
                      </w:rPr>
                      <w:t>Home/Companies</w:t>
                    </w:r>
                  </w:p>
                </w:txbxContent>
              </v:textbox>
              <w10:wrap type="none"/>
            </v:shape>
            <v:shape style="position:absolute;left:5626;top:902;width:5087;height:280" type="#_x0000_t202" id="docshape412" filled="false" stroked="false">
              <v:textbox inset="0,0,0,0">
                <w:txbxContent>
                  <w:p>
                    <w:pPr>
                      <w:tabs>
                        <w:tab w:pos="2536" w:val="left" w:leader="none"/>
                      </w:tabs>
                      <w:spacing w:line="280" w:lineRule="exact" w:before="0"/>
                      <w:ind w:left="0" w:right="0" w:firstLine="0"/>
                      <w:jc w:val="left"/>
                      <w:rPr>
                        <w:rFonts w:ascii="Arial"/>
                        <w:b/>
                        <w:sz w:val="25"/>
                      </w:rPr>
                    </w:pPr>
                    <w:r>
                      <w:rPr>
                        <w:rFonts w:ascii="Arial"/>
                        <w:b/>
                        <w:color w:val="016D70"/>
                        <w:sz w:val="25"/>
                      </w:rPr>
                      <w:t>Cardiff</w:t>
                    </w:r>
                    <w:r>
                      <w:rPr>
                        <w:rFonts w:ascii="Arial"/>
                        <w:b/>
                        <w:color w:val="016D70"/>
                        <w:spacing w:val="37"/>
                        <w:sz w:val="25"/>
                      </w:rPr>
                      <w:t> </w:t>
                    </w:r>
                    <w:r>
                      <w:rPr>
                        <w:rFonts w:ascii="Arial"/>
                        <w:b/>
                        <w:color w:val="016D70"/>
                        <w:spacing w:val="-2"/>
                        <w:sz w:val="25"/>
                      </w:rPr>
                      <w:t>companies</w:t>
                    </w:r>
                    <w:r>
                      <w:rPr>
                        <w:rFonts w:ascii="Arial"/>
                        <w:b/>
                        <w:color w:val="016D70"/>
                        <w:sz w:val="25"/>
                      </w:rPr>
                      <w:tab/>
                    </w:r>
                    <w:r>
                      <w:rPr>
                        <w:rFonts w:ascii="Arial"/>
                        <w:b/>
                        <w:color w:val="4FA0A7"/>
                        <w:sz w:val="25"/>
                      </w:rPr>
                      <w:t>Remote</w:t>
                    </w:r>
                    <w:r>
                      <w:rPr>
                        <w:rFonts w:ascii="Arial"/>
                        <w:b/>
                        <w:color w:val="4FA0A7"/>
                        <w:spacing w:val="18"/>
                        <w:sz w:val="25"/>
                      </w:rPr>
                      <w:t> </w:t>
                    </w:r>
                    <w:r>
                      <w:rPr>
                        <w:rFonts w:ascii="Arial"/>
                        <w:color w:val="4FA0A7"/>
                        <w:sz w:val="25"/>
                      </w:rPr>
                      <w:t>/</w:t>
                    </w:r>
                    <w:r>
                      <w:rPr>
                        <w:rFonts w:ascii="Arial"/>
                        <w:color w:val="4FA0A7"/>
                        <w:spacing w:val="57"/>
                        <w:sz w:val="25"/>
                      </w:rPr>
                      <w:t> </w:t>
                    </w:r>
                    <w:r>
                      <w:rPr>
                        <w:rFonts w:ascii="Arial"/>
                        <w:b/>
                        <w:color w:val="4FA0A7"/>
                        <w:spacing w:val="-2"/>
                        <w:sz w:val="25"/>
                      </w:rPr>
                      <w:t>Companies</w:t>
                    </w:r>
                  </w:p>
                </w:txbxContent>
              </v:textbox>
              <w10:wrap type="none"/>
            </v:shape>
            <v:shape style="position:absolute;left:4312;top:1325;width:4001;height:280" type="#_x0000_t202" id="docshape413" filled="false" stroked="false">
              <v:textbox inset="0,0,0,0">
                <w:txbxContent>
                  <w:p>
                    <w:pPr>
                      <w:tabs>
                        <w:tab w:pos="1957" w:val="left" w:leader="none"/>
                      </w:tabs>
                      <w:spacing w:line="280" w:lineRule="exact" w:before="0"/>
                      <w:ind w:left="0" w:right="0" w:firstLine="0"/>
                      <w:jc w:val="left"/>
                      <w:rPr>
                        <w:rFonts w:ascii="Arial"/>
                        <w:b/>
                        <w:sz w:val="25"/>
                      </w:rPr>
                    </w:pPr>
                    <w:r>
                      <w:rPr>
                        <w:rFonts w:ascii="Arial"/>
                        <w:b/>
                        <w:color w:val="4FA0A7"/>
                        <w:spacing w:val="-2"/>
                        <w:sz w:val="25"/>
                      </w:rPr>
                      <w:t>House/Home</w:t>
                    </w:r>
                    <w:r>
                      <w:rPr>
                        <w:rFonts w:ascii="Arial"/>
                        <w:b/>
                        <w:color w:val="4FA0A7"/>
                        <w:sz w:val="25"/>
                      </w:rPr>
                      <w:tab/>
                      <w:t>Cwmbran</w:t>
                    </w:r>
                    <w:r>
                      <w:rPr>
                        <w:rFonts w:ascii="Arial"/>
                        <w:b/>
                        <w:color w:val="4FA0A7"/>
                        <w:spacing w:val="42"/>
                        <w:sz w:val="25"/>
                      </w:rPr>
                      <w:t> </w:t>
                    </w:r>
                    <w:r>
                      <w:rPr>
                        <w:rFonts w:ascii="Arial"/>
                        <w:b/>
                        <w:color w:val="4FA0A7"/>
                        <w:spacing w:val="-2"/>
                        <w:sz w:val="25"/>
                      </w:rPr>
                      <w:t>House</w:t>
                    </w:r>
                  </w:p>
                </w:txbxContent>
              </v:textbox>
              <w10:wrap type="none"/>
            </v:shape>
            <v:shape style="position:absolute;left:8752;top:1325;width:1708;height:280" type="#_x0000_t202" id="docshape414" filled="false" stroked="false">
              <v:textbox inset="0,0,0,0">
                <w:txbxContent>
                  <w:p>
                    <w:pPr>
                      <w:spacing w:line="280" w:lineRule="exact" w:before="0"/>
                      <w:ind w:left="0" w:right="0" w:firstLine="0"/>
                      <w:jc w:val="left"/>
                      <w:rPr>
                        <w:rFonts w:ascii="Arial"/>
                        <w:b/>
                        <w:sz w:val="25"/>
                      </w:rPr>
                    </w:pPr>
                    <w:r>
                      <w:rPr>
                        <w:rFonts w:ascii="Arial"/>
                        <w:b/>
                        <w:color w:val="013B3D"/>
                        <w:w w:val="105"/>
                        <w:sz w:val="25"/>
                      </w:rPr>
                      <w:t>wor</w:t>
                    </w:r>
                    <w:r>
                      <w:rPr>
                        <w:rFonts w:ascii="Arial"/>
                        <w:b/>
                        <w:color w:val="013B3D"/>
                        <w:spacing w:val="50"/>
                        <w:w w:val="150"/>
                        <w:sz w:val="25"/>
                      </w:rPr>
                      <w:t> </w:t>
                    </w:r>
                    <w:r>
                      <w:rPr>
                        <w:rFonts w:ascii="Arial"/>
                        <w:b/>
                        <w:color w:val="013B3D"/>
                        <w:w w:val="105"/>
                        <w:sz w:val="25"/>
                      </w:rPr>
                      <w:t>mg</w:t>
                    </w:r>
                    <w:r>
                      <w:rPr>
                        <w:rFonts w:ascii="Arial"/>
                        <w:b/>
                        <w:color w:val="013B3D"/>
                        <w:spacing w:val="61"/>
                        <w:w w:val="150"/>
                        <w:sz w:val="25"/>
                      </w:rPr>
                      <w:t> </w:t>
                    </w:r>
                    <w:r>
                      <w:rPr>
                        <w:rFonts w:ascii="Arial"/>
                        <w:b/>
                        <w:color w:val="013B3D"/>
                        <w:spacing w:val="-5"/>
                        <w:w w:val="105"/>
                        <w:sz w:val="25"/>
                      </w:rPr>
                      <w:t>rom</w:t>
                    </w:r>
                  </w:p>
                </w:txbxContent>
              </v:textbox>
              <w10:wrap type="none"/>
            </v:shape>
            <v:shape style="position:absolute;left:9226;top:1128;width:601;height:280" type="#_x0000_t202" id="docshape415" filled="false" stroked="false">
              <v:textbox inset="0,0,0,0">
                <w:txbxContent>
                  <w:p>
                    <w:pPr>
                      <w:tabs>
                        <w:tab w:pos="535" w:val="left" w:leader="none"/>
                      </w:tabs>
                      <w:spacing w:line="280" w:lineRule="exact" w:before="0"/>
                      <w:ind w:left="0" w:right="0" w:firstLine="0"/>
                      <w:jc w:val="left"/>
                      <w:rPr>
                        <w:rFonts w:ascii="Arial"/>
                        <w:b/>
                        <w:sz w:val="25"/>
                      </w:rPr>
                    </w:pPr>
                    <w:r>
                      <w:rPr>
                        <w:rFonts w:ascii="Arial"/>
                        <w:b/>
                        <w:color w:val="013B3D"/>
                        <w:spacing w:val="-5"/>
                        <w:w w:val="80"/>
                        <w:sz w:val="25"/>
                      </w:rPr>
                      <w:t>k"</w:t>
                    </w:r>
                    <w:r>
                      <w:rPr>
                        <w:rFonts w:ascii="Arial"/>
                        <w:b/>
                        <w:color w:val="013B3D"/>
                        <w:sz w:val="25"/>
                      </w:rPr>
                      <w:tab/>
                    </w:r>
                    <w:r>
                      <w:rPr>
                        <w:rFonts w:ascii="Arial"/>
                        <w:b/>
                        <w:color w:val="013B3D"/>
                        <w:spacing w:val="-10"/>
                        <w:w w:val="75"/>
                        <w:sz w:val="25"/>
                      </w:rPr>
                      <w:t>f</w:t>
                    </w:r>
                  </w:p>
                </w:txbxContent>
              </v:textbox>
              <w10:wrap type="none"/>
            </v:shape>
            <v:shape style="position:absolute;left:10446;top:1128;width:132;height:280" type="#_x0000_t202" id="docshape416" filled="false" stroked="false">
              <v:textbox inset="0,0,0,0">
                <w:txbxContent>
                  <w:p>
                    <w:pPr>
                      <w:spacing w:line="280" w:lineRule="exact" w:before="0"/>
                      <w:ind w:left="0" w:right="0" w:firstLine="0"/>
                      <w:jc w:val="left"/>
                      <w:rPr>
                        <w:rFonts w:ascii="Arial"/>
                        <w:b/>
                        <w:sz w:val="25"/>
                      </w:rPr>
                    </w:pPr>
                    <w:r>
                      <w:rPr>
                        <w:rFonts w:ascii="Arial"/>
                        <w:b/>
                        <w:color w:val="013B3D"/>
                        <w:w w:val="73"/>
                        <w:sz w:val="25"/>
                      </w:rPr>
                      <w:t>h</w:t>
                    </w:r>
                  </w:p>
                </w:txbxContent>
              </v:textbox>
              <w10:wrap type="none"/>
            </v:shape>
            <v:shape style="position:absolute;left:10670;top:1314;width:80;height:157" type="#_x0000_t202" id="docshape417" filled="false" stroked="false">
              <v:textbox inset="0,0,0,0">
                <w:txbxContent>
                  <w:p>
                    <w:pPr>
                      <w:spacing w:line="157" w:lineRule="exact" w:before="0"/>
                      <w:ind w:left="0" w:right="0" w:firstLine="0"/>
                      <w:jc w:val="left"/>
                      <w:rPr>
                        <w:rFonts w:ascii="Arial"/>
                        <w:sz w:val="14"/>
                      </w:rPr>
                    </w:pPr>
                    <w:r>
                      <w:rPr>
                        <w:rFonts w:ascii="Arial"/>
                        <w:color w:val="013B3D"/>
                        <w:w w:val="76"/>
                        <w:sz w:val="14"/>
                      </w:rPr>
                      <w:t>1</w:t>
                    </w:r>
                  </w:p>
                </w:txbxContent>
              </v:textbox>
              <w10:wrap type="none"/>
            </v:shape>
            <v:shape style="position:absolute;left:2531;top:1709;width:8186;height:660" type="#_x0000_t202" id="docshape418" filled="false" stroked="false">
              <v:textbox inset="0,0,0,0">
                <w:txbxContent>
                  <w:p>
                    <w:pPr>
                      <w:spacing w:line="660" w:lineRule="exact" w:before="0"/>
                      <w:ind w:left="0" w:right="0" w:firstLine="0"/>
                      <w:jc w:val="left"/>
                      <w:rPr>
                        <w:rFonts w:ascii="Arial"/>
                        <w:sz w:val="25"/>
                      </w:rPr>
                    </w:pPr>
                    <w:r>
                      <w:rPr>
                        <w:rFonts w:ascii="Arial"/>
                        <w:color w:val="016D70"/>
                        <w:sz w:val="25"/>
                      </w:rPr>
                      <w:t>houseandwork</w:t>
                    </w:r>
                    <w:r>
                      <w:rPr>
                        <w:rFonts w:ascii="Arial"/>
                        <w:color w:val="016D70"/>
                        <w:spacing w:val="62"/>
                        <w:sz w:val="25"/>
                      </w:rPr>
                      <w:t>  </w:t>
                    </w:r>
                    <w:r>
                      <w:rPr>
                        <w:rFonts w:ascii="Arial"/>
                        <w:b/>
                        <w:color w:val="013B3D"/>
                        <w:sz w:val="59"/>
                      </w:rPr>
                      <w:t>Companies</w:t>
                    </w:r>
                    <w:r>
                      <w:rPr>
                        <w:rFonts w:ascii="Arial"/>
                        <w:b/>
                        <w:color w:val="013B3D"/>
                        <w:spacing w:val="16"/>
                        <w:sz w:val="59"/>
                      </w:rPr>
                      <w:t>  </w:t>
                    </w:r>
                    <w:r>
                      <w:rPr>
                        <w:rFonts w:ascii="Arial"/>
                        <w:b/>
                        <w:color w:val="013B3D"/>
                        <w:sz w:val="59"/>
                      </w:rPr>
                      <w:t>House  </w:t>
                    </w:r>
                    <w:r>
                      <w:rPr>
                        <w:rFonts w:ascii="Arial"/>
                        <w:color w:val="016D70"/>
                        <w:spacing w:val="-2"/>
                        <w:sz w:val="25"/>
                      </w:rPr>
                      <w:t>Talbc</w:t>
                    </w:r>
                  </w:p>
                </w:txbxContent>
              </v:textbox>
              <w10:wrap type="none"/>
            </v:shape>
            <v:shape style="position:absolute;left:2745;top:1551;width:1523;height:280" type="#_x0000_t202" id="docshape419" filled="false" stroked="false">
              <v:textbox inset="0,0,0,0">
                <w:txbxContent>
                  <w:p>
                    <w:pPr>
                      <w:spacing w:line="280" w:lineRule="exact" w:before="0"/>
                      <w:ind w:left="0" w:right="0" w:firstLine="0"/>
                      <w:jc w:val="left"/>
                      <w:rPr>
                        <w:rFonts w:ascii="Arial"/>
                        <w:b/>
                        <w:sz w:val="25"/>
                      </w:rPr>
                    </w:pPr>
                    <w:r>
                      <w:rPr>
                        <w:rFonts w:ascii="Arial"/>
                        <w:b/>
                        <w:color w:val="016D70"/>
                        <w:sz w:val="25"/>
                      </w:rPr>
                      <w:t>House-</w:t>
                    </w:r>
                    <w:r>
                      <w:rPr>
                        <w:rFonts w:ascii="Arial"/>
                        <w:b/>
                        <w:color w:val="016D70"/>
                        <w:spacing w:val="-5"/>
                        <w:sz w:val="25"/>
                      </w:rPr>
                      <w:t>UHW</w:t>
                    </w:r>
                  </w:p>
                </w:txbxContent>
              </v:textbox>
              <w10:wrap type="none"/>
            </v:shape>
            <v:shape style="position:absolute;left:6991;top:1551;width:112;height:280" type="#_x0000_t202" id="docshape420" filled="false" stroked="false">
              <v:textbox inset="0,0,0,0">
                <w:txbxContent>
                  <w:p>
                    <w:pPr>
                      <w:spacing w:line="280" w:lineRule="exact" w:before="0"/>
                      <w:ind w:left="0" w:right="0" w:firstLine="0"/>
                      <w:jc w:val="left"/>
                      <w:rPr>
                        <w:rFonts w:ascii="Arial" w:hAnsi="Arial"/>
                        <w:sz w:val="25"/>
                      </w:rPr>
                    </w:pPr>
                    <w:r>
                      <w:rPr>
                        <w:rFonts w:ascii="Arial" w:hAnsi="Arial"/>
                        <w:color w:val="013B3D"/>
                        <w:w w:val="104"/>
                        <w:sz w:val="25"/>
                      </w:rPr>
                      <w:t>•</w:t>
                    </w:r>
                  </w:p>
                </w:txbxContent>
              </v:textbox>
              <w10:wrap type="none"/>
            </v:shape>
            <v:shape style="position:absolute;left:10001;top:1551;width:728;height:280" type="#_x0000_t202" id="docshape421" filled="false" stroked="false">
              <v:textbox inset="0,0,0,0">
                <w:txbxContent>
                  <w:p>
                    <w:pPr>
                      <w:spacing w:line="280" w:lineRule="exact" w:before="0"/>
                      <w:ind w:left="0" w:right="0" w:firstLine="0"/>
                      <w:jc w:val="left"/>
                      <w:rPr>
                        <w:rFonts w:ascii="Arial"/>
                        <w:b/>
                        <w:sz w:val="25"/>
                      </w:rPr>
                    </w:pPr>
                    <w:r>
                      <w:rPr>
                        <w:rFonts w:ascii="Arial"/>
                        <w:b/>
                        <w:color w:val="013B3D"/>
                        <w:sz w:val="25"/>
                      </w:rPr>
                      <w:t>st</w:t>
                    </w:r>
                    <w:r>
                      <w:rPr>
                        <w:rFonts w:ascii="Arial"/>
                        <w:b/>
                        <w:color w:val="013B3D"/>
                        <w:spacing w:val="-5"/>
                        <w:sz w:val="25"/>
                      </w:rPr>
                      <w:t> </w:t>
                    </w:r>
                    <w:r>
                      <w:rPr>
                        <w:rFonts w:ascii="Arial"/>
                        <w:b/>
                        <w:color w:val="013B3D"/>
                        <w:spacing w:val="-11"/>
                        <w:sz w:val="25"/>
                      </w:rPr>
                      <w:t>Asa</w:t>
                    </w:r>
                  </w:p>
                </w:txbxContent>
              </v:textbox>
              <w10:wrap type="none"/>
            </v:shape>
            <v:shape style="position:absolute;left:1852;top:2676;width:6286;height:280" type="#_x0000_t202" id="docshape422" filled="false" stroked="false">
              <v:textbox inset="0,0,0,0">
                <w:txbxContent>
                  <w:p>
                    <w:pPr>
                      <w:tabs>
                        <w:tab w:pos="4603" w:val="left" w:leader="none"/>
                      </w:tabs>
                      <w:spacing w:line="280" w:lineRule="exact" w:before="0"/>
                      <w:ind w:left="0" w:right="0" w:firstLine="0"/>
                      <w:jc w:val="left"/>
                      <w:rPr>
                        <w:rFonts w:ascii="Arial"/>
                        <w:sz w:val="25"/>
                      </w:rPr>
                    </w:pPr>
                    <w:r>
                      <w:rPr>
                        <w:rFonts w:ascii="Arial"/>
                        <w:color w:val="016D70"/>
                        <w:w w:val="105"/>
                        <w:sz w:val="25"/>
                      </w:rPr>
                      <w:t>Woodlands</w:t>
                    </w:r>
                    <w:r>
                      <w:rPr>
                        <w:rFonts w:ascii="Arial"/>
                        <w:color w:val="016D70"/>
                        <w:spacing w:val="7"/>
                        <w:w w:val="105"/>
                        <w:sz w:val="25"/>
                      </w:rPr>
                      <w:t> </w:t>
                    </w:r>
                    <w:r>
                      <w:rPr>
                        <w:rFonts w:ascii="Arial"/>
                        <w:color w:val="016D70"/>
                        <w:w w:val="105"/>
                        <w:sz w:val="25"/>
                      </w:rPr>
                      <w:t>House</w:t>
                    </w:r>
                    <w:r>
                      <w:rPr>
                        <w:rFonts w:ascii="Arial"/>
                        <w:color w:val="016D70"/>
                        <w:spacing w:val="-40"/>
                        <w:w w:val="105"/>
                        <w:sz w:val="25"/>
                      </w:rPr>
                      <w:t> </w:t>
                    </w:r>
                    <w:r>
                      <w:rPr>
                        <w:rFonts w:ascii="Arial"/>
                        <w:color w:val="016D70"/>
                        <w:w w:val="105"/>
                        <w:sz w:val="25"/>
                      </w:rPr>
                      <w:t>HOUSE</w:t>
                    </w:r>
                    <w:r>
                      <w:rPr>
                        <w:rFonts w:ascii="Arial"/>
                        <w:color w:val="016D70"/>
                        <w:spacing w:val="4"/>
                        <w:w w:val="105"/>
                        <w:sz w:val="25"/>
                      </w:rPr>
                      <w:t> </w:t>
                    </w:r>
                    <w:r>
                      <w:rPr>
                        <w:rFonts w:ascii="Arial"/>
                        <w:color w:val="016D70"/>
                        <w:spacing w:val="-2"/>
                        <w:w w:val="105"/>
                        <w:sz w:val="25"/>
                      </w:rPr>
                      <w:t>CARDIFF</w:t>
                    </w:r>
                    <w:r>
                      <w:rPr>
                        <w:rFonts w:ascii="Arial"/>
                        <w:color w:val="016D70"/>
                        <w:sz w:val="25"/>
                      </w:rPr>
                      <w:tab/>
                    </w:r>
                    <w:r>
                      <w:rPr>
                        <w:rFonts w:ascii="Arial"/>
                        <w:color w:val="013B3D"/>
                        <w:w w:val="110"/>
                        <w:sz w:val="25"/>
                      </w:rPr>
                      <w:t>Matrix</w:t>
                    </w:r>
                    <w:r>
                      <w:rPr>
                        <w:rFonts w:ascii="Arial"/>
                        <w:color w:val="013B3D"/>
                        <w:spacing w:val="60"/>
                        <w:w w:val="110"/>
                        <w:sz w:val="25"/>
                      </w:rPr>
                      <w:t> </w:t>
                    </w:r>
                    <w:r>
                      <w:rPr>
                        <w:rFonts w:ascii="Arial"/>
                        <w:color w:val="013B3D"/>
                        <w:spacing w:val="-2"/>
                        <w:w w:val="110"/>
                        <w:sz w:val="25"/>
                      </w:rPr>
                      <w:t>House</w:t>
                    </w:r>
                  </w:p>
                </w:txbxContent>
              </v:textbox>
              <w10:wrap type="none"/>
            </v:shape>
            <v:shape style="position:absolute;left:8691;top:2642;width:2043;height:280" type="#_x0000_t202" id="docshape423" filled="false" stroked="false">
              <v:textbox inset="0,0,0,0">
                <w:txbxContent>
                  <w:p>
                    <w:pPr>
                      <w:spacing w:line="280" w:lineRule="exact" w:before="0"/>
                      <w:ind w:left="0" w:right="0" w:firstLine="0"/>
                      <w:jc w:val="left"/>
                      <w:rPr>
                        <w:rFonts w:ascii="Arial"/>
                        <w:sz w:val="25"/>
                      </w:rPr>
                    </w:pPr>
                    <w:r>
                      <w:rPr>
                        <w:rFonts w:ascii="Arial"/>
                        <w:color w:val="016D70"/>
                        <w:w w:val="110"/>
                        <w:sz w:val="25"/>
                      </w:rPr>
                      <w:t>Alder House</w:t>
                    </w:r>
                    <w:r>
                      <w:rPr>
                        <w:rFonts w:ascii="Arial"/>
                        <w:color w:val="016D70"/>
                        <w:spacing w:val="50"/>
                        <w:w w:val="110"/>
                        <w:sz w:val="25"/>
                      </w:rPr>
                      <w:t> </w:t>
                    </w:r>
                    <w:r>
                      <w:rPr>
                        <w:rFonts w:ascii="Arial"/>
                        <w:color w:val="013B3D"/>
                        <w:spacing w:val="-5"/>
                        <w:w w:val="110"/>
                        <w:sz w:val="25"/>
                      </w:rPr>
                      <w:t>ho,</w:t>
                    </w:r>
                  </w:p>
                </w:txbxContent>
              </v:textbox>
              <w10:wrap type="none"/>
            </v:shape>
            <v:shape style="position:absolute;left:2604;top:3070;width:6078;height:280" type="#_x0000_t202" id="docshape424" filled="false" stroked="false">
              <v:textbox inset="0,0,0,0">
                <w:txbxContent>
                  <w:p>
                    <w:pPr>
                      <w:tabs>
                        <w:tab w:pos="2345" w:val="left" w:leader="none"/>
                        <w:tab w:pos="4388" w:val="left" w:leader="none"/>
                      </w:tabs>
                      <w:spacing w:line="280" w:lineRule="exact" w:before="0"/>
                      <w:ind w:left="0" w:right="0" w:firstLine="0"/>
                      <w:jc w:val="left"/>
                      <w:rPr>
                        <w:rFonts w:ascii="Arial"/>
                        <w:sz w:val="25"/>
                      </w:rPr>
                    </w:pPr>
                    <w:r>
                      <w:rPr>
                        <w:rFonts w:ascii="Arial"/>
                        <w:color w:val="013B3D"/>
                        <w:w w:val="105"/>
                        <w:sz w:val="25"/>
                      </w:rPr>
                      <w:t>House</w:t>
                    </w:r>
                    <w:r>
                      <w:rPr>
                        <w:rFonts w:ascii="Arial"/>
                        <w:color w:val="013B3D"/>
                        <w:spacing w:val="12"/>
                        <w:w w:val="105"/>
                        <w:sz w:val="25"/>
                      </w:rPr>
                      <w:t> </w:t>
                    </w:r>
                    <w:r>
                      <w:rPr>
                        <w:rFonts w:ascii="Arial"/>
                        <w:color w:val="013B3D"/>
                        <w:spacing w:val="-2"/>
                        <w:w w:val="105"/>
                        <w:sz w:val="25"/>
                      </w:rPr>
                      <w:t>Surgery</w:t>
                    </w:r>
                    <w:r>
                      <w:rPr>
                        <w:rFonts w:ascii="Arial"/>
                        <w:color w:val="013B3D"/>
                        <w:sz w:val="25"/>
                      </w:rPr>
                      <w:tab/>
                    </w:r>
                    <w:r>
                      <w:rPr>
                        <w:rFonts w:ascii="Arial"/>
                        <w:color w:val="4FA0A7"/>
                        <w:w w:val="105"/>
                        <w:sz w:val="25"/>
                      </w:rPr>
                      <w:t>House</w:t>
                    </w:r>
                    <w:r>
                      <w:rPr>
                        <w:rFonts w:ascii="Arial"/>
                        <w:color w:val="4FA0A7"/>
                        <w:spacing w:val="16"/>
                        <w:w w:val="105"/>
                        <w:sz w:val="25"/>
                      </w:rPr>
                      <w:t> </w:t>
                    </w:r>
                    <w:r>
                      <w:rPr>
                        <w:rFonts w:ascii="Arial"/>
                        <w:color w:val="4FA0A7"/>
                        <w:w w:val="105"/>
                        <w:sz w:val="25"/>
                      </w:rPr>
                      <w:t>-</w:t>
                    </w:r>
                    <w:r>
                      <w:rPr>
                        <w:rFonts w:ascii="Arial"/>
                        <w:color w:val="4FA0A7"/>
                        <w:spacing w:val="17"/>
                        <w:w w:val="105"/>
                        <w:sz w:val="25"/>
                      </w:rPr>
                      <w:t> </w:t>
                    </w:r>
                    <w:r>
                      <w:rPr>
                        <w:rFonts w:ascii="Arial"/>
                        <w:color w:val="4FA0A7"/>
                        <w:spacing w:val="-5"/>
                        <w:w w:val="105"/>
                        <w:sz w:val="25"/>
                      </w:rPr>
                      <w:t>4th</w:t>
                    </w:r>
                    <w:r>
                      <w:rPr>
                        <w:rFonts w:ascii="Arial"/>
                        <w:color w:val="4FA0A7"/>
                        <w:sz w:val="25"/>
                      </w:rPr>
                      <w:tab/>
                    </w:r>
                    <w:r>
                      <w:rPr>
                        <w:rFonts w:ascii="Arial"/>
                        <w:color w:val="013B3D"/>
                        <w:w w:val="105"/>
                        <w:sz w:val="25"/>
                      </w:rPr>
                      <w:t>House</w:t>
                    </w:r>
                    <w:r>
                      <w:rPr>
                        <w:rFonts w:ascii="Arial"/>
                        <w:color w:val="013B3D"/>
                        <w:spacing w:val="4"/>
                        <w:w w:val="105"/>
                        <w:sz w:val="25"/>
                      </w:rPr>
                      <w:t> </w:t>
                    </w:r>
                    <w:r>
                      <w:rPr>
                        <w:rFonts w:ascii="Arial"/>
                        <w:color w:val="013B3D"/>
                        <w:w w:val="105"/>
                        <w:sz w:val="25"/>
                      </w:rPr>
                      <w:t>is</w:t>
                    </w:r>
                    <w:r>
                      <w:rPr>
                        <w:rFonts w:ascii="Arial"/>
                        <w:color w:val="013B3D"/>
                        <w:spacing w:val="4"/>
                        <w:w w:val="105"/>
                        <w:sz w:val="25"/>
                      </w:rPr>
                      <w:t> </w:t>
                    </w:r>
                    <w:r>
                      <w:rPr>
                        <w:rFonts w:ascii="Arial"/>
                        <w:color w:val="013B3D"/>
                        <w:spacing w:val="-4"/>
                        <w:w w:val="105"/>
                        <w:sz w:val="25"/>
                      </w:rPr>
                      <w:t>base</w:t>
                    </w:r>
                  </w:p>
                </w:txbxContent>
              </v:textbox>
              <w10:wrap type="none"/>
            </v:shape>
            <w10:wrap type="topAndBottom"/>
          </v:group>
        </w:pict>
      </w:r>
    </w:p>
    <w:p>
      <w:pPr>
        <w:spacing w:after="0"/>
        <w:rPr>
          <w:rFonts w:ascii="Arial"/>
          <w:sz w:val="15"/>
        </w:rPr>
        <w:sectPr>
          <w:type w:val="continuous"/>
          <w:pgSz w:w="11910" w:h="16840"/>
          <w:pgMar w:header="0" w:footer="162" w:top="740" w:bottom="280" w:left="0" w:right="0"/>
        </w:sectPr>
      </w:pPr>
    </w:p>
    <w:p>
      <w:pPr>
        <w:pStyle w:val="BodyText"/>
        <w:rPr>
          <w:rFonts w:ascii="Arial"/>
          <w:sz w:val="20"/>
        </w:rPr>
      </w:pPr>
      <w:r>
        <w:rPr/>
        <w:drawing>
          <wp:anchor distT="0" distB="0" distL="0" distR="0" allowOverlap="1" layoutInCell="1" locked="0" behindDoc="0" simplePos="0" relativeHeight="15822848">
            <wp:simplePos x="0" y="0"/>
            <wp:positionH relativeFrom="page">
              <wp:posOffset>0</wp:posOffset>
            </wp:positionH>
            <wp:positionV relativeFrom="page">
              <wp:posOffset>61535</wp:posOffset>
            </wp:positionV>
            <wp:extent cx="7560309" cy="1092259"/>
            <wp:effectExtent l="0" t="0" r="0" b="0"/>
            <wp:wrapNone/>
            <wp:docPr id="169" name="image75.png"/>
            <wp:cNvGraphicFramePr>
              <a:graphicFrameLocks noChangeAspect="1"/>
            </wp:cNvGraphicFramePr>
            <a:graphic>
              <a:graphicData uri="http://schemas.openxmlformats.org/drawingml/2006/picture">
                <pic:pic>
                  <pic:nvPicPr>
                    <pic:cNvPr id="170" name="image75.png"/>
                    <pic:cNvPicPr/>
                  </pic:nvPicPr>
                  <pic:blipFill>
                    <a:blip r:embed="rId148" cstate="print"/>
                    <a:stretch>
                      <a:fillRect/>
                    </a:stretch>
                  </pic:blipFill>
                  <pic:spPr>
                    <a:xfrm>
                      <a:off x="0" y="0"/>
                      <a:ext cx="7560309" cy="1092259"/>
                    </a:xfrm>
                    <a:prstGeom prst="rect">
                      <a:avLst/>
                    </a:prstGeom>
                  </pic:spPr>
                </pic:pic>
              </a:graphicData>
            </a:graphic>
          </wp:anchor>
        </w:drawing>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after="1"/>
        <w:rPr>
          <w:rFonts w:ascii="Arial"/>
          <w:sz w:val="14"/>
        </w:rPr>
      </w:pPr>
    </w:p>
    <w:tbl>
      <w:tblPr>
        <w:tblW w:w="0" w:type="auto"/>
        <w:jc w:val="left"/>
        <w:tblInd w:w="13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52"/>
        <w:gridCol w:w="6095"/>
      </w:tblGrid>
      <w:tr>
        <w:trPr>
          <w:trHeight w:val="583" w:hRule="atLeast"/>
        </w:trPr>
        <w:tc>
          <w:tcPr>
            <w:tcW w:w="3652" w:type="dxa"/>
          </w:tcPr>
          <w:p>
            <w:pPr>
              <w:pStyle w:val="TableParagraph"/>
              <w:ind w:left="108"/>
              <w:rPr>
                <w:b/>
                <w:sz w:val="24"/>
              </w:rPr>
            </w:pPr>
            <w:bookmarkStart w:name=" 6.1 Audit Committee - update on surplus" w:id="62"/>
            <w:bookmarkEnd w:id="62"/>
            <w:r>
              <w:rPr/>
            </w:r>
            <w:r>
              <w:rPr>
                <w:b/>
                <w:spacing w:val="-2"/>
                <w:sz w:val="24"/>
              </w:rPr>
              <w:t>MEETING</w:t>
            </w:r>
          </w:p>
        </w:tc>
        <w:tc>
          <w:tcPr>
            <w:tcW w:w="6095" w:type="dxa"/>
          </w:tcPr>
          <w:p>
            <w:pPr>
              <w:pStyle w:val="TableParagraph"/>
              <w:spacing w:line="290" w:lineRule="atLeast"/>
              <w:ind w:left="430" w:hanging="238"/>
              <w:rPr>
                <w:sz w:val="24"/>
              </w:rPr>
            </w:pPr>
            <w:r>
              <w:rPr>
                <w:sz w:val="24"/>
              </w:rPr>
              <w:t>Velindre</w:t>
            </w:r>
            <w:r>
              <w:rPr>
                <w:spacing w:val="-8"/>
                <w:sz w:val="24"/>
              </w:rPr>
              <w:t> </w:t>
            </w:r>
            <w:r>
              <w:rPr>
                <w:sz w:val="24"/>
              </w:rPr>
              <w:t>University</w:t>
            </w:r>
            <w:r>
              <w:rPr>
                <w:spacing w:val="-8"/>
                <w:sz w:val="24"/>
              </w:rPr>
              <w:t> </w:t>
            </w:r>
            <w:r>
              <w:rPr>
                <w:sz w:val="24"/>
              </w:rPr>
              <w:t>NHS</w:t>
            </w:r>
            <w:r>
              <w:rPr>
                <w:spacing w:val="-8"/>
                <w:sz w:val="24"/>
              </w:rPr>
              <w:t> </w:t>
            </w:r>
            <w:r>
              <w:rPr>
                <w:sz w:val="24"/>
              </w:rPr>
              <w:t>Trust</w:t>
            </w:r>
            <w:r>
              <w:rPr>
                <w:spacing w:val="-8"/>
                <w:sz w:val="24"/>
              </w:rPr>
              <w:t> </w:t>
            </w:r>
            <w:r>
              <w:rPr>
                <w:sz w:val="24"/>
              </w:rPr>
              <w:t>Audit</w:t>
            </w:r>
            <w:r>
              <w:rPr>
                <w:spacing w:val="-7"/>
                <w:sz w:val="24"/>
              </w:rPr>
              <w:t> </w:t>
            </w:r>
            <w:r>
              <w:rPr>
                <w:sz w:val="24"/>
              </w:rPr>
              <w:t>Committee for NHS Wales Shared Services Partnership</w:t>
            </w:r>
          </w:p>
        </w:tc>
      </w:tr>
      <w:tr>
        <w:trPr>
          <w:trHeight w:val="538" w:hRule="atLeast"/>
        </w:trPr>
        <w:tc>
          <w:tcPr>
            <w:tcW w:w="3652" w:type="dxa"/>
          </w:tcPr>
          <w:p>
            <w:pPr>
              <w:pStyle w:val="TableParagraph"/>
              <w:ind w:left="108"/>
              <w:rPr>
                <w:b/>
                <w:sz w:val="24"/>
              </w:rPr>
            </w:pPr>
            <w:r>
              <w:rPr>
                <w:b/>
                <w:spacing w:val="-4"/>
                <w:sz w:val="24"/>
              </w:rPr>
              <w:t>DATE</w:t>
            </w:r>
          </w:p>
        </w:tc>
        <w:tc>
          <w:tcPr>
            <w:tcW w:w="6095" w:type="dxa"/>
          </w:tcPr>
          <w:p>
            <w:pPr>
              <w:pStyle w:val="TableParagraph"/>
              <w:ind w:left="580" w:right="570"/>
              <w:jc w:val="center"/>
              <w:rPr>
                <w:sz w:val="24"/>
              </w:rPr>
            </w:pPr>
            <w:r>
              <w:rPr>
                <w:sz w:val="24"/>
              </w:rPr>
              <w:t>24</w:t>
            </w:r>
            <w:r>
              <w:rPr>
                <w:position w:val="7"/>
                <w:sz w:val="16"/>
              </w:rPr>
              <w:t>th</w:t>
            </w:r>
            <w:r>
              <w:rPr>
                <w:spacing w:val="24"/>
                <w:position w:val="7"/>
                <w:sz w:val="16"/>
              </w:rPr>
              <w:t> </w:t>
            </w:r>
            <w:r>
              <w:rPr>
                <w:sz w:val="24"/>
              </w:rPr>
              <w:t>January</w:t>
            </w:r>
            <w:r>
              <w:rPr>
                <w:spacing w:val="-1"/>
                <w:sz w:val="24"/>
              </w:rPr>
              <w:t> </w:t>
            </w:r>
            <w:r>
              <w:rPr>
                <w:spacing w:val="-4"/>
                <w:sz w:val="24"/>
              </w:rPr>
              <w:t>2023</w:t>
            </w:r>
          </w:p>
        </w:tc>
      </w:tr>
      <w:tr>
        <w:trPr>
          <w:trHeight w:val="538" w:hRule="atLeast"/>
        </w:trPr>
        <w:tc>
          <w:tcPr>
            <w:tcW w:w="3652" w:type="dxa"/>
          </w:tcPr>
          <w:p>
            <w:pPr>
              <w:pStyle w:val="TableParagraph"/>
              <w:ind w:left="108"/>
              <w:rPr>
                <w:b/>
                <w:sz w:val="24"/>
              </w:rPr>
            </w:pPr>
            <w:r>
              <w:rPr>
                <w:b/>
                <w:sz w:val="24"/>
              </w:rPr>
              <w:t>AGENDA</w:t>
            </w:r>
            <w:r>
              <w:rPr>
                <w:b/>
                <w:spacing w:val="-4"/>
                <w:sz w:val="24"/>
              </w:rPr>
              <w:t> ITEM</w:t>
            </w:r>
          </w:p>
        </w:tc>
        <w:tc>
          <w:tcPr>
            <w:tcW w:w="6095" w:type="dxa"/>
          </w:tcPr>
          <w:p>
            <w:pPr>
              <w:pStyle w:val="TableParagraph"/>
              <w:ind w:left="580" w:right="570"/>
              <w:jc w:val="center"/>
              <w:rPr>
                <w:sz w:val="24"/>
              </w:rPr>
            </w:pPr>
            <w:r>
              <w:rPr>
                <w:spacing w:val="-5"/>
                <w:sz w:val="24"/>
              </w:rPr>
              <w:t>6.1</w:t>
            </w:r>
          </w:p>
        </w:tc>
      </w:tr>
      <w:tr>
        <w:trPr>
          <w:trHeight w:val="583" w:hRule="atLeast"/>
        </w:trPr>
        <w:tc>
          <w:tcPr>
            <w:tcW w:w="3652" w:type="dxa"/>
          </w:tcPr>
          <w:p>
            <w:pPr>
              <w:pStyle w:val="TableParagraph"/>
              <w:ind w:left="108"/>
              <w:rPr>
                <w:b/>
                <w:sz w:val="24"/>
              </w:rPr>
            </w:pPr>
            <w:r>
              <w:rPr>
                <w:b/>
                <w:sz w:val="24"/>
              </w:rPr>
              <w:t>PRESENTED</w:t>
            </w:r>
            <w:r>
              <w:rPr>
                <w:b/>
                <w:spacing w:val="-2"/>
                <w:sz w:val="24"/>
              </w:rPr>
              <w:t> </w:t>
            </w:r>
            <w:r>
              <w:rPr>
                <w:b/>
                <w:spacing w:val="-5"/>
                <w:sz w:val="24"/>
              </w:rPr>
              <w:t>BY</w:t>
            </w:r>
          </w:p>
        </w:tc>
        <w:tc>
          <w:tcPr>
            <w:tcW w:w="6095" w:type="dxa"/>
          </w:tcPr>
          <w:p>
            <w:pPr>
              <w:pStyle w:val="TableParagraph"/>
              <w:spacing w:line="290" w:lineRule="atLeast"/>
              <w:ind w:left="2011" w:hanging="1803"/>
              <w:rPr>
                <w:sz w:val="24"/>
              </w:rPr>
            </w:pPr>
            <w:r>
              <w:rPr>
                <w:sz w:val="24"/>
              </w:rPr>
              <w:t>Andy</w:t>
            </w:r>
            <w:r>
              <w:rPr>
                <w:spacing w:val="-6"/>
                <w:sz w:val="24"/>
              </w:rPr>
              <w:t> </w:t>
            </w:r>
            <w:r>
              <w:rPr>
                <w:sz w:val="24"/>
              </w:rPr>
              <w:t>Butler,</w:t>
            </w:r>
            <w:r>
              <w:rPr>
                <w:spacing w:val="-6"/>
                <w:sz w:val="24"/>
              </w:rPr>
              <w:t> </w:t>
            </w:r>
            <w:r>
              <w:rPr>
                <w:sz w:val="24"/>
              </w:rPr>
              <w:t>Director</w:t>
            </w:r>
            <w:r>
              <w:rPr>
                <w:spacing w:val="-7"/>
                <w:sz w:val="24"/>
              </w:rPr>
              <w:t> </w:t>
            </w:r>
            <w:r>
              <w:rPr>
                <w:sz w:val="24"/>
              </w:rPr>
              <w:t>of</w:t>
            </w:r>
            <w:r>
              <w:rPr>
                <w:spacing w:val="-7"/>
                <w:sz w:val="24"/>
              </w:rPr>
              <w:t> </w:t>
            </w:r>
            <w:r>
              <w:rPr>
                <w:sz w:val="24"/>
              </w:rPr>
              <w:t>Finance</w:t>
            </w:r>
            <w:r>
              <w:rPr>
                <w:spacing w:val="-7"/>
                <w:sz w:val="24"/>
              </w:rPr>
              <w:t> </w:t>
            </w:r>
            <w:r>
              <w:rPr>
                <w:sz w:val="24"/>
              </w:rPr>
              <w:t>and</w:t>
            </w:r>
            <w:r>
              <w:rPr>
                <w:spacing w:val="-6"/>
                <w:sz w:val="24"/>
              </w:rPr>
              <w:t> </w:t>
            </w:r>
            <w:r>
              <w:rPr>
                <w:sz w:val="24"/>
              </w:rPr>
              <w:t>Corporate Services, NWSSP</w:t>
            </w:r>
          </w:p>
        </w:tc>
      </w:tr>
      <w:tr>
        <w:trPr>
          <w:trHeight w:val="583" w:hRule="atLeast"/>
        </w:trPr>
        <w:tc>
          <w:tcPr>
            <w:tcW w:w="3652" w:type="dxa"/>
          </w:tcPr>
          <w:p>
            <w:pPr>
              <w:pStyle w:val="TableParagraph"/>
              <w:ind w:left="108"/>
              <w:rPr>
                <w:b/>
                <w:sz w:val="24"/>
              </w:rPr>
            </w:pPr>
            <w:r>
              <w:rPr>
                <w:b/>
                <w:sz w:val="24"/>
              </w:rPr>
              <w:t>PREPARED</w:t>
            </w:r>
            <w:r>
              <w:rPr>
                <w:b/>
                <w:spacing w:val="-3"/>
                <w:sz w:val="24"/>
              </w:rPr>
              <w:t> </w:t>
            </w:r>
            <w:r>
              <w:rPr>
                <w:b/>
                <w:spacing w:val="-5"/>
                <w:sz w:val="24"/>
              </w:rPr>
              <w:t>BY</w:t>
            </w:r>
          </w:p>
        </w:tc>
        <w:tc>
          <w:tcPr>
            <w:tcW w:w="6095" w:type="dxa"/>
          </w:tcPr>
          <w:p>
            <w:pPr>
              <w:pStyle w:val="TableParagraph"/>
              <w:spacing w:line="290" w:lineRule="atLeast"/>
              <w:ind w:left="1902" w:hanging="1569"/>
              <w:rPr>
                <w:sz w:val="24"/>
              </w:rPr>
            </w:pPr>
            <w:r>
              <w:rPr>
                <w:sz w:val="24"/>
              </w:rPr>
              <w:t>Linsay</w:t>
            </w:r>
            <w:r>
              <w:rPr>
                <w:spacing w:val="-5"/>
                <w:sz w:val="24"/>
              </w:rPr>
              <w:t> </w:t>
            </w:r>
            <w:r>
              <w:rPr>
                <w:sz w:val="24"/>
              </w:rPr>
              <w:t>Payne</w:t>
            </w:r>
            <w:r>
              <w:rPr>
                <w:spacing w:val="40"/>
                <w:sz w:val="24"/>
              </w:rPr>
              <w:t> </w:t>
            </w:r>
            <w:r>
              <w:rPr>
                <w:sz w:val="24"/>
              </w:rPr>
              <w:t>-</w:t>
            </w:r>
            <w:r>
              <w:rPr>
                <w:spacing w:val="-5"/>
                <w:sz w:val="24"/>
              </w:rPr>
              <w:t> </w:t>
            </w:r>
            <w:r>
              <w:rPr>
                <w:sz w:val="24"/>
              </w:rPr>
              <w:t>Deputy</w:t>
            </w:r>
            <w:r>
              <w:rPr>
                <w:spacing w:val="-5"/>
                <w:sz w:val="24"/>
              </w:rPr>
              <w:t> </w:t>
            </w:r>
            <w:r>
              <w:rPr>
                <w:sz w:val="24"/>
              </w:rPr>
              <w:t>Director</w:t>
            </w:r>
            <w:r>
              <w:rPr>
                <w:spacing w:val="-5"/>
                <w:sz w:val="24"/>
              </w:rPr>
              <w:t> </w:t>
            </w:r>
            <w:r>
              <w:rPr>
                <w:sz w:val="24"/>
              </w:rPr>
              <w:t>of</w:t>
            </w:r>
            <w:r>
              <w:rPr>
                <w:spacing w:val="-5"/>
                <w:sz w:val="24"/>
              </w:rPr>
              <w:t> </w:t>
            </w:r>
            <w:r>
              <w:rPr>
                <w:sz w:val="24"/>
              </w:rPr>
              <w:t>Finance</w:t>
            </w:r>
            <w:r>
              <w:rPr>
                <w:spacing w:val="-6"/>
                <w:sz w:val="24"/>
              </w:rPr>
              <w:t> </w:t>
            </w:r>
            <w:r>
              <w:rPr>
                <w:sz w:val="24"/>
              </w:rPr>
              <w:t>&amp; Corporate Services</w:t>
            </w:r>
          </w:p>
        </w:tc>
      </w:tr>
      <w:tr>
        <w:trPr>
          <w:trHeight w:val="627" w:hRule="atLeast"/>
        </w:trPr>
        <w:tc>
          <w:tcPr>
            <w:tcW w:w="3652" w:type="dxa"/>
          </w:tcPr>
          <w:p>
            <w:pPr>
              <w:pStyle w:val="TableParagraph"/>
              <w:ind w:left="108"/>
              <w:rPr>
                <w:b/>
                <w:sz w:val="24"/>
              </w:rPr>
            </w:pPr>
            <w:r>
              <w:rPr>
                <w:b/>
                <w:sz w:val="24"/>
              </w:rPr>
              <w:t>TITLE</w:t>
            </w:r>
            <w:r>
              <w:rPr>
                <w:b/>
                <w:spacing w:val="-2"/>
                <w:sz w:val="24"/>
              </w:rPr>
              <w:t> </w:t>
            </w:r>
            <w:r>
              <w:rPr>
                <w:b/>
                <w:sz w:val="24"/>
              </w:rPr>
              <w:t>OF</w:t>
            </w:r>
            <w:r>
              <w:rPr>
                <w:b/>
                <w:spacing w:val="-1"/>
                <w:sz w:val="24"/>
              </w:rPr>
              <w:t> </w:t>
            </w:r>
            <w:r>
              <w:rPr>
                <w:b/>
                <w:spacing w:val="-2"/>
                <w:sz w:val="24"/>
              </w:rPr>
              <w:t>REPORT</w:t>
            </w:r>
          </w:p>
        </w:tc>
        <w:tc>
          <w:tcPr>
            <w:tcW w:w="6095" w:type="dxa"/>
          </w:tcPr>
          <w:p>
            <w:pPr>
              <w:pStyle w:val="TableParagraph"/>
              <w:ind w:left="579" w:right="571"/>
              <w:jc w:val="center"/>
              <w:rPr>
                <w:sz w:val="24"/>
              </w:rPr>
            </w:pPr>
            <w:r>
              <w:rPr>
                <w:sz w:val="24"/>
              </w:rPr>
              <w:t>Update</w:t>
            </w:r>
            <w:r>
              <w:rPr>
                <w:spacing w:val="-5"/>
                <w:sz w:val="24"/>
              </w:rPr>
              <w:t> </w:t>
            </w:r>
            <w:r>
              <w:rPr>
                <w:sz w:val="24"/>
              </w:rPr>
              <w:t>on</w:t>
            </w:r>
            <w:r>
              <w:rPr>
                <w:spacing w:val="-3"/>
                <w:sz w:val="24"/>
              </w:rPr>
              <w:t> </w:t>
            </w:r>
            <w:r>
              <w:rPr>
                <w:sz w:val="24"/>
              </w:rPr>
              <w:t>utilisation</w:t>
            </w:r>
            <w:r>
              <w:rPr>
                <w:spacing w:val="-3"/>
                <w:sz w:val="24"/>
              </w:rPr>
              <w:t> </w:t>
            </w:r>
            <w:r>
              <w:rPr>
                <w:sz w:val="24"/>
              </w:rPr>
              <w:t>of</w:t>
            </w:r>
            <w:r>
              <w:rPr>
                <w:spacing w:val="-3"/>
                <w:sz w:val="24"/>
              </w:rPr>
              <w:t> </w:t>
            </w:r>
            <w:r>
              <w:rPr>
                <w:sz w:val="24"/>
              </w:rPr>
              <w:t>surplus</w:t>
            </w:r>
            <w:r>
              <w:rPr>
                <w:spacing w:val="-2"/>
                <w:sz w:val="24"/>
              </w:rPr>
              <w:t> </w:t>
            </w:r>
            <w:r>
              <w:rPr>
                <w:spacing w:val="-4"/>
                <w:sz w:val="24"/>
              </w:rPr>
              <w:t>beds</w:t>
            </w:r>
          </w:p>
        </w:tc>
      </w:tr>
    </w:tbl>
    <w:p>
      <w:pPr>
        <w:pStyle w:val="BodyText"/>
        <w:rPr>
          <w:rFonts w:ascii="Arial"/>
          <w:sz w:val="20"/>
        </w:rPr>
      </w:pPr>
    </w:p>
    <w:p>
      <w:pPr>
        <w:pStyle w:val="BodyText"/>
        <w:spacing w:before="3"/>
        <w:rPr>
          <w:rFonts w:ascii="Arial"/>
          <w:sz w:val="22"/>
        </w:rPr>
      </w:pPr>
      <w:r>
        <w:rPr/>
        <w:pict>
          <v:shape style="position:absolute;margin-left:66.599998pt;margin-top:14.29698pt;width:487.35pt;height:72.25pt;mso-position-horizontal-relative:page;mso-position-vertical-relative:paragraph;z-index:-15634944;mso-wrap-distance-left:0;mso-wrap-distance-right:0" type="#_x0000_t202" id="docshape427" filled="false" stroked="true" strokeweight=".5pt" strokecolor="#000000">
            <v:textbox inset="0,0,0,0">
              <w:txbxContent>
                <w:p>
                  <w:pPr>
                    <w:spacing w:before="0"/>
                    <w:ind w:left="103" w:right="0" w:firstLine="0"/>
                    <w:jc w:val="left"/>
                    <w:rPr>
                      <w:b/>
                      <w:sz w:val="24"/>
                    </w:rPr>
                  </w:pPr>
                  <w:r>
                    <w:rPr>
                      <w:b/>
                      <w:spacing w:val="-2"/>
                      <w:sz w:val="24"/>
                    </w:rPr>
                    <w:t>PURPOSE</w:t>
                  </w:r>
                </w:p>
                <w:p>
                  <w:pPr>
                    <w:pStyle w:val="BodyText"/>
                    <w:ind w:left="103" w:right="77"/>
                  </w:pPr>
                  <w:r>
                    <w:rPr/>
                    <w:t>The purpose of</w:t>
                  </w:r>
                  <w:r>
                    <w:rPr>
                      <w:spacing w:val="25"/>
                    </w:rPr>
                    <w:t> </w:t>
                  </w:r>
                  <w:r>
                    <w:rPr/>
                    <w:t>this</w:t>
                  </w:r>
                  <w:r>
                    <w:rPr>
                      <w:spacing w:val="25"/>
                    </w:rPr>
                    <w:t> </w:t>
                  </w:r>
                  <w:r>
                    <w:rPr/>
                    <w:t>paper is to</w:t>
                  </w:r>
                  <w:r>
                    <w:rPr>
                      <w:spacing w:val="25"/>
                    </w:rPr>
                    <w:t> </w:t>
                  </w:r>
                  <w:r>
                    <w:rPr/>
                    <w:t>provide the</w:t>
                  </w:r>
                  <w:r>
                    <w:rPr>
                      <w:spacing w:val="25"/>
                    </w:rPr>
                    <w:t> </w:t>
                  </w:r>
                  <w:r>
                    <w:rPr/>
                    <w:t>Audit Committee with an</w:t>
                  </w:r>
                  <w:r>
                    <w:rPr>
                      <w:spacing w:val="25"/>
                    </w:rPr>
                    <w:t> </w:t>
                  </w:r>
                  <w:r>
                    <w:rPr/>
                    <w:t>update on the utilisation of surplus bed stock as at January 2023.</w:t>
                  </w:r>
                </w:p>
              </w:txbxContent>
            </v:textbox>
            <v:stroke dashstyle="solid"/>
            <w10:wrap type="topAndBottom"/>
          </v:shape>
        </w:pict>
      </w:r>
    </w:p>
    <w:p>
      <w:pPr>
        <w:pStyle w:val="BodyText"/>
        <w:spacing w:before="8"/>
        <w:rPr>
          <w:rFonts w:ascii="Arial"/>
          <w:sz w:val="15"/>
        </w:rPr>
      </w:pPr>
    </w:p>
    <w:p>
      <w:pPr>
        <w:pStyle w:val="Heading9"/>
        <w:numPr>
          <w:ilvl w:val="0"/>
          <w:numId w:val="32"/>
        </w:numPr>
        <w:tabs>
          <w:tab w:pos="2006" w:val="left" w:leader="none"/>
          <w:tab w:pos="2007" w:val="left" w:leader="none"/>
        </w:tabs>
        <w:spacing w:line="240" w:lineRule="auto" w:before="100" w:after="0"/>
        <w:ind w:left="2006" w:right="0" w:hanging="567"/>
        <w:jc w:val="left"/>
      </w:pPr>
      <w:r>
        <w:rPr>
          <w:spacing w:val="-2"/>
        </w:rPr>
        <w:t>BACKGROUND</w:t>
      </w:r>
    </w:p>
    <w:p>
      <w:pPr>
        <w:pStyle w:val="BodyText"/>
        <w:rPr>
          <w:b/>
        </w:rPr>
      </w:pPr>
    </w:p>
    <w:p>
      <w:pPr>
        <w:pStyle w:val="BodyText"/>
        <w:spacing w:line="276" w:lineRule="auto"/>
        <w:ind w:left="1440" w:right="1405"/>
      </w:pPr>
      <w:r>
        <w:rPr/>
        <w:t>At</w:t>
      </w:r>
      <w:r>
        <w:rPr>
          <w:spacing w:val="-3"/>
        </w:rPr>
        <w:t> </w:t>
      </w:r>
      <w:r>
        <w:rPr/>
        <w:t>the</w:t>
      </w:r>
      <w:r>
        <w:rPr>
          <w:spacing w:val="-4"/>
        </w:rPr>
        <w:t> </w:t>
      </w:r>
      <w:r>
        <w:rPr/>
        <w:t>commencement</w:t>
      </w:r>
      <w:r>
        <w:rPr>
          <w:spacing w:val="-3"/>
        </w:rPr>
        <w:t> </w:t>
      </w:r>
      <w:r>
        <w:rPr/>
        <w:t>of</w:t>
      </w:r>
      <w:r>
        <w:rPr>
          <w:spacing w:val="-4"/>
        </w:rPr>
        <w:t> </w:t>
      </w:r>
      <w:r>
        <w:rPr/>
        <w:t>the</w:t>
      </w:r>
      <w:r>
        <w:rPr>
          <w:spacing w:val="-4"/>
        </w:rPr>
        <w:t> </w:t>
      </w:r>
      <w:r>
        <w:rPr/>
        <w:t>NHS</w:t>
      </w:r>
      <w:r>
        <w:rPr>
          <w:spacing w:val="-3"/>
        </w:rPr>
        <w:t> </w:t>
      </w:r>
      <w:r>
        <w:rPr/>
        <w:t>Wales</w:t>
      </w:r>
      <w:r>
        <w:rPr>
          <w:spacing w:val="-3"/>
        </w:rPr>
        <w:t> </w:t>
      </w:r>
      <w:r>
        <w:rPr/>
        <w:t>response</w:t>
      </w:r>
      <w:r>
        <w:rPr>
          <w:spacing w:val="-3"/>
        </w:rPr>
        <w:t> </w:t>
      </w:r>
      <w:r>
        <w:rPr/>
        <w:t>to</w:t>
      </w:r>
      <w:r>
        <w:rPr>
          <w:spacing w:val="-3"/>
        </w:rPr>
        <w:t> </w:t>
      </w:r>
      <w:r>
        <w:rPr/>
        <w:t>the</w:t>
      </w:r>
      <w:r>
        <w:rPr>
          <w:spacing w:val="-4"/>
        </w:rPr>
        <w:t> </w:t>
      </w:r>
      <w:r>
        <w:rPr/>
        <w:t>Covid</w:t>
      </w:r>
      <w:r>
        <w:rPr>
          <w:spacing w:val="-4"/>
        </w:rPr>
        <w:t> </w:t>
      </w:r>
      <w:r>
        <w:rPr/>
        <w:t>pandemic in early March 2020, NWSSP Procurement Services were requested by Welsh Government to co-ordinate the central purchase of beds and mattresses for NHS Wales to equip the field hospitals being established.</w:t>
      </w:r>
    </w:p>
    <w:p>
      <w:pPr>
        <w:pStyle w:val="BodyText"/>
        <w:tabs>
          <w:tab w:pos="2926" w:val="left" w:leader="none"/>
        </w:tabs>
        <w:spacing w:line="276" w:lineRule="auto" w:before="200"/>
        <w:ind w:left="1440" w:right="1471"/>
      </w:pPr>
      <w:r>
        <w:rPr/>
        <w:t>NWSSP was provided with the quantities of beds/mattresses required by each UHB to meet their identified demand for additional bed capacity.</w:t>
      </w:r>
      <w:r>
        <w:rPr>
          <w:spacing w:val="40"/>
        </w:rPr>
        <w:t> </w:t>
      </w:r>
      <w:r>
        <w:rPr/>
        <w:t>At that point in time, demand for beds was high and NHS Wales was competing with other nations, both within the UK and internationally who were</w:t>
      </w:r>
      <w:r>
        <w:rPr>
          <w:spacing w:val="-4"/>
        </w:rPr>
        <w:t> </w:t>
      </w:r>
      <w:r>
        <w:rPr/>
        <w:t>also</w:t>
      </w:r>
      <w:r>
        <w:rPr>
          <w:spacing w:val="-3"/>
        </w:rPr>
        <w:t> </w:t>
      </w:r>
      <w:r>
        <w:rPr/>
        <w:t>equipping</w:t>
      </w:r>
      <w:r>
        <w:rPr>
          <w:spacing w:val="-3"/>
        </w:rPr>
        <w:t> </w:t>
      </w:r>
      <w:r>
        <w:rPr/>
        <w:t>field</w:t>
      </w:r>
      <w:r>
        <w:rPr>
          <w:spacing w:val="-4"/>
        </w:rPr>
        <w:t> </w:t>
      </w:r>
      <w:r>
        <w:rPr/>
        <w:t>hospitals</w:t>
      </w:r>
      <w:r>
        <w:rPr>
          <w:spacing w:val="-3"/>
        </w:rPr>
        <w:t> </w:t>
      </w:r>
      <w:r>
        <w:rPr/>
        <w:t>and</w:t>
      </w:r>
      <w:r>
        <w:rPr>
          <w:spacing w:val="-3"/>
        </w:rPr>
        <w:t> </w:t>
      </w:r>
      <w:r>
        <w:rPr/>
        <w:t>aiming</w:t>
      </w:r>
      <w:r>
        <w:rPr>
          <w:spacing w:val="-3"/>
        </w:rPr>
        <w:t> </w:t>
      </w:r>
      <w:r>
        <w:rPr/>
        <w:t>to</w:t>
      </w:r>
      <w:r>
        <w:rPr>
          <w:spacing w:val="-4"/>
        </w:rPr>
        <w:t> </w:t>
      </w:r>
      <w:r>
        <w:rPr/>
        <w:t>secure</w:t>
      </w:r>
      <w:r>
        <w:rPr>
          <w:spacing w:val="-3"/>
        </w:rPr>
        <w:t> </w:t>
      </w:r>
      <w:r>
        <w:rPr/>
        <w:t>orders</w:t>
      </w:r>
      <w:r>
        <w:rPr>
          <w:spacing w:val="-4"/>
        </w:rPr>
        <w:t> </w:t>
      </w:r>
      <w:r>
        <w:rPr/>
        <w:t>and</w:t>
      </w:r>
      <w:r>
        <w:rPr>
          <w:spacing w:val="-3"/>
        </w:rPr>
        <w:t> </w:t>
      </w:r>
      <w:r>
        <w:rPr/>
        <w:t>timely </w:t>
      </w:r>
      <w:r>
        <w:rPr>
          <w:spacing w:val="-2"/>
        </w:rPr>
        <w:t>deliveries.</w:t>
      </w:r>
      <w:r>
        <w:rPr/>
        <w:tab/>
        <w:t>Where the models of beds currently in use and requested were not available, alternative models were sourced.</w:t>
      </w:r>
      <w:r>
        <w:rPr>
          <w:spacing w:val="80"/>
        </w:rPr>
        <w:t> </w:t>
      </w:r>
      <w:r>
        <w:rPr/>
        <w:t>It was identified that the products available were not of hospital grade, however, due to the field hospitals envisaged as being used as step-down facilities, the supply of community beds was not considered an issue, and at that point in time the ability to secure any bed was deemed preferrable to not being able to fully equip the field hospitals to the forecast demand for beds required.</w:t>
      </w:r>
      <w:r>
        <w:rPr>
          <w:spacing w:val="80"/>
        </w:rPr>
        <w:t> </w:t>
      </w:r>
      <w:r>
        <w:rPr/>
        <w:t>In addition, at this point with the early peak of the pandemic across European states, and reports and footage of patients in Italy and France laying in hospital corridors and being turned away from healthcare facilities, prime importance was placed on securing sufficient volumes of beds to avoid a repeat of the European experience in Wales.</w:t>
      </w:r>
    </w:p>
    <w:p>
      <w:pPr>
        <w:spacing w:before="178"/>
        <w:ind w:left="1440" w:right="0" w:firstLine="0"/>
        <w:jc w:val="left"/>
        <w:rPr>
          <w:sz w:val="22"/>
        </w:rPr>
      </w:pPr>
      <w:r>
        <w:rPr>
          <w:sz w:val="22"/>
        </w:rPr>
        <w:t>NWSSP</w:t>
      </w:r>
      <w:r>
        <w:rPr>
          <w:spacing w:val="-4"/>
          <w:sz w:val="22"/>
        </w:rPr>
        <w:t> </w:t>
      </w:r>
      <w:r>
        <w:rPr>
          <w:sz w:val="22"/>
        </w:rPr>
        <w:t>Audit</w:t>
      </w:r>
      <w:r>
        <w:rPr>
          <w:spacing w:val="-2"/>
          <w:sz w:val="22"/>
        </w:rPr>
        <w:t> Committee</w:t>
      </w:r>
    </w:p>
    <w:p>
      <w:pPr>
        <w:spacing w:before="0"/>
        <w:ind w:left="0" w:right="2158" w:firstLine="0"/>
        <w:jc w:val="right"/>
        <w:rPr>
          <w:sz w:val="22"/>
        </w:rPr>
      </w:pPr>
      <w:r>
        <w:rPr>
          <w:sz w:val="22"/>
        </w:rPr>
        <w:t>1</w:t>
      </w:r>
    </w:p>
    <w:p>
      <w:pPr>
        <w:spacing w:after="0"/>
        <w:jc w:val="right"/>
        <w:rPr>
          <w:sz w:val="22"/>
        </w:rPr>
        <w:sectPr>
          <w:footerReference w:type="default" r:id="rId147"/>
          <w:pgSz w:w="11910" w:h="16840"/>
          <w:pgMar w:footer="146" w:header="0" w:top="80" w:bottom="340" w:left="0" w:right="0"/>
        </w:sectPr>
      </w:pPr>
    </w:p>
    <w:p>
      <w:pPr>
        <w:pStyle w:val="BodyText"/>
        <w:spacing w:line="276" w:lineRule="auto" w:before="82"/>
        <w:ind w:left="1440" w:right="1367"/>
        <w:jc w:val="both"/>
      </w:pPr>
      <w:r>
        <w:rPr/>
        <w:t>As the pandemic progressed and it became evident that the first wave in Wales was not going to realise the forecast demand for field hospital beds, NWSSP Procurement Services worked with suppliers of beds and mattresses to cancel a number of large orders for beds that had been placed and at that point had not yet been delivered.</w:t>
      </w:r>
      <w:r>
        <w:rPr>
          <w:spacing w:val="80"/>
        </w:rPr>
        <w:t> </w:t>
      </w:r>
      <w:r>
        <w:rPr/>
        <w:t>There were however a</w:t>
      </w:r>
      <w:r>
        <w:rPr>
          <w:spacing w:val="-2"/>
        </w:rPr>
        <w:t> </w:t>
      </w:r>
      <w:r>
        <w:rPr/>
        <w:t>large</w:t>
      </w:r>
      <w:r>
        <w:rPr>
          <w:spacing w:val="-3"/>
        </w:rPr>
        <w:t> </w:t>
      </w:r>
      <w:r>
        <w:rPr/>
        <w:t>number</w:t>
      </w:r>
      <w:r>
        <w:rPr>
          <w:spacing w:val="-3"/>
        </w:rPr>
        <w:t> </w:t>
      </w:r>
      <w:r>
        <w:rPr/>
        <w:t>of</w:t>
      </w:r>
      <w:r>
        <w:rPr>
          <w:spacing w:val="-3"/>
        </w:rPr>
        <w:t> </w:t>
      </w:r>
      <w:r>
        <w:rPr/>
        <w:t>beds</w:t>
      </w:r>
      <w:r>
        <w:rPr>
          <w:spacing w:val="-2"/>
        </w:rPr>
        <w:t> </w:t>
      </w:r>
      <w:r>
        <w:rPr/>
        <w:t>that</w:t>
      </w:r>
      <w:r>
        <w:rPr>
          <w:spacing w:val="-2"/>
        </w:rPr>
        <w:t> </w:t>
      </w:r>
      <w:r>
        <w:rPr/>
        <w:t>had</w:t>
      </w:r>
      <w:r>
        <w:rPr>
          <w:spacing w:val="-2"/>
        </w:rPr>
        <w:t> </w:t>
      </w:r>
      <w:r>
        <w:rPr/>
        <w:t>been</w:t>
      </w:r>
      <w:r>
        <w:rPr>
          <w:spacing w:val="-3"/>
        </w:rPr>
        <w:t> </w:t>
      </w:r>
      <w:r>
        <w:rPr/>
        <w:t>delivered</w:t>
      </w:r>
      <w:r>
        <w:rPr>
          <w:spacing w:val="-3"/>
        </w:rPr>
        <w:t> </w:t>
      </w:r>
      <w:r>
        <w:rPr/>
        <w:t>to</w:t>
      </w:r>
      <w:r>
        <w:rPr>
          <w:spacing w:val="-2"/>
        </w:rPr>
        <w:t> </w:t>
      </w:r>
      <w:r>
        <w:rPr/>
        <w:t>field</w:t>
      </w:r>
      <w:r>
        <w:rPr>
          <w:spacing w:val="-2"/>
        </w:rPr>
        <w:t> </w:t>
      </w:r>
      <w:r>
        <w:rPr/>
        <w:t>hospitals</w:t>
      </w:r>
      <w:r>
        <w:rPr>
          <w:spacing w:val="-3"/>
        </w:rPr>
        <w:t> </w:t>
      </w:r>
      <w:r>
        <w:rPr/>
        <w:t>that</w:t>
      </w:r>
      <w:r>
        <w:rPr>
          <w:spacing w:val="-3"/>
        </w:rPr>
        <w:t> </w:t>
      </w:r>
      <w:r>
        <w:rPr/>
        <w:t>were in the process of being dis-established and were subsequently placed in storage provided by Welsh Government.</w:t>
      </w:r>
    </w:p>
    <w:p>
      <w:pPr>
        <w:pStyle w:val="BodyText"/>
        <w:spacing w:before="7"/>
        <w:rPr>
          <w:sz w:val="27"/>
        </w:rPr>
      </w:pPr>
    </w:p>
    <w:p>
      <w:pPr>
        <w:pStyle w:val="BodyText"/>
        <w:spacing w:line="276" w:lineRule="auto"/>
        <w:ind w:left="1440" w:right="1365"/>
        <w:jc w:val="both"/>
      </w:pPr>
      <w:r>
        <w:rPr/>
        <w:t>At 31st March 2021, the bulk of the surplus stock of these beds remained despite</w:t>
      </w:r>
      <w:r>
        <w:rPr>
          <w:spacing w:val="-3"/>
        </w:rPr>
        <w:t> </w:t>
      </w:r>
      <w:r>
        <w:rPr/>
        <w:t>numerous</w:t>
      </w:r>
      <w:r>
        <w:rPr>
          <w:spacing w:val="-3"/>
        </w:rPr>
        <w:t> </w:t>
      </w:r>
      <w:r>
        <w:rPr/>
        <w:t>attempts</w:t>
      </w:r>
      <w:r>
        <w:rPr>
          <w:spacing w:val="-3"/>
        </w:rPr>
        <w:t> </w:t>
      </w:r>
      <w:r>
        <w:rPr/>
        <w:t>for</w:t>
      </w:r>
      <w:r>
        <w:rPr>
          <w:spacing w:val="-3"/>
        </w:rPr>
        <w:t> </w:t>
      </w:r>
      <w:r>
        <w:rPr/>
        <w:t>the</w:t>
      </w:r>
      <w:r>
        <w:rPr>
          <w:spacing w:val="-3"/>
        </w:rPr>
        <w:t> </w:t>
      </w:r>
      <w:r>
        <w:rPr/>
        <w:t>items</w:t>
      </w:r>
      <w:r>
        <w:rPr>
          <w:spacing w:val="-3"/>
        </w:rPr>
        <w:t> </w:t>
      </w:r>
      <w:r>
        <w:rPr/>
        <w:t>to</w:t>
      </w:r>
      <w:r>
        <w:rPr>
          <w:spacing w:val="-3"/>
        </w:rPr>
        <w:t> </w:t>
      </w:r>
      <w:r>
        <w:rPr/>
        <w:t>be</w:t>
      </w:r>
      <w:r>
        <w:rPr>
          <w:spacing w:val="-3"/>
        </w:rPr>
        <w:t> </w:t>
      </w:r>
      <w:r>
        <w:rPr/>
        <w:t>provided</w:t>
      </w:r>
      <w:r>
        <w:rPr>
          <w:spacing w:val="-3"/>
        </w:rPr>
        <w:t> </w:t>
      </w:r>
      <w:r>
        <w:rPr/>
        <w:t>to</w:t>
      </w:r>
      <w:r>
        <w:rPr>
          <w:spacing w:val="-3"/>
        </w:rPr>
        <w:t> </w:t>
      </w:r>
      <w:r>
        <w:rPr/>
        <w:t>UHBs</w:t>
      </w:r>
      <w:r>
        <w:rPr>
          <w:spacing w:val="-3"/>
        </w:rPr>
        <w:t> </w:t>
      </w:r>
      <w:r>
        <w:rPr/>
        <w:t>as</w:t>
      </w:r>
      <w:r>
        <w:rPr>
          <w:spacing w:val="-3"/>
        </w:rPr>
        <w:t> </w:t>
      </w:r>
      <w:r>
        <w:rPr/>
        <w:t>part</w:t>
      </w:r>
      <w:r>
        <w:rPr>
          <w:spacing w:val="-3"/>
        </w:rPr>
        <w:t> </w:t>
      </w:r>
      <w:r>
        <w:rPr/>
        <w:t>of any bed replacement programme.</w:t>
      </w:r>
      <w:r>
        <w:rPr>
          <w:spacing w:val="80"/>
        </w:rPr>
        <w:t> </w:t>
      </w:r>
      <w:r>
        <w:rPr/>
        <w:t>UHBs deemed these beds as not being of hospital grade and therefore unsuitable for use within NHS Wales.</w:t>
      </w:r>
      <w:r>
        <w:rPr>
          <w:spacing w:val="80"/>
        </w:rPr>
        <w:t> </w:t>
      </w:r>
      <w:r>
        <w:rPr/>
        <w:t>Due to this, Audit Committee and Welsh Government approval was sought to write off the value of these beds in 2020/21 totalling £5.7million which</w:t>
      </w:r>
      <w:r>
        <w:rPr>
          <w:spacing w:val="40"/>
        </w:rPr>
        <w:t> </w:t>
      </w:r>
      <w:r>
        <w:rPr/>
        <w:t>was funded by Welsh Government.</w:t>
      </w:r>
    </w:p>
    <w:p>
      <w:pPr>
        <w:pStyle w:val="BodyText"/>
        <w:rPr>
          <w:sz w:val="28"/>
        </w:rPr>
      </w:pPr>
    </w:p>
    <w:p>
      <w:pPr>
        <w:pStyle w:val="BodyText"/>
        <w:spacing w:before="2"/>
        <w:rPr>
          <w:sz w:val="27"/>
        </w:rPr>
      </w:pPr>
    </w:p>
    <w:p>
      <w:pPr>
        <w:pStyle w:val="Heading9"/>
        <w:numPr>
          <w:ilvl w:val="0"/>
          <w:numId w:val="32"/>
        </w:numPr>
        <w:tabs>
          <w:tab w:pos="2006" w:val="left" w:leader="none"/>
          <w:tab w:pos="2008" w:val="left" w:leader="none"/>
        </w:tabs>
        <w:spacing w:line="240" w:lineRule="auto" w:before="0" w:after="0"/>
        <w:ind w:left="2007" w:right="0" w:hanging="580"/>
        <w:jc w:val="left"/>
      </w:pPr>
      <w:r>
        <w:rPr>
          <w:spacing w:val="-2"/>
        </w:rPr>
        <w:t>UPDATE</w:t>
      </w:r>
    </w:p>
    <w:p>
      <w:pPr>
        <w:pStyle w:val="BodyText"/>
        <w:spacing w:line="276" w:lineRule="auto" w:before="244"/>
        <w:ind w:left="1440" w:right="1547"/>
      </w:pPr>
      <w:r>
        <w:rPr/>
        <w:t>At</w:t>
      </w:r>
      <w:r>
        <w:rPr>
          <w:spacing w:val="-3"/>
        </w:rPr>
        <w:t> </w:t>
      </w:r>
      <w:r>
        <w:rPr/>
        <w:t>September</w:t>
      </w:r>
      <w:r>
        <w:rPr>
          <w:spacing w:val="-4"/>
        </w:rPr>
        <w:t> </w:t>
      </w:r>
      <w:r>
        <w:rPr/>
        <w:t>2022</w:t>
      </w:r>
      <w:r>
        <w:rPr>
          <w:spacing w:val="-3"/>
        </w:rPr>
        <w:t> </w:t>
      </w:r>
      <w:r>
        <w:rPr/>
        <w:t>we</w:t>
      </w:r>
      <w:r>
        <w:rPr>
          <w:spacing w:val="-4"/>
        </w:rPr>
        <w:t> </w:t>
      </w:r>
      <w:r>
        <w:rPr/>
        <w:t>reported</w:t>
      </w:r>
      <w:r>
        <w:rPr>
          <w:spacing w:val="-3"/>
        </w:rPr>
        <w:t> </w:t>
      </w:r>
      <w:r>
        <w:rPr/>
        <w:t>2,328</w:t>
      </w:r>
      <w:r>
        <w:rPr>
          <w:spacing w:val="-4"/>
        </w:rPr>
        <w:t> </w:t>
      </w:r>
      <w:r>
        <w:rPr/>
        <w:t>surplus</w:t>
      </w:r>
      <w:r>
        <w:rPr>
          <w:spacing w:val="-3"/>
        </w:rPr>
        <w:t> </w:t>
      </w:r>
      <w:r>
        <w:rPr/>
        <w:t>beds</w:t>
      </w:r>
      <w:r>
        <w:rPr>
          <w:spacing w:val="-3"/>
        </w:rPr>
        <w:t> </w:t>
      </w:r>
      <w:r>
        <w:rPr/>
        <w:t>remained</w:t>
      </w:r>
      <w:r>
        <w:rPr>
          <w:spacing w:val="-3"/>
        </w:rPr>
        <w:t> </w:t>
      </w:r>
      <w:r>
        <w:rPr/>
        <w:t>in</w:t>
      </w:r>
      <w:r>
        <w:rPr>
          <w:spacing w:val="-4"/>
        </w:rPr>
        <w:t> </w:t>
      </w:r>
      <w:r>
        <w:rPr/>
        <w:t>stock with 198 of these being provided during the month to Communication Workers Union Humanitarian Aid for transport to hospitals in Moldova supporting the Ukraine war response.</w:t>
      </w:r>
    </w:p>
    <w:p>
      <w:pPr>
        <w:pStyle w:val="BodyText"/>
        <w:spacing w:line="276" w:lineRule="auto" w:before="200"/>
        <w:ind w:left="1440" w:right="617"/>
      </w:pPr>
      <w:r>
        <w:rPr/>
        <w:t>At</w:t>
      </w:r>
      <w:r>
        <w:rPr>
          <w:spacing w:val="-3"/>
        </w:rPr>
        <w:t> </w:t>
      </w:r>
      <w:r>
        <w:rPr/>
        <w:t>that</w:t>
      </w:r>
      <w:r>
        <w:rPr>
          <w:spacing w:val="-4"/>
        </w:rPr>
        <w:t> </w:t>
      </w:r>
      <w:r>
        <w:rPr/>
        <w:t>time</w:t>
      </w:r>
      <w:r>
        <w:rPr>
          <w:spacing w:val="-3"/>
        </w:rPr>
        <w:t> </w:t>
      </w:r>
      <w:r>
        <w:rPr/>
        <w:t>it</w:t>
      </w:r>
      <w:r>
        <w:rPr>
          <w:spacing w:val="-4"/>
        </w:rPr>
        <w:t> </w:t>
      </w:r>
      <w:r>
        <w:rPr/>
        <w:t>was</w:t>
      </w:r>
      <w:r>
        <w:rPr>
          <w:spacing w:val="-4"/>
        </w:rPr>
        <w:t> </w:t>
      </w:r>
      <w:r>
        <w:rPr/>
        <w:t>reported</w:t>
      </w:r>
      <w:r>
        <w:rPr>
          <w:spacing w:val="-3"/>
        </w:rPr>
        <w:t> </w:t>
      </w:r>
      <w:r>
        <w:rPr/>
        <w:t>that</w:t>
      </w:r>
      <w:r>
        <w:rPr>
          <w:spacing w:val="-3"/>
        </w:rPr>
        <w:t> </w:t>
      </w:r>
      <w:r>
        <w:rPr/>
        <w:t>options</w:t>
      </w:r>
      <w:r>
        <w:rPr>
          <w:spacing w:val="-3"/>
        </w:rPr>
        <w:t> </w:t>
      </w:r>
      <w:r>
        <w:rPr/>
        <w:t>were</w:t>
      </w:r>
      <w:r>
        <w:rPr>
          <w:spacing w:val="-3"/>
        </w:rPr>
        <w:t> </w:t>
      </w:r>
      <w:r>
        <w:rPr/>
        <w:t>being</w:t>
      </w:r>
      <w:r>
        <w:rPr>
          <w:spacing w:val="-4"/>
        </w:rPr>
        <w:t> </w:t>
      </w:r>
      <w:r>
        <w:rPr/>
        <w:t>explored</w:t>
      </w:r>
      <w:r>
        <w:rPr>
          <w:spacing w:val="-3"/>
        </w:rPr>
        <w:t> </w:t>
      </w:r>
      <w:r>
        <w:rPr/>
        <w:t>with</w:t>
      </w:r>
      <w:r>
        <w:rPr>
          <w:spacing w:val="-4"/>
        </w:rPr>
        <w:t> </w:t>
      </w:r>
      <w:r>
        <w:rPr/>
        <w:t>Welsh Government to repurpose the remaining 2,130 beds and mattresses.</w:t>
      </w:r>
    </w:p>
    <w:p>
      <w:pPr>
        <w:pStyle w:val="BodyText"/>
        <w:spacing w:line="276" w:lineRule="auto" w:before="200"/>
        <w:ind w:left="1440" w:right="1405"/>
      </w:pPr>
      <w:r>
        <w:rPr/>
        <w:t>At the beginning of January 2023, an additional 1,805 beds and 1,667 mattresses</w:t>
      </w:r>
      <w:r>
        <w:rPr>
          <w:spacing w:val="-4"/>
        </w:rPr>
        <w:t> </w:t>
      </w:r>
      <w:r>
        <w:rPr/>
        <w:t>have</w:t>
      </w:r>
      <w:r>
        <w:rPr>
          <w:spacing w:val="-4"/>
        </w:rPr>
        <w:t> </w:t>
      </w:r>
      <w:r>
        <w:rPr/>
        <w:t>been</w:t>
      </w:r>
      <w:r>
        <w:rPr>
          <w:spacing w:val="-4"/>
        </w:rPr>
        <w:t> </w:t>
      </w:r>
      <w:r>
        <w:rPr/>
        <w:t>repurposed,</w:t>
      </w:r>
      <w:r>
        <w:rPr>
          <w:spacing w:val="-4"/>
        </w:rPr>
        <w:t> </w:t>
      </w:r>
      <w:r>
        <w:rPr/>
        <w:t>with</w:t>
      </w:r>
      <w:r>
        <w:rPr>
          <w:spacing w:val="-4"/>
        </w:rPr>
        <w:t> </w:t>
      </w:r>
      <w:r>
        <w:rPr/>
        <w:t>only</w:t>
      </w:r>
      <w:r>
        <w:rPr>
          <w:spacing w:val="-4"/>
        </w:rPr>
        <w:t> </w:t>
      </w:r>
      <w:r>
        <w:rPr/>
        <w:t>325</w:t>
      </w:r>
      <w:r>
        <w:rPr>
          <w:spacing w:val="-4"/>
        </w:rPr>
        <w:t> </w:t>
      </w:r>
      <w:r>
        <w:rPr/>
        <w:t>beds</w:t>
      </w:r>
      <w:r>
        <w:rPr>
          <w:spacing w:val="-4"/>
        </w:rPr>
        <w:t> </w:t>
      </w:r>
      <w:r>
        <w:rPr/>
        <w:t>and</w:t>
      </w:r>
      <w:r>
        <w:rPr>
          <w:spacing w:val="-4"/>
        </w:rPr>
        <w:t> </w:t>
      </w:r>
      <w:r>
        <w:rPr/>
        <w:t>463</w:t>
      </w:r>
      <w:r>
        <w:rPr>
          <w:spacing w:val="-4"/>
        </w:rPr>
        <w:t> </w:t>
      </w:r>
      <w:r>
        <w:rPr/>
        <w:t>mattresses remaining to be allocated.</w:t>
      </w:r>
      <w:r>
        <w:rPr>
          <w:spacing w:val="40"/>
        </w:rPr>
        <w:t> </w:t>
      </w:r>
      <w:r>
        <w:rPr/>
        <w:t>The table in Appendix A summarises the distribution of the beds and mattresses.</w:t>
      </w:r>
    </w:p>
    <w:p>
      <w:pPr>
        <w:pStyle w:val="BodyText"/>
        <w:rPr>
          <w:sz w:val="28"/>
        </w:rPr>
      </w:pPr>
    </w:p>
    <w:p>
      <w:pPr>
        <w:pStyle w:val="BodyText"/>
        <w:spacing w:before="6"/>
        <w:rPr>
          <w:sz w:val="32"/>
        </w:rPr>
      </w:pPr>
    </w:p>
    <w:p>
      <w:pPr>
        <w:pStyle w:val="Heading9"/>
        <w:numPr>
          <w:ilvl w:val="0"/>
          <w:numId w:val="32"/>
        </w:numPr>
        <w:tabs>
          <w:tab w:pos="2006" w:val="left" w:leader="none"/>
          <w:tab w:pos="2007" w:val="left" w:leader="none"/>
        </w:tabs>
        <w:spacing w:line="240" w:lineRule="auto" w:before="0" w:after="0"/>
        <w:ind w:left="2006" w:right="0" w:hanging="567"/>
        <w:jc w:val="left"/>
      </w:pPr>
      <w:r>
        <w:rPr>
          <w:spacing w:val="-2"/>
        </w:rPr>
        <w:t>ACTION</w:t>
      </w:r>
    </w:p>
    <w:p>
      <w:pPr>
        <w:pStyle w:val="BodyText"/>
        <w:spacing w:before="244"/>
        <w:ind w:left="1440"/>
      </w:pPr>
      <w:r>
        <w:rPr/>
        <w:t>The</w:t>
      </w:r>
      <w:r>
        <w:rPr>
          <w:spacing w:val="-3"/>
        </w:rPr>
        <w:t> </w:t>
      </w:r>
      <w:r>
        <w:rPr/>
        <w:t>Committee</w:t>
      </w:r>
      <w:r>
        <w:rPr>
          <w:spacing w:val="-1"/>
        </w:rPr>
        <w:t> </w:t>
      </w:r>
      <w:r>
        <w:rPr/>
        <w:t>is</w:t>
      </w:r>
      <w:r>
        <w:rPr>
          <w:spacing w:val="-3"/>
        </w:rPr>
        <w:t> </w:t>
      </w:r>
      <w:r>
        <w:rPr/>
        <w:t>asked</w:t>
      </w:r>
      <w:r>
        <w:rPr>
          <w:spacing w:val="-1"/>
        </w:rPr>
        <w:t> </w:t>
      </w:r>
      <w:r>
        <w:rPr/>
        <w:t>to</w:t>
      </w:r>
      <w:r>
        <w:rPr>
          <w:spacing w:val="-2"/>
        </w:rPr>
        <w:t> </w:t>
      </w:r>
      <w:r>
        <w:rPr>
          <w:b/>
        </w:rPr>
        <w:t>NOTE</w:t>
      </w:r>
      <w:r>
        <w:rPr>
          <w:b/>
          <w:spacing w:val="1"/>
        </w:rPr>
        <w:t> </w:t>
      </w:r>
      <w:r>
        <w:rPr/>
        <w:t>the</w:t>
      </w:r>
      <w:r>
        <w:rPr>
          <w:spacing w:val="-2"/>
        </w:rPr>
        <w:t> report.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1"/>
        </w:rPr>
      </w:pPr>
    </w:p>
    <w:p>
      <w:pPr>
        <w:spacing w:before="101"/>
        <w:ind w:left="1440" w:right="0" w:firstLine="0"/>
        <w:jc w:val="left"/>
        <w:rPr>
          <w:sz w:val="22"/>
        </w:rPr>
      </w:pPr>
      <w:r>
        <w:rPr>
          <w:sz w:val="22"/>
        </w:rPr>
        <w:t>NWSSP</w:t>
      </w:r>
      <w:r>
        <w:rPr>
          <w:spacing w:val="-4"/>
          <w:sz w:val="22"/>
        </w:rPr>
        <w:t> </w:t>
      </w:r>
      <w:r>
        <w:rPr>
          <w:sz w:val="22"/>
        </w:rPr>
        <w:t>Audit</w:t>
      </w:r>
      <w:r>
        <w:rPr>
          <w:spacing w:val="-2"/>
          <w:sz w:val="22"/>
        </w:rPr>
        <w:t> Committee</w:t>
      </w:r>
    </w:p>
    <w:p>
      <w:pPr>
        <w:spacing w:before="0"/>
        <w:ind w:left="0" w:right="1684" w:firstLine="0"/>
        <w:jc w:val="right"/>
        <w:rPr>
          <w:sz w:val="22"/>
        </w:rPr>
      </w:pPr>
      <w:r>
        <w:rPr>
          <w:sz w:val="22"/>
        </w:rPr>
        <w:t>2</w:t>
      </w:r>
    </w:p>
    <w:p>
      <w:pPr>
        <w:spacing w:after="0"/>
        <w:jc w:val="right"/>
        <w:rPr>
          <w:sz w:val="22"/>
        </w:rPr>
        <w:sectPr>
          <w:footerReference w:type="default" r:id="rId149"/>
          <w:pgSz w:w="11910" w:h="16840"/>
          <w:pgMar w:footer="146" w:header="0" w:top="1340" w:bottom="340" w:left="0" w:right="0"/>
        </w:sectPr>
      </w:pPr>
    </w:p>
    <w:p>
      <w:pPr>
        <w:spacing w:before="74"/>
        <w:ind w:left="120" w:right="0" w:firstLine="0"/>
        <w:jc w:val="left"/>
        <w:rPr>
          <w:rFonts w:ascii="Arial"/>
          <w:sz w:val="18"/>
        </w:rPr>
      </w:pPr>
      <w:r>
        <w:rPr>
          <w:rFonts w:ascii="Arial"/>
          <w:sz w:val="18"/>
        </w:rPr>
        <w:t>APPENDIX </w:t>
      </w:r>
      <w:r>
        <w:rPr>
          <w:rFonts w:ascii="Arial"/>
          <w:spacing w:val="-10"/>
          <w:sz w:val="18"/>
        </w:rPr>
        <w:t>1</w:t>
      </w:r>
    </w:p>
    <w:p>
      <w:pPr>
        <w:pStyle w:val="BodyText"/>
        <w:spacing w:before="4"/>
        <w:rPr>
          <w:rFonts w:ascii="Arial"/>
          <w:sz w:val="19"/>
        </w:rPr>
      </w:pPr>
    </w:p>
    <w:tbl>
      <w:tblPr>
        <w:tblW w:w="0" w:type="auto"/>
        <w:jc w:val="left"/>
        <w:tblInd w:w="1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684"/>
        <w:gridCol w:w="1474"/>
        <w:gridCol w:w="1830"/>
      </w:tblGrid>
      <w:tr>
        <w:trPr>
          <w:trHeight w:val="483" w:hRule="atLeast"/>
        </w:trPr>
        <w:tc>
          <w:tcPr>
            <w:tcW w:w="11684" w:type="dxa"/>
            <w:tcBorders>
              <w:bottom w:val="single" w:sz="18" w:space="0" w:color="000000"/>
              <w:right w:val="single" w:sz="18" w:space="0" w:color="000000"/>
            </w:tcBorders>
          </w:tcPr>
          <w:p>
            <w:pPr>
              <w:pStyle w:val="TableParagraph"/>
              <w:spacing w:before="95"/>
              <w:ind w:left="49"/>
              <w:rPr>
                <w:rFonts w:ascii="Arial"/>
                <w:b/>
                <w:sz w:val="25"/>
              </w:rPr>
            </w:pPr>
            <w:r>
              <w:rPr>
                <w:rFonts w:ascii="Arial"/>
                <w:b/>
                <w:spacing w:val="-2"/>
                <w:sz w:val="25"/>
              </w:rPr>
              <w:t>Make/Model</w:t>
            </w:r>
          </w:p>
        </w:tc>
        <w:tc>
          <w:tcPr>
            <w:tcW w:w="1474" w:type="dxa"/>
            <w:tcBorders>
              <w:left w:val="single" w:sz="18" w:space="0" w:color="000000"/>
              <w:bottom w:val="single" w:sz="18" w:space="0" w:color="000000"/>
              <w:right w:val="single" w:sz="18" w:space="0" w:color="000000"/>
            </w:tcBorders>
          </w:tcPr>
          <w:p>
            <w:pPr>
              <w:pStyle w:val="TableParagraph"/>
              <w:spacing w:before="95"/>
              <w:ind w:left="418"/>
              <w:rPr>
                <w:rFonts w:ascii="Arial"/>
                <w:b/>
                <w:sz w:val="25"/>
              </w:rPr>
            </w:pPr>
            <w:r>
              <w:rPr>
                <w:rFonts w:ascii="Arial"/>
                <w:b/>
                <w:spacing w:val="-4"/>
                <w:sz w:val="25"/>
              </w:rPr>
              <w:t>Beds</w:t>
            </w:r>
          </w:p>
        </w:tc>
        <w:tc>
          <w:tcPr>
            <w:tcW w:w="1830" w:type="dxa"/>
            <w:tcBorders>
              <w:left w:val="single" w:sz="18" w:space="0" w:color="000000"/>
              <w:bottom w:val="single" w:sz="18" w:space="0" w:color="000000"/>
              <w:right w:val="single" w:sz="18" w:space="0" w:color="000000"/>
            </w:tcBorders>
          </w:tcPr>
          <w:p>
            <w:pPr>
              <w:pStyle w:val="TableParagraph"/>
              <w:spacing w:before="95"/>
              <w:ind w:left="249"/>
              <w:rPr>
                <w:rFonts w:ascii="Arial"/>
                <w:b/>
                <w:sz w:val="25"/>
              </w:rPr>
            </w:pPr>
            <w:r>
              <w:rPr>
                <w:rFonts w:ascii="Arial"/>
                <w:b/>
                <w:spacing w:val="-2"/>
                <w:sz w:val="25"/>
              </w:rPr>
              <w:t>Mattresses</w:t>
            </w:r>
          </w:p>
        </w:tc>
      </w:tr>
      <w:tr>
        <w:trPr>
          <w:trHeight w:val="479" w:hRule="atLeast"/>
        </w:trPr>
        <w:tc>
          <w:tcPr>
            <w:tcW w:w="11684" w:type="dxa"/>
            <w:tcBorders>
              <w:top w:val="single" w:sz="18" w:space="0" w:color="000000"/>
              <w:bottom w:val="single" w:sz="18" w:space="0" w:color="000000"/>
              <w:right w:val="single" w:sz="18" w:space="0" w:color="000000"/>
            </w:tcBorders>
            <w:shd w:val="clear" w:color="auto" w:fill="CCFFFF"/>
          </w:tcPr>
          <w:p>
            <w:pPr>
              <w:pStyle w:val="TableParagraph"/>
              <w:spacing w:before="108"/>
              <w:ind w:left="49"/>
              <w:rPr>
                <w:rFonts w:ascii="Arial"/>
                <w:sz w:val="25"/>
              </w:rPr>
            </w:pPr>
            <w:r>
              <w:rPr>
                <w:rFonts w:ascii="Arial"/>
                <w:sz w:val="25"/>
              </w:rPr>
              <w:t>Medstrom</w:t>
            </w:r>
            <w:r>
              <w:rPr>
                <w:rFonts w:ascii="Arial"/>
                <w:spacing w:val="-9"/>
                <w:sz w:val="25"/>
              </w:rPr>
              <w:t> </w:t>
            </w:r>
            <w:r>
              <w:rPr>
                <w:rFonts w:ascii="Arial"/>
                <w:sz w:val="25"/>
              </w:rPr>
              <w:t>Critical</w:t>
            </w:r>
            <w:r>
              <w:rPr>
                <w:rFonts w:ascii="Arial"/>
                <w:spacing w:val="-15"/>
                <w:sz w:val="25"/>
              </w:rPr>
              <w:t> </w:t>
            </w:r>
            <w:r>
              <w:rPr>
                <w:rFonts w:ascii="Arial"/>
                <w:sz w:val="25"/>
              </w:rPr>
              <w:t>Care</w:t>
            </w:r>
            <w:r>
              <w:rPr>
                <w:rFonts w:ascii="Arial"/>
                <w:spacing w:val="-15"/>
                <w:sz w:val="25"/>
              </w:rPr>
              <w:t> </w:t>
            </w:r>
            <w:r>
              <w:rPr>
                <w:rFonts w:ascii="Arial"/>
                <w:sz w:val="25"/>
              </w:rPr>
              <w:t>Bed</w:t>
            </w:r>
            <w:r>
              <w:rPr>
                <w:rFonts w:ascii="Arial"/>
                <w:spacing w:val="-16"/>
                <w:sz w:val="25"/>
              </w:rPr>
              <w:t> </w:t>
            </w:r>
            <w:r>
              <w:rPr>
                <w:rFonts w:ascii="Arial"/>
                <w:sz w:val="25"/>
              </w:rPr>
              <w:t>-</w:t>
            </w:r>
            <w:r>
              <w:rPr>
                <w:rFonts w:ascii="Arial"/>
                <w:spacing w:val="-10"/>
                <w:sz w:val="25"/>
              </w:rPr>
              <w:t> </w:t>
            </w:r>
            <w:r>
              <w:rPr>
                <w:rFonts w:ascii="Arial"/>
                <w:sz w:val="25"/>
              </w:rPr>
              <w:t>Guess</w:t>
            </w:r>
            <w:r>
              <w:rPr>
                <w:rFonts w:ascii="Arial"/>
                <w:spacing w:val="-3"/>
                <w:sz w:val="25"/>
              </w:rPr>
              <w:t> </w:t>
            </w:r>
            <w:r>
              <w:rPr>
                <w:rFonts w:ascii="Arial"/>
                <w:sz w:val="25"/>
              </w:rPr>
              <w:t>301</w:t>
            </w:r>
            <w:r>
              <w:rPr>
                <w:rFonts w:ascii="Arial"/>
                <w:spacing w:val="-15"/>
                <w:sz w:val="25"/>
              </w:rPr>
              <w:t> </w:t>
            </w:r>
            <w:r>
              <w:rPr>
                <w:rFonts w:ascii="Arial"/>
                <w:sz w:val="25"/>
              </w:rPr>
              <w:t>ICU</w:t>
            </w:r>
            <w:r>
              <w:rPr>
                <w:rFonts w:ascii="Arial"/>
                <w:spacing w:val="-17"/>
                <w:sz w:val="25"/>
              </w:rPr>
              <w:t> </w:t>
            </w:r>
            <w:r>
              <w:rPr>
                <w:rFonts w:ascii="Arial"/>
                <w:spacing w:val="-5"/>
                <w:sz w:val="25"/>
              </w:rPr>
              <w:t>Bed</w:t>
            </w:r>
          </w:p>
        </w:tc>
        <w:tc>
          <w:tcPr>
            <w:tcW w:w="1474" w:type="dxa"/>
            <w:tcBorders>
              <w:top w:val="single" w:sz="18" w:space="0" w:color="000000"/>
              <w:left w:val="single" w:sz="18" w:space="0" w:color="000000"/>
              <w:bottom w:val="single" w:sz="18" w:space="0" w:color="000000"/>
              <w:right w:val="single" w:sz="18" w:space="0" w:color="000000"/>
            </w:tcBorders>
            <w:shd w:val="clear" w:color="auto" w:fill="CCFFFF"/>
          </w:tcPr>
          <w:p>
            <w:pPr>
              <w:pStyle w:val="TableParagraph"/>
              <w:spacing w:before="108"/>
              <w:ind w:right="-15"/>
              <w:jc w:val="right"/>
              <w:rPr>
                <w:rFonts w:ascii="Arial"/>
                <w:sz w:val="25"/>
              </w:rPr>
            </w:pPr>
            <w:r>
              <w:rPr>
                <w:rFonts w:ascii="Arial"/>
                <w:spacing w:val="-5"/>
                <w:sz w:val="25"/>
              </w:rPr>
              <w:t>198</w:t>
            </w:r>
          </w:p>
        </w:tc>
        <w:tc>
          <w:tcPr>
            <w:tcW w:w="1830" w:type="dxa"/>
            <w:tcBorders>
              <w:top w:val="single" w:sz="18" w:space="0" w:color="000000"/>
              <w:left w:val="single" w:sz="18" w:space="0" w:color="000000"/>
              <w:bottom w:val="single" w:sz="18" w:space="0" w:color="000000"/>
              <w:right w:val="single" w:sz="18" w:space="0" w:color="000000"/>
            </w:tcBorders>
            <w:shd w:val="clear" w:color="auto" w:fill="CCFFFF"/>
          </w:tcPr>
          <w:p>
            <w:pPr>
              <w:pStyle w:val="TableParagraph"/>
              <w:spacing w:before="108"/>
              <w:ind w:right="-15"/>
              <w:jc w:val="right"/>
              <w:rPr>
                <w:rFonts w:ascii="Arial"/>
                <w:sz w:val="25"/>
              </w:rPr>
            </w:pPr>
            <w:r>
              <w:rPr>
                <w:rFonts w:ascii="Arial"/>
                <w:w w:val="101"/>
                <w:sz w:val="25"/>
              </w:rPr>
              <w:t>0</w:t>
            </w:r>
          </w:p>
        </w:tc>
      </w:tr>
      <w:tr>
        <w:trPr>
          <w:trHeight w:val="479" w:hRule="atLeast"/>
        </w:trPr>
        <w:tc>
          <w:tcPr>
            <w:tcW w:w="11684" w:type="dxa"/>
            <w:tcBorders>
              <w:top w:val="single" w:sz="18" w:space="0" w:color="000000"/>
              <w:bottom w:val="single" w:sz="18" w:space="0" w:color="000000"/>
              <w:right w:val="single" w:sz="18" w:space="0" w:color="000000"/>
            </w:tcBorders>
          </w:tcPr>
          <w:p>
            <w:pPr>
              <w:pStyle w:val="TableParagraph"/>
              <w:spacing w:before="108"/>
              <w:ind w:left="49"/>
              <w:rPr>
                <w:rFonts w:ascii="Arial"/>
                <w:sz w:val="25"/>
              </w:rPr>
            </w:pPr>
            <w:r>
              <w:rPr>
                <w:rFonts w:ascii="Arial"/>
                <w:spacing w:val="-2"/>
                <w:sz w:val="25"/>
              </w:rPr>
              <w:t>CWUHA</w:t>
            </w:r>
          </w:p>
        </w:tc>
        <w:tc>
          <w:tcPr>
            <w:tcW w:w="1474" w:type="dxa"/>
            <w:tcBorders>
              <w:top w:val="single" w:sz="18" w:space="0" w:color="000000"/>
              <w:left w:val="single" w:sz="18" w:space="0" w:color="000000"/>
              <w:bottom w:val="single" w:sz="18"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198</w:t>
            </w:r>
          </w:p>
        </w:tc>
        <w:tc>
          <w:tcPr>
            <w:tcW w:w="1830" w:type="dxa"/>
            <w:tcBorders>
              <w:top w:val="single" w:sz="18" w:space="0" w:color="000000"/>
              <w:left w:val="single" w:sz="18" w:space="0" w:color="000000"/>
              <w:bottom w:val="single" w:sz="18" w:space="0" w:color="000000"/>
              <w:right w:val="single" w:sz="18" w:space="0" w:color="000000"/>
            </w:tcBorders>
          </w:tcPr>
          <w:p>
            <w:pPr>
              <w:pStyle w:val="TableParagraph"/>
              <w:spacing w:before="108"/>
              <w:ind w:right="-15"/>
              <w:jc w:val="right"/>
              <w:rPr>
                <w:rFonts w:ascii="Arial"/>
                <w:sz w:val="25"/>
              </w:rPr>
            </w:pPr>
            <w:r>
              <w:rPr>
                <w:rFonts w:ascii="Arial"/>
                <w:w w:val="101"/>
                <w:sz w:val="25"/>
              </w:rPr>
              <w:t>0</w:t>
            </w:r>
          </w:p>
        </w:tc>
      </w:tr>
      <w:tr>
        <w:trPr>
          <w:trHeight w:val="479" w:hRule="atLeast"/>
        </w:trPr>
        <w:tc>
          <w:tcPr>
            <w:tcW w:w="11684" w:type="dxa"/>
            <w:tcBorders>
              <w:top w:val="single" w:sz="18" w:space="0" w:color="000000"/>
              <w:bottom w:val="single" w:sz="18" w:space="0" w:color="000000"/>
              <w:right w:val="single" w:sz="18" w:space="0" w:color="000000"/>
            </w:tcBorders>
            <w:shd w:val="clear" w:color="auto" w:fill="CCFFFF"/>
          </w:tcPr>
          <w:p>
            <w:pPr>
              <w:pStyle w:val="TableParagraph"/>
              <w:spacing w:before="91"/>
              <w:ind w:left="49"/>
              <w:rPr>
                <w:rFonts w:ascii="Arial"/>
                <w:b/>
                <w:sz w:val="25"/>
              </w:rPr>
            </w:pPr>
            <w:r>
              <w:rPr>
                <w:rFonts w:ascii="Arial"/>
                <w:b/>
                <w:sz w:val="25"/>
              </w:rPr>
              <w:t>Balance</w:t>
            </w:r>
            <w:r>
              <w:rPr>
                <w:rFonts w:ascii="Arial"/>
                <w:b/>
                <w:spacing w:val="13"/>
                <w:sz w:val="25"/>
              </w:rPr>
              <w:t> </w:t>
            </w:r>
            <w:r>
              <w:rPr>
                <w:rFonts w:ascii="Arial"/>
                <w:b/>
                <w:sz w:val="25"/>
              </w:rPr>
              <w:t>Medstrom</w:t>
            </w:r>
            <w:r>
              <w:rPr>
                <w:rFonts w:ascii="Arial"/>
                <w:b/>
                <w:spacing w:val="-22"/>
                <w:sz w:val="25"/>
              </w:rPr>
              <w:t> </w:t>
            </w:r>
            <w:r>
              <w:rPr>
                <w:rFonts w:ascii="Arial"/>
                <w:b/>
                <w:sz w:val="25"/>
              </w:rPr>
              <w:t>Critical</w:t>
            </w:r>
            <w:r>
              <w:rPr>
                <w:rFonts w:ascii="Arial"/>
                <w:b/>
                <w:spacing w:val="-1"/>
                <w:sz w:val="25"/>
              </w:rPr>
              <w:t> </w:t>
            </w:r>
            <w:r>
              <w:rPr>
                <w:rFonts w:ascii="Arial"/>
                <w:b/>
                <w:sz w:val="25"/>
              </w:rPr>
              <w:t>Care</w:t>
            </w:r>
            <w:r>
              <w:rPr>
                <w:rFonts w:ascii="Arial"/>
                <w:b/>
                <w:spacing w:val="13"/>
                <w:sz w:val="25"/>
              </w:rPr>
              <w:t> </w:t>
            </w:r>
            <w:r>
              <w:rPr>
                <w:rFonts w:ascii="Arial"/>
                <w:b/>
                <w:sz w:val="25"/>
              </w:rPr>
              <w:t>Bed</w:t>
            </w:r>
            <w:r>
              <w:rPr>
                <w:rFonts w:ascii="Arial"/>
                <w:b/>
                <w:spacing w:val="-1"/>
                <w:sz w:val="25"/>
              </w:rPr>
              <w:t> </w:t>
            </w:r>
            <w:r>
              <w:rPr>
                <w:rFonts w:ascii="Arial"/>
                <w:b/>
                <w:sz w:val="25"/>
              </w:rPr>
              <w:t>-</w:t>
            </w:r>
            <w:r>
              <w:rPr>
                <w:rFonts w:ascii="Arial"/>
                <w:b/>
                <w:spacing w:val="2"/>
                <w:sz w:val="25"/>
              </w:rPr>
              <w:t> </w:t>
            </w:r>
            <w:r>
              <w:rPr>
                <w:rFonts w:ascii="Arial"/>
                <w:b/>
                <w:sz w:val="25"/>
              </w:rPr>
              <w:t>Guess</w:t>
            </w:r>
            <w:r>
              <w:rPr>
                <w:rFonts w:ascii="Arial"/>
                <w:b/>
                <w:spacing w:val="-4"/>
                <w:sz w:val="25"/>
              </w:rPr>
              <w:t> </w:t>
            </w:r>
            <w:r>
              <w:rPr>
                <w:rFonts w:ascii="Arial"/>
                <w:b/>
                <w:sz w:val="25"/>
              </w:rPr>
              <w:t>301</w:t>
            </w:r>
            <w:r>
              <w:rPr>
                <w:rFonts w:ascii="Arial"/>
                <w:b/>
                <w:spacing w:val="-4"/>
                <w:sz w:val="25"/>
              </w:rPr>
              <w:t> </w:t>
            </w:r>
            <w:r>
              <w:rPr>
                <w:rFonts w:ascii="Arial"/>
                <w:b/>
                <w:sz w:val="25"/>
              </w:rPr>
              <w:t>ICU</w:t>
            </w:r>
            <w:r>
              <w:rPr>
                <w:rFonts w:ascii="Arial"/>
                <w:b/>
                <w:spacing w:val="5"/>
                <w:sz w:val="25"/>
              </w:rPr>
              <w:t> </w:t>
            </w:r>
            <w:r>
              <w:rPr>
                <w:rFonts w:ascii="Arial"/>
                <w:b/>
                <w:spacing w:val="-5"/>
                <w:sz w:val="25"/>
              </w:rPr>
              <w:t>Bed</w:t>
            </w:r>
          </w:p>
        </w:tc>
        <w:tc>
          <w:tcPr>
            <w:tcW w:w="1474" w:type="dxa"/>
            <w:tcBorders>
              <w:top w:val="single" w:sz="18" w:space="0" w:color="000000"/>
              <w:left w:val="single" w:sz="18" w:space="0" w:color="000000"/>
              <w:bottom w:val="single" w:sz="18" w:space="0" w:color="000000"/>
              <w:right w:val="single" w:sz="18" w:space="0" w:color="000000"/>
            </w:tcBorders>
            <w:shd w:val="clear" w:color="auto" w:fill="CCFFFF"/>
          </w:tcPr>
          <w:p>
            <w:pPr>
              <w:pStyle w:val="TableParagraph"/>
              <w:spacing w:before="91"/>
              <w:ind w:right="-15"/>
              <w:jc w:val="right"/>
              <w:rPr>
                <w:rFonts w:ascii="Arial"/>
                <w:b/>
                <w:sz w:val="25"/>
              </w:rPr>
            </w:pPr>
            <w:r>
              <w:rPr>
                <w:rFonts w:ascii="Arial"/>
                <w:b/>
                <w:w w:val="101"/>
                <w:sz w:val="25"/>
              </w:rPr>
              <w:t>0</w:t>
            </w:r>
          </w:p>
        </w:tc>
        <w:tc>
          <w:tcPr>
            <w:tcW w:w="1830" w:type="dxa"/>
            <w:tcBorders>
              <w:top w:val="single" w:sz="18" w:space="0" w:color="000000"/>
              <w:left w:val="single" w:sz="18" w:space="0" w:color="000000"/>
              <w:bottom w:val="single" w:sz="18" w:space="0" w:color="000000"/>
              <w:right w:val="single" w:sz="18" w:space="0" w:color="000000"/>
            </w:tcBorders>
            <w:shd w:val="clear" w:color="auto" w:fill="CCFFFF"/>
          </w:tcPr>
          <w:p>
            <w:pPr>
              <w:pStyle w:val="TableParagraph"/>
              <w:spacing w:before="91"/>
              <w:ind w:right="-15"/>
              <w:jc w:val="right"/>
              <w:rPr>
                <w:rFonts w:ascii="Arial"/>
                <w:b/>
                <w:sz w:val="25"/>
              </w:rPr>
            </w:pPr>
            <w:r>
              <w:rPr>
                <w:rFonts w:ascii="Arial"/>
                <w:b/>
                <w:w w:val="101"/>
                <w:sz w:val="25"/>
              </w:rPr>
              <w:t>0</w:t>
            </w:r>
          </w:p>
        </w:tc>
      </w:tr>
      <w:tr>
        <w:trPr>
          <w:trHeight w:val="479" w:hRule="atLeast"/>
        </w:trPr>
        <w:tc>
          <w:tcPr>
            <w:tcW w:w="11684" w:type="dxa"/>
            <w:tcBorders>
              <w:top w:val="single" w:sz="18" w:space="0" w:color="000000"/>
              <w:bottom w:val="single" w:sz="18" w:space="0" w:color="000000"/>
              <w:right w:val="single" w:sz="18" w:space="0" w:color="000000"/>
            </w:tcBorders>
            <w:shd w:val="clear" w:color="auto" w:fill="CCFFCC"/>
          </w:tcPr>
          <w:p>
            <w:pPr>
              <w:pStyle w:val="TableParagraph"/>
              <w:spacing w:before="91"/>
              <w:ind w:left="49"/>
              <w:rPr>
                <w:rFonts w:ascii="Arial"/>
                <w:b/>
                <w:sz w:val="25"/>
              </w:rPr>
            </w:pPr>
            <w:r>
              <w:rPr>
                <w:rFonts w:ascii="Arial"/>
                <w:b/>
                <w:sz w:val="25"/>
              </w:rPr>
              <w:t>Medstrom</w:t>
            </w:r>
            <w:r>
              <w:rPr>
                <w:rFonts w:ascii="Arial"/>
                <w:b/>
                <w:spacing w:val="-25"/>
                <w:sz w:val="25"/>
              </w:rPr>
              <w:t> </w:t>
            </w:r>
            <w:r>
              <w:rPr>
                <w:rFonts w:ascii="Arial"/>
                <w:b/>
                <w:sz w:val="25"/>
              </w:rPr>
              <w:t>Electric</w:t>
            </w:r>
            <w:r>
              <w:rPr>
                <w:rFonts w:ascii="Arial"/>
                <w:b/>
                <w:spacing w:val="-8"/>
                <w:sz w:val="25"/>
              </w:rPr>
              <w:t> </w:t>
            </w:r>
            <w:r>
              <w:rPr>
                <w:rFonts w:ascii="Arial"/>
                <w:b/>
                <w:sz w:val="25"/>
              </w:rPr>
              <w:t>(with</w:t>
            </w:r>
            <w:r>
              <w:rPr>
                <w:rFonts w:ascii="Arial"/>
                <w:b/>
                <w:spacing w:val="-5"/>
                <w:sz w:val="25"/>
              </w:rPr>
              <w:t> </w:t>
            </w:r>
            <w:r>
              <w:rPr>
                <w:rFonts w:ascii="Arial"/>
                <w:b/>
                <w:sz w:val="25"/>
              </w:rPr>
              <w:t>foam</w:t>
            </w:r>
            <w:r>
              <w:rPr>
                <w:rFonts w:ascii="Arial"/>
                <w:b/>
                <w:spacing w:val="-24"/>
                <w:sz w:val="25"/>
              </w:rPr>
              <w:t> </w:t>
            </w:r>
            <w:r>
              <w:rPr>
                <w:rFonts w:ascii="Arial"/>
                <w:b/>
                <w:sz w:val="25"/>
              </w:rPr>
              <w:t>mattress)</w:t>
            </w:r>
            <w:r>
              <w:rPr>
                <w:rFonts w:ascii="Arial"/>
                <w:b/>
                <w:spacing w:val="-2"/>
                <w:sz w:val="25"/>
              </w:rPr>
              <w:t> </w:t>
            </w:r>
            <w:r>
              <w:rPr>
                <w:rFonts w:ascii="Arial"/>
                <w:b/>
                <w:sz w:val="25"/>
              </w:rPr>
              <w:t>-</w:t>
            </w:r>
            <w:r>
              <w:rPr>
                <w:rFonts w:ascii="Arial"/>
                <w:b/>
                <w:spacing w:val="-2"/>
                <w:sz w:val="25"/>
              </w:rPr>
              <w:t> Xpress</w:t>
            </w:r>
          </w:p>
        </w:tc>
        <w:tc>
          <w:tcPr>
            <w:tcW w:w="1474" w:type="dxa"/>
            <w:tcBorders>
              <w:top w:val="single" w:sz="18" w:space="0" w:color="000000"/>
              <w:left w:val="single" w:sz="18" w:space="0" w:color="000000"/>
              <w:bottom w:val="single" w:sz="18" w:space="0" w:color="000000"/>
              <w:right w:val="single" w:sz="18" w:space="0" w:color="000000"/>
            </w:tcBorders>
            <w:shd w:val="clear" w:color="auto" w:fill="CCFFCC"/>
          </w:tcPr>
          <w:p>
            <w:pPr>
              <w:pStyle w:val="TableParagraph"/>
              <w:spacing w:before="91"/>
              <w:ind w:right="-15"/>
              <w:jc w:val="right"/>
              <w:rPr>
                <w:rFonts w:ascii="Arial"/>
                <w:b/>
                <w:sz w:val="25"/>
              </w:rPr>
            </w:pPr>
            <w:r>
              <w:rPr>
                <w:rFonts w:ascii="Arial"/>
                <w:b/>
                <w:spacing w:val="-5"/>
                <w:sz w:val="25"/>
              </w:rPr>
              <w:t>944</w:t>
            </w:r>
          </w:p>
        </w:tc>
        <w:tc>
          <w:tcPr>
            <w:tcW w:w="1830" w:type="dxa"/>
            <w:tcBorders>
              <w:top w:val="single" w:sz="18" w:space="0" w:color="000000"/>
              <w:left w:val="single" w:sz="18" w:space="0" w:color="000000"/>
              <w:bottom w:val="single" w:sz="18" w:space="0" w:color="000000"/>
              <w:right w:val="single" w:sz="18" w:space="0" w:color="000000"/>
            </w:tcBorders>
            <w:shd w:val="clear" w:color="auto" w:fill="CCFFCC"/>
          </w:tcPr>
          <w:p>
            <w:pPr>
              <w:pStyle w:val="TableParagraph"/>
              <w:spacing w:before="91"/>
              <w:ind w:right="-15"/>
              <w:jc w:val="right"/>
              <w:rPr>
                <w:rFonts w:ascii="Arial"/>
                <w:b/>
                <w:sz w:val="25"/>
              </w:rPr>
            </w:pPr>
            <w:r>
              <w:rPr>
                <w:rFonts w:ascii="Arial"/>
                <w:b/>
                <w:spacing w:val="-5"/>
                <w:sz w:val="25"/>
              </w:rPr>
              <w:t>944</w:t>
            </w:r>
          </w:p>
        </w:tc>
      </w:tr>
      <w:tr>
        <w:trPr>
          <w:trHeight w:val="491" w:hRule="atLeast"/>
        </w:trPr>
        <w:tc>
          <w:tcPr>
            <w:tcW w:w="11684" w:type="dxa"/>
            <w:tcBorders>
              <w:top w:val="single" w:sz="18" w:space="0" w:color="000000"/>
              <w:bottom w:val="single" w:sz="12" w:space="0" w:color="000000"/>
              <w:right w:val="single" w:sz="18" w:space="0" w:color="000000"/>
            </w:tcBorders>
          </w:tcPr>
          <w:p>
            <w:pPr>
              <w:pStyle w:val="TableParagraph"/>
              <w:spacing w:before="108"/>
              <w:ind w:left="49"/>
              <w:rPr>
                <w:rFonts w:ascii="Arial"/>
                <w:sz w:val="25"/>
              </w:rPr>
            </w:pPr>
            <w:r>
              <w:rPr>
                <w:rFonts w:ascii="Arial"/>
                <w:sz w:val="25"/>
              </w:rPr>
              <w:t>Pembrokeshire</w:t>
            </w:r>
            <w:r>
              <w:rPr>
                <w:rFonts w:ascii="Arial"/>
                <w:spacing w:val="45"/>
                <w:sz w:val="25"/>
              </w:rPr>
              <w:t> </w:t>
            </w:r>
            <w:r>
              <w:rPr>
                <w:rFonts w:ascii="Arial"/>
                <w:spacing w:val="-5"/>
                <w:sz w:val="25"/>
              </w:rPr>
              <w:t>CES</w:t>
            </w:r>
          </w:p>
        </w:tc>
        <w:tc>
          <w:tcPr>
            <w:tcW w:w="1474" w:type="dxa"/>
            <w:tcBorders>
              <w:top w:val="single" w:sz="18"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60</w:t>
            </w:r>
          </w:p>
        </w:tc>
        <w:tc>
          <w:tcPr>
            <w:tcW w:w="1830" w:type="dxa"/>
            <w:tcBorders>
              <w:top w:val="single" w:sz="18"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w w:val="101"/>
                <w:sz w:val="25"/>
              </w:rPr>
              <w:t>0</w:t>
            </w:r>
          </w:p>
        </w:tc>
      </w:tr>
      <w:tr>
        <w:trPr>
          <w:trHeight w:val="494" w:hRule="atLeast"/>
        </w:trPr>
        <w:tc>
          <w:tcPr>
            <w:tcW w:w="11684" w:type="dxa"/>
            <w:tcBorders>
              <w:top w:val="single" w:sz="12" w:space="0" w:color="000000"/>
              <w:bottom w:val="single" w:sz="12" w:space="0" w:color="000000"/>
              <w:right w:val="single" w:sz="18" w:space="0" w:color="000000"/>
            </w:tcBorders>
          </w:tcPr>
          <w:p>
            <w:pPr>
              <w:pStyle w:val="TableParagraph"/>
              <w:spacing w:before="111"/>
              <w:ind w:left="49"/>
              <w:rPr>
                <w:rFonts w:ascii="Arial"/>
                <w:sz w:val="25"/>
              </w:rPr>
            </w:pPr>
            <w:r>
              <w:rPr>
                <w:rFonts w:ascii="Arial"/>
                <w:sz w:val="25"/>
              </w:rPr>
              <w:t>North</w:t>
            </w:r>
            <w:r>
              <w:rPr>
                <w:rFonts w:ascii="Arial"/>
                <w:spacing w:val="-15"/>
                <w:sz w:val="25"/>
              </w:rPr>
              <w:t> </w:t>
            </w:r>
            <w:r>
              <w:rPr>
                <w:rFonts w:ascii="Arial"/>
                <w:sz w:val="25"/>
              </w:rPr>
              <w:t>East</w:t>
            </w:r>
            <w:r>
              <w:rPr>
                <w:rFonts w:ascii="Arial"/>
                <w:spacing w:val="-11"/>
                <w:sz w:val="25"/>
              </w:rPr>
              <w:t> </w:t>
            </w:r>
            <w:r>
              <w:rPr>
                <w:rFonts w:ascii="Arial"/>
                <w:sz w:val="25"/>
              </w:rPr>
              <w:t>Wales</w:t>
            </w:r>
            <w:r>
              <w:rPr>
                <w:rFonts w:ascii="Arial"/>
                <w:spacing w:val="-1"/>
                <w:sz w:val="25"/>
              </w:rPr>
              <w:t> </w:t>
            </w:r>
            <w:r>
              <w:rPr>
                <w:rFonts w:ascii="Arial"/>
                <w:sz w:val="25"/>
              </w:rPr>
              <w:t>Community</w:t>
            </w:r>
            <w:r>
              <w:rPr>
                <w:rFonts w:ascii="Arial"/>
                <w:spacing w:val="-17"/>
                <w:sz w:val="25"/>
              </w:rPr>
              <w:t> </w:t>
            </w:r>
            <w:r>
              <w:rPr>
                <w:rFonts w:ascii="Arial"/>
                <w:sz w:val="25"/>
              </w:rPr>
              <w:t>Equipment</w:t>
            </w:r>
            <w:r>
              <w:rPr>
                <w:rFonts w:ascii="Arial"/>
                <w:spacing w:val="-11"/>
                <w:sz w:val="25"/>
              </w:rPr>
              <w:t> </w:t>
            </w:r>
            <w:r>
              <w:rPr>
                <w:rFonts w:ascii="Arial"/>
                <w:sz w:val="25"/>
              </w:rPr>
              <w:t>Service</w:t>
            </w:r>
            <w:r>
              <w:rPr>
                <w:rFonts w:ascii="Arial"/>
                <w:spacing w:val="46"/>
                <w:sz w:val="25"/>
              </w:rPr>
              <w:t> </w:t>
            </w:r>
            <w:r>
              <w:rPr>
                <w:rFonts w:ascii="Arial"/>
                <w:sz w:val="25"/>
              </w:rPr>
              <w:t>-</w:t>
            </w:r>
            <w:r>
              <w:rPr>
                <w:rFonts w:ascii="Arial"/>
                <w:spacing w:val="-9"/>
                <w:sz w:val="25"/>
              </w:rPr>
              <w:t> </w:t>
            </w:r>
            <w:r>
              <w:rPr>
                <w:rFonts w:ascii="Arial"/>
                <w:sz w:val="25"/>
              </w:rPr>
              <w:t>Flintshire</w:t>
            </w:r>
            <w:r>
              <w:rPr>
                <w:rFonts w:ascii="Arial"/>
                <w:spacing w:val="-14"/>
                <w:sz w:val="25"/>
              </w:rPr>
              <w:t> </w:t>
            </w:r>
            <w:r>
              <w:rPr>
                <w:rFonts w:ascii="Arial"/>
                <w:sz w:val="25"/>
              </w:rPr>
              <w:t>County</w:t>
            </w:r>
            <w:r>
              <w:rPr>
                <w:rFonts w:ascii="Arial"/>
                <w:spacing w:val="-17"/>
                <w:sz w:val="25"/>
              </w:rPr>
              <w:t> </w:t>
            </w:r>
            <w:r>
              <w:rPr>
                <w:rFonts w:ascii="Arial"/>
                <w:sz w:val="25"/>
              </w:rPr>
              <w:t>Council</w:t>
            </w:r>
            <w:r>
              <w:rPr>
                <w:rFonts w:ascii="Arial"/>
                <w:spacing w:val="-14"/>
                <w:sz w:val="25"/>
              </w:rPr>
              <w:t> </w:t>
            </w:r>
            <w:r>
              <w:rPr>
                <w:rFonts w:ascii="Arial"/>
                <w:sz w:val="25"/>
              </w:rPr>
              <w:t>-</w:t>
            </w:r>
            <w:r>
              <w:rPr>
                <w:rFonts w:ascii="Arial"/>
                <w:spacing w:val="-8"/>
                <w:sz w:val="25"/>
              </w:rPr>
              <w:t> </w:t>
            </w:r>
            <w:r>
              <w:rPr>
                <w:rFonts w:ascii="Arial"/>
                <w:sz w:val="25"/>
              </w:rPr>
              <w:t>CAR1000</w:t>
            </w:r>
            <w:r>
              <w:rPr>
                <w:rFonts w:ascii="Arial"/>
                <w:spacing w:val="-14"/>
                <w:sz w:val="25"/>
              </w:rPr>
              <w:t> </w:t>
            </w:r>
            <w:r>
              <w:rPr>
                <w:rFonts w:ascii="Arial"/>
                <w:sz w:val="25"/>
              </w:rPr>
              <w:t>(Low</w:t>
            </w:r>
            <w:r>
              <w:rPr>
                <w:rFonts w:ascii="Arial"/>
                <w:spacing w:val="-6"/>
                <w:sz w:val="25"/>
              </w:rPr>
              <w:t> </w:t>
            </w:r>
            <w:r>
              <w:rPr>
                <w:rFonts w:ascii="Arial"/>
                <w:spacing w:val="-2"/>
                <w:sz w:val="25"/>
              </w:rPr>
              <w:t>Height)</w:t>
            </w:r>
          </w:p>
        </w:tc>
        <w:tc>
          <w:tcPr>
            <w:tcW w:w="1474" w:type="dxa"/>
            <w:tcBorders>
              <w:top w:val="single" w:sz="12" w:space="0" w:color="000000"/>
              <w:left w:val="single" w:sz="18" w:space="0" w:color="000000"/>
              <w:bottom w:val="single" w:sz="12" w:space="0" w:color="000000"/>
              <w:right w:val="single" w:sz="18" w:space="0" w:color="000000"/>
            </w:tcBorders>
          </w:tcPr>
          <w:p>
            <w:pPr>
              <w:pStyle w:val="TableParagraph"/>
              <w:spacing w:before="111"/>
              <w:ind w:right="-15"/>
              <w:jc w:val="right"/>
              <w:rPr>
                <w:rFonts w:ascii="Arial"/>
                <w:sz w:val="25"/>
              </w:rPr>
            </w:pPr>
            <w:r>
              <w:rPr>
                <w:rFonts w:ascii="Arial"/>
                <w:sz w:val="25"/>
              </w:rPr>
              <w:t>-</w:t>
            </w:r>
            <w:r>
              <w:rPr>
                <w:rFonts w:ascii="Arial"/>
                <w:spacing w:val="-5"/>
                <w:sz w:val="25"/>
              </w:rPr>
              <w:t>30</w:t>
            </w:r>
          </w:p>
        </w:tc>
        <w:tc>
          <w:tcPr>
            <w:tcW w:w="1830" w:type="dxa"/>
            <w:tcBorders>
              <w:top w:val="single" w:sz="12" w:space="0" w:color="000000"/>
              <w:left w:val="single" w:sz="18" w:space="0" w:color="000000"/>
              <w:bottom w:val="single" w:sz="12" w:space="0" w:color="000000"/>
              <w:right w:val="single" w:sz="18" w:space="0" w:color="000000"/>
            </w:tcBorders>
          </w:tcPr>
          <w:p>
            <w:pPr>
              <w:pStyle w:val="TableParagraph"/>
              <w:spacing w:before="111"/>
              <w:ind w:right="-15"/>
              <w:jc w:val="right"/>
              <w:rPr>
                <w:rFonts w:ascii="Arial"/>
                <w:sz w:val="25"/>
              </w:rPr>
            </w:pPr>
            <w:r>
              <w:rPr>
                <w:rFonts w:ascii="Arial"/>
                <w:sz w:val="25"/>
              </w:rPr>
              <w:t>-</w:t>
            </w:r>
            <w:r>
              <w:rPr>
                <w:rFonts w:ascii="Arial"/>
                <w:spacing w:val="-5"/>
                <w:sz w:val="25"/>
              </w:rPr>
              <w:t>30</w:t>
            </w:r>
          </w:p>
        </w:tc>
      </w:tr>
      <w:tr>
        <w:trPr>
          <w:trHeight w:val="494" w:hRule="atLeast"/>
        </w:trPr>
        <w:tc>
          <w:tcPr>
            <w:tcW w:w="11684" w:type="dxa"/>
            <w:tcBorders>
              <w:top w:val="single" w:sz="12" w:space="0" w:color="000000"/>
              <w:bottom w:val="single" w:sz="12" w:space="0" w:color="000000"/>
              <w:right w:val="single" w:sz="18" w:space="0" w:color="000000"/>
            </w:tcBorders>
          </w:tcPr>
          <w:p>
            <w:pPr>
              <w:pStyle w:val="TableParagraph"/>
              <w:spacing w:before="111"/>
              <w:ind w:left="49"/>
              <w:rPr>
                <w:rFonts w:ascii="Arial"/>
                <w:sz w:val="25"/>
              </w:rPr>
            </w:pPr>
            <w:r>
              <w:rPr>
                <w:rFonts w:ascii="Arial"/>
                <w:sz w:val="25"/>
              </w:rPr>
              <w:t>North</w:t>
            </w:r>
            <w:r>
              <w:rPr>
                <w:rFonts w:ascii="Arial"/>
                <w:spacing w:val="-12"/>
                <w:sz w:val="25"/>
              </w:rPr>
              <w:t> </w:t>
            </w:r>
            <w:r>
              <w:rPr>
                <w:rFonts w:ascii="Arial"/>
                <w:sz w:val="25"/>
              </w:rPr>
              <w:t>West</w:t>
            </w:r>
            <w:r>
              <w:rPr>
                <w:rFonts w:ascii="Arial"/>
                <w:spacing w:val="-8"/>
                <w:sz w:val="25"/>
              </w:rPr>
              <w:t> </w:t>
            </w:r>
            <w:r>
              <w:rPr>
                <w:rFonts w:ascii="Arial"/>
                <w:sz w:val="25"/>
              </w:rPr>
              <w:t>Wales</w:t>
            </w:r>
            <w:r>
              <w:rPr>
                <w:rFonts w:ascii="Arial"/>
                <w:spacing w:val="2"/>
                <w:sz w:val="25"/>
              </w:rPr>
              <w:t> </w:t>
            </w:r>
            <w:r>
              <w:rPr>
                <w:rFonts w:ascii="Arial"/>
                <w:sz w:val="25"/>
              </w:rPr>
              <w:t>Community</w:t>
            </w:r>
            <w:r>
              <w:rPr>
                <w:rFonts w:ascii="Arial"/>
                <w:spacing w:val="-13"/>
                <w:sz w:val="25"/>
              </w:rPr>
              <w:t> </w:t>
            </w:r>
            <w:r>
              <w:rPr>
                <w:rFonts w:ascii="Arial"/>
                <w:sz w:val="25"/>
              </w:rPr>
              <w:t>Equipment</w:t>
            </w:r>
            <w:r>
              <w:rPr>
                <w:rFonts w:ascii="Arial"/>
                <w:spacing w:val="-9"/>
                <w:sz w:val="25"/>
              </w:rPr>
              <w:t> </w:t>
            </w:r>
            <w:r>
              <w:rPr>
                <w:rFonts w:ascii="Arial"/>
                <w:sz w:val="25"/>
              </w:rPr>
              <w:t>Services</w:t>
            </w:r>
            <w:r>
              <w:rPr>
                <w:rFonts w:ascii="Arial"/>
                <w:spacing w:val="67"/>
                <w:sz w:val="25"/>
              </w:rPr>
              <w:t> </w:t>
            </w:r>
            <w:r>
              <w:rPr>
                <w:rFonts w:ascii="Arial"/>
                <w:sz w:val="25"/>
              </w:rPr>
              <w:t>-</w:t>
            </w:r>
            <w:r>
              <w:rPr>
                <w:rFonts w:ascii="Arial"/>
                <w:spacing w:val="-5"/>
                <w:sz w:val="25"/>
              </w:rPr>
              <w:t> </w:t>
            </w:r>
            <w:r>
              <w:rPr>
                <w:rFonts w:ascii="Arial"/>
                <w:sz w:val="25"/>
              </w:rPr>
              <w:t>Betsi</w:t>
            </w:r>
            <w:r>
              <w:rPr>
                <w:rFonts w:ascii="Arial"/>
                <w:spacing w:val="-11"/>
                <w:sz w:val="25"/>
              </w:rPr>
              <w:t> </w:t>
            </w:r>
            <w:r>
              <w:rPr>
                <w:rFonts w:ascii="Arial"/>
                <w:sz w:val="25"/>
              </w:rPr>
              <w:t>-</w:t>
            </w:r>
            <w:r>
              <w:rPr>
                <w:rFonts w:ascii="Arial"/>
                <w:spacing w:val="-6"/>
                <w:sz w:val="25"/>
              </w:rPr>
              <w:t> </w:t>
            </w:r>
            <w:r>
              <w:rPr>
                <w:rFonts w:ascii="Arial"/>
                <w:sz w:val="25"/>
              </w:rPr>
              <w:t>CAR1000</w:t>
            </w:r>
            <w:r>
              <w:rPr>
                <w:rFonts w:ascii="Arial"/>
                <w:spacing w:val="-11"/>
                <w:sz w:val="25"/>
              </w:rPr>
              <w:t> </w:t>
            </w:r>
            <w:r>
              <w:rPr>
                <w:rFonts w:ascii="Arial"/>
                <w:sz w:val="25"/>
              </w:rPr>
              <w:t>(Low</w:t>
            </w:r>
            <w:r>
              <w:rPr>
                <w:rFonts w:ascii="Arial"/>
                <w:spacing w:val="-2"/>
                <w:sz w:val="25"/>
              </w:rPr>
              <w:t> Height)</w:t>
            </w:r>
          </w:p>
        </w:tc>
        <w:tc>
          <w:tcPr>
            <w:tcW w:w="1474" w:type="dxa"/>
            <w:tcBorders>
              <w:top w:val="single" w:sz="12" w:space="0" w:color="000000"/>
              <w:left w:val="single" w:sz="18" w:space="0" w:color="000000"/>
              <w:bottom w:val="single" w:sz="12" w:space="0" w:color="000000"/>
              <w:right w:val="single" w:sz="18" w:space="0" w:color="000000"/>
            </w:tcBorders>
          </w:tcPr>
          <w:p>
            <w:pPr>
              <w:pStyle w:val="TableParagraph"/>
              <w:spacing w:before="111"/>
              <w:ind w:right="-15"/>
              <w:jc w:val="right"/>
              <w:rPr>
                <w:rFonts w:ascii="Arial"/>
                <w:sz w:val="25"/>
              </w:rPr>
            </w:pPr>
            <w:r>
              <w:rPr>
                <w:rFonts w:ascii="Arial"/>
                <w:sz w:val="25"/>
              </w:rPr>
              <w:t>-</w:t>
            </w:r>
            <w:r>
              <w:rPr>
                <w:rFonts w:ascii="Arial"/>
                <w:spacing w:val="-5"/>
                <w:sz w:val="25"/>
              </w:rPr>
              <w:t>150</w:t>
            </w:r>
          </w:p>
        </w:tc>
        <w:tc>
          <w:tcPr>
            <w:tcW w:w="1830" w:type="dxa"/>
            <w:tcBorders>
              <w:top w:val="single" w:sz="12" w:space="0" w:color="000000"/>
              <w:left w:val="single" w:sz="18" w:space="0" w:color="000000"/>
              <w:bottom w:val="single" w:sz="12" w:space="0" w:color="000000"/>
              <w:right w:val="single" w:sz="18" w:space="0" w:color="000000"/>
            </w:tcBorders>
          </w:tcPr>
          <w:p>
            <w:pPr>
              <w:pStyle w:val="TableParagraph"/>
              <w:spacing w:before="111"/>
              <w:ind w:right="-15"/>
              <w:jc w:val="right"/>
              <w:rPr>
                <w:rFonts w:ascii="Arial"/>
                <w:sz w:val="25"/>
              </w:rPr>
            </w:pPr>
            <w:r>
              <w:rPr>
                <w:rFonts w:ascii="Arial"/>
                <w:sz w:val="25"/>
              </w:rPr>
              <w:t>-</w:t>
            </w:r>
            <w:r>
              <w:rPr>
                <w:rFonts w:ascii="Arial"/>
                <w:spacing w:val="-5"/>
                <w:sz w:val="25"/>
              </w:rPr>
              <w:t>150</w:t>
            </w:r>
          </w:p>
        </w:tc>
      </w:tr>
      <w:tr>
        <w:trPr>
          <w:trHeight w:val="494" w:hRule="atLeast"/>
        </w:trPr>
        <w:tc>
          <w:tcPr>
            <w:tcW w:w="11684" w:type="dxa"/>
            <w:tcBorders>
              <w:top w:val="single" w:sz="12" w:space="0" w:color="000000"/>
              <w:bottom w:val="single" w:sz="12" w:space="0" w:color="000000"/>
              <w:right w:val="single" w:sz="18" w:space="0" w:color="000000"/>
            </w:tcBorders>
          </w:tcPr>
          <w:p>
            <w:pPr>
              <w:pStyle w:val="TableParagraph"/>
              <w:spacing w:before="111"/>
              <w:ind w:left="49"/>
              <w:rPr>
                <w:rFonts w:ascii="Arial"/>
                <w:sz w:val="25"/>
              </w:rPr>
            </w:pPr>
            <w:r>
              <w:rPr>
                <w:rFonts w:ascii="Arial"/>
                <w:sz w:val="25"/>
              </w:rPr>
              <w:t>North</w:t>
            </w:r>
            <w:r>
              <w:rPr>
                <w:rFonts w:ascii="Arial"/>
                <w:spacing w:val="-12"/>
                <w:sz w:val="25"/>
              </w:rPr>
              <w:t> </w:t>
            </w:r>
            <w:r>
              <w:rPr>
                <w:rFonts w:ascii="Arial"/>
                <w:sz w:val="25"/>
              </w:rPr>
              <w:t>West</w:t>
            </w:r>
            <w:r>
              <w:rPr>
                <w:rFonts w:ascii="Arial"/>
                <w:spacing w:val="-8"/>
                <w:sz w:val="25"/>
              </w:rPr>
              <w:t> </w:t>
            </w:r>
            <w:r>
              <w:rPr>
                <w:rFonts w:ascii="Arial"/>
                <w:sz w:val="25"/>
              </w:rPr>
              <w:t>Wales</w:t>
            </w:r>
            <w:r>
              <w:rPr>
                <w:rFonts w:ascii="Arial"/>
                <w:spacing w:val="2"/>
                <w:sz w:val="25"/>
              </w:rPr>
              <w:t> </w:t>
            </w:r>
            <w:r>
              <w:rPr>
                <w:rFonts w:ascii="Arial"/>
                <w:sz w:val="25"/>
              </w:rPr>
              <w:t>Community</w:t>
            </w:r>
            <w:r>
              <w:rPr>
                <w:rFonts w:ascii="Arial"/>
                <w:spacing w:val="-13"/>
                <w:sz w:val="25"/>
              </w:rPr>
              <w:t> </w:t>
            </w:r>
            <w:r>
              <w:rPr>
                <w:rFonts w:ascii="Arial"/>
                <w:sz w:val="25"/>
              </w:rPr>
              <w:t>Equipment</w:t>
            </w:r>
            <w:r>
              <w:rPr>
                <w:rFonts w:ascii="Arial"/>
                <w:spacing w:val="-9"/>
                <w:sz w:val="25"/>
              </w:rPr>
              <w:t> </w:t>
            </w:r>
            <w:r>
              <w:rPr>
                <w:rFonts w:ascii="Arial"/>
                <w:sz w:val="25"/>
              </w:rPr>
              <w:t>Services</w:t>
            </w:r>
            <w:r>
              <w:rPr>
                <w:rFonts w:ascii="Arial"/>
                <w:spacing w:val="67"/>
                <w:sz w:val="25"/>
              </w:rPr>
              <w:t> </w:t>
            </w:r>
            <w:r>
              <w:rPr>
                <w:rFonts w:ascii="Arial"/>
                <w:sz w:val="25"/>
              </w:rPr>
              <w:t>-</w:t>
            </w:r>
            <w:r>
              <w:rPr>
                <w:rFonts w:ascii="Arial"/>
                <w:spacing w:val="-5"/>
                <w:sz w:val="25"/>
              </w:rPr>
              <w:t> </w:t>
            </w:r>
            <w:r>
              <w:rPr>
                <w:rFonts w:ascii="Arial"/>
                <w:sz w:val="25"/>
              </w:rPr>
              <w:t>Betsi</w:t>
            </w:r>
            <w:r>
              <w:rPr>
                <w:rFonts w:ascii="Arial"/>
                <w:spacing w:val="-11"/>
                <w:sz w:val="25"/>
              </w:rPr>
              <w:t> </w:t>
            </w:r>
            <w:r>
              <w:rPr>
                <w:rFonts w:ascii="Arial"/>
                <w:sz w:val="25"/>
              </w:rPr>
              <w:t>-</w:t>
            </w:r>
            <w:r>
              <w:rPr>
                <w:rFonts w:ascii="Arial"/>
                <w:spacing w:val="-6"/>
                <w:sz w:val="25"/>
              </w:rPr>
              <w:t> </w:t>
            </w:r>
            <w:r>
              <w:rPr>
                <w:rFonts w:ascii="Arial"/>
                <w:sz w:val="25"/>
              </w:rPr>
              <w:t>CAR1000</w:t>
            </w:r>
            <w:r>
              <w:rPr>
                <w:rFonts w:ascii="Arial"/>
                <w:spacing w:val="-11"/>
                <w:sz w:val="25"/>
              </w:rPr>
              <w:t> </w:t>
            </w:r>
            <w:r>
              <w:rPr>
                <w:rFonts w:ascii="Arial"/>
                <w:sz w:val="25"/>
              </w:rPr>
              <w:t>(Low</w:t>
            </w:r>
            <w:r>
              <w:rPr>
                <w:rFonts w:ascii="Arial"/>
                <w:spacing w:val="-2"/>
                <w:sz w:val="25"/>
              </w:rPr>
              <w:t> Height)</w:t>
            </w:r>
          </w:p>
        </w:tc>
        <w:tc>
          <w:tcPr>
            <w:tcW w:w="1474" w:type="dxa"/>
            <w:tcBorders>
              <w:top w:val="single" w:sz="12" w:space="0" w:color="000000"/>
              <w:left w:val="single" w:sz="18" w:space="0" w:color="000000"/>
              <w:bottom w:val="single" w:sz="12" w:space="0" w:color="000000"/>
              <w:right w:val="single" w:sz="18" w:space="0" w:color="000000"/>
            </w:tcBorders>
          </w:tcPr>
          <w:p>
            <w:pPr>
              <w:pStyle w:val="TableParagraph"/>
              <w:spacing w:before="111"/>
              <w:ind w:right="-15"/>
              <w:jc w:val="right"/>
              <w:rPr>
                <w:rFonts w:ascii="Arial"/>
                <w:sz w:val="25"/>
              </w:rPr>
            </w:pPr>
            <w:r>
              <w:rPr>
                <w:rFonts w:ascii="Arial"/>
                <w:sz w:val="25"/>
              </w:rPr>
              <w:t>-</w:t>
            </w:r>
            <w:r>
              <w:rPr>
                <w:rFonts w:ascii="Arial"/>
                <w:spacing w:val="-5"/>
                <w:sz w:val="25"/>
              </w:rPr>
              <w:t>100</w:t>
            </w:r>
          </w:p>
        </w:tc>
        <w:tc>
          <w:tcPr>
            <w:tcW w:w="1830" w:type="dxa"/>
            <w:tcBorders>
              <w:top w:val="single" w:sz="12" w:space="0" w:color="000000"/>
              <w:left w:val="single" w:sz="18" w:space="0" w:color="000000"/>
              <w:bottom w:val="single" w:sz="12" w:space="0" w:color="000000"/>
              <w:right w:val="single" w:sz="18" w:space="0" w:color="000000"/>
            </w:tcBorders>
          </w:tcPr>
          <w:p>
            <w:pPr>
              <w:pStyle w:val="TableParagraph"/>
              <w:spacing w:before="111"/>
              <w:ind w:right="-15"/>
              <w:jc w:val="right"/>
              <w:rPr>
                <w:rFonts w:ascii="Arial"/>
                <w:sz w:val="25"/>
              </w:rPr>
            </w:pPr>
            <w:r>
              <w:rPr>
                <w:rFonts w:ascii="Arial"/>
                <w:sz w:val="25"/>
              </w:rPr>
              <w:t>-</w:t>
            </w:r>
            <w:r>
              <w:rPr>
                <w:rFonts w:ascii="Arial"/>
                <w:spacing w:val="-5"/>
                <w:sz w:val="25"/>
              </w:rPr>
              <w:t>100</w:t>
            </w:r>
          </w:p>
        </w:tc>
      </w:tr>
      <w:tr>
        <w:trPr>
          <w:trHeight w:val="494" w:hRule="atLeast"/>
        </w:trPr>
        <w:tc>
          <w:tcPr>
            <w:tcW w:w="11684" w:type="dxa"/>
            <w:tcBorders>
              <w:top w:val="single" w:sz="12" w:space="0" w:color="000000"/>
              <w:bottom w:val="single" w:sz="12" w:space="0" w:color="000000"/>
              <w:right w:val="single" w:sz="18" w:space="0" w:color="000000"/>
            </w:tcBorders>
          </w:tcPr>
          <w:p>
            <w:pPr>
              <w:pStyle w:val="TableParagraph"/>
              <w:spacing w:before="111"/>
              <w:ind w:left="49"/>
              <w:rPr>
                <w:rFonts w:ascii="Arial"/>
                <w:sz w:val="25"/>
              </w:rPr>
            </w:pPr>
            <w:r>
              <w:rPr>
                <w:rFonts w:ascii="Arial"/>
                <w:spacing w:val="-2"/>
                <w:sz w:val="25"/>
              </w:rPr>
              <w:t>Ael-Y-Bryn</w:t>
            </w:r>
            <w:r>
              <w:rPr>
                <w:rFonts w:ascii="Arial"/>
                <w:spacing w:val="-4"/>
                <w:sz w:val="25"/>
              </w:rPr>
              <w:t> </w:t>
            </w:r>
            <w:r>
              <w:rPr>
                <w:rFonts w:ascii="Arial"/>
                <w:spacing w:val="-2"/>
                <w:sz w:val="25"/>
              </w:rPr>
              <w:t>Emergency</w:t>
            </w:r>
            <w:r>
              <w:rPr>
                <w:rFonts w:ascii="Arial"/>
                <w:spacing w:val="-6"/>
                <w:sz w:val="25"/>
              </w:rPr>
              <w:t> </w:t>
            </w:r>
            <w:r>
              <w:rPr>
                <w:rFonts w:ascii="Arial"/>
                <w:spacing w:val="-2"/>
                <w:sz w:val="25"/>
              </w:rPr>
              <w:t>Accommodation</w:t>
            </w:r>
            <w:r>
              <w:rPr>
                <w:rFonts w:ascii="Arial"/>
                <w:spacing w:val="-3"/>
                <w:sz w:val="25"/>
              </w:rPr>
              <w:t> </w:t>
            </w:r>
            <w:r>
              <w:rPr>
                <w:rFonts w:ascii="Arial"/>
                <w:spacing w:val="-2"/>
                <w:sz w:val="25"/>
              </w:rPr>
              <w:t>Bridgend</w:t>
            </w:r>
          </w:p>
        </w:tc>
        <w:tc>
          <w:tcPr>
            <w:tcW w:w="1474" w:type="dxa"/>
            <w:tcBorders>
              <w:top w:val="single" w:sz="12" w:space="0" w:color="000000"/>
              <w:left w:val="single" w:sz="18" w:space="0" w:color="000000"/>
              <w:bottom w:val="single" w:sz="12" w:space="0" w:color="000000"/>
              <w:right w:val="single" w:sz="18" w:space="0" w:color="000000"/>
            </w:tcBorders>
          </w:tcPr>
          <w:p>
            <w:pPr>
              <w:pStyle w:val="TableParagraph"/>
              <w:spacing w:before="111"/>
              <w:ind w:right="-15"/>
              <w:jc w:val="right"/>
              <w:rPr>
                <w:rFonts w:ascii="Arial"/>
                <w:sz w:val="25"/>
              </w:rPr>
            </w:pPr>
            <w:r>
              <w:rPr>
                <w:rFonts w:ascii="Arial"/>
                <w:sz w:val="25"/>
              </w:rPr>
              <w:t>-</w:t>
            </w:r>
            <w:r>
              <w:rPr>
                <w:rFonts w:ascii="Arial"/>
                <w:spacing w:val="-10"/>
                <w:sz w:val="25"/>
              </w:rPr>
              <w:t>1</w:t>
            </w:r>
          </w:p>
        </w:tc>
        <w:tc>
          <w:tcPr>
            <w:tcW w:w="1830" w:type="dxa"/>
            <w:tcBorders>
              <w:top w:val="single" w:sz="12" w:space="0" w:color="000000"/>
              <w:left w:val="single" w:sz="18" w:space="0" w:color="000000"/>
              <w:bottom w:val="single" w:sz="12" w:space="0" w:color="000000"/>
              <w:right w:val="single" w:sz="18" w:space="0" w:color="000000"/>
            </w:tcBorders>
          </w:tcPr>
          <w:p>
            <w:pPr>
              <w:pStyle w:val="TableParagraph"/>
              <w:spacing w:before="111"/>
              <w:ind w:right="-15"/>
              <w:jc w:val="right"/>
              <w:rPr>
                <w:rFonts w:ascii="Arial"/>
                <w:sz w:val="25"/>
              </w:rPr>
            </w:pPr>
            <w:r>
              <w:rPr>
                <w:rFonts w:ascii="Arial"/>
                <w:sz w:val="25"/>
              </w:rPr>
              <w:t>-</w:t>
            </w:r>
            <w:r>
              <w:rPr>
                <w:rFonts w:ascii="Arial"/>
                <w:spacing w:val="-10"/>
                <w:sz w:val="25"/>
              </w:rPr>
              <w:t>1</w:t>
            </w:r>
          </w:p>
        </w:tc>
      </w:tr>
      <w:tr>
        <w:trPr>
          <w:trHeight w:val="494" w:hRule="atLeast"/>
        </w:trPr>
        <w:tc>
          <w:tcPr>
            <w:tcW w:w="11684" w:type="dxa"/>
            <w:tcBorders>
              <w:top w:val="single" w:sz="12" w:space="0" w:color="000000"/>
              <w:bottom w:val="single" w:sz="12" w:space="0" w:color="000000"/>
              <w:right w:val="single" w:sz="18" w:space="0" w:color="000000"/>
            </w:tcBorders>
          </w:tcPr>
          <w:p>
            <w:pPr>
              <w:pStyle w:val="TableParagraph"/>
              <w:spacing w:before="111"/>
              <w:ind w:left="49"/>
              <w:rPr>
                <w:rFonts w:ascii="Arial"/>
                <w:sz w:val="25"/>
              </w:rPr>
            </w:pPr>
            <w:r>
              <w:rPr>
                <w:rFonts w:ascii="Arial"/>
                <w:sz w:val="25"/>
              </w:rPr>
              <w:t>Various</w:t>
            </w:r>
            <w:r>
              <w:rPr>
                <w:rFonts w:ascii="Arial"/>
                <w:spacing w:val="-4"/>
                <w:sz w:val="25"/>
              </w:rPr>
              <w:t> </w:t>
            </w:r>
            <w:r>
              <w:rPr>
                <w:rFonts w:ascii="Arial"/>
                <w:sz w:val="25"/>
              </w:rPr>
              <w:t>Care</w:t>
            </w:r>
            <w:r>
              <w:rPr>
                <w:rFonts w:ascii="Arial"/>
                <w:spacing w:val="-15"/>
                <w:sz w:val="25"/>
              </w:rPr>
              <w:t> </w:t>
            </w:r>
            <w:r>
              <w:rPr>
                <w:rFonts w:ascii="Arial"/>
                <w:sz w:val="25"/>
              </w:rPr>
              <w:t>Homes</w:t>
            </w:r>
            <w:r>
              <w:rPr>
                <w:rFonts w:ascii="Arial"/>
                <w:spacing w:val="56"/>
                <w:sz w:val="25"/>
              </w:rPr>
              <w:t> </w:t>
            </w:r>
            <w:r>
              <w:rPr>
                <w:rFonts w:ascii="Arial"/>
                <w:sz w:val="25"/>
              </w:rPr>
              <w:t>-</w:t>
            </w:r>
            <w:r>
              <w:rPr>
                <w:rFonts w:ascii="Arial"/>
                <w:spacing w:val="-10"/>
                <w:sz w:val="25"/>
              </w:rPr>
              <w:t> </w:t>
            </w:r>
            <w:r>
              <w:rPr>
                <w:rFonts w:ascii="Arial"/>
                <w:spacing w:val="-2"/>
                <w:sz w:val="25"/>
              </w:rPr>
              <w:t>Newport</w:t>
            </w:r>
          </w:p>
        </w:tc>
        <w:tc>
          <w:tcPr>
            <w:tcW w:w="1474" w:type="dxa"/>
            <w:tcBorders>
              <w:top w:val="single" w:sz="12" w:space="0" w:color="000000"/>
              <w:left w:val="single" w:sz="18" w:space="0" w:color="000000"/>
              <w:bottom w:val="single" w:sz="12" w:space="0" w:color="000000"/>
              <w:right w:val="single" w:sz="18" w:space="0" w:color="000000"/>
            </w:tcBorders>
          </w:tcPr>
          <w:p>
            <w:pPr>
              <w:pStyle w:val="TableParagraph"/>
              <w:spacing w:before="111"/>
              <w:ind w:right="-15"/>
              <w:jc w:val="right"/>
              <w:rPr>
                <w:rFonts w:ascii="Arial"/>
                <w:sz w:val="25"/>
              </w:rPr>
            </w:pPr>
            <w:r>
              <w:rPr>
                <w:rFonts w:ascii="Arial"/>
                <w:sz w:val="25"/>
              </w:rPr>
              <w:t>-</w:t>
            </w:r>
            <w:r>
              <w:rPr>
                <w:rFonts w:ascii="Arial"/>
                <w:spacing w:val="-5"/>
                <w:sz w:val="25"/>
              </w:rPr>
              <w:t>57</w:t>
            </w:r>
          </w:p>
        </w:tc>
        <w:tc>
          <w:tcPr>
            <w:tcW w:w="1830" w:type="dxa"/>
            <w:tcBorders>
              <w:top w:val="single" w:sz="12" w:space="0" w:color="000000"/>
              <w:left w:val="single" w:sz="18" w:space="0" w:color="000000"/>
              <w:bottom w:val="single" w:sz="12" w:space="0" w:color="000000"/>
              <w:right w:val="single" w:sz="18" w:space="0" w:color="000000"/>
            </w:tcBorders>
          </w:tcPr>
          <w:p>
            <w:pPr>
              <w:pStyle w:val="TableParagraph"/>
              <w:spacing w:before="111"/>
              <w:ind w:right="-15"/>
              <w:jc w:val="right"/>
              <w:rPr>
                <w:rFonts w:ascii="Arial"/>
                <w:sz w:val="25"/>
              </w:rPr>
            </w:pPr>
            <w:r>
              <w:rPr>
                <w:rFonts w:ascii="Arial"/>
                <w:sz w:val="25"/>
              </w:rPr>
              <w:t>-</w:t>
            </w:r>
            <w:r>
              <w:rPr>
                <w:rFonts w:ascii="Arial"/>
                <w:spacing w:val="-5"/>
                <w:sz w:val="25"/>
              </w:rPr>
              <w:t>59</w:t>
            </w:r>
          </w:p>
        </w:tc>
      </w:tr>
      <w:tr>
        <w:trPr>
          <w:trHeight w:val="494" w:hRule="atLeast"/>
        </w:trPr>
        <w:tc>
          <w:tcPr>
            <w:tcW w:w="11684" w:type="dxa"/>
            <w:tcBorders>
              <w:top w:val="single" w:sz="12" w:space="0" w:color="000000"/>
              <w:bottom w:val="single" w:sz="12" w:space="0" w:color="000000"/>
              <w:right w:val="single" w:sz="18" w:space="0" w:color="000000"/>
            </w:tcBorders>
          </w:tcPr>
          <w:p>
            <w:pPr>
              <w:pStyle w:val="TableParagraph"/>
              <w:spacing w:before="111"/>
              <w:ind w:left="49"/>
              <w:rPr>
                <w:rFonts w:ascii="Arial"/>
                <w:sz w:val="25"/>
              </w:rPr>
            </w:pPr>
            <w:r>
              <w:rPr>
                <w:rFonts w:ascii="Arial"/>
                <w:sz w:val="25"/>
              </w:rPr>
              <w:t>Camarthenshire</w:t>
            </w:r>
            <w:r>
              <w:rPr>
                <w:rFonts w:ascii="Arial"/>
                <w:spacing w:val="-18"/>
                <w:sz w:val="25"/>
              </w:rPr>
              <w:t> </w:t>
            </w:r>
            <w:r>
              <w:rPr>
                <w:rFonts w:ascii="Arial"/>
                <w:spacing w:val="-2"/>
                <w:sz w:val="25"/>
              </w:rPr>
              <w:t>Council</w:t>
            </w:r>
          </w:p>
        </w:tc>
        <w:tc>
          <w:tcPr>
            <w:tcW w:w="1474" w:type="dxa"/>
            <w:tcBorders>
              <w:top w:val="single" w:sz="12" w:space="0" w:color="000000"/>
              <w:left w:val="single" w:sz="18" w:space="0" w:color="000000"/>
              <w:bottom w:val="single" w:sz="12" w:space="0" w:color="000000"/>
              <w:right w:val="single" w:sz="18" w:space="0" w:color="000000"/>
            </w:tcBorders>
          </w:tcPr>
          <w:p>
            <w:pPr>
              <w:pStyle w:val="TableParagraph"/>
              <w:spacing w:before="111"/>
              <w:ind w:right="-15"/>
              <w:jc w:val="right"/>
              <w:rPr>
                <w:rFonts w:ascii="Arial"/>
                <w:sz w:val="25"/>
              </w:rPr>
            </w:pPr>
            <w:r>
              <w:rPr>
                <w:rFonts w:ascii="Arial"/>
                <w:sz w:val="25"/>
              </w:rPr>
              <w:t>-</w:t>
            </w:r>
            <w:r>
              <w:rPr>
                <w:rFonts w:ascii="Arial"/>
                <w:spacing w:val="-5"/>
                <w:sz w:val="25"/>
              </w:rPr>
              <w:t>80</w:t>
            </w:r>
          </w:p>
        </w:tc>
        <w:tc>
          <w:tcPr>
            <w:tcW w:w="1830" w:type="dxa"/>
            <w:tcBorders>
              <w:top w:val="single" w:sz="12" w:space="0" w:color="000000"/>
              <w:left w:val="single" w:sz="18" w:space="0" w:color="000000"/>
              <w:bottom w:val="single" w:sz="12" w:space="0" w:color="000000"/>
              <w:right w:val="single" w:sz="18" w:space="0" w:color="000000"/>
            </w:tcBorders>
          </w:tcPr>
          <w:p>
            <w:pPr>
              <w:pStyle w:val="TableParagraph"/>
              <w:spacing w:before="111"/>
              <w:ind w:right="-15"/>
              <w:jc w:val="right"/>
              <w:rPr>
                <w:rFonts w:ascii="Arial"/>
                <w:sz w:val="25"/>
              </w:rPr>
            </w:pPr>
            <w:r>
              <w:rPr>
                <w:rFonts w:ascii="Arial"/>
                <w:w w:val="101"/>
                <w:sz w:val="25"/>
              </w:rPr>
              <w:t>0</w:t>
            </w:r>
          </w:p>
        </w:tc>
      </w:tr>
      <w:tr>
        <w:trPr>
          <w:trHeight w:val="494" w:hRule="atLeast"/>
        </w:trPr>
        <w:tc>
          <w:tcPr>
            <w:tcW w:w="11684" w:type="dxa"/>
            <w:tcBorders>
              <w:top w:val="single" w:sz="12" w:space="0" w:color="000000"/>
              <w:bottom w:val="single" w:sz="12" w:space="0" w:color="000000"/>
              <w:right w:val="single" w:sz="18" w:space="0" w:color="000000"/>
            </w:tcBorders>
          </w:tcPr>
          <w:p>
            <w:pPr>
              <w:pStyle w:val="TableParagraph"/>
              <w:spacing w:before="111"/>
              <w:ind w:left="49"/>
              <w:rPr>
                <w:rFonts w:ascii="Arial"/>
                <w:sz w:val="25"/>
              </w:rPr>
            </w:pPr>
            <w:r>
              <w:rPr>
                <w:rFonts w:ascii="Arial"/>
                <w:sz w:val="25"/>
              </w:rPr>
              <w:t>Swansea</w:t>
            </w:r>
            <w:r>
              <w:rPr>
                <w:rFonts w:ascii="Arial"/>
                <w:spacing w:val="-7"/>
                <w:sz w:val="25"/>
              </w:rPr>
              <w:t> </w:t>
            </w:r>
            <w:r>
              <w:rPr>
                <w:rFonts w:ascii="Arial"/>
                <w:spacing w:val="-2"/>
                <w:sz w:val="25"/>
              </w:rPr>
              <w:t>Council</w:t>
            </w:r>
          </w:p>
        </w:tc>
        <w:tc>
          <w:tcPr>
            <w:tcW w:w="1474" w:type="dxa"/>
            <w:tcBorders>
              <w:top w:val="single" w:sz="12" w:space="0" w:color="000000"/>
              <w:left w:val="single" w:sz="18" w:space="0" w:color="000000"/>
              <w:bottom w:val="single" w:sz="12" w:space="0" w:color="000000"/>
              <w:right w:val="single" w:sz="18" w:space="0" w:color="000000"/>
            </w:tcBorders>
          </w:tcPr>
          <w:p>
            <w:pPr>
              <w:pStyle w:val="TableParagraph"/>
              <w:spacing w:before="111"/>
              <w:ind w:right="-15"/>
              <w:jc w:val="right"/>
              <w:rPr>
                <w:rFonts w:ascii="Arial"/>
                <w:sz w:val="25"/>
              </w:rPr>
            </w:pPr>
            <w:r>
              <w:rPr>
                <w:rFonts w:ascii="Arial"/>
                <w:sz w:val="25"/>
              </w:rPr>
              <w:t>-</w:t>
            </w:r>
            <w:r>
              <w:rPr>
                <w:rFonts w:ascii="Arial"/>
                <w:spacing w:val="-5"/>
                <w:sz w:val="25"/>
              </w:rPr>
              <w:t>35</w:t>
            </w:r>
          </w:p>
        </w:tc>
        <w:tc>
          <w:tcPr>
            <w:tcW w:w="1830" w:type="dxa"/>
            <w:tcBorders>
              <w:top w:val="single" w:sz="12" w:space="0" w:color="000000"/>
              <w:left w:val="single" w:sz="18" w:space="0" w:color="000000"/>
              <w:bottom w:val="single" w:sz="12" w:space="0" w:color="000000"/>
              <w:right w:val="single" w:sz="18" w:space="0" w:color="000000"/>
            </w:tcBorders>
          </w:tcPr>
          <w:p>
            <w:pPr>
              <w:pStyle w:val="TableParagraph"/>
              <w:spacing w:before="111"/>
              <w:ind w:right="-15"/>
              <w:jc w:val="right"/>
              <w:rPr>
                <w:rFonts w:ascii="Arial"/>
                <w:sz w:val="25"/>
              </w:rPr>
            </w:pPr>
            <w:r>
              <w:rPr>
                <w:rFonts w:ascii="Arial"/>
                <w:sz w:val="25"/>
              </w:rPr>
              <w:t>-</w:t>
            </w:r>
            <w:r>
              <w:rPr>
                <w:rFonts w:ascii="Arial"/>
                <w:spacing w:val="-5"/>
                <w:sz w:val="25"/>
              </w:rPr>
              <w:t>35</w:t>
            </w:r>
          </w:p>
        </w:tc>
      </w:tr>
      <w:tr>
        <w:trPr>
          <w:trHeight w:val="494" w:hRule="atLeast"/>
        </w:trPr>
        <w:tc>
          <w:tcPr>
            <w:tcW w:w="11684" w:type="dxa"/>
            <w:tcBorders>
              <w:top w:val="single" w:sz="12" w:space="0" w:color="000000"/>
              <w:bottom w:val="single" w:sz="12" w:space="0" w:color="000000"/>
              <w:right w:val="single" w:sz="18" w:space="0" w:color="000000"/>
            </w:tcBorders>
          </w:tcPr>
          <w:p>
            <w:pPr>
              <w:pStyle w:val="TableParagraph"/>
              <w:spacing w:before="111"/>
              <w:ind w:left="49"/>
              <w:rPr>
                <w:rFonts w:ascii="Arial"/>
                <w:sz w:val="25"/>
              </w:rPr>
            </w:pPr>
            <w:r>
              <w:rPr>
                <w:rFonts w:ascii="Arial"/>
                <w:spacing w:val="-2"/>
                <w:sz w:val="25"/>
              </w:rPr>
              <w:t>Torfaen</w:t>
            </w:r>
            <w:r>
              <w:rPr>
                <w:rFonts w:ascii="Arial"/>
                <w:spacing w:val="-10"/>
                <w:sz w:val="25"/>
              </w:rPr>
              <w:t> </w:t>
            </w:r>
            <w:r>
              <w:rPr>
                <w:rFonts w:ascii="Arial"/>
                <w:spacing w:val="-2"/>
                <w:sz w:val="25"/>
              </w:rPr>
              <w:t>Council</w:t>
            </w:r>
          </w:p>
        </w:tc>
        <w:tc>
          <w:tcPr>
            <w:tcW w:w="1474" w:type="dxa"/>
            <w:tcBorders>
              <w:top w:val="single" w:sz="12" w:space="0" w:color="000000"/>
              <w:left w:val="single" w:sz="18" w:space="0" w:color="000000"/>
              <w:bottom w:val="single" w:sz="12" w:space="0" w:color="000000"/>
              <w:right w:val="single" w:sz="18" w:space="0" w:color="000000"/>
            </w:tcBorders>
          </w:tcPr>
          <w:p>
            <w:pPr>
              <w:pStyle w:val="TableParagraph"/>
              <w:spacing w:before="111"/>
              <w:ind w:right="-15"/>
              <w:jc w:val="right"/>
              <w:rPr>
                <w:rFonts w:ascii="Arial"/>
                <w:sz w:val="25"/>
              </w:rPr>
            </w:pPr>
            <w:r>
              <w:rPr>
                <w:rFonts w:ascii="Arial"/>
                <w:sz w:val="25"/>
              </w:rPr>
              <w:t>-</w:t>
            </w:r>
            <w:r>
              <w:rPr>
                <w:rFonts w:ascii="Arial"/>
                <w:spacing w:val="-5"/>
                <w:sz w:val="25"/>
              </w:rPr>
              <w:t>35</w:t>
            </w:r>
          </w:p>
        </w:tc>
        <w:tc>
          <w:tcPr>
            <w:tcW w:w="1830" w:type="dxa"/>
            <w:tcBorders>
              <w:top w:val="single" w:sz="12" w:space="0" w:color="000000"/>
              <w:left w:val="single" w:sz="18" w:space="0" w:color="000000"/>
              <w:bottom w:val="single" w:sz="12" w:space="0" w:color="000000"/>
              <w:right w:val="single" w:sz="18" w:space="0" w:color="000000"/>
            </w:tcBorders>
          </w:tcPr>
          <w:p>
            <w:pPr>
              <w:pStyle w:val="TableParagraph"/>
              <w:spacing w:before="111"/>
              <w:ind w:right="-15"/>
              <w:jc w:val="right"/>
              <w:rPr>
                <w:rFonts w:ascii="Arial"/>
                <w:sz w:val="25"/>
              </w:rPr>
            </w:pPr>
            <w:r>
              <w:rPr>
                <w:rFonts w:ascii="Arial"/>
                <w:sz w:val="25"/>
              </w:rPr>
              <w:t>-</w:t>
            </w:r>
            <w:r>
              <w:rPr>
                <w:rFonts w:ascii="Arial"/>
                <w:spacing w:val="-5"/>
                <w:sz w:val="25"/>
              </w:rPr>
              <w:t>35</w:t>
            </w:r>
          </w:p>
        </w:tc>
      </w:tr>
      <w:tr>
        <w:trPr>
          <w:trHeight w:val="494" w:hRule="atLeast"/>
        </w:trPr>
        <w:tc>
          <w:tcPr>
            <w:tcW w:w="11684" w:type="dxa"/>
            <w:tcBorders>
              <w:top w:val="single" w:sz="12" w:space="0" w:color="000000"/>
              <w:bottom w:val="single" w:sz="12" w:space="0" w:color="000000"/>
              <w:right w:val="single" w:sz="18" w:space="0" w:color="000000"/>
            </w:tcBorders>
          </w:tcPr>
          <w:p>
            <w:pPr>
              <w:pStyle w:val="TableParagraph"/>
              <w:spacing w:before="111"/>
              <w:ind w:left="49"/>
              <w:rPr>
                <w:rFonts w:ascii="Arial"/>
                <w:sz w:val="25"/>
              </w:rPr>
            </w:pPr>
            <w:r>
              <w:rPr>
                <w:rFonts w:ascii="Arial"/>
                <w:spacing w:val="-4"/>
                <w:sz w:val="25"/>
              </w:rPr>
              <w:t>Monmouthshire</w:t>
            </w:r>
            <w:r>
              <w:rPr>
                <w:rFonts w:ascii="Arial"/>
                <w:spacing w:val="6"/>
                <w:sz w:val="25"/>
              </w:rPr>
              <w:t> </w:t>
            </w:r>
            <w:r>
              <w:rPr>
                <w:rFonts w:ascii="Arial"/>
                <w:spacing w:val="-2"/>
                <w:sz w:val="25"/>
              </w:rPr>
              <w:t>Council</w:t>
            </w:r>
          </w:p>
        </w:tc>
        <w:tc>
          <w:tcPr>
            <w:tcW w:w="1474" w:type="dxa"/>
            <w:tcBorders>
              <w:top w:val="single" w:sz="12" w:space="0" w:color="000000"/>
              <w:left w:val="single" w:sz="18" w:space="0" w:color="000000"/>
              <w:bottom w:val="single" w:sz="12" w:space="0" w:color="000000"/>
              <w:right w:val="single" w:sz="18" w:space="0" w:color="000000"/>
            </w:tcBorders>
          </w:tcPr>
          <w:p>
            <w:pPr>
              <w:pStyle w:val="TableParagraph"/>
              <w:spacing w:before="111"/>
              <w:ind w:right="-15"/>
              <w:jc w:val="right"/>
              <w:rPr>
                <w:rFonts w:ascii="Arial"/>
                <w:sz w:val="25"/>
              </w:rPr>
            </w:pPr>
            <w:r>
              <w:rPr>
                <w:rFonts w:ascii="Arial"/>
                <w:sz w:val="25"/>
              </w:rPr>
              <w:t>-</w:t>
            </w:r>
            <w:r>
              <w:rPr>
                <w:rFonts w:ascii="Arial"/>
                <w:spacing w:val="-5"/>
                <w:sz w:val="25"/>
              </w:rPr>
              <w:t>61</w:t>
            </w:r>
          </w:p>
        </w:tc>
        <w:tc>
          <w:tcPr>
            <w:tcW w:w="1830" w:type="dxa"/>
            <w:tcBorders>
              <w:top w:val="single" w:sz="12" w:space="0" w:color="000000"/>
              <w:left w:val="single" w:sz="18" w:space="0" w:color="000000"/>
              <w:bottom w:val="single" w:sz="12" w:space="0" w:color="000000"/>
              <w:right w:val="single" w:sz="18" w:space="0" w:color="000000"/>
            </w:tcBorders>
          </w:tcPr>
          <w:p>
            <w:pPr>
              <w:pStyle w:val="TableParagraph"/>
              <w:spacing w:before="111"/>
              <w:ind w:right="-15"/>
              <w:jc w:val="right"/>
              <w:rPr>
                <w:rFonts w:ascii="Arial"/>
                <w:sz w:val="25"/>
              </w:rPr>
            </w:pPr>
            <w:r>
              <w:rPr>
                <w:rFonts w:ascii="Arial"/>
                <w:sz w:val="25"/>
              </w:rPr>
              <w:t>-</w:t>
            </w:r>
            <w:r>
              <w:rPr>
                <w:rFonts w:ascii="Arial"/>
                <w:spacing w:val="-5"/>
                <w:sz w:val="25"/>
              </w:rPr>
              <w:t>61</w:t>
            </w:r>
          </w:p>
        </w:tc>
      </w:tr>
      <w:tr>
        <w:trPr>
          <w:trHeight w:val="460" w:hRule="atLeast"/>
        </w:trPr>
        <w:tc>
          <w:tcPr>
            <w:tcW w:w="11684" w:type="dxa"/>
            <w:tcBorders>
              <w:top w:val="single" w:sz="12" w:space="0" w:color="000000"/>
              <w:bottom w:val="single" w:sz="18" w:space="0" w:color="000000"/>
              <w:right w:val="single" w:sz="18" w:space="0" w:color="000000"/>
            </w:tcBorders>
          </w:tcPr>
          <w:p>
            <w:pPr>
              <w:pStyle w:val="TableParagraph"/>
              <w:spacing w:before="111"/>
              <w:ind w:left="49"/>
              <w:rPr>
                <w:rFonts w:ascii="Arial"/>
                <w:sz w:val="25"/>
              </w:rPr>
            </w:pPr>
            <w:r>
              <w:rPr>
                <w:rFonts w:ascii="Arial"/>
                <w:spacing w:val="-2"/>
                <w:sz w:val="25"/>
              </w:rPr>
              <w:t>Ynys</w:t>
            </w:r>
            <w:r>
              <w:rPr>
                <w:rFonts w:ascii="Arial"/>
                <w:spacing w:val="-14"/>
                <w:sz w:val="25"/>
              </w:rPr>
              <w:t> </w:t>
            </w:r>
            <w:r>
              <w:rPr>
                <w:rFonts w:ascii="Arial"/>
                <w:spacing w:val="-5"/>
                <w:sz w:val="25"/>
              </w:rPr>
              <w:t>Mon</w:t>
            </w:r>
          </w:p>
        </w:tc>
        <w:tc>
          <w:tcPr>
            <w:tcW w:w="1474" w:type="dxa"/>
            <w:tcBorders>
              <w:top w:val="single" w:sz="12" w:space="0" w:color="000000"/>
              <w:left w:val="single" w:sz="18" w:space="0" w:color="000000"/>
              <w:bottom w:val="single" w:sz="18" w:space="0" w:color="000000"/>
              <w:right w:val="single" w:sz="18" w:space="0" w:color="000000"/>
            </w:tcBorders>
          </w:tcPr>
          <w:p>
            <w:pPr>
              <w:pStyle w:val="TableParagraph"/>
              <w:spacing w:before="111"/>
              <w:ind w:right="-15"/>
              <w:jc w:val="right"/>
              <w:rPr>
                <w:rFonts w:ascii="Arial"/>
                <w:sz w:val="25"/>
              </w:rPr>
            </w:pPr>
            <w:r>
              <w:rPr>
                <w:rFonts w:ascii="Arial"/>
                <w:sz w:val="25"/>
              </w:rPr>
              <w:t>-</w:t>
            </w:r>
            <w:r>
              <w:rPr>
                <w:rFonts w:ascii="Arial"/>
                <w:spacing w:val="-5"/>
                <w:sz w:val="25"/>
              </w:rPr>
              <w:t>10</w:t>
            </w:r>
          </w:p>
        </w:tc>
        <w:tc>
          <w:tcPr>
            <w:tcW w:w="1830" w:type="dxa"/>
            <w:tcBorders>
              <w:top w:val="single" w:sz="12" w:space="0" w:color="000000"/>
              <w:left w:val="single" w:sz="18" w:space="0" w:color="000000"/>
              <w:bottom w:val="single" w:sz="36" w:space="0" w:color="000000"/>
              <w:right w:val="single" w:sz="18" w:space="0" w:color="000000"/>
            </w:tcBorders>
          </w:tcPr>
          <w:p>
            <w:pPr>
              <w:pStyle w:val="TableParagraph"/>
              <w:spacing w:before="111"/>
              <w:ind w:right="-15"/>
              <w:jc w:val="right"/>
              <w:rPr>
                <w:rFonts w:ascii="Arial"/>
                <w:sz w:val="25"/>
              </w:rPr>
            </w:pPr>
            <w:r>
              <w:rPr>
                <w:rFonts w:ascii="Arial"/>
                <w:sz w:val="25"/>
              </w:rPr>
              <w:t>-</w:t>
            </w:r>
            <w:r>
              <w:rPr>
                <w:rFonts w:ascii="Arial"/>
                <w:spacing w:val="-5"/>
                <w:sz w:val="25"/>
              </w:rPr>
              <w:t>10</w:t>
            </w:r>
          </w:p>
        </w:tc>
      </w:tr>
      <w:tr>
        <w:trPr>
          <w:trHeight w:val="457" w:hRule="atLeast"/>
        </w:trPr>
        <w:tc>
          <w:tcPr>
            <w:tcW w:w="11684" w:type="dxa"/>
            <w:tcBorders>
              <w:top w:val="single" w:sz="18" w:space="0" w:color="000000"/>
              <w:bottom w:val="single" w:sz="18" w:space="0" w:color="000000"/>
              <w:right w:val="single" w:sz="18" w:space="0" w:color="000000"/>
            </w:tcBorders>
            <w:shd w:val="clear" w:color="auto" w:fill="CCFFCC"/>
          </w:tcPr>
          <w:p>
            <w:pPr>
              <w:pStyle w:val="TableParagraph"/>
              <w:spacing w:before="69"/>
              <w:ind w:left="49"/>
              <w:rPr>
                <w:rFonts w:ascii="Arial"/>
                <w:b/>
                <w:sz w:val="25"/>
              </w:rPr>
            </w:pPr>
            <w:r>
              <w:rPr>
                <w:rFonts w:ascii="Arial"/>
                <w:b/>
                <w:sz w:val="25"/>
              </w:rPr>
              <w:t>Balance</w:t>
            </w:r>
            <w:r>
              <w:rPr>
                <w:rFonts w:ascii="Arial"/>
                <w:b/>
                <w:spacing w:val="4"/>
                <w:sz w:val="25"/>
              </w:rPr>
              <w:t> </w:t>
            </w:r>
            <w:r>
              <w:rPr>
                <w:rFonts w:ascii="Arial"/>
                <w:b/>
                <w:sz w:val="25"/>
              </w:rPr>
              <w:t>Medstrom</w:t>
            </w:r>
            <w:r>
              <w:rPr>
                <w:rFonts w:ascii="Arial"/>
                <w:b/>
                <w:spacing w:val="-25"/>
                <w:sz w:val="25"/>
              </w:rPr>
              <w:t> </w:t>
            </w:r>
            <w:r>
              <w:rPr>
                <w:rFonts w:ascii="Arial"/>
                <w:b/>
                <w:sz w:val="25"/>
              </w:rPr>
              <w:t>Electric</w:t>
            </w:r>
            <w:r>
              <w:rPr>
                <w:rFonts w:ascii="Arial"/>
                <w:b/>
                <w:spacing w:val="-9"/>
                <w:sz w:val="25"/>
              </w:rPr>
              <w:t> </w:t>
            </w:r>
            <w:r>
              <w:rPr>
                <w:rFonts w:ascii="Arial"/>
                <w:b/>
                <w:sz w:val="25"/>
              </w:rPr>
              <w:t>(with</w:t>
            </w:r>
            <w:r>
              <w:rPr>
                <w:rFonts w:ascii="Arial"/>
                <w:b/>
                <w:spacing w:val="-7"/>
                <w:sz w:val="25"/>
              </w:rPr>
              <w:t> </w:t>
            </w:r>
            <w:r>
              <w:rPr>
                <w:rFonts w:ascii="Arial"/>
                <w:b/>
                <w:sz w:val="25"/>
              </w:rPr>
              <w:t>foam</w:t>
            </w:r>
            <w:r>
              <w:rPr>
                <w:rFonts w:ascii="Arial"/>
                <w:b/>
                <w:spacing w:val="-25"/>
                <w:sz w:val="25"/>
              </w:rPr>
              <w:t> </w:t>
            </w:r>
            <w:r>
              <w:rPr>
                <w:rFonts w:ascii="Arial"/>
                <w:b/>
                <w:sz w:val="25"/>
              </w:rPr>
              <w:t>mattress)</w:t>
            </w:r>
            <w:r>
              <w:rPr>
                <w:rFonts w:ascii="Arial"/>
                <w:b/>
                <w:spacing w:val="-3"/>
                <w:sz w:val="25"/>
              </w:rPr>
              <w:t> </w:t>
            </w:r>
            <w:r>
              <w:rPr>
                <w:rFonts w:ascii="Arial"/>
                <w:b/>
                <w:sz w:val="25"/>
              </w:rPr>
              <w:t>-</w:t>
            </w:r>
            <w:r>
              <w:rPr>
                <w:rFonts w:ascii="Arial"/>
                <w:b/>
                <w:spacing w:val="-4"/>
                <w:sz w:val="25"/>
              </w:rPr>
              <w:t> </w:t>
            </w:r>
            <w:r>
              <w:rPr>
                <w:rFonts w:ascii="Arial"/>
                <w:b/>
                <w:spacing w:val="-2"/>
                <w:sz w:val="25"/>
              </w:rPr>
              <w:t>Xpress</w:t>
            </w:r>
          </w:p>
        </w:tc>
        <w:tc>
          <w:tcPr>
            <w:tcW w:w="1474" w:type="dxa"/>
            <w:tcBorders>
              <w:top w:val="single" w:sz="18" w:space="0" w:color="000000"/>
              <w:left w:val="single" w:sz="18" w:space="0" w:color="000000"/>
              <w:bottom w:val="single" w:sz="18" w:space="0" w:color="000000"/>
              <w:right w:val="single" w:sz="18" w:space="0" w:color="000000"/>
            </w:tcBorders>
            <w:shd w:val="clear" w:color="auto" w:fill="CCFFCC"/>
          </w:tcPr>
          <w:p>
            <w:pPr>
              <w:pStyle w:val="TableParagraph"/>
              <w:spacing w:before="69"/>
              <w:ind w:right="-15"/>
              <w:jc w:val="right"/>
              <w:rPr>
                <w:rFonts w:ascii="Arial"/>
                <w:b/>
                <w:sz w:val="25"/>
              </w:rPr>
            </w:pPr>
            <w:r>
              <w:rPr>
                <w:rFonts w:ascii="Arial"/>
                <w:b/>
                <w:spacing w:val="-5"/>
                <w:sz w:val="25"/>
              </w:rPr>
              <w:t>325</w:t>
            </w:r>
          </w:p>
        </w:tc>
        <w:tc>
          <w:tcPr>
            <w:tcW w:w="1830" w:type="dxa"/>
            <w:tcBorders>
              <w:top w:val="single" w:sz="36" w:space="0" w:color="000000"/>
              <w:left w:val="single" w:sz="18" w:space="0" w:color="000000"/>
              <w:bottom w:val="single" w:sz="18" w:space="0" w:color="000000"/>
              <w:right w:val="single" w:sz="18" w:space="0" w:color="000000"/>
            </w:tcBorders>
            <w:shd w:val="clear" w:color="auto" w:fill="CCFFCC"/>
          </w:tcPr>
          <w:p>
            <w:pPr>
              <w:pStyle w:val="TableParagraph"/>
              <w:spacing w:line="33" w:lineRule="exact"/>
              <w:ind w:left="2"/>
              <w:rPr>
                <w:rFonts w:ascii="Arial"/>
                <w:sz w:val="3"/>
              </w:rPr>
            </w:pPr>
            <w:r>
              <w:rPr>
                <w:rFonts w:ascii="Arial"/>
                <w:position w:val="0"/>
                <w:sz w:val="3"/>
              </w:rPr>
              <w:pict>
                <v:group style="width:2.550pt;height:1.7pt;mso-position-horizontal-relative:char;mso-position-vertical-relative:line" id="docshapegroup434" coordorigin="0,0" coordsize="51,34">
                  <v:rect style="position:absolute;left:0;top:0;width:51;height:17" id="docshape435" filled="true" fillcolor="#008000" stroked="false">
                    <v:fill type="solid"/>
                  </v:rect>
                  <v:line style="position:absolute" from="0,17" to="34,17" stroked="true" strokeweight=".846647pt" strokecolor="#008000">
                    <v:stroke dashstyle="solid"/>
                  </v:line>
                  <v:rect style="position:absolute;left:0;top:16;width:34;height:17" id="docshape436" filled="true" fillcolor="#008000" stroked="false">
                    <v:fill type="solid"/>
                  </v:rect>
                </v:group>
              </w:pict>
            </w:r>
            <w:r>
              <w:rPr>
                <w:rFonts w:ascii="Arial"/>
                <w:position w:val="0"/>
                <w:sz w:val="3"/>
              </w:rPr>
            </w:r>
          </w:p>
          <w:p>
            <w:pPr>
              <w:pStyle w:val="TableParagraph"/>
              <w:spacing w:before="36"/>
              <w:ind w:right="-15"/>
              <w:jc w:val="right"/>
              <w:rPr>
                <w:rFonts w:ascii="Arial"/>
                <w:b/>
                <w:sz w:val="25"/>
              </w:rPr>
            </w:pPr>
            <w:r>
              <w:rPr>
                <w:rFonts w:ascii="Arial"/>
                <w:b/>
                <w:spacing w:val="-5"/>
                <w:sz w:val="25"/>
              </w:rPr>
              <w:t>463</w:t>
            </w:r>
          </w:p>
        </w:tc>
      </w:tr>
    </w:tbl>
    <w:p>
      <w:pPr>
        <w:spacing w:after="0"/>
        <w:jc w:val="right"/>
        <w:rPr>
          <w:rFonts w:ascii="Arial"/>
          <w:sz w:val="25"/>
        </w:rPr>
        <w:sectPr>
          <w:footerReference w:type="default" r:id="rId150"/>
          <w:pgSz w:w="16840" w:h="11910" w:orient="landscape"/>
          <w:pgMar w:footer="644" w:header="0" w:top="640" w:bottom="840" w:left="600" w:right="1000"/>
        </w:sectPr>
      </w:pPr>
    </w:p>
    <w:p>
      <w:pPr>
        <w:pStyle w:val="BodyText"/>
        <w:spacing w:before="2"/>
        <w:rPr>
          <w:rFonts w:ascii="Arial"/>
          <w:sz w:val="2"/>
        </w:rPr>
      </w:pPr>
    </w:p>
    <w:tbl>
      <w:tblPr>
        <w:tblW w:w="0" w:type="auto"/>
        <w:jc w:val="left"/>
        <w:tblInd w:w="1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571"/>
        <w:gridCol w:w="1460"/>
        <w:gridCol w:w="1812"/>
      </w:tblGrid>
      <w:tr>
        <w:trPr>
          <w:trHeight w:val="479" w:hRule="atLeast"/>
        </w:trPr>
        <w:tc>
          <w:tcPr>
            <w:tcW w:w="11571" w:type="dxa"/>
            <w:tcBorders>
              <w:bottom w:val="single" w:sz="18" w:space="0" w:color="000000"/>
              <w:right w:val="single" w:sz="18" w:space="0" w:color="000000"/>
            </w:tcBorders>
            <w:shd w:val="clear" w:color="auto" w:fill="FFFFCC"/>
          </w:tcPr>
          <w:p>
            <w:pPr>
              <w:pStyle w:val="TableParagraph"/>
              <w:spacing w:before="92"/>
              <w:ind w:left="48"/>
              <w:rPr>
                <w:rFonts w:ascii="Arial"/>
                <w:b/>
                <w:sz w:val="25"/>
              </w:rPr>
            </w:pPr>
            <w:r>
              <w:rPr>
                <w:rFonts w:ascii="Arial"/>
                <w:b/>
                <w:sz w:val="25"/>
              </w:rPr>
              <w:t>Medstrom</w:t>
            </w:r>
            <w:r>
              <w:rPr>
                <w:rFonts w:ascii="Arial"/>
                <w:b/>
                <w:spacing w:val="-25"/>
                <w:sz w:val="25"/>
              </w:rPr>
              <w:t> </w:t>
            </w:r>
            <w:r>
              <w:rPr>
                <w:rFonts w:ascii="Arial"/>
                <w:b/>
                <w:sz w:val="25"/>
              </w:rPr>
              <w:t>Profiling</w:t>
            </w:r>
            <w:r>
              <w:rPr>
                <w:rFonts w:ascii="Arial"/>
                <w:b/>
                <w:spacing w:val="-10"/>
                <w:sz w:val="25"/>
              </w:rPr>
              <w:t> </w:t>
            </w:r>
            <w:r>
              <w:rPr>
                <w:rFonts w:ascii="Arial"/>
                <w:b/>
                <w:sz w:val="25"/>
              </w:rPr>
              <w:t>beds</w:t>
            </w:r>
            <w:r>
              <w:rPr>
                <w:rFonts w:ascii="Arial"/>
                <w:b/>
                <w:spacing w:val="-10"/>
                <w:sz w:val="25"/>
              </w:rPr>
              <w:t> </w:t>
            </w:r>
            <w:r>
              <w:rPr>
                <w:rFonts w:ascii="Arial"/>
                <w:b/>
                <w:sz w:val="25"/>
              </w:rPr>
              <w:t>with</w:t>
            </w:r>
            <w:r>
              <w:rPr>
                <w:rFonts w:ascii="Arial"/>
                <w:b/>
                <w:spacing w:val="-8"/>
                <w:sz w:val="25"/>
              </w:rPr>
              <w:t> </w:t>
            </w:r>
            <w:r>
              <w:rPr>
                <w:rFonts w:ascii="Arial"/>
                <w:b/>
                <w:sz w:val="25"/>
              </w:rPr>
              <w:t>alerta</w:t>
            </w:r>
            <w:r>
              <w:rPr>
                <w:rFonts w:ascii="Arial"/>
                <w:b/>
                <w:spacing w:val="54"/>
                <w:sz w:val="25"/>
              </w:rPr>
              <w:t> </w:t>
            </w:r>
            <w:r>
              <w:rPr>
                <w:rFonts w:ascii="Arial"/>
                <w:b/>
                <w:sz w:val="25"/>
              </w:rPr>
              <w:t>mattress</w:t>
            </w:r>
            <w:r>
              <w:rPr>
                <w:rFonts w:ascii="Arial"/>
                <w:b/>
                <w:spacing w:val="-11"/>
                <w:sz w:val="25"/>
              </w:rPr>
              <w:t> </w:t>
            </w:r>
            <w:r>
              <w:rPr>
                <w:rFonts w:ascii="Arial"/>
                <w:b/>
                <w:sz w:val="25"/>
              </w:rPr>
              <w:t>Opera</w:t>
            </w:r>
            <w:r>
              <w:rPr>
                <w:rFonts w:ascii="Arial"/>
                <w:b/>
                <w:spacing w:val="54"/>
                <w:sz w:val="25"/>
              </w:rPr>
              <w:t> </w:t>
            </w:r>
            <w:r>
              <w:rPr>
                <w:rFonts w:ascii="Arial"/>
                <w:b/>
                <w:sz w:val="25"/>
              </w:rPr>
              <w:t>-</w:t>
            </w:r>
            <w:r>
              <w:rPr>
                <w:rFonts w:ascii="Arial"/>
                <w:b/>
                <w:spacing w:val="-4"/>
                <w:sz w:val="25"/>
              </w:rPr>
              <w:t> </w:t>
            </w:r>
            <w:r>
              <w:rPr>
                <w:rFonts w:ascii="Arial"/>
                <w:b/>
                <w:spacing w:val="-5"/>
                <w:sz w:val="25"/>
              </w:rPr>
              <w:t>eco</w:t>
            </w:r>
          </w:p>
        </w:tc>
        <w:tc>
          <w:tcPr>
            <w:tcW w:w="1460" w:type="dxa"/>
            <w:tcBorders>
              <w:left w:val="single" w:sz="18" w:space="0" w:color="000000"/>
              <w:bottom w:val="single" w:sz="18" w:space="0" w:color="000000"/>
              <w:right w:val="single" w:sz="18" w:space="0" w:color="000000"/>
            </w:tcBorders>
            <w:shd w:val="clear" w:color="auto" w:fill="FFFFCC"/>
          </w:tcPr>
          <w:p>
            <w:pPr>
              <w:pStyle w:val="TableParagraph"/>
              <w:spacing w:before="92"/>
              <w:ind w:right="-15"/>
              <w:jc w:val="right"/>
              <w:rPr>
                <w:rFonts w:ascii="Arial"/>
                <w:b/>
                <w:sz w:val="25"/>
              </w:rPr>
            </w:pPr>
            <w:r>
              <w:rPr>
                <w:rFonts w:ascii="Arial"/>
                <w:b/>
                <w:spacing w:val="-5"/>
                <w:sz w:val="25"/>
              </w:rPr>
              <w:t>907</w:t>
            </w:r>
          </w:p>
        </w:tc>
        <w:tc>
          <w:tcPr>
            <w:tcW w:w="1812" w:type="dxa"/>
            <w:tcBorders>
              <w:left w:val="single" w:sz="18" w:space="0" w:color="000000"/>
              <w:bottom w:val="single" w:sz="18" w:space="0" w:color="000000"/>
              <w:right w:val="single" w:sz="18" w:space="0" w:color="000000"/>
            </w:tcBorders>
            <w:shd w:val="clear" w:color="auto" w:fill="FFFFCC"/>
          </w:tcPr>
          <w:p>
            <w:pPr>
              <w:pStyle w:val="TableParagraph"/>
              <w:spacing w:before="92"/>
              <w:ind w:right="-15"/>
              <w:jc w:val="right"/>
              <w:rPr>
                <w:rFonts w:ascii="Arial"/>
                <w:b/>
                <w:sz w:val="25"/>
              </w:rPr>
            </w:pPr>
            <w:r>
              <w:rPr>
                <w:rFonts w:ascii="Arial"/>
                <w:b/>
                <w:spacing w:val="-5"/>
                <w:sz w:val="25"/>
              </w:rPr>
              <w:t>907</w:t>
            </w:r>
          </w:p>
        </w:tc>
      </w:tr>
      <w:tr>
        <w:trPr>
          <w:trHeight w:val="486" w:hRule="atLeast"/>
        </w:trPr>
        <w:tc>
          <w:tcPr>
            <w:tcW w:w="11571" w:type="dxa"/>
            <w:tcBorders>
              <w:top w:val="single" w:sz="18" w:space="0" w:color="000000"/>
              <w:bottom w:val="single" w:sz="12" w:space="0" w:color="000000"/>
              <w:right w:val="single" w:sz="18" w:space="0" w:color="000000"/>
            </w:tcBorders>
          </w:tcPr>
          <w:p>
            <w:pPr>
              <w:pStyle w:val="TableParagraph"/>
              <w:spacing w:before="105"/>
              <w:ind w:left="48"/>
              <w:rPr>
                <w:rFonts w:ascii="Arial"/>
                <w:sz w:val="25"/>
              </w:rPr>
            </w:pPr>
            <w:r>
              <w:rPr>
                <w:rFonts w:ascii="Arial"/>
                <w:sz w:val="25"/>
              </w:rPr>
              <w:t>Awel</w:t>
            </w:r>
            <w:r>
              <w:rPr>
                <w:rFonts w:ascii="Arial"/>
                <w:spacing w:val="-20"/>
                <w:sz w:val="25"/>
              </w:rPr>
              <w:t> </w:t>
            </w:r>
            <w:r>
              <w:rPr>
                <w:rFonts w:ascii="Arial"/>
                <w:sz w:val="25"/>
              </w:rPr>
              <w:t>Tywi</w:t>
            </w:r>
            <w:r>
              <w:rPr>
                <w:rFonts w:ascii="Arial"/>
                <w:spacing w:val="-17"/>
                <w:sz w:val="25"/>
              </w:rPr>
              <w:t> </w:t>
            </w:r>
            <w:r>
              <w:rPr>
                <w:rFonts w:ascii="Arial"/>
                <w:sz w:val="25"/>
              </w:rPr>
              <w:t>Care</w:t>
            </w:r>
            <w:r>
              <w:rPr>
                <w:rFonts w:ascii="Arial"/>
                <w:spacing w:val="-18"/>
                <w:sz w:val="25"/>
              </w:rPr>
              <w:t> </w:t>
            </w:r>
            <w:r>
              <w:rPr>
                <w:rFonts w:ascii="Arial"/>
                <w:sz w:val="25"/>
              </w:rPr>
              <w:t>Home</w:t>
            </w:r>
            <w:r>
              <w:rPr>
                <w:rFonts w:ascii="Arial"/>
                <w:spacing w:val="-17"/>
                <w:sz w:val="25"/>
              </w:rPr>
              <w:t> </w:t>
            </w:r>
            <w:r>
              <w:rPr>
                <w:rFonts w:ascii="Arial"/>
                <w:sz w:val="25"/>
              </w:rPr>
              <w:t>,</w:t>
            </w:r>
            <w:r>
              <w:rPr>
                <w:rFonts w:ascii="Arial"/>
                <w:spacing w:val="-13"/>
                <w:sz w:val="25"/>
              </w:rPr>
              <w:t> </w:t>
            </w:r>
            <w:r>
              <w:rPr>
                <w:rFonts w:ascii="Arial"/>
                <w:sz w:val="25"/>
              </w:rPr>
              <w:t>Y</w:t>
            </w:r>
            <w:r>
              <w:rPr>
                <w:rFonts w:ascii="Arial"/>
                <w:spacing w:val="-20"/>
                <w:sz w:val="25"/>
              </w:rPr>
              <w:t> </w:t>
            </w:r>
            <w:r>
              <w:rPr>
                <w:rFonts w:ascii="Arial"/>
                <w:sz w:val="25"/>
              </w:rPr>
              <w:t>Plas,</w:t>
            </w:r>
            <w:r>
              <w:rPr>
                <w:rFonts w:ascii="Arial"/>
                <w:spacing w:val="-13"/>
                <w:sz w:val="25"/>
              </w:rPr>
              <w:t> </w:t>
            </w:r>
            <w:r>
              <w:rPr>
                <w:rFonts w:ascii="Arial"/>
                <w:sz w:val="25"/>
              </w:rPr>
              <w:t>Dol</w:t>
            </w:r>
            <w:r>
              <w:rPr>
                <w:rFonts w:ascii="Arial"/>
                <w:spacing w:val="-14"/>
                <w:sz w:val="25"/>
              </w:rPr>
              <w:t> </w:t>
            </w:r>
            <w:r>
              <w:rPr>
                <w:rFonts w:ascii="Arial"/>
                <w:sz w:val="25"/>
              </w:rPr>
              <w:t>Y</w:t>
            </w:r>
            <w:r>
              <w:rPr>
                <w:rFonts w:ascii="Arial"/>
                <w:spacing w:val="-20"/>
                <w:sz w:val="25"/>
              </w:rPr>
              <w:t> </w:t>
            </w:r>
            <w:r>
              <w:rPr>
                <w:rFonts w:ascii="Arial"/>
                <w:spacing w:val="-2"/>
                <w:sz w:val="25"/>
              </w:rPr>
              <w:t>Felin</w:t>
            </w:r>
          </w:p>
        </w:tc>
        <w:tc>
          <w:tcPr>
            <w:tcW w:w="1460" w:type="dxa"/>
            <w:tcBorders>
              <w:top w:val="single" w:sz="18" w:space="0" w:color="000000"/>
              <w:left w:val="single" w:sz="18" w:space="0" w:color="000000"/>
              <w:bottom w:val="single" w:sz="12" w:space="0" w:color="000000"/>
              <w:right w:val="single" w:sz="18" w:space="0" w:color="000000"/>
            </w:tcBorders>
          </w:tcPr>
          <w:p>
            <w:pPr>
              <w:pStyle w:val="TableParagraph"/>
              <w:spacing w:before="105"/>
              <w:ind w:right="-15"/>
              <w:jc w:val="right"/>
              <w:rPr>
                <w:rFonts w:ascii="Arial"/>
                <w:sz w:val="25"/>
              </w:rPr>
            </w:pPr>
            <w:r>
              <w:rPr>
                <w:rFonts w:ascii="Arial"/>
                <w:sz w:val="25"/>
              </w:rPr>
              <w:t>-</w:t>
            </w:r>
            <w:r>
              <w:rPr>
                <w:rFonts w:ascii="Arial"/>
                <w:spacing w:val="-5"/>
                <w:sz w:val="25"/>
              </w:rPr>
              <w:t>14</w:t>
            </w:r>
          </w:p>
        </w:tc>
        <w:tc>
          <w:tcPr>
            <w:tcW w:w="1812" w:type="dxa"/>
            <w:tcBorders>
              <w:top w:val="single" w:sz="18" w:space="0" w:color="000000"/>
              <w:left w:val="single" w:sz="18" w:space="0" w:color="000000"/>
              <w:bottom w:val="single" w:sz="12" w:space="0" w:color="000000"/>
              <w:right w:val="single" w:sz="18" w:space="0" w:color="000000"/>
            </w:tcBorders>
          </w:tcPr>
          <w:p>
            <w:pPr>
              <w:pStyle w:val="TableParagraph"/>
              <w:spacing w:before="105"/>
              <w:ind w:right="-15"/>
              <w:jc w:val="right"/>
              <w:rPr>
                <w:rFonts w:ascii="Arial"/>
                <w:sz w:val="25"/>
              </w:rPr>
            </w:pPr>
            <w:r>
              <w:rPr>
                <w:rFonts w:ascii="Arial"/>
                <w:sz w:val="25"/>
              </w:rPr>
              <w:t>-</w:t>
            </w:r>
            <w:r>
              <w:rPr>
                <w:rFonts w:ascii="Arial"/>
                <w:spacing w:val="-5"/>
                <w:sz w:val="25"/>
              </w:rPr>
              <w:t>14</w:t>
            </w:r>
          </w:p>
        </w:tc>
      </w:tr>
      <w:tr>
        <w:trPr>
          <w:trHeight w:val="489" w:hRule="atLeast"/>
        </w:trPr>
        <w:tc>
          <w:tcPr>
            <w:tcW w:w="11571" w:type="dxa"/>
            <w:tcBorders>
              <w:top w:val="single" w:sz="12" w:space="0" w:color="000000"/>
              <w:bottom w:val="single" w:sz="12" w:space="0" w:color="000000"/>
              <w:right w:val="single" w:sz="18" w:space="0" w:color="000000"/>
            </w:tcBorders>
          </w:tcPr>
          <w:p>
            <w:pPr>
              <w:pStyle w:val="TableParagraph"/>
              <w:spacing w:before="108"/>
              <w:ind w:left="48"/>
              <w:rPr>
                <w:rFonts w:ascii="Arial"/>
                <w:sz w:val="25"/>
              </w:rPr>
            </w:pPr>
            <w:r>
              <w:rPr>
                <w:rFonts w:ascii="Arial"/>
                <w:sz w:val="25"/>
              </w:rPr>
              <w:t>North</w:t>
            </w:r>
            <w:r>
              <w:rPr>
                <w:rFonts w:ascii="Arial"/>
                <w:spacing w:val="-18"/>
                <w:sz w:val="25"/>
              </w:rPr>
              <w:t> </w:t>
            </w:r>
            <w:r>
              <w:rPr>
                <w:rFonts w:ascii="Arial"/>
                <w:sz w:val="25"/>
              </w:rPr>
              <w:t>East</w:t>
            </w:r>
            <w:r>
              <w:rPr>
                <w:rFonts w:ascii="Arial"/>
                <w:spacing w:val="-17"/>
                <w:sz w:val="25"/>
              </w:rPr>
              <w:t> </w:t>
            </w:r>
            <w:r>
              <w:rPr>
                <w:rFonts w:ascii="Arial"/>
                <w:sz w:val="25"/>
              </w:rPr>
              <w:t>Wales</w:t>
            </w:r>
            <w:r>
              <w:rPr>
                <w:rFonts w:ascii="Arial"/>
                <w:spacing w:val="-18"/>
                <w:sz w:val="25"/>
              </w:rPr>
              <w:t> </w:t>
            </w:r>
            <w:r>
              <w:rPr>
                <w:rFonts w:ascii="Arial"/>
                <w:sz w:val="25"/>
              </w:rPr>
              <w:t>Community</w:t>
            </w:r>
            <w:r>
              <w:rPr>
                <w:rFonts w:ascii="Arial"/>
                <w:spacing w:val="-17"/>
                <w:sz w:val="25"/>
              </w:rPr>
              <w:t> </w:t>
            </w:r>
            <w:r>
              <w:rPr>
                <w:rFonts w:ascii="Arial"/>
                <w:sz w:val="25"/>
              </w:rPr>
              <w:t>Equipment</w:t>
            </w:r>
            <w:r>
              <w:rPr>
                <w:rFonts w:ascii="Arial"/>
                <w:spacing w:val="-17"/>
                <w:sz w:val="25"/>
              </w:rPr>
              <w:t> </w:t>
            </w:r>
            <w:r>
              <w:rPr>
                <w:rFonts w:ascii="Arial"/>
                <w:sz w:val="25"/>
              </w:rPr>
              <w:t>Service</w:t>
            </w:r>
            <w:r>
              <w:rPr>
                <w:rFonts w:ascii="Arial"/>
                <w:spacing w:val="13"/>
                <w:sz w:val="25"/>
              </w:rPr>
              <w:t> </w:t>
            </w:r>
            <w:r>
              <w:rPr>
                <w:rFonts w:ascii="Arial"/>
                <w:sz w:val="25"/>
              </w:rPr>
              <w:t>-</w:t>
            </w:r>
            <w:r>
              <w:rPr>
                <w:rFonts w:ascii="Arial"/>
                <w:spacing w:val="-17"/>
                <w:sz w:val="25"/>
              </w:rPr>
              <w:t> </w:t>
            </w:r>
            <w:r>
              <w:rPr>
                <w:rFonts w:ascii="Arial"/>
                <w:sz w:val="25"/>
              </w:rPr>
              <w:t>Flintshire</w:t>
            </w:r>
            <w:r>
              <w:rPr>
                <w:rFonts w:ascii="Arial"/>
                <w:spacing w:val="-18"/>
                <w:sz w:val="25"/>
              </w:rPr>
              <w:t> </w:t>
            </w:r>
            <w:r>
              <w:rPr>
                <w:rFonts w:ascii="Arial"/>
                <w:sz w:val="25"/>
              </w:rPr>
              <w:t>County</w:t>
            </w:r>
            <w:r>
              <w:rPr>
                <w:rFonts w:ascii="Arial"/>
                <w:spacing w:val="-17"/>
                <w:sz w:val="25"/>
              </w:rPr>
              <w:t> </w:t>
            </w:r>
            <w:r>
              <w:rPr>
                <w:rFonts w:ascii="Arial"/>
                <w:sz w:val="25"/>
              </w:rPr>
              <w:t>Council</w:t>
            </w:r>
            <w:r>
              <w:rPr>
                <w:rFonts w:ascii="Arial"/>
                <w:spacing w:val="-17"/>
                <w:sz w:val="25"/>
              </w:rPr>
              <w:t> </w:t>
            </w:r>
            <w:r>
              <w:rPr>
                <w:rFonts w:ascii="Arial"/>
                <w:sz w:val="25"/>
              </w:rPr>
              <w:t>-</w:t>
            </w:r>
            <w:r>
              <w:rPr>
                <w:rFonts w:ascii="Arial"/>
                <w:spacing w:val="-18"/>
                <w:sz w:val="25"/>
              </w:rPr>
              <w:t> </w:t>
            </w:r>
            <w:r>
              <w:rPr>
                <w:rFonts w:ascii="Arial"/>
                <w:sz w:val="25"/>
              </w:rPr>
              <w:t>CAR1000</w:t>
            </w:r>
            <w:r>
              <w:rPr>
                <w:rFonts w:ascii="Arial"/>
                <w:spacing w:val="-17"/>
                <w:sz w:val="25"/>
              </w:rPr>
              <w:t> </w:t>
            </w:r>
            <w:r>
              <w:rPr>
                <w:rFonts w:ascii="Arial"/>
                <w:sz w:val="25"/>
              </w:rPr>
              <w:t>(Low</w:t>
            </w:r>
            <w:r>
              <w:rPr>
                <w:rFonts w:ascii="Arial"/>
                <w:spacing w:val="-15"/>
                <w:sz w:val="25"/>
              </w:rPr>
              <w:t> </w:t>
            </w:r>
            <w:r>
              <w:rPr>
                <w:rFonts w:ascii="Arial"/>
                <w:spacing w:val="-2"/>
                <w:sz w:val="25"/>
              </w:rPr>
              <w:t>Height)</w:t>
            </w:r>
          </w:p>
        </w:tc>
        <w:tc>
          <w:tcPr>
            <w:tcW w:w="1460"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35</w:t>
            </w:r>
          </w:p>
        </w:tc>
        <w:tc>
          <w:tcPr>
            <w:tcW w:w="1812"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35</w:t>
            </w:r>
          </w:p>
        </w:tc>
      </w:tr>
      <w:tr>
        <w:trPr>
          <w:trHeight w:val="489" w:hRule="atLeast"/>
        </w:trPr>
        <w:tc>
          <w:tcPr>
            <w:tcW w:w="11571" w:type="dxa"/>
            <w:tcBorders>
              <w:top w:val="single" w:sz="12" w:space="0" w:color="000000"/>
              <w:bottom w:val="single" w:sz="12" w:space="0" w:color="000000"/>
              <w:right w:val="single" w:sz="18" w:space="0" w:color="000000"/>
            </w:tcBorders>
          </w:tcPr>
          <w:p>
            <w:pPr>
              <w:pStyle w:val="TableParagraph"/>
              <w:spacing w:before="108"/>
              <w:ind w:left="48"/>
              <w:rPr>
                <w:rFonts w:ascii="Arial"/>
                <w:sz w:val="25"/>
              </w:rPr>
            </w:pPr>
            <w:r>
              <w:rPr>
                <w:rFonts w:ascii="Arial"/>
                <w:sz w:val="25"/>
              </w:rPr>
              <w:t>North</w:t>
            </w:r>
            <w:r>
              <w:rPr>
                <w:rFonts w:ascii="Arial"/>
                <w:spacing w:val="-20"/>
                <w:sz w:val="25"/>
              </w:rPr>
              <w:t> </w:t>
            </w:r>
            <w:r>
              <w:rPr>
                <w:rFonts w:ascii="Arial"/>
                <w:sz w:val="25"/>
              </w:rPr>
              <w:t>West</w:t>
            </w:r>
            <w:r>
              <w:rPr>
                <w:rFonts w:ascii="Arial"/>
                <w:spacing w:val="-17"/>
                <w:sz w:val="25"/>
              </w:rPr>
              <w:t> </w:t>
            </w:r>
            <w:r>
              <w:rPr>
                <w:rFonts w:ascii="Arial"/>
                <w:sz w:val="25"/>
              </w:rPr>
              <w:t>Wales</w:t>
            </w:r>
            <w:r>
              <w:rPr>
                <w:rFonts w:ascii="Arial"/>
                <w:spacing w:val="-6"/>
                <w:sz w:val="25"/>
              </w:rPr>
              <w:t> </w:t>
            </w:r>
            <w:r>
              <w:rPr>
                <w:rFonts w:ascii="Arial"/>
                <w:sz w:val="25"/>
              </w:rPr>
              <w:t>Community</w:t>
            </w:r>
            <w:r>
              <w:rPr>
                <w:rFonts w:ascii="Arial"/>
                <w:spacing w:val="-17"/>
                <w:sz w:val="25"/>
              </w:rPr>
              <w:t> </w:t>
            </w:r>
            <w:r>
              <w:rPr>
                <w:rFonts w:ascii="Arial"/>
                <w:sz w:val="25"/>
              </w:rPr>
              <w:t>Equipment</w:t>
            </w:r>
            <w:r>
              <w:rPr>
                <w:rFonts w:ascii="Arial"/>
                <w:spacing w:val="-15"/>
                <w:sz w:val="25"/>
              </w:rPr>
              <w:t> </w:t>
            </w:r>
            <w:r>
              <w:rPr>
                <w:rFonts w:ascii="Arial"/>
                <w:sz w:val="25"/>
              </w:rPr>
              <w:t>Services</w:t>
            </w:r>
            <w:r>
              <w:rPr>
                <w:rFonts w:ascii="Arial"/>
                <w:spacing w:val="51"/>
                <w:sz w:val="25"/>
              </w:rPr>
              <w:t> </w:t>
            </w:r>
            <w:r>
              <w:rPr>
                <w:rFonts w:ascii="Arial"/>
                <w:sz w:val="25"/>
              </w:rPr>
              <w:t>-</w:t>
            </w:r>
            <w:r>
              <w:rPr>
                <w:rFonts w:ascii="Arial"/>
                <w:spacing w:val="-13"/>
                <w:sz w:val="25"/>
              </w:rPr>
              <w:t> </w:t>
            </w:r>
            <w:r>
              <w:rPr>
                <w:rFonts w:ascii="Arial"/>
                <w:sz w:val="25"/>
              </w:rPr>
              <w:t>Betsi</w:t>
            </w:r>
            <w:r>
              <w:rPr>
                <w:rFonts w:ascii="Arial"/>
                <w:spacing w:val="-16"/>
                <w:sz w:val="25"/>
              </w:rPr>
              <w:t> </w:t>
            </w:r>
            <w:r>
              <w:rPr>
                <w:rFonts w:ascii="Arial"/>
                <w:sz w:val="25"/>
              </w:rPr>
              <w:t>-</w:t>
            </w:r>
            <w:r>
              <w:rPr>
                <w:rFonts w:ascii="Arial"/>
                <w:spacing w:val="-13"/>
                <w:sz w:val="25"/>
              </w:rPr>
              <w:t> </w:t>
            </w:r>
            <w:r>
              <w:rPr>
                <w:rFonts w:ascii="Arial"/>
                <w:sz w:val="25"/>
              </w:rPr>
              <w:t>CAR1000</w:t>
            </w:r>
            <w:r>
              <w:rPr>
                <w:rFonts w:ascii="Arial"/>
                <w:spacing w:val="-17"/>
                <w:sz w:val="25"/>
              </w:rPr>
              <w:t> </w:t>
            </w:r>
            <w:r>
              <w:rPr>
                <w:rFonts w:ascii="Arial"/>
                <w:sz w:val="25"/>
              </w:rPr>
              <w:t>(Low</w:t>
            </w:r>
            <w:r>
              <w:rPr>
                <w:rFonts w:ascii="Arial"/>
                <w:spacing w:val="-10"/>
                <w:sz w:val="25"/>
              </w:rPr>
              <w:t> </w:t>
            </w:r>
            <w:r>
              <w:rPr>
                <w:rFonts w:ascii="Arial"/>
                <w:spacing w:val="-2"/>
                <w:sz w:val="25"/>
              </w:rPr>
              <w:t>Height)</w:t>
            </w:r>
          </w:p>
        </w:tc>
        <w:tc>
          <w:tcPr>
            <w:tcW w:w="1460"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35</w:t>
            </w:r>
          </w:p>
        </w:tc>
        <w:tc>
          <w:tcPr>
            <w:tcW w:w="1812"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35</w:t>
            </w:r>
          </w:p>
        </w:tc>
      </w:tr>
      <w:tr>
        <w:trPr>
          <w:trHeight w:val="489" w:hRule="atLeast"/>
        </w:trPr>
        <w:tc>
          <w:tcPr>
            <w:tcW w:w="11571" w:type="dxa"/>
            <w:tcBorders>
              <w:top w:val="single" w:sz="12" w:space="0" w:color="000000"/>
              <w:bottom w:val="single" w:sz="12" w:space="0" w:color="000000"/>
              <w:right w:val="single" w:sz="18" w:space="0" w:color="000000"/>
            </w:tcBorders>
          </w:tcPr>
          <w:p>
            <w:pPr>
              <w:pStyle w:val="TableParagraph"/>
              <w:spacing w:before="108"/>
              <w:ind w:left="48"/>
              <w:rPr>
                <w:rFonts w:ascii="Arial"/>
                <w:sz w:val="25"/>
              </w:rPr>
            </w:pPr>
            <w:r>
              <w:rPr>
                <w:rFonts w:ascii="Arial"/>
                <w:sz w:val="25"/>
              </w:rPr>
              <w:t>North</w:t>
            </w:r>
            <w:r>
              <w:rPr>
                <w:rFonts w:ascii="Arial"/>
                <w:spacing w:val="-18"/>
                <w:sz w:val="25"/>
              </w:rPr>
              <w:t> </w:t>
            </w:r>
            <w:r>
              <w:rPr>
                <w:rFonts w:ascii="Arial"/>
                <w:sz w:val="25"/>
              </w:rPr>
              <w:t>East</w:t>
            </w:r>
            <w:r>
              <w:rPr>
                <w:rFonts w:ascii="Arial"/>
                <w:spacing w:val="-17"/>
                <w:sz w:val="25"/>
              </w:rPr>
              <w:t> </w:t>
            </w:r>
            <w:r>
              <w:rPr>
                <w:rFonts w:ascii="Arial"/>
                <w:sz w:val="25"/>
              </w:rPr>
              <w:t>Wales</w:t>
            </w:r>
            <w:r>
              <w:rPr>
                <w:rFonts w:ascii="Arial"/>
                <w:spacing w:val="-18"/>
                <w:sz w:val="25"/>
              </w:rPr>
              <w:t> </w:t>
            </w:r>
            <w:r>
              <w:rPr>
                <w:rFonts w:ascii="Arial"/>
                <w:sz w:val="25"/>
              </w:rPr>
              <w:t>Community</w:t>
            </w:r>
            <w:r>
              <w:rPr>
                <w:rFonts w:ascii="Arial"/>
                <w:spacing w:val="-17"/>
                <w:sz w:val="25"/>
              </w:rPr>
              <w:t> </w:t>
            </w:r>
            <w:r>
              <w:rPr>
                <w:rFonts w:ascii="Arial"/>
                <w:sz w:val="25"/>
              </w:rPr>
              <w:t>Equipment</w:t>
            </w:r>
            <w:r>
              <w:rPr>
                <w:rFonts w:ascii="Arial"/>
                <w:spacing w:val="-17"/>
                <w:sz w:val="25"/>
              </w:rPr>
              <w:t> </w:t>
            </w:r>
            <w:r>
              <w:rPr>
                <w:rFonts w:ascii="Arial"/>
                <w:sz w:val="25"/>
              </w:rPr>
              <w:t>Service</w:t>
            </w:r>
            <w:r>
              <w:rPr>
                <w:rFonts w:ascii="Arial"/>
                <w:spacing w:val="21"/>
                <w:sz w:val="25"/>
              </w:rPr>
              <w:t> </w:t>
            </w:r>
            <w:r>
              <w:rPr>
                <w:rFonts w:ascii="Arial"/>
                <w:sz w:val="25"/>
              </w:rPr>
              <w:t>-</w:t>
            </w:r>
            <w:r>
              <w:rPr>
                <w:rFonts w:ascii="Arial"/>
                <w:spacing w:val="-16"/>
                <w:sz w:val="25"/>
              </w:rPr>
              <w:t> </w:t>
            </w:r>
            <w:r>
              <w:rPr>
                <w:rFonts w:ascii="Arial"/>
                <w:sz w:val="25"/>
              </w:rPr>
              <w:t>Flintshire</w:t>
            </w:r>
            <w:r>
              <w:rPr>
                <w:rFonts w:ascii="Arial"/>
                <w:spacing w:val="-17"/>
                <w:sz w:val="25"/>
              </w:rPr>
              <w:t> </w:t>
            </w:r>
            <w:r>
              <w:rPr>
                <w:rFonts w:ascii="Arial"/>
                <w:sz w:val="25"/>
              </w:rPr>
              <w:t>County</w:t>
            </w:r>
            <w:r>
              <w:rPr>
                <w:rFonts w:ascii="Arial"/>
                <w:spacing w:val="-17"/>
                <w:sz w:val="25"/>
              </w:rPr>
              <w:t> </w:t>
            </w:r>
            <w:r>
              <w:rPr>
                <w:rFonts w:ascii="Arial"/>
                <w:spacing w:val="-2"/>
                <w:sz w:val="25"/>
              </w:rPr>
              <w:t>Council</w:t>
            </w:r>
          </w:p>
        </w:tc>
        <w:tc>
          <w:tcPr>
            <w:tcW w:w="1460"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20</w:t>
            </w:r>
          </w:p>
        </w:tc>
        <w:tc>
          <w:tcPr>
            <w:tcW w:w="1812"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20</w:t>
            </w:r>
          </w:p>
        </w:tc>
      </w:tr>
      <w:tr>
        <w:trPr>
          <w:trHeight w:val="489" w:hRule="atLeast"/>
        </w:trPr>
        <w:tc>
          <w:tcPr>
            <w:tcW w:w="11571" w:type="dxa"/>
            <w:tcBorders>
              <w:top w:val="single" w:sz="12" w:space="0" w:color="000000"/>
              <w:bottom w:val="single" w:sz="12" w:space="0" w:color="000000"/>
              <w:right w:val="single" w:sz="18" w:space="0" w:color="000000"/>
            </w:tcBorders>
          </w:tcPr>
          <w:p>
            <w:pPr>
              <w:pStyle w:val="TableParagraph"/>
              <w:spacing w:before="108"/>
              <w:ind w:left="48"/>
              <w:rPr>
                <w:rFonts w:ascii="Arial"/>
                <w:sz w:val="25"/>
              </w:rPr>
            </w:pPr>
            <w:r>
              <w:rPr>
                <w:rFonts w:ascii="Arial"/>
                <w:spacing w:val="-4"/>
                <w:sz w:val="25"/>
              </w:rPr>
              <w:t>Gwynedd</w:t>
            </w:r>
            <w:r>
              <w:rPr>
                <w:rFonts w:ascii="Arial"/>
                <w:spacing w:val="-9"/>
                <w:sz w:val="25"/>
              </w:rPr>
              <w:t> </w:t>
            </w:r>
            <w:r>
              <w:rPr>
                <w:rFonts w:ascii="Arial"/>
                <w:spacing w:val="-4"/>
                <w:sz w:val="25"/>
              </w:rPr>
              <w:t>Council</w:t>
            </w:r>
            <w:r>
              <w:rPr>
                <w:rFonts w:ascii="Arial"/>
                <w:spacing w:val="-7"/>
                <w:sz w:val="25"/>
              </w:rPr>
              <w:t> </w:t>
            </w:r>
            <w:r>
              <w:rPr>
                <w:rFonts w:ascii="Arial"/>
                <w:spacing w:val="-4"/>
                <w:sz w:val="25"/>
              </w:rPr>
              <w:t>for</w:t>
            </w:r>
            <w:r>
              <w:rPr>
                <w:rFonts w:ascii="Arial"/>
                <w:spacing w:val="-2"/>
                <w:sz w:val="25"/>
              </w:rPr>
              <w:t> </w:t>
            </w:r>
            <w:r>
              <w:rPr>
                <w:rFonts w:ascii="Arial"/>
                <w:spacing w:val="-4"/>
                <w:sz w:val="25"/>
              </w:rPr>
              <w:t>our</w:t>
            </w:r>
            <w:r>
              <w:rPr>
                <w:rFonts w:ascii="Arial"/>
                <w:spacing w:val="-2"/>
                <w:sz w:val="25"/>
              </w:rPr>
              <w:t> </w:t>
            </w:r>
            <w:r>
              <w:rPr>
                <w:rFonts w:ascii="Arial"/>
                <w:spacing w:val="-4"/>
                <w:sz w:val="25"/>
              </w:rPr>
              <w:t>Internal</w:t>
            </w:r>
            <w:r>
              <w:rPr>
                <w:rFonts w:ascii="Arial"/>
                <w:spacing w:val="-7"/>
                <w:sz w:val="25"/>
              </w:rPr>
              <w:t> </w:t>
            </w:r>
            <w:r>
              <w:rPr>
                <w:rFonts w:ascii="Arial"/>
                <w:spacing w:val="-4"/>
                <w:sz w:val="25"/>
              </w:rPr>
              <w:t>Care</w:t>
            </w:r>
            <w:r>
              <w:rPr>
                <w:rFonts w:ascii="Arial"/>
                <w:spacing w:val="-8"/>
                <w:sz w:val="25"/>
              </w:rPr>
              <w:t> </w:t>
            </w:r>
            <w:r>
              <w:rPr>
                <w:rFonts w:ascii="Arial"/>
                <w:spacing w:val="-4"/>
                <w:sz w:val="25"/>
              </w:rPr>
              <w:t>Homes</w:t>
            </w:r>
          </w:p>
        </w:tc>
        <w:tc>
          <w:tcPr>
            <w:tcW w:w="1460"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30</w:t>
            </w:r>
          </w:p>
        </w:tc>
        <w:tc>
          <w:tcPr>
            <w:tcW w:w="1812"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30</w:t>
            </w:r>
          </w:p>
        </w:tc>
      </w:tr>
      <w:tr>
        <w:trPr>
          <w:trHeight w:val="489" w:hRule="atLeast"/>
        </w:trPr>
        <w:tc>
          <w:tcPr>
            <w:tcW w:w="11571" w:type="dxa"/>
            <w:tcBorders>
              <w:top w:val="single" w:sz="12" w:space="0" w:color="000000"/>
              <w:bottom w:val="single" w:sz="12" w:space="0" w:color="000000"/>
              <w:right w:val="single" w:sz="18" w:space="0" w:color="000000"/>
            </w:tcBorders>
          </w:tcPr>
          <w:p>
            <w:pPr>
              <w:pStyle w:val="TableParagraph"/>
              <w:spacing w:before="108"/>
              <w:ind w:left="48"/>
              <w:rPr>
                <w:rFonts w:ascii="Arial"/>
                <w:sz w:val="25"/>
              </w:rPr>
            </w:pPr>
            <w:r>
              <w:rPr>
                <w:rFonts w:ascii="Arial"/>
                <w:spacing w:val="-2"/>
                <w:sz w:val="25"/>
              </w:rPr>
              <w:t>Denbighshire</w:t>
            </w:r>
            <w:r>
              <w:rPr>
                <w:rFonts w:ascii="Arial"/>
                <w:spacing w:val="-12"/>
                <w:sz w:val="25"/>
              </w:rPr>
              <w:t> </w:t>
            </w:r>
            <w:r>
              <w:rPr>
                <w:rFonts w:ascii="Arial"/>
                <w:spacing w:val="-2"/>
                <w:sz w:val="25"/>
              </w:rPr>
              <w:t>Community</w:t>
            </w:r>
            <w:r>
              <w:rPr>
                <w:rFonts w:ascii="Arial"/>
                <w:spacing w:val="-13"/>
                <w:sz w:val="25"/>
              </w:rPr>
              <w:t> </w:t>
            </w:r>
            <w:r>
              <w:rPr>
                <w:rFonts w:ascii="Arial"/>
                <w:spacing w:val="-2"/>
                <w:sz w:val="25"/>
              </w:rPr>
              <w:t>Equipment</w:t>
            </w:r>
          </w:p>
        </w:tc>
        <w:tc>
          <w:tcPr>
            <w:tcW w:w="1460"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20</w:t>
            </w:r>
          </w:p>
        </w:tc>
        <w:tc>
          <w:tcPr>
            <w:tcW w:w="1812"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20</w:t>
            </w:r>
          </w:p>
        </w:tc>
      </w:tr>
      <w:tr>
        <w:trPr>
          <w:trHeight w:val="489" w:hRule="atLeast"/>
        </w:trPr>
        <w:tc>
          <w:tcPr>
            <w:tcW w:w="11571" w:type="dxa"/>
            <w:tcBorders>
              <w:top w:val="single" w:sz="12" w:space="0" w:color="000000"/>
              <w:bottom w:val="single" w:sz="12" w:space="0" w:color="000000"/>
              <w:right w:val="single" w:sz="18" w:space="0" w:color="000000"/>
            </w:tcBorders>
          </w:tcPr>
          <w:p>
            <w:pPr>
              <w:pStyle w:val="TableParagraph"/>
              <w:spacing w:before="108"/>
              <w:ind w:left="48"/>
              <w:rPr>
                <w:rFonts w:ascii="Arial"/>
                <w:sz w:val="25"/>
              </w:rPr>
            </w:pPr>
            <w:r>
              <w:rPr>
                <w:rFonts w:ascii="Arial"/>
                <w:spacing w:val="-2"/>
                <w:sz w:val="25"/>
              </w:rPr>
              <w:t>Denbighshire</w:t>
            </w:r>
            <w:r>
              <w:rPr>
                <w:rFonts w:ascii="Arial"/>
                <w:spacing w:val="-12"/>
                <w:sz w:val="25"/>
              </w:rPr>
              <w:t> </w:t>
            </w:r>
            <w:r>
              <w:rPr>
                <w:rFonts w:ascii="Arial"/>
                <w:spacing w:val="-2"/>
                <w:sz w:val="25"/>
              </w:rPr>
              <w:t>Community</w:t>
            </w:r>
            <w:r>
              <w:rPr>
                <w:rFonts w:ascii="Arial"/>
                <w:spacing w:val="-13"/>
                <w:sz w:val="25"/>
              </w:rPr>
              <w:t> </w:t>
            </w:r>
            <w:r>
              <w:rPr>
                <w:rFonts w:ascii="Arial"/>
                <w:spacing w:val="-2"/>
                <w:sz w:val="25"/>
              </w:rPr>
              <w:t>Equipment</w:t>
            </w:r>
          </w:p>
        </w:tc>
        <w:tc>
          <w:tcPr>
            <w:tcW w:w="1460"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20</w:t>
            </w:r>
          </w:p>
        </w:tc>
        <w:tc>
          <w:tcPr>
            <w:tcW w:w="1812"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20</w:t>
            </w:r>
          </w:p>
        </w:tc>
      </w:tr>
      <w:tr>
        <w:trPr>
          <w:trHeight w:val="489" w:hRule="atLeast"/>
        </w:trPr>
        <w:tc>
          <w:tcPr>
            <w:tcW w:w="11571" w:type="dxa"/>
            <w:tcBorders>
              <w:top w:val="single" w:sz="12" w:space="0" w:color="000000"/>
              <w:bottom w:val="single" w:sz="12" w:space="0" w:color="000000"/>
              <w:right w:val="single" w:sz="18" w:space="0" w:color="000000"/>
            </w:tcBorders>
          </w:tcPr>
          <w:p>
            <w:pPr>
              <w:pStyle w:val="TableParagraph"/>
              <w:spacing w:before="108"/>
              <w:ind w:left="48"/>
              <w:rPr>
                <w:rFonts w:ascii="Arial"/>
                <w:sz w:val="25"/>
              </w:rPr>
            </w:pPr>
            <w:r>
              <w:rPr>
                <w:rFonts w:ascii="Arial"/>
                <w:sz w:val="25"/>
              </w:rPr>
              <w:t>Various</w:t>
            </w:r>
            <w:r>
              <w:rPr>
                <w:rFonts w:ascii="Arial"/>
                <w:spacing w:val="-11"/>
                <w:sz w:val="25"/>
              </w:rPr>
              <w:t> </w:t>
            </w:r>
            <w:r>
              <w:rPr>
                <w:rFonts w:ascii="Arial"/>
                <w:sz w:val="25"/>
              </w:rPr>
              <w:t>Care</w:t>
            </w:r>
            <w:r>
              <w:rPr>
                <w:rFonts w:ascii="Arial"/>
                <w:spacing w:val="-17"/>
                <w:sz w:val="25"/>
              </w:rPr>
              <w:t> </w:t>
            </w:r>
            <w:r>
              <w:rPr>
                <w:rFonts w:ascii="Arial"/>
                <w:sz w:val="25"/>
              </w:rPr>
              <w:t>Homes</w:t>
            </w:r>
            <w:r>
              <w:rPr>
                <w:rFonts w:ascii="Arial"/>
                <w:spacing w:val="46"/>
                <w:sz w:val="25"/>
              </w:rPr>
              <w:t> </w:t>
            </w:r>
            <w:r>
              <w:rPr>
                <w:rFonts w:ascii="Arial"/>
                <w:sz w:val="25"/>
              </w:rPr>
              <w:t>-</w:t>
            </w:r>
            <w:r>
              <w:rPr>
                <w:rFonts w:ascii="Arial"/>
                <w:spacing w:val="-15"/>
                <w:sz w:val="25"/>
              </w:rPr>
              <w:t> </w:t>
            </w:r>
            <w:r>
              <w:rPr>
                <w:rFonts w:ascii="Arial"/>
                <w:spacing w:val="-2"/>
                <w:sz w:val="25"/>
              </w:rPr>
              <w:t>Newport</w:t>
            </w:r>
          </w:p>
        </w:tc>
        <w:tc>
          <w:tcPr>
            <w:tcW w:w="1460"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167</w:t>
            </w:r>
          </w:p>
        </w:tc>
        <w:tc>
          <w:tcPr>
            <w:tcW w:w="1812"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167</w:t>
            </w:r>
          </w:p>
        </w:tc>
      </w:tr>
      <w:tr>
        <w:trPr>
          <w:trHeight w:val="489" w:hRule="atLeast"/>
        </w:trPr>
        <w:tc>
          <w:tcPr>
            <w:tcW w:w="11571" w:type="dxa"/>
            <w:tcBorders>
              <w:top w:val="single" w:sz="12" w:space="0" w:color="000000"/>
              <w:bottom w:val="single" w:sz="12" w:space="0" w:color="000000"/>
              <w:right w:val="single" w:sz="18" w:space="0" w:color="000000"/>
            </w:tcBorders>
          </w:tcPr>
          <w:p>
            <w:pPr>
              <w:pStyle w:val="TableParagraph"/>
              <w:spacing w:before="108"/>
              <w:ind w:left="48"/>
              <w:rPr>
                <w:rFonts w:ascii="Arial"/>
                <w:sz w:val="25"/>
              </w:rPr>
            </w:pPr>
            <w:r>
              <w:rPr>
                <w:rFonts w:ascii="Arial"/>
                <w:spacing w:val="-2"/>
                <w:sz w:val="25"/>
              </w:rPr>
              <w:t>Swansea</w:t>
            </w:r>
            <w:r>
              <w:rPr>
                <w:rFonts w:ascii="Arial"/>
                <w:spacing w:val="-4"/>
                <w:sz w:val="25"/>
              </w:rPr>
              <w:t> </w:t>
            </w:r>
            <w:r>
              <w:rPr>
                <w:rFonts w:ascii="Arial"/>
                <w:spacing w:val="-2"/>
                <w:sz w:val="25"/>
              </w:rPr>
              <w:t>Council</w:t>
            </w:r>
          </w:p>
        </w:tc>
        <w:tc>
          <w:tcPr>
            <w:tcW w:w="1460"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290</w:t>
            </w:r>
          </w:p>
        </w:tc>
        <w:tc>
          <w:tcPr>
            <w:tcW w:w="1812"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290</w:t>
            </w:r>
          </w:p>
        </w:tc>
      </w:tr>
      <w:tr>
        <w:trPr>
          <w:trHeight w:val="489" w:hRule="atLeast"/>
        </w:trPr>
        <w:tc>
          <w:tcPr>
            <w:tcW w:w="11571" w:type="dxa"/>
            <w:tcBorders>
              <w:top w:val="single" w:sz="12" w:space="0" w:color="000000"/>
              <w:bottom w:val="single" w:sz="12" w:space="0" w:color="000000"/>
              <w:right w:val="single" w:sz="18" w:space="0" w:color="000000"/>
            </w:tcBorders>
          </w:tcPr>
          <w:p>
            <w:pPr>
              <w:pStyle w:val="TableParagraph"/>
              <w:spacing w:before="108"/>
              <w:ind w:left="48"/>
              <w:rPr>
                <w:rFonts w:ascii="Arial"/>
                <w:sz w:val="25"/>
              </w:rPr>
            </w:pPr>
            <w:r>
              <w:rPr>
                <w:rFonts w:ascii="Arial"/>
                <w:spacing w:val="-4"/>
                <w:sz w:val="25"/>
              </w:rPr>
              <w:t>Torfaen</w:t>
            </w:r>
            <w:r>
              <w:rPr>
                <w:rFonts w:ascii="Arial"/>
                <w:spacing w:val="-5"/>
                <w:sz w:val="25"/>
              </w:rPr>
              <w:t> </w:t>
            </w:r>
            <w:r>
              <w:rPr>
                <w:rFonts w:ascii="Arial"/>
                <w:spacing w:val="-2"/>
                <w:sz w:val="25"/>
              </w:rPr>
              <w:t>Council</w:t>
            </w:r>
          </w:p>
        </w:tc>
        <w:tc>
          <w:tcPr>
            <w:tcW w:w="1460"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136</w:t>
            </w:r>
          </w:p>
        </w:tc>
        <w:tc>
          <w:tcPr>
            <w:tcW w:w="1812"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136</w:t>
            </w:r>
          </w:p>
        </w:tc>
      </w:tr>
      <w:tr>
        <w:trPr>
          <w:trHeight w:val="489" w:hRule="atLeast"/>
        </w:trPr>
        <w:tc>
          <w:tcPr>
            <w:tcW w:w="11571" w:type="dxa"/>
            <w:tcBorders>
              <w:top w:val="single" w:sz="12" w:space="0" w:color="000000"/>
              <w:bottom w:val="single" w:sz="12" w:space="0" w:color="000000"/>
              <w:right w:val="single" w:sz="18" w:space="0" w:color="000000"/>
            </w:tcBorders>
          </w:tcPr>
          <w:p>
            <w:pPr>
              <w:pStyle w:val="TableParagraph"/>
              <w:spacing w:before="108"/>
              <w:ind w:left="48"/>
              <w:rPr>
                <w:rFonts w:ascii="Arial"/>
                <w:sz w:val="25"/>
              </w:rPr>
            </w:pPr>
            <w:r>
              <w:rPr>
                <w:rFonts w:ascii="Arial"/>
                <w:spacing w:val="-5"/>
                <w:sz w:val="25"/>
              </w:rPr>
              <w:t>Monmouthshire</w:t>
            </w:r>
            <w:r>
              <w:rPr>
                <w:rFonts w:ascii="Arial"/>
                <w:spacing w:val="1"/>
                <w:sz w:val="25"/>
              </w:rPr>
              <w:t> </w:t>
            </w:r>
            <w:r>
              <w:rPr>
                <w:rFonts w:ascii="Arial"/>
                <w:spacing w:val="-2"/>
                <w:sz w:val="25"/>
              </w:rPr>
              <w:t>Council</w:t>
            </w:r>
          </w:p>
        </w:tc>
        <w:tc>
          <w:tcPr>
            <w:tcW w:w="1460"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47</w:t>
            </w:r>
          </w:p>
        </w:tc>
        <w:tc>
          <w:tcPr>
            <w:tcW w:w="1812"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47</w:t>
            </w:r>
          </w:p>
        </w:tc>
      </w:tr>
      <w:tr>
        <w:trPr>
          <w:trHeight w:val="489" w:hRule="atLeast"/>
        </w:trPr>
        <w:tc>
          <w:tcPr>
            <w:tcW w:w="11571" w:type="dxa"/>
            <w:tcBorders>
              <w:top w:val="single" w:sz="12" w:space="0" w:color="000000"/>
              <w:bottom w:val="single" w:sz="12" w:space="0" w:color="000000"/>
              <w:right w:val="single" w:sz="18" w:space="0" w:color="000000"/>
            </w:tcBorders>
          </w:tcPr>
          <w:p>
            <w:pPr>
              <w:pStyle w:val="TableParagraph"/>
              <w:spacing w:before="108"/>
              <w:ind w:left="48"/>
              <w:rPr>
                <w:rFonts w:ascii="Arial"/>
                <w:sz w:val="25"/>
              </w:rPr>
            </w:pPr>
            <w:r>
              <w:rPr>
                <w:rFonts w:ascii="Arial"/>
                <w:spacing w:val="-5"/>
                <w:sz w:val="25"/>
              </w:rPr>
              <w:t>Monmouthshire</w:t>
            </w:r>
            <w:r>
              <w:rPr>
                <w:rFonts w:ascii="Arial"/>
                <w:spacing w:val="1"/>
                <w:sz w:val="25"/>
              </w:rPr>
              <w:t> </w:t>
            </w:r>
            <w:r>
              <w:rPr>
                <w:rFonts w:ascii="Arial"/>
                <w:spacing w:val="-2"/>
                <w:sz w:val="25"/>
              </w:rPr>
              <w:t>Council</w:t>
            </w:r>
          </w:p>
        </w:tc>
        <w:tc>
          <w:tcPr>
            <w:tcW w:w="1460"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40</w:t>
            </w:r>
          </w:p>
        </w:tc>
        <w:tc>
          <w:tcPr>
            <w:tcW w:w="1812"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40</w:t>
            </w:r>
          </w:p>
        </w:tc>
      </w:tr>
      <w:tr>
        <w:trPr>
          <w:trHeight w:val="489" w:hRule="atLeast"/>
        </w:trPr>
        <w:tc>
          <w:tcPr>
            <w:tcW w:w="11571" w:type="dxa"/>
            <w:tcBorders>
              <w:top w:val="single" w:sz="12" w:space="0" w:color="000000"/>
              <w:bottom w:val="single" w:sz="12" w:space="0" w:color="000000"/>
              <w:right w:val="single" w:sz="18" w:space="0" w:color="000000"/>
            </w:tcBorders>
          </w:tcPr>
          <w:p>
            <w:pPr>
              <w:pStyle w:val="TableParagraph"/>
              <w:spacing w:before="108"/>
              <w:ind w:left="48"/>
              <w:rPr>
                <w:rFonts w:ascii="Arial"/>
                <w:sz w:val="25"/>
              </w:rPr>
            </w:pPr>
            <w:r>
              <w:rPr>
                <w:rFonts w:ascii="Arial"/>
                <w:spacing w:val="-4"/>
                <w:sz w:val="25"/>
              </w:rPr>
              <w:t>Ynys</w:t>
            </w:r>
            <w:r>
              <w:rPr>
                <w:rFonts w:ascii="Arial"/>
                <w:spacing w:val="-10"/>
                <w:sz w:val="25"/>
              </w:rPr>
              <w:t> </w:t>
            </w:r>
            <w:r>
              <w:rPr>
                <w:rFonts w:ascii="Arial"/>
                <w:spacing w:val="-5"/>
                <w:sz w:val="25"/>
              </w:rPr>
              <w:t>Mon</w:t>
            </w:r>
          </w:p>
        </w:tc>
        <w:tc>
          <w:tcPr>
            <w:tcW w:w="1460"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10</w:t>
            </w:r>
          </w:p>
        </w:tc>
        <w:tc>
          <w:tcPr>
            <w:tcW w:w="1812" w:type="dxa"/>
            <w:tcBorders>
              <w:top w:val="single" w:sz="12" w:space="0" w:color="000000"/>
              <w:left w:val="single" w:sz="18" w:space="0" w:color="000000"/>
              <w:bottom w:val="single" w:sz="12"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10</w:t>
            </w:r>
          </w:p>
        </w:tc>
      </w:tr>
      <w:tr>
        <w:trPr>
          <w:trHeight w:val="478" w:hRule="atLeast"/>
        </w:trPr>
        <w:tc>
          <w:tcPr>
            <w:tcW w:w="11571" w:type="dxa"/>
            <w:tcBorders>
              <w:top w:val="single" w:sz="12" w:space="0" w:color="000000"/>
              <w:bottom w:val="single" w:sz="18" w:space="0" w:color="000000"/>
              <w:right w:val="single" w:sz="18" w:space="0" w:color="000000"/>
            </w:tcBorders>
          </w:tcPr>
          <w:p>
            <w:pPr>
              <w:pStyle w:val="TableParagraph"/>
              <w:spacing w:before="108"/>
              <w:ind w:left="48"/>
              <w:rPr>
                <w:rFonts w:ascii="Arial"/>
                <w:sz w:val="25"/>
              </w:rPr>
            </w:pPr>
            <w:r>
              <w:rPr>
                <w:rFonts w:ascii="Arial"/>
                <w:spacing w:val="-5"/>
                <w:sz w:val="25"/>
              </w:rPr>
              <w:t>Caerphilly</w:t>
            </w:r>
            <w:r>
              <w:rPr>
                <w:rFonts w:ascii="Arial"/>
                <w:spacing w:val="-1"/>
                <w:sz w:val="25"/>
              </w:rPr>
              <w:t> </w:t>
            </w:r>
            <w:r>
              <w:rPr>
                <w:rFonts w:ascii="Arial"/>
                <w:spacing w:val="-5"/>
                <w:sz w:val="25"/>
              </w:rPr>
              <w:t>CBC</w:t>
            </w:r>
          </w:p>
        </w:tc>
        <w:tc>
          <w:tcPr>
            <w:tcW w:w="1460" w:type="dxa"/>
            <w:tcBorders>
              <w:top w:val="single" w:sz="12" w:space="0" w:color="000000"/>
              <w:left w:val="single" w:sz="18" w:space="0" w:color="000000"/>
              <w:bottom w:val="single" w:sz="18"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43</w:t>
            </w:r>
          </w:p>
        </w:tc>
        <w:tc>
          <w:tcPr>
            <w:tcW w:w="1812" w:type="dxa"/>
            <w:tcBorders>
              <w:top w:val="single" w:sz="12" w:space="0" w:color="000000"/>
              <w:left w:val="single" w:sz="18" w:space="0" w:color="000000"/>
              <w:bottom w:val="single" w:sz="18" w:space="0" w:color="000000"/>
              <w:right w:val="single" w:sz="18" w:space="0" w:color="000000"/>
            </w:tcBorders>
          </w:tcPr>
          <w:p>
            <w:pPr>
              <w:pStyle w:val="TableParagraph"/>
              <w:spacing w:before="108"/>
              <w:ind w:right="-15"/>
              <w:jc w:val="right"/>
              <w:rPr>
                <w:rFonts w:ascii="Arial"/>
                <w:sz w:val="25"/>
              </w:rPr>
            </w:pPr>
            <w:r>
              <w:rPr>
                <w:rFonts w:ascii="Arial"/>
                <w:sz w:val="25"/>
              </w:rPr>
              <w:t>-</w:t>
            </w:r>
            <w:r>
              <w:rPr>
                <w:rFonts w:ascii="Arial"/>
                <w:spacing w:val="-5"/>
                <w:sz w:val="25"/>
              </w:rPr>
              <w:t>43</w:t>
            </w:r>
          </w:p>
        </w:tc>
      </w:tr>
      <w:tr>
        <w:trPr>
          <w:trHeight w:val="474" w:hRule="atLeast"/>
        </w:trPr>
        <w:tc>
          <w:tcPr>
            <w:tcW w:w="11571" w:type="dxa"/>
            <w:tcBorders>
              <w:top w:val="single" w:sz="18" w:space="0" w:color="000000"/>
              <w:bottom w:val="single" w:sz="18" w:space="0" w:color="000000"/>
              <w:right w:val="single" w:sz="18" w:space="0" w:color="000000"/>
            </w:tcBorders>
            <w:shd w:val="clear" w:color="auto" w:fill="FFFFCC"/>
          </w:tcPr>
          <w:p>
            <w:pPr>
              <w:pStyle w:val="TableParagraph"/>
              <w:spacing w:before="88"/>
              <w:ind w:left="48"/>
              <w:rPr>
                <w:rFonts w:ascii="Arial"/>
                <w:b/>
                <w:sz w:val="25"/>
              </w:rPr>
            </w:pPr>
            <w:r>
              <w:rPr>
                <w:rFonts w:ascii="Arial"/>
                <w:b/>
                <w:sz w:val="25"/>
              </w:rPr>
              <w:t>Balance Medstrom</w:t>
            </w:r>
            <w:r>
              <w:rPr>
                <w:rFonts w:ascii="Arial"/>
                <w:b/>
                <w:spacing w:val="-25"/>
                <w:sz w:val="25"/>
              </w:rPr>
              <w:t> </w:t>
            </w:r>
            <w:r>
              <w:rPr>
                <w:rFonts w:ascii="Arial"/>
                <w:b/>
                <w:sz w:val="25"/>
              </w:rPr>
              <w:t>Profiling</w:t>
            </w:r>
            <w:r>
              <w:rPr>
                <w:rFonts w:ascii="Arial"/>
                <w:b/>
                <w:spacing w:val="-9"/>
                <w:sz w:val="25"/>
              </w:rPr>
              <w:t> </w:t>
            </w:r>
            <w:r>
              <w:rPr>
                <w:rFonts w:ascii="Arial"/>
                <w:b/>
                <w:sz w:val="25"/>
              </w:rPr>
              <w:t>beds</w:t>
            </w:r>
            <w:r>
              <w:rPr>
                <w:rFonts w:ascii="Arial"/>
                <w:b/>
                <w:spacing w:val="-13"/>
                <w:sz w:val="25"/>
              </w:rPr>
              <w:t> </w:t>
            </w:r>
            <w:r>
              <w:rPr>
                <w:rFonts w:ascii="Arial"/>
                <w:b/>
                <w:sz w:val="25"/>
              </w:rPr>
              <w:t>with</w:t>
            </w:r>
            <w:r>
              <w:rPr>
                <w:rFonts w:ascii="Arial"/>
                <w:b/>
                <w:spacing w:val="-9"/>
                <w:sz w:val="25"/>
              </w:rPr>
              <w:t> </w:t>
            </w:r>
            <w:r>
              <w:rPr>
                <w:rFonts w:ascii="Arial"/>
                <w:b/>
                <w:sz w:val="25"/>
              </w:rPr>
              <w:t>alerta</w:t>
            </w:r>
            <w:r>
              <w:rPr>
                <w:rFonts w:ascii="Arial"/>
                <w:b/>
                <w:spacing w:val="50"/>
                <w:sz w:val="25"/>
              </w:rPr>
              <w:t> </w:t>
            </w:r>
            <w:r>
              <w:rPr>
                <w:rFonts w:ascii="Arial"/>
                <w:b/>
                <w:sz w:val="25"/>
              </w:rPr>
              <w:t>mattress</w:t>
            </w:r>
            <w:r>
              <w:rPr>
                <w:rFonts w:ascii="Arial"/>
                <w:b/>
                <w:spacing w:val="-12"/>
                <w:sz w:val="25"/>
              </w:rPr>
              <w:t> </w:t>
            </w:r>
            <w:r>
              <w:rPr>
                <w:rFonts w:ascii="Arial"/>
                <w:b/>
                <w:sz w:val="25"/>
              </w:rPr>
              <w:t>Opera</w:t>
            </w:r>
            <w:r>
              <w:rPr>
                <w:rFonts w:ascii="Arial"/>
                <w:b/>
                <w:spacing w:val="50"/>
                <w:sz w:val="25"/>
              </w:rPr>
              <w:t> </w:t>
            </w:r>
            <w:r>
              <w:rPr>
                <w:rFonts w:ascii="Arial"/>
                <w:b/>
                <w:sz w:val="25"/>
              </w:rPr>
              <w:t>-</w:t>
            </w:r>
            <w:r>
              <w:rPr>
                <w:rFonts w:ascii="Arial"/>
                <w:b/>
                <w:spacing w:val="-6"/>
                <w:sz w:val="25"/>
              </w:rPr>
              <w:t> </w:t>
            </w:r>
            <w:r>
              <w:rPr>
                <w:rFonts w:ascii="Arial"/>
                <w:b/>
                <w:spacing w:val="-5"/>
                <w:sz w:val="25"/>
              </w:rPr>
              <w:t>eco</w:t>
            </w:r>
          </w:p>
        </w:tc>
        <w:tc>
          <w:tcPr>
            <w:tcW w:w="1460" w:type="dxa"/>
            <w:tcBorders>
              <w:top w:val="single" w:sz="18" w:space="0" w:color="000000"/>
              <w:left w:val="single" w:sz="18" w:space="0" w:color="000000"/>
              <w:bottom w:val="single" w:sz="18" w:space="0" w:color="000000"/>
              <w:right w:val="single" w:sz="18" w:space="0" w:color="000000"/>
            </w:tcBorders>
            <w:shd w:val="clear" w:color="auto" w:fill="FFFFCC"/>
          </w:tcPr>
          <w:p>
            <w:pPr>
              <w:pStyle w:val="TableParagraph"/>
              <w:spacing w:before="88"/>
              <w:ind w:right="-15"/>
              <w:jc w:val="right"/>
              <w:rPr>
                <w:rFonts w:ascii="Arial"/>
                <w:b/>
                <w:sz w:val="25"/>
              </w:rPr>
            </w:pPr>
            <w:r>
              <w:rPr>
                <w:rFonts w:ascii="Arial"/>
                <w:b/>
                <w:w w:val="100"/>
                <w:sz w:val="25"/>
              </w:rPr>
              <w:t>0</w:t>
            </w:r>
          </w:p>
        </w:tc>
        <w:tc>
          <w:tcPr>
            <w:tcW w:w="1812" w:type="dxa"/>
            <w:tcBorders>
              <w:top w:val="single" w:sz="18" w:space="0" w:color="000000"/>
              <w:left w:val="single" w:sz="18" w:space="0" w:color="000000"/>
              <w:bottom w:val="single" w:sz="18" w:space="0" w:color="000000"/>
              <w:right w:val="single" w:sz="18" w:space="0" w:color="000000"/>
            </w:tcBorders>
            <w:shd w:val="clear" w:color="auto" w:fill="FFFFCC"/>
          </w:tcPr>
          <w:p>
            <w:pPr>
              <w:pStyle w:val="TableParagraph"/>
              <w:spacing w:before="88"/>
              <w:ind w:right="-15"/>
              <w:jc w:val="right"/>
              <w:rPr>
                <w:rFonts w:ascii="Arial"/>
                <w:b/>
                <w:sz w:val="25"/>
              </w:rPr>
            </w:pPr>
            <w:r>
              <w:rPr>
                <w:rFonts w:ascii="Arial"/>
                <w:b/>
                <w:w w:val="100"/>
                <w:sz w:val="25"/>
              </w:rPr>
              <w:t>0</w:t>
            </w:r>
          </w:p>
        </w:tc>
      </w:tr>
      <w:tr>
        <w:trPr>
          <w:trHeight w:val="474" w:hRule="atLeast"/>
        </w:trPr>
        <w:tc>
          <w:tcPr>
            <w:tcW w:w="11571" w:type="dxa"/>
            <w:tcBorders>
              <w:top w:val="single" w:sz="18" w:space="0" w:color="000000"/>
              <w:bottom w:val="single" w:sz="18" w:space="0" w:color="000000"/>
              <w:right w:val="single" w:sz="18" w:space="0" w:color="000000"/>
            </w:tcBorders>
            <w:shd w:val="clear" w:color="auto" w:fill="FFCCFF"/>
          </w:tcPr>
          <w:p>
            <w:pPr>
              <w:pStyle w:val="TableParagraph"/>
              <w:spacing w:before="88"/>
              <w:ind w:left="48"/>
              <w:rPr>
                <w:rFonts w:ascii="Arial"/>
                <w:b/>
                <w:sz w:val="25"/>
              </w:rPr>
            </w:pPr>
            <w:r>
              <w:rPr>
                <w:rFonts w:ascii="Arial"/>
                <w:b/>
                <w:sz w:val="25"/>
              </w:rPr>
              <w:t>Medstrom</w:t>
            </w:r>
            <w:r>
              <w:rPr>
                <w:rFonts w:ascii="Arial"/>
                <w:b/>
                <w:spacing w:val="-26"/>
                <w:sz w:val="25"/>
              </w:rPr>
              <w:t> </w:t>
            </w:r>
            <w:r>
              <w:rPr>
                <w:rFonts w:ascii="Arial"/>
                <w:b/>
                <w:sz w:val="25"/>
              </w:rPr>
              <w:t>Opera</w:t>
            </w:r>
            <w:r>
              <w:rPr>
                <w:rFonts w:ascii="Arial"/>
                <w:b/>
                <w:spacing w:val="-6"/>
                <w:sz w:val="25"/>
              </w:rPr>
              <w:t> </w:t>
            </w:r>
            <w:r>
              <w:rPr>
                <w:rFonts w:ascii="Arial"/>
                <w:b/>
                <w:sz w:val="25"/>
              </w:rPr>
              <w:t>Signature</w:t>
            </w:r>
            <w:r>
              <w:rPr>
                <w:rFonts w:ascii="Arial"/>
                <w:b/>
                <w:spacing w:val="11"/>
                <w:sz w:val="25"/>
              </w:rPr>
              <w:t> </w:t>
            </w:r>
            <w:r>
              <w:rPr>
                <w:rFonts w:ascii="Arial"/>
                <w:b/>
                <w:spacing w:val="-10"/>
                <w:sz w:val="25"/>
              </w:rPr>
              <w:t>4</w:t>
            </w:r>
          </w:p>
        </w:tc>
        <w:tc>
          <w:tcPr>
            <w:tcW w:w="1460" w:type="dxa"/>
            <w:tcBorders>
              <w:top w:val="single" w:sz="18" w:space="0" w:color="000000"/>
              <w:left w:val="single" w:sz="18" w:space="0" w:color="000000"/>
              <w:bottom w:val="single" w:sz="18" w:space="0" w:color="000000"/>
              <w:right w:val="single" w:sz="18" w:space="0" w:color="000000"/>
            </w:tcBorders>
            <w:shd w:val="clear" w:color="auto" w:fill="FFCCFF"/>
          </w:tcPr>
          <w:p>
            <w:pPr>
              <w:pStyle w:val="TableParagraph"/>
              <w:spacing w:before="88"/>
              <w:ind w:right="-15"/>
              <w:jc w:val="right"/>
              <w:rPr>
                <w:rFonts w:ascii="Arial"/>
                <w:b/>
                <w:sz w:val="25"/>
              </w:rPr>
            </w:pPr>
            <w:r>
              <w:rPr>
                <w:rFonts w:ascii="Arial"/>
                <w:b/>
                <w:spacing w:val="-5"/>
                <w:sz w:val="25"/>
              </w:rPr>
              <w:t>80</w:t>
            </w:r>
          </w:p>
        </w:tc>
        <w:tc>
          <w:tcPr>
            <w:tcW w:w="1812" w:type="dxa"/>
            <w:tcBorders>
              <w:top w:val="single" w:sz="18" w:space="0" w:color="000000"/>
              <w:left w:val="single" w:sz="18" w:space="0" w:color="000000"/>
              <w:bottom w:val="single" w:sz="18" w:space="0" w:color="000000"/>
              <w:right w:val="single" w:sz="18" w:space="0" w:color="000000"/>
            </w:tcBorders>
            <w:shd w:val="clear" w:color="auto" w:fill="FFCCFF"/>
          </w:tcPr>
          <w:p>
            <w:pPr>
              <w:pStyle w:val="TableParagraph"/>
              <w:spacing w:before="88"/>
              <w:ind w:right="-15"/>
              <w:jc w:val="right"/>
              <w:rPr>
                <w:rFonts w:ascii="Arial"/>
                <w:b/>
                <w:sz w:val="25"/>
              </w:rPr>
            </w:pPr>
            <w:r>
              <w:rPr>
                <w:rFonts w:ascii="Arial"/>
                <w:b/>
                <w:spacing w:val="-5"/>
                <w:sz w:val="25"/>
              </w:rPr>
              <w:t>80</w:t>
            </w:r>
          </w:p>
        </w:tc>
      </w:tr>
      <w:tr>
        <w:trPr>
          <w:trHeight w:val="474" w:hRule="atLeast"/>
        </w:trPr>
        <w:tc>
          <w:tcPr>
            <w:tcW w:w="11571" w:type="dxa"/>
            <w:tcBorders>
              <w:top w:val="single" w:sz="18" w:space="0" w:color="000000"/>
              <w:bottom w:val="single" w:sz="18" w:space="0" w:color="000000"/>
              <w:right w:val="single" w:sz="18" w:space="0" w:color="000000"/>
            </w:tcBorders>
          </w:tcPr>
          <w:p>
            <w:pPr>
              <w:pStyle w:val="TableParagraph"/>
              <w:spacing w:before="105"/>
              <w:ind w:left="48"/>
              <w:rPr>
                <w:rFonts w:ascii="Arial"/>
                <w:sz w:val="25"/>
              </w:rPr>
            </w:pPr>
            <w:r>
              <w:rPr>
                <w:rFonts w:ascii="Arial"/>
                <w:spacing w:val="-2"/>
                <w:sz w:val="25"/>
              </w:rPr>
              <w:t>Swansea</w:t>
            </w:r>
            <w:r>
              <w:rPr>
                <w:rFonts w:ascii="Arial"/>
                <w:spacing w:val="-4"/>
                <w:sz w:val="25"/>
              </w:rPr>
              <w:t> </w:t>
            </w:r>
            <w:r>
              <w:rPr>
                <w:rFonts w:ascii="Arial"/>
                <w:spacing w:val="-2"/>
                <w:sz w:val="25"/>
              </w:rPr>
              <w:t>Council</w:t>
            </w:r>
          </w:p>
        </w:tc>
        <w:tc>
          <w:tcPr>
            <w:tcW w:w="1460" w:type="dxa"/>
            <w:tcBorders>
              <w:top w:val="single" w:sz="18" w:space="0" w:color="000000"/>
              <w:left w:val="single" w:sz="18" w:space="0" w:color="000000"/>
              <w:bottom w:val="single" w:sz="18" w:space="0" w:color="000000"/>
              <w:right w:val="single" w:sz="18" w:space="0" w:color="000000"/>
            </w:tcBorders>
          </w:tcPr>
          <w:p>
            <w:pPr>
              <w:pStyle w:val="TableParagraph"/>
              <w:spacing w:before="105"/>
              <w:ind w:right="-15"/>
              <w:jc w:val="right"/>
              <w:rPr>
                <w:rFonts w:ascii="Arial"/>
                <w:sz w:val="25"/>
              </w:rPr>
            </w:pPr>
            <w:r>
              <w:rPr>
                <w:rFonts w:ascii="Arial"/>
                <w:sz w:val="25"/>
              </w:rPr>
              <w:t>-</w:t>
            </w:r>
            <w:r>
              <w:rPr>
                <w:rFonts w:ascii="Arial"/>
                <w:spacing w:val="-5"/>
                <w:sz w:val="25"/>
              </w:rPr>
              <w:t>80</w:t>
            </w:r>
          </w:p>
        </w:tc>
        <w:tc>
          <w:tcPr>
            <w:tcW w:w="1812" w:type="dxa"/>
            <w:tcBorders>
              <w:top w:val="single" w:sz="18" w:space="0" w:color="000000"/>
              <w:left w:val="single" w:sz="18" w:space="0" w:color="000000"/>
              <w:bottom w:val="single" w:sz="18" w:space="0" w:color="000000"/>
              <w:right w:val="single" w:sz="18" w:space="0" w:color="000000"/>
            </w:tcBorders>
          </w:tcPr>
          <w:p>
            <w:pPr>
              <w:pStyle w:val="TableParagraph"/>
              <w:spacing w:before="105"/>
              <w:ind w:right="-15"/>
              <w:jc w:val="right"/>
              <w:rPr>
                <w:rFonts w:ascii="Arial"/>
                <w:sz w:val="25"/>
              </w:rPr>
            </w:pPr>
            <w:r>
              <w:rPr>
                <w:rFonts w:ascii="Arial"/>
                <w:sz w:val="25"/>
              </w:rPr>
              <w:t>-</w:t>
            </w:r>
            <w:r>
              <w:rPr>
                <w:rFonts w:ascii="Arial"/>
                <w:spacing w:val="-5"/>
                <w:sz w:val="25"/>
              </w:rPr>
              <w:t>80</w:t>
            </w:r>
          </w:p>
        </w:tc>
      </w:tr>
      <w:tr>
        <w:trPr>
          <w:trHeight w:val="474" w:hRule="atLeast"/>
        </w:trPr>
        <w:tc>
          <w:tcPr>
            <w:tcW w:w="11571" w:type="dxa"/>
            <w:tcBorders>
              <w:top w:val="single" w:sz="18" w:space="0" w:color="000000"/>
              <w:bottom w:val="single" w:sz="18" w:space="0" w:color="000000"/>
              <w:right w:val="single" w:sz="18" w:space="0" w:color="000000"/>
            </w:tcBorders>
            <w:shd w:val="clear" w:color="auto" w:fill="FFCCFF"/>
          </w:tcPr>
          <w:p>
            <w:pPr>
              <w:pStyle w:val="TableParagraph"/>
              <w:spacing w:before="88"/>
              <w:ind w:left="48"/>
              <w:rPr>
                <w:rFonts w:ascii="Arial"/>
                <w:b/>
                <w:sz w:val="25"/>
              </w:rPr>
            </w:pPr>
            <w:r>
              <w:rPr>
                <w:rFonts w:ascii="Arial"/>
                <w:b/>
                <w:sz w:val="25"/>
              </w:rPr>
              <w:t>Balance Medstrom</w:t>
            </w:r>
            <w:r>
              <w:rPr>
                <w:rFonts w:ascii="Arial"/>
                <w:b/>
                <w:spacing w:val="-25"/>
                <w:sz w:val="25"/>
              </w:rPr>
              <w:t> </w:t>
            </w:r>
            <w:r>
              <w:rPr>
                <w:rFonts w:ascii="Arial"/>
                <w:b/>
                <w:sz w:val="25"/>
              </w:rPr>
              <w:t>Opera</w:t>
            </w:r>
            <w:r>
              <w:rPr>
                <w:rFonts w:ascii="Arial"/>
                <w:b/>
                <w:spacing w:val="-12"/>
                <w:sz w:val="25"/>
              </w:rPr>
              <w:t> </w:t>
            </w:r>
            <w:r>
              <w:rPr>
                <w:rFonts w:ascii="Arial"/>
                <w:b/>
                <w:sz w:val="25"/>
              </w:rPr>
              <w:t>Signature</w:t>
            </w:r>
            <w:r>
              <w:rPr>
                <w:rFonts w:ascii="Arial"/>
                <w:b/>
                <w:spacing w:val="4"/>
                <w:sz w:val="25"/>
              </w:rPr>
              <w:t> </w:t>
            </w:r>
            <w:r>
              <w:rPr>
                <w:rFonts w:ascii="Arial"/>
                <w:b/>
                <w:spacing w:val="-10"/>
                <w:sz w:val="25"/>
              </w:rPr>
              <w:t>4</w:t>
            </w:r>
          </w:p>
        </w:tc>
        <w:tc>
          <w:tcPr>
            <w:tcW w:w="1460" w:type="dxa"/>
            <w:tcBorders>
              <w:top w:val="single" w:sz="18" w:space="0" w:color="000000"/>
              <w:left w:val="single" w:sz="18" w:space="0" w:color="000000"/>
              <w:bottom w:val="single" w:sz="18" w:space="0" w:color="000000"/>
              <w:right w:val="single" w:sz="18" w:space="0" w:color="000000"/>
            </w:tcBorders>
            <w:shd w:val="clear" w:color="auto" w:fill="FFCCFF"/>
          </w:tcPr>
          <w:p>
            <w:pPr>
              <w:pStyle w:val="TableParagraph"/>
              <w:spacing w:before="88"/>
              <w:ind w:right="-15"/>
              <w:jc w:val="right"/>
              <w:rPr>
                <w:rFonts w:ascii="Arial"/>
                <w:b/>
                <w:sz w:val="25"/>
              </w:rPr>
            </w:pPr>
            <w:r>
              <w:rPr>
                <w:rFonts w:ascii="Arial"/>
                <w:b/>
                <w:w w:val="100"/>
                <w:sz w:val="25"/>
              </w:rPr>
              <w:t>0</w:t>
            </w:r>
          </w:p>
        </w:tc>
        <w:tc>
          <w:tcPr>
            <w:tcW w:w="1812" w:type="dxa"/>
            <w:tcBorders>
              <w:top w:val="single" w:sz="18" w:space="0" w:color="000000"/>
              <w:left w:val="single" w:sz="18" w:space="0" w:color="000000"/>
              <w:bottom w:val="single" w:sz="18" w:space="0" w:color="000000"/>
              <w:right w:val="single" w:sz="18" w:space="0" w:color="000000"/>
            </w:tcBorders>
            <w:shd w:val="clear" w:color="auto" w:fill="FFCCFF"/>
          </w:tcPr>
          <w:p>
            <w:pPr>
              <w:pStyle w:val="TableParagraph"/>
              <w:spacing w:before="88"/>
              <w:ind w:right="-15"/>
              <w:jc w:val="right"/>
              <w:rPr>
                <w:rFonts w:ascii="Arial"/>
                <w:b/>
                <w:sz w:val="25"/>
              </w:rPr>
            </w:pPr>
            <w:r>
              <w:rPr>
                <w:rFonts w:ascii="Arial"/>
                <w:b/>
                <w:w w:val="100"/>
                <w:sz w:val="25"/>
              </w:rPr>
              <w:t>0</w:t>
            </w:r>
          </w:p>
        </w:tc>
      </w:tr>
    </w:tbl>
    <w:p>
      <w:pPr>
        <w:spacing w:after="0"/>
        <w:jc w:val="right"/>
        <w:rPr>
          <w:rFonts w:ascii="Arial"/>
          <w:sz w:val="25"/>
        </w:rPr>
        <w:sectPr>
          <w:footerReference w:type="default" r:id="rId151"/>
          <w:pgSz w:w="16840" w:h="11910" w:orient="landscape"/>
          <w:pgMar w:footer="644" w:header="0" w:top="680" w:bottom="840" w:left="600" w:right="1000"/>
          <w:pgNumType w:start="4"/>
        </w:sectPr>
      </w:pPr>
    </w:p>
    <w:p>
      <w:pPr>
        <w:pStyle w:val="BodyText"/>
        <w:spacing w:before="6"/>
        <w:rPr>
          <w:rFonts w:ascii="Arial"/>
          <w:sz w:val="2"/>
        </w:rPr>
      </w:pPr>
    </w:p>
    <w:tbl>
      <w:tblPr>
        <w:tblW w:w="0" w:type="auto"/>
        <w:jc w:val="left"/>
        <w:tblInd w:w="1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622"/>
        <w:gridCol w:w="1466"/>
        <w:gridCol w:w="1820"/>
      </w:tblGrid>
      <w:tr>
        <w:trPr>
          <w:trHeight w:val="480" w:hRule="atLeast"/>
        </w:trPr>
        <w:tc>
          <w:tcPr>
            <w:tcW w:w="11622" w:type="dxa"/>
            <w:tcBorders>
              <w:bottom w:val="single" w:sz="18" w:space="0" w:color="000000"/>
              <w:right w:val="single" w:sz="18" w:space="0" w:color="000000"/>
            </w:tcBorders>
            <w:shd w:val="clear" w:color="auto" w:fill="CCCCFF"/>
          </w:tcPr>
          <w:p>
            <w:pPr>
              <w:pStyle w:val="TableParagraph"/>
              <w:spacing w:before="93"/>
              <w:ind w:left="48"/>
              <w:rPr>
                <w:rFonts w:ascii="Arial"/>
                <w:b/>
                <w:sz w:val="25"/>
              </w:rPr>
            </w:pPr>
            <w:r>
              <w:rPr>
                <w:rFonts w:ascii="Arial"/>
                <w:b/>
                <w:sz w:val="25"/>
              </w:rPr>
              <w:t>Renray</w:t>
            </w:r>
            <w:r>
              <w:rPr>
                <w:rFonts w:ascii="Arial"/>
                <w:b/>
                <w:spacing w:val="-22"/>
                <w:sz w:val="25"/>
              </w:rPr>
              <w:t> </w:t>
            </w:r>
            <w:r>
              <w:rPr>
                <w:rFonts w:ascii="Arial"/>
                <w:b/>
                <w:sz w:val="25"/>
              </w:rPr>
              <w:t>Profiling</w:t>
            </w:r>
            <w:r>
              <w:rPr>
                <w:rFonts w:ascii="Arial"/>
                <w:b/>
                <w:spacing w:val="-1"/>
                <w:sz w:val="25"/>
              </w:rPr>
              <w:t> </w:t>
            </w:r>
            <w:r>
              <w:rPr>
                <w:rFonts w:ascii="Arial"/>
                <w:b/>
                <w:sz w:val="25"/>
              </w:rPr>
              <w:t>Beds</w:t>
            </w:r>
            <w:r>
              <w:rPr>
                <w:rFonts w:ascii="Arial"/>
                <w:b/>
                <w:spacing w:val="-3"/>
                <w:sz w:val="25"/>
              </w:rPr>
              <w:t> </w:t>
            </w:r>
            <w:r>
              <w:rPr>
                <w:rFonts w:ascii="Arial"/>
                <w:b/>
                <w:sz w:val="25"/>
              </w:rPr>
              <w:t>with</w:t>
            </w:r>
            <w:r>
              <w:rPr>
                <w:rFonts w:ascii="Arial"/>
                <w:b/>
                <w:spacing w:val="-1"/>
                <w:sz w:val="25"/>
              </w:rPr>
              <w:t> </w:t>
            </w:r>
            <w:r>
              <w:rPr>
                <w:rFonts w:ascii="Arial"/>
                <w:b/>
                <w:spacing w:val="-2"/>
                <w:sz w:val="25"/>
              </w:rPr>
              <w:t>mattress</w:t>
            </w:r>
          </w:p>
        </w:tc>
        <w:tc>
          <w:tcPr>
            <w:tcW w:w="1466" w:type="dxa"/>
            <w:tcBorders>
              <w:left w:val="single" w:sz="18" w:space="0" w:color="000000"/>
              <w:bottom w:val="single" w:sz="18" w:space="0" w:color="000000"/>
              <w:right w:val="single" w:sz="18" w:space="0" w:color="000000"/>
            </w:tcBorders>
            <w:shd w:val="clear" w:color="auto" w:fill="CCCCFF"/>
          </w:tcPr>
          <w:p>
            <w:pPr>
              <w:pStyle w:val="TableParagraph"/>
              <w:spacing w:before="93"/>
              <w:ind w:right="-15"/>
              <w:jc w:val="right"/>
              <w:rPr>
                <w:rFonts w:ascii="Arial"/>
                <w:b/>
                <w:sz w:val="25"/>
              </w:rPr>
            </w:pPr>
            <w:r>
              <w:rPr>
                <w:rFonts w:ascii="Arial"/>
                <w:b/>
                <w:spacing w:val="-5"/>
                <w:sz w:val="25"/>
              </w:rPr>
              <w:t>199</w:t>
            </w:r>
          </w:p>
        </w:tc>
        <w:tc>
          <w:tcPr>
            <w:tcW w:w="1820" w:type="dxa"/>
            <w:tcBorders>
              <w:left w:val="single" w:sz="18" w:space="0" w:color="000000"/>
              <w:bottom w:val="single" w:sz="18" w:space="0" w:color="000000"/>
              <w:right w:val="single" w:sz="18" w:space="0" w:color="000000"/>
            </w:tcBorders>
            <w:shd w:val="clear" w:color="auto" w:fill="CCCCFF"/>
          </w:tcPr>
          <w:p>
            <w:pPr>
              <w:pStyle w:val="TableParagraph"/>
              <w:spacing w:before="93"/>
              <w:ind w:right="-15"/>
              <w:jc w:val="right"/>
              <w:rPr>
                <w:rFonts w:ascii="Arial"/>
                <w:b/>
                <w:sz w:val="25"/>
              </w:rPr>
            </w:pPr>
            <w:r>
              <w:rPr>
                <w:rFonts w:ascii="Arial"/>
                <w:b/>
                <w:spacing w:val="-5"/>
                <w:sz w:val="25"/>
              </w:rPr>
              <w:t>199</w:t>
            </w:r>
          </w:p>
        </w:tc>
      </w:tr>
      <w:tr>
        <w:trPr>
          <w:trHeight w:val="488" w:hRule="atLeast"/>
        </w:trPr>
        <w:tc>
          <w:tcPr>
            <w:tcW w:w="11622" w:type="dxa"/>
            <w:tcBorders>
              <w:top w:val="single" w:sz="18" w:space="0" w:color="000000"/>
              <w:bottom w:val="single" w:sz="12" w:space="0" w:color="000000"/>
              <w:right w:val="single" w:sz="18" w:space="0" w:color="000000"/>
            </w:tcBorders>
          </w:tcPr>
          <w:p>
            <w:pPr>
              <w:pStyle w:val="TableParagraph"/>
              <w:spacing w:before="106"/>
              <w:ind w:left="48"/>
              <w:rPr>
                <w:rFonts w:ascii="Arial"/>
                <w:sz w:val="25"/>
              </w:rPr>
            </w:pPr>
            <w:r>
              <w:rPr>
                <w:rFonts w:ascii="Arial"/>
                <w:sz w:val="25"/>
              </w:rPr>
              <w:t>North</w:t>
            </w:r>
            <w:r>
              <w:rPr>
                <w:rFonts w:ascii="Arial"/>
                <w:spacing w:val="-15"/>
                <w:sz w:val="25"/>
              </w:rPr>
              <w:t> </w:t>
            </w:r>
            <w:r>
              <w:rPr>
                <w:rFonts w:ascii="Arial"/>
                <w:sz w:val="25"/>
              </w:rPr>
              <w:t>East</w:t>
            </w:r>
            <w:r>
              <w:rPr>
                <w:rFonts w:ascii="Arial"/>
                <w:spacing w:val="-11"/>
                <w:sz w:val="25"/>
              </w:rPr>
              <w:t> </w:t>
            </w:r>
            <w:r>
              <w:rPr>
                <w:rFonts w:ascii="Arial"/>
                <w:sz w:val="25"/>
              </w:rPr>
              <w:t>Wales</w:t>
            </w:r>
            <w:r>
              <w:rPr>
                <w:rFonts w:ascii="Arial"/>
                <w:spacing w:val="-2"/>
                <w:sz w:val="25"/>
              </w:rPr>
              <w:t> </w:t>
            </w:r>
            <w:r>
              <w:rPr>
                <w:rFonts w:ascii="Arial"/>
                <w:sz w:val="25"/>
              </w:rPr>
              <w:t>Community</w:t>
            </w:r>
            <w:r>
              <w:rPr>
                <w:rFonts w:ascii="Arial"/>
                <w:spacing w:val="-17"/>
                <w:sz w:val="25"/>
              </w:rPr>
              <w:t> </w:t>
            </w:r>
            <w:r>
              <w:rPr>
                <w:rFonts w:ascii="Arial"/>
                <w:sz w:val="25"/>
              </w:rPr>
              <w:t>Equipment</w:t>
            </w:r>
            <w:r>
              <w:rPr>
                <w:rFonts w:ascii="Arial"/>
                <w:spacing w:val="-11"/>
                <w:sz w:val="25"/>
              </w:rPr>
              <w:t> </w:t>
            </w:r>
            <w:r>
              <w:rPr>
                <w:rFonts w:ascii="Arial"/>
                <w:sz w:val="25"/>
              </w:rPr>
              <w:t>Services</w:t>
            </w:r>
            <w:r>
              <w:rPr>
                <w:rFonts w:ascii="Arial"/>
                <w:spacing w:val="58"/>
                <w:sz w:val="25"/>
              </w:rPr>
              <w:t> </w:t>
            </w:r>
            <w:r>
              <w:rPr>
                <w:rFonts w:ascii="Arial"/>
                <w:sz w:val="25"/>
              </w:rPr>
              <w:t>-</w:t>
            </w:r>
            <w:r>
              <w:rPr>
                <w:rFonts w:ascii="Arial"/>
                <w:spacing w:val="-9"/>
                <w:sz w:val="25"/>
              </w:rPr>
              <w:t> </w:t>
            </w:r>
            <w:r>
              <w:rPr>
                <w:rFonts w:ascii="Arial"/>
                <w:sz w:val="25"/>
              </w:rPr>
              <w:t>Flintshire</w:t>
            </w:r>
            <w:r>
              <w:rPr>
                <w:rFonts w:ascii="Arial"/>
                <w:spacing w:val="-14"/>
                <w:sz w:val="25"/>
              </w:rPr>
              <w:t> </w:t>
            </w:r>
            <w:r>
              <w:rPr>
                <w:rFonts w:ascii="Arial"/>
                <w:sz w:val="25"/>
              </w:rPr>
              <w:t>County</w:t>
            </w:r>
            <w:r>
              <w:rPr>
                <w:rFonts w:ascii="Arial"/>
                <w:spacing w:val="-17"/>
                <w:sz w:val="25"/>
              </w:rPr>
              <w:t> </w:t>
            </w:r>
            <w:r>
              <w:rPr>
                <w:rFonts w:ascii="Arial"/>
                <w:sz w:val="25"/>
              </w:rPr>
              <w:t>Council</w:t>
            </w:r>
            <w:r>
              <w:rPr>
                <w:rFonts w:ascii="Arial"/>
                <w:spacing w:val="-14"/>
                <w:sz w:val="25"/>
              </w:rPr>
              <w:t> </w:t>
            </w:r>
            <w:r>
              <w:rPr>
                <w:rFonts w:ascii="Arial"/>
                <w:sz w:val="25"/>
              </w:rPr>
              <w:t>-</w:t>
            </w:r>
            <w:r>
              <w:rPr>
                <w:rFonts w:ascii="Arial"/>
                <w:spacing w:val="-9"/>
                <w:sz w:val="25"/>
              </w:rPr>
              <w:t> </w:t>
            </w:r>
            <w:r>
              <w:rPr>
                <w:rFonts w:ascii="Arial"/>
                <w:sz w:val="25"/>
              </w:rPr>
              <w:t>CAR1000</w:t>
            </w:r>
            <w:r>
              <w:rPr>
                <w:rFonts w:ascii="Arial"/>
                <w:spacing w:val="-14"/>
                <w:sz w:val="25"/>
              </w:rPr>
              <w:t> </w:t>
            </w:r>
            <w:r>
              <w:rPr>
                <w:rFonts w:ascii="Arial"/>
                <w:sz w:val="25"/>
              </w:rPr>
              <w:t>(Low</w:t>
            </w:r>
            <w:r>
              <w:rPr>
                <w:rFonts w:ascii="Arial"/>
                <w:spacing w:val="-7"/>
                <w:sz w:val="25"/>
              </w:rPr>
              <w:t> </w:t>
            </w:r>
            <w:r>
              <w:rPr>
                <w:rFonts w:ascii="Arial"/>
                <w:spacing w:val="-2"/>
                <w:sz w:val="25"/>
              </w:rPr>
              <w:t>Height)</w:t>
            </w:r>
          </w:p>
        </w:tc>
        <w:tc>
          <w:tcPr>
            <w:tcW w:w="1466" w:type="dxa"/>
            <w:tcBorders>
              <w:top w:val="single" w:sz="18" w:space="0" w:color="000000"/>
              <w:left w:val="single" w:sz="18" w:space="0" w:color="000000"/>
              <w:bottom w:val="single" w:sz="12" w:space="0" w:color="000000"/>
              <w:right w:val="single" w:sz="18" w:space="0" w:color="000000"/>
            </w:tcBorders>
          </w:tcPr>
          <w:p>
            <w:pPr>
              <w:pStyle w:val="TableParagraph"/>
              <w:spacing w:before="106"/>
              <w:ind w:right="-15"/>
              <w:jc w:val="right"/>
              <w:rPr>
                <w:rFonts w:ascii="Arial"/>
                <w:sz w:val="25"/>
              </w:rPr>
            </w:pPr>
            <w:r>
              <w:rPr>
                <w:rFonts w:ascii="Arial"/>
                <w:sz w:val="25"/>
              </w:rPr>
              <w:t>-</w:t>
            </w:r>
            <w:r>
              <w:rPr>
                <w:rFonts w:ascii="Arial"/>
                <w:spacing w:val="-5"/>
                <w:sz w:val="25"/>
              </w:rPr>
              <w:t>35</w:t>
            </w:r>
          </w:p>
        </w:tc>
        <w:tc>
          <w:tcPr>
            <w:tcW w:w="1820" w:type="dxa"/>
            <w:tcBorders>
              <w:top w:val="single" w:sz="18" w:space="0" w:color="000000"/>
              <w:left w:val="single" w:sz="18" w:space="0" w:color="000000"/>
              <w:bottom w:val="single" w:sz="12" w:space="0" w:color="000000"/>
              <w:right w:val="single" w:sz="18" w:space="0" w:color="000000"/>
            </w:tcBorders>
          </w:tcPr>
          <w:p>
            <w:pPr>
              <w:pStyle w:val="TableParagraph"/>
              <w:spacing w:before="106"/>
              <w:ind w:right="-15"/>
              <w:jc w:val="right"/>
              <w:rPr>
                <w:rFonts w:ascii="Arial"/>
                <w:sz w:val="25"/>
              </w:rPr>
            </w:pPr>
            <w:r>
              <w:rPr>
                <w:rFonts w:ascii="Arial"/>
                <w:sz w:val="25"/>
              </w:rPr>
              <w:t>-</w:t>
            </w:r>
            <w:r>
              <w:rPr>
                <w:rFonts w:ascii="Arial"/>
                <w:spacing w:val="-5"/>
                <w:sz w:val="25"/>
              </w:rPr>
              <w:t>35</w:t>
            </w:r>
          </w:p>
        </w:tc>
      </w:tr>
      <w:tr>
        <w:trPr>
          <w:trHeight w:val="491" w:hRule="atLeast"/>
        </w:trPr>
        <w:tc>
          <w:tcPr>
            <w:tcW w:w="11622" w:type="dxa"/>
            <w:tcBorders>
              <w:top w:val="single" w:sz="12" w:space="0" w:color="000000"/>
              <w:bottom w:val="single" w:sz="12" w:space="0" w:color="000000"/>
              <w:right w:val="single" w:sz="18" w:space="0" w:color="000000"/>
            </w:tcBorders>
          </w:tcPr>
          <w:p>
            <w:pPr>
              <w:pStyle w:val="TableParagraph"/>
              <w:spacing w:before="109"/>
              <w:ind w:left="48"/>
              <w:rPr>
                <w:rFonts w:ascii="Arial"/>
                <w:sz w:val="25"/>
              </w:rPr>
            </w:pPr>
            <w:r>
              <w:rPr>
                <w:rFonts w:ascii="Arial"/>
                <w:sz w:val="25"/>
              </w:rPr>
              <w:t>North</w:t>
            </w:r>
            <w:r>
              <w:rPr>
                <w:rFonts w:ascii="Arial"/>
                <w:spacing w:val="-11"/>
                <w:sz w:val="25"/>
              </w:rPr>
              <w:t> </w:t>
            </w:r>
            <w:r>
              <w:rPr>
                <w:rFonts w:ascii="Arial"/>
                <w:sz w:val="25"/>
              </w:rPr>
              <w:t>West</w:t>
            </w:r>
            <w:r>
              <w:rPr>
                <w:rFonts w:ascii="Arial"/>
                <w:spacing w:val="-9"/>
                <w:sz w:val="25"/>
              </w:rPr>
              <w:t> </w:t>
            </w:r>
            <w:r>
              <w:rPr>
                <w:rFonts w:ascii="Arial"/>
                <w:sz w:val="25"/>
              </w:rPr>
              <w:t>Wales</w:t>
            </w:r>
            <w:r>
              <w:rPr>
                <w:rFonts w:ascii="Arial"/>
                <w:spacing w:val="3"/>
                <w:sz w:val="25"/>
              </w:rPr>
              <w:t> </w:t>
            </w:r>
            <w:r>
              <w:rPr>
                <w:rFonts w:ascii="Arial"/>
                <w:sz w:val="25"/>
              </w:rPr>
              <w:t>Community</w:t>
            </w:r>
            <w:r>
              <w:rPr>
                <w:rFonts w:ascii="Arial"/>
                <w:spacing w:val="-14"/>
                <w:sz w:val="25"/>
              </w:rPr>
              <w:t> </w:t>
            </w:r>
            <w:r>
              <w:rPr>
                <w:rFonts w:ascii="Arial"/>
                <w:sz w:val="25"/>
              </w:rPr>
              <w:t>Equipment</w:t>
            </w:r>
            <w:r>
              <w:rPr>
                <w:rFonts w:ascii="Arial"/>
                <w:spacing w:val="-8"/>
                <w:sz w:val="25"/>
              </w:rPr>
              <w:t> </w:t>
            </w:r>
            <w:r>
              <w:rPr>
                <w:rFonts w:ascii="Arial"/>
                <w:sz w:val="25"/>
              </w:rPr>
              <w:t>Services</w:t>
            </w:r>
            <w:r>
              <w:rPr>
                <w:rFonts w:ascii="Arial"/>
                <w:spacing w:val="66"/>
                <w:sz w:val="25"/>
              </w:rPr>
              <w:t> </w:t>
            </w:r>
            <w:r>
              <w:rPr>
                <w:rFonts w:ascii="Arial"/>
                <w:sz w:val="25"/>
              </w:rPr>
              <w:t>-</w:t>
            </w:r>
            <w:r>
              <w:rPr>
                <w:rFonts w:ascii="Arial"/>
                <w:spacing w:val="-5"/>
                <w:sz w:val="25"/>
              </w:rPr>
              <w:t> </w:t>
            </w:r>
            <w:r>
              <w:rPr>
                <w:rFonts w:ascii="Arial"/>
                <w:sz w:val="25"/>
              </w:rPr>
              <w:t>Betsi</w:t>
            </w:r>
            <w:r>
              <w:rPr>
                <w:rFonts w:ascii="Arial"/>
                <w:spacing w:val="-11"/>
                <w:sz w:val="25"/>
              </w:rPr>
              <w:t> </w:t>
            </w:r>
            <w:r>
              <w:rPr>
                <w:rFonts w:ascii="Arial"/>
                <w:sz w:val="25"/>
              </w:rPr>
              <w:t>-</w:t>
            </w:r>
            <w:r>
              <w:rPr>
                <w:rFonts w:ascii="Arial"/>
                <w:spacing w:val="-6"/>
                <w:sz w:val="25"/>
              </w:rPr>
              <w:t> </w:t>
            </w:r>
            <w:r>
              <w:rPr>
                <w:rFonts w:ascii="Arial"/>
                <w:sz w:val="25"/>
              </w:rPr>
              <w:t>CAR1000</w:t>
            </w:r>
            <w:r>
              <w:rPr>
                <w:rFonts w:ascii="Arial"/>
                <w:spacing w:val="-11"/>
                <w:sz w:val="25"/>
              </w:rPr>
              <w:t> </w:t>
            </w:r>
            <w:r>
              <w:rPr>
                <w:rFonts w:ascii="Arial"/>
                <w:sz w:val="25"/>
              </w:rPr>
              <w:t>(Low</w:t>
            </w:r>
            <w:r>
              <w:rPr>
                <w:rFonts w:ascii="Arial"/>
                <w:spacing w:val="-3"/>
                <w:sz w:val="25"/>
              </w:rPr>
              <w:t> </w:t>
            </w:r>
            <w:r>
              <w:rPr>
                <w:rFonts w:ascii="Arial"/>
                <w:spacing w:val="-2"/>
                <w:sz w:val="25"/>
              </w:rPr>
              <w:t>Height)</w:t>
            </w:r>
          </w:p>
        </w:tc>
        <w:tc>
          <w:tcPr>
            <w:tcW w:w="1466" w:type="dxa"/>
            <w:tcBorders>
              <w:top w:val="single" w:sz="12" w:space="0" w:color="000000"/>
              <w:left w:val="single" w:sz="18" w:space="0" w:color="000000"/>
              <w:bottom w:val="single" w:sz="12" w:space="0" w:color="000000"/>
              <w:right w:val="single" w:sz="18" w:space="0" w:color="000000"/>
            </w:tcBorders>
          </w:tcPr>
          <w:p>
            <w:pPr>
              <w:pStyle w:val="TableParagraph"/>
              <w:spacing w:before="109"/>
              <w:ind w:right="-15"/>
              <w:jc w:val="right"/>
              <w:rPr>
                <w:rFonts w:ascii="Arial"/>
                <w:sz w:val="25"/>
              </w:rPr>
            </w:pPr>
            <w:r>
              <w:rPr>
                <w:rFonts w:ascii="Arial"/>
                <w:sz w:val="25"/>
              </w:rPr>
              <w:t>-</w:t>
            </w:r>
            <w:r>
              <w:rPr>
                <w:rFonts w:ascii="Arial"/>
                <w:spacing w:val="-5"/>
                <w:sz w:val="25"/>
              </w:rPr>
              <w:t>35</w:t>
            </w:r>
          </w:p>
        </w:tc>
        <w:tc>
          <w:tcPr>
            <w:tcW w:w="1820" w:type="dxa"/>
            <w:tcBorders>
              <w:top w:val="single" w:sz="12" w:space="0" w:color="000000"/>
              <w:left w:val="single" w:sz="18" w:space="0" w:color="000000"/>
              <w:bottom w:val="single" w:sz="12" w:space="0" w:color="000000"/>
              <w:right w:val="single" w:sz="18" w:space="0" w:color="000000"/>
            </w:tcBorders>
          </w:tcPr>
          <w:p>
            <w:pPr>
              <w:pStyle w:val="TableParagraph"/>
              <w:spacing w:before="109"/>
              <w:ind w:right="-15"/>
              <w:jc w:val="right"/>
              <w:rPr>
                <w:rFonts w:ascii="Arial"/>
                <w:sz w:val="25"/>
              </w:rPr>
            </w:pPr>
            <w:r>
              <w:rPr>
                <w:rFonts w:ascii="Arial"/>
                <w:sz w:val="25"/>
              </w:rPr>
              <w:t>-</w:t>
            </w:r>
            <w:r>
              <w:rPr>
                <w:rFonts w:ascii="Arial"/>
                <w:spacing w:val="-5"/>
                <w:sz w:val="25"/>
              </w:rPr>
              <w:t>35</w:t>
            </w:r>
          </w:p>
        </w:tc>
      </w:tr>
      <w:tr>
        <w:trPr>
          <w:trHeight w:val="491" w:hRule="atLeast"/>
        </w:trPr>
        <w:tc>
          <w:tcPr>
            <w:tcW w:w="11622" w:type="dxa"/>
            <w:tcBorders>
              <w:top w:val="single" w:sz="12" w:space="0" w:color="000000"/>
              <w:bottom w:val="single" w:sz="12" w:space="0" w:color="000000"/>
              <w:right w:val="single" w:sz="18" w:space="0" w:color="000000"/>
            </w:tcBorders>
          </w:tcPr>
          <w:p>
            <w:pPr>
              <w:pStyle w:val="TableParagraph"/>
              <w:spacing w:before="109"/>
              <w:ind w:left="48"/>
              <w:rPr>
                <w:rFonts w:ascii="Arial"/>
                <w:sz w:val="25"/>
              </w:rPr>
            </w:pPr>
            <w:r>
              <w:rPr>
                <w:rFonts w:ascii="Arial"/>
                <w:spacing w:val="-2"/>
                <w:sz w:val="25"/>
              </w:rPr>
              <w:t>Cardiff</w:t>
            </w:r>
            <w:r>
              <w:rPr>
                <w:rFonts w:ascii="Arial"/>
                <w:spacing w:val="-11"/>
                <w:sz w:val="25"/>
              </w:rPr>
              <w:t> </w:t>
            </w:r>
            <w:r>
              <w:rPr>
                <w:rFonts w:ascii="Arial"/>
                <w:spacing w:val="-2"/>
                <w:sz w:val="25"/>
              </w:rPr>
              <w:t>and</w:t>
            </w:r>
            <w:r>
              <w:rPr>
                <w:rFonts w:ascii="Arial"/>
                <w:spacing w:val="-13"/>
                <w:sz w:val="25"/>
              </w:rPr>
              <w:t> </w:t>
            </w:r>
            <w:r>
              <w:rPr>
                <w:rFonts w:ascii="Arial"/>
                <w:spacing w:val="-2"/>
                <w:sz w:val="25"/>
              </w:rPr>
              <w:t>Vale</w:t>
            </w:r>
            <w:r>
              <w:rPr>
                <w:rFonts w:ascii="Arial"/>
                <w:spacing w:val="-13"/>
                <w:sz w:val="25"/>
              </w:rPr>
              <w:t> </w:t>
            </w:r>
            <w:r>
              <w:rPr>
                <w:rFonts w:ascii="Arial"/>
                <w:spacing w:val="-2"/>
                <w:sz w:val="25"/>
              </w:rPr>
              <w:t>Joint</w:t>
            </w:r>
            <w:r>
              <w:rPr>
                <w:rFonts w:ascii="Arial"/>
                <w:spacing w:val="-10"/>
                <w:sz w:val="25"/>
              </w:rPr>
              <w:t> </w:t>
            </w:r>
            <w:r>
              <w:rPr>
                <w:rFonts w:ascii="Arial"/>
                <w:spacing w:val="-2"/>
                <w:sz w:val="25"/>
              </w:rPr>
              <w:t>Equipment</w:t>
            </w:r>
            <w:r>
              <w:rPr>
                <w:rFonts w:ascii="Arial"/>
                <w:spacing w:val="-11"/>
                <w:sz w:val="25"/>
              </w:rPr>
              <w:t> </w:t>
            </w:r>
            <w:r>
              <w:rPr>
                <w:rFonts w:ascii="Arial"/>
                <w:spacing w:val="-2"/>
                <w:sz w:val="25"/>
              </w:rPr>
              <w:t>Services</w:t>
            </w:r>
          </w:p>
        </w:tc>
        <w:tc>
          <w:tcPr>
            <w:tcW w:w="1466" w:type="dxa"/>
            <w:tcBorders>
              <w:top w:val="single" w:sz="12" w:space="0" w:color="000000"/>
              <w:left w:val="single" w:sz="18" w:space="0" w:color="000000"/>
              <w:bottom w:val="single" w:sz="12" w:space="0" w:color="000000"/>
              <w:right w:val="single" w:sz="18" w:space="0" w:color="000000"/>
            </w:tcBorders>
          </w:tcPr>
          <w:p>
            <w:pPr>
              <w:pStyle w:val="TableParagraph"/>
              <w:spacing w:before="109"/>
              <w:ind w:right="-15"/>
              <w:jc w:val="right"/>
              <w:rPr>
                <w:rFonts w:ascii="Arial"/>
                <w:sz w:val="25"/>
              </w:rPr>
            </w:pPr>
            <w:r>
              <w:rPr>
                <w:rFonts w:ascii="Arial"/>
                <w:sz w:val="25"/>
              </w:rPr>
              <w:t>-</w:t>
            </w:r>
            <w:r>
              <w:rPr>
                <w:rFonts w:ascii="Arial"/>
                <w:spacing w:val="-5"/>
                <w:sz w:val="25"/>
              </w:rPr>
              <w:t>50</w:t>
            </w:r>
          </w:p>
        </w:tc>
        <w:tc>
          <w:tcPr>
            <w:tcW w:w="1820" w:type="dxa"/>
            <w:tcBorders>
              <w:top w:val="single" w:sz="12" w:space="0" w:color="000000"/>
              <w:left w:val="single" w:sz="18" w:space="0" w:color="000000"/>
              <w:bottom w:val="single" w:sz="12" w:space="0" w:color="000000"/>
              <w:right w:val="single" w:sz="18" w:space="0" w:color="000000"/>
            </w:tcBorders>
          </w:tcPr>
          <w:p>
            <w:pPr>
              <w:pStyle w:val="TableParagraph"/>
              <w:spacing w:before="109"/>
              <w:ind w:right="-15"/>
              <w:jc w:val="right"/>
              <w:rPr>
                <w:rFonts w:ascii="Arial"/>
                <w:sz w:val="25"/>
              </w:rPr>
            </w:pPr>
            <w:r>
              <w:rPr>
                <w:rFonts w:ascii="Arial"/>
                <w:sz w:val="25"/>
              </w:rPr>
              <w:t>-</w:t>
            </w:r>
            <w:r>
              <w:rPr>
                <w:rFonts w:ascii="Arial"/>
                <w:spacing w:val="-5"/>
                <w:sz w:val="25"/>
              </w:rPr>
              <w:t>50</w:t>
            </w:r>
          </w:p>
        </w:tc>
      </w:tr>
      <w:tr>
        <w:trPr>
          <w:trHeight w:val="479" w:hRule="atLeast"/>
        </w:trPr>
        <w:tc>
          <w:tcPr>
            <w:tcW w:w="11622" w:type="dxa"/>
            <w:tcBorders>
              <w:top w:val="single" w:sz="12" w:space="0" w:color="000000"/>
              <w:bottom w:val="single" w:sz="18" w:space="0" w:color="000000"/>
              <w:right w:val="single" w:sz="18" w:space="0" w:color="000000"/>
            </w:tcBorders>
          </w:tcPr>
          <w:p>
            <w:pPr>
              <w:pStyle w:val="TableParagraph"/>
              <w:spacing w:before="109"/>
              <w:ind w:left="48"/>
              <w:rPr>
                <w:rFonts w:ascii="Arial"/>
                <w:sz w:val="25"/>
              </w:rPr>
            </w:pPr>
            <w:r>
              <w:rPr>
                <w:rFonts w:ascii="Arial"/>
                <w:sz w:val="25"/>
              </w:rPr>
              <w:t>Various</w:t>
            </w:r>
            <w:r>
              <w:rPr>
                <w:rFonts w:ascii="Arial"/>
                <w:spacing w:val="-3"/>
                <w:sz w:val="25"/>
              </w:rPr>
              <w:t> </w:t>
            </w:r>
            <w:r>
              <w:rPr>
                <w:rFonts w:ascii="Arial"/>
                <w:sz w:val="25"/>
              </w:rPr>
              <w:t>Care</w:t>
            </w:r>
            <w:r>
              <w:rPr>
                <w:rFonts w:ascii="Arial"/>
                <w:spacing w:val="-16"/>
                <w:sz w:val="25"/>
              </w:rPr>
              <w:t> </w:t>
            </w:r>
            <w:r>
              <w:rPr>
                <w:rFonts w:ascii="Arial"/>
                <w:sz w:val="25"/>
              </w:rPr>
              <w:t>Homes</w:t>
            </w:r>
            <w:r>
              <w:rPr>
                <w:rFonts w:ascii="Arial"/>
                <w:spacing w:val="56"/>
                <w:sz w:val="25"/>
              </w:rPr>
              <w:t> </w:t>
            </w:r>
            <w:r>
              <w:rPr>
                <w:rFonts w:ascii="Arial"/>
                <w:sz w:val="25"/>
              </w:rPr>
              <w:t>-</w:t>
            </w:r>
            <w:r>
              <w:rPr>
                <w:rFonts w:ascii="Arial"/>
                <w:spacing w:val="-10"/>
                <w:sz w:val="25"/>
              </w:rPr>
              <w:t> </w:t>
            </w:r>
            <w:r>
              <w:rPr>
                <w:rFonts w:ascii="Arial"/>
                <w:spacing w:val="-2"/>
                <w:sz w:val="25"/>
              </w:rPr>
              <w:t>Newport</w:t>
            </w:r>
          </w:p>
        </w:tc>
        <w:tc>
          <w:tcPr>
            <w:tcW w:w="1466" w:type="dxa"/>
            <w:tcBorders>
              <w:top w:val="single" w:sz="12" w:space="0" w:color="000000"/>
              <w:left w:val="single" w:sz="18" w:space="0" w:color="000000"/>
              <w:bottom w:val="single" w:sz="18" w:space="0" w:color="000000"/>
              <w:right w:val="single" w:sz="18" w:space="0" w:color="000000"/>
            </w:tcBorders>
          </w:tcPr>
          <w:p>
            <w:pPr>
              <w:pStyle w:val="TableParagraph"/>
              <w:spacing w:before="109"/>
              <w:ind w:right="-15"/>
              <w:jc w:val="right"/>
              <w:rPr>
                <w:rFonts w:ascii="Arial"/>
                <w:sz w:val="25"/>
              </w:rPr>
            </w:pPr>
            <w:r>
              <w:rPr>
                <w:rFonts w:ascii="Arial"/>
                <w:sz w:val="25"/>
              </w:rPr>
              <w:t>-</w:t>
            </w:r>
            <w:r>
              <w:rPr>
                <w:rFonts w:ascii="Arial"/>
                <w:spacing w:val="-5"/>
                <w:sz w:val="25"/>
              </w:rPr>
              <w:t>79</w:t>
            </w:r>
          </w:p>
        </w:tc>
        <w:tc>
          <w:tcPr>
            <w:tcW w:w="1820" w:type="dxa"/>
            <w:tcBorders>
              <w:top w:val="single" w:sz="12" w:space="0" w:color="000000"/>
              <w:left w:val="single" w:sz="18" w:space="0" w:color="000000"/>
              <w:bottom w:val="single" w:sz="18" w:space="0" w:color="000000"/>
              <w:right w:val="single" w:sz="18" w:space="0" w:color="000000"/>
            </w:tcBorders>
          </w:tcPr>
          <w:p>
            <w:pPr>
              <w:pStyle w:val="TableParagraph"/>
              <w:spacing w:before="109"/>
              <w:ind w:right="-15"/>
              <w:jc w:val="right"/>
              <w:rPr>
                <w:rFonts w:ascii="Arial"/>
                <w:sz w:val="25"/>
              </w:rPr>
            </w:pPr>
            <w:r>
              <w:rPr>
                <w:rFonts w:ascii="Arial"/>
                <w:sz w:val="25"/>
              </w:rPr>
              <w:t>-</w:t>
            </w:r>
            <w:r>
              <w:rPr>
                <w:rFonts w:ascii="Arial"/>
                <w:spacing w:val="-5"/>
                <w:sz w:val="25"/>
              </w:rPr>
              <w:t>79</w:t>
            </w:r>
          </w:p>
        </w:tc>
      </w:tr>
      <w:tr>
        <w:trPr>
          <w:trHeight w:val="476" w:hRule="atLeast"/>
        </w:trPr>
        <w:tc>
          <w:tcPr>
            <w:tcW w:w="11622" w:type="dxa"/>
            <w:tcBorders>
              <w:top w:val="single" w:sz="18" w:space="0" w:color="000000"/>
              <w:bottom w:val="single" w:sz="18" w:space="0" w:color="000000"/>
              <w:right w:val="single" w:sz="18" w:space="0" w:color="000000"/>
            </w:tcBorders>
            <w:shd w:val="clear" w:color="auto" w:fill="CCCCFF"/>
          </w:tcPr>
          <w:p>
            <w:pPr>
              <w:pStyle w:val="TableParagraph"/>
              <w:spacing w:before="89"/>
              <w:ind w:left="48"/>
              <w:rPr>
                <w:rFonts w:ascii="Arial"/>
                <w:b/>
                <w:sz w:val="25"/>
              </w:rPr>
            </w:pPr>
            <w:r>
              <w:rPr>
                <w:rFonts w:ascii="Arial"/>
                <w:b/>
                <w:sz w:val="25"/>
              </w:rPr>
              <w:t>Balance</w:t>
            </w:r>
            <w:r>
              <w:rPr>
                <w:rFonts w:ascii="Arial"/>
                <w:b/>
                <w:spacing w:val="10"/>
                <w:sz w:val="25"/>
              </w:rPr>
              <w:t> </w:t>
            </w:r>
            <w:r>
              <w:rPr>
                <w:rFonts w:ascii="Arial"/>
                <w:b/>
                <w:sz w:val="25"/>
              </w:rPr>
              <w:t>Renray</w:t>
            </w:r>
            <w:r>
              <w:rPr>
                <w:rFonts w:ascii="Arial"/>
                <w:b/>
                <w:spacing w:val="-25"/>
                <w:sz w:val="25"/>
              </w:rPr>
              <w:t> </w:t>
            </w:r>
            <w:r>
              <w:rPr>
                <w:rFonts w:ascii="Arial"/>
                <w:b/>
                <w:sz w:val="25"/>
              </w:rPr>
              <w:t>Profiling</w:t>
            </w:r>
            <w:r>
              <w:rPr>
                <w:rFonts w:ascii="Arial"/>
                <w:b/>
                <w:spacing w:val="-4"/>
                <w:sz w:val="25"/>
              </w:rPr>
              <w:t> </w:t>
            </w:r>
            <w:r>
              <w:rPr>
                <w:rFonts w:ascii="Arial"/>
                <w:b/>
                <w:sz w:val="25"/>
              </w:rPr>
              <w:t>Beds</w:t>
            </w:r>
            <w:r>
              <w:rPr>
                <w:rFonts w:ascii="Arial"/>
                <w:b/>
                <w:spacing w:val="-7"/>
                <w:sz w:val="25"/>
              </w:rPr>
              <w:t> </w:t>
            </w:r>
            <w:r>
              <w:rPr>
                <w:rFonts w:ascii="Arial"/>
                <w:b/>
                <w:sz w:val="25"/>
              </w:rPr>
              <w:t>with</w:t>
            </w:r>
            <w:r>
              <w:rPr>
                <w:rFonts w:ascii="Arial"/>
                <w:b/>
                <w:spacing w:val="-4"/>
                <w:sz w:val="25"/>
              </w:rPr>
              <w:t> </w:t>
            </w:r>
            <w:r>
              <w:rPr>
                <w:rFonts w:ascii="Arial"/>
                <w:b/>
                <w:spacing w:val="-2"/>
                <w:sz w:val="25"/>
              </w:rPr>
              <w:t>mattress</w:t>
            </w:r>
          </w:p>
        </w:tc>
        <w:tc>
          <w:tcPr>
            <w:tcW w:w="1466" w:type="dxa"/>
            <w:tcBorders>
              <w:top w:val="single" w:sz="18" w:space="0" w:color="000000"/>
              <w:left w:val="single" w:sz="18" w:space="0" w:color="000000"/>
              <w:bottom w:val="single" w:sz="18" w:space="0" w:color="000000"/>
              <w:right w:val="single" w:sz="18" w:space="0" w:color="000000"/>
            </w:tcBorders>
            <w:shd w:val="clear" w:color="auto" w:fill="CCCCFF"/>
          </w:tcPr>
          <w:p>
            <w:pPr>
              <w:pStyle w:val="TableParagraph"/>
              <w:spacing w:before="89"/>
              <w:ind w:right="-15"/>
              <w:jc w:val="right"/>
              <w:rPr>
                <w:rFonts w:ascii="Arial"/>
                <w:b/>
                <w:sz w:val="25"/>
              </w:rPr>
            </w:pPr>
            <w:r>
              <w:rPr>
                <w:rFonts w:ascii="Arial"/>
                <w:b/>
                <w:w w:val="101"/>
                <w:sz w:val="25"/>
              </w:rPr>
              <w:t>0</w:t>
            </w:r>
          </w:p>
        </w:tc>
        <w:tc>
          <w:tcPr>
            <w:tcW w:w="1820" w:type="dxa"/>
            <w:tcBorders>
              <w:top w:val="single" w:sz="18" w:space="0" w:color="000000"/>
              <w:left w:val="single" w:sz="18" w:space="0" w:color="000000"/>
              <w:bottom w:val="single" w:sz="18" w:space="0" w:color="000000"/>
              <w:right w:val="single" w:sz="18" w:space="0" w:color="000000"/>
            </w:tcBorders>
            <w:shd w:val="clear" w:color="auto" w:fill="CCCCFF"/>
          </w:tcPr>
          <w:p>
            <w:pPr>
              <w:pStyle w:val="TableParagraph"/>
              <w:spacing w:before="89"/>
              <w:ind w:right="-15"/>
              <w:jc w:val="right"/>
              <w:rPr>
                <w:rFonts w:ascii="Arial"/>
                <w:b/>
                <w:sz w:val="25"/>
              </w:rPr>
            </w:pPr>
            <w:r>
              <w:rPr>
                <w:rFonts w:ascii="Arial"/>
                <w:b/>
                <w:w w:val="101"/>
                <w:sz w:val="25"/>
              </w:rPr>
              <w:t>0</w:t>
            </w:r>
          </w:p>
        </w:tc>
      </w:tr>
      <w:tr>
        <w:trPr>
          <w:trHeight w:val="488" w:hRule="atLeast"/>
        </w:trPr>
        <w:tc>
          <w:tcPr>
            <w:tcW w:w="11622" w:type="dxa"/>
            <w:tcBorders>
              <w:top w:val="single" w:sz="18" w:space="0" w:color="000000"/>
              <w:left w:val="single" w:sz="12" w:space="0" w:color="D4D4D4"/>
              <w:bottom w:val="single" w:sz="12" w:space="0" w:color="000000"/>
              <w:right w:val="single" w:sz="12" w:space="0" w:color="D4D4D4"/>
            </w:tcBorders>
          </w:tcPr>
          <w:p>
            <w:pPr>
              <w:pStyle w:val="TableParagraph"/>
              <w:rPr>
                <w:rFonts w:ascii="Times New Roman"/>
                <w:sz w:val="24"/>
              </w:rPr>
            </w:pPr>
          </w:p>
        </w:tc>
        <w:tc>
          <w:tcPr>
            <w:tcW w:w="1466" w:type="dxa"/>
            <w:tcBorders>
              <w:top w:val="single" w:sz="18" w:space="0" w:color="000000"/>
              <w:left w:val="single" w:sz="12" w:space="0" w:color="D4D4D4"/>
              <w:bottom w:val="single" w:sz="12" w:space="0" w:color="000000"/>
              <w:right w:val="single" w:sz="12" w:space="0" w:color="D4D4D4"/>
            </w:tcBorders>
          </w:tcPr>
          <w:p>
            <w:pPr>
              <w:pStyle w:val="TableParagraph"/>
              <w:rPr>
                <w:rFonts w:ascii="Times New Roman"/>
                <w:sz w:val="24"/>
              </w:rPr>
            </w:pPr>
          </w:p>
        </w:tc>
        <w:tc>
          <w:tcPr>
            <w:tcW w:w="1820" w:type="dxa"/>
            <w:tcBorders>
              <w:top w:val="single" w:sz="18" w:space="0" w:color="000000"/>
              <w:left w:val="single" w:sz="12" w:space="0" w:color="D4D4D4"/>
              <w:bottom w:val="single" w:sz="12" w:space="0" w:color="000000"/>
              <w:right w:val="single" w:sz="12" w:space="0" w:color="D4D4D4"/>
            </w:tcBorders>
          </w:tcPr>
          <w:p>
            <w:pPr>
              <w:pStyle w:val="TableParagraph"/>
              <w:rPr>
                <w:rFonts w:ascii="Times New Roman"/>
                <w:sz w:val="24"/>
              </w:rPr>
            </w:pPr>
          </w:p>
        </w:tc>
      </w:tr>
      <w:tr>
        <w:trPr>
          <w:trHeight w:val="491" w:hRule="atLeast"/>
        </w:trPr>
        <w:tc>
          <w:tcPr>
            <w:tcW w:w="11622" w:type="dxa"/>
            <w:tcBorders>
              <w:top w:val="single" w:sz="12" w:space="0" w:color="000000"/>
              <w:left w:val="single" w:sz="12" w:space="0" w:color="000000"/>
              <w:bottom w:val="single" w:sz="12" w:space="0" w:color="000000"/>
              <w:right w:val="single" w:sz="12" w:space="0" w:color="000000"/>
            </w:tcBorders>
          </w:tcPr>
          <w:p>
            <w:pPr>
              <w:pStyle w:val="TableParagraph"/>
              <w:spacing w:before="109"/>
              <w:ind w:left="43"/>
              <w:rPr>
                <w:rFonts w:ascii="Arial"/>
                <w:sz w:val="25"/>
              </w:rPr>
            </w:pPr>
            <w:r>
              <w:rPr>
                <w:rFonts w:ascii="Arial"/>
                <w:spacing w:val="-2"/>
                <w:sz w:val="25"/>
              </w:rPr>
              <w:t>Available</w:t>
            </w:r>
            <w:r>
              <w:rPr>
                <w:rFonts w:ascii="Arial"/>
                <w:spacing w:val="-16"/>
                <w:sz w:val="25"/>
              </w:rPr>
              <w:t> </w:t>
            </w:r>
            <w:r>
              <w:rPr>
                <w:rFonts w:ascii="Arial"/>
                <w:spacing w:val="-2"/>
                <w:sz w:val="25"/>
              </w:rPr>
              <w:t>units</w:t>
            </w:r>
            <w:r>
              <w:rPr>
                <w:rFonts w:ascii="Arial"/>
                <w:spacing w:val="-10"/>
                <w:sz w:val="25"/>
              </w:rPr>
              <w:t> </w:t>
            </w:r>
            <w:r>
              <w:rPr>
                <w:rFonts w:ascii="Arial"/>
                <w:spacing w:val="-2"/>
                <w:sz w:val="25"/>
              </w:rPr>
              <w:t>September</w:t>
            </w:r>
            <w:r>
              <w:rPr>
                <w:rFonts w:ascii="Arial"/>
                <w:spacing w:val="-14"/>
                <w:sz w:val="25"/>
              </w:rPr>
              <w:t> </w:t>
            </w:r>
            <w:r>
              <w:rPr>
                <w:rFonts w:ascii="Arial"/>
                <w:spacing w:val="-4"/>
                <w:sz w:val="25"/>
              </w:rPr>
              <w:t>2022</w:t>
            </w:r>
          </w:p>
        </w:tc>
        <w:tc>
          <w:tcPr>
            <w:tcW w:w="1466" w:type="dxa"/>
            <w:tcBorders>
              <w:top w:val="single" w:sz="12" w:space="0" w:color="000000"/>
              <w:left w:val="single" w:sz="12" w:space="0" w:color="000000"/>
              <w:bottom w:val="single" w:sz="12" w:space="0" w:color="000000"/>
              <w:right w:val="single" w:sz="12" w:space="0" w:color="000000"/>
            </w:tcBorders>
          </w:tcPr>
          <w:p>
            <w:pPr>
              <w:pStyle w:val="TableParagraph"/>
              <w:spacing w:before="109"/>
              <w:ind w:right="-15"/>
              <w:jc w:val="right"/>
              <w:rPr>
                <w:rFonts w:ascii="Arial"/>
                <w:sz w:val="25"/>
              </w:rPr>
            </w:pPr>
            <w:r>
              <w:rPr>
                <w:rFonts w:ascii="Arial"/>
                <w:spacing w:val="-2"/>
                <w:sz w:val="25"/>
              </w:rPr>
              <w:t>2,328</w:t>
            </w:r>
          </w:p>
        </w:tc>
        <w:tc>
          <w:tcPr>
            <w:tcW w:w="1820" w:type="dxa"/>
            <w:tcBorders>
              <w:top w:val="single" w:sz="12" w:space="0" w:color="000000"/>
              <w:left w:val="single" w:sz="12" w:space="0" w:color="000000"/>
              <w:bottom w:val="single" w:sz="12" w:space="0" w:color="000000"/>
              <w:right w:val="single" w:sz="12" w:space="0" w:color="000000"/>
            </w:tcBorders>
          </w:tcPr>
          <w:p>
            <w:pPr>
              <w:pStyle w:val="TableParagraph"/>
              <w:spacing w:before="109"/>
              <w:ind w:right="-15"/>
              <w:jc w:val="right"/>
              <w:rPr>
                <w:rFonts w:ascii="Arial"/>
                <w:sz w:val="25"/>
              </w:rPr>
            </w:pPr>
            <w:r>
              <w:rPr>
                <w:rFonts w:ascii="Arial"/>
                <w:spacing w:val="-2"/>
                <w:sz w:val="25"/>
              </w:rPr>
              <w:t>2,130</w:t>
            </w:r>
          </w:p>
        </w:tc>
      </w:tr>
      <w:tr>
        <w:trPr>
          <w:trHeight w:val="491" w:hRule="atLeast"/>
        </w:trPr>
        <w:tc>
          <w:tcPr>
            <w:tcW w:w="11622" w:type="dxa"/>
            <w:tcBorders>
              <w:top w:val="single" w:sz="12" w:space="0" w:color="000000"/>
              <w:left w:val="single" w:sz="12" w:space="0" w:color="000000"/>
              <w:bottom w:val="single" w:sz="12" w:space="0" w:color="000000"/>
              <w:right w:val="single" w:sz="12" w:space="0" w:color="000000"/>
            </w:tcBorders>
          </w:tcPr>
          <w:p>
            <w:pPr>
              <w:pStyle w:val="TableParagraph"/>
              <w:spacing w:before="109"/>
              <w:ind w:left="43"/>
              <w:rPr>
                <w:rFonts w:ascii="Arial"/>
                <w:sz w:val="25"/>
              </w:rPr>
            </w:pPr>
            <w:r>
              <w:rPr>
                <w:rFonts w:ascii="Arial"/>
                <w:spacing w:val="-2"/>
                <w:sz w:val="25"/>
              </w:rPr>
              <w:t>Allocated</w:t>
            </w:r>
          </w:p>
        </w:tc>
        <w:tc>
          <w:tcPr>
            <w:tcW w:w="1466" w:type="dxa"/>
            <w:tcBorders>
              <w:top w:val="single" w:sz="12" w:space="0" w:color="000000"/>
              <w:left w:val="single" w:sz="12" w:space="0" w:color="000000"/>
              <w:bottom w:val="single" w:sz="12" w:space="0" w:color="000000"/>
              <w:right w:val="single" w:sz="12" w:space="0" w:color="000000"/>
            </w:tcBorders>
          </w:tcPr>
          <w:p>
            <w:pPr>
              <w:pStyle w:val="TableParagraph"/>
              <w:spacing w:before="109"/>
              <w:ind w:right="-15"/>
              <w:jc w:val="right"/>
              <w:rPr>
                <w:rFonts w:ascii="Arial"/>
                <w:sz w:val="25"/>
              </w:rPr>
            </w:pPr>
            <w:r>
              <w:rPr>
                <w:rFonts w:ascii="Arial"/>
                <w:spacing w:val="-2"/>
                <w:sz w:val="25"/>
              </w:rPr>
              <w:t>2,003</w:t>
            </w:r>
          </w:p>
        </w:tc>
        <w:tc>
          <w:tcPr>
            <w:tcW w:w="1820" w:type="dxa"/>
            <w:tcBorders>
              <w:top w:val="single" w:sz="12" w:space="0" w:color="000000"/>
              <w:left w:val="single" w:sz="12" w:space="0" w:color="000000"/>
              <w:bottom w:val="single" w:sz="12" w:space="0" w:color="000000"/>
              <w:right w:val="single" w:sz="12" w:space="0" w:color="000000"/>
            </w:tcBorders>
          </w:tcPr>
          <w:p>
            <w:pPr>
              <w:pStyle w:val="TableParagraph"/>
              <w:spacing w:before="109"/>
              <w:ind w:right="-15"/>
              <w:jc w:val="right"/>
              <w:rPr>
                <w:rFonts w:ascii="Arial"/>
                <w:sz w:val="25"/>
              </w:rPr>
            </w:pPr>
            <w:r>
              <w:rPr>
                <w:rFonts w:ascii="Arial"/>
                <w:spacing w:val="-2"/>
                <w:sz w:val="25"/>
              </w:rPr>
              <w:t>1,667</w:t>
            </w:r>
          </w:p>
        </w:tc>
      </w:tr>
      <w:tr>
        <w:trPr>
          <w:trHeight w:val="491" w:hRule="atLeast"/>
        </w:trPr>
        <w:tc>
          <w:tcPr>
            <w:tcW w:w="11622" w:type="dxa"/>
            <w:tcBorders>
              <w:top w:val="single" w:sz="12" w:space="0" w:color="000000"/>
              <w:left w:val="single" w:sz="12" w:space="0" w:color="000000"/>
              <w:bottom w:val="single" w:sz="12" w:space="0" w:color="000000"/>
              <w:right w:val="single" w:sz="12" w:space="0" w:color="000000"/>
            </w:tcBorders>
            <w:shd w:val="clear" w:color="auto" w:fill="FFCC99"/>
          </w:tcPr>
          <w:p>
            <w:pPr>
              <w:pStyle w:val="TableParagraph"/>
              <w:spacing w:before="92"/>
              <w:ind w:left="43"/>
              <w:rPr>
                <w:rFonts w:ascii="Arial"/>
                <w:b/>
                <w:sz w:val="25"/>
              </w:rPr>
            </w:pPr>
            <w:r>
              <w:rPr>
                <w:rFonts w:ascii="Arial"/>
                <w:b/>
                <w:spacing w:val="-2"/>
                <w:sz w:val="25"/>
              </w:rPr>
              <w:t>Remaining</w:t>
            </w:r>
            <w:r>
              <w:rPr>
                <w:rFonts w:ascii="Arial"/>
                <w:b/>
                <w:spacing w:val="-1"/>
                <w:sz w:val="25"/>
              </w:rPr>
              <w:t> </w:t>
            </w:r>
            <w:r>
              <w:rPr>
                <w:rFonts w:ascii="Arial"/>
                <w:b/>
                <w:spacing w:val="-2"/>
                <w:sz w:val="25"/>
              </w:rPr>
              <w:t>units</w:t>
            </w:r>
            <w:r>
              <w:rPr>
                <w:rFonts w:ascii="Arial"/>
                <w:b/>
                <w:spacing w:val="-4"/>
                <w:sz w:val="25"/>
              </w:rPr>
              <w:t> </w:t>
            </w:r>
            <w:r>
              <w:rPr>
                <w:rFonts w:ascii="Arial"/>
                <w:b/>
                <w:spacing w:val="-2"/>
                <w:sz w:val="25"/>
              </w:rPr>
              <w:t>January</w:t>
            </w:r>
            <w:r>
              <w:rPr>
                <w:rFonts w:ascii="Arial"/>
                <w:b/>
                <w:spacing w:val="-22"/>
                <w:sz w:val="25"/>
              </w:rPr>
              <w:t> </w:t>
            </w:r>
            <w:r>
              <w:rPr>
                <w:rFonts w:ascii="Arial"/>
                <w:b/>
                <w:spacing w:val="-4"/>
                <w:sz w:val="25"/>
              </w:rPr>
              <w:t>2023</w:t>
            </w:r>
          </w:p>
        </w:tc>
        <w:tc>
          <w:tcPr>
            <w:tcW w:w="1466" w:type="dxa"/>
            <w:tcBorders>
              <w:top w:val="single" w:sz="12" w:space="0" w:color="000000"/>
              <w:left w:val="single" w:sz="12" w:space="0" w:color="000000"/>
              <w:bottom w:val="single" w:sz="12" w:space="0" w:color="000000"/>
              <w:right w:val="single" w:sz="12" w:space="0" w:color="000000"/>
            </w:tcBorders>
            <w:shd w:val="clear" w:color="auto" w:fill="FFCC99"/>
          </w:tcPr>
          <w:p>
            <w:pPr>
              <w:pStyle w:val="TableParagraph"/>
              <w:spacing w:before="92"/>
              <w:ind w:right="-15"/>
              <w:jc w:val="right"/>
              <w:rPr>
                <w:rFonts w:ascii="Arial"/>
                <w:b/>
                <w:sz w:val="25"/>
              </w:rPr>
            </w:pPr>
            <w:r>
              <w:rPr>
                <w:rFonts w:ascii="Arial"/>
                <w:b/>
                <w:spacing w:val="-5"/>
                <w:sz w:val="25"/>
              </w:rPr>
              <w:t>325</w:t>
            </w:r>
          </w:p>
        </w:tc>
        <w:tc>
          <w:tcPr>
            <w:tcW w:w="1820" w:type="dxa"/>
            <w:tcBorders>
              <w:top w:val="single" w:sz="12" w:space="0" w:color="000000"/>
              <w:left w:val="single" w:sz="12" w:space="0" w:color="000000"/>
              <w:bottom w:val="single" w:sz="12" w:space="0" w:color="000000"/>
              <w:right w:val="single" w:sz="12" w:space="0" w:color="000000"/>
            </w:tcBorders>
            <w:shd w:val="clear" w:color="auto" w:fill="FFCC99"/>
          </w:tcPr>
          <w:p>
            <w:pPr>
              <w:pStyle w:val="TableParagraph"/>
              <w:spacing w:before="92"/>
              <w:ind w:right="-15"/>
              <w:jc w:val="right"/>
              <w:rPr>
                <w:rFonts w:ascii="Arial"/>
                <w:b/>
                <w:sz w:val="25"/>
              </w:rPr>
            </w:pPr>
            <w:r>
              <w:rPr>
                <w:rFonts w:ascii="Arial"/>
                <w:b/>
                <w:spacing w:val="-5"/>
                <w:sz w:val="25"/>
              </w:rPr>
              <w:t>463</w:t>
            </w:r>
          </w:p>
        </w:tc>
      </w:tr>
    </w:tbl>
    <w:p>
      <w:pPr>
        <w:spacing w:after="0"/>
        <w:jc w:val="right"/>
        <w:rPr>
          <w:rFonts w:ascii="Arial"/>
          <w:sz w:val="25"/>
        </w:rPr>
        <w:sectPr>
          <w:pgSz w:w="16840" w:h="11910" w:orient="landscape"/>
          <w:pgMar w:header="0" w:footer="644" w:top="680" w:bottom="840" w:left="600" w:right="1000"/>
        </w:sectPr>
      </w:pPr>
    </w:p>
    <w:p>
      <w:pPr>
        <w:pStyle w:val="BodyText"/>
        <w:rPr>
          <w:rFonts w:ascii="Arial"/>
          <w:sz w:val="20"/>
        </w:rPr>
      </w:pPr>
      <w:r>
        <w:rPr/>
        <w:drawing>
          <wp:anchor distT="0" distB="0" distL="0" distR="0" allowOverlap="1" layoutInCell="1" locked="0" behindDoc="0" simplePos="0" relativeHeight="15824384">
            <wp:simplePos x="0" y="0"/>
            <wp:positionH relativeFrom="page">
              <wp:posOffset>0</wp:posOffset>
            </wp:positionH>
            <wp:positionV relativeFrom="page">
              <wp:posOffset>61535</wp:posOffset>
            </wp:positionV>
            <wp:extent cx="7560309" cy="1092259"/>
            <wp:effectExtent l="0" t="0" r="0" b="0"/>
            <wp:wrapNone/>
            <wp:docPr id="171" name="image75.png"/>
            <wp:cNvGraphicFramePr>
              <a:graphicFrameLocks noChangeAspect="1"/>
            </wp:cNvGraphicFramePr>
            <a:graphic>
              <a:graphicData uri="http://schemas.openxmlformats.org/drawingml/2006/picture">
                <pic:pic>
                  <pic:nvPicPr>
                    <pic:cNvPr id="172" name="image75.png"/>
                    <pic:cNvPicPr/>
                  </pic:nvPicPr>
                  <pic:blipFill>
                    <a:blip r:embed="rId148" cstate="print"/>
                    <a:stretch>
                      <a:fillRect/>
                    </a:stretch>
                  </pic:blipFill>
                  <pic:spPr>
                    <a:xfrm>
                      <a:off x="0" y="0"/>
                      <a:ext cx="7560309" cy="1092259"/>
                    </a:xfrm>
                    <a:prstGeom prst="rect">
                      <a:avLst/>
                    </a:prstGeom>
                  </pic:spPr>
                </pic:pic>
              </a:graphicData>
            </a:graphic>
          </wp:anchor>
        </w:drawing>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after="1"/>
        <w:rPr>
          <w:rFonts w:ascii="Arial"/>
          <w:sz w:val="14"/>
        </w:rPr>
      </w:pPr>
    </w:p>
    <w:tbl>
      <w:tblPr>
        <w:tblW w:w="0" w:type="auto"/>
        <w:jc w:val="left"/>
        <w:tblInd w:w="13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52"/>
        <w:gridCol w:w="6095"/>
      </w:tblGrid>
      <w:tr>
        <w:trPr>
          <w:trHeight w:val="583" w:hRule="atLeast"/>
        </w:trPr>
        <w:tc>
          <w:tcPr>
            <w:tcW w:w="3652" w:type="dxa"/>
          </w:tcPr>
          <w:p>
            <w:pPr>
              <w:pStyle w:val="TableParagraph"/>
              <w:ind w:left="108"/>
              <w:rPr>
                <w:b/>
                <w:sz w:val="24"/>
              </w:rPr>
            </w:pPr>
            <w:bookmarkStart w:name=" 6.2.1 Risk Appetite Statement cover pap" w:id="63"/>
            <w:bookmarkEnd w:id="63"/>
            <w:r>
              <w:rPr/>
            </w:r>
            <w:r>
              <w:rPr>
                <w:b/>
                <w:spacing w:val="-2"/>
                <w:sz w:val="24"/>
              </w:rPr>
              <w:t>MEETING</w:t>
            </w:r>
          </w:p>
        </w:tc>
        <w:tc>
          <w:tcPr>
            <w:tcW w:w="6095" w:type="dxa"/>
          </w:tcPr>
          <w:p>
            <w:pPr>
              <w:pStyle w:val="TableParagraph"/>
              <w:spacing w:line="290" w:lineRule="atLeast"/>
              <w:ind w:left="430" w:hanging="238"/>
              <w:rPr>
                <w:sz w:val="24"/>
              </w:rPr>
            </w:pPr>
            <w:r>
              <w:rPr>
                <w:sz w:val="24"/>
              </w:rPr>
              <w:t>Velindre</w:t>
            </w:r>
            <w:r>
              <w:rPr>
                <w:spacing w:val="-8"/>
                <w:sz w:val="24"/>
              </w:rPr>
              <w:t> </w:t>
            </w:r>
            <w:r>
              <w:rPr>
                <w:sz w:val="24"/>
              </w:rPr>
              <w:t>University</w:t>
            </w:r>
            <w:r>
              <w:rPr>
                <w:spacing w:val="-8"/>
                <w:sz w:val="24"/>
              </w:rPr>
              <w:t> </w:t>
            </w:r>
            <w:r>
              <w:rPr>
                <w:sz w:val="24"/>
              </w:rPr>
              <w:t>NHS</w:t>
            </w:r>
            <w:r>
              <w:rPr>
                <w:spacing w:val="-8"/>
                <w:sz w:val="24"/>
              </w:rPr>
              <w:t> </w:t>
            </w:r>
            <w:r>
              <w:rPr>
                <w:sz w:val="24"/>
              </w:rPr>
              <w:t>Trust</w:t>
            </w:r>
            <w:r>
              <w:rPr>
                <w:spacing w:val="-8"/>
                <w:sz w:val="24"/>
              </w:rPr>
              <w:t> </w:t>
            </w:r>
            <w:r>
              <w:rPr>
                <w:sz w:val="24"/>
              </w:rPr>
              <w:t>Audit</w:t>
            </w:r>
            <w:r>
              <w:rPr>
                <w:spacing w:val="-7"/>
                <w:sz w:val="24"/>
              </w:rPr>
              <w:t> </w:t>
            </w:r>
            <w:r>
              <w:rPr>
                <w:sz w:val="24"/>
              </w:rPr>
              <w:t>Committee for NHS Wales Shared Services Partnership</w:t>
            </w:r>
          </w:p>
        </w:tc>
      </w:tr>
      <w:tr>
        <w:trPr>
          <w:trHeight w:val="538" w:hRule="atLeast"/>
        </w:trPr>
        <w:tc>
          <w:tcPr>
            <w:tcW w:w="3652" w:type="dxa"/>
          </w:tcPr>
          <w:p>
            <w:pPr>
              <w:pStyle w:val="TableParagraph"/>
              <w:ind w:left="108"/>
              <w:rPr>
                <w:b/>
                <w:sz w:val="24"/>
              </w:rPr>
            </w:pPr>
            <w:r>
              <w:rPr>
                <w:b/>
                <w:spacing w:val="-4"/>
                <w:sz w:val="24"/>
              </w:rPr>
              <w:t>DATE</w:t>
            </w:r>
          </w:p>
        </w:tc>
        <w:tc>
          <w:tcPr>
            <w:tcW w:w="6095" w:type="dxa"/>
          </w:tcPr>
          <w:p>
            <w:pPr>
              <w:pStyle w:val="TableParagraph"/>
              <w:ind w:left="580" w:right="570"/>
              <w:jc w:val="center"/>
              <w:rPr>
                <w:sz w:val="24"/>
              </w:rPr>
            </w:pPr>
            <w:r>
              <w:rPr>
                <w:sz w:val="24"/>
              </w:rPr>
              <w:t>24</w:t>
            </w:r>
            <w:r>
              <w:rPr>
                <w:spacing w:val="-4"/>
                <w:sz w:val="24"/>
              </w:rPr>
              <w:t> </w:t>
            </w:r>
            <w:r>
              <w:rPr>
                <w:sz w:val="24"/>
              </w:rPr>
              <w:t>January</w:t>
            </w:r>
            <w:r>
              <w:rPr>
                <w:spacing w:val="-1"/>
                <w:sz w:val="24"/>
              </w:rPr>
              <w:t> </w:t>
            </w:r>
            <w:r>
              <w:rPr>
                <w:spacing w:val="-4"/>
                <w:sz w:val="24"/>
              </w:rPr>
              <w:t>2023</w:t>
            </w:r>
          </w:p>
        </w:tc>
      </w:tr>
      <w:tr>
        <w:trPr>
          <w:trHeight w:val="538" w:hRule="atLeast"/>
        </w:trPr>
        <w:tc>
          <w:tcPr>
            <w:tcW w:w="3652" w:type="dxa"/>
          </w:tcPr>
          <w:p>
            <w:pPr>
              <w:pStyle w:val="TableParagraph"/>
              <w:ind w:left="108"/>
              <w:rPr>
                <w:b/>
                <w:sz w:val="24"/>
              </w:rPr>
            </w:pPr>
            <w:r>
              <w:rPr>
                <w:b/>
                <w:sz w:val="24"/>
              </w:rPr>
              <w:t>AGENDA</w:t>
            </w:r>
            <w:r>
              <w:rPr>
                <w:b/>
                <w:spacing w:val="-4"/>
                <w:sz w:val="24"/>
              </w:rPr>
              <w:t> ITEM</w:t>
            </w:r>
          </w:p>
        </w:tc>
        <w:tc>
          <w:tcPr>
            <w:tcW w:w="6095" w:type="dxa"/>
          </w:tcPr>
          <w:p>
            <w:pPr>
              <w:pStyle w:val="TableParagraph"/>
              <w:rPr>
                <w:rFonts w:ascii="Times New Roman"/>
                <w:sz w:val="24"/>
              </w:rPr>
            </w:pPr>
          </w:p>
        </w:tc>
      </w:tr>
      <w:tr>
        <w:trPr>
          <w:trHeight w:val="583" w:hRule="atLeast"/>
        </w:trPr>
        <w:tc>
          <w:tcPr>
            <w:tcW w:w="3652" w:type="dxa"/>
          </w:tcPr>
          <w:p>
            <w:pPr>
              <w:pStyle w:val="TableParagraph"/>
              <w:ind w:left="108"/>
              <w:rPr>
                <w:b/>
                <w:sz w:val="24"/>
              </w:rPr>
            </w:pPr>
            <w:r>
              <w:rPr>
                <w:b/>
                <w:sz w:val="24"/>
              </w:rPr>
              <w:t>PREPARED</w:t>
            </w:r>
            <w:r>
              <w:rPr>
                <w:b/>
                <w:spacing w:val="-3"/>
                <w:sz w:val="24"/>
              </w:rPr>
              <w:t> </w:t>
            </w:r>
            <w:r>
              <w:rPr>
                <w:b/>
                <w:spacing w:val="-5"/>
                <w:sz w:val="24"/>
              </w:rPr>
              <w:t>BY</w:t>
            </w:r>
          </w:p>
        </w:tc>
        <w:tc>
          <w:tcPr>
            <w:tcW w:w="6095" w:type="dxa"/>
          </w:tcPr>
          <w:p>
            <w:pPr>
              <w:pStyle w:val="TableParagraph"/>
              <w:spacing w:line="290" w:lineRule="atLeast"/>
              <w:ind w:left="1680" w:hanging="1019"/>
              <w:rPr>
                <w:sz w:val="24"/>
              </w:rPr>
            </w:pPr>
            <w:r>
              <w:rPr>
                <w:sz w:val="24"/>
              </w:rPr>
              <w:t>Peter</w:t>
            </w:r>
            <w:r>
              <w:rPr>
                <w:spacing w:val="-8"/>
                <w:sz w:val="24"/>
              </w:rPr>
              <w:t> </w:t>
            </w:r>
            <w:r>
              <w:rPr>
                <w:sz w:val="24"/>
              </w:rPr>
              <w:t>Stephenson,</w:t>
            </w:r>
            <w:r>
              <w:rPr>
                <w:spacing w:val="-8"/>
                <w:sz w:val="24"/>
              </w:rPr>
              <w:t> </w:t>
            </w:r>
            <w:r>
              <w:rPr>
                <w:sz w:val="24"/>
              </w:rPr>
              <w:t>Head</w:t>
            </w:r>
            <w:r>
              <w:rPr>
                <w:spacing w:val="-8"/>
                <w:sz w:val="24"/>
              </w:rPr>
              <w:t> </w:t>
            </w:r>
            <w:r>
              <w:rPr>
                <w:sz w:val="24"/>
              </w:rPr>
              <w:t>of</w:t>
            </w:r>
            <w:r>
              <w:rPr>
                <w:spacing w:val="-9"/>
                <w:sz w:val="24"/>
              </w:rPr>
              <w:t> </w:t>
            </w:r>
            <w:r>
              <w:rPr>
                <w:sz w:val="24"/>
              </w:rPr>
              <w:t>Finance</w:t>
            </w:r>
            <w:r>
              <w:rPr>
                <w:spacing w:val="-8"/>
                <w:sz w:val="24"/>
              </w:rPr>
              <w:t> </w:t>
            </w:r>
            <w:r>
              <w:rPr>
                <w:sz w:val="24"/>
              </w:rPr>
              <w:t>and Business Development</w:t>
            </w:r>
          </w:p>
        </w:tc>
      </w:tr>
      <w:tr>
        <w:trPr>
          <w:trHeight w:val="583" w:hRule="atLeast"/>
        </w:trPr>
        <w:tc>
          <w:tcPr>
            <w:tcW w:w="3652" w:type="dxa"/>
          </w:tcPr>
          <w:p>
            <w:pPr>
              <w:pStyle w:val="TableParagraph"/>
              <w:ind w:left="108"/>
              <w:rPr>
                <w:b/>
                <w:sz w:val="24"/>
              </w:rPr>
            </w:pPr>
            <w:r>
              <w:rPr>
                <w:b/>
                <w:sz w:val="24"/>
              </w:rPr>
              <w:t>PRESENTED</w:t>
            </w:r>
            <w:r>
              <w:rPr>
                <w:b/>
                <w:spacing w:val="-2"/>
                <w:sz w:val="24"/>
              </w:rPr>
              <w:t> </w:t>
            </w:r>
            <w:r>
              <w:rPr>
                <w:b/>
                <w:spacing w:val="-5"/>
                <w:sz w:val="24"/>
              </w:rPr>
              <w:t>BY</w:t>
            </w:r>
          </w:p>
        </w:tc>
        <w:tc>
          <w:tcPr>
            <w:tcW w:w="6095" w:type="dxa"/>
          </w:tcPr>
          <w:p>
            <w:pPr>
              <w:pStyle w:val="TableParagraph"/>
              <w:spacing w:line="290" w:lineRule="atLeast"/>
              <w:ind w:left="1680" w:hanging="1019"/>
              <w:rPr>
                <w:sz w:val="24"/>
              </w:rPr>
            </w:pPr>
            <w:r>
              <w:rPr>
                <w:sz w:val="24"/>
              </w:rPr>
              <w:t>Peter</w:t>
            </w:r>
            <w:r>
              <w:rPr>
                <w:spacing w:val="-8"/>
                <w:sz w:val="24"/>
              </w:rPr>
              <w:t> </w:t>
            </w:r>
            <w:r>
              <w:rPr>
                <w:sz w:val="24"/>
              </w:rPr>
              <w:t>Stephenson,</w:t>
            </w:r>
            <w:r>
              <w:rPr>
                <w:spacing w:val="-8"/>
                <w:sz w:val="24"/>
              </w:rPr>
              <w:t> </w:t>
            </w:r>
            <w:r>
              <w:rPr>
                <w:sz w:val="24"/>
              </w:rPr>
              <w:t>Head</w:t>
            </w:r>
            <w:r>
              <w:rPr>
                <w:spacing w:val="-8"/>
                <w:sz w:val="24"/>
              </w:rPr>
              <w:t> </w:t>
            </w:r>
            <w:r>
              <w:rPr>
                <w:sz w:val="24"/>
              </w:rPr>
              <w:t>of</w:t>
            </w:r>
            <w:r>
              <w:rPr>
                <w:spacing w:val="-9"/>
                <w:sz w:val="24"/>
              </w:rPr>
              <w:t> </w:t>
            </w:r>
            <w:r>
              <w:rPr>
                <w:sz w:val="24"/>
              </w:rPr>
              <w:t>Finance</w:t>
            </w:r>
            <w:r>
              <w:rPr>
                <w:spacing w:val="-8"/>
                <w:sz w:val="24"/>
              </w:rPr>
              <w:t> </w:t>
            </w:r>
            <w:r>
              <w:rPr>
                <w:sz w:val="24"/>
              </w:rPr>
              <w:t>and Business Development</w:t>
            </w:r>
          </w:p>
        </w:tc>
      </w:tr>
      <w:tr>
        <w:trPr>
          <w:trHeight w:val="583" w:hRule="atLeast"/>
        </w:trPr>
        <w:tc>
          <w:tcPr>
            <w:tcW w:w="3652" w:type="dxa"/>
          </w:tcPr>
          <w:p>
            <w:pPr>
              <w:pStyle w:val="TableParagraph"/>
              <w:spacing w:line="290" w:lineRule="atLeast"/>
              <w:ind w:left="108" w:right="919"/>
              <w:rPr>
                <w:b/>
                <w:sz w:val="24"/>
              </w:rPr>
            </w:pPr>
            <w:r>
              <w:rPr>
                <w:b/>
                <w:spacing w:val="-2"/>
                <w:sz w:val="24"/>
              </w:rPr>
              <w:t>RESPONSIBLE </w:t>
            </w:r>
            <w:r>
              <w:rPr>
                <w:b/>
                <w:sz w:val="24"/>
              </w:rPr>
              <w:t>HEAD</w:t>
            </w:r>
            <w:r>
              <w:rPr>
                <w:b/>
                <w:spacing w:val="-20"/>
                <w:sz w:val="24"/>
              </w:rPr>
              <w:t> </w:t>
            </w:r>
            <w:r>
              <w:rPr>
                <w:b/>
                <w:sz w:val="24"/>
              </w:rPr>
              <w:t>OF</w:t>
            </w:r>
            <w:r>
              <w:rPr>
                <w:b/>
                <w:spacing w:val="-19"/>
                <w:sz w:val="24"/>
              </w:rPr>
              <w:t> </w:t>
            </w:r>
            <w:r>
              <w:rPr>
                <w:b/>
                <w:sz w:val="24"/>
              </w:rPr>
              <w:t>SERVICE</w:t>
            </w:r>
          </w:p>
        </w:tc>
        <w:tc>
          <w:tcPr>
            <w:tcW w:w="6095" w:type="dxa"/>
          </w:tcPr>
          <w:p>
            <w:pPr>
              <w:pStyle w:val="TableParagraph"/>
              <w:spacing w:line="290" w:lineRule="atLeast"/>
              <w:ind w:left="2542" w:hanging="2334"/>
              <w:rPr>
                <w:sz w:val="24"/>
              </w:rPr>
            </w:pPr>
            <w:r>
              <w:rPr>
                <w:sz w:val="24"/>
              </w:rPr>
              <w:t>Andy</w:t>
            </w:r>
            <w:r>
              <w:rPr>
                <w:spacing w:val="-6"/>
                <w:sz w:val="24"/>
              </w:rPr>
              <w:t> </w:t>
            </w:r>
            <w:r>
              <w:rPr>
                <w:sz w:val="24"/>
              </w:rPr>
              <w:t>Butler,</w:t>
            </w:r>
            <w:r>
              <w:rPr>
                <w:spacing w:val="-6"/>
                <w:sz w:val="24"/>
              </w:rPr>
              <w:t> </w:t>
            </w:r>
            <w:r>
              <w:rPr>
                <w:sz w:val="24"/>
              </w:rPr>
              <w:t>Director</w:t>
            </w:r>
            <w:r>
              <w:rPr>
                <w:spacing w:val="-7"/>
                <w:sz w:val="24"/>
              </w:rPr>
              <w:t> </w:t>
            </w:r>
            <w:r>
              <w:rPr>
                <w:sz w:val="24"/>
              </w:rPr>
              <w:t>of</w:t>
            </w:r>
            <w:r>
              <w:rPr>
                <w:spacing w:val="-7"/>
                <w:sz w:val="24"/>
              </w:rPr>
              <w:t> </w:t>
            </w:r>
            <w:r>
              <w:rPr>
                <w:sz w:val="24"/>
              </w:rPr>
              <w:t>Finance</w:t>
            </w:r>
            <w:r>
              <w:rPr>
                <w:spacing w:val="-7"/>
                <w:sz w:val="24"/>
              </w:rPr>
              <w:t> </w:t>
            </w:r>
            <w:r>
              <w:rPr>
                <w:sz w:val="24"/>
              </w:rPr>
              <w:t>and</w:t>
            </w:r>
            <w:r>
              <w:rPr>
                <w:spacing w:val="-6"/>
                <w:sz w:val="24"/>
              </w:rPr>
              <w:t> </w:t>
            </w:r>
            <w:r>
              <w:rPr>
                <w:sz w:val="24"/>
              </w:rPr>
              <w:t>Corporate </w:t>
            </w:r>
            <w:r>
              <w:rPr>
                <w:spacing w:val="-2"/>
                <w:sz w:val="24"/>
              </w:rPr>
              <w:t>Services</w:t>
            </w:r>
          </w:p>
        </w:tc>
      </w:tr>
      <w:tr>
        <w:trPr>
          <w:trHeight w:val="627" w:hRule="atLeast"/>
        </w:trPr>
        <w:tc>
          <w:tcPr>
            <w:tcW w:w="3652" w:type="dxa"/>
          </w:tcPr>
          <w:p>
            <w:pPr>
              <w:pStyle w:val="TableParagraph"/>
              <w:ind w:left="108"/>
              <w:rPr>
                <w:b/>
                <w:sz w:val="24"/>
              </w:rPr>
            </w:pPr>
            <w:r>
              <w:rPr>
                <w:b/>
                <w:sz w:val="24"/>
              </w:rPr>
              <w:t>TITLE</w:t>
            </w:r>
            <w:r>
              <w:rPr>
                <w:b/>
                <w:spacing w:val="-2"/>
                <w:sz w:val="24"/>
              </w:rPr>
              <w:t> </w:t>
            </w:r>
            <w:r>
              <w:rPr>
                <w:b/>
                <w:sz w:val="24"/>
              </w:rPr>
              <w:t>OF</w:t>
            </w:r>
            <w:r>
              <w:rPr>
                <w:b/>
                <w:spacing w:val="-1"/>
                <w:sz w:val="24"/>
              </w:rPr>
              <w:t> </w:t>
            </w:r>
            <w:r>
              <w:rPr>
                <w:b/>
                <w:spacing w:val="-2"/>
                <w:sz w:val="24"/>
              </w:rPr>
              <w:t>REPORT</w:t>
            </w:r>
          </w:p>
        </w:tc>
        <w:tc>
          <w:tcPr>
            <w:tcW w:w="6095" w:type="dxa"/>
          </w:tcPr>
          <w:p>
            <w:pPr>
              <w:pStyle w:val="TableParagraph"/>
              <w:ind w:left="580" w:right="571"/>
              <w:jc w:val="center"/>
              <w:rPr>
                <w:sz w:val="24"/>
              </w:rPr>
            </w:pPr>
            <w:r>
              <w:rPr>
                <w:sz w:val="24"/>
              </w:rPr>
              <w:t>NWSSP</w:t>
            </w:r>
            <w:r>
              <w:rPr>
                <w:spacing w:val="-5"/>
                <w:sz w:val="24"/>
              </w:rPr>
              <w:t> </w:t>
            </w:r>
            <w:r>
              <w:rPr>
                <w:sz w:val="24"/>
              </w:rPr>
              <w:t>Risk</w:t>
            </w:r>
            <w:r>
              <w:rPr>
                <w:spacing w:val="-5"/>
                <w:sz w:val="24"/>
              </w:rPr>
              <w:t> </w:t>
            </w:r>
            <w:r>
              <w:rPr>
                <w:sz w:val="24"/>
              </w:rPr>
              <w:t>Appetite</w:t>
            </w:r>
            <w:r>
              <w:rPr>
                <w:spacing w:val="-4"/>
                <w:sz w:val="24"/>
              </w:rPr>
              <w:t> </w:t>
            </w:r>
            <w:r>
              <w:rPr>
                <w:spacing w:val="-2"/>
                <w:sz w:val="24"/>
              </w:rPr>
              <w:t>Statement</w:t>
            </w:r>
          </w:p>
        </w:tc>
      </w:tr>
    </w:tbl>
    <w:p>
      <w:pPr>
        <w:pStyle w:val="BodyText"/>
        <w:spacing w:before="5"/>
        <w:rPr>
          <w:rFonts w:ascii="Arial"/>
          <w:sz w:val="23"/>
        </w:rPr>
      </w:pPr>
      <w:r>
        <w:rPr/>
        <w:pict>
          <v:shape style="position:absolute;margin-left:65.5pt;margin-top:14.956005pt;width:487.35pt;height:58.85pt;mso-position-horizontal-relative:page;mso-position-vertical-relative:paragraph;z-index:-15633408;mso-wrap-distance-left:0;mso-wrap-distance-right:0" type="#_x0000_t202" id="docshape443" filled="false" stroked="true" strokeweight=".5pt" strokecolor="#000000">
            <v:textbox inset="0,0,0,0">
              <w:txbxContent>
                <w:p>
                  <w:pPr>
                    <w:spacing w:before="0"/>
                    <w:ind w:left="103" w:right="0" w:firstLine="0"/>
                    <w:jc w:val="left"/>
                    <w:rPr>
                      <w:b/>
                      <w:sz w:val="24"/>
                    </w:rPr>
                  </w:pPr>
                  <w:r>
                    <w:rPr>
                      <w:b/>
                      <w:spacing w:val="-2"/>
                      <w:sz w:val="24"/>
                    </w:rPr>
                    <w:t>PURPOSE</w:t>
                  </w:r>
                </w:p>
                <w:p>
                  <w:pPr>
                    <w:pStyle w:val="BodyText"/>
                    <w:spacing w:before="12"/>
                    <w:rPr>
                      <w:b/>
                      <w:sz w:val="23"/>
                    </w:rPr>
                  </w:pPr>
                </w:p>
                <w:p>
                  <w:pPr>
                    <w:pStyle w:val="BodyText"/>
                    <w:ind w:left="103"/>
                  </w:pPr>
                  <w:r>
                    <w:rPr/>
                    <w:t>To</w:t>
                  </w:r>
                  <w:r>
                    <w:rPr>
                      <w:spacing w:val="-5"/>
                    </w:rPr>
                    <w:t> </w:t>
                  </w:r>
                  <w:r>
                    <w:rPr/>
                    <w:t>request</w:t>
                  </w:r>
                  <w:r>
                    <w:rPr>
                      <w:spacing w:val="-3"/>
                    </w:rPr>
                    <w:t> </w:t>
                  </w:r>
                  <w:r>
                    <w:rPr/>
                    <w:t>the</w:t>
                  </w:r>
                  <w:r>
                    <w:rPr>
                      <w:spacing w:val="-3"/>
                    </w:rPr>
                    <w:t> </w:t>
                  </w:r>
                  <w:r>
                    <w:rPr/>
                    <w:t>Audit</w:t>
                  </w:r>
                  <w:r>
                    <w:rPr>
                      <w:spacing w:val="-3"/>
                    </w:rPr>
                    <w:t> </w:t>
                  </w:r>
                  <w:r>
                    <w:rPr/>
                    <w:t>Committee</w:t>
                  </w:r>
                  <w:r>
                    <w:rPr>
                      <w:spacing w:val="-3"/>
                    </w:rPr>
                    <w:t> </w:t>
                  </w:r>
                  <w:r>
                    <w:rPr/>
                    <w:t>to</w:t>
                  </w:r>
                  <w:r>
                    <w:rPr>
                      <w:spacing w:val="-3"/>
                    </w:rPr>
                    <w:t> </w:t>
                  </w:r>
                  <w:r>
                    <w:rPr/>
                    <w:t>note</w:t>
                  </w:r>
                  <w:r>
                    <w:rPr>
                      <w:spacing w:val="-2"/>
                    </w:rPr>
                    <w:t> </w:t>
                  </w:r>
                  <w:r>
                    <w:rPr/>
                    <w:t>the</w:t>
                  </w:r>
                  <w:r>
                    <w:rPr>
                      <w:spacing w:val="-4"/>
                    </w:rPr>
                    <w:t> </w:t>
                  </w:r>
                  <w:r>
                    <w:rPr/>
                    <w:t>Risk</w:t>
                  </w:r>
                  <w:r>
                    <w:rPr>
                      <w:spacing w:val="-3"/>
                    </w:rPr>
                    <w:t> </w:t>
                  </w:r>
                  <w:r>
                    <w:rPr/>
                    <w:t>Appetite</w:t>
                  </w:r>
                  <w:r>
                    <w:rPr>
                      <w:spacing w:val="-3"/>
                    </w:rPr>
                    <w:t> </w:t>
                  </w:r>
                  <w:r>
                    <w:rPr>
                      <w:spacing w:val="-2"/>
                    </w:rPr>
                    <w:t>Statement.</w:t>
                  </w:r>
                </w:p>
              </w:txbxContent>
            </v:textbox>
            <v:stroke dashstyle="solid"/>
            <w10:wrap type="topAndBottom"/>
          </v:shape>
        </w:pict>
      </w:r>
    </w:p>
    <w:p>
      <w:pPr>
        <w:pStyle w:val="BodyText"/>
        <w:spacing w:before="8"/>
        <w:rPr>
          <w:rFonts w:ascii="Arial"/>
          <w:sz w:val="15"/>
        </w:rPr>
      </w:pPr>
    </w:p>
    <w:p>
      <w:pPr>
        <w:pStyle w:val="Heading9"/>
        <w:numPr>
          <w:ilvl w:val="0"/>
          <w:numId w:val="33"/>
        </w:numPr>
        <w:tabs>
          <w:tab w:pos="1779" w:val="left" w:leader="none"/>
        </w:tabs>
        <w:spacing w:line="240" w:lineRule="auto" w:before="100" w:after="0"/>
        <w:ind w:left="1778" w:right="0" w:hanging="361"/>
        <w:jc w:val="left"/>
      </w:pPr>
      <w:r>
        <w:rPr>
          <w:spacing w:val="-2"/>
        </w:rPr>
        <w:t>INTRODUCTION</w:t>
      </w:r>
    </w:p>
    <w:p>
      <w:pPr>
        <w:pStyle w:val="BodyText"/>
        <w:rPr>
          <w:b/>
        </w:rPr>
      </w:pPr>
    </w:p>
    <w:p>
      <w:pPr>
        <w:pStyle w:val="BodyText"/>
        <w:ind w:left="1418" w:right="1416"/>
        <w:jc w:val="both"/>
      </w:pPr>
      <w:r>
        <w:rPr/>
        <w:t>The Risk Appetite Statement is presented at </w:t>
      </w:r>
      <w:r>
        <w:rPr>
          <w:b/>
        </w:rPr>
        <w:t>Appendix 1 </w:t>
      </w:r>
      <w:r>
        <w:rPr/>
        <w:t>for information. This requires annual review by the Committee and was last presented at the June 2021 meeting.</w:t>
      </w:r>
    </w:p>
    <w:p>
      <w:pPr>
        <w:pStyle w:val="BodyText"/>
      </w:pPr>
    </w:p>
    <w:p>
      <w:pPr>
        <w:pStyle w:val="BodyText"/>
        <w:ind w:left="1418" w:right="1415"/>
        <w:jc w:val="both"/>
      </w:pPr>
      <w:r>
        <w:rPr/>
        <w:t>The</w:t>
      </w:r>
      <w:r>
        <w:rPr>
          <w:spacing w:val="-2"/>
        </w:rPr>
        <w:t> </w:t>
      </w:r>
      <w:r>
        <w:rPr/>
        <w:t>statement</w:t>
      </w:r>
      <w:r>
        <w:rPr>
          <w:spacing w:val="-2"/>
        </w:rPr>
        <w:t> </w:t>
      </w:r>
      <w:r>
        <w:rPr/>
        <w:t>was</w:t>
      </w:r>
      <w:r>
        <w:rPr>
          <w:spacing w:val="-2"/>
        </w:rPr>
        <w:t> </w:t>
      </w:r>
      <w:r>
        <w:rPr/>
        <w:t>informally</w:t>
      </w:r>
      <w:r>
        <w:rPr>
          <w:spacing w:val="-2"/>
        </w:rPr>
        <w:t> </w:t>
      </w:r>
      <w:r>
        <w:rPr/>
        <w:t>reviewed</w:t>
      </w:r>
      <w:r>
        <w:rPr>
          <w:spacing w:val="-2"/>
        </w:rPr>
        <w:t> </w:t>
      </w:r>
      <w:r>
        <w:rPr/>
        <w:t>at</w:t>
      </w:r>
      <w:r>
        <w:rPr>
          <w:spacing w:val="-2"/>
        </w:rPr>
        <w:t> </w:t>
      </w:r>
      <w:r>
        <w:rPr/>
        <w:t>the</w:t>
      </w:r>
      <w:r>
        <w:rPr>
          <w:spacing w:val="-2"/>
        </w:rPr>
        <w:t> </w:t>
      </w:r>
      <w:r>
        <w:rPr/>
        <w:t>Shared</w:t>
      </w:r>
      <w:r>
        <w:rPr>
          <w:spacing w:val="-2"/>
        </w:rPr>
        <w:t> </w:t>
      </w:r>
      <w:r>
        <w:rPr/>
        <w:t>Services</w:t>
      </w:r>
      <w:r>
        <w:rPr>
          <w:spacing w:val="-2"/>
        </w:rPr>
        <w:t> </w:t>
      </w:r>
      <w:r>
        <w:rPr/>
        <w:t>Partnership Committee (SSPC) Development Day on 11 November 2022 and the Informal Senior Leadership Group on the 10</w:t>
      </w:r>
      <w:r>
        <w:rPr>
          <w:position w:val="7"/>
          <w:sz w:val="16"/>
        </w:rPr>
        <w:t>th</w:t>
      </w:r>
      <w:r>
        <w:rPr>
          <w:spacing w:val="29"/>
          <w:position w:val="7"/>
          <w:sz w:val="16"/>
        </w:rPr>
        <w:t> </w:t>
      </w:r>
      <w:r>
        <w:rPr/>
        <w:t>of November. It is due to be formally approved at the SSPC being held on 19</w:t>
      </w:r>
      <w:r>
        <w:rPr>
          <w:position w:val="7"/>
          <w:sz w:val="16"/>
        </w:rPr>
        <w:t>th</w:t>
      </w:r>
      <w:r>
        <w:rPr>
          <w:spacing w:val="40"/>
          <w:position w:val="7"/>
          <w:sz w:val="16"/>
        </w:rPr>
        <w:t> </w:t>
      </w:r>
      <w:r>
        <w:rPr/>
        <w:t>November.</w:t>
      </w:r>
    </w:p>
    <w:p>
      <w:pPr>
        <w:pStyle w:val="BodyText"/>
      </w:pPr>
    </w:p>
    <w:p>
      <w:pPr>
        <w:pStyle w:val="BodyText"/>
        <w:ind w:left="1418" w:right="1414"/>
        <w:jc w:val="both"/>
      </w:pPr>
      <w:r>
        <w:rPr/>
        <w:t>Following the two reviews in November 2022 referred to above, the statement has been significantly amended, both in terms of content and format. The format has been updated to reflect the latest guidance from the Good Governance Institute and the content has been updated to reflect a bolder approach to taking risk, which was encouraged by both members of the SLG and SSPC.</w:t>
      </w:r>
    </w:p>
    <w:p>
      <w:pPr>
        <w:pStyle w:val="BodyText"/>
      </w:pPr>
    </w:p>
    <w:p>
      <w:pPr>
        <w:pStyle w:val="Heading9"/>
        <w:numPr>
          <w:ilvl w:val="0"/>
          <w:numId w:val="33"/>
        </w:numPr>
        <w:tabs>
          <w:tab w:pos="1779" w:val="left" w:leader="none"/>
        </w:tabs>
        <w:spacing w:line="240" w:lineRule="auto" w:before="0" w:after="0"/>
        <w:ind w:left="1778" w:right="0" w:hanging="361"/>
        <w:jc w:val="left"/>
      </w:pPr>
      <w:r>
        <w:rPr>
          <w:spacing w:val="-2"/>
        </w:rPr>
        <w:t>RECOMMENDATION</w:t>
      </w:r>
    </w:p>
    <w:p>
      <w:pPr>
        <w:pStyle w:val="BodyText"/>
        <w:rPr>
          <w:b/>
        </w:rPr>
      </w:pPr>
    </w:p>
    <w:p>
      <w:pPr>
        <w:pStyle w:val="BodyText"/>
        <w:ind w:left="1418"/>
        <w:jc w:val="both"/>
      </w:pPr>
      <w:r>
        <w:rPr/>
        <w:t>The</w:t>
      </w:r>
      <w:r>
        <w:rPr>
          <w:spacing w:val="-6"/>
        </w:rPr>
        <w:t> </w:t>
      </w:r>
      <w:r>
        <w:rPr/>
        <w:t>Audit</w:t>
      </w:r>
      <w:r>
        <w:rPr>
          <w:spacing w:val="-2"/>
        </w:rPr>
        <w:t> </w:t>
      </w:r>
      <w:r>
        <w:rPr/>
        <w:t>Committee</w:t>
      </w:r>
      <w:r>
        <w:rPr>
          <w:spacing w:val="-3"/>
        </w:rPr>
        <w:t> </w:t>
      </w:r>
      <w:r>
        <w:rPr/>
        <w:t>is</w:t>
      </w:r>
      <w:r>
        <w:rPr>
          <w:spacing w:val="-3"/>
        </w:rPr>
        <w:t> </w:t>
      </w:r>
      <w:r>
        <w:rPr/>
        <w:t>asked</w:t>
      </w:r>
      <w:r>
        <w:rPr>
          <w:spacing w:val="-2"/>
        </w:rPr>
        <w:t> </w:t>
      </w:r>
      <w:r>
        <w:rPr>
          <w:spacing w:val="-5"/>
        </w:rPr>
        <w:t>to:</w:t>
      </w:r>
    </w:p>
    <w:p>
      <w:pPr>
        <w:pStyle w:val="BodyText"/>
      </w:pPr>
    </w:p>
    <w:p>
      <w:pPr>
        <w:pStyle w:val="ListParagraph"/>
        <w:numPr>
          <w:ilvl w:val="1"/>
          <w:numId w:val="33"/>
        </w:numPr>
        <w:tabs>
          <w:tab w:pos="2137" w:val="left" w:leader="none"/>
          <w:tab w:pos="2138" w:val="left" w:leader="none"/>
        </w:tabs>
        <w:spacing w:line="240" w:lineRule="auto" w:before="0" w:after="0"/>
        <w:ind w:left="2138" w:right="0" w:hanging="360"/>
        <w:jc w:val="left"/>
        <w:rPr>
          <w:sz w:val="24"/>
        </w:rPr>
      </w:pPr>
      <w:r>
        <w:rPr>
          <w:b/>
          <w:sz w:val="24"/>
        </w:rPr>
        <w:t>NOTE</w:t>
      </w:r>
      <w:r>
        <w:rPr>
          <w:b/>
          <w:spacing w:val="-4"/>
          <w:sz w:val="24"/>
        </w:rPr>
        <w:t> </w:t>
      </w:r>
      <w:r>
        <w:rPr>
          <w:sz w:val="24"/>
        </w:rPr>
        <w:t>the</w:t>
      </w:r>
      <w:r>
        <w:rPr>
          <w:spacing w:val="-3"/>
          <w:sz w:val="24"/>
        </w:rPr>
        <w:t> </w:t>
      </w:r>
      <w:r>
        <w:rPr>
          <w:sz w:val="24"/>
        </w:rPr>
        <w:t>Risk</w:t>
      </w:r>
      <w:r>
        <w:rPr>
          <w:spacing w:val="-4"/>
          <w:sz w:val="24"/>
        </w:rPr>
        <w:t> </w:t>
      </w:r>
      <w:r>
        <w:rPr>
          <w:sz w:val="24"/>
        </w:rPr>
        <w:t>Appetite</w:t>
      </w:r>
      <w:r>
        <w:rPr>
          <w:spacing w:val="-3"/>
          <w:sz w:val="24"/>
        </w:rPr>
        <w:t> </w:t>
      </w:r>
      <w:r>
        <w:rPr>
          <w:spacing w:val="-2"/>
          <w:sz w:val="24"/>
        </w:rPr>
        <w:t>Statement.</w:t>
      </w:r>
    </w:p>
    <w:p>
      <w:pPr>
        <w:pStyle w:val="BodyText"/>
        <w:rPr>
          <w:sz w:val="20"/>
        </w:rPr>
      </w:pPr>
    </w:p>
    <w:p>
      <w:pPr>
        <w:pStyle w:val="BodyText"/>
        <w:rPr>
          <w:sz w:val="20"/>
        </w:rPr>
      </w:pPr>
    </w:p>
    <w:p>
      <w:pPr>
        <w:pStyle w:val="BodyText"/>
        <w:spacing w:before="1"/>
        <w:rPr>
          <w:sz w:val="22"/>
        </w:rPr>
      </w:pPr>
    </w:p>
    <w:p>
      <w:pPr>
        <w:pStyle w:val="BodyText"/>
        <w:spacing w:before="100"/>
        <w:ind w:left="1418"/>
      </w:pPr>
      <w:r>
        <w:rPr/>
        <w:t>NWSSP</w:t>
      </w:r>
      <w:r>
        <w:rPr>
          <w:spacing w:val="-4"/>
        </w:rPr>
        <w:t> </w:t>
      </w:r>
      <w:r>
        <w:rPr/>
        <w:t>Audit</w:t>
      </w:r>
      <w:r>
        <w:rPr>
          <w:spacing w:val="-2"/>
        </w:rPr>
        <w:t> Committee</w:t>
      </w:r>
    </w:p>
    <w:p>
      <w:pPr>
        <w:pStyle w:val="BodyText"/>
        <w:tabs>
          <w:tab w:pos="10210" w:val="right" w:leader="none"/>
        </w:tabs>
        <w:ind w:left="1418"/>
      </w:pPr>
      <w:r>
        <w:rPr/>
        <w:t>24</w:t>
      </w:r>
      <w:r>
        <w:rPr>
          <w:spacing w:val="-4"/>
        </w:rPr>
        <w:t> </w:t>
      </w:r>
      <w:r>
        <w:rPr/>
        <w:t>January</w:t>
      </w:r>
      <w:r>
        <w:rPr>
          <w:spacing w:val="-1"/>
        </w:rPr>
        <w:t> </w:t>
      </w:r>
      <w:r>
        <w:rPr>
          <w:spacing w:val="-4"/>
        </w:rPr>
        <w:t>2023</w:t>
      </w:r>
      <w:r>
        <w:rPr/>
        <w:tab/>
      </w:r>
      <w:r>
        <w:rPr>
          <w:spacing w:val="-10"/>
        </w:rPr>
        <w:t>1</w:t>
      </w:r>
    </w:p>
    <w:p>
      <w:pPr>
        <w:spacing w:after="0"/>
        <w:sectPr>
          <w:footerReference w:type="default" r:id="rId152"/>
          <w:pgSz w:w="11910" w:h="16840"/>
          <w:pgMar w:footer="173" w:header="0" w:top="80" w:bottom="360" w:left="0" w:right="0"/>
        </w:sectPr>
      </w:pPr>
    </w:p>
    <w:p>
      <w:pPr>
        <w:pStyle w:val="BodyText"/>
        <w:ind w:left="6356"/>
        <w:rPr>
          <w:sz w:val="20"/>
        </w:rPr>
      </w:pPr>
      <w:r>
        <w:rPr>
          <w:sz w:val="20"/>
        </w:rPr>
        <w:drawing>
          <wp:inline distT="0" distB="0" distL="0" distR="0">
            <wp:extent cx="2283052" cy="866775"/>
            <wp:effectExtent l="0" t="0" r="0" b="0"/>
            <wp:docPr id="173" name="image76.jpeg"/>
            <wp:cNvGraphicFramePr>
              <a:graphicFrameLocks noChangeAspect="1"/>
            </wp:cNvGraphicFramePr>
            <a:graphic>
              <a:graphicData uri="http://schemas.openxmlformats.org/drawingml/2006/picture">
                <pic:pic>
                  <pic:nvPicPr>
                    <pic:cNvPr id="174" name="image76.jpeg"/>
                    <pic:cNvPicPr/>
                  </pic:nvPicPr>
                  <pic:blipFill>
                    <a:blip r:embed="rId154" cstate="print"/>
                    <a:stretch>
                      <a:fillRect/>
                    </a:stretch>
                  </pic:blipFill>
                  <pic:spPr>
                    <a:xfrm>
                      <a:off x="0" y="0"/>
                      <a:ext cx="2283052" cy="866775"/>
                    </a:xfrm>
                    <a:prstGeom prst="rect">
                      <a:avLst/>
                    </a:prstGeom>
                  </pic:spPr>
                </pic:pic>
              </a:graphicData>
            </a:graphic>
          </wp:inline>
        </w:drawing>
      </w:r>
      <w:r>
        <w:rPr>
          <w:sz w:val="20"/>
        </w:rPr>
      </w:r>
    </w:p>
    <w:p>
      <w:pPr>
        <w:pStyle w:val="BodyText"/>
        <w:spacing w:before="3"/>
        <w:rPr>
          <w:sz w:val="42"/>
        </w:rPr>
      </w:pPr>
    </w:p>
    <w:p>
      <w:pPr>
        <w:pStyle w:val="Heading7"/>
        <w:spacing w:line="480" w:lineRule="auto"/>
        <w:ind w:left="3130" w:right="2142" w:hanging="958"/>
        <w:rPr>
          <w:rFonts w:ascii="Arial"/>
        </w:rPr>
      </w:pPr>
      <w:bookmarkStart w:name=" 6.2.1 NWSSP Risk Appetite Statement Nov" w:id="64"/>
      <w:bookmarkEnd w:id="64"/>
      <w:r>
        <w:rPr>
          <w:b w:val="0"/>
        </w:rPr>
      </w:r>
      <w:r>
        <w:rPr>
          <w:rFonts w:ascii="Arial"/>
        </w:rPr>
        <w:t>NHS</w:t>
      </w:r>
      <w:r>
        <w:rPr>
          <w:rFonts w:ascii="Arial"/>
          <w:spacing w:val="-10"/>
        </w:rPr>
        <w:t> </w:t>
      </w:r>
      <w:r>
        <w:rPr>
          <w:rFonts w:ascii="Arial"/>
        </w:rPr>
        <w:t>Wales</w:t>
      </w:r>
      <w:r>
        <w:rPr>
          <w:rFonts w:ascii="Arial"/>
          <w:spacing w:val="-9"/>
        </w:rPr>
        <w:t> </w:t>
      </w:r>
      <w:r>
        <w:rPr>
          <w:rFonts w:ascii="Arial"/>
        </w:rPr>
        <w:t>Shared</w:t>
      </w:r>
      <w:r>
        <w:rPr>
          <w:rFonts w:ascii="Arial"/>
          <w:spacing w:val="-10"/>
        </w:rPr>
        <w:t> </w:t>
      </w:r>
      <w:r>
        <w:rPr>
          <w:rFonts w:ascii="Arial"/>
        </w:rPr>
        <w:t>Service</w:t>
      </w:r>
      <w:r>
        <w:rPr>
          <w:rFonts w:ascii="Arial"/>
          <w:spacing w:val="-10"/>
        </w:rPr>
        <w:t> </w:t>
      </w:r>
      <w:r>
        <w:rPr>
          <w:rFonts w:ascii="Arial"/>
        </w:rPr>
        <w:t>Partnership Risk Appetite Statement.</w:t>
      </w:r>
    </w:p>
    <w:p>
      <w:pPr>
        <w:pStyle w:val="BodyText"/>
        <w:spacing w:before="11"/>
        <w:rPr>
          <w:rFonts w:ascii="Arial"/>
          <w:b/>
          <w:sz w:val="11"/>
        </w:rPr>
      </w:pPr>
    </w:p>
    <w:p>
      <w:pPr>
        <w:spacing w:before="92"/>
        <w:ind w:left="100" w:right="0" w:firstLine="0"/>
        <w:jc w:val="left"/>
        <w:rPr>
          <w:rFonts w:ascii="Arial"/>
          <w:b/>
          <w:sz w:val="24"/>
        </w:rPr>
      </w:pPr>
      <w:r>
        <w:rPr>
          <w:rFonts w:ascii="Arial"/>
          <w:b/>
          <w:spacing w:val="-2"/>
          <w:sz w:val="24"/>
        </w:rPr>
        <w:t>Introduction.</w:t>
      </w:r>
    </w:p>
    <w:p>
      <w:pPr>
        <w:pStyle w:val="BodyText"/>
        <w:rPr>
          <w:rFonts w:ascii="Arial"/>
          <w:b/>
        </w:rPr>
      </w:pPr>
    </w:p>
    <w:p>
      <w:pPr>
        <w:pStyle w:val="BodyText"/>
        <w:ind w:left="100" w:right="597"/>
        <w:jc w:val="both"/>
        <w:rPr>
          <w:rFonts w:ascii="Arial"/>
        </w:rPr>
      </w:pPr>
      <w:r>
        <w:rPr>
          <w:rFonts w:ascii="Arial"/>
        </w:rPr>
        <w:t>NWSSP is committed to achieving and maintaining the highest standards of managerial practices</w:t>
      </w:r>
      <w:r>
        <w:rPr>
          <w:rFonts w:ascii="Arial"/>
          <w:spacing w:val="-6"/>
        </w:rPr>
        <w:t> </w:t>
      </w:r>
      <w:r>
        <w:rPr>
          <w:rFonts w:ascii="Arial"/>
        </w:rPr>
        <w:t>that</w:t>
      </w:r>
      <w:r>
        <w:rPr>
          <w:rFonts w:ascii="Arial"/>
          <w:spacing w:val="-6"/>
        </w:rPr>
        <w:t> </w:t>
      </w:r>
      <w:r>
        <w:rPr>
          <w:rFonts w:ascii="Arial"/>
        </w:rPr>
        <w:t>maximise</w:t>
      </w:r>
      <w:r>
        <w:rPr>
          <w:rFonts w:ascii="Arial"/>
          <w:spacing w:val="-6"/>
        </w:rPr>
        <w:t> </w:t>
      </w:r>
      <w:r>
        <w:rPr>
          <w:rFonts w:ascii="Arial"/>
        </w:rPr>
        <w:t>and</w:t>
      </w:r>
      <w:r>
        <w:rPr>
          <w:rFonts w:ascii="Arial"/>
          <w:spacing w:val="-6"/>
        </w:rPr>
        <w:t> </w:t>
      </w:r>
      <w:r>
        <w:rPr>
          <w:rFonts w:ascii="Arial"/>
        </w:rPr>
        <w:t>progress</w:t>
      </w:r>
      <w:r>
        <w:rPr>
          <w:rFonts w:ascii="Arial"/>
          <w:spacing w:val="-6"/>
        </w:rPr>
        <w:t> </w:t>
      </w:r>
      <w:r>
        <w:rPr>
          <w:rFonts w:ascii="Arial"/>
        </w:rPr>
        <w:t>service</w:t>
      </w:r>
      <w:r>
        <w:rPr>
          <w:rFonts w:ascii="Arial"/>
          <w:spacing w:val="-6"/>
        </w:rPr>
        <w:t> </w:t>
      </w:r>
      <w:r>
        <w:rPr>
          <w:rFonts w:ascii="Arial"/>
        </w:rPr>
        <w:t>benefits.</w:t>
      </w:r>
      <w:r>
        <w:rPr>
          <w:rFonts w:ascii="Arial"/>
          <w:spacing w:val="-6"/>
        </w:rPr>
        <w:t> </w:t>
      </w:r>
      <w:r>
        <w:rPr>
          <w:rFonts w:ascii="Arial"/>
        </w:rPr>
        <w:t>NWSSP</w:t>
      </w:r>
      <w:r>
        <w:rPr>
          <w:rFonts w:ascii="Arial"/>
          <w:spacing w:val="-6"/>
        </w:rPr>
        <w:t> </w:t>
      </w:r>
      <w:r>
        <w:rPr>
          <w:rFonts w:ascii="Arial"/>
        </w:rPr>
        <w:t>recognises</w:t>
      </w:r>
      <w:r>
        <w:rPr>
          <w:rFonts w:ascii="Arial"/>
          <w:spacing w:val="-6"/>
        </w:rPr>
        <w:t> </w:t>
      </w:r>
      <w:r>
        <w:rPr>
          <w:rFonts w:ascii="Arial"/>
        </w:rPr>
        <w:t>that</w:t>
      </w:r>
      <w:r>
        <w:rPr>
          <w:rFonts w:ascii="Arial"/>
          <w:spacing w:val="-6"/>
        </w:rPr>
        <w:t> </w:t>
      </w:r>
      <w:r>
        <w:rPr>
          <w:rFonts w:ascii="Arial"/>
        </w:rPr>
        <w:t>effective risk</w:t>
      </w:r>
      <w:r>
        <w:rPr>
          <w:rFonts w:ascii="Arial"/>
          <w:spacing w:val="-10"/>
        </w:rPr>
        <w:t> </w:t>
      </w:r>
      <w:r>
        <w:rPr>
          <w:rFonts w:ascii="Arial"/>
        </w:rPr>
        <w:t>management</w:t>
      </w:r>
      <w:r>
        <w:rPr>
          <w:rFonts w:ascii="Arial"/>
          <w:spacing w:val="-10"/>
        </w:rPr>
        <w:t> </w:t>
      </w:r>
      <w:r>
        <w:rPr>
          <w:rFonts w:ascii="Arial"/>
        </w:rPr>
        <w:t>is</w:t>
      </w:r>
      <w:r>
        <w:rPr>
          <w:rFonts w:ascii="Arial"/>
          <w:spacing w:val="-10"/>
        </w:rPr>
        <w:t> </w:t>
      </w:r>
      <w:r>
        <w:rPr>
          <w:rFonts w:ascii="Arial"/>
        </w:rPr>
        <w:t>a</w:t>
      </w:r>
      <w:r>
        <w:rPr>
          <w:rFonts w:ascii="Arial"/>
          <w:spacing w:val="-10"/>
        </w:rPr>
        <w:t> </w:t>
      </w:r>
      <w:r>
        <w:rPr>
          <w:rFonts w:ascii="Arial"/>
        </w:rPr>
        <w:t>key</w:t>
      </w:r>
      <w:r>
        <w:rPr>
          <w:rFonts w:ascii="Arial"/>
          <w:spacing w:val="-10"/>
        </w:rPr>
        <w:t> </w:t>
      </w:r>
      <w:r>
        <w:rPr>
          <w:rFonts w:ascii="Arial"/>
        </w:rPr>
        <w:t>component</w:t>
      </w:r>
      <w:r>
        <w:rPr>
          <w:rFonts w:ascii="Arial"/>
          <w:spacing w:val="-10"/>
        </w:rPr>
        <w:t> </w:t>
      </w:r>
      <w:r>
        <w:rPr>
          <w:rFonts w:ascii="Arial"/>
        </w:rPr>
        <w:t>of</w:t>
      </w:r>
      <w:r>
        <w:rPr>
          <w:rFonts w:ascii="Arial"/>
          <w:spacing w:val="-10"/>
        </w:rPr>
        <w:t> </w:t>
      </w:r>
      <w:r>
        <w:rPr>
          <w:rFonts w:ascii="Arial"/>
        </w:rPr>
        <w:t>corporate</w:t>
      </w:r>
      <w:r>
        <w:rPr>
          <w:rFonts w:ascii="Arial"/>
          <w:spacing w:val="-10"/>
        </w:rPr>
        <w:t> </w:t>
      </w:r>
      <w:r>
        <w:rPr>
          <w:rFonts w:ascii="Arial"/>
        </w:rPr>
        <w:t>governance</w:t>
      </w:r>
      <w:r>
        <w:rPr>
          <w:rFonts w:ascii="Arial"/>
          <w:spacing w:val="-10"/>
        </w:rPr>
        <w:t> </w:t>
      </w:r>
      <w:r>
        <w:rPr>
          <w:rFonts w:ascii="Arial"/>
        </w:rPr>
        <w:t>and</w:t>
      </w:r>
      <w:r>
        <w:rPr>
          <w:rFonts w:ascii="Arial"/>
          <w:spacing w:val="-10"/>
        </w:rPr>
        <w:t> </w:t>
      </w:r>
      <w:r>
        <w:rPr>
          <w:rFonts w:ascii="Arial"/>
        </w:rPr>
        <w:t>is</w:t>
      </w:r>
      <w:r>
        <w:rPr>
          <w:rFonts w:ascii="Arial"/>
          <w:spacing w:val="-10"/>
        </w:rPr>
        <w:t> </w:t>
      </w:r>
      <w:r>
        <w:rPr>
          <w:rFonts w:ascii="Arial"/>
        </w:rPr>
        <w:t>critical</w:t>
      </w:r>
      <w:r>
        <w:rPr>
          <w:rFonts w:ascii="Arial"/>
          <w:spacing w:val="-10"/>
        </w:rPr>
        <w:t> </w:t>
      </w:r>
      <w:r>
        <w:rPr>
          <w:rFonts w:ascii="Arial"/>
        </w:rPr>
        <w:t>to</w:t>
      </w:r>
      <w:r>
        <w:rPr>
          <w:rFonts w:ascii="Arial"/>
          <w:spacing w:val="-10"/>
        </w:rPr>
        <w:t> </w:t>
      </w:r>
      <w:r>
        <w:rPr>
          <w:rFonts w:ascii="Arial"/>
        </w:rPr>
        <w:t>achieving the strategic objectives of the organisation.</w:t>
      </w:r>
    </w:p>
    <w:p>
      <w:pPr>
        <w:pStyle w:val="BodyText"/>
        <w:spacing w:before="200"/>
        <w:ind w:left="100" w:right="597"/>
        <w:jc w:val="both"/>
        <w:rPr>
          <w:rFonts w:ascii="Arial" w:hAnsi="Arial"/>
        </w:rPr>
      </w:pPr>
      <w:r>
        <w:rPr>
          <w:rFonts w:ascii="Arial" w:hAnsi="Arial"/>
        </w:rPr>
        <w:t>NWSSP’s Risk Management Protocol seeks to ensure that there is an effective process in</w:t>
      </w:r>
      <w:r>
        <w:rPr>
          <w:rFonts w:ascii="Arial" w:hAnsi="Arial"/>
          <w:spacing w:val="-17"/>
        </w:rPr>
        <w:t> </w:t>
      </w:r>
      <w:r>
        <w:rPr>
          <w:rFonts w:ascii="Arial" w:hAnsi="Arial"/>
        </w:rPr>
        <w:t>place</w:t>
      </w:r>
      <w:r>
        <w:rPr>
          <w:rFonts w:ascii="Arial" w:hAnsi="Arial"/>
          <w:spacing w:val="-17"/>
        </w:rPr>
        <w:t> </w:t>
      </w:r>
      <w:r>
        <w:rPr>
          <w:rFonts w:ascii="Arial" w:hAnsi="Arial"/>
        </w:rPr>
        <w:t>to</w:t>
      </w:r>
      <w:r>
        <w:rPr>
          <w:rFonts w:ascii="Arial" w:hAnsi="Arial"/>
          <w:spacing w:val="-16"/>
        </w:rPr>
        <w:t> </w:t>
      </w:r>
      <w:r>
        <w:rPr>
          <w:rFonts w:ascii="Arial" w:hAnsi="Arial"/>
        </w:rPr>
        <w:t>manage</w:t>
      </w:r>
      <w:r>
        <w:rPr>
          <w:rFonts w:ascii="Arial" w:hAnsi="Arial"/>
          <w:spacing w:val="-17"/>
        </w:rPr>
        <w:t> </w:t>
      </w:r>
      <w:r>
        <w:rPr>
          <w:rFonts w:ascii="Arial" w:hAnsi="Arial"/>
        </w:rPr>
        <w:t>risk</w:t>
      </w:r>
      <w:r>
        <w:rPr>
          <w:rFonts w:ascii="Arial" w:hAnsi="Arial"/>
          <w:spacing w:val="-17"/>
        </w:rPr>
        <w:t> </w:t>
      </w:r>
      <w:r>
        <w:rPr>
          <w:rFonts w:ascii="Arial" w:hAnsi="Arial"/>
        </w:rPr>
        <w:t>across</w:t>
      </w:r>
      <w:r>
        <w:rPr>
          <w:rFonts w:ascii="Arial" w:hAnsi="Arial"/>
          <w:spacing w:val="-16"/>
        </w:rPr>
        <w:t> </w:t>
      </w:r>
      <w:r>
        <w:rPr>
          <w:rFonts w:ascii="Arial" w:hAnsi="Arial"/>
        </w:rPr>
        <w:t>the</w:t>
      </w:r>
      <w:r>
        <w:rPr>
          <w:rFonts w:ascii="Arial" w:hAnsi="Arial"/>
          <w:spacing w:val="-17"/>
        </w:rPr>
        <w:t> </w:t>
      </w:r>
      <w:r>
        <w:rPr>
          <w:rFonts w:ascii="Arial" w:hAnsi="Arial"/>
        </w:rPr>
        <w:t>organisation.</w:t>
      </w:r>
      <w:r>
        <w:rPr>
          <w:rFonts w:ascii="Arial" w:hAnsi="Arial"/>
          <w:spacing w:val="-17"/>
        </w:rPr>
        <w:t> </w:t>
      </w:r>
      <w:r>
        <w:rPr>
          <w:rFonts w:ascii="Arial" w:hAnsi="Arial"/>
        </w:rPr>
        <w:t>Risk</w:t>
      </w:r>
      <w:r>
        <w:rPr>
          <w:rFonts w:ascii="Arial" w:hAnsi="Arial"/>
          <w:spacing w:val="-16"/>
        </w:rPr>
        <w:t> </w:t>
      </w:r>
      <w:r>
        <w:rPr>
          <w:rFonts w:ascii="Arial" w:hAnsi="Arial"/>
        </w:rPr>
        <w:t>management</w:t>
      </w:r>
      <w:r>
        <w:rPr>
          <w:rFonts w:ascii="Arial" w:hAnsi="Arial"/>
          <w:spacing w:val="-17"/>
        </w:rPr>
        <w:t> </w:t>
      </w:r>
      <w:r>
        <w:rPr>
          <w:rFonts w:ascii="Arial" w:hAnsi="Arial"/>
        </w:rPr>
        <w:t>is</w:t>
      </w:r>
      <w:r>
        <w:rPr>
          <w:rFonts w:ascii="Arial" w:hAnsi="Arial"/>
          <w:spacing w:val="-17"/>
        </w:rPr>
        <w:t> </w:t>
      </w:r>
      <w:r>
        <w:rPr>
          <w:rFonts w:ascii="Arial" w:hAnsi="Arial"/>
        </w:rPr>
        <w:t>part</w:t>
      </w:r>
      <w:r>
        <w:rPr>
          <w:rFonts w:ascii="Arial" w:hAnsi="Arial"/>
          <w:spacing w:val="-16"/>
        </w:rPr>
        <w:t> </w:t>
      </w:r>
      <w:r>
        <w:rPr>
          <w:rFonts w:ascii="Arial" w:hAnsi="Arial"/>
        </w:rPr>
        <w:t>of</w:t>
      </w:r>
      <w:r>
        <w:rPr>
          <w:rFonts w:ascii="Arial" w:hAnsi="Arial"/>
          <w:spacing w:val="-17"/>
        </w:rPr>
        <w:t> </w:t>
      </w:r>
      <w:r>
        <w:rPr>
          <w:rFonts w:ascii="Arial" w:hAnsi="Arial"/>
        </w:rPr>
        <w:t>management decision-making and is the responsibility of all staff. Risks are identified, assessed, and managed</w:t>
      </w:r>
      <w:r>
        <w:rPr>
          <w:rFonts w:ascii="Arial" w:hAnsi="Arial"/>
          <w:spacing w:val="-1"/>
        </w:rPr>
        <w:t> </w:t>
      </w:r>
      <w:r>
        <w:rPr>
          <w:rFonts w:ascii="Arial" w:hAnsi="Arial"/>
        </w:rPr>
        <w:t>at</w:t>
      </w:r>
      <w:r>
        <w:rPr>
          <w:rFonts w:ascii="Arial" w:hAnsi="Arial"/>
          <w:spacing w:val="-1"/>
        </w:rPr>
        <w:t> </w:t>
      </w:r>
      <w:r>
        <w:rPr>
          <w:rFonts w:ascii="Arial" w:hAnsi="Arial"/>
        </w:rPr>
        <w:t>a</w:t>
      </w:r>
      <w:r>
        <w:rPr>
          <w:rFonts w:ascii="Arial" w:hAnsi="Arial"/>
          <w:spacing w:val="-1"/>
        </w:rPr>
        <w:t> </w:t>
      </w:r>
      <w:r>
        <w:rPr>
          <w:rFonts w:ascii="Arial" w:hAnsi="Arial"/>
        </w:rPr>
        <w:t>corporate</w:t>
      </w:r>
      <w:r>
        <w:rPr>
          <w:rFonts w:ascii="Arial" w:hAnsi="Arial"/>
          <w:spacing w:val="-1"/>
        </w:rPr>
        <w:t> </w:t>
      </w:r>
      <w:r>
        <w:rPr>
          <w:rFonts w:ascii="Arial" w:hAnsi="Arial"/>
        </w:rPr>
        <w:t>level</w:t>
      </w:r>
      <w:r>
        <w:rPr>
          <w:rFonts w:ascii="Arial" w:hAnsi="Arial"/>
          <w:spacing w:val="-1"/>
        </w:rPr>
        <w:t> </w:t>
      </w:r>
      <w:r>
        <w:rPr>
          <w:rFonts w:ascii="Arial" w:hAnsi="Arial"/>
        </w:rPr>
        <w:t>(‘top-down’)</w:t>
      </w:r>
      <w:r>
        <w:rPr>
          <w:rFonts w:ascii="Arial" w:hAnsi="Arial"/>
          <w:spacing w:val="-1"/>
        </w:rPr>
        <w:t> </w:t>
      </w:r>
      <w:r>
        <w:rPr>
          <w:rFonts w:ascii="Arial" w:hAnsi="Arial"/>
        </w:rPr>
        <w:t>and</w:t>
      </w:r>
      <w:r>
        <w:rPr>
          <w:rFonts w:ascii="Arial" w:hAnsi="Arial"/>
          <w:spacing w:val="-1"/>
        </w:rPr>
        <w:t> </w:t>
      </w:r>
      <w:r>
        <w:rPr>
          <w:rFonts w:ascii="Arial" w:hAnsi="Arial"/>
        </w:rPr>
        <w:t>operational</w:t>
      </w:r>
      <w:r>
        <w:rPr>
          <w:rFonts w:ascii="Arial" w:hAnsi="Arial"/>
          <w:spacing w:val="-1"/>
        </w:rPr>
        <w:t> </w:t>
      </w:r>
      <w:r>
        <w:rPr>
          <w:rFonts w:ascii="Arial" w:hAnsi="Arial"/>
        </w:rPr>
        <w:t>level</w:t>
      </w:r>
      <w:r>
        <w:rPr>
          <w:rFonts w:ascii="Arial" w:hAnsi="Arial"/>
          <w:spacing w:val="-1"/>
        </w:rPr>
        <w:t> </w:t>
      </w:r>
      <w:r>
        <w:rPr>
          <w:rFonts w:ascii="Arial" w:hAnsi="Arial"/>
        </w:rPr>
        <w:t>(‘bottom-up’).</w:t>
      </w:r>
      <w:r>
        <w:rPr>
          <w:rFonts w:ascii="Arial" w:hAnsi="Arial"/>
          <w:spacing w:val="-1"/>
        </w:rPr>
        <w:t> </w:t>
      </w:r>
      <w:r>
        <w:rPr>
          <w:rFonts w:ascii="Arial" w:hAnsi="Arial"/>
        </w:rPr>
        <w:t>Managers have a responsibility to evaluate their risk environment, to put in place appropriate controls and monitor the effectiveness of these controls.</w:t>
      </w:r>
    </w:p>
    <w:p>
      <w:pPr>
        <w:pStyle w:val="BodyText"/>
        <w:rPr>
          <w:rFonts w:ascii="Arial"/>
        </w:rPr>
      </w:pPr>
    </w:p>
    <w:p>
      <w:pPr>
        <w:pStyle w:val="BodyText"/>
        <w:ind w:left="100" w:right="597"/>
        <w:jc w:val="both"/>
        <w:rPr>
          <w:rFonts w:ascii="Arial" w:hAnsi="Arial"/>
        </w:rPr>
      </w:pPr>
      <w:r>
        <w:rPr>
          <w:rFonts w:ascii="Arial" w:hAnsi="Arial"/>
        </w:rPr>
        <w:t>An organisation’s risk appetite is defined as the amount and type of risk that the organisation is willing to take in the pursuit of its strategic objectives. The risk appetite can help NWSSP by enabling the organisation to take decisions based on an understanding of the risks involved and communicating expectations for risk-taking to </w:t>
      </w:r>
      <w:r>
        <w:rPr>
          <w:rFonts w:ascii="Arial" w:hAnsi="Arial"/>
          <w:spacing w:val="-2"/>
        </w:rPr>
        <w:t>managers.</w:t>
      </w:r>
    </w:p>
    <w:p>
      <w:pPr>
        <w:pStyle w:val="BodyText"/>
        <w:rPr>
          <w:rFonts w:ascii="Arial"/>
        </w:rPr>
      </w:pPr>
    </w:p>
    <w:p>
      <w:pPr>
        <w:pStyle w:val="BodyText"/>
        <w:ind w:left="100" w:right="597"/>
        <w:jc w:val="both"/>
        <w:rPr>
          <w:rFonts w:ascii="Arial"/>
        </w:rPr>
      </w:pPr>
      <w:r>
        <w:rPr>
          <w:rFonts w:ascii="Arial"/>
        </w:rPr>
        <w:t>NWSSP</w:t>
      </w:r>
      <w:r>
        <w:rPr>
          <w:rFonts w:ascii="Arial"/>
          <w:spacing w:val="-14"/>
        </w:rPr>
        <w:t> </w:t>
      </w:r>
      <w:r>
        <w:rPr>
          <w:rFonts w:ascii="Arial"/>
        </w:rPr>
        <w:t>has</w:t>
      </w:r>
      <w:r>
        <w:rPr>
          <w:rFonts w:ascii="Arial"/>
          <w:spacing w:val="-14"/>
        </w:rPr>
        <w:t> </w:t>
      </w:r>
      <w:r>
        <w:rPr>
          <w:rFonts w:ascii="Arial"/>
        </w:rPr>
        <w:t>undertaken</w:t>
      </w:r>
      <w:r>
        <w:rPr>
          <w:rFonts w:ascii="Arial"/>
          <w:spacing w:val="-14"/>
        </w:rPr>
        <w:t> </w:t>
      </w:r>
      <w:r>
        <w:rPr>
          <w:rFonts w:ascii="Arial"/>
        </w:rPr>
        <w:t>a</w:t>
      </w:r>
      <w:r>
        <w:rPr>
          <w:rFonts w:ascii="Arial"/>
          <w:spacing w:val="-14"/>
        </w:rPr>
        <w:t> </w:t>
      </w:r>
      <w:r>
        <w:rPr>
          <w:rFonts w:ascii="Arial"/>
        </w:rPr>
        <w:t>review</w:t>
      </w:r>
      <w:r>
        <w:rPr>
          <w:rFonts w:ascii="Arial"/>
          <w:spacing w:val="-14"/>
        </w:rPr>
        <w:t> </w:t>
      </w:r>
      <w:r>
        <w:rPr>
          <w:rFonts w:ascii="Arial"/>
        </w:rPr>
        <w:t>to</w:t>
      </w:r>
      <w:r>
        <w:rPr>
          <w:rFonts w:ascii="Arial"/>
          <w:spacing w:val="-14"/>
        </w:rPr>
        <w:t> </w:t>
      </w:r>
      <w:r>
        <w:rPr>
          <w:rFonts w:ascii="Arial"/>
        </w:rPr>
        <w:t>identify</w:t>
      </w:r>
      <w:r>
        <w:rPr>
          <w:rFonts w:ascii="Arial"/>
          <w:spacing w:val="-14"/>
        </w:rPr>
        <w:t> </w:t>
      </w:r>
      <w:r>
        <w:rPr>
          <w:rFonts w:ascii="Arial"/>
        </w:rPr>
        <w:t>the</w:t>
      </w:r>
      <w:r>
        <w:rPr>
          <w:rFonts w:ascii="Arial"/>
          <w:spacing w:val="-14"/>
        </w:rPr>
        <w:t> </w:t>
      </w:r>
      <w:r>
        <w:rPr>
          <w:rFonts w:ascii="Arial"/>
        </w:rPr>
        <w:t>most</w:t>
      </w:r>
      <w:r>
        <w:rPr>
          <w:rFonts w:ascii="Arial"/>
          <w:spacing w:val="-14"/>
        </w:rPr>
        <w:t> </w:t>
      </w:r>
      <w:r>
        <w:rPr>
          <w:rFonts w:ascii="Arial"/>
        </w:rPr>
        <w:t>commonly</w:t>
      </w:r>
      <w:r>
        <w:rPr>
          <w:rFonts w:ascii="Arial"/>
          <w:spacing w:val="-14"/>
        </w:rPr>
        <w:t> </w:t>
      </w:r>
      <w:r>
        <w:rPr>
          <w:rFonts w:ascii="Arial"/>
        </w:rPr>
        <w:t>used</w:t>
      </w:r>
      <w:r>
        <w:rPr>
          <w:rFonts w:ascii="Arial"/>
          <w:spacing w:val="-14"/>
        </w:rPr>
        <w:t> </w:t>
      </w:r>
      <w:r>
        <w:rPr>
          <w:rFonts w:ascii="Arial"/>
        </w:rPr>
        <w:t>framework</w:t>
      </w:r>
      <w:r>
        <w:rPr>
          <w:rFonts w:ascii="Arial"/>
          <w:spacing w:val="-14"/>
        </w:rPr>
        <w:t> </w:t>
      </w:r>
      <w:r>
        <w:rPr>
          <w:rFonts w:ascii="Arial"/>
        </w:rPr>
        <w:t>for</w:t>
      </w:r>
      <w:r>
        <w:rPr>
          <w:rFonts w:ascii="Arial"/>
          <w:spacing w:val="-14"/>
        </w:rPr>
        <w:t> </w:t>
      </w:r>
      <w:r>
        <w:rPr>
          <w:rFonts w:ascii="Arial"/>
        </w:rPr>
        <w:t>NHS organisations</w:t>
      </w:r>
      <w:r>
        <w:rPr>
          <w:rFonts w:ascii="Arial"/>
          <w:spacing w:val="-12"/>
        </w:rPr>
        <w:t> </w:t>
      </w:r>
      <w:r>
        <w:rPr>
          <w:rFonts w:ascii="Arial"/>
        </w:rPr>
        <w:t>and</w:t>
      </w:r>
      <w:r>
        <w:rPr>
          <w:rFonts w:ascii="Arial"/>
          <w:spacing w:val="-12"/>
        </w:rPr>
        <w:t> </w:t>
      </w:r>
      <w:r>
        <w:rPr>
          <w:rFonts w:ascii="Arial"/>
        </w:rPr>
        <w:t>confirmed</w:t>
      </w:r>
      <w:r>
        <w:rPr>
          <w:rFonts w:ascii="Arial"/>
          <w:spacing w:val="-12"/>
        </w:rPr>
        <w:t> </w:t>
      </w:r>
      <w:r>
        <w:rPr>
          <w:rFonts w:ascii="Arial"/>
        </w:rPr>
        <w:t>that</w:t>
      </w:r>
      <w:r>
        <w:rPr>
          <w:rFonts w:ascii="Arial"/>
          <w:spacing w:val="-12"/>
        </w:rPr>
        <w:t> </w:t>
      </w:r>
      <w:r>
        <w:rPr>
          <w:rFonts w:ascii="Arial"/>
        </w:rPr>
        <w:t>this</w:t>
      </w:r>
      <w:r>
        <w:rPr>
          <w:rFonts w:ascii="Arial"/>
          <w:spacing w:val="-12"/>
        </w:rPr>
        <w:t> </w:t>
      </w:r>
      <w:r>
        <w:rPr>
          <w:rFonts w:ascii="Arial"/>
        </w:rPr>
        <w:t>is</w:t>
      </w:r>
      <w:r>
        <w:rPr>
          <w:rFonts w:ascii="Arial"/>
          <w:spacing w:val="-12"/>
        </w:rPr>
        <w:t> </w:t>
      </w:r>
      <w:r>
        <w:rPr>
          <w:rFonts w:ascii="Arial"/>
        </w:rPr>
        <w:t>one</w:t>
      </w:r>
      <w:r>
        <w:rPr>
          <w:rFonts w:ascii="Arial"/>
          <w:spacing w:val="-12"/>
        </w:rPr>
        <w:t> </w:t>
      </w:r>
      <w:r>
        <w:rPr>
          <w:rFonts w:ascii="Arial"/>
        </w:rPr>
        <w:t>developed</w:t>
      </w:r>
      <w:r>
        <w:rPr>
          <w:rFonts w:ascii="Arial"/>
          <w:spacing w:val="-12"/>
        </w:rPr>
        <w:t> </w:t>
      </w:r>
      <w:r>
        <w:rPr>
          <w:rFonts w:ascii="Arial"/>
        </w:rPr>
        <w:t>by</w:t>
      </w:r>
      <w:r>
        <w:rPr>
          <w:rFonts w:ascii="Arial"/>
          <w:spacing w:val="-12"/>
        </w:rPr>
        <w:t> </w:t>
      </w:r>
      <w:r>
        <w:rPr>
          <w:rFonts w:ascii="Arial"/>
        </w:rPr>
        <w:t>the</w:t>
      </w:r>
      <w:r>
        <w:rPr>
          <w:rFonts w:ascii="Arial"/>
          <w:spacing w:val="-12"/>
        </w:rPr>
        <w:t> </w:t>
      </w:r>
      <w:r>
        <w:rPr>
          <w:rFonts w:ascii="Arial"/>
        </w:rPr>
        <w:t>Good</w:t>
      </w:r>
      <w:r>
        <w:rPr>
          <w:rFonts w:ascii="Arial"/>
          <w:spacing w:val="-12"/>
        </w:rPr>
        <w:t> </w:t>
      </w:r>
      <w:r>
        <w:rPr>
          <w:rFonts w:ascii="Arial"/>
        </w:rPr>
        <w:t>Governance</w:t>
      </w:r>
      <w:r>
        <w:rPr>
          <w:rFonts w:ascii="Arial"/>
          <w:spacing w:val="-12"/>
        </w:rPr>
        <w:t> </w:t>
      </w:r>
      <w:r>
        <w:rPr>
          <w:rFonts w:ascii="Arial"/>
        </w:rPr>
        <w:t>Institute (Annex 1).</w:t>
      </w:r>
    </w:p>
    <w:p>
      <w:pPr>
        <w:pStyle w:val="BodyText"/>
        <w:rPr>
          <w:rFonts w:ascii="Arial"/>
        </w:rPr>
      </w:pPr>
    </w:p>
    <w:p>
      <w:pPr>
        <w:pStyle w:val="BodyText"/>
        <w:ind w:left="100" w:right="598"/>
        <w:jc w:val="both"/>
        <w:rPr>
          <w:rFonts w:ascii="Arial"/>
        </w:rPr>
      </w:pPr>
      <w:r>
        <w:rPr>
          <w:rFonts w:ascii="Arial"/>
        </w:rPr>
        <w:t>The</w:t>
      </w:r>
      <w:r>
        <w:rPr>
          <w:rFonts w:ascii="Arial"/>
          <w:spacing w:val="-13"/>
        </w:rPr>
        <w:t> </w:t>
      </w:r>
      <w:r>
        <w:rPr>
          <w:rFonts w:ascii="Arial"/>
        </w:rPr>
        <w:t>risk</w:t>
      </w:r>
      <w:r>
        <w:rPr>
          <w:rFonts w:ascii="Arial"/>
          <w:spacing w:val="-13"/>
        </w:rPr>
        <w:t> </w:t>
      </w:r>
      <w:r>
        <w:rPr>
          <w:rFonts w:ascii="Arial"/>
        </w:rPr>
        <w:t>appetite</w:t>
      </w:r>
      <w:r>
        <w:rPr>
          <w:rFonts w:ascii="Arial"/>
          <w:spacing w:val="-13"/>
        </w:rPr>
        <w:t> </w:t>
      </w:r>
      <w:r>
        <w:rPr>
          <w:rFonts w:ascii="Arial"/>
        </w:rPr>
        <w:t>has</w:t>
      </w:r>
      <w:r>
        <w:rPr>
          <w:rFonts w:ascii="Arial"/>
          <w:spacing w:val="-13"/>
        </w:rPr>
        <w:t> </w:t>
      </w:r>
      <w:r>
        <w:rPr>
          <w:rFonts w:ascii="Arial"/>
        </w:rPr>
        <w:t>been</w:t>
      </w:r>
      <w:r>
        <w:rPr>
          <w:rFonts w:ascii="Arial"/>
          <w:spacing w:val="-13"/>
        </w:rPr>
        <w:t> </w:t>
      </w:r>
      <w:r>
        <w:rPr>
          <w:rFonts w:ascii="Arial"/>
        </w:rPr>
        <w:t>communicated</w:t>
      </w:r>
      <w:r>
        <w:rPr>
          <w:rFonts w:ascii="Arial"/>
          <w:spacing w:val="-13"/>
        </w:rPr>
        <w:t> </w:t>
      </w:r>
      <w:r>
        <w:rPr>
          <w:rFonts w:ascii="Arial"/>
        </w:rPr>
        <w:t>to</w:t>
      </w:r>
      <w:r>
        <w:rPr>
          <w:rFonts w:ascii="Arial"/>
          <w:spacing w:val="-13"/>
        </w:rPr>
        <w:t> </w:t>
      </w:r>
      <w:r>
        <w:rPr>
          <w:rFonts w:ascii="Arial"/>
        </w:rPr>
        <w:t>staff</w:t>
      </w:r>
      <w:r>
        <w:rPr>
          <w:rFonts w:ascii="Arial"/>
          <w:spacing w:val="-13"/>
        </w:rPr>
        <w:t> </w:t>
      </w:r>
      <w:r>
        <w:rPr>
          <w:rFonts w:ascii="Arial"/>
        </w:rPr>
        <w:t>to</w:t>
      </w:r>
      <w:r>
        <w:rPr>
          <w:rFonts w:ascii="Arial"/>
          <w:spacing w:val="-13"/>
        </w:rPr>
        <w:t> </w:t>
      </w:r>
      <w:r>
        <w:rPr>
          <w:rFonts w:ascii="Arial"/>
        </w:rPr>
        <w:t>embed</w:t>
      </w:r>
      <w:r>
        <w:rPr>
          <w:rFonts w:ascii="Arial"/>
          <w:spacing w:val="-13"/>
        </w:rPr>
        <w:t> </w:t>
      </w:r>
      <w:r>
        <w:rPr>
          <w:rFonts w:ascii="Arial"/>
        </w:rPr>
        <w:t>it</w:t>
      </w:r>
      <w:r>
        <w:rPr>
          <w:rFonts w:ascii="Arial"/>
          <w:spacing w:val="-13"/>
        </w:rPr>
        <w:t> </w:t>
      </w:r>
      <w:r>
        <w:rPr>
          <w:rFonts w:ascii="Arial"/>
        </w:rPr>
        <w:t>throughout</w:t>
      </w:r>
      <w:r>
        <w:rPr>
          <w:rFonts w:ascii="Arial"/>
          <w:spacing w:val="-13"/>
        </w:rPr>
        <w:t> </w:t>
      </w:r>
      <w:r>
        <w:rPr>
          <w:rFonts w:ascii="Arial"/>
        </w:rPr>
        <w:t>the</w:t>
      </w:r>
      <w:r>
        <w:rPr>
          <w:rFonts w:ascii="Arial"/>
          <w:spacing w:val="-13"/>
        </w:rPr>
        <w:t> </w:t>
      </w:r>
      <w:r>
        <w:rPr>
          <w:rFonts w:ascii="Arial"/>
        </w:rPr>
        <w:t>organisation and</w:t>
      </w:r>
      <w:r>
        <w:rPr>
          <w:rFonts w:ascii="Arial"/>
          <w:spacing w:val="-10"/>
        </w:rPr>
        <w:t> </w:t>
      </w:r>
      <w:r>
        <w:rPr>
          <w:rFonts w:ascii="Arial"/>
        </w:rPr>
        <w:t>it</w:t>
      </w:r>
      <w:r>
        <w:rPr>
          <w:rFonts w:ascii="Arial"/>
          <w:spacing w:val="-10"/>
        </w:rPr>
        <w:t> </w:t>
      </w:r>
      <w:r>
        <w:rPr>
          <w:rFonts w:ascii="Arial"/>
        </w:rPr>
        <w:t>is</w:t>
      </w:r>
      <w:r>
        <w:rPr>
          <w:rFonts w:ascii="Arial"/>
          <w:spacing w:val="-10"/>
        </w:rPr>
        <w:t> </w:t>
      </w:r>
      <w:r>
        <w:rPr>
          <w:rFonts w:ascii="Arial"/>
        </w:rPr>
        <w:t>also</w:t>
      </w:r>
      <w:r>
        <w:rPr>
          <w:rFonts w:ascii="Arial"/>
          <w:spacing w:val="-10"/>
        </w:rPr>
        <w:t> </w:t>
      </w:r>
      <w:r>
        <w:rPr>
          <w:rFonts w:ascii="Arial"/>
        </w:rPr>
        <w:t>a</w:t>
      </w:r>
      <w:r>
        <w:rPr>
          <w:rFonts w:ascii="Arial"/>
          <w:spacing w:val="-10"/>
        </w:rPr>
        <w:t> </w:t>
      </w:r>
      <w:r>
        <w:rPr>
          <w:rFonts w:ascii="Arial"/>
        </w:rPr>
        <w:t>key</w:t>
      </w:r>
      <w:r>
        <w:rPr>
          <w:rFonts w:ascii="Arial"/>
          <w:spacing w:val="-10"/>
        </w:rPr>
        <w:t> </w:t>
      </w:r>
      <w:r>
        <w:rPr>
          <w:rFonts w:ascii="Arial"/>
        </w:rPr>
        <w:t>reference</w:t>
      </w:r>
      <w:r>
        <w:rPr>
          <w:rFonts w:ascii="Arial"/>
          <w:spacing w:val="-10"/>
        </w:rPr>
        <w:t> </w:t>
      </w:r>
      <w:r>
        <w:rPr>
          <w:rFonts w:ascii="Arial"/>
        </w:rPr>
        <w:t>document</w:t>
      </w:r>
      <w:r>
        <w:rPr>
          <w:rFonts w:ascii="Arial"/>
          <w:spacing w:val="-10"/>
        </w:rPr>
        <w:t> </w:t>
      </w:r>
      <w:r>
        <w:rPr>
          <w:rFonts w:ascii="Arial"/>
        </w:rPr>
        <w:t>in</w:t>
      </w:r>
      <w:r>
        <w:rPr>
          <w:rFonts w:ascii="Arial"/>
          <w:spacing w:val="-10"/>
        </w:rPr>
        <w:t> </w:t>
      </w:r>
      <w:r>
        <w:rPr>
          <w:rFonts w:ascii="Arial"/>
        </w:rPr>
        <w:t>discussions</w:t>
      </w:r>
      <w:r>
        <w:rPr>
          <w:rFonts w:ascii="Arial"/>
          <w:spacing w:val="-10"/>
        </w:rPr>
        <w:t> </w:t>
      </w:r>
      <w:r>
        <w:rPr>
          <w:rFonts w:ascii="Arial"/>
        </w:rPr>
        <w:t>regarding</w:t>
      </w:r>
      <w:r>
        <w:rPr>
          <w:rFonts w:ascii="Arial"/>
          <w:spacing w:val="-10"/>
        </w:rPr>
        <w:t> </w:t>
      </w:r>
      <w:r>
        <w:rPr>
          <w:rFonts w:ascii="Arial"/>
        </w:rPr>
        <w:t>the</w:t>
      </w:r>
      <w:r>
        <w:rPr>
          <w:rFonts w:ascii="Arial"/>
          <w:spacing w:val="-10"/>
        </w:rPr>
        <w:t> </w:t>
      </w:r>
      <w:r>
        <w:rPr>
          <w:rFonts w:ascii="Arial"/>
        </w:rPr>
        <w:t>risks</w:t>
      </w:r>
      <w:r>
        <w:rPr>
          <w:rFonts w:ascii="Arial"/>
          <w:spacing w:val="-10"/>
        </w:rPr>
        <w:t> </w:t>
      </w:r>
      <w:r>
        <w:rPr>
          <w:rFonts w:ascii="Arial"/>
        </w:rPr>
        <w:t>on</w:t>
      </w:r>
      <w:r>
        <w:rPr>
          <w:rFonts w:ascii="Arial"/>
          <w:spacing w:val="-10"/>
        </w:rPr>
        <w:t> </w:t>
      </w:r>
      <w:r>
        <w:rPr>
          <w:rFonts w:ascii="Arial"/>
        </w:rPr>
        <w:t>the</w:t>
      </w:r>
      <w:r>
        <w:rPr>
          <w:rFonts w:ascii="Arial"/>
          <w:spacing w:val="-10"/>
        </w:rPr>
        <w:t> </w:t>
      </w:r>
      <w:r>
        <w:rPr>
          <w:rFonts w:ascii="Arial"/>
        </w:rPr>
        <w:t>NWSSP risk register, ensuring these are in line with NWSSP's risk appetite.</w:t>
      </w:r>
    </w:p>
    <w:p>
      <w:pPr>
        <w:pStyle w:val="BodyText"/>
        <w:rPr>
          <w:rFonts w:ascii="Arial"/>
        </w:rPr>
      </w:pPr>
    </w:p>
    <w:p>
      <w:pPr>
        <w:pStyle w:val="BodyText"/>
        <w:ind w:left="100" w:right="597"/>
        <w:jc w:val="both"/>
        <w:rPr>
          <w:rFonts w:ascii="Arial"/>
        </w:rPr>
      </w:pPr>
      <w:r>
        <w:rPr>
          <w:rFonts w:ascii="Arial"/>
        </w:rPr>
        <w:t>The Risk Appetite Statement is presented to the SSPC for approval on an annual basis, or sooner if circumstances require. The statement was informally reviewed at the SSPC Development Day on 11 November 2022 and the Informal Senior Leadership Group on the 10</w:t>
      </w:r>
      <w:r>
        <w:rPr>
          <w:rFonts w:ascii="Arial"/>
          <w:position w:val="7"/>
          <w:sz w:val="16"/>
        </w:rPr>
        <w:t>th</w:t>
      </w:r>
      <w:r>
        <w:rPr>
          <w:rFonts w:ascii="Arial"/>
          <w:spacing w:val="40"/>
          <w:position w:val="7"/>
          <w:sz w:val="16"/>
        </w:rPr>
        <w:t> </w:t>
      </w:r>
      <w:r>
        <w:rPr>
          <w:rFonts w:ascii="Arial"/>
        </w:rPr>
        <w:t>of November.</w:t>
      </w:r>
    </w:p>
    <w:p>
      <w:pPr>
        <w:spacing w:after="0"/>
        <w:jc w:val="both"/>
        <w:rPr>
          <w:rFonts w:ascii="Arial"/>
        </w:rPr>
        <w:sectPr>
          <w:footerReference w:type="default" r:id="rId153"/>
          <w:pgSz w:w="12240" w:h="15840"/>
          <w:pgMar w:footer="1144" w:header="0" w:top="960" w:bottom="1340" w:left="1340" w:right="840"/>
        </w:sectPr>
      </w:pPr>
    </w:p>
    <w:p>
      <w:pPr>
        <w:pStyle w:val="BodyText"/>
        <w:ind w:left="6356"/>
        <w:rPr>
          <w:rFonts w:ascii="Arial"/>
          <w:sz w:val="20"/>
        </w:rPr>
      </w:pPr>
      <w:r>
        <w:rPr>
          <w:rFonts w:ascii="Arial"/>
          <w:sz w:val="20"/>
        </w:rPr>
        <w:drawing>
          <wp:inline distT="0" distB="0" distL="0" distR="0">
            <wp:extent cx="2283052" cy="866775"/>
            <wp:effectExtent l="0" t="0" r="0" b="0"/>
            <wp:docPr id="175" name="image76.jpeg"/>
            <wp:cNvGraphicFramePr>
              <a:graphicFrameLocks noChangeAspect="1"/>
            </wp:cNvGraphicFramePr>
            <a:graphic>
              <a:graphicData uri="http://schemas.openxmlformats.org/drawingml/2006/picture">
                <pic:pic>
                  <pic:nvPicPr>
                    <pic:cNvPr id="176" name="image76.jpeg"/>
                    <pic:cNvPicPr/>
                  </pic:nvPicPr>
                  <pic:blipFill>
                    <a:blip r:embed="rId154" cstate="print"/>
                    <a:stretch>
                      <a:fillRect/>
                    </a:stretch>
                  </pic:blipFill>
                  <pic:spPr>
                    <a:xfrm>
                      <a:off x="0" y="0"/>
                      <a:ext cx="2283052" cy="866775"/>
                    </a:xfrm>
                    <a:prstGeom prst="rect">
                      <a:avLst/>
                    </a:prstGeom>
                  </pic:spPr>
                </pic:pic>
              </a:graphicData>
            </a:graphic>
          </wp:inline>
        </w:drawing>
      </w:r>
      <w:r>
        <w:rPr>
          <w:rFonts w:ascii="Arial"/>
          <w:sz w:val="20"/>
        </w:rPr>
      </w:r>
    </w:p>
    <w:p>
      <w:pPr>
        <w:pStyle w:val="BodyText"/>
        <w:rPr>
          <w:rFonts w:ascii="Arial"/>
          <w:sz w:val="20"/>
        </w:rPr>
      </w:pPr>
    </w:p>
    <w:p>
      <w:pPr>
        <w:pStyle w:val="BodyText"/>
        <w:spacing w:before="6"/>
        <w:rPr>
          <w:rFonts w:ascii="Arial"/>
          <w:sz w:val="16"/>
        </w:rPr>
      </w:pPr>
    </w:p>
    <w:p>
      <w:pPr>
        <w:spacing w:before="93"/>
        <w:ind w:left="100" w:right="0" w:firstLine="0"/>
        <w:jc w:val="left"/>
        <w:rPr>
          <w:rFonts w:ascii="Arial"/>
          <w:b/>
          <w:sz w:val="22"/>
        </w:rPr>
      </w:pPr>
      <w:r>
        <w:rPr>
          <w:rFonts w:ascii="Arial"/>
          <w:b/>
          <w:sz w:val="22"/>
        </w:rPr>
        <w:t>.</w:t>
      </w:r>
    </w:p>
    <w:p>
      <w:pPr>
        <w:pStyle w:val="BodyText"/>
        <w:rPr>
          <w:rFonts w:ascii="Arial"/>
          <w:b/>
          <w:sz w:val="22"/>
        </w:rPr>
      </w:pPr>
    </w:p>
    <w:p>
      <w:pPr>
        <w:spacing w:before="0"/>
        <w:ind w:left="100" w:right="0" w:firstLine="0"/>
        <w:jc w:val="left"/>
        <w:rPr>
          <w:rFonts w:ascii="Arial"/>
          <w:b/>
          <w:sz w:val="24"/>
        </w:rPr>
      </w:pPr>
      <w:r>
        <w:rPr>
          <w:rFonts w:ascii="Arial"/>
          <w:b/>
          <w:sz w:val="24"/>
        </w:rPr>
        <w:t>General</w:t>
      </w:r>
      <w:r>
        <w:rPr>
          <w:rFonts w:ascii="Arial"/>
          <w:b/>
          <w:spacing w:val="-1"/>
          <w:sz w:val="24"/>
        </w:rPr>
        <w:t> </w:t>
      </w:r>
      <w:r>
        <w:rPr>
          <w:rFonts w:ascii="Arial"/>
          <w:b/>
          <w:sz w:val="24"/>
        </w:rPr>
        <w:t>Statement of </w:t>
      </w:r>
      <w:r>
        <w:rPr>
          <w:rFonts w:ascii="Arial"/>
          <w:b/>
          <w:spacing w:val="-2"/>
          <w:sz w:val="24"/>
        </w:rPr>
        <w:t>Appetite.</w:t>
      </w:r>
    </w:p>
    <w:p>
      <w:pPr>
        <w:pStyle w:val="BodyText"/>
        <w:spacing w:before="200"/>
        <w:ind w:left="100" w:right="597"/>
        <w:jc w:val="both"/>
        <w:rPr>
          <w:rFonts w:ascii="Arial"/>
        </w:rPr>
      </w:pPr>
      <w:r>
        <w:rPr>
          <w:rFonts w:ascii="Arial"/>
        </w:rPr>
        <w:t>NWSSP</w:t>
      </w:r>
      <w:r>
        <w:rPr>
          <w:rFonts w:ascii="Arial"/>
          <w:spacing w:val="-1"/>
        </w:rPr>
        <w:t> </w:t>
      </w:r>
      <w:r>
        <w:rPr>
          <w:rFonts w:ascii="Arial"/>
        </w:rPr>
        <w:t>faces</w:t>
      </w:r>
      <w:r>
        <w:rPr>
          <w:rFonts w:ascii="Arial"/>
          <w:spacing w:val="-1"/>
        </w:rPr>
        <w:t> </w:t>
      </w:r>
      <w:r>
        <w:rPr>
          <w:rFonts w:ascii="Arial"/>
        </w:rPr>
        <w:t>a</w:t>
      </w:r>
      <w:r>
        <w:rPr>
          <w:rFonts w:ascii="Arial"/>
          <w:spacing w:val="-1"/>
        </w:rPr>
        <w:t> </w:t>
      </w:r>
      <w:r>
        <w:rPr>
          <w:rFonts w:ascii="Arial"/>
        </w:rPr>
        <w:t>broad</w:t>
      </w:r>
      <w:r>
        <w:rPr>
          <w:rFonts w:ascii="Arial"/>
          <w:spacing w:val="-1"/>
        </w:rPr>
        <w:t> </w:t>
      </w:r>
      <w:r>
        <w:rPr>
          <w:rFonts w:ascii="Arial"/>
        </w:rPr>
        <w:t>range</w:t>
      </w:r>
      <w:r>
        <w:rPr>
          <w:rFonts w:ascii="Arial"/>
          <w:spacing w:val="-1"/>
        </w:rPr>
        <w:t> </w:t>
      </w:r>
      <w:r>
        <w:rPr>
          <w:rFonts w:ascii="Arial"/>
        </w:rPr>
        <w:t>of</w:t>
      </w:r>
      <w:r>
        <w:rPr>
          <w:rFonts w:ascii="Arial"/>
          <w:spacing w:val="-1"/>
        </w:rPr>
        <w:t> </w:t>
      </w:r>
      <w:r>
        <w:rPr>
          <w:rFonts w:ascii="Arial"/>
        </w:rPr>
        <w:t>risks</w:t>
      </w:r>
      <w:r>
        <w:rPr>
          <w:rFonts w:ascii="Arial"/>
          <w:spacing w:val="-1"/>
        </w:rPr>
        <w:t> </w:t>
      </w:r>
      <w:r>
        <w:rPr>
          <w:rFonts w:ascii="Arial"/>
        </w:rPr>
        <w:t>reflecting</w:t>
      </w:r>
      <w:r>
        <w:rPr>
          <w:rFonts w:ascii="Arial"/>
          <w:spacing w:val="-1"/>
        </w:rPr>
        <w:t> </w:t>
      </w:r>
      <w:r>
        <w:rPr>
          <w:rFonts w:ascii="Arial"/>
        </w:rPr>
        <w:t>its</w:t>
      </w:r>
      <w:r>
        <w:rPr>
          <w:rFonts w:ascii="Arial"/>
          <w:spacing w:val="-1"/>
        </w:rPr>
        <w:t> </w:t>
      </w:r>
      <w:r>
        <w:rPr>
          <w:rFonts w:ascii="Arial"/>
        </w:rPr>
        <w:t>responsibilities.</w:t>
      </w:r>
      <w:r>
        <w:rPr>
          <w:rFonts w:ascii="Arial"/>
          <w:spacing w:val="-1"/>
        </w:rPr>
        <w:t> </w:t>
      </w:r>
      <w:r>
        <w:rPr>
          <w:rFonts w:ascii="Arial"/>
        </w:rPr>
        <w:t>The</w:t>
      </w:r>
      <w:r>
        <w:rPr>
          <w:rFonts w:ascii="Arial"/>
          <w:spacing w:val="-1"/>
        </w:rPr>
        <w:t> </w:t>
      </w:r>
      <w:r>
        <w:rPr>
          <w:rFonts w:ascii="Arial"/>
        </w:rPr>
        <w:t>risks</w:t>
      </w:r>
      <w:r>
        <w:rPr>
          <w:rFonts w:ascii="Arial"/>
          <w:spacing w:val="-1"/>
        </w:rPr>
        <w:t> </w:t>
      </w:r>
      <w:r>
        <w:rPr>
          <w:rFonts w:ascii="Arial"/>
        </w:rPr>
        <w:t>arising</w:t>
      </w:r>
      <w:r>
        <w:rPr>
          <w:rFonts w:ascii="Arial"/>
          <w:spacing w:val="-1"/>
        </w:rPr>
        <w:t> </w:t>
      </w:r>
      <w:r>
        <w:rPr>
          <w:rFonts w:ascii="Arial"/>
        </w:rPr>
        <w:t>from our responsibilities can be significant. These risks are managed through detailed processes</w:t>
      </w:r>
      <w:r>
        <w:rPr>
          <w:rFonts w:ascii="Arial"/>
          <w:spacing w:val="-10"/>
        </w:rPr>
        <w:t> </w:t>
      </w:r>
      <w:r>
        <w:rPr>
          <w:rFonts w:ascii="Arial"/>
        </w:rPr>
        <w:t>that</w:t>
      </w:r>
      <w:r>
        <w:rPr>
          <w:rFonts w:ascii="Arial"/>
          <w:spacing w:val="-10"/>
        </w:rPr>
        <w:t> </w:t>
      </w:r>
      <w:r>
        <w:rPr>
          <w:rFonts w:ascii="Arial"/>
        </w:rPr>
        <w:t>emphasise</w:t>
      </w:r>
      <w:r>
        <w:rPr>
          <w:rFonts w:ascii="Arial"/>
          <w:spacing w:val="-10"/>
        </w:rPr>
        <w:t> </w:t>
      </w:r>
      <w:r>
        <w:rPr>
          <w:rFonts w:ascii="Arial"/>
        </w:rPr>
        <w:t>the</w:t>
      </w:r>
      <w:r>
        <w:rPr>
          <w:rFonts w:ascii="Arial"/>
          <w:spacing w:val="-10"/>
        </w:rPr>
        <w:t> </w:t>
      </w:r>
      <w:r>
        <w:rPr>
          <w:rFonts w:ascii="Arial"/>
        </w:rPr>
        <w:t>importance</w:t>
      </w:r>
      <w:r>
        <w:rPr>
          <w:rFonts w:ascii="Arial"/>
          <w:spacing w:val="-10"/>
        </w:rPr>
        <w:t> </w:t>
      </w:r>
      <w:r>
        <w:rPr>
          <w:rFonts w:ascii="Arial"/>
        </w:rPr>
        <w:t>of</w:t>
      </w:r>
      <w:r>
        <w:rPr>
          <w:rFonts w:ascii="Arial"/>
          <w:spacing w:val="-11"/>
        </w:rPr>
        <w:t> </w:t>
      </w:r>
      <w:r>
        <w:rPr>
          <w:rFonts w:ascii="Arial"/>
        </w:rPr>
        <w:t>integrity,</w:t>
      </w:r>
      <w:r>
        <w:rPr>
          <w:rFonts w:ascii="Arial"/>
          <w:spacing w:val="-11"/>
        </w:rPr>
        <w:t> </w:t>
      </w:r>
      <w:r>
        <w:rPr>
          <w:rFonts w:ascii="Arial"/>
        </w:rPr>
        <w:t>intelligent</w:t>
      </w:r>
      <w:r>
        <w:rPr>
          <w:rFonts w:ascii="Arial"/>
          <w:spacing w:val="-10"/>
        </w:rPr>
        <w:t> </w:t>
      </w:r>
      <w:r>
        <w:rPr>
          <w:rFonts w:ascii="Arial"/>
        </w:rPr>
        <w:t>inquiry,</w:t>
      </w:r>
      <w:r>
        <w:rPr>
          <w:rFonts w:ascii="Arial"/>
          <w:spacing w:val="-10"/>
        </w:rPr>
        <w:t> </w:t>
      </w:r>
      <w:r>
        <w:rPr>
          <w:rFonts w:ascii="Arial"/>
        </w:rPr>
        <w:t>maintaining</w:t>
      </w:r>
      <w:r>
        <w:rPr>
          <w:rFonts w:ascii="Arial"/>
          <w:spacing w:val="-10"/>
        </w:rPr>
        <w:t> </w:t>
      </w:r>
      <w:r>
        <w:rPr>
          <w:rFonts w:ascii="Arial"/>
        </w:rPr>
        <w:t>high quality staff and public accountability.</w:t>
      </w:r>
    </w:p>
    <w:p>
      <w:pPr>
        <w:pStyle w:val="BodyText"/>
        <w:rPr>
          <w:rFonts w:ascii="Arial"/>
        </w:rPr>
      </w:pPr>
    </w:p>
    <w:p>
      <w:pPr>
        <w:pStyle w:val="BodyText"/>
        <w:ind w:left="100" w:right="598"/>
        <w:jc w:val="both"/>
        <w:rPr>
          <w:rFonts w:ascii="Arial"/>
        </w:rPr>
      </w:pPr>
      <w:r>
        <w:rPr>
          <w:rFonts w:ascii="Arial"/>
        </w:rPr>
        <w:t>NWSSP make resources available to control operational risks at acceptable levels and recognises</w:t>
      </w:r>
      <w:r>
        <w:rPr>
          <w:rFonts w:ascii="Arial"/>
          <w:spacing w:val="-5"/>
        </w:rPr>
        <w:t> </w:t>
      </w:r>
      <w:r>
        <w:rPr>
          <w:rFonts w:ascii="Arial"/>
        </w:rPr>
        <w:t>that</w:t>
      </w:r>
      <w:r>
        <w:rPr>
          <w:rFonts w:ascii="Arial"/>
          <w:spacing w:val="-5"/>
        </w:rPr>
        <w:t> </w:t>
      </w:r>
      <w:r>
        <w:rPr>
          <w:rFonts w:ascii="Arial"/>
        </w:rPr>
        <w:t>it</w:t>
      </w:r>
      <w:r>
        <w:rPr>
          <w:rFonts w:ascii="Arial"/>
          <w:spacing w:val="-5"/>
        </w:rPr>
        <w:t> </w:t>
      </w:r>
      <w:r>
        <w:rPr>
          <w:rFonts w:ascii="Arial"/>
        </w:rPr>
        <w:t>is</w:t>
      </w:r>
      <w:r>
        <w:rPr>
          <w:rFonts w:ascii="Arial"/>
          <w:spacing w:val="-5"/>
        </w:rPr>
        <w:t> </w:t>
      </w:r>
      <w:r>
        <w:rPr>
          <w:rFonts w:ascii="Arial"/>
        </w:rPr>
        <w:t>not</w:t>
      </w:r>
      <w:r>
        <w:rPr>
          <w:rFonts w:ascii="Arial"/>
          <w:spacing w:val="-5"/>
        </w:rPr>
        <w:t> </w:t>
      </w:r>
      <w:r>
        <w:rPr>
          <w:rFonts w:ascii="Arial"/>
        </w:rPr>
        <w:t>possible</w:t>
      </w:r>
      <w:r>
        <w:rPr>
          <w:rFonts w:ascii="Arial"/>
          <w:spacing w:val="-5"/>
        </w:rPr>
        <w:t> </w:t>
      </w:r>
      <w:r>
        <w:rPr>
          <w:rFonts w:ascii="Arial"/>
        </w:rPr>
        <w:t>or</w:t>
      </w:r>
      <w:r>
        <w:rPr>
          <w:rFonts w:ascii="Arial"/>
          <w:spacing w:val="-5"/>
        </w:rPr>
        <w:t> </w:t>
      </w:r>
      <w:r>
        <w:rPr>
          <w:rFonts w:ascii="Arial"/>
        </w:rPr>
        <w:t>indeed</w:t>
      </w:r>
      <w:r>
        <w:rPr>
          <w:rFonts w:ascii="Arial"/>
          <w:spacing w:val="-5"/>
        </w:rPr>
        <w:t> </w:t>
      </w:r>
      <w:r>
        <w:rPr>
          <w:rFonts w:ascii="Arial"/>
        </w:rPr>
        <w:t>necessarily</w:t>
      </w:r>
      <w:r>
        <w:rPr>
          <w:rFonts w:ascii="Arial"/>
          <w:spacing w:val="-5"/>
        </w:rPr>
        <w:t> </w:t>
      </w:r>
      <w:r>
        <w:rPr>
          <w:rFonts w:ascii="Arial"/>
        </w:rPr>
        <w:t>desirable</w:t>
      </w:r>
      <w:r>
        <w:rPr>
          <w:rFonts w:ascii="Arial"/>
          <w:spacing w:val="-5"/>
        </w:rPr>
        <w:t> </w:t>
      </w:r>
      <w:r>
        <w:rPr>
          <w:rFonts w:ascii="Arial"/>
        </w:rPr>
        <w:t>to</w:t>
      </w:r>
      <w:r>
        <w:rPr>
          <w:rFonts w:ascii="Arial"/>
          <w:spacing w:val="-5"/>
        </w:rPr>
        <w:t> </w:t>
      </w:r>
      <w:r>
        <w:rPr>
          <w:rFonts w:ascii="Arial"/>
        </w:rPr>
        <w:t>eliminate</w:t>
      </w:r>
      <w:r>
        <w:rPr>
          <w:rFonts w:ascii="Arial"/>
          <w:spacing w:val="-5"/>
        </w:rPr>
        <w:t> </w:t>
      </w:r>
      <w:r>
        <w:rPr>
          <w:rFonts w:ascii="Arial"/>
        </w:rPr>
        <w:t>some</w:t>
      </w:r>
      <w:r>
        <w:rPr>
          <w:rFonts w:ascii="Arial"/>
          <w:spacing w:val="-5"/>
        </w:rPr>
        <w:t> </w:t>
      </w:r>
      <w:r>
        <w:rPr>
          <w:rFonts w:ascii="Arial"/>
        </w:rPr>
        <w:t>of</w:t>
      </w:r>
      <w:r>
        <w:rPr>
          <w:rFonts w:ascii="Arial"/>
          <w:spacing w:val="-5"/>
        </w:rPr>
        <w:t> </w:t>
      </w:r>
      <w:r>
        <w:rPr>
          <w:rFonts w:ascii="Arial"/>
        </w:rPr>
        <w:t>the risks inherent in our activities. Acceptance of some risk is often necessary to foster innovation within the services for which we are responsible.</w:t>
      </w:r>
    </w:p>
    <w:p>
      <w:pPr>
        <w:pStyle w:val="BodyText"/>
        <w:rPr>
          <w:rFonts w:ascii="Arial"/>
        </w:rPr>
      </w:pPr>
    </w:p>
    <w:p>
      <w:pPr>
        <w:pStyle w:val="BodyText"/>
        <w:ind w:left="100" w:right="597"/>
        <w:jc w:val="both"/>
        <w:rPr>
          <w:rFonts w:ascii="Arial"/>
        </w:rPr>
      </w:pPr>
      <w:r>
        <w:rPr>
          <w:rFonts w:ascii="Arial"/>
        </w:rPr>
        <w:t>This statement considers the most significant risks to which NWSSP is exposed and provides an outline of the approach to managing these risks. All strategic and business plans for operational areas must be consistent with this Statement. Given the range of our activities and responsibilities, it is not appropriate to make a single overarching statement</w:t>
      </w:r>
      <w:r>
        <w:rPr>
          <w:rFonts w:ascii="Arial"/>
          <w:spacing w:val="-3"/>
        </w:rPr>
        <w:t> </w:t>
      </w:r>
      <w:r>
        <w:rPr>
          <w:rFonts w:ascii="Arial"/>
        </w:rPr>
        <w:t>of</w:t>
      </w:r>
      <w:r>
        <w:rPr>
          <w:rFonts w:ascii="Arial"/>
          <w:spacing w:val="-3"/>
        </w:rPr>
        <w:t> </w:t>
      </w:r>
      <w:r>
        <w:rPr>
          <w:rFonts w:ascii="Arial"/>
        </w:rPr>
        <w:t>our</w:t>
      </w:r>
      <w:r>
        <w:rPr>
          <w:rFonts w:ascii="Arial"/>
          <w:spacing w:val="-3"/>
        </w:rPr>
        <w:t> </w:t>
      </w:r>
      <w:r>
        <w:rPr>
          <w:rFonts w:ascii="Arial"/>
        </w:rPr>
        <w:t>attitude</w:t>
      </w:r>
      <w:r>
        <w:rPr>
          <w:rFonts w:ascii="Arial"/>
          <w:spacing w:val="-3"/>
        </w:rPr>
        <w:t> </w:t>
      </w:r>
      <w:r>
        <w:rPr>
          <w:rFonts w:ascii="Arial"/>
        </w:rPr>
        <w:t>to</w:t>
      </w:r>
      <w:r>
        <w:rPr>
          <w:rFonts w:ascii="Arial"/>
          <w:spacing w:val="-3"/>
        </w:rPr>
        <w:t> </w:t>
      </w:r>
      <w:r>
        <w:rPr>
          <w:rFonts w:ascii="Arial"/>
        </w:rPr>
        <w:t>risk.</w:t>
      </w:r>
      <w:r>
        <w:rPr>
          <w:rFonts w:ascii="Arial"/>
          <w:spacing w:val="-3"/>
        </w:rPr>
        <w:t> </w:t>
      </w:r>
      <w:r>
        <w:rPr>
          <w:rFonts w:ascii="Arial"/>
        </w:rPr>
        <w:t>Instead,</w:t>
      </w:r>
      <w:r>
        <w:rPr>
          <w:rFonts w:ascii="Arial"/>
          <w:spacing w:val="-3"/>
        </w:rPr>
        <w:t> </w:t>
      </w:r>
      <w:r>
        <w:rPr>
          <w:rFonts w:ascii="Arial"/>
        </w:rPr>
        <w:t>a</w:t>
      </w:r>
      <w:r>
        <w:rPr>
          <w:rFonts w:ascii="Arial"/>
          <w:spacing w:val="-3"/>
        </w:rPr>
        <w:t> </w:t>
      </w:r>
      <w:r>
        <w:rPr>
          <w:rFonts w:ascii="Arial"/>
        </w:rPr>
        <w:t>range</w:t>
      </w:r>
      <w:r>
        <w:rPr>
          <w:rFonts w:ascii="Arial"/>
          <w:spacing w:val="-3"/>
        </w:rPr>
        <w:t> </w:t>
      </w:r>
      <w:r>
        <w:rPr>
          <w:rFonts w:ascii="Arial"/>
        </w:rPr>
        <w:t>of</w:t>
      </w:r>
      <w:r>
        <w:rPr>
          <w:rFonts w:ascii="Arial"/>
          <w:spacing w:val="-3"/>
        </w:rPr>
        <w:t> </w:t>
      </w:r>
      <w:r>
        <w:rPr>
          <w:rFonts w:ascii="Arial"/>
        </w:rPr>
        <w:t>risk</w:t>
      </w:r>
      <w:r>
        <w:rPr>
          <w:rFonts w:ascii="Arial"/>
          <w:spacing w:val="-3"/>
        </w:rPr>
        <w:t> </w:t>
      </w:r>
      <w:r>
        <w:rPr>
          <w:rFonts w:ascii="Arial"/>
        </w:rPr>
        <w:t>appetite</w:t>
      </w:r>
      <w:r>
        <w:rPr>
          <w:rFonts w:ascii="Arial"/>
          <w:spacing w:val="-3"/>
        </w:rPr>
        <w:t> </w:t>
      </w:r>
      <w:r>
        <w:rPr>
          <w:rFonts w:ascii="Arial"/>
        </w:rPr>
        <w:t>statements</w:t>
      </w:r>
      <w:r>
        <w:rPr>
          <w:rFonts w:ascii="Arial"/>
          <w:spacing w:val="-3"/>
        </w:rPr>
        <w:t> </w:t>
      </w:r>
      <w:r>
        <w:rPr>
          <w:rFonts w:ascii="Arial"/>
        </w:rPr>
        <w:t>arising</w:t>
      </w:r>
      <w:r>
        <w:rPr>
          <w:rFonts w:ascii="Arial"/>
          <w:spacing w:val="-3"/>
        </w:rPr>
        <w:t> </w:t>
      </w:r>
      <w:r>
        <w:rPr>
          <w:rFonts w:ascii="Arial"/>
        </w:rPr>
        <w:t>from the different areas of our work are set out below.</w:t>
      </w:r>
    </w:p>
    <w:p>
      <w:pPr>
        <w:pStyle w:val="BodyText"/>
        <w:rPr>
          <w:rFonts w:ascii="Arial"/>
          <w:sz w:val="26"/>
        </w:rPr>
      </w:pPr>
    </w:p>
    <w:p>
      <w:pPr>
        <w:numPr>
          <w:ilvl w:val="0"/>
          <w:numId w:val="34"/>
        </w:numPr>
        <w:tabs>
          <w:tab w:pos="384" w:val="left" w:leader="none"/>
        </w:tabs>
        <w:spacing w:before="177"/>
        <w:ind w:left="383" w:right="0" w:hanging="284"/>
        <w:jc w:val="left"/>
        <w:rPr>
          <w:rFonts w:ascii="Arial"/>
          <w:b/>
          <w:sz w:val="24"/>
        </w:rPr>
      </w:pPr>
      <w:r>
        <w:rPr>
          <w:rFonts w:ascii="Arial"/>
          <w:b/>
          <w:spacing w:val="-2"/>
          <w:sz w:val="24"/>
        </w:rPr>
        <w:t>Financial</w:t>
      </w:r>
    </w:p>
    <w:p>
      <w:pPr>
        <w:pStyle w:val="BodyText"/>
        <w:spacing w:before="200"/>
        <w:ind w:left="100" w:right="598"/>
        <w:jc w:val="both"/>
        <w:rPr>
          <w:rFonts w:ascii="Arial"/>
        </w:rPr>
      </w:pPr>
      <w:r>
        <w:rPr>
          <w:rFonts w:ascii="Arial"/>
          <w:spacing w:val="-2"/>
        </w:rPr>
        <w:t>We</w:t>
      </w:r>
      <w:r>
        <w:rPr>
          <w:rFonts w:ascii="Arial"/>
          <w:spacing w:val="-9"/>
        </w:rPr>
        <w:t> </w:t>
      </w:r>
      <w:r>
        <w:rPr>
          <w:rFonts w:ascii="Arial"/>
          <w:spacing w:val="-2"/>
        </w:rPr>
        <w:t>are</w:t>
      </w:r>
      <w:r>
        <w:rPr>
          <w:rFonts w:ascii="Arial"/>
          <w:spacing w:val="-9"/>
        </w:rPr>
        <w:t> </w:t>
      </w:r>
      <w:r>
        <w:rPr>
          <w:rFonts w:ascii="Arial"/>
          <w:spacing w:val="-2"/>
        </w:rPr>
        <w:t>prepared</w:t>
      </w:r>
      <w:r>
        <w:rPr>
          <w:rFonts w:ascii="Arial"/>
          <w:spacing w:val="-9"/>
        </w:rPr>
        <w:t> </w:t>
      </w:r>
      <w:r>
        <w:rPr>
          <w:rFonts w:ascii="Arial"/>
          <w:spacing w:val="-2"/>
        </w:rPr>
        <w:t>to</w:t>
      </w:r>
      <w:r>
        <w:rPr>
          <w:rFonts w:ascii="Arial"/>
          <w:spacing w:val="-9"/>
        </w:rPr>
        <w:t> </w:t>
      </w:r>
      <w:r>
        <w:rPr>
          <w:rFonts w:ascii="Arial"/>
          <w:spacing w:val="-2"/>
        </w:rPr>
        <w:t>accept</w:t>
      </w:r>
      <w:r>
        <w:rPr>
          <w:rFonts w:ascii="Arial"/>
          <w:spacing w:val="-9"/>
        </w:rPr>
        <w:t> </w:t>
      </w:r>
      <w:r>
        <w:rPr>
          <w:rFonts w:ascii="Arial"/>
          <w:spacing w:val="-2"/>
        </w:rPr>
        <w:t>some</w:t>
      </w:r>
      <w:r>
        <w:rPr>
          <w:rFonts w:ascii="Arial"/>
          <w:spacing w:val="-9"/>
        </w:rPr>
        <w:t> </w:t>
      </w:r>
      <w:r>
        <w:rPr>
          <w:rFonts w:ascii="Arial"/>
          <w:spacing w:val="-2"/>
        </w:rPr>
        <w:t>financial</w:t>
      </w:r>
      <w:r>
        <w:rPr>
          <w:rFonts w:ascii="Arial"/>
          <w:spacing w:val="-9"/>
        </w:rPr>
        <w:t> </w:t>
      </w:r>
      <w:r>
        <w:rPr>
          <w:rFonts w:ascii="Arial"/>
          <w:spacing w:val="-2"/>
        </w:rPr>
        <w:t>risk</w:t>
      </w:r>
      <w:r>
        <w:rPr>
          <w:rFonts w:ascii="Arial"/>
          <w:spacing w:val="-9"/>
        </w:rPr>
        <w:t> </w:t>
      </w:r>
      <w:r>
        <w:rPr>
          <w:rFonts w:ascii="Arial"/>
          <w:spacing w:val="-2"/>
        </w:rPr>
        <w:t>as</w:t>
      </w:r>
      <w:r>
        <w:rPr>
          <w:rFonts w:ascii="Arial"/>
          <w:spacing w:val="-9"/>
        </w:rPr>
        <w:t> </w:t>
      </w:r>
      <w:r>
        <w:rPr>
          <w:rFonts w:ascii="Arial"/>
          <w:spacing w:val="-2"/>
        </w:rPr>
        <w:t>long</w:t>
      </w:r>
      <w:r>
        <w:rPr>
          <w:rFonts w:ascii="Arial"/>
          <w:spacing w:val="-9"/>
        </w:rPr>
        <w:t> </w:t>
      </w:r>
      <w:r>
        <w:rPr>
          <w:rFonts w:ascii="Arial"/>
          <w:spacing w:val="-2"/>
        </w:rPr>
        <w:t>as</w:t>
      </w:r>
      <w:r>
        <w:rPr>
          <w:rFonts w:ascii="Arial"/>
          <w:spacing w:val="-9"/>
        </w:rPr>
        <w:t> </w:t>
      </w:r>
      <w:r>
        <w:rPr>
          <w:rFonts w:ascii="Arial"/>
          <w:spacing w:val="-2"/>
        </w:rPr>
        <w:t>appropriate</w:t>
      </w:r>
      <w:r>
        <w:rPr>
          <w:rFonts w:ascii="Arial"/>
          <w:spacing w:val="-9"/>
        </w:rPr>
        <w:t> </w:t>
      </w:r>
      <w:r>
        <w:rPr>
          <w:rFonts w:ascii="Arial"/>
          <w:spacing w:val="-2"/>
        </w:rPr>
        <w:t>controls</w:t>
      </w:r>
      <w:r>
        <w:rPr>
          <w:rFonts w:ascii="Arial"/>
          <w:spacing w:val="-9"/>
        </w:rPr>
        <w:t> </w:t>
      </w:r>
      <w:r>
        <w:rPr>
          <w:rFonts w:ascii="Arial"/>
          <w:spacing w:val="-2"/>
        </w:rPr>
        <w:t>are</w:t>
      </w:r>
      <w:r>
        <w:rPr>
          <w:rFonts w:ascii="Arial"/>
          <w:spacing w:val="-9"/>
        </w:rPr>
        <w:t> </w:t>
      </w:r>
      <w:r>
        <w:rPr>
          <w:rFonts w:ascii="Arial"/>
          <w:spacing w:val="-2"/>
        </w:rPr>
        <w:t>in</w:t>
      </w:r>
      <w:r>
        <w:rPr>
          <w:rFonts w:ascii="Arial"/>
          <w:spacing w:val="-9"/>
        </w:rPr>
        <w:t> </w:t>
      </w:r>
      <w:r>
        <w:rPr>
          <w:rFonts w:ascii="Arial"/>
          <w:spacing w:val="-2"/>
        </w:rPr>
        <w:t>place. </w:t>
      </w:r>
      <w:r>
        <w:rPr>
          <w:rFonts w:ascii="Arial"/>
        </w:rPr>
        <w:t>We have a holistic understanding of VFM with price not the overriding factor.</w:t>
      </w:r>
    </w:p>
    <w:p>
      <w:pPr>
        <w:numPr>
          <w:ilvl w:val="0"/>
          <w:numId w:val="34"/>
        </w:numPr>
        <w:tabs>
          <w:tab w:pos="384" w:val="left" w:leader="none"/>
        </w:tabs>
        <w:spacing w:before="200"/>
        <w:ind w:left="383" w:right="0" w:hanging="284"/>
        <w:jc w:val="left"/>
        <w:rPr>
          <w:rFonts w:ascii="Arial"/>
          <w:b/>
          <w:sz w:val="24"/>
        </w:rPr>
      </w:pPr>
      <w:r>
        <w:rPr>
          <w:rFonts w:ascii="Arial"/>
          <w:b/>
          <w:spacing w:val="-2"/>
          <w:sz w:val="24"/>
        </w:rPr>
        <w:t>Regulatory</w:t>
      </w:r>
    </w:p>
    <w:p>
      <w:pPr>
        <w:pStyle w:val="BodyText"/>
        <w:spacing w:before="200"/>
        <w:ind w:left="100" w:right="598"/>
        <w:jc w:val="both"/>
        <w:rPr>
          <w:rFonts w:ascii="Arial"/>
        </w:rPr>
      </w:pPr>
      <w:r>
        <w:rPr>
          <w:rFonts w:ascii="Arial"/>
        </w:rPr>
        <w:t>We</w:t>
      </w:r>
      <w:r>
        <w:rPr>
          <w:rFonts w:ascii="Arial"/>
          <w:spacing w:val="-11"/>
        </w:rPr>
        <w:t> </w:t>
      </w:r>
      <w:r>
        <w:rPr>
          <w:rFonts w:ascii="Arial"/>
        </w:rPr>
        <w:t>are</w:t>
      </w:r>
      <w:r>
        <w:rPr>
          <w:rFonts w:ascii="Arial"/>
          <w:spacing w:val="-11"/>
        </w:rPr>
        <w:t> </w:t>
      </w:r>
      <w:r>
        <w:rPr>
          <w:rFonts w:ascii="Arial"/>
        </w:rPr>
        <w:t>prepared</w:t>
      </w:r>
      <w:r>
        <w:rPr>
          <w:rFonts w:ascii="Arial"/>
          <w:spacing w:val="-11"/>
        </w:rPr>
        <w:t> </w:t>
      </w:r>
      <w:r>
        <w:rPr>
          <w:rFonts w:ascii="Arial"/>
        </w:rPr>
        <w:t>to</w:t>
      </w:r>
      <w:r>
        <w:rPr>
          <w:rFonts w:ascii="Arial"/>
          <w:spacing w:val="-11"/>
        </w:rPr>
        <w:t> </w:t>
      </w:r>
      <w:r>
        <w:rPr>
          <w:rFonts w:ascii="Arial"/>
        </w:rPr>
        <w:t>accept</w:t>
      </w:r>
      <w:r>
        <w:rPr>
          <w:rFonts w:ascii="Arial"/>
          <w:spacing w:val="-11"/>
        </w:rPr>
        <w:t> </w:t>
      </w:r>
      <w:r>
        <w:rPr>
          <w:rFonts w:ascii="Arial"/>
        </w:rPr>
        <w:t>the</w:t>
      </w:r>
      <w:r>
        <w:rPr>
          <w:rFonts w:ascii="Arial"/>
          <w:spacing w:val="-11"/>
        </w:rPr>
        <w:t> </w:t>
      </w:r>
      <w:r>
        <w:rPr>
          <w:rFonts w:ascii="Arial"/>
        </w:rPr>
        <w:t>possibility</w:t>
      </w:r>
      <w:r>
        <w:rPr>
          <w:rFonts w:ascii="Arial"/>
          <w:spacing w:val="-11"/>
        </w:rPr>
        <w:t> </w:t>
      </w:r>
      <w:r>
        <w:rPr>
          <w:rFonts w:ascii="Arial"/>
        </w:rPr>
        <w:t>of</w:t>
      </w:r>
      <w:r>
        <w:rPr>
          <w:rFonts w:ascii="Arial"/>
          <w:spacing w:val="-11"/>
        </w:rPr>
        <w:t> </w:t>
      </w:r>
      <w:r>
        <w:rPr>
          <w:rFonts w:ascii="Arial"/>
        </w:rPr>
        <w:t>some</w:t>
      </w:r>
      <w:r>
        <w:rPr>
          <w:rFonts w:ascii="Arial"/>
          <w:spacing w:val="-11"/>
        </w:rPr>
        <w:t> </w:t>
      </w:r>
      <w:r>
        <w:rPr>
          <w:rFonts w:ascii="Arial"/>
        </w:rPr>
        <w:t>regulatory</w:t>
      </w:r>
      <w:r>
        <w:rPr>
          <w:rFonts w:ascii="Arial"/>
          <w:spacing w:val="-11"/>
        </w:rPr>
        <w:t> </w:t>
      </w:r>
      <w:r>
        <w:rPr>
          <w:rFonts w:ascii="Arial"/>
        </w:rPr>
        <w:t>challenge</w:t>
      </w:r>
      <w:r>
        <w:rPr>
          <w:rFonts w:ascii="Arial"/>
          <w:spacing w:val="-11"/>
        </w:rPr>
        <w:t> </w:t>
      </w:r>
      <w:r>
        <w:rPr>
          <w:rFonts w:ascii="Arial"/>
        </w:rPr>
        <w:t>as</w:t>
      </w:r>
      <w:r>
        <w:rPr>
          <w:rFonts w:ascii="Arial"/>
          <w:spacing w:val="-11"/>
        </w:rPr>
        <w:t> </w:t>
      </w:r>
      <w:r>
        <w:rPr>
          <w:rFonts w:ascii="Arial"/>
        </w:rPr>
        <w:t>long</w:t>
      </w:r>
      <w:r>
        <w:rPr>
          <w:rFonts w:ascii="Arial"/>
          <w:spacing w:val="-11"/>
        </w:rPr>
        <w:t> </w:t>
      </w:r>
      <w:r>
        <w:rPr>
          <w:rFonts w:ascii="Arial"/>
        </w:rPr>
        <w:t>as</w:t>
      </w:r>
      <w:r>
        <w:rPr>
          <w:rFonts w:ascii="Arial"/>
          <w:spacing w:val="-11"/>
        </w:rPr>
        <w:t> </w:t>
      </w:r>
      <w:r>
        <w:rPr>
          <w:rFonts w:ascii="Arial"/>
        </w:rPr>
        <w:t>we</w:t>
      </w:r>
      <w:r>
        <w:rPr>
          <w:rFonts w:ascii="Arial"/>
          <w:spacing w:val="-11"/>
        </w:rPr>
        <w:t> </w:t>
      </w:r>
      <w:r>
        <w:rPr>
          <w:rFonts w:ascii="Arial"/>
        </w:rPr>
        <w:t>can be reasonably confident that we would be able to challenge this successfully.</w:t>
      </w:r>
    </w:p>
    <w:p>
      <w:pPr>
        <w:numPr>
          <w:ilvl w:val="0"/>
          <w:numId w:val="34"/>
        </w:numPr>
        <w:tabs>
          <w:tab w:pos="384" w:val="left" w:leader="none"/>
        </w:tabs>
        <w:spacing w:before="200"/>
        <w:ind w:left="383" w:right="0" w:hanging="284"/>
        <w:jc w:val="left"/>
        <w:rPr>
          <w:rFonts w:ascii="Arial"/>
          <w:b/>
          <w:sz w:val="24"/>
        </w:rPr>
      </w:pPr>
      <w:r>
        <w:rPr>
          <w:rFonts w:ascii="Arial"/>
          <w:b/>
          <w:spacing w:val="-2"/>
          <w:sz w:val="24"/>
        </w:rPr>
        <w:t>Quality</w:t>
      </w:r>
    </w:p>
    <w:p>
      <w:pPr>
        <w:pStyle w:val="BodyText"/>
        <w:spacing w:before="200"/>
        <w:ind w:left="100" w:right="598"/>
        <w:jc w:val="both"/>
        <w:rPr>
          <w:rFonts w:ascii="Arial"/>
        </w:rPr>
      </w:pPr>
      <w:r>
        <w:rPr>
          <w:rFonts w:ascii="Arial"/>
        </w:rPr>
        <w:t>We will pursue innovation wherever appropriate. We are willing to take decisions on quality</w:t>
      </w:r>
      <w:r>
        <w:rPr>
          <w:rFonts w:ascii="Arial"/>
          <w:spacing w:val="-10"/>
        </w:rPr>
        <w:t> </w:t>
      </w:r>
      <w:r>
        <w:rPr>
          <w:rFonts w:ascii="Arial"/>
        </w:rPr>
        <w:t>where</w:t>
      </w:r>
      <w:r>
        <w:rPr>
          <w:rFonts w:ascii="Arial"/>
          <w:spacing w:val="-10"/>
        </w:rPr>
        <w:t> </w:t>
      </w:r>
      <w:r>
        <w:rPr>
          <w:rFonts w:ascii="Arial"/>
        </w:rPr>
        <w:t>there</w:t>
      </w:r>
      <w:r>
        <w:rPr>
          <w:rFonts w:ascii="Arial"/>
          <w:spacing w:val="-10"/>
        </w:rPr>
        <w:t> </w:t>
      </w:r>
      <w:r>
        <w:rPr>
          <w:rFonts w:ascii="Arial"/>
        </w:rPr>
        <w:t>may</w:t>
      </w:r>
      <w:r>
        <w:rPr>
          <w:rFonts w:ascii="Arial"/>
          <w:spacing w:val="-10"/>
        </w:rPr>
        <w:t> </w:t>
      </w:r>
      <w:r>
        <w:rPr>
          <w:rFonts w:ascii="Arial"/>
        </w:rPr>
        <w:t>be</w:t>
      </w:r>
      <w:r>
        <w:rPr>
          <w:rFonts w:ascii="Arial"/>
          <w:spacing w:val="-10"/>
        </w:rPr>
        <w:t> </w:t>
      </w:r>
      <w:r>
        <w:rPr>
          <w:rFonts w:ascii="Arial"/>
        </w:rPr>
        <w:t>high</w:t>
      </w:r>
      <w:r>
        <w:rPr>
          <w:rFonts w:ascii="Arial"/>
          <w:spacing w:val="-10"/>
        </w:rPr>
        <w:t> </w:t>
      </w:r>
      <w:r>
        <w:rPr>
          <w:rFonts w:ascii="Arial"/>
        </w:rPr>
        <w:t>inherent</w:t>
      </w:r>
      <w:r>
        <w:rPr>
          <w:rFonts w:ascii="Arial"/>
          <w:spacing w:val="-10"/>
        </w:rPr>
        <w:t> </w:t>
      </w:r>
      <w:r>
        <w:rPr>
          <w:rFonts w:ascii="Arial"/>
        </w:rPr>
        <w:t>risks</w:t>
      </w:r>
      <w:r>
        <w:rPr>
          <w:rFonts w:ascii="Arial"/>
          <w:spacing w:val="-10"/>
        </w:rPr>
        <w:t> </w:t>
      </w:r>
      <w:r>
        <w:rPr>
          <w:rFonts w:ascii="Arial"/>
        </w:rPr>
        <w:t>but</w:t>
      </w:r>
      <w:r>
        <w:rPr>
          <w:rFonts w:ascii="Arial"/>
          <w:spacing w:val="-10"/>
        </w:rPr>
        <w:t> </w:t>
      </w:r>
      <w:r>
        <w:rPr>
          <w:rFonts w:ascii="Arial"/>
        </w:rPr>
        <w:t>the</w:t>
      </w:r>
      <w:r>
        <w:rPr>
          <w:rFonts w:ascii="Arial"/>
          <w:spacing w:val="-10"/>
        </w:rPr>
        <w:t> </w:t>
      </w:r>
      <w:r>
        <w:rPr>
          <w:rFonts w:ascii="Arial"/>
        </w:rPr>
        <w:t>potential</w:t>
      </w:r>
      <w:r>
        <w:rPr>
          <w:rFonts w:ascii="Arial"/>
          <w:spacing w:val="-10"/>
        </w:rPr>
        <w:t> </w:t>
      </w:r>
      <w:r>
        <w:rPr>
          <w:rFonts w:ascii="Arial"/>
        </w:rPr>
        <w:t>for</w:t>
      </w:r>
      <w:r>
        <w:rPr>
          <w:rFonts w:ascii="Arial"/>
          <w:spacing w:val="-10"/>
        </w:rPr>
        <w:t> </w:t>
      </w:r>
      <w:r>
        <w:rPr>
          <w:rFonts w:ascii="Arial"/>
        </w:rPr>
        <w:t>significant</w:t>
      </w:r>
      <w:r>
        <w:rPr>
          <w:rFonts w:ascii="Arial"/>
          <w:spacing w:val="-10"/>
        </w:rPr>
        <w:t> </w:t>
      </w:r>
      <w:r>
        <w:rPr>
          <w:rFonts w:ascii="Arial"/>
        </w:rPr>
        <w:t>longer-term </w:t>
      </w:r>
      <w:r>
        <w:rPr>
          <w:rFonts w:ascii="Arial"/>
          <w:spacing w:val="-2"/>
        </w:rPr>
        <w:t>gains.</w:t>
      </w:r>
    </w:p>
    <w:p>
      <w:pPr>
        <w:numPr>
          <w:ilvl w:val="0"/>
          <w:numId w:val="34"/>
        </w:numPr>
        <w:tabs>
          <w:tab w:pos="384" w:val="left" w:leader="none"/>
        </w:tabs>
        <w:spacing w:before="200"/>
        <w:ind w:left="383" w:right="0" w:hanging="284"/>
        <w:jc w:val="left"/>
        <w:rPr>
          <w:rFonts w:ascii="Arial"/>
          <w:b/>
          <w:sz w:val="24"/>
        </w:rPr>
      </w:pPr>
      <w:r>
        <w:rPr>
          <w:rFonts w:ascii="Arial"/>
          <w:b/>
          <w:spacing w:val="-2"/>
          <w:sz w:val="24"/>
        </w:rPr>
        <w:t>Reputational</w:t>
      </w:r>
    </w:p>
    <w:p>
      <w:pPr>
        <w:pStyle w:val="BodyText"/>
        <w:spacing w:before="200"/>
        <w:ind w:left="100" w:right="597"/>
        <w:jc w:val="both"/>
        <w:rPr>
          <w:rFonts w:ascii="Arial"/>
        </w:rPr>
      </w:pPr>
      <w:r>
        <w:rPr>
          <w:rFonts w:ascii="Arial"/>
        </w:rPr>
        <w:t>We</w:t>
      </w:r>
      <w:r>
        <w:rPr>
          <w:rFonts w:ascii="Arial"/>
          <w:spacing w:val="-8"/>
        </w:rPr>
        <w:t> </w:t>
      </w:r>
      <w:r>
        <w:rPr>
          <w:rFonts w:ascii="Arial"/>
        </w:rPr>
        <w:t>are</w:t>
      </w:r>
      <w:r>
        <w:rPr>
          <w:rFonts w:ascii="Arial"/>
          <w:spacing w:val="-8"/>
        </w:rPr>
        <w:t> </w:t>
      </w:r>
      <w:r>
        <w:rPr>
          <w:rFonts w:ascii="Arial"/>
        </w:rPr>
        <w:t>prepared</w:t>
      </w:r>
      <w:r>
        <w:rPr>
          <w:rFonts w:ascii="Arial"/>
          <w:spacing w:val="-8"/>
        </w:rPr>
        <w:t> </w:t>
      </w:r>
      <w:r>
        <w:rPr>
          <w:rFonts w:ascii="Arial"/>
        </w:rPr>
        <w:t>to</w:t>
      </w:r>
      <w:r>
        <w:rPr>
          <w:rFonts w:ascii="Arial"/>
          <w:spacing w:val="-8"/>
        </w:rPr>
        <w:t> </w:t>
      </w:r>
      <w:r>
        <w:rPr>
          <w:rFonts w:ascii="Arial"/>
        </w:rPr>
        <w:t>accept</w:t>
      </w:r>
      <w:r>
        <w:rPr>
          <w:rFonts w:ascii="Arial"/>
          <w:spacing w:val="-8"/>
        </w:rPr>
        <w:t> </w:t>
      </w:r>
      <w:r>
        <w:rPr>
          <w:rFonts w:ascii="Arial"/>
        </w:rPr>
        <w:t>the</w:t>
      </w:r>
      <w:r>
        <w:rPr>
          <w:rFonts w:ascii="Arial"/>
          <w:spacing w:val="-8"/>
        </w:rPr>
        <w:t> </w:t>
      </w:r>
      <w:r>
        <w:rPr>
          <w:rFonts w:ascii="Arial"/>
        </w:rPr>
        <w:t>possibility</w:t>
      </w:r>
      <w:r>
        <w:rPr>
          <w:rFonts w:ascii="Arial"/>
          <w:spacing w:val="-8"/>
        </w:rPr>
        <w:t> </w:t>
      </w:r>
      <w:r>
        <w:rPr>
          <w:rFonts w:ascii="Arial"/>
        </w:rPr>
        <w:t>of</w:t>
      </w:r>
      <w:r>
        <w:rPr>
          <w:rFonts w:ascii="Arial"/>
          <w:spacing w:val="-8"/>
        </w:rPr>
        <w:t> </w:t>
      </w:r>
      <w:r>
        <w:rPr>
          <w:rFonts w:ascii="Arial"/>
        </w:rPr>
        <w:t>some</w:t>
      </w:r>
      <w:r>
        <w:rPr>
          <w:rFonts w:ascii="Arial"/>
          <w:spacing w:val="-8"/>
        </w:rPr>
        <w:t> </w:t>
      </w:r>
      <w:r>
        <w:rPr>
          <w:rFonts w:ascii="Arial"/>
        </w:rPr>
        <w:t>reputational</w:t>
      </w:r>
      <w:r>
        <w:rPr>
          <w:rFonts w:ascii="Arial"/>
          <w:spacing w:val="-8"/>
        </w:rPr>
        <w:t> </w:t>
      </w:r>
      <w:r>
        <w:rPr>
          <w:rFonts w:ascii="Arial"/>
        </w:rPr>
        <w:t>risk</w:t>
      </w:r>
      <w:r>
        <w:rPr>
          <w:rFonts w:ascii="Arial"/>
          <w:spacing w:val="-8"/>
        </w:rPr>
        <w:t> </w:t>
      </w:r>
      <w:r>
        <w:rPr>
          <w:rFonts w:ascii="Arial"/>
        </w:rPr>
        <w:t>as</w:t>
      </w:r>
      <w:r>
        <w:rPr>
          <w:rFonts w:ascii="Arial"/>
          <w:spacing w:val="-8"/>
        </w:rPr>
        <w:t> </w:t>
      </w:r>
      <w:r>
        <w:rPr>
          <w:rFonts w:ascii="Arial"/>
        </w:rPr>
        <w:t>long</w:t>
      </w:r>
      <w:r>
        <w:rPr>
          <w:rFonts w:ascii="Arial"/>
          <w:spacing w:val="-8"/>
        </w:rPr>
        <w:t> </w:t>
      </w:r>
      <w:r>
        <w:rPr>
          <w:rFonts w:ascii="Arial"/>
        </w:rPr>
        <w:t>as</w:t>
      </w:r>
      <w:r>
        <w:rPr>
          <w:rFonts w:ascii="Arial"/>
          <w:spacing w:val="-8"/>
        </w:rPr>
        <w:t> </w:t>
      </w:r>
      <w:r>
        <w:rPr>
          <w:rFonts w:ascii="Arial"/>
        </w:rPr>
        <w:t>there</w:t>
      </w:r>
      <w:r>
        <w:rPr>
          <w:rFonts w:ascii="Arial"/>
          <w:spacing w:val="-8"/>
        </w:rPr>
        <w:t> </w:t>
      </w:r>
      <w:r>
        <w:rPr>
          <w:rFonts w:ascii="Arial"/>
        </w:rPr>
        <w:t>is</w:t>
      </w:r>
      <w:r>
        <w:rPr>
          <w:rFonts w:ascii="Arial"/>
          <w:spacing w:val="-8"/>
        </w:rPr>
        <w:t> </w:t>
      </w:r>
      <w:r>
        <w:rPr>
          <w:rFonts w:ascii="Arial"/>
        </w:rPr>
        <w:t>the potential for improved outcomes for stakeholders.</w:t>
      </w:r>
    </w:p>
    <w:p>
      <w:pPr>
        <w:numPr>
          <w:ilvl w:val="0"/>
          <w:numId w:val="34"/>
        </w:numPr>
        <w:tabs>
          <w:tab w:pos="384" w:val="left" w:leader="none"/>
        </w:tabs>
        <w:spacing w:before="200"/>
        <w:ind w:left="383" w:right="0" w:hanging="284"/>
        <w:jc w:val="left"/>
        <w:rPr>
          <w:rFonts w:ascii="Arial"/>
          <w:b/>
          <w:sz w:val="24"/>
        </w:rPr>
      </w:pPr>
      <w:r>
        <w:rPr>
          <w:rFonts w:ascii="Arial"/>
          <w:b/>
          <w:spacing w:val="-2"/>
          <w:sz w:val="24"/>
        </w:rPr>
        <w:t>People</w:t>
      </w:r>
    </w:p>
    <w:p>
      <w:pPr>
        <w:spacing w:after="0"/>
        <w:jc w:val="left"/>
        <w:rPr>
          <w:rFonts w:ascii="Arial"/>
          <w:sz w:val="24"/>
        </w:rPr>
        <w:sectPr>
          <w:footerReference w:type="default" r:id="rId155"/>
          <w:pgSz w:w="12240" w:h="15840"/>
          <w:pgMar w:footer="1144" w:header="0" w:top="960" w:bottom="1340" w:left="1340" w:right="840"/>
          <w:pgNumType w:start="2"/>
        </w:sectPr>
      </w:pPr>
    </w:p>
    <w:p>
      <w:pPr>
        <w:pStyle w:val="BodyText"/>
        <w:ind w:left="6356"/>
        <w:rPr>
          <w:rFonts w:ascii="Arial"/>
          <w:sz w:val="20"/>
        </w:rPr>
      </w:pPr>
      <w:r>
        <w:rPr>
          <w:rFonts w:ascii="Arial"/>
          <w:sz w:val="20"/>
        </w:rPr>
        <w:drawing>
          <wp:inline distT="0" distB="0" distL="0" distR="0">
            <wp:extent cx="2283052" cy="866775"/>
            <wp:effectExtent l="0" t="0" r="0" b="0"/>
            <wp:docPr id="177" name="image76.jpeg"/>
            <wp:cNvGraphicFramePr>
              <a:graphicFrameLocks noChangeAspect="1"/>
            </wp:cNvGraphicFramePr>
            <a:graphic>
              <a:graphicData uri="http://schemas.openxmlformats.org/drawingml/2006/picture">
                <pic:pic>
                  <pic:nvPicPr>
                    <pic:cNvPr id="178" name="image76.jpeg"/>
                    <pic:cNvPicPr/>
                  </pic:nvPicPr>
                  <pic:blipFill>
                    <a:blip r:embed="rId154" cstate="print"/>
                    <a:stretch>
                      <a:fillRect/>
                    </a:stretch>
                  </pic:blipFill>
                  <pic:spPr>
                    <a:xfrm>
                      <a:off x="0" y="0"/>
                      <a:ext cx="2283052" cy="866775"/>
                    </a:xfrm>
                    <a:prstGeom prst="rect">
                      <a:avLst/>
                    </a:prstGeom>
                  </pic:spPr>
                </pic:pic>
              </a:graphicData>
            </a:graphic>
          </wp:inline>
        </w:drawing>
      </w:r>
      <w:r>
        <w:rPr>
          <w:rFonts w:ascii="Arial"/>
          <w:sz w:val="20"/>
        </w:rPr>
      </w:r>
    </w:p>
    <w:p>
      <w:pPr>
        <w:pStyle w:val="BodyText"/>
        <w:rPr>
          <w:rFonts w:ascii="Arial"/>
          <w:b/>
          <w:sz w:val="20"/>
        </w:rPr>
      </w:pPr>
    </w:p>
    <w:p>
      <w:pPr>
        <w:pStyle w:val="BodyText"/>
        <w:spacing w:before="7"/>
        <w:rPr>
          <w:rFonts w:ascii="Arial"/>
          <w:b/>
          <w:sz w:val="16"/>
        </w:rPr>
      </w:pPr>
    </w:p>
    <w:p>
      <w:pPr>
        <w:pStyle w:val="BodyText"/>
        <w:spacing w:before="92"/>
        <w:ind w:left="100" w:right="598"/>
        <w:jc w:val="both"/>
        <w:rPr>
          <w:rFonts w:ascii="Arial"/>
        </w:rPr>
      </w:pPr>
      <w:r>
        <w:rPr>
          <w:rFonts w:ascii="Arial"/>
        </w:rPr>
        <w:t>We will pursue workforce innovation. We are willing to take risks which may have implications</w:t>
      </w:r>
      <w:r>
        <w:rPr>
          <w:rFonts w:ascii="Arial"/>
          <w:spacing w:val="-12"/>
        </w:rPr>
        <w:t> </w:t>
      </w:r>
      <w:r>
        <w:rPr>
          <w:rFonts w:ascii="Arial"/>
        </w:rPr>
        <w:t>for</w:t>
      </w:r>
      <w:r>
        <w:rPr>
          <w:rFonts w:ascii="Arial"/>
          <w:spacing w:val="-12"/>
        </w:rPr>
        <w:t> </w:t>
      </w:r>
      <w:r>
        <w:rPr>
          <w:rFonts w:ascii="Arial"/>
        </w:rPr>
        <w:t>our</w:t>
      </w:r>
      <w:r>
        <w:rPr>
          <w:rFonts w:ascii="Arial"/>
          <w:spacing w:val="-12"/>
        </w:rPr>
        <w:t> </w:t>
      </w:r>
      <w:r>
        <w:rPr>
          <w:rFonts w:ascii="Arial"/>
        </w:rPr>
        <w:t>workforce</w:t>
      </w:r>
      <w:r>
        <w:rPr>
          <w:rFonts w:ascii="Arial"/>
          <w:spacing w:val="-12"/>
        </w:rPr>
        <w:t> </w:t>
      </w:r>
      <w:r>
        <w:rPr>
          <w:rFonts w:ascii="Arial"/>
        </w:rPr>
        <w:t>but</w:t>
      </w:r>
      <w:r>
        <w:rPr>
          <w:rFonts w:ascii="Arial"/>
          <w:spacing w:val="-12"/>
        </w:rPr>
        <w:t> </w:t>
      </w:r>
      <w:r>
        <w:rPr>
          <w:rFonts w:ascii="Arial"/>
        </w:rPr>
        <w:t>could</w:t>
      </w:r>
      <w:r>
        <w:rPr>
          <w:rFonts w:ascii="Arial"/>
          <w:spacing w:val="-12"/>
        </w:rPr>
        <w:t> </w:t>
      </w:r>
      <w:r>
        <w:rPr>
          <w:rFonts w:ascii="Arial"/>
        </w:rPr>
        <w:t>improve</w:t>
      </w:r>
      <w:r>
        <w:rPr>
          <w:rFonts w:ascii="Arial"/>
          <w:spacing w:val="-12"/>
        </w:rPr>
        <w:t> </w:t>
      </w:r>
      <w:r>
        <w:rPr>
          <w:rFonts w:ascii="Arial"/>
        </w:rPr>
        <w:t>the</w:t>
      </w:r>
      <w:r>
        <w:rPr>
          <w:rFonts w:ascii="Arial"/>
          <w:spacing w:val="-12"/>
        </w:rPr>
        <w:t> </w:t>
      </w:r>
      <w:r>
        <w:rPr>
          <w:rFonts w:ascii="Arial"/>
        </w:rPr>
        <w:t>skills</w:t>
      </w:r>
      <w:r>
        <w:rPr>
          <w:rFonts w:ascii="Arial"/>
          <w:spacing w:val="-12"/>
        </w:rPr>
        <w:t> </w:t>
      </w:r>
      <w:r>
        <w:rPr>
          <w:rFonts w:ascii="Arial"/>
        </w:rPr>
        <w:t>and</w:t>
      </w:r>
      <w:r>
        <w:rPr>
          <w:rFonts w:ascii="Arial"/>
          <w:spacing w:val="-12"/>
        </w:rPr>
        <w:t> </w:t>
      </w:r>
      <w:r>
        <w:rPr>
          <w:rFonts w:ascii="Arial"/>
        </w:rPr>
        <w:t>capabilities</w:t>
      </w:r>
      <w:r>
        <w:rPr>
          <w:rFonts w:ascii="Arial"/>
          <w:spacing w:val="-12"/>
        </w:rPr>
        <w:t> </w:t>
      </w:r>
      <w:r>
        <w:rPr>
          <w:rFonts w:ascii="Arial"/>
        </w:rPr>
        <w:t>of</w:t>
      </w:r>
      <w:r>
        <w:rPr>
          <w:rFonts w:ascii="Arial"/>
          <w:spacing w:val="-12"/>
        </w:rPr>
        <w:t> </w:t>
      </w:r>
      <w:r>
        <w:rPr>
          <w:rFonts w:ascii="Arial"/>
        </w:rPr>
        <w:t>our</w:t>
      </w:r>
      <w:r>
        <w:rPr>
          <w:rFonts w:ascii="Arial"/>
          <w:spacing w:val="-12"/>
        </w:rPr>
        <w:t> </w:t>
      </w:r>
      <w:r>
        <w:rPr>
          <w:rFonts w:ascii="Arial"/>
        </w:rPr>
        <w:t>staff.</w:t>
      </w:r>
      <w:r>
        <w:rPr>
          <w:rFonts w:ascii="Arial"/>
          <w:spacing w:val="-13"/>
        </w:rPr>
        <w:t> </w:t>
      </w:r>
      <w:r>
        <w:rPr>
          <w:rFonts w:ascii="Arial"/>
        </w:rPr>
        <w:t>We recognise</w:t>
      </w:r>
      <w:r>
        <w:rPr>
          <w:rFonts w:ascii="Arial"/>
          <w:spacing w:val="-7"/>
        </w:rPr>
        <w:t> </w:t>
      </w:r>
      <w:r>
        <w:rPr>
          <w:rFonts w:ascii="Arial"/>
        </w:rPr>
        <w:t>that</w:t>
      </w:r>
      <w:r>
        <w:rPr>
          <w:rFonts w:ascii="Arial"/>
          <w:spacing w:val="-7"/>
        </w:rPr>
        <w:t> </w:t>
      </w:r>
      <w:r>
        <w:rPr>
          <w:rFonts w:ascii="Arial"/>
        </w:rPr>
        <w:t>innovation</w:t>
      </w:r>
      <w:r>
        <w:rPr>
          <w:rFonts w:ascii="Arial"/>
          <w:spacing w:val="-7"/>
        </w:rPr>
        <w:t> </w:t>
      </w:r>
      <w:r>
        <w:rPr>
          <w:rFonts w:ascii="Arial"/>
        </w:rPr>
        <w:t>is</w:t>
      </w:r>
      <w:r>
        <w:rPr>
          <w:rFonts w:ascii="Arial"/>
          <w:spacing w:val="-7"/>
        </w:rPr>
        <w:t> </w:t>
      </w:r>
      <w:r>
        <w:rPr>
          <w:rFonts w:ascii="Arial"/>
        </w:rPr>
        <w:t>likely</w:t>
      </w:r>
      <w:r>
        <w:rPr>
          <w:rFonts w:ascii="Arial"/>
          <w:spacing w:val="-7"/>
        </w:rPr>
        <w:t> </w:t>
      </w:r>
      <w:r>
        <w:rPr>
          <w:rFonts w:ascii="Arial"/>
        </w:rPr>
        <w:t>to</w:t>
      </w:r>
      <w:r>
        <w:rPr>
          <w:rFonts w:ascii="Arial"/>
          <w:spacing w:val="-7"/>
        </w:rPr>
        <w:t> </w:t>
      </w:r>
      <w:r>
        <w:rPr>
          <w:rFonts w:ascii="Arial"/>
        </w:rPr>
        <w:t>be</w:t>
      </w:r>
      <w:r>
        <w:rPr>
          <w:rFonts w:ascii="Arial"/>
          <w:spacing w:val="-7"/>
        </w:rPr>
        <w:t> </w:t>
      </w:r>
      <w:r>
        <w:rPr>
          <w:rFonts w:ascii="Arial"/>
        </w:rPr>
        <w:t>disruptive</w:t>
      </w:r>
      <w:r>
        <w:rPr>
          <w:rFonts w:ascii="Arial"/>
          <w:spacing w:val="-7"/>
        </w:rPr>
        <w:t> </w:t>
      </w:r>
      <w:r>
        <w:rPr>
          <w:rFonts w:ascii="Arial"/>
        </w:rPr>
        <w:t>in</w:t>
      </w:r>
      <w:r>
        <w:rPr>
          <w:rFonts w:ascii="Arial"/>
          <w:spacing w:val="-7"/>
        </w:rPr>
        <w:t> </w:t>
      </w:r>
      <w:r>
        <w:rPr>
          <w:rFonts w:ascii="Arial"/>
        </w:rPr>
        <w:t>the</w:t>
      </w:r>
      <w:r>
        <w:rPr>
          <w:rFonts w:ascii="Arial"/>
          <w:spacing w:val="-7"/>
        </w:rPr>
        <w:t> </w:t>
      </w:r>
      <w:r>
        <w:rPr>
          <w:rFonts w:ascii="Arial"/>
        </w:rPr>
        <w:t>short-term</w:t>
      </w:r>
      <w:r>
        <w:rPr>
          <w:rFonts w:ascii="Arial"/>
          <w:spacing w:val="-7"/>
        </w:rPr>
        <w:t> </w:t>
      </w:r>
      <w:r>
        <w:rPr>
          <w:rFonts w:ascii="Arial"/>
        </w:rPr>
        <w:t>but</w:t>
      </w:r>
      <w:r>
        <w:rPr>
          <w:rFonts w:ascii="Arial"/>
          <w:spacing w:val="-7"/>
        </w:rPr>
        <w:t> </w:t>
      </w:r>
      <w:r>
        <w:rPr>
          <w:rFonts w:ascii="Arial"/>
        </w:rPr>
        <w:t>with</w:t>
      </w:r>
      <w:r>
        <w:rPr>
          <w:rFonts w:ascii="Arial"/>
          <w:spacing w:val="-7"/>
        </w:rPr>
        <w:t> </w:t>
      </w:r>
      <w:r>
        <w:rPr>
          <w:rFonts w:ascii="Arial"/>
        </w:rPr>
        <w:t>the</w:t>
      </w:r>
      <w:r>
        <w:rPr>
          <w:rFonts w:ascii="Arial"/>
          <w:spacing w:val="-7"/>
        </w:rPr>
        <w:t> </w:t>
      </w:r>
      <w:r>
        <w:rPr>
          <w:rFonts w:ascii="Arial"/>
        </w:rPr>
        <w:t>possibility of long-term gains.</w:t>
      </w:r>
    </w:p>
    <w:p>
      <w:pPr>
        <w:spacing w:before="200"/>
        <w:ind w:left="100" w:right="0" w:firstLine="0"/>
        <w:jc w:val="left"/>
        <w:rPr>
          <w:rFonts w:ascii="Arial"/>
          <w:b/>
          <w:sz w:val="24"/>
        </w:rPr>
      </w:pPr>
      <w:r>
        <w:rPr>
          <w:rFonts w:ascii="Arial"/>
          <w:b/>
          <w:spacing w:val="-2"/>
          <w:sz w:val="24"/>
        </w:rPr>
        <w:t>Conclusion</w:t>
      </w:r>
    </w:p>
    <w:p>
      <w:pPr>
        <w:pStyle w:val="BodyText"/>
        <w:spacing w:before="200"/>
        <w:ind w:left="100"/>
        <w:rPr>
          <w:rFonts w:ascii="Arial"/>
        </w:rPr>
      </w:pPr>
      <w:r>
        <w:rPr>
          <w:rFonts w:ascii="Arial"/>
        </w:rPr>
        <w:t>This</w:t>
      </w:r>
      <w:r>
        <w:rPr>
          <w:rFonts w:ascii="Arial"/>
          <w:spacing w:val="-8"/>
        </w:rPr>
        <w:t> </w:t>
      </w:r>
      <w:r>
        <w:rPr>
          <w:rFonts w:ascii="Arial"/>
        </w:rPr>
        <w:t>statement</w:t>
      </w:r>
      <w:r>
        <w:rPr>
          <w:rFonts w:ascii="Arial"/>
          <w:spacing w:val="-8"/>
        </w:rPr>
        <w:t> </w:t>
      </w:r>
      <w:r>
        <w:rPr>
          <w:rFonts w:ascii="Arial"/>
        </w:rPr>
        <w:t>has</w:t>
      </w:r>
      <w:r>
        <w:rPr>
          <w:rFonts w:ascii="Arial"/>
          <w:spacing w:val="-8"/>
        </w:rPr>
        <w:t> </w:t>
      </w:r>
      <w:r>
        <w:rPr>
          <w:rFonts w:ascii="Arial"/>
        </w:rPr>
        <w:t>acknowledged</w:t>
      </w:r>
      <w:r>
        <w:rPr>
          <w:rFonts w:ascii="Arial"/>
          <w:spacing w:val="-8"/>
        </w:rPr>
        <w:t> </w:t>
      </w:r>
      <w:r>
        <w:rPr>
          <w:rFonts w:ascii="Arial"/>
        </w:rPr>
        <w:t>that</w:t>
      </w:r>
      <w:r>
        <w:rPr>
          <w:rFonts w:ascii="Arial"/>
          <w:spacing w:val="-8"/>
        </w:rPr>
        <w:t> </w:t>
      </w:r>
      <w:r>
        <w:rPr>
          <w:rFonts w:ascii="Arial"/>
        </w:rPr>
        <w:t>NWSSP</w:t>
      </w:r>
      <w:r>
        <w:rPr>
          <w:rFonts w:ascii="Arial"/>
          <w:spacing w:val="-8"/>
        </w:rPr>
        <w:t> </w:t>
      </w:r>
      <w:r>
        <w:rPr>
          <w:rFonts w:ascii="Arial"/>
        </w:rPr>
        <w:t>faces</w:t>
      </w:r>
      <w:r>
        <w:rPr>
          <w:rFonts w:ascii="Arial"/>
          <w:spacing w:val="-8"/>
        </w:rPr>
        <w:t> </w:t>
      </w:r>
      <w:r>
        <w:rPr>
          <w:rFonts w:ascii="Arial"/>
        </w:rPr>
        <w:t>a</w:t>
      </w:r>
      <w:r>
        <w:rPr>
          <w:rFonts w:ascii="Arial"/>
          <w:spacing w:val="-8"/>
        </w:rPr>
        <w:t> </w:t>
      </w:r>
      <w:r>
        <w:rPr>
          <w:rFonts w:ascii="Arial"/>
        </w:rPr>
        <w:t>broad</w:t>
      </w:r>
      <w:r>
        <w:rPr>
          <w:rFonts w:ascii="Arial"/>
          <w:spacing w:val="-8"/>
        </w:rPr>
        <w:t> </w:t>
      </w:r>
      <w:r>
        <w:rPr>
          <w:rFonts w:ascii="Arial"/>
        </w:rPr>
        <w:t>range</w:t>
      </w:r>
      <w:r>
        <w:rPr>
          <w:rFonts w:ascii="Arial"/>
          <w:spacing w:val="-8"/>
        </w:rPr>
        <w:t> </w:t>
      </w:r>
      <w:r>
        <w:rPr>
          <w:rFonts w:ascii="Arial"/>
        </w:rPr>
        <w:t>of</w:t>
      </w:r>
      <w:r>
        <w:rPr>
          <w:rFonts w:ascii="Arial"/>
          <w:spacing w:val="-8"/>
        </w:rPr>
        <w:t> </w:t>
      </w:r>
      <w:r>
        <w:rPr>
          <w:rFonts w:ascii="Arial"/>
        </w:rPr>
        <w:t>risks</w:t>
      </w:r>
      <w:r>
        <w:rPr>
          <w:rFonts w:ascii="Arial"/>
          <w:spacing w:val="-8"/>
        </w:rPr>
        <w:t> </w:t>
      </w:r>
      <w:r>
        <w:rPr>
          <w:rFonts w:ascii="Arial"/>
        </w:rPr>
        <w:t>reflecting</w:t>
      </w:r>
      <w:r>
        <w:rPr>
          <w:rFonts w:ascii="Arial"/>
          <w:spacing w:val="-8"/>
        </w:rPr>
        <w:t> </w:t>
      </w:r>
      <w:r>
        <w:rPr>
          <w:rFonts w:ascii="Arial"/>
        </w:rPr>
        <w:t>its responsibilities and that some of these can be significant.</w:t>
      </w:r>
    </w:p>
    <w:p>
      <w:pPr>
        <w:pStyle w:val="BodyText"/>
        <w:spacing w:before="200"/>
        <w:ind w:left="100" w:right="597"/>
        <w:jc w:val="both"/>
        <w:rPr>
          <w:rFonts w:ascii="Arial"/>
        </w:rPr>
      </w:pPr>
      <w:r>
        <w:rPr>
          <w:rFonts w:ascii="Arial"/>
        </w:rPr>
        <w:t>It</w:t>
      </w:r>
      <w:r>
        <w:rPr>
          <w:rFonts w:ascii="Arial"/>
          <w:spacing w:val="-8"/>
        </w:rPr>
        <w:t> </w:t>
      </w:r>
      <w:r>
        <w:rPr>
          <w:rFonts w:ascii="Arial"/>
        </w:rPr>
        <w:t>has</w:t>
      </w:r>
      <w:r>
        <w:rPr>
          <w:rFonts w:ascii="Arial"/>
          <w:spacing w:val="-8"/>
        </w:rPr>
        <w:t> </w:t>
      </w:r>
      <w:r>
        <w:rPr>
          <w:rFonts w:ascii="Arial"/>
        </w:rPr>
        <w:t>also</w:t>
      </w:r>
      <w:r>
        <w:rPr>
          <w:rFonts w:ascii="Arial"/>
          <w:spacing w:val="-8"/>
        </w:rPr>
        <w:t> </w:t>
      </w:r>
      <w:r>
        <w:rPr>
          <w:rFonts w:ascii="Arial"/>
        </w:rPr>
        <w:t>asserted</w:t>
      </w:r>
      <w:r>
        <w:rPr>
          <w:rFonts w:ascii="Arial"/>
          <w:spacing w:val="-8"/>
        </w:rPr>
        <w:t> </w:t>
      </w:r>
      <w:r>
        <w:rPr>
          <w:rFonts w:ascii="Arial"/>
        </w:rPr>
        <w:t>that</w:t>
      </w:r>
      <w:r>
        <w:rPr>
          <w:rFonts w:ascii="Arial"/>
          <w:spacing w:val="-8"/>
        </w:rPr>
        <w:t> </w:t>
      </w:r>
      <w:r>
        <w:rPr>
          <w:rFonts w:ascii="Arial"/>
        </w:rPr>
        <w:t>risk</w:t>
      </w:r>
      <w:r>
        <w:rPr>
          <w:rFonts w:ascii="Arial"/>
          <w:spacing w:val="-8"/>
        </w:rPr>
        <w:t> </w:t>
      </w:r>
      <w:r>
        <w:rPr>
          <w:rFonts w:ascii="Arial"/>
        </w:rPr>
        <w:t>management</w:t>
      </w:r>
      <w:r>
        <w:rPr>
          <w:rFonts w:ascii="Arial"/>
          <w:spacing w:val="-8"/>
        </w:rPr>
        <w:t> </w:t>
      </w:r>
      <w:r>
        <w:rPr>
          <w:rFonts w:ascii="Arial"/>
        </w:rPr>
        <w:t>is</w:t>
      </w:r>
      <w:r>
        <w:rPr>
          <w:rFonts w:ascii="Arial"/>
          <w:spacing w:val="-8"/>
        </w:rPr>
        <w:t> </w:t>
      </w:r>
      <w:r>
        <w:rPr>
          <w:rFonts w:ascii="Arial"/>
        </w:rPr>
        <w:t>part</w:t>
      </w:r>
      <w:r>
        <w:rPr>
          <w:rFonts w:ascii="Arial"/>
          <w:spacing w:val="-8"/>
        </w:rPr>
        <w:t> </w:t>
      </w:r>
      <w:r>
        <w:rPr>
          <w:rFonts w:ascii="Arial"/>
        </w:rPr>
        <w:t>of</w:t>
      </w:r>
      <w:r>
        <w:rPr>
          <w:rFonts w:ascii="Arial"/>
          <w:spacing w:val="-8"/>
        </w:rPr>
        <w:t> </w:t>
      </w:r>
      <w:r>
        <w:rPr>
          <w:rFonts w:ascii="Arial"/>
        </w:rPr>
        <w:t>management</w:t>
      </w:r>
      <w:r>
        <w:rPr>
          <w:rFonts w:ascii="Arial"/>
          <w:spacing w:val="-8"/>
        </w:rPr>
        <w:t> </w:t>
      </w:r>
      <w:r>
        <w:rPr>
          <w:rFonts w:ascii="Arial"/>
        </w:rPr>
        <w:t>decision-making</w:t>
      </w:r>
      <w:r>
        <w:rPr>
          <w:rFonts w:ascii="Arial"/>
          <w:spacing w:val="-8"/>
        </w:rPr>
        <w:t> </w:t>
      </w:r>
      <w:r>
        <w:rPr>
          <w:rFonts w:ascii="Arial"/>
        </w:rPr>
        <w:t>and</w:t>
      </w:r>
      <w:r>
        <w:rPr>
          <w:rFonts w:ascii="Arial"/>
          <w:spacing w:val="-8"/>
        </w:rPr>
        <w:t> </w:t>
      </w:r>
      <w:r>
        <w:rPr>
          <w:rFonts w:ascii="Arial"/>
        </w:rPr>
        <w:t>is the responsibility of all staff. It has reaffirmed that Managers have a responsibility to evaluate their risk environment, to put in place appropriate controls and monitor the effectiveness of these controls.</w:t>
      </w:r>
    </w:p>
    <w:p>
      <w:pPr>
        <w:pStyle w:val="BodyText"/>
        <w:rPr>
          <w:rFonts w:ascii="Arial"/>
        </w:rPr>
      </w:pPr>
    </w:p>
    <w:p>
      <w:pPr>
        <w:pStyle w:val="BodyText"/>
        <w:ind w:left="100" w:right="597"/>
        <w:jc w:val="both"/>
        <w:rPr>
          <w:rFonts w:ascii="Arial" w:hAnsi="Arial"/>
        </w:rPr>
      </w:pPr>
      <w:r>
        <w:rPr>
          <w:rFonts w:ascii="Arial" w:hAnsi="Arial"/>
        </w:rPr>
        <w:t>NWSSP’s</w:t>
      </w:r>
      <w:r>
        <w:rPr>
          <w:rFonts w:ascii="Arial" w:hAnsi="Arial"/>
          <w:spacing w:val="-8"/>
        </w:rPr>
        <w:t> </w:t>
      </w:r>
      <w:r>
        <w:rPr>
          <w:rFonts w:ascii="Arial" w:hAnsi="Arial"/>
        </w:rPr>
        <w:t>risk</w:t>
      </w:r>
      <w:r>
        <w:rPr>
          <w:rFonts w:ascii="Arial" w:hAnsi="Arial"/>
          <w:spacing w:val="-8"/>
        </w:rPr>
        <w:t> </w:t>
      </w:r>
      <w:r>
        <w:rPr>
          <w:rFonts w:ascii="Arial" w:hAnsi="Arial"/>
        </w:rPr>
        <w:t>appetite</w:t>
      </w:r>
      <w:r>
        <w:rPr>
          <w:rFonts w:ascii="Arial" w:hAnsi="Arial"/>
          <w:spacing w:val="-8"/>
        </w:rPr>
        <w:t> </w:t>
      </w:r>
      <w:r>
        <w:rPr>
          <w:rFonts w:ascii="Arial" w:hAnsi="Arial"/>
        </w:rPr>
        <w:t>levels</w:t>
      </w:r>
      <w:r>
        <w:rPr>
          <w:rFonts w:ascii="Arial" w:hAnsi="Arial"/>
          <w:spacing w:val="-8"/>
        </w:rPr>
        <w:t> </w:t>
      </w:r>
      <w:r>
        <w:rPr>
          <w:rFonts w:ascii="Arial" w:hAnsi="Arial"/>
        </w:rPr>
        <w:t>are</w:t>
      </w:r>
      <w:r>
        <w:rPr>
          <w:rFonts w:ascii="Arial" w:hAnsi="Arial"/>
          <w:spacing w:val="-8"/>
        </w:rPr>
        <w:t> </w:t>
      </w:r>
      <w:r>
        <w:rPr>
          <w:rFonts w:ascii="Arial" w:hAnsi="Arial"/>
        </w:rPr>
        <w:t>communicated</w:t>
      </w:r>
      <w:r>
        <w:rPr>
          <w:rFonts w:ascii="Arial" w:hAnsi="Arial"/>
          <w:spacing w:val="-8"/>
        </w:rPr>
        <w:t> </w:t>
      </w:r>
      <w:r>
        <w:rPr>
          <w:rFonts w:ascii="Arial" w:hAnsi="Arial"/>
        </w:rPr>
        <w:t>to</w:t>
      </w:r>
      <w:r>
        <w:rPr>
          <w:rFonts w:ascii="Arial" w:hAnsi="Arial"/>
          <w:spacing w:val="-8"/>
        </w:rPr>
        <w:t> </w:t>
      </w:r>
      <w:r>
        <w:rPr>
          <w:rFonts w:ascii="Arial" w:hAnsi="Arial"/>
        </w:rPr>
        <w:t>staff</w:t>
      </w:r>
      <w:r>
        <w:rPr>
          <w:rFonts w:ascii="Arial" w:hAnsi="Arial"/>
          <w:spacing w:val="-8"/>
        </w:rPr>
        <w:t> </w:t>
      </w:r>
      <w:r>
        <w:rPr>
          <w:rFonts w:ascii="Arial" w:hAnsi="Arial"/>
        </w:rPr>
        <w:t>through</w:t>
      </w:r>
      <w:r>
        <w:rPr>
          <w:rFonts w:ascii="Arial" w:hAnsi="Arial"/>
          <w:spacing w:val="-8"/>
        </w:rPr>
        <w:t> </w:t>
      </w:r>
      <w:r>
        <w:rPr>
          <w:rFonts w:ascii="Arial" w:hAnsi="Arial"/>
        </w:rPr>
        <w:t>the</w:t>
      </w:r>
      <w:r>
        <w:rPr>
          <w:rFonts w:ascii="Arial" w:hAnsi="Arial"/>
          <w:spacing w:val="-8"/>
        </w:rPr>
        <w:t> </w:t>
      </w:r>
      <w:r>
        <w:rPr>
          <w:rFonts w:ascii="Arial" w:hAnsi="Arial"/>
        </w:rPr>
        <w:t>practical</w:t>
      </w:r>
      <w:r>
        <w:rPr>
          <w:rFonts w:ascii="Arial" w:hAnsi="Arial"/>
          <w:spacing w:val="-8"/>
        </w:rPr>
        <w:t> </w:t>
      </w:r>
      <w:r>
        <w:rPr>
          <w:rFonts w:ascii="Arial" w:hAnsi="Arial"/>
        </w:rPr>
        <w:t>adoption</w:t>
      </w:r>
      <w:r>
        <w:rPr>
          <w:rFonts w:ascii="Arial" w:hAnsi="Arial"/>
          <w:spacing w:val="-8"/>
        </w:rPr>
        <w:t> </w:t>
      </w:r>
      <w:r>
        <w:rPr>
          <w:rFonts w:ascii="Arial" w:hAnsi="Arial"/>
        </w:rPr>
        <w:t>of these risk appetite levels in the way that the Directorate and Corporate Risk Registers function. Directorate Senior Management meetings and the NWSSP Senior Leadership Group are the conduit through which this process is led.</w:t>
      </w:r>
    </w:p>
    <w:p>
      <w:pPr>
        <w:pStyle w:val="BodyText"/>
        <w:rPr>
          <w:rFonts w:ascii="Arial"/>
        </w:rPr>
      </w:pPr>
    </w:p>
    <w:p>
      <w:pPr>
        <w:pStyle w:val="BodyText"/>
        <w:ind w:left="100" w:right="255"/>
        <w:rPr>
          <w:rFonts w:ascii="Arial"/>
        </w:rPr>
      </w:pPr>
      <w:r>
        <w:rPr>
          <w:rFonts w:ascii="Arial"/>
        </w:rPr>
        <w:t>This statement will be reviewed annually, unless circumstances dictate that an earlier</w:t>
      </w:r>
      <w:r>
        <w:rPr>
          <w:rFonts w:ascii="Arial"/>
          <w:spacing w:val="80"/>
        </w:rPr>
        <w:t> </w:t>
      </w:r>
      <w:r>
        <w:rPr>
          <w:rFonts w:ascii="Arial"/>
        </w:rPr>
        <w:t>review is necessary</w:t>
      </w:r>
    </w:p>
    <w:p>
      <w:pPr>
        <w:spacing w:after="0"/>
        <w:rPr>
          <w:rFonts w:ascii="Arial"/>
        </w:rPr>
        <w:sectPr>
          <w:pgSz w:w="12240" w:h="15840"/>
          <w:pgMar w:header="0" w:footer="1144" w:top="960" w:bottom="1340" w:left="1340" w:right="840"/>
        </w:sectPr>
      </w:pPr>
    </w:p>
    <w:p>
      <w:pPr>
        <w:pStyle w:val="BodyText"/>
        <w:spacing w:before="6"/>
        <w:rPr>
          <w:rFonts w:ascii="Arial"/>
          <w:sz w:val="11"/>
        </w:rPr>
      </w:pPr>
    </w:p>
    <w:p>
      <w:pPr>
        <w:spacing w:after="0"/>
        <w:rPr>
          <w:rFonts w:ascii="Arial"/>
          <w:sz w:val="11"/>
        </w:rPr>
        <w:sectPr>
          <w:footerReference w:type="default" r:id="rId156"/>
          <w:pgSz w:w="15840" w:h="12240" w:orient="landscape"/>
          <w:pgMar w:footer="173" w:header="0" w:top="960" w:bottom="360" w:left="720" w:right="0"/>
        </w:sectPr>
      </w:pPr>
    </w:p>
    <w:p>
      <w:pPr>
        <w:spacing w:line="213" w:lineRule="auto" w:before="141"/>
        <w:ind w:left="934" w:right="30" w:firstLine="6"/>
        <w:jc w:val="left"/>
        <w:rPr>
          <w:rFonts w:ascii="Arial"/>
          <w:sz w:val="14"/>
        </w:rPr>
      </w:pPr>
      <w:r>
        <w:rPr/>
        <w:drawing>
          <wp:anchor distT="0" distB="0" distL="0" distR="0" allowOverlap="1" layoutInCell="1" locked="0" behindDoc="1" simplePos="0" relativeHeight="479223296">
            <wp:simplePos x="0" y="0"/>
            <wp:positionH relativeFrom="page">
              <wp:posOffset>530994</wp:posOffset>
            </wp:positionH>
            <wp:positionV relativeFrom="paragraph">
              <wp:posOffset>-89619</wp:posOffset>
            </wp:positionV>
            <wp:extent cx="494374" cy="525078"/>
            <wp:effectExtent l="0" t="0" r="0" b="0"/>
            <wp:wrapNone/>
            <wp:docPr id="179" name="image77.png"/>
            <wp:cNvGraphicFramePr>
              <a:graphicFrameLocks noChangeAspect="1"/>
            </wp:cNvGraphicFramePr>
            <a:graphic>
              <a:graphicData uri="http://schemas.openxmlformats.org/drawingml/2006/picture">
                <pic:pic>
                  <pic:nvPicPr>
                    <pic:cNvPr id="180" name="image77.png"/>
                    <pic:cNvPicPr/>
                  </pic:nvPicPr>
                  <pic:blipFill>
                    <a:blip r:embed="rId157" cstate="print"/>
                    <a:stretch>
                      <a:fillRect/>
                    </a:stretch>
                  </pic:blipFill>
                  <pic:spPr>
                    <a:xfrm>
                      <a:off x="0" y="0"/>
                      <a:ext cx="494374" cy="525078"/>
                    </a:xfrm>
                    <a:prstGeom prst="rect">
                      <a:avLst/>
                    </a:prstGeom>
                  </pic:spPr>
                </pic:pic>
              </a:graphicData>
            </a:graphic>
          </wp:anchor>
        </w:drawing>
      </w:r>
      <w:r>
        <w:rPr>
          <w:rFonts w:ascii="Arial"/>
          <w:color w:val="0F89CA"/>
          <w:spacing w:val="-4"/>
          <w:sz w:val="13"/>
        </w:rPr>
        <w:t>Good</w:t>
      </w:r>
      <w:r>
        <w:rPr>
          <w:rFonts w:ascii="Arial"/>
          <w:color w:val="0F89CA"/>
          <w:spacing w:val="40"/>
          <w:sz w:val="13"/>
        </w:rPr>
        <w:t> </w:t>
      </w:r>
      <w:r>
        <w:rPr>
          <w:rFonts w:ascii="Arial"/>
          <w:color w:val="0F89CA"/>
          <w:spacing w:val="-6"/>
          <w:sz w:val="14"/>
        </w:rPr>
        <w:t>Governance</w:t>
      </w:r>
      <w:r>
        <w:rPr>
          <w:rFonts w:ascii="Arial"/>
          <w:color w:val="0F89CA"/>
          <w:spacing w:val="40"/>
          <w:sz w:val="14"/>
        </w:rPr>
        <w:t> </w:t>
      </w:r>
      <w:r>
        <w:rPr>
          <w:rFonts w:ascii="Arial"/>
          <w:color w:val="0F89CA"/>
          <w:spacing w:val="-2"/>
          <w:sz w:val="14"/>
        </w:rPr>
        <w:t>Institute</w:t>
      </w:r>
    </w:p>
    <w:p>
      <w:pPr>
        <w:spacing w:before="89"/>
        <w:ind w:left="116" w:right="0" w:firstLine="0"/>
        <w:jc w:val="left"/>
        <w:rPr>
          <w:rFonts w:ascii="Arial"/>
          <w:b/>
          <w:sz w:val="37"/>
        </w:rPr>
      </w:pPr>
      <w:r>
        <w:rPr/>
        <w:br w:type="column"/>
      </w:r>
      <w:r>
        <w:rPr>
          <w:rFonts w:ascii="Arial"/>
          <w:b/>
          <w:color w:val="646767"/>
          <w:spacing w:val="-2"/>
          <w:sz w:val="37"/>
        </w:rPr>
        <w:t>Applying</w:t>
      </w:r>
      <w:r>
        <w:rPr>
          <w:rFonts w:ascii="Arial"/>
          <w:b/>
          <w:color w:val="646767"/>
          <w:spacing w:val="-8"/>
          <w:sz w:val="37"/>
        </w:rPr>
        <w:t> </w:t>
      </w:r>
      <w:r>
        <w:rPr>
          <w:rFonts w:ascii="Arial"/>
          <w:b/>
          <w:color w:val="646767"/>
          <w:spacing w:val="-2"/>
          <w:sz w:val="37"/>
        </w:rPr>
        <w:t>risk</w:t>
      </w:r>
      <w:r>
        <w:rPr>
          <w:rFonts w:ascii="Arial"/>
          <w:b/>
          <w:color w:val="646767"/>
          <w:spacing w:val="-19"/>
          <w:sz w:val="37"/>
        </w:rPr>
        <w:t> </w:t>
      </w:r>
      <w:r>
        <w:rPr>
          <w:rFonts w:ascii="Arial"/>
          <w:b/>
          <w:color w:val="646767"/>
          <w:spacing w:val="-2"/>
          <w:sz w:val="37"/>
        </w:rPr>
        <w:t>appetite</w:t>
      </w:r>
      <w:r>
        <w:rPr>
          <w:rFonts w:ascii="Arial"/>
          <w:b/>
          <w:color w:val="646767"/>
          <w:spacing w:val="-16"/>
          <w:sz w:val="37"/>
        </w:rPr>
        <w:t> </w:t>
      </w:r>
      <w:r>
        <w:rPr>
          <w:rFonts w:ascii="Arial"/>
          <w:b/>
          <w:color w:val="646767"/>
          <w:spacing w:val="-2"/>
          <w:sz w:val="37"/>
        </w:rPr>
        <w:t>matrix</w:t>
      </w:r>
    </w:p>
    <w:p>
      <w:pPr>
        <w:spacing w:after="0"/>
        <w:jc w:val="left"/>
        <w:rPr>
          <w:rFonts w:ascii="Arial"/>
          <w:sz w:val="37"/>
        </w:rPr>
        <w:sectPr>
          <w:type w:val="continuous"/>
          <w:pgSz w:w="15840" w:h="12240" w:orient="landscape"/>
          <w:pgMar w:header="0" w:footer="173" w:top="740" w:bottom="280" w:left="720" w:right="0"/>
          <w:cols w:num="2" w:equalWidth="0">
            <w:col w:w="1687" w:space="2336"/>
            <w:col w:w="11097"/>
          </w:cols>
        </w:sectPr>
      </w:pPr>
    </w:p>
    <w:p>
      <w:pPr>
        <w:spacing w:line="666" w:lineRule="exact" w:before="0"/>
        <w:ind w:left="117" w:right="0" w:firstLine="0"/>
        <w:jc w:val="left"/>
        <w:rPr>
          <w:rFonts w:ascii="Arial" w:hAnsi="Arial"/>
          <w:sz w:val="60"/>
        </w:rPr>
      </w:pPr>
      <w:r>
        <w:rPr/>
        <w:pict>
          <v:line style="position:absolute;mso-position-horizontal-relative:page;mso-position-vertical-relative:paragraph;z-index:15828480" from="436.368225pt,6.526835pt" to="711.260992pt,6.526835pt" stroked="true" strokeweight="1.442259pt" strokecolor="#000000">
            <v:stroke dashstyle="solid"/>
            <w10:wrap type="none"/>
          </v:line>
        </w:pict>
      </w:r>
      <w:r>
        <w:rPr/>
        <w:pict>
          <v:line style="position:absolute;mso-position-horizontal-relative:page;mso-position-vertical-relative:paragraph;z-index:15828992" from="120.145439pt,6.526835pt" to="254.708332pt,6.526835pt" stroked="true" strokeweight="1.442259pt" strokecolor="#000000">
            <v:stroke dashstyle="solid"/>
            <w10:wrap type="none"/>
          </v:line>
        </w:pict>
      </w:r>
      <w:r>
        <w:rPr>
          <w:rFonts w:ascii="Arial" w:hAnsi="Arial"/>
          <w:color w:val="939595"/>
          <w:sz w:val="11"/>
        </w:rPr>
        <w:t>R</w:t>
      </w:r>
      <w:r>
        <w:rPr>
          <w:rFonts w:ascii="Arial" w:hAnsi="Arial"/>
          <w:color w:val="646767"/>
          <w:sz w:val="11"/>
        </w:rPr>
        <w:t>I</w:t>
      </w:r>
      <w:r>
        <w:rPr>
          <w:rFonts w:ascii="Arial" w:hAnsi="Arial"/>
          <w:color w:val="939595"/>
          <w:sz w:val="11"/>
        </w:rPr>
        <w:t>SK</w:t>
      </w:r>
      <w:r>
        <w:rPr>
          <w:rFonts w:ascii="Arial" w:hAnsi="Arial"/>
          <w:color w:val="939595"/>
          <w:spacing w:val="-6"/>
          <w:sz w:val="11"/>
        </w:rPr>
        <w:t> </w:t>
      </w:r>
      <w:r>
        <w:rPr>
          <w:rFonts w:ascii="Arial" w:hAnsi="Arial"/>
          <w:color w:val="939595"/>
          <w:sz w:val="11"/>
        </w:rPr>
        <w:t>APPETITE</w:t>
      </w:r>
      <w:r>
        <w:rPr>
          <w:rFonts w:ascii="Arial" w:hAnsi="Arial"/>
          <w:color w:val="939595"/>
          <w:spacing w:val="3"/>
          <w:sz w:val="11"/>
        </w:rPr>
        <w:t> </w:t>
      </w:r>
      <w:r>
        <w:rPr>
          <w:rFonts w:ascii="Arial" w:hAnsi="Arial"/>
          <w:color w:val="939595"/>
          <w:spacing w:val="-4"/>
          <w:w w:val="104"/>
          <w:sz w:val="11"/>
        </w:rPr>
        <w:t>LEVE</w:t>
      </w:r>
      <w:r>
        <w:rPr>
          <w:rFonts w:ascii="Arial" w:hAnsi="Arial"/>
          <w:color w:val="939595"/>
          <w:spacing w:val="2"/>
          <w:w w:val="104"/>
          <w:sz w:val="11"/>
        </w:rPr>
        <w:t>L</w:t>
      </w:r>
      <w:r>
        <w:rPr>
          <w:rFonts w:ascii="Arial" w:hAnsi="Arial"/>
          <w:color w:val="0F89CA"/>
          <w:spacing w:val="-3"/>
          <w:w w:val="49"/>
          <w:sz w:val="60"/>
        </w:rPr>
        <w:t>►</w:t>
      </w:r>
    </w:p>
    <w:p>
      <w:pPr>
        <w:spacing w:line="240" w:lineRule="auto" w:before="0"/>
        <w:rPr>
          <w:rFonts w:ascii="Arial"/>
          <w:sz w:val="18"/>
        </w:rPr>
      </w:pPr>
      <w:r>
        <w:rPr/>
        <w:br w:type="column"/>
      </w:r>
      <w:r>
        <w:rPr>
          <w:rFonts w:ascii="Arial"/>
          <w:sz w:val="18"/>
        </w:rPr>
      </w:r>
    </w:p>
    <w:p>
      <w:pPr>
        <w:pStyle w:val="BodyText"/>
        <w:spacing w:before="11"/>
        <w:rPr>
          <w:rFonts w:ascii="Arial"/>
          <w:sz w:val="22"/>
        </w:rPr>
      </w:pPr>
    </w:p>
    <w:p>
      <w:pPr>
        <w:spacing w:before="0"/>
        <w:ind w:left="116" w:right="0" w:firstLine="0"/>
        <w:jc w:val="left"/>
        <w:rPr>
          <w:rFonts w:ascii="Arial"/>
          <w:b/>
          <w:sz w:val="15"/>
        </w:rPr>
      </w:pPr>
      <w:r>
        <w:rPr>
          <w:rFonts w:ascii="Arial"/>
          <w:color w:val="F4F6F9"/>
          <w:w w:val="110"/>
          <w:sz w:val="17"/>
          <w:shd w:fill="0C4695" w:color="auto" w:val="clear"/>
        </w:rPr>
        <w:t>0</w:t>
      </w:r>
      <w:r>
        <w:rPr>
          <w:rFonts w:ascii="Arial"/>
          <w:color w:val="F4F6F9"/>
          <w:spacing w:val="136"/>
          <w:w w:val="110"/>
          <w:sz w:val="17"/>
        </w:rPr>
        <w:t> </w:t>
      </w:r>
      <w:r>
        <w:rPr>
          <w:rFonts w:ascii="Arial"/>
          <w:b/>
          <w:color w:val="F4F6F9"/>
          <w:spacing w:val="-4"/>
          <w:w w:val="110"/>
          <w:sz w:val="15"/>
          <w:shd w:fill="0189CF" w:color="auto" w:val="clear"/>
        </w:rPr>
        <w:t>NONE</w:t>
      </w:r>
    </w:p>
    <w:p>
      <w:pPr>
        <w:spacing w:line="240" w:lineRule="auto" w:before="0"/>
        <w:rPr>
          <w:rFonts w:ascii="Arial"/>
          <w:b/>
          <w:sz w:val="16"/>
        </w:rPr>
      </w:pPr>
      <w:r>
        <w:rPr/>
        <w:br w:type="column"/>
      </w:r>
      <w:r>
        <w:rPr>
          <w:rFonts w:ascii="Arial"/>
          <w:b/>
          <w:sz w:val="16"/>
        </w:rPr>
      </w:r>
    </w:p>
    <w:p>
      <w:pPr>
        <w:pStyle w:val="BodyText"/>
        <w:rPr>
          <w:rFonts w:ascii="Arial"/>
          <w:b/>
          <w:sz w:val="16"/>
        </w:rPr>
      </w:pPr>
    </w:p>
    <w:p>
      <w:pPr>
        <w:spacing w:before="122"/>
        <w:ind w:left="0" w:right="38" w:firstLine="0"/>
        <w:jc w:val="right"/>
        <w:rPr>
          <w:rFonts w:ascii="Arial"/>
          <w:b/>
          <w:sz w:val="15"/>
        </w:rPr>
      </w:pPr>
      <w:r>
        <w:rPr/>
        <w:drawing>
          <wp:anchor distT="0" distB="0" distL="0" distR="0" allowOverlap="1" layoutInCell="1" locked="0" behindDoc="1" simplePos="0" relativeHeight="479223808">
            <wp:simplePos x="0" y="0"/>
            <wp:positionH relativeFrom="page">
              <wp:posOffset>2746525</wp:posOffset>
            </wp:positionH>
            <wp:positionV relativeFrom="paragraph">
              <wp:posOffset>-1088</wp:posOffset>
            </wp:positionV>
            <wp:extent cx="1232884" cy="653295"/>
            <wp:effectExtent l="0" t="0" r="0" b="0"/>
            <wp:wrapNone/>
            <wp:docPr id="181" name="image78.png"/>
            <wp:cNvGraphicFramePr>
              <a:graphicFrameLocks noChangeAspect="1"/>
            </wp:cNvGraphicFramePr>
            <a:graphic>
              <a:graphicData uri="http://schemas.openxmlformats.org/drawingml/2006/picture">
                <pic:pic>
                  <pic:nvPicPr>
                    <pic:cNvPr id="182" name="image78.png"/>
                    <pic:cNvPicPr/>
                  </pic:nvPicPr>
                  <pic:blipFill>
                    <a:blip r:embed="rId158" cstate="print"/>
                    <a:stretch>
                      <a:fillRect/>
                    </a:stretch>
                  </pic:blipFill>
                  <pic:spPr>
                    <a:xfrm>
                      <a:off x="0" y="0"/>
                      <a:ext cx="1232884" cy="653295"/>
                    </a:xfrm>
                    <a:prstGeom prst="rect">
                      <a:avLst/>
                    </a:prstGeom>
                  </pic:spPr>
                </pic:pic>
              </a:graphicData>
            </a:graphic>
          </wp:anchor>
        </w:drawing>
      </w:r>
      <w:r>
        <w:rPr/>
        <w:pict>
          <v:group style="position:absolute;margin-left:318.021973pt;margin-top:20.148531pt;width:90.3pt;height:26.75pt;mso-position-horizontal-relative:page;mso-position-vertical-relative:paragraph;z-index:-24084992" id="docshapegroup456" coordorigin="6360,403" coordsize="1806,535">
            <v:shape style="position:absolute;left:6360;top:808;width:447;height:130" type="#_x0000_t202" id="docshape457" filled="true" fillcolor="#0189cf" stroked="false">
              <v:textbox inset="0,0,0,0">
                <w:txbxContent>
                  <w:p>
                    <w:pPr>
                      <w:spacing w:line="117" w:lineRule="exact" w:before="0"/>
                      <w:ind w:left="0" w:right="-29" w:firstLine="0"/>
                      <w:jc w:val="left"/>
                      <w:rPr>
                        <w:rFonts w:ascii="Arial"/>
                        <w:color w:val="000000"/>
                        <w:sz w:val="11"/>
                      </w:rPr>
                    </w:pPr>
                    <w:r>
                      <w:rPr>
                        <w:rFonts w:ascii="Arial"/>
                        <w:color w:val="A0D1EB"/>
                        <w:spacing w:val="-2"/>
                        <w:w w:val="125"/>
                        <w:sz w:val="11"/>
                      </w:rPr>
                      <w:t>potent"I</w:t>
                    </w:r>
                  </w:p>
                </w:txbxContent>
              </v:textbox>
              <v:fill type="solid"/>
              <w10:wrap type="none"/>
            </v:shape>
            <v:shape style="position:absolute;left:6360;top:689;width:1490;height:119" type="#_x0000_t202" id="docshape458" filled="true" fillcolor="#0189cf" stroked="false">
              <v:textbox inset="0,0,0,0">
                <w:txbxContent>
                  <w:p>
                    <w:pPr>
                      <w:spacing w:line="106" w:lineRule="exact" w:before="0"/>
                      <w:ind w:left="0" w:right="-15" w:firstLine="0"/>
                      <w:jc w:val="left"/>
                      <w:rPr>
                        <w:rFonts w:ascii="Arial"/>
                        <w:color w:val="000000"/>
                        <w:sz w:val="11"/>
                      </w:rPr>
                    </w:pPr>
                    <w:r>
                      <w:rPr>
                        <w:rFonts w:ascii="Arial"/>
                        <w:color w:val="A0D1EB"/>
                        <w:w w:val="110"/>
                        <w:sz w:val="11"/>
                      </w:rPr>
                      <w:t>nsk</w:t>
                    </w:r>
                    <w:r>
                      <w:rPr>
                        <w:rFonts w:ascii="Arial"/>
                        <w:color w:val="A0D1EB"/>
                        <w:spacing w:val="2"/>
                        <w:w w:val="110"/>
                        <w:sz w:val="11"/>
                      </w:rPr>
                      <w:t> </w:t>
                    </w:r>
                    <w:r>
                      <w:rPr>
                        <w:rFonts w:ascii="Arial"/>
                        <w:color w:val="A0D1EB"/>
                        <w:w w:val="110"/>
                        <w:sz w:val="11"/>
                      </w:rPr>
                      <w:t>and</w:t>
                    </w:r>
                    <w:r>
                      <w:rPr>
                        <w:rFonts w:ascii="Arial"/>
                        <w:color w:val="A0D1EB"/>
                        <w:spacing w:val="-6"/>
                        <w:w w:val="110"/>
                        <w:sz w:val="11"/>
                      </w:rPr>
                      <w:t> </w:t>
                    </w:r>
                    <w:r>
                      <w:rPr>
                        <w:rFonts w:ascii="Arial"/>
                        <w:color w:val="A0D1EB"/>
                        <w:w w:val="110"/>
                        <w:sz w:val="11"/>
                      </w:rPr>
                      <w:t>only</w:t>
                    </w:r>
                    <w:r>
                      <w:rPr>
                        <w:rFonts w:ascii="Arial"/>
                        <w:color w:val="A0D1EB"/>
                        <w:spacing w:val="-3"/>
                        <w:w w:val="110"/>
                        <w:sz w:val="11"/>
                      </w:rPr>
                      <w:t> </w:t>
                    </w:r>
                    <w:r>
                      <w:rPr>
                        <w:rFonts w:ascii="Arial"/>
                        <w:color w:val="A0D1EB"/>
                        <w:w w:val="110"/>
                        <w:sz w:val="11"/>
                      </w:rPr>
                      <w:t>a</w:t>
                    </w:r>
                    <w:r>
                      <w:rPr>
                        <w:rFonts w:ascii="Arial"/>
                        <w:color w:val="A0D1EB"/>
                        <w:spacing w:val="-7"/>
                        <w:w w:val="110"/>
                        <w:sz w:val="11"/>
                      </w:rPr>
                      <w:t> </w:t>
                    </w:r>
                    <w:r>
                      <w:rPr>
                        <w:rFonts w:ascii="Arial"/>
                        <w:color w:val="A0D1EB"/>
                        <w:w w:val="110"/>
                        <w:sz w:val="11"/>
                      </w:rPr>
                      <w:t>Imted</w:t>
                    </w:r>
                    <w:r>
                      <w:rPr>
                        <w:rFonts w:ascii="Arial"/>
                        <w:color w:val="A0D1EB"/>
                        <w:spacing w:val="-13"/>
                        <w:w w:val="110"/>
                        <w:sz w:val="11"/>
                      </w:rPr>
                      <w:t> </w:t>
                    </w:r>
                    <w:r>
                      <w:rPr>
                        <w:rFonts w:ascii="Arial"/>
                        <w:color w:val="A0D1EB"/>
                        <w:spacing w:val="-2"/>
                        <w:w w:val="110"/>
                        <w:sz w:val="11"/>
                      </w:rPr>
                      <w:t>reward</w:t>
                    </w:r>
                  </w:p>
                </w:txbxContent>
              </v:textbox>
              <v:fill type="solid"/>
              <w10:wrap type="none"/>
            </v:shape>
            <v:shape style="position:absolute;left:6360;top:531;width:1731;height:159" type="#_x0000_t202" id="docshape459" filled="true" fillcolor="#0189cf" stroked="false">
              <v:textbox inset="0,0,0,0">
                <w:txbxContent>
                  <w:p>
                    <w:pPr>
                      <w:spacing w:line="144" w:lineRule="exact" w:before="0"/>
                      <w:ind w:left="0" w:right="-15" w:firstLine="0"/>
                      <w:jc w:val="left"/>
                      <w:rPr>
                        <w:rFonts w:ascii="Arial"/>
                        <w:color w:val="000000"/>
                        <w:sz w:val="11"/>
                      </w:rPr>
                    </w:pPr>
                    <w:r>
                      <w:rPr>
                        <w:rFonts w:ascii="Arial"/>
                        <w:color w:val="A0D1EB"/>
                        <w:w w:val="105"/>
                        <w:sz w:val="11"/>
                      </w:rPr>
                      <w:t>that</w:t>
                    </w:r>
                    <w:r>
                      <w:rPr>
                        <w:rFonts w:ascii="Arial"/>
                        <w:color w:val="A0D1EB"/>
                        <w:spacing w:val="-13"/>
                        <w:w w:val="105"/>
                        <w:sz w:val="11"/>
                      </w:rPr>
                      <w:t> </w:t>
                    </w:r>
                    <w:r>
                      <w:rPr>
                        <w:rFonts w:ascii="Arial"/>
                        <w:color w:val="A0D1EB"/>
                        <w:w w:val="105"/>
                        <w:sz w:val="11"/>
                      </w:rPr>
                      <w:t>have</w:t>
                    </w:r>
                    <w:r>
                      <w:rPr>
                        <w:rFonts w:ascii="Arial"/>
                        <w:color w:val="A0D1EB"/>
                        <w:spacing w:val="-1"/>
                        <w:w w:val="105"/>
                        <w:sz w:val="11"/>
                      </w:rPr>
                      <w:t> </w:t>
                    </w:r>
                    <w:r>
                      <w:rPr>
                        <w:rFonts w:ascii="Arial"/>
                        <w:color w:val="A0D1EB"/>
                        <w:w w:val="105"/>
                        <w:sz w:val="11"/>
                      </w:rPr>
                      <w:t>a</w:t>
                    </w:r>
                    <w:r>
                      <w:rPr>
                        <w:rFonts w:ascii="Arial"/>
                        <w:color w:val="A0D1EB"/>
                        <w:spacing w:val="12"/>
                        <w:w w:val="105"/>
                        <w:sz w:val="11"/>
                      </w:rPr>
                      <w:t> </w:t>
                    </w:r>
                    <w:r>
                      <w:rPr>
                        <w:rFonts w:ascii="Times New Roman"/>
                        <w:b/>
                        <w:color w:val="A0D1EB"/>
                        <w:w w:val="105"/>
                        <w:sz w:val="13"/>
                      </w:rPr>
                      <w:t>bw</w:t>
                    </w:r>
                    <w:r>
                      <w:rPr>
                        <w:rFonts w:ascii="Times New Roman"/>
                        <w:b/>
                        <w:color w:val="A0D1EB"/>
                        <w:spacing w:val="-12"/>
                        <w:w w:val="105"/>
                        <w:sz w:val="13"/>
                      </w:rPr>
                      <w:t> </w:t>
                    </w:r>
                    <w:r>
                      <w:rPr>
                        <w:rFonts w:ascii="Arial"/>
                        <w:color w:val="A0D1EB"/>
                        <w:w w:val="105"/>
                        <w:sz w:val="11"/>
                      </w:rPr>
                      <w:t>degree</w:t>
                    </w:r>
                    <w:r>
                      <w:rPr>
                        <w:rFonts w:ascii="Arial"/>
                        <w:color w:val="A0D1EB"/>
                        <w:spacing w:val="-1"/>
                        <w:w w:val="105"/>
                        <w:sz w:val="11"/>
                      </w:rPr>
                      <w:t> </w:t>
                    </w:r>
                    <w:r>
                      <w:rPr>
                        <w:rFonts w:ascii="Arial"/>
                        <w:color w:val="A0D1EB"/>
                        <w:w w:val="105"/>
                        <w:sz w:val="11"/>
                      </w:rPr>
                      <w:t>of</w:t>
                    </w:r>
                    <w:r>
                      <w:rPr>
                        <w:rFonts w:ascii="Arial"/>
                        <w:color w:val="A0D1EB"/>
                        <w:spacing w:val="1"/>
                        <w:w w:val="105"/>
                        <w:sz w:val="11"/>
                      </w:rPr>
                      <w:t> </w:t>
                    </w:r>
                    <w:r>
                      <w:rPr>
                        <w:rFonts w:ascii="Arial"/>
                        <w:color w:val="A0D1EB"/>
                        <w:spacing w:val="-2"/>
                        <w:w w:val="105"/>
                        <w:sz w:val="11"/>
                      </w:rPr>
                      <w:t>residual</w:t>
                    </w:r>
                  </w:p>
                </w:txbxContent>
              </v:textbox>
              <v:fill type="solid"/>
              <w10:wrap type="none"/>
            </v:shape>
            <v:shape style="position:absolute;left:6360;top:402;width:1806;height:129" type="#_x0000_t202" id="docshape460" filled="true" fillcolor="#0189cf" stroked="false">
              <v:textbox inset="0,0,0,0">
                <w:txbxContent>
                  <w:p>
                    <w:pPr>
                      <w:spacing w:line="117" w:lineRule="exact" w:before="11"/>
                      <w:ind w:left="8" w:right="-15" w:firstLine="0"/>
                      <w:jc w:val="left"/>
                      <w:rPr>
                        <w:rFonts w:ascii="Arial"/>
                        <w:color w:val="000000"/>
                        <w:sz w:val="11"/>
                      </w:rPr>
                    </w:pPr>
                    <w:r>
                      <w:rPr>
                        <w:rFonts w:ascii="Arial"/>
                        <w:color w:val="A0D1EB"/>
                        <w:sz w:val="11"/>
                      </w:rPr>
                      <w:t>Preference</w:t>
                    </w:r>
                    <w:r>
                      <w:rPr>
                        <w:rFonts w:ascii="Arial"/>
                        <w:color w:val="A0D1EB"/>
                        <w:spacing w:val="3"/>
                        <w:sz w:val="11"/>
                      </w:rPr>
                      <w:t> </w:t>
                    </w:r>
                    <w:r>
                      <w:rPr>
                        <w:rFonts w:ascii="Arial"/>
                        <w:color w:val="A0D1EB"/>
                        <w:sz w:val="11"/>
                      </w:rPr>
                      <w:t>fcr</w:t>
                    </w:r>
                    <w:r>
                      <w:rPr>
                        <w:rFonts w:ascii="Arial"/>
                        <w:color w:val="A0D1EB"/>
                        <w:spacing w:val="14"/>
                        <w:sz w:val="11"/>
                      </w:rPr>
                      <w:t> </w:t>
                    </w:r>
                    <w:r>
                      <w:rPr>
                        <w:rFonts w:ascii="Arial"/>
                        <w:color w:val="A0D1EB"/>
                        <w:sz w:val="11"/>
                      </w:rPr>
                      <w:t>safe</w:t>
                    </w:r>
                    <w:r>
                      <w:rPr>
                        <w:rFonts w:ascii="Arial"/>
                        <w:color w:val="A0D1EB"/>
                        <w:spacing w:val="-3"/>
                        <w:sz w:val="11"/>
                      </w:rPr>
                      <w:t> </w:t>
                    </w:r>
                    <w:r>
                      <w:rPr>
                        <w:rFonts w:ascii="Arial"/>
                        <w:color w:val="A0D1EB"/>
                        <w:sz w:val="11"/>
                      </w:rPr>
                      <w:t>delivery</w:t>
                    </w:r>
                    <w:r>
                      <w:rPr>
                        <w:rFonts w:ascii="Arial"/>
                        <w:color w:val="A0D1EB"/>
                        <w:spacing w:val="-4"/>
                        <w:sz w:val="11"/>
                      </w:rPr>
                      <w:t> </w:t>
                    </w:r>
                    <w:r>
                      <w:rPr>
                        <w:rFonts w:ascii="Arial"/>
                        <w:color w:val="A0D1EB"/>
                        <w:spacing w:val="-2"/>
                        <w:sz w:val="11"/>
                      </w:rPr>
                      <w:t>opt1ors</w:t>
                    </w:r>
                  </w:p>
                </w:txbxContent>
              </v:textbox>
              <v:fill type="solid"/>
              <w10:wrap type="none"/>
            </v:shape>
            <w10:wrap type="none"/>
          </v:group>
        </w:pict>
      </w:r>
      <w:r>
        <w:rPr>
          <w:rFonts w:ascii="Arial"/>
          <w:b/>
          <w:color w:val="F4F6F9"/>
          <w:w w:val="110"/>
          <w:sz w:val="15"/>
          <w:shd w:fill="0C4695" w:color="auto" w:val="clear"/>
        </w:rPr>
        <w:t>2</w:t>
      </w:r>
      <w:r>
        <w:rPr>
          <w:rFonts w:ascii="Arial"/>
          <w:b/>
          <w:color w:val="F4F6F9"/>
          <w:spacing w:val="101"/>
          <w:w w:val="150"/>
          <w:sz w:val="15"/>
        </w:rPr>
        <w:t> </w:t>
      </w:r>
      <w:r>
        <w:rPr>
          <w:rFonts w:ascii="Arial"/>
          <w:b/>
          <w:color w:val="F4F6F9"/>
          <w:spacing w:val="-2"/>
          <w:w w:val="110"/>
          <w:sz w:val="15"/>
          <w:shd w:fill="0189CF" w:color="auto" w:val="clear"/>
        </w:rPr>
        <w:t>CAUTIOUS</w:t>
      </w:r>
    </w:p>
    <w:p>
      <w:pPr>
        <w:spacing w:line="240" w:lineRule="auto" w:before="0"/>
        <w:rPr>
          <w:rFonts w:ascii="Arial"/>
          <w:b/>
          <w:sz w:val="18"/>
        </w:rPr>
      </w:pPr>
      <w:r>
        <w:rPr/>
        <w:br w:type="column"/>
      </w:r>
      <w:r>
        <w:rPr>
          <w:rFonts w:ascii="Arial"/>
          <w:b/>
          <w:sz w:val="18"/>
        </w:rPr>
      </w:r>
    </w:p>
    <w:p>
      <w:pPr>
        <w:pStyle w:val="BodyText"/>
        <w:spacing w:before="11"/>
        <w:rPr>
          <w:rFonts w:ascii="Arial"/>
          <w:b/>
          <w:sz w:val="22"/>
        </w:rPr>
      </w:pPr>
    </w:p>
    <w:p>
      <w:pPr>
        <w:spacing w:before="0"/>
        <w:ind w:left="116" w:right="0" w:firstLine="0"/>
        <w:jc w:val="left"/>
        <w:rPr>
          <w:rFonts w:ascii="Arial"/>
          <w:b/>
          <w:sz w:val="15"/>
        </w:rPr>
      </w:pPr>
      <w:r>
        <w:rPr>
          <w:rFonts w:ascii="Arial"/>
          <w:color w:val="F4F6F9"/>
          <w:w w:val="105"/>
          <w:sz w:val="17"/>
          <w:shd w:fill="0C4695" w:color="auto" w:val="clear"/>
        </w:rPr>
        <w:t>3</w:t>
      </w:r>
      <w:r>
        <w:rPr>
          <w:rFonts w:ascii="Arial"/>
          <w:color w:val="F4F6F9"/>
          <w:spacing w:val="114"/>
          <w:w w:val="105"/>
          <w:sz w:val="17"/>
        </w:rPr>
        <w:t> </w:t>
      </w:r>
      <w:r>
        <w:rPr>
          <w:rFonts w:ascii="Arial"/>
          <w:b/>
          <w:color w:val="F4F6F9"/>
          <w:spacing w:val="-4"/>
          <w:w w:val="105"/>
          <w:sz w:val="15"/>
          <w:shd w:fill="0189CF" w:color="auto" w:val="clear"/>
        </w:rPr>
        <w:t>OPEN</w:t>
      </w:r>
    </w:p>
    <w:p>
      <w:pPr>
        <w:spacing w:line="240" w:lineRule="auto" w:before="0"/>
        <w:rPr>
          <w:rFonts w:ascii="Arial"/>
          <w:b/>
          <w:sz w:val="18"/>
        </w:rPr>
      </w:pPr>
      <w:r>
        <w:rPr/>
        <w:br w:type="column"/>
      </w:r>
      <w:r>
        <w:rPr>
          <w:rFonts w:ascii="Arial"/>
          <w:b/>
          <w:sz w:val="18"/>
        </w:rPr>
      </w:r>
    </w:p>
    <w:p>
      <w:pPr>
        <w:pStyle w:val="BodyText"/>
        <w:spacing w:before="11"/>
        <w:rPr>
          <w:rFonts w:ascii="Arial"/>
          <w:b/>
          <w:sz w:val="22"/>
        </w:rPr>
      </w:pPr>
    </w:p>
    <w:p>
      <w:pPr>
        <w:spacing w:before="0"/>
        <w:ind w:left="116" w:right="0" w:firstLine="0"/>
        <w:jc w:val="left"/>
        <w:rPr>
          <w:rFonts w:ascii="Arial"/>
          <w:b/>
          <w:sz w:val="15"/>
        </w:rPr>
      </w:pPr>
      <w:r>
        <w:rPr/>
        <w:pict>
          <v:group style="position:absolute;margin-left:521.451233pt;margin-top:13.945288pt;width:85.6pt;height:27.35pt;mso-position-horizontal-relative:page;mso-position-vertical-relative:paragraph;z-index:15832064" id="docshapegroup461" coordorigin="10429,279" coordsize="1712,547">
            <v:shape style="position:absolute;left:10429;top:278;width:1560;height:301" id="docshape462" coordorigin="10429,279" coordsize="1560,301" path="m11988,430l11946,430,11946,279,10436,279,10436,430,10429,430,10429,580,11988,580,11988,430xe" filled="true" fillcolor="#0189cf" stroked="false">
              <v:path arrowok="t"/>
              <v:fill type="solid"/>
            </v:shape>
            <v:shape style="position:absolute;left:10429;top:278;width:1560;height:301" type="#_x0000_t202" id="docshape463" filled="false" stroked="false">
              <v:textbox inset="0,0,0,0">
                <w:txbxContent>
                  <w:p>
                    <w:pPr>
                      <w:spacing w:before="14"/>
                      <w:ind w:left="6" w:right="0" w:firstLine="0"/>
                      <w:jc w:val="left"/>
                      <w:rPr>
                        <w:rFonts w:ascii="Times New Roman"/>
                        <w:sz w:val="13"/>
                      </w:rPr>
                    </w:pPr>
                    <w:r>
                      <w:rPr>
                        <w:rFonts w:ascii="Times New Roman"/>
                        <w:color w:val="A0D1EB"/>
                        <w:spacing w:val="-4"/>
                        <w:sz w:val="13"/>
                      </w:rPr>
                      <w:t>Eager</w:t>
                    </w:r>
                    <w:r>
                      <w:rPr>
                        <w:rFonts w:ascii="Times New Roman"/>
                        <w:color w:val="A0D1EB"/>
                        <w:spacing w:val="-1"/>
                        <w:sz w:val="13"/>
                      </w:rPr>
                      <w:t> </w:t>
                    </w:r>
                    <w:r>
                      <w:rPr>
                        <w:rFonts w:ascii="Times New Roman"/>
                        <w:color w:val="BFE1F2"/>
                        <w:spacing w:val="-4"/>
                        <w:sz w:val="13"/>
                      </w:rPr>
                      <w:t>t</w:t>
                    </w:r>
                    <w:r>
                      <w:rPr>
                        <w:rFonts w:ascii="Times New Roman"/>
                        <w:color w:val="A0D1EB"/>
                        <w:spacing w:val="-4"/>
                        <w:sz w:val="13"/>
                      </w:rPr>
                      <w:t>o</w:t>
                    </w:r>
                    <w:r>
                      <w:rPr>
                        <w:rFonts w:ascii="Times New Roman"/>
                        <w:color w:val="A0D1EB"/>
                        <w:spacing w:val="1"/>
                        <w:sz w:val="13"/>
                      </w:rPr>
                      <w:t> </w:t>
                    </w:r>
                    <w:r>
                      <w:rPr>
                        <w:rFonts w:ascii="Arial"/>
                        <w:color w:val="A0D1EB"/>
                        <w:spacing w:val="-4"/>
                        <w:sz w:val="12"/>
                      </w:rPr>
                      <w:t>be</w:t>
                    </w:r>
                    <w:r>
                      <w:rPr>
                        <w:rFonts w:ascii="Arial"/>
                        <w:color w:val="A0D1EB"/>
                        <w:spacing w:val="-2"/>
                        <w:sz w:val="12"/>
                      </w:rPr>
                      <w:t> </w:t>
                    </w:r>
                    <w:r>
                      <w:rPr>
                        <w:rFonts w:ascii="Arial"/>
                        <w:color w:val="A0D1EB"/>
                        <w:spacing w:val="-4"/>
                        <w:sz w:val="11"/>
                      </w:rPr>
                      <w:t>1nnovat1ve</w:t>
                    </w:r>
                    <w:r>
                      <w:rPr>
                        <w:rFonts w:ascii="Arial"/>
                        <w:color w:val="A0D1EB"/>
                        <w:spacing w:val="11"/>
                        <w:sz w:val="11"/>
                      </w:rPr>
                      <w:t> </w:t>
                    </w:r>
                    <w:r>
                      <w:rPr>
                        <w:rFonts w:ascii="Times New Roman"/>
                        <w:color w:val="A0D1EB"/>
                        <w:spacing w:val="-4"/>
                        <w:sz w:val="13"/>
                      </w:rPr>
                      <w:t>and</w:t>
                    </w:r>
                    <w:r>
                      <w:rPr>
                        <w:rFonts w:ascii="Times New Roman"/>
                        <w:color w:val="A0D1EB"/>
                        <w:spacing w:val="2"/>
                        <w:sz w:val="13"/>
                      </w:rPr>
                      <w:t> </w:t>
                    </w:r>
                    <w:r>
                      <w:rPr>
                        <w:rFonts w:ascii="Times New Roman"/>
                        <w:color w:val="A0D1EB"/>
                        <w:spacing w:val="-5"/>
                        <w:sz w:val="13"/>
                      </w:rPr>
                      <w:t>to</w:t>
                    </w:r>
                  </w:p>
                </w:txbxContent>
              </v:textbox>
              <w10:wrap type="none"/>
            </v:shape>
            <v:shape style="position:absolute;left:10429;top:533;width:1712;height:292" type="#_x0000_t202" id="docshape464" filled="true" fillcolor="#0189cf" stroked="false">
              <v:textbox inset="0,0,0,0">
                <w:txbxContent>
                  <w:p>
                    <w:pPr>
                      <w:spacing w:line="24" w:lineRule="exact" w:before="0"/>
                      <w:ind w:left="0" w:right="0" w:firstLine="0"/>
                      <w:jc w:val="left"/>
                      <w:rPr>
                        <w:rFonts w:ascii="Arial"/>
                        <w:color w:val="000000"/>
                        <w:sz w:val="11"/>
                      </w:rPr>
                    </w:pPr>
                    <w:r>
                      <w:rPr>
                        <w:rFonts w:ascii="Arial"/>
                        <w:color w:val="A0D1EB"/>
                        <w:sz w:val="11"/>
                      </w:rPr>
                      <w:t>choose</w:t>
                    </w:r>
                    <w:r>
                      <w:rPr>
                        <w:rFonts w:ascii="Arial"/>
                        <w:color w:val="A0D1EB"/>
                        <w:spacing w:val="16"/>
                        <w:sz w:val="11"/>
                      </w:rPr>
                      <w:t> </w:t>
                    </w:r>
                    <w:r>
                      <w:rPr>
                        <w:rFonts w:ascii="Arial"/>
                        <w:color w:val="A0D1EB"/>
                        <w:sz w:val="11"/>
                      </w:rPr>
                      <w:t>opt1ors</w:t>
                    </w:r>
                    <w:r>
                      <w:rPr>
                        <w:rFonts w:ascii="Arial"/>
                        <w:color w:val="A0D1EB"/>
                        <w:spacing w:val="7"/>
                        <w:sz w:val="11"/>
                      </w:rPr>
                      <w:t> </w:t>
                    </w:r>
                    <w:r>
                      <w:rPr>
                        <w:rFonts w:ascii="Arial"/>
                        <w:color w:val="A0D1EB"/>
                        <w:sz w:val="11"/>
                      </w:rPr>
                      <w:t>offering</w:t>
                    </w:r>
                    <w:r>
                      <w:rPr>
                        <w:rFonts w:ascii="Arial"/>
                        <w:color w:val="A0D1EB"/>
                        <w:spacing w:val="7"/>
                        <w:sz w:val="11"/>
                      </w:rPr>
                      <w:t> </w:t>
                    </w:r>
                    <w:r>
                      <w:rPr>
                        <w:rFonts w:ascii="Arial"/>
                        <w:color w:val="A0D1EB"/>
                        <w:spacing w:val="-2"/>
                        <w:sz w:val="11"/>
                      </w:rPr>
                      <w:t>h1gi'1er</w:t>
                    </w:r>
                  </w:p>
                  <w:p>
                    <w:pPr>
                      <w:spacing w:line="134" w:lineRule="exact" w:before="0"/>
                      <w:ind w:left="4" w:right="-15" w:firstLine="0"/>
                      <w:jc w:val="left"/>
                      <w:rPr>
                        <w:rFonts w:ascii="Times New Roman"/>
                        <w:color w:val="000000"/>
                        <w:sz w:val="13"/>
                      </w:rPr>
                    </w:pPr>
                    <w:r>
                      <w:rPr>
                        <w:rFonts w:ascii="Times New Roman"/>
                        <w:color w:val="A0D1EB"/>
                        <w:w w:val="90"/>
                        <w:sz w:val="13"/>
                      </w:rPr>
                      <w:t>bJs</w:t>
                    </w:r>
                    <w:r>
                      <w:rPr>
                        <w:rFonts w:ascii="Times New Roman"/>
                        <w:color w:val="BFE1F2"/>
                        <w:w w:val="90"/>
                        <w:sz w:val="13"/>
                      </w:rPr>
                      <w:t>1</w:t>
                    </w:r>
                    <w:r>
                      <w:rPr>
                        <w:rFonts w:ascii="Times New Roman"/>
                        <w:color w:val="A0D1EB"/>
                        <w:w w:val="90"/>
                        <w:sz w:val="13"/>
                      </w:rPr>
                      <w:t>ness</w:t>
                    </w:r>
                    <w:r>
                      <w:rPr>
                        <w:rFonts w:ascii="Times New Roman"/>
                        <w:color w:val="A0D1EB"/>
                        <w:spacing w:val="-4"/>
                        <w:w w:val="90"/>
                        <w:sz w:val="13"/>
                      </w:rPr>
                      <w:t> </w:t>
                    </w:r>
                    <w:r>
                      <w:rPr>
                        <w:rFonts w:ascii="Times New Roman"/>
                        <w:color w:val="A0D1EB"/>
                        <w:w w:val="90"/>
                        <w:sz w:val="13"/>
                      </w:rPr>
                      <w:t>re\11/ards</w:t>
                    </w:r>
                    <w:r>
                      <w:rPr>
                        <w:rFonts w:ascii="Times New Roman"/>
                        <w:color w:val="A0D1EB"/>
                        <w:spacing w:val="-1"/>
                        <w:sz w:val="13"/>
                      </w:rPr>
                      <w:t> </w:t>
                    </w:r>
                    <w:r>
                      <w:rPr>
                        <w:rFonts w:ascii="Times New Roman"/>
                        <w:color w:val="A0D1EB"/>
                        <w:w w:val="90"/>
                        <w:sz w:val="13"/>
                      </w:rPr>
                      <w:t>(despite</w:t>
                    </w:r>
                    <w:r>
                      <w:rPr>
                        <w:rFonts w:ascii="Times New Roman"/>
                        <w:color w:val="A0D1EB"/>
                        <w:spacing w:val="-3"/>
                        <w:w w:val="90"/>
                        <w:sz w:val="13"/>
                      </w:rPr>
                      <w:t> </w:t>
                    </w:r>
                    <w:r>
                      <w:rPr>
                        <w:rFonts w:ascii="Times New Roman"/>
                        <w:color w:val="A0D1EB"/>
                        <w:spacing w:val="-2"/>
                        <w:w w:val="90"/>
                        <w:sz w:val="13"/>
                      </w:rPr>
                      <w:t>geater</w:t>
                    </w:r>
                  </w:p>
                  <w:p>
                    <w:pPr>
                      <w:spacing w:line="121" w:lineRule="exact" w:before="0"/>
                      <w:ind w:left="1" w:right="0" w:firstLine="0"/>
                      <w:jc w:val="left"/>
                      <w:rPr>
                        <w:rFonts w:ascii="Arial"/>
                        <w:color w:val="000000"/>
                        <w:sz w:val="11"/>
                      </w:rPr>
                    </w:pPr>
                    <w:r>
                      <w:rPr>
                        <w:rFonts w:ascii="Arial"/>
                        <w:color w:val="A0D1EB"/>
                        <w:spacing w:val="-2"/>
                        <w:w w:val="105"/>
                        <w:sz w:val="11"/>
                      </w:rPr>
                      <w:t>inherent</w:t>
                    </w:r>
                    <w:r>
                      <w:rPr>
                        <w:rFonts w:ascii="Arial"/>
                        <w:color w:val="A0D1EB"/>
                        <w:spacing w:val="6"/>
                        <w:w w:val="105"/>
                        <w:sz w:val="11"/>
                      </w:rPr>
                      <w:t> </w:t>
                    </w:r>
                    <w:r>
                      <w:rPr>
                        <w:rFonts w:ascii="Arial"/>
                        <w:color w:val="A0D1EB"/>
                        <w:spacing w:val="-4"/>
                        <w:w w:val="105"/>
                        <w:sz w:val="11"/>
                      </w:rPr>
                      <w:t>nsk)</w:t>
                    </w:r>
                  </w:p>
                </w:txbxContent>
              </v:textbox>
              <v:fill type="solid"/>
              <w10:wrap type="none"/>
            </v:shape>
            <w10:wrap type="none"/>
          </v:group>
        </w:pict>
      </w:r>
      <w:r>
        <w:rPr>
          <w:rFonts w:ascii="Arial"/>
          <w:color w:val="F4F6F9"/>
          <w:sz w:val="17"/>
          <w:shd w:fill="0C4695" w:color="auto" w:val="clear"/>
        </w:rPr>
        <w:t>4</w:t>
      </w:r>
      <w:r>
        <w:rPr>
          <w:rFonts w:ascii="Arial"/>
          <w:color w:val="F4F6F9"/>
          <w:spacing w:val="113"/>
          <w:sz w:val="17"/>
        </w:rPr>
        <w:t> </w:t>
      </w:r>
      <w:r>
        <w:rPr>
          <w:rFonts w:ascii="Arial"/>
          <w:b/>
          <w:color w:val="F4F6F9"/>
          <w:spacing w:val="-4"/>
          <w:sz w:val="15"/>
          <w:shd w:fill="0189CF" w:color="auto" w:val="clear"/>
        </w:rPr>
        <w:t>SEEK</w:t>
      </w:r>
    </w:p>
    <w:p>
      <w:pPr>
        <w:spacing w:line="240" w:lineRule="auto" w:before="0"/>
        <w:rPr>
          <w:rFonts w:ascii="Arial"/>
          <w:b/>
          <w:sz w:val="20"/>
        </w:rPr>
      </w:pPr>
      <w:r>
        <w:rPr/>
        <w:br w:type="column"/>
      </w:r>
      <w:r>
        <w:rPr>
          <w:rFonts w:ascii="Arial"/>
          <w:b/>
          <w:sz w:val="20"/>
        </w:rPr>
      </w:r>
    </w:p>
    <w:p>
      <w:pPr>
        <w:pStyle w:val="BodyText"/>
        <w:spacing w:before="2"/>
        <w:rPr>
          <w:rFonts w:ascii="Arial"/>
          <w:b/>
          <w:sz w:val="20"/>
        </w:rPr>
      </w:pPr>
    </w:p>
    <w:p>
      <w:pPr>
        <w:spacing w:before="0"/>
        <w:ind w:left="116" w:right="0" w:firstLine="0"/>
        <w:jc w:val="left"/>
        <w:rPr>
          <w:rFonts w:ascii="Arial"/>
          <w:b/>
          <w:sz w:val="15"/>
        </w:rPr>
      </w:pPr>
      <w:r>
        <w:rPr/>
        <w:pict>
          <v:group style="position:absolute;margin-left:620.904602pt;margin-top:15.656339pt;width:86.2pt;height:26.4pt;mso-position-horizontal-relative:page;mso-position-vertical-relative:paragraph;z-index:15832576" id="docshapegroup465" coordorigin="12418,313" coordsize="1724,528">
            <v:shape style="position:absolute;left:12418;top:313;width:1724;height:405" id="docshape466" coordorigin="12418,313" coordsize="1724,405" path="m14141,313l12422,313,12422,438,12421,438,12421,542,12418,542,12418,718,14098,718,14098,542,13968,542,13968,463,14141,463,14141,313xe" filled="true" fillcolor="#0189cf" stroked="false">
              <v:path arrowok="t"/>
              <v:fill type="solid"/>
            </v:shape>
            <v:shape style="position:absolute;left:12418;top:313;width:1724;height:405" type="#_x0000_t202" id="docshape467" filled="false" stroked="false">
              <v:textbox inset="0,0,0,0">
                <w:txbxContent>
                  <w:p>
                    <w:pPr>
                      <w:spacing w:before="11"/>
                      <w:ind w:left="2" w:right="0" w:firstLine="1"/>
                      <w:jc w:val="left"/>
                      <w:rPr>
                        <w:rFonts w:ascii="Arial"/>
                        <w:sz w:val="11"/>
                      </w:rPr>
                    </w:pPr>
                    <w:r>
                      <w:rPr>
                        <w:rFonts w:ascii="Arial"/>
                        <w:color w:val="A0D1EB"/>
                        <w:sz w:val="11"/>
                      </w:rPr>
                      <w:t>Confident 1n setting</w:t>
                    </w:r>
                    <w:r>
                      <w:rPr>
                        <w:rFonts w:ascii="Arial"/>
                        <w:color w:val="A0D1EB"/>
                        <w:spacing w:val="-8"/>
                        <w:sz w:val="11"/>
                      </w:rPr>
                      <w:t> </w:t>
                    </w:r>
                    <w:r>
                      <w:rPr>
                        <w:rFonts w:ascii="Arial"/>
                        <w:color w:val="A0D1EB"/>
                        <w:sz w:val="11"/>
                      </w:rPr>
                      <w:t>h</w:t>
                    </w:r>
                    <w:r>
                      <w:rPr>
                        <w:rFonts w:ascii="Arial"/>
                        <w:color w:val="A0D1EB"/>
                        <w:spacing w:val="-15"/>
                        <w:sz w:val="11"/>
                      </w:rPr>
                      <w:t> </w:t>
                    </w:r>
                    <w:r>
                      <w:rPr>
                        <w:rFonts w:ascii="Arial"/>
                        <w:color w:val="A0D1EB"/>
                        <w:sz w:val="11"/>
                      </w:rPr>
                      <w:t>gh</w:t>
                    </w:r>
                    <w:r>
                      <w:rPr>
                        <w:rFonts w:ascii="Arial"/>
                        <w:color w:val="A0D1EB"/>
                        <w:spacing w:val="30"/>
                        <w:sz w:val="11"/>
                      </w:rPr>
                      <w:t> </w:t>
                    </w:r>
                    <w:r>
                      <w:rPr>
                        <w:rFonts w:ascii="Arial"/>
                        <w:color w:val="A0D1EB"/>
                        <w:sz w:val="11"/>
                      </w:rPr>
                      <w:t>levels</w:t>
                    </w:r>
                    <w:r>
                      <w:rPr>
                        <w:rFonts w:ascii="Arial"/>
                        <w:color w:val="A0D1EB"/>
                        <w:spacing w:val="-5"/>
                        <w:sz w:val="11"/>
                      </w:rPr>
                      <w:t> </w:t>
                    </w:r>
                    <w:r>
                      <w:rPr>
                        <w:rFonts w:ascii="Arial"/>
                        <w:color w:val="A0D1EB"/>
                        <w:sz w:val="11"/>
                      </w:rPr>
                      <w:t>o</w:t>
                    </w:r>
                    <w:r>
                      <w:rPr>
                        <w:rFonts w:ascii="Arial"/>
                        <w:color w:val="BFE1F2"/>
                        <w:sz w:val="11"/>
                      </w:rPr>
                      <w:t>f</w:t>
                    </w:r>
                    <w:r>
                      <w:rPr>
                        <w:rFonts w:ascii="Arial"/>
                        <w:color w:val="BFE1F2"/>
                        <w:spacing w:val="40"/>
                        <w:sz w:val="11"/>
                      </w:rPr>
                      <w:t> </w:t>
                    </w:r>
                    <w:r>
                      <w:rPr>
                        <w:rFonts w:ascii="Arial"/>
                        <w:color w:val="A0D1EB"/>
                        <w:sz w:val="11"/>
                      </w:rPr>
                      <w:t>nsk appeti</w:t>
                    </w:r>
                    <w:r>
                      <w:rPr>
                        <w:rFonts w:ascii="Arial"/>
                        <w:color w:val="BFE1F2"/>
                        <w:sz w:val="11"/>
                      </w:rPr>
                      <w:t>t</w:t>
                    </w:r>
                    <w:r>
                      <w:rPr>
                        <w:rFonts w:ascii="Arial"/>
                        <w:color w:val="A0D1EB"/>
                        <w:sz w:val="11"/>
                      </w:rPr>
                      <w:t>e because contro</w:t>
                    </w:r>
                    <w:r>
                      <w:rPr>
                        <w:rFonts w:ascii="Arial"/>
                        <w:color w:val="BFE1F2"/>
                        <w:sz w:val="11"/>
                      </w:rPr>
                      <w:t>l</w:t>
                    </w:r>
                    <w:r>
                      <w:rPr>
                        <w:rFonts w:ascii="Arial"/>
                        <w:color w:val="A0D1EB"/>
                        <w:sz w:val="11"/>
                      </w:rPr>
                      <w:t>s,</w:t>
                    </w:r>
                  </w:p>
                </w:txbxContent>
              </v:textbox>
              <w10:wrap type="none"/>
            </v:shape>
            <v:shape style="position:absolute;left:12418;top:652;width:1724;height:189" type="#_x0000_t202" id="docshape468" filled="true" fillcolor="#0189cf" stroked="false">
              <v:textbox inset="0,0,0,0">
                <w:txbxContent>
                  <w:p>
                    <w:pPr>
                      <w:spacing w:line="34" w:lineRule="exact" w:before="0"/>
                      <w:ind w:left="0" w:right="0" w:firstLine="0"/>
                      <w:jc w:val="left"/>
                      <w:rPr>
                        <w:rFonts w:ascii="Arial"/>
                        <w:color w:val="000000"/>
                        <w:sz w:val="11"/>
                      </w:rPr>
                    </w:pPr>
                    <w:r>
                      <w:rPr>
                        <w:rFonts w:ascii="Times New Roman"/>
                        <w:color w:val="A0D1EB"/>
                        <w:spacing w:val="-2"/>
                        <w:sz w:val="13"/>
                      </w:rPr>
                      <w:t>forward</w:t>
                    </w:r>
                    <w:r>
                      <w:rPr>
                        <w:rFonts w:ascii="Times New Roman"/>
                        <w:color w:val="A0D1EB"/>
                        <w:spacing w:val="5"/>
                        <w:sz w:val="13"/>
                      </w:rPr>
                      <w:t> </w:t>
                    </w:r>
                    <w:r>
                      <w:rPr>
                        <w:rFonts w:ascii="Times New Roman"/>
                        <w:color w:val="A0D1EB"/>
                        <w:spacing w:val="-2"/>
                        <w:sz w:val="13"/>
                      </w:rPr>
                      <w:t>scanning</w:t>
                    </w:r>
                    <w:r>
                      <w:rPr>
                        <w:rFonts w:ascii="Times New Roman"/>
                        <w:color w:val="A0D1EB"/>
                        <w:spacing w:val="3"/>
                        <w:sz w:val="13"/>
                      </w:rPr>
                      <w:t> </w:t>
                    </w:r>
                    <w:r>
                      <w:rPr>
                        <w:rFonts w:ascii="Times New Roman"/>
                        <w:color w:val="A0D1EB"/>
                        <w:spacing w:val="-2"/>
                        <w:sz w:val="13"/>
                      </w:rPr>
                      <w:t>and</w:t>
                    </w:r>
                    <w:r>
                      <w:rPr>
                        <w:rFonts w:ascii="Times New Roman"/>
                        <w:color w:val="A0D1EB"/>
                        <w:sz w:val="13"/>
                      </w:rPr>
                      <w:t> </w:t>
                    </w:r>
                    <w:r>
                      <w:rPr>
                        <w:rFonts w:ascii="Arial"/>
                        <w:color w:val="A0D1EB"/>
                        <w:spacing w:val="-2"/>
                        <w:sz w:val="11"/>
                      </w:rPr>
                      <w:t>resp:wis1ve</w:t>
                    </w:r>
                  </w:p>
                  <w:p>
                    <w:pPr>
                      <w:spacing w:line="142" w:lineRule="exact" w:before="0"/>
                      <w:ind w:left="2" w:right="0" w:firstLine="0"/>
                      <w:jc w:val="left"/>
                      <w:rPr>
                        <w:rFonts w:ascii="Times New Roman"/>
                        <w:color w:val="000000"/>
                        <w:sz w:val="14"/>
                      </w:rPr>
                    </w:pPr>
                    <w:r>
                      <w:rPr>
                        <w:rFonts w:ascii="Times New Roman"/>
                        <w:color w:val="A0D1EB"/>
                        <w:spacing w:val="-4"/>
                        <w:sz w:val="14"/>
                      </w:rPr>
                      <w:t>systems</w:t>
                    </w:r>
                    <w:r>
                      <w:rPr>
                        <w:rFonts w:ascii="Times New Roman"/>
                        <w:color w:val="A0D1EB"/>
                        <w:spacing w:val="-14"/>
                        <w:sz w:val="14"/>
                      </w:rPr>
                      <w:t> </w:t>
                    </w:r>
                    <w:r>
                      <w:rPr>
                        <w:rFonts w:ascii="Times New Roman"/>
                        <w:color w:val="A0D1EB"/>
                        <w:spacing w:val="-4"/>
                        <w:sz w:val="14"/>
                      </w:rPr>
                      <w:t>are</w:t>
                    </w:r>
                    <w:r>
                      <w:rPr>
                        <w:rFonts w:ascii="Times New Roman"/>
                        <w:color w:val="A0D1EB"/>
                        <w:spacing w:val="-5"/>
                        <w:sz w:val="14"/>
                      </w:rPr>
                      <w:t> </w:t>
                    </w:r>
                    <w:r>
                      <w:rPr>
                        <w:rFonts w:ascii="Times New Roman"/>
                        <w:color w:val="A0D1EB"/>
                        <w:spacing w:val="-4"/>
                        <w:sz w:val="14"/>
                      </w:rPr>
                      <w:t>robust</w:t>
                    </w:r>
                  </w:p>
                </w:txbxContent>
              </v:textbox>
              <v:fill type="solid"/>
              <w10:wrap type="none"/>
            </v:shape>
            <w10:wrap type="none"/>
          </v:group>
        </w:pict>
      </w:r>
      <w:r>
        <w:rPr>
          <w:rFonts w:ascii="Times New Roman"/>
          <w:color w:val="F4F6F9"/>
          <w:w w:val="105"/>
          <w:sz w:val="18"/>
          <w:shd w:fill="0C4695" w:color="auto" w:val="clear"/>
        </w:rPr>
        <w:t>5</w:t>
      </w:r>
      <w:r>
        <w:rPr>
          <w:rFonts w:ascii="Times New Roman"/>
          <w:color w:val="F4F6F9"/>
          <w:spacing w:val="95"/>
          <w:w w:val="150"/>
          <w:sz w:val="18"/>
        </w:rPr>
        <w:t> </w:t>
      </w:r>
      <w:r>
        <w:rPr>
          <w:rFonts w:ascii="Arial"/>
          <w:b/>
          <w:color w:val="F4F6F9"/>
          <w:spacing w:val="-2"/>
          <w:w w:val="105"/>
          <w:sz w:val="15"/>
          <w:shd w:fill="0189CF" w:color="auto" w:val="clear"/>
        </w:rPr>
        <w:t>SIGNIFICANT</w:t>
      </w:r>
    </w:p>
    <w:p>
      <w:pPr>
        <w:spacing w:after="0"/>
        <w:jc w:val="left"/>
        <w:rPr>
          <w:rFonts w:ascii="Arial"/>
          <w:sz w:val="15"/>
        </w:rPr>
        <w:sectPr>
          <w:type w:val="continuous"/>
          <w:pgSz w:w="15840" w:h="12240" w:orient="landscape"/>
          <w:pgMar w:header="0" w:footer="173" w:top="740" w:bottom="280" w:left="720" w:right="0"/>
          <w:cols w:num="6" w:equalWidth="0">
            <w:col w:w="1615" w:space="79"/>
            <w:col w:w="924" w:space="871"/>
            <w:col w:w="3391" w:space="826"/>
            <w:col w:w="864" w:space="1141"/>
            <w:col w:w="801" w:space="1191"/>
            <w:col w:w="3417"/>
          </w:cols>
        </w:sectPr>
      </w:pPr>
    </w:p>
    <w:p>
      <w:pPr>
        <w:pStyle w:val="BodyText"/>
        <w:spacing w:before="10"/>
        <w:rPr>
          <w:rFonts w:ascii="Arial"/>
          <w:b/>
          <w:sz w:val="5"/>
        </w:rPr>
      </w:pPr>
    </w:p>
    <w:p>
      <w:pPr>
        <w:tabs>
          <w:tab w:pos="7715" w:val="left" w:leader="none"/>
        </w:tabs>
        <w:spacing w:line="240" w:lineRule="auto"/>
        <w:ind w:left="1732" w:right="0" w:firstLine="0"/>
        <w:rPr>
          <w:rFonts w:ascii="Arial"/>
          <w:sz w:val="20"/>
        </w:rPr>
      </w:pPr>
      <w:r>
        <w:rPr>
          <w:rFonts w:ascii="Arial"/>
          <w:position w:val="4"/>
          <w:sz w:val="20"/>
        </w:rPr>
        <w:pict>
          <v:shape style="width:63.75pt;height:13.8pt;mso-position-horizontal-relative:char;mso-position-vertical-relative:line" type="#_x0000_t202" id="docshape469" filled="true" fillcolor="#0189cf" stroked="false">
            <w10:anchorlock/>
            <v:textbox inset="0,0,0,0">
              <w:txbxContent>
                <w:p>
                  <w:pPr>
                    <w:spacing w:before="11"/>
                    <w:ind w:left="-1" w:right="-15" w:firstLine="3"/>
                    <w:jc w:val="left"/>
                    <w:rPr>
                      <w:rFonts w:ascii="Arial"/>
                      <w:color w:val="000000"/>
                      <w:sz w:val="11"/>
                    </w:rPr>
                  </w:pPr>
                  <w:r>
                    <w:rPr>
                      <w:rFonts w:ascii="Arial"/>
                      <w:color w:val="A0D1EB"/>
                      <w:sz w:val="11"/>
                    </w:rPr>
                    <w:t>Avoidance</w:t>
                  </w:r>
                  <w:r>
                    <w:rPr>
                      <w:rFonts w:ascii="Arial"/>
                      <w:color w:val="A0D1EB"/>
                      <w:spacing w:val="-6"/>
                      <w:sz w:val="11"/>
                    </w:rPr>
                    <w:t> </w:t>
                  </w:r>
                  <w:r>
                    <w:rPr>
                      <w:rFonts w:ascii="Arial"/>
                      <w:color w:val="A0D1EB"/>
                      <w:sz w:val="11"/>
                    </w:rPr>
                    <w:t>o</w:t>
                  </w:r>
                  <w:r>
                    <w:rPr>
                      <w:rFonts w:ascii="Arial"/>
                      <w:color w:val="BFE1F2"/>
                      <w:sz w:val="11"/>
                    </w:rPr>
                    <w:t>f</w:t>
                  </w:r>
                  <w:r>
                    <w:rPr>
                      <w:rFonts w:ascii="Arial"/>
                      <w:color w:val="BFE1F2"/>
                      <w:spacing w:val="-6"/>
                      <w:sz w:val="11"/>
                    </w:rPr>
                    <w:t> </w:t>
                  </w:r>
                  <w:r>
                    <w:rPr>
                      <w:rFonts w:ascii="Arial"/>
                      <w:color w:val="A0D1EB"/>
                      <w:sz w:val="11"/>
                    </w:rPr>
                    <w:t>risk</w:t>
                  </w:r>
                  <w:r>
                    <w:rPr>
                      <w:rFonts w:ascii="Arial"/>
                      <w:color w:val="A0D1EB"/>
                      <w:spacing w:val="-8"/>
                      <w:sz w:val="11"/>
                    </w:rPr>
                    <w:t> </w:t>
                  </w:r>
                  <w:r>
                    <w:rPr>
                      <w:rFonts w:ascii="Arial"/>
                      <w:color w:val="A0D1EB"/>
                      <w:sz w:val="11"/>
                    </w:rPr>
                    <w:t>1s</w:t>
                  </w:r>
                  <w:r>
                    <w:rPr>
                      <w:rFonts w:ascii="Arial"/>
                      <w:color w:val="A0D1EB"/>
                      <w:spacing w:val="-3"/>
                      <w:sz w:val="11"/>
                    </w:rPr>
                    <w:t> </w:t>
                  </w:r>
                  <w:r>
                    <w:rPr>
                      <w:rFonts w:ascii="Arial"/>
                      <w:color w:val="A0D1EB"/>
                      <w:sz w:val="11"/>
                    </w:rPr>
                    <w:t>a</w:t>
                  </w:r>
                  <w:r>
                    <w:rPr>
                      <w:rFonts w:ascii="Arial"/>
                      <w:color w:val="A0D1EB"/>
                      <w:spacing w:val="-8"/>
                      <w:sz w:val="11"/>
                    </w:rPr>
                    <w:t> </w:t>
                  </w:r>
                  <w:r>
                    <w:rPr>
                      <w:rFonts w:ascii="Arial"/>
                      <w:color w:val="A0D1EB"/>
                      <w:sz w:val="11"/>
                    </w:rPr>
                    <w:t>key</w:t>
                  </w:r>
                  <w:r>
                    <w:rPr>
                      <w:rFonts w:ascii="Arial"/>
                      <w:color w:val="A0D1EB"/>
                      <w:spacing w:val="40"/>
                      <w:sz w:val="11"/>
                    </w:rPr>
                    <w:t> </w:t>
                  </w:r>
                  <w:r>
                    <w:rPr>
                      <w:rFonts w:ascii="Arial"/>
                      <w:color w:val="A0D1EB"/>
                      <w:sz w:val="11"/>
                    </w:rPr>
                    <w:t>organ1sat1onal</w:t>
                  </w:r>
                  <w:r>
                    <w:rPr>
                      <w:rFonts w:ascii="Arial"/>
                      <w:color w:val="A0D1EB"/>
                      <w:spacing w:val="-8"/>
                      <w:sz w:val="11"/>
                    </w:rPr>
                    <w:t> </w:t>
                  </w:r>
                  <w:r>
                    <w:rPr>
                      <w:rFonts w:ascii="Arial"/>
                      <w:color w:val="A0D1EB"/>
                      <w:spacing w:val="-2"/>
                      <w:sz w:val="11"/>
                    </w:rPr>
                    <w:t>object1Ve</w:t>
                  </w:r>
                </w:p>
              </w:txbxContent>
            </v:textbox>
            <v:fill type="solid"/>
          </v:shape>
        </w:pict>
      </w:r>
      <w:r>
        <w:rPr>
          <w:rFonts w:ascii="Arial"/>
          <w:position w:val="4"/>
          <w:sz w:val="20"/>
        </w:rPr>
      </w:r>
      <w:r>
        <w:rPr>
          <w:rFonts w:ascii="Arial"/>
          <w:position w:val="4"/>
          <w:sz w:val="20"/>
        </w:rPr>
        <w:tab/>
      </w:r>
      <w:r>
        <w:rPr>
          <w:rFonts w:ascii="Arial"/>
          <w:sz w:val="20"/>
        </w:rPr>
        <w:pict>
          <v:group style="width:86.95pt;height:13.8pt;mso-position-horizontal-relative:char;mso-position-vertical-relative:line" id="docshapegroup470" coordorigin="0,0" coordsize="1739,276">
            <v:shape style="position:absolute;left:845;top:125;width:893;height:151" type="#_x0000_t202" id="docshape471" filled="true" fillcolor="#0189cf" stroked="false">
              <v:textbox inset="0,0,0,0">
                <w:txbxContent>
                  <w:p>
                    <w:pPr>
                      <w:spacing w:before="11"/>
                      <w:ind w:left="0" w:right="-15" w:firstLine="0"/>
                      <w:jc w:val="left"/>
                      <w:rPr>
                        <w:rFonts w:ascii="Arial"/>
                        <w:color w:val="000000"/>
                        <w:sz w:val="11"/>
                      </w:rPr>
                    </w:pPr>
                    <w:r>
                      <w:rPr>
                        <w:rFonts w:ascii="Arial"/>
                        <w:color w:val="A0D1EB"/>
                        <w:w w:val="105"/>
                        <w:sz w:val="11"/>
                      </w:rPr>
                      <w:t>and</w:t>
                    </w:r>
                    <w:r>
                      <w:rPr>
                        <w:rFonts w:ascii="Arial"/>
                        <w:color w:val="A0D1EB"/>
                        <w:spacing w:val="-10"/>
                        <w:w w:val="105"/>
                        <w:sz w:val="11"/>
                      </w:rPr>
                      <w:t> </w:t>
                    </w:r>
                    <w:r>
                      <w:rPr>
                        <w:rFonts w:ascii="Arial"/>
                        <w:color w:val="A0D1EB"/>
                        <w:w w:val="105"/>
                        <w:sz w:val="11"/>
                      </w:rPr>
                      <w:t>choose</w:t>
                    </w:r>
                    <w:r>
                      <w:rPr>
                        <w:rFonts w:ascii="Arial"/>
                        <w:color w:val="A0D1EB"/>
                        <w:spacing w:val="-5"/>
                        <w:w w:val="105"/>
                        <w:sz w:val="11"/>
                      </w:rPr>
                      <w:t> </w:t>
                    </w:r>
                    <w:r>
                      <w:rPr>
                        <w:rFonts w:ascii="Arial"/>
                        <w:color w:val="A0D1EB"/>
                        <w:spacing w:val="-2"/>
                        <w:w w:val="105"/>
                        <w:sz w:val="11"/>
                      </w:rPr>
                      <w:t>while</w:t>
                    </w:r>
                  </w:p>
                </w:txbxContent>
              </v:textbox>
              <v:fill type="solid"/>
              <w10:wrap type="none"/>
            </v:shape>
            <v:shape style="position:absolute;left:0;top:0;width:1568;height:125" type="#_x0000_t202" id="docshape472" filled="true" fillcolor="#0189cf" stroked="false">
              <v:textbox inset="0,0,0,0">
                <w:txbxContent>
                  <w:p>
                    <w:pPr>
                      <w:spacing w:line="114" w:lineRule="exact" w:before="11"/>
                      <w:ind w:left="-7" w:right="-29" w:firstLine="0"/>
                      <w:jc w:val="left"/>
                      <w:rPr>
                        <w:rFonts w:ascii="Arial"/>
                        <w:color w:val="000000"/>
                        <w:sz w:val="11"/>
                      </w:rPr>
                    </w:pPr>
                    <w:r>
                      <w:rPr>
                        <w:rFonts w:ascii="Arial"/>
                        <w:color w:val="A0D1EB"/>
                        <w:sz w:val="11"/>
                      </w:rPr>
                      <w:t>'Mll1ng</w:t>
                    </w:r>
                    <w:r>
                      <w:rPr>
                        <w:rFonts w:ascii="Arial"/>
                        <w:color w:val="A0D1EB"/>
                        <w:spacing w:val="1"/>
                        <w:sz w:val="11"/>
                      </w:rPr>
                      <w:t> </w:t>
                    </w:r>
                    <w:r>
                      <w:rPr>
                        <w:rFonts w:ascii="Arial"/>
                        <w:color w:val="A0D1EB"/>
                        <w:sz w:val="11"/>
                      </w:rPr>
                      <w:t>to</w:t>
                    </w:r>
                    <w:r>
                      <w:rPr>
                        <w:rFonts w:ascii="Arial"/>
                        <w:color w:val="A0D1EB"/>
                        <w:spacing w:val="18"/>
                        <w:sz w:val="11"/>
                      </w:rPr>
                      <w:t> </w:t>
                    </w:r>
                    <w:r>
                      <w:rPr>
                        <w:rFonts w:ascii="Arial"/>
                        <w:color w:val="A0D1EB"/>
                        <w:sz w:val="11"/>
                      </w:rPr>
                      <w:t>consider</w:t>
                    </w:r>
                    <w:r>
                      <w:rPr>
                        <w:rFonts w:ascii="Arial"/>
                        <w:color w:val="A0D1EB"/>
                        <w:spacing w:val="9"/>
                        <w:sz w:val="11"/>
                      </w:rPr>
                      <w:t> </w:t>
                    </w:r>
                    <w:r>
                      <w:rPr>
                        <w:rFonts w:ascii="Arial"/>
                        <w:color w:val="A0D1EB"/>
                        <w:sz w:val="11"/>
                      </w:rPr>
                      <w:t>all</w:t>
                    </w:r>
                    <w:r>
                      <w:rPr>
                        <w:rFonts w:ascii="Arial"/>
                        <w:color w:val="A0D1EB"/>
                        <w:spacing w:val="-8"/>
                        <w:sz w:val="11"/>
                      </w:rPr>
                      <w:t> </w:t>
                    </w:r>
                    <w:r>
                      <w:rPr>
                        <w:rFonts w:ascii="Arial"/>
                        <w:color w:val="A0D1EB"/>
                        <w:spacing w:val="-2"/>
                        <w:sz w:val="11"/>
                      </w:rPr>
                      <w:t>potent"I</w:t>
                    </w:r>
                  </w:p>
                </w:txbxContent>
              </v:textbox>
              <v:fill type="solid"/>
              <w10:wrap type="none"/>
            </v:shape>
            <v:shape style="position:absolute;left:0;top:125;width:813;height:151" type="#_x0000_t202" id="docshape473" filled="true" fillcolor="#0189cf" stroked="false">
              <v:textbox inset="0,0,0,0">
                <w:txbxContent>
                  <w:p>
                    <w:pPr>
                      <w:spacing w:before="11"/>
                      <w:ind w:left="0" w:right="-29" w:firstLine="0"/>
                      <w:jc w:val="left"/>
                      <w:rPr>
                        <w:rFonts w:ascii="Arial"/>
                        <w:color w:val="000000"/>
                        <w:sz w:val="11"/>
                      </w:rPr>
                    </w:pPr>
                    <w:r>
                      <w:rPr>
                        <w:rFonts w:ascii="Arial"/>
                        <w:color w:val="A0D1EB"/>
                        <w:spacing w:val="-2"/>
                        <w:w w:val="110"/>
                        <w:sz w:val="11"/>
                      </w:rPr>
                      <w:t>dehveryopt1ors</w:t>
                    </w:r>
                  </w:p>
                </w:txbxContent>
              </v:textbox>
              <v:fill type="solid"/>
              <w10:wrap type="none"/>
            </v:shape>
          </v:group>
        </w:pict>
      </w:r>
      <w:r>
        <w:rPr>
          <w:rFonts w:ascii="Arial"/>
          <w:sz w:val="20"/>
        </w:rPr>
      </w:r>
    </w:p>
    <w:p>
      <w:pPr>
        <w:spacing w:after="0" w:line="240" w:lineRule="auto"/>
        <w:rPr>
          <w:rFonts w:ascii="Arial"/>
          <w:sz w:val="20"/>
        </w:rPr>
        <w:sectPr>
          <w:type w:val="continuous"/>
          <w:pgSz w:w="15840" w:h="12240" w:orient="landscape"/>
          <w:pgMar w:header="0" w:footer="173" w:top="740" w:bottom="280" w:left="720" w:right="0"/>
        </w:sectPr>
      </w:pPr>
    </w:p>
    <w:p>
      <w:pPr>
        <w:spacing w:line="188" w:lineRule="exact" w:before="0"/>
        <w:ind w:left="117" w:right="0" w:firstLine="0"/>
        <w:jc w:val="left"/>
        <w:rPr>
          <w:rFonts w:ascii="Times New Roman"/>
          <w:b/>
          <w:sz w:val="25"/>
        </w:rPr>
      </w:pPr>
      <w:r>
        <w:rPr/>
        <w:pict>
          <v:shape style="position:absolute;margin-left:44.606003pt;margin-top:4.557622pt;width:57.25pt;height:35.550pt;mso-position-horizontal-relative:page;mso-position-vertical-relative:paragraph;z-index:-24090624" id="docshape474" coordorigin="892,91" coordsize="1145,711" path="m2037,91l1897,91,1897,610,892,610,892,802,1913,802,1913,774,2037,774,2037,91xe" filled="true" fillcolor="#0c4695" stroked="false">
            <v:path arrowok="t"/>
            <v:fill type="solid"/>
            <w10:wrap type="none"/>
          </v:shape>
        </w:pict>
      </w:r>
      <w:r>
        <w:rPr>
          <w:rFonts w:ascii="Arial"/>
          <w:color w:val="939595"/>
          <w:sz w:val="11"/>
        </w:rPr>
        <w:t>R</w:t>
      </w:r>
      <w:r>
        <w:rPr>
          <w:rFonts w:ascii="Arial"/>
          <w:color w:val="646767"/>
          <w:sz w:val="11"/>
        </w:rPr>
        <w:t>I</w:t>
      </w:r>
      <w:r>
        <w:rPr>
          <w:rFonts w:ascii="Arial"/>
          <w:color w:val="939595"/>
          <w:sz w:val="11"/>
        </w:rPr>
        <w:t>SK</w:t>
      </w:r>
      <w:r>
        <w:rPr>
          <w:rFonts w:ascii="Arial"/>
          <w:color w:val="939595"/>
          <w:spacing w:val="-4"/>
          <w:sz w:val="11"/>
        </w:rPr>
        <w:t> </w:t>
      </w:r>
      <w:r>
        <w:rPr>
          <w:rFonts w:ascii="Arial"/>
          <w:color w:val="939595"/>
          <w:sz w:val="11"/>
        </w:rPr>
        <w:t>TYPES</w:t>
      </w:r>
      <w:r>
        <w:rPr>
          <w:rFonts w:ascii="Arial"/>
          <w:color w:val="939595"/>
          <w:spacing w:val="29"/>
          <w:sz w:val="11"/>
        </w:rPr>
        <w:t> </w:t>
      </w:r>
      <w:r>
        <w:rPr>
          <w:rFonts w:ascii="Times New Roman"/>
          <w:b/>
          <w:color w:val="0A4695"/>
          <w:spacing w:val="-10"/>
          <w:sz w:val="25"/>
        </w:rPr>
        <w:t>T</w:t>
      </w:r>
    </w:p>
    <w:p>
      <w:pPr>
        <w:spacing w:line="530" w:lineRule="exact" w:before="0"/>
        <w:ind w:left="1177" w:right="0" w:firstLine="0"/>
        <w:jc w:val="left"/>
        <w:rPr>
          <w:rFonts w:ascii="Arial" w:hAnsi="Arial"/>
          <w:sz w:val="50"/>
        </w:rPr>
      </w:pPr>
      <w:r>
        <w:rPr/>
        <w:pict>
          <v:group style="position:absolute;margin-left:44.606998pt;margin-top:14.422297pt;width:57.25pt;height:14.9pt;mso-position-horizontal-relative:page;mso-position-vertical-relative:paragraph;z-index:-24086016" id="docshapegroup475" coordorigin="892,288" coordsize="1145,298">
            <v:shape style="position:absolute;left:892;top:444;width:1145;height:143" type="#_x0000_t202" id="docshape476" filled="false" stroked="false">
              <v:textbox inset="0,0,0,0">
                <w:txbxContent>
                  <w:p>
                    <w:pPr>
                      <w:spacing w:line="142" w:lineRule="exact" w:before="0"/>
                      <w:ind w:left="0" w:right="0" w:firstLine="0"/>
                      <w:jc w:val="left"/>
                      <w:rPr>
                        <w:rFonts w:ascii="Arial"/>
                        <w:sz w:val="14"/>
                      </w:rPr>
                    </w:pPr>
                    <w:r>
                      <w:rPr>
                        <w:rFonts w:ascii="Arial"/>
                        <w:color w:val="F4F6F9"/>
                        <w:w w:val="105"/>
                        <w:sz w:val="14"/>
                      </w:rPr>
                      <w:t>How</w:t>
                    </w:r>
                    <w:r>
                      <w:rPr>
                        <w:rFonts w:ascii="Arial"/>
                        <w:color w:val="F4F6F9"/>
                        <w:spacing w:val="-2"/>
                        <w:w w:val="105"/>
                        <w:sz w:val="14"/>
                      </w:rPr>
                      <w:t> </w:t>
                    </w:r>
                    <w:r>
                      <w:rPr>
                        <w:rFonts w:ascii="Arial"/>
                        <w:color w:val="F4F6F9"/>
                        <w:w w:val="105"/>
                        <w:sz w:val="14"/>
                      </w:rPr>
                      <w:t>will</w:t>
                    </w:r>
                    <w:r>
                      <w:rPr>
                        <w:rFonts w:ascii="Arial"/>
                        <w:color w:val="F4F6F9"/>
                        <w:spacing w:val="4"/>
                        <w:w w:val="105"/>
                        <w:sz w:val="14"/>
                      </w:rPr>
                      <w:t> </w:t>
                    </w:r>
                    <w:r>
                      <w:rPr>
                        <w:rFonts w:ascii="Arial"/>
                        <w:color w:val="F4F6F9"/>
                        <w:w w:val="105"/>
                        <w:sz w:val="14"/>
                      </w:rPr>
                      <w:t>we</w:t>
                    </w:r>
                    <w:r>
                      <w:rPr>
                        <w:rFonts w:ascii="Arial"/>
                        <w:color w:val="F4F6F9"/>
                        <w:spacing w:val="-5"/>
                        <w:w w:val="105"/>
                        <w:sz w:val="14"/>
                      </w:rPr>
                      <w:t> use</w:t>
                    </w:r>
                  </w:p>
                </w:txbxContent>
              </v:textbox>
              <w10:wrap type="none"/>
            </v:shape>
            <v:shape style="position:absolute;left:892;top:288;width:722;height:156" type="#_x0000_t202" id="docshape477" filled="true" fillcolor="#0c4695" stroked="false">
              <v:textbox inset="0,0,0,0">
                <w:txbxContent>
                  <w:p>
                    <w:pPr>
                      <w:spacing w:line="142" w:lineRule="exact" w:before="13"/>
                      <w:ind w:left="0" w:right="-15" w:firstLine="0"/>
                      <w:jc w:val="left"/>
                      <w:rPr>
                        <w:rFonts w:ascii="Arial"/>
                        <w:color w:val="000000"/>
                        <w:sz w:val="13"/>
                      </w:rPr>
                    </w:pPr>
                    <w:r>
                      <w:rPr>
                        <w:rFonts w:ascii="Arial"/>
                        <w:color w:val="F4F6F9"/>
                        <w:spacing w:val="-2"/>
                        <w:w w:val="105"/>
                        <w:sz w:val="13"/>
                      </w:rPr>
                      <w:t>FINANCIAL</w:t>
                    </w:r>
                  </w:p>
                </w:txbxContent>
              </v:textbox>
              <v:fill type="solid"/>
              <w10:wrap type="none"/>
            </v:shape>
            <w10:wrap type="none"/>
          </v:group>
        </w:pict>
      </w:r>
      <w:r>
        <w:rPr>
          <w:rFonts w:ascii="Arial" w:hAnsi="Arial"/>
          <w:color w:val="F4F6F9"/>
          <w:w w:val="41"/>
          <w:sz w:val="50"/>
        </w:rPr>
        <w:t>►</w:t>
      </w:r>
    </w:p>
    <w:p>
      <w:pPr>
        <w:spacing w:before="70"/>
        <w:ind w:left="174" w:right="0" w:firstLine="0"/>
        <w:jc w:val="left"/>
        <w:rPr>
          <w:rFonts w:ascii="Arial"/>
          <w:sz w:val="14"/>
        </w:rPr>
      </w:pPr>
      <w:r>
        <w:rPr>
          <w:rFonts w:ascii="Arial"/>
          <w:color w:val="F4F6F9"/>
          <w:sz w:val="14"/>
          <w:shd w:fill="0C4695" w:color="auto" w:val="clear"/>
        </w:rPr>
        <w:t>our</w:t>
      </w:r>
      <w:r>
        <w:rPr>
          <w:rFonts w:ascii="Arial"/>
          <w:color w:val="F4F6F9"/>
          <w:spacing w:val="18"/>
          <w:sz w:val="14"/>
          <w:shd w:fill="0C4695" w:color="auto" w:val="clear"/>
        </w:rPr>
        <w:t> </w:t>
      </w:r>
      <w:r>
        <w:rPr>
          <w:rFonts w:ascii="Arial"/>
          <w:color w:val="F4F6F9"/>
          <w:spacing w:val="-2"/>
          <w:sz w:val="14"/>
          <w:shd w:fill="0C4695" w:color="auto" w:val="clear"/>
        </w:rPr>
        <w:t>resources?</w:t>
      </w:r>
    </w:p>
    <w:p>
      <w:pPr>
        <w:pStyle w:val="BodyText"/>
        <w:rPr>
          <w:rFonts w:ascii="Arial"/>
          <w:sz w:val="16"/>
        </w:rPr>
      </w:pPr>
    </w:p>
    <w:p>
      <w:pPr>
        <w:pStyle w:val="BodyText"/>
        <w:spacing w:before="10"/>
        <w:rPr>
          <w:rFonts w:ascii="Arial"/>
          <w:sz w:val="15"/>
        </w:rPr>
      </w:pPr>
    </w:p>
    <w:p>
      <w:pPr>
        <w:spacing w:before="0"/>
        <w:ind w:left="1177" w:right="0" w:firstLine="0"/>
        <w:jc w:val="left"/>
        <w:rPr>
          <w:rFonts w:ascii="Arial" w:hAnsi="Arial"/>
          <w:sz w:val="50"/>
        </w:rPr>
      </w:pPr>
      <w:r>
        <w:rPr/>
        <w:pict>
          <v:group style="position:absolute;margin-left:44.606998pt;margin-top:16.682165pt;width:54.45pt;height:23.95pt;mso-position-horizontal-relative:page;mso-position-vertical-relative:paragraph;z-index:-24090112" id="docshapegroup478" coordorigin="892,334" coordsize="1089,479">
            <v:rect style="position:absolute;left:892;top:467;width:969;height:192" id="docshape479" filled="true" fillcolor="#0c4695" stroked="false">
              <v:fill type="solid"/>
            </v:rect>
            <v:shape style="position:absolute;left:894;top:658;width:1086;height:154" type="#_x0000_t202" id="docshape480" filled="true" fillcolor="#0c4695" stroked="false">
              <v:textbox inset="0,0,0,0">
                <w:txbxContent>
                  <w:p>
                    <w:pPr>
                      <w:spacing w:line="138" w:lineRule="exact" w:before="0"/>
                      <w:ind w:left="-5" w:right="-15" w:firstLine="0"/>
                      <w:jc w:val="left"/>
                      <w:rPr>
                        <w:rFonts w:ascii="Arial"/>
                        <w:color w:val="000000"/>
                        <w:sz w:val="14"/>
                      </w:rPr>
                    </w:pPr>
                    <w:r>
                      <w:rPr>
                        <w:rFonts w:ascii="Arial"/>
                        <w:color w:val="F4F6F9"/>
                        <w:w w:val="105"/>
                        <w:sz w:val="14"/>
                      </w:rPr>
                      <w:t>perceived</w:t>
                    </w:r>
                    <w:r>
                      <w:rPr>
                        <w:rFonts w:ascii="Arial"/>
                        <w:color w:val="F4F6F9"/>
                        <w:spacing w:val="-3"/>
                        <w:w w:val="105"/>
                        <w:sz w:val="14"/>
                      </w:rPr>
                      <w:t> </w:t>
                    </w:r>
                    <w:r>
                      <w:rPr>
                        <w:rFonts w:ascii="Arial"/>
                        <w:color w:val="F4F6F9"/>
                        <w:w w:val="105"/>
                        <w:sz w:val="14"/>
                      </w:rPr>
                      <w:t>by</w:t>
                    </w:r>
                    <w:r>
                      <w:rPr>
                        <w:rFonts w:ascii="Arial"/>
                        <w:color w:val="F4F6F9"/>
                        <w:spacing w:val="-4"/>
                        <w:w w:val="105"/>
                        <w:sz w:val="14"/>
                      </w:rPr>
                      <w:t> </w:t>
                    </w:r>
                    <w:r>
                      <w:rPr>
                        <w:rFonts w:ascii="Arial"/>
                        <w:color w:val="F4F6F9"/>
                        <w:spacing w:val="-5"/>
                        <w:w w:val="105"/>
                        <w:sz w:val="14"/>
                      </w:rPr>
                      <w:t>our</w:t>
                    </w:r>
                  </w:p>
                </w:txbxContent>
              </v:textbox>
              <v:fill type="solid"/>
              <w10:wrap type="none"/>
            </v:shape>
            <v:shape style="position:absolute;left:894;top:489;width:966;height:170" type="#_x0000_t202" id="docshape481" filled="false" stroked="false">
              <v:textbox inset="0,0,0,0">
                <w:txbxContent>
                  <w:p>
                    <w:pPr>
                      <w:spacing w:line="154" w:lineRule="exact" w:before="0"/>
                      <w:ind w:left="-3" w:right="-15" w:firstLine="0"/>
                      <w:jc w:val="left"/>
                      <w:rPr>
                        <w:rFonts w:ascii="Arial"/>
                        <w:sz w:val="14"/>
                      </w:rPr>
                    </w:pPr>
                    <w:r>
                      <w:rPr>
                        <w:rFonts w:ascii="Arial"/>
                        <w:color w:val="F4F6F9"/>
                        <w:w w:val="105"/>
                        <w:sz w:val="14"/>
                      </w:rPr>
                      <w:t>How</w:t>
                    </w:r>
                    <w:r>
                      <w:rPr>
                        <w:rFonts w:ascii="Arial"/>
                        <w:color w:val="F4F6F9"/>
                        <w:spacing w:val="-2"/>
                        <w:w w:val="105"/>
                        <w:sz w:val="14"/>
                      </w:rPr>
                      <w:t> </w:t>
                    </w:r>
                    <w:r>
                      <w:rPr>
                        <w:rFonts w:ascii="Arial"/>
                        <w:color w:val="F4F6F9"/>
                        <w:w w:val="105"/>
                        <w:sz w:val="14"/>
                      </w:rPr>
                      <w:t>will</w:t>
                    </w:r>
                    <w:r>
                      <w:rPr>
                        <w:rFonts w:ascii="Arial"/>
                        <w:color w:val="F4F6F9"/>
                        <w:spacing w:val="4"/>
                        <w:w w:val="105"/>
                        <w:sz w:val="14"/>
                      </w:rPr>
                      <w:t> </w:t>
                    </w:r>
                    <w:r>
                      <w:rPr>
                        <w:rFonts w:ascii="Arial"/>
                        <w:color w:val="F4F6F9"/>
                        <w:w w:val="105"/>
                        <w:sz w:val="14"/>
                      </w:rPr>
                      <w:t>we</w:t>
                    </w:r>
                    <w:r>
                      <w:rPr>
                        <w:rFonts w:ascii="Arial"/>
                        <w:color w:val="F4F6F9"/>
                        <w:spacing w:val="-5"/>
                        <w:w w:val="105"/>
                        <w:sz w:val="14"/>
                      </w:rPr>
                      <w:t> be</w:t>
                    </w:r>
                  </w:p>
                </w:txbxContent>
              </v:textbox>
              <w10:wrap type="none"/>
            </v:shape>
            <v:shape style="position:absolute;left:894;top:333;width:893;height:156" type="#_x0000_t202" id="docshape482" filled="true" fillcolor="#0c4695" stroked="false">
              <v:textbox inset="0,0,0,0">
                <w:txbxContent>
                  <w:p>
                    <w:pPr>
                      <w:spacing w:line="142" w:lineRule="exact" w:before="13"/>
                      <w:ind w:left="-2" w:right="-15" w:firstLine="0"/>
                      <w:jc w:val="left"/>
                      <w:rPr>
                        <w:rFonts w:ascii="Arial"/>
                        <w:color w:val="000000"/>
                        <w:sz w:val="13"/>
                      </w:rPr>
                    </w:pPr>
                    <w:r>
                      <w:rPr>
                        <w:rFonts w:ascii="Arial"/>
                        <w:color w:val="F4F6F9"/>
                        <w:spacing w:val="-2"/>
                        <w:sz w:val="13"/>
                      </w:rPr>
                      <w:t>REGULATORY</w:t>
                    </w:r>
                  </w:p>
                </w:txbxContent>
              </v:textbox>
              <v:fill type="solid"/>
              <w10:wrap type="none"/>
            </v:shape>
            <w10:wrap type="none"/>
          </v:group>
        </w:pict>
      </w:r>
      <w:r>
        <w:rPr/>
        <w:pict>
          <v:rect style="position:absolute;margin-left:100.045479pt;margin-top:65.446861pt;width:6.968436pt;height:34.159964pt;mso-position-horizontal-relative:page;mso-position-vertical-relative:paragraph;z-index:-24089600" id="docshape483" filled="true" fillcolor="#0c4695" stroked="false">
            <v:fill type="solid"/>
            <w10:wrap type="none"/>
          </v:rect>
        </w:pict>
      </w:r>
      <w:r>
        <w:rPr/>
        <w:pict>
          <v:shape style="position:absolute;margin-left:44.606998pt;margin-top:84.708733pt;width:38.550pt;height:31.4pt;mso-position-horizontal-relative:page;mso-position-vertical-relative:paragraph;z-index:15835648" type="#_x0000_t202" id="docshape484" filled="true" fillcolor="#0c4695" stroked="false">
            <v:textbox inset="0,0,0,0">
              <w:txbxContent>
                <w:p>
                  <w:pPr>
                    <w:spacing w:line="137" w:lineRule="exact" w:before="13"/>
                    <w:ind w:left="0" w:right="0" w:firstLine="0"/>
                    <w:jc w:val="left"/>
                    <w:rPr>
                      <w:rFonts w:ascii="Arial"/>
                      <w:color w:val="000000"/>
                      <w:sz w:val="13"/>
                    </w:rPr>
                  </w:pPr>
                  <w:r>
                    <w:rPr>
                      <w:rFonts w:ascii="Arial"/>
                      <w:color w:val="F4F6F9"/>
                      <w:spacing w:val="-2"/>
                      <w:w w:val="105"/>
                      <w:sz w:val="13"/>
                    </w:rPr>
                    <w:t>QUALITY</w:t>
                  </w:r>
                </w:p>
                <w:p>
                  <w:pPr>
                    <w:spacing w:line="232" w:lineRule="auto" w:before="0"/>
                    <w:ind w:left="1" w:right="-15" w:hanging="2"/>
                    <w:jc w:val="left"/>
                    <w:rPr>
                      <w:rFonts w:ascii="Arial"/>
                      <w:color w:val="000000"/>
                      <w:sz w:val="14"/>
                    </w:rPr>
                  </w:pPr>
                  <w:r>
                    <w:rPr>
                      <w:rFonts w:ascii="Arial"/>
                      <w:color w:val="F4F6F9"/>
                      <w:w w:val="105"/>
                      <w:sz w:val="14"/>
                    </w:rPr>
                    <w:t>How</w:t>
                  </w:r>
                  <w:r>
                    <w:rPr>
                      <w:rFonts w:ascii="Arial"/>
                      <w:color w:val="F4F6F9"/>
                      <w:spacing w:val="-11"/>
                      <w:w w:val="105"/>
                      <w:sz w:val="14"/>
                    </w:rPr>
                    <w:t> </w:t>
                  </w:r>
                  <w:r>
                    <w:rPr>
                      <w:rFonts w:ascii="Arial"/>
                      <w:color w:val="F4F6F9"/>
                      <w:w w:val="105"/>
                      <w:sz w:val="14"/>
                    </w:rPr>
                    <w:t>will</w:t>
                  </w:r>
                  <w:r>
                    <w:rPr>
                      <w:rFonts w:ascii="Arial"/>
                      <w:color w:val="F4F6F9"/>
                      <w:spacing w:val="-10"/>
                      <w:w w:val="105"/>
                      <w:sz w:val="14"/>
                    </w:rPr>
                    <w:t> </w:t>
                  </w:r>
                  <w:r>
                    <w:rPr>
                      <w:rFonts w:ascii="Arial"/>
                      <w:color w:val="F4F6F9"/>
                      <w:w w:val="105"/>
                      <w:sz w:val="14"/>
                    </w:rPr>
                    <w:t>we deliver</w:t>
                  </w:r>
                  <w:r>
                    <w:rPr>
                      <w:rFonts w:ascii="Arial"/>
                      <w:color w:val="F4F6F9"/>
                      <w:spacing w:val="-7"/>
                      <w:w w:val="105"/>
                      <w:sz w:val="14"/>
                    </w:rPr>
                    <w:t> </w:t>
                  </w:r>
                  <w:r>
                    <w:rPr>
                      <w:rFonts w:ascii="Arial"/>
                      <w:color w:val="F4F6F9"/>
                      <w:w w:val="105"/>
                      <w:sz w:val="14"/>
                    </w:rPr>
                    <w:t>safe </w:t>
                  </w:r>
                  <w:r>
                    <w:rPr>
                      <w:rFonts w:ascii="Arial"/>
                      <w:color w:val="F4F6F9"/>
                      <w:spacing w:val="-2"/>
                      <w:w w:val="105"/>
                      <w:sz w:val="14"/>
                    </w:rPr>
                    <w:t>services?</w:t>
                  </w:r>
                </w:p>
              </w:txbxContent>
            </v:textbox>
            <v:fill type="solid"/>
            <w10:wrap type="none"/>
          </v:shape>
        </w:pict>
      </w:r>
      <w:r>
        <w:rPr>
          <w:rFonts w:ascii="Arial" w:hAnsi="Arial"/>
          <w:color w:val="F4F6F9"/>
          <w:w w:val="41"/>
          <w:sz w:val="50"/>
          <w:shd w:fill="0C4695" w:color="auto" w:val="clear"/>
        </w:rPr>
        <w:t>►</w:t>
      </w:r>
    </w:p>
    <w:p>
      <w:pPr>
        <w:pStyle w:val="BodyText"/>
        <w:spacing w:before="7"/>
        <w:rPr>
          <w:rFonts w:ascii="Arial"/>
          <w:sz w:val="18"/>
        </w:rPr>
      </w:pPr>
      <w:r>
        <w:rPr/>
        <w:pict>
          <v:shape style="position:absolute;margin-left:44.719135pt;margin-top:11.913651pt;width:32.7pt;height:7.95pt;mso-position-horizontal-relative:page;mso-position-vertical-relative:paragraph;z-index:-15631360;mso-wrap-distance-left:0;mso-wrap-distance-right:0" type="#_x0000_t202" id="docshape485" filled="true" fillcolor="#0c4695" stroked="false">
            <v:textbox inset="0,0,0,0">
              <w:txbxContent>
                <w:p>
                  <w:pPr>
                    <w:spacing w:line="143" w:lineRule="exact" w:before="0"/>
                    <w:ind w:left="0" w:right="-15" w:firstLine="0"/>
                    <w:jc w:val="left"/>
                    <w:rPr>
                      <w:rFonts w:ascii="Arial"/>
                      <w:color w:val="000000"/>
                      <w:sz w:val="14"/>
                    </w:rPr>
                  </w:pPr>
                  <w:r>
                    <w:rPr>
                      <w:rFonts w:ascii="Arial"/>
                      <w:color w:val="F4F6F9"/>
                      <w:spacing w:val="-2"/>
                      <w:w w:val="105"/>
                      <w:sz w:val="14"/>
                    </w:rPr>
                    <w:t>regulator?</w:t>
                  </w:r>
                </w:p>
              </w:txbxContent>
            </v:textbox>
            <v:fill type="solid"/>
            <w10:wrap type="topAndBottom"/>
          </v:shape>
        </w:pict>
      </w:r>
    </w:p>
    <w:p>
      <w:pPr>
        <w:spacing w:before="389"/>
        <w:ind w:left="1280" w:right="0" w:firstLine="0"/>
        <w:jc w:val="left"/>
        <w:rPr>
          <w:rFonts w:ascii="Arial" w:hAnsi="Arial"/>
          <w:sz w:val="50"/>
        </w:rPr>
      </w:pPr>
      <w:r>
        <w:rPr>
          <w:rFonts w:ascii="Arial" w:hAnsi="Arial"/>
          <w:color w:val="F4F6F9"/>
          <w:w w:val="41"/>
          <w:sz w:val="50"/>
        </w:rPr>
        <w:t>►</w:t>
      </w:r>
    </w:p>
    <w:p>
      <w:pPr>
        <w:spacing w:line="240" w:lineRule="auto" w:before="0"/>
        <w:rPr>
          <w:rFonts w:ascii="Arial"/>
          <w:sz w:val="14"/>
        </w:rPr>
      </w:pPr>
      <w:r>
        <w:rPr/>
        <w:br w:type="column"/>
      </w:r>
      <w:r>
        <w:rPr>
          <w:rFonts w:ascii="Arial"/>
          <w:sz w:val="14"/>
        </w:rPr>
      </w:r>
    </w:p>
    <w:p>
      <w:pPr>
        <w:pStyle w:val="BodyText"/>
        <w:rPr>
          <w:rFonts w:ascii="Arial"/>
          <w:sz w:val="14"/>
        </w:rPr>
      </w:pPr>
    </w:p>
    <w:p>
      <w:pPr>
        <w:pStyle w:val="BodyText"/>
        <w:spacing w:before="8"/>
        <w:rPr>
          <w:rFonts w:ascii="Arial"/>
          <w:sz w:val="13"/>
        </w:rPr>
      </w:pPr>
    </w:p>
    <w:p>
      <w:pPr>
        <w:tabs>
          <w:tab w:pos="2106" w:val="left" w:leader="none"/>
        </w:tabs>
        <w:spacing w:line="254" w:lineRule="auto" w:before="0"/>
        <w:ind w:left="119" w:right="106" w:hanging="3"/>
        <w:jc w:val="both"/>
        <w:rPr>
          <w:rFonts w:ascii="Arial"/>
          <w:sz w:val="13"/>
        </w:rPr>
      </w:pPr>
      <w:r>
        <w:rPr>
          <w:rFonts w:ascii="Arial"/>
          <w:color w:val="646767"/>
          <w:w w:val="105"/>
          <w:sz w:val="13"/>
        </w:rPr>
        <w:t>We </w:t>
      </w:r>
      <w:r>
        <w:rPr>
          <w:rFonts w:ascii="Arial"/>
          <w:color w:val="525454"/>
          <w:w w:val="105"/>
          <w:sz w:val="13"/>
        </w:rPr>
        <w:t>ha</w:t>
      </w:r>
      <w:r>
        <w:rPr>
          <w:rFonts w:ascii="Arial"/>
          <w:color w:val="727775"/>
          <w:w w:val="105"/>
          <w:sz w:val="13"/>
        </w:rPr>
        <w:t>v</w:t>
      </w:r>
      <w:r>
        <w:rPr>
          <w:rFonts w:ascii="Arial"/>
          <w:color w:val="525454"/>
          <w:w w:val="105"/>
          <w:sz w:val="13"/>
        </w:rPr>
        <w:t>e no </w:t>
      </w:r>
      <w:r>
        <w:rPr>
          <w:rFonts w:ascii="Arial"/>
          <w:color w:val="646767"/>
          <w:w w:val="105"/>
          <w:sz w:val="13"/>
        </w:rPr>
        <w:t>appet</w:t>
      </w:r>
      <w:r>
        <w:rPr>
          <w:rFonts w:ascii="Arial"/>
          <w:color w:val="424242"/>
          <w:w w:val="105"/>
          <w:sz w:val="13"/>
        </w:rPr>
        <w:t>ite </w:t>
      </w:r>
      <w:r>
        <w:rPr>
          <w:rFonts w:ascii="Arial"/>
          <w:color w:val="646767"/>
          <w:w w:val="105"/>
          <w:sz w:val="13"/>
        </w:rPr>
        <w:t>for</w:t>
      </w:r>
      <w:r>
        <w:rPr>
          <w:rFonts w:ascii="Arial"/>
          <w:color w:val="646767"/>
          <w:sz w:val="13"/>
        </w:rPr>
        <w:tab/>
      </w:r>
      <w:r>
        <w:rPr>
          <w:rFonts w:ascii="Arial"/>
          <w:color w:val="646767"/>
          <w:spacing w:val="-10"/>
          <w:sz w:val="13"/>
        </w:rPr>
        <w:t> </w:t>
      </w:r>
      <w:r>
        <w:rPr>
          <w:rFonts w:ascii="Arial"/>
          <w:color w:val="646767"/>
          <w:spacing w:val="-2"/>
          <w:w w:val="105"/>
          <w:sz w:val="13"/>
        </w:rPr>
        <w:t>We</w:t>
      </w:r>
      <w:r>
        <w:rPr>
          <w:rFonts w:ascii="Arial"/>
          <w:color w:val="646767"/>
          <w:spacing w:val="-7"/>
          <w:w w:val="105"/>
          <w:sz w:val="13"/>
        </w:rPr>
        <w:t> </w:t>
      </w:r>
      <w:r>
        <w:rPr>
          <w:rFonts w:ascii="Arial"/>
          <w:color w:val="646767"/>
          <w:spacing w:val="-2"/>
          <w:w w:val="105"/>
          <w:sz w:val="13"/>
        </w:rPr>
        <w:t>are</w:t>
      </w:r>
      <w:r>
        <w:rPr>
          <w:rFonts w:ascii="Arial"/>
          <w:color w:val="646767"/>
          <w:spacing w:val="-7"/>
          <w:w w:val="105"/>
          <w:sz w:val="13"/>
        </w:rPr>
        <w:t> </w:t>
      </w:r>
      <w:r>
        <w:rPr>
          <w:rFonts w:ascii="Arial"/>
          <w:color w:val="646767"/>
          <w:spacing w:val="-2"/>
          <w:w w:val="105"/>
          <w:sz w:val="13"/>
        </w:rPr>
        <w:t>only</w:t>
      </w:r>
      <w:r>
        <w:rPr>
          <w:rFonts w:ascii="Arial"/>
          <w:color w:val="646767"/>
          <w:spacing w:val="-8"/>
          <w:w w:val="105"/>
          <w:sz w:val="13"/>
        </w:rPr>
        <w:t> </w:t>
      </w:r>
      <w:r>
        <w:rPr>
          <w:rFonts w:ascii="Arial"/>
          <w:color w:val="727775"/>
          <w:spacing w:val="-2"/>
          <w:w w:val="105"/>
          <w:sz w:val="13"/>
        </w:rPr>
        <w:t>wi</w:t>
      </w:r>
      <w:r>
        <w:rPr>
          <w:rFonts w:ascii="Arial"/>
          <w:color w:val="424242"/>
          <w:spacing w:val="-2"/>
          <w:w w:val="105"/>
          <w:sz w:val="13"/>
        </w:rPr>
        <w:t>ll</w:t>
      </w:r>
      <w:r>
        <w:rPr>
          <w:rFonts w:ascii="Arial"/>
          <w:color w:val="646767"/>
          <w:spacing w:val="-2"/>
          <w:w w:val="105"/>
          <w:sz w:val="13"/>
        </w:rPr>
        <w:t>ing</w:t>
      </w:r>
      <w:r>
        <w:rPr>
          <w:rFonts w:ascii="Arial"/>
          <w:color w:val="646767"/>
          <w:spacing w:val="-7"/>
          <w:w w:val="105"/>
          <w:sz w:val="13"/>
        </w:rPr>
        <w:t> </w:t>
      </w:r>
      <w:r>
        <w:rPr>
          <w:rFonts w:ascii="Arial"/>
          <w:color w:val="646767"/>
          <w:spacing w:val="-2"/>
          <w:w w:val="105"/>
          <w:sz w:val="13"/>
        </w:rPr>
        <w:t>to accept</w:t>
      </w:r>
      <w:r>
        <w:rPr>
          <w:rFonts w:ascii="Arial"/>
          <w:color w:val="646767"/>
          <w:spacing w:val="40"/>
          <w:w w:val="105"/>
          <w:sz w:val="13"/>
        </w:rPr>
        <w:t> </w:t>
      </w:r>
      <w:r>
        <w:rPr>
          <w:rFonts w:ascii="Arial"/>
          <w:color w:val="646767"/>
          <w:w w:val="105"/>
          <w:sz w:val="13"/>
        </w:rPr>
        <w:t>dec</w:t>
      </w:r>
      <w:r>
        <w:rPr>
          <w:rFonts w:ascii="Arial"/>
          <w:color w:val="424242"/>
          <w:w w:val="105"/>
          <w:sz w:val="13"/>
        </w:rPr>
        <w:t>i</w:t>
      </w:r>
      <w:r>
        <w:rPr>
          <w:rFonts w:ascii="Arial"/>
          <w:color w:val="646767"/>
          <w:w w:val="105"/>
          <w:sz w:val="13"/>
        </w:rPr>
        <w:t>sions</w:t>
      </w:r>
      <w:r>
        <w:rPr>
          <w:rFonts w:ascii="Arial"/>
          <w:color w:val="646767"/>
          <w:spacing w:val="-10"/>
          <w:w w:val="105"/>
          <w:sz w:val="13"/>
        </w:rPr>
        <w:t> </w:t>
      </w:r>
      <w:r>
        <w:rPr>
          <w:rFonts w:ascii="Arial"/>
          <w:color w:val="646767"/>
          <w:w w:val="105"/>
          <w:sz w:val="13"/>
        </w:rPr>
        <w:t>or</w:t>
      </w:r>
      <w:r>
        <w:rPr>
          <w:rFonts w:ascii="Arial"/>
          <w:color w:val="646767"/>
          <w:spacing w:val="-6"/>
          <w:w w:val="105"/>
          <w:sz w:val="13"/>
        </w:rPr>
        <w:t> </w:t>
      </w:r>
      <w:r>
        <w:rPr>
          <w:rFonts w:ascii="Arial"/>
          <w:color w:val="646767"/>
          <w:w w:val="105"/>
          <w:sz w:val="13"/>
        </w:rPr>
        <w:t>actions</w:t>
      </w:r>
      <w:r>
        <w:rPr>
          <w:rFonts w:ascii="Arial"/>
          <w:color w:val="646767"/>
          <w:spacing w:val="-10"/>
          <w:w w:val="105"/>
          <w:sz w:val="13"/>
        </w:rPr>
        <w:t> </w:t>
      </w:r>
      <w:r>
        <w:rPr>
          <w:rFonts w:ascii="Arial"/>
          <w:color w:val="646767"/>
          <w:w w:val="105"/>
          <w:sz w:val="13"/>
        </w:rPr>
        <w:t>that</w:t>
      </w:r>
      <w:r>
        <w:rPr>
          <w:rFonts w:ascii="Arial"/>
          <w:color w:val="646767"/>
          <w:spacing w:val="-7"/>
          <w:w w:val="105"/>
          <w:sz w:val="13"/>
        </w:rPr>
        <w:t> </w:t>
      </w:r>
      <w:r>
        <w:rPr>
          <w:rFonts w:ascii="Arial"/>
          <w:color w:val="646767"/>
          <w:w w:val="105"/>
          <w:sz w:val="13"/>
        </w:rPr>
        <w:t>may</w:t>
      </w:r>
      <w:r>
        <w:rPr>
          <w:rFonts w:ascii="Arial"/>
          <w:color w:val="646767"/>
          <w:spacing w:val="80"/>
          <w:w w:val="150"/>
          <w:sz w:val="13"/>
        </w:rPr>
        <w:t> </w:t>
      </w:r>
      <w:r>
        <w:rPr>
          <w:rFonts w:ascii="Arial"/>
          <w:color w:val="646767"/>
          <w:w w:val="105"/>
          <w:sz w:val="13"/>
        </w:rPr>
        <w:t>the possibil</w:t>
      </w:r>
      <w:r>
        <w:rPr>
          <w:rFonts w:ascii="Arial"/>
          <w:color w:val="424242"/>
          <w:w w:val="105"/>
          <w:sz w:val="13"/>
        </w:rPr>
        <w:t>i</w:t>
      </w:r>
      <w:r>
        <w:rPr>
          <w:rFonts w:ascii="Arial"/>
          <w:color w:val="646767"/>
          <w:w w:val="105"/>
          <w:sz w:val="13"/>
        </w:rPr>
        <w:t>ty</w:t>
      </w:r>
      <w:r>
        <w:rPr>
          <w:rFonts w:ascii="Arial"/>
          <w:color w:val="646767"/>
          <w:spacing w:val="-8"/>
          <w:w w:val="105"/>
          <w:sz w:val="13"/>
        </w:rPr>
        <w:t> </w:t>
      </w:r>
      <w:r>
        <w:rPr>
          <w:rFonts w:ascii="Arial"/>
          <w:color w:val="646767"/>
          <w:w w:val="105"/>
          <w:sz w:val="13"/>
        </w:rPr>
        <w:t>of</w:t>
      </w:r>
      <w:r>
        <w:rPr>
          <w:rFonts w:ascii="Arial"/>
          <w:color w:val="646767"/>
          <w:spacing w:val="-7"/>
          <w:w w:val="105"/>
          <w:sz w:val="13"/>
        </w:rPr>
        <w:t> </w:t>
      </w:r>
      <w:r>
        <w:rPr>
          <w:rFonts w:ascii="Arial"/>
          <w:color w:val="727775"/>
          <w:w w:val="105"/>
          <w:sz w:val="13"/>
        </w:rPr>
        <w:t>very</w:t>
      </w:r>
      <w:r>
        <w:rPr>
          <w:rFonts w:ascii="Arial"/>
          <w:color w:val="727775"/>
          <w:spacing w:val="-3"/>
          <w:w w:val="105"/>
          <w:sz w:val="13"/>
        </w:rPr>
        <w:t> </w:t>
      </w:r>
      <w:r>
        <w:rPr>
          <w:rFonts w:ascii="Arial"/>
          <w:color w:val="646767"/>
          <w:w w:val="105"/>
          <w:sz w:val="13"/>
        </w:rPr>
        <w:t>limited</w:t>
      </w:r>
      <w:r>
        <w:rPr>
          <w:rFonts w:ascii="Arial"/>
          <w:color w:val="646767"/>
          <w:spacing w:val="40"/>
          <w:w w:val="105"/>
          <w:sz w:val="13"/>
        </w:rPr>
        <w:t> </w:t>
      </w:r>
      <w:r>
        <w:rPr>
          <w:rFonts w:ascii="Arial"/>
          <w:color w:val="646767"/>
          <w:w w:val="105"/>
          <w:sz w:val="13"/>
        </w:rPr>
        <w:t>res</w:t>
      </w:r>
      <w:r>
        <w:rPr>
          <w:rFonts w:ascii="Arial"/>
          <w:color w:val="424242"/>
          <w:w w:val="105"/>
          <w:sz w:val="13"/>
        </w:rPr>
        <w:t>u</w:t>
      </w:r>
      <w:r>
        <w:rPr>
          <w:rFonts w:ascii="Arial"/>
          <w:color w:val="646767"/>
          <w:w w:val="105"/>
          <w:sz w:val="13"/>
        </w:rPr>
        <w:t>lt in financial </w:t>
      </w:r>
      <w:r>
        <w:rPr>
          <w:rFonts w:ascii="Arial"/>
          <w:color w:val="525454"/>
          <w:w w:val="105"/>
          <w:sz w:val="13"/>
        </w:rPr>
        <w:t>loss</w:t>
      </w:r>
      <w:r>
        <w:rPr>
          <w:rFonts w:ascii="Arial"/>
          <w:color w:val="727775"/>
          <w:w w:val="105"/>
          <w:sz w:val="13"/>
        </w:rPr>
        <w:t>.</w:t>
      </w:r>
      <w:r>
        <w:rPr>
          <w:rFonts w:ascii="Arial"/>
          <w:color w:val="727775"/>
          <w:sz w:val="13"/>
        </w:rPr>
        <w:tab/>
      </w:r>
      <w:r>
        <w:rPr>
          <w:rFonts w:ascii="Arial"/>
          <w:color w:val="646767"/>
          <w:w w:val="105"/>
          <w:sz w:val="13"/>
        </w:rPr>
        <w:t>financial r</w:t>
      </w:r>
      <w:r>
        <w:rPr>
          <w:rFonts w:ascii="Arial"/>
          <w:color w:val="2F2D2F"/>
          <w:w w:val="105"/>
          <w:sz w:val="13"/>
        </w:rPr>
        <w:t>i</w:t>
      </w:r>
      <w:r>
        <w:rPr>
          <w:rFonts w:ascii="Arial"/>
          <w:color w:val="646767"/>
          <w:w w:val="105"/>
          <w:sz w:val="13"/>
        </w:rPr>
        <w:t>sk.</w:t>
      </w:r>
    </w:p>
    <w:p>
      <w:pPr>
        <w:pStyle w:val="BodyText"/>
        <w:rPr>
          <w:rFonts w:ascii="Arial"/>
          <w:sz w:val="14"/>
        </w:rPr>
      </w:pPr>
    </w:p>
    <w:p>
      <w:pPr>
        <w:pStyle w:val="BodyText"/>
        <w:rPr>
          <w:rFonts w:ascii="Arial"/>
          <w:sz w:val="14"/>
        </w:rPr>
      </w:pPr>
    </w:p>
    <w:p>
      <w:pPr>
        <w:pStyle w:val="BodyText"/>
        <w:rPr>
          <w:rFonts w:ascii="Arial"/>
          <w:sz w:val="14"/>
        </w:rPr>
      </w:pPr>
    </w:p>
    <w:p>
      <w:pPr>
        <w:pStyle w:val="BodyText"/>
        <w:spacing w:before="10"/>
        <w:rPr>
          <w:rFonts w:ascii="Arial"/>
          <w:sz w:val="17"/>
        </w:rPr>
      </w:pPr>
    </w:p>
    <w:p>
      <w:pPr>
        <w:tabs>
          <w:tab w:pos="2108" w:val="left" w:leader="none"/>
        </w:tabs>
        <w:spacing w:line="254" w:lineRule="auto" w:before="0"/>
        <w:ind w:left="118" w:right="83" w:hanging="2"/>
        <w:jc w:val="left"/>
        <w:rPr>
          <w:rFonts w:ascii="Arial"/>
          <w:sz w:val="13"/>
        </w:rPr>
      </w:pPr>
      <w:r>
        <w:rPr>
          <w:rFonts w:ascii="Arial"/>
          <w:color w:val="646767"/>
          <w:w w:val="105"/>
          <w:sz w:val="13"/>
        </w:rPr>
        <w:t>We </w:t>
      </w:r>
      <w:r>
        <w:rPr>
          <w:rFonts w:ascii="Arial"/>
          <w:color w:val="525454"/>
          <w:w w:val="105"/>
          <w:sz w:val="13"/>
        </w:rPr>
        <w:t>have no </w:t>
      </w:r>
      <w:r>
        <w:rPr>
          <w:rFonts w:ascii="Arial"/>
          <w:color w:val="646767"/>
          <w:w w:val="105"/>
          <w:sz w:val="13"/>
        </w:rPr>
        <w:t>appet</w:t>
      </w:r>
      <w:r>
        <w:rPr>
          <w:rFonts w:ascii="Arial"/>
          <w:color w:val="424242"/>
          <w:w w:val="105"/>
          <w:sz w:val="13"/>
        </w:rPr>
        <w:t>i</w:t>
      </w:r>
      <w:r>
        <w:rPr>
          <w:rFonts w:ascii="Arial"/>
          <w:color w:val="646767"/>
          <w:w w:val="105"/>
          <w:sz w:val="13"/>
        </w:rPr>
        <w:t>te for</w:t>
      </w:r>
      <w:r>
        <w:rPr>
          <w:rFonts w:ascii="Arial"/>
          <w:color w:val="646767"/>
          <w:sz w:val="13"/>
        </w:rPr>
        <w:tab/>
      </w:r>
      <w:r>
        <w:rPr>
          <w:rFonts w:ascii="Arial"/>
          <w:color w:val="646767"/>
          <w:spacing w:val="-32"/>
          <w:sz w:val="13"/>
        </w:rPr>
        <w:t> </w:t>
      </w:r>
      <w:r>
        <w:rPr>
          <w:rFonts w:ascii="Arial"/>
          <w:color w:val="646767"/>
          <w:w w:val="105"/>
          <w:sz w:val="13"/>
        </w:rPr>
        <w:t>We will avoid any decisions</w:t>
      </w:r>
      <w:r>
        <w:rPr>
          <w:rFonts w:ascii="Arial"/>
          <w:color w:val="646767"/>
          <w:spacing w:val="40"/>
          <w:w w:val="105"/>
          <w:sz w:val="13"/>
        </w:rPr>
        <w:t> </w:t>
      </w:r>
      <w:r>
        <w:rPr>
          <w:rFonts w:ascii="Arial"/>
          <w:color w:val="646767"/>
          <w:w w:val="105"/>
          <w:sz w:val="13"/>
        </w:rPr>
        <w:t>decisions that may</w:t>
      </w:r>
      <w:r>
        <w:rPr>
          <w:rFonts w:ascii="Arial"/>
          <w:color w:val="646767"/>
          <w:sz w:val="13"/>
        </w:rPr>
        <w:tab/>
      </w:r>
      <w:r>
        <w:rPr>
          <w:rFonts w:ascii="Arial"/>
          <w:color w:val="646767"/>
          <w:spacing w:val="-35"/>
          <w:sz w:val="13"/>
        </w:rPr>
        <w:t> </w:t>
      </w:r>
      <w:r>
        <w:rPr>
          <w:rFonts w:ascii="Arial"/>
          <w:color w:val="646767"/>
          <w:w w:val="105"/>
          <w:sz w:val="13"/>
        </w:rPr>
        <w:t>that</w:t>
      </w:r>
      <w:r>
        <w:rPr>
          <w:rFonts w:ascii="Arial"/>
          <w:color w:val="646767"/>
          <w:spacing w:val="-9"/>
          <w:w w:val="105"/>
          <w:sz w:val="13"/>
        </w:rPr>
        <w:t> </w:t>
      </w:r>
      <w:r>
        <w:rPr>
          <w:rFonts w:ascii="Arial"/>
          <w:color w:val="646767"/>
          <w:w w:val="105"/>
          <w:sz w:val="13"/>
        </w:rPr>
        <w:t>may</w:t>
      </w:r>
      <w:r>
        <w:rPr>
          <w:rFonts w:ascii="Arial"/>
          <w:color w:val="646767"/>
          <w:spacing w:val="-10"/>
          <w:w w:val="105"/>
          <w:sz w:val="13"/>
        </w:rPr>
        <w:t> </w:t>
      </w:r>
      <w:r>
        <w:rPr>
          <w:rFonts w:ascii="Arial"/>
          <w:color w:val="646767"/>
          <w:w w:val="105"/>
          <w:sz w:val="13"/>
        </w:rPr>
        <w:t>result</w:t>
      </w:r>
      <w:r>
        <w:rPr>
          <w:rFonts w:ascii="Arial"/>
          <w:color w:val="646767"/>
          <w:spacing w:val="-8"/>
          <w:w w:val="105"/>
          <w:sz w:val="13"/>
        </w:rPr>
        <w:t> </w:t>
      </w:r>
      <w:r>
        <w:rPr>
          <w:rFonts w:ascii="Arial"/>
          <w:color w:val="646767"/>
          <w:w w:val="105"/>
          <w:sz w:val="13"/>
        </w:rPr>
        <w:t>i</w:t>
      </w:r>
      <w:r>
        <w:rPr>
          <w:rFonts w:ascii="Arial"/>
          <w:color w:val="424242"/>
          <w:w w:val="105"/>
          <w:sz w:val="13"/>
        </w:rPr>
        <w:t>n</w:t>
      </w:r>
      <w:r>
        <w:rPr>
          <w:rFonts w:ascii="Arial"/>
          <w:color w:val="424242"/>
          <w:spacing w:val="-10"/>
          <w:w w:val="105"/>
          <w:sz w:val="13"/>
        </w:rPr>
        <w:t> </w:t>
      </w:r>
      <w:r>
        <w:rPr>
          <w:rFonts w:ascii="Arial"/>
          <w:color w:val="646767"/>
          <w:w w:val="105"/>
          <w:sz w:val="13"/>
        </w:rPr>
        <w:t>heightened</w:t>
      </w:r>
      <w:r>
        <w:rPr>
          <w:rFonts w:ascii="Arial"/>
          <w:color w:val="646767"/>
          <w:spacing w:val="40"/>
          <w:w w:val="105"/>
          <w:sz w:val="13"/>
        </w:rPr>
        <w:t> </w:t>
      </w:r>
      <w:r>
        <w:rPr>
          <w:rFonts w:ascii="Arial"/>
          <w:color w:val="646767"/>
          <w:w w:val="105"/>
          <w:sz w:val="13"/>
        </w:rPr>
        <w:t>compromise</w:t>
      </w:r>
      <w:r>
        <w:rPr>
          <w:rFonts w:ascii="Arial"/>
          <w:color w:val="646767"/>
          <w:spacing w:val="-2"/>
          <w:w w:val="105"/>
          <w:sz w:val="13"/>
        </w:rPr>
        <w:t> </w:t>
      </w:r>
      <w:r>
        <w:rPr>
          <w:rFonts w:ascii="Arial"/>
          <w:color w:val="727775"/>
          <w:w w:val="105"/>
          <w:sz w:val="13"/>
        </w:rPr>
        <w:t>complia</w:t>
      </w:r>
      <w:r>
        <w:rPr>
          <w:rFonts w:ascii="Arial"/>
          <w:color w:val="525454"/>
          <w:w w:val="105"/>
          <w:sz w:val="13"/>
        </w:rPr>
        <w:t>nce</w:t>
      </w:r>
      <w:r>
        <w:rPr>
          <w:rFonts w:ascii="Arial"/>
          <w:color w:val="525454"/>
          <w:sz w:val="13"/>
        </w:rPr>
        <w:tab/>
      </w:r>
      <w:r>
        <w:rPr>
          <w:rFonts w:ascii="Arial"/>
          <w:color w:val="525454"/>
          <w:spacing w:val="-22"/>
          <w:sz w:val="13"/>
        </w:rPr>
        <w:t> </w:t>
      </w:r>
      <w:r>
        <w:rPr>
          <w:rFonts w:ascii="Arial"/>
          <w:color w:val="646767"/>
          <w:w w:val="105"/>
          <w:sz w:val="13"/>
        </w:rPr>
        <w:t>regulatory challenge </w:t>
      </w:r>
      <w:r>
        <w:rPr>
          <w:rFonts w:ascii="Arial"/>
          <w:color w:val="525454"/>
          <w:w w:val="105"/>
          <w:sz w:val="13"/>
        </w:rPr>
        <w:t>unless</w:t>
      </w:r>
      <w:r>
        <w:rPr>
          <w:rFonts w:ascii="Arial"/>
          <w:color w:val="525454"/>
          <w:spacing w:val="40"/>
          <w:w w:val="105"/>
          <w:sz w:val="13"/>
        </w:rPr>
        <w:t> </w:t>
      </w:r>
      <w:r>
        <w:rPr>
          <w:rFonts w:ascii="Arial"/>
          <w:color w:val="727775"/>
          <w:w w:val="105"/>
          <w:sz w:val="13"/>
        </w:rPr>
        <w:t>wi</w:t>
      </w:r>
      <w:r>
        <w:rPr>
          <w:rFonts w:ascii="Arial"/>
          <w:color w:val="525454"/>
          <w:w w:val="105"/>
          <w:sz w:val="13"/>
        </w:rPr>
        <w:t>th </w:t>
      </w:r>
      <w:r>
        <w:rPr>
          <w:rFonts w:ascii="Arial"/>
          <w:color w:val="646767"/>
          <w:w w:val="105"/>
          <w:sz w:val="13"/>
        </w:rPr>
        <w:t>statutory, </w:t>
      </w:r>
      <w:r>
        <w:rPr>
          <w:rFonts w:ascii="Arial"/>
          <w:color w:val="525454"/>
          <w:w w:val="105"/>
          <w:sz w:val="13"/>
        </w:rPr>
        <w:t>regulatory </w:t>
      </w:r>
      <w:r>
        <w:rPr>
          <w:rFonts w:ascii="Arial"/>
          <w:color w:val="646767"/>
          <w:w w:val="105"/>
          <w:sz w:val="13"/>
        </w:rPr>
        <w:t>of</w:t>
      </w:r>
      <w:r>
        <w:rPr>
          <w:rFonts w:ascii="Arial"/>
          <w:color w:val="646767"/>
          <w:sz w:val="13"/>
        </w:rPr>
        <w:tab/>
      </w:r>
      <w:r>
        <w:rPr>
          <w:rFonts w:ascii="Arial"/>
          <w:color w:val="646767"/>
          <w:w w:val="105"/>
          <w:sz w:val="13"/>
        </w:rPr>
        <w:t>absolutely</w:t>
      </w:r>
      <w:r>
        <w:rPr>
          <w:rFonts w:ascii="Arial"/>
          <w:color w:val="646767"/>
          <w:spacing w:val="-8"/>
          <w:w w:val="105"/>
          <w:sz w:val="13"/>
        </w:rPr>
        <w:t> </w:t>
      </w:r>
      <w:r>
        <w:rPr>
          <w:rFonts w:ascii="Arial"/>
          <w:color w:val="646767"/>
          <w:w w:val="105"/>
          <w:sz w:val="13"/>
        </w:rPr>
        <w:t>esse</w:t>
      </w:r>
      <w:r>
        <w:rPr>
          <w:rFonts w:ascii="Arial"/>
          <w:color w:val="424242"/>
          <w:w w:val="105"/>
          <w:sz w:val="13"/>
        </w:rPr>
        <w:t>nti</w:t>
      </w:r>
      <w:r>
        <w:rPr>
          <w:rFonts w:ascii="Arial"/>
          <w:color w:val="646767"/>
          <w:w w:val="105"/>
          <w:sz w:val="13"/>
        </w:rPr>
        <w:t>al.</w:t>
      </w:r>
    </w:p>
    <w:p>
      <w:pPr>
        <w:spacing w:before="1"/>
        <w:ind w:left="124" w:right="0" w:firstLine="0"/>
        <w:jc w:val="left"/>
        <w:rPr>
          <w:rFonts w:ascii="Arial"/>
          <w:sz w:val="13"/>
        </w:rPr>
      </w:pPr>
      <w:r>
        <w:rPr>
          <w:rFonts w:ascii="Arial"/>
          <w:color w:val="646767"/>
          <w:w w:val="105"/>
          <w:sz w:val="13"/>
        </w:rPr>
        <w:t>policy</w:t>
      </w:r>
      <w:r>
        <w:rPr>
          <w:rFonts w:ascii="Arial"/>
          <w:color w:val="646767"/>
          <w:spacing w:val="-9"/>
          <w:w w:val="105"/>
          <w:sz w:val="13"/>
        </w:rPr>
        <w:t> </w:t>
      </w:r>
      <w:r>
        <w:rPr>
          <w:rFonts w:ascii="Arial"/>
          <w:color w:val="646767"/>
          <w:spacing w:val="-2"/>
          <w:w w:val="105"/>
          <w:sz w:val="13"/>
        </w:rPr>
        <w:t>req</w:t>
      </w:r>
      <w:r>
        <w:rPr>
          <w:rFonts w:ascii="Arial"/>
          <w:color w:val="424242"/>
          <w:spacing w:val="-2"/>
          <w:w w:val="105"/>
          <w:sz w:val="13"/>
        </w:rPr>
        <w:t>u</w:t>
      </w:r>
      <w:r>
        <w:rPr>
          <w:rFonts w:ascii="Arial"/>
          <w:color w:val="646767"/>
          <w:spacing w:val="-2"/>
          <w:w w:val="105"/>
          <w:sz w:val="13"/>
        </w:rPr>
        <w:t>irements.</w:t>
      </w:r>
    </w:p>
    <w:p>
      <w:pPr>
        <w:pStyle w:val="BodyText"/>
        <w:rPr>
          <w:rFonts w:ascii="Arial"/>
          <w:sz w:val="14"/>
        </w:rPr>
      </w:pPr>
    </w:p>
    <w:p>
      <w:pPr>
        <w:pStyle w:val="BodyText"/>
        <w:rPr>
          <w:rFonts w:ascii="Arial"/>
          <w:sz w:val="14"/>
        </w:rPr>
      </w:pPr>
    </w:p>
    <w:p>
      <w:pPr>
        <w:pStyle w:val="BodyText"/>
        <w:spacing w:before="10"/>
        <w:rPr>
          <w:rFonts w:ascii="Arial"/>
          <w:sz w:val="20"/>
        </w:rPr>
      </w:pPr>
    </w:p>
    <w:p>
      <w:pPr>
        <w:tabs>
          <w:tab w:pos="2107" w:val="left" w:leader="none"/>
        </w:tabs>
        <w:spacing w:line="259" w:lineRule="auto" w:before="0"/>
        <w:ind w:left="119" w:right="181" w:hanging="3"/>
        <w:jc w:val="left"/>
        <w:rPr>
          <w:rFonts w:ascii="Arial"/>
          <w:sz w:val="13"/>
        </w:rPr>
      </w:pPr>
      <w:r>
        <w:rPr>
          <w:rFonts w:ascii="Arial"/>
          <w:color w:val="646767"/>
          <w:w w:val="105"/>
          <w:sz w:val="13"/>
        </w:rPr>
        <w:t>We </w:t>
      </w:r>
      <w:r>
        <w:rPr>
          <w:rFonts w:ascii="Arial"/>
          <w:color w:val="525454"/>
          <w:w w:val="105"/>
          <w:sz w:val="13"/>
        </w:rPr>
        <w:t>ha</w:t>
      </w:r>
      <w:r>
        <w:rPr>
          <w:rFonts w:ascii="Arial"/>
          <w:color w:val="727775"/>
          <w:w w:val="105"/>
          <w:sz w:val="13"/>
        </w:rPr>
        <w:t>ve </w:t>
      </w:r>
      <w:r>
        <w:rPr>
          <w:rFonts w:ascii="Arial"/>
          <w:color w:val="525454"/>
          <w:w w:val="105"/>
          <w:sz w:val="13"/>
        </w:rPr>
        <w:t>no </w:t>
      </w:r>
      <w:r>
        <w:rPr>
          <w:rFonts w:ascii="Arial"/>
          <w:color w:val="646767"/>
          <w:w w:val="105"/>
          <w:sz w:val="13"/>
        </w:rPr>
        <w:t>appet</w:t>
      </w:r>
      <w:r>
        <w:rPr>
          <w:rFonts w:ascii="Arial"/>
          <w:color w:val="424242"/>
          <w:w w:val="105"/>
          <w:sz w:val="13"/>
        </w:rPr>
        <w:t>it</w:t>
      </w:r>
      <w:r>
        <w:rPr>
          <w:rFonts w:ascii="Arial"/>
          <w:color w:val="646767"/>
          <w:w w:val="105"/>
          <w:sz w:val="13"/>
        </w:rPr>
        <w:t>e for</w:t>
      </w:r>
      <w:r>
        <w:rPr>
          <w:rFonts w:ascii="Arial"/>
          <w:color w:val="646767"/>
          <w:sz w:val="13"/>
        </w:rPr>
        <w:tab/>
      </w:r>
      <w:r>
        <w:rPr>
          <w:rFonts w:ascii="Arial"/>
          <w:color w:val="646767"/>
          <w:spacing w:val="-32"/>
          <w:sz w:val="13"/>
        </w:rPr>
        <w:t> </w:t>
      </w:r>
      <w:r>
        <w:rPr>
          <w:rFonts w:ascii="Arial"/>
          <w:color w:val="646767"/>
          <w:w w:val="105"/>
          <w:sz w:val="13"/>
        </w:rPr>
        <w:t>We</w:t>
      </w:r>
      <w:r>
        <w:rPr>
          <w:rFonts w:ascii="Arial"/>
          <w:color w:val="646767"/>
          <w:spacing w:val="-2"/>
          <w:w w:val="105"/>
          <w:sz w:val="13"/>
        </w:rPr>
        <w:t> </w:t>
      </w:r>
      <w:r>
        <w:rPr>
          <w:rFonts w:ascii="Arial"/>
          <w:color w:val="646767"/>
          <w:w w:val="105"/>
          <w:sz w:val="13"/>
        </w:rPr>
        <w:t>wilI</w:t>
      </w:r>
      <w:r>
        <w:rPr>
          <w:rFonts w:ascii="Arial"/>
          <w:color w:val="646767"/>
          <w:spacing w:val="-15"/>
          <w:w w:val="105"/>
          <w:sz w:val="13"/>
        </w:rPr>
        <w:t> </w:t>
      </w:r>
      <w:r>
        <w:rPr>
          <w:rFonts w:ascii="Arial"/>
          <w:color w:val="646767"/>
          <w:w w:val="105"/>
          <w:sz w:val="13"/>
        </w:rPr>
        <w:t>avoid</w:t>
      </w:r>
      <w:r>
        <w:rPr>
          <w:rFonts w:ascii="Arial"/>
          <w:color w:val="646767"/>
          <w:spacing w:val="-7"/>
          <w:w w:val="105"/>
          <w:sz w:val="13"/>
        </w:rPr>
        <w:t> </w:t>
      </w:r>
      <w:r>
        <w:rPr>
          <w:rFonts w:ascii="Arial"/>
          <w:color w:val="646767"/>
          <w:w w:val="105"/>
          <w:sz w:val="13"/>
        </w:rPr>
        <w:t>anything</w:t>
      </w:r>
      <w:r>
        <w:rPr>
          <w:rFonts w:ascii="Arial"/>
          <w:color w:val="646767"/>
          <w:spacing w:val="-4"/>
          <w:w w:val="105"/>
          <w:sz w:val="13"/>
        </w:rPr>
        <w:t> </w:t>
      </w:r>
      <w:r>
        <w:rPr>
          <w:rFonts w:ascii="Arial"/>
          <w:color w:val="646767"/>
          <w:w w:val="105"/>
          <w:sz w:val="13"/>
        </w:rPr>
        <w:t>that</w:t>
      </w:r>
      <w:r>
        <w:rPr>
          <w:rFonts w:ascii="Arial"/>
          <w:color w:val="646767"/>
          <w:spacing w:val="40"/>
          <w:w w:val="105"/>
          <w:sz w:val="13"/>
        </w:rPr>
        <w:t> </w:t>
      </w:r>
      <w:r>
        <w:rPr>
          <w:rFonts w:ascii="Arial"/>
          <w:color w:val="646767"/>
          <w:w w:val="105"/>
          <w:sz w:val="13"/>
        </w:rPr>
        <w:t>dec</w:t>
      </w:r>
      <w:r>
        <w:rPr>
          <w:rFonts w:ascii="Arial"/>
          <w:color w:val="424242"/>
          <w:w w:val="105"/>
          <w:sz w:val="13"/>
        </w:rPr>
        <w:t>i</w:t>
      </w:r>
      <w:r>
        <w:rPr>
          <w:rFonts w:ascii="Arial"/>
          <w:color w:val="646767"/>
          <w:w w:val="105"/>
          <w:sz w:val="13"/>
        </w:rPr>
        <w:t>sions</w:t>
      </w:r>
      <w:r>
        <w:rPr>
          <w:rFonts w:ascii="Arial"/>
          <w:color w:val="646767"/>
          <w:spacing w:val="-4"/>
          <w:w w:val="105"/>
          <w:sz w:val="13"/>
        </w:rPr>
        <w:t> </w:t>
      </w:r>
      <w:r>
        <w:rPr>
          <w:rFonts w:ascii="Arial"/>
          <w:color w:val="525454"/>
          <w:w w:val="105"/>
          <w:sz w:val="13"/>
        </w:rPr>
        <w:t>that </w:t>
      </w:r>
      <w:r>
        <w:rPr>
          <w:rFonts w:ascii="Arial"/>
          <w:color w:val="646767"/>
          <w:w w:val="105"/>
          <w:sz w:val="13"/>
        </w:rPr>
        <w:t>may </w:t>
      </w:r>
      <w:r>
        <w:rPr>
          <w:rFonts w:ascii="Arial"/>
          <w:color w:val="525454"/>
          <w:w w:val="105"/>
          <w:sz w:val="13"/>
        </w:rPr>
        <w:t>ha</w:t>
      </w:r>
      <w:r>
        <w:rPr>
          <w:rFonts w:ascii="Arial"/>
          <w:color w:val="727775"/>
          <w:w w:val="105"/>
          <w:sz w:val="13"/>
        </w:rPr>
        <w:t>ve </w:t>
      </w:r>
      <w:r>
        <w:rPr>
          <w:rFonts w:ascii="Arial"/>
          <w:color w:val="646767"/>
          <w:w w:val="105"/>
          <w:sz w:val="13"/>
        </w:rPr>
        <w:t>an</w:t>
      </w:r>
      <w:r>
        <w:rPr>
          <w:rFonts w:ascii="Arial"/>
          <w:color w:val="646767"/>
          <w:sz w:val="13"/>
        </w:rPr>
        <w:tab/>
      </w:r>
      <w:r>
        <w:rPr>
          <w:rFonts w:ascii="Arial"/>
          <w:color w:val="646767"/>
          <w:spacing w:val="-19"/>
          <w:sz w:val="13"/>
        </w:rPr>
        <w:t> </w:t>
      </w:r>
      <w:r>
        <w:rPr>
          <w:rFonts w:ascii="Arial"/>
          <w:color w:val="646767"/>
          <w:w w:val="105"/>
          <w:sz w:val="13"/>
        </w:rPr>
        <w:t>may impact on quality</w:t>
      </w:r>
      <w:r>
        <w:rPr>
          <w:rFonts w:ascii="Arial"/>
          <w:color w:val="646767"/>
          <w:spacing w:val="40"/>
          <w:w w:val="105"/>
          <w:sz w:val="13"/>
        </w:rPr>
        <w:t> </w:t>
      </w:r>
      <w:r>
        <w:rPr>
          <w:rFonts w:ascii="Arial"/>
          <w:color w:val="646767"/>
          <w:w w:val="105"/>
          <w:sz w:val="13"/>
        </w:rPr>
        <w:t>uncertai</w:t>
      </w:r>
      <w:r>
        <w:rPr>
          <w:rFonts w:ascii="Arial"/>
          <w:color w:val="424242"/>
          <w:w w:val="105"/>
          <w:sz w:val="13"/>
        </w:rPr>
        <w:t>n </w:t>
      </w:r>
      <w:r>
        <w:rPr>
          <w:rFonts w:ascii="Arial"/>
          <w:color w:val="646767"/>
          <w:w w:val="105"/>
          <w:sz w:val="13"/>
        </w:rPr>
        <w:t>impact on quality</w:t>
      </w:r>
      <w:r>
        <w:rPr>
          <w:rFonts w:ascii="Arial"/>
          <w:color w:val="646767"/>
          <w:sz w:val="13"/>
        </w:rPr>
        <w:tab/>
      </w:r>
      <w:r>
        <w:rPr>
          <w:rFonts w:ascii="Arial"/>
          <w:color w:val="646767"/>
          <w:spacing w:val="-2"/>
          <w:w w:val="105"/>
          <w:sz w:val="13"/>
        </w:rPr>
        <w:t>outcomes</w:t>
      </w:r>
      <w:r>
        <w:rPr>
          <w:rFonts w:ascii="Arial"/>
          <w:color w:val="646767"/>
          <w:spacing w:val="-8"/>
          <w:w w:val="105"/>
          <w:sz w:val="13"/>
        </w:rPr>
        <w:t> </w:t>
      </w:r>
      <w:r>
        <w:rPr>
          <w:rFonts w:ascii="Arial"/>
          <w:color w:val="646767"/>
          <w:spacing w:val="-2"/>
          <w:w w:val="105"/>
          <w:sz w:val="13"/>
        </w:rPr>
        <w:t>unless</w:t>
      </w:r>
      <w:r>
        <w:rPr>
          <w:rFonts w:ascii="Arial"/>
          <w:color w:val="646767"/>
          <w:spacing w:val="-11"/>
          <w:w w:val="105"/>
          <w:sz w:val="13"/>
        </w:rPr>
        <w:t> </w:t>
      </w:r>
      <w:r>
        <w:rPr>
          <w:rFonts w:ascii="Arial"/>
          <w:color w:val="646767"/>
          <w:spacing w:val="-2"/>
          <w:w w:val="105"/>
          <w:sz w:val="13"/>
        </w:rPr>
        <w:t>absolutely</w:t>
      </w:r>
    </w:p>
    <w:p>
      <w:pPr>
        <w:spacing w:line="240" w:lineRule="auto" w:before="0"/>
        <w:rPr>
          <w:rFonts w:ascii="Arial"/>
          <w:sz w:val="14"/>
        </w:rPr>
      </w:pPr>
      <w:r>
        <w:rPr/>
        <w:br w:type="column"/>
      </w:r>
      <w:r>
        <w:rPr>
          <w:rFonts w:ascii="Arial"/>
          <w:sz w:val="14"/>
        </w:rPr>
      </w:r>
    </w:p>
    <w:p>
      <w:pPr>
        <w:pStyle w:val="BodyText"/>
        <w:rPr>
          <w:rFonts w:ascii="Arial"/>
          <w:sz w:val="14"/>
        </w:rPr>
      </w:pPr>
    </w:p>
    <w:p>
      <w:pPr>
        <w:pStyle w:val="BodyText"/>
        <w:spacing w:before="8"/>
        <w:rPr>
          <w:rFonts w:ascii="Arial"/>
          <w:sz w:val="13"/>
        </w:rPr>
      </w:pPr>
    </w:p>
    <w:p>
      <w:pPr>
        <w:tabs>
          <w:tab w:pos="2125" w:val="left" w:leader="none"/>
        </w:tabs>
        <w:spacing w:line="252" w:lineRule="auto" w:before="0"/>
        <w:ind w:left="97" w:right="97" w:hanging="5"/>
        <w:jc w:val="left"/>
        <w:rPr>
          <w:rFonts w:ascii="Arial"/>
          <w:sz w:val="13"/>
        </w:rPr>
      </w:pPr>
      <w:r>
        <w:rPr>
          <w:rFonts w:ascii="Arial"/>
          <w:color w:val="646767"/>
          <w:w w:val="105"/>
          <w:sz w:val="13"/>
        </w:rPr>
        <w:t>We are prepared to accept</w:t>
      </w:r>
      <w:r>
        <w:rPr>
          <w:rFonts w:ascii="Arial"/>
          <w:color w:val="646767"/>
          <w:sz w:val="13"/>
        </w:rPr>
        <w:tab/>
      </w:r>
      <w:r>
        <w:rPr>
          <w:rFonts w:ascii="Arial"/>
          <w:color w:val="646767"/>
          <w:w w:val="105"/>
          <w:sz w:val="13"/>
        </w:rPr>
        <w:t>We are prepared to accept</w:t>
      </w:r>
      <w:r>
        <w:rPr>
          <w:rFonts w:ascii="Arial"/>
          <w:color w:val="646767"/>
          <w:spacing w:val="40"/>
          <w:w w:val="105"/>
          <w:sz w:val="13"/>
        </w:rPr>
        <w:t> </w:t>
      </w:r>
      <w:r>
        <w:rPr>
          <w:rFonts w:ascii="Arial"/>
          <w:color w:val="646767"/>
          <w:sz w:val="13"/>
        </w:rPr>
        <w:t>the possibi</w:t>
      </w:r>
      <w:r>
        <w:rPr>
          <w:rFonts w:ascii="Arial"/>
          <w:color w:val="2F2D2F"/>
          <w:sz w:val="13"/>
        </w:rPr>
        <w:t>l</w:t>
      </w:r>
      <w:r>
        <w:rPr>
          <w:rFonts w:ascii="Arial"/>
          <w:color w:val="646767"/>
          <w:sz w:val="13"/>
        </w:rPr>
        <w:t>ity of limited</w:t>
        <w:tab/>
      </w:r>
      <w:r>
        <w:rPr>
          <w:rFonts w:ascii="Arial"/>
          <w:color w:val="646767"/>
          <w:spacing w:val="-34"/>
          <w:sz w:val="13"/>
        </w:rPr>
        <w:t> </w:t>
      </w:r>
      <w:r>
        <w:rPr>
          <w:rFonts w:ascii="Arial"/>
          <w:color w:val="646767"/>
          <w:sz w:val="13"/>
        </w:rPr>
        <w:t>some</w:t>
      </w:r>
      <w:r>
        <w:rPr>
          <w:rFonts w:ascii="Arial"/>
          <w:color w:val="646767"/>
          <w:spacing w:val="-9"/>
          <w:sz w:val="13"/>
        </w:rPr>
        <w:t> </w:t>
      </w:r>
      <w:r>
        <w:rPr>
          <w:rFonts w:ascii="Arial"/>
          <w:color w:val="646767"/>
          <w:sz w:val="13"/>
        </w:rPr>
        <w:t>financial</w:t>
      </w:r>
      <w:r>
        <w:rPr>
          <w:rFonts w:ascii="Arial"/>
          <w:color w:val="646767"/>
          <w:spacing w:val="-2"/>
          <w:sz w:val="13"/>
        </w:rPr>
        <w:t> </w:t>
      </w:r>
      <w:r>
        <w:rPr>
          <w:rFonts w:ascii="Arial"/>
          <w:color w:val="525454"/>
          <w:sz w:val="13"/>
        </w:rPr>
        <w:t>risk</w:t>
      </w:r>
      <w:r>
        <w:rPr>
          <w:rFonts w:ascii="Arial"/>
          <w:color w:val="525454"/>
          <w:spacing w:val="-4"/>
          <w:sz w:val="13"/>
        </w:rPr>
        <w:t> </w:t>
      </w:r>
      <w:r>
        <w:rPr>
          <w:rFonts w:ascii="Arial"/>
          <w:color w:val="646767"/>
          <w:sz w:val="13"/>
        </w:rPr>
        <w:t>as</w:t>
      </w:r>
      <w:r>
        <w:rPr>
          <w:rFonts w:ascii="Arial"/>
          <w:color w:val="646767"/>
          <w:spacing w:val="-10"/>
          <w:sz w:val="13"/>
        </w:rPr>
        <w:t> </w:t>
      </w:r>
      <w:r>
        <w:rPr>
          <w:rFonts w:ascii="Arial"/>
          <w:color w:val="646767"/>
          <w:sz w:val="13"/>
        </w:rPr>
        <w:t>long</w:t>
      </w:r>
      <w:r>
        <w:rPr>
          <w:rFonts w:ascii="Arial"/>
          <w:color w:val="646767"/>
          <w:spacing w:val="-7"/>
          <w:sz w:val="13"/>
        </w:rPr>
        <w:t> </w:t>
      </w:r>
      <w:r>
        <w:rPr>
          <w:rFonts w:ascii="Arial"/>
          <w:color w:val="646767"/>
          <w:sz w:val="13"/>
        </w:rPr>
        <w:t>as</w:t>
      </w:r>
      <w:r>
        <w:rPr>
          <w:rFonts w:ascii="Arial"/>
          <w:color w:val="646767"/>
          <w:spacing w:val="40"/>
          <w:w w:val="105"/>
          <w:sz w:val="13"/>
        </w:rPr>
        <w:t> </w:t>
      </w:r>
      <w:r>
        <w:rPr>
          <w:rFonts w:ascii="Arial"/>
          <w:color w:val="646767"/>
          <w:w w:val="105"/>
          <w:sz w:val="13"/>
        </w:rPr>
        <w:t>financia</w:t>
      </w:r>
      <w:r>
        <w:rPr>
          <w:rFonts w:ascii="Arial"/>
          <w:color w:val="424242"/>
          <w:w w:val="105"/>
          <w:sz w:val="13"/>
        </w:rPr>
        <w:t>l </w:t>
      </w:r>
      <w:r>
        <w:rPr>
          <w:rFonts w:ascii="Arial"/>
          <w:color w:val="646767"/>
          <w:w w:val="105"/>
          <w:sz w:val="13"/>
        </w:rPr>
        <w:t>risk. However, </w:t>
      </w:r>
      <w:r>
        <w:rPr>
          <w:rFonts w:ascii="Arial"/>
          <w:color w:val="727775"/>
          <w:w w:val="105"/>
          <w:sz w:val="13"/>
        </w:rPr>
        <w:t>VFM </w:t>
      </w:r>
      <w:r>
        <w:rPr>
          <w:rFonts w:ascii="Arial"/>
          <w:color w:val="646767"/>
          <w:w w:val="105"/>
          <w:sz w:val="13"/>
        </w:rPr>
        <w:t>is</w:t>
      </w:r>
      <w:r>
        <w:rPr>
          <w:rFonts w:ascii="Arial"/>
          <w:color w:val="646767"/>
          <w:sz w:val="13"/>
        </w:rPr>
        <w:tab/>
      </w:r>
      <w:r>
        <w:rPr>
          <w:rFonts w:ascii="Arial"/>
          <w:color w:val="646767"/>
          <w:spacing w:val="-35"/>
          <w:sz w:val="13"/>
        </w:rPr>
        <w:t> </w:t>
      </w:r>
      <w:r>
        <w:rPr>
          <w:rFonts w:ascii="Arial"/>
          <w:color w:val="646767"/>
          <w:w w:val="105"/>
          <w:sz w:val="13"/>
        </w:rPr>
        <w:t>appropriate</w:t>
      </w:r>
      <w:r>
        <w:rPr>
          <w:rFonts w:ascii="Arial"/>
          <w:color w:val="646767"/>
          <w:spacing w:val="38"/>
          <w:w w:val="105"/>
          <w:sz w:val="13"/>
        </w:rPr>
        <w:t> </w:t>
      </w:r>
      <w:r>
        <w:rPr>
          <w:rFonts w:ascii="Arial"/>
          <w:color w:val="727775"/>
          <w:w w:val="105"/>
          <w:sz w:val="13"/>
        </w:rPr>
        <w:t>con</w:t>
      </w:r>
      <w:r>
        <w:rPr>
          <w:rFonts w:ascii="Arial"/>
          <w:color w:val="424242"/>
          <w:w w:val="105"/>
          <w:sz w:val="13"/>
        </w:rPr>
        <w:t>t</w:t>
      </w:r>
      <w:r>
        <w:rPr>
          <w:rFonts w:ascii="Arial"/>
          <w:color w:val="646767"/>
          <w:w w:val="105"/>
          <w:sz w:val="13"/>
        </w:rPr>
        <w:t>rols</w:t>
      </w:r>
      <w:r>
        <w:rPr>
          <w:rFonts w:ascii="Arial"/>
          <w:color w:val="646767"/>
          <w:spacing w:val="-10"/>
          <w:w w:val="105"/>
          <w:sz w:val="13"/>
        </w:rPr>
        <w:t> </w:t>
      </w:r>
      <w:r>
        <w:rPr>
          <w:rFonts w:ascii="Arial"/>
          <w:color w:val="646767"/>
          <w:w w:val="105"/>
          <w:sz w:val="13"/>
        </w:rPr>
        <w:t>are in</w:t>
      </w:r>
      <w:r>
        <w:rPr>
          <w:rFonts w:ascii="Arial"/>
          <w:color w:val="646767"/>
          <w:spacing w:val="40"/>
          <w:w w:val="105"/>
          <w:sz w:val="13"/>
        </w:rPr>
        <w:t> </w:t>
      </w:r>
      <w:r>
        <w:rPr>
          <w:rFonts w:ascii="Arial"/>
          <w:color w:val="646767"/>
          <w:w w:val="105"/>
          <w:sz w:val="13"/>
        </w:rPr>
        <w:t>our primary</w:t>
      </w:r>
      <w:r>
        <w:rPr>
          <w:rFonts w:ascii="Arial"/>
          <w:color w:val="646767"/>
          <w:spacing w:val="-8"/>
          <w:w w:val="105"/>
          <w:sz w:val="13"/>
        </w:rPr>
        <w:t> </w:t>
      </w:r>
      <w:r>
        <w:rPr>
          <w:rFonts w:ascii="Arial"/>
          <w:color w:val="646767"/>
          <w:w w:val="105"/>
          <w:sz w:val="13"/>
        </w:rPr>
        <w:t>concern.</w:t>
      </w:r>
      <w:r>
        <w:rPr>
          <w:rFonts w:ascii="Arial"/>
          <w:color w:val="646767"/>
          <w:sz w:val="13"/>
        </w:rPr>
        <w:tab/>
      </w:r>
      <w:r>
        <w:rPr>
          <w:rFonts w:ascii="Arial"/>
          <w:color w:val="646767"/>
          <w:w w:val="105"/>
          <w:sz w:val="13"/>
        </w:rPr>
        <w:t>place. We have a </w:t>
      </w:r>
      <w:r>
        <w:rPr>
          <w:rFonts w:ascii="Arial"/>
          <w:color w:val="525454"/>
          <w:w w:val="105"/>
          <w:sz w:val="13"/>
        </w:rPr>
        <w:t>holistic</w:t>
      </w:r>
    </w:p>
    <w:p>
      <w:pPr>
        <w:spacing w:line="247" w:lineRule="auto" w:before="2"/>
        <w:ind w:left="2128" w:right="0" w:firstLine="0"/>
        <w:jc w:val="left"/>
        <w:rPr>
          <w:rFonts w:ascii="Arial"/>
          <w:sz w:val="13"/>
        </w:rPr>
      </w:pPr>
      <w:r>
        <w:rPr>
          <w:rFonts w:ascii="Arial"/>
          <w:color w:val="646767"/>
          <w:w w:val="105"/>
          <w:sz w:val="13"/>
        </w:rPr>
        <w:t>understanding</w:t>
      </w:r>
      <w:r>
        <w:rPr>
          <w:rFonts w:ascii="Arial"/>
          <w:color w:val="646767"/>
          <w:spacing w:val="40"/>
          <w:w w:val="105"/>
          <w:sz w:val="13"/>
        </w:rPr>
        <w:t> </w:t>
      </w:r>
      <w:r>
        <w:rPr>
          <w:rFonts w:ascii="Arial"/>
          <w:color w:val="646767"/>
          <w:w w:val="105"/>
          <w:sz w:val="13"/>
        </w:rPr>
        <w:t>of </w:t>
      </w:r>
      <w:r>
        <w:rPr>
          <w:rFonts w:ascii="Arial"/>
          <w:color w:val="727775"/>
          <w:w w:val="105"/>
          <w:sz w:val="13"/>
        </w:rPr>
        <w:t>VFM with</w:t>
      </w:r>
      <w:r>
        <w:rPr>
          <w:rFonts w:ascii="Arial"/>
          <w:color w:val="727775"/>
          <w:spacing w:val="40"/>
          <w:w w:val="105"/>
          <w:sz w:val="13"/>
        </w:rPr>
        <w:t> </w:t>
      </w:r>
      <w:r>
        <w:rPr>
          <w:rFonts w:ascii="Arial"/>
          <w:color w:val="646767"/>
          <w:w w:val="105"/>
          <w:sz w:val="13"/>
        </w:rPr>
        <w:t>price</w:t>
      </w:r>
      <w:r>
        <w:rPr>
          <w:rFonts w:ascii="Arial"/>
          <w:color w:val="646767"/>
          <w:spacing w:val="-10"/>
          <w:w w:val="105"/>
          <w:sz w:val="13"/>
        </w:rPr>
        <w:t> </w:t>
      </w:r>
      <w:r>
        <w:rPr>
          <w:rFonts w:ascii="Arial"/>
          <w:color w:val="525454"/>
          <w:w w:val="105"/>
          <w:sz w:val="13"/>
        </w:rPr>
        <w:t>not</w:t>
      </w:r>
      <w:r>
        <w:rPr>
          <w:rFonts w:ascii="Arial"/>
          <w:color w:val="525454"/>
          <w:spacing w:val="-11"/>
          <w:w w:val="105"/>
          <w:sz w:val="13"/>
        </w:rPr>
        <w:t> </w:t>
      </w:r>
      <w:r>
        <w:rPr>
          <w:rFonts w:ascii="Arial"/>
          <w:color w:val="646767"/>
          <w:w w:val="105"/>
          <w:sz w:val="13"/>
        </w:rPr>
        <w:t>t</w:t>
      </w:r>
      <w:r>
        <w:rPr>
          <w:rFonts w:ascii="Arial"/>
          <w:color w:val="424242"/>
          <w:w w:val="105"/>
          <w:sz w:val="13"/>
        </w:rPr>
        <w:t>h</w:t>
      </w:r>
      <w:r>
        <w:rPr>
          <w:rFonts w:ascii="Arial"/>
          <w:color w:val="646767"/>
          <w:w w:val="105"/>
          <w:sz w:val="13"/>
        </w:rPr>
        <w:t>e</w:t>
      </w:r>
      <w:r>
        <w:rPr>
          <w:rFonts w:ascii="Arial"/>
          <w:color w:val="646767"/>
          <w:spacing w:val="-9"/>
          <w:w w:val="105"/>
          <w:sz w:val="13"/>
        </w:rPr>
        <w:t> </w:t>
      </w:r>
      <w:r>
        <w:rPr>
          <w:rFonts w:ascii="Arial"/>
          <w:color w:val="727775"/>
          <w:w w:val="105"/>
          <w:sz w:val="13"/>
        </w:rPr>
        <w:t>overriding</w:t>
      </w:r>
      <w:r>
        <w:rPr>
          <w:rFonts w:ascii="Arial"/>
          <w:color w:val="727775"/>
          <w:spacing w:val="-10"/>
          <w:w w:val="105"/>
          <w:sz w:val="13"/>
        </w:rPr>
        <w:t> </w:t>
      </w:r>
      <w:r>
        <w:rPr>
          <w:rFonts w:ascii="Arial"/>
          <w:color w:val="646767"/>
          <w:w w:val="105"/>
          <w:sz w:val="13"/>
        </w:rPr>
        <w:t>factor.</w:t>
      </w:r>
    </w:p>
    <w:p>
      <w:pPr>
        <w:pStyle w:val="BodyText"/>
        <w:spacing w:before="1"/>
        <w:rPr>
          <w:rFonts w:ascii="Arial"/>
          <w:sz w:val="20"/>
        </w:rPr>
      </w:pPr>
    </w:p>
    <w:p>
      <w:pPr>
        <w:tabs>
          <w:tab w:pos="2120" w:val="left" w:leader="none"/>
        </w:tabs>
        <w:spacing w:line="254" w:lineRule="auto" w:before="0"/>
        <w:ind w:left="97" w:right="64" w:hanging="5"/>
        <w:jc w:val="left"/>
        <w:rPr>
          <w:rFonts w:ascii="Arial"/>
          <w:sz w:val="13"/>
        </w:rPr>
      </w:pPr>
      <w:r>
        <w:rPr>
          <w:rFonts w:ascii="Arial"/>
          <w:color w:val="646767"/>
          <w:w w:val="105"/>
          <w:sz w:val="13"/>
        </w:rPr>
        <w:t>We are prepared to accept</w:t>
      </w:r>
      <w:r>
        <w:rPr>
          <w:rFonts w:ascii="Arial"/>
          <w:color w:val="646767"/>
          <w:sz w:val="13"/>
        </w:rPr>
        <w:tab/>
      </w:r>
      <w:r>
        <w:rPr>
          <w:rFonts w:ascii="Arial"/>
          <w:color w:val="646767"/>
          <w:w w:val="105"/>
          <w:sz w:val="13"/>
        </w:rPr>
        <w:t>We are prepared to accept</w:t>
      </w:r>
      <w:r>
        <w:rPr>
          <w:rFonts w:ascii="Arial"/>
          <w:color w:val="646767"/>
          <w:spacing w:val="40"/>
          <w:w w:val="105"/>
          <w:sz w:val="13"/>
        </w:rPr>
        <w:t> </w:t>
      </w:r>
      <w:r>
        <w:rPr>
          <w:rFonts w:ascii="Arial"/>
          <w:color w:val="525454"/>
          <w:w w:val="105"/>
          <w:sz w:val="13"/>
        </w:rPr>
        <w:t>the </w:t>
      </w:r>
      <w:r>
        <w:rPr>
          <w:rFonts w:ascii="Arial"/>
          <w:color w:val="646767"/>
          <w:w w:val="105"/>
          <w:sz w:val="13"/>
        </w:rPr>
        <w:t>possibi</w:t>
      </w:r>
      <w:r>
        <w:rPr>
          <w:rFonts w:ascii="Arial"/>
          <w:color w:val="2F2D2F"/>
          <w:w w:val="105"/>
          <w:sz w:val="13"/>
        </w:rPr>
        <w:t>l</w:t>
      </w:r>
      <w:r>
        <w:rPr>
          <w:rFonts w:ascii="Arial"/>
          <w:color w:val="646767"/>
          <w:w w:val="105"/>
          <w:sz w:val="13"/>
        </w:rPr>
        <w:t>ity of limited</w:t>
      </w:r>
      <w:r>
        <w:rPr>
          <w:rFonts w:ascii="Arial"/>
          <w:color w:val="646767"/>
          <w:sz w:val="13"/>
        </w:rPr>
        <w:tab/>
      </w:r>
      <w:r>
        <w:rPr>
          <w:rFonts w:ascii="Arial"/>
          <w:color w:val="646767"/>
          <w:spacing w:val="-29"/>
          <w:sz w:val="13"/>
        </w:rPr>
        <w:t> </w:t>
      </w:r>
      <w:r>
        <w:rPr>
          <w:rFonts w:ascii="Arial"/>
          <w:color w:val="646767"/>
          <w:w w:val="105"/>
          <w:sz w:val="13"/>
        </w:rPr>
        <w:t>the possibi</w:t>
      </w:r>
      <w:r>
        <w:rPr>
          <w:rFonts w:ascii="Arial"/>
          <w:color w:val="2F2D2F"/>
          <w:w w:val="105"/>
          <w:sz w:val="13"/>
        </w:rPr>
        <w:t>l</w:t>
      </w:r>
      <w:r>
        <w:rPr>
          <w:rFonts w:ascii="Arial"/>
          <w:color w:val="646767"/>
          <w:w w:val="105"/>
          <w:sz w:val="13"/>
        </w:rPr>
        <w:t>ity</w:t>
      </w:r>
      <w:r>
        <w:rPr>
          <w:rFonts w:ascii="Arial"/>
          <w:color w:val="646767"/>
          <w:spacing w:val="-1"/>
          <w:w w:val="105"/>
          <w:sz w:val="13"/>
        </w:rPr>
        <w:t> </w:t>
      </w:r>
      <w:r>
        <w:rPr>
          <w:rFonts w:ascii="Arial"/>
          <w:color w:val="646767"/>
          <w:w w:val="105"/>
          <w:sz w:val="13"/>
        </w:rPr>
        <w:t>of some</w:t>
      </w:r>
      <w:r>
        <w:rPr>
          <w:rFonts w:ascii="Arial"/>
          <w:color w:val="646767"/>
          <w:spacing w:val="40"/>
          <w:w w:val="105"/>
          <w:sz w:val="13"/>
        </w:rPr>
        <w:t> </w:t>
      </w:r>
      <w:r>
        <w:rPr>
          <w:rFonts w:ascii="Arial"/>
          <w:color w:val="646767"/>
          <w:w w:val="105"/>
          <w:sz w:val="13"/>
        </w:rPr>
        <w:t>regulatory</w:t>
      </w:r>
      <w:r>
        <w:rPr>
          <w:rFonts w:ascii="Arial"/>
          <w:color w:val="646767"/>
          <w:spacing w:val="-2"/>
          <w:w w:val="105"/>
          <w:sz w:val="13"/>
        </w:rPr>
        <w:t> </w:t>
      </w:r>
      <w:r>
        <w:rPr>
          <w:rFonts w:ascii="Arial"/>
          <w:color w:val="727775"/>
          <w:w w:val="105"/>
          <w:sz w:val="13"/>
        </w:rPr>
        <w:t>cha</w:t>
      </w:r>
      <w:r>
        <w:rPr>
          <w:rFonts w:ascii="Arial"/>
          <w:color w:val="424242"/>
          <w:w w:val="105"/>
          <w:sz w:val="13"/>
        </w:rPr>
        <w:t>ll</w:t>
      </w:r>
      <w:r>
        <w:rPr>
          <w:rFonts w:ascii="Arial"/>
          <w:color w:val="646767"/>
          <w:w w:val="105"/>
          <w:sz w:val="13"/>
        </w:rPr>
        <w:t>enge.</w:t>
      </w:r>
      <w:r>
        <w:rPr>
          <w:rFonts w:ascii="Arial"/>
          <w:color w:val="646767"/>
          <w:spacing w:val="-14"/>
          <w:w w:val="105"/>
          <w:sz w:val="13"/>
        </w:rPr>
        <w:t> </w:t>
      </w:r>
      <w:r>
        <w:rPr>
          <w:rFonts w:ascii="Arial"/>
          <w:color w:val="646767"/>
          <w:w w:val="105"/>
          <w:sz w:val="13"/>
        </w:rPr>
        <w:t>We</w:t>
      </w:r>
      <w:r>
        <w:rPr>
          <w:rFonts w:ascii="Arial"/>
          <w:color w:val="646767"/>
          <w:sz w:val="13"/>
        </w:rPr>
        <w:tab/>
      </w:r>
      <w:r>
        <w:rPr>
          <w:rFonts w:ascii="Arial"/>
          <w:color w:val="646767"/>
          <w:spacing w:val="-32"/>
          <w:sz w:val="13"/>
        </w:rPr>
        <w:t> </w:t>
      </w:r>
      <w:r>
        <w:rPr>
          <w:rFonts w:ascii="Arial"/>
          <w:color w:val="646767"/>
          <w:w w:val="105"/>
          <w:sz w:val="13"/>
        </w:rPr>
        <w:t>regulatory challenge as</w:t>
      </w:r>
      <w:r>
        <w:rPr>
          <w:rFonts w:ascii="Arial"/>
          <w:color w:val="646767"/>
          <w:spacing w:val="-10"/>
          <w:w w:val="105"/>
          <w:sz w:val="13"/>
        </w:rPr>
        <w:t> </w:t>
      </w:r>
      <w:r>
        <w:rPr>
          <w:rFonts w:ascii="Arial"/>
          <w:color w:val="646767"/>
          <w:w w:val="105"/>
          <w:sz w:val="13"/>
        </w:rPr>
        <w:t>long</w:t>
      </w:r>
      <w:r>
        <w:rPr>
          <w:rFonts w:ascii="Arial"/>
          <w:color w:val="646767"/>
          <w:spacing w:val="40"/>
          <w:w w:val="105"/>
          <w:sz w:val="13"/>
        </w:rPr>
        <w:t> </w:t>
      </w:r>
      <w:r>
        <w:rPr>
          <w:rFonts w:ascii="Arial"/>
          <w:color w:val="646767"/>
          <w:w w:val="105"/>
          <w:sz w:val="13"/>
        </w:rPr>
        <w:t>wou</w:t>
      </w:r>
      <w:r>
        <w:rPr>
          <w:rFonts w:ascii="Arial"/>
          <w:color w:val="424242"/>
          <w:w w:val="105"/>
          <w:sz w:val="13"/>
        </w:rPr>
        <w:t>l</w:t>
      </w:r>
      <w:r>
        <w:rPr>
          <w:rFonts w:ascii="Arial"/>
          <w:color w:val="646767"/>
          <w:w w:val="105"/>
          <w:sz w:val="13"/>
        </w:rPr>
        <w:t>d seek </w:t>
      </w:r>
      <w:r>
        <w:rPr>
          <w:rFonts w:ascii="Arial"/>
          <w:color w:val="525454"/>
          <w:w w:val="105"/>
          <w:sz w:val="13"/>
        </w:rPr>
        <w:t>to</w:t>
      </w:r>
      <w:r>
        <w:rPr>
          <w:rFonts w:ascii="Arial"/>
          <w:color w:val="525454"/>
          <w:spacing w:val="40"/>
          <w:w w:val="105"/>
          <w:sz w:val="13"/>
        </w:rPr>
        <w:t> </w:t>
      </w:r>
      <w:r>
        <w:rPr>
          <w:rFonts w:ascii="Arial"/>
          <w:color w:val="424242"/>
          <w:w w:val="105"/>
          <w:sz w:val="13"/>
        </w:rPr>
        <w:t>u</w:t>
      </w:r>
      <w:r>
        <w:rPr>
          <w:rFonts w:ascii="Arial"/>
          <w:color w:val="646767"/>
          <w:w w:val="105"/>
          <w:sz w:val="13"/>
        </w:rPr>
        <w:t>nderstand</w:t>
      </w:r>
      <w:r>
        <w:rPr>
          <w:rFonts w:ascii="Arial"/>
          <w:color w:val="646767"/>
          <w:sz w:val="13"/>
        </w:rPr>
        <w:tab/>
      </w:r>
      <w:r>
        <w:rPr>
          <w:rFonts w:ascii="Arial"/>
          <w:color w:val="646767"/>
          <w:w w:val="105"/>
          <w:sz w:val="13"/>
        </w:rPr>
        <w:t>as we can be reasonably</w:t>
      </w:r>
      <w:r>
        <w:rPr>
          <w:rFonts w:ascii="Arial"/>
          <w:color w:val="646767"/>
          <w:spacing w:val="40"/>
          <w:w w:val="105"/>
          <w:sz w:val="13"/>
        </w:rPr>
        <w:t> </w:t>
      </w:r>
      <w:r>
        <w:rPr>
          <w:rFonts w:ascii="Arial"/>
          <w:color w:val="727775"/>
          <w:w w:val="105"/>
          <w:sz w:val="13"/>
        </w:rPr>
        <w:t>where </w:t>
      </w:r>
      <w:r>
        <w:rPr>
          <w:rFonts w:ascii="Arial"/>
          <w:color w:val="646767"/>
          <w:w w:val="105"/>
          <w:sz w:val="13"/>
        </w:rPr>
        <w:t>si</w:t>
      </w:r>
      <w:r>
        <w:rPr>
          <w:rFonts w:ascii="Arial"/>
          <w:color w:val="424242"/>
          <w:w w:val="105"/>
          <w:sz w:val="13"/>
        </w:rPr>
        <w:t>mi</w:t>
      </w:r>
      <w:r>
        <w:rPr>
          <w:rFonts w:ascii="Arial"/>
          <w:color w:val="646767"/>
          <w:w w:val="105"/>
          <w:sz w:val="13"/>
        </w:rPr>
        <w:t>lar</w:t>
      </w:r>
      <w:r>
        <w:rPr>
          <w:rFonts w:ascii="Arial"/>
          <w:color w:val="646767"/>
          <w:spacing w:val="-6"/>
          <w:w w:val="105"/>
          <w:sz w:val="13"/>
        </w:rPr>
        <w:t> </w:t>
      </w:r>
      <w:r>
        <w:rPr>
          <w:rFonts w:ascii="Arial"/>
          <w:color w:val="646767"/>
          <w:w w:val="105"/>
          <w:sz w:val="13"/>
        </w:rPr>
        <w:t>actions had</w:t>
      </w:r>
      <w:r>
        <w:rPr>
          <w:rFonts w:ascii="Arial"/>
          <w:color w:val="646767"/>
          <w:sz w:val="13"/>
        </w:rPr>
        <w:tab/>
      </w:r>
      <w:r>
        <w:rPr>
          <w:rFonts w:ascii="Arial"/>
          <w:color w:val="727775"/>
          <w:w w:val="105"/>
          <w:sz w:val="13"/>
        </w:rPr>
        <w:t>co</w:t>
      </w:r>
      <w:r>
        <w:rPr>
          <w:rFonts w:ascii="Arial"/>
          <w:color w:val="525454"/>
          <w:w w:val="105"/>
          <w:sz w:val="13"/>
        </w:rPr>
        <w:t>nfident </w:t>
      </w:r>
      <w:r>
        <w:rPr>
          <w:rFonts w:ascii="Arial"/>
          <w:color w:val="727775"/>
          <w:w w:val="105"/>
          <w:sz w:val="13"/>
        </w:rPr>
        <w:t>we would </w:t>
      </w:r>
      <w:r>
        <w:rPr>
          <w:rFonts w:ascii="Arial"/>
          <w:color w:val="646767"/>
          <w:w w:val="105"/>
          <w:sz w:val="13"/>
        </w:rPr>
        <w:t>be able</w:t>
      </w:r>
      <w:r>
        <w:rPr>
          <w:rFonts w:ascii="Arial"/>
          <w:color w:val="646767"/>
          <w:spacing w:val="40"/>
          <w:w w:val="105"/>
          <w:sz w:val="13"/>
        </w:rPr>
        <w:t> </w:t>
      </w:r>
      <w:r>
        <w:rPr>
          <w:rFonts w:ascii="Arial"/>
          <w:color w:val="646767"/>
          <w:sz w:val="13"/>
        </w:rPr>
        <w:t>been successful </w:t>
      </w:r>
      <w:r>
        <w:rPr>
          <w:rFonts w:ascii="Arial"/>
          <w:color w:val="525454"/>
          <w:sz w:val="13"/>
        </w:rPr>
        <w:t>else</w:t>
      </w:r>
      <w:r>
        <w:rPr>
          <w:rFonts w:ascii="Arial"/>
          <w:color w:val="727775"/>
          <w:sz w:val="13"/>
        </w:rPr>
        <w:t>wh</w:t>
      </w:r>
      <w:r>
        <w:rPr>
          <w:rFonts w:ascii="Arial"/>
          <w:color w:val="525454"/>
          <w:sz w:val="13"/>
        </w:rPr>
        <w:t>ere</w:t>
        <w:tab/>
      </w:r>
      <w:r>
        <w:rPr>
          <w:rFonts w:ascii="Arial"/>
          <w:color w:val="525454"/>
          <w:spacing w:val="-35"/>
          <w:sz w:val="13"/>
        </w:rPr>
        <w:t> </w:t>
      </w:r>
      <w:r>
        <w:rPr>
          <w:rFonts w:ascii="Arial"/>
          <w:color w:val="424242"/>
          <w:sz w:val="13"/>
        </w:rPr>
        <w:t>t</w:t>
      </w:r>
      <w:r>
        <w:rPr>
          <w:rFonts w:ascii="Arial"/>
          <w:color w:val="646767"/>
          <w:sz w:val="13"/>
        </w:rPr>
        <w:t>o</w:t>
      </w:r>
      <w:r>
        <w:rPr>
          <w:rFonts w:ascii="Arial"/>
          <w:color w:val="646767"/>
          <w:spacing w:val="-2"/>
          <w:sz w:val="13"/>
        </w:rPr>
        <w:t> </w:t>
      </w:r>
      <w:r>
        <w:rPr>
          <w:rFonts w:ascii="Arial"/>
          <w:color w:val="646767"/>
          <w:sz w:val="13"/>
        </w:rPr>
        <w:t>challenge this</w:t>
      </w:r>
      <w:r>
        <w:rPr>
          <w:rFonts w:ascii="Arial"/>
          <w:color w:val="646767"/>
          <w:spacing w:val="-8"/>
          <w:sz w:val="13"/>
        </w:rPr>
        <w:t> </w:t>
      </w:r>
      <w:r>
        <w:rPr>
          <w:rFonts w:ascii="Arial"/>
          <w:color w:val="646767"/>
          <w:sz w:val="13"/>
        </w:rPr>
        <w:t>successfu</w:t>
      </w:r>
      <w:r>
        <w:rPr>
          <w:rFonts w:ascii="Arial"/>
          <w:color w:val="2F2D2F"/>
          <w:sz w:val="13"/>
        </w:rPr>
        <w:t>l</w:t>
      </w:r>
      <w:r>
        <w:rPr>
          <w:rFonts w:ascii="Arial"/>
          <w:color w:val="646767"/>
          <w:sz w:val="13"/>
        </w:rPr>
        <w:t>ly.</w:t>
      </w:r>
      <w:r>
        <w:rPr>
          <w:rFonts w:ascii="Arial"/>
          <w:color w:val="646767"/>
          <w:spacing w:val="40"/>
          <w:w w:val="105"/>
          <w:sz w:val="13"/>
        </w:rPr>
        <w:t> </w:t>
      </w:r>
      <w:r>
        <w:rPr>
          <w:rFonts w:ascii="Arial"/>
          <w:color w:val="646767"/>
          <w:w w:val="105"/>
          <w:sz w:val="13"/>
        </w:rPr>
        <w:t>before taking any</w:t>
      </w:r>
      <w:r>
        <w:rPr>
          <w:rFonts w:ascii="Arial"/>
          <w:color w:val="646767"/>
          <w:spacing w:val="-4"/>
          <w:w w:val="105"/>
          <w:sz w:val="13"/>
        </w:rPr>
        <w:t> </w:t>
      </w:r>
      <w:r>
        <w:rPr>
          <w:rFonts w:ascii="Arial"/>
          <w:color w:val="646767"/>
          <w:w w:val="105"/>
          <w:sz w:val="13"/>
        </w:rPr>
        <w:t>dec</w:t>
      </w:r>
      <w:r>
        <w:rPr>
          <w:rFonts w:ascii="Arial"/>
          <w:color w:val="2F2D2F"/>
          <w:w w:val="105"/>
          <w:sz w:val="13"/>
        </w:rPr>
        <w:t>i</w:t>
      </w:r>
      <w:r>
        <w:rPr>
          <w:rFonts w:ascii="Arial"/>
          <w:color w:val="646767"/>
          <w:w w:val="105"/>
          <w:sz w:val="13"/>
        </w:rPr>
        <w:t>sio</w:t>
      </w:r>
      <w:r>
        <w:rPr>
          <w:rFonts w:ascii="Arial"/>
          <w:color w:val="424242"/>
          <w:w w:val="105"/>
          <w:sz w:val="13"/>
        </w:rPr>
        <w:t>n</w:t>
      </w:r>
      <w:r>
        <w:rPr>
          <w:rFonts w:ascii="Arial"/>
          <w:color w:val="727775"/>
          <w:w w:val="105"/>
          <w:sz w:val="13"/>
        </w:rPr>
        <w:t>.</w:t>
      </w:r>
    </w:p>
    <w:p>
      <w:pPr>
        <w:pStyle w:val="BodyText"/>
        <w:spacing w:before="2"/>
        <w:rPr>
          <w:rFonts w:ascii="Arial"/>
          <w:sz w:val="20"/>
        </w:rPr>
      </w:pPr>
    </w:p>
    <w:p>
      <w:pPr>
        <w:tabs>
          <w:tab w:pos="2120" w:val="left" w:leader="none"/>
        </w:tabs>
        <w:spacing w:line="259" w:lineRule="auto" w:before="0"/>
        <w:ind w:left="99" w:right="75" w:hanging="2"/>
        <w:jc w:val="left"/>
        <w:rPr>
          <w:rFonts w:ascii="Arial"/>
          <w:sz w:val="13"/>
        </w:rPr>
      </w:pPr>
      <w:r>
        <w:rPr>
          <w:rFonts w:ascii="Arial"/>
          <w:color w:val="646767"/>
          <w:sz w:val="13"/>
        </w:rPr>
        <w:t>Ou</w:t>
      </w:r>
      <w:r>
        <w:rPr>
          <w:rFonts w:ascii="Arial"/>
          <w:color w:val="424242"/>
          <w:sz w:val="13"/>
        </w:rPr>
        <w:t>r </w:t>
      </w:r>
      <w:r>
        <w:rPr>
          <w:rFonts w:ascii="Arial"/>
          <w:color w:val="646767"/>
          <w:sz w:val="13"/>
        </w:rPr>
        <w:t>preference is for risk</w:t>
        <w:tab/>
        <w:t>We are prepared </w:t>
      </w:r>
      <w:r>
        <w:rPr>
          <w:rFonts w:ascii="Arial"/>
          <w:color w:val="525454"/>
          <w:sz w:val="13"/>
        </w:rPr>
        <w:t>to </w:t>
      </w:r>
      <w:r>
        <w:rPr>
          <w:rFonts w:ascii="Arial"/>
          <w:color w:val="646767"/>
          <w:sz w:val="13"/>
        </w:rPr>
        <w:t>accept</w:t>
      </w:r>
      <w:r>
        <w:rPr>
          <w:rFonts w:ascii="Arial"/>
          <w:color w:val="646767"/>
          <w:spacing w:val="40"/>
          <w:sz w:val="13"/>
        </w:rPr>
        <w:t> </w:t>
      </w:r>
      <w:r>
        <w:rPr>
          <w:rFonts w:ascii="Arial"/>
          <w:color w:val="646767"/>
          <w:sz w:val="13"/>
        </w:rPr>
        <w:t>avoidance. </w:t>
      </w:r>
      <w:r>
        <w:rPr>
          <w:rFonts w:ascii="Arial"/>
          <w:color w:val="424242"/>
          <w:sz w:val="13"/>
        </w:rPr>
        <w:t>H</w:t>
      </w:r>
      <w:r>
        <w:rPr>
          <w:rFonts w:ascii="Arial"/>
          <w:color w:val="646767"/>
          <w:sz w:val="13"/>
        </w:rPr>
        <w:t>owever, if</w:t>
        <w:tab/>
      </w:r>
      <w:r>
        <w:rPr>
          <w:rFonts w:ascii="Arial"/>
          <w:color w:val="646767"/>
          <w:spacing w:val="-31"/>
          <w:sz w:val="13"/>
        </w:rPr>
        <w:t> </w:t>
      </w:r>
      <w:r>
        <w:rPr>
          <w:rFonts w:ascii="Arial"/>
          <w:color w:val="525454"/>
          <w:sz w:val="13"/>
        </w:rPr>
        <w:t>the</w:t>
      </w:r>
      <w:r>
        <w:rPr>
          <w:rFonts w:ascii="Arial"/>
          <w:color w:val="525454"/>
          <w:spacing w:val="23"/>
          <w:sz w:val="13"/>
        </w:rPr>
        <w:t> </w:t>
      </w:r>
      <w:r>
        <w:rPr>
          <w:rFonts w:ascii="Arial"/>
          <w:color w:val="646767"/>
          <w:sz w:val="13"/>
        </w:rPr>
        <w:t>possibi</w:t>
      </w:r>
      <w:r>
        <w:rPr>
          <w:rFonts w:ascii="Arial"/>
          <w:color w:val="2F2D2F"/>
          <w:sz w:val="13"/>
        </w:rPr>
        <w:t>l</w:t>
      </w:r>
      <w:r>
        <w:rPr>
          <w:rFonts w:ascii="Arial"/>
          <w:color w:val="646767"/>
          <w:sz w:val="13"/>
        </w:rPr>
        <w:t>ity</w:t>
      </w:r>
      <w:r>
        <w:rPr>
          <w:rFonts w:ascii="Arial"/>
          <w:color w:val="646767"/>
          <w:spacing w:val="-10"/>
          <w:sz w:val="13"/>
        </w:rPr>
        <w:t> </w:t>
      </w:r>
      <w:r>
        <w:rPr>
          <w:rFonts w:ascii="Arial"/>
          <w:color w:val="646767"/>
          <w:sz w:val="13"/>
        </w:rPr>
        <w:t>of a</w:t>
      </w:r>
      <w:r>
        <w:rPr>
          <w:rFonts w:ascii="Arial"/>
          <w:color w:val="646767"/>
          <w:spacing w:val="-2"/>
          <w:sz w:val="13"/>
        </w:rPr>
        <w:t> </w:t>
      </w:r>
      <w:r>
        <w:rPr>
          <w:rFonts w:ascii="Arial"/>
          <w:color w:val="646767"/>
          <w:sz w:val="13"/>
        </w:rPr>
        <w:t>short-te</w:t>
      </w:r>
      <w:r>
        <w:rPr>
          <w:rFonts w:ascii="Arial"/>
          <w:color w:val="2F2D2F"/>
          <w:sz w:val="13"/>
        </w:rPr>
        <w:t>r</w:t>
      </w:r>
      <w:r>
        <w:rPr>
          <w:rFonts w:ascii="Arial"/>
          <w:color w:val="646767"/>
          <w:sz w:val="13"/>
        </w:rPr>
        <w:t>m</w:t>
      </w:r>
      <w:r>
        <w:rPr>
          <w:rFonts w:ascii="Arial"/>
          <w:color w:val="646767"/>
          <w:spacing w:val="40"/>
          <w:sz w:val="13"/>
        </w:rPr>
        <w:t> </w:t>
      </w:r>
      <w:r>
        <w:rPr>
          <w:rFonts w:ascii="Arial"/>
          <w:color w:val="646767"/>
          <w:sz w:val="13"/>
        </w:rPr>
        <w:t>necessary </w:t>
      </w:r>
      <w:r>
        <w:rPr>
          <w:rFonts w:ascii="Arial"/>
          <w:b/>
          <w:color w:val="646767"/>
          <w:sz w:val="12"/>
        </w:rPr>
        <w:t>we</w:t>
      </w:r>
      <w:r>
        <w:rPr>
          <w:rFonts w:ascii="Arial"/>
          <w:b/>
          <w:color w:val="646767"/>
          <w:spacing w:val="40"/>
          <w:sz w:val="12"/>
        </w:rPr>
        <w:t> </w:t>
      </w:r>
      <w:r>
        <w:rPr>
          <w:rFonts w:ascii="Arial"/>
          <w:color w:val="727775"/>
          <w:sz w:val="13"/>
        </w:rPr>
        <w:t>wi</w:t>
      </w:r>
      <w:r>
        <w:rPr>
          <w:rFonts w:ascii="Arial"/>
          <w:color w:val="2F2D2F"/>
          <w:sz w:val="13"/>
        </w:rPr>
        <w:t>l</w:t>
      </w:r>
      <w:r>
        <w:rPr>
          <w:rFonts w:ascii="Arial"/>
          <w:color w:val="646767"/>
          <w:sz w:val="13"/>
        </w:rPr>
        <w:t>l take</w:t>
        <w:tab/>
      </w:r>
      <w:r>
        <w:rPr>
          <w:rFonts w:ascii="Arial"/>
          <w:color w:val="646767"/>
          <w:spacing w:val="-26"/>
          <w:sz w:val="13"/>
        </w:rPr>
        <w:t> </w:t>
      </w:r>
      <w:r>
        <w:rPr>
          <w:rFonts w:ascii="Arial"/>
          <w:color w:val="646767"/>
          <w:sz w:val="13"/>
        </w:rPr>
        <w:t>impact on quality o</w:t>
      </w:r>
      <w:r>
        <w:rPr>
          <w:rFonts w:ascii="Arial"/>
          <w:color w:val="424242"/>
          <w:sz w:val="13"/>
        </w:rPr>
        <w:t>u</w:t>
      </w:r>
      <w:r>
        <w:rPr>
          <w:rFonts w:ascii="Arial"/>
          <w:color w:val="646767"/>
          <w:sz w:val="13"/>
        </w:rPr>
        <w:t>tcomes</w:t>
      </w:r>
    </w:p>
    <w:p>
      <w:pPr>
        <w:spacing w:line="240" w:lineRule="auto" w:before="0"/>
        <w:rPr>
          <w:rFonts w:ascii="Arial"/>
          <w:sz w:val="14"/>
        </w:rPr>
      </w:pPr>
      <w:r>
        <w:rPr/>
        <w:br w:type="column"/>
      </w:r>
      <w:r>
        <w:rPr>
          <w:rFonts w:ascii="Arial"/>
          <w:sz w:val="14"/>
        </w:rPr>
      </w:r>
    </w:p>
    <w:p>
      <w:pPr>
        <w:pStyle w:val="BodyText"/>
        <w:rPr>
          <w:rFonts w:ascii="Arial"/>
          <w:sz w:val="14"/>
        </w:rPr>
      </w:pPr>
    </w:p>
    <w:p>
      <w:pPr>
        <w:pStyle w:val="BodyText"/>
        <w:spacing w:before="3"/>
        <w:rPr>
          <w:rFonts w:ascii="Arial"/>
          <w:sz w:val="13"/>
        </w:rPr>
      </w:pPr>
    </w:p>
    <w:p>
      <w:pPr>
        <w:spacing w:line="254" w:lineRule="auto" w:before="1"/>
        <w:ind w:left="121" w:right="112" w:hanging="5"/>
        <w:jc w:val="left"/>
        <w:rPr>
          <w:rFonts w:ascii="Arial"/>
          <w:sz w:val="13"/>
        </w:rPr>
      </w:pPr>
      <w:r>
        <w:rPr/>
        <w:pict>
          <v:group style="position:absolute;margin-left:421.769073pt;margin-top:-24.995811pt;width:86.6pt;height:12.3pt;mso-position-horizontal-relative:page;mso-position-vertical-relative:paragraph;z-index:15834624" id="docshapegroup486" coordorigin="8435,-500" coordsize="1732,246">
            <v:shape style="position:absolute;left:8435;top:-375;width:473;height:121" type="#_x0000_t202" id="docshape487" filled="true" fillcolor="#0189cf" stroked="false">
              <v:textbox inset="0,0,0,0">
                <w:txbxContent>
                  <w:p>
                    <w:pPr>
                      <w:spacing w:line="108" w:lineRule="exact" w:before="0"/>
                      <w:ind w:left="0" w:right="-15" w:firstLine="0"/>
                      <w:jc w:val="left"/>
                      <w:rPr>
                        <w:rFonts w:ascii="Arial"/>
                        <w:color w:val="000000"/>
                        <w:sz w:val="11"/>
                      </w:rPr>
                    </w:pPr>
                    <w:r>
                      <w:rPr>
                        <w:rFonts w:ascii="Arial"/>
                        <w:color w:val="A0D1EB"/>
                        <w:w w:val="105"/>
                        <w:sz w:val="11"/>
                      </w:rPr>
                      <w:t>of</w:t>
                    </w:r>
                    <w:r>
                      <w:rPr>
                        <w:rFonts w:ascii="Arial"/>
                        <w:color w:val="A0D1EB"/>
                        <w:spacing w:val="-5"/>
                        <w:w w:val="105"/>
                        <w:sz w:val="11"/>
                      </w:rPr>
                      <w:t> </w:t>
                    </w:r>
                    <w:r>
                      <w:rPr>
                        <w:rFonts w:ascii="Arial"/>
                        <w:color w:val="A0D1EB"/>
                        <w:spacing w:val="-2"/>
                        <w:w w:val="105"/>
                        <w:sz w:val="11"/>
                      </w:rPr>
                      <w:t>reward</w:t>
                    </w:r>
                  </w:p>
                </w:txbxContent>
              </v:textbox>
              <v:fill type="solid"/>
              <w10:wrap type="none"/>
            </v:shape>
            <v:shape style="position:absolute;left:8435;top:-500;width:1732;height:125" type="#_x0000_t202" id="docshape488" filled="true" fillcolor="#0189cf" stroked="false">
              <v:textbox inset="0,0,0,0">
                <w:txbxContent>
                  <w:p>
                    <w:pPr>
                      <w:spacing w:line="113" w:lineRule="exact" w:before="0"/>
                      <w:ind w:left="-1" w:right="-29" w:firstLine="0"/>
                      <w:jc w:val="left"/>
                      <w:rPr>
                        <w:rFonts w:ascii="Arial"/>
                        <w:color w:val="000000"/>
                        <w:sz w:val="11"/>
                      </w:rPr>
                    </w:pPr>
                    <w:r>
                      <w:rPr>
                        <w:rFonts w:ascii="Arial"/>
                        <w:color w:val="A0D1EB"/>
                        <w:sz w:val="11"/>
                      </w:rPr>
                      <w:t>also</w:t>
                    </w:r>
                    <w:r>
                      <w:rPr>
                        <w:rFonts w:ascii="Arial"/>
                        <w:color w:val="A0D1EB"/>
                        <w:spacing w:val="-16"/>
                        <w:sz w:val="11"/>
                      </w:rPr>
                      <w:t> </w:t>
                    </w:r>
                    <w:r>
                      <w:rPr>
                        <w:rFonts w:ascii="Arial"/>
                        <w:color w:val="A0D1EB"/>
                        <w:sz w:val="11"/>
                      </w:rPr>
                      <w:t>prov1d</w:t>
                    </w:r>
                    <w:r>
                      <w:rPr>
                        <w:rFonts w:ascii="Arial"/>
                        <w:color w:val="BFE1F2"/>
                        <w:sz w:val="11"/>
                      </w:rPr>
                      <w:t>1</w:t>
                    </w:r>
                    <w:r>
                      <w:rPr>
                        <w:rFonts w:ascii="Arial"/>
                        <w:color w:val="A0D1EB"/>
                        <w:sz w:val="11"/>
                      </w:rPr>
                      <w:t>ng</w:t>
                    </w:r>
                    <w:r>
                      <w:rPr>
                        <w:rFonts w:ascii="Arial"/>
                        <w:color w:val="A0D1EB"/>
                        <w:spacing w:val="-2"/>
                        <w:sz w:val="11"/>
                      </w:rPr>
                      <w:t> </w:t>
                    </w:r>
                    <w:r>
                      <w:rPr>
                        <w:rFonts w:ascii="Arial"/>
                        <w:color w:val="A0D1EB"/>
                        <w:sz w:val="11"/>
                      </w:rPr>
                      <w:t>an</w:t>
                    </w:r>
                    <w:r>
                      <w:rPr>
                        <w:rFonts w:ascii="Arial"/>
                        <w:color w:val="A0D1EB"/>
                        <w:spacing w:val="-7"/>
                        <w:sz w:val="11"/>
                      </w:rPr>
                      <w:t> </w:t>
                    </w:r>
                    <w:r>
                      <w:rPr>
                        <w:rFonts w:ascii="Arial"/>
                        <w:color w:val="A0D1EB"/>
                        <w:sz w:val="11"/>
                      </w:rPr>
                      <w:t>acceptable</w:t>
                    </w:r>
                    <w:r>
                      <w:rPr>
                        <w:rFonts w:ascii="Arial"/>
                        <w:color w:val="A0D1EB"/>
                        <w:spacing w:val="6"/>
                        <w:sz w:val="11"/>
                      </w:rPr>
                      <w:t> </w:t>
                    </w:r>
                    <w:r>
                      <w:rPr>
                        <w:rFonts w:ascii="Arial"/>
                        <w:color w:val="A0D1EB"/>
                        <w:spacing w:val="-2"/>
                        <w:sz w:val="11"/>
                      </w:rPr>
                      <w:t>level</w:t>
                    </w:r>
                  </w:p>
                </w:txbxContent>
              </v:textbox>
              <v:fill type="solid"/>
              <w10:wrap type="none"/>
            </v:shape>
            <w10:wrap type="none"/>
          </v:group>
        </w:pict>
      </w:r>
      <w:r>
        <w:rPr>
          <w:rFonts w:ascii="Arial"/>
          <w:color w:val="646767"/>
          <w:w w:val="105"/>
          <w:sz w:val="13"/>
        </w:rPr>
        <w:t>We </w:t>
      </w:r>
      <w:r>
        <w:rPr>
          <w:rFonts w:ascii="Arial"/>
          <w:color w:val="727775"/>
          <w:w w:val="105"/>
          <w:sz w:val="13"/>
        </w:rPr>
        <w:t>will</w:t>
      </w:r>
      <w:r>
        <w:rPr>
          <w:rFonts w:ascii="Arial"/>
          <w:color w:val="727775"/>
          <w:spacing w:val="-8"/>
          <w:w w:val="105"/>
          <w:sz w:val="13"/>
        </w:rPr>
        <w:t> </w:t>
      </w:r>
      <w:r>
        <w:rPr>
          <w:rFonts w:ascii="Arial"/>
          <w:color w:val="646767"/>
          <w:w w:val="105"/>
          <w:sz w:val="13"/>
        </w:rPr>
        <w:t>invest fo</w:t>
      </w:r>
      <w:r>
        <w:rPr>
          <w:rFonts w:ascii="Arial"/>
          <w:color w:val="424242"/>
          <w:w w:val="105"/>
          <w:sz w:val="13"/>
        </w:rPr>
        <w:t>r</w:t>
      </w:r>
      <w:r>
        <w:rPr>
          <w:rFonts w:ascii="Arial"/>
          <w:color w:val="424242"/>
          <w:spacing w:val="-9"/>
          <w:w w:val="105"/>
          <w:sz w:val="13"/>
        </w:rPr>
        <w:t> </w:t>
      </w:r>
      <w:r>
        <w:rPr>
          <w:rFonts w:ascii="Arial"/>
          <w:color w:val="646767"/>
          <w:w w:val="105"/>
          <w:sz w:val="13"/>
        </w:rPr>
        <w:t>the best</w:t>
      </w:r>
      <w:r>
        <w:rPr>
          <w:rFonts w:ascii="Arial"/>
          <w:color w:val="646767"/>
          <w:spacing w:val="40"/>
          <w:w w:val="105"/>
          <w:sz w:val="13"/>
        </w:rPr>
        <w:t> </w:t>
      </w:r>
      <w:r>
        <w:rPr>
          <w:rFonts w:ascii="Arial"/>
          <w:color w:val="646767"/>
          <w:spacing w:val="-2"/>
          <w:w w:val="105"/>
          <w:sz w:val="13"/>
        </w:rPr>
        <w:t>possible</w:t>
      </w:r>
      <w:r>
        <w:rPr>
          <w:rFonts w:ascii="Arial"/>
          <w:color w:val="646767"/>
          <w:spacing w:val="-7"/>
          <w:w w:val="105"/>
          <w:sz w:val="13"/>
        </w:rPr>
        <w:t> </w:t>
      </w:r>
      <w:r>
        <w:rPr>
          <w:rFonts w:ascii="Arial"/>
          <w:color w:val="646767"/>
          <w:spacing w:val="-2"/>
          <w:w w:val="105"/>
          <w:sz w:val="13"/>
        </w:rPr>
        <w:t>return</w:t>
      </w:r>
      <w:r>
        <w:rPr>
          <w:rFonts w:ascii="Arial"/>
          <w:color w:val="646767"/>
          <w:spacing w:val="-7"/>
          <w:w w:val="105"/>
          <w:sz w:val="13"/>
        </w:rPr>
        <w:t> </w:t>
      </w:r>
      <w:r>
        <w:rPr>
          <w:rFonts w:ascii="Arial"/>
          <w:color w:val="646767"/>
          <w:spacing w:val="-2"/>
          <w:w w:val="105"/>
          <w:sz w:val="13"/>
        </w:rPr>
        <w:t>and</w:t>
      </w:r>
      <w:r>
        <w:rPr>
          <w:rFonts w:ascii="Arial"/>
          <w:color w:val="646767"/>
          <w:spacing w:val="-8"/>
          <w:w w:val="105"/>
          <w:sz w:val="13"/>
        </w:rPr>
        <w:t> </w:t>
      </w:r>
      <w:r>
        <w:rPr>
          <w:rFonts w:ascii="Arial"/>
          <w:color w:val="646767"/>
          <w:spacing w:val="-2"/>
          <w:w w:val="105"/>
          <w:sz w:val="13"/>
        </w:rPr>
        <w:t>accept</w:t>
      </w:r>
      <w:r>
        <w:rPr>
          <w:rFonts w:ascii="Arial"/>
          <w:color w:val="646767"/>
          <w:spacing w:val="40"/>
          <w:w w:val="105"/>
          <w:sz w:val="13"/>
        </w:rPr>
        <w:t> </w:t>
      </w:r>
      <w:r>
        <w:rPr>
          <w:rFonts w:ascii="Arial"/>
          <w:color w:val="646767"/>
          <w:spacing w:val="-2"/>
          <w:w w:val="105"/>
          <w:sz w:val="13"/>
        </w:rPr>
        <w:t>the</w:t>
      </w:r>
      <w:r>
        <w:rPr>
          <w:rFonts w:ascii="Arial"/>
          <w:color w:val="646767"/>
          <w:spacing w:val="-8"/>
          <w:w w:val="105"/>
          <w:sz w:val="13"/>
        </w:rPr>
        <w:t> </w:t>
      </w:r>
      <w:r>
        <w:rPr>
          <w:rFonts w:ascii="Arial"/>
          <w:color w:val="646767"/>
          <w:spacing w:val="-2"/>
          <w:w w:val="105"/>
          <w:sz w:val="13"/>
        </w:rPr>
        <w:t>possibi</w:t>
      </w:r>
      <w:r>
        <w:rPr>
          <w:rFonts w:ascii="Arial"/>
          <w:color w:val="2F2D2F"/>
          <w:spacing w:val="-2"/>
          <w:w w:val="105"/>
          <w:sz w:val="13"/>
        </w:rPr>
        <w:t>l</w:t>
      </w:r>
      <w:r>
        <w:rPr>
          <w:rFonts w:ascii="Arial"/>
          <w:color w:val="646767"/>
          <w:spacing w:val="-2"/>
          <w:w w:val="105"/>
          <w:sz w:val="13"/>
        </w:rPr>
        <w:t>ity</w:t>
      </w:r>
      <w:r>
        <w:rPr>
          <w:rFonts w:ascii="Arial"/>
          <w:color w:val="646767"/>
          <w:spacing w:val="-7"/>
          <w:w w:val="105"/>
          <w:sz w:val="13"/>
        </w:rPr>
        <w:t> </w:t>
      </w:r>
      <w:r>
        <w:rPr>
          <w:rFonts w:ascii="Arial"/>
          <w:color w:val="646767"/>
          <w:spacing w:val="-2"/>
          <w:w w:val="105"/>
          <w:sz w:val="13"/>
        </w:rPr>
        <w:t>of</w:t>
      </w:r>
      <w:r>
        <w:rPr>
          <w:rFonts w:ascii="Arial"/>
          <w:color w:val="646767"/>
          <w:spacing w:val="-3"/>
          <w:w w:val="105"/>
          <w:sz w:val="13"/>
        </w:rPr>
        <w:t> </w:t>
      </w:r>
      <w:r>
        <w:rPr>
          <w:rFonts w:ascii="Arial"/>
          <w:color w:val="646767"/>
          <w:spacing w:val="-2"/>
          <w:w w:val="105"/>
          <w:sz w:val="13"/>
        </w:rPr>
        <w:t>increased</w:t>
      </w:r>
      <w:r>
        <w:rPr>
          <w:rFonts w:ascii="Arial"/>
          <w:color w:val="646767"/>
          <w:spacing w:val="40"/>
          <w:w w:val="105"/>
          <w:sz w:val="13"/>
        </w:rPr>
        <w:t> </w:t>
      </w:r>
      <w:r>
        <w:rPr>
          <w:rFonts w:ascii="Arial"/>
          <w:color w:val="646767"/>
          <w:w w:val="105"/>
          <w:sz w:val="13"/>
        </w:rPr>
        <w:t>fi</w:t>
      </w:r>
      <w:r>
        <w:rPr>
          <w:rFonts w:ascii="Arial"/>
          <w:color w:val="424242"/>
          <w:w w:val="105"/>
          <w:sz w:val="13"/>
        </w:rPr>
        <w:t>n</w:t>
      </w:r>
      <w:r>
        <w:rPr>
          <w:rFonts w:ascii="Arial"/>
          <w:color w:val="646767"/>
          <w:w w:val="105"/>
          <w:sz w:val="13"/>
        </w:rPr>
        <w:t>ancial</w:t>
      </w:r>
      <w:r>
        <w:rPr>
          <w:rFonts w:ascii="Arial"/>
          <w:color w:val="646767"/>
          <w:spacing w:val="-10"/>
          <w:w w:val="105"/>
          <w:sz w:val="13"/>
        </w:rPr>
        <w:t> </w:t>
      </w:r>
      <w:r>
        <w:rPr>
          <w:rFonts w:ascii="Arial"/>
          <w:color w:val="646767"/>
          <w:w w:val="105"/>
          <w:sz w:val="13"/>
        </w:rPr>
        <w:t>ris</w:t>
      </w:r>
      <w:r>
        <w:rPr>
          <w:rFonts w:ascii="Arial"/>
          <w:color w:val="424242"/>
          <w:w w:val="105"/>
          <w:sz w:val="13"/>
        </w:rPr>
        <w:t>k</w:t>
      </w:r>
      <w:r>
        <w:rPr>
          <w:rFonts w:ascii="Arial"/>
          <w:color w:val="646767"/>
          <w:w w:val="105"/>
          <w:sz w:val="13"/>
        </w:rPr>
        <w:t>.</w:t>
      </w:r>
    </w:p>
    <w:p>
      <w:pPr>
        <w:pStyle w:val="BodyText"/>
        <w:rPr>
          <w:rFonts w:ascii="Arial"/>
          <w:sz w:val="14"/>
        </w:rPr>
      </w:pPr>
    </w:p>
    <w:p>
      <w:pPr>
        <w:pStyle w:val="BodyText"/>
        <w:rPr>
          <w:rFonts w:ascii="Arial"/>
          <w:sz w:val="14"/>
        </w:rPr>
      </w:pPr>
    </w:p>
    <w:p>
      <w:pPr>
        <w:pStyle w:val="BodyText"/>
        <w:spacing w:before="5"/>
        <w:rPr>
          <w:rFonts w:ascii="Arial"/>
          <w:sz w:val="18"/>
        </w:rPr>
      </w:pPr>
    </w:p>
    <w:p>
      <w:pPr>
        <w:spacing w:line="254" w:lineRule="auto" w:before="0"/>
        <w:ind w:left="124" w:right="1" w:hanging="7"/>
        <w:jc w:val="left"/>
        <w:rPr>
          <w:rFonts w:ascii="Arial"/>
          <w:sz w:val="13"/>
        </w:rPr>
      </w:pPr>
      <w:r>
        <w:rPr>
          <w:rFonts w:ascii="Arial"/>
          <w:color w:val="646767"/>
          <w:w w:val="105"/>
          <w:sz w:val="13"/>
        </w:rPr>
        <w:t>We are willi</w:t>
      </w:r>
      <w:r>
        <w:rPr>
          <w:rFonts w:ascii="Arial"/>
          <w:color w:val="424242"/>
          <w:w w:val="105"/>
          <w:sz w:val="13"/>
        </w:rPr>
        <w:t>n</w:t>
      </w:r>
      <w:r>
        <w:rPr>
          <w:rFonts w:ascii="Arial"/>
          <w:color w:val="646767"/>
          <w:w w:val="105"/>
          <w:sz w:val="13"/>
        </w:rPr>
        <w:t>g to take</w:t>
      </w:r>
      <w:r>
        <w:rPr>
          <w:rFonts w:ascii="Arial"/>
          <w:color w:val="646767"/>
          <w:spacing w:val="40"/>
          <w:w w:val="105"/>
          <w:sz w:val="13"/>
        </w:rPr>
        <w:t> </w:t>
      </w:r>
      <w:r>
        <w:rPr>
          <w:rFonts w:ascii="Arial"/>
          <w:color w:val="646767"/>
          <w:spacing w:val="-2"/>
          <w:w w:val="105"/>
          <w:sz w:val="13"/>
        </w:rPr>
        <w:t>decisions</w:t>
      </w:r>
      <w:r>
        <w:rPr>
          <w:rFonts w:ascii="Arial"/>
          <w:color w:val="646767"/>
          <w:spacing w:val="-13"/>
          <w:w w:val="105"/>
          <w:sz w:val="13"/>
        </w:rPr>
        <w:t> </w:t>
      </w:r>
      <w:r>
        <w:rPr>
          <w:rFonts w:ascii="Arial"/>
          <w:color w:val="646767"/>
          <w:spacing w:val="-2"/>
          <w:w w:val="105"/>
          <w:sz w:val="13"/>
        </w:rPr>
        <w:t>that</w:t>
      </w:r>
      <w:r>
        <w:rPr>
          <w:rFonts w:ascii="Arial"/>
          <w:color w:val="646767"/>
          <w:spacing w:val="-8"/>
          <w:w w:val="105"/>
          <w:sz w:val="13"/>
        </w:rPr>
        <w:t> </w:t>
      </w:r>
      <w:r>
        <w:rPr>
          <w:rFonts w:ascii="Arial"/>
          <w:color w:val="646767"/>
          <w:spacing w:val="-2"/>
          <w:w w:val="105"/>
          <w:sz w:val="13"/>
        </w:rPr>
        <w:t>will</w:t>
      </w:r>
      <w:r>
        <w:rPr>
          <w:rFonts w:ascii="Arial"/>
          <w:color w:val="646767"/>
          <w:spacing w:val="-7"/>
          <w:w w:val="105"/>
          <w:sz w:val="13"/>
        </w:rPr>
        <w:t> </w:t>
      </w:r>
      <w:r>
        <w:rPr>
          <w:rFonts w:ascii="Arial"/>
          <w:color w:val="646767"/>
          <w:spacing w:val="-2"/>
          <w:w w:val="105"/>
          <w:sz w:val="13"/>
        </w:rPr>
        <w:t>l</w:t>
      </w:r>
      <w:r>
        <w:rPr>
          <w:rFonts w:ascii="Arial"/>
          <w:color w:val="2F2D2F"/>
          <w:spacing w:val="-2"/>
          <w:w w:val="105"/>
          <w:sz w:val="13"/>
        </w:rPr>
        <w:t>i</w:t>
      </w:r>
      <w:r>
        <w:rPr>
          <w:rFonts w:ascii="Arial"/>
          <w:color w:val="646767"/>
          <w:spacing w:val="-2"/>
          <w:w w:val="105"/>
          <w:sz w:val="13"/>
        </w:rPr>
        <w:t>kely</w:t>
      </w:r>
      <w:r>
        <w:rPr>
          <w:rFonts w:ascii="Arial"/>
          <w:color w:val="646767"/>
          <w:spacing w:val="-8"/>
          <w:w w:val="105"/>
          <w:sz w:val="13"/>
        </w:rPr>
        <w:t> </w:t>
      </w:r>
      <w:r>
        <w:rPr>
          <w:rFonts w:ascii="Arial"/>
          <w:color w:val="646767"/>
          <w:spacing w:val="-2"/>
          <w:w w:val="105"/>
          <w:sz w:val="13"/>
        </w:rPr>
        <w:t>resul</w:t>
      </w:r>
      <w:r>
        <w:rPr>
          <w:rFonts w:ascii="Arial"/>
          <w:color w:val="424242"/>
          <w:spacing w:val="-2"/>
          <w:w w:val="105"/>
          <w:sz w:val="13"/>
        </w:rPr>
        <w:t>t</w:t>
      </w:r>
      <w:r>
        <w:rPr>
          <w:rFonts w:ascii="Arial"/>
          <w:color w:val="424242"/>
          <w:spacing w:val="40"/>
          <w:w w:val="105"/>
          <w:sz w:val="13"/>
        </w:rPr>
        <w:t> </w:t>
      </w:r>
      <w:r>
        <w:rPr>
          <w:rFonts w:ascii="Arial"/>
          <w:color w:val="646767"/>
          <w:w w:val="105"/>
          <w:sz w:val="13"/>
        </w:rPr>
        <w:t>in regu</w:t>
      </w:r>
      <w:r>
        <w:rPr>
          <w:rFonts w:ascii="Arial"/>
          <w:color w:val="2F2D2F"/>
          <w:w w:val="105"/>
          <w:sz w:val="13"/>
        </w:rPr>
        <w:t>l</w:t>
      </w:r>
      <w:r>
        <w:rPr>
          <w:rFonts w:ascii="Arial"/>
          <w:color w:val="646767"/>
          <w:w w:val="105"/>
          <w:sz w:val="13"/>
        </w:rPr>
        <w:t>atory interven</w:t>
      </w:r>
      <w:r>
        <w:rPr>
          <w:rFonts w:ascii="Arial"/>
          <w:color w:val="424242"/>
          <w:w w:val="105"/>
          <w:sz w:val="13"/>
        </w:rPr>
        <w:t>ti</w:t>
      </w:r>
      <w:r>
        <w:rPr>
          <w:rFonts w:ascii="Arial"/>
          <w:color w:val="727775"/>
          <w:w w:val="105"/>
          <w:sz w:val="13"/>
        </w:rPr>
        <w:t>on </w:t>
      </w:r>
      <w:r>
        <w:rPr>
          <w:rFonts w:ascii="Arial"/>
          <w:color w:val="646767"/>
          <w:w w:val="105"/>
          <w:sz w:val="13"/>
        </w:rPr>
        <w:t>if</w:t>
      </w:r>
      <w:r>
        <w:rPr>
          <w:rFonts w:ascii="Arial"/>
          <w:color w:val="646767"/>
          <w:spacing w:val="40"/>
          <w:w w:val="105"/>
          <w:sz w:val="13"/>
        </w:rPr>
        <w:t> </w:t>
      </w:r>
      <w:r>
        <w:rPr>
          <w:rFonts w:ascii="Arial"/>
          <w:color w:val="646767"/>
          <w:w w:val="105"/>
          <w:sz w:val="13"/>
        </w:rPr>
        <w:t>we can justify</w:t>
      </w:r>
      <w:r>
        <w:rPr>
          <w:rFonts w:ascii="Arial"/>
          <w:color w:val="646767"/>
          <w:spacing w:val="-1"/>
          <w:w w:val="105"/>
          <w:sz w:val="13"/>
        </w:rPr>
        <w:t> </w:t>
      </w:r>
      <w:r>
        <w:rPr>
          <w:rFonts w:ascii="Arial"/>
          <w:color w:val="525454"/>
          <w:w w:val="105"/>
          <w:sz w:val="13"/>
        </w:rPr>
        <w:t>these and</w:t>
      </w:r>
      <w:r>
        <w:rPr>
          <w:rFonts w:ascii="Arial"/>
          <w:color w:val="525454"/>
          <w:spacing w:val="40"/>
          <w:w w:val="105"/>
          <w:sz w:val="13"/>
        </w:rPr>
        <w:t> </w:t>
      </w:r>
      <w:r>
        <w:rPr>
          <w:rFonts w:ascii="Arial"/>
          <w:color w:val="727775"/>
          <w:w w:val="105"/>
          <w:sz w:val="13"/>
        </w:rPr>
        <w:t>w</w:t>
      </w:r>
      <w:r>
        <w:rPr>
          <w:rFonts w:ascii="Arial"/>
          <w:color w:val="525454"/>
          <w:w w:val="105"/>
          <w:sz w:val="13"/>
        </w:rPr>
        <w:t>here </w:t>
      </w:r>
      <w:r>
        <w:rPr>
          <w:rFonts w:ascii="Arial"/>
          <w:color w:val="646767"/>
          <w:w w:val="105"/>
          <w:sz w:val="13"/>
        </w:rPr>
        <w:t>the potent</w:t>
      </w:r>
      <w:r>
        <w:rPr>
          <w:rFonts w:ascii="Arial"/>
          <w:color w:val="424242"/>
          <w:w w:val="105"/>
          <w:sz w:val="13"/>
        </w:rPr>
        <w:t>i</w:t>
      </w:r>
      <w:r>
        <w:rPr>
          <w:rFonts w:ascii="Arial"/>
          <w:color w:val="646767"/>
          <w:w w:val="105"/>
          <w:sz w:val="13"/>
        </w:rPr>
        <w:t>al</w:t>
      </w:r>
      <w:r>
        <w:rPr>
          <w:rFonts w:ascii="Arial"/>
          <w:color w:val="646767"/>
          <w:spacing w:val="-12"/>
          <w:w w:val="105"/>
          <w:sz w:val="13"/>
        </w:rPr>
        <w:t> </w:t>
      </w:r>
      <w:r>
        <w:rPr>
          <w:rFonts w:ascii="Arial"/>
          <w:color w:val="525454"/>
          <w:w w:val="105"/>
          <w:sz w:val="13"/>
        </w:rPr>
        <w:t>benefits</w:t>
      </w:r>
      <w:r>
        <w:rPr>
          <w:rFonts w:ascii="Arial"/>
          <w:color w:val="525454"/>
          <w:spacing w:val="40"/>
          <w:w w:val="105"/>
          <w:sz w:val="13"/>
        </w:rPr>
        <w:t> </w:t>
      </w:r>
      <w:r>
        <w:rPr>
          <w:rFonts w:ascii="Arial"/>
          <w:color w:val="646767"/>
          <w:w w:val="105"/>
          <w:sz w:val="13"/>
        </w:rPr>
        <w:t>outweigh the risks.</w:t>
      </w:r>
    </w:p>
    <w:p>
      <w:pPr>
        <w:pStyle w:val="BodyText"/>
        <w:rPr>
          <w:rFonts w:ascii="Arial"/>
          <w:sz w:val="14"/>
        </w:rPr>
      </w:pPr>
    </w:p>
    <w:p>
      <w:pPr>
        <w:pStyle w:val="BodyText"/>
        <w:spacing w:before="9"/>
        <w:rPr>
          <w:rFonts w:ascii="Arial"/>
          <w:sz w:val="20"/>
        </w:rPr>
      </w:pPr>
    </w:p>
    <w:p>
      <w:pPr>
        <w:spacing w:line="254" w:lineRule="auto" w:before="0"/>
        <w:ind w:left="123" w:right="112" w:hanging="7"/>
        <w:jc w:val="left"/>
        <w:rPr>
          <w:rFonts w:ascii="Arial"/>
          <w:sz w:val="13"/>
        </w:rPr>
      </w:pPr>
      <w:r>
        <w:rPr>
          <w:rFonts w:ascii="Arial"/>
          <w:color w:val="646767"/>
          <w:w w:val="105"/>
          <w:sz w:val="13"/>
        </w:rPr>
        <w:t>We </w:t>
      </w:r>
      <w:r>
        <w:rPr>
          <w:rFonts w:ascii="Arial"/>
          <w:color w:val="727775"/>
          <w:w w:val="105"/>
          <w:sz w:val="13"/>
        </w:rPr>
        <w:t>will </w:t>
      </w:r>
      <w:r>
        <w:rPr>
          <w:rFonts w:ascii="Arial"/>
          <w:color w:val="646767"/>
          <w:w w:val="105"/>
          <w:sz w:val="13"/>
        </w:rPr>
        <w:t>pursue innovat</w:t>
      </w:r>
      <w:r>
        <w:rPr>
          <w:rFonts w:ascii="Arial"/>
          <w:color w:val="2F2D2F"/>
          <w:w w:val="105"/>
          <w:sz w:val="13"/>
        </w:rPr>
        <w:t>i</w:t>
      </w:r>
      <w:r>
        <w:rPr>
          <w:rFonts w:ascii="Arial"/>
          <w:color w:val="727775"/>
          <w:w w:val="105"/>
          <w:sz w:val="13"/>
        </w:rPr>
        <w:t>o</w:t>
      </w:r>
      <w:r>
        <w:rPr>
          <w:rFonts w:ascii="Arial"/>
          <w:color w:val="424242"/>
          <w:w w:val="105"/>
          <w:sz w:val="13"/>
        </w:rPr>
        <w:t>n</w:t>
      </w:r>
      <w:r>
        <w:rPr>
          <w:rFonts w:ascii="Arial"/>
          <w:color w:val="424242"/>
          <w:spacing w:val="40"/>
          <w:w w:val="105"/>
          <w:sz w:val="13"/>
        </w:rPr>
        <w:t> </w:t>
      </w:r>
      <w:r>
        <w:rPr>
          <w:rFonts w:ascii="Arial"/>
          <w:color w:val="646767"/>
          <w:w w:val="105"/>
          <w:sz w:val="13"/>
        </w:rPr>
        <w:t>wherever appropriate. We</w:t>
      </w:r>
      <w:r>
        <w:rPr>
          <w:rFonts w:ascii="Arial"/>
          <w:color w:val="646767"/>
          <w:spacing w:val="40"/>
          <w:w w:val="105"/>
          <w:sz w:val="13"/>
        </w:rPr>
        <w:t> </w:t>
      </w:r>
      <w:r>
        <w:rPr>
          <w:rFonts w:ascii="Arial"/>
          <w:color w:val="646767"/>
          <w:w w:val="105"/>
          <w:sz w:val="13"/>
        </w:rPr>
        <w:t>are</w:t>
      </w:r>
      <w:r>
        <w:rPr>
          <w:rFonts w:ascii="Arial"/>
          <w:color w:val="646767"/>
          <w:spacing w:val="-10"/>
          <w:w w:val="105"/>
          <w:sz w:val="13"/>
        </w:rPr>
        <w:t> </w:t>
      </w:r>
      <w:r>
        <w:rPr>
          <w:rFonts w:ascii="Arial"/>
          <w:color w:val="646767"/>
          <w:w w:val="105"/>
          <w:sz w:val="13"/>
        </w:rPr>
        <w:t>wi</w:t>
      </w:r>
      <w:r>
        <w:rPr>
          <w:rFonts w:ascii="Arial"/>
          <w:color w:val="424242"/>
          <w:w w:val="105"/>
          <w:sz w:val="13"/>
        </w:rPr>
        <w:t>ll</w:t>
      </w:r>
      <w:r>
        <w:rPr>
          <w:rFonts w:ascii="Arial"/>
          <w:color w:val="646767"/>
          <w:w w:val="105"/>
          <w:sz w:val="13"/>
        </w:rPr>
        <w:t>ing</w:t>
      </w:r>
      <w:r>
        <w:rPr>
          <w:rFonts w:ascii="Arial"/>
          <w:color w:val="646767"/>
          <w:spacing w:val="-9"/>
          <w:w w:val="105"/>
          <w:sz w:val="13"/>
        </w:rPr>
        <w:t> </w:t>
      </w:r>
      <w:r>
        <w:rPr>
          <w:rFonts w:ascii="Arial"/>
          <w:color w:val="646767"/>
          <w:w w:val="105"/>
          <w:sz w:val="13"/>
        </w:rPr>
        <w:t>to</w:t>
      </w:r>
      <w:r>
        <w:rPr>
          <w:rFonts w:ascii="Arial"/>
          <w:color w:val="646767"/>
          <w:spacing w:val="-7"/>
          <w:w w:val="105"/>
          <w:sz w:val="13"/>
        </w:rPr>
        <w:t> </w:t>
      </w:r>
      <w:r>
        <w:rPr>
          <w:rFonts w:ascii="Arial"/>
          <w:color w:val="646767"/>
          <w:w w:val="105"/>
          <w:sz w:val="13"/>
        </w:rPr>
        <w:t>take</w:t>
      </w:r>
      <w:r>
        <w:rPr>
          <w:rFonts w:ascii="Arial"/>
          <w:color w:val="646767"/>
          <w:spacing w:val="-10"/>
          <w:w w:val="105"/>
          <w:sz w:val="13"/>
        </w:rPr>
        <w:t> </w:t>
      </w:r>
      <w:r>
        <w:rPr>
          <w:rFonts w:ascii="Arial"/>
          <w:color w:val="646767"/>
          <w:w w:val="105"/>
          <w:sz w:val="13"/>
        </w:rPr>
        <w:t>decis</w:t>
      </w:r>
      <w:r>
        <w:rPr>
          <w:rFonts w:ascii="Arial"/>
          <w:color w:val="424242"/>
          <w:w w:val="105"/>
          <w:sz w:val="13"/>
        </w:rPr>
        <w:t>i</w:t>
      </w:r>
      <w:r>
        <w:rPr>
          <w:rFonts w:ascii="Arial"/>
          <w:color w:val="646767"/>
          <w:w w:val="105"/>
          <w:sz w:val="13"/>
        </w:rPr>
        <w:t>ons</w:t>
      </w:r>
    </w:p>
    <w:p>
      <w:pPr>
        <w:spacing w:line="240" w:lineRule="auto" w:before="0"/>
        <w:rPr>
          <w:rFonts w:ascii="Arial"/>
          <w:sz w:val="14"/>
        </w:rPr>
      </w:pPr>
      <w:r>
        <w:rPr/>
        <w:br w:type="column"/>
      </w:r>
      <w:r>
        <w:rPr>
          <w:rFonts w:ascii="Arial"/>
          <w:sz w:val="14"/>
        </w:rPr>
      </w:r>
    </w:p>
    <w:p>
      <w:pPr>
        <w:pStyle w:val="BodyText"/>
        <w:rPr>
          <w:rFonts w:ascii="Arial"/>
          <w:sz w:val="14"/>
        </w:rPr>
      </w:pPr>
    </w:p>
    <w:p>
      <w:pPr>
        <w:pStyle w:val="BodyText"/>
        <w:spacing w:before="3"/>
        <w:rPr>
          <w:rFonts w:ascii="Arial"/>
          <w:sz w:val="13"/>
        </w:rPr>
      </w:pPr>
    </w:p>
    <w:p>
      <w:pPr>
        <w:spacing w:line="252" w:lineRule="auto" w:before="1"/>
        <w:ind w:left="121" w:right="1718" w:hanging="5"/>
        <w:jc w:val="left"/>
        <w:rPr>
          <w:rFonts w:ascii="Arial"/>
          <w:sz w:val="13"/>
        </w:rPr>
      </w:pPr>
      <w:r>
        <w:rPr>
          <w:rFonts w:ascii="Arial"/>
          <w:color w:val="646767"/>
          <w:sz w:val="13"/>
        </w:rPr>
        <w:t>We </w:t>
      </w:r>
      <w:r>
        <w:rPr>
          <w:rFonts w:ascii="Arial"/>
          <w:color w:val="727775"/>
          <w:sz w:val="13"/>
        </w:rPr>
        <w:t>will </w:t>
      </w:r>
      <w:r>
        <w:rPr>
          <w:rFonts w:ascii="Arial"/>
          <w:color w:val="646767"/>
          <w:sz w:val="13"/>
        </w:rPr>
        <w:t>consistently </w:t>
      </w:r>
      <w:r>
        <w:rPr>
          <w:rFonts w:ascii="Arial"/>
          <w:color w:val="2F2D2F"/>
          <w:sz w:val="13"/>
        </w:rPr>
        <w:t>i</w:t>
      </w:r>
      <w:r>
        <w:rPr>
          <w:rFonts w:ascii="Arial"/>
          <w:color w:val="646767"/>
          <w:sz w:val="13"/>
        </w:rPr>
        <w:t>nvest</w:t>
      </w:r>
      <w:r>
        <w:rPr>
          <w:rFonts w:ascii="Arial"/>
          <w:color w:val="646767"/>
          <w:spacing w:val="-4"/>
          <w:sz w:val="13"/>
        </w:rPr>
        <w:t> </w:t>
      </w:r>
      <w:r>
        <w:rPr>
          <w:rFonts w:ascii="Arial"/>
          <w:color w:val="525454"/>
          <w:sz w:val="13"/>
        </w:rPr>
        <w:t>fo</w:t>
      </w:r>
      <w:r>
        <w:rPr>
          <w:rFonts w:ascii="Arial"/>
          <w:color w:val="2F2D2F"/>
          <w:sz w:val="13"/>
        </w:rPr>
        <w:t>r</w:t>
      </w:r>
      <w:r>
        <w:rPr>
          <w:rFonts w:ascii="Arial"/>
          <w:color w:val="2F2D2F"/>
          <w:spacing w:val="40"/>
          <w:sz w:val="13"/>
        </w:rPr>
        <w:t> </w:t>
      </w:r>
      <w:r>
        <w:rPr>
          <w:rFonts w:ascii="Arial"/>
          <w:color w:val="525454"/>
          <w:sz w:val="13"/>
        </w:rPr>
        <w:t>the </w:t>
      </w:r>
      <w:r>
        <w:rPr>
          <w:rFonts w:ascii="Arial"/>
          <w:color w:val="646767"/>
          <w:sz w:val="13"/>
        </w:rPr>
        <w:t>best possible return for</w:t>
      </w:r>
      <w:r>
        <w:rPr>
          <w:rFonts w:ascii="Arial"/>
          <w:color w:val="646767"/>
          <w:spacing w:val="40"/>
          <w:sz w:val="13"/>
        </w:rPr>
        <w:t> </w:t>
      </w:r>
      <w:r>
        <w:rPr>
          <w:rFonts w:ascii="Arial"/>
          <w:color w:val="646767"/>
          <w:sz w:val="13"/>
        </w:rPr>
        <w:t>stakeholde</w:t>
      </w:r>
      <w:r>
        <w:rPr>
          <w:rFonts w:ascii="Arial"/>
          <w:color w:val="424242"/>
          <w:sz w:val="13"/>
        </w:rPr>
        <w:t>r</w:t>
      </w:r>
      <w:r>
        <w:rPr>
          <w:rFonts w:ascii="Arial"/>
          <w:color w:val="646767"/>
          <w:sz w:val="13"/>
        </w:rPr>
        <w:t>s,</w:t>
      </w:r>
      <w:r>
        <w:rPr>
          <w:rFonts w:ascii="Arial"/>
          <w:color w:val="646767"/>
          <w:spacing w:val="-10"/>
          <w:sz w:val="13"/>
        </w:rPr>
        <w:t> </w:t>
      </w:r>
      <w:r>
        <w:rPr>
          <w:rFonts w:ascii="Arial"/>
          <w:color w:val="646767"/>
          <w:sz w:val="13"/>
        </w:rPr>
        <w:t>recognising</w:t>
      </w:r>
      <w:r>
        <w:rPr>
          <w:rFonts w:ascii="Arial"/>
          <w:color w:val="646767"/>
          <w:spacing w:val="80"/>
          <w:sz w:val="13"/>
        </w:rPr>
        <w:t> </w:t>
      </w:r>
      <w:r>
        <w:rPr>
          <w:rFonts w:ascii="Arial"/>
          <w:color w:val="646767"/>
          <w:sz w:val="13"/>
        </w:rPr>
        <w:t>that </w:t>
      </w:r>
      <w:r>
        <w:rPr>
          <w:rFonts w:ascii="Arial"/>
          <w:color w:val="424242"/>
          <w:sz w:val="13"/>
        </w:rPr>
        <w:t>t</w:t>
      </w:r>
      <w:r>
        <w:rPr>
          <w:rFonts w:ascii="Arial"/>
          <w:color w:val="646767"/>
          <w:sz w:val="13"/>
        </w:rPr>
        <w:t>he potentia</w:t>
      </w:r>
      <w:r>
        <w:rPr>
          <w:rFonts w:ascii="Arial"/>
          <w:color w:val="646767"/>
          <w:spacing w:val="-14"/>
          <w:sz w:val="13"/>
        </w:rPr>
        <w:t> </w:t>
      </w:r>
      <w:r>
        <w:rPr>
          <w:rFonts w:ascii="Arial"/>
          <w:color w:val="646767"/>
          <w:sz w:val="13"/>
        </w:rPr>
        <w:t>I</w:t>
      </w:r>
      <w:r>
        <w:rPr>
          <w:rFonts w:ascii="Arial"/>
          <w:color w:val="646767"/>
          <w:spacing w:val="-4"/>
          <w:sz w:val="13"/>
        </w:rPr>
        <w:t> </w:t>
      </w:r>
      <w:r>
        <w:rPr>
          <w:rFonts w:ascii="Arial"/>
          <w:color w:val="646767"/>
          <w:sz w:val="13"/>
        </w:rPr>
        <w:t>for</w:t>
      </w:r>
      <w:r>
        <w:rPr>
          <w:rFonts w:ascii="Arial"/>
          <w:color w:val="646767"/>
          <w:spacing w:val="40"/>
          <w:sz w:val="13"/>
        </w:rPr>
        <w:t> </w:t>
      </w:r>
      <w:r>
        <w:rPr>
          <w:rFonts w:ascii="Arial"/>
          <w:color w:val="646767"/>
          <w:sz w:val="13"/>
        </w:rPr>
        <w:t>substant</w:t>
      </w:r>
      <w:r>
        <w:rPr>
          <w:rFonts w:ascii="Arial"/>
          <w:color w:val="2F2D2F"/>
          <w:sz w:val="13"/>
        </w:rPr>
        <w:t>i</w:t>
      </w:r>
      <w:r>
        <w:rPr>
          <w:rFonts w:ascii="Arial"/>
          <w:color w:val="646767"/>
          <w:sz w:val="13"/>
        </w:rPr>
        <w:t>al</w:t>
      </w:r>
      <w:r>
        <w:rPr>
          <w:rFonts w:ascii="Arial"/>
          <w:color w:val="646767"/>
          <w:spacing w:val="-2"/>
          <w:sz w:val="13"/>
        </w:rPr>
        <w:t> </w:t>
      </w:r>
      <w:r>
        <w:rPr>
          <w:rFonts w:ascii="Arial"/>
          <w:color w:val="646767"/>
          <w:sz w:val="13"/>
        </w:rPr>
        <w:t>gain ou</w:t>
      </w:r>
      <w:r>
        <w:rPr>
          <w:rFonts w:ascii="Arial"/>
          <w:color w:val="424242"/>
          <w:sz w:val="13"/>
        </w:rPr>
        <w:t>t</w:t>
      </w:r>
      <w:r>
        <w:rPr>
          <w:rFonts w:ascii="Arial"/>
          <w:color w:val="727775"/>
          <w:sz w:val="13"/>
        </w:rPr>
        <w:t>weig</w:t>
      </w:r>
      <w:r>
        <w:rPr>
          <w:rFonts w:ascii="Arial"/>
          <w:color w:val="525454"/>
          <w:sz w:val="13"/>
        </w:rPr>
        <w:t>hs</w:t>
      </w:r>
      <w:r>
        <w:rPr>
          <w:rFonts w:ascii="Arial"/>
          <w:color w:val="525454"/>
          <w:spacing w:val="40"/>
          <w:sz w:val="13"/>
        </w:rPr>
        <w:t> </w:t>
      </w:r>
      <w:r>
        <w:rPr>
          <w:rFonts w:ascii="Arial"/>
          <w:color w:val="424242"/>
          <w:sz w:val="13"/>
        </w:rPr>
        <w:t>i</w:t>
      </w:r>
      <w:r>
        <w:rPr>
          <w:rFonts w:ascii="Arial"/>
          <w:color w:val="646767"/>
          <w:sz w:val="13"/>
        </w:rPr>
        <w:t>n</w:t>
      </w:r>
      <w:r>
        <w:rPr>
          <w:rFonts w:ascii="Arial"/>
          <w:color w:val="424242"/>
          <w:sz w:val="13"/>
        </w:rPr>
        <w:t>h</w:t>
      </w:r>
      <w:r>
        <w:rPr>
          <w:rFonts w:ascii="Arial"/>
          <w:color w:val="646767"/>
          <w:sz w:val="13"/>
        </w:rPr>
        <w:t>erent </w:t>
      </w:r>
      <w:r>
        <w:rPr>
          <w:rFonts w:ascii="Arial"/>
          <w:color w:val="525454"/>
          <w:sz w:val="13"/>
        </w:rPr>
        <w:t>risks.</w:t>
      </w:r>
    </w:p>
    <w:p>
      <w:pPr>
        <w:pStyle w:val="BodyText"/>
        <w:spacing w:before="7"/>
        <w:rPr>
          <w:rFonts w:ascii="Arial"/>
          <w:sz w:val="19"/>
        </w:rPr>
      </w:pPr>
    </w:p>
    <w:p>
      <w:pPr>
        <w:spacing w:line="254" w:lineRule="auto" w:before="1"/>
        <w:ind w:left="122" w:right="1656" w:hanging="6"/>
        <w:jc w:val="left"/>
        <w:rPr>
          <w:rFonts w:ascii="Arial"/>
          <w:sz w:val="13"/>
        </w:rPr>
      </w:pPr>
      <w:r>
        <w:rPr>
          <w:rFonts w:ascii="Arial"/>
          <w:color w:val="646767"/>
          <w:w w:val="105"/>
          <w:sz w:val="13"/>
        </w:rPr>
        <w:t>We are comfortab</w:t>
      </w:r>
      <w:r>
        <w:rPr>
          <w:rFonts w:ascii="Arial"/>
          <w:color w:val="2F2D2F"/>
          <w:w w:val="105"/>
          <w:sz w:val="13"/>
        </w:rPr>
        <w:t>l</w:t>
      </w:r>
      <w:r>
        <w:rPr>
          <w:rFonts w:ascii="Arial"/>
          <w:color w:val="646767"/>
          <w:w w:val="105"/>
          <w:sz w:val="13"/>
        </w:rPr>
        <w:t>e</w:t>
      </w:r>
      <w:r>
        <w:rPr>
          <w:rFonts w:ascii="Arial"/>
          <w:color w:val="646767"/>
          <w:spacing w:val="40"/>
          <w:w w:val="105"/>
          <w:sz w:val="13"/>
        </w:rPr>
        <w:t> </w:t>
      </w:r>
      <w:r>
        <w:rPr>
          <w:rFonts w:ascii="Arial"/>
          <w:color w:val="646767"/>
          <w:w w:val="105"/>
          <w:sz w:val="13"/>
        </w:rPr>
        <w:t>challenging</w:t>
      </w:r>
      <w:r>
        <w:rPr>
          <w:rFonts w:ascii="Arial"/>
          <w:color w:val="646767"/>
          <w:spacing w:val="-4"/>
          <w:w w:val="105"/>
          <w:sz w:val="13"/>
        </w:rPr>
        <w:t> </w:t>
      </w:r>
      <w:r>
        <w:rPr>
          <w:rFonts w:ascii="Arial"/>
          <w:color w:val="646767"/>
          <w:w w:val="105"/>
          <w:sz w:val="13"/>
        </w:rPr>
        <w:t>regulatory</w:t>
      </w:r>
      <w:r>
        <w:rPr>
          <w:rFonts w:ascii="Arial"/>
          <w:color w:val="646767"/>
          <w:spacing w:val="40"/>
          <w:w w:val="105"/>
          <w:sz w:val="13"/>
        </w:rPr>
        <w:t> </w:t>
      </w:r>
      <w:r>
        <w:rPr>
          <w:rFonts w:ascii="Arial"/>
          <w:color w:val="646767"/>
          <w:w w:val="105"/>
          <w:sz w:val="13"/>
        </w:rPr>
        <w:t>pract</w:t>
      </w:r>
      <w:r>
        <w:rPr>
          <w:rFonts w:ascii="Arial"/>
          <w:color w:val="424242"/>
          <w:w w:val="105"/>
          <w:sz w:val="13"/>
        </w:rPr>
        <w:t>i</w:t>
      </w:r>
      <w:r>
        <w:rPr>
          <w:rFonts w:ascii="Arial"/>
          <w:color w:val="646767"/>
          <w:w w:val="105"/>
          <w:sz w:val="13"/>
        </w:rPr>
        <w:t>ce.</w:t>
      </w:r>
      <w:r>
        <w:rPr>
          <w:rFonts w:ascii="Arial"/>
          <w:color w:val="646767"/>
          <w:spacing w:val="-6"/>
          <w:w w:val="105"/>
          <w:sz w:val="13"/>
        </w:rPr>
        <w:t> </w:t>
      </w:r>
      <w:r>
        <w:rPr>
          <w:rFonts w:ascii="Arial"/>
          <w:color w:val="646767"/>
          <w:w w:val="105"/>
          <w:sz w:val="13"/>
        </w:rPr>
        <w:t>We have a</w:t>
      </w:r>
      <w:r>
        <w:rPr>
          <w:rFonts w:ascii="Arial"/>
          <w:color w:val="646767"/>
          <w:spacing w:val="40"/>
          <w:w w:val="105"/>
          <w:sz w:val="13"/>
        </w:rPr>
        <w:t> </w:t>
      </w:r>
      <w:r>
        <w:rPr>
          <w:rFonts w:ascii="Arial"/>
          <w:color w:val="646767"/>
          <w:w w:val="105"/>
          <w:sz w:val="13"/>
        </w:rPr>
        <w:t>significant appetite for</w:t>
      </w:r>
      <w:r>
        <w:rPr>
          <w:rFonts w:ascii="Arial"/>
          <w:color w:val="646767"/>
          <w:spacing w:val="40"/>
          <w:w w:val="105"/>
          <w:sz w:val="13"/>
        </w:rPr>
        <w:t> </w:t>
      </w:r>
      <w:r>
        <w:rPr>
          <w:rFonts w:ascii="Arial"/>
          <w:color w:val="727775"/>
          <w:spacing w:val="-2"/>
          <w:w w:val="105"/>
          <w:sz w:val="13"/>
        </w:rPr>
        <w:t>challeng</w:t>
      </w:r>
      <w:r>
        <w:rPr>
          <w:rFonts w:ascii="Arial"/>
          <w:color w:val="525454"/>
          <w:spacing w:val="-2"/>
          <w:w w:val="105"/>
          <w:sz w:val="13"/>
        </w:rPr>
        <w:t>ing</w:t>
      </w:r>
      <w:r>
        <w:rPr>
          <w:rFonts w:ascii="Arial"/>
          <w:color w:val="525454"/>
          <w:spacing w:val="-8"/>
          <w:w w:val="105"/>
          <w:sz w:val="13"/>
        </w:rPr>
        <w:t> </w:t>
      </w:r>
      <w:r>
        <w:rPr>
          <w:rFonts w:ascii="Arial"/>
          <w:color w:val="646767"/>
          <w:spacing w:val="-2"/>
          <w:w w:val="105"/>
          <w:sz w:val="13"/>
        </w:rPr>
        <w:t>the</w:t>
      </w:r>
      <w:r>
        <w:rPr>
          <w:rFonts w:ascii="Arial"/>
          <w:color w:val="646767"/>
          <w:spacing w:val="-7"/>
          <w:w w:val="105"/>
          <w:sz w:val="13"/>
        </w:rPr>
        <w:t> </w:t>
      </w:r>
      <w:r>
        <w:rPr>
          <w:rFonts w:ascii="Arial"/>
          <w:color w:val="646767"/>
          <w:spacing w:val="-2"/>
          <w:w w:val="105"/>
          <w:sz w:val="13"/>
        </w:rPr>
        <w:t>status</w:t>
      </w:r>
      <w:r>
        <w:rPr>
          <w:rFonts w:ascii="Arial"/>
          <w:color w:val="646767"/>
          <w:spacing w:val="-9"/>
          <w:w w:val="105"/>
          <w:sz w:val="13"/>
        </w:rPr>
        <w:t> </w:t>
      </w:r>
      <w:r>
        <w:rPr>
          <w:rFonts w:ascii="Arial"/>
          <w:color w:val="646767"/>
          <w:spacing w:val="-2"/>
          <w:w w:val="105"/>
          <w:sz w:val="13"/>
        </w:rPr>
        <w:t>quo</w:t>
      </w:r>
      <w:r>
        <w:rPr>
          <w:rFonts w:ascii="Arial"/>
          <w:color w:val="646767"/>
          <w:spacing w:val="3"/>
          <w:w w:val="105"/>
          <w:sz w:val="13"/>
        </w:rPr>
        <w:t> </w:t>
      </w:r>
      <w:r>
        <w:rPr>
          <w:rFonts w:ascii="Arial"/>
          <w:color w:val="646767"/>
          <w:spacing w:val="-2"/>
          <w:w w:val="105"/>
          <w:sz w:val="13"/>
        </w:rPr>
        <w:t>in</w:t>
      </w:r>
      <w:r>
        <w:rPr>
          <w:rFonts w:ascii="Arial"/>
          <w:color w:val="646767"/>
          <w:spacing w:val="40"/>
          <w:w w:val="105"/>
          <w:sz w:val="13"/>
        </w:rPr>
        <w:t> </w:t>
      </w:r>
      <w:r>
        <w:rPr>
          <w:rFonts w:ascii="Arial"/>
          <w:color w:val="646767"/>
          <w:w w:val="105"/>
          <w:sz w:val="13"/>
        </w:rPr>
        <w:t>order to improve outcomes</w:t>
      </w:r>
      <w:r>
        <w:rPr>
          <w:rFonts w:ascii="Arial"/>
          <w:color w:val="646767"/>
          <w:spacing w:val="40"/>
          <w:w w:val="105"/>
          <w:sz w:val="13"/>
        </w:rPr>
        <w:t> </w:t>
      </w:r>
      <w:r>
        <w:rPr>
          <w:rFonts w:ascii="Arial"/>
          <w:color w:val="646767"/>
          <w:w w:val="105"/>
          <w:sz w:val="13"/>
        </w:rPr>
        <w:t>for</w:t>
      </w:r>
      <w:r>
        <w:rPr>
          <w:rFonts w:ascii="Arial"/>
          <w:color w:val="646767"/>
          <w:spacing w:val="-8"/>
          <w:w w:val="105"/>
          <w:sz w:val="13"/>
        </w:rPr>
        <w:t> </w:t>
      </w:r>
      <w:r>
        <w:rPr>
          <w:rFonts w:ascii="Arial"/>
          <w:color w:val="646767"/>
          <w:w w:val="105"/>
          <w:sz w:val="13"/>
        </w:rPr>
        <w:t>stakeholde</w:t>
      </w:r>
      <w:r>
        <w:rPr>
          <w:rFonts w:ascii="Arial"/>
          <w:color w:val="2F2D2F"/>
          <w:w w:val="105"/>
          <w:sz w:val="13"/>
        </w:rPr>
        <w:t>r</w:t>
      </w:r>
      <w:r>
        <w:rPr>
          <w:rFonts w:ascii="Arial"/>
          <w:color w:val="646767"/>
          <w:w w:val="105"/>
          <w:sz w:val="13"/>
        </w:rPr>
        <w:t>s.</w:t>
      </w:r>
    </w:p>
    <w:p>
      <w:pPr>
        <w:pStyle w:val="BodyText"/>
        <w:rPr>
          <w:rFonts w:ascii="Arial"/>
          <w:sz w:val="14"/>
        </w:rPr>
      </w:pPr>
    </w:p>
    <w:p>
      <w:pPr>
        <w:spacing w:line="254" w:lineRule="auto" w:before="80"/>
        <w:ind w:left="124" w:right="1725" w:hanging="3"/>
        <w:jc w:val="left"/>
        <w:rPr>
          <w:rFonts w:ascii="Arial"/>
          <w:sz w:val="13"/>
        </w:rPr>
      </w:pPr>
      <w:r>
        <w:rPr>
          <w:rFonts w:ascii="Arial"/>
          <w:color w:val="646767"/>
          <w:sz w:val="13"/>
        </w:rPr>
        <w:t>We</w:t>
      </w:r>
      <w:r>
        <w:rPr>
          <w:rFonts w:ascii="Arial"/>
          <w:color w:val="646767"/>
          <w:spacing w:val="-4"/>
          <w:sz w:val="13"/>
        </w:rPr>
        <w:t> </w:t>
      </w:r>
      <w:r>
        <w:rPr>
          <w:rFonts w:ascii="Arial"/>
          <w:color w:val="646767"/>
          <w:sz w:val="13"/>
        </w:rPr>
        <w:t>seek</w:t>
      </w:r>
      <w:r>
        <w:rPr>
          <w:rFonts w:ascii="Arial"/>
          <w:color w:val="646767"/>
          <w:spacing w:val="-1"/>
          <w:sz w:val="13"/>
        </w:rPr>
        <w:t> </w:t>
      </w:r>
      <w:r>
        <w:rPr>
          <w:rFonts w:ascii="Arial"/>
          <w:color w:val="646767"/>
          <w:sz w:val="13"/>
        </w:rPr>
        <w:t>to</w:t>
      </w:r>
      <w:r>
        <w:rPr>
          <w:rFonts w:ascii="Arial"/>
          <w:color w:val="646767"/>
          <w:spacing w:val="19"/>
          <w:sz w:val="13"/>
        </w:rPr>
        <w:t> </w:t>
      </w:r>
      <w:r>
        <w:rPr>
          <w:rFonts w:ascii="Arial"/>
          <w:color w:val="646767"/>
          <w:sz w:val="13"/>
        </w:rPr>
        <w:t>lead</w:t>
      </w:r>
      <w:r>
        <w:rPr>
          <w:rFonts w:ascii="Arial"/>
          <w:color w:val="646767"/>
          <w:spacing w:val="-10"/>
          <w:sz w:val="13"/>
        </w:rPr>
        <w:t> </w:t>
      </w:r>
      <w:r>
        <w:rPr>
          <w:rFonts w:ascii="Arial"/>
          <w:color w:val="525454"/>
          <w:sz w:val="13"/>
        </w:rPr>
        <w:t>the </w:t>
      </w:r>
      <w:r>
        <w:rPr>
          <w:rFonts w:ascii="Arial"/>
          <w:color w:val="727775"/>
          <w:sz w:val="13"/>
        </w:rPr>
        <w:t>way</w:t>
      </w:r>
      <w:r>
        <w:rPr>
          <w:rFonts w:ascii="Arial"/>
          <w:color w:val="727775"/>
          <w:spacing w:val="-3"/>
          <w:sz w:val="13"/>
        </w:rPr>
        <w:t> </w:t>
      </w:r>
      <w:r>
        <w:rPr>
          <w:rFonts w:ascii="Arial"/>
          <w:color w:val="646767"/>
          <w:sz w:val="13"/>
        </w:rPr>
        <w:t>and</w:t>
      </w:r>
      <w:r>
        <w:rPr>
          <w:rFonts w:ascii="Arial"/>
          <w:color w:val="646767"/>
          <w:spacing w:val="40"/>
          <w:sz w:val="13"/>
        </w:rPr>
        <w:t> </w:t>
      </w:r>
      <w:r>
        <w:rPr>
          <w:rFonts w:ascii="Arial"/>
          <w:color w:val="646767"/>
          <w:sz w:val="13"/>
        </w:rPr>
        <w:t>will pr</w:t>
      </w:r>
      <w:r>
        <w:rPr>
          <w:rFonts w:ascii="Arial"/>
          <w:color w:val="424242"/>
          <w:sz w:val="13"/>
        </w:rPr>
        <w:t>i</w:t>
      </w:r>
      <w:r>
        <w:rPr>
          <w:rFonts w:ascii="Arial"/>
          <w:color w:val="646767"/>
          <w:sz w:val="13"/>
        </w:rPr>
        <w:t>ori</w:t>
      </w:r>
      <w:r>
        <w:rPr>
          <w:rFonts w:ascii="Arial"/>
          <w:color w:val="2F2D2F"/>
          <w:sz w:val="13"/>
        </w:rPr>
        <w:t>t</w:t>
      </w:r>
      <w:r>
        <w:rPr>
          <w:rFonts w:ascii="Arial"/>
          <w:color w:val="646767"/>
          <w:sz w:val="13"/>
        </w:rPr>
        <w:t>ize </w:t>
      </w:r>
      <w:r>
        <w:rPr>
          <w:rFonts w:ascii="Arial"/>
          <w:b/>
          <w:color w:val="646767"/>
          <w:sz w:val="12"/>
        </w:rPr>
        <w:t>new</w:t>
      </w:r>
      <w:r>
        <w:rPr>
          <w:rFonts w:ascii="Arial"/>
          <w:b/>
          <w:color w:val="646767"/>
          <w:spacing w:val="80"/>
          <w:sz w:val="12"/>
        </w:rPr>
        <w:t> </w:t>
      </w:r>
      <w:r>
        <w:rPr>
          <w:rFonts w:ascii="Arial"/>
          <w:color w:val="525454"/>
          <w:sz w:val="13"/>
        </w:rPr>
        <w:t>innovati</w:t>
      </w:r>
      <w:r>
        <w:rPr>
          <w:rFonts w:ascii="Arial"/>
          <w:color w:val="727775"/>
          <w:sz w:val="13"/>
        </w:rPr>
        <w:t>ons, </w:t>
      </w:r>
      <w:r>
        <w:rPr>
          <w:rFonts w:ascii="Arial"/>
          <w:color w:val="646767"/>
          <w:sz w:val="13"/>
        </w:rPr>
        <w:t>even in</w:t>
      </w:r>
    </w:p>
    <w:p>
      <w:pPr>
        <w:spacing w:after="0" w:line="254" w:lineRule="auto"/>
        <w:jc w:val="left"/>
        <w:rPr>
          <w:rFonts w:ascii="Arial"/>
          <w:sz w:val="13"/>
        </w:rPr>
        <w:sectPr>
          <w:type w:val="continuous"/>
          <w:pgSz w:w="15840" w:h="12240" w:orient="landscape"/>
          <w:pgMar w:header="0" w:footer="173" w:top="740" w:bottom="280" w:left="720" w:right="0"/>
          <w:cols w:num="5" w:equalWidth="0">
            <w:col w:w="1525" w:space="93"/>
            <w:col w:w="3930" w:space="39"/>
            <w:col w:w="3931" w:space="67"/>
            <w:col w:w="1881" w:space="113"/>
            <w:col w:w="3541"/>
          </w:cols>
        </w:sectPr>
      </w:pPr>
    </w:p>
    <w:p>
      <w:pPr>
        <w:tabs>
          <w:tab w:pos="3730" w:val="left" w:leader="none"/>
          <w:tab w:pos="5683" w:val="left" w:leader="none"/>
          <w:tab w:pos="7715" w:val="left" w:leader="none"/>
          <w:tab w:pos="9709" w:val="left" w:leader="none"/>
          <w:tab w:pos="11702" w:val="left" w:leader="none"/>
        </w:tabs>
        <w:spacing w:line="247" w:lineRule="auto" w:before="0"/>
        <w:ind w:left="3736" w:right="2121" w:hanging="2000"/>
        <w:jc w:val="left"/>
        <w:rPr>
          <w:rFonts w:ascii="Arial"/>
          <w:sz w:val="13"/>
        </w:rPr>
      </w:pPr>
      <w:r>
        <w:rPr>
          <w:rFonts w:ascii="Arial"/>
          <w:color w:val="646767"/>
          <w:spacing w:val="-2"/>
          <w:sz w:val="13"/>
        </w:rPr>
        <w:t>outcomes.</w:t>
      </w:r>
      <w:r>
        <w:rPr>
          <w:rFonts w:ascii="Arial"/>
          <w:color w:val="646767"/>
          <w:sz w:val="13"/>
        </w:rPr>
        <w:tab/>
        <w:t>essential. We </w:t>
      </w:r>
      <w:r>
        <w:rPr>
          <w:rFonts w:ascii="Arial"/>
          <w:color w:val="727775"/>
          <w:sz w:val="13"/>
        </w:rPr>
        <w:t>wi</w:t>
      </w:r>
      <w:r>
        <w:rPr>
          <w:rFonts w:ascii="Arial"/>
          <w:color w:val="2F2D2F"/>
          <w:sz w:val="13"/>
        </w:rPr>
        <w:t>l</w:t>
      </w:r>
      <w:r>
        <w:rPr>
          <w:rFonts w:ascii="Arial"/>
          <w:color w:val="646767"/>
          <w:sz w:val="13"/>
        </w:rPr>
        <w:t>l avoid</w:t>
        <w:tab/>
      </w:r>
      <w:r>
        <w:rPr>
          <w:rFonts w:ascii="Arial"/>
          <w:color w:val="646767"/>
          <w:spacing w:val="-32"/>
          <w:sz w:val="13"/>
        </w:rPr>
        <w:t> </w:t>
      </w:r>
      <w:r>
        <w:rPr>
          <w:rFonts w:ascii="Arial"/>
          <w:color w:val="646767"/>
          <w:sz w:val="13"/>
        </w:rPr>
        <w:t>dec</w:t>
      </w:r>
      <w:r>
        <w:rPr>
          <w:rFonts w:ascii="Arial"/>
          <w:color w:val="2F2D2F"/>
          <w:sz w:val="13"/>
        </w:rPr>
        <w:t>i</w:t>
      </w:r>
      <w:r>
        <w:rPr>
          <w:rFonts w:ascii="Arial"/>
          <w:color w:val="646767"/>
          <w:sz w:val="13"/>
        </w:rPr>
        <w:t>sions on qual</w:t>
      </w:r>
      <w:r>
        <w:rPr>
          <w:rFonts w:ascii="Arial"/>
          <w:color w:val="2F2D2F"/>
          <w:sz w:val="13"/>
        </w:rPr>
        <w:t>i</w:t>
      </w:r>
      <w:r>
        <w:rPr>
          <w:rFonts w:ascii="Arial"/>
          <w:color w:val="646767"/>
          <w:sz w:val="13"/>
        </w:rPr>
        <w:t>ty </w:t>
      </w:r>
      <w:r>
        <w:rPr>
          <w:rFonts w:ascii="Arial"/>
          <w:color w:val="727775"/>
          <w:sz w:val="13"/>
        </w:rPr>
        <w:t>where</w:t>
        <w:tab/>
      </w:r>
      <w:r>
        <w:rPr>
          <w:rFonts w:ascii="Arial"/>
          <w:color w:val="727775"/>
          <w:spacing w:val="-32"/>
          <w:sz w:val="13"/>
        </w:rPr>
        <w:t> </w:t>
      </w:r>
      <w:r>
        <w:rPr>
          <w:rFonts w:ascii="Arial"/>
          <w:color w:val="727775"/>
          <w:sz w:val="13"/>
        </w:rPr>
        <w:t>with </w:t>
      </w:r>
      <w:r>
        <w:rPr>
          <w:rFonts w:ascii="Arial"/>
          <w:color w:val="646767"/>
          <w:sz w:val="13"/>
        </w:rPr>
        <w:t>potential for</w:t>
        <w:tab/>
        <w:t>on </w:t>
      </w:r>
      <w:r>
        <w:rPr>
          <w:rFonts w:ascii="Arial"/>
          <w:color w:val="525454"/>
          <w:sz w:val="13"/>
        </w:rPr>
        <w:t>quality </w:t>
      </w:r>
      <w:r>
        <w:rPr>
          <w:rFonts w:ascii="Arial"/>
          <w:color w:val="646767"/>
          <w:sz w:val="13"/>
        </w:rPr>
        <w:t>where there may</w:t>
        <w:tab/>
        <w:t>eme</w:t>
      </w:r>
      <w:r>
        <w:rPr>
          <w:rFonts w:ascii="Arial"/>
          <w:color w:val="2F2D2F"/>
          <w:sz w:val="13"/>
        </w:rPr>
        <w:t>r</w:t>
      </w:r>
      <w:r>
        <w:rPr>
          <w:rFonts w:ascii="Arial"/>
          <w:color w:val="646767"/>
          <w:sz w:val="13"/>
        </w:rPr>
        <w:t>ging </w:t>
      </w:r>
      <w:r>
        <w:rPr>
          <w:rFonts w:ascii="Arial"/>
          <w:color w:val="525454"/>
          <w:sz w:val="13"/>
        </w:rPr>
        <w:t>fields. </w:t>
      </w:r>
      <w:r>
        <w:rPr>
          <w:rFonts w:ascii="Arial"/>
          <w:color w:val="646767"/>
          <w:sz w:val="13"/>
        </w:rPr>
        <w:t>We</w:t>
      </w:r>
      <w:r>
        <w:rPr>
          <w:rFonts w:ascii="Arial"/>
          <w:color w:val="646767"/>
          <w:spacing w:val="40"/>
          <w:sz w:val="13"/>
        </w:rPr>
        <w:t> </w:t>
      </w:r>
      <w:r>
        <w:rPr>
          <w:rFonts w:ascii="Arial"/>
          <w:color w:val="646767"/>
          <w:sz w:val="13"/>
        </w:rPr>
        <w:t>innovation unless </w:t>
      </w:r>
      <w:r>
        <w:rPr>
          <w:rFonts w:ascii="Arial"/>
          <w:color w:val="525454"/>
          <w:sz w:val="13"/>
        </w:rPr>
        <w:t>established</w:t>
        <w:tab/>
      </w:r>
      <w:r>
        <w:rPr>
          <w:rFonts w:ascii="Arial"/>
          <w:color w:val="646767"/>
          <w:sz w:val="13"/>
        </w:rPr>
        <w:t>there is a low degree of</w:t>
        <w:tab/>
      </w:r>
      <w:r>
        <w:rPr>
          <w:rFonts w:ascii="Arial"/>
          <w:color w:val="424242"/>
          <w:sz w:val="13"/>
        </w:rPr>
        <w:t>l</w:t>
      </w:r>
      <w:r>
        <w:rPr>
          <w:rFonts w:ascii="Arial"/>
          <w:color w:val="646767"/>
          <w:sz w:val="13"/>
        </w:rPr>
        <w:t>onger</w:t>
      </w:r>
      <w:r>
        <w:rPr>
          <w:rFonts w:ascii="Arial"/>
          <w:color w:val="424242"/>
          <w:sz w:val="13"/>
        </w:rPr>
        <w:t>-</w:t>
      </w:r>
      <w:r>
        <w:rPr>
          <w:rFonts w:ascii="Arial"/>
          <w:color w:val="646767"/>
          <w:sz w:val="13"/>
        </w:rPr>
        <w:t>term rewards. We</w:t>
        <w:tab/>
      </w:r>
      <w:r>
        <w:rPr>
          <w:rFonts w:ascii="Arial"/>
          <w:color w:val="525454"/>
          <w:sz w:val="13"/>
        </w:rPr>
        <w:t>be </w:t>
      </w:r>
      <w:r>
        <w:rPr>
          <w:rFonts w:ascii="Arial"/>
          <w:color w:val="646767"/>
          <w:sz w:val="13"/>
        </w:rPr>
        <w:t>h</w:t>
      </w:r>
      <w:r>
        <w:rPr>
          <w:rFonts w:ascii="Arial"/>
          <w:color w:val="2F2D2F"/>
          <w:sz w:val="13"/>
        </w:rPr>
        <w:t>i</w:t>
      </w:r>
      <w:r>
        <w:rPr>
          <w:rFonts w:ascii="Arial"/>
          <w:color w:val="646767"/>
          <w:sz w:val="13"/>
        </w:rPr>
        <w:t>g</w:t>
      </w:r>
      <w:r>
        <w:rPr>
          <w:rFonts w:ascii="Arial"/>
          <w:color w:val="424242"/>
          <w:sz w:val="13"/>
        </w:rPr>
        <w:t>her </w:t>
      </w:r>
      <w:r>
        <w:rPr>
          <w:rFonts w:ascii="Arial"/>
          <w:color w:val="2F2D2F"/>
          <w:sz w:val="13"/>
        </w:rPr>
        <w:t>i</w:t>
      </w:r>
      <w:r>
        <w:rPr>
          <w:rFonts w:ascii="Arial"/>
          <w:color w:val="646767"/>
          <w:sz w:val="13"/>
        </w:rPr>
        <w:t>nherent risks </w:t>
      </w:r>
      <w:r>
        <w:rPr>
          <w:rFonts w:ascii="Arial"/>
          <w:color w:val="525454"/>
          <w:sz w:val="13"/>
        </w:rPr>
        <w:t>but</w:t>
        <w:tab/>
      </w:r>
      <w:r>
        <w:rPr>
          <w:rFonts w:ascii="Arial"/>
          <w:color w:val="646767"/>
          <w:sz w:val="13"/>
        </w:rPr>
        <w:t>consistently</w:t>
      </w:r>
      <w:r>
        <w:rPr>
          <w:rFonts w:ascii="Arial"/>
          <w:color w:val="646767"/>
          <w:spacing w:val="-10"/>
          <w:sz w:val="13"/>
        </w:rPr>
        <w:t> </w:t>
      </w:r>
      <w:r>
        <w:rPr>
          <w:rFonts w:ascii="Arial"/>
          <w:color w:val="646767"/>
          <w:sz w:val="13"/>
        </w:rPr>
        <w:t>challenge</w:t>
      </w:r>
    </w:p>
    <w:p>
      <w:pPr>
        <w:tabs>
          <w:tab w:pos="5687" w:val="left" w:leader="none"/>
          <w:tab w:pos="7714" w:val="left" w:leader="none"/>
          <w:tab w:pos="9706" w:val="left" w:leader="none"/>
          <w:tab w:pos="11702" w:val="left" w:leader="none"/>
        </w:tabs>
        <w:spacing w:line="254" w:lineRule="auto" w:before="6"/>
        <w:ind w:left="3730" w:right="1788" w:firstLine="0"/>
        <w:jc w:val="left"/>
        <w:rPr>
          <w:rFonts w:ascii="Arial"/>
          <w:sz w:val="13"/>
        </w:rPr>
      </w:pPr>
      <w:r>
        <w:rPr>
          <w:rFonts w:ascii="Arial"/>
          <w:color w:val="646767"/>
          <w:w w:val="105"/>
          <w:sz w:val="13"/>
        </w:rPr>
        <w:t>and proven to</w:t>
      </w:r>
      <w:r>
        <w:rPr>
          <w:rFonts w:ascii="Arial"/>
          <w:color w:val="646767"/>
          <w:spacing w:val="40"/>
          <w:w w:val="105"/>
          <w:sz w:val="13"/>
        </w:rPr>
        <w:t> </w:t>
      </w:r>
      <w:r>
        <w:rPr>
          <w:rFonts w:ascii="Arial"/>
          <w:color w:val="646767"/>
          <w:w w:val="105"/>
          <w:sz w:val="13"/>
        </w:rPr>
        <w:t>be effective in</w:t>
      </w:r>
      <w:r>
        <w:rPr>
          <w:rFonts w:ascii="Arial"/>
          <w:color w:val="646767"/>
          <w:sz w:val="13"/>
        </w:rPr>
        <w:tab/>
      </w:r>
      <w:r>
        <w:rPr>
          <w:rFonts w:ascii="Arial"/>
          <w:color w:val="646767"/>
          <w:w w:val="105"/>
          <w:sz w:val="13"/>
        </w:rPr>
        <w:t>in</w:t>
      </w:r>
      <w:r>
        <w:rPr>
          <w:rFonts w:ascii="Arial"/>
          <w:color w:val="424242"/>
          <w:w w:val="105"/>
          <w:sz w:val="13"/>
        </w:rPr>
        <w:t>h</w:t>
      </w:r>
      <w:r>
        <w:rPr>
          <w:rFonts w:ascii="Arial"/>
          <w:color w:val="646767"/>
          <w:w w:val="105"/>
          <w:sz w:val="13"/>
        </w:rPr>
        <w:t>erent</w:t>
      </w:r>
      <w:r>
        <w:rPr>
          <w:rFonts w:ascii="Arial"/>
          <w:color w:val="646767"/>
          <w:spacing w:val="36"/>
          <w:w w:val="105"/>
          <w:sz w:val="13"/>
        </w:rPr>
        <w:t> </w:t>
      </w:r>
      <w:r>
        <w:rPr>
          <w:rFonts w:ascii="Arial"/>
          <w:color w:val="646767"/>
          <w:w w:val="105"/>
          <w:sz w:val="13"/>
        </w:rPr>
        <w:t>r</w:t>
      </w:r>
      <w:r>
        <w:rPr>
          <w:rFonts w:ascii="Arial"/>
          <w:color w:val="2F2D2F"/>
          <w:w w:val="105"/>
          <w:sz w:val="13"/>
        </w:rPr>
        <w:t>i</w:t>
      </w:r>
      <w:r>
        <w:rPr>
          <w:rFonts w:ascii="Arial"/>
          <w:color w:val="646767"/>
          <w:w w:val="105"/>
          <w:sz w:val="13"/>
        </w:rPr>
        <w:t>sk</w:t>
      </w:r>
      <w:r>
        <w:rPr>
          <w:rFonts w:ascii="Arial"/>
          <w:color w:val="646767"/>
          <w:spacing w:val="-2"/>
          <w:w w:val="105"/>
          <w:sz w:val="13"/>
        </w:rPr>
        <w:t> </w:t>
      </w:r>
      <w:r>
        <w:rPr>
          <w:rFonts w:ascii="Arial"/>
          <w:color w:val="646767"/>
          <w:w w:val="105"/>
          <w:sz w:val="13"/>
        </w:rPr>
        <w:t>and the</w:t>
      </w:r>
      <w:r>
        <w:rPr>
          <w:rFonts w:ascii="Arial"/>
          <w:color w:val="646767"/>
          <w:sz w:val="13"/>
        </w:rPr>
        <w:tab/>
      </w:r>
      <w:r>
        <w:rPr>
          <w:rFonts w:ascii="Arial"/>
          <w:color w:val="646767"/>
          <w:w w:val="105"/>
          <w:sz w:val="13"/>
        </w:rPr>
        <w:t>support i</w:t>
      </w:r>
      <w:r>
        <w:rPr>
          <w:rFonts w:ascii="Arial"/>
          <w:color w:val="424242"/>
          <w:w w:val="105"/>
          <w:sz w:val="13"/>
        </w:rPr>
        <w:t>n</w:t>
      </w:r>
      <w:r>
        <w:rPr>
          <w:rFonts w:ascii="Arial"/>
          <w:color w:val="646767"/>
          <w:w w:val="105"/>
          <w:sz w:val="13"/>
        </w:rPr>
        <w:t>novation.</w:t>
      </w:r>
      <w:r>
        <w:rPr>
          <w:rFonts w:ascii="Arial"/>
          <w:color w:val="646767"/>
          <w:sz w:val="13"/>
        </w:rPr>
        <w:tab/>
      </w:r>
      <w:r>
        <w:rPr>
          <w:rFonts w:ascii="Arial"/>
          <w:color w:val="646767"/>
          <w:w w:val="105"/>
          <w:sz w:val="13"/>
        </w:rPr>
        <w:t>the potential for significant</w:t>
      </w:r>
      <w:r>
        <w:rPr>
          <w:rFonts w:ascii="Arial"/>
          <w:color w:val="646767"/>
          <w:sz w:val="13"/>
        </w:rPr>
        <w:tab/>
      </w:r>
      <w:r>
        <w:rPr>
          <w:rFonts w:ascii="Arial"/>
          <w:color w:val="646767"/>
          <w:spacing w:val="-2"/>
          <w:w w:val="105"/>
          <w:sz w:val="13"/>
        </w:rPr>
        <w:t>curre</w:t>
      </w:r>
      <w:r>
        <w:rPr>
          <w:rFonts w:ascii="Arial"/>
          <w:color w:val="424242"/>
          <w:spacing w:val="-2"/>
          <w:w w:val="105"/>
          <w:sz w:val="13"/>
        </w:rPr>
        <w:t>n</w:t>
      </w:r>
      <w:r>
        <w:rPr>
          <w:rFonts w:ascii="Arial"/>
          <w:color w:val="646767"/>
          <w:spacing w:val="-2"/>
          <w:w w:val="105"/>
          <w:sz w:val="13"/>
        </w:rPr>
        <w:t>t</w:t>
      </w:r>
      <w:r>
        <w:rPr>
          <w:rFonts w:ascii="Arial"/>
          <w:color w:val="646767"/>
          <w:spacing w:val="-8"/>
          <w:w w:val="105"/>
          <w:sz w:val="13"/>
        </w:rPr>
        <w:t> </w:t>
      </w:r>
      <w:r>
        <w:rPr>
          <w:rFonts w:ascii="Arial"/>
          <w:color w:val="646767"/>
          <w:spacing w:val="-2"/>
          <w:w w:val="105"/>
          <w:sz w:val="13"/>
        </w:rPr>
        <w:t>working</w:t>
      </w:r>
      <w:r>
        <w:rPr>
          <w:rFonts w:ascii="Arial"/>
          <w:color w:val="646767"/>
          <w:spacing w:val="-7"/>
          <w:w w:val="105"/>
          <w:sz w:val="13"/>
        </w:rPr>
        <w:t> </w:t>
      </w:r>
      <w:r>
        <w:rPr>
          <w:rFonts w:ascii="Arial"/>
          <w:color w:val="646767"/>
          <w:spacing w:val="-2"/>
          <w:w w:val="105"/>
          <w:sz w:val="13"/>
        </w:rPr>
        <w:t>practices</w:t>
      </w:r>
      <w:r>
        <w:rPr>
          <w:rFonts w:ascii="Arial"/>
          <w:color w:val="646767"/>
          <w:spacing w:val="-7"/>
          <w:w w:val="105"/>
          <w:sz w:val="13"/>
        </w:rPr>
        <w:t> </w:t>
      </w:r>
      <w:r>
        <w:rPr>
          <w:rFonts w:ascii="Arial"/>
          <w:color w:val="646767"/>
          <w:spacing w:val="-2"/>
          <w:w w:val="105"/>
          <w:sz w:val="13"/>
        </w:rPr>
        <w:t>in</w:t>
      </w:r>
      <w:r>
        <w:rPr>
          <w:rFonts w:ascii="Arial"/>
          <w:color w:val="646767"/>
          <w:spacing w:val="40"/>
          <w:w w:val="105"/>
          <w:sz w:val="13"/>
        </w:rPr>
        <w:t> </w:t>
      </w:r>
      <w:r>
        <w:rPr>
          <w:rFonts w:ascii="Arial"/>
          <w:color w:val="646767"/>
          <w:w w:val="105"/>
          <w:sz w:val="13"/>
        </w:rPr>
        <w:t>a variety of settings.</w:t>
      </w:r>
      <w:r>
        <w:rPr>
          <w:rFonts w:ascii="Arial"/>
          <w:color w:val="646767"/>
          <w:sz w:val="13"/>
        </w:rPr>
        <w:tab/>
      </w:r>
      <w:r>
        <w:rPr>
          <w:rFonts w:ascii="Arial"/>
          <w:color w:val="646767"/>
          <w:w w:val="105"/>
          <w:sz w:val="13"/>
        </w:rPr>
        <w:t>possibi</w:t>
      </w:r>
      <w:r>
        <w:rPr>
          <w:rFonts w:ascii="Arial"/>
          <w:color w:val="2F2D2F"/>
          <w:w w:val="105"/>
          <w:sz w:val="13"/>
        </w:rPr>
        <w:t>li</w:t>
      </w:r>
      <w:r>
        <w:rPr>
          <w:rFonts w:ascii="Arial"/>
          <w:color w:val="646767"/>
          <w:w w:val="105"/>
          <w:sz w:val="13"/>
        </w:rPr>
        <w:t>ty of improved</w:t>
      </w:r>
      <w:r>
        <w:rPr>
          <w:rFonts w:ascii="Arial"/>
          <w:color w:val="646767"/>
          <w:sz w:val="13"/>
        </w:rPr>
        <w:tab/>
        <w:tab/>
      </w:r>
      <w:r>
        <w:rPr>
          <w:rFonts w:ascii="Arial"/>
          <w:color w:val="646767"/>
          <w:spacing w:val="-34"/>
          <w:sz w:val="13"/>
        </w:rPr>
        <w:t> </w:t>
      </w:r>
      <w:r>
        <w:rPr>
          <w:rFonts w:ascii="Arial"/>
          <w:color w:val="2F2D2F"/>
          <w:w w:val="105"/>
          <w:sz w:val="13"/>
        </w:rPr>
        <w:t>l</w:t>
      </w:r>
      <w:r>
        <w:rPr>
          <w:rFonts w:ascii="Arial"/>
          <w:color w:val="646767"/>
          <w:w w:val="105"/>
          <w:sz w:val="13"/>
        </w:rPr>
        <w:t>onger-term</w:t>
      </w:r>
      <w:r>
        <w:rPr>
          <w:rFonts w:ascii="Arial"/>
          <w:color w:val="646767"/>
          <w:spacing w:val="-9"/>
          <w:w w:val="105"/>
          <w:sz w:val="13"/>
        </w:rPr>
        <w:t> </w:t>
      </w:r>
      <w:r>
        <w:rPr>
          <w:rFonts w:ascii="Arial"/>
          <w:color w:val="646767"/>
          <w:w w:val="105"/>
          <w:sz w:val="13"/>
        </w:rPr>
        <w:t>gains.</w:t>
      </w:r>
      <w:r>
        <w:rPr>
          <w:rFonts w:ascii="Arial"/>
          <w:color w:val="646767"/>
          <w:sz w:val="13"/>
        </w:rPr>
        <w:tab/>
      </w:r>
      <w:r>
        <w:rPr>
          <w:rFonts w:ascii="Arial"/>
          <w:color w:val="646767"/>
          <w:spacing w:val="-35"/>
          <w:sz w:val="13"/>
        </w:rPr>
        <w:t> </w:t>
      </w:r>
      <w:r>
        <w:rPr>
          <w:rFonts w:ascii="Arial"/>
          <w:color w:val="646767"/>
          <w:w w:val="105"/>
          <w:sz w:val="13"/>
        </w:rPr>
        <w:t>order to drive qua</w:t>
      </w:r>
      <w:r>
        <w:rPr>
          <w:rFonts w:ascii="Arial"/>
          <w:color w:val="2F2D2F"/>
          <w:w w:val="105"/>
          <w:sz w:val="13"/>
        </w:rPr>
        <w:t>l</w:t>
      </w:r>
      <w:r>
        <w:rPr>
          <w:rFonts w:ascii="Arial"/>
          <w:color w:val="646767"/>
          <w:w w:val="105"/>
          <w:sz w:val="13"/>
        </w:rPr>
        <w:t>ity</w:t>
      </w:r>
    </w:p>
    <w:p>
      <w:pPr>
        <w:tabs>
          <w:tab w:pos="11703" w:val="left" w:leader="none"/>
        </w:tabs>
        <w:spacing w:before="0"/>
        <w:ind w:left="5686" w:right="0" w:firstLine="0"/>
        <w:jc w:val="left"/>
        <w:rPr>
          <w:rFonts w:ascii="Arial"/>
          <w:sz w:val="13"/>
        </w:rPr>
      </w:pPr>
      <w:r>
        <w:rPr/>
        <w:pict>
          <v:group style="position:absolute;margin-left:44.471836pt;margin-top:6.028175pt;width:60.55pt;height:43.45pt;mso-position-horizontal-relative:page;mso-position-vertical-relative:paragraph;z-index:15831040" id="docshapegroup489" coordorigin="889,121" coordsize="1211,869">
            <v:shape style="position:absolute;left:892;top:120;width:1145;height:716" id="docshape490" coordorigin="892,121" coordsize="1145,716" path="m2037,121l1897,121,1897,506,893,506,893,644,892,644,892,836,1856,836,1856,683,1897,683,1897,804,2037,804,2037,121xe" filled="true" fillcolor="#0c4695" stroked="false">
              <v:path arrowok="t"/>
              <v:fill type="solid"/>
            </v:shape>
            <v:shape style="position:absolute;left:892;top:120;width:1209;height:716" type="#_x0000_t202" id="docshape491" filled="false" stroked="false">
              <v:textbox inset="0,0,0,0">
                <w:txbxContent>
                  <w:p>
                    <w:pPr>
                      <w:spacing w:before="51"/>
                      <w:ind w:left="0" w:right="0" w:firstLine="0"/>
                      <w:jc w:val="right"/>
                      <w:rPr>
                        <w:rFonts w:ascii="Arial" w:hAnsi="Arial"/>
                        <w:sz w:val="50"/>
                      </w:rPr>
                    </w:pPr>
                    <w:r>
                      <w:rPr>
                        <w:rFonts w:ascii="Arial" w:hAnsi="Arial"/>
                        <w:color w:val="F4F6F9"/>
                        <w:w w:val="41"/>
                        <w:sz w:val="50"/>
                      </w:rPr>
                      <w:t>►</w:t>
                    </w:r>
                  </w:p>
                </w:txbxContent>
              </v:textbox>
              <w10:wrap type="none"/>
            </v:shape>
            <v:shape style="position:absolute;left:889;top:835;width:1079;height:154" type="#_x0000_t202" id="docshape492" filled="true" fillcolor="#0c4695" stroked="false">
              <v:textbox inset="0,0,0,0">
                <w:txbxContent>
                  <w:p>
                    <w:pPr>
                      <w:spacing w:line="138" w:lineRule="exact" w:before="0"/>
                      <w:ind w:left="0" w:right="-15" w:firstLine="0"/>
                      <w:jc w:val="left"/>
                      <w:rPr>
                        <w:rFonts w:ascii="Arial"/>
                        <w:color w:val="000000"/>
                        <w:sz w:val="14"/>
                      </w:rPr>
                    </w:pPr>
                    <w:r>
                      <w:rPr>
                        <w:rFonts w:ascii="Arial"/>
                        <w:color w:val="F4F6F9"/>
                        <w:sz w:val="14"/>
                      </w:rPr>
                      <w:t>perceived</w:t>
                    </w:r>
                    <w:r>
                      <w:rPr>
                        <w:rFonts w:ascii="Arial"/>
                        <w:color w:val="F4F6F9"/>
                        <w:spacing w:val="20"/>
                        <w:sz w:val="14"/>
                      </w:rPr>
                      <w:t> </w:t>
                    </w:r>
                    <w:r>
                      <w:rPr>
                        <w:rFonts w:ascii="Arial"/>
                        <w:color w:val="F4F6F9"/>
                        <w:sz w:val="14"/>
                      </w:rPr>
                      <w:t>by</w:t>
                    </w:r>
                    <w:r>
                      <w:rPr>
                        <w:rFonts w:ascii="Arial"/>
                        <w:color w:val="F4F6F9"/>
                        <w:spacing w:val="8"/>
                        <w:sz w:val="14"/>
                      </w:rPr>
                      <w:t> </w:t>
                    </w:r>
                    <w:r>
                      <w:rPr>
                        <w:rFonts w:ascii="Arial"/>
                        <w:color w:val="F4F6F9"/>
                        <w:spacing w:val="-5"/>
                        <w:sz w:val="14"/>
                      </w:rPr>
                      <w:t>the</w:t>
                    </w:r>
                  </w:p>
                </w:txbxContent>
              </v:textbox>
              <v:fill type="solid"/>
              <w10:wrap type="none"/>
            </v:shape>
            <v:shape style="position:absolute;left:889;top:683;width:967;height:153" type="#_x0000_t202" id="docshape493" filled="false" stroked="false">
              <v:textbox inset="0,0,0,0">
                <w:txbxContent>
                  <w:p>
                    <w:pPr>
                      <w:spacing w:line="136" w:lineRule="exact" w:before="0"/>
                      <w:ind w:left="2" w:right="-29" w:firstLine="0"/>
                      <w:jc w:val="left"/>
                      <w:rPr>
                        <w:rFonts w:ascii="Arial"/>
                        <w:sz w:val="14"/>
                      </w:rPr>
                    </w:pPr>
                    <w:r>
                      <w:rPr>
                        <w:rFonts w:ascii="Arial"/>
                        <w:color w:val="F4F6F9"/>
                        <w:w w:val="105"/>
                        <w:sz w:val="14"/>
                      </w:rPr>
                      <w:t>How</w:t>
                    </w:r>
                    <w:r>
                      <w:rPr>
                        <w:rFonts w:ascii="Arial"/>
                        <w:color w:val="F4F6F9"/>
                        <w:spacing w:val="-2"/>
                        <w:w w:val="105"/>
                        <w:sz w:val="14"/>
                      </w:rPr>
                      <w:t> </w:t>
                    </w:r>
                    <w:r>
                      <w:rPr>
                        <w:rFonts w:ascii="Arial"/>
                        <w:color w:val="F4F6F9"/>
                        <w:w w:val="105"/>
                        <w:sz w:val="14"/>
                      </w:rPr>
                      <w:t>will</w:t>
                    </w:r>
                    <w:r>
                      <w:rPr>
                        <w:rFonts w:ascii="Arial"/>
                        <w:color w:val="F4F6F9"/>
                        <w:spacing w:val="4"/>
                        <w:w w:val="105"/>
                        <w:sz w:val="14"/>
                      </w:rPr>
                      <w:t> </w:t>
                    </w:r>
                    <w:r>
                      <w:rPr>
                        <w:rFonts w:ascii="Arial"/>
                        <w:color w:val="F4F6F9"/>
                        <w:w w:val="105"/>
                        <w:sz w:val="14"/>
                      </w:rPr>
                      <w:t>we</w:t>
                    </w:r>
                    <w:r>
                      <w:rPr>
                        <w:rFonts w:ascii="Arial"/>
                        <w:color w:val="F4F6F9"/>
                        <w:spacing w:val="-5"/>
                        <w:w w:val="105"/>
                        <w:sz w:val="14"/>
                      </w:rPr>
                      <w:t> be</w:t>
                    </w:r>
                  </w:p>
                </w:txbxContent>
              </v:textbox>
              <w10:wrap type="none"/>
            </v:shape>
            <v:shape style="position:absolute;left:889;top:505;width:967;height:178" type="#_x0000_t202" id="docshape494" filled="false" stroked="false">
              <v:textbox inset="0,0,0,0">
                <w:txbxContent>
                  <w:p>
                    <w:pPr>
                      <w:spacing w:before="13"/>
                      <w:ind w:left="3" w:right="0" w:firstLine="0"/>
                      <w:jc w:val="left"/>
                      <w:rPr>
                        <w:rFonts w:ascii="Arial"/>
                        <w:sz w:val="13"/>
                      </w:rPr>
                    </w:pPr>
                    <w:r>
                      <w:rPr>
                        <w:rFonts w:ascii="Arial"/>
                        <w:color w:val="F4F6F9"/>
                        <w:spacing w:val="-2"/>
                        <w:w w:val="105"/>
                        <w:sz w:val="13"/>
                      </w:rPr>
                      <w:t>REPUTATIONA</w:t>
                    </w:r>
                  </w:p>
                </w:txbxContent>
              </v:textbox>
              <w10:wrap type="none"/>
            </v:shape>
            <w10:wrap type="none"/>
          </v:group>
        </w:pict>
      </w:r>
      <w:r>
        <w:rPr>
          <w:rFonts w:ascii="Arial"/>
          <w:color w:val="646767"/>
          <w:sz w:val="13"/>
        </w:rPr>
        <w:t>outcomes,</w:t>
      </w:r>
      <w:r>
        <w:rPr>
          <w:rFonts w:ascii="Arial"/>
          <w:color w:val="646767"/>
          <w:spacing w:val="17"/>
          <w:sz w:val="13"/>
        </w:rPr>
        <w:t> </w:t>
      </w:r>
      <w:r>
        <w:rPr>
          <w:rFonts w:ascii="Arial"/>
          <w:color w:val="646767"/>
          <w:sz w:val="13"/>
        </w:rPr>
        <w:t>and</w:t>
      </w:r>
      <w:r>
        <w:rPr>
          <w:rFonts w:ascii="Arial"/>
          <w:color w:val="646767"/>
          <w:spacing w:val="-6"/>
          <w:sz w:val="13"/>
        </w:rPr>
        <w:t> </w:t>
      </w:r>
      <w:r>
        <w:rPr>
          <w:rFonts w:ascii="Arial"/>
          <w:color w:val="646767"/>
          <w:spacing w:val="-2"/>
          <w:sz w:val="13"/>
        </w:rPr>
        <w:t>appropriate</w:t>
      </w:r>
      <w:r>
        <w:rPr>
          <w:rFonts w:ascii="Arial"/>
          <w:color w:val="646767"/>
          <w:sz w:val="13"/>
        </w:rPr>
        <w:tab/>
      </w:r>
      <w:r>
        <w:rPr>
          <w:rFonts w:ascii="Arial"/>
          <w:color w:val="525454"/>
          <w:spacing w:val="-2"/>
          <w:sz w:val="13"/>
        </w:rPr>
        <w:t>improvement.</w:t>
      </w:r>
    </w:p>
    <w:p>
      <w:pPr>
        <w:spacing w:before="4"/>
        <w:ind w:left="5685" w:right="0" w:firstLine="0"/>
        <w:jc w:val="left"/>
        <w:rPr>
          <w:rFonts w:ascii="Arial"/>
          <w:sz w:val="13"/>
        </w:rPr>
      </w:pPr>
      <w:r>
        <w:rPr>
          <w:rFonts w:ascii="Arial"/>
          <w:color w:val="646767"/>
          <w:w w:val="105"/>
          <w:sz w:val="13"/>
        </w:rPr>
        <w:t>con</w:t>
      </w:r>
      <w:r>
        <w:rPr>
          <w:rFonts w:ascii="Arial"/>
          <w:color w:val="424242"/>
          <w:w w:val="105"/>
          <w:sz w:val="13"/>
        </w:rPr>
        <w:t>t</w:t>
      </w:r>
      <w:r>
        <w:rPr>
          <w:rFonts w:ascii="Arial"/>
          <w:color w:val="646767"/>
          <w:w w:val="105"/>
          <w:sz w:val="13"/>
        </w:rPr>
        <w:t>rols</w:t>
      </w:r>
      <w:r>
        <w:rPr>
          <w:rFonts w:ascii="Arial"/>
          <w:color w:val="646767"/>
          <w:spacing w:val="-20"/>
          <w:w w:val="105"/>
          <w:sz w:val="13"/>
        </w:rPr>
        <w:t> </w:t>
      </w:r>
      <w:r>
        <w:rPr>
          <w:rFonts w:ascii="Arial"/>
          <w:color w:val="646767"/>
          <w:w w:val="105"/>
          <w:sz w:val="13"/>
        </w:rPr>
        <w:t>are</w:t>
      </w:r>
      <w:r>
        <w:rPr>
          <w:rFonts w:ascii="Arial"/>
          <w:color w:val="646767"/>
          <w:spacing w:val="-10"/>
          <w:w w:val="105"/>
          <w:sz w:val="13"/>
        </w:rPr>
        <w:t> </w:t>
      </w:r>
      <w:r>
        <w:rPr>
          <w:rFonts w:ascii="Arial"/>
          <w:color w:val="646767"/>
          <w:w w:val="105"/>
          <w:sz w:val="13"/>
        </w:rPr>
        <w:t>in</w:t>
      </w:r>
      <w:r>
        <w:rPr>
          <w:rFonts w:ascii="Arial"/>
          <w:color w:val="646767"/>
          <w:spacing w:val="-5"/>
          <w:w w:val="105"/>
          <w:sz w:val="13"/>
        </w:rPr>
        <w:t> </w:t>
      </w:r>
      <w:r>
        <w:rPr>
          <w:rFonts w:ascii="Arial"/>
          <w:color w:val="646767"/>
          <w:spacing w:val="-2"/>
          <w:w w:val="105"/>
          <w:sz w:val="13"/>
        </w:rPr>
        <w:t>place.</w:t>
      </w:r>
    </w:p>
    <w:p>
      <w:pPr>
        <w:pStyle w:val="BodyText"/>
        <w:spacing w:before="4"/>
        <w:rPr>
          <w:rFonts w:ascii="Arial"/>
          <w:sz w:val="18"/>
        </w:rPr>
      </w:pPr>
    </w:p>
    <w:p>
      <w:pPr>
        <w:tabs>
          <w:tab w:pos="3728" w:val="left" w:leader="none"/>
          <w:tab w:pos="5679" w:val="left" w:leader="none"/>
          <w:tab w:pos="7711" w:val="left" w:leader="none"/>
          <w:tab w:pos="9706" w:val="left" w:leader="none"/>
          <w:tab w:pos="11700" w:val="left" w:leader="none"/>
        </w:tabs>
        <w:spacing w:line="252" w:lineRule="auto" w:before="0"/>
        <w:ind w:left="1735" w:right="1743" w:hanging="2"/>
        <w:jc w:val="left"/>
        <w:rPr>
          <w:rFonts w:ascii="Arial"/>
          <w:sz w:val="13"/>
        </w:rPr>
      </w:pPr>
      <w:r>
        <w:rPr/>
        <w:pict>
          <v:shape style="position:absolute;margin-left:92.319504pt;margin-top:.44382pt;width:3.75pt;height:7.3pt;mso-position-horizontal-relative:page;mso-position-vertical-relative:paragraph;z-index:-24093696" type="#_x0000_t202" id="docshape495" filled="false" stroked="false">
            <v:textbox inset="0,0,0,0">
              <w:txbxContent>
                <w:p>
                  <w:pPr>
                    <w:spacing w:line="145" w:lineRule="exact" w:before="0"/>
                    <w:ind w:left="0" w:right="0" w:firstLine="0"/>
                    <w:jc w:val="left"/>
                    <w:rPr>
                      <w:rFonts w:ascii="Arial"/>
                      <w:sz w:val="13"/>
                    </w:rPr>
                  </w:pPr>
                  <w:r>
                    <w:rPr>
                      <w:rFonts w:ascii="Arial"/>
                      <w:color w:val="F4F6F9"/>
                      <w:spacing w:val="-1"/>
                      <w:w w:val="103"/>
                      <w:sz w:val="13"/>
                    </w:rPr>
                    <w:t>L</w:t>
                  </w:r>
                </w:p>
              </w:txbxContent>
            </v:textbox>
            <w10:wrap type="none"/>
          </v:shape>
        </w:pict>
      </w:r>
      <w:r>
        <w:rPr/>
        <w:pict>
          <v:group style="position:absolute;margin-left:44.471836pt;margin-top:23.757748pt;width:46.4pt;height:16.1500pt;mso-position-horizontal-relative:page;mso-position-vertical-relative:paragraph;z-index:15833600" id="docshapegroup496" coordorigin="889,475" coordsize="928,323">
            <v:shape style="position:absolute;left:889;top:638;width:601;height:159" type="#_x0000_t202" id="docshape497" filled="true" fillcolor="#0c4695" stroked="false">
              <v:textbox inset="0,0,0,0">
                <w:txbxContent>
                  <w:p>
                    <w:pPr>
                      <w:spacing w:line="143" w:lineRule="exact" w:before="0"/>
                      <w:ind w:left="0" w:right="-15" w:firstLine="0"/>
                      <w:jc w:val="left"/>
                      <w:rPr>
                        <w:rFonts w:ascii="Arial"/>
                        <w:color w:val="000000"/>
                        <w:sz w:val="14"/>
                      </w:rPr>
                    </w:pPr>
                    <w:r>
                      <w:rPr>
                        <w:rFonts w:ascii="Arial"/>
                        <w:color w:val="F4F6F9"/>
                        <w:spacing w:val="-2"/>
                        <w:w w:val="105"/>
                        <w:sz w:val="14"/>
                      </w:rPr>
                      <w:t>partners?</w:t>
                    </w:r>
                  </w:p>
                </w:txbxContent>
              </v:textbox>
              <v:fill type="solid"/>
              <w10:wrap type="none"/>
            </v:shape>
            <v:shape style="position:absolute;left:889;top:475;width:928;height:164" type="#_x0000_t202" id="docshape498" filled="true" fillcolor="#0c4695" stroked="false">
              <v:textbox inset="0,0,0,0">
                <w:txbxContent>
                  <w:p>
                    <w:pPr>
                      <w:spacing w:line="148" w:lineRule="exact" w:before="0"/>
                      <w:ind w:left="0" w:right="-15" w:firstLine="0"/>
                      <w:jc w:val="left"/>
                      <w:rPr>
                        <w:rFonts w:ascii="Arial"/>
                        <w:color w:val="000000"/>
                        <w:sz w:val="14"/>
                      </w:rPr>
                    </w:pPr>
                    <w:r>
                      <w:rPr>
                        <w:rFonts w:ascii="Arial"/>
                        <w:color w:val="F4F6F9"/>
                        <w:w w:val="105"/>
                        <w:sz w:val="14"/>
                      </w:rPr>
                      <w:t>public</w:t>
                    </w:r>
                    <w:r>
                      <w:rPr>
                        <w:rFonts w:ascii="Arial"/>
                        <w:color w:val="F4F6F9"/>
                        <w:spacing w:val="5"/>
                        <w:w w:val="105"/>
                        <w:sz w:val="14"/>
                      </w:rPr>
                      <w:t> </w:t>
                    </w:r>
                    <w:r>
                      <w:rPr>
                        <w:rFonts w:ascii="Arial"/>
                        <w:color w:val="F4F6F9"/>
                        <w:w w:val="105"/>
                        <w:sz w:val="14"/>
                      </w:rPr>
                      <w:t>and</w:t>
                    </w:r>
                    <w:r>
                      <w:rPr>
                        <w:rFonts w:ascii="Arial"/>
                        <w:color w:val="F4F6F9"/>
                        <w:spacing w:val="-9"/>
                        <w:w w:val="105"/>
                        <w:sz w:val="14"/>
                      </w:rPr>
                      <w:t> </w:t>
                    </w:r>
                    <w:r>
                      <w:rPr>
                        <w:rFonts w:ascii="Arial"/>
                        <w:color w:val="F4F6F9"/>
                        <w:spacing w:val="-5"/>
                        <w:w w:val="105"/>
                        <w:sz w:val="14"/>
                      </w:rPr>
                      <w:t>our</w:t>
                    </w:r>
                  </w:p>
                </w:txbxContent>
              </v:textbox>
              <v:fill type="solid"/>
              <w10:wrap type="none"/>
            </v:shape>
            <w10:wrap type="none"/>
          </v:group>
        </w:pict>
      </w:r>
      <w:r>
        <w:rPr>
          <w:rFonts w:ascii="Arial"/>
          <w:color w:val="646767"/>
          <w:sz w:val="13"/>
        </w:rPr>
        <w:t>We </w:t>
      </w:r>
      <w:r>
        <w:rPr>
          <w:rFonts w:ascii="Arial"/>
          <w:color w:val="525454"/>
          <w:sz w:val="13"/>
        </w:rPr>
        <w:t>ha</w:t>
      </w:r>
      <w:r>
        <w:rPr>
          <w:rFonts w:ascii="Arial"/>
          <w:color w:val="727775"/>
          <w:sz w:val="13"/>
        </w:rPr>
        <w:t>ve </w:t>
      </w:r>
      <w:r>
        <w:rPr>
          <w:rFonts w:ascii="Arial"/>
          <w:color w:val="525454"/>
          <w:sz w:val="13"/>
        </w:rPr>
        <w:t>no </w:t>
      </w:r>
      <w:r>
        <w:rPr>
          <w:rFonts w:ascii="Arial"/>
          <w:color w:val="646767"/>
          <w:sz w:val="13"/>
        </w:rPr>
        <w:t>appetite for</w:t>
        <w:tab/>
        <w:t>Our appetite for risk taking is</w:t>
        <w:tab/>
        <w:t>We are prepared to</w:t>
      </w:r>
      <w:r>
        <w:rPr>
          <w:rFonts w:ascii="Arial"/>
          <w:color w:val="646767"/>
          <w:spacing w:val="36"/>
          <w:sz w:val="13"/>
        </w:rPr>
        <w:t> </w:t>
      </w:r>
      <w:r>
        <w:rPr>
          <w:rFonts w:ascii="Arial"/>
          <w:color w:val="646767"/>
          <w:sz w:val="13"/>
        </w:rPr>
        <w:t>accep: the</w:t>
        <w:tab/>
      </w:r>
      <w:r>
        <w:rPr>
          <w:rFonts w:ascii="Arial"/>
          <w:color w:val="646767"/>
          <w:spacing w:val="-35"/>
          <w:sz w:val="13"/>
        </w:rPr>
        <w:t> </w:t>
      </w:r>
      <w:r>
        <w:rPr>
          <w:rFonts w:ascii="Arial"/>
          <w:color w:val="646767"/>
          <w:sz w:val="13"/>
        </w:rPr>
        <w:t>We are prepared to accept</w:t>
        <w:tab/>
        <w:t>We are willi</w:t>
      </w:r>
      <w:r>
        <w:rPr>
          <w:rFonts w:ascii="Arial"/>
          <w:color w:val="424242"/>
          <w:sz w:val="13"/>
        </w:rPr>
        <w:t>n</w:t>
      </w:r>
      <w:r>
        <w:rPr>
          <w:rFonts w:ascii="Arial"/>
          <w:color w:val="646767"/>
          <w:sz w:val="13"/>
        </w:rPr>
        <w:t>g </w:t>
      </w:r>
      <w:r>
        <w:rPr>
          <w:rFonts w:ascii="Arial"/>
          <w:color w:val="525454"/>
          <w:sz w:val="13"/>
        </w:rPr>
        <w:t>to </w:t>
      </w:r>
      <w:r>
        <w:rPr>
          <w:rFonts w:ascii="Arial"/>
          <w:color w:val="646767"/>
          <w:sz w:val="13"/>
        </w:rPr>
        <w:t>take</w:t>
        <w:tab/>
      </w:r>
      <w:r>
        <w:rPr>
          <w:rFonts w:ascii="Arial"/>
          <w:color w:val="646767"/>
          <w:spacing w:val="-35"/>
          <w:sz w:val="13"/>
        </w:rPr>
        <w:t> </w:t>
      </w:r>
      <w:r>
        <w:rPr>
          <w:rFonts w:ascii="Arial"/>
          <w:color w:val="646767"/>
          <w:sz w:val="13"/>
        </w:rPr>
        <w:t>We are comfortab</w:t>
      </w:r>
      <w:r>
        <w:rPr>
          <w:rFonts w:ascii="Arial"/>
          <w:color w:val="424242"/>
          <w:sz w:val="13"/>
        </w:rPr>
        <w:t>l</w:t>
      </w:r>
      <w:r>
        <w:rPr>
          <w:rFonts w:ascii="Arial"/>
          <w:color w:val="646767"/>
          <w:sz w:val="13"/>
        </w:rPr>
        <w:t>e to take</w:t>
      </w:r>
      <w:r>
        <w:rPr>
          <w:rFonts w:ascii="Arial"/>
          <w:color w:val="646767"/>
          <w:spacing w:val="40"/>
          <w:sz w:val="13"/>
        </w:rPr>
        <w:t> </w:t>
      </w:r>
      <w:r>
        <w:rPr>
          <w:rFonts w:ascii="Arial"/>
          <w:color w:val="646767"/>
          <w:sz w:val="13"/>
        </w:rPr>
        <w:t>dec</w:t>
      </w:r>
      <w:r>
        <w:rPr>
          <w:rFonts w:ascii="Arial"/>
          <w:color w:val="424242"/>
          <w:sz w:val="13"/>
        </w:rPr>
        <w:t>i</w:t>
      </w:r>
      <w:r>
        <w:rPr>
          <w:rFonts w:ascii="Arial"/>
          <w:color w:val="646767"/>
          <w:sz w:val="13"/>
        </w:rPr>
        <w:t>sions</w:t>
      </w:r>
      <w:r>
        <w:rPr>
          <w:rFonts w:ascii="Arial"/>
          <w:color w:val="646767"/>
          <w:spacing w:val="-1"/>
          <w:sz w:val="13"/>
        </w:rPr>
        <w:t> </w:t>
      </w:r>
      <w:r>
        <w:rPr>
          <w:rFonts w:ascii="Arial"/>
          <w:color w:val="646767"/>
          <w:sz w:val="13"/>
        </w:rPr>
        <w:t>that could </w:t>
      </w:r>
      <w:r>
        <w:rPr>
          <w:rFonts w:ascii="Arial"/>
          <w:color w:val="2F2D2F"/>
          <w:sz w:val="13"/>
        </w:rPr>
        <w:t>l</w:t>
      </w:r>
      <w:r>
        <w:rPr>
          <w:rFonts w:ascii="Arial"/>
          <w:color w:val="646767"/>
          <w:sz w:val="13"/>
        </w:rPr>
        <w:t>ead to</w:t>
        <w:tab/>
      </w:r>
      <w:r>
        <w:rPr>
          <w:rFonts w:ascii="Arial"/>
          <w:color w:val="646767"/>
          <w:spacing w:val="-25"/>
          <w:sz w:val="13"/>
        </w:rPr>
        <w:t> </w:t>
      </w:r>
      <w:r>
        <w:rPr>
          <w:rFonts w:ascii="Arial"/>
          <w:color w:val="646767"/>
          <w:sz w:val="13"/>
        </w:rPr>
        <w:t>lim</w:t>
      </w:r>
      <w:r>
        <w:rPr>
          <w:rFonts w:ascii="Arial"/>
          <w:color w:val="2F2D2F"/>
          <w:sz w:val="13"/>
        </w:rPr>
        <w:t>i</w:t>
      </w:r>
      <w:r>
        <w:rPr>
          <w:rFonts w:ascii="Arial"/>
          <w:color w:val="525454"/>
          <w:sz w:val="13"/>
        </w:rPr>
        <w:t>ted to those </w:t>
      </w:r>
      <w:r>
        <w:rPr>
          <w:rFonts w:ascii="Arial"/>
          <w:color w:val="646767"/>
          <w:sz w:val="13"/>
        </w:rPr>
        <w:t>events</w:t>
        <w:tab/>
      </w:r>
      <w:r>
        <w:rPr>
          <w:rFonts w:ascii="Arial"/>
          <w:color w:val="646767"/>
          <w:spacing w:val="-26"/>
          <w:sz w:val="13"/>
        </w:rPr>
        <w:t> </w:t>
      </w:r>
      <w:r>
        <w:rPr>
          <w:rFonts w:ascii="Arial"/>
          <w:color w:val="646767"/>
          <w:sz w:val="13"/>
        </w:rPr>
        <w:t>possib</w:t>
      </w:r>
      <w:r>
        <w:rPr>
          <w:rFonts w:ascii="Arial"/>
          <w:color w:val="424242"/>
          <w:sz w:val="13"/>
        </w:rPr>
        <w:t>i</w:t>
      </w:r>
      <w:r>
        <w:rPr>
          <w:rFonts w:ascii="Arial"/>
          <w:color w:val="646767"/>
          <w:sz w:val="13"/>
        </w:rPr>
        <w:t>lity of lim</w:t>
      </w:r>
      <w:r>
        <w:rPr>
          <w:rFonts w:ascii="Arial"/>
          <w:color w:val="424242"/>
          <w:sz w:val="13"/>
        </w:rPr>
        <w:t>t</w:t>
      </w:r>
      <w:r>
        <w:rPr>
          <w:rFonts w:ascii="Arial"/>
          <w:color w:val="646767"/>
          <w:sz w:val="13"/>
        </w:rPr>
        <w:t>ed reputafonal</w:t>
        <w:tab/>
        <w:t>the possibi</w:t>
      </w:r>
      <w:r>
        <w:rPr>
          <w:rFonts w:ascii="Arial"/>
          <w:color w:val="2F2D2F"/>
          <w:sz w:val="13"/>
        </w:rPr>
        <w:t>l</w:t>
      </w:r>
      <w:r>
        <w:rPr>
          <w:rFonts w:ascii="Arial"/>
          <w:color w:val="646767"/>
          <w:sz w:val="13"/>
        </w:rPr>
        <w:t>ity of some</w:t>
        <w:tab/>
      </w:r>
      <w:r>
        <w:rPr>
          <w:rFonts w:ascii="Arial"/>
          <w:color w:val="646767"/>
          <w:spacing w:val="-34"/>
          <w:sz w:val="13"/>
        </w:rPr>
        <w:t> </w:t>
      </w:r>
      <w:r>
        <w:rPr>
          <w:rFonts w:ascii="Arial"/>
          <w:color w:val="646767"/>
          <w:sz w:val="13"/>
        </w:rPr>
        <w:t>decisions that are </w:t>
      </w:r>
      <w:r>
        <w:rPr>
          <w:rFonts w:ascii="Arial"/>
          <w:color w:val="2F2D2F"/>
          <w:sz w:val="13"/>
        </w:rPr>
        <w:t>l</w:t>
      </w:r>
      <w:r>
        <w:rPr>
          <w:rFonts w:ascii="Arial"/>
          <w:color w:val="646767"/>
          <w:sz w:val="13"/>
        </w:rPr>
        <w:t>ikely </w:t>
      </w:r>
      <w:r>
        <w:rPr>
          <w:rFonts w:ascii="Arial"/>
          <w:color w:val="525454"/>
          <w:sz w:val="13"/>
        </w:rPr>
        <w:t>to</w:t>
        <w:tab/>
      </w:r>
      <w:r>
        <w:rPr>
          <w:rFonts w:ascii="Arial"/>
          <w:color w:val="525454"/>
          <w:spacing w:val="-32"/>
          <w:sz w:val="13"/>
        </w:rPr>
        <w:t> </w:t>
      </w:r>
      <w:r>
        <w:rPr>
          <w:rFonts w:ascii="Arial"/>
          <w:color w:val="646767"/>
          <w:sz w:val="13"/>
        </w:rPr>
        <w:t>dec</w:t>
      </w:r>
      <w:r>
        <w:rPr>
          <w:rFonts w:ascii="Arial"/>
          <w:color w:val="424242"/>
          <w:sz w:val="13"/>
        </w:rPr>
        <w:t>i</w:t>
      </w:r>
      <w:r>
        <w:rPr>
          <w:rFonts w:ascii="Arial"/>
          <w:color w:val="646767"/>
          <w:sz w:val="13"/>
        </w:rPr>
        <w:t>sions</w:t>
      </w:r>
      <w:r>
        <w:rPr>
          <w:rFonts w:ascii="Arial"/>
          <w:color w:val="646767"/>
          <w:spacing w:val="-3"/>
          <w:sz w:val="13"/>
        </w:rPr>
        <w:t> </w:t>
      </w:r>
      <w:r>
        <w:rPr>
          <w:rFonts w:ascii="Arial"/>
          <w:color w:val="646767"/>
          <w:sz w:val="13"/>
        </w:rPr>
        <w:t>that may expose</w:t>
      </w:r>
      <w:r>
        <w:rPr>
          <w:rFonts w:ascii="Arial"/>
          <w:color w:val="646767"/>
          <w:spacing w:val="40"/>
          <w:sz w:val="13"/>
        </w:rPr>
        <w:t> </w:t>
      </w:r>
      <w:r>
        <w:rPr>
          <w:rFonts w:ascii="Arial"/>
          <w:color w:val="646767"/>
          <w:sz w:val="13"/>
        </w:rPr>
        <w:t>additional scru</w:t>
      </w:r>
      <w:r>
        <w:rPr>
          <w:rFonts w:ascii="Arial"/>
          <w:color w:val="424242"/>
          <w:sz w:val="13"/>
        </w:rPr>
        <w:t>t</w:t>
      </w:r>
      <w:r>
        <w:rPr>
          <w:rFonts w:ascii="Arial"/>
          <w:color w:val="646767"/>
          <w:sz w:val="13"/>
        </w:rPr>
        <w:t>iny or</w:t>
        <w:tab/>
      </w:r>
      <w:r>
        <w:rPr>
          <w:rFonts w:ascii="Arial"/>
          <w:color w:val="646767"/>
          <w:spacing w:val="-26"/>
          <w:sz w:val="13"/>
        </w:rPr>
        <w:t> </w:t>
      </w:r>
      <w:r>
        <w:rPr>
          <w:rFonts w:ascii="Arial"/>
          <w:color w:val="646767"/>
          <w:sz w:val="13"/>
        </w:rPr>
        <w:t>w</w:t>
      </w:r>
      <w:r>
        <w:rPr>
          <w:rFonts w:ascii="Arial"/>
          <w:color w:val="424242"/>
          <w:sz w:val="13"/>
        </w:rPr>
        <w:t>h</w:t>
      </w:r>
      <w:r>
        <w:rPr>
          <w:rFonts w:ascii="Arial"/>
          <w:color w:val="646767"/>
          <w:sz w:val="13"/>
        </w:rPr>
        <w:t>ere t</w:t>
      </w:r>
      <w:r>
        <w:rPr>
          <w:rFonts w:ascii="Arial"/>
          <w:color w:val="424242"/>
          <w:sz w:val="13"/>
        </w:rPr>
        <w:t>h</w:t>
      </w:r>
      <w:r>
        <w:rPr>
          <w:rFonts w:ascii="Arial"/>
          <w:color w:val="646767"/>
          <w:sz w:val="13"/>
        </w:rPr>
        <w:t>ere is </w:t>
      </w:r>
      <w:r>
        <w:rPr>
          <w:rFonts w:ascii="Arial"/>
          <w:color w:val="424242"/>
          <w:sz w:val="13"/>
        </w:rPr>
        <w:t>n</w:t>
      </w:r>
      <w:r>
        <w:rPr>
          <w:rFonts w:ascii="Arial"/>
          <w:color w:val="646767"/>
          <w:sz w:val="13"/>
        </w:rPr>
        <w:t>o chance o</w:t>
      </w:r>
      <w:r>
        <w:rPr>
          <w:rFonts w:ascii="Arial"/>
          <w:color w:val="424242"/>
          <w:sz w:val="13"/>
        </w:rPr>
        <w:t>f</w:t>
        <w:tab/>
      </w:r>
      <w:r>
        <w:rPr>
          <w:rFonts w:ascii="Arial"/>
          <w:color w:val="424242"/>
          <w:spacing w:val="-23"/>
          <w:sz w:val="13"/>
        </w:rPr>
        <w:t> </w:t>
      </w:r>
      <w:r>
        <w:rPr>
          <w:rFonts w:ascii="Arial"/>
          <w:color w:val="646767"/>
          <w:sz w:val="13"/>
        </w:rPr>
        <w:t>r-.;k if app</w:t>
      </w:r>
      <w:r>
        <w:rPr>
          <w:rFonts w:ascii="Arial"/>
          <w:color w:val="424242"/>
          <w:sz w:val="13"/>
        </w:rPr>
        <w:t>r</w:t>
      </w:r>
      <w:r>
        <w:rPr>
          <w:rFonts w:ascii="Arial"/>
          <w:color w:val="646767"/>
          <w:sz w:val="13"/>
        </w:rPr>
        <w:t>opr</w:t>
      </w:r>
      <w:r>
        <w:rPr>
          <w:rFonts w:ascii="Arial"/>
          <w:color w:val="2F2D2F"/>
          <w:sz w:val="13"/>
        </w:rPr>
        <w:t>i</w:t>
      </w:r>
      <w:r>
        <w:rPr>
          <w:rFonts w:ascii="Arial"/>
          <w:color w:val="646767"/>
          <w:sz w:val="13"/>
        </w:rPr>
        <w:t>ate controls are in</w:t>
        <w:tab/>
      </w:r>
      <w:r>
        <w:rPr>
          <w:rFonts w:ascii="Arial"/>
          <w:color w:val="646767"/>
          <w:spacing w:val="-30"/>
          <w:sz w:val="13"/>
        </w:rPr>
        <w:t> </w:t>
      </w:r>
      <w:r>
        <w:rPr>
          <w:rFonts w:ascii="Arial"/>
          <w:color w:val="646767"/>
          <w:sz w:val="13"/>
        </w:rPr>
        <w:t>reputational r</w:t>
      </w:r>
      <w:r>
        <w:rPr>
          <w:rFonts w:ascii="Arial"/>
          <w:color w:val="424242"/>
          <w:sz w:val="13"/>
        </w:rPr>
        <w:t>i</w:t>
      </w:r>
      <w:r>
        <w:rPr>
          <w:rFonts w:ascii="Arial"/>
          <w:color w:val="646767"/>
          <w:sz w:val="13"/>
        </w:rPr>
        <w:t>sk as long as</w:t>
        <w:tab/>
      </w:r>
      <w:r>
        <w:rPr>
          <w:rFonts w:ascii="Arial"/>
          <w:color w:val="646767"/>
          <w:spacing w:val="-32"/>
          <w:sz w:val="13"/>
        </w:rPr>
        <w:t> </w:t>
      </w:r>
      <w:r>
        <w:rPr>
          <w:rFonts w:ascii="Arial"/>
          <w:color w:val="525454"/>
          <w:sz w:val="13"/>
        </w:rPr>
        <w:t>bring </w:t>
      </w:r>
      <w:r>
        <w:rPr>
          <w:rFonts w:ascii="Arial"/>
          <w:color w:val="646767"/>
          <w:sz w:val="13"/>
        </w:rPr>
        <w:t>scrutiny of the</w:t>
        <w:tab/>
      </w:r>
      <w:r>
        <w:rPr>
          <w:rFonts w:ascii="Arial"/>
          <w:color w:val="525454"/>
          <w:sz w:val="13"/>
        </w:rPr>
        <w:t>the</w:t>
      </w:r>
      <w:r>
        <w:rPr>
          <w:rFonts w:ascii="Arial"/>
          <w:color w:val="525454"/>
          <w:spacing w:val="17"/>
          <w:sz w:val="13"/>
        </w:rPr>
        <w:t> </w:t>
      </w:r>
      <w:r>
        <w:rPr>
          <w:rFonts w:ascii="Arial"/>
          <w:color w:val="646767"/>
          <w:sz w:val="13"/>
        </w:rPr>
        <w:t>organisation</w:t>
      </w:r>
      <w:r>
        <w:rPr>
          <w:rFonts w:ascii="Arial"/>
          <w:color w:val="646767"/>
          <w:spacing w:val="26"/>
          <w:sz w:val="13"/>
        </w:rPr>
        <w:t> </w:t>
      </w:r>
      <w:r>
        <w:rPr>
          <w:rFonts w:ascii="Arial"/>
          <w:color w:val="424242"/>
          <w:sz w:val="13"/>
        </w:rPr>
        <w:t>t</w:t>
      </w:r>
      <w:r>
        <w:rPr>
          <w:rFonts w:ascii="Arial"/>
          <w:color w:val="646767"/>
          <w:sz w:val="13"/>
        </w:rPr>
        <w:t>o</w:t>
      </w:r>
      <w:r>
        <w:rPr>
          <w:rFonts w:ascii="Arial"/>
          <w:color w:val="646767"/>
          <w:spacing w:val="80"/>
          <w:sz w:val="13"/>
        </w:rPr>
        <w:t> </w:t>
      </w:r>
      <w:r>
        <w:rPr>
          <w:rFonts w:ascii="Arial"/>
          <w:color w:val="646767"/>
          <w:sz w:val="13"/>
        </w:rPr>
        <w:t>attention on the</w:t>
        <w:tab/>
      </w:r>
      <w:r>
        <w:rPr>
          <w:rFonts w:ascii="Arial"/>
          <w:color w:val="646767"/>
          <w:spacing w:val="-34"/>
          <w:sz w:val="13"/>
        </w:rPr>
        <w:t> </w:t>
      </w:r>
      <w:r>
        <w:rPr>
          <w:rFonts w:ascii="Arial"/>
          <w:color w:val="646767"/>
          <w:sz w:val="13"/>
        </w:rPr>
        <w:t>significa</w:t>
      </w:r>
      <w:r>
        <w:rPr>
          <w:rFonts w:ascii="Arial"/>
          <w:color w:val="424242"/>
          <w:sz w:val="13"/>
        </w:rPr>
        <w:t>n</w:t>
      </w:r>
      <w:r>
        <w:rPr>
          <w:rFonts w:ascii="Arial"/>
          <w:color w:val="646767"/>
          <w:sz w:val="13"/>
        </w:rPr>
        <w:t>t repe</w:t>
      </w:r>
      <w:r>
        <w:rPr>
          <w:rFonts w:ascii="Arial"/>
          <w:color w:val="424242"/>
          <w:sz w:val="13"/>
        </w:rPr>
        <w:t>r</w:t>
      </w:r>
      <w:r>
        <w:rPr>
          <w:rFonts w:ascii="Arial"/>
          <w:color w:val="646767"/>
          <w:sz w:val="13"/>
        </w:rPr>
        <w:t>cussions.</w:t>
        <w:tab/>
      </w:r>
      <w:r>
        <w:rPr>
          <w:rFonts w:ascii="Arial"/>
          <w:color w:val="646767"/>
          <w:spacing w:val="-23"/>
          <w:sz w:val="13"/>
        </w:rPr>
        <w:t> </w:t>
      </w:r>
      <w:r>
        <w:rPr>
          <w:rFonts w:ascii="Arial"/>
          <w:color w:val="646767"/>
          <w:sz w:val="13"/>
        </w:rPr>
        <w:t>pace </w:t>
      </w:r>
      <w:r>
        <w:rPr>
          <w:rFonts w:ascii="Arial"/>
          <w:color w:val="424242"/>
          <w:sz w:val="13"/>
        </w:rPr>
        <w:t>t</w:t>
      </w:r>
      <w:r>
        <w:rPr>
          <w:rFonts w:ascii="Arial"/>
          <w:color w:val="646767"/>
          <w:sz w:val="13"/>
        </w:rPr>
        <w:t>o limt any</w:t>
      </w:r>
      <w:r>
        <w:rPr>
          <w:rFonts w:ascii="Arial"/>
          <w:color w:val="646767"/>
          <w:spacing w:val="-1"/>
          <w:sz w:val="13"/>
        </w:rPr>
        <w:t> </w:t>
      </w:r>
      <w:r>
        <w:rPr>
          <w:rFonts w:ascii="Arial"/>
          <w:color w:val="646767"/>
          <w:sz w:val="13"/>
        </w:rPr>
        <w:t>fa</w:t>
      </w:r>
      <w:r>
        <w:rPr>
          <w:rFonts w:ascii="Arial"/>
          <w:color w:val="424242"/>
          <w:sz w:val="13"/>
        </w:rPr>
        <w:t>l</w:t>
      </w:r>
      <w:r>
        <w:rPr>
          <w:rFonts w:ascii="Arial"/>
          <w:color w:val="646767"/>
          <w:sz w:val="13"/>
        </w:rPr>
        <w:t>lout.</w:t>
        <w:tab/>
      </w:r>
      <w:r>
        <w:rPr>
          <w:rFonts w:ascii="Arial"/>
          <w:color w:val="646767"/>
          <w:spacing w:val="-35"/>
          <w:sz w:val="13"/>
        </w:rPr>
        <w:t> </w:t>
      </w:r>
      <w:r>
        <w:rPr>
          <w:rFonts w:ascii="Arial"/>
          <w:color w:val="525454"/>
          <w:sz w:val="13"/>
        </w:rPr>
        <w:t>there </w:t>
      </w:r>
      <w:r>
        <w:rPr>
          <w:rFonts w:ascii="Arial"/>
          <w:color w:val="2F2D2F"/>
          <w:sz w:val="13"/>
        </w:rPr>
        <w:t>i</w:t>
      </w:r>
      <w:r>
        <w:rPr>
          <w:rFonts w:ascii="Arial"/>
          <w:color w:val="646767"/>
          <w:sz w:val="13"/>
        </w:rPr>
        <w:t>s</w:t>
      </w:r>
      <w:r>
        <w:rPr>
          <w:rFonts w:ascii="Arial"/>
          <w:color w:val="646767"/>
          <w:spacing w:val="-9"/>
          <w:sz w:val="13"/>
        </w:rPr>
        <w:t> </w:t>
      </w:r>
      <w:r>
        <w:rPr>
          <w:rFonts w:ascii="Arial"/>
          <w:color w:val="646767"/>
          <w:sz w:val="13"/>
        </w:rPr>
        <w:t>the potential for</w:t>
        <w:tab/>
      </w:r>
      <w:r>
        <w:rPr>
          <w:rFonts w:ascii="Arial"/>
          <w:color w:val="646767"/>
          <w:spacing w:val="-32"/>
          <w:sz w:val="13"/>
        </w:rPr>
        <w:t> </w:t>
      </w:r>
      <w:r>
        <w:rPr>
          <w:rFonts w:ascii="Arial"/>
          <w:color w:val="646767"/>
          <w:sz w:val="13"/>
        </w:rPr>
        <w:t>organisation. We outward</w:t>
      </w:r>
      <w:r>
        <w:rPr>
          <w:rFonts w:ascii="Arial"/>
          <w:color w:val="2F2D2F"/>
          <w:sz w:val="13"/>
        </w:rPr>
        <w:t>l</w:t>
      </w:r>
      <w:r>
        <w:rPr>
          <w:rFonts w:ascii="Arial"/>
          <w:color w:val="727775"/>
          <w:sz w:val="13"/>
        </w:rPr>
        <w:t>y</w:t>
        <w:tab/>
      </w:r>
      <w:r>
        <w:rPr>
          <w:rFonts w:ascii="Arial"/>
          <w:color w:val="727775"/>
          <w:spacing w:val="-32"/>
          <w:sz w:val="13"/>
        </w:rPr>
        <w:t> </w:t>
      </w:r>
      <w:r>
        <w:rPr>
          <w:rFonts w:ascii="Arial"/>
          <w:color w:val="646767"/>
          <w:sz w:val="13"/>
        </w:rPr>
        <w:t>significant scrutiny or</w:t>
      </w:r>
      <w:r>
        <w:rPr>
          <w:rFonts w:ascii="Arial"/>
          <w:color w:val="646767"/>
          <w:spacing w:val="40"/>
          <w:sz w:val="13"/>
        </w:rPr>
        <w:t> </w:t>
      </w:r>
      <w:r>
        <w:rPr>
          <w:rFonts w:ascii="Arial"/>
          <w:color w:val="646767"/>
          <w:spacing w:val="-2"/>
          <w:sz w:val="13"/>
        </w:rPr>
        <w:t>organisation.</w:t>
      </w:r>
      <w:r>
        <w:rPr>
          <w:rFonts w:ascii="Arial"/>
          <w:color w:val="646767"/>
          <w:sz w:val="13"/>
        </w:rPr>
        <w:tab/>
        <w:tab/>
        <w:tab/>
      </w:r>
      <w:r>
        <w:rPr>
          <w:rFonts w:ascii="Arial"/>
          <w:color w:val="646767"/>
          <w:spacing w:val="-32"/>
          <w:sz w:val="13"/>
        </w:rPr>
        <w:t> </w:t>
      </w:r>
      <w:r>
        <w:rPr>
          <w:rFonts w:ascii="Arial"/>
          <w:color w:val="646767"/>
          <w:sz w:val="13"/>
        </w:rPr>
        <w:t>imp</w:t>
      </w:r>
      <w:r>
        <w:rPr>
          <w:rFonts w:ascii="Arial"/>
          <w:color w:val="424242"/>
          <w:sz w:val="13"/>
        </w:rPr>
        <w:t>r</w:t>
      </w:r>
      <w:r>
        <w:rPr>
          <w:rFonts w:ascii="Arial"/>
          <w:color w:val="646767"/>
          <w:sz w:val="13"/>
        </w:rPr>
        <w:t>oved outcomes for our</w:t>
        <w:tab/>
      </w:r>
      <w:r>
        <w:rPr>
          <w:rFonts w:ascii="Arial"/>
          <w:color w:val="646767"/>
          <w:spacing w:val="-32"/>
          <w:sz w:val="13"/>
        </w:rPr>
        <w:t> </w:t>
      </w:r>
      <w:r>
        <w:rPr>
          <w:rFonts w:ascii="Arial"/>
          <w:color w:val="525454"/>
          <w:sz w:val="13"/>
        </w:rPr>
        <w:t>promote </w:t>
      </w:r>
      <w:r>
        <w:rPr>
          <w:rFonts w:ascii="Arial"/>
          <w:color w:val="646767"/>
          <w:sz w:val="13"/>
        </w:rPr>
        <w:t>new ideas and</w:t>
        <w:tab/>
      </w:r>
      <w:r>
        <w:rPr>
          <w:rFonts w:ascii="Arial"/>
          <w:color w:val="646767"/>
          <w:spacing w:val="-35"/>
          <w:sz w:val="13"/>
        </w:rPr>
        <w:t> </w:t>
      </w:r>
      <w:r>
        <w:rPr>
          <w:rFonts w:ascii="Arial"/>
          <w:color w:val="646767"/>
          <w:sz w:val="13"/>
        </w:rPr>
        <w:t>criticism</w:t>
      </w:r>
      <w:r>
        <w:rPr>
          <w:rFonts w:ascii="Arial"/>
          <w:color w:val="646767"/>
          <w:spacing w:val="-4"/>
          <w:sz w:val="13"/>
        </w:rPr>
        <w:t> </w:t>
      </w:r>
      <w:r>
        <w:rPr>
          <w:rFonts w:ascii="Arial"/>
          <w:color w:val="646767"/>
          <w:sz w:val="13"/>
        </w:rPr>
        <w:t>as</w:t>
      </w:r>
      <w:r>
        <w:rPr>
          <w:rFonts w:ascii="Arial"/>
          <w:color w:val="646767"/>
          <w:spacing w:val="-8"/>
          <w:sz w:val="13"/>
        </w:rPr>
        <w:t> </w:t>
      </w:r>
      <w:r>
        <w:rPr>
          <w:rFonts w:ascii="Arial"/>
          <w:color w:val="646767"/>
          <w:sz w:val="13"/>
        </w:rPr>
        <w:t>long</w:t>
      </w:r>
      <w:r>
        <w:rPr>
          <w:rFonts w:ascii="Arial"/>
          <w:color w:val="646767"/>
          <w:spacing w:val="-2"/>
          <w:sz w:val="13"/>
        </w:rPr>
        <w:t> </w:t>
      </w:r>
      <w:r>
        <w:rPr>
          <w:rFonts w:ascii="Arial"/>
          <w:color w:val="646767"/>
          <w:sz w:val="13"/>
        </w:rPr>
        <w:t>as</w:t>
      </w:r>
      <w:r>
        <w:rPr>
          <w:rFonts w:ascii="Arial"/>
          <w:color w:val="646767"/>
          <w:spacing w:val="-11"/>
          <w:sz w:val="13"/>
        </w:rPr>
        <w:t> </w:t>
      </w:r>
      <w:r>
        <w:rPr>
          <w:rFonts w:ascii="Arial"/>
          <w:color w:val="646767"/>
          <w:sz w:val="13"/>
        </w:rPr>
        <w:t>there is</w:t>
      </w:r>
      <w:r>
        <w:rPr>
          <w:rFonts w:ascii="Arial"/>
          <w:color w:val="646767"/>
          <w:spacing w:val="-10"/>
          <w:sz w:val="13"/>
        </w:rPr>
        <w:t> </w:t>
      </w:r>
      <w:r>
        <w:rPr>
          <w:rFonts w:ascii="Arial"/>
          <w:color w:val="646767"/>
          <w:sz w:val="13"/>
        </w:rPr>
        <w:t>a</w:t>
      </w:r>
    </w:p>
    <w:p>
      <w:pPr>
        <w:tabs>
          <w:tab w:pos="9709" w:val="left" w:leader="none"/>
          <w:tab w:pos="11701" w:val="left" w:leader="none"/>
        </w:tabs>
        <w:spacing w:line="254" w:lineRule="auto" w:before="4"/>
        <w:ind w:left="9709" w:right="1802" w:hanging="1995"/>
        <w:jc w:val="left"/>
        <w:rPr>
          <w:rFonts w:ascii="Arial"/>
          <w:sz w:val="13"/>
        </w:rPr>
      </w:pPr>
      <w:r>
        <w:rPr/>
        <w:pict>
          <v:group style="position:absolute;margin-left:45.453022pt;margin-top:15.563135pt;width:59.35pt;height:43.45pt;mso-position-horizontal-relative:page;mso-position-vertical-relative:paragraph;z-index:15831552" id="docshapegroup499" coordorigin="909,311" coordsize="1187,869">
            <v:rect style="position:absolute;left:1893;top:311;width:140;height:697" id="docshape500" filled="true" fillcolor="#0c4695" stroked="false">
              <v:fill type="solid"/>
            </v:rect>
            <v:shape style="position:absolute;left:1893;top:311;width:203;height:697" type="#_x0000_t202" id="docshape501" filled="false" stroked="false">
              <v:textbox inset="0,0,0,0">
                <w:txbxContent>
                  <w:p>
                    <w:pPr>
                      <w:spacing w:before="52"/>
                      <w:ind w:left="0" w:right="0" w:firstLine="0"/>
                      <w:jc w:val="left"/>
                      <w:rPr>
                        <w:rFonts w:ascii="Arial" w:hAnsi="Arial"/>
                        <w:sz w:val="51"/>
                      </w:rPr>
                    </w:pPr>
                    <w:r>
                      <w:rPr>
                        <w:rFonts w:ascii="Arial" w:hAnsi="Arial"/>
                        <w:color w:val="F4F6F9"/>
                        <w:w w:val="40"/>
                        <w:sz w:val="51"/>
                      </w:rPr>
                      <w:t>►</w:t>
                    </w:r>
                  </w:p>
                </w:txbxContent>
              </v:textbox>
              <w10:wrap type="none"/>
            </v:shape>
            <v:shape style="position:absolute;left:909;top:1025;width:1114;height:154" type="#_x0000_t202" id="docshape502" filled="true" fillcolor="#0c4695" stroked="false">
              <v:textbox inset="0,0,0,0">
                <w:txbxContent>
                  <w:p>
                    <w:pPr>
                      <w:spacing w:line="132" w:lineRule="exact" w:before="0"/>
                      <w:ind w:left="0" w:right="0" w:firstLine="0"/>
                      <w:jc w:val="left"/>
                      <w:rPr>
                        <w:rFonts w:ascii="Arial"/>
                        <w:b/>
                        <w:color w:val="000000"/>
                        <w:sz w:val="13"/>
                      </w:rPr>
                    </w:pPr>
                    <w:r>
                      <w:rPr>
                        <w:rFonts w:ascii="Arial"/>
                        <w:b/>
                        <w:color w:val="F4F6F9"/>
                        <w:w w:val="105"/>
                        <w:sz w:val="13"/>
                      </w:rPr>
                      <w:t>perceived</w:t>
                    </w:r>
                    <w:r>
                      <w:rPr>
                        <w:rFonts w:ascii="Arial"/>
                        <w:b/>
                        <w:color w:val="F4F6F9"/>
                        <w:spacing w:val="-6"/>
                        <w:w w:val="105"/>
                        <w:sz w:val="13"/>
                      </w:rPr>
                      <w:t> </w:t>
                    </w:r>
                    <w:r>
                      <w:rPr>
                        <w:rFonts w:ascii="Arial"/>
                        <w:b/>
                        <w:color w:val="F4F6F9"/>
                        <w:w w:val="105"/>
                        <w:sz w:val="13"/>
                      </w:rPr>
                      <w:t>by </w:t>
                    </w:r>
                    <w:r>
                      <w:rPr>
                        <w:rFonts w:ascii="Arial"/>
                        <w:b/>
                        <w:color w:val="F4F6F9"/>
                        <w:spacing w:val="-5"/>
                        <w:w w:val="105"/>
                        <w:sz w:val="13"/>
                      </w:rPr>
                      <w:t>the</w:t>
                    </w:r>
                  </w:p>
                </w:txbxContent>
              </v:textbox>
              <v:fill type="solid"/>
              <w10:wrap type="none"/>
            </v:shape>
            <v:shape style="position:absolute;left:909;top:895;width:962;height:131" type="#_x0000_t202" id="docshape503" filled="true" fillcolor="#0c4695" stroked="false">
              <v:textbox inset="0,0,0,0">
                <w:txbxContent>
                  <w:p>
                    <w:pPr>
                      <w:spacing w:line="109" w:lineRule="exact" w:before="0"/>
                      <w:ind w:left="4" w:right="-29" w:firstLine="0"/>
                      <w:jc w:val="left"/>
                      <w:rPr>
                        <w:rFonts w:ascii="Arial"/>
                        <w:b/>
                        <w:color w:val="000000"/>
                        <w:sz w:val="13"/>
                      </w:rPr>
                    </w:pPr>
                    <w:r>
                      <w:rPr>
                        <w:rFonts w:ascii="Arial"/>
                        <w:b/>
                        <w:color w:val="F4F6F9"/>
                        <w:w w:val="105"/>
                        <w:sz w:val="13"/>
                      </w:rPr>
                      <w:t>How</w:t>
                    </w:r>
                    <w:r>
                      <w:rPr>
                        <w:rFonts w:ascii="Arial"/>
                        <w:b/>
                        <w:color w:val="F4F6F9"/>
                        <w:spacing w:val="1"/>
                        <w:w w:val="105"/>
                        <w:sz w:val="13"/>
                      </w:rPr>
                      <w:t> </w:t>
                    </w:r>
                    <w:r>
                      <w:rPr>
                        <w:rFonts w:ascii="Arial"/>
                        <w:b/>
                        <w:color w:val="F4F6F9"/>
                        <w:w w:val="105"/>
                        <w:sz w:val="13"/>
                      </w:rPr>
                      <w:t>will we</w:t>
                    </w:r>
                    <w:r>
                      <w:rPr>
                        <w:rFonts w:ascii="Arial"/>
                        <w:b/>
                        <w:color w:val="F4F6F9"/>
                        <w:spacing w:val="4"/>
                        <w:w w:val="105"/>
                        <w:sz w:val="13"/>
                      </w:rPr>
                      <w:t> </w:t>
                    </w:r>
                    <w:r>
                      <w:rPr>
                        <w:rFonts w:ascii="Arial"/>
                        <w:b/>
                        <w:color w:val="F4F6F9"/>
                        <w:spacing w:val="-5"/>
                        <w:w w:val="105"/>
                        <w:sz w:val="13"/>
                      </w:rPr>
                      <w:t>be</w:t>
                    </w:r>
                  </w:p>
                </w:txbxContent>
              </v:textbox>
              <v:fill type="solid"/>
              <w10:wrap type="none"/>
            </v:shape>
            <v:shape style="position:absolute;left:909;top:694;width:499;height:146" type="#_x0000_t202" id="docshape504" filled="true" fillcolor="#0c4695" stroked="false">
              <v:textbox inset="0,0,0,0">
                <w:txbxContent>
                  <w:p>
                    <w:pPr>
                      <w:spacing w:line="128" w:lineRule="exact" w:before="16"/>
                      <w:ind w:left="3" w:right="-15" w:firstLine="0"/>
                      <w:jc w:val="left"/>
                      <w:rPr>
                        <w:rFonts w:ascii="Arial"/>
                        <w:b/>
                        <w:color w:val="000000"/>
                        <w:sz w:val="14"/>
                      </w:rPr>
                    </w:pPr>
                    <w:r>
                      <w:rPr>
                        <w:rFonts w:ascii="Arial"/>
                        <w:b/>
                        <w:color w:val="F4F6F9"/>
                        <w:spacing w:val="-2"/>
                        <w:w w:val="90"/>
                        <w:sz w:val="14"/>
                      </w:rPr>
                      <w:t>PEOPLE</w:t>
                    </w:r>
                  </w:p>
                </w:txbxContent>
              </v:textbox>
              <v:fill type="solid"/>
              <w10:wrap type="none"/>
            </v:shape>
            <w10:wrap type="none"/>
          </v:group>
        </w:pict>
      </w:r>
      <w:r>
        <w:rPr>
          <w:rFonts w:ascii="Arial"/>
          <w:color w:val="727775"/>
          <w:spacing w:val="-2"/>
          <w:w w:val="105"/>
          <w:sz w:val="13"/>
        </w:rPr>
        <w:t>stakeh</w:t>
      </w:r>
      <w:r>
        <w:rPr>
          <w:rFonts w:ascii="Arial"/>
          <w:color w:val="525454"/>
          <w:spacing w:val="-2"/>
          <w:w w:val="105"/>
          <w:sz w:val="13"/>
        </w:rPr>
        <w:t>olders</w:t>
      </w:r>
      <w:r>
        <w:rPr>
          <w:rFonts w:ascii="Arial"/>
          <w:color w:val="727775"/>
          <w:spacing w:val="-2"/>
          <w:w w:val="105"/>
          <w:sz w:val="13"/>
        </w:rPr>
        <w:t>.</w:t>
      </w:r>
      <w:r>
        <w:rPr>
          <w:rFonts w:ascii="Arial"/>
          <w:color w:val="727775"/>
          <w:sz w:val="13"/>
        </w:rPr>
        <w:tab/>
      </w:r>
      <w:r>
        <w:rPr>
          <w:rFonts w:ascii="Arial"/>
          <w:color w:val="646767"/>
          <w:w w:val="105"/>
          <w:sz w:val="13"/>
        </w:rPr>
        <w:t>innovations where potential</w:t>
      </w:r>
      <w:r>
        <w:rPr>
          <w:rFonts w:ascii="Arial"/>
          <w:color w:val="646767"/>
          <w:sz w:val="13"/>
        </w:rPr>
        <w:tab/>
      </w:r>
      <w:r>
        <w:rPr>
          <w:rFonts w:ascii="Arial"/>
          <w:color w:val="646767"/>
          <w:spacing w:val="-36"/>
          <w:sz w:val="13"/>
        </w:rPr>
        <w:t> </w:t>
      </w:r>
      <w:r>
        <w:rPr>
          <w:rFonts w:ascii="Arial"/>
          <w:color w:val="646767"/>
          <w:spacing w:val="-2"/>
          <w:w w:val="105"/>
          <w:sz w:val="13"/>
        </w:rPr>
        <w:t>comme</w:t>
      </w:r>
      <w:r>
        <w:rPr>
          <w:rFonts w:ascii="Arial"/>
          <w:color w:val="424242"/>
          <w:spacing w:val="-2"/>
          <w:w w:val="105"/>
          <w:sz w:val="13"/>
        </w:rPr>
        <w:t>n</w:t>
      </w:r>
      <w:r>
        <w:rPr>
          <w:rFonts w:ascii="Arial"/>
          <w:color w:val="646767"/>
          <w:spacing w:val="-2"/>
          <w:w w:val="105"/>
          <w:sz w:val="13"/>
        </w:rPr>
        <w:t>surate opportunity</w:t>
      </w:r>
      <w:r>
        <w:rPr>
          <w:rFonts w:ascii="Arial"/>
          <w:color w:val="646767"/>
          <w:spacing w:val="40"/>
          <w:w w:val="105"/>
          <w:sz w:val="13"/>
        </w:rPr>
        <w:t> </w:t>
      </w:r>
      <w:r>
        <w:rPr>
          <w:rFonts w:ascii="Arial"/>
          <w:color w:val="646767"/>
          <w:w w:val="105"/>
          <w:sz w:val="13"/>
        </w:rPr>
        <w:t>benef</w:t>
      </w:r>
      <w:r>
        <w:rPr>
          <w:rFonts w:ascii="Arial"/>
          <w:color w:val="424242"/>
          <w:w w:val="105"/>
          <w:sz w:val="13"/>
        </w:rPr>
        <w:t>it</w:t>
      </w:r>
      <w:r>
        <w:rPr>
          <w:rFonts w:ascii="Arial"/>
          <w:color w:val="646767"/>
          <w:w w:val="105"/>
          <w:sz w:val="13"/>
        </w:rPr>
        <w:t>s</w:t>
      </w:r>
      <w:r>
        <w:rPr>
          <w:rFonts w:ascii="Arial"/>
          <w:color w:val="646767"/>
          <w:spacing w:val="-13"/>
          <w:w w:val="105"/>
          <w:sz w:val="13"/>
        </w:rPr>
        <w:t> </w:t>
      </w:r>
      <w:r>
        <w:rPr>
          <w:rFonts w:ascii="Arial"/>
          <w:color w:val="646767"/>
          <w:w w:val="105"/>
          <w:sz w:val="13"/>
        </w:rPr>
        <w:t>outweigh</w:t>
      </w:r>
      <w:r>
        <w:rPr>
          <w:rFonts w:ascii="Arial"/>
          <w:color w:val="646767"/>
          <w:spacing w:val="-5"/>
          <w:w w:val="105"/>
          <w:sz w:val="13"/>
        </w:rPr>
        <w:t> </w:t>
      </w:r>
      <w:r>
        <w:rPr>
          <w:rFonts w:ascii="Arial"/>
          <w:color w:val="525454"/>
          <w:w w:val="105"/>
          <w:sz w:val="13"/>
        </w:rPr>
        <w:t>the</w:t>
      </w:r>
      <w:r>
        <w:rPr>
          <w:rFonts w:ascii="Arial"/>
          <w:color w:val="525454"/>
          <w:spacing w:val="6"/>
          <w:w w:val="105"/>
          <w:sz w:val="13"/>
        </w:rPr>
        <w:t> </w:t>
      </w:r>
      <w:r>
        <w:rPr>
          <w:rFonts w:ascii="Arial"/>
          <w:color w:val="424242"/>
          <w:spacing w:val="-2"/>
          <w:w w:val="105"/>
          <w:sz w:val="13"/>
        </w:rPr>
        <w:t>ri</w:t>
      </w:r>
      <w:r>
        <w:rPr>
          <w:rFonts w:ascii="Arial"/>
          <w:color w:val="646767"/>
          <w:spacing w:val="-2"/>
          <w:w w:val="105"/>
          <w:sz w:val="13"/>
        </w:rPr>
        <w:t>sks.</w:t>
      </w:r>
      <w:r>
        <w:rPr>
          <w:rFonts w:ascii="Arial"/>
          <w:color w:val="646767"/>
          <w:sz w:val="13"/>
        </w:rPr>
        <w:tab/>
      </w:r>
      <w:r>
        <w:rPr>
          <w:rFonts w:ascii="Arial"/>
          <w:color w:val="525454"/>
          <w:w w:val="105"/>
          <w:sz w:val="13"/>
        </w:rPr>
        <w:t>for</w:t>
      </w:r>
      <w:r>
        <w:rPr>
          <w:rFonts w:ascii="Arial"/>
          <w:color w:val="525454"/>
          <w:spacing w:val="2"/>
          <w:w w:val="105"/>
          <w:sz w:val="13"/>
        </w:rPr>
        <w:t> </w:t>
      </w:r>
      <w:r>
        <w:rPr>
          <w:rFonts w:ascii="Arial"/>
          <w:color w:val="646767"/>
          <w:w w:val="105"/>
          <w:sz w:val="13"/>
        </w:rPr>
        <w:t>improved</w:t>
      </w:r>
      <w:r>
        <w:rPr>
          <w:rFonts w:ascii="Arial"/>
          <w:color w:val="646767"/>
          <w:spacing w:val="-1"/>
          <w:w w:val="105"/>
          <w:sz w:val="13"/>
        </w:rPr>
        <w:t> </w:t>
      </w:r>
      <w:r>
        <w:rPr>
          <w:rFonts w:ascii="Arial"/>
          <w:color w:val="646767"/>
          <w:w w:val="105"/>
          <w:sz w:val="13"/>
        </w:rPr>
        <w:t>ou</w:t>
      </w:r>
      <w:r>
        <w:rPr>
          <w:rFonts w:ascii="Arial"/>
          <w:color w:val="424242"/>
          <w:w w:val="105"/>
          <w:sz w:val="13"/>
        </w:rPr>
        <w:t>t</w:t>
      </w:r>
      <w:r>
        <w:rPr>
          <w:rFonts w:ascii="Arial"/>
          <w:color w:val="646767"/>
          <w:w w:val="105"/>
          <w:sz w:val="13"/>
        </w:rPr>
        <w:t>comes</w:t>
      </w:r>
      <w:r>
        <w:rPr>
          <w:rFonts w:ascii="Arial"/>
          <w:color w:val="646767"/>
          <w:spacing w:val="-20"/>
          <w:w w:val="105"/>
          <w:sz w:val="13"/>
        </w:rPr>
        <w:t> </w:t>
      </w:r>
      <w:r>
        <w:rPr>
          <w:rFonts w:ascii="Arial"/>
          <w:color w:val="646767"/>
          <w:spacing w:val="-5"/>
          <w:w w:val="105"/>
          <w:sz w:val="13"/>
        </w:rPr>
        <w:t>for</w:t>
      </w:r>
    </w:p>
    <w:p>
      <w:pPr>
        <w:spacing w:line="145" w:lineRule="exact" w:before="0"/>
        <w:ind w:left="11703" w:right="0" w:firstLine="0"/>
        <w:jc w:val="left"/>
        <w:rPr>
          <w:rFonts w:ascii="Arial"/>
          <w:sz w:val="13"/>
        </w:rPr>
      </w:pPr>
      <w:r>
        <w:rPr>
          <w:rFonts w:ascii="Arial"/>
          <w:color w:val="646767"/>
          <w:sz w:val="13"/>
        </w:rPr>
        <w:t>our</w:t>
      </w:r>
      <w:r>
        <w:rPr>
          <w:rFonts w:ascii="Arial"/>
          <w:color w:val="646767"/>
          <w:spacing w:val="4"/>
          <w:sz w:val="13"/>
        </w:rPr>
        <w:t> </w:t>
      </w:r>
      <w:r>
        <w:rPr>
          <w:rFonts w:ascii="Arial"/>
          <w:color w:val="646767"/>
          <w:spacing w:val="-2"/>
          <w:sz w:val="13"/>
        </w:rPr>
        <w:t>stakeholders.</w:t>
      </w:r>
    </w:p>
    <w:p>
      <w:pPr>
        <w:pStyle w:val="BodyText"/>
        <w:spacing w:before="6"/>
        <w:rPr>
          <w:rFonts w:ascii="Arial"/>
          <w:sz w:val="12"/>
        </w:rPr>
      </w:pPr>
    </w:p>
    <w:p>
      <w:pPr>
        <w:spacing w:after="0"/>
        <w:rPr>
          <w:rFonts w:ascii="Arial"/>
          <w:sz w:val="12"/>
        </w:rPr>
        <w:sectPr>
          <w:type w:val="continuous"/>
          <w:pgSz w:w="15840" w:h="12240" w:orient="landscape"/>
          <w:pgMar w:header="0" w:footer="173" w:top="740" w:bottom="280" w:left="720" w:right="0"/>
        </w:sectPr>
      </w:pPr>
    </w:p>
    <w:p>
      <w:pPr>
        <w:spacing w:line="254" w:lineRule="auto" w:before="96"/>
        <w:ind w:left="1734" w:right="0" w:hanging="1"/>
        <w:jc w:val="left"/>
        <w:rPr>
          <w:rFonts w:ascii="Arial"/>
          <w:sz w:val="13"/>
        </w:rPr>
      </w:pPr>
      <w:r>
        <w:rPr/>
        <w:pict>
          <v:group style="position:absolute;margin-left:45.453022pt;margin-top:28.491804pt;width:45.85pt;height:15.65pt;mso-position-horizontal-relative:page;mso-position-vertical-relative:paragraph;z-index:15833088" id="docshapegroup505" coordorigin="909,570" coordsize="917,313">
            <v:shape style="position:absolute;left:909;top:728;width:596;height:154" type="#_x0000_t202" id="docshape506" filled="true" fillcolor="#0c4695" stroked="false">
              <v:textbox inset="0,0,0,0">
                <w:txbxContent>
                  <w:p>
                    <w:pPr>
                      <w:spacing w:line="132" w:lineRule="exact" w:before="0"/>
                      <w:ind w:left="0" w:right="-15" w:firstLine="0"/>
                      <w:jc w:val="left"/>
                      <w:rPr>
                        <w:rFonts w:ascii="Arial"/>
                        <w:b/>
                        <w:color w:val="000000"/>
                        <w:sz w:val="13"/>
                      </w:rPr>
                    </w:pPr>
                    <w:r>
                      <w:rPr>
                        <w:rFonts w:ascii="Arial"/>
                        <w:b/>
                        <w:color w:val="F4F6F9"/>
                        <w:spacing w:val="-2"/>
                        <w:sz w:val="13"/>
                      </w:rPr>
                      <w:t>partners?</w:t>
                    </w:r>
                  </w:p>
                </w:txbxContent>
              </v:textbox>
              <v:fill type="solid"/>
              <w10:wrap type="none"/>
            </v:shape>
            <v:shape style="position:absolute;left:909;top:569;width:917;height:159" type="#_x0000_t202" id="docshape507" filled="true" fillcolor="#0c4695" stroked="false">
              <v:textbox inset="0,0,0,0">
                <w:txbxContent>
                  <w:p>
                    <w:pPr>
                      <w:spacing w:line="137" w:lineRule="exact" w:before="0"/>
                      <w:ind w:left="0" w:right="-15" w:firstLine="0"/>
                      <w:jc w:val="left"/>
                      <w:rPr>
                        <w:rFonts w:ascii="Arial"/>
                        <w:b/>
                        <w:color w:val="000000"/>
                        <w:sz w:val="13"/>
                      </w:rPr>
                    </w:pPr>
                    <w:r>
                      <w:rPr>
                        <w:rFonts w:ascii="Arial"/>
                        <w:b/>
                        <w:color w:val="F4F6F9"/>
                        <w:sz w:val="13"/>
                      </w:rPr>
                      <w:t>public</w:t>
                    </w:r>
                    <w:r>
                      <w:rPr>
                        <w:rFonts w:ascii="Arial"/>
                        <w:b/>
                        <w:color w:val="F4F6F9"/>
                        <w:spacing w:val="17"/>
                        <w:sz w:val="13"/>
                      </w:rPr>
                      <w:t> </w:t>
                    </w:r>
                    <w:r>
                      <w:rPr>
                        <w:rFonts w:ascii="Arial"/>
                        <w:b/>
                        <w:color w:val="F4F6F9"/>
                        <w:sz w:val="13"/>
                      </w:rPr>
                      <w:t>and</w:t>
                    </w:r>
                    <w:r>
                      <w:rPr>
                        <w:rFonts w:ascii="Arial"/>
                        <w:b/>
                        <w:color w:val="F4F6F9"/>
                        <w:spacing w:val="-2"/>
                        <w:sz w:val="13"/>
                      </w:rPr>
                      <w:t> </w:t>
                    </w:r>
                    <w:r>
                      <w:rPr>
                        <w:rFonts w:ascii="Arial"/>
                        <w:b/>
                        <w:color w:val="F4F6F9"/>
                        <w:spacing w:val="-5"/>
                        <w:sz w:val="13"/>
                      </w:rPr>
                      <w:t>our</w:t>
                    </w:r>
                  </w:p>
                </w:txbxContent>
              </v:textbox>
              <v:fill type="solid"/>
              <w10:wrap type="none"/>
            </v:shape>
            <w10:wrap type="none"/>
          </v:group>
        </w:pict>
      </w:r>
      <w:r>
        <w:rPr>
          <w:rFonts w:ascii="Arial"/>
          <w:color w:val="646767"/>
          <w:w w:val="105"/>
          <w:sz w:val="13"/>
        </w:rPr>
        <w:t>We have </w:t>
      </w:r>
      <w:r>
        <w:rPr>
          <w:rFonts w:ascii="Arial"/>
          <w:color w:val="525454"/>
          <w:w w:val="105"/>
          <w:sz w:val="13"/>
        </w:rPr>
        <w:t>no </w:t>
      </w:r>
      <w:r>
        <w:rPr>
          <w:rFonts w:ascii="Arial"/>
          <w:color w:val="646767"/>
          <w:w w:val="105"/>
          <w:sz w:val="13"/>
        </w:rPr>
        <w:t>appet</w:t>
      </w:r>
      <w:r>
        <w:rPr>
          <w:rFonts w:ascii="Arial"/>
          <w:color w:val="424242"/>
          <w:w w:val="105"/>
          <w:sz w:val="13"/>
        </w:rPr>
        <w:t>it</w:t>
      </w:r>
      <w:r>
        <w:rPr>
          <w:rFonts w:ascii="Arial"/>
          <w:color w:val="646767"/>
          <w:w w:val="105"/>
          <w:sz w:val="13"/>
        </w:rPr>
        <w:t>e for</w:t>
      </w:r>
      <w:r>
        <w:rPr>
          <w:rFonts w:ascii="Arial"/>
          <w:color w:val="646767"/>
          <w:spacing w:val="40"/>
          <w:w w:val="105"/>
          <w:sz w:val="13"/>
        </w:rPr>
        <w:t> </w:t>
      </w:r>
      <w:r>
        <w:rPr>
          <w:rFonts w:ascii="Arial"/>
          <w:color w:val="646767"/>
          <w:w w:val="105"/>
          <w:sz w:val="13"/>
        </w:rPr>
        <w:t>dec</w:t>
      </w:r>
      <w:r>
        <w:rPr>
          <w:rFonts w:ascii="Arial"/>
          <w:color w:val="424242"/>
          <w:w w:val="105"/>
          <w:sz w:val="13"/>
        </w:rPr>
        <w:t>i</w:t>
      </w:r>
      <w:r>
        <w:rPr>
          <w:rFonts w:ascii="Arial"/>
          <w:color w:val="646767"/>
          <w:w w:val="105"/>
          <w:sz w:val="13"/>
        </w:rPr>
        <w:t>sions</w:t>
      </w:r>
      <w:r>
        <w:rPr>
          <w:rFonts w:ascii="Arial"/>
          <w:color w:val="646767"/>
          <w:spacing w:val="-17"/>
          <w:w w:val="105"/>
          <w:sz w:val="13"/>
        </w:rPr>
        <w:t> </w:t>
      </w:r>
      <w:r>
        <w:rPr>
          <w:rFonts w:ascii="Arial"/>
          <w:color w:val="646767"/>
          <w:w w:val="105"/>
          <w:sz w:val="13"/>
        </w:rPr>
        <w:t>that</w:t>
      </w:r>
      <w:r>
        <w:rPr>
          <w:rFonts w:ascii="Arial"/>
          <w:color w:val="646767"/>
          <w:spacing w:val="-10"/>
          <w:w w:val="105"/>
          <w:sz w:val="13"/>
        </w:rPr>
        <w:t> </w:t>
      </w:r>
      <w:r>
        <w:rPr>
          <w:rFonts w:ascii="Arial"/>
          <w:color w:val="646767"/>
          <w:w w:val="105"/>
          <w:sz w:val="13"/>
        </w:rPr>
        <w:t>could</w:t>
      </w:r>
      <w:r>
        <w:rPr>
          <w:rFonts w:ascii="Arial"/>
          <w:color w:val="646767"/>
          <w:spacing w:val="-9"/>
          <w:w w:val="105"/>
          <w:sz w:val="13"/>
        </w:rPr>
        <w:t> </w:t>
      </w:r>
      <w:r>
        <w:rPr>
          <w:rFonts w:ascii="Arial"/>
          <w:color w:val="525454"/>
          <w:w w:val="105"/>
          <w:sz w:val="13"/>
        </w:rPr>
        <w:t>ha</w:t>
      </w:r>
      <w:r>
        <w:rPr>
          <w:rFonts w:ascii="Arial"/>
          <w:color w:val="727775"/>
          <w:w w:val="105"/>
          <w:sz w:val="13"/>
        </w:rPr>
        <w:t>ve</w:t>
      </w:r>
      <w:r>
        <w:rPr>
          <w:rFonts w:ascii="Arial"/>
          <w:color w:val="727775"/>
          <w:spacing w:val="-10"/>
          <w:w w:val="105"/>
          <w:sz w:val="13"/>
        </w:rPr>
        <w:t> </w:t>
      </w:r>
      <w:r>
        <w:rPr>
          <w:rFonts w:ascii="Arial"/>
          <w:color w:val="646767"/>
          <w:w w:val="105"/>
          <w:sz w:val="13"/>
        </w:rPr>
        <w:t>a</w:t>
      </w:r>
      <w:r>
        <w:rPr>
          <w:rFonts w:ascii="Arial"/>
          <w:color w:val="646767"/>
          <w:spacing w:val="40"/>
          <w:w w:val="105"/>
          <w:sz w:val="13"/>
        </w:rPr>
        <w:t> </w:t>
      </w:r>
      <w:r>
        <w:rPr>
          <w:rFonts w:ascii="Arial"/>
          <w:color w:val="646767"/>
          <w:w w:val="105"/>
          <w:sz w:val="13"/>
        </w:rPr>
        <w:t>negative impact on our</w:t>
      </w:r>
      <w:r>
        <w:rPr>
          <w:rFonts w:ascii="Arial"/>
          <w:color w:val="646767"/>
          <w:spacing w:val="40"/>
          <w:w w:val="105"/>
          <w:sz w:val="13"/>
        </w:rPr>
        <w:t> </w:t>
      </w:r>
      <w:r>
        <w:rPr>
          <w:rFonts w:ascii="Arial"/>
          <w:color w:val="727775"/>
          <w:w w:val="105"/>
          <w:sz w:val="13"/>
        </w:rPr>
        <w:t>workfo</w:t>
      </w:r>
      <w:r>
        <w:rPr>
          <w:rFonts w:ascii="Arial"/>
          <w:color w:val="424242"/>
          <w:w w:val="105"/>
          <w:sz w:val="13"/>
        </w:rPr>
        <w:t>r</w:t>
      </w:r>
      <w:r>
        <w:rPr>
          <w:rFonts w:ascii="Arial"/>
          <w:color w:val="646767"/>
          <w:w w:val="105"/>
          <w:sz w:val="13"/>
        </w:rPr>
        <w:t>ce development,</w:t>
      </w:r>
      <w:r>
        <w:rPr>
          <w:rFonts w:ascii="Arial"/>
          <w:color w:val="646767"/>
          <w:spacing w:val="40"/>
          <w:w w:val="105"/>
          <w:sz w:val="13"/>
        </w:rPr>
        <w:t> </w:t>
      </w:r>
      <w:r>
        <w:rPr>
          <w:rFonts w:ascii="Arial"/>
          <w:color w:val="646767"/>
          <w:w w:val="105"/>
          <w:sz w:val="13"/>
        </w:rPr>
        <w:t>recruitmen</w:t>
      </w:r>
      <w:r>
        <w:rPr>
          <w:rFonts w:ascii="Arial"/>
          <w:color w:val="424242"/>
          <w:w w:val="105"/>
          <w:sz w:val="13"/>
        </w:rPr>
        <w:t>t </w:t>
      </w:r>
      <w:r>
        <w:rPr>
          <w:rFonts w:ascii="Arial"/>
          <w:color w:val="646767"/>
          <w:w w:val="105"/>
          <w:sz w:val="13"/>
        </w:rPr>
        <w:t>and retent</w:t>
      </w:r>
      <w:r>
        <w:rPr>
          <w:rFonts w:ascii="Arial"/>
          <w:color w:val="2F2D2F"/>
          <w:w w:val="105"/>
          <w:sz w:val="13"/>
        </w:rPr>
        <w:t>i</w:t>
      </w:r>
      <w:r>
        <w:rPr>
          <w:rFonts w:ascii="Arial"/>
          <w:color w:val="727775"/>
          <w:w w:val="105"/>
          <w:sz w:val="13"/>
        </w:rPr>
        <w:t>on.</w:t>
      </w:r>
      <w:r>
        <w:rPr>
          <w:rFonts w:ascii="Arial"/>
          <w:color w:val="727775"/>
          <w:spacing w:val="40"/>
          <w:w w:val="105"/>
          <w:sz w:val="13"/>
        </w:rPr>
        <w:t> </w:t>
      </w:r>
      <w:r>
        <w:rPr>
          <w:rFonts w:ascii="Arial"/>
          <w:color w:val="646767"/>
          <w:sz w:val="13"/>
        </w:rPr>
        <w:t>Sustainabil</w:t>
      </w:r>
      <w:r>
        <w:rPr>
          <w:rFonts w:ascii="Arial"/>
          <w:color w:val="2F2D2F"/>
          <w:sz w:val="13"/>
        </w:rPr>
        <w:t>i</w:t>
      </w:r>
      <w:r>
        <w:rPr>
          <w:rFonts w:ascii="Arial"/>
          <w:color w:val="646767"/>
          <w:sz w:val="13"/>
        </w:rPr>
        <w:t>ty</w:t>
      </w:r>
      <w:r>
        <w:rPr>
          <w:rFonts w:ascii="Arial"/>
          <w:color w:val="646767"/>
          <w:spacing w:val="-4"/>
          <w:sz w:val="13"/>
        </w:rPr>
        <w:t> </w:t>
      </w:r>
      <w:r>
        <w:rPr>
          <w:rFonts w:ascii="Arial"/>
          <w:color w:val="646767"/>
          <w:sz w:val="13"/>
        </w:rPr>
        <w:t>is</w:t>
      </w:r>
      <w:r>
        <w:rPr>
          <w:rFonts w:ascii="Arial"/>
          <w:color w:val="646767"/>
          <w:spacing w:val="-7"/>
          <w:sz w:val="13"/>
        </w:rPr>
        <w:t> </w:t>
      </w:r>
      <w:r>
        <w:rPr>
          <w:rFonts w:ascii="Arial"/>
          <w:color w:val="646767"/>
          <w:sz w:val="13"/>
        </w:rPr>
        <w:t>our p</w:t>
      </w:r>
      <w:r>
        <w:rPr>
          <w:rFonts w:ascii="Arial"/>
          <w:color w:val="424242"/>
          <w:sz w:val="13"/>
        </w:rPr>
        <w:t>r</w:t>
      </w:r>
      <w:r>
        <w:rPr>
          <w:rFonts w:ascii="Arial"/>
          <w:color w:val="646767"/>
          <w:sz w:val="13"/>
        </w:rPr>
        <w:t>imary</w:t>
      </w:r>
      <w:r>
        <w:rPr>
          <w:rFonts w:ascii="Arial"/>
          <w:color w:val="646767"/>
          <w:spacing w:val="40"/>
          <w:w w:val="105"/>
          <w:sz w:val="13"/>
        </w:rPr>
        <w:t> </w:t>
      </w:r>
      <w:r>
        <w:rPr>
          <w:rFonts w:ascii="Arial"/>
          <w:color w:val="646767"/>
          <w:spacing w:val="-2"/>
          <w:w w:val="105"/>
          <w:sz w:val="13"/>
        </w:rPr>
        <w:t>interest.</w:t>
      </w: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spacing w:before="93"/>
        <w:ind w:left="125" w:right="0" w:firstLine="0"/>
        <w:jc w:val="left"/>
        <w:rPr>
          <w:rFonts w:ascii="Arial" w:hAnsi="Arial"/>
          <w:sz w:val="11"/>
        </w:rPr>
      </w:pPr>
      <w:r>
        <w:rPr>
          <w:rFonts w:ascii="Arial" w:hAnsi="Arial"/>
          <w:color w:val="939595"/>
          <w:w w:val="110"/>
          <w:sz w:val="13"/>
        </w:rPr>
        <w:t>©</w:t>
      </w:r>
      <w:r>
        <w:rPr>
          <w:rFonts w:ascii="Arial" w:hAnsi="Arial"/>
          <w:color w:val="939595"/>
          <w:spacing w:val="-10"/>
          <w:w w:val="110"/>
          <w:sz w:val="13"/>
        </w:rPr>
        <w:t> </w:t>
      </w:r>
      <w:r>
        <w:rPr>
          <w:rFonts w:ascii="Arial" w:hAnsi="Arial"/>
          <w:color w:val="939595"/>
          <w:w w:val="110"/>
          <w:sz w:val="11"/>
        </w:rPr>
        <w:t>2020</w:t>
      </w:r>
      <w:r>
        <w:rPr>
          <w:rFonts w:ascii="Arial" w:hAnsi="Arial"/>
          <w:color w:val="939595"/>
          <w:spacing w:val="-13"/>
          <w:w w:val="110"/>
          <w:sz w:val="11"/>
        </w:rPr>
        <w:t> </w:t>
      </w:r>
      <w:r>
        <w:rPr>
          <w:rFonts w:ascii="Arial" w:hAnsi="Arial"/>
          <w:color w:val="939595"/>
          <w:w w:val="110"/>
          <w:sz w:val="11"/>
        </w:rPr>
        <w:t>GGI</w:t>
      </w:r>
      <w:r>
        <w:rPr>
          <w:rFonts w:ascii="Arial" w:hAnsi="Arial"/>
          <w:color w:val="939595"/>
          <w:spacing w:val="-9"/>
          <w:w w:val="110"/>
          <w:sz w:val="11"/>
        </w:rPr>
        <w:t> </w:t>
      </w:r>
      <w:r>
        <w:rPr>
          <w:rFonts w:ascii="Arial" w:hAnsi="Arial"/>
          <w:color w:val="939595"/>
          <w:w w:val="110"/>
          <w:sz w:val="11"/>
        </w:rPr>
        <w:t>Development</w:t>
      </w:r>
      <w:r>
        <w:rPr>
          <w:rFonts w:ascii="Arial" w:hAnsi="Arial"/>
          <w:color w:val="939595"/>
          <w:spacing w:val="-6"/>
          <w:w w:val="110"/>
          <w:sz w:val="11"/>
        </w:rPr>
        <w:t> </w:t>
      </w:r>
      <w:r>
        <w:rPr>
          <w:rFonts w:ascii="Arial" w:hAnsi="Arial"/>
          <w:color w:val="939595"/>
          <w:w w:val="110"/>
          <w:sz w:val="11"/>
        </w:rPr>
        <w:t>and</w:t>
      </w:r>
      <w:r>
        <w:rPr>
          <w:rFonts w:ascii="Arial" w:hAnsi="Arial"/>
          <w:color w:val="939595"/>
          <w:spacing w:val="-7"/>
          <w:w w:val="110"/>
          <w:sz w:val="11"/>
        </w:rPr>
        <w:t> </w:t>
      </w:r>
      <w:r>
        <w:rPr>
          <w:rFonts w:ascii="Arial" w:hAnsi="Arial"/>
          <w:color w:val="939595"/>
          <w:w w:val="110"/>
          <w:sz w:val="11"/>
        </w:rPr>
        <w:t>Researc</w:t>
      </w:r>
      <w:r>
        <w:rPr>
          <w:rFonts w:ascii="Arial" w:hAnsi="Arial"/>
          <w:color w:val="727775"/>
          <w:w w:val="110"/>
          <w:sz w:val="11"/>
        </w:rPr>
        <w:t>h</w:t>
      </w:r>
      <w:r>
        <w:rPr>
          <w:rFonts w:ascii="Arial" w:hAnsi="Arial"/>
          <w:color w:val="727775"/>
          <w:spacing w:val="-3"/>
          <w:w w:val="110"/>
          <w:sz w:val="11"/>
        </w:rPr>
        <w:t> </w:t>
      </w:r>
      <w:r>
        <w:rPr>
          <w:rFonts w:ascii="Arial" w:hAnsi="Arial"/>
          <w:color w:val="939595"/>
          <w:w w:val="110"/>
          <w:sz w:val="11"/>
        </w:rPr>
        <w:t>LLP,</w:t>
      </w:r>
      <w:r>
        <w:rPr>
          <w:rFonts w:ascii="Arial" w:hAnsi="Arial"/>
          <w:color w:val="939595"/>
          <w:spacing w:val="-9"/>
          <w:w w:val="110"/>
          <w:sz w:val="11"/>
        </w:rPr>
        <w:t> </w:t>
      </w:r>
      <w:r>
        <w:rPr>
          <w:rFonts w:ascii="Arial" w:hAnsi="Arial"/>
          <w:color w:val="939595"/>
          <w:spacing w:val="-2"/>
          <w:w w:val="110"/>
          <w:sz w:val="11"/>
        </w:rPr>
        <w:t>London</w:t>
      </w:r>
    </w:p>
    <w:p>
      <w:pPr>
        <w:spacing w:line="254" w:lineRule="auto" w:before="96"/>
        <w:ind w:left="127" w:right="20" w:hanging="2"/>
        <w:jc w:val="left"/>
        <w:rPr>
          <w:rFonts w:ascii="Arial"/>
          <w:sz w:val="13"/>
        </w:rPr>
      </w:pPr>
      <w:r>
        <w:rPr/>
        <w:br w:type="column"/>
      </w:r>
      <w:r>
        <w:rPr>
          <w:rFonts w:ascii="Arial"/>
          <w:color w:val="646767"/>
          <w:spacing w:val="-2"/>
          <w:w w:val="105"/>
          <w:sz w:val="13"/>
        </w:rPr>
        <w:t>We</w:t>
      </w:r>
      <w:r>
        <w:rPr>
          <w:rFonts w:ascii="Arial"/>
          <w:color w:val="646767"/>
          <w:spacing w:val="-4"/>
          <w:w w:val="105"/>
          <w:sz w:val="13"/>
        </w:rPr>
        <w:t> </w:t>
      </w:r>
      <w:r>
        <w:rPr>
          <w:rFonts w:ascii="Arial"/>
          <w:color w:val="727775"/>
          <w:spacing w:val="-2"/>
          <w:w w:val="105"/>
          <w:sz w:val="13"/>
        </w:rPr>
        <w:t>will</w:t>
      </w:r>
      <w:r>
        <w:rPr>
          <w:rFonts w:ascii="Arial"/>
          <w:color w:val="727775"/>
          <w:spacing w:val="-12"/>
          <w:w w:val="105"/>
          <w:sz w:val="13"/>
        </w:rPr>
        <w:t> </w:t>
      </w:r>
      <w:r>
        <w:rPr>
          <w:rFonts w:ascii="Arial"/>
          <w:color w:val="646767"/>
          <w:spacing w:val="-2"/>
          <w:w w:val="105"/>
          <w:sz w:val="13"/>
        </w:rPr>
        <w:t>avoid</w:t>
      </w:r>
      <w:r>
        <w:rPr>
          <w:rFonts w:ascii="Arial"/>
          <w:color w:val="646767"/>
          <w:spacing w:val="-8"/>
          <w:w w:val="105"/>
          <w:sz w:val="13"/>
        </w:rPr>
        <w:t> </w:t>
      </w:r>
      <w:r>
        <w:rPr>
          <w:rFonts w:ascii="Arial"/>
          <w:color w:val="646767"/>
          <w:spacing w:val="-2"/>
          <w:w w:val="105"/>
          <w:sz w:val="13"/>
        </w:rPr>
        <w:t>all risks</w:t>
      </w:r>
      <w:r>
        <w:rPr>
          <w:rFonts w:ascii="Arial"/>
          <w:color w:val="646767"/>
          <w:spacing w:val="-5"/>
          <w:w w:val="105"/>
          <w:sz w:val="13"/>
        </w:rPr>
        <w:t> </w:t>
      </w:r>
      <w:r>
        <w:rPr>
          <w:rFonts w:ascii="Arial"/>
          <w:color w:val="646767"/>
          <w:spacing w:val="-2"/>
          <w:w w:val="105"/>
          <w:sz w:val="13"/>
        </w:rPr>
        <w:t>relating</w:t>
      </w:r>
      <w:r>
        <w:rPr>
          <w:rFonts w:ascii="Arial"/>
          <w:color w:val="646767"/>
          <w:spacing w:val="40"/>
          <w:w w:val="105"/>
          <w:sz w:val="13"/>
        </w:rPr>
        <w:t> </w:t>
      </w:r>
      <w:r>
        <w:rPr>
          <w:rFonts w:ascii="Arial"/>
          <w:color w:val="646767"/>
          <w:w w:val="105"/>
          <w:sz w:val="13"/>
        </w:rPr>
        <w:t>to our </w:t>
      </w:r>
      <w:r>
        <w:rPr>
          <w:rFonts w:ascii="Arial"/>
          <w:color w:val="727775"/>
          <w:w w:val="105"/>
          <w:sz w:val="13"/>
        </w:rPr>
        <w:t>workforce </w:t>
      </w:r>
      <w:r>
        <w:rPr>
          <w:rFonts w:ascii="Arial"/>
          <w:color w:val="646767"/>
          <w:w w:val="105"/>
          <w:sz w:val="13"/>
        </w:rPr>
        <w:t>unless</w:t>
      </w:r>
      <w:r>
        <w:rPr>
          <w:rFonts w:ascii="Arial"/>
          <w:color w:val="646767"/>
          <w:spacing w:val="40"/>
          <w:w w:val="105"/>
          <w:sz w:val="13"/>
        </w:rPr>
        <w:t> </w:t>
      </w:r>
      <w:r>
        <w:rPr>
          <w:rFonts w:ascii="Arial"/>
          <w:color w:val="646767"/>
          <w:w w:val="105"/>
          <w:sz w:val="13"/>
        </w:rPr>
        <w:t>absolutely</w:t>
      </w:r>
      <w:r>
        <w:rPr>
          <w:rFonts w:ascii="Arial"/>
          <w:color w:val="646767"/>
          <w:spacing w:val="-10"/>
          <w:w w:val="105"/>
          <w:sz w:val="13"/>
        </w:rPr>
        <w:t> </w:t>
      </w:r>
      <w:r>
        <w:rPr>
          <w:rFonts w:ascii="Arial"/>
          <w:color w:val="646767"/>
          <w:w w:val="105"/>
          <w:sz w:val="13"/>
        </w:rPr>
        <w:t>esse</w:t>
      </w:r>
      <w:r>
        <w:rPr>
          <w:rFonts w:ascii="Arial"/>
          <w:color w:val="424242"/>
          <w:w w:val="105"/>
          <w:sz w:val="13"/>
        </w:rPr>
        <w:t>n</w:t>
      </w:r>
      <w:r>
        <w:rPr>
          <w:rFonts w:ascii="Arial"/>
          <w:color w:val="646767"/>
          <w:w w:val="105"/>
          <w:sz w:val="13"/>
        </w:rPr>
        <w:t>t</w:t>
      </w:r>
      <w:r>
        <w:rPr>
          <w:rFonts w:ascii="Arial"/>
          <w:color w:val="2F2D2F"/>
          <w:w w:val="105"/>
          <w:sz w:val="13"/>
        </w:rPr>
        <w:t>i</w:t>
      </w:r>
      <w:r>
        <w:rPr>
          <w:rFonts w:ascii="Arial"/>
          <w:color w:val="646767"/>
          <w:w w:val="105"/>
          <w:sz w:val="13"/>
        </w:rPr>
        <w:t>al.</w:t>
      </w:r>
    </w:p>
    <w:p>
      <w:pPr>
        <w:spacing w:line="252" w:lineRule="auto" w:before="1"/>
        <w:ind w:left="127" w:right="20" w:firstLine="2"/>
        <w:jc w:val="left"/>
        <w:rPr>
          <w:rFonts w:ascii="Arial"/>
          <w:sz w:val="13"/>
        </w:rPr>
      </w:pPr>
      <w:r>
        <w:rPr>
          <w:rFonts w:ascii="Arial"/>
          <w:color w:val="646767"/>
          <w:w w:val="105"/>
          <w:sz w:val="13"/>
        </w:rPr>
        <w:t>Innovat</w:t>
      </w:r>
      <w:r>
        <w:rPr>
          <w:rFonts w:ascii="Arial"/>
          <w:color w:val="424242"/>
          <w:w w:val="105"/>
          <w:sz w:val="13"/>
        </w:rPr>
        <w:t>i</w:t>
      </w:r>
      <w:r>
        <w:rPr>
          <w:rFonts w:ascii="Arial"/>
          <w:color w:val="727775"/>
          <w:w w:val="105"/>
          <w:sz w:val="13"/>
        </w:rPr>
        <w:t>ve</w:t>
      </w:r>
      <w:r>
        <w:rPr>
          <w:rFonts w:ascii="Arial"/>
          <w:color w:val="727775"/>
          <w:spacing w:val="-5"/>
          <w:w w:val="105"/>
          <w:sz w:val="13"/>
        </w:rPr>
        <w:t> </w:t>
      </w:r>
      <w:r>
        <w:rPr>
          <w:rFonts w:ascii="Arial"/>
          <w:color w:val="646767"/>
          <w:w w:val="105"/>
          <w:sz w:val="13"/>
        </w:rPr>
        <w:t>approac</w:t>
      </w:r>
      <w:r>
        <w:rPr>
          <w:rFonts w:ascii="Arial"/>
          <w:color w:val="424242"/>
          <w:w w:val="105"/>
          <w:sz w:val="13"/>
        </w:rPr>
        <w:t>h</w:t>
      </w:r>
      <w:r>
        <w:rPr>
          <w:rFonts w:ascii="Arial"/>
          <w:color w:val="646767"/>
          <w:w w:val="105"/>
          <w:sz w:val="13"/>
        </w:rPr>
        <w:t>es</w:t>
      </w:r>
      <w:r>
        <w:rPr>
          <w:rFonts w:ascii="Arial"/>
          <w:color w:val="646767"/>
          <w:spacing w:val="-22"/>
          <w:w w:val="105"/>
          <w:sz w:val="13"/>
        </w:rPr>
        <w:t> </w:t>
      </w:r>
      <w:r>
        <w:rPr>
          <w:rFonts w:ascii="Arial"/>
          <w:color w:val="646767"/>
          <w:w w:val="105"/>
          <w:sz w:val="13"/>
        </w:rPr>
        <w:t>to</w:t>
      </w:r>
      <w:r>
        <w:rPr>
          <w:rFonts w:ascii="Arial"/>
          <w:color w:val="646767"/>
          <w:spacing w:val="40"/>
          <w:w w:val="105"/>
          <w:sz w:val="13"/>
        </w:rPr>
        <w:t> </w:t>
      </w:r>
      <w:r>
        <w:rPr>
          <w:rFonts w:ascii="Arial"/>
          <w:color w:val="646767"/>
          <w:w w:val="105"/>
          <w:sz w:val="13"/>
        </w:rPr>
        <w:t>wo</w:t>
      </w:r>
      <w:r>
        <w:rPr>
          <w:rFonts w:ascii="Arial"/>
          <w:color w:val="2F2D2F"/>
          <w:w w:val="105"/>
          <w:sz w:val="13"/>
        </w:rPr>
        <w:t>r</w:t>
      </w:r>
      <w:r>
        <w:rPr>
          <w:rFonts w:ascii="Arial"/>
          <w:color w:val="646767"/>
          <w:w w:val="105"/>
          <w:sz w:val="13"/>
        </w:rPr>
        <w:t>kforce recruitment and</w:t>
      </w:r>
      <w:r>
        <w:rPr>
          <w:rFonts w:ascii="Arial"/>
          <w:color w:val="646767"/>
          <w:spacing w:val="40"/>
          <w:w w:val="105"/>
          <w:sz w:val="13"/>
        </w:rPr>
        <w:t> </w:t>
      </w:r>
      <w:r>
        <w:rPr>
          <w:rFonts w:ascii="Arial"/>
          <w:color w:val="646767"/>
          <w:w w:val="105"/>
          <w:sz w:val="13"/>
        </w:rPr>
        <w:t>retention are not a p</w:t>
      </w:r>
      <w:r>
        <w:rPr>
          <w:rFonts w:ascii="Arial"/>
          <w:color w:val="424242"/>
          <w:w w:val="105"/>
          <w:sz w:val="13"/>
        </w:rPr>
        <w:t>r</w:t>
      </w:r>
      <w:r>
        <w:rPr>
          <w:rFonts w:ascii="Arial"/>
          <w:color w:val="646767"/>
          <w:w w:val="105"/>
          <w:sz w:val="13"/>
        </w:rPr>
        <w:t>ior</w:t>
      </w:r>
      <w:r>
        <w:rPr>
          <w:rFonts w:ascii="Arial"/>
          <w:color w:val="2F2D2F"/>
          <w:w w:val="105"/>
          <w:sz w:val="13"/>
        </w:rPr>
        <w:t>i</w:t>
      </w:r>
      <w:r>
        <w:rPr>
          <w:rFonts w:ascii="Arial"/>
          <w:color w:val="646767"/>
          <w:w w:val="105"/>
          <w:sz w:val="13"/>
        </w:rPr>
        <w:t>ty</w:t>
      </w:r>
      <w:r>
        <w:rPr>
          <w:rFonts w:ascii="Arial"/>
          <w:color w:val="646767"/>
          <w:spacing w:val="40"/>
          <w:w w:val="105"/>
          <w:sz w:val="13"/>
        </w:rPr>
        <w:t> </w:t>
      </w:r>
      <w:r>
        <w:rPr>
          <w:rFonts w:ascii="Arial"/>
          <w:color w:val="646767"/>
          <w:w w:val="105"/>
          <w:sz w:val="13"/>
        </w:rPr>
        <w:t>and </w:t>
      </w:r>
      <w:r>
        <w:rPr>
          <w:rFonts w:ascii="Arial"/>
          <w:color w:val="727775"/>
          <w:w w:val="105"/>
          <w:sz w:val="13"/>
        </w:rPr>
        <w:t>will </w:t>
      </w:r>
      <w:r>
        <w:rPr>
          <w:rFonts w:ascii="Arial"/>
          <w:color w:val="646767"/>
          <w:w w:val="105"/>
          <w:sz w:val="13"/>
        </w:rPr>
        <w:t>on</w:t>
      </w:r>
      <w:r>
        <w:rPr>
          <w:rFonts w:ascii="Arial"/>
          <w:color w:val="2F2D2F"/>
          <w:w w:val="105"/>
          <w:sz w:val="13"/>
        </w:rPr>
        <w:t>l</w:t>
      </w:r>
      <w:r>
        <w:rPr>
          <w:rFonts w:ascii="Arial"/>
          <w:color w:val="727775"/>
          <w:w w:val="105"/>
          <w:sz w:val="13"/>
        </w:rPr>
        <w:t>y </w:t>
      </w:r>
      <w:r>
        <w:rPr>
          <w:rFonts w:ascii="Arial"/>
          <w:color w:val="646767"/>
          <w:w w:val="105"/>
          <w:sz w:val="13"/>
        </w:rPr>
        <w:t>be adopted if</w:t>
      </w:r>
      <w:r>
        <w:rPr>
          <w:rFonts w:ascii="Arial"/>
          <w:color w:val="646767"/>
          <w:spacing w:val="40"/>
          <w:w w:val="105"/>
          <w:sz w:val="13"/>
        </w:rPr>
        <w:t> </w:t>
      </w:r>
      <w:r>
        <w:rPr>
          <w:rFonts w:ascii="Arial"/>
          <w:color w:val="646767"/>
          <w:w w:val="105"/>
          <w:sz w:val="13"/>
        </w:rPr>
        <w:t>estab</w:t>
      </w:r>
      <w:r>
        <w:rPr>
          <w:rFonts w:ascii="Arial"/>
          <w:color w:val="2F2D2F"/>
          <w:w w:val="105"/>
          <w:sz w:val="13"/>
        </w:rPr>
        <w:t>l</w:t>
      </w:r>
      <w:r>
        <w:rPr>
          <w:rFonts w:ascii="Arial"/>
          <w:color w:val="646767"/>
          <w:w w:val="105"/>
          <w:sz w:val="13"/>
        </w:rPr>
        <w:t>ished</w:t>
      </w:r>
      <w:r>
        <w:rPr>
          <w:rFonts w:ascii="Arial"/>
          <w:color w:val="646767"/>
          <w:spacing w:val="-10"/>
          <w:w w:val="105"/>
          <w:sz w:val="13"/>
        </w:rPr>
        <w:t> </w:t>
      </w:r>
      <w:r>
        <w:rPr>
          <w:rFonts w:ascii="Arial"/>
          <w:color w:val="646767"/>
          <w:w w:val="105"/>
          <w:sz w:val="13"/>
        </w:rPr>
        <w:t>and</w:t>
      </w:r>
      <w:r>
        <w:rPr>
          <w:rFonts w:ascii="Arial"/>
          <w:color w:val="646767"/>
          <w:spacing w:val="-9"/>
          <w:w w:val="105"/>
          <w:sz w:val="13"/>
        </w:rPr>
        <w:t> </w:t>
      </w:r>
      <w:r>
        <w:rPr>
          <w:rFonts w:ascii="Arial"/>
          <w:color w:val="646767"/>
          <w:w w:val="105"/>
          <w:sz w:val="13"/>
        </w:rPr>
        <w:t>proven</w:t>
      </w:r>
      <w:r>
        <w:rPr>
          <w:rFonts w:ascii="Arial"/>
          <w:color w:val="646767"/>
          <w:spacing w:val="-10"/>
          <w:w w:val="105"/>
          <w:sz w:val="13"/>
        </w:rPr>
        <w:t> </w:t>
      </w:r>
      <w:r>
        <w:rPr>
          <w:rFonts w:ascii="Arial"/>
          <w:color w:val="525454"/>
          <w:w w:val="105"/>
          <w:sz w:val="13"/>
        </w:rPr>
        <w:t>to</w:t>
      </w:r>
      <w:r>
        <w:rPr>
          <w:rFonts w:ascii="Arial"/>
          <w:color w:val="525454"/>
          <w:spacing w:val="-7"/>
          <w:w w:val="105"/>
          <w:sz w:val="13"/>
        </w:rPr>
        <w:t> </w:t>
      </w:r>
      <w:r>
        <w:rPr>
          <w:rFonts w:ascii="Arial"/>
          <w:color w:val="646767"/>
          <w:w w:val="105"/>
          <w:sz w:val="13"/>
        </w:rPr>
        <w:t>be</w:t>
      </w:r>
      <w:r>
        <w:rPr>
          <w:rFonts w:ascii="Arial"/>
          <w:color w:val="646767"/>
          <w:spacing w:val="40"/>
          <w:w w:val="105"/>
          <w:sz w:val="13"/>
        </w:rPr>
        <w:t> </w:t>
      </w:r>
      <w:r>
        <w:rPr>
          <w:rFonts w:ascii="Arial"/>
          <w:color w:val="646767"/>
          <w:w w:val="105"/>
          <w:sz w:val="13"/>
        </w:rPr>
        <w:t>effec</w:t>
      </w:r>
      <w:r>
        <w:rPr>
          <w:rFonts w:ascii="Arial"/>
          <w:color w:val="424242"/>
          <w:w w:val="105"/>
          <w:sz w:val="13"/>
        </w:rPr>
        <w:t>t</w:t>
      </w:r>
      <w:r>
        <w:rPr>
          <w:rFonts w:ascii="Arial"/>
          <w:color w:val="646767"/>
          <w:w w:val="105"/>
          <w:sz w:val="13"/>
        </w:rPr>
        <w:t>ive</w:t>
      </w:r>
      <w:r>
        <w:rPr>
          <w:rFonts w:ascii="Arial"/>
          <w:color w:val="646767"/>
          <w:spacing w:val="-8"/>
          <w:w w:val="105"/>
          <w:sz w:val="13"/>
        </w:rPr>
        <w:t> </w:t>
      </w:r>
      <w:r>
        <w:rPr>
          <w:rFonts w:ascii="Arial"/>
          <w:color w:val="646767"/>
          <w:w w:val="105"/>
          <w:sz w:val="13"/>
        </w:rPr>
        <w:t>elsew</w:t>
      </w:r>
      <w:r>
        <w:rPr>
          <w:rFonts w:ascii="Arial"/>
          <w:color w:val="424242"/>
          <w:w w:val="105"/>
          <w:sz w:val="13"/>
        </w:rPr>
        <w:t>h</w:t>
      </w:r>
      <w:r>
        <w:rPr>
          <w:rFonts w:ascii="Arial"/>
          <w:color w:val="646767"/>
          <w:w w:val="105"/>
          <w:sz w:val="13"/>
        </w:rPr>
        <w:t>e</w:t>
      </w:r>
      <w:r>
        <w:rPr>
          <w:rFonts w:ascii="Arial"/>
          <w:color w:val="424242"/>
          <w:w w:val="105"/>
          <w:sz w:val="13"/>
        </w:rPr>
        <w:t>r</w:t>
      </w:r>
      <w:r>
        <w:rPr>
          <w:rFonts w:ascii="Arial"/>
          <w:color w:val="646767"/>
          <w:w w:val="105"/>
          <w:sz w:val="13"/>
        </w:rPr>
        <w:t>e.</w:t>
      </w:r>
    </w:p>
    <w:p>
      <w:pPr>
        <w:spacing w:line="254" w:lineRule="auto" w:before="96"/>
        <w:ind w:left="132" w:right="38" w:hanging="7"/>
        <w:jc w:val="left"/>
        <w:rPr>
          <w:rFonts w:ascii="Arial"/>
          <w:sz w:val="13"/>
        </w:rPr>
      </w:pPr>
      <w:r>
        <w:rPr/>
        <w:br w:type="column"/>
      </w:r>
      <w:r>
        <w:rPr>
          <w:rFonts w:ascii="Arial"/>
          <w:color w:val="646767"/>
          <w:sz w:val="13"/>
        </w:rPr>
        <w:t>We</w:t>
      </w:r>
      <w:r>
        <w:rPr>
          <w:rFonts w:ascii="Arial"/>
          <w:color w:val="646767"/>
          <w:spacing w:val="-14"/>
          <w:sz w:val="13"/>
        </w:rPr>
        <w:t> </w:t>
      </w:r>
      <w:r>
        <w:rPr>
          <w:rFonts w:ascii="Arial"/>
          <w:color w:val="525454"/>
          <w:sz w:val="13"/>
        </w:rPr>
        <w:t>are</w:t>
      </w:r>
      <w:r>
        <w:rPr>
          <w:rFonts w:ascii="Arial"/>
          <w:color w:val="525454"/>
          <w:spacing w:val="-10"/>
          <w:sz w:val="13"/>
        </w:rPr>
        <w:t> </w:t>
      </w:r>
      <w:r>
        <w:rPr>
          <w:rFonts w:ascii="Arial"/>
          <w:color w:val="646767"/>
          <w:sz w:val="13"/>
        </w:rPr>
        <w:t>prepared</w:t>
      </w:r>
      <w:r>
        <w:rPr>
          <w:rFonts w:ascii="Arial"/>
          <w:color w:val="646767"/>
          <w:spacing w:val="-9"/>
          <w:sz w:val="13"/>
        </w:rPr>
        <w:t> </w:t>
      </w:r>
      <w:r>
        <w:rPr>
          <w:rFonts w:ascii="Arial"/>
          <w:color w:val="525454"/>
          <w:sz w:val="13"/>
        </w:rPr>
        <w:t>to</w:t>
      </w:r>
      <w:r>
        <w:rPr>
          <w:rFonts w:ascii="Arial"/>
          <w:color w:val="525454"/>
          <w:spacing w:val="-9"/>
          <w:sz w:val="13"/>
        </w:rPr>
        <w:t> </w:t>
      </w:r>
      <w:r>
        <w:rPr>
          <w:rFonts w:ascii="Arial"/>
          <w:color w:val="525454"/>
          <w:sz w:val="13"/>
        </w:rPr>
        <w:t>take</w:t>
      </w:r>
      <w:r>
        <w:rPr>
          <w:rFonts w:ascii="Arial"/>
          <w:color w:val="525454"/>
          <w:spacing w:val="-9"/>
          <w:sz w:val="13"/>
        </w:rPr>
        <w:t> </w:t>
      </w:r>
      <w:r>
        <w:rPr>
          <w:rFonts w:ascii="Arial"/>
          <w:color w:val="646767"/>
          <w:sz w:val="13"/>
        </w:rPr>
        <w:t>limi</w:t>
      </w:r>
      <w:r>
        <w:rPr>
          <w:rFonts w:ascii="Arial"/>
          <w:color w:val="2F2D2F"/>
          <w:sz w:val="13"/>
        </w:rPr>
        <w:t>t</w:t>
      </w:r>
      <w:r>
        <w:rPr>
          <w:rFonts w:ascii="Arial"/>
          <w:color w:val="646767"/>
          <w:sz w:val="13"/>
        </w:rPr>
        <w:t>ed</w:t>
      </w:r>
      <w:r>
        <w:rPr>
          <w:rFonts w:ascii="Arial"/>
          <w:color w:val="646767"/>
          <w:spacing w:val="40"/>
          <w:sz w:val="13"/>
        </w:rPr>
        <w:t> </w:t>
      </w:r>
      <w:r>
        <w:rPr>
          <w:rFonts w:ascii="Arial"/>
          <w:color w:val="646767"/>
          <w:sz w:val="13"/>
        </w:rPr>
        <w:t>r-.;ks </w:t>
      </w:r>
      <w:r>
        <w:rPr>
          <w:rFonts w:ascii="Arial"/>
          <w:color w:val="727775"/>
          <w:sz w:val="13"/>
        </w:rPr>
        <w:t>with </w:t>
      </w:r>
      <w:r>
        <w:rPr>
          <w:rFonts w:ascii="Arial"/>
          <w:color w:val="646767"/>
          <w:sz w:val="13"/>
        </w:rPr>
        <w:t>regards</w:t>
      </w:r>
      <w:r>
        <w:rPr>
          <w:rFonts w:ascii="Arial"/>
          <w:color w:val="646767"/>
          <w:spacing w:val="-5"/>
          <w:sz w:val="13"/>
        </w:rPr>
        <w:t> </w:t>
      </w:r>
      <w:r>
        <w:rPr>
          <w:rFonts w:ascii="Arial"/>
          <w:color w:val="646767"/>
          <w:sz w:val="13"/>
        </w:rPr>
        <w:t>to our</w:t>
      </w:r>
      <w:r>
        <w:rPr>
          <w:rFonts w:ascii="Arial"/>
          <w:color w:val="646767"/>
          <w:spacing w:val="40"/>
          <w:sz w:val="13"/>
        </w:rPr>
        <w:t> </w:t>
      </w:r>
      <w:r>
        <w:rPr>
          <w:rFonts w:ascii="Arial"/>
          <w:color w:val="727775"/>
          <w:sz w:val="13"/>
        </w:rPr>
        <w:t>workforc</w:t>
      </w:r>
      <w:r>
        <w:rPr>
          <w:rFonts w:ascii="Arial"/>
          <w:color w:val="525454"/>
          <w:sz w:val="13"/>
        </w:rPr>
        <w:t>e.</w:t>
      </w:r>
      <w:r>
        <w:rPr>
          <w:rFonts w:ascii="Arial"/>
          <w:color w:val="525454"/>
          <w:spacing w:val="-20"/>
          <w:sz w:val="13"/>
        </w:rPr>
        <w:t> </w:t>
      </w:r>
      <w:r>
        <w:rPr>
          <w:rFonts w:ascii="Arial"/>
          <w:color w:val="646767"/>
          <w:sz w:val="13"/>
        </w:rPr>
        <w:t>Where</w:t>
      </w:r>
      <w:r>
        <w:rPr>
          <w:rFonts w:ascii="Arial"/>
          <w:color w:val="646767"/>
          <w:spacing w:val="-10"/>
          <w:sz w:val="13"/>
        </w:rPr>
        <w:t> </w:t>
      </w:r>
      <w:r>
        <w:rPr>
          <w:rFonts w:ascii="Arial"/>
          <w:color w:val="646767"/>
          <w:sz w:val="13"/>
        </w:rPr>
        <w:t>attempting</w:t>
      </w:r>
      <w:r>
        <w:rPr>
          <w:rFonts w:ascii="Arial"/>
          <w:color w:val="646767"/>
          <w:spacing w:val="-9"/>
          <w:sz w:val="13"/>
        </w:rPr>
        <w:t> </w:t>
      </w:r>
      <w:r>
        <w:rPr>
          <w:rFonts w:ascii="Arial"/>
          <w:color w:val="646767"/>
          <w:sz w:val="13"/>
        </w:rPr>
        <w:t>to</w:t>
      </w:r>
      <w:r>
        <w:rPr>
          <w:rFonts w:ascii="Arial"/>
          <w:color w:val="646767"/>
          <w:spacing w:val="40"/>
          <w:sz w:val="13"/>
        </w:rPr>
        <w:t> </w:t>
      </w:r>
      <w:r>
        <w:rPr>
          <w:rFonts w:ascii="Arial"/>
          <w:color w:val="646767"/>
          <w:sz w:val="13"/>
        </w:rPr>
        <w:t>innovate, </w:t>
      </w:r>
      <w:r>
        <w:rPr>
          <w:rFonts w:ascii="Arial"/>
          <w:color w:val="727775"/>
          <w:sz w:val="13"/>
        </w:rPr>
        <w:t>we</w:t>
      </w:r>
      <w:r>
        <w:rPr>
          <w:rFonts w:ascii="Arial"/>
          <w:color w:val="727775"/>
          <w:spacing w:val="40"/>
          <w:sz w:val="13"/>
        </w:rPr>
        <w:t> </w:t>
      </w:r>
      <w:r>
        <w:rPr>
          <w:rFonts w:ascii="Arial"/>
          <w:color w:val="727775"/>
          <w:sz w:val="13"/>
        </w:rPr>
        <w:t>wo</w:t>
      </w:r>
      <w:r>
        <w:rPr>
          <w:rFonts w:ascii="Arial"/>
          <w:color w:val="525454"/>
          <w:sz w:val="13"/>
        </w:rPr>
        <w:t>uld </w:t>
      </w:r>
      <w:r>
        <w:rPr>
          <w:rFonts w:ascii="Arial"/>
          <w:color w:val="646767"/>
          <w:sz w:val="13"/>
        </w:rPr>
        <w:t>seek to</w:t>
      </w:r>
      <w:r>
        <w:rPr>
          <w:rFonts w:ascii="Arial"/>
          <w:color w:val="646767"/>
          <w:spacing w:val="40"/>
          <w:sz w:val="13"/>
        </w:rPr>
        <w:t> </w:t>
      </w:r>
      <w:r>
        <w:rPr>
          <w:rFonts w:ascii="Arial"/>
          <w:color w:val="646767"/>
          <w:sz w:val="13"/>
        </w:rPr>
        <w:t>understand where</w:t>
      </w:r>
      <w:r>
        <w:rPr>
          <w:rFonts w:ascii="Arial"/>
          <w:color w:val="646767"/>
          <w:spacing w:val="-1"/>
          <w:sz w:val="13"/>
        </w:rPr>
        <w:t> </w:t>
      </w:r>
      <w:r>
        <w:rPr>
          <w:rFonts w:ascii="Arial"/>
          <w:color w:val="646767"/>
          <w:sz w:val="13"/>
        </w:rPr>
        <w:t>similar</w:t>
      </w:r>
      <w:r>
        <w:rPr>
          <w:rFonts w:ascii="Arial"/>
          <w:color w:val="646767"/>
          <w:spacing w:val="40"/>
          <w:sz w:val="13"/>
        </w:rPr>
        <w:t> </w:t>
      </w:r>
      <w:r>
        <w:rPr>
          <w:rFonts w:ascii="Arial"/>
          <w:color w:val="646767"/>
          <w:sz w:val="13"/>
        </w:rPr>
        <w:t>actions</w:t>
      </w:r>
      <w:r>
        <w:rPr>
          <w:rFonts w:ascii="Arial"/>
          <w:color w:val="646767"/>
          <w:spacing w:val="-1"/>
          <w:sz w:val="13"/>
        </w:rPr>
        <w:t> </w:t>
      </w:r>
      <w:r>
        <w:rPr>
          <w:rFonts w:ascii="Arial"/>
          <w:color w:val="646767"/>
          <w:sz w:val="13"/>
        </w:rPr>
        <w:t>had been</w:t>
      </w:r>
      <w:r>
        <w:rPr>
          <w:rFonts w:ascii="Arial"/>
          <w:color w:val="646767"/>
          <w:spacing w:val="-1"/>
          <w:sz w:val="13"/>
        </w:rPr>
        <w:t> </w:t>
      </w:r>
      <w:r>
        <w:rPr>
          <w:rFonts w:ascii="Arial"/>
          <w:color w:val="646767"/>
          <w:sz w:val="13"/>
        </w:rPr>
        <w:t>successful</w:t>
      </w:r>
      <w:r>
        <w:rPr>
          <w:rFonts w:ascii="Arial"/>
          <w:color w:val="646767"/>
          <w:spacing w:val="40"/>
          <w:sz w:val="13"/>
        </w:rPr>
        <w:t> </w:t>
      </w:r>
      <w:r>
        <w:rPr>
          <w:rFonts w:ascii="Arial"/>
          <w:color w:val="646767"/>
          <w:sz w:val="13"/>
        </w:rPr>
        <w:t>e</w:t>
      </w:r>
      <w:r>
        <w:rPr>
          <w:rFonts w:ascii="Arial"/>
          <w:color w:val="2F2D2F"/>
          <w:sz w:val="13"/>
        </w:rPr>
        <w:t>l</w:t>
      </w:r>
      <w:r>
        <w:rPr>
          <w:rFonts w:ascii="Arial"/>
          <w:color w:val="646767"/>
          <w:sz w:val="13"/>
        </w:rPr>
        <w:t>sewhere before taking any</w:t>
      </w:r>
      <w:r>
        <w:rPr>
          <w:rFonts w:ascii="Arial"/>
          <w:color w:val="646767"/>
          <w:spacing w:val="40"/>
          <w:sz w:val="13"/>
        </w:rPr>
        <w:t> </w:t>
      </w:r>
      <w:r>
        <w:rPr>
          <w:rFonts w:ascii="Arial"/>
          <w:color w:val="646767"/>
          <w:spacing w:val="-2"/>
          <w:sz w:val="13"/>
        </w:rPr>
        <w:t>decision.</w:t>
      </w:r>
    </w:p>
    <w:p>
      <w:pPr>
        <w:spacing w:line="252" w:lineRule="auto" w:before="96"/>
        <w:ind w:left="125" w:right="52" w:firstLine="0"/>
        <w:jc w:val="left"/>
        <w:rPr>
          <w:rFonts w:ascii="Arial"/>
          <w:sz w:val="13"/>
        </w:rPr>
      </w:pPr>
      <w:r>
        <w:rPr/>
        <w:br w:type="column"/>
      </w:r>
      <w:r>
        <w:rPr>
          <w:rFonts w:ascii="Arial"/>
          <w:color w:val="646767"/>
          <w:w w:val="105"/>
          <w:sz w:val="13"/>
        </w:rPr>
        <w:t>We are prepared </w:t>
      </w:r>
      <w:r>
        <w:rPr>
          <w:rFonts w:ascii="Arial"/>
          <w:color w:val="525454"/>
          <w:w w:val="105"/>
          <w:sz w:val="13"/>
        </w:rPr>
        <w:t>to </w:t>
      </w:r>
      <w:r>
        <w:rPr>
          <w:rFonts w:ascii="Arial"/>
          <w:color w:val="646767"/>
          <w:w w:val="105"/>
          <w:sz w:val="13"/>
        </w:rPr>
        <w:t>accept</w:t>
      </w:r>
      <w:r>
        <w:rPr>
          <w:rFonts w:ascii="Arial"/>
          <w:color w:val="646767"/>
          <w:spacing w:val="40"/>
          <w:w w:val="105"/>
          <w:sz w:val="13"/>
        </w:rPr>
        <w:t> </w:t>
      </w:r>
      <w:r>
        <w:rPr>
          <w:rFonts w:ascii="Arial"/>
          <w:color w:val="525454"/>
          <w:w w:val="105"/>
          <w:sz w:val="13"/>
        </w:rPr>
        <w:t>the </w:t>
      </w:r>
      <w:r>
        <w:rPr>
          <w:rFonts w:ascii="Arial"/>
          <w:color w:val="646767"/>
          <w:w w:val="105"/>
          <w:sz w:val="13"/>
        </w:rPr>
        <w:t>possibi</w:t>
      </w:r>
      <w:r>
        <w:rPr>
          <w:rFonts w:ascii="Arial"/>
          <w:color w:val="2F2D2F"/>
          <w:w w:val="105"/>
          <w:sz w:val="13"/>
        </w:rPr>
        <w:t>l</w:t>
      </w:r>
      <w:r>
        <w:rPr>
          <w:rFonts w:ascii="Arial"/>
          <w:color w:val="646767"/>
          <w:w w:val="105"/>
          <w:sz w:val="13"/>
        </w:rPr>
        <w:t>ity of some</w:t>
      </w:r>
      <w:r>
        <w:rPr>
          <w:rFonts w:ascii="Arial"/>
          <w:color w:val="646767"/>
          <w:spacing w:val="40"/>
          <w:w w:val="105"/>
          <w:sz w:val="13"/>
        </w:rPr>
        <w:t> </w:t>
      </w:r>
      <w:r>
        <w:rPr>
          <w:rFonts w:ascii="Arial"/>
          <w:color w:val="727775"/>
          <w:w w:val="105"/>
          <w:sz w:val="13"/>
        </w:rPr>
        <w:t>wo</w:t>
      </w:r>
      <w:r>
        <w:rPr>
          <w:rFonts w:ascii="Arial"/>
          <w:color w:val="424242"/>
          <w:w w:val="105"/>
          <w:sz w:val="13"/>
        </w:rPr>
        <w:t>r</w:t>
      </w:r>
      <w:r>
        <w:rPr>
          <w:rFonts w:ascii="Arial"/>
          <w:color w:val="646767"/>
          <w:w w:val="105"/>
          <w:sz w:val="13"/>
        </w:rPr>
        <w:t>kforce risk, as</w:t>
      </w:r>
      <w:r>
        <w:rPr>
          <w:rFonts w:ascii="Arial"/>
          <w:color w:val="646767"/>
          <w:spacing w:val="-10"/>
          <w:w w:val="105"/>
          <w:sz w:val="13"/>
        </w:rPr>
        <w:t> </w:t>
      </w:r>
      <w:r>
        <w:rPr>
          <w:rFonts w:ascii="Arial"/>
          <w:color w:val="646767"/>
          <w:w w:val="105"/>
          <w:sz w:val="13"/>
        </w:rPr>
        <w:t>a direct</w:t>
      </w:r>
      <w:r>
        <w:rPr>
          <w:rFonts w:ascii="Arial"/>
          <w:color w:val="646767"/>
          <w:spacing w:val="40"/>
          <w:w w:val="105"/>
          <w:sz w:val="13"/>
        </w:rPr>
        <w:t> </w:t>
      </w:r>
      <w:r>
        <w:rPr>
          <w:rFonts w:ascii="Arial"/>
          <w:color w:val="646767"/>
          <w:w w:val="105"/>
          <w:sz w:val="13"/>
        </w:rPr>
        <w:t>result from innovat</w:t>
      </w:r>
      <w:r>
        <w:rPr>
          <w:rFonts w:ascii="Arial"/>
          <w:color w:val="2F2D2F"/>
          <w:w w:val="105"/>
          <w:sz w:val="13"/>
        </w:rPr>
        <w:t>i</w:t>
      </w:r>
      <w:r>
        <w:rPr>
          <w:rFonts w:ascii="Arial"/>
          <w:color w:val="646767"/>
          <w:w w:val="105"/>
          <w:sz w:val="13"/>
        </w:rPr>
        <w:t>on as</w:t>
      </w:r>
      <w:r>
        <w:rPr>
          <w:rFonts w:ascii="Arial"/>
          <w:color w:val="646767"/>
          <w:spacing w:val="40"/>
          <w:w w:val="105"/>
          <w:sz w:val="13"/>
        </w:rPr>
        <w:t> </w:t>
      </w:r>
      <w:r>
        <w:rPr>
          <w:rFonts w:ascii="Arial"/>
          <w:color w:val="424242"/>
          <w:w w:val="105"/>
          <w:sz w:val="13"/>
        </w:rPr>
        <w:t>l</w:t>
      </w:r>
      <w:r>
        <w:rPr>
          <w:rFonts w:ascii="Arial"/>
          <w:color w:val="646767"/>
          <w:w w:val="105"/>
          <w:sz w:val="13"/>
        </w:rPr>
        <w:t>ong as</w:t>
      </w:r>
      <w:r>
        <w:rPr>
          <w:rFonts w:ascii="Arial"/>
          <w:color w:val="646767"/>
          <w:spacing w:val="-9"/>
          <w:w w:val="105"/>
          <w:sz w:val="13"/>
        </w:rPr>
        <w:t> </w:t>
      </w:r>
      <w:r>
        <w:rPr>
          <w:rFonts w:ascii="Arial"/>
          <w:color w:val="646767"/>
          <w:w w:val="105"/>
          <w:sz w:val="13"/>
        </w:rPr>
        <w:t>there is</w:t>
      </w:r>
      <w:r>
        <w:rPr>
          <w:rFonts w:ascii="Arial"/>
          <w:color w:val="646767"/>
          <w:spacing w:val="-10"/>
          <w:w w:val="105"/>
          <w:sz w:val="13"/>
        </w:rPr>
        <w:t> </w:t>
      </w:r>
      <w:r>
        <w:rPr>
          <w:rFonts w:ascii="Arial"/>
          <w:color w:val="646767"/>
          <w:w w:val="105"/>
          <w:sz w:val="13"/>
        </w:rPr>
        <w:t>the potential</w:t>
      </w:r>
      <w:r>
        <w:rPr>
          <w:rFonts w:ascii="Arial"/>
          <w:color w:val="646767"/>
          <w:spacing w:val="40"/>
          <w:w w:val="105"/>
          <w:sz w:val="13"/>
        </w:rPr>
        <w:t> </w:t>
      </w:r>
      <w:r>
        <w:rPr>
          <w:rFonts w:ascii="Arial"/>
          <w:color w:val="646767"/>
          <w:w w:val="105"/>
          <w:sz w:val="13"/>
        </w:rPr>
        <w:t>for improved recru</w:t>
      </w:r>
      <w:r>
        <w:rPr>
          <w:rFonts w:ascii="Arial"/>
          <w:color w:val="2F2D2F"/>
          <w:w w:val="105"/>
          <w:sz w:val="13"/>
        </w:rPr>
        <w:t>i</w:t>
      </w:r>
      <w:r>
        <w:rPr>
          <w:rFonts w:ascii="Arial"/>
          <w:color w:val="646767"/>
          <w:w w:val="105"/>
          <w:sz w:val="13"/>
        </w:rPr>
        <w:t>tment</w:t>
      </w:r>
      <w:r>
        <w:rPr>
          <w:rFonts w:ascii="Arial"/>
          <w:color w:val="646767"/>
          <w:spacing w:val="40"/>
          <w:w w:val="105"/>
          <w:sz w:val="13"/>
        </w:rPr>
        <w:t> </w:t>
      </w:r>
      <w:r>
        <w:rPr>
          <w:rFonts w:ascii="Arial"/>
          <w:color w:val="646767"/>
          <w:w w:val="105"/>
          <w:sz w:val="13"/>
        </w:rPr>
        <w:t>and retention, and</w:t>
      </w:r>
      <w:r>
        <w:rPr>
          <w:rFonts w:ascii="Arial"/>
          <w:color w:val="646767"/>
          <w:spacing w:val="40"/>
          <w:w w:val="105"/>
          <w:sz w:val="13"/>
        </w:rPr>
        <w:t> </w:t>
      </w:r>
      <w:r>
        <w:rPr>
          <w:rFonts w:ascii="Arial"/>
          <w:color w:val="646767"/>
          <w:w w:val="105"/>
          <w:sz w:val="13"/>
        </w:rPr>
        <w:t>developmental</w:t>
      </w:r>
      <w:r>
        <w:rPr>
          <w:rFonts w:ascii="Arial"/>
          <w:color w:val="646767"/>
          <w:spacing w:val="-7"/>
          <w:w w:val="105"/>
          <w:sz w:val="13"/>
        </w:rPr>
        <w:t> </w:t>
      </w:r>
      <w:r>
        <w:rPr>
          <w:rFonts w:ascii="Arial"/>
          <w:color w:val="646767"/>
          <w:w w:val="105"/>
          <w:sz w:val="13"/>
        </w:rPr>
        <w:t>opportunit</w:t>
      </w:r>
      <w:r>
        <w:rPr>
          <w:rFonts w:ascii="Arial"/>
          <w:color w:val="2F2D2F"/>
          <w:w w:val="105"/>
          <w:sz w:val="13"/>
        </w:rPr>
        <w:t>i</w:t>
      </w:r>
      <w:r>
        <w:rPr>
          <w:rFonts w:ascii="Arial"/>
          <w:color w:val="646767"/>
          <w:w w:val="105"/>
          <w:sz w:val="13"/>
        </w:rPr>
        <w:t>es</w:t>
      </w:r>
      <w:r>
        <w:rPr>
          <w:rFonts w:ascii="Arial"/>
          <w:color w:val="646767"/>
          <w:spacing w:val="40"/>
          <w:w w:val="105"/>
          <w:sz w:val="13"/>
        </w:rPr>
        <w:t> </w:t>
      </w:r>
      <w:r>
        <w:rPr>
          <w:rFonts w:ascii="Arial"/>
          <w:color w:val="646767"/>
          <w:w w:val="105"/>
          <w:sz w:val="13"/>
        </w:rPr>
        <w:t>for</w:t>
      </w:r>
      <w:r>
        <w:rPr>
          <w:rFonts w:ascii="Arial"/>
          <w:color w:val="646767"/>
          <w:spacing w:val="-6"/>
          <w:w w:val="105"/>
          <w:sz w:val="13"/>
        </w:rPr>
        <w:t> </w:t>
      </w:r>
      <w:r>
        <w:rPr>
          <w:rFonts w:ascii="Arial"/>
          <w:color w:val="646767"/>
          <w:w w:val="105"/>
          <w:sz w:val="13"/>
        </w:rPr>
        <w:t>staff.</w:t>
      </w:r>
    </w:p>
    <w:p>
      <w:pPr>
        <w:spacing w:line="252" w:lineRule="auto" w:before="96"/>
        <w:ind w:left="125" w:right="-4" w:firstLine="0"/>
        <w:jc w:val="left"/>
        <w:rPr>
          <w:rFonts w:ascii="Arial"/>
          <w:sz w:val="13"/>
        </w:rPr>
      </w:pPr>
      <w:r>
        <w:rPr/>
        <w:br w:type="column"/>
      </w:r>
      <w:r>
        <w:rPr>
          <w:rFonts w:ascii="Arial"/>
          <w:color w:val="646767"/>
          <w:w w:val="105"/>
          <w:sz w:val="13"/>
        </w:rPr>
        <w:t>We </w:t>
      </w:r>
      <w:r>
        <w:rPr>
          <w:rFonts w:ascii="Arial"/>
          <w:color w:val="727775"/>
          <w:w w:val="105"/>
          <w:sz w:val="13"/>
        </w:rPr>
        <w:t>will </w:t>
      </w:r>
      <w:r>
        <w:rPr>
          <w:rFonts w:ascii="Arial"/>
          <w:color w:val="646767"/>
          <w:w w:val="105"/>
          <w:sz w:val="13"/>
        </w:rPr>
        <w:t>pursue </w:t>
      </w:r>
      <w:r>
        <w:rPr>
          <w:rFonts w:ascii="Arial"/>
          <w:color w:val="727775"/>
          <w:w w:val="105"/>
          <w:sz w:val="13"/>
        </w:rPr>
        <w:t>workforce</w:t>
      </w:r>
      <w:r>
        <w:rPr>
          <w:rFonts w:ascii="Arial"/>
          <w:color w:val="727775"/>
          <w:spacing w:val="40"/>
          <w:w w:val="105"/>
          <w:sz w:val="13"/>
        </w:rPr>
        <w:t> </w:t>
      </w:r>
      <w:r>
        <w:rPr>
          <w:rFonts w:ascii="Arial"/>
          <w:color w:val="646767"/>
          <w:w w:val="105"/>
          <w:sz w:val="13"/>
        </w:rPr>
        <w:t>innovation. We</w:t>
      </w:r>
      <w:r>
        <w:rPr>
          <w:rFonts w:ascii="Arial"/>
          <w:color w:val="646767"/>
          <w:spacing w:val="-3"/>
          <w:w w:val="105"/>
          <w:sz w:val="13"/>
        </w:rPr>
        <w:t> </w:t>
      </w:r>
      <w:r>
        <w:rPr>
          <w:rFonts w:ascii="Arial"/>
          <w:color w:val="646767"/>
          <w:w w:val="105"/>
          <w:sz w:val="13"/>
        </w:rPr>
        <w:t>are </w:t>
      </w:r>
      <w:r>
        <w:rPr>
          <w:rFonts w:ascii="Arial"/>
          <w:color w:val="727775"/>
          <w:w w:val="105"/>
          <w:sz w:val="13"/>
        </w:rPr>
        <w:t>willi</w:t>
      </w:r>
      <w:r>
        <w:rPr>
          <w:rFonts w:ascii="Arial"/>
          <w:color w:val="424242"/>
          <w:w w:val="105"/>
          <w:sz w:val="13"/>
        </w:rPr>
        <w:t>n</w:t>
      </w:r>
      <w:r>
        <w:rPr>
          <w:rFonts w:ascii="Arial"/>
          <w:color w:val="646767"/>
          <w:w w:val="105"/>
          <w:sz w:val="13"/>
        </w:rPr>
        <w:t>g to</w:t>
      </w:r>
      <w:r>
        <w:rPr>
          <w:rFonts w:ascii="Arial"/>
          <w:color w:val="646767"/>
          <w:spacing w:val="40"/>
          <w:w w:val="105"/>
          <w:sz w:val="13"/>
        </w:rPr>
        <w:t> </w:t>
      </w:r>
      <w:r>
        <w:rPr>
          <w:rFonts w:ascii="Arial"/>
          <w:color w:val="646767"/>
          <w:w w:val="105"/>
          <w:sz w:val="13"/>
        </w:rPr>
        <w:t>ta</w:t>
      </w:r>
      <w:r>
        <w:rPr>
          <w:rFonts w:ascii="Arial"/>
          <w:color w:val="424242"/>
          <w:w w:val="105"/>
          <w:sz w:val="13"/>
        </w:rPr>
        <w:t>k</w:t>
      </w:r>
      <w:r>
        <w:rPr>
          <w:rFonts w:ascii="Arial"/>
          <w:color w:val="646767"/>
          <w:w w:val="105"/>
          <w:sz w:val="13"/>
        </w:rPr>
        <w:t>e r</w:t>
      </w:r>
      <w:r>
        <w:rPr>
          <w:rFonts w:ascii="Arial"/>
          <w:color w:val="424242"/>
          <w:w w:val="105"/>
          <w:sz w:val="13"/>
        </w:rPr>
        <w:t>i</w:t>
      </w:r>
      <w:r>
        <w:rPr>
          <w:rFonts w:ascii="Arial"/>
          <w:color w:val="646767"/>
          <w:w w:val="105"/>
          <w:sz w:val="13"/>
        </w:rPr>
        <w:t>s</w:t>
      </w:r>
      <w:r>
        <w:rPr>
          <w:rFonts w:ascii="Arial"/>
          <w:color w:val="424242"/>
          <w:w w:val="105"/>
          <w:sz w:val="13"/>
        </w:rPr>
        <w:t>k</w:t>
      </w:r>
      <w:r>
        <w:rPr>
          <w:rFonts w:ascii="Arial"/>
          <w:color w:val="646767"/>
          <w:w w:val="105"/>
          <w:sz w:val="13"/>
        </w:rPr>
        <w:t>s</w:t>
      </w:r>
      <w:r>
        <w:rPr>
          <w:rFonts w:ascii="Arial"/>
          <w:color w:val="646767"/>
          <w:spacing w:val="-7"/>
          <w:w w:val="105"/>
          <w:sz w:val="13"/>
        </w:rPr>
        <w:t> </w:t>
      </w:r>
      <w:r>
        <w:rPr>
          <w:rFonts w:ascii="Arial"/>
          <w:color w:val="727775"/>
          <w:w w:val="105"/>
          <w:sz w:val="13"/>
        </w:rPr>
        <w:t>whic</w:t>
      </w:r>
      <w:r>
        <w:rPr>
          <w:rFonts w:ascii="Arial"/>
          <w:color w:val="525454"/>
          <w:w w:val="105"/>
          <w:sz w:val="13"/>
        </w:rPr>
        <w:t>h </w:t>
      </w:r>
      <w:r>
        <w:rPr>
          <w:rFonts w:ascii="Arial"/>
          <w:color w:val="646767"/>
          <w:w w:val="105"/>
          <w:sz w:val="13"/>
        </w:rPr>
        <w:t>may have</w:t>
      </w:r>
      <w:r>
        <w:rPr>
          <w:rFonts w:ascii="Arial"/>
          <w:color w:val="646767"/>
          <w:spacing w:val="40"/>
          <w:w w:val="105"/>
          <w:sz w:val="13"/>
        </w:rPr>
        <w:t> </w:t>
      </w:r>
      <w:r>
        <w:rPr>
          <w:rFonts w:ascii="Arial"/>
          <w:color w:val="646767"/>
          <w:w w:val="105"/>
          <w:sz w:val="13"/>
        </w:rPr>
        <w:t>imp</w:t>
      </w:r>
      <w:r>
        <w:rPr>
          <w:rFonts w:ascii="Arial"/>
          <w:color w:val="2F2D2F"/>
          <w:w w:val="105"/>
          <w:sz w:val="13"/>
        </w:rPr>
        <w:t>l</w:t>
      </w:r>
      <w:r>
        <w:rPr>
          <w:rFonts w:ascii="Arial"/>
          <w:color w:val="646767"/>
          <w:w w:val="105"/>
          <w:sz w:val="13"/>
        </w:rPr>
        <w:t>ications</w:t>
      </w:r>
      <w:r>
        <w:rPr>
          <w:rFonts w:ascii="Arial"/>
          <w:color w:val="646767"/>
          <w:spacing w:val="-17"/>
          <w:w w:val="105"/>
          <w:sz w:val="13"/>
        </w:rPr>
        <w:t> </w:t>
      </w:r>
      <w:r>
        <w:rPr>
          <w:rFonts w:ascii="Arial"/>
          <w:color w:val="646767"/>
          <w:w w:val="105"/>
          <w:sz w:val="13"/>
        </w:rPr>
        <w:t>for</w:t>
      </w:r>
      <w:r>
        <w:rPr>
          <w:rFonts w:ascii="Arial"/>
          <w:color w:val="646767"/>
          <w:spacing w:val="-10"/>
          <w:w w:val="105"/>
          <w:sz w:val="13"/>
        </w:rPr>
        <w:t> </w:t>
      </w:r>
      <w:r>
        <w:rPr>
          <w:rFonts w:ascii="Arial"/>
          <w:color w:val="646767"/>
          <w:w w:val="105"/>
          <w:sz w:val="13"/>
        </w:rPr>
        <w:t>our</w:t>
      </w:r>
      <w:r>
        <w:rPr>
          <w:rFonts w:ascii="Arial"/>
          <w:color w:val="646767"/>
          <w:spacing w:val="-9"/>
          <w:w w:val="105"/>
          <w:sz w:val="13"/>
        </w:rPr>
        <w:t> </w:t>
      </w:r>
      <w:r>
        <w:rPr>
          <w:rFonts w:ascii="Arial"/>
          <w:color w:val="727775"/>
          <w:w w:val="105"/>
          <w:sz w:val="13"/>
        </w:rPr>
        <w:t>workforce</w:t>
      </w:r>
      <w:r>
        <w:rPr>
          <w:rFonts w:ascii="Arial"/>
          <w:color w:val="727775"/>
          <w:spacing w:val="40"/>
          <w:w w:val="105"/>
          <w:sz w:val="13"/>
        </w:rPr>
        <w:t> </w:t>
      </w:r>
      <w:r>
        <w:rPr>
          <w:rFonts w:ascii="Arial"/>
          <w:color w:val="646767"/>
          <w:w w:val="105"/>
          <w:sz w:val="13"/>
        </w:rPr>
        <w:t>but could improve the </w:t>
      </w:r>
      <w:r>
        <w:rPr>
          <w:rFonts w:ascii="Arial"/>
          <w:color w:val="525454"/>
          <w:w w:val="105"/>
          <w:sz w:val="13"/>
        </w:rPr>
        <w:t>skills</w:t>
      </w:r>
      <w:r>
        <w:rPr>
          <w:rFonts w:ascii="Arial"/>
          <w:color w:val="525454"/>
          <w:spacing w:val="40"/>
          <w:w w:val="105"/>
          <w:sz w:val="13"/>
        </w:rPr>
        <w:t> </w:t>
      </w:r>
      <w:r>
        <w:rPr>
          <w:rFonts w:ascii="Arial"/>
          <w:color w:val="646767"/>
          <w:w w:val="105"/>
          <w:sz w:val="13"/>
        </w:rPr>
        <w:t>and capabil</w:t>
      </w:r>
      <w:r>
        <w:rPr>
          <w:rFonts w:ascii="Arial"/>
          <w:color w:val="2F2D2F"/>
          <w:w w:val="105"/>
          <w:sz w:val="13"/>
        </w:rPr>
        <w:t>i</w:t>
      </w:r>
      <w:r>
        <w:rPr>
          <w:rFonts w:ascii="Arial"/>
          <w:color w:val="646767"/>
          <w:w w:val="105"/>
          <w:sz w:val="13"/>
        </w:rPr>
        <w:t>t</w:t>
      </w:r>
      <w:r>
        <w:rPr>
          <w:rFonts w:ascii="Arial"/>
          <w:color w:val="2F2D2F"/>
          <w:w w:val="105"/>
          <w:sz w:val="13"/>
        </w:rPr>
        <w:t>i</w:t>
      </w:r>
      <w:r>
        <w:rPr>
          <w:rFonts w:ascii="Arial"/>
          <w:color w:val="646767"/>
          <w:w w:val="105"/>
          <w:sz w:val="13"/>
        </w:rPr>
        <w:t>es</w:t>
      </w:r>
      <w:r>
        <w:rPr>
          <w:rFonts w:ascii="Arial"/>
          <w:color w:val="646767"/>
          <w:spacing w:val="-9"/>
          <w:w w:val="105"/>
          <w:sz w:val="13"/>
        </w:rPr>
        <w:t> </w:t>
      </w:r>
      <w:r>
        <w:rPr>
          <w:rFonts w:ascii="Arial"/>
          <w:color w:val="646767"/>
          <w:w w:val="105"/>
          <w:sz w:val="13"/>
        </w:rPr>
        <w:t>of our staff.</w:t>
      </w:r>
      <w:r>
        <w:rPr>
          <w:rFonts w:ascii="Arial"/>
          <w:color w:val="646767"/>
          <w:spacing w:val="40"/>
          <w:w w:val="105"/>
          <w:sz w:val="13"/>
        </w:rPr>
        <w:t> </w:t>
      </w:r>
      <w:r>
        <w:rPr>
          <w:rFonts w:ascii="Arial"/>
          <w:color w:val="646767"/>
          <w:w w:val="105"/>
          <w:sz w:val="13"/>
        </w:rPr>
        <w:t>We</w:t>
      </w:r>
      <w:r>
        <w:rPr>
          <w:rFonts w:ascii="Arial"/>
          <w:color w:val="646767"/>
          <w:spacing w:val="-10"/>
          <w:w w:val="105"/>
          <w:sz w:val="13"/>
        </w:rPr>
        <w:t> </w:t>
      </w:r>
      <w:r>
        <w:rPr>
          <w:rFonts w:ascii="Arial"/>
          <w:color w:val="646767"/>
          <w:w w:val="105"/>
          <w:sz w:val="13"/>
        </w:rPr>
        <w:t>recognize</w:t>
      </w:r>
      <w:r>
        <w:rPr>
          <w:rFonts w:ascii="Arial"/>
          <w:color w:val="646767"/>
          <w:spacing w:val="-9"/>
          <w:w w:val="105"/>
          <w:sz w:val="13"/>
        </w:rPr>
        <w:t> </w:t>
      </w:r>
      <w:r>
        <w:rPr>
          <w:rFonts w:ascii="Arial"/>
          <w:color w:val="646767"/>
          <w:w w:val="105"/>
          <w:sz w:val="13"/>
        </w:rPr>
        <w:t>that</w:t>
      </w:r>
      <w:r>
        <w:rPr>
          <w:rFonts w:ascii="Arial"/>
          <w:color w:val="646767"/>
          <w:spacing w:val="-10"/>
          <w:w w:val="105"/>
          <w:sz w:val="13"/>
        </w:rPr>
        <w:t> </w:t>
      </w:r>
      <w:r>
        <w:rPr>
          <w:rFonts w:ascii="Arial"/>
          <w:color w:val="646767"/>
          <w:w w:val="105"/>
          <w:sz w:val="13"/>
        </w:rPr>
        <w:t>in</w:t>
      </w:r>
      <w:r>
        <w:rPr>
          <w:rFonts w:ascii="Arial"/>
          <w:color w:val="424242"/>
          <w:w w:val="105"/>
          <w:sz w:val="13"/>
        </w:rPr>
        <w:t>n</w:t>
      </w:r>
      <w:r>
        <w:rPr>
          <w:rFonts w:ascii="Arial"/>
          <w:color w:val="727775"/>
          <w:w w:val="105"/>
          <w:sz w:val="13"/>
        </w:rPr>
        <w:t>ovation</w:t>
      </w:r>
      <w:r>
        <w:rPr>
          <w:rFonts w:ascii="Arial"/>
          <w:color w:val="727775"/>
          <w:spacing w:val="40"/>
          <w:w w:val="105"/>
          <w:sz w:val="13"/>
        </w:rPr>
        <w:t> </w:t>
      </w:r>
      <w:r>
        <w:rPr>
          <w:rFonts w:ascii="Arial"/>
          <w:color w:val="2F2D2F"/>
          <w:w w:val="105"/>
          <w:sz w:val="13"/>
        </w:rPr>
        <w:t>i</w:t>
      </w:r>
      <w:r>
        <w:rPr>
          <w:rFonts w:ascii="Arial"/>
          <w:color w:val="646767"/>
          <w:w w:val="105"/>
          <w:sz w:val="13"/>
        </w:rPr>
        <w:t>s</w:t>
      </w:r>
      <w:r>
        <w:rPr>
          <w:rFonts w:ascii="Arial"/>
          <w:color w:val="646767"/>
          <w:spacing w:val="-14"/>
          <w:w w:val="105"/>
          <w:sz w:val="13"/>
        </w:rPr>
        <w:t> </w:t>
      </w:r>
      <w:r>
        <w:rPr>
          <w:rFonts w:ascii="Arial"/>
          <w:color w:val="646767"/>
          <w:w w:val="105"/>
          <w:sz w:val="13"/>
        </w:rPr>
        <w:t>likely</w:t>
      </w:r>
      <w:r>
        <w:rPr>
          <w:rFonts w:ascii="Arial"/>
          <w:color w:val="646767"/>
          <w:spacing w:val="-13"/>
          <w:w w:val="105"/>
          <w:sz w:val="13"/>
        </w:rPr>
        <w:t> </w:t>
      </w:r>
      <w:r>
        <w:rPr>
          <w:rFonts w:ascii="Arial"/>
          <w:color w:val="646767"/>
          <w:w w:val="105"/>
          <w:sz w:val="13"/>
        </w:rPr>
        <w:t>to</w:t>
      </w:r>
      <w:r>
        <w:rPr>
          <w:rFonts w:ascii="Arial"/>
          <w:color w:val="646767"/>
          <w:spacing w:val="-5"/>
          <w:w w:val="105"/>
          <w:sz w:val="13"/>
        </w:rPr>
        <w:t> </w:t>
      </w:r>
      <w:r>
        <w:rPr>
          <w:rFonts w:ascii="Arial"/>
          <w:color w:val="646767"/>
          <w:w w:val="105"/>
          <w:sz w:val="13"/>
        </w:rPr>
        <w:t>be</w:t>
      </w:r>
      <w:r>
        <w:rPr>
          <w:rFonts w:ascii="Arial"/>
          <w:color w:val="646767"/>
          <w:spacing w:val="-10"/>
          <w:w w:val="105"/>
          <w:sz w:val="13"/>
        </w:rPr>
        <w:t> </w:t>
      </w:r>
      <w:r>
        <w:rPr>
          <w:rFonts w:ascii="Arial"/>
          <w:color w:val="646767"/>
          <w:w w:val="105"/>
          <w:sz w:val="13"/>
        </w:rPr>
        <w:t>disruptive</w:t>
      </w:r>
      <w:r>
        <w:rPr>
          <w:rFonts w:ascii="Arial"/>
          <w:color w:val="646767"/>
          <w:spacing w:val="-9"/>
          <w:w w:val="105"/>
          <w:sz w:val="13"/>
        </w:rPr>
        <w:t> </w:t>
      </w:r>
      <w:r>
        <w:rPr>
          <w:rFonts w:ascii="Arial"/>
          <w:color w:val="525454"/>
          <w:w w:val="105"/>
          <w:sz w:val="13"/>
        </w:rPr>
        <w:t>in</w:t>
      </w:r>
      <w:r>
        <w:rPr>
          <w:rFonts w:ascii="Arial"/>
          <w:color w:val="525454"/>
          <w:spacing w:val="-9"/>
          <w:w w:val="105"/>
          <w:sz w:val="13"/>
        </w:rPr>
        <w:t> </w:t>
      </w:r>
      <w:r>
        <w:rPr>
          <w:rFonts w:ascii="Arial"/>
          <w:color w:val="646767"/>
          <w:w w:val="105"/>
          <w:sz w:val="13"/>
        </w:rPr>
        <w:t>the</w:t>
      </w:r>
      <w:r>
        <w:rPr>
          <w:rFonts w:ascii="Arial"/>
          <w:color w:val="646767"/>
          <w:spacing w:val="40"/>
          <w:w w:val="105"/>
          <w:sz w:val="13"/>
        </w:rPr>
        <w:t> </w:t>
      </w:r>
      <w:r>
        <w:rPr>
          <w:rFonts w:ascii="Arial"/>
          <w:color w:val="646767"/>
          <w:w w:val="105"/>
          <w:sz w:val="13"/>
        </w:rPr>
        <w:t>short term but </w:t>
      </w:r>
      <w:r>
        <w:rPr>
          <w:rFonts w:ascii="Arial"/>
          <w:color w:val="727775"/>
          <w:w w:val="105"/>
          <w:sz w:val="13"/>
        </w:rPr>
        <w:t>with </w:t>
      </w:r>
      <w:r>
        <w:rPr>
          <w:rFonts w:ascii="Arial"/>
          <w:color w:val="646767"/>
          <w:w w:val="105"/>
          <w:sz w:val="13"/>
        </w:rPr>
        <w:t>the</w:t>
      </w:r>
      <w:r>
        <w:rPr>
          <w:rFonts w:ascii="Arial"/>
          <w:color w:val="646767"/>
          <w:spacing w:val="40"/>
          <w:w w:val="105"/>
          <w:sz w:val="13"/>
        </w:rPr>
        <w:t> </w:t>
      </w:r>
      <w:r>
        <w:rPr>
          <w:rFonts w:ascii="Arial"/>
          <w:color w:val="646767"/>
          <w:w w:val="105"/>
          <w:sz w:val="13"/>
        </w:rPr>
        <w:t>possibil</w:t>
      </w:r>
      <w:r>
        <w:rPr>
          <w:rFonts w:ascii="Arial"/>
          <w:color w:val="424242"/>
          <w:w w:val="105"/>
          <w:sz w:val="13"/>
        </w:rPr>
        <w:t>it</w:t>
      </w:r>
      <w:r>
        <w:rPr>
          <w:rFonts w:ascii="Arial"/>
          <w:color w:val="727775"/>
          <w:w w:val="105"/>
          <w:sz w:val="13"/>
        </w:rPr>
        <w:t>y</w:t>
      </w:r>
      <w:r>
        <w:rPr>
          <w:rFonts w:ascii="Arial"/>
          <w:color w:val="727775"/>
          <w:spacing w:val="-15"/>
          <w:w w:val="105"/>
          <w:sz w:val="13"/>
        </w:rPr>
        <w:t> </w:t>
      </w:r>
      <w:r>
        <w:rPr>
          <w:rFonts w:ascii="Arial"/>
          <w:color w:val="646767"/>
          <w:w w:val="105"/>
          <w:sz w:val="13"/>
        </w:rPr>
        <w:t>of</w:t>
      </w:r>
      <w:r>
        <w:rPr>
          <w:rFonts w:ascii="Arial"/>
          <w:color w:val="646767"/>
          <w:spacing w:val="-3"/>
          <w:w w:val="105"/>
          <w:sz w:val="13"/>
        </w:rPr>
        <w:t> </w:t>
      </w:r>
      <w:r>
        <w:rPr>
          <w:rFonts w:ascii="Arial"/>
          <w:color w:val="646767"/>
          <w:w w:val="105"/>
          <w:sz w:val="13"/>
        </w:rPr>
        <w:t>long</w:t>
      </w:r>
      <w:r>
        <w:rPr>
          <w:rFonts w:ascii="Arial"/>
          <w:color w:val="646767"/>
          <w:spacing w:val="-10"/>
          <w:w w:val="105"/>
          <w:sz w:val="13"/>
        </w:rPr>
        <w:t> </w:t>
      </w:r>
      <w:r>
        <w:rPr>
          <w:rFonts w:ascii="Arial"/>
          <w:color w:val="646767"/>
          <w:w w:val="105"/>
          <w:sz w:val="13"/>
        </w:rPr>
        <w:t>term</w:t>
      </w:r>
      <w:r>
        <w:rPr>
          <w:rFonts w:ascii="Arial"/>
          <w:color w:val="646767"/>
          <w:spacing w:val="-9"/>
          <w:w w:val="105"/>
          <w:sz w:val="13"/>
        </w:rPr>
        <w:t> </w:t>
      </w:r>
      <w:r>
        <w:rPr>
          <w:rFonts w:ascii="Arial"/>
          <w:color w:val="646767"/>
          <w:w w:val="105"/>
          <w:sz w:val="13"/>
        </w:rPr>
        <w:t>gains.</w:t>
      </w:r>
    </w:p>
    <w:p>
      <w:pPr>
        <w:spacing w:line="254" w:lineRule="auto" w:before="96"/>
        <w:ind w:left="199" w:right="1706" w:firstLine="0"/>
        <w:jc w:val="left"/>
        <w:rPr>
          <w:rFonts w:ascii="Arial"/>
          <w:sz w:val="13"/>
        </w:rPr>
      </w:pPr>
      <w:r>
        <w:rPr/>
        <w:br w:type="column"/>
      </w:r>
      <w:r>
        <w:rPr>
          <w:rFonts w:ascii="Arial"/>
          <w:color w:val="646767"/>
          <w:sz w:val="13"/>
        </w:rPr>
        <w:t>We seek </w:t>
      </w:r>
      <w:r>
        <w:rPr>
          <w:rFonts w:ascii="Arial"/>
          <w:color w:val="525454"/>
          <w:sz w:val="13"/>
        </w:rPr>
        <w:t>to</w:t>
      </w:r>
      <w:r>
        <w:rPr>
          <w:rFonts w:ascii="Arial"/>
          <w:color w:val="525454"/>
          <w:spacing w:val="34"/>
          <w:sz w:val="13"/>
        </w:rPr>
        <w:t> </w:t>
      </w:r>
      <w:r>
        <w:rPr>
          <w:rFonts w:ascii="Arial"/>
          <w:color w:val="646767"/>
          <w:sz w:val="13"/>
        </w:rPr>
        <w:t>lead</w:t>
      </w:r>
      <w:r>
        <w:rPr>
          <w:rFonts w:ascii="Arial"/>
          <w:color w:val="646767"/>
          <w:spacing w:val="-3"/>
          <w:sz w:val="13"/>
        </w:rPr>
        <w:t> </w:t>
      </w:r>
      <w:r>
        <w:rPr>
          <w:rFonts w:ascii="Arial"/>
          <w:color w:val="525454"/>
          <w:sz w:val="13"/>
        </w:rPr>
        <w:t>the </w:t>
      </w:r>
      <w:r>
        <w:rPr>
          <w:rFonts w:ascii="Arial"/>
          <w:color w:val="727775"/>
          <w:sz w:val="13"/>
        </w:rPr>
        <w:t>way </w:t>
      </w:r>
      <w:r>
        <w:rPr>
          <w:rFonts w:ascii="Arial"/>
          <w:color w:val="646767"/>
          <w:sz w:val="13"/>
        </w:rPr>
        <w:t>in</w:t>
      </w:r>
      <w:r>
        <w:rPr>
          <w:rFonts w:ascii="Arial"/>
          <w:color w:val="646767"/>
          <w:spacing w:val="40"/>
          <w:sz w:val="13"/>
        </w:rPr>
        <w:t> </w:t>
      </w:r>
      <w:r>
        <w:rPr>
          <w:rFonts w:ascii="Arial"/>
          <w:color w:val="646767"/>
          <w:sz w:val="13"/>
        </w:rPr>
        <w:t>terms of</w:t>
      </w:r>
      <w:r>
        <w:rPr>
          <w:rFonts w:ascii="Arial"/>
          <w:color w:val="646767"/>
          <w:spacing w:val="36"/>
          <w:sz w:val="13"/>
        </w:rPr>
        <w:t> </w:t>
      </w:r>
      <w:r>
        <w:rPr>
          <w:rFonts w:ascii="Arial"/>
          <w:color w:val="727775"/>
          <w:sz w:val="13"/>
        </w:rPr>
        <w:t>work</w:t>
      </w:r>
      <w:r>
        <w:rPr>
          <w:rFonts w:ascii="Arial"/>
          <w:color w:val="525454"/>
          <w:sz w:val="13"/>
        </w:rPr>
        <w:t>force</w:t>
      </w:r>
      <w:r>
        <w:rPr>
          <w:rFonts w:ascii="Arial"/>
          <w:color w:val="525454"/>
          <w:spacing w:val="40"/>
          <w:sz w:val="13"/>
        </w:rPr>
        <w:t> </w:t>
      </w:r>
      <w:r>
        <w:rPr>
          <w:rFonts w:ascii="Arial"/>
          <w:color w:val="525454"/>
          <w:sz w:val="13"/>
        </w:rPr>
        <w:t>innovation. </w:t>
      </w:r>
      <w:r>
        <w:rPr>
          <w:rFonts w:ascii="Arial"/>
          <w:color w:val="646767"/>
          <w:sz w:val="13"/>
        </w:rPr>
        <w:t>We accept that</w:t>
      </w:r>
      <w:r>
        <w:rPr>
          <w:rFonts w:ascii="Arial"/>
          <w:color w:val="646767"/>
          <w:spacing w:val="40"/>
          <w:sz w:val="13"/>
        </w:rPr>
        <w:t> </w:t>
      </w:r>
      <w:r>
        <w:rPr>
          <w:rFonts w:ascii="Arial"/>
          <w:color w:val="646767"/>
          <w:sz w:val="13"/>
        </w:rPr>
        <w:t>innovation can be dis</w:t>
      </w:r>
      <w:r>
        <w:rPr>
          <w:rFonts w:ascii="Arial"/>
          <w:color w:val="424242"/>
          <w:sz w:val="13"/>
        </w:rPr>
        <w:t>ru</w:t>
      </w:r>
      <w:r>
        <w:rPr>
          <w:rFonts w:ascii="Arial"/>
          <w:color w:val="646767"/>
          <w:sz w:val="13"/>
        </w:rPr>
        <w:t>ptive</w:t>
      </w:r>
      <w:r>
        <w:rPr>
          <w:rFonts w:ascii="Arial"/>
          <w:color w:val="646767"/>
          <w:spacing w:val="40"/>
          <w:sz w:val="13"/>
        </w:rPr>
        <w:t> </w:t>
      </w:r>
      <w:r>
        <w:rPr>
          <w:rFonts w:ascii="Arial"/>
          <w:color w:val="646767"/>
          <w:sz w:val="13"/>
        </w:rPr>
        <w:t>and</w:t>
      </w:r>
      <w:r>
        <w:rPr>
          <w:rFonts w:ascii="Arial"/>
          <w:color w:val="646767"/>
          <w:spacing w:val="-2"/>
          <w:sz w:val="13"/>
        </w:rPr>
        <w:t> </w:t>
      </w:r>
      <w:r>
        <w:rPr>
          <w:rFonts w:ascii="Arial"/>
          <w:color w:val="646767"/>
          <w:sz w:val="13"/>
        </w:rPr>
        <w:t>are </w:t>
      </w:r>
      <w:r>
        <w:rPr>
          <w:rFonts w:ascii="Arial"/>
          <w:color w:val="525454"/>
          <w:sz w:val="13"/>
        </w:rPr>
        <w:t>happ</w:t>
      </w:r>
      <w:r>
        <w:rPr>
          <w:rFonts w:ascii="Arial"/>
          <w:color w:val="727775"/>
          <w:sz w:val="13"/>
        </w:rPr>
        <w:t>y</w:t>
      </w:r>
      <w:r>
        <w:rPr>
          <w:rFonts w:ascii="Arial"/>
          <w:color w:val="727775"/>
          <w:spacing w:val="-9"/>
          <w:sz w:val="13"/>
        </w:rPr>
        <w:t> </w:t>
      </w:r>
      <w:r>
        <w:rPr>
          <w:rFonts w:ascii="Arial"/>
          <w:color w:val="646767"/>
          <w:sz w:val="13"/>
        </w:rPr>
        <w:t>to</w:t>
      </w:r>
      <w:r>
        <w:rPr>
          <w:rFonts w:ascii="Arial"/>
          <w:color w:val="646767"/>
          <w:spacing w:val="21"/>
          <w:sz w:val="13"/>
        </w:rPr>
        <w:t> </w:t>
      </w:r>
      <w:r>
        <w:rPr>
          <w:rFonts w:ascii="Arial"/>
          <w:color w:val="646767"/>
          <w:sz w:val="13"/>
        </w:rPr>
        <w:t>use it as a</w:t>
      </w:r>
      <w:r>
        <w:rPr>
          <w:rFonts w:ascii="Arial"/>
          <w:color w:val="646767"/>
          <w:spacing w:val="40"/>
          <w:sz w:val="13"/>
        </w:rPr>
        <w:t> </w:t>
      </w:r>
      <w:r>
        <w:rPr>
          <w:rFonts w:ascii="Arial"/>
          <w:color w:val="646767"/>
          <w:sz w:val="13"/>
        </w:rPr>
        <w:t>catalyst to dr</w:t>
      </w:r>
      <w:r>
        <w:rPr>
          <w:rFonts w:ascii="Arial"/>
          <w:color w:val="424242"/>
          <w:sz w:val="13"/>
        </w:rPr>
        <w:t>i</w:t>
      </w:r>
      <w:r>
        <w:rPr>
          <w:rFonts w:ascii="Arial"/>
          <w:color w:val="646767"/>
          <w:sz w:val="13"/>
        </w:rPr>
        <w:t>ve a positive</w:t>
      </w:r>
      <w:r>
        <w:rPr>
          <w:rFonts w:ascii="Arial"/>
          <w:color w:val="646767"/>
          <w:spacing w:val="40"/>
          <w:sz w:val="13"/>
        </w:rPr>
        <w:t> </w:t>
      </w:r>
      <w:r>
        <w:rPr>
          <w:rFonts w:ascii="Arial"/>
          <w:color w:val="646767"/>
          <w:spacing w:val="-2"/>
          <w:sz w:val="13"/>
        </w:rPr>
        <w:t>chan.</w:t>
      </w:r>
    </w:p>
    <w:p>
      <w:pPr>
        <w:pStyle w:val="BodyText"/>
        <w:rPr>
          <w:rFonts w:ascii="Arial"/>
          <w:sz w:val="14"/>
        </w:rPr>
      </w:pPr>
    </w:p>
    <w:p>
      <w:pPr>
        <w:pStyle w:val="BodyText"/>
        <w:rPr>
          <w:rFonts w:ascii="Arial"/>
          <w:sz w:val="14"/>
        </w:rPr>
      </w:pPr>
    </w:p>
    <w:p>
      <w:pPr>
        <w:pStyle w:val="BodyText"/>
        <w:rPr>
          <w:rFonts w:ascii="Arial"/>
          <w:sz w:val="14"/>
        </w:rPr>
      </w:pPr>
    </w:p>
    <w:p>
      <w:pPr>
        <w:pStyle w:val="BodyText"/>
        <w:spacing w:before="7"/>
        <w:rPr>
          <w:rFonts w:ascii="Arial"/>
          <w:sz w:val="13"/>
        </w:rPr>
      </w:pPr>
    </w:p>
    <w:p>
      <w:pPr>
        <w:spacing w:before="1"/>
        <w:ind w:left="75" w:right="0" w:firstLine="0"/>
        <w:jc w:val="left"/>
        <w:rPr>
          <w:rFonts w:ascii="Arial"/>
          <w:sz w:val="10"/>
        </w:rPr>
      </w:pPr>
      <w:r>
        <w:rPr/>
        <w:drawing>
          <wp:anchor distT="0" distB="0" distL="0" distR="0" allowOverlap="1" layoutInCell="1" locked="0" behindDoc="0" simplePos="0" relativeHeight="15827968">
            <wp:simplePos x="0" y="0"/>
            <wp:positionH relativeFrom="page">
              <wp:posOffset>9472459</wp:posOffset>
            </wp:positionH>
            <wp:positionV relativeFrom="paragraph">
              <wp:posOffset>-513726</wp:posOffset>
            </wp:positionV>
            <wp:extent cx="524891" cy="1150898"/>
            <wp:effectExtent l="0" t="0" r="0" b="0"/>
            <wp:wrapNone/>
            <wp:docPr id="183" name="image79.jpeg"/>
            <wp:cNvGraphicFramePr>
              <a:graphicFrameLocks noChangeAspect="1"/>
            </wp:cNvGraphicFramePr>
            <a:graphic>
              <a:graphicData uri="http://schemas.openxmlformats.org/drawingml/2006/picture">
                <pic:pic>
                  <pic:nvPicPr>
                    <pic:cNvPr id="184" name="image79.jpeg"/>
                    <pic:cNvPicPr/>
                  </pic:nvPicPr>
                  <pic:blipFill>
                    <a:blip r:embed="rId159" cstate="print"/>
                    <a:stretch>
                      <a:fillRect/>
                    </a:stretch>
                  </pic:blipFill>
                  <pic:spPr>
                    <a:xfrm>
                      <a:off x="0" y="0"/>
                      <a:ext cx="524891" cy="1150898"/>
                    </a:xfrm>
                    <a:prstGeom prst="rect">
                      <a:avLst/>
                    </a:prstGeom>
                  </pic:spPr>
                </pic:pic>
              </a:graphicData>
            </a:graphic>
          </wp:anchor>
        </w:drawing>
      </w:r>
      <w:r>
        <w:rPr>
          <w:rFonts w:ascii="Arial"/>
          <w:color w:val="7587B8"/>
          <w:spacing w:val="-4"/>
          <w:sz w:val="10"/>
        </w:rPr>
        <w:t>WWW.GOOD-</w:t>
      </w:r>
      <w:r>
        <w:rPr>
          <w:rFonts w:ascii="Arial"/>
          <w:color w:val="7587B8"/>
          <w:spacing w:val="-2"/>
          <w:sz w:val="10"/>
        </w:rPr>
        <w:t>GOVERNPJ\JCE.ORG.UK</w:t>
      </w:r>
    </w:p>
    <w:p>
      <w:pPr>
        <w:spacing w:after="0"/>
        <w:jc w:val="left"/>
        <w:rPr>
          <w:rFonts w:ascii="Arial"/>
          <w:sz w:val="10"/>
        </w:rPr>
        <w:sectPr>
          <w:type w:val="continuous"/>
          <w:pgSz w:w="15840" w:h="12240" w:orient="landscape"/>
          <w:pgMar w:header="0" w:footer="173" w:top="740" w:bottom="280" w:left="720" w:right="0"/>
          <w:cols w:num="6" w:equalWidth="0">
            <w:col w:w="3401" w:space="202"/>
            <w:col w:w="1911" w:space="40"/>
            <w:col w:w="1958" w:space="74"/>
            <w:col w:w="1904" w:space="91"/>
            <w:col w:w="1881" w:space="39"/>
            <w:col w:w="3619"/>
          </w:cols>
        </w:sectPr>
      </w:pPr>
    </w:p>
    <w:p>
      <w:pPr>
        <w:pStyle w:val="BodyText"/>
        <w:rPr>
          <w:rFonts w:ascii="Arial"/>
          <w:sz w:val="20"/>
        </w:rPr>
      </w:pPr>
      <w:r>
        <w:rPr/>
        <w:drawing>
          <wp:anchor distT="0" distB="0" distL="0" distR="0" allowOverlap="1" layoutInCell="1" locked="0" behindDoc="0" simplePos="0" relativeHeight="15836672">
            <wp:simplePos x="0" y="0"/>
            <wp:positionH relativeFrom="page">
              <wp:posOffset>0</wp:posOffset>
            </wp:positionH>
            <wp:positionV relativeFrom="page">
              <wp:posOffset>61535</wp:posOffset>
            </wp:positionV>
            <wp:extent cx="7560309" cy="1092259"/>
            <wp:effectExtent l="0" t="0" r="0" b="0"/>
            <wp:wrapNone/>
            <wp:docPr id="185" name="image75.png"/>
            <wp:cNvGraphicFramePr>
              <a:graphicFrameLocks noChangeAspect="1"/>
            </wp:cNvGraphicFramePr>
            <a:graphic>
              <a:graphicData uri="http://schemas.openxmlformats.org/drawingml/2006/picture">
                <pic:pic>
                  <pic:nvPicPr>
                    <pic:cNvPr id="186" name="image75.png"/>
                    <pic:cNvPicPr/>
                  </pic:nvPicPr>
                  <pic:blipFill>
                    <a:blip r:embed="rId148" cstate="print"/>
                    <a:stretch>
                      <a:fillRect/>
                    </a:stretch>
                  </pic:blipFill>
                  <pic:spPr>
                    <a:xfrm>
                      <a:off x="0" y="0"/>
                      <a:ext cx="7560309" cy="1092259"/>
                    </a:xfrm>
                    <a:prstGeom prst="rect">
                      <a:avLst/>
                    </a:prstGeom>
                  </pic:spPr>
                </pic:pic>
              </a:graphicData>
            </a:graphic>
          </wp:anchor>
        </w:drawing>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after="1"/>
        <w:rPr>
          <w:rFonts w:ascii="Arial"/>
          <w:sz w:val="14"/>
        </w:rPr>
      </w:pPr>
    </w:p>
    <w:tbl>
      <w:tblPr>
        <w:tblW w:w="0" w:type="auto"/>
        <w:jc w:val="left"/>
        <w:tblInd w:w="13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52"/>
        <w:gridCol w:w="6095"/>
      </w:tblGrid>
      <w:tr>
        <w:trPr>
          <w:trHeight w:val="583" w:hRule="atLeast"/>
        </w:trPr>
        <w:tc>
          <w:tcPr>
            <w:tcW w:w="3652" w:type="dxa"/>
          </w:tcPr>
          <w:p>
            <w:pPr>
              <w:pStyle w:val="TableParagraph"/>
              <w:ind w:left="108"/>
              <w:rPr>
                <w:b/>
                <w:sz w:val="24"/>
              </w:rPr>
            </w:pPr>
            <w:bookmarkStart w:name=" 6.2.2 Corporate Risk Register.pdf" w:id="65"/>
            <w:bookmarkEnd w:id="65"/>
            <w:r>
              <w:rPr/>
            </w:r>
            <w:r>
              <w:rPr>
                <w:b/>
                <w:spacing w:val="-2"/>
                <w:sz w:val="24"/>
              </w:rPr>
              <w:t>MEETING</w:t>
            </w:r>
          </w:p>
        </w:tc>
        <w:tc>
          <w:tcPr>
            <w:tcW w:w="6095" w:type="dxa"/>
          </w:tcPr>
          <w:p>
            <w:pPr>
              <w:pStyle w:val="TableParagraph"/>
              <w:spacing w:line="290" w:lineRule="atLeast"/>
              <w:ind w:left="430" w:hanging="238"/>
              <w:rPr>
                <w:sz w:val="24"/>
              </w:rPr>
            </w:pPr>
            <w:r>
              <w:rPr>
                <w:sz w:val="24"/>
              </w:rPr>
              <w:t>Velindre</w:t>
            </w:r>
            <w:r>
              <w:rPr>
                <w:spacing w:val="-8"/>
                <w:sz w:val="24"/>
              </w:rPr>
              <w:t> </w:t>
            </w:r>
            <w:r>
              <w:rPr>
                <w:sz w:val="24"/>
              </w:rPr>
              <w:t>University</w:t>
            </w:r>
            <w:r>
              <w:rPr>
                <w:spacing w:val="-8"/>
                <w:sz w:val="24"/>
              </w:rPr>
              <w:t> </w:t>
            </w:r>
            <w:r>
              <w:rPr>
                <w:sz w:val="24"/>
              </w:rPr>
              <w:t>NHS</w:t>
            </w:r>
            <w:r>
              <w:rPr>
                <w:spacing w:val="-8"/>
                <w:sz w:val="24"/>
              </w:rPr>
              <w:t> </w:t>
            </w:r>
            <w:r>
              <w:rPr>
                <w:sz w:val="24"/>
              </w:rPr>
              <w:t>Trust</w:t>
            </w:r>
            <w:r>
              <w:rPr>
                <w:spacing w:val="-8"/>
                <w:sz w:val="24"/>
              </w:rPr>
              <w:t> </w:t>
            </w:r>
            <w:r>
              <w:rPr>
                <w:sz w:val="24"/>
              </w:rPr>
              <w:t>Audit</w:t>
            </w:r>
            <w:r>
              <w:rPr>
                <w:spacing w:val="-7"/>
                <w:sz w:val="24"/>
              </w:rPr>
              <w:t> </w:t>
            </w:r>
            <w:r>
              <w:rPr>
                <w:sz w:val="24"/>
              </w:rPr>
              <w:t>Committee for NHS Wales Shared Services Partnership</w:t>
            </w:r>
          </w:p>
        </w:tc>
      </w:tr>
      <w:tr>
        <w:trPr>
          <w:trHeight w:val="538" w:hRule="atLeast"/>
        </w:trPr>
        <w:tc>
          <w:tcPr>
            <w:tcW w:w="3652" w:type="dxa"/>
          </w:tcPr>
          <w:p>
            <w:pPr>
              <w:pStyle w:val="TableParagraph"/>
              <w:ind w:left="108"/>
              <w:rPr>
                <w:b/>
                <w:sz w:val="24"/>
              </w:rPr>
            </w:pPr>
            <w:r>
              <w:rPr>
                <w:b/>
                <w:spacing w:val="-4"/>
                <w:sz w:val="24"/>
              </w:rPr>
              <w:t>DATE</w:t>
            </w:r>
          </w:p>
        </w:tc>
        <w:tc>
          <w:tcPr>
            <w:tcW w:w="6095" w:type="dxa"/>
          </w:tcPr>
          <w:p>
            <w:pPr>
              <w:pStyle w:val="TableParagraph"/>
              <w:ind w:left="580" w:right="570"/>
              <w:jc w:val="center"/>
              <w:rPr>
                <w:sz w:val="24"/>
              </w:rPr>
            </w:pPr>
            <w:r>
              <w:rPr>
                <w:sz w:val="24"/>
              </w:rPr>
              <w:t>24</w:t>
            </w:r>
            <w:r>
              <w:rPr>
                <w:spacing w:val="-4"/>
                <w:sz w:val="24"/>
              </w:rPr>
              <w:t> </w:t>
            </w:r>
            <w:r>
              <w:rPr>
                <w:sz w:val="24"/>
              </w:rPr>
              <w:t>January</w:t>
            </w:r>
            <w:r>
              <w:rPr>
                <w:spacing w:val="-1"/>
                <w:sz w:val="24"/>
              </w:rPr>
              <w:t> </w:t>
            </w:r>
            <w:r>
              <w:rPr>
                <w:spacing w:val="-4"/>
                <w:sz w:val="24"/>
              </w:rPr>
              <w:t>2023</w:t>
            </w:r>
          </w:p>
        </w:tc>
      </w:tr>
      <w:tr>
        <w:trPr>
          <w:trHeight w:val="538" w:hRule="atLeast"/>
        </w:trPr>
        <w:tc>
          <w:tcPr>
            <w:tcW w:w="3652" w:type="dxa"/>
          </w:tcPr>
          <w:p>
            <w:pPr>
              <w:pStyle w:val="TableParagraph"/>
              <w:ind w:left="108"/>
              <w:rPr>
                <w:b/>
                <w:sz w:val="24"/>
              </w:rPr>
            </w:pPr>
            <w:r>
              <w:rPr>
                <w:b/>
                <w:sz w:val="24"/>
              </w:rPr>
              <w:t>AGENDA</w:t>
            </w:r>
            <w:r>
              <w:rPr>
                <w:b/>
                <w:spacing w:val="-4"/>
                <w:sz w:val="24"/>
              </w:rPr>
              <w:t> ITEM</w:t>
            </w:r>
          </w:p>
        </w:tc>
        <w:tc>
          <w:tcPr>
            <w:tcW w:w="6095" w:type="dxa"/>
          </w:tcPr>
          <w:p>
            <w:pPr>
              <w:pStyle w:val="TableParagraph"/>
              <w:ind w:left="580" w:right="570"/>
              <w:jc w:val="center"/>
              <w:rPr>
                <w:sz w:val="24"/>
              </w:rPr>
            </w:pPr>
            <w:r>
              <w:rPr>
                <w:spacing w:val="-5"/>
                <w:sz w:val="24"/>
              </w:rPr>
              <w:t>6.5</w:t>
            </w:r>
          </w:p>
        </w:tc>
      </w:tr>
      <w:tr>
        <w:trPr>
          <w:trHeight w:val="583" w:hRule="atLeast"/>
        </w:trPr>
        <w:tc>
          <w:tcPr>
            <w:tcW w:w="3652" w:type="dxa"/>
          </w:tcPr>
          <w:p>
            <w:pPr>
              <w:pStyle w:val="TableParagraph"/>
              <w:ind w:left="108"/>
              <w:rPr>
                <w:b/>
                <w:sz w:val="24"/>
              </w:rPr>
            </w:pPr>
            <w:r>
              <w:rPr>
                <w:b/>
                <w:sz w:val="24"/>
              </w:rPr>
              <w:t>PREPARED</w:t>
            </w:r>
            <w:r>
              <w:rPr>
                <w:b/>
                <w:spacing w:val="-3"/>
                <w:sz w:val="24"/>
              </w:rPr>
              <w:t> </w:t>
            </w:r>
            <w:r>
              <w:rPr>
                <w:b/>
                <w:spacing w:val="-5"/>
                <w:sz w:val="24"/>
              </w:rPr>
              <w:t>BY</w:t>
            </w:r>
          </w:p>
        </w:tc>
        <w:tc>
          <w:tcPr>
            <w:tcW w:w="6095" w:type="dxa"/>
          </w:tcPr>
          <w:p>
            <w:pPr>
              <w:pStyle w:val="TableParagraph"/>
              <w:spacing w:line="290" w:lineRule="atLeast"/>
              <w:ind w:left="1680" w:hanging="1019"/>
              <w:rPr>
                <w:sz w:val="24"/>
              </w:rPr>
            </w:pPr>
            <w:r>
              <w:rPr>
                <w:sz w:val="24"/>
              </w:rPr>
              <w:t>Peter</w:t>
            </w:r>
            <w:r>
              <w:rPr>
                <w:spacing w:val="-8"/>
                <w:sz w:val="24"/>
              </w:rPr>
              <w:t> </w:t>
            </w:r>
            <w:r>
              <w:rPr>
                <w:sz w:val="24"/>
              </w:rPr>
              <w:t>Stephenson,</w:t>
            </w:r>
            <w:r>
              <w:rPr>
                <w:spacing w:val="-8"/>
                <w:sz w:val="24"/>
              </w:rPr>
              <w:t> </w:t>
            </w:r>
            <w:r>
              <w:rPr>
                <w:sz w:val="24"/>
              </w:rPr>
              <w:t>Head</w:t>
            </w:r>
            <w:r>
              <w:rPr>
                <w:spacing w:val="-8"/>
                <w:sz w:val="24"/>
              </w:rPr>
              <w:t> </w:t>
            </w:r>
            <w:r>
              <w:rPr>
                <w:sz w:val="24"/>
              </w:rPr>
              <w:t>of</w:t>
            </w:r>
            <w:r>
              <w:rPr>
                <w:spacing w:val="-9"/>
                <w:sz w:val="24"/>
              </w:rPr>
              <w:t> </w:t>
            </w:r>
            <w:r>
              <w:rPr>
                <w:sz w:val="24"/>
              </w:rPr>
              <w:t>Finance</w:t>
            </w:r>
            <w:r>
              <w:rPr>
                <w:spacing w:val="-8"/>
                <w:sz w:val="24"/>
              </w:rPr>
              <w:t> </w:t>
            </w:r>
            <w:r>
              <w:rPr>
                <w:sz w:val="24"/>
              </w:rPr>
              <w:t>and Business Development</w:t>
            </w:r>
          </w:p>
        </w:tc>
      </w:tr>
      <w:tr>
        <w:trPr>
          <w:trHeight w:val="583" w:hRule="atLeast"/>
        </w:trPr>
        <w:tc>
          <w:tcPr>
            <w:tcW w:w="3652" w:type="dxa"/>
          </w:tcPr>
          <w:p>
            <w:pPr>
              <w:pStyle w:val="TableParagraph"/>
              <w:ind w:left="108"/>
              <w:rPr>
                <w:b/>
                <w:sz w:val="24"/>
              </w:rPr>
            </w:pPr>
            <w:r>
              <w:rPr>
                <w:b/>
                <w:sz w:val="24"/>
              </w:rPr>
              <w:t>PRESENTED</w:t>
            </w:r>
            <w:r>
              <w:rPr>
                <w:b/>
                <w:spacing w:val="-2"/>
                <w:sz w:val="24"/>
              </w:rPr>
              <w:t> </w:t>
            </w:r>
            <w:r>
              <w:rPr>
                <w:b/>
                <w:spacing w:val="-5"/>
                <w:sz w:val="24"/>
              </w:rPr>
              <w:t>BY</w:t>
            </w:r>
          </w:p>
        </w:tc>
        <w:tc>
          <w:tcPr>
            <w:tcW w:w="6095" w:type="dxa"/>
          </w:tcPr>
          <w:p>
            <w:pPr>
              <w:pStyle w:val="TableParagraph"/>
              <w:spacing w:line="290" w:lineRule="atLeast"/>
              <w:ind w:left="1680" w:hanging="1019"/>
              <w:rPr>
                <w:sz w:val="24"/>
              </w:rPr>
            </w:pPr>
            <w:r>
              <w:rPr>
                <w:sz w:val="24"/>
              </w:rPr>
              <w:t>Peter</w:t>
            </w:r>
            <w:r>
              <w:rPr>
                <w:spacing w:val="-8"/>
                <w:sz w:val="24"/>
              </w:rPr>
              <w:t> </w:t>
            </w:r>
            <w:r>
              <w:rPr>
                <w:sz w:val="24"/>
              </w:rPr>
              <w:t>Stephenson,</w:t>
            </w:r>
            <w:r>
              <w:rPr>
                <w:spacing w:val="-8"/>
                <w:sz w:val="24"/>
              </w:rPr>
              <w:t> </w:t>
            </w:r>
            <w:r>
              <w:rPr>
                <w:sz w:val="24"/>
              </w:rPr>
              <w:t>Head</w:t>
            </w:r>
            <w:r>
              <w:rPr>
                <w:spacing w:val="-8"/>
                <w:sz w:val="24"/>
              </w:rPr>
              <w:t> </w:t>
            </w:r>
            <w:r>
              <w:rPr>
                <w:sz w:val="24"/>
              </w:rPr>
              <w:t>of</w:t>
            </w:r>
            <w:r>
              <w:rPr>
                <w:spacing w:val="-9"/>
                <w:sz w:val="24"/>
              </w:rPr>
              <w:t> </w:t>
            </w:r>
            <w:r>
              <w:rPr>
                <w:sz w:val="24"/>
              </w:rPr>
              <w:t>Finance</w:t>
            </w:r>
            <w:r>
              <w:rPr>
                <w:spacing w:val="-8"/>
                <w:sz w:val="24"/>
              </w:rPr>
              <w:t> </w:t>
            </w:r>
            <w:r>
              <w:rPr>
                <w:sz w:val="24"/>
              </w:rPr>
              <w:t>and Business Development</w:t>
            </w:r>
          </w:p>
        </w:tc>
      </w:tr>
      <w:tr>
        <w:trPr>
          <w:trHeight w:val="583" w:hRule="atLeast"/>
        </w:trPr>
        <w:tc>
          <w:tcPr>
            <w:tcW w:w="3652" w:type="dxa"/>
          </w:tcPr>
          <w:p>
            <w:pPr>
              <w:pStyle w:val="TableParagraph"/>
              <w:spacing w:line="290" w:lineRule="atLeast"/>
              <w:ind w:left="108" w:right="919"/>
              <w:rPr>
                <w:b/>
                <w:sz w:val="24"/>
              </w:rPr>
            </w:pPr>
            <w:r>
              <w:rPr>
                <w:b/>
                <w:spacing w:val="-2"/>
                <w:sz w:val="24"/>
              </w:rPr>
              <w:t>RESPONSIBLE </w:t>
            </w:r>
            <w:r>
              <w:rPr>
                <w:b/>
                <w:sz w:val="24"/>
              </w:rPr>
              <w:t>HEAD</w:t>
            </w:r>
            <w:r>
              <w:rPr>
                <w:b/>
                <w:spacing w:val="-20"/>
                <w:sz w:val="24"/>
              </w:rPr>
              <w:t> </w:t>
            </w:r>
            <w:r>
              <w:rPr>
                <w:b/>
                <w:sz w:val="24"/>
              </w:rPr>
              <w:t>OF</w:t>
            </w:r>
            <w:r>
              <w:rPr>
                <w:b/>
                <w:spacing w:val="-19"/>
                <w:sz w:val="24"/>
              </w:rPr>
              <w:t> </w:t>
            </w:r>
            <w:r>
              <w:rPr>
                <w:b/>
                <w:sz w:val="24"/>
              </w:rPr>
              <w:t>SERVICE</w:t>
            </w:r>
          </w:p>
        </w:tc>
        <w:tc>
          <w:tcPr>
            <w:tcW w:w="6095" w:type="dxa"/>
          </w:tcPr>
          <w:p>
            <w:pPr>
              <w:pStyle w:val="TableParagraph"/>
              <w:spacing w:line="290" w:lineRule="atLeast"/>
              <w:ind w:left="2542" w:hanging="2334"/>
              <w:rPr>
                <w:sz w:val="24"/>
              </w:rPr>
            </w:pPr>
            <w:r>
              <w:rPr>
                <w:sz w:val="24"/>
              </w:rPr>
              <w:t>Andy</w:t>
            </w:r>
            <w:r>
              <w:rPr>
                <w:spacing w:val="-6"/>
                <w:sz w:val="24"/>
              </w:rPr>
              <w:t> </w:t>
            </w:r>
            <w:r>
              <w:rPr>
                <w:sz w:val="24"/>
              </w:rPr>
              <w:t>Butler,</w:t>
            </w:r>
            <w:r>
              <w:rPr>
                <w:spacing w:val="-6"/>
                <w:sz w:val="24"/>
              </w:rPr>
              <w:t> </w:t>
            </w:r>
            <w:r>
              <w:rPr>
                <w:sz w:val="24"/>
              </w:rPr>
              <w:t>Director</w:t>
            </w:r>
            <w:r>
              <w:rPr>
                <w:spacing w:val="-7"/>
                <w:sz w:val="24"/>
              </w:rPr>
              <w:t> </w:t>
            </w:r>
            <w:r>
              <w:rPr>
                <w:sz w:val="24"/>
              </w:rPr>
              <w:t>of</w:t>
            </w:r>
            <w:r>
              <w:rPr>
                <w:spacing w:val="-7"/>
                <w:sz w:val="24"/>
              </w:rPr>
              <w:t> </w:t>
            </w:r>
            <w:r>
              <w:rPr>
                <w:sz w:val="24"/>
              </w:rPr>
              <w:t>Finance</w:t>
            </w:r>
            <w:r>
              <w:rPr>
                <w:spacing w:val="-7"/>
                <w:sz w:val="24"/>
              </w:rPr>
              <w:t> </w:t>
            </w:r>
            <w:r>
              <w:rPr>
                <w:sz w:val="24"/>
              </w:rPr>
              <w:t>and</w:t>
            </w:r>
            <w:r>
              <w:rPr>
                <w:spacing w:val="-6"/>
                <w:sz w:val="24"/>
              </w:rPr>
              <w:t> </w:t>
            </w:r>
            <w:r>
              <w:rPr>
                <w:sz w:val="24"/>
              </w:rPr>
              <w:t>Corporate </w:t>
            </w:r>
            <w:r>
              <w:rPr>
                <w:spacing w:val="-2"/>
                <w:sz w:val="24"/>
              </w:rPr>
              <w:t>Services</w:t>
            </w:r>
          </w:p>
        </w:tc>
      </w:tr>
      <w:tr>
        <w:trPr>
          <w:trHeight w:val="627" w:hRule="atLeast"/>
        </w:trPr>
        <w:tc>
          <w:tcPr>
            <w:tcW w:w="3652" w:type="dxa"/>
          </w:tcPr>
          <w:p>
            <w:pPr>
              <w:pStyle w:val="TableParagraph"/>
              <w:ind w:left="108"/>
              <w:rPr>
                <w:b/>
                <w:sz w:val="24"/>
              </w:rPr>
            </w:pPr>
            <w:r>
              <w:rPr>
                <w:b/>
                <w:sz w:val="24"/>
              </w:rPr>
              <w:t>TITLE</w:t>
            </w:r>
            <w:r>
              <w:rPr>
                <w:b/>
                <w:spacing w:val="-2"/>
                <w:sz w:val="24"/>
              </w:rPr>
              <w:t> </w:t>
            </w:r>
            <w:r>
              <w:rPr>
                <w:b/>
                <w:sz w:val="24"/>
              </w:rPr>
              <w:t>OF</w:t>
            </w:r>
            <w:r>
              <w:rPr>
                <w:b/>
                <w:spacing w:val="-1"/>
                <w:sz w:val="24"/>
              </w:rPr>
              <w:t> </w:t>
            </w:r>
            <w:r>
              <w:rPr>
                <w:b/>
                <w:spacing w:val="-2"/>
                <w:sz w:val="24"/>
              </w:rPr>
              <w:t>REPORT</w:t>
            </w:r>
          </w:p>
        </w:tc>
        <w:tc>
          <w:tcPr>
            <w:tcW w:w="6095" w:type="dxa"/>
          </w:tcPr>
          <w:p>
            <w:pPr>
              <w:pStyle w:val="TableParagraph"/>
              <w:ind w:left="580" w:right="571"/>
              <w:jc w:val="center"/>
              <w:rPr>
                <w:sz w:val="24"/>
              </w:rPr>
            </w:pPr>
            <w:r>
              <w:rPr>
                <w:sz w:val="24"/>
              </w:rPr>
              <w:t>NWSSP</w:t>
            </w:r>
            <w:r>
              <w:rPr>
                <w:spacing w:val="-4"/>
                <w:sz w:val="24"/>
              </w:rPr>
              <w:t> </w:t>
            </w:r>
            <w:r>
              <w:rPr>
                <w:sz w:val="24"/>
              </w:rPr>
              <w:t>Corporate</w:t>
            </w:r>
            <w:r>
              <w:rPr>
                <w:spacing w:val="-4"/>
                <w:sz w:val="24"/>
              </w:rPr>
              <w:t> </w:t>
            </w:r>
            <w:r>
              <w:rPr>
                <w:sz w:val="24"/>
              </w:rPr>
              <w:t>Risk</w:t>
            </w:r>
            <w:r>
              <w:rPr>
                <w:spacing w:val="-3"/>
                <w:sz w:val="24"/>
              </w:rPr>
              <w:t> </w:t>
            </w:r>
            <w:r>
              <w:rPr>
                <w:spacing w:val="-2"/>
                <w:sz w:val="24"/>
              </w:rPr>
              <w:t>Register</w:t>
            </w:r>
          </w:p>
        </w:tc>
      </w:tr>
    </w:tbl>
    <w:p>
      <w:pPr>
        <w:pStyle w:val="BodyText"/>
        <w:spacing w:before="5"/>
        <w:rPr>
          <w:rFonts w:ascii="Arial"/>
          <w:sz w:val="23"/>
        </w:rPr>
      </w:pPr>
      <w:r>
        <w:rPr/>
        <w:pict>
          <v:shape style="position:absolute;margin-left:65.5pt;margin-top:14.956005pt;width:487.35pt;height:73.45pt;mso-position-horizontal-relative:page;mso-position-vertical-relative:paragraph;z-index:-15621120;mso-wrap-distance-left:0;mso-wrap-distance-right:0" type="#_x0000_t202" id="docshape512" filled="false" stroked="true" strokeweight=".5pt" strokecolor="#000000">
            <v:textbox inset="0,0,0,0">
              <w:txbxContent>
                <w:p>
                  <w:pPr>
                    <w:spacing w:before="0"/>
                    <w:ind w:left="103" w:right="0" w:firstLine="0"/>
                    <w:jc w:val="left"/>
                    <w:rPr>
                      <w:b/>
                      <w:sz w:val="24"/>
                    </w:rPr>
                  </w:pPr>
                  <w:r>
                    <w:rPr>
                      <w:b/>
                      <w:spacing w:val="-2"/>
                      <w:sz w:val="24"/>
                    </w:rPr>
                    <w:t>PURPOSE</w:t>
                  </w:r>
                </w:p>
                <w:p>
                  <w:pPr>
                    <w:pStyle w:val="BodyText"/>
                    <w:spacing w:before="12"/>
                    <w:rPr>
                      <w:b/>
                      <w:sz w:val="23"/>
                    </w:rPr>
                  </w:pPr>
                </w:p>
                <w:p>
                  <w:pPr>
                    <w:pStyle w:val="BodyText"/>
                    <w:ind w:left="103"/>
                  </w:pPr>
                  <w:r>
                    <w:rPr/>
                    <w:t>To</w:t>
                  </w:r>
                  <w:r>
                    <w:rPr>
                      <w:spacing w:val="40"/>
                    </w:rPr>
                    <w:t> </w:t>
                  </w:r>
                  <w:r>
                    <w:rPr/>
                    <w:t>provide</w:t>
                  </w:r>
                  <w:r>
                    <w:rPr>
                      <w:spacing w:val="40"/>
                    </w:rPr>
                    <w:t> </w:t>
                  </w:r>
                  <w:r>
                    <w:rPr/>
                    <w:t>the</w:t>
                  </w:r>
                  <w:r>
                    <w:rPr>
                      <w:spacing w:val="40"/>
                    </w:rPr>
                    <w:t> </w:t>
                  </w:r>
                  <w:r>
                    <w:rPr/>
                    <w:t>Audit</w:t>
                  </w:r>
                  <w:r>
                    <w:rPr>
                      <w:spacing w:val="40"/>
                    </w:rPr>
                    <w:t> </w:t>
                  </w:r>
                  <w:r>
                    <w:rPr/>
                    <w:t>Committee</w:t>
                  </w:r>
                  <w:r>
                    <w:rPr>
                      <w:spacing w:val="40"/>
                    </w:rPr>
                    <w:t> </w:t>
                  </w:r>
                  <w:r>
                    <w:rPr/>
                    <w:t>with</w:t>
                  </w:r>
                  <w:r>
                    <w:rPr>
                      <w:spacing w:val="40"/>
                    </w:rPr>
                    <w:t> </w:t>
                  </w:r>
                  <w:r>
                    <w:rPr/>
                    <w:t>an</w:t>
                  </w:r>
                  <w:r>
                    <w:rPr>
                      <w:spacing w:val="40"/>
                    </w:rPr>
                    <w:t> </w:t>
                  </w:r>
                  <w:r>
                    <w:rPr/>
                    <w:t>update</w:t>
                  </w:r>
                  <w:r>
                    <w:rPr>
                      <w:spacing w:val="40"/>
                    </w:rPr>
                    <w:t> </w:t>
                  </w:r>
                  <w:r>
                    <w:rPr/>
                    <w:t>as</w:t>
                  </w:r>
                  <w:r>
                    <w:rPr>
                      <w:spacing w:val="40"/>
                    </w:rPr>
                    <w:t> </w:t>
                  </w:r>
                  <w:r>
                    <w:rPr/>
                    <w:t>to</w:t>
                  </w:r>
                  <w:r>
                    <w:rPr>
                      <w:spacing w:val="40"/>
                    </w:rPr>
                    <w:t> </w:t>
                  </w:r>
                  <w:r>
                    <w:rPr/>
                    <w:t>the</w:t>
                  </w:r>
                  <w:r>
                    <w:rPr>
                      <w:spacing w:val="40"/>
                    </w:rPr>
                    <w:t> </w:t>
                  </w:r>
                  <w:r>
                    <w:rPr/>
                    <w:t>progress</w:t>
                  </w:r>
                  <w:r>
                    <w:rPr>
                      <w:spacing w:val="40"/>
                    </w:rPr>
                    <w:t> </w:t>
                  </w:r>
                  <w:r>
                    <w:rPr/>
                    <w:t>made against the organisation’s Corporate Risk Register.</w:t>
                  </w:r>
                </w:p>
              </w:txbxContent>
            </v:textbox>
            <v:stroke dashstyle="solid"/>
            <w10:wrap type="topAndBottom"/>
          </v:shape>
        </w:pict>
      </w:r>
    </w:p>
    <w:p>
      <w:pPr>
        <w:pStyle w:val="BodyText"/>
        <w:spacing w:before="8"/>
        <w:rPr>
          <w:rFonts w:ascii="Arial"/>
          <w:sz w:val="15"/>
        </w:rPr>
      </w:pPr>
    </w:p>
    <w:p>
      <w:pPr>
        <w:pStyle w:val="Heading9"/>
        <w:numPr>
          <w:ilvl w:val="0"/>
          <w:numId w:val="35"/>
        </w:numPr>
        <w:tabs>
          <w:tab w:pos="1779" w:val="left" w:leader="none"/>
        </w:tabs>
        <w:spacing w:line="240" w:lineRule="auto" w:before="100" w:after="0"/>
        <w:ind w:left="1778" w:right="0" w:hanging="361"/>
        <w:jc w:val="left"/>
      </w:pPr>
      <w:r>
        <w:rPr>
          <w:spacing w:val="-2"/>
        </w:rPr>
        <w:t>INTRODUCTION</w:t>
      </w:r>
    </w:p>
    <w:p>
      <w:pPr>
        <w:pStyle w:val="BodyText"/>
        <w:rPr>
          <w:b/>
        </w:rPr>
      </w:pPr>
    </w:p>
    <w:p>
      <w:pPr>
        <w:pStyle w:val="BodyText"/>
        <w:ind w:left="1418"/>
      </w:pPr>
      <w:r>
        <w:rPr/>
        <w:t>The</w:t>
      </w:r>
      <w:r>
        <w:rPr>
          <w:spacing w:val="-6"/>
        </w:rPr>
        <w:t> </w:t>
      </w:r>
      <w:r>
        <w:rPr/>
        <w:t>Corporate</w:t>
      </w:r>
      <w:r>
        <w:rPr>
          <w:spacing w:val="-4"/>
        </w:rPr>
        <w:t> </w:t>
      </w:r>
      <w:r>
        <w:rPr/>
        <w:t>Register</w:t>
      </w:r>
      <w:r>
        <w:rPr>
          <w:spacing w:val="-4"/>
        </w:rPr>
        <w:t> </w:t>
      </w:r>
      <w:r>
        <w:rPr/>
        <w:t>is</w:t>
      </w:r>
      <w:r>
        <w:rPr>
          <w:spacing w:val="-4"/>
        </w:rPr>
        <w:t> </w:t>
      </w:r>
      <w:r>
        <w:rPr/>
        <w:t>presented</w:t>
      </w:r>
      <w:r>
        <w:rPr>
          <w:spacing w:val="-2"/>
        </w:rPr>
        <w:t> </w:t>
      </w:r>
      <w:r>
        <w:rPr/>
        <w:t>at</w:t>
      </w:r>
      <w:r>
        <w:rPr>
          <w:spacing w:val="-3"/>
        </w:rPr>
        <w:t> </w:t>
      </w:r>
      <w:r>
        <w:rPr>
          <w:b/>
        </w:rPr>
        <w:t>Appendix</w:t>
      </w:r>
      <w:r>
        <w:rPr>
          <w:b/>
          <w:spacing w:val="-3"/>
        </w:rPr>
        <w:t> </w:t>
      </w:r>
      <w:r>
        <w:rPr>
          <w:b/>
        </w:rPr>
        <w:t>1</w:t>
      </w:r>
      <w:r>
        <w:rPr>
          <w:b/>
          <w:spacing w:val="-3"/>
        </w:rPr>
        <w:t> </w:t>
      </w:r>
      <w:r>
        <w:rPr/>
        <w:t>for</w:t>
      </w:r>
      <w:r>
        <w:rPr>
          <w:spacing w:val="-2"/>
        </w:rPr>
        <w:t> information.</w:t>
      </w:r>
    </w:p>
    <w:p>
      <w:pPr>
        <w:pStyle w:val="BodyText"/>
      </w:pPr>
    </w:p>
    <w:p>
      <w:pPr>
        <w:pStyle w:val="Heading9"/>
        <w:numPr>
          <w:ilvl w:val="0"/>
          <w:numId w:val="35"/>
        </w:numPr>
        <w:tabs>
          <w:tab w:pos="1779" w:val="left" w:leader="none"/>
        </w:tabs>
        <w:spacing w:line="240" w:lineRule="auto" w:before="0" w:after="0"/>
        <w:ind w:left="1778" w:right="0" w:hanging="361"/>
        <w:jc w:val="left"/>
      </w:pPr>
      <w:r>
        <w:rPr/>
        <w:t>RISKS</w:t>
      </w:r>
      <w:r>
        <w:rPr>
          <w:spacing w:val="-3"/>
        </w:rPr>
        <w:t> </w:t>
      </w:r>
      <w:r>
        <w:rPr/>
        <w:t>FOR</w:t>
      </w:r>
      <w:r>
        <w:rPr>
          <w:spacing w:val="-2"/>
        </w:rPr>
        <w:t> ACTION</w:t>
      </w:r>
    </w:p>
    <w:p>
      <w:pPr>
        <w:pStyle w:val="BodyText"/>
        <w:rPr>
          <w:b/>
        </w:rPr>
      </w:pPr>
    </w:p>
    <w:p>
      <w:pPr>
        <w:pStyle w:val="BodyText"/>
        <w:ind w:left="1418"/>
      </w:pPr>
      <w:r>
        <w:rPr/>
        <w:t>The</w:t>
      </w:r>
      <w:r>
        <w:rPr>
          <w:spacing w:val="-3"/>
        </w:rPr>
        <w:t> </w:t>
      </w:r>
      <w:r>
        <w:rPr/>
        <w:t>ratings</w:t>
      </w:r>
      <w:r>
        <w:rPr>
          <w:spacing w:val="-1"/>
        </w:rPr>
        <w:t> </w:t>
      </w:r>
      <w:r>
        <w:rPr/>
        <w:t>are</w:t>
      </w:r>
      <w:r>
        <w:rPr>
          <w:spacing w:val="-2"/>
        </w:rPr>
        <w:t> </w:t>
      </w:r>
      <w:r>
        <w:rPr/>
        <w:t>summarised</w:t>
      </w:r>
      <w:r>
        <w:rPr>
          <w:spacing w:val="-1"/>
        </w:rPr>
        <w:t> </w:t>
      </w:r>
      <w:r>
        <w:rPr/>
        <w:t>below</w:t>
      </w:r>
      <w:r>
        <w:rPr>
          <w:spacing w:val="-1"/>
        </w:rPr>
        <w:t> </w:t>
      </w:r>
      <w:r>
        <w:rPr/>
        <w:t>in</w:t>
      </w:r>
      <w:r>
        <w:rPr>
          <w:spacing w:val="-3"/>
        </w:rPr>
        <w:t> </w:t>
      </w:r>
      <w:r>
        <w:rPr/>
        <w:t>relation</w:t>
      </w:r>
      <w:r>
        <w:rPr>
          <w:spacing w:val="-1"/>
        </w:rPr>
        <w:t> </w:t>
      </w:r>
      <w:r>
        <w:rPr/>
        <w:t>to</w:t>
      </w:r>
      <w:r>
        <w:rPr>
          <w:spacing w:val="-2"/>
        </w:rPr>
        <w:t> </w:t>
      </w:r>
      <w:r>
        <w:rPr/>
        <w:t>the</w:t>
      </w:r>
      <w:r>
        <w:rPr>
          <w:spacing w:val="-2"/>
        </w:rPr>
        <w:t> </w:t>
      </w:r>
      <w:r>
        <w:rPr/>
        <w:t>Risks</w:t>
      </w:r>
      <w:r>
        <w:rPr>
          <w:spacing w:val="-2"/>
        </w:rPr>
        <w:t> </w:t>
      </w:r>
      <w:r>
        <w:rPr/>
        <w:t>for</w:t>
      </w:r>
      <w:r>
        <w:rPr>
          <w:spacing w:val="-1"/>
        </w:rPr>
        <w:t> </w:t>
      </w:r>
      <w:r>
        <w:rPr>
          <w:spacing w:val="-2"/>
        </w:rPr>
        <w:t>Action:</w:t>
      </w:r>
    </w:p>
    <w:p>
      <w:pPr>
        <w:pStyle w:val="BodyText"/>
      </w:pPr>
    </w:p>
    <w:tbl>
      <w:tblPr>
        <w:tblW w:w="0" w:type="auto"/>
        <w:jc w:val="left"/>
        <w:tblInd w:w="38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7"/>
        <w:gridCol w:w="1991"/>
      </w:tblGrid>
      <w:tr>
        <w:trPr>
          <w:trHeight w:val="583" w:hRule="atLeast"/>
        </w:trPr>
        <w:tc>
          <w:tcPr>
            <w:tcW w:w="2257" w:type="dxa"/>
          </w:tcPr>
          <w:p>
            <w:pPr>
              <w:pStyle w:val="TableParagraph"/>
              <w:spacing w:line="290" w:lineRule="atLeast"/>
              <w:ind w:left="689" w:hanging="400"/>
              <w:rPr>
                <w:b/>
                <w:sz w:val="24"/>
              </w:rPr>
            </w:pPr>
            <w:r>
              <w:rPr>
                <w:b/>
                <w:sz w:val="24"/>
              </w:rPr>
              <w:t>Current</w:t>
            </w:r>
            <w:r>
              <w:rPr>
                <w:b/>
                <w:spacing w:val="-21"/>
                <w:sz w:val="24"/>
              </w:rPr>
              <w:t> </w:t>
            </w:r>
            <w:r>
              <w:rPr>
                <w:b/>
                <w:sz w:val="24"/>
              </w:rPr>
              <w:t>Risk </w:t>
            </w:r>
            <w:r>
              <w:rPr>
                <w:b/>
                <w:spacing w:val="-2"/>
                <w:sz w:val="24"/>
              </w:rPr>
              <w:t>Rating</w:t>
            </w:r>
          </w:p>
        </w:tc>
        <w:tc>
          <w:tcPr>
            <w:tcW w:w="1991" w:type="dxa"/>
          </w:tcPr>
          <w:p>
            <w:pPr>
              <w:pStyle w:val="TableParagraph"/>
              <w:spacing w:line="290" w:lineRule="atLeast"/>
              <w:ind w:left="654" w:right="444" w:hanging="195"/>
              <w:rPr>
                <w:b/>
                <w:sz w:val="24"/>
              </w:rPr>
            </w:pPr>
            <w:r>
              <w:rPr>
                <w:b/>
                <w:spacing w:val="-2"/>
                <w:sz w:val="24"/>
              </w:rPr>
              <w:t>January </w:t>
            </w:r>
            <w:r>
              <w:rPr>
                <w:b/>
                <w:spacing w:val="-4"/>
                <w:sz w:val="24"/>
              </w:rPr>
              <w:t>2023</w:t>
            </w:r>
          </w:p>
        </w:tc>
      </w:tr>
      <w:tr>
        <w:trPr>
          <w:trHeight w:val="291" w:hRule="atLeast"/>
        </w:trPr>
        <w:tc>
          <w:tcPr>
            <w:tcW w:w="2257" w:type="dxa"/>
          </w:tcPr>
          <w:p>
            <w:pPr>
              <w:pStyle w:val="TableParagraph"/>
              <w:spacing w:line="272" w:lineRule="exact"/>
              <w:ind w:left="430" w:right="421"/>
              <w:jc w:val="center"/>
              <w:rPr>
                <w:sz w:val="24"/>
              </w:rPr>
            </w:pPr>
            <w:r>
              <w:rPr>
                <w:sz w:val="24"/>
              </w:rPr>
              <w:t>Red</w:t>
            </w:r>
            <w:r>
              <w:rPr>
                <w:spacing w:val="-5"/>
                <w:sz w:val="24"/>
              </w:rPr>
              <w:t> </w:t>
            </w:r>
            <w:r>
              <w:rPr>
                <w:spacing w:val="-4"/>
                <w:sz w:val="24"/>
              </w:rPr>
              <w:t>Risk</w:t>
            </w:r>
          </w:p>
        </w:tc>
        <w:tc>
          <w:tcPr>
            <w:tcW w:w="1991" w:type="dxa"/>
            <w:shd w:val="clear" w:color="auto" w:fill="FF0000"/>
          </w:tcPr>
          <w:p>
            <w:pPr>
              <w:pStyle w:val="TableParagraph"/>
              <w:spacing w:line="272" w:lineRule="exact"/>
              <w:ind w:left="9"/>
              <w:jc w:val="center"/>
              <w:rPr>
                <w:sz w:val="24"/>
              </w:rPr>
            </w:pPr>
            <w:r>
              <w:rPr>
                <w:sz w:val="24"/>
              </w:rPr>
              <w:t>7</w:t>
            </w:r>
          </w:p>
        </w:tc>
      </w:tr>
      <w:tr>
        <w:trPr>
          <w:trHeight w:val="291" w:hRule="atLeast"/>
        </w:trPr>
        <w:tc>
          <w:tcPr>
            <w:tcW w:w="2257" w:type="dxa"/>
          </w:tcPr>
          <w:p>
            <w:pPr>
              <w:pStyle w:val="TableParagraph"/>
              <w:spacing w:line="272" w:lineRule="exact"/>
              <w:ind w:left="430" w:right="421"/>
              <w:jc w:val="center"/>
              <w:rPr>
                <w:sz w:val="24"/>
              </w:rPr>
            </w:pPr>
            <w:r>
              <w:rPr>
                <w:sz w:val="24"/>
              </w:rPr>
              <w:t>Amber</w:t>
            </w:r>
            <w:r>
              <w:rPr>
                <w:spacing w:val="-6"/>
                <w:sz w:val="24"/>
              </w:rPr>
              <w:t> </w:t>
            </w:r>
            <w:r>
              <w:rPr>
                <w:spacing w:val="-4"/>
                <w:sz w:val="24"/>
              </w:rPr>
              <w:t>Risk</w:t>
            </w:r>
          </w:p>
        </w:tc>
        <w:tc>
          <w:tcPr>
            <w:tcW w:w="1991" w:type="dxa"/>
            <w:shd w:val="clear" w:color="auto" w:fill="FFC000"/>
          </w:tcPr>
          <w:p>
            <w:pPr>
              <w:pStyle w:val="TableParagraph"/>
              <w:spacing w:line="272" w:lineRule="exact"/>
              <w:ind w:left="9"/>
              <w:jc w:val="center"/>
              <w:rPr>
                <w:sz w:val="24"/>
              </w:rPr>
            </w:pPr>
            <w:r>
              <w:rPr>
                <w:sz w:val="24"/>
              </w:rPr>
              <w:t>9</w:t>
            </w:r>
          </w:p>
        </w:tc>
      </w:tr>
      <w:tr>
        <w:trPr>
          <w:trHeight w:val="291" w:hRule="atLeast"/>
        </w:trPr>
        <w:tc>
          <w:tcPr>
            <w:tcW w:w="2257" w:type="dxa"/>
          </w:tcPr>
          <w:p>
            <w:pPr>
              <w:pStyle w:val="TableParagraph"/>
              <w:spacing w:line="272" w:lineRule="exact"/>
              <w:ind w:left="430" w:right="421"/>
              <w:jc w:val="center"/>
              <w:rPr>
                <w:sz w:val="24"/>
              </w:rPr>
            </w:pPr>
            <w:r>
              <w:rPr>
                <w:sz w:val="24"/>
              </w:rPr>
              <w:t>Yellow</w:t>
            </w:r>
            <w:r>
              <w:rPr>
                <w:spacing w:val="-3"/>
                <w:sz w:val="24"/>
              </w:rPr>
              <w:t> </w:t>
            </w:r>
            <w:r>
              <w:rPr>
                <w:spacing w:val="-4"/>
                <w:sz w:val="24"/>
              </w:rPr>
              <w:t>Risk</w:t>
            </w:r>
          </w:p>
        </w:tc>
        <w:tc>
          <w:tcPr>
            <w:tcW w:w="1991" w:type="dxa"/>
            <w:shd w:val="clear" w:color="auto" w:fill="FFFF00"/>
          </w:tcPr>
          <w:p>
            <w:pPr>
              <w:pStyle w:val="TableParagraph"/>
              <w:spacing w:line="272" w:lineRule="exact"/>
              <w:ind w:left="9"/>
              <w:jc w:val="center"/>
              <w:rPr>
                <w:sz w:val="24"/>
              </w:rPr>
            </w:pPr>
            <w:r>
              <w:rPr>
                <w:sz w:val="24"/>
              </w:rPr>
              <w:t>2</w:t>
            </w:r>
          </w:p>
        </w:tc>
      </w:tr>
      <w:tr>
        <w:trPr>
          <w:trHeight w:val="291" w:hRule="atLeast"/>
        </w:trPr>
        <w:tc>
          <w:tcPr>
            <w:tcW w:w="2257" w:type="dxa"/>
          </w:tcPr>
          <w:p>
            <w:pPr>
              <w:pStyle w:val="TableParagraph"/>
              <w:spacing w:line="272" w:lineRule="exact"/>
              <w:ind w:left="430" w:right="421"/>
              <w:jc w:val="center"/>
              <w:rPr>
                <w:sz w:val="24"/>
              </w:rPr>
            </w:pPr>
            <w:r>
              <w:rPr>
                <w:sz w:val="24"/>
              </w:rPr>
              <w:t>Green</w:t>
            </w:r>
            <w:r>
              <w:rPr>
                <w:spacing w:val="-7"/>
                <w:sz w:val="24"/>
              </w:rPr>
              <w:t> </w:t>
            </w:r>
            <w:r>
              <w:rPr>
                <w:spacing w:val="-4"/>
                <w:sz w:val="24"/>
              </w:rPr>
              <w:t>Risk</w:t>
            </w:r>
          </w:p>
        </w:tc>
        <w:tc>
          <w:tcPr>
            <w:tcW w:w="1991" w:type="dxa"/>
            <w:shd w:val="clear" w:color="auto" w:fill="92D050"/>
          </w:tcPr>
          <w:p>
            <w:pPr>
              <w:pStyle w:val="TableParagraph"/>
              <w:spacing w:line="272" w:lineRule="exact"/>
              <w:ind w:left="9"/>
              <w:jc w:val="center"/>
              <w:rPr>
                <w:sz w:val="24"/>
              </w:rPr>
            </w:pPr>
            <w:r>
              <w:rPr>
                <w:sz w:val="24"/>
              </w:rPr>
              <w:t>0</w:t>
            </w:r>
          </w:p>
        </w:tc>
      </w:tr>
      <w:tr>
        <w:trPr>
          <w:trHeight w:val="291" w:hRule="atLeast"/>
        </w:trPr>
        <w:tc>
          <w:tcPr>
            <w:tcW w:w="2257" w:type="dxa"/>
          </w:tcPr>
          <w:p>
            <w:pPr>
              <w:pStyle w:val="TableParagraph"/>
              <w:spacing w:line="272" w:lineRule="exact"/>
              <w:ind w:left="430" w:right="420"/>
              <w:jc w:val="center"/>
              <w:rPr>
                <w:b/>
                <w:sz w:val="24"/>
              </w:rPr>
            </w:pPr>
            <w:r>
              <w:rPr>
                <w:b/>
                <w:spacing w:val="-2"/>
                <w:sz w:val="24"/>
              </w:rPr>
              <w:t>Total</w:t>
            </w:r>
          </w:p>
        </w:tc>
        <w:tc>
          <w:tcPr>
            <w:tcW w:w="1991" w:type="dxa"/>
          </w:tcPr>
          <w:p>
            <w:pPr>
              <w:pStyle w:val="TableParagraph"/>
              <w:spacing w:line="272" w:lineRule="exact"/>
              <w:ind w:left="809" w:right="799"/>
              <w:jc w:val="center"/>
              <w:rPr>
                <w:b/>
                <w:sz w:val="24"/>
              </w:rPr>
            </w:pPr>
            <w:r>
              <w:rPr>
                <w:b/>
                <w:spacing w:val="-5"/>
                <w:sz w:val="24"/>
              </w:rPr>
              <w:t>18</w:t>
            </w:r>
          </w:p>
        </w:tc>
      </w:tr>
    </w:tbl>
    <w:p>
      <w:pPr>
        <w:pStyle w:val="BodyText"/>
        <w:spacing w:before="3"/>
      </w:pPr>
    </w:p>
    <w:p>
      <w:pPr>
        <w:pStyle w:val="ListParagraph"/>
        <w:numPr>
          <w:ilvl w:val="1"/>
          <w:numId w:val="35"/>
        </w:numPr>
        <w:tabs>
          <w:tab w:pos="2138" w:val="left" w:leader="none"/>
          <w:tab w:pos="2139" w:val="left" w:leader="none"/>
        </w:tabs>
        <w:spacing w:line="240" w:lineRule="auto" w:before="0" w:after="0"/>
        <w:ind w:left="2138" w:right="0" w:hanging="721"/>
        <w:jc w:val="left"/>
        <w:rPr>
          <w:b/>
          <w:sz w:val="24"/>
        </w:rPr>
      </w:pPr>
      <w:r>
        <w:rPr>
          <w:b/>
          <w:sz w:val="24"/>
          <w:u w:val="single"/>
        </w:rPr>
        <w:t>Red-rated</w:t>
      </w:r>
      <w:r>
        <w:rPr>
          <w:b/>
          <w:spacing w:val="-5"/>
          <w:sz w:val="24"/>
          <w:u w:val="single"/>
        </w:rPr>
        <w:t> </w:t>
      </w:r>
      <w:r>
        <w:rPr>
          <w:b/>
          <w:spacing w:val="-2"/>
          <w:sz w:val="24"/>
          <w:u w:val="single"/>
        </w:rPr>
        <w:t>Risks</w:t>
      </w:r>
    </w:p>
    <w:p>
      <w:pPr>
        <w:pStyle w:val="BodyText"/>
        <w:spacing w:before="10"/>
        <w:rPr>
          <w:b/>
          <w:sz w:val="15"/>
        </w:rPr>
      </w:pPr>
    </w:p>
    <w:p>
      <w:pPr>
        <w:pStyle w:val="BodyText"/>
        <w:spacing w:before="100"/>
        <w:ind w:left="1418" w:right="1415"/>
        <w:jc w:val="both"/>
      </w:pPr>
      <w:r>
        <w:rPr/>
        <w:t>Following a detailed review of the Corporate Risk Register at the</w:t>
      </w:r>
      <w:r>
        <w:rPr>
          <w:spacing w:val="40"/>
        </w:rPr>
        <w:t> </w:t>
      </w:r>
      <w:r>
        <w:rPr/>
        <w:t>November SLG, a number of risks have been escalated to red and some new red risks added.</w:t>
      </w:r>
    </w:p>
    <w:p>
      <w:pPr>
        <w:pStyle w:val="BodyText"/>
        <w:spacing w:before="2"/>
      </w:pPr>
    </w:p>
    <w:p>
      <w:pPr>
        <w:pStyle w:val="ListParagraph"/>
        <w:numPr>
          <w:ilvl w:val="2"/>
          <w:numId w:val="35"/>
        </w:numPr>
        <w:tabs>
          <w:tab w:pos="2137" w:val="left" w:leader="none"/>
          <w:tab w:pos="2138" w:val="left" w:leader="none"/>
        </w:tabs>
        <w:spacing w:line="237" w:lineRule="auto" w:before="0" w:after="0"/>
        <w:ind w:left="2138" w:right="1415" w:hanging="360"/>
        <w:jc w:val="left"/>
        <w:rPr>
          <w:sz w:val="24"/>
        </w:rPr>
      </w:pPr>
      <w:r>
        <w:rPr>
          <w:sz w:val="24"/>
        </w:rPr>
        <w:t>The existing red risk relating to the inflationary consequences of the situation</w:t>
      </w:r>
      <w:r>
        <w:rPr>
          <w:spacing w:val="80"/>
          <w:sz w:val="24"/>
        </w:rPr>
        <w:t> </w:t>
      </w:r>
      <w:r>
        <w:rPr>
          <w:sz w:val="24"/>
        </w:rPr>
        <w:t>in</w:t>
      </w:r>
      <w:r>
        <w:rPr>
          <w:spacing w:val="80"/>
          <w:sz w:val="24"/>
        </w:rPr>
        <w:t> </w:t>
      </w:r>
      <w:r>
        <w:rPr>
          <w:sz w:val="24"/>
        </w:rPr>
        <w:t>Ukraine</w:t>
      </w:r>
      <w:r>
        <w:rPr>
          <w:spacing w:val="80"/>
          <w:sz w:val="24"/>
        </w:rPr>
        <w:t> </w:t>
      </w:r>
      <w:r>
        <w:rPr>
          <w:sz w:val="24"/>
        </w:rPr>
        <w:t>and</w:t>
      </w:r>
      <w:r>
        <w:rPr>
          <w:spacing w:val="80"/>
          <w:sz w:val="24"/>
        </w:rPr>
        <w:t> </w:t>
      </w:r>
      <w:r>
        <w:rPr>
          <w:sz w:val="24"/>
        </w:rPr>
        <w:t>the</w:t>
      </w:r>
      <w:r>
        <w:rPr>
          <w:spacing w:val="80"/>
          <w:sz w:val="24"/>
        </w:rPr>
        <w:t> </w:t>
      </w:r>
      <w:r>
        <w:rPr>
          <w:sz w:val="24"/>
        </w:rPr>
        <w:t>resultant</w:t>
      </w:r>
      <w:r>
        <w:rPr>
          <w:spacing w:val="80"/>
          <w:sz w:val="24"/>
        </w:rPr>
        <w:t> </w:t>
      </w:r>
      <w:r>
        <w:rPr>
          <w:sz w:val="24"/>
        </w:rPr>
        <w:t>impact</w:t>
      </w:r>
      <w:r>
        <w:rPr>
          <w:spacing w:val="80"/>
          <w:sz w:val="24"/>
        </w:rPr>
        <w:t> </w:t>
      </w:r>
      <w:r>
        <w:rPr>
          <w:sz w:val="24"/>
        </w:rPr>
        <w:t>on</w:t>
      </w:r>
      <w:r>
        <w:rPr>
          <w:spacing w:val="80"/>
          <w:sz w:val="24"/>
        </w:rPr>
        <w:t> </w:t>
      </w:r>
      <w:r>
        <w:rPr>
          <w:sz w:val="24"/>
        </w:rPr>
        <w:t>energy</w:t>
      </w:r>
      <w:r>
        <w:rPr>
          <w:spacing w:val="80"/>
          <w:sz w:val="24"/>
        </w:rPr>
        <w:t> </w:t>
      </w:r>
      <w:r>
        <w:rPr>
          <w:sz w:val="24"/>
        </w:rPr>
        <w:t>prices</w:t>
      </w:r>
    </w:p>
    <w:p>
      <w:pPr>
        <w:spacing w:after="0" w:line="237" w:lineRule="auto"/>
        <w:jc w:val="left"/>
        <w:rPr>
          <w:sz w:val="24"/>
        </w:rPr>
        <w:sectPr>
          <w:footerReference w:type="default" r:id="rId160"/>
          <w:pgSz w:w="11910" w:h="16840"/>
          <w:pgMar w:footer="1092" w:header="0" w:top="80" w:bottom="1280" w:left="0" w:right="0"/>
        </w:sectPr>
      </w:pPr>
    </w:p>
    <w:p>
      <w:pPr>
        <w:pStyle w:val="BodyText"/>
        <w:spacing w:before="80"/>
        <w:ind w:left="2138" w:right="1415"/>
        <w:jc w:val="both"/>
      </w:pPr>
      <w:r>
        <w:rPr/>
        <w:t>remains red. This is currently being mitigated through the role of</w:t>
      </w:r>
      <w:r>
        <w:rPr>
          <w:spacing w:val="80"/>
        </w:rPr>
        <w:t> </w:t>
      </w:r>
      <w:r>
        <w:rPr/>
        <w:t>the Energy Price Risk Management Group (EPRMG), but energy prices remain very volatile.</w:t>
      </w:r>
    </w:p>
    <w:p>
      <w:pPr>
        <w:pStyle w:val="ListParagraph"/>
        <w:numPr>
          <w:ilvl w:val="2"/>
          <w:numId w:val="35"/>
        </w:numPr>
        <w:tabs>
          <w:tab w:pos="2138" w:val="left" w:leader="none"/>
        </w:tabs>
        <w:spacing w:line="240" w:lineRule="auto" w:before="0" w:after="0"/>
        <w:ind w:left="2138" w:right="1414" w:hanging="360"/>
        <w:jc w:val="both"/>
        <w:rPr>
          <w:sz w:val="24"/>
        </w:rPr>
      </w:pPr>
      <w:r>
        <w:rPr>
          <w:sz w:val="24"/>
        </w:rPr>
        <w:t>The above risk has also been articulated into a second risk which considers the role that NWSSP plays as the lead energy purchaser for the whole of NHS Wales, and the reputational risk that is associated with that role.</w:t>
      </w:r>
    </w:p>
    <w:p>
      <w:pPr>
        <w:pStyle w:val="ListParagraph"/>
        <w:numPr>
          <w:ilvl w:val="2"/>
          <w:numId w:val="35"/>
        </w:numPr>
        <w:tabs>
          <w:tab w:pos="2138" w:val="left" w:leader="none"/>
        </w:tabs>
        <w:spacing w:line="240" w:lineRule="auto" w:before="0" w:after="0"/>
        <w:ind w:left="2138" w:right="1415" w:hanging="360"/>
        <w:jc w:val="both"/>
        <w:rPr>
          <w:sz w:val="24"/>
        </w:rPr>
      </w:pPr>
      <w:r>
        <w:rPr>
          <w:sz w:val="24"/>
        </w:rPr>
        <w:t>The existing risk of the impact of potential industrial action has been escalated from amber to red as strike action has now been confirmed. While the strikes currently called by the RCN are not likely to have a significant impact on NWSSP, the likely industrial action from other Trade Unions will have a greater impact.</w:t>
      </w:r>
    </w:p>
    <w:p>
      <w:pPr>
        <w:pStyle w:val="ListParagraph"/>
        <w:numPr>
          <w:ilvl w:val="2"/>
          <w:numId w:val="35"/>
        </w:numPr>
        <w:tabs>
          <w:tab w:pos="2138" w:val="left" w:leader="none"/>
        </w:tabs>
        <w:spacing w:line="240" w:lineRule="auto" w:before="0" w:after="0"/>
        <w:ind w:left="2138" w:right="1411" w:hanging="360"/>
        <w:jc w:val="both"/>
        <w:rPr>
          <w:sz w:val="24"/>
        </w:rPr>
      </w:pPr>
      <w:r>
        <w:rPr>
          <w:sz w:val="24"/>
        </w:rPr>
        <w:t>Similarly the existing risk of having insufficient staff resource to meet demand has also been escalated from amber to red. NWSSP have a lot of staff on bank contracts who help to deliver essential services but for whom we are unable to guarantee security of employment due to Welsh Government not confirming whether</w:t>
      </w:r>
      <w:r>
        <w:rPr>
          <w:spacing w:val="40"/>
          <w:sz w:val="24"/>
        </w:rPr>
        <w:t> </w:t>
      </w:r>
      <w:r>
        <w:rPr>
          <w:sz w:val="24"/>
        </w:rPr>
        <w:t>these posts will be funded into 2023/24.</w:t>
      </w:r>
    </w:p>
    <w:p>
      <w:pPr>
        <w:pStyle w:val="ListParagraph"/>
        <w:numPr>
          <w:ilvl w:val="2"/>
          <w:numId w:val="35"/>
        </w:numPr>
        <w:tabs>
          <w:tab w:pos="2138" w:val="left" w:leader="none"/>
        </w:tabs>
        <w:spacing w:line="240" w:lineRule="auto" w:before="0" w:after="0"/>
        <w:ind w:left="2138" w:right="1414" w:hanging="360"/>
        <w:jc w:val="both"/>
        <w:rPr>
          <w:sz w:val="24"/>
        </w:rPr>
      </w:pPr>
      <w:r>
        <w:rPr>
          <w:sz w:val="24"/>
        </w:rPr>
        <w:t>The contractual dispute affecting the replacement for the Legal &amp; Risk Case Management system has also been escalated from amber to red. While there are contingency arrangements in place to maintain services, the potential financial loss could be significant.</w:t>
      </w:r>
    </w:p>
    <w:p>
      <w:pPr>
        <w:pStyle w:val="ListParagraph"/>
        <w:numPr>
          <w:ilvl w:val="2"/>
          <w:numId w:val="35"/>
        </w:numPr>
        <w:tabs>
          <w:tab w:pos="2138" w:val="left" w:leader="none"/>
        </w:tabs>
        <w:spacing w:line="240" w:lineRule="auto" w:before="0" w:after="0"/>
        <w:ind w:left="2138" w:right="1414" w:hanging="360"/>
        <w:jc w:val="both"/>
        <w:rPr>
          <w:sz w:val="24"/>
        </w:rPr>
      </w:pPr>
      <w:r>
        <w:rPr>
          <w:sz w:val="24"/>
        </w:rPr>
        <w:t>The Laundry Transformation Programme has been added as a red risk due to uncertainty over whether the required capital funding for the scheme will be available to complete it.</w:t>
      </w:r>
    </w:p>
    <w:p>
      <w:pPr>
        <w:pStyle w:val="ListParagraph"/>
        <w:numPr>
          <w:ilvl w:val="2"/>
          <w:numId w:val="35"/>
        </w:numPr>
        <w:tabs>
          <w:tab w:pos="2138" w:val="left" w:leader="none"/>
        </w:tabs>
        <w:spacing w:line="240" w:lineRule="auto" w:before="0" w:after="0"/>
        <w:ind w:left="2138" w:right="1416" w:hanging="360"/>
        <w:jc w:val="both"/>
        <w:rPr>
          <w:sz w:val="24"/>
        </w:rPr>
      </w:pPr>
      <w:r>
        <w:rPr>
          <w:sz w:val="24"/>
        </w:rPr>
        <w:t>The Brecon House roof at Mamhilad has also been added as a red risk due to serious issues with water ingress and falling masonry, making the building unsafe for staff.</w:t>
      </w:r>
    </w:p>
    <w:p>
      <w:pPr>
        <w:pStyle w:val="BodyText"/>
        <w:spacing w:before="10"/>
        <w:rPr>
          <w:sz w:val="22"/>
        </w:rPr>
      </w:pPr>
    </w:p>
    <w:p>
      <w:pPr>
        <w:pStyle w:val="ListParagraph"/>
        <w:numPr>
          <w:ilvl w:val="1"/>
          <w:numId w:val="35"/>
        </w:numPr>
        <w:tabs>
          <w:tab w:pos="2138" w:val="left" w:leader="none"/>
          <w:tab w:pos="2139" w:val="left" w:leader="none"/>
        </w:tabs>
        <w:spacing w:line="240" w:lineRule="auto" w:before="0" w:after="0"/>
        <w:ind w:left="2138" w:right="0" w:hanging="721"/>
        <w:jc w:val="left"/>
        <w:rPr>
          <w:b/>
          <w:sz w:val="24"/>
        </w:rPr>
      </w:pPr>
      <w:r>
        <w:rPr>
          <w:b/>
          <w:sz w:val="24"/>
          <w:u w:val="single"/>
        </w:rPr>
        <w:t>New/Deleted</w:t>
      </w:r>
      <w:r>
        <w:rPr>
          <w:b/>
          <w:spacing w:val="-6"/>
          <w:sz w:val="24"/>
          <w:u w:val="single"/>
        </w:rPr>
        <w:t> </w:t>
      </w:r>
      <w:r>
        <w:rPr>
          <w:b/>
          <w:spacing w:val="-4"/>
          <w:sz w:val="24"/>
          <w:u w:val="single"/>
        </w:rPr>
        <w:t>Risks</w:t>
      </w:r>
    </w:p>
    <w:p>
      <w:pPr>
        <w:pStyle w:val="BodyText"/>
        <w:spacing w:before="9"/>
        <w:rPr>
          <w:b/>
          <w:sz w:val="15"/>
        </w:rPr>
      </w:pPr>
    </w:p>
    <w:p>
      <w:pPr>
        <w:pStyle w:val="BodyText"/>
        <w:spacing w:before="100"/>
        <w:ind w:left="1418" w:right="1414"/>
        <w:jc w:val="both"/>
      </w:pPr>
      <w:r>
        <w:rPr/>
        <w:t>In addition to the Laundry Transformation Programme and Brecon House risks referred to above, the following risks have been added to the</w:t>
      </w:r>
      <w:r>
        <w:rPr>
          <w:spacing w:val="80"/>
        </w:rPr>
        <w:t> </w:t>
      </w:r>
      <w:r>
        <w:rPr/>
        <w:t>register since the last meeting of the SLG:</w:t>
      </w:r>
    </w:p>
    <w:p>
      <w:pPr>
        <w:pStyle w:val="BodyText"/>
      </w:pPr>
    </w:p>
    <w:p>
      <w:pPr>
        <w:pStyle w:val="ListParagraph"/>
        <w:numPr>
          <w:ilvl w:val="2"/>
          <w:numId w:val="35"/>
        </w:numPr>
        <w:tabs>
          <w:tab w:pos="2138" w:val="left" w:leader="none"/>
        </w:tabs>
        <w:spacing w:line="240" w:lineRule="auto" w:before="0" w:after="0"/>
        <w:ind w:left="2138" w:right="1415" w:hanging="360"/>
        <w:jc w:val="both"/>
        <w:rPr>
          <w:sz w:val="24"/>
        </w:rPr>
      </w:pPr>
      <w:r>
        <w:rPr>
          <w:sz w:val="24"/>
        </w:rPr>
        <w:t>Difficulties in recruiting staff leave us unable to meet the expectations of Welsh Government in playing a leading role in delivering the decarbonisation agenda; and</w:t>
      </w:r>
    </w:p>
    <w:p>
      <w:pPr>
        <w:pStyle w:val="ListParagraph"/>
        <w:numPr>
          <w:ilvl w:val="2"/>
          <w:numId w:val="35"/>
        </w:numPr>
        <w:tabs>
          <w:tab w:pos="2138" w:val="left" w:leader="none"/>
        </w:tabs>
        <w:spacing w:line="240" w:lineRule="auto" w:before="0" w:after="0"/>
        <w:ind w:left="2138" w:right="1413" w:hanging="360"/>
        <w:jc w:val="both"/>
        <w:rPr>
          <w:sz w:val="24"/>
        </w:rPr>
      </w:pPr>
      <w:r>
        <w:rPr>
          <w:sz w:val="24"/>
        </w:rPr>
        <w:t>The move to agile working, and the relatively imminent expiry of a number of our property leases, require urgent agreement of an Accommodation Strategy.</w:t>
      </w:r>
    </w:p>
    <w:p>
      <w:pPr>
        <w:pStyle w:val="BodyText"/>
        <w:spacing w:before="8"/>
        <w:rPr>
          <w:sz w:val="23"/>
        </w:rPr>
      </w:pPr>
    </w:p>
    <w:p>
      <w:pPr>
        <w:pStyle w:val="BodyText"/>
        <w:ind w:left="1418"/>
        <w:jc w:val="both"/>
      </w:pPr>
      <w:r>
        <w:rPr/>
        <w:t>Two</w:t>
      </w:r>
      <w:r>
        <w:rPr>
          <w:spacing w:val="-5"/>
        </w:rPr>
        <w:t> </w:t>
      </w:r>
      <w:r>
        <w:rPr/>
        <w:t>risks</w:t>
      </w:r>
      <w:r>
        <w:rPr>
          <w:spacing w:val="-1"/>
        </w:rPr>
        <w:t> </w:t>
      </w:r>
      <w:r>
        <w:rPr/>
        <w:t>were</w:t>
      </w:r>
      <w:r>
        <w:rPr>
          <w:spacing w:val="-2"/>
        </w:rPr>
        <w:t> </w:t>
      </w:r>
      <w:r>
        <w:rPr/>
        <w:t>also</w:t>
      </w:r>
      <w:r>
        <w:rPr>
          <w:spacing w:val="-2"/>
        </w:rPr>
        <w:t> </w:t>
      </w:r>
      <w:r>
        <w:rPr/>
        <w:t>removed</w:t>
      </w:r>
      <w:r>
        <w:rPr>
          <w:spacing w:val="-3"/>
        </w:rPr>
        <w:t> </w:t>
      </w:r>
      <w:r>
        <w:rPr/>
        <w:t>from</w:t>
      </w:r>
      <w:r>
        <w:rPr>
          <w:spacing w:val="-2"/>
        </w:rPr>
        <w:t> </w:t>
      </w:r>
      <w:r>
        <w:rPr/>
        <w:t>the</w:t>
      </w:r>
      <w:r>
        <w:rPr>
          <w:spacing w:val="-3"/>
        </w:rPr>
        <w:t> </w:t>
      </w:r>
      <w:r>
        <w:rPr/>
        <w:t>Register</w:t>
      </w:r>
      <w:r>
        <w:rPr>
          <w:spacing w:val="-1"/>
        </w:rPr>
        <w:t> </w:t>
      </w:r>
      <w:r>
        <w:rPr/>
        <w:t>as</w:t>
      </w:r>
      <w:r>
        <w:rPr>
          <w:spacing w:val="-1"/>
        </w:rPr>
        <w:t> </w:t>
      </w:r>
      <w:r>
        <w:rPr>
          <w:spacing w:val="-2"/>
        </w:rPr>
        <w:t>follows:</w:t>
      </w:r>
    </w:p>
    <w:p>
      <w:pPr>
        <w:pStyle w:val="BodyText"/>
      </w:pPr>
    </w:p>
    <w:p>
      <w:pPr>
        <w:pStyle w:val="ListParagraph"/>
        <w:numPr>
          <w:ilvl w:val="2"/>
          <w:numId w:val="35"/>
        </w:numPr>
        <w:tabs>
          <w:tab w:pos="2138" w:val="left" w:leader="none"/>
        </w:tabs>
        <w:spacing w:line="240" w:lineRule="auto" w:before="0" w:after="0"/>
        <w:ind w:left="2138" w:right="1414" w:hanging="360"/>
        <w:jc w:val="both"/>
        <w:rPr>
          <w:sz w:val="24"/>
        </w:rPr>
      </w:pPr>
      <w:r>
        <w:rPr>
          <w:sz w:val="24"/>
        </w:rPr>
        <w:t>The failure to engage with appropriate specialists (e.g. H&amp;S/Fire Safety, Information Security/IG) sufficiently early enough when considering major developments may result in actions being taken that do not consider all relevant potential issues; and</w:t>
      </w:r>
    </w:p>
    <w:p>
      <w:pPr>
        <w:spacing w:after="0" w:line="240" w:lineRule="auto"/>
        <w:jc w:val="both"/>
        <w:rPr>
          <w:sz w:val="24"/>
        </w:rPr>
        <w:sectPr>
          <w:footerReference w:type="default" r:id="rId161"/>
          <w:pgSz w:w="11910" w:h="16840"/>
          <w:pgMar w:footer="1092" w:header="0" w:top="1320" w:bottom="1280" w:left="0" w:right="0"/>
        </w:sectPr>
      </w:pPr>
    </w:p>
    <w:p>
      <w:pPr>
        <w:pStyle w:val="ListParagraph"/>
        <w:numPr>
          <w:ilvl w:val="2"/>
          <w:numId w:val="35"/>
        </w:numPr>
        <w:tabs>
          <w:tab w:pos="2138" w:val="left" w:leader="none"/>
        </w:tabs>
        <w:spacing w:line="240" w:lineRule="auto" w:before="80" w:after="0"/>
        <w:ind w:left="2138" w:right="1417" w:hanging="360"/>
        <w:jc w:val="both"/>
        <w:rPr>
          <w:sz w:val="24"/>
        </w:rPr>
      </w:pPr>
      <w:r>
        <w:rPr>
          <w:sz w:val="24"/>
        </w:rPr>
        <w:t>The introduction of new technology and the promotion of the digitisation agenda may impact NWSSP staff in terms of their</w:t>
      </w:r>
      <w:r>
        <w:rPr>
          <w:spacing w:val="40"/>
          <w:sz w:val="24"/>
        </w:rPr>
        <w:t> </w:t>
      </w:r>
      <w:r>
        <w:rPr>
          <w:sz w:val="24"/>
        </w:rPr>
        <w:t>current roles and responsibilities.</w:t>
      </w:r>
    </w:p>
    <w:p>
      <w:pPr>
        <w:pStyle w:val="BodyText"/>
        <w:spacing w:before="9"/>
        <w:rPr>
          <w:sz w:val="23"/>
        </w:rPr>
      </w:pPr>
    </w:p>
    <w:p>
      <w:pPr>
        <w:pStyle w:val="BodyText"/>
        <w:spacing w:before="1"/>
        <w:ind w:left="1418" w:right="617"/>
      </w:pPr>
      <w:r>
        <w:rPr/>
        <w:t>It was considered in both cases that appropriate action had been taken to mitigate the risk.</w:t>
      </w:r>
    </w:p>
    <w:p>
      <w:pPr>
        <w:pStyle w:val="BodyText"/>
        <w:spacing w:before="11"/>
        <w:rPr>
          <w:sz w:val="23"/>
        </w:rPr>
      </w:pPr>
    </w:p>
    <w:p>
      <w:pPr>
        <w:pStyle w:val="Heading9"/>
        <w:numPr>
          <w:ilvl w:val="0"/>
          <w:numId w:val="35"/>
        </w:numPr>
        <w:tabs>
          <w:tab w:pos="1779" w:val="left" w:leader="none"/>
        </w:tabs>
        <w:spacing w:line="240" w:lineRule="auto" w:before="1" w:after="0"/>
        <w:ind w:left="1778" w:right="0" w:hanging="361"/>
        <w:jc w:val="left"/>
      </w:pPr>
      <w:r>
        <w:rPr/>
        <w:t>RISKS</w:t>
      </w:r>
      <w:r>
        <w:rPr>
          <w:spacing w:val="-3"/>
        </w:rPr>
        <w:t> </w:t>
      </w:r>
      <w:r>
        <w:rPr/>
        <w:t>FOR</w:t>
      </w:r>
      <w:r>
        <w:rPr>
          <w:spacing w:val="-2"/>
        </w:rPr>
        <w:t> MONITORING</w:t>
      </w:r>
    </w:p>
    <w:p>
      <w:pPr>
        <w:pStyle w:val="BodyText"/>
        <w:spacing w:before="12"/>
        <w:rPr>
          <w:b/>
          <w:sz w:val="23"/>
        </w:rPr>
      </w:pPr>
    </w:p>
    <w:p>
      <w:pPr>
        <w:pStyle w:val="BodyText"/>
        <w:ind w:left="1418" w:right="1405"/>
      </w:pPr>
      <w:r>
        <w:rPr/>
        <w:t>There are eight risks that have reached their target score, and which are rated as follows:</w:t>
      </w:r>
    </w:p>
    <w:p>
      <w:pPr>
        <w:pStyle w:val="BodyText"/>
      </w:pPr>
    </w:p>
    <w:tbl>
      <w:tblPr>
        <w:tblW w:w="0" w:type="auto"/>
        <w:jc w:val="left"/>
        <w:tblInd w:w="39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7"/>
        <w:gridCol w:w="1794"/>
      </w:tblGrid>
      <w:tr>
        <w:trPr>
          <w:trHeight w:val="583" w:hRule="atLeast"/>
        </w:trPr>
        <w:tc>
          <w:tcPr>
            <w:tcW w:w="2257" w:type="dxa"/>
          </w:tcPr>
          <w:p>
            <w:pPr>
              <w:pStyle w:val="TableParagraph"/>
              <w:spacing w:line="290" w:lineRule="atLeast"/>
              <w:ind w:left="689" w:hanging="400"/>
              <w:rPr>
                <w:b/>
                <w:sz w:val="24"/>
              </w:rPr>
            </w:pPr>
            <w:r>
              <w:rPr>
                <w:b/>
                <w:sz w:val="24"/>
              </w:rPr>
              <w:t>Current</w:t>
            </w:r>
            <w:r>
              <w:rPr>
                <w:b/>
                <w:spacing w:val="-21"/>
                <w:sz w:val="24"/>
              </w:rPr>
              <w:t> </w:t>
            </w:r>
            <w:r>
              <w:rPr>
                <w:b/>
                <w:sz w:val="24"/>
              </w:rPr>
              <w:t>Risk </w:t>
            </w:r>
            <w:r>
              <w:rPr>
                <w:b/>
                <w:spacing w:val="-2"/>
                <w:sz w:val="24"/>
              </w:rPr>
              <w:t>Rating</w:t>
            </w:r>
          </w:p>
        </w:tc>
        <w:tc>
          <w:tcPr>
            <w:tcW w:w="1794" w:type="dxa"/>
          </w:tcPr>
          <w:p>
            <w:pPr>
              <w:pStyle w:val="TableParagraph"/>
              <w:spacing w:line="290" w:lineRule="atLeast"/>
              <w:ind w:left="555" w:right="346" w:hanging="195"/>
              <w:rPr>
                <w:b/>
                <w:sz w:val="24"/>
              </w:rPr>
            </w:pPr>
            <w:r>
              <w:rPr>
                <w:b/>
                <w:spacing w:val="-2"/>
                <w:sz w:val="24"/>
              </w:rPr>
              <w:t>January </w:t>
            </w:r>
            <w:r>
              <w:rPr>
                <w:b/>
                <w:spacing w:val="-4"/>
                <w:sz w:val="24"/>
              </w:rPr>
              <w:t>2023</w:t>
            </w:r>
          </w:p>
        </w:tc>
      </w:tr>
      <w:tr>
        <w:trPr>
          <w:trHeight w:val="291" w:hRule="atLeast"/>
        </w:trPr>
        <w:tc>
          <w:tcPr>
            <w:tcW w:w="2257" w:type="dxa"/>
          </w:tcPr>
          <w:p>
            <w:pPr>
              <w:pStyle w:val="TableParagraph"/>
              <w:spacing w:line="272" w:lineRule="exact"/>
              <w:ind w:left="430" w:right="421"/>
              <w:jc w:val="center"/>
              <w:rPr>
                <w:sz w:val="24"/>
              </w:rPr>
            </w:pPr>
            <w:r>
              <w:rPr>
                <w:sz w:val="24"/>
              </w:rPr>
              <w:t>Red</w:t>
            </w:r>
            <w:r>
              <w:rPr>
                <w:spacing w:val="-5"/>
                <w:sz w:val="24"/>
              </w:rPr>
              <w:t> </w:t>
            </w:r>
            <w:r>
              <w:rPr>
                <w:spacing w:val="-4"/>
                <w:sz w:val="24"/>
              </w:rPr>
              <w:t>Risk</w:t>
            </w:r>
          </w:p>
        </w:tc>
        <w:tc>
          <w:tcPr>
            <w:tcW w:w="1794" w:type="dxa"/>
            <w:shd w:val="clear" w:color="auto" w:fill="FF0000"/>
          </w:tcPr>
          <w:p>
            <w:pPr>
              <w:pStyle w:val="TableParagraph"/>
              <w:spacing w:line="272" w:lineRule="exact"/>
              <w:ind w:left="820"/>
              <w:rPr>
                <w:sz w:val="24"/>
              </w:rPr>
            </w:pPr>
            <w:r>
              <w:rPr>
                <w:sz w:val="24"/>
              </w:rPr>
              <w:t>0</w:t>
            </w:r>
          </w:p>
        </w:tc>
      </w:tr>
      <w:tr>
        <w:trPr>
          <w:trHeight w:val="291" w:hRule="atLeast"/>
        </w:trPr>
        <w:tc>
          <w:tcPr>
            <w:tcW w:w="2257" w:type="dxa"/>
          </w:tcPr>
          <w:p>
            <w:pPr>
              <w:pStyle w:val="TableParagraph"/>
              <w:spacing w:line="272" w:lineRule="exact"/>
              <w:ind w:left="430" w:right="421"/>
              <w:jc w:val="center"/>
              <w:rPr>
                <w:sz w:val="24"/>
              </w:rPr>
            </w:pPr>
            <w:r>
              <w:rPr>
                <w:sz w:val="24"/>
              </w:rPr>
              <w:t>Amber</w:t>
            </w:r>
            <w:r>
              <w:rPr>
                <w:spacing w:val="-6"/>
                <w:sz w:val="24"/>
              </w:rPr>
              <w:t> </w:t>
            </w:r>
            <w:r>
              <w:rPr>
                <w:spacing w:val="-4"/>
                <w:sz w:val="24"/>
              </w:rPr>
              <w:t>Risk</w:t>
            </w:r>
          </w:p>
        </w:tc>
        <w:tc>
          <w:tcPr>
            <w:tcW w:w="1794" w:type="dxa"/>
            <w:shd w:val="clear" w:color="auto" w:fill="FFC000"/>
          </w:tcPr>
          <w:p>
            <w:pPr>
              <w:pStyle w:val="TableParagraph"/>
              <w:spacing w:line="272" w:lineRule="exact"/>
              <w:ind w:left="820"/>
              <w:rPr>
                <w:sz w:val="24"/>
              </w:rPr>
            </w:pPr>
            <w:r>
              <w:rPr>
                <w:sz w:val="24"/>
              </w:rPr>
              <w:t>0</w:t>
            </w:r>
          </w:p>
        </w:tc>
      </w:tr>
      <w:tr>
        <w:trPr>
          <w:trHeight w:val="291" w:hRule="atLeast"/>
        </w:trPr>
        <w:tc>
          <w:tcPr>
            <w:tcW w:w="2257" w:type="dxa"/>
          </w:tcPr>
          <w:p>
            <w:pPr>
              <w:pStyle w:val="TableParagraph"/>
              <w:spacing w:line="272" w:lineRule="exact"/>
              <w:ind w:left="430" w:right="421"/>
              <w:jc w:val="center"/>
              <w:rPr>
                <w:sz w:val="24"/>
              </w:rPr>
            </w:pPr>
            <w:r>
              <w:rPr>
                <w:sz w:val="24"/>
              </w:rPr>
              <w:t>Yellow</w:t>
            </w:r>
            <w:r>
              <w:rPr>
                <w:spacing w:val="-3"/>
                <w:sz w:val="24"/>
              </w:rPr>
              <w:t> </w:t>
            </w:r>
            <w:r>
              <w:rPr>
                <w:spacing w:val="-4"/>
                <w:sz w:val="24"/>
              </w:rPr>
              <w:t>Risk</w:t>
            </w:r>
          </w:p>
        </w:tc>
        <w:tc>
          <w:tcPr>
            <w:tcW w:w="1794" w:type="dxa"/>
            <w:shd w:val="clear" w:color="auto" w:fill="FFFF00"/>
          </w:tcPr>
          <w:p>
            <w:pPr>
              <w:pStyle w:val="TableParagraph"/>
              <w:spacing w:line="272" w:lineRule="exact"/>
              <w:ind w:left="820"/>
              <w:rPr>
                <w:sz w:val="24"/>
              </w:rPr>
            </w:pPr>
            <w:r>
              <w:rPr>
                <w:sz w:val="24"/>
              </w:rPr>
              <w:t>2</w:t>
            </w:r>
          </w:p>
        </w:tc>
      </w:tr>
      <w:tr>
        <w:trPr>
          <w:trHeight w:val="291" w:hRule="atLeast"/>
        </w:trPr>
        <w:tc>
          <w:tcPr>
            <w:tcW w:w="2257" w:type="dxa"/>
          </w:tcPr>
          <w:p>
            <w:pPr>
              <w:pStyle w:val="TableParagraph"/>
              <w:spacing w:line="272" w:lineRule="exact"/>
              <w:ind w:left="430" w:right="421"/>
              <w:jc w:val="center"/>
              <w:rPr>
                <w:sz w:val="24"/>
              </w:rPr>
            </w:pPr>
            <w:r>
              <w:rPr>
                <w:sz w:val="24"/>
              </w:rPr>
              <w:t>Green</w:t>
            </w:r>
            <w:r>
              <w:rPr>
                <w:spacing w:val="-7"/>
                <w:sz w:val="24"/>
              </w:rPr>
              <w:t> </w:t>
            </w:r>
            <w:r>
              <w:rPr>
                <w:spacing w:val="-4"/>
                <w:sz w:val="24"/>
              </w:rPr>
              <w:t>Risk</w:t>
            </w:r>
          </w:p>
        </w:tc>
        <w:tc>
          <w:tcPr>
            <w:tcW w:w="1794" w:type="dxa"/>
            <w:shd w:val="clear" w:color="auto" w:fill="92D050"/>
          </w:tcPr>
          <w:p>
            <w:pPr>
              <w:pStyle w:val="TableParagraph"/>
              <w:spacing w:line="272" w:lineRule="exact"/>
              <w:ind w:left="820"/>
              <w:rPr>
                <w:sz w:val="24"/>
              </w:rPr>
            </w:pPr>
            <w:r>
              <w:rPr>
                <w:sz w:val="24"/>
              </w:rPr>
              <w:t>6</w:t>
            </w:r>
          </w:p>
        </w:tc>
      </w:tr>
      <w:tr>
        <w:trPr>
          <w:trHeight w:val="291" w:hRule="atLeast"/>
        </w:trPr>
        <w:tc>
          <w:tcPr>
            <w:tcW w:w="2257" w:type="dxa"/>
          </w:tcPr>
          <w:p>
            <w:pPr>
              <w:pStyle w:val="TableParagraph"/>
              <w:spacing w:line="272" w:lineRule="exact"/>
              <w:ind w:left="430" w:right="420"/>
              <w:jc w:val="center"/>
              <w:rPr>
                <w:b/>
                <w:sz w:val="24"/>
              </w:rPr>
            </w:pPr>
            <w:r>
              <w:rPr>
                <w:b/>
                <w:spacing w:val="-2"/>
                <w:sz w:val="24"/>
              </w:rPr>
              <w:t>Total</w:t>
            </w:r>
          </w:p>
        </w:tc>
        <w:tc>
          <w:tcPr>
            <w:tcW w:w="1794" w:type="dxa"/>
          </w:tcPr>
          <w:p>
            <w:pPr>
              <w:pStyle w:val="TableParagraph"/>
              <w:spacing w:line="272" w:lineRule="exact"/>
              <w:ind w:left="811"/>
              <w:rPr>
                <w:b/>
                <w:sz w:val="24"/>
              </w:rPr>
            </w:pPr>
            <w:r>
              <w:rPr>
                <w:b/>
                <w:sz w:val="24"/>
              </w:rPr>
              <w:t>8</w:t>
            </w:r>
          </w:p>
        </w:tc>
      </w:tr>
    </w:tbl>
    <w:p>
      <w:pPr>
        <w:pStyle w:val="BodyText"/>
        <w:rPr>
          <w:sz w:val="28"/>
        </w:rPr>
      </w:pPr>
    </w:p>
    <w:p>
      <w:pPr>
        <w:pStyle w:val="Heading9"/>
        <w:numPr>
          <w:ilvl w:val="0"/>
          <w:numId w:val="36"/>
        </w:numPr>
        <w:tabs>
          <w:tab w:pos="1779" w:val="left" w:leader="none"/>
        </w:tabs>
        <w:spacing w:line="240" w:lineRule="auto" w:before="247" w:after="0"/>
        <w:ind w:left="1778" w:right="0" w:hanging="361"/>
        <w:jc w:val="left"/>
      </w:pPr>
      <w:r>
        <w:rPr>
          <w:spacing w:val="-2"/>
        </w:rPr>
        <w:t>RECOMMENDATION</w:t>
      </w:r>
    </w:p>
    <w:p>
      <w:pPr>
        <w:pStyle w:val="BodyText"/>
        <w:spacing w:before="11"/>
        <w:rPr>
          <w:b/>
          <w:sz w:val="23"/>
        </w:rPr>
      </w:pPr>
    </w:p>
    <w:p>
      <w:pPr>
        <w:pStyle w:val="BodyText"/>
        <w:spacing w:before="1"/>
        <w:ind w:left="1418"/>
      </w:pPr>
      <w:r>
        <w:rPr/>
        <w:t>The</w:t>
      </w:r>
      <w:r>
        <w:rPr>
          <w:spacing w:val="-6"/>
        </w:rPr>
        <w:t> </w:t>
      </w:r>
      <w:r>
        <w:rPr/>
        <w:t>Audit</w:t>
      </w:r>
      <w:r>
        <w:rPr>
          <w:spacing w:val="-2"/>
        </w:rPr>
        <w:t> </w:t>
      </w:r>
      <w:r>
        <w:rPr/>
        <w:t>Committee</w:t>
      </w:r>
      <w:r>
        <w:rPr>
          <w:spacing w:val="-3"/>
        </w:rPr>
        <w:t> </w:t>
      </w:r>
      <w:r>
        <w:rPr/>
        <w:t>is</w:t>
      </w:r>
      <w:r>
        <w:rPr>
          <w:spacing w:val="-3"/>
        </w:rPr>
        <w:t> </w:t>
      </w:r>
      <w:r>
        <w:rPr/>
        <w:t>asked</w:t>
      </w:r>
      <w:r>
        <w:rPr>
          <w:spacing w:val="-2"/>
        </w:rPr>
        <w:t> </w:t>
      </w:r>
      <w:r>
        <w:rPr>
          <w:spacing w:val="-5"/>
        </w:rPr>
        <w:t>to:</w:t>
      </w:r>
    </w:p>
    <w:p>
      <w:pPr>
        <w:pStyle w:val="BodyText"/>
        <w:spacing w:before="12"/>
        <w:rPr>
          <w:sz w:val="23"/>
        </w:rPr>
      </w:pPr>
    </w:p>
    <w:p>
      <w:pPr>
        <w:pStyle w:val="ListParagraph"/>
        <w:numPr>
          <w:ilvl w:val="1"/>
          <w:numId w:val="36"/>
        </w:numPr>
        <w:tabs>
          <w:tab w:pos="2137" w:val="left" w:leader="none"/>
          <w:tab w:pos="2138" w:val="left" w:leader="none"/>
        </w:tabs>
        <w:spacing w:line="240" w:lineRule="auto" w:before="0" w:after="0"/>
        <w:ind w:left="2138" w:right="0" w:hanging="360"/>
        <w:jc w:val="left"/>
        <w:rPr>
          <w:sz w:val="24"/>
        </w:rPr>
      </w:pPr>
      <w:r>
        <w:rPr>
          <w:b/>
          <w:sz w:val="24"/>
        </w:rPr>
        <w:t>NOTE</w:t>
      </w:r>
      <w:r>
        <w:rPr>
          <w:b/>
          <w:spacing w:val="-5"/>
          <w:sz w:val="24"/>
        </w:rPr>
        <w:t> </w:t>
      </w:r>
      <w:r>
        <w:rPr>
          <w:sz w:val="24"/>
        </w:rPr>
        <w:t>the</w:t>
      </w:r>
      <w:r>
        <w:rPr>
          <w:spacing w:val="-3"/>
          <w:sz w:val="24"/>
        </w:rPr>
        <w:t> </w:t>
      </w:r>
      <w:r>
        <w:rPr>
          <w:sz w:val="24"/>
        </w:rPr>
        <w:t>Corporate</w:t>
      </w:r>
      <w:r>
        <w:rPr>
          <w:spacing w:val="-4"/>
          <w:sz w:val="24"/>
        </w:rPr>
        <w:t> </w:t>
      </w:r>
      <w:r>
        <w:rPr>
          <w:sz w:val="24"/>
        </w:rPr>
        <w:t>Risk</w:t>
      </w:r>
      <w:r>
        <w:rPr>
          <w:spacing w:val="-4"/>
          <w:sz w:val="24"/>
        </w:rPr>
        <w:t> </w:t>
      </w:r>
      <w:r>
        <w:rPr>
          <w:spacing w:val="-2"/>
          <w:sz w:val="24"/>
        </w:rPr>
        <w:t>Register.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pStyle w:val="BodyText"/>
        <w:spacing w:before="100"/>
        <w:ind w:left="1418"/>
      </w:pPr>
      <w:r>
        <w:rPr/>
        <w:t>NWSSP</w:t>
      </w:r>
      <w:r>
        <w:rPr>
          <w:spacing w:val="-4"/>
        </w:rPr>
        <w:t> </w:t>
      </w:r>
      <w:r>
        <w:rPr/>
        <w:t>Audit</w:t>
      </w:r>
      <w:r>
        <w:rPr>
          <w:spacing w:val="-2"/>
        </w:rPr>
        <w:t> Committee</w:t>
      </w:r>
    </w:p>
    <w:p>
      <w:pPr>
        <w:pStyle w:val="BodyText"/>
        <w:tabs>
          <w:tab w:pos="10210" w:val="right" w:leader="none"/>
        </w:tabs>
        <w:ind w:left="1418"/>
      </w:pPr>
      <w:r>
        <w:rPr/>
        <w:t>24</w:t>
      </w:r>
      <w:r>
        <w:rPr>
          <w:spacing w:val="-4"/>
        </w:rPr>
        <w:t> </w:t>
      </w:r>
      <w:r>
        <w:rPr/>
        <w:t>January</w:t>
      </w:r>
      <w:r>
        <w:rPr>
          <w:spacing w:val="-1"/>
        </w:rPr>
        <w:t> </w:t>
      </w:r>
      <w:r>
        <w:rPr>
          <w:spacing w:val="-4"/>
        </w:rPr>
        <w:t>2023</w:t>
      </w:r>
      <w:r>
        <w:rPr/>
        <w:tab/>
      </w:r>
      <w:r>
        <w:rPr>
          <w:spacing w:val="-10"/>
        </w:rPr>
        <w:t>3</w:t>
      </w:r>
    </w:p>
    <w:p>
      <w:pPr>
        <w:spacing w:after="0"/>
        <w:sectPr>
          <w:footerReference w:type="default" r:id="rId162"/>
          <w:pgSz w:w="11910" w:h="16840"/>
          <w:pgMar w:footer="173" w:header="0" w:top="1320" w:bottom="360" w:left="0" w:right="0"/>
        </w:sectPr>
      </w:pPr>
    </w:p>
    <w:tbl>
      <w:tblPr>
        <w:tblW w:w="0" w:type="auto"/>
        <w:jc w:val="left"/>
        <w:tblInd w:w="11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667"/>
        <w:gridCol w:w="3583"/>
        <w:gridCol w:w="583"/>
        <w:gridCol w:w="660"/>
        <w:gridCol w:w="713"/>
        <w:gridCol w:w="3679"/>
        <w:gridCol w:w="583"/>
        <w:gridCol w:w="621"/>
        <w:gridCol w:w="698"/>
        <w:gridCol w:w="3499"/>
        <w:gridCol w:w="4226"/>
        <w:gridCol w:w="888"/>
        <w:gridCol w:w="1246"/>
      </w:tblGrid>
      <w:tr>
        <w:trPr>
          <w:trHeight w:val="685" w:hRule="atLeast"/>
        </w:trPr>
        <w:tc>
          <w:tcPr>
            <w:tcW w:w="21646" w:type="dxa"/>
            <w:gridSpan w:val="13"/>
          </w:tcPr>
          <w:p>
            <w:pPr>
              <w:pStyle w:val="TableParagraph"/>
              <w:spacing w:before="204"/>
              <w:ind w:left="9454" w:right="9423"/>
              <w:jc w:val="center"/>
              <w:rPr>
                <w:rFonts w:ascii="Arial"/>
                <w:b/>
                <w:sz w:val="23"/>
              </w:rPr>
            </w:pPr>
            <w:bookmarkStart w:name=" 6.2.2 Corporate Risk Register 20230113." w:id="66"/>
            <w:bookmarkEnd w:id="66"/>
            <w:r>
              <w:rPr/>
            </w:r>
            <w:r>
              <w:rPr>
                <w:rFonts w:ascii="Arial"/>
                <w:b/>
                <w:spacing w:val="-2"/>
                <w:w w:val="105"/>
                <w:sz w:val="23"/>
              </w:rPr>
              <w:t>Corporate</w:t>
            </w:r>
            <w:r>
              <w:rPr>
                <w:rFonts w:ascii="Arial"/>
                <w:b/>
                <w:spacing w:val="-6"/>
                <w:w w:val="105"/>
                <w:sz w:val="23"/>
              </w:rPr>
              <w:t> </w:t>
            </w:r>
            <w:r>
              <w:rPr>
                <w:rFonts w:ascii="Arial"/>
                <w:b/>
                <w:spacing w:val="-2"/>
                <w:w w:val="105"/>
                <w:sz w:val="23"/>
              </w:rPr>
              <w:t>Risk</w:t>
            </w:r>
            <w:r>
              <w:rPr>
                <w:rFonts w:ascii="Arial"/>
                <w:b/>
                <w:spacing w:val="-4"/>
                <w:w w:val="105"/>
                <w:sz w:val="23"/>
              </w:rPr>
              <w:t> </w:t>
            </w:r>
            <w:r>
              <w:rPr>
                <w:rFonts w:ascii="Arial"/>
                <w:b/>
                <w:spacing w:val="-2"/>
                <w:w w:val="105"/>
                <w:sz w:val="23"/>
              </w:rPr>
              <w:t>Register</w:t>
            </w:r>
          </w:p>
        </w:tc>
      </w:tr>
      <w:tr>
        <w:trPr>
          <w:trHeight w:val="429" w:hRule="atLeast"/>
        </w:trPr>
        <w:tc>
          <w:tcPr>
            <w:tcW w:w="667" w:type="dxa"/>
            <w:vMerge w:val="restart"/>
            <w:shd w:val="clear" w:color="auto" w:fill="A5A5A5"/>
          </w:tcPr>
          <w:p>
            <w:pPr>
              <w:pStyle w:val="TableParagraph"/>
              <w:spacing w:before="13"/>
              <w:ind w:left="194"/>
              <w:rPr>
                <w:rFonts w:ascii="Arial"/>
                <w:b/>
                <w:sz w:val="17"/>
              </w:rPr>
            </w:pPr>
            <w:r>
              <w:rPr>
                <w:rFonts w:ascii="Arial"/>
                <w:b/>
                <w:spacing w:val="-5"/>
                <w:w w:val="105"/>
                <w:sz w:val="17"/>
              </w:rPr>
              <w:t>Ref</w:t>
            </w:r>
          </w:p>
        </w:tc>
        <w:tc>
          <w:tcPr>
            <w:tcW w:w="3583" w:type="dxa"/>
            <w:vMerge w:val="restart"/>
            <w:shd w:val="clear" w:color="auto" w:fill="A5A5A5"/>
          </w:tcPr>
          <w:p>
            <w:pPr>
              <w:pStyle w:val="TableParagraph"/>
              <w:spacing w:before="13"/>
              <w:ind w:left="1183"/>
              <w:rPr>
                <w:rFonts w:ascii="Arial"/>
                <w:b/>
                <w:sz w:val="17"/>
              </w:rPr>
            </w:pPr>
            <w:r>
              <w:rPr>
                <w:rFonts w:ascii="Arial"/>
                <w:b/>
                <w:w w:val="105"/>
                <w:sz w:val="17"/>
              </w:rPr>
              <w:t>Risk</w:t>
            </w:r>
            <w:r>
              <w:rPr>
                <w:rFonts w:ascii="Arial"/>
                <w:b/>
                <w:spacing w:val="-4"/>
                <w:w w:val="105"/>
                <w:sz w:val="17"/>
              </w:rPr>
              <w:t> </w:t>
            </w:r>
            <w:r>
              <w:rPr>
                <w:rFonts w:ascii="Arial"/>
                <w:b/>
                <w:spacing w:val="-2"/>
                <w:w w:val="105"/>
                <w:sz w:val="17"/>
              </w:rPr>
              <w:t>Summary</w:t>
            </w:r>
          </w:p>
        </w:tc>
        <w:tc>
          <w:tcPr>
            <w:tcW w:w="1956" w:type="dxa"/>
            <w:gridSpan w:val="3"/>
            <w:shd w:val="clear" w:color="auto" w:fill="A5A5A5"/>
          </w:tcPr>
          <w:p>
            <w:pPr>
              <w:pStyle w:val="TableParagraph"/>
              <w:spacing w:before="13"/>
              <w:ind w:left="424"/>
              <w:rPr>
                <w:rFonts w:ascii="Arial"/>
                <w:b/>
                <w:sz w:val="17"/>
              </w:rPr>
            </w:pPr>
            <w:r>
              <w:rPr>
                <w:rFonts w:ascii="Arial"/>
                <w:b/>
                <w:w w:val="105"/>
                <w:sz w:val="17"/>
              </w:rPr>
              <w:t>Inherent</w:t>
            </w:r>
            <w:r>
              <w:rPr>
                <w:rFonts w:ascii="Arial"/>
                <w:b/>
                <w:spacing w:val="-10"/>
                <w:w w:val="105"/>
                <w:sz w:val="17"/>
              </w:rPr>
              <w:t> </w:t>
            </w:r>
            <w:r>
              <w:rPr>
                <w:rFonts w:ascii="Arial"/>
                <w:b/>
                <w:spacing w:val="-4"/>
                <w:w w:val="105"/>
                <w:sz w:val="17"/>
              </w:rPr>
              <w:t>Risk</w:t>
            </w:r>
          </w:p>
        </w:tc>
        <w:tc>
          <w:tcPr>
            <w:tcW w:w="3679" w:type="dxa"/>
            <w:vMerge w:val="restart"/>
            <w:shd w:val="clear" w:color="auto" w:fill="A5A5A5"/>
          </w:tcPr>
          <w:p>
            <w:pPr>
              <w:pStyle w:val="TableParagraph"/>
              <w:spacing w:before="13"/>
              <w:ind w:left="523"/>
              <w:rPr>
                <w:rFonts w:ascii="Arial"/>
                <w:b/>
                <w:sz w:val="17"/>
              </w:rPr>
            </w:pPr>
            <w:r>
              <w:rPr>
                <w:rFonts w:ascii="Arial"/>
                <w:b/>
                <w:w w:val="105"/>
                <w:sz w:val="17"/>
              </w:rPr>
              <w:t>Existing</w:t>
            </w:r>
            <w:r>
              <w:rPr>
                <w:rFonts w:ascii="Arial"/>
                <w:b/>
                <w:spacing w:val="-6"/>
                <w:w w:val="105"/>
                <w:sz w:val="17"/>
              </w:rPr>
              <w:t> </w:t>
            </w:r>
            <w:r>
              <w:rPr>
                <w:rFonts w:ascii="Arial"/>
                <w:b/>
                <w:w w:val="105"/>
                <w:sz w:val="17"/>
              </w:rPr>
              <w:t>Controls</w:t>
            </w:r>
            <w:r>
              <w:rPr>
                <w:rFonts w:ascii="Arial"/>
                <w:b/>
                <w:spacing w:val="-4"/>
                <w:w w:val="105"/>
                <w:sz w:val="17"/>
              </w:rPr>
              <w:t> </w:t>
            </w:r>
            <w:r>
              <w:rPr>
                <w:rFonts w:ascii="Arial"/>
                <w:b/>
                <w:w w:val="105"/>
                <w:sz w:val="17"/>
              </w:rPr>
              <w:t>&amp;</w:t>
            </w:r>
            <w:r>
              <w:rPr>
                <w:rFonts w:ascii="Arial"/>
                <w:b/>
                <w:spacing w:val="-5"/>
                <w:w w:val="105"/>
                <w:sz w:val="17"/>
              </w:rPr>
              <w:t> </w:t>
            </w:r>
            <w:r>
              <w:rPr>
                <w:rFonts w:ascii="Arial"/>
                <w:b/>
                <w:spacing w:val="-2"/>
                <w:w w:val="105"/>
                <w:sz w:val="17"/>
              </w:rPr>
              <w:t>Mitigations</w:t>
            </w:r>
          </w:p>
        </w:tc>
        <w:tc>
          <w:tcPr>
            <w:tcW w:w="1902" w:type="dxa"/>
            <w:gridSpan w:val="3"/>
            <w:shd w:val="clear" w:color="auto" w:fill="A5A5A5"/>
          </w:tcPr>
          <w:p>
            <w:pPr>
              <w:pStyle w:val="TableParagraph"/>
              <w:spacing w:before="13"/>
              <w:ind w:left="422"/>
              <w:rPr>
                <w:rFonts w:ascii="Arial"/>
                <w:b/>
                <w:sz w:val="17"/>
              </w:rPr>
            </w:pPr>
            <w:r>
              <w:rPr>
                <w:rFonts w:ascii="Arial"/>
                <w:b/>
                <w:w w:val="105"/>
                <w:sz w:val="17"/>
              </w:rPr>
              <w:t>Current</w:t>
            </w:r>
            <w:r>
              <w:rPr>
                <w:rFonts w:ascii="Arial"/>
                <w:b/>
                <w:spacing w:val="-9"/>
                <w:w w:val="105"/>
                <w:sz w:val="17"/>
              </w:rPr>
              <w:t> </w:t>
            </w:r>
            <w:r>
              <w:rPr>
                <w:rFonts w:ascii="Arial"/>
                <w:b/>
                <w:spacing w:val="-4"/>
                <w:w w:val="105"/>
                <w:sz w:val="17"/>
              </w:rPr>
              <w:t>Risk</w:t>
            </w:r>
          </w:p>
        </w:tc>
        <w:tc>
          <w:tcPr>
            <w:tcW w:w="3499" w:type="dxa"/>
            <w:vMerge w:val="restart"/>
            <w:shd w:val="clear" w:color="auto" w:fill="A5A5A5"/>
          </w:tcPr>
          <w:p>
            <w:pPr>
              <w:pStyle w:val="TableParagraph"/>
              <w:spacing w:before="13"/>
              <w:ind w:left="735"/>
              <w:rPr>
                <w:rFonts w:ascii="Arial"/>
                <w:b/>
                <w:sz w:val="17"/>
              </w:rPr>
            </w:pPr>
            <w:r>
              <w:rPr>
                <w:rFonts w:ascii="Arial"/>
                <w:b/>
                <w:w w:val="105"/>
                <w:sz w:val="17"/>
              </w:rPr>
              <w:t>Further</w:t>
            </w:r>
            <w:r>
              <w:rPr>
                <w:rFonts w:ascii="Arial"/>
                <w:b/>
                <w:spacing w:val="-9"/>
                <w:w w:val="105"/>
                <w:sz w:val="17"/>
              </w:rPr>
              <w:t> </w:t>
            </w:r>
            <w:r>
              <w:rPr>
                <w:rFonts w:ascii="Arial"/>
                <w:b/>
                <w:w w:val="105"/>
                <w:sz w:val="17"/>
              </w:rPr>
              <w:t>Action</w:t>
            </w:r>
            <w:r>
              <w:rPr>
                <w:rFonts w:ascii="Arial"/>
                <w:b/>
                <w:spacing w:val="-9"/>
                <w:w w:val="105"/>
                <w:sz w:val="17"/>
              </w:rPr>
              <w:t> </w:t>
            </w:r>
            <w:r>
              <w:rPr>
                <w:rFonts w:ascii="Arial"/>
                <w:b/>
                <w:spacing w:val="-2"/>
                <w:w w:val="105"/>
                <w:sz w:val="17"/>
              </w:rPr>
              <w:t>Required</w:t>
            </w:r>
          </w:p>
        </w:tc>
        <w:tc>
          <w:tcPr>
            <w:tcW w:w="4226" w:type="dxa"/>
            <w:vMerge w:val="restart"/>
            <w:shd w:val="clear" w:color="auto" w:fill="A5A5A5"/>
          </w:tcPr>
          <w:p>
            <w:pPr>
              <w:pStyle w:val="TableParagraph"/>
              <w:spacing w:before="13"/>
              <w:ind w:left="1719" w:right="1694"/>
              <w:jc w:val="center"/>
              <w:rPr>
                <w:rFonts w:ascii="Arial"/>
                <w:b/>
                <w:sz w:val="17"/>
              </w:rPr>
            </w:pPr>
            <w:r>
              <w:rPr>
                <w:rFonts w:ascii="Arial"/>
                <w:b/>
                <w:spacing w:val="-2"/>
                <w:w w:val="105"/>
                <w:sz w:val="17"/>
              </w:rPr>
              <w:t>Progress</w:t>
            </w:r>
          </w:p>
        </w:tc>
        <w:tc>
          <w:tcPr>
            <w:tcW w:w="888" w:type="dxa"/>
            <w:vMerge w:val="restart"/>
            <w:shd w:val="clear" w:color="auto" w:fill="A5A5A5"/>
          </w:tcPr>
          <w:p>
            <w:pPr>
              <w:pStyle w:val="TableParagraph"/>
              <w:spacing w:line="273" w:lineRule="auto" w:before="13"/>
              <w:ind w:left="45" w:right="15"/>
              <w:jc w:val="center"/>
              <w:rPr>
                <w:rFonts w:ascii="Arial"/>
                <w:b/>
                <w:sz w:val="17"/>
              </w:rPr>
            </w:pPr>
            <w:r>
              <w:rPr>
                <w:rFonts w:ascii="Arial"/>
                <w:b/>
                <w:spacing w:val="-4"/>
                <w:w w:val="105"/>
                <w:sz w:val="17"/>
              </w:rPr>
              <w:t>Trend </w:t>
            </w:r>
            <w:r>
              <w:rPr>
                <w:rFonts w:ascii="Arial"/>
                <w:b/>
                <w:w w:val="105"/>
                <w:sz w:val="17"/>
              </w:rPr>
              <w:t>since</w:t>
            </w:r>
            <w:r>
              <w:rPr>
                <w:rFonts w:ascii="Arial"/>
                <w:b/>
                <w:spacing w:val="-13"/>
                <w:w w:val="105"/>
                <w:sz w:val="17"/>
              </w:rPr>
              <w:t> </w:t>
            </w:r>
            <w:r>
              <w:rPr>
                <w:rFonts w:ascii="Arial"/>
                <w:b/>
                <w:w w:val="105"/>
                <w:sz w:val="17"/>
              </w:rPr>
              <w:t>last </w:t>
            </w:r>
            <w:r>
              <w:rPr>
                <w:rFonts w:ascii="Arial"/>
                <w:b/>
                <w:spacing w:val="-2"/>
                <w:w w:val="105"/>
                <w:sz w:val="17"/>
              </w:rPr>
              <w:t>review</w:t>
            </w:r>
          </w:p>
        </w:tc>
        <w:tc>
          <w:tcPr>
            <w:tcW w:w="1246" w:type="dxa"/>
            <w:vMerge w:val="restart"/>
            <w:shd w:val="clear" w:color="auto" w:fill="A5A5A5"/>
          </w:tcPr>
          <w:p>
            <w:pPr>
              <w:pStyle w:val="TableParagraph"/>
              <w:spacing w:before="13"/>
              <w:ind w:left="50"/>
              <w:rPr>
                <w:rFonts w:ascii="Arial"/>
                <w:b/>
                <w:sz w:val="17"/>
              </w:rPr>
            </w:pPr>
            <w:r>
              <w:rPr>
                <w:rFonts w:ascii="Arial"/>
                <w:b/>
                <w:w w:val="105"/>
                <w:sz w:val="17"/>
              </w:rPr>
              <w:t>Target</w:t>
            </w:r>
            <w:r>
              <w:rPr>
                <w:rFonts w:ascii="Arial"/>
                <w:b/>
                <w:spacing w:val="-2"/>
                <w:w w:val="105"/>
                <w:sz w:val="17"/>
              </w:rPr>
              <w:t> </w:t>
            </w:r>
            <w:r>
              <w:rPr>
                <w:rFonts w:ascii="Arial"/>
                <w:b/>
                <w:w w:val="105"/>
                <w:sz w:val="17"/>
              </w:rPr>
              <w:t>&amp;</w:t>
            </w:r>
            <w:r>
              <w:rPr>
                <w:rFonts w:ascii="Arial"/>
                <w:b/>
                <w:spacing w:val="-4"/>
                <w:w w:val="105"/>
                <w:sz w:val="17"/>
              </w:rPr>
              <w:t> Date</w:t>
            </w:r>
          </w:p>
        </w:tc>
      </w:tr>
      <w:tr>
        <w:trPr>
          <w:trHeight w:val="1213" w:hRule="atLeast"/>
        </w:trPr>
        <w:tc>
          <w:tcPr>
            <w:tcW w:w="667" w:type="dxa"/>
            <w:vMerge/>
            <w:tcBorders>
              <w:top w:val="nil"/>
            </w:tcBorders>
            <w:shd w:val="clear" w:color="auto" w:fill="A5A5A5"/>
          </w:tcPr>
          <w:p>
            <w:pPr>
              <w:rPr>
                <w:sz w:val="2"/>
                <w:szCs w:val="2"/>
              </w:rPr>
            </w:pPr>
          </w:p>
        </w:tc>
        <w:tc>
          <w:tcPr>
            <w:tcW w:w="3583" w:type="dxa"/>
            <w:vMerge/>
            <w:tcBorders>
              <w:top w:val="nil"/>
            </w:tcBorders>
            <w:shd w:val="clear" w:color="auto" w:fill="A5A5A5"/>
          </w:tcPr>
          <w:p>
            <w:pPr>
              <w:rPr>
                <w:sz w:val="2"/>
                <w:szCs w:val="2"/>
              </w:rPr>
            </w:pPr>
          </w:p>
        </w:tc>
        <w:tc>
          <w:tcPr>
            <w:tcW w:w="583" w:type="dxa"/>
            <w:shd w:val="clear" w:color="auto" w:fill="A5A5A5"/>
            <w:textDirection w:val="btLr"/>
          </w:tcPr>
          <w:p>
            <w:pPr>
              <w:pStyle w:val="TableParagraph"/>
              <w:spacing w:before="8"/>
              <w:rPr>
                <w:sz w:val="15"/>
              </w:rPr>
            </w:pPr>
          </w:p>
          <w:p>
            <w:pPr>
              <w:pStyle w:val="TableParagraph"/>
              <w:ind w:left="11"/>
              <w:rPr>
                <w:rFonts w:ascii="Arial"/>
                <w:b/>
                <w:sz w:val="17"/>
              </w:rPr>
            </w:pPr>
            <w:r>
              <w:rPr>
                <w:rFonts w:ascii="Arial"/>
                <w:b/>
                <w:spacing w:val="-2"/>
                <w:w w:val="105"/>
                <w:sz w:val="17"/>
              </w:rPr>
              <w:t>Likelihood</w:t>
            </w:r>
          </w:p>
        </w:tc>
        <w:tc>
          <w:tcPr>
            <w:tcW w:w="660" w:type="dxa"/>
            <w:shd w:val="clear" w:color="auto" w:fill="A5A5A5"/>
            <w:textDirection w:val="btLr"/>
          </w:tcPr>
          <w:p>
            <w:pPr>
              <w:pStyle w:val="TableParagraph"/>
              <w:spacing w:before="10"/>
              <w:rPr>
                <w:sz w:val="18"/>
              </w:rPr>
            </w:pPr>
          </w:p>
          <w:p>
            <w:pPr>
              <w:pStyle w:val="TableParagraph"/>
              <w:spacing w:before="1"/>
              <w:ind w:left="11"/>
              <w:rPr>
                <w:rFonts w:ascii="Arial"/>
                <w:b/>
                <w:sz w:val="17"/>
              </w:rPr>
            </w:pPr>
            <w:r>
              <w:rPr>
                <w:rFonts w:ascii="Arial"/>
                <w:b/>
                <w:spacing w:val="-2"/>
                <w:w w:val="105"/>
                <w:sz w:val="17"/>
              </w:rPr>
              <w:t>Impact</w:t>
            </w:r>
          </w:p>
        </w:tc>
        <w:tc>
          <w:tcPr>
            <w:tcW w:w="713" w:type="dxa"/>
            <w:shd w:val="clear" w:color="auto" w:fill="A5A5A5"/>
            <w:textDirection w:val="btLr"/>
          </w:tcPr>
          <w:p>
            <w:pPr>
              <w:pStyle w:val="TableParagraph"/>
              <w:rPr>
                <w:sz w:val="21"/>
              </w:rPr>
            </w:pPr>
          </w:p>
          <w:p>
            <w:pPr>
              <w:pStyle w:val="TableParagraph"/>
              <w:spacing w:before="1"/>
              <w:ind w:left="11"/>
              <w:rPr>
                <w:rFonts w:ascii="Arial"/>
                <w:b/>
                <w:sz w:val="17"/>
              </w:rPr>
            </w:pPr>
            <w:r>
              <w:rPr>
                <w:rFonts w:ascii="Arial"/>
                <w:b/>
                <w:w w:val="105"/>
                <w:sz w:val="17"/>
              </w:rPr>
              <w:t>Total</w:t>
            </w:r>
            <w:r>
              <w:rPr>
                <w:rFonts w:ascii="Arial"/>
                <w:b/>
                <w:spacing w:val="-6"/>
                <w:w w:val="105"/>
                <w:sz w:val="17"/>
              </w:rPr>
              <w:t> </w:t>
            </w:r>
            <w:r>
              <w:rPr>
                <w:rFonts w:ascii="Arial"/>
                <w:b/>
                <w:spacing w:val="-2"/>
                <w:w w:val="105"/>
                <w:sz w:val="17"/>
              </w:rPr>
              <w:t>Score</w:t>
            </w:r>
          </w:p>
        </w:tc>
        <w:tc>
          <w:tcPr>
            <w:tcW w:w="3679" w:type="dxa"/>
            <w:vMerge/>
            <w:tcBorders>
              <w:top w:val="nil"/>
            </w:tcBorders>
            <w:shd w:val="clear" w:color="auto" w:fill="A5A5A5"/>
          </w:tcPr>
          <w:p>
            <w:pPr>
              <w:rPr>
                <w:sz w:val="2"/>
                <w:szCs w:val="2"/>
              </w:rPr>
            </w:pPr>
          </w:p>
        </w:tc>
        <w:tc>
          <w:tcPr>
            <w:tcW w:w="583" w:type="dxa"/>
            <w:shd w:val="clear" w:color="auto" w:fill="A5A5A5"/>
            <w:textDirection w:val="btLr"/>
          </w:tcPr>
          <w:p>
            <w:pPr>
              <w:pStyle w:val="TableParagraph"/>
              <w:spacing w:before="9"/>
              <w:rPr>
                <w:sz w:val="15"/>
              </w:rPr>
            </w:pPr>
          </w:p>
          <w:p>
            <w:pPr>
              <w:pStyle w:val="TableParagraph"/>
              <w:ind w:left="11"/>
              <w:rPr>
                <w:rFonts w:ascii="Arial"/>
                <w:b/>
                <w:sz w:val="17"/>
              </w:rPr>
            </w:pPr>
            <w:r>
              <w:rPr>
                <w:rFonts w:ascii="Arial"/>
                <w:b/>
                <w:spacing w:val="-2"/>
                <w:w w:val="105"/>
                <w:sz w:val="17"/>
              </w:rPr>
              <w:t>Likelihood</w:t>
            </w:r>
          </w:p>
        </w:tc>
        <w:tc>
          <w:tcPr>
            <w:tcW w:w="621" w:type="dxa"/>
            <w:shd w:val="clear" w:color="auto" w:fill="A5A5A5"/>
            <w:textDirection w:val="btLr"/>
          </w:tcPr>
          <w:p>
            <w:pPr>
              <w:pStyle w:val="TableParagraph"/>
              <w:spacing w:before="4"/>
              <w:rPr>
                <w:sz w:val="17"/>
              </w:rPr>
            </w:pPr>
          </w:p>
          <w:p>
            <w:pPr>
              <w:pStyle w:val="TableParagraph"/>
              <w:ind w:left="11"/>
              <w:rPr>
                <w:rFonts w:ascii="Arial"/>
                <w:b/>
                <w:sz w:val="17"/>
              </w:rPr>
            </w:pPr>
            <w:r>
              <w:rPr>
                <w:rFonts w:ascii="Arial"/>
                <w:b/>
                <w:spacing w:val="-2"/>
                <w:w w:val="105"/>
                <w:sz w:val="17"/>
              </w:rPr>
              <w:t>impact</w:t>
            </w:r>
          </w:p>
        </w:tc>
        <w:tc>
          <w:tcPr>
            <w:tcW w:w="698" w:type="dxa"/>
            <w:shd w:val="clear" w:color="auto" w:fill="A5A5A5"/>
            <w:textDirection w:val="btLr"/>
          </w:tcPr>
          <w:p>
            <w:pPr>
              <w:pStyle w:val="TableParagraph"/>
              <w:spacing w:before="6"/>
              <w:rPr>
                <w:sz w:val="20"/>
              </w:rPr>
            </w:pPr>
          </w:p>
          <w:p>
            <w:pPr>
              <w:pStyle w:val="TableParagraph"/>
              <w:ind w:left="11"/>
              <w:rPr>
                <w:rFonts w:ascii="Arial"/>
                <w:b/>
                <w:sz w:val="17"/>
              </w:rPr>
            </w:pPr>
            <w:r>
              <w:rPr>
                <w:rFonts w:ascii="Arial"/>
                <w:b/>
                <w:w w:val="105"/>
                <w:sz w:val="17"/>
              </w:rPr>
              <w:t>Total</w:t>
            </w:r>
            <w:r>
              <w:rPr>
                <w:rFonts w:ascii="Arial"/>
                <w:b/>
                <w:spacing w:val="-6"/>
                <w:w w:val="105"/>
                <w:sz w:val="17"/>
              </w:rPr>
              <w:t> </w:t>
            </w:r>
            <w:r>
              <w:rPr>
                <w:rFonts w:ascii="Arial"/>
                <w:b/>
                <w:spacing w:val="-2"/>
                <w:w w:val="105"/>
                <w:sz w:val="17"/>
              </w:rPr>
              <w:t>Score</w:t>
            </w:r>
          </w:p>
        </w:tc>
        <w:tc>
          <w:tcPr>
            <w:tcW w:w="3499" w:type="dxa"/>
            <w:vMerge/>
            <w:tcBorders>
              <w:top w:val="nil"/>
            </w:tcBorders>
            <w:shd w:val="clear" w:color="auto" w:fill="A5A5A5"/>
          </w:tcPr>
          <w:p>
            <w:pPr>
              <w:rPr>
                <w:sz w:val="2"/>
                <w:szCs w:val="2"/>
              </w:rPr>
            </w:pPr>
          </w:p>
        </w:tc>
        <w:tc>
          <w:tcPr>
            <w:tcW w:w="4226" w:type="dxa"/>
            <w:vMerge/>
            <w:tcBorders>
              <w:top w:val="nil"/>
            </w:tcBorders>
            <w:shd w:val="clear" w:color="auto" w:fill="A5A5A5"/>
          </w:tcPr>
          <w:p>
            <w:pPr>
              <w:rPr>
                <w:sz w:val="2"/>
                <w:szCs w:val="2"/>
              </w:rPr>
            </w:pPr>
          </w:p>
        </w:tc>
        <w:tc>
          <w:tcPr>
            <w:tcW w:w="888" w:type="dxa"/>
            <w:vMerge/>
            <w:tcBorders>
              <w:top w:val="nil"/>
            </w:tcBorders>
            <w:shd w:val="clear" w:color="auto" w:fill="A5A5A5"/>
          </w:tcPr>
          <w:p>
            <w:pPr>
              <w:rPr>
                <w:sz w:val="2"/>
                <w:szCs w:val="2"/>
              </w:rPr>
            </w:pPr>
          </w:p>
        </w:tc>
        <w:tc>
          <w:tcPr>
            <w:tcW w:w="1246" w:type="dxa"/>
            <w:vMerge/>
            <w:tcBorders>
              <w:top w:val="nil"/>
            </w:tcBorders>
            <w:shd w:val="clear" w:color="auto" w:fill="A5A5A5"/>
          </w:tcPr>
          <w:p>
            <w:pPr>
              <w:rPr>
                <w:sz w:val="2"/>
                <w:szCs w:val="2"/>
              </w:rPr>
            </w:pPr>
          </w:p>
        </w:tc>
      </w:tr>
      <w:tr>
        <w:trPr>
          <w:trHeight w:val="726" w:hRule="atLeast"/>
        </w:trPr>
        <w:tc>
          <w:tcPr>
            <w:tcW w:w="21646" w:type="dxa"/>
            <w:gridSpan w:val="13"/>
            <w:shd w:val="clear" w:color="auto" w:fill="D8D8D8"/>
          </w:tcPr>
          <w:p>
            <w:pPr>
              <w:pStyle w:val="TableParagraph"/>
              <w:spacing w:before="1"/>
              <w:rPr>
                <w:sz w:val="20"/>
              </w:rPr>
            </w:pPr>
          </w:p>
          <w:p>
            <w:pPr>
              <w:pStyle w:val="TableParagraph"/>
              <w:ind w:left="9445" w:right="9423"/>
              <w:jc w:val="center"/>
              <w:rPr>
                <w:rFonts w:ascii="Arial"/>
                <w:b/>
                <w:sz w:val="20"/>
              </w:rPr>
            </w:pPr>
            <w:r>
              <w:rPr>
                <w:rFonts w:ascii="Arial"/>
                <w:b/>
                <w:w w:val="105"/>
                <w:sz w:val="20"/>
              </w:rPr>
              <w:t>Risks</w:t>
            </w:r>
            <w:r>
              <w:rPr>
                <w:rFonts w:ascii="Arial"/>
                <w:b/>
                <w:spacing w:val="-7"/>
                <w:w w:val="105"/>
                <w:sz w:val="20"/>
              </w:rPr>
              <w:t> </w:t>
            </w:r>
            <w:r>
              <w:rPr>
                <w:rFonts w:ascii="Arial"/>
                <w:b/>
                <w:w w:val="105"/>
                <w:sz w:val="20"/>
              </w:rPr>
              <w:t>for</w:t>
            </w:r>
            <w:r>
              <w:rPr>
                <w:rFonts w:ascii="Arial"/>
                <w:b/>
                <w:spacing w:val="-11"/>
                <w:w w:val="105"/>
                <w:sz w:val="20"/>
              </w:rPr>
              <w:t> </w:t>
            </w:r>
            <w:r>
              <w:rPr>
                <w:rFonts w:ascii="Arial"/>
                <w:b/>
                <w:spacing w:val="-2"/>
                <w:w w:val="105"/>
                <w:sz w:val="20"/>
              </w:rPr>
              <w:t>Action</w:t>
            </w:r>
          </w:p>
        </w:tc>
      </w:tr>
      <w:tr>
        <w:trPr>
          <w:trHeight w:val="1021" w:hRule="atLeast"/>
        </w:trPr>
        <w:tc>
          <w:tcPr>
            <w:tcW w:w="667" w:type="dxa"/>
            <w:vMerge w:val="restart"/>
          </w:tcPr>
          <w:p>
            <w:pPr>
              <w:pStyle w:val="TableParagraph"/>
              <w:spacing w:before="10"/>
              <w:ind w:left="234"/>
              <w:rPr>
                <w:rFonts w:ascii="Arial"/>
                <w:b/>
                <w:sz w:val="16"/>
              </w:rPr>
            </w:pPr>
            <w:r>
              <w:rPr>
                <w:rFonts w:ascii="Arial"/>
                <w:b/>
                <w:spacing w:val="-5"/>
                <w:sz w:val="16"/>
              </w:rPr>
              <w:t>A1</w:t>
            </w:r>
          </w:p>
        </w:tc>
        <w:tc>
          <w:tcPr>
            <w:tcW w:w="3583" w:type="dxa"/>
          </w:tcPr>
          <w:p>
            <w:pPr>
              <w:pStyle w:val="TableParagraph"/>
              <w:spacing w:line="264" w:lineRule="auto" w:before="3"/>
              <w:ind w:left="33" w:right="170"/>
              <w:rPr>
                <w:rFonts w:ascii="Arial"/>
                <w:sz w:val="16"/>
              </w:rPr>
            </w:pPr>
            <w:r>
              <w:rPr>
                <w:rFonts w:ascii="Arial"/>
                <w:sz w:val="16"/>
              </w:rPr>
              <w:t>Lack of storage space across NWSSP due to increased demands on space linked to COVID and specific requirements for IP5 </w:t>
            </w:r>
            <w:r>
              <w:rPr>
                <w:rFonts w:ascii="Arial"/>
                <w:color w:val="FF0000"/>
                <w:sz w:val="16"/>
              </w:rPr>
              <w:t>(added April </w:t>
            </w:r>
            <w:r>
              <w:rPr>
                <w:rFonts w:ascii="Arial"/>
                <w:color w:val="FF0000"/>
                <w:spacing w:val="-2"/>
                <w:sz w:val="16"/>
              </w:rPr>
              <w:t>2021)</w:t>
            </w:r>
          </w:p>
        </w:tc>
        <w:tc>
          <w:tcPr>
            <w:tcW w:w="583" w:type="dxa"/>
            <w:vMerge w:val="restart"/>
          </w:tcPr>
          <w:p>
            <w:pPr>
              <w:pStyle w:val="TableParagraph"/>
              <w:spacing w:before="3"/>
              <w:ind w:left="22"/>
              <w:jc w:val="center"/>
              <w:rPr>
                <w:rFonts w:ascii="Arial"/>
                <w:sz w:val="16"/>
              </w:rPr>
            </w:pPr>
            <w:r>
              <w:rPr>
                <w:rFonts w:ascii="Arial"/>
                <w:w w:val="101"/>
                <w:sz w:val="16"/>
              </w:rPr>
              <w:t>4</w:t>
            </w:r>
          </w:p>
        </w:tc>
        <w:tc>
          <w:tcPr>
            <w:tcW w:w="660" w:type="dxa"/>
            <w:vMerge w:val="restart"/>
          </w:tcPr>
          <w:p>
            <w:pPr>
              <w:pStyle w:val="TableParagraph"/>
              <w:spacing w:before="3"/>
              <w:ind w:left="22"/>
              <w:jc w:val="center"/>
              <w:rPr>
                <w:rFonts w:ascii="Arial"/>
                <w:sz w:val="16"/>
              </w:rPr>
            </w:pPr>
            <w:r>
              <w:rPr>
                <w:rFonts w:ascii="Arial"/>
                <w:w w:val="101"/>
                <w:sz w:val="16"/>
              </w:rPr>
              <w:t>4</w:t>
            </w:r>
          </w:p>
        </w:tc>
        <w:tc>
          <w:tcPr>
            <w:tcW w:w="713" w:type="dxa"/>
            <w:vMerge w:val="restart"/>
            <w:shd w:val="clear" w:color="auto" w:fill="FF0000"/>
          </w:tcPr>
          <w:p>
            <w:pPr>
              <w:pStyle w:val="TableParagraph"/>
              <w:spacing w:before="3"/>
              <w:ind w:left="250" w:right="229"/>
              <w:jc w:val="center"/>
              <w:rPr>
                <w:rFonts w:ascii="Arial"/>
                <w:sz w:val="16"/>
              </w:rPr>
            </w:pPr>
            <w:r>
              <w:rPr>
                <w:rFonts w:ascii="Arial"/>
                <w:spacing w:val="-5"/>
                <w:sz w:val="16"/>
              </w:rPr>
              <w:t>16</w:t>
            </w:r>
          </w:p>
        </w:tc>
        <w:tc>
          <w:tcPr>
            <w:tcW w:w="3679" w:type="dxa"/>
            <w:vMerge w:val="restart"/>
          </w:tcPr>
          <w:p>
            <w:pPr>
              <w:pStyle w:val="TableParagraph"/>
              <w:spacing w:before="3"/>
              <w:ind w:left="33"/>
              <w:rPr>
                <w:rFonts w:ascii="Arial"/>
                <w:sz w:val="16"/>
              </w:rPr>
            </w:pPr>
            <w:r>
              <w:rPr>
                <w:rFonts w:ascii="Arial"/>
                <w:sz w:val="16"/>
              </w:rPr>
              <w:t>IP5</w:t>
            </w:r>
            <w:r>
              <w:rPr>
                <w:rFonts w:ascii="Arial"/>
                <w:spacing w:val="2"/>
                <w:sz w:val="16"/>
              </w:rPr>
              <w:t> </w:t>
            </w:r>
            <w:r>
              <w:rPr>
                <w:rFonts w:ascii="Arial"/>
                <w:spacing w:val="-2"/>
                <w:sz w:val="16"/>
              </w:rPr>
              <w:t>Board</w:t>
            </w:r>
          </w:p>
          <w:p>
            <w:pPr>
              <w:pStyle w:val="TableParagraph"/>
              <w:spacing w:before="18"/>
              <w:ind w:left="33"/>
              <w:rPr>
                <w:rFonts w:ascii="Arial"/>
                <w:sz w:val="16"/>
              </w:rPr>
            </w:pPr>
            <w:r>
              <w:rPr>
                <w:rFonts w:ascii="Arial"/>
                <w:sz w:val="16"/>
              </w:rPr>
              <w:t>Additional</w:t>
            </w:r>
            <w:r>
              <w:rPr>
                <w:rFonts w:ascii="Arial"/>
                <w:spacing w:val="7"/>
                <w:sz w:val="16"/>
              </w:rPr>
              <w:t> </w:t>
            </w:r>
            <w:r>
              <w:rPr>
                <w:rFonts w:ascii="Arial"/>
                <w:sz w:val="16"/>
              </w:rPr>
              <w:t>facilities</w:t>
            </w:r>
            <w:r>
              <w:rPr>
                <w:rFonts w:ascii="Arial"/>
                <w:spacing w:val="4"/>
                <w:sz w:val="16"/>
              </w:rPr>
              <w:t> </w:t>
            </w:r>
            <w:r>
              <w:rPr>
                <w:rFonts w:ascii="Arial"/>
                <w:sz w:val="16"/>
              </w:rPr>
              <w:t>secured</w:t>
            </w:r>
            <w:r>
              <w:rPr>
                <w:rFonts w:ascii="Arial"/>
                <w:spacing w:val="7"/>
                <w:sz w:val="16"/>
              </w:rPr>
              <w:t> </w:t>
            </w:r>
            <w:r>
              <w:rPr>
                <w:rFonts w:ascii="Arial"/>
                <w:sz w:val="16"/>
              </w:rPr>
              <w:t>at</w:t>
            </w:r>
            <w:r>
              <w:rPr>
                <w:rFonts w:ascii="Arial"/>
                <w:spacing w:val="5"/>
                <w:sz w:val="16"/>
              </w:rPr>
              <w:t> </w:t>
            </w:r>
            <w:r>
              <w:rPr>
                <w:rFonts w:ascii="Arial"/>
                <w:spacing w:val="-2"/>
                <w:sz w:val="16"/>
              </w:rPr>
              <w:t>Picketston</w:t>
            </w:r>
          </w:p>
        </w:tc>
        <w:tc>
          <w:tcPr>
            <w:tcW w:w="583" w:type="dxa"/>
            <w:vMerge w:val="restart"/>
          </w:tcPr>
          <w:p>
            <w:pPr>
              <w:pStyle w:val="TableParagraph"/>
              <w:spacing w:before="3"/>
              <w:ind w:left="22"/>
              <w:jc w:val="center"/>
              <w:rPr>
                <w:rFonts w:ascii="Arial"/>
                <w:sz w:val="16"/>
              </w:rPr>
            </w:pPr>
            <w:r>
              <w:rPr>
                <w:rFonts w:ascii="Arial"/>
                <w:w w:val="101"/>
                <w:sz w:val="16"/>
              </w:rPr>
              <w:t>2</w:t>
            </w:r>
          </w:p>
        </w:tc>
        <w:tc>
          <w:tcPr>
            <w:tcW w:w="621" w:type="dxa"/>
            <w:vMerge w:val="restart"/>
          </w:tcPr>
          <w:p>
            <w:pPr>
              <w:pStyle w:val="TableParagraph"/>
              <w:spacing w:before="3"/>
              <w:ind w:left="23"/>
              <w:jc w:val="center"/>
              <w:rPr>
                <w:rFonts w:ascii="Arial"/>
                <w:sz w:val="16"/>
              </w:rPr>
            </w:pPr>
            <w:r>
              <w:rPr>
                <w:rFonts w:ascii="Arial"/>
                <w:w w:val="101"/>
                <w:sz w:val="16"/>
              </w:rPr>
              <w:t>4</w:t>
            </w:r>
          </w:p>
        </w:tc>
        <w:tc>
          <w:tcPr>
            <w:tcW w:w="698" w:type="dxa"/>
            <w:vMerge w:val="restart"/>
            <w:shd w:val="clear" w:color="auto" w:fill="FFBF00"/>
          </w:tcPr>
          <w:p>
            <w:pPr>
              <w:pStyle w:val="TableParagraph"/>
              <w:spacing w:before="3"/>
              <w:ind w:left="25"/>
              <w:jc w:val="center"/>
              <w:rPr>
                <w:rFonts w:ascii="Arial"/>
                <w:sz w:val="16"/>
              </w:rPr>
            </w:pPr>
            <w:r>
              <w:rPr>
                <w:rFonts w:ascii="Arial"/>
                <w:w w:val="101"/>
                <w:sz w:val="16"/>
              </w:rPr>
              <w:t>8</w:t>
            </w:r>
          </w:p>
        </w:tc>
        <w:tc>
          <w:tcPr>
            <w:tcW w:w="3499" w:type="dxa"/>
            <w:vMerge w:val="restart"/>
          </w:tcPr>
          <w:p>
            <w:pPr>
              <w:pStyle w:val="TableParagraph"/>
              <w:spacing w:line="264" w:lineRule="auto" w:before="3"/>
              <w:ind w:left="35"/>
              <w:rPr>
                <w:rFonts w:ascii="Arial"/>
                <w:sz w:val="16"/>
              </w:rPr>
            </w:pPr>
            <w:r>
              <w:rPr>
                <w:rFonts w:ascii="Arial"/>
                <w:sz w:val="16"/>
              </w:rPr>
              <w:t>PCS reviewing options for medical records storage - additional space is available from Johnseys on Mamhilad site. Business Case prepared and approved at June SLG and </w:t>
            </w:r>
            <w:r>
              <w:rPr>
                <w:rFonts w:ascii="Arial"/>
                <w:sz w:val="16"/>
              </w:rPr>
              <w:t>July SSPC. Awaiting formal Welsh Government </w:t>
            </w:r>
            <w:r>
              <w:rPr>
                <w:rFonts w:ascii="Arial"/>
                <w:spacing w:val="-2"/>
                <w:sz w:val="16"/>
              </w:rPr>
              <w:t>approval.</w:t>
            </w:r>
          </w:p>
        </w:tc>
        <w:tc>
          <w:tcPr>
            <w:tcW w:w="4226" w:type="dxa"/>
          </w:tcPr>
          <w:p>
            <w:pPr>
              <w:pStyle w:val="TableParagraph"/>
              <w:spacing w:line="264" w:lineRule="auto" w:before="3"/>
              <w:ind w:left="35"/>
              <w:rPr>
                <w:rFonts w:ascii="Arial"/>
                <w:sz w:val="16"/>
              </w:rPr>
            </w:pPr>
            <w:r>
              <w:rPr>
                <w:rFonts w:ascii="Arial"/>
                <w:sz w:val="16"/>
              </w:rPr>
              <w:t>Business Case approved at June SLG and July SSPC. Currently with Welsh Government for final approval.</w:t>
            </w:r>
          </w:p>
          <w:p>
            <w:pPr>
              <w:pStyle w:val="TableParagraph"/>
              <w:spacing w:line="264" w:lineRule="auto"/>
              <w:ind w:left="35"/>
              <w:rPr>
                <w:rFonts w:ascii="Arial"/>
                <w:sz w:val="16"/>
              </w:rPr>
            </w:pPr>
            <w:r>
              <w:rPr>
                <w:rFonts w:ascii="Arial"/>
                <w:sz w:val="16"/>
              </w:rPr>
              <w:t>There is now also a problem wth Brecon House that may impact on current capacity.</w:t>
            </w:r>
          </w:p>
        </w:tc>
        <w:tc>
          <w:tcPr>
            <w:tcW w:w="888" w:type="dxa"/>
            <w:vMerge w:val="restart"/>
          </w:tcPr>
          <w:p>
            <w:pPr>
              <w:pStyle w:val="TableParagraph"/>
              <w:spacing w:before="4"/>
              <w:rPr>
                <w:sz w:val="35"/>
              </w:rPr>
            </w:pPr>
          </w:p>
          <w:p>
            <w:pPr>
              <w:pStyle w:val="TableParagraph"/>
              <w:ind w:left="268"/>
              <w:rPr>
                <w:rFonts w:ascii="Wingdings 3" w:hAnsi="Wingdings 3"/>
                <w:sz w:val="32"/>
              </w:rPr>
            </w:pPr>
            <w:r>
              <w:rPr>
                <w:rFonts w:ascii="Wingdings 3" w:hAnsi="Wingdings 3"/>
                <w:color w:val="FFBF00"/>
                <w:w w:val="101"/>
                <w:sz w:val="32"/>
              </w:rPr>
              <w:t></w:t>
            </w:r>
          </w:p>
        </w:tc>
        <w:tc>
          <w:tcPr>
            <w:tcW w:w="1246" w:type="dxa"/>
            <w:vMerge w:val="restart"/>
            <w:shd w:val="clear" w:color="auto" w:fill="FFFF00"/>
          </w:tcPr>
          <w:p>
            <w:pPr>
              <w:pStyle w:val="TableParagraph"/>
              <w:rPr>
                <w:sz w:val="18"/>
              </w:rPr>
            </w:pPr>
          </w:p>
          <w:p>
            <w:pPr>
              <w:pStyle w:val="TableParagraph"/>
              <w:spacing w:before="11"/>
              <w:rPr>
                <w:sz w:val="24"/>
              </w:rPr>
            </w:pPr>
          </w:p>
          <w:p>
            <w:pPr>
              <w:pStyle w:val="TableParagraph"/>
              <w:ind w:left="246"/>
              <w:rPr>
                <w:rFonts w:ascii="Arial"/>
                <w:b/>
                <w:sz w:val="16"/>
              </w:rPr>
            </w:pPr>
            <w:r>
              <w:rPr>
                <w:rFonts w:ascii="Arial"/>
                <w:b/>
                <w:sz w:val="16"/>
              </w:rPr>
              <w:t>31-Mar-</w:t>
            </w:r>
            <w:r>
              <w:rPr>
                <w:rFonts w:ascii="Arial"/>
                <w:b/>
                <w:spacing w:val="-5"/>
                <w:sz w:val="16"/>
              </w:rPr>
              <w:t>23</w:t>
            </w:r>
          </w:p>
        </w:tc>
      </w:tr>
      <w:tr>
        <w:trPr>
          <w:trHeight w:val="200" w:hRule="atLeast"/>
        </w:trPr>
        <w:tc>
          <w:tcPr>
            <w:tcW w:w="667" w:type="dxa"/>
            <w:vMerge/>
            <w:tcBorders>
              <w:top w:val="nil"/>
            </w:tcBorders>
          </w:tcPr>
          <w:p>
            <w:pPr>
              <w:rPr>
                <w:sz w:val="2"/>
                <w:szCs w:val="2"/>
              </w:rPr>
            </w:pPr>
          </w:p>
        </w:tc>
        <w:tc>
          <w:tcPr>
            <w:tcW w:w="3583" w:type="dxa"/>
          </w:tcPr>
          <w:p>
            <w:pPr>
              <w:pStyle w:val="TableParagraph"/>
              <w:spacing w:line="171" w:lineRule="exact" w:before="10"/>
              <w:ind w:left="33"/>
              <w:rPr>
                <w:rFonts w:ascii="Arial"/>
                <w:b/>
                <w:sz w:val="16"/>
              </w:rPr>
            </w:pPr>
            <w:r>
              <w:rPr>
                <w:rFonts w:ascii="Arial"/>
                <w:b/>
                <w:sz w:val="16"/>
              </w:rPr>
              <w:t>Strategic</w:t>
            </w:r>
            <w:r>
              <w:rPr>
                <w:rFonts w:ascii="Arial"/>
                <w:b/>
                <w:spacing w:val="5"/>
                <w:sz w:val="16"/>
              </w:rPr>
              <w:t> </w:t>
            </w:r>
            <w:r>
              <w:rPr>
                <w:rFonts w:ascii="Arial"/>
                <w:b/>
                <w:sz w:val="16"/>
              </w:rPr>
              <w:t>Objective</w:t>
            </w:r>
            <w:r>
              <w:rPr>
                <w:rFonts w:ascii="Arial"/>
                <w:b/>
                <w:spacing w:val="4"/>
                <w:sz w:val="16"/>
              </w:rPr>
              <w:t> </w:t>
            </w:r>
            <w:r>
              <w:rPr>
                <w:rFonts w:ascii="Arial"/>
                <w:b/>
                <w:sz w:val="16"/>
              </w:rPr>
              <w:t>-</w:t>
            </w:r>
            <w:r>
              <w:rPr>
                <w:rFonts w:ascii="Arial"/>
                <w:b/>
                <w:spacing w:val="5"/>
                <w:sz w:val="16"/>
              </w:rPr>
              <w:t> </w:t>
            </w:r>
            <w:r>
              <w:rPr>
                <w:rFonts w:ascii="Arial"/>
                <w:b/>
                <w:sz w:val="16"/>
              </w:rPr>
              <w:t>Service</w:t>
            </w:r>
            <w:r>
              <w:rPr>
                <w:rFonts w:ascii="Arial"/>
                <w:b/>
                <w:spacing w:val="6"/>
                <w:sz w:val="16"/>
              </w:rPr>
              <w:t> </w:t>
            </w:r>
            <w:r>
              <w:rPr>
                <w:rFonts w:ascii="Arial"/>
                <w:b/>
                <w:spacing w:val="-2"/>
                <w:sz w:val="16"/>
              </w:rPr>
              <w:t>Development</w:t>
            </w: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tcBorders>
            <w:shd w:val="clear" w:color="auto" w:fill="FF00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FFBF00"/>
          </w:tcPr>
          <w:p>
            <w:pPr>
              <w:rPr>
                <w:sz w:val="2"/>
                <w:szCs w:val="2"/>
              </w:rPr>
            </w:pPr>
          </w:p>
        </w:tc>
        <w:tc>
          <w:tcPr>
            <w:tcW w:w="3499" w:type="dxa"/>
            <w:vMerge/>
            <w:tcBorders>
              <w:top w:val="nil"/>
            </w:tcBorders>
          </w:tcPr>
          <w:p>
            <w:pPr>
              <w:rPr>
                <w:sz w:val="2"/>
                <w:szCs w:val="2"/>
              </w:rPr>
            </w:pPr>
          </w:p>
        </w:tc>
        <w:tc>
          <w:tcPr>
            <w:tcW w:w="4226" w:type="dxa"/>
          </w:tcPr>
          <w:p>
            <w:pPr>
              <w:pStyle w:val="TableParagraph"/>
              <w:spacing w:line="171" w:lineRule="exact" w:before="10"/>
              <w:ind w:left="34"/>
              <w:rPr>
                <w:rFonts w:ascii="Arial"/>
                <w:b/>
                <w:sz w:val="16"/>
              </w:rPr>
            </w:pPr>
            <w:r>
              <w:rPr>
                <w:rFonts w:ascii="Arial"/>
                <w:b/>
                <w:sz w:val="16"/>
              </w:rPr>
              <w:t>Risk</w:t>
            </w:r>
            <w:r>
              <w:rPr>
                <w:rFonts w:ascii="Arial"/>
                <w:b/>
                <w:spacing w:val="6"/>
                <w:sz w:val="16"/>
              </w:rPr>
              <w:t> </w:t>
            </w:r>
            <w:r>
              <w:rPr>
                <w:rFonts w:ascii="Arial"/>
                <w:b/>
                <w:sz w:val="16"/>
              </w:rPr>
              <w:t>Lead:</w:t>
            </w:r>
            <w:r>
              <w:rPr>
                <w:rFonts w:ascii="Arial"/>
                <w:b/>
                <w:spacing w:val="5"/>
                <w:sz w:val="16"/>
              </w:rPr>
              <w:t> </w:t>
            </w:r>
            <w:r>
              <w:rPr>
                <w:rFonts w:ascii="Arial"/>
                <w:b/>
                <w:sz w:val="16"/>
              </w:rPr>
              <w:t>Programme</w:t>
            </w:r>
            <w:r>
              <w:rPr>
                <w:rFonts w:ascii="Arial"/>
                <w:b/>
                <w:spacing w:val="7"/>
                <w:sz w:val="16"/>
              </w:rPr>
              <w:t> </w:t>
            </w:r>
            <w:r>
              <w:rPr>
                <w:rFonts w:ascii="Arial"/>
                <w:b/>
                <w:spacing w:val="-2"/>
                <w:sz w:val="16"/>
              </w:rPr>
              <w:t>Director</w:t>
            </w:r>
          </w:p>
        </w:tc>
        <w:tc>
          <w:tcPr>
            <w:tcW w:w="888" w:type="dxa"/>
            <w:vMerge/>
            <w:tcBorders>
              <w:top w:val="nil"/>
            </w:tcBorders>
          </w:tcPr>
          <w:p>
            <w:pPr>
              <w:rPr>
                <w:sz w:val="2"/>
                <w:szCs w:val="2"/>
              </w:rPr>
            </w:pPr>
          </w:p>
        </w:tc>
        <w:tc>
          <w:tcPr>
            <w:tcW w:w="1246" w:type="dxa"/>
            <w:vMerge/>
            <w:tcBorders>
              <w:top w:val="nil"/>
            </w:tcBorders>
            <w:shd w:val="clear" w:color="auto" w:fill="FFFF00"/>
          </w:tcPr>
          <w:p>
            <w:pPr>
              <w:rPr>
                <w:sz w:val="2"/>
                <w:szCs w:val="2"/>
              </w:rPr>
            </w:pPr>
          </w:p>
        </w:tc>
      </w:tr>
      <w:tr>
        <w:trPr>
          <w:trHeight w:val="1984" w:hRule="atLeast"/>
        </w:trPr>
        <w:tc>
          <w:tcPr>
            <w:tcW w:w="667" w:type="dxa"/>
            <w:vMerge w:val="restart"/>
          </w:tcPr>
          <w:p>
            <w:pPr>
              <w:pStyle w:val="TableParagraph"/>
              <w:spacing w:before="10"/>
              <w:ind w:left="234"/>
              <w:rPr>
                <w:rFonts w:ascii="Arial"/>
                <w:b/>
                <w:sz w:val="16"/>
              </w:rPr>
            </w:pPr>
            <w:r>
              <w:rPr>
                <w:rFonts w:ascii="Arial"/>
                <w:b/>
                <w:spacing w:val="-5"/>
                <w:sz w:val="16"/>
              </w:rPr>
              <w:t>A2</w:t>
            </w:r>
          </w:p>
        </w:tc>
        <w:tc>
          <w:tcPr>
            <w:tcW w:w="3583" w:type="dxa"/>
          </w:tcPr>
          <w:p>
            <w:pPr>
              <w:pStyle w:val="TableParagraph"/>
              <w:spacing w:line="264" w:lineRule="auto" w:before="3"/>
              <w:ind w:left="33"/>
              <w:rPr>
                <w:rFonts w:ascii="Arial"/>
                <w:sz w:val="16"/>
              </w:rPr>
            </w:pPr>
            <w:r>
              <w:rPr>
                <w:rFonts w:ascii="Arial"/>
                <w:sz w:val="16"/>
              </w:rPr>
              <w:t>Suppliers, Staff or the general public committing fraud against NWSSP. </w:t>
            </w:r>
            <w:r>
              <w:rPr>
                <w:rFonts w:ascii="Arial"/>
                <w:color w:val="FF0000"/>
                <w:sz w:val="16"/>
              </w:rPr>
              <w:t>(added April 2019)</w:t>
            </w:r>
          </w:p>
        </w:tc>
        <w:tc>
          <w:tcPr>
            <w:tcW w:w="583" w:type="dxa"/>
            <w:vMerge w:val="restart"/>
          </w:tcPr>
          <w:p>
            <w:pPr>
              <w:pStyle w:val="TableParagraph"/>
              <w:spacing w:before="3"/>
              <w:ind w:left="22"/>
              <w:jc w:val="center"/>
              <w:rPr>
                <w:rFonts w:ascii="Arial"/>
                <w:sz w:val="16"/>
              </w:rPr>
            </w:pPr>
            <w:r>
              <w:rPr>
                <w:rFonts w:ascii="Arial"/>
                <w:w w:val="101"/>
                <w:sz w:val="16"/>
              </w:rPr>
              <w:t>5</w:t>
            </w:r>
          </w:p>
        </w:tc>
        <w:tc>
          <w:tcPr>
            <w:tcW w:w="660" w:type="dxa"/>
            <w:vMerge w:val="restart"/>
          </w:tcPr>
          <w:p>
            <w:pPr>
              <w:pStyle w:val="TableParagraph"/>
              <w:spacing w:before="3"/>
              <w:ind w:left="22"/>
              <w:jc w:val="center"/>
              <w:rPr>
                <w:rFonts w:ascii="Arial"/>
                <w:sz w:val="16"/>
              </w:rPr>
            </w:pPr>
            <w:r>
              <w:rPr>
                <w:rFonts w:ascii="Arial"/>
                <w:w w:val="101"/>
                <w:sz w:val="16"/>
              </w:rPr>
              <w:t>3</w:t>
            </w:r>
          </w:p>
        </w:tc>
        <w:tc>
          <w:tcPr>
            <w:tcW w:w="713" w:type="dxa"/>
            <w:vMerge w:val="restart"/>
            <w:shd w:val="clear" w:color="auto" w:fill="FF0000"/>
          </w:tcPr>
          <w:p>
            <w:pPr>
              <w:pStyle w:val="TableParagraph"/>
              <w:spacing w:before="3"/>
              <w:ind w:left="251" w:right="229"/>
              <w:jc w:val="center"/>
              <w:rPr>
                <w:rFonts w:ascii="Arial"/>
                <w:sz w:val="16"/>
              </w:rPr>
            </w:pPr>
            <w:r>
              <w:rPr>
                <w:rFonts w:ascii="Arial"/>
                <w:spacing w:val="-5"/>
                <w:sz w:val="16"/>
              </w:rPr>
              <w:t>15</w:t>
            </w:r>
          </w:p>
        </w:tc>
        <w:tc>
          <w:tcPr>
            <w:tcW w:w="3679" w:type="dxa"/>
            <w:vMerge w:val="restart"/>
          </w:tcPr>
          <w:p>
            <w:pPr>
              <w:pStyle w:val="TableParagraph"/>
              <w:spacing w:line="264" w:lineRule="auto" w:before="3"/>
              <w:ind w:left="33" w:right="1507"/>
              <w:rPr>
                <w:rFonts w:ascii="Arial"/>
                <w:sz w:val="16"/>
              </w:rPr>
            </w:pPr>
            <w:r>
              <w:rPr>
                <w:rFonts w:ascii="Arial"/>
                <w:sz w:val="16"/>
              </w:rPr>
              <w:t>Dedicated NWSSP </w:t>
            </w:r>
            <w:r>
              <w:rPr>
                <w:rFonts w:ascii="Arial"/>
                <w:sz w:val="16"/>
              </w:rPr>
              <w:t>LCFS Counter Fraud Service Internal Audit</w:t>
            </w:r>
          </w:p>
          <w:p>
            <w:pPr>
              <w:pStyle w:val="TableParagraph"/>
              <w:spacing w:line="264" w:lineRule="auto"/>
              <w:ind w:left="33" w:right="2972"/>
              <w:rPr>
                <w:rFonts w:ascii="Arial"/>
                <w:sz w:val="16"/>
              </w:rPr>
            </w:pPr>
            <w:r>
              <w:rPr>
                <w:rFonts w:ascii="Arial"/>
                <w:spacing w:val="-4"/>
                <w:sz w:val="16"/>
              </w:rPr>
              <w:t>WAO PPV</w:t>
            </w:r>
          </w:p>
          <w:p>
            <w:pPr>
              <w:pStyle w:val="TableParagraph"/>
              <w:spacing w:line="264" w:lineRule="auto"/>
              <w:ind w:left="33" w:right="1400"/>
              <w:rPr>
                <w:rFonts w:ascii="Arial"/>
                <w:sz w:val="16"/>
              </w:rPr>
            </w:pPr>
            <w:r>
              <w:rPr>
                <w:rFonts w:ascii="Arial"/>
                <w:sz w:val="16"/>
              </w:rPr>
              <w:t>National Fraud Initiative Counter Fraud Steering </w:t>
            </w:r>
            <w:r>
              <w:rPr>
                <w:rFonts w:ascii="Arial"/>
                <w:sz w:val="16"/>
              </w:rPr>
              <w:t>Group Policies &amp; Procedures</w:t>
            </w:r>
          </w:p>
          <w:p>
            <w:pPr>
              <w:pStyle w:val="TableParagraph"/>
              <w:spacing w:line="182" w:lineRule="exact"/>
              <w:ind w:left="33"/>
              <w:rPr>
                <w:rFonts w:ascii="Arial"/>
                <w:sz w:val="16"/>
              </w:rPr>
            </w:pPr>
            <w:r>
              <w:rPr>
                <w:rFonts w:ascii="Arial"/>
                <w:sz w:val="16"/>
              </w:rPr>
              <w:t>Fraud</w:t>
            </w:r>
            <w:r>
              <w:rPr>
                <w:rFonts w:ascii="Arial"/>
                <w:spacing w:val="7"/>
                <w:sz w:val="16"/>
              </w:rPr>
              <w:t> </w:t>
            </w:r>
            <w:r>
              <w:rPr>
                <w:rFonts w:ascii="Arial"/>
                <w:sz w:val="16"/>
              </w:rPr>
              <w:t>Awareness</w:t>
            </w:r>
            <w:r>
              <w:rPr>
                <w:rFonts w:ascii="Arial"/>
                <w:spacing w:val="4"/>
                <w:sz w:val="16"/>
              </w:rPr>
              <w:t> </w:t>
            </w:r>
            <w:r>
              <w:rPr>
                <w:rFonts w:ascii="Arial"/>
                <w:spacing w:val="-2"/>
                <w:sz w:val="16"/>
              </w:rPr>
              <w:t>Training</w:t>
            </w:r>
          </w:p>
          <w:p>
            <w:pPr>
              <w:pStyle w:val="TableParagraph"/>
              <w:spacing w:before="14"/>
              <w:ind w:left="33"/>
              <w:rPr>
                <w:rFonts w:ascii="Arial"/>
                <w:sz w:val="16"/>
              </w:rPr>
            </w:pPr>
            <w:r>
              <w:rPr>
                <w:rFonts w:ascii="Arial"/>
                <w:sz w:val="16"/>
              </w:rPr>
              <w:t>Fighting</w:t>
            </w:r>
            <w:r>
              <w:rPr>
                <w:rFonts w:ascii="Arial"/>
                <w:spacing w:val="5"/>
                <w:sz w:val="16"/>
              </w:rPr>
              <w:t> </w:t>
            </w:r>
            <w:r>
              <w:rPr>
                <w:rFonts w:ascii="Arial"/>
                <w:sz w:val="16"/>
              </w:rPr>
              <w:t>Fraud</w:t>
            </w:r>
            <w:r>
              <w:rPr>
                <w:rFonts w:ascii="Arial"/>
                <w:spacing w:val="7"/>
                <w:sz w:val="16"/>
              </w:rPr>
              <w:t> </w:t>
            </w:r>
            <w:r>
              <w:rPr>
                <w:rFonts w:ascii="Arial"/>
                <w:sz w:val="16"/>
              </w:rPr>
              <w:t>Strategy</w:t>
            </w:r>
            <w:r>
              <w:rPr>
                <w:rFonts w:ascii="Arial"/>
                <w:spacing w:val="3"/>
                <w:sz w:val="16"/>
              </w:rPr>
              <w:t> </w:t>
            </w:r>
            <w:r>
              <w:rPr>
                <w:rFonts w:ascii="Arial"/>
                <w:sz w:val="16"/>
              </w:rPr>
              <w:t>&amp;</w:t>
            </w:r>
            <w:r>
              <w:rPr>
                <w:rFonts w:ascii="Arial"/>
                <w:spacing w:val="4"/>
                <w:sz w:val="16"/>
              </w:rPr>
              <w:t> </w:t>
            </w:r>
            <w:r>
              <w:rPr>
                <w:rFonts w:ascii="Arial"/>
                <w:sz w:val="16"/>
              </w:rPr>
              <w:t>Action</w:t>
            </w:r>
            <w:r>
              <w:rPr>
                <w:rFonts w:ascii="Arial"/>
                <w:spacing w:val="6"/>
                <w:sz w:val="16"/>
              </w:rPr>
              <w:t> </w:t>
            </w:r>
            <w:r>
              <w:rPr>
                <w:rFonts w:ascii="Arial"/>
                <w:spacing w:val="-4"/>
                <w:sz w:val="16"/>
              </w:rPr>
              <w:t>Plan</w:t>
            </w:r>
          </w:p>
        </w:tc>
        <w:tc>
          <w:tcPr>
            <w:tcW w:w="583" w:type="dxa"/>
            <w:vMerge w:val="restart"/>
          </w:tcPr>
          <w:p>
            <w:pPr>
              <w:pStyle w:val="TableParagraph"/>
              <w:spacing w:before="3"/>
              <w:ind w:left="22"/>
              <w:jc w:val="center"/>
              <w:rPr>
                <w:rFonts w:ascii="Arial"/>
                <w:sz w:val="16"/>
              </w:rPr>
            </w:pPr>
            <w:r>
              <w:rPr>
                <w:rFonts w:ascii="Arial"/>
                <w:w w:val="101"/>
                <w:sz w:val="16"/>
              </w:rPr>
              <w:t>3</w:t>
            </w:r>
          </w:p>
        </w:tc>
        <w:tc>
          <w:tcPr>
            <w:tcW w:w="621" w:type="dxa"/>
            <w:vMerge w:val="restart"/>
          </w:tcPr>
          <w:p>
            <w:pPr>
              <w:pStyle w:val="TableParagraph"/>
              <w:spacing w:before="3"/>
              <w:ind w:left="23"/>
              <w:jc w:val="center"/>
              <w:rPr>
                <w:rFonts w:ascii="Arial"/>
                <w:sz w:val="16"/>
              </w:rPr>
            </w:pPr>
            <w:r>
              <w:rPr>
                <w:rFonts w:ascii="Arial"/>
                <w:w w:val="101"/>
                <w:sz w:val="16"/>
              </w:rPr>
              <w:t>3</w:t>
            </w:r>
          </w:p>
        </w:tc>
        <w:tc>
          <w:tcPr>
            <w:tcW w:w="698" w:type="dxa"/>
            <w:vMerge w:val="restart"/>
            <w:shd w:val="clear" w:color="auto" w:fill="FFBF00"/>
          </w:tcPr>
          <w:p>
            <w:pPr>
              <w:pStyle w:val="TableParagraph"/>
              <w:spacing w:before="3"/>
              <w:ind w:left="24"/>
              <w:jc w:val="center"/>
              <w:rPr>
                <w:rFonts w:ascii="Arial"/>
                <w:sz w:val="16"/>
              </w:rPr>
            </w:pPr>
            <w:r>
              <w:rPr>
                <w:rFonts w:ascii="Arial"/>
                <w:w w:val="101"/>
                <w:sz w:val="16"/>
              </w:rPr>
              <w:t>9</w:t>
            </w:r>
          </w:p>
        </w:tc>
        <w:tc>
          <w:tcPr>
            <w:tcW w:w="3499" w:type="dxa"/>
            <w:vMerge w:val="restart"/>
          </w:tcPr>
          <w:p>
            <w:pPr>
              <w:pStyle w:val="TableParagraph"/>
              <w:spacing w:line="264" w:lineRule="auto" w:before="3"/>
              <w:ind w:left="35" w:right="125"/>
              <w:rPr>
                <w:rFonts w:ascii="Arial"/>
                <w:sz w:val="16"/>
              </w:rPr>
            </w:pPr>
            <w:r>
              <w:rPr>
                <w:rFonts w:ascii="Arial"/>
                <w:sz w:val="16"/>
              </w:rPr>
              <w:t>Develop work plan for dedicated </w:t>
            </w:r>
            <w:r>
              <w:rPr>
                <w:rFonts w:ascii="Arial"/>
                <w:sz w:val="16"/>
              </w:rPr>
              <w:t>LCFS resource (PS 31/10/2022)</w:t>
            </w:r>
          </w:p>
        </w:tc>
        <w:tc>
          <w:tcPr>
            <w:tcW w:w="4226" w:type="dxa"/>
          </w:tcPr>
          <w:p>
            <w:pPr>
              <w:pStyle w:val="TableParagraph"/>
              <w:spacing w:line="264" w:lineRule="auto" w:before="3"/>
              <w:ind w:left="35" w:right="57"/>
              <w:rPr>
                <w:rFonts w:ascii="Arial"/>
                <w:sz w:val="16"/>
              </w:rPr>
            </w:pPr>
            <w:r>
              <w:rPr>
                <w:rFonts w:ascii="Arial"/>
                <w:sz w:val="16"/>
              </w:rPr>
              <w:t>C&amp;V have recruited an additional Band 6 LCFS and an</w:t>
            </w:r>
            <w:r>
              <w:rPr>
                <w:rFonts w:ascii="Arial"/>
                <w:spacing w:val="40"/>
                <w:sz w:val="16"/>
              </w:rPr>
              <w:t> </w:t>
            </w:r>
            <w:r>
              <w:rPr>
                <w:rFonts w:ascii="Arial"/>
                <w:sz w:val="16"/>
              </w:rPr>
              <w:t>8A.</w:t>
            </w:r>
            <w:r>
              <w:rPr>
                <w:rFonts w:ascii="Arial"/>
                <w:spacing w:val="34"/>
                <w:sz w:val="16"/>
              </w:rPr>
              <w:t> </w:t>
            </w:r>
            <w:r>
              <w:rPr>
                <w:rFonts w:ascii="Arial"/>
                <w:sz w:val="16"/>
              </w:rPr>
              <w:t>Dedicated</w:t>
            </w:r>
            <w:r>
              <w:rPr>
                <w:rFonts w:ascii="Arial"/>
                <w:spacing w:val="29"/>
                <w:sz w:val="16"/>
              </w:rPr>
              <w:t> </w:t>
            </w:r>
            <w:r>
              <w:rPr>
                <w:rFonts w:ascii="Arial"/>
                <w:sz w:val="16"/>
              </w:rPr>
              <w:t>LCFS</w:t>
            </w:r>
            <w:r>
              <w:rPr>
                <w:rFonts w:ascii="Arial"/>
                <w:spacing w:val="29"/>
                <w:sz w:val="16"/>
              </w:rPr>
              <w:t> </w:t>
            </w:r>
            <w:r>
              <w:rPr>
                <w:rFonts w:ascii="Arial"/>
                <w:sz w:val="16"/>
              </w:rPr>
              <w:t>commenced</w:t>
            </w:r>
            <w:r>
              <w:rPr>
                <w:rFonts w:ascii="Arial"/>
                <w:spacing w:val="36"/>
                <w:sz w:val="16"/>
              </w:rPr>
              <w:t> </w:t>
            </w:r>
            <w:r>
              <w:rPr>
                <w:rFonts w:ascii="Arial"/>
                <w:sz w:val="16"/>
              </w:rPr>
              <w:t>in</w:t>
            </w:r>
            <w:r>
              <w:rPr>
                <w:rFonts w:ascii="Arial"/>
                <w:spacing w:val="31"/>
                <w:sz w:val="16"/>
              </w:rPr>
              <w:t> </w:t>
            </w:r>
            <w:r>
              <w:rPr>
                <w:rFonts w:ascii="Arial"/>
                <w:sz w:val="16"/>
              </w:rPr>
              <w:t>post</w:t>
            </w:r>
            <w:r>
              <w:rPr>
                <w:rFonts w:ascii="Arial"/>
                <w:spacing w:val="31"/>
                <w:sz w:val="16"/>
              </w:rPr>
              <w:t> </w:t>
            </w:r>
            <w:r>
              <w:rPr>
                <w:rFonts w:ascii="Arial"/>
                <w:sz w:val="16"/>
              </w:rPr>
              <w:t>for</w:t>
            </w:r>
            <w:r>
              <w:rPr>
                <w:rFonts w:ascii="Arial"/>
                <w:spacing w:val="34"/>
                <w:sz w:val="16"/>
              </w:rPr>
              <w:t> </w:t>
            </w:r>
            <w:r>
              <w:rPr>
                <w:rFonts w:ascii="Arial"/>
                <w:sz w:val="16"/>
              </w:rPr>
              <w:t>NWSSP</w:t>
            </w:r>
            <w:r>
              <w:rPr>
                <w:rFonts w:ascii="Arial"/>
                <w:sz w:val="16"/>
              </w:rPr>
              <w:t> with effect from 6/6/22. Fraud Awareness session held on </w:t>
            </w:r>
            <w:r>
              <w:rPr>
                <w:rFonts w:ascii="Arial"/>
                <w:spacing w:val="-2"/>
                <w:sz w:val="16"/>
              </w:rPr>
              <w:t>16/11/2022.</w:t>
            </w:r>
          </w:p>
        </w:tc>
        <w:tc>
          <w:tcPr>
            <w:tcW w:w="888" w:type="dxa"/>
            <w:vMerge w:val="restart"/>
          </w:tcPr>
          <w:p>
            <w:pPr>
              <w:pStyle w:val="TableParagraph"/>
              <w:rPr>
                <w:sz w:val="36"/>
              </w:rPr>
            </w:pPr>
          </w:p>
          <w:p>
            <w:pPr>
              <w:pStyle w:val="TableParagraph"/>
              <w:spacing w:before="3"/>
              <w:rPr>
                <w:sz w:val="39"/>
              </w:rPr>
            </w:pPr>
          </w:p>
          <w:p>
            <w:pPr>
              <w:pStyle w:val="TableParagraph"/>
              <w:ind w:left="268"/>
              <w:rPr>
                <w:rFonts w:ascii="Wingdings 3" w:hAnsi="Wingdings 3"/>
                <w:sz w:val="32"/>
              </w:rPr>
            </w:pPr>
            <w:r>
              <w:rPr>
                <w:rFonts w:ascii="Wingdings 3" w:hAnsi="Wingdings 3"/>
                <w:color w:val="FFBF00"/>
                <w:w w:val="101"/>
                <w:sz w:val="32"/>
              </w:rPr>
              <w:t></w:t>
            </w:r>
          </w:p>
        </w:tc>
        <w:tc>
          <w:tcPr>
            <w:tcW w:w="1246" w:type="dxa"/>
            <w:vMerge w:val="restart"/>
            <w:shd w:val="clear" w:color="auto" w:fill="FFFF00"/>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31"/>
              <w:ind w:left="246"/>
              <w:rPr>
                <w:rFonts w:ascii="Arial"/>
                <w:b/>
                <w:sz w:val="16"/>
              </w:rPr>
            </w:pPr>
            <w:r>
              <w:rPr>
                <w:rFonts w:ascii="Arial"/>
                <w:b/>
                <w:sz w:val="16"/>
              </w:rPr>
              <w:t>31-Mar-</w:t>
            </w:r>
            <w:r>
              <w:rPr>
                <w:rFonts w:ascii="Arial"/>
                <w:b/>
                <w:spacing w:val="-5"/>
                <w:sz w:val="16"/>
              </w:rPr>
              <w:t>23</w:t>
            </w:r>
          </w:p>
        </w:tc>
      </w:tr>
      <w:tr>
        <w:trPr>
          <w:trHeight w:val="208" w:hRule="atLeast"/>
        </w:trPr>
        <w:tc>
          <w:tcPr>
            <w:tcW w:w="667" w:type="dxa"/>
            <w:vMerge/>
            <w:tcBorders>
              <w:top w:val="nil"/>
            </w:tcBorders>
          </w:tcPr>
          <w:p>
            <w:pPr>
              <w:rPr>
                <w:sz w:val="2"/>
                <w:szCs w:val="2"/>
              </w:rPr>
            </w:pPr>
          </w:p>
        </w:tc>
        <w:tc>
          <w:tcPr>
            <w:tcW w:w="3583" w:type="dxa"/>
          </w:tcPr>
          <w:p>
            <w:pPr>
              <w:pStyle w:val="TableParagraph"/>
              <w:spacing w:line="178" w:lineRule="exact" w:before="10"/>
              <w:ind w:left="33"/>
              <w:rPr>
                <w:rFonts w:ascii="Arial"/>
                <w:b/>
                <w:sz w:val="16"/>
              </w:rPr>
            </w:pPr>
            <w:r>
              <w:rPr>
                <w:rFonts w:ascii="Arial"/>
                <w:b/>
                <w:sz w:val="16"/>
              </w:rPr>
              <w:t>Strategic</w:t>
            </w:r>
            <w:r>
              <w:rPr>
                <w:rFonts w:ascii="Arial"/>
                <w:b/>
                <w:spacing w:val="6"/>
                <w:sz w:val="16"/>
              </w:rPr>
              <w:t> </w:t>
            </w:r>
            <w:r>
              <w:rPr>
                <w:rFonts w:ascii="Arial"/>
                <w:b/>
                <w:sz w:val="16"/>
              </w:rPr>
              <w:t>Objective</w:t>
            </w:r>
            <w:r>
              <w:rPr>
                <w:rFonts w:ascii="Arial"/>
                <w:b/>
                <w:spacing w:val="4"/>
                <w:sz w:val="16"/>
              </w:rPr>
              <w:t> </w:t>
            </w:r>
            <w:r>
              <w:rPr>
                <w:rFonts w:ascii="Arial"/>
                <w:b/>
                <w:sz w:val="16"/>
              </w:rPr>
              <w:t>-</w:t>
            </w:r>
            <w:r>
              <w:rPr>
                <w:rFonts w:ascii="Arial"/>
                <w:b/>
                <w:spacing w:val="7"/>
                <w:sz w:val="16"/>
              </w:rPr>
              <w:t> </w:t>
            </w:r>
            <w:r>
              <w:rPr>
                <w:rFonts w:ascii="Arial"/>
                <w:b/>
                <w:sz w:val="16"/>
              </w:rPr>
              <w:t>Value</w:t>
            </w:r>
            <w:r>
              <w:rPr>
                <w:rFonts w:ascii="Arial"/>
                <w:b/>
                <w:spacing w:val="4"/>
                <w:sz w:val="16"/>
              </w:rPr>
              <w:t> </w:t>
            </w:r>
            <w:r>
              <w:rPr>
                <w:rFonts w:ascii="Arial"/>
                <w:b/>
                <w:sz w:val="16"/>
              </w:rPr>
              <w:t>For</w:t>
            </w:r>
            <w:r>
              <w:rPr>
                <w:rFonts w:ascii="Arial"/>
                <w:b/>
                <w:spacing w:val="3"/>
                <w:sz w:val="16"/>
              </w:rPr>
              <w:t> </w:t>
            </w:r>
            <w:r>
              <w:rPr>
                <w:rFonts w:ascii="Arial"/>
                <w:b/>
                <w:spacing w:val="-2"/>
                <w:sz w:val="16"/>
              </w:rPr>
              <w:t>Money</w:t>
            </w: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tcBorders>
            <w:shd w:val="clear" w:color="auto" w:fill="FF00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FFBF00"/>
          </w:tcPr>
          <w:p>
            <w:pPr>
              <w:rPr>
                <w:sz w:val="2"/>
                <w:szCs w:val="2"/>
              </w:rPr>
            </w:pPr>
          </w:p>
        </w:tc>
        <w:tc>
          <w:tcPr>
            <w:tcW w:w="3499" w:type="dxa"/>
            <w:vMerge/>
            <w:tcBorders>
              <w:top w:val="nil"/>
            </w:tcBorders>
          </w:tcPr>
          <w:p>
            <w:pPr>
              <w:rPr>
                <w:sz w:val="2"/>
                <w:szCs w:val="2"/>
              </w:rPr>
            </w:pPr>
          </w:p>
        </w:tc>
        <w:tc>
          <w:tcPr>
            <w:tcW w:w="4226" w:type="dxa"/>
          </w:tcPr>
          <w:p>
            <w:pPr>
              <w:pStyle w:val="TableParagraph"/>
              <w:spacing w:line="178" w:lineRule="exact" w:before="10"/>
              <w:ind w:left="35"/>
              <w:rPr>
                <w:rFonts w:ascii="Arial"/>
                <w:b/>
                <w:sz w:val="16"/>
              </w:rPr>
            </w:pPr>
            <w:r>
              <w:rPr>
                <w:rFonts w:ascii="Arial"/>
                <w:b/>
                <w:sz w:val="16"/>
              </w:rPr>
              <w:t>Risk</w:t>
            </w:r>
            <w:r>
              <w:rPr>
                <w:rFonts w:ascii="Arial"/>
                <w:b/>
                <w:spacing w:val="5"/>
                <w:sz w:val="16"/>
              </w:rPr>
              <w:t> </w:t>
            </w:r>
            <w:r>
              <w:rPr>
                <w:rFonts w:ascii="Arial"/>
                <w:b/>
                <w:sz w:val="16"/>
              </w:rPr>
              <w:t>Lead:</w:t>
            </w:r>
            <w:r>
              <w:rPr>
                <w:rFonts w:ascii="Arial"/>
                <w:b/>
                <w:spacing w:val="6"/>
                <w:sz w:val="16"/>
              </w:rPr>
              <w:t> </w:t>
            </w:r>
            <w:r>
              <w:rPr>
                <w:rFonts w:ascii="Arial"/>
                <w:b/>
                <w:sz w:val="16"/>
              </w:rPr>
              <w:t>Director</w:t>
            </w:r>
            <w:r>
              <w:rPr>
                <w:rFonts w:ascii="Arial"/>
                <w:b/>
                <w:spacing w:val="4"/>
                <w:sz w:val="16"/>
              </w:rPr>
              <w:t> </w:t>
            </w:r>
            <w:r>
              <w:rPr>
                <w:rFonts w:ascii="Arial"/>
                <w:b/>
                <w:sz w:val="16"/>
              </w:rPr>
              <w:t>of</w:t>
            </w:r>
            <w:r>
              <w:rPr>
                <w:rFonts w:ascii="Arial"/>
                <w:b/>
                <w:spacing w:val="8"/>
                <w:sz w:val="16"/>
              </w:rPr>
              <w:t> </w:t>
            </w:r>
            <w:r>
              <w:rPr>
                <w:rFonts w:ascii="Arial"/>
                <w:b/>
                <w:sz w:val="16"/>
              </w:rPr>
              <w:t>Finance</w:t>
            </w:r>
            <w:r>
              <w:rPr>
                <w:rFonts w:ascii="Arial"/>
                <w:b/>
                <w:spacing w:val="8"/>
                <w:sz w:val="16"/>
              </w:rPr>
              <w:t> </w:t>
            </w:r>
            <w:r>
              <w:rPr>
                <w:rFonts w:ascii="Arial"/>
                <w:b/>
                <w:sz w:val="16"/>
              </w:rPr>
              <w:t>&amp;</w:t>
            </w:r>
            <w:r>
              <w:rPr>
                <w:rFonts w:ascii="Arial"/>
                <w:b/>
                <w:spacing w:val="4"/>
                <w:sz w:val="16"/>
              </w:rPr>
              <w:t> </w:t>
            </w:r>
            <w:r>
              <w:rPr>
                <w:rFonts w:ascii="Arial"/>
                <w:b/>
                <w:sz w:val="16"/>
              </w:rPr>
              <w:t>Corporate</w:t>
            </w:r>
            <w:r>
              <w:rPr>
                <w:rFonts w:ascii="Arial"/>
                <w:b/>
                <w:spacing w:val="6"/>
                <w:sz w:val="16"/>
              </w:rPr>
              <w:t> </w:t>
            </w:r>
            <w:r>
              <w:rPr>
                <w:rFonts w:ascii="Arial"/>
                <w:b/>
                <w:spacing w:val="-2"/>
                <w:sz w:val="16"/>
              </w:rPr>
              <w:t>Services</w:t>
            </w:r>
          </w:p>
        </w:tc>
        <w:tc>
          <w:tcPr>
            <w:tcW w:w="888" w:type="dxa"/>
            <w:vMerge/>
            <w:tcBorders>
              <w:top w:val="nil"/>
            </w:tcBorders>
          </w:tcPr>
          <w:p>
            <w:pPr>
              <w:rPr>
                <w:sz w:val="2"/>
                <w:szCs w:val="2"/>
              </w:rPr>
            </w:pPr>
          </w:p>
        </w:tc>
        <w:tc>
          <w:tcPr>
            <w:tcW w:w="1246" w:type="dxa"/>
            <w:vMerge/>
            <w:tcBorders>
              <w:top w:val="nil"/>
            </w:tcBorders>
            <w:shd w:val="clear" w:color="auto" w:fill="FFFF00"/>
          </w:tcPr>
          <w:p>
            <w:pPr>
              <w:rPr>
                <w:sz w:val="2"/>
                <w:szCs w:val="2"/>
              </w:rPr>
            </w:pPr>
          </w:p>
        </w:tc>
      </w:tr>
      <w:tr>
        <w:trPr>
          <w:trHeight w:val="3095" w:hRule="atLeast"/>
        </w:trPr>
        <w:tc>
          <w:tcPr>
            <w:tcW w:w="667" w:type="dxa"/>
            <w:vMerge w:val="restart"/>
          </w:tcPr>
          <w:p>
            <w:pPr>
              <w:pStyle w:val="TableParagraph"/>
              <w:spacing w:before="10"/>
              <w:ind w:left="234"/>
              <w:rPr>
                <w:rFonts w:ascii="Arial"/>
                <w:b/>
                <w:sz w:val="16"/>
              </w:rPr>
            </w:pPr>
            <w:r>
              <w:rPr>
                <w:rFonts w:ascii="Arial"/>
                <w:b/>
                <w:spacing w:val="-5"/>
                <w:sz w:val="16"/>
              </w:rPr>
              <w:t>A3</w:t>
            </w:r>
          </w:p>
        </w:tc>
        <w:tc>
          <w:tcPr>
            <w:tcW w:w="3583" w:type="dxa"/>
          </w:tcPr>
          <w:p>
            <w:pPr>
              <w:pStyle w:val="TableParagraph"/>
              <w:spacing w:line="264" w:lineRule="auto" w:before="3"/>
              <w:ind w:left="33" w:right="170"/>
              <w:rPr>
                <w:rFonts w:ascii="Arial"/>
                <w:sz w:val="16"/>
              </w:rPr>
            </w:pPr>
            <w:r>
              <w:rPr>
                <w:rFonts w:ascii="Arial"/>
                <w:sz w:val="16"/>
              </w:rPr>
              <w:t>Risk of cyber attack exacerbated if NWSSP, or other NHS Wales organisations, run unsupported versions of software. (</w:t>
            </w:r>
            <w:r>
              <w:rPr>
                <w:rFonts w:ascii="Arial"/>
                <w:color w:val="FF0000"/>
                <w:sz w:val="16"/>
              </w:rPr>
              <w:t>added Apr </w:t>
            </w:r>
            <w:r>
              <w:rPr>
                <w:rFonts w:ascii="Arial"/>
                <w:color w:val="FF0000"/>
                <w:spacing w:val="-2"/>
                <w:sz w:val="16"/>
              </w:rPr>
              <w:t>2019)</w:t>
            </w:r>
          </w:p>
        </w:tc>
        <w:tc>
          <w:tcPr>
            <w:tcW w:w="583" w:type="dxa"/>
            <w:vMerge w:val="restart"/>
          </w:tcPr>
          <w:p>
            <w:pPr>
              <w:pStyle w:val="TableParagraph"/>
              <w:spacing w:before="3"/>
              <w:ind w:left="22"/>
              <w:jc w:val="center"/>
              <w:rPr>
                <w:rFonts w:ascii="Arial"/>
                <w:sz w:val="16"/>
              </w:rPr>
            </w:pPr>
            <w:r>
              <w:rPr>
                <w:rFonts w:ascii="Arial"/>
                <w:w w:val="101"/>
                <w:sz w:val="16"/>
              </w:rPr>
              <w:t>5</w:t>
            </w:r>
          </w:p>
        </w:tc>
        <w:tc>
          <w:tcPr>
            <w:tcW w:w="660" w:type="dxa"/>
            <w:vMerge w:val="restart"/>
          </w:tcPr>
          <w:p>
            <w:pPr>
              <w:pStyle w:val="TableParagraph"/>
              <w:spacing w:before="3"/>
              <w:ind w:left="22"/>
              <w:jc w:val="center"/>
              <w:rPr>
                <w:rFonts w:ascii="Arial"/>
                <w:sz w:val="16"/>
              </w:rPr>
            </w:pPr>
            <w:r>
              <w:rPr>
                <w:rFonts w:ascii="Arial"/>
                <w:w w:val="101"/>
                <w:sz w:val="16"/>
              </w:rPr>
              <w:t>5</w:t>
            </w:r>
          </w:p>
        </w:tc>
        <w:tc>
          <w:tcPr>
            <w:tcW w:w="713" w:type="dxa"/>
            <w:vMerge w:val="restart"/>
            <w:shd w:val="clear" w:color="auto" w:fill="FF0000"/>
          </w:tcPr>
          <w:p>
            <w:pPr>
              <w:pStyle w:val="TableParagraph"/>
              <w:spacing w:before="3"/>
              <w:ind w:left="251" w:right="229"/>
              <w:jc w:val="center"/>
              <w:rPr>
                <w:rFonts w:ascii="Arial"/>
                <w:sz w:val="16"/>
              </w:rPr>
            </w:pPr>
            <w:r>
              <w:rPr>
                <w:rFonts w:ascii="Arial"/>
                <w:spacing w:val="-5"/>
                <w:sz w:val="16"/>
              </w:rPr>
              <w:t>25</w:t>
            </w:r>
          </w:p>
        </w:tc>
        <w:tc>
          <w:tcPr>
            <w:tcW w:w="3679" w:type="dxa"/>
            <w:vMerge w:val="restart"/>
          </w:tcPr>
          <w:p>
            <w:pPr>
              <w:pStyle w:val="TableParagraph"/>
              <w:spacing w:line="264" w:lineRule="auto" w:before="3"/>
              <w:ind w:left="33" w:right="1689"/>
              <w:jc w:val="both"/>
              <w:rPr>
                <w:rFonts w:ascii="Arial"/>
                <w:sz w:val="16"/>
              </w:rPr>
            </w:pPr>
            <w:r>
              <w:rPr>
                <w:rFonts w:ascii="Arial"/>
                <w:sz w:val="16"/>
              </w:rPr>
              <w:t>Cyber Security</w:t>
            </w:r>
            <w:r>
              <w:rPr>
                <w:rFonts w:ascii="Arial"/>
                <w:spacing w:val="-3"/>
                <w:sz w:val="16"/>
              </w:rPr>
              <w:t> </w:t>
            </w:r>
            <w:r>
              <w:rPr>
                <w:rFonts w:ascii="Arial"/>
                <w:sz w:val="16"/>
              </w:rPr>
              <w:t>Action </w:t>
            </w:r>
            <w:r>
              <w:rPr>
                <w:rFonts w:ascii="Arial"/>
                <w:sz w:val="16"/>
              </w:rPr>
              <w:t>Plan BCP Champions Meeting</w:t>
            </w:r>
          </w:p>
          <w:p>
            <w:pPr>
              <w:pStyle w:val="TableParagraph"/>
              <w:spacing w:line="264" w:lineRule="auto"/>
              <w:ind w:left="33" w:right="1248"/>
              <w:jc w:val="both"/>
              <w:rPr>
                <w:rFonts w:ascii="Arial"/>
                <w:sz w:val="16"/>
              </w:rPr>
            </w:pPr>
            <w:r>
              <w:rPr>
                <w:rFonts w:ascii="Arial"/>
                <w:sz w:val="16"/>
              </w:rPr>
              <w:t>Information Governance training Mandatory cyber security </w:t>
            </w:r>
            <w:r>
              <w:rPr>
                <w:rFonts w:ascii="Arial"/>
                <w:sz w:val="16"/>
              </w:rPr>
              <w:t>e-learn Internal Audit review</w:t>
            </w:r>
          </w:p>
          <w:p>
            <w:pPr>
              <w:pStyle w:val="TableParagraph"/>
              <w:spacing w:line="264" w:lineRule="auto"/>
              <w:ind w:left="33" w:right="236"/>
              <w:rPr>
                <w:rFonts w:ascii="Arial"/>
                <w:sz w:val="16"/>
              </w:rPr>
            </w:pPr>
            <w:r>
              <w:rPr>
                <w:rFonts w:ascii="Arial"/>
                <w:sz w:val="16"/>
              </w:rPr>
              <w:t>Band 6 IT Security Officer appointed Sept 21 BCP Action Cards (updated March 22)</w:t>
            </w:r>
          </w:p>
          <w:p>
            <w:pPr>
              <w:pStyle w:val="TableParagraph"/>
              <w:spacing w:line="264" w:lineRule="auto"/>
              <w:ind w:left="33" w:right="49"/>
              <w:rPr>
                <w:rFonts w:ascii="Arial"/>
                <w:sz w:val="16"/>
              </w:rPr>
            </w:pPr>
            <w:r>
              <w:rPr>
                <w:rFonts w:ascii="Arial"/>
                <w:sz w:val="16"/>
              </w:rPr>
              <w:t>CAF completed and report received from CRU CAF remediation project established with support from PMO.</w:t>
            </w:r>
          </w:p>
          <w:p>
            <w:pPr>
              <w:pStyle w:val="TableParagraph"/>
              <w:spacing w:line="264" w:lineRule="auto"/>
              <w:ind w:left="33" w:right="236"/>
              <w:rPr>
                <w:rFonts w:ascii="Arial" w:hAnsi="Arial"/>
                <w:sz w:val="16"/>
              </w:rPr>
            </w:pPr>
            <w:r>
              <w:rPr>
                <w:rFonts w:ascii="Arial" w:hAnsi="Arial"/>
                <w:sz w:val="16"/>
              </w:rPr>
              <w:t>‘Exercise in a box’ launch event held with SLG (face to face) on 12 May.</w:t>
            </w:r>
          </w:p>
          <w:p>
            <w:pPr>
              <w:pStyle w:val="TableParagraph"/>
              <w:spacing w:line="264" w:lineRule="auto"/>
              <w:ind w:left="33" w:right="49"/>
              <w:rPr>
                <w:rFonts w:ascii="Arial"/>
                <w:sz w:val="16"/>
              </w:rPr>
            </w:pPr>
            <w:r>
              <w:rPr>
                <w:rFonts w:ascii="Arial"/>
                <w:sz w:val="16"/>
              </w:rPr>
              <w:t>Phishing testing has been running since February 2022 alongside proactive communications on</w:t>
            </w:r>
            <w:r>
              <w:rPr>
                <w:rFonts w:ascii="Arial"/>
                <w:spacing w:val="40"/>
                <w:sz w:val="16"/>
              </w:rPr>
              <w:t> </w:t>
            </w:r>
            <w:r>
              <w:rPr>
                <w:rFonts w:ascii="Arial"/>
                <w:sz w:val="16"/>
              </w:rPr>
              <w:t>cyber awareness.</w:t>
            </w:r>
          </w:p>
        </w:tc>
        <w:tc>
          <w:tcPr>
            <w:tcW w:w="583" w:type="dxa"/>
            <w:vMerge w:val="restart"/>
          </w:tcPr>
          <w:p>
            <w:pPr>
              <w:pStyle w:val="TableParagraph"/>
              <w:spacing w:before="3"/>
              <w:ind w:left="22"/>
              <w:jc w:val="center"/>
              <w:rPr>
                <w:rFonts w:ascii="Arial"/>
                <w:sz w:val="16"/>
              </w:rPr>
            </w:pPr>
            <w:r>
              <w:rPr>
                <w:rFonts w:ascii="Arial"/>
                <w:w w:val="101"/>
                <w:sz w:val="16"/>
              </w:rPr>
              <w:t>2</w:t>
            </w:r>
          </w:p>
        </w:tc>
        <w:tc>
          <w:tcPr>
            <w:tcW w:w="621" w:type="dxa"/>
            <w:vMerge w:val="restart"/>
          </w:tcPr>
          <w:p>
            <w:pPr>
              <w:pStyle w:val="TableParagraph"/>
              <w:spacing w:before="3"/>
              <w:ind w:left="23"/>
              <w:jc w:val="center"/>
              <w:rPr>
                <w:rFonts w:ascii="Arial"/>
                <w:sz w:val="16"/>
              </w:rPr>
            </w:pPr>
            <w:r>
              <w:rPr>
                <w:rFonts w:ascii="Arial"/>
                <w:w w:val="101"/>
                <w:sz w:val="16"/>
              </w:rPr>
              <w:t>5</w:t>
            </w:r>
          </w:p>
        </w:tc>
        <w:tc>
          <w:tcPr>
            <w:tcW w:w="698" w:type="dxa"/>
            <w:vMerge w:val="restart"/>
            <w:shd w:val="clear" w:color="auto" w:fill="FFBF00"/>
          </w:tcPr>
          <w:p>
            <w:pPr>
              <w:pStyle w:val="TableParagraph"/>
              <w:spacing w:before="3"/>
              <w:ind w:left="243" w:right="220"/>
              <w:jc w:val="center"/>
              <w:rPr>
                <w:rFonts w:ascii="Arial"/>
                <w:sz w:val="16"/>
              </w:rPr>
            </w:pPr>
            <w:r>
              <w:rPr>
                <w:rFonts w:ascii="Arial"/>
                <w:spacing w:val="-5"/>
                <w:sz w:val="16"/>
              </w:rPr>
              <w:t>10</w:t>
            </w:r>
          </w:p>
        </w:tc>
        <w:tc>
          <w:tcPr>
            <w:tcW w:w="3499" w:type="dxa"/>
            <w:vMerge w:val="restart"/>
          </w:tcPr>
          <w:p>
            <w:pPr>
              <w:pStyle w:val="TableParagraph"/>
              <w:spacing w:line="264" w:lineRule="auto" w:before="3"/>
              <w:ind w:left="35"/>
              <w:rPr>
                <w:rFonts w:ascii="Arial"/>
                <w:sz w:val="16"/>
              </w:rPr>
            </w:pPr>
            <w:r>
              <w:rPr>
                <w:rFonts w:ascii="Arial"/>
                <w:sz w:val="16"/>
              </w:rPr>
              <w:t>Initial phase of work to review and update the service</w:t>
            </w:r>
            <w:r>
              <w:rPr>
                <w:rFonts w:ascii="Arial"/>
                <w:spacing w:val="40"/>
                <w:sz w:val="16"/>
              </w:rPr>
              <w:t> </w:t>
            </w:r>
            <w:r>
              <w:rPr>
                <w:rFonts w:ascii="Arial"/>
                <w:sz w:val="16"/>
              </w:rPr>
              <w:t>catalogue and</w:t>
            </w:r>
            <w:r>
              <w:rPr>
                <w:rFonts w:ascii="Arial"/>
                <w:spacing w:val="40"/>
                <w:sz w:val="16"/>
              </w:rPr>
              <w:t> </w:t>
            </w:r>
            <w:r>
              <w:rPr>
                <w:rFonts w:ascii="Arial"/>
                <w:sz w:val="16"/>
              </w:rPr>
              <w:t>make</w:t>
            </w:r>
            <w:r>
              <w:rPr>
                <w:rFonts w:ascii="Arial"/>
                <w:spacing w:val="40"/>
                <w:sz w:val="16"/>
              </w:rPr>
              <w:t> </w:t>
            </w:r>
            <w:r>
              <w:rPr>
                <w:rFonts w:ascii="Arial"/>
                <w:sz w:val="16"/>
              </w:rPr>
              <w:t>assessment</w:t>
            </w:r>
            <w:r>
              <w:rPr>
                <w:rFonts w:ascii="Arial"/>
                <w:spacing w:val="40"/>
                <w:sz w:val="16"/>
              </w:rPr>
              <w:t> </w:t>
            </w:r>
            <w:r>
              <w:rPr>
                <w:rFonts w:ascii="Arial"/>
                <w:sz w:val="16"/>
              </w:rPr>
              <w:t>of risk on existing systems has commenced (w/c 20th June). IT security team attended BCP meeting on 16 June to explain the process and requirements of All Divisions.</w:t>
            </w:r>
          </w:p>
          <w:p>
            <w:pPr>
              <w:pStyle w:val="TableParagraph"/>
              <w:spacing w:line="264" w:lineRule="auto"/>
              <w:ind w:left="35"/>
              <w:rPr>
                <w:rFonts w:ascii="Arial"/>
                <w:sz w:val="16"/>
              </w:rPr>
            </w:pPr>
            <w:r>
              <w:rPr>
                <w:rFonts w:ascii="Arial"/>
                <w:sz w:val="16"/>
              </w:rPr>
              <w:t>Given the heightened level of risk promotion of good practice to staff and phishing testing </w:t>
            </w:r>
            <w:r>
              <w:rPr>
                <w:rFonts w:ascii="Arial"/>
                <w:spacing w:val="-2"/>
                <w:sz w:val="16"/>
              </w:rPr>
              <w:t>continues.</w:t>
            </w:r>
          </w:p>
          <w:p>
            <w:pPr>
              <w:pStyle w:val="TableParagraph"/>
              <w:spacing w:line="264" w:lineRule="auto"/>
              <w:ind w:left="35" w:right="125"/>
              <w:rPr>
                <w:rFonts w:ascii="Arial"/>
                <w:sz w:val="16"/>
              </w:rPr>
            </w:pPr>
            <w:r>
              <w:rPr>
                <w:rFonts w:ascii="Arial"/>
                <w:sz w:val="16"/>
              </w:rPr>
              <w:t>Progress against the CAF will be reported to SLG on a quarterly basis.</w:t>
            </w:r>
          </w:p>
          <w:p>
            <w:pPr>
              <w:pStyle w:val="TableParagraph"/>
              <w:spacing w:line="264" w:lineRule="auto"/>
              <w:ind w:left="35" w:right="125"/>
              <w:rPr>
                <w:rFonts w:ascii="Arial"/>
                <w:sz w:val="16"/>
              </w:rPr>
            </w:pPr>
            <w:r>
              <w:rPr>
                <w:rFonts w:ascii="Arial"/>
                <w:sz w:val="16"/>
              </w:rPr>
              <w:t>CRU held a workshop with SIRO and Director of Informatics on 29 June.</w:t>
            </w:r>
          </w:p>
          <w:p>
            <w:pPr>
              <w:pStyle w:val="TableParagraph"/>
              <w:spacing w:line="264" w:lineRule="auto"/>
              <w:ind w:left="35"/>
              <w:rPr>
                <w:rFonts w:ascii="Arial"/>
                <w:sz w:val="16"/>
              </w:rPr>
            </w:pPr>
            <w:r>
              <w:rPr>
                <w:rFonts w:ascii="Arial"/>
                <w:sz w:val="16"/>
              </w:rPr>
              <w:t>Agreement for further resource achieved </w:t>
            </w:r>
            <w:r>
              <w:rPr>
                <w:rFonts w:ascii="Arial"/>
                <w:sz w:val="16"/>
              </w:rPr>
              <w:t>- recruitment underway.</w:t>
            </w:r>
          </w:p>
        </w:tc>
        <w:tc>
          <w:tcPr>
            <w:tcW w:w="4226" w:type="dxa"/>
          </w:tcPr>
          <w:p>
            <w:pPr>
              <w:pStyle w:val="TableParagraph"/>
              <w:spacing w:line="264" w:lineRule="auto" w:before="3"/>
              <w:ind w:left="35" w:right="124"/>
              <w:rPr>
                <w:rFonts w:ascii="Arial"/>
                <w:sz w:val="16"/>
              </w:rPr>
            </w:pPr>
            <w:r>
              <w:rPr>
                <w:rFonts w:ascii="Arial"/>
                <w:sz w:val="16"/>
              </w:rPr>
              <w:t>Team was strengthened in Sept 21 with additional member of staff. Following war in Ukraine staff have</w:t>
            </w:r>
            <w:r>
              <w:rPr>
                <w:rFonts w:ascii="Arial"/>
                <w:spacing w:val="80"/>
                <w:sz w:val="16"/>
              </w:rPr>
              <w:t> </w:t>
            </w:r>
            <w:r>
              <w:rPr>
                <w:rFonts w:ascii="Arial"/>
                <w:sz w:val="16"/>
              </w:rPr>
              <w:t>been reminded of good housekeeping procedures and guidance reissued. All directorates have completed or updated their action cards relating to the potential loss of IT systems and networks. Focus on this topic at May</w:t>
            </w:r>
            <w:r>
              <w:rPr>
                <w:rFonts w:ascii="Arial"/>
                <w:spacing w:val="80"/>
                <w:sz w:val="16"/>
              </w:rPr>
              <w:t> </w:t>
            </w:r>
            <w:r>
              <w:rPr>
                <w:rFonts w:ascii="Arial"/>
                <w:spacing w:val="-4"/>
                <w:sz w:val="16"/>
              </w:rPr>
              <w:t>SLG.</w:t>
            </w:r>
          </w:p>
        </w:tc>
        <w:tc>
          <w:tcPr>
            <w:tcW w:w="888" w:type="dxa"/>
            <w:vMerge w:val="restart"/>
          </w:tcPr>
          <w:p>
            <w:pPr>
              <w:pStyle w:val="TableParagraph"/>
              <w:rPr>
                <w:sz w:val="36"/>
              </w:rPr>
            </w:pPr>
          </w:p>
          <w:p>
            <w:pPr>
              <w:pStyle w:val="TableParagraph"/>
              <w:rPr>
                <w:sz w:val="36"/>
              </w:rPr>
            </w:pPr>
          </w:p>
          <w:p>
            <w:pPr>
              <w:pStyle w:val="TableParagraph"/>
              <w:rPr>
                <w:sz w:val="36"/>
              </w:rPr>
            </w:pPr>
          </w:p>
          <w:p>
            <w:pPr>
              <w:pStyle w:val="TableParagraph"/>
              <w:spacing w:before="252"/>
              <w:ind w:left="268"/>
              <w:rPr>
                <w:rFonts w:ascii="Wingdings 3" w:hAnsi="Wingdings 3"/>
                <w:sz w:val="32"/>
              </w:rPr>
            </w:pPr>
            <w:r>
              <w:rPr>
                <w:rFonts w:ascii="Wingdings 3" w:hAnsi="Wingdings 3"/>
                <w:color w:val="FFBF00"/>
                <w:w w:val="101"/>
                <w:sz w:val="32"/>
              </w:rPr>
              <w:t></w:t>
            </w:r>
          </w:p>
        </w:tc>
        <w:tc>
          <w:tcPr>
            <w:tcW w:w="1246" w:type="dxa"/>
            <w:vMerge w:val="restart"/>
            <w:shd w:val="clear" w:color="auto" w:fill="FFFF00"/>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25"/>
              <w:ind w:left="246"/>
              <w:rPr>
                <w:rFonts w:ascii="Arial"/>
                <w:b/>
                <w:sz w:val="16"/>
              </w:rPr>
            </w:pPr>
            <w:r>
              <w:rPr>
                <w:rFonts w:ascii="Arial"/>
                <w:b/>
                <w:sz w:val="16"/>
              </w:rPr>
              <w:t>31-Mar-</w:t>
            </w:r>
            <w:r>
              <w:rPr>
                <w:rFonts w:ascii="Arial"/>
                <w:b/>
                <w:spacing w:val="-5"/>
                <w:sz w:val="16"/>
              </w:rPr>
              <w:t>23</w:t>
            </w:r>
          </w:p>
        </w:tc>
      </w:tr>
      <w:tr>
        <w:trPr>
          <w:trHeight w:val="397" w:hRule="atLeast"/>
        </w:trPr>
        <w:tc>
          <w:tcPr>
            <w:tcW w:w="667" w:type="dxa"/>
            <w:vMerge/>
            <w:tcBorders>
              <w:top w:val="nil"/>
            </w:tcBorders>
          </w:tcPr>
          <w:p>
            <w:pPr>
              <w:rPr>
                <w:sz w:val="2"/>
                <w:szCs w:val="2"/>
              </w:rPr>
            </w:pPr>
          </w:p>
        </w:tc>
        <w:tc>
          <w:tcPr>
            <w:tcW w:w="3583" w:type="dxa"/>
          </w:tcPr>
          <w:p>
            <w:pPr>
              <w:pStyle w:val="TableParagraph"/>
              <w:spacing w:before="10"/>
              <w:ind w:left="33"/>
              <w:rPr>
                <w:rFonts w:ascii="Arial"/>
                <w:b/>
                <w:sz w:val="16"/>
              </w:rPr>
            </w:pPr>
            <w:r>
              <w:rPr>
                <w:rFonts w:ascii="Arial"/>
                <w:b/>
                <w:sz w:val="16"/>
              </w:rPr>
              <w:t>Strategic</w:t>
            </w:r>
            <w:r>
              <w:rPr>
                <w:rFonts w:ascii="Arial"/>
                <w:b/>
                <w:spacing w:val="5"/>
                <w:sz w:val="16"/>
              </w:rPr>
              <w:t> </w:t>
            </w:r>
            <w:r>
              <w:rPr>
                <w:rFonts w:ascii="Arial"/>
                <w:b/>
                <w:sz w:val="16"/>
              </w:rPr>
              <w:t>Objective</w:t>
            </w:r>
            <w:r>
              <w:rPr>
                <w:rFonts w:ascii="Arial"/>
                <w:b/>
                <w:spacing w:val="4"/>
                <w:sz w:val="16"/>
              </w:rPr>
              <w:t> </w:t>
            </w:r>
            <w:r>
              <w:rPr>
                <w:rFonts w:ascii="Arial"/>
                <w:b/>
                <w:sz w:val="16"/>
              </w:rPr>
              <w:t>-</w:t>
            </w:r>
            <w:r>
              <w:rPr>
                <w:rFonts w:ascii="Arial"/>
                <w:b/>
                <w:spacing w:val="5"/>
                <w:sz w:val="16"/>
              </w:rPr>
              <w:t> </w:t>
            </w:r>
            <w:r>
              <w:rPr>
                <w:rFonts w:ascii="Arial"/>
                <w:b/>
                <w:sz w:val="16"/>
              </w:rPr>
              <w:t>Service</w:t>
            </w:r>
            <w:r>
              <w:rPr>
                <w:rFonts w:ascii="Arial"/>
                <w:b/>
                <w:spacing w:val="6"/>
                <w:sz w:val="16"/>
              </w:rPr>
              <w:t> </w:t>
            </w:r>
            <w:r>
              <w:rPr>
                <w:rFonts w:ascii="Arial"/>
                <w:b/>
                <w:spacing w:val="-2"/>
                <w:sz w:val="16"/>
              </w:rPr>
              <w:t>Development</w:t>
            </w: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tcBorders>
            <w:shd w:val="clear" w:color="auto" w:fill="FF00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FFBF00"/>
          </w:tcPr>
          <w:p>
            <w:pPr>
              <w:rPr>
                <w:sz w:val="2"/>
                <w:szCs w:val="2"/>
              </w:rPr>
            </w:pPr>
          </w:p>
        </w:tc>
        <w:tc>
          <w:tcPr>
            <w:tcW w:w="3499" w:type="dxa"/>
            <w:vMerge/>
            <w:tcBorders>
              <w:top w:val="nil"/>
            </w:tcBorders>
          </w:tcPr>
          <w:p>
            <w:pPr>
              <w:rPr>
                <w:sz w:val="2"/>
                <w:szCs w:val="2"/>
              </w:rPr>
            </w:pPr>
          </w:p>
        </w:tc>
        <w:tc>
          <w:tcPr>
            <w:tcW w:w="4226" w:type="dxa"/>
          </w:tcPr>
          <w:p>
            <w:pPr>
              <w:pStyle w:val="TableParagraph"/>
              <w:spacing w:before="10"/>
              <w:ind w:left="34"/>
              <w:rPr>
                <w:rFonts w:ascii="Arial"/>
                <w:b/>
                <w:sz w:val="16"/>
              </w:rPr>
            </w:pPr>
            <w:r>
              <w:rPr>
                <w:rFonts w:ascii="Arial"/>
                <w:b/>
                <w:sz w:val="16"/>
              </w:rPr>
              <w:t>Risk</w:t>
            </w:r>
            <w:r>
              <w:rPr>
                <w:rFonts w:ascii="Arial"/>
                <w:b/>
                <w:spacing w:val="8"/>
                <w:sz w:val="16"/>
              </w:rPr>
              <w:t> </w:t>
            </w:r>
            <w:r>
              <w:rPr>
                <w:rFonts w:ascii="Arial"/>
                <w:b/>
                <w:sz w:val="16"/>
              </w:rPr>
              <w:t>Lead:</w:t>
            </w:r>
            <w:r>
              <w:rPr>
                <w:rFonts w:ascii="Arial"/>
                <w:b/>
                <w:spacing w:val="6"/>
                <w:sz w:val="16"/>
              </w:rPr>
              <w:t> </w:t>
            </w:r>
            <w:r>
              <w:rPr>
                <w:rFonts w:ascii="Arial"/>
                <w:b/>
                <w:sz w:val="16"/>
              </w:rPr>
              <w:t>Director</w:t>
            </w:r>
            <w:r>
              <w:rPr>
                <w:rFonts w:ascii="Arial"/>
                <w:b/>
                <w:spacing w:val="6"/>
                <w:sz w:val="16"/>
              </w:rPr>
              <w:t> </w:t>
            </w:r>
            <w:r>
              <w:rPr>
                <w:rFonts w:ascii="Arial"/>
                <w:b/>
                <w:sz w:val="16"/>
              </w:rPr>
              <w:t>of</w:t>
            </w:r>
            <w:r>
              <w:rPr>
                <w:rFonts w:ascii="Arial"/>
                <w:b/>
                <w:spacing w:val="6"/>
                <w:sz w:val="16"/>
              </w:rPr>
              <w:t> </w:t>
            </w:r>
            <w:r>
              <w:rPr>
                <w:rFonts w:ascii="Arial"/>
                <w:b/>
                <w:sz w:val="16"/>
              </w:rPr>
              <w:t>Planning,</w:t>
            </w:r>
            <w:r>
              <w:rPr>
                <w:rFonts w:ascii="Arial"/>
                <w:b/>
                <w:spacing w:val="6"/>
                <w:sz w:val="16"/>
              </w:rPr>
              <w:t> </w:t>
            </w:r>
            <w:r>
              <w:rPr>
                <w:rFonts w:ascii="Arial"/>
                <w:b/>
                <w:sz w:val="16"/>
              </w:rPr>
              <w:t>Performance</w:t>
            </w:r>
            <w:r>
              <w:rPr>
                <w:rFonts w:ascii="Arial"/>
                <w:b/>
                <w:spacing w:val="9"/>
                <w:sz w:val="16"/>
              </w:rPr>
              <w:t> </w:t>
            </w:r>
            <w:r>
              <w:rPr>
                <w:rFonts w:ascii="Arial"/>
                <w:b/>
                <w:spacing w:val="-10"/>
                <w:sz w:val="16"/>
              </w:rPr>
              <w:t>&amp;</w:t>
            </w:r>
          </w:p>
          <w:p>
            <w:pPr>
              <w:pStyle w:val="TableParagraph"/>
              <w:spacing w:line="159" w:lineRule="exact" w:before="25"/>
              <w:ind w:left="35"/>
              <w:rPr>
                <w:rFonts w:ascii="Arial"/>
                <w:b/>
                <w:sz w:val="16"/>
              </w:rPr>
            </w:pPr>
            <w:r>
              <w:rPr>
                <w:rFonts w:ascii="Arial"/>
                <w:b/>
                <w:spacing w:val="-2"/>
                <w:sz w:val="16"/>
              </w:rPr>
              <w:t>Informatics</w:t>
            </w:r>
          </w:p>
        </w:tc>
        <w:tc>
          <w:tcPr>
            <w:tcW w:w="888" w:type="dxa"/>
            <w:vMerge/>
            <w:tcBorders>
              <w:top w:val="nil"/>
            </w:tcBorders>
          </w:tcPr>
          <w:p>
            <w:pPr>
              <w:rPr>
                <w:sz w:val="2"/>
                <w:szCs w:val="2"/>
              </w:rPr>
            </w:pPr>
          </w:p>
        </w:tc>
        <w:tc>
          <w:tcPr>
            <w:tcW w:w="1246" w:type="dxa"/>
            <w:vMerge/>
            <w:tcBorders>
              <w:top w:val="nil"/>
            </w:tcBorders>
            <w:shd w:val="clear" w:color="auto" w:fill="FFFF00"/>
          </w:tcPr>
          <w:p>
            <w:pPr>
              <w:rPr>
                <w:sz w:val="2"/>
                <w:szCs w:val="2"/>
              </w:rPr>
            </w:pPr>
          </w:p>
        </w:tc>
      </w:tr>
      <w:tr>
        <w:trPr>
          <w:trHeight w:val="1230" w:hRule="atLeast"/>
        </w:trPr>
        <w:tc>
          <w:tcPr>
            <w:tcW w:w="667" w:type="dxa"/>
            <w:vMerge w:val="restart"/>
          </w:tcPr>
          <w:p>
            <w:pPr>
              <w:pStyle w:val="TableParagraph"/>
              <w:spacing w:before="8"/>
              <w:ind w:left="232" w:right="210"/>
              <w:jc w:val="center"/>
              <w:rPr>
                <w:rFonts w:ascii="Calibri"/>
                <w:b/>
                <w:sz w:val="16"/>
              </w:rPr>
            </w:pPr>
            <w:r>
              <w:rPr>
                <w:rFonts w:ascii="Calibri"/>
                <w:b/>
                <w:spacing w:val="-5"/>
                <w:sz w:val="16"/>
              </w:rPr>
              <w:t>A4</w:t>
            </w:r>
          </w:p>
        </w:tc>
        <w:tc>
          <w:tcPr>
            <w:tcW w:w="3583" w:type="dxa"/>
          </w:tcPr>
          <w:p>
            <w:pPr>
              <w:pStyle w:val="TableParagraph"/>
              <w:spacing w:line="264" w:lineRule="auto" w:before="3"/>
              <w:ind w:left="33"/>
              <w:rPr>
                <w:rFonts w:ascii="Arial"/>
                <w:sz w:val="16"/>
              </w:rPr>
            </w:pPr>
            <w:r>
              <w:rPr>
                <w:rFonts w:ascii="Arial"/>
                <w:sz w:val="16"/>
              </w:rPr>
              <w:t>The demand on services within Employment Services as a result of Health Boards taking on substantial numbers of staff to respond to and recover from the pandemic, is unsustainable, leading to poor levels of performance. (</w:t>
            </w:r>
            <w:r>
              <w:rPr>
                <w:rFonts w:ascii="Arial"/>
                <w:color w:val="FF0000"/>
                <w:sz w:val="16"/>
              </w:rPr>
              <w:t>added</w:t>
            </w:r>
          </w:p>
          <w:p>
            <w:pPr>
              <w:pStyle w:val="TableParagraph"/>
              <w:spacing w:line="180" w:lineRule="exact"/>
              <w:ind w:left="33"/>
              <w:rPr>
                <w:rFonts w:ascii="Arial"/>
                <w:sz w:val="16"/>
              </w:rPr>
            </w:pPr>
            <w:r>
              <w:rPr>
                <w:rFonts w:ascii="Arial"/>
                <w:color w:val="FF0000"/>
                <w:sz w:val="16"/>
              </w:rPr>
              <w:t>November</w:t>
            </w:r>
            <w:r>
              <w:rPr>
                <w:rFonts w:ascii="Arial"/>
                <w:color w:val="FF0000"/>
                <w:spacing w:val="13"/>
                <w:sz w:val="16"/>
              </w:rPr>
              <w:t> </w:t>
            </w:r>
            <w:r>
              <w:rPr>
                <w:rFonts w:ascii="Arial"/>
                <w:color w:val="FF0000"/>
                <w:spacing w:val="-2"/>
                <w:sz w:val="16"/>
              </w:rPr>
              <w:t>2021</w:t>
            </w:r>
            <w:r>
              <w:rPr>
                <w:rFonts w:ascii="Arial"/>
                <w:spacing w:val="-2"/>
                <w:sz w:val="16"/>
              </w:rPr>
              <w:t>)</w:t>
            </w:r>
          </w:p>
        </w:tc>
        <w:tc>
          <w:tcPr>
            <w:tcW w:w="583" w:type="dxa"/>
            <w:vMerge w:val="restart"/>
          </w:tcPr>
          <w:p>
            <w:pPr>
              <w:pStyle w:val="TableParagraph"/>
              <w:spacing w:before="8"/>
              <w:ind w:left="23"/>
              <w:jc w:val="center"/>
              <w:rPr>
                <w:rFonts w:ascii="Calibri"/>
                <w:sz w:val="16"/>
              </w:rPr>
            </w:pPr>
            <w:r>
              <w:rPr>
                <w:rFonts w:ascii="Calibri"/>
                <w:w w:val="101"/>
                <w:sz w:val="16"/>
              </w:rPr>
              <w:t>4</w:t>
            </w:r>
          </w:p>
        </w:tc>
        <w:tc>
          <w:tcPr>
            <w:tcW w:w="660" w:type="dxa"/>
            <w:vMerge w:val="restart"/>
          </w:tcPr>
          <w:p>
            <w:pPr>
              <w:pStyle w:val="TableParagraph"/>
              <w:spacing w:before="8"/>
              <w:ind w:left="24"/>
              <w:jc w:val="center"/>
              <w:rPr>
                <w:rFonts w:ascii="Calibri"/>
                <w:sz w:val="16"/>
              </w:rPr>
            </w:pPr>
            <w:r>
              <w:rPr>
                <w:rFonts w:ascii="Calibri"/>
                <w:w w:val="101"/>
                <w:sz w:val="16"/>
              </w:rPr>
              <w:t>4</w:t>
            </w:r>
          </w:p>
        </w:tc>
        <w:tc>
          <w:tcPr>
            <w:tcW w:w="713" w:type="dxa"/>
            <w:vMerge w:val="restart"/>
            <w:shd w:val="clear" w:color="auto" w:fill="FF0000"/>
          </w:tcPr>
          <w:p>
            <w:pPr>
              <w:pStyle w:val="TableParagraph"/>
              <w:spacing w:before="3"/>
              <w:ind w:left="250" w:right="229"/>
              <w:jc w:val="center"/>
              <w:rPr>
                <w:rFonts w:ascii="Arial"/>
                <w:sz w:val="16"/>
              </w:rPr>
            </w:pPr>
            <w:r>
              <w:rPr>
                <w:rFonts w:ascii="Arial"/>
                <w:spacing w:val="-5"/>
                <w:sz w:val="16"/>
              </w:rPr>
              <w:t>16</w:t>
            </w:r>
          </w:p>
        </w:tc>
        <w:tc>
          <w:tcPr>
            <w:tcW w:w="3679" w:type="dxa"/>
            <w:vMerge w:val="restart"/>
          </w:tcPr>
          <w:p>
            <w:pPr>
              <w:pStyle w:val="TableParagraph"/>
              <w:spacing w:line="264" w:lineRule="auto" w:before="3"/>
              <w:ind w:left="33" w:right="236" w:hanging="1"/>
              <w:rPr>
                <w:rFonts w:ascii="Arial"/>
                <w:sz w:val="16"/>
              </w:rPr>
            </w:pPr>
            <w:r>
              <w:rPr>
                <w:rFonts w:ascii="Arial"/>
                <w:sz w:val="16"/>
              </w:rPr>
              <w:t>Established working practices governed by Service Level Agreements and measured by reporting of KPIs on monthly basis.</w:t>
            </w:r>
          </w:p>
        </w:tc>
        <w:tc>
          <w:tcPr>
            <w:tcW w:w="583" w:type="dxa"/>
            <w:vMerge w:val="restart"/>
          </w:tcPr>
          <w:p>
            <w:pPr>
              <w:pStyle w:val="TableParagraph"/>
              <w:spacing w:before="3"/>
              <w:ind w:left="22"/>
              <w:jc w:val="center"/>
              <w:rPr>
                <w:rFonts w:ascii="Arial"/>
                <w:sz w:val="16"/>
              </w:rPr>
            </w:pPr>
            <w:r>
              <w:rPr>
                <w:rFonts w:ascii="Arial"/>
                <w:w w:val="101"/>
                <w:sz w:val="16"/>
              </w:rPr>
              <w:t>3</w:t>
            </w:r>
          </w:p>
        </w:tc>
        <w:tc>
          <w:tcPr>
            <w:tcW w:w="621" w:type="dxa"/>
            <w:vMerge w:val="restart"/>
          </w:tcPr>
          <w:p>
            <w:pPr>
              <w:pStyle w:val="TableParagraph"/>
              <w:spacing w:before="3"/>
              <w:ind w:left="22"/>
              <w:jc w:val="center"/>
              <w:rPr>
                <w:rFonts w:ascii="Arial"/>
                <w:sz w:val="16"/>
              </w:rPr>
            </w:pPr>
            <w:r>
              <w:rPr>
                <w:rFonts w:ascii="Arial"/>
                <w:w w:val="101"/>
                <w:sz w:val="16"/>
              </w:rPr>
              <w:t>4</w:t>
            </w:r>
          </w:p>
        </w:tc>
        <w:tc>
          <w:tcPr>
            <w:tcW w:w="698" w:type="dxa"/>
            <w:vMerge w:val="restart"/>
            <w:shd w:val="clear" w:color="auto" w:fill="FFBF00"/>
          </w:tcPr>
          <w:p>
            <w:pPr>
              <w:pStyle w:val="TableParagraph"/>
              <w:spacing w:before="3"/>
              <w:ind w:left="243" w:right="220"/>
              <w:jc w:val="center"/>
              <w:rPr>
                <w:rFonts w:ascii="Arial"/>
                <w:sz w:val="16"/>
              </w:rPr>
            </w:pPr>
            <w:r>
              <w:rPr>
                <w:rFonts w:ascii="Arial"/>
                <w:spacing w:val="-5"/>
                <w:sz w:val="16"/>
              </w:rPr>
              <w:t>12</w:t>
            </w:r>
          </w:p>
        </w:tc>
        <w:tc>
          <w:tcPr>
            <w:tcW w:w="3499" w:type="dxa"/>
            <w:vMerge w:val="restart"/>
          </w:tcPr>
          <w:p>
            <w:pPr>
              <w:pStyle w:val="TableParagraph"/>
              <w:spacing w:before="3"/>
              <w:ind w:left="35"/>
              <w:rPr>
                <w:rFonts w:ascii="Arial"/>
                <w:sz w:val="16"/>
              </w:rPr>
            </w:pPr>
            <w:r>
              <w:rPr>
                <w:rFonts w:ascii="Arial"/>
                <w:sz w:val="16"/>
              </w:rPr>
              <w:t>Additional</w:t>
            </w:r>
            <w:r>
              <w:rPr>
                <w:rFonts w:ascii="Arial"/>
                <w:spacing w:val="6"/>
                <w:sz w:val="16"/>
              </w:rPr>
              <w:t> </w:t>
            </w:r>
            <w:r>
              <w:rPr>
                <w:rFonts w:ascii="Arial"/>
                <w:sz w:val="16"/>
              </w:rPr>
              <w:t>staff</w:t>
            </w:r>
            <w:r>
              <w:rPr>
                <w:rFonts w:ascii="Arial"/>
                <w:spacing w:val="5"/>
                <w:sz w:val="16"/>
              </w:rPr>
              <w:t> </w:t>
            </w:r>
            <w:r>
              <w:rPr>
                <w:rFonts w:ascii="Arial"/>
                <w:sz w:val="16"/>
              </w:rPr>
              <w:t>being</w:t>
            </w:r>
            <w:r>
              <w:rPr>
                <w:rFonts w:ascii="Arial"/>
                <w:spacing w:val="6"/>
                <w:sz w:val="16"/>
              </w:rPr>
              <w:t> </w:t>
            </w:r>
            <w:r>
              <w:rPr>
                <w:rFonts w:ascii="Arial"/>
                <w:spacing w:val="-2"/>
                <w:sz w:val="16"/>
              </w:rPr>
              <w:t>recruited</w:t>
            </w:r>
          </w:p>
          <w:p>
            <w:pPr>
              <w:pStyle w:val="TableParagraph"/>
              <w:spacing w:line="264" w:lineRule="auto" w:before="18"/>
              <w:ind w:left="35"/>
              <w:rPr>
                <w:rFonts w:ascii="Arial"/>
                <w:sz w:val="16"/>
              </w:rPr>
            </w:pPr>
            <w:r>
              <w:rPr>
                <w:rFonts w:ascii="Arial"/>
                <w:sz w:val="16"/>
              </w:rPr>
              <w:t>Use of students from Cardiff Univeristy Temporary support from other Directorates Modernisation Programme being </w:t>
            </w:r>
            <w:r>
              <w:rPr>
                <w:rFonts w:ascii="Arial"/>
                <w:sz w:val="16"/>
              </w:rPr>
              <w:t>implemented Accessing KickStart scheme</w:t>
            </w:r>
          </w:p>
        </w:tc>
        <w:tc>
          <w:tcPr>
            <w:tcW w:w="4226" w:type="dxa"/>
          </w:tcPr>
          <w:p>
            <w:pPr>
              <w:pStyle w:val="TableParagraph"/>
              <w:spacing w:line="264" w:lineRule="auto" w:before="3"/>
              <w:ind w:left="35"/>
              <w:rPr>
                <w:rFonts w:ascii="Arial"/>
                <w:sz w:val="16"/>
              </w:rPr>
            </w:pPr>
            <w:r>
              <w:rPr>
                <w:rFonts w:ascii="Arial"/>
                <w:sz w:val="16"/>
              </w:rPr>
              <w:t>Focus on training staff on pinch points rather than whole </w:t>
            </w:r>
            <w:r>
              <w:rPr>
                <w:rFonts w:ascii="Arial"/>
                <w:spacing w:val="-2"/>
                <w:sz w:val="16"/>
              </w:rPr>
              <w:t>process</w:t>
            </w:r>
          </w:p>
          <w:p>
            <w:pPr>
              <w:pStyle w:val="TableParagraph"/>
              <w:spacing w:line="264" w:lineRule="auto"/>
              <w:ind w:left="35"/>
              <w:rPr>
                <w:rFonts w:ascii="Arial"/>
                <w:sz w:val="16"/>
              </w:rPr>
            </w:pPr>
            <w:r>
              <w:rPr>
                <w:rFonts w:ascii="Arial"/>
                <w:sz w:val="16"/>
              </w:rPr>
              <w:t>Backlog in applications in Student Awards reduced from 1800 to &lt;800.</w:t>
            </w:r>
          </w:p>
          <w:p>
            <w:pPr>
              <w:pStyle w:val="TableParagraph"/>
              <w:spacing w:line="182" w:lineRule="exact"/>
              <w:ind w:left="35"/>
              <w:rPr>
                <w:rFonts w:ascii="Arial"/>
                <w:sz w:val="16"/>
              </w:rPr>
            </w:pPr>
            <w:r>
              <w:rPr>
                <w:rFonts w:ascii="Arial"/>
                <w:sz w:val="16"/>
              </w:rPr>
              <w:t>Significant</w:t>
            </w:r>
            <w:r>
              <w:rPr>
                <w:rFonts w:ascii="Arial"/>
                <w:spacing w:val="5"/>
                <w:sz w:val="16"/>
              </w:rPr>
              <w:t> </w:t>
            </w:r>
            <w:r>
              <w:rPr>
                <w:rFonts w:ascii="Arial"/>
                <w:sz w:val="16"/>
              </w:rPr>
              <w:t>reduction</w:t>
            </w:r>
            <w:r>
              <w:rPr>
                <w:rFonts w:ascii="Arial"/>
                <w:spacing w:val="5"/>
                <w:sz w:val="16"/>
              </w:rPr>
              <w:t> </w:t>
            </w:r>
            <w:r>
              <w:rPr>
                <w:rFonts w:ascii="Arial"/>
                <w:sz w:val="16"/>
              </w:rPr>
              <w:t>in</w:t>
            </w:r>
            <w:r>
              <w:rPr>
                <w:rFonts w:ascii="Arial"/>
                <w:spacing w:val="5"/>
                <w:sz w:val="16"/>
              </w:rPr>
              <w:t> </w:t>
            </w:r>
            <w:r>
              <w:rPr>
                <w:rFonts w:ascii="Arial"/>
                <w:sz w:val="16"/>
              </w:rPr>
              <w:t>complaints</w:t>
            </w:r>
            <w:r>
              <w:rPr>
                <w:rFonts w:ascii="Arial"/>
                <w:spacing w:val="6"/>
                <w:sz w:val="16"/>
              </w:rPr>
              <w:t> </w:t>
            </w:r>
            <w:r>
              <w:rPr>
                <w:rFonts w:ascii="Arial"/>
                <w:sz w:val="16"/>
              </w:rPr>
              <w:t>as</w:t>
            </w:r>
            <w:r>
              <w:rPr>
                <w:rFonts w:ascii="Arial"/>
                <w:spacing w:val="7"/>
                <w:sz w:val="16"/>
              </w:rPr>
              <w:t> </w:t>
            </w:r>
            <w:r>
              <w:rPr>
                <w:rFonts w:ascii="Arial"/>
                <w:sz w:val="16"/>
              </w:rPr>
              <w:t>at</w:t>
            </w:r>
            <w:r>
              <w:rPr>
                <w:rFonts w:ascii="Arial"/>
                <w:spacing w:val="6"/>
                <w:sz w:val="16"/>
              </w:rPr>
              <w:t> </w:t>
            </w:r>
            <w:r>
              <w:rPr>
                <w:rFonts w:ascii="Arial"/>
                <w:sz w:val="16"/>
              </w:rPr>
              <w:t>March</w:t>
            </w:r>
            <w:r>
              <w:rPr>
                <w:rFonts w:ascii="Arial"/>
                <w:spacing w:val="4"/>
                <w:sz w:val="16"/>
              </w:rPr>
              <w:t> </w:t>
            </w:r>
            <w:r>
              <w:rPr>
                <w:rFonts w:ascii="Arial"/>
                <w:spacing w:val="-4"/>
                <w:sz w:val="16"/>
              </w:rPr>
              <w:t>2022</w:t>
            </w:r>
          </w:p>
          <w:p>
            <w:pPr>
              <w:pStyle w:val="TableParagraph"/>
              <w:spacing w:before="16"/>
              <w:ind w:left="35"/>
              <w:rPr>
                <w:rFonts w:ascii="Arial"/>
                <w:sz w:val="16"/>
              </w:rPr>
            </w:pPr>
            <w:r>
              <w:rPr>
                <w:rFonts w:ascii="Arial"/>
                <w:sz w:val="16"/>
              </w:rPr>
              <w:t>Deep</w:t>
            </w:r>
            <w:r>
              <w:rPr>
                <w:rFonts w:ascii="Arial"/>
                <w:spacing w:val="6"/>
                <w:sz w:val="16"/>
              </w:rPr>
              <w:t> </w:t>
            </w:r>
            <w:r>
              <w:rPr>
                <w:rFonts w:ascii="Arial"/>
                <w:sz w:val="16"/>
              </w:rPr>
              <w:t>Dive</w:t>
            </w:r>
            <w:r>
              <w:rPr>
                <w:rFonts w:ascii="Arial"/>
                <w:spacing w:val="4"/>
                <w:sz w:val="16"/>
              </w:rPr>
              <w:t> </w:t>
            </w:r>
            <w:r>
              <w:rPr>
                <w:rFonts w:ascii="Arial"/>
                <w:sz w:val="16"/>
              </w:rPr>
              <w:t>Presentation</w:t>
            </w:r>
            <w:r>
              <w:rPr>
                <w:rFonts w:ascii="Arial"/>
                <w:spacing w:val="7"/>
                <w:sz w:val="16"/>
              </w:rPr>
              <w:t> </w:t>
            </w:r>
            <w:r>
              <w:rPr>
                <w:rFonts w:ascii="Arial"/>
                <w:sz w:val="16"/>
              </w:rPr>
              <w:t>to</w:t>
            </w:r>
            <w:r>
              <w:rPr>
                <w:rFonts w:ascii="Arial"/>
                <w:spacing w:val="4"/>
                <w:sz w:val="16"/>
              </w:rPr>
              <w:t> </w:t>
            </w:r>
            <w:r>
              <w:rPr>
                <w:rFonts w:ascii="Arial"/>
                <w:sz w:val="16"/>
              </w:rPr>
              <w:t>SSPC</w:t>
            </w:r>
            <w:r>
              <w:rPr>
                <w:rFonts w:ascii="Arial"/>
                <w:spacing w:val="4"/>
                <w:sz w:val="16"/>
              </w:rPr>
              <w:t> </w:t>
            </w:r>
            <w:r>
              <w:rPr>
                <w:rFonts w:ascii="Arial"/>
                <w:sz w:val="16"/>
              </w:rPr>
              <w:t>March</w:t>
            </w:r>
            <w:r>
              <w:rPr>
                <w:rFonts w:ascii="Arial"/>
                <w:spacing w:val="5"/>
                <w:sz w:val="16"/>
              </w:rPr>
              <w:t> </w:t>
            </w:r>
            <w:r>
              <w:rPr>
                <w:rFonts w:ascii="Arial"/>
                <w:spacing w:val="-4"/>
                <w:sz w:val="16"/>
              </w:rPr>
              <w:t>2022</w:t>
            </w:r>
          </w:p>
        </w:tc>
        <w:tc>
          <w:tcPr>
            <w:tcW w:w="888" w:type="dxa"/>
            <w:vMerge w:val="restart"/>
          </w:tcPr>
          <w:p>
            <w:pPr>
              <w:pStyle w:val="TableParagraph"/>
              <w:rPr>
                <w:sz w:val="44"/>
              </w:rPr>
            </w:pPr>
          </w:p>
          <w:p>
            <w:pPr>
              <w:pStyle w:val="TableParagraph"/>
              <w:spacing w:before="1"/>
              <w:ind w:left="268"/>
              <w:rPr>
                <w:rFonts w:ascii="Wingdings 3" w:hAnsi="Wingdings 3"/>
                <w:sz w:val="32"/>
              </w:rPr>
            </w:pPr>
            <w:r>
              <w:rPr>
                <w:rFonts w:ascii="Wingdings 3" w:hAnsi="Wingdings 3"/>
                <w:color w:val="FFBF00"/>
                <w:w w:val="101"/>
                <w:sz w:val="32"/>
              </w:rPr>
              <w:t></w:t>
            </w:r>
          </w:p>
        </w:tc>
        <w:tc>
          <w:tcPr>
            <w:tcW w:w="1246" w:type="dxa"/>
            <w:vMerge w:val="restart"/>
            <w:shd w:val="clear" w:color="auto" w:fill="00AF50"/>
          </w:tcPr>
          <w:p>
            <w:pPr>
              <w:pStyle w:val="TableParagraph"/>
              <w:rPr>
                <w:sz w:val="18"/>
              </w:rPr>
            </w:pPr>
          </w:p>
          <w:p>
            <w:pPr>
              <w:pStyle w:val="TableParagraph"/>
              <w:rPr>
                <w:sz w:val="18"/>
              </w:rPr>
            </w:pPr>
          </w:p>
          <w:p>
            <w:pPr>
              <w:pStyle w:val="TableParagraph"/>
              <w:spacing w:before="7"/>
              <w:rPr>
                <w:sz w:val="15"/>
              </w:rPr>
            </w:pPr>
          </w:p>
          <w:p>
            <w:pPr>
              <w:pStyle w:val="TableParagraph"/>
              <w:ind w:left="246"/>
              <w:rPr>
                <w:rFonts w:ascii="Arial"/>
                <w:b/>
                <w:sz w:val="16"/>
              </w:rPr>
            </w:pPr>
            <w:r>
              <w:rPr>
                <w:rFonts w:ascii="Arial"/>
                <w:b/>
                <w:sz w:val="16"/>
              </w:rPr>
              <w:t>31-Mar-</w:t>
            </w:r>
            <w:r>
              <w:rPr>
                <w:rFonts w:ascii="Arial"/>
                <w:b/>
                <w:spacing w:val="-5"/>
                <w:sz w:val="16"/>
              </w:rPr>
              <w:t>23</w:t>
            </w:r>
          </w:p>
        </w:tc>
      </w:tr>
      <w:tr>
        <w:trPr>
          <w:trHeight w:val="200" w:hRule="atLeast"/>
        </w:trPr>
        <w:tc>
          <w:tcPr>
            <w:tcW w:w="667" w:type="dxa"/>
            <w:vMerge/>
            <w:tcBorders>
              <w:top w:val="nil"/>
            </w:tcBorders>
          </w:tcPr>
          <w:p>
            <w:pPr>
              <w:rPr>
                <w:sz w:val="2"/>
                <w:szCs w:val="2"/>
              </w:rPr>
            </w:pPr>
          </w:p>
        </w:tc>
        <w:tc>
          <w:tcPr>
            <w:tcW w:w="3583" w:type="dxa"/>
          </w:tcPr>
          <w:p>
            <w:pPr>
              <w:pStyle w:val="TableParagraph"/>
              <w:spacing w:line="171" w:lineRule="exact" w:before="10"/>
              <w:ind w:left="33"/>
              <w:rPr>
                <w:rFonts w:ascii="Arial"/>
                <w:b/>
                <w:sz w:val="16"/>
              </w:rPr>
            </w:pPr>
            <w:r>
              <w:rPr>
                <w:rFonts w:ascii="Arial"/>
                <w:b/>
                <w:sz w:val="16"/>
              </w:rPr>
              <w:t>Strategic</w:t>
            </w:r>
            <w:r>
              <w:rPr>
                <w:rFonts w:ascii="Arial"/>
                <w:b/>
                <w:spacing w:val="5"/>
                <w:sz w:val="16"/>
              </w:rPr>
              <w:t> </w:t>
            </w:r>
            <w:r>
              <w:rPr>
                <w:rFonts w:ascii="Arial"/>
                <w:b/>
                <w:sz w:val="16"/>
              </w:rPr>
              <w:t>Objective</w:t>
            </w:r>
            <w:r>
              <w:rPr>
                <w:rFonts w:ascii="Arial"/>
                <w:b/>
                <w:spacing w:val="4"/>
                <w:sz w:val="16"/>
              </w:rPr>
              <w:t> </w:t>
            </w:r>
            <w:r>
              <w:rPr>
                <w:rFonts w:ascii="Arial"/>
                <w:b/>
                <w:sz w:val="16"/>
              </w:rPr>
              <w:t>-</w:t>
            </w:r>
            <w:r>
              <w:rPr>
                <w:rFonts w:ascii="Arial"/>
                <w:b/>
                <w:spacing w:val="6"/>
                <w:sz w:val="16"/>
              </w:rPr>
              <w:t> </w:t>
            </w:r>
            <w:r>
              <w:rPr>
                <w:rFonts w:ascii="Arial"/>
                <w:b/>
                <w:spacing w:val="-2"/>
                <w:sz w:val="16"/>
              </w:rPr>
              <w:t>Customers</w:t>
            </w: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tcBorders>
            <w:shd w:val="clear" w:color="auto" w:fill="FF00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FFBF00"/>
          </w:tcPr>
          <w:p>
            <w:pPr>
              <w:rPr>
                <w:sz w:val="2"/>
                <w:szCs w:val="2"/>
              </w:rPr>
            </w:pPr>
          </w:p>
        </w:tc>
        <w:tc>
          <w:tcPr>
            <w:tcW w:w="3499" w:type="dxa"/>
            <w:vMerge/>
            <w:tcBorders>
              <w:top w:val="nil"/>
            </w:tcBorders>
          </w:tcPr>
          <w:p>
            <w:pPr>
              <w:rPr>
                <w:sz w:val="2"/>
                <w:szCs w:val="2"/>
              </w:rPr>
            </w:pPr>
          </w:p>
        </w:tc>
        <w:tc>
          <w:tcPr>
            <w:tcW w:w="4226" w:type="dxa"/>
          </w:tcPr>
          <w:p>
            <w:pPr>
              <w:pStyle w:val="TableParagraph"/>
              <w:spacing w:line="171" w:lineRule="exact" w:before="10"/>
              <w:ind w:left="34"/>
              <w:rPr>
                <w:rFonts w:ascii="Arial"/>
                <w:b/>
                <w:sz w:val="16"/>
              </w:rPr>
            </w:pPr>
            <w:r>
              <w:rPr>
                <w:rFonts w:ascii="Arial"/>
                <w:b/>
                <w:sz w:val="16"/>
              </w:rPr>
              <w:t>Risk</w:t>
            </w:r>
            <w:r>
              <w:rPr>
                <w:rFonts w:ascii="Arial"/>
                <w:b/>
                <w:spacing w:val="4"/>
                <w:sz w:val="16"/>
              </w:rPr>
              <w:t> </w:t>
            </w:r>
            <w:r>
              <w:rPr>
                <w:rFonts w:ascii="Arial"/>
                <w:b/>
                <w:sz w:val="16"/>
              </w:rPr>
              <w:t>Lead:</w:t>
            </w:r>
            <w:r>
              <w:rPr>
                <w:rFonts w:ascii="Arial"/>
                <w:b/>
                <w:spacing w:val="8"/>
                <w:sz w:val="16"/>
              </w:rPr>
              <w:t> </w:t>
            </w:r>
            <w:r>
              <w:rPr>
                <w:rFonts w:ascii="Arial"/>
                <w:b/>
                <w:sz w:val="16"/>
              </w:rPr>
              <w:t>Director</w:t>
            </w:r>
            <w:r>
              <w:rPr>
                <w:rFonts w:ascii="Arial"/>
                <w:b/>
                <w:spacing w:val="4"/>
                <w:sz w:val="16"/>
              </w:rPr>
              <w:t> </w:t>
            </w:r>
            <w:r>
              <w:rPr>
                <w:rFonts w:ascii="Arial"/>
                <w:b/>
                <w:sz w:val="16"/>
              </w:rPr>
              <w:t>of</w:t>
            </w:r>
            <w:r>
              <w:rPr>
                <w:rFonts w:ascii="Arial"/>
                <w:b/>
                <w:spacing w:val="7"/>
                <w:sz w:val="16"/>
              </w:rPr>
              <w:t> </w:t>
            </w:r>
            <w:r>
              <w:rPr>
                <w:rFonts w:ascii="Arial"/>
                <w:b/>
                <w:sz w:val="16"/>
              </w:rPr>
              <w:t>People</w:t>
            </w:r>
            <w:r>
              <w:rPr>
                <w:rFonts w:ascii="Arial"/>
                <w:b/>
                <w:spacing w:val="5"/>
                <w:sz w:val="16"/>
              </w:rPr>
              <w:t> </w:t>
            </w:r>
            <w:r>
              <w:rPr>
                <w:rFonts w:ascii="Arial"/>
                <w:b/>
                <w:sz w:val="16"/>
              </w:rPr>
              <w:t>and</w:t>
            </w:r>
            <w:r>
              <w:rPr>
                <w:rFonts w:ascii="Arial"/>
                <w:b/>
                <w:spacing w:val="7"/>
                <w:sz w:val="16"/>
              </w:rPr>
              <w:t> </w:t>
            </w:r>
            <w:r>
              <w:rPr>
                <w:rFonts w:ascii="Arial"/>
                <w:b/>
                <w:spacing w:val="-5"/>
                <w:sz w:val="16"/>
              </w:rPr>
              <w:t>OD</w:t>
            </w:r>
          </w:p>
        </w:tc>
        <w:tc>
          <w:tcPr>
            <w:tcW w:w="888" w:type="dxa"/>
            <w:vMerge/>
            <w:tcBorders>
              <w:top w:val="nil"/>
            </w:tcBorders>
          </w:tcPr>
          <w:p>
            <w:pPr>
              <w:rPr>
                <w:sz w:val="2"/>
                <w:szCs w:val="2"/>
              </w:rPr>
            </w:pPr>
          </w:p>
        </w:tc>
        <w:tc>
          <w:tcPr>
            <w:tcW w:w="1246" w:type="dxa"/>
            <w:vMerge/>
            <w:tcBorders>
              <w:top w:val="nil"/>
            </w:tcBorders>
            <w:shd w:val="clear" w:color="auto" w:fill="00AF50"/>
          </w:tcPr>
          <w:p>
            <w:pPr>
              <w:rPr>
                <w:sz w:val="2"/>
                <w:szCs w:val="2"/>
              </w:rPr>
            </w:pPr>
          </w:p>
        </w:tc>
      </w:tr>
      <w:tr>
        <w:trPr>
          <w:trHeight w:val="1453" w:hRule="atLeast"/>
        </w:trPr>
        <w:tc>
          <w:tcPr>
            <w:tcW w:w="667" w:type="dxa"/>
            <w:vMerge w:val="restart"/>
          </w:tcPr>
          <w:p>
            <w:pPr>
              <w:pStyle w:val="TableParagraph"/>
              <w:rPr>
                <w:sz w:val="18"/>
              </w:rPr>
            </w:pPr>
          </w:p>
          <w:p>
            <w:pPr>
              <w:pStyle w:val="TableParagraph"/>
              <w:rPr>
                <w:sz w:val="18"/>
              </w:rPr>
            </w:pPr>
          </w:p>
          <w:p>
            <w:pPr>
              <w:pStyle w:val="TableParagraph"/>
              <w:spacing w:before="3"/>
              <w:rPr>
                <w:sz w:val="24"/>
              </w:rPr>
            </w:pPr>
          </w:p>
          <w:p>
            <w:pPr>
              <w:pStyle w:val="TableParagraph"/>
              <w:ind w:left="239"/>
              <w:rPr>
                <w:rFonts w:ascii="Arial"/>
                <w:b/>
                <w:sz w:val="16"/>
              </w:rPr>
            </w:pPr>
            <w:r>
              <w:rPr>
                <w:rFonts w:ascii="Arial"/>
                <w:b/>
                <w:spacing w:val="-5"/>
                <w:sz w:val="16"/>
              </w:rPr>
              <w:t>A5</w:t>
            </w:r>
          </w:p>
        </w:tc>
        <w:tc>
          <w:tcPr>
            <w:tcW w:w="3583" w:type="dxa"/>
            <w:vMerge w:val="restart"/>
          </w:tcPr>
          <w:p>
            <w:pPr>
              <w:pStyle w:val="TableParagraph"/>
              <w:spacing w:line="264" w:lineRule="auto" w:before="3"/>
              <w:ind w:left="33" w:right="95"/>
              <w:rPr>
                <w:rFonts w:ascii="Arial"/>
                <w:sz w:val="16"/>
              </w:rPr>
            </w:pPr>
            <w:r>
              <w:rPr>
                <w:rFonts w:ascii="Arial"/>
                <w:sz w:val="16"/>
              </w:rPr>
              <w:t>The level of stock that we are being asked to</w:t>
            </w:r>
            <w:r>
              <w:rPr>
                <w:rFonts w:ascii="Arial"/>
                <w:spacing w:val="40"/>
                <w:sz w:val="16"/>
              </w:rPr>
              <w:t> </w:t>
            </w:r>
            <w:r>
              <w:rPr>
                <w:rFonts w:ascii="Arial"/>
                <w:sz w:val="16"/>
              </w:rPr>
              <w:t>hold is likely to mean that some items go out-of- date before being issued for use and need to be written off causing a loss to public funds and possible reputational damage to NWSSP.</w:t>
            </w:r>
            <w:r>
              <w:rPr>
                <w:rFonts w:ascii="Arial"/>
                <w:spacing w:val="40"/>
                <w:sz w:val="16"/>
              </w:rPr>
              <w:t> </w:t>
            </w:r>
            <w:r>
              <w:rPr>
                <w:rFonts w:ascii="Arial"/>
                <w:sz w:val="16"/>
              </w:rPr>
              <w:t>(</w:t>
            </w:r>
            <w:r>
              <w:rPr>
                <w:rFonts w:ascii="Arial"/>
                <w:color w:val="FF0000"/>
                <w:sz w:val="16"/>
              </w:rPr>
              <w:t>added January 2022</w:t>
            </w:r>
            <w:r>
              <w:rPr>
                <w:rFonts w:ascii="Arial"/>
                <w:sz w:val="16"/>
              </w:rPr>
              <w:t>)</w:t>
            </w:r>
          </w:p>
        </w:tc>
        <w:tc>
          <w:tcPr>
            <w:tcW w:w="583" w:type="dxa"/>
            <w:vMerge w:val="restart"/>
          </w:tcPr>
          <w:p>
            <w:pPr>
              <w:pStyle w:val="TableParagraph"/>
              <w:rPr>
                <w:sz w:val="18"/>
              </w:rPr>
            </w:pPr>
          </w:p>
          <w:p>
            <w:pPr>
              <w:pStyle w:val="TableParagraph"/>
              <w:rPr>
                <w:sz w:val="18"/>
              </w:rPr>
            </w:pPr>
          </w:p>
          <w:p>
            <w:pPr>
              <w:pStyle w:val="TableParagraph"/>
              <w:spacing w:before="3"/>
              <w:rPr>
                <w:sz w:val="24"/>
              </w:rPr>
            </w:pPr>
          </w:p>
          <w:p>
            <w:pPr>
              <w:pStyle w:val="TableParagraph"/>
              <w:ind w:left="31"/>
              <w:jc w:val="center"/>
              <w:rPr>
                <w:rFonts w:ascii="Arial"/>
                <w:sz w:val="16"/>
              </w:rPr>
            </w:pPr>
            <w:r>
              <w:rPr>
                <w:rFonts w:ascii="Arial"/>
                <w:w w:val="101"/>
                <w:sz w:val="16"/>
              </w:rPr>
              <w:t>5</w:t>
            </w:r>
          </w:p>
        </w:tc>
        <w:tc>
          <w:tcPr>
            <w:tcW w:w="660" w:type="dxa"/>
            <w:vMerge w:val="restart"/>
          </w:tcPr>
          <w:p>
            <w:pPr>
              <w:pStyle w:val="TableParagraph"/>
              <w:rPr>
                <w:sz w:val="18"/>
              </w:rPr>
            </w:pPr>
          </w:p>
          <w:p>
            <w:pPr>
              <w:pStyle w:val="TableParagraph"/>
              <w:rPr>
                <w:sz w:val="18"/>
              </w:rPr>
            </w:pPr>
          </w:p>
          <w:p>
            <w:pPr>
              <w:pStyle w:val="TableParagraph"/>
              <w:spacing w:before="3"/>
              <w:rPr>
                <w:sz w:val="24"/>
              </w:rPr>
            </w:pPr>
          </w:p>
          <w:p>
            <w:pPr>
              <w:pStyle w:val="TableParagraph"/>
              <w:ind w:left="32"/>
              <w:jc w:val="center"/>
              <w:rPr>
                <w:rFonts w:ascii="Arial"/>
                <w:sz w:val="16"/>
              </w:rPr>
            </w:pPr>
            <w:r>
              <w:rPr>
                <w:rFonts w:ascii="Arial"/>
                <w:w w:val="101"/>
                <w:sz w:val="16"/>
              </w:rPr>
              <w:t>5</w:t>
            </w:r>
          </w:p>
        </w:tc>
        <w:tc>
          <w:tcPr>
            <w:tcW w:w="713" w:type="dxa"/>
            <w:vMerge w:val="restart"/>
            <w:shd w:val="clear" w:color="auto" w:fill="FF0000"/>
          </w:tcPr>
          <w:p>
            <w:pPr>
              <w:pStyle w:val="TableParagraph"/>
              <w:rPr>
                <w:sz w:val="18"/>
              </w:rPr>
            </w:pPr>
          </w:p>
          <w:p>
            <w:pPr>
              <w:pStyle w:val="TableParagraph"/>
              <w:rPr>
                <w:sz w:val="18"/>
              </w:rPr>
            </w:pPr>
          </w:p>
          <w:p>
            <w:pPr>
              <w:pStyle w:val="TableParagraph"/>
              <w:spacing w:before="3"/>
              <w:rPr>
                <w:sz w:val="24"/>
              </w:rPr>
            </w:pPr>
          </w:p>
          <w:p>
            <w:pPr>
              <w:pStyle w:val="TableParagraph"/>
              <w:ind w:left="255" w:right="224"/>
              <w:jc w:val="center"/>
              <w:rPr>
                <w:rFonts w:ascii="Arial"/>
                <w:sz w:val="16"/>
              </w:rPr>
            </w:pPr>
            <w:r>
              <w:rPr>
                <w:rFonts w:ascii="Arial"/>
                <w:spacing w:val="-5"/>
                <w:sz w:val="16"/>
              </w:rPr>
              <w:t>25</w:t>
            </w:r>
          </w:p>
        </w:tc>
        <w:tc>
          <w:tcPr>
            <w:tcW w:w="3679" w:type="dxa"/>
            <w:vMerge w:val="restart"/>
          </w:tcPr>
          <w:p>
            <w:pPr>
              <w:pStyle w:val="TableParagraph"/>
              <w:spacing w:line="264" w:lineRule="auto" w:before="3"/>
              <w:ind w:left="33" w:right="1054"/>
              <w:rPr>
                <w:rFonts w:ascii="Arial"/>
                <w:sz w:val="16"/>
              </w:rPr>
            </w:pPr>
            <w:r>
              <w:rPr>
                <w:rFonts w:ascii="Arial"/>
                <w:sz w:val="16"/>
              </w:rPr>
              <w:t>Internal Audit Review of Stores Stock Rotation - based on FIFO Donations</w:t>
            </w:r>
            <w:r>
              <w:rPr>
                <w:rFonts w:ascii="Arial"/>
                <w:spacing w:val="6"/>
                <w:sz w:val="16"/>
              </w:rPr>
              <w:t> </w:t>
            </w:r>
            <w:r>
              <w:rPr>
                <w:rFonts w:ascii="Arial"/>
                <w:sz w:val="16"/>
              </w:rPr>
              <w:t>to</w:t>
            </w:r>
            <w:r>
              <w:rPr>
                <w:rFonts w:ascii="Arial"/>
                <w:spacing w:val="5"/>
                <w:sz w:val="16"/>
              </w:rPr>
              <w:t> </w:t>
            </w:r>
            <w:r>
              <w:rPr>
                <w:rFonts w:ascii="Arial"/>
                <w:sz w:val="16"/>
              </w:rPr>
              <w:t>India</w:t>
            </w:r>
            <w:r>
              <w:rPr>
                <w:rFonts w:ascii="Arial"/>
                <w:spacing w:val="4"/>
                <w:sz w:val="16"/>
              </w:rPr>
              <w:t> </w:t>
            </w:r>
            <w:r>
              <w:rPr>
                <w:rFonts w:ascii="Arial"/>
                <w:sz w:val="16"/>
              </w:rPr>
              <w:t>and</w:t>
            </w:r>
            <w:r>
              <w:rPr>
                <w:rFonts w:ascii="Arial"/>
                <w:spacing w:val="4"/>
                <w:sz w:val="16"/>
              </w:rPr>
              <w:t> </w:t>
            </w:r>
            <w:r>
              <w:rPr>
                <w:rFonts w:ascii="Arial"/>
                <w:spacing w:val="-2"/>
                <w:sz w:val="16"/>
              </w:rPr>
              <w:t>Namibia</w:t>
            </w:r>
          </w:p>
        </w:tc>
        <w:tc>
          <w:tcPr>
            <w:tcW w:w="583" w:type="dxa"/>
            <w:vMerge w:val="restart"/>
          </w:tcPr>
          <w:p>
            <w:pPr>
              <w:pStyle w:val="TableParagraph"/>
              <w:rPr>
                <w:sz w:val="18"/>
              </w:rPr>
            </w:pPr>
          </w:p>
          <w:p>
            <w:pPr>
              <w:pStyle w:val="TableParagraph"/>
              <w:rPr>
                <w:sz w:val="18"/>
              </w:rPr>
            </w:pPr>
          </w:p>
          <w:p>
            <w:pPr>
              <w:pStyle w:val="TableParagraph"/>
              <w:spacing w:before="3"/>
              <w:rPr>
                <w:sz w:val="24"/>
              </w:rPr>
            </w:pPr>
          </w:p>
          <w:p>
            <w:pPr>
              <w:pStyle w:val="TableParagraph"/>
              <w:ind w:left="32"/>
              <w:jc w:val="center"/>
              <w:rPr>
                <w:rFonts w:ascii="Arial"/>
                <w:sz w:val="16"/>
              </w:rPr>
            </w:pPr>
            <w:r>
              <w:rPr>
                <w:rFonts w:ascii="Arial"/>
                <w:w w:val="101"/>
                <w:sz w:val="16"/>
              </w:rPr>
              <w:t>2</w:t>
            </w:r>
          </w:p>
        </w:tc>
        <w:tc>
          <w:tcPr>
            <w:tcW w:w="621" w:type="dxa"/>
            <w:vMerge w:val="restart"/>
          </w:tcPr>
          <w:p>
            <w:pPr>
              <w:pStyle w:val="TableParagraph"/>
              <w:rPr>
                <w:sz w:val="18"/>
              </w:rPr>
            </w:pPr>
          </w:p>
          <w:p>
            <w:pPr>
              <w:pStyle w:val="TableParagraph"/>
              <w:rPr>
                <w:sz w:val="18"/>
              </w:rPr>
            </w:pPr>
          </w:p>
          <w:p>
            <w:pPr>
              <w:pStyle w:val="TableParagraph"/>
              <w:spacing w:before="3"/>
              <w:rPr>
                <w:sz w:val="24"/>
              </w:rPr>
            </w:pPr>
          </w:p>
          <w:p>
            <w:pPr>
              <w:pStyle w:val="TableParagraph"/>
              <w:ind w:left="32"/>
              <w:jc w:val="center"/>
              <w:rPr>
                <w:rFonts w:ascii="Arial"/>
                <w:sz w:val="16"/>
              </w:rPr>
            </w:pPr>
            <w:r>
              <w:rPr>
                <w:rFonts w:ascii="Arial"/>
                <w:w w:val="101"/>
                <w:sz w:val="16"/>
              </w:rPr>
              <w:t>3</w:t>
            </w:r>
          </w:p>
        </w:tc>
        <w:tc>
          <w:tcPr>
            <w:tcW w:w="698" w:type="dxa"/>
            <w:vMerge w:val="restart"/>
            <w:shd w:val="clear" w:color="auto" w:fill="FFFF00"/>
          </w:tcPr>
          <w:p>
            <w:pPr>
              <w:pStyle w:val="TableParagraph"/>
              <w:rPr>
                <w:sz w:val="18"/>
              </w:rPr>
            </w:pPr>
          </w:p>
          <w:p>
            <w:pPr>
              <w:pStyle w:val="TableParagraph"/>
              <w:rPr>
                <w:sz w:val="18"/>
              </w:rPr>
            </w:pPr>
          </w:p>
          <w:p>
            <w:pPr>
              <w:pStyle w:val="TableParagraph"/>
              <w:spacing w:before="3"/>
              <w:rPr>
                <w:sz w:val="24"/>
              </w:rPr>
            </w:pPr>
          </w:p>
          <w:p>
            <w:pPr>
              <w:pStyle w:val="TableParagraph"/>
              <w:ind w:left="33"/>
              <w:jc w:val="center"/>
              <w:rPr>
                <w:rFonts w:ascii="Arial"/>
                <w:sz w:val="16"/>
              </w:rPr>
            </w:pPr>
            <w:r>
              <w:rPr>
                <w:rFonts w:ascii="Arial"/>
                <w:w w:val="101"/>
                <w:sz w:val="16"/>
              </w:rPr>
              <w:t>6</w:t>
            </w:r>
          </w:p>
        </w:tc>
        <w:tc>
          <w:tcPr>
            <w:tcW w:w="3499" w:type="dxa"/>
            <w:vMerge w:val="restart"/>
          </w:tcPr>
          <w:p>
            <w:pPr>
              <w:pStyle w:val="TableParagraph"/>
              <w:spacing w:line="264" w:lineRule="auto" w:before="3"/>
              <w:ind w:left="35" w:right="110"/>
              <w:jc w:val="both"/>
              <w:rPr>
                <w:rFonts w:ascii="Arial"/>
                <w:sz w:val="16"/>
              </w:rPr>
            </w:pPr>
            <w:r>
              <w:rPr>
                <w:rFonts w:ascii="Arial"/>
                <w:sz w:val="16"/>
              </w:rPr>
              <w:t>SMTL are meeting Procurement </w:t>
            </w:r>
            <w:r>
              <w:rPr>
                <w:rFonts w:ascii="Arial"/>
                <w:sz w:val="16"/>
              </w:rPr>
              <w:t>management on the 5th of December to review whether the shelf life of any items can be safely extended.</w:t>
            </w:r>
          </w:p>
        </w:tc>
        <w:tc>
          <w:tcPr>
            <w:tcW w:w="4226" w:type="dxa"/>
          </w:tcPr>
          <w:p>
            <w:pPr>
              <w:pStyle w:val="TableParagraph"/>
              <w:spacing w:line="264" w:lineRule="auto" w:before="3"/>
              <w:ind w:left="35" w:right="208"/>
              <w:rPr>
                <w:rFonts w:ascii="Arial"/>
                <w:sz w:val="16"/>
              </w:rPr>
            </w:pPr>
            <w:r>
              <w:rPr>
                <w:rFonts w:ascii="Arial"/>
                <w:sz w:val="16"/>
              </w:rPr>
              <w:t>Wales On-Line FoI request robustly responded to on </w:t>
            </w:r>
            <w:r>
              <w:rPr>
                <w:rFonts w:ascii="Arial"/>
                <w:spacing w:val="-2"/>
                <w:sz w:val="16"/>
              </w:rPr>
              <w:t>31/1.</w:t>
            </w:r>
          </w:p>
          <w:p>
            <w:pPr>
              <w:pStyle w:val="TableParagraph"/>
              <w:spacing w:line="264" w:lineRule="auto"/>
              <w:ind w:left="35" w:right="57"/>
              <w:rPr>
                <w:rFonts w:ascii="Arial"/>
                <w:sz w:val="16"/>
              </w:rPr>
            </w:pPr>
            <w:r>
              <w:rPr>
                <w:rFonts w:ascii="Arial"/>
                <w:sz w:val="16"/>
              </w:rPr>
              <w:t>SMTL working with DHSC to investigate whether expiry dates can be extended on some PPE equipment Schedules produced and discussed with senior finance officials in WG and Velindre.</w:t>
            </w:r>
          </w:p>
          <w:p>
            <w:pPr>
              <w:pStyle w:val="TableParagraph"/>
              <w:spacing w:line="181" w:lineRule="exact"/>
              <w:ind w:left="35"/>
              <w:rPr>
                <w:rFonts w:ascii="Arial"/>
                <w:sz w:val="16"/>
              </w:rPr>
            </w:pPr>
            <w:r>
              <w:rPr>
                <w:rFonts w:ascii="Arial"/>
                <w:sz w:val="16"/>
              </w:rPr>
              <w:t>There</w:t>
            </w:r>
            <w:r>
              <w:rPr>
                <w:rFonts w:ascii="Arial"/>
                <w:spacing w:val="2"/>
                <w:sz w:val="16"/>
              </w:rPr>
              <w:t> </w:t>
            </w:r>
            <w:r>
              <w:rPr>
                <w:rFonts w:ascii="Arial"/>
                <w:sz w:val="16"/>
              </w:rPr>
              <w:t>is</w:t>
            </w:r>
            <w:r>
              <w:rPr>
                <w:rFonts w:ascii="Arial"/>
                <w:spacing w:val="4"/>
                <w:sz w:val="16"/>
              </w:rPr>
              <w:t> </w:t>
            </w:r>
            <w:r>
              <w:rPr>
                <w:rFonts w:ascii="Arial"/>
                <w:sz w:val="16"/>
              </w:rPr>
              <w:t>a</w:t>
            </w:r>
            <w:r>
              <w:rPr>
                <w:rFonts w:ascii="Arial"/>
                <w:spacing w:val="3"/>
                <w:sz w:val="16"/>
              </w:rPr>
              <w:t> </w:t>
            </w:r>
            <w:r>
              <w:rPr>
                <w:rFonts w:ascii="Arial"/>
                <w:sz w:val="16"/>
              </w:rPr>
              <w:t>need</w:t>
            </w:r>
            <w:r>
              <w:rPr>
                <w:rFonts w:ascii="Arial"/>
                <w:spacing w:val="4"/>
                <w:sz w:val="16"/>
              </w:rPr>
              <w:t> </w:t>
            </w:r>
            <w:r>
              <w:rPr>
                <w:rFonts w:ascii="Arial"/>
                <w:sz w:val="16"/>
              </w:rPr>
              <w:t>to</w:t>
            </w:r>
            <w:r>
              <w:rPr>
                <w:rFonts w:ascii="Arial"/>
                <w:spacing w:val="3"/>
                <w:sz w:val="16"/>
              </w:rPr>
              <w:t> </w:t>
            </w:r>
            <w:r>
              <w:rPr>
                <w:rFonts w:ascii="Arial"/>
                <w:sz w:val="16"/>
              </w:rPr>
              <w:t>write</w:t>
            </w:r>
            <w:r>
              <w:rPr>
                <w:rFonts w:ascii="Arial"/>
                <w:spacing w:val="6"/>
                <w:sz w:val="16"/>
              </w:rPr>
              <w:t> </w:t>
            </w:r>
            <w:r>
              <w:rPr>
                <w:rFonts w:ascii="Arial"/>
                <w:sz w:val="16"/>
              </w:rPr>
              <w:t>off</w:t>
            </w:r>
            <w:r>
              <w:rPr>
                <w:rFonts w:ascii="Arial"/>
                <w:spacing w:val="4"/>
                <w:sz w:val="16"/>
              </w:rPr>
              <w:t> </w:t>
            </w:r>
            <w:r>
              <w:rPr>
                <w:rFonts w:ascii="Arial"/>
                <w:sz w:val="16"/>
              </w:rPr>
              <w:t>significant</w:t>
            </w:r>
            <w:r>
              <w:rPr>
                <w:rFonts w:ascii="Arial"/>
                <w:spacing w:val="3"/>
                <w:sz w:val="16"/>
              </w:rPr>
              <w:t> </w:t>
            </w:r>
            <w:r>
              <w:rPr>
                <w:rFonts w:ascii="Arial"/>
                <w:sz w:val="16"/>
              </w:rPr>
              <w:t>values</w:t>
            </w:r>
            <w:r>
              <w:rPr>
                <w:rFonts w:ascii="Arial"/>
                <w:spacing w:val="6"/>
                <w:sz w:val="16"/>
              </w:rPr>
              <w:t> </w:t>
            </w:r>
            <w:r>
              <w:rPr>
                <w:rFonts w:ascii="Arial"/>
                <w:sz w:val="16"/>
              </w:rPr>
              <w:t>of</w:t>
            </w:r>
            <w:r>
              <w:rPr>
                <w:rFonts w:ascii="Arial"/>
                <w:spacing w:val="4"/>
                <w:sz w:val="16"/>
              </w:rPr>
              <w:t> </w:t>
            </w:r>
            <w:r>
              <w:rPr>
                <w:rFonts w:ascii="Arial"/>
                <w:spacing w:val="-5"/>
                <w:sz w:val="16"/>
              </w:rPr>
              <w:t>PPE</w:t>
            </w:r>
          </w:p>
        </w:tc>
        <w:tc>
          <w:tcPr>
            <w:tcW w:w="888" w:type="dxa"/>
            <w:vMerge w:val="restart"/>
          </w:tcPr>
          <w:p>
            <w:pPr>
              <w:pStyle w:val="TableParagraph"/>
              <w:spacing w:before="1"/>
              <w:rPr>
                <w:sz w:val="53"/>
              </w:rPr>
            </w:pPr>
          </w:p>
          <w:p>
            <w:pPr>
              <w:pStyle w:val="TableParagraph"/>
              <w:spacing w:before="1"/>
              <w:ind w:left="268"/>
              <w:rPr>
                <w:rFonts w:ascii="Wingdings 3" w:hAnsi="Wingdings 3"/>
                <w:sz w:val="32"/>
              </w:rPr>
            </w:pPr>
            <w:r>
              <w:rPr>
                <w:rFonts w:ascii="Wingdings 3" w:hAnsi="Wingdings 3"/>
                <w:color w:val="FFBF00"/>
                <w:w w:val="101"/>
                <w:sz w:val="32"/>
              </w:rPr>
              <w:t></w:t>
            </w:r>
          </w:p>
        </w:tc>
        <w:tc>
          <w:tcPr>
            <w:tcW w:w="1246" w:type="dxa"/>
            <w:vMerge w:val="restart"/>
            <w:shd w:val="clear" w:color="auto" w:fill="FFFF00"/>
          </w:tcPr>
          <w:p>
            <w:pPr>
              <w:pStyle w:val="TableParagraph"/>
              <w:rPr>
                <w:sz w:val="18"/>
              </w:rPr>
            </w:pPr>
          </w:p>
          <w:p>
            <w:pPr>
              <w:pStyle w:val="TableParagraph"/>
              <w:rPr>
                <w:sz w:val="18"/>
              </w:rPr>
            </w:pPr>
          </w:p>
          <w:p>
            <w:pPr>
              <w:pStyle w:val="TableParagraph"/>
              <w:spacing w:before="8"/>
              <w:rPr>
                <w:sz w:val="24"/>
              </w:rPr>
            </w:pPr>
          </w:p>
          <w:p>
            <w:pPr>
              <w:pStyle w:val="TableParagraph"/>
              <w:ind w:left="218"/>
              <w:rPr>
                <w:rFonts w:ascii="Arial"/>
                <w:b/>
                <w:sz w:val="16"/>
              </w:rPr>
            </w:pPr>
            <w:r>
              <w:rPr>
                <w:rFonts w:ascii="Arial"/>
                <w:b/>
                <w:spacing w:val="-2"/>
                <w:sz w:val="16"/>
              </w:rPr>
              <w:t>31/03/2023</w:t>
            </w:r>
          </w:p>
        </w:tc>
      </w:tr>
      <w:tr>
        <w:trPr>
          <w:trHeight w:val="200" w:hRule="atLeast"/>
        </w:trPr>
        <w:tc>
          <w:tcPr>
            <w:tcW w:w="667" w:type="dxa"/>
            <w:vMerge/>
            <w:tcBorders>
              <w:top w:val="nil"/>
            </w:tcBorders>
          </w:tcPr>
          <w:p>
            <w:pPr>
              <w:rPr>
                <w:sz w:val="2"/>
                <w:szCs w:val="2"/>
              </w:rPr>
            </w:pPr>
          </w:p>
        </w:tc>
        <w:tc>
          <w:tcPr>
            <w:tcW w:w="3583" w:type="dxa"/>
            <w:vMerge/>
            <w:tcBorders>
              <w:top w:val="nil"/>
            </w:tcBorders>
          </w:tcPr>
          <w:p>
            <w:pPr>
              <w:rPr>
                <w:sz w:val="2"/>
                <w:szCs w:val="2"/>
              </w:rPr>
            </w:pP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tcBorders>
            <w:shd w:val="clear" w:color="auto" w:fill="FF00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FFFF00"/>
          </w:tcPr>
          <w:p>
            <w:pPr>
              <w:rPr>
                <w:sz w:val="2"/>
                <w:szCs w:val="2"/>
              </w:rPr>
            </w:pPr>
          </w:p>
        </w:tc>
        <w:tc>
          <w:tcPr>
            <w:tcW w:w="3499" w:type="dxa"/>
            <w:vMerge/>
            <w:tcBorders>
              <w:top w:val="nil"/>
            </w:tcBorders>
          </w:tcPr>
          <w:p>
            <w:pPr>
              <w:rPr>
                <w:sz w:val="2"/>
                <w:szCs w:val="2"/>
              </w:rPr>
            </w:pPr>
          </w:p>
        </w:tc>
        <w:tc>
          <w:tcPr>
            <w:tcW w:w="4226" w:type="dxa"/>
          </w:tcPr>
          <w:p>
            <w:pPr>
              <w:pStyle w:val="TableParagraph"/>
              <w:spacing w:line="173" w:lineRule="exact" w:before="8"/>
              <w:ind w:left="32"/>
              <w:rPr>
                <w:rFonts w:ascii="Calibri"/>
                <w:sz w:val="16"/>
              </w:rPr>
            </w:pPr>
            <w:r>
              <w:rPr>
                <w:rFonts w:ascii="Calibri"/>
                <w:b/>
                <w:sz w:val="16"/>
              </w:rPr>
              <w:t>Risk</w:t>
            </w:r>
            <w:r>
              <w:rPr>
                <w:rFonts w:ascii="Calibri"/>
                <w:b/>
                <w:spacing w:val="2"/>
                <w:sz w:val="16"/>
              </w:rPr>
              <w:t> </w:t>
            </w:r>
            <w:r>
              <w:rPr>
                <w:rFonts w:ascii="Calibri"/>
                <w:b/>
                <w:sz w:val="16"/>
              </w:rPr>
              <w:t>Lead:</w:t>
            </w:r>
            <w:r>
              <w:rPr>
                <w:rFonts w:ascii="Calibri"/>
                <w:b/>
                <w:spacing w:val="2"/>
                <w:sz w:val="16"/>
              </w:rPr>
              <w:t> </w:t>
            </w:r>
            <w:r>
              <w:rPr>
                <w:rFonts w:ascii="Calibri"/>
                <w:b/>
                <w:sz w:val="16"/>
              </w:rPr>
              <w:t>Director</w:t>
            </w:r>
            <w:r>
              <w:rPr>
                <w:rFonts w:ascii="Calibri"/>
                <w:b/>
                <w:spacing w:val="2"/>
                <w:sz w:val="16"/>
              </w:rPr>
              <w:t> </w:t>
            </w:r>
            <w:r>
              <w:rPr>
                <w:rFonts w:ascii="Calibri"/>
                <w:b/>
                <w:sz w:val="16"/>
              </w:rPr>
              <w:t>of</w:t>
            </w:r>
            <w:r>
              <w:rPr>
                <w:rFonts w:ascii="Calibri"/>
                <w:b/>
                <w:spacing w:val="4"/>
                <w:sz w:val="16"/>
              </w:rPr>
              <w:t> </w:t>
            </w:r>
            <w:r>
              <w:rPr>
                <w:rFonts w:ascii="Calibri"/>
                <w:b/>
                <w:sz w:val="16"/>
              </w:rPr>
              <w:t>Finance</w:t>
            </w:r>
            <w:r>
              <w:rPr>
                <w:rFonts w:ascii="Calibri"/>
                <w:b/>
                <w:spacing w:val="2"/>
                <w:sz w:val="16"/>
              </w:rPr>
              <w:t> </w:t>
            </w:r>
            <w:r>
              <w:rPr>
                <w:rFonts w:ascii="Calibri"/>
                <w:b/>
                <w:sz w:val="16"/>
              </w:rPr>
              <w:t>&amp;</w:t>
            </w:r>
            <w:r>
              <w:rPr>
                <w:rFonts w:ascii="Calibri"/>
                <w:b/>
                <w:spacing w:val="3"/>
                <w:sz w:val="16"/>
              </w:rPr>
              <w:t> </w:t>
            </w:r>
            <w:r>
              <w:rPr>
                <w:rFonts w:ascii="Calibri"/>
                <w:b/>
                <w:sz w:val="16"/>
              </w:rPr>
              <w:t>Corporate</w:t>
            </w:r>
            <w:r>
              <w:rPr>
                <w:rFonts w:ascii="Calibri"/>
                <w:b/>
                <w:spacing w:val="2"/>
                <w:sz w:val="16"/>
              </w:rPr>
              <w:t> </w:t>
            </w:r>
            <w:r>
              <w:rPr>
                <w:rFonts w:ascii="Calibri"/>
                <w:b/>
                <w:spacing w:val="-2"/>
                <w:sz w:val="16"/>
              </w:rPr>
              <w:t>Service</w:t>
            </w:r>
            <w:r>
              <w:rPr>
                <w:rFonts w:ascii="Calibri"/>
                <w:spacing w:val="-2"/>
                <w:sz w:val="16"/>
              </w:rPr>
              <w:t>s</w:t>
            </w:r>
          </w:p>
        </w:tc>
        <w:tc>
          <w:tcPr>
            <w:tcW w:w="888" w:type="dxa"/>
            <w:vMerge/>
            <w:tcBorders>
              <w:top w:val="nil"/>
            </w:tcBorders>
          </w:tcPr>
          <w:p>
            <w:pPr>
              <w:rPr>
                <w:sz w:val="2"/>
                <w:szCs w:val="2"/>
              </w:rPr>
            </w:pPr>
          </w:p>
        </w:tc>
        <w:tc>
          <w:tcPr>
            <w:tcW w:w="1246" w:type="dxa"/>
            <w:vMerge/>
            <w:tcBorders>
              <w:top w:val="nil"/>
            </w:tcBorders>
            <w:shd w:val="clear" w:color="auto" w:fill="FFFF00"/>
          </w:tcPr>
          <w:p>
            <w:pPr>
              <w:rPr>
                <w:sz w:val="2"/>
                <w:szCs w:val="2"/>
              </w:rPr>
            </w:pPr>
          </w:p>
        </w:tc>
      </w:tr>
      <w:tr>
        <w:trPr>
          <w:trHeight w:val="1319" w:hRule="atLeast"/>
        </w:trPr>
        <w:tc>
          <w:tcPr>
            <w:tcW w:w="667" w:type="dxa"/>
            <w:tcBorders>
              <w:bottom w:val="nil"/>
            </w:tcBorders>
          </w:tcPr>
          <w:p>
            <w:pPr>
              <w:pStyle w:val="TableParagraph"/>
              <w:rPr>
                <w:sz w:val="18"/>
              </w:rPr>
            </w:pPr>
          </w:p>
          <w:p>
            <w:pPr>
              <w:pStyle w:val="TableParagraph"/>
              <w:rPr>
                <w:sz w:val="18"/>
              </w:rPr>
            </w:pPr>
          </w:p>
          <w:p>
            <w:pPr>
              <w:pStyle w:val="TableParagraph"/>
              <w:spacing w:before="9"/>
              <w:rPr>
                <w:sz w:val="18"/>
              </w:rPr>
            </w:pPr>
          </w:p>
          <w:p>
            <w:pPr>
              <w:pStyle w:val="TableParagraph"/>
              <w:ind w:left="239"/>
              <w:rPr>
                <w:rFonts w:ascii="Arial"/>
                <w:b/>
                <w:sz w:val="16"/>
              </w:rPr>
            </w:pPr>
            <w:r>
              <w:rPr>
                <w:rFonts w:ascii="Arial"/>
                <w:b/>
                <w:spacing w:val="-5"/>
                <w:sz w:val="16"/>
              </w:rPr>
              <w:t>A6</w:t>
            </w:r>
          </w:p>
        </w:tc>
        <w:tc>
          <w:tcPr>
            <w:tcW w:w="3583" w:type="dxa"/>
          </w:tcPr>
          <w:p>
            <w:pPr>
              <w:pStyle w:val="TableParagraph"/>
              <w:spacing w:line="264" w:lineRule="auto" w:before="3"/>
              <w:ind w:left="33" w:right="30"/>
              <w:rPr>
                <w:rFonts w:ascii="Arial"/>
                <w:sz w:val="16"/>
              </w:rPr>
            </w:pPr>
            <w:r>
              <w:rPr>
                <w:rFonts w:ascii="Arial"/>
                <w:sz w:val="16"/>
              </w:rPr>
              <w:t>The increase in energy prices, exacerbated by</w:t>
            </w:r>
            <w:r>
              <w:rPr>
                <w:rFonts w:ascii="Arial"/>
                <w:spacing w:val="40"/>
                <w:sz w:val="16"/>
              </w:rPr>
              <w:t> </w:t>
            </w:r>
            <w:r>
              <w:rPr>
                <w:rFonts w:ascii="Arial"/>
                <w:sz w:val="16"/>
              </w:rPr>
              <w:t>the war in Ukraine, is likely to lead to significant price increases across the whole range of goods and services resulting in severe cost pressures for NWSSP. (</w:t>
            </w:r>
            <w:r>
              <w:rPr>
                <w:rFonts w:ascii="Arial"/>
                <w:color w:val="FF0000"/>
                <w:sz w:val="16"/>
              </w:rPr>
              <w:t>added March 2022</w:t>
            </w:r>
            <w:r>
              <w:rPr>
                <w:rFonts w:ascii="Arial"/>
                <w:sz w:val="16"/>
              </w:rPr>
              <w:t>)</w:t>
            </w:r>
          </w:p>
        </w:tc>
        <w:tc>
          <w:tcPr>
            <w:tcW w:w="583" w:type="dxa"/>
            <w:tcBorders>
              <w:bottom w:val="nil"/>
            </w:tcBorders>
          </w:tcPr>
          <w:p>
            <w:pPr>
              <w:pStyle w:val="TableParagraph"/>
              <w:rPr>
                <w:sz w:val="18"/>
              </w:rPr>
            </w:pPr>
          </w:p>
          <w:p>
            <w:pPr>
              <w:pStyle w:val="TableParagraph"/>
              <w:rPr>
                <w:sz w:val="18"/>
              </w:rPr>
            </w:pPr>
          </w:p>
          <w:p>
            <w:pPr>
              <w:pStyle w:val="TableParagraph"/>
              <w:spacing w:before="9"/>
              <w:rPr>
                <w:sz w:val="18"/>
              </w:rPr>
            </w:pPr>
          </w:p>
          <w:p>
            <w:pPr>
              <w:pStyle w:val="TableParagraph"/>
              <w:ind w:left="31"/>
              <w:jc w:val="center"/>
              <w:rPr>
                <w:rFonts w:ascii="Arial"/>
                <w:sz w:val="16"/>
              </w:rPr>
            </w:pPr>
            <w:r>
              <w:rPr>
                <w:rFonts w:ascii="Arial"/>
                <w:w w:val="101"/>
                <w:sz w:val="16"/>
              </w:rPr>
              <w:t>5</w:t>
            </w:r>
          </w:p>
        </w:tc>
        <w:tc>
          <w:tcPr>
            <w:tcW w:w="660" w:type="dxa"/>
            <w:tcBorders>
              <w:bottom w:val="nil"/>
            </w:tcBorders>
          </w:tcPr>
          <w:p>
            <w:pPr>
              <w:pStyle w:val="TableParagraph"/>
              <w:rPr>
                <w:sz w:val="18"/>
              </w:rPr>
            </w:pPr>
          </w:p>
          <w:p>
            <w:pPr>
              <w:pStyle w:val="TableParagraph"/>
              <w:rPr>
                <w:sz w:val="18"/>
              </w:rPr>
            </w:pPr>
          </w:p>
          <w:p>
            <w:pPr>
              <w:pStyle w:val="TableParagraph"/>
              <w:spacing w:before="9"/>
              <w:rPr>
                <w:sz w:val="18"/>
              </w:rPr>
            </w:pPr>
          </w:p>
          <w:p>
            <w:pPr>
              <w:pStyle w:val="TableParagraph"/>
              <w:ind w:left="32"/>
              <w:jc w:val="center"/>
              <w:rPr>
                <w:rFonts w:ascii="Arial"/>
                <w:sz w:val="16"/>
              </w:rPr>
            </w:pPr>
            <w:r>
              <w:rPr>
                <w:rFonts w:ascii="Arial"/>
                <w:w w:val="101"/>
                <w:sz w:val="16"/>
              </w:rPr>
              <w:t>5</w:t>
            </w:r>
          </w:p>
        </w:tc>
        <w:tc>
          <w:tcPr>
            <w:tcW w:w="713" w:type="dxa"/>
            <w:tcBorders>
              <w:bottom w:val="nil"/>
            </w:tcBorders>
            <w:shd w:val="clear" w:color="auto" w:fill="FF0000"/>
          </w:tcPr>
          <w:p>
            <w:pPr>
              <w:pStyle w:val="TableParagraph"/>
              <w:rPr>
                <w:sz w:val="18"/>
              </w:rPr>
            </w:pPr>
          </w:p>
          <w:p>
            <w:pPr>
              <w:pStyle w:val="TableParagraph"/>
              <w:rPr>
                <w:sz w:val="18"/>
              </w:rPr>
            </w:pPr>
          </w:p>
          <w:p>
            <w:pPr>
              <w:pStyle w:val="TableParagraph"/>
              <w:spacing w:before="9"/>
              <w:rPr>
                <w:sz w:val="18"/>
              </w:rPr>
            </w:pPr>
          </w:p>
          <w:p>
            <w:pPr>
              <w:pStyle w:val="TableParagraph"/>
              <w:ind w:left="260" w:right="229"/>
              <w:jc w:val="center"/>
              <w:rPr>
                <w:rFonts w:ascii="Arial"/>
                <w:sz w:val="16"/>
              </w:rPr>
            </w:pPr>
            <w:r>
              <w:rPr>
                <w:rFonts w:ascii="Arial"/>
                <w:spacing w:val="-5"/>
                <w:sz w:val="16"/>
              </w:rPr>
              <w:t>25</w:t>
            </w:r>
          </w:p>
        </w:tc>
        <w:tc>
          <w:tcPr>
            <w:tcW w:w="3679" w:type="dxa"/>
            <w:tcBorders>
              <w:bottom w:val="nil"/>
            </w:tcBorders>
          </w:tcPr>
          <w:p>
            <w:pPr>
              <w:pStyle w:val="TableParagraph"/>
              <w:spacing w:line="264" w:lineRule="auto" w:before="3"/>
              <w:ind w:left="33" w:right="387"/>
              <w:rPr>
                <w:rFonts w:ascii="Arial"/>
                <w:sz w:val="16"/>
              </w:rPr>
            </w:pPr>
            <w:r>
              <w:rPr>
                <w:rFonts w:ascii="Arial"/>
                <w:sz w:val="16"/>
              </w:rPr>
              <w:t>Energy Price Risk Management </w:t>
            </w:r>
            <w:r>
              <w:rPr>
                <w:rFonts w:ascii="Arial"/>
                <w:sz w:val="16"/>
              </w:rPr>
              <w:t>Group Forward purchase of energy</w:t>
            </w:r>
          </w:p>
          <w:p>
            <w:pPr>
              <w:pStyle w:val="TableParagraph"/>
              <w:spacing w:line="182" w:lineRule="exact"/>
              <w:ind w:left="33"/>
              <w:rPr>
                <w:rFonts w:ascii="Arial"/>
                <w:sz w:val="16"/>
              </w:rPr>
            </w:pPr>
            <w:r>
              <w:rPr>
                <w:rFonts w:ascii="Arial"/>
                <w:sz w:val="16"/>
              </w:rPr>
              <w:t>Briefings</w:t>
            </w:r>
            <w:r>
              <w:rPr>
                <w:rFonts w:ascii="Arial"/>
                <w:spacing w:val="9"/>
                <w:sz w:val="16"/>
              </w:rPr>
              <w:t> </w:t>
            </w:r>
            <w:r>
              <w:rPr>
                <w:rFonts w:ascii="Arial"/>
                <w:sz w:val="16"/>
              </w:rPr>
              <w:t>to</w:t>
            </w:r>
            <w:r>
              <w:rPr>
                <w:rFonts w:ascii="Arial"/>
                <w:spacing w:val="7"/>
                <w:sz w:val="16"/>
              </w:rPr>
              <w:t> </w:t>
            </w:r>
            <w:r>
              <w:rPr>
                <w:rFonts w:ascii="Arial"/>
                <w:sz w:val="16"/>
              </w:rPr>
              <w:t>Welsh</w:t>
            </w:r>
            <w:r>
              <w:rPr>
                <w:rFonts w:ascii="Arial"/>
                <w:spacing w:val="7"/>
                <w:sz w:val="16"/>
              </w:rPr>
              <w:t> </w:t>
            </w:r>
            <w:r>
              <w:rPr>
                <w:rFonts w:ascii="Arial"/>
                <w:spacing w:val="-2"/>
                <w:sz w:val="16"/>
              </w:rPr>
              <w:t>Government</w:t>
            </w:r>
          </w:p>
        </w:tc>
        <w:tc>
          <w:tcPr>
            <w:tcW w:w="583" w:type="dxa"/>
            <w:tcBorders>
              <w:bottom w:val="nil"/>
            </w:tcBorders>
          </w:tcPr>
          <w:p>
            <w:pPr>
              <w:pStyle w:val="TableParagraph"/>
              <w:rPr>
                <w:sz w:val="18"/>
              </w:rPr>
            </w:pPr>
          </w:p>
          <w:p>
            <w:pPr>
              <w:pStyle w:val="TableParagraph"/>
              <w:rPr>
                <w:sz w:val="18"/>
              </w:rPr>
            </w:pPr>
          </w:p>
          <w:p>
            <w:pPr>
              <w:pStyle w:val="TableParagraph"/>
              <w:spacing w:before="9"/>
              <w:rPr>
                <w:sz w:val="18"/>
              </w:rPr>
            </w:pPr>
          </w:p>
          <w:p>
            <w:pPr>
              <w:pStyle w:val="TableParagraph"/>
              <w:ind w:left="32"/>
              <w:jc w:val="center"/>
              <w:rPr>
                <w:rFonts w:ascii="Arial"/>
                <w:sz w:val="16"/>
              </w:rPr>
            </w:pPr>
            <w:r>
              <w:rPr>
                <w:rFonts w:ascii="Arial"/>
                <w:w w:val="101"/>
                <w:sz w:val="16"/>
              </w:rPr>
              <w:t>4</w:t>
            </w:r>
          </w:p>
        </w:tc>
        <w:tc>
          <w:tcPr>
            <w:tcW w:w="621" w:type="dxa"/>
            <w:tcBorders>
              <w:bottom w:val="nil"/>
            </w:tcBorders>
          </w:tcPr>
          <w:p>
            <w:pPr>
              <w:pStyle w:val="TableParagraph"/>
              <w:rPr>
                <w:sz w:val="18"/>
              </w:rPr>
            </w:pPr>
          </w:p>
          <w:p>
            <w:pPr>
              <w:pStyle w:val="TableParagraph"/>
              <w:rPr>
                <w:sz w:val="18"/>
              </w:rPr>
            </w:pPr>
          </w:p>
          <w:p>
            <w:pPr>
              <w:pStyle w:val="TableParagraph"/>
              <w:spacing w:before="9"/>
              <w:rPr>
                <w:sz w:val="18"/>
              </w:rPr>
            </w:pPr>
          </w:p>
          <w:p>
            <w:pPr>
              <w:pStyle w:val="TableParagraph"/>
              <w:ind w:left="32"/>
              <w:jc w:val="center"/>
              <w:rPr>
                <w:rFonts w:ascii="Arial"/>
                <w:sz w:val="16"/>
              </w:rPr>
            </w:pPr>
            <w:r>
              <w:rPr>
                <w:rFonts w:ascii="Arial"/>
                <w:w w:val="101"/>
                <w:sz w:val="16"/>
              </w:rPr>
              <w:t>5</w:t>
            </w:r>
          </w:p>
        </w:tc>
        <w:tc>
          <w:tcPr>
            <w:tcW w:w="698" w:type="dxa"/>
            <w:tcBorders>
              <w:bottom w:val="nil"/>
            </w:tcBorders>
            <w:shd w:val="clear" w:color="auto" w:fill="FF0000"/>
          </w:tcPr>
          <w:p>
            <w:pPr>
              <w:pStyle w:val="TableParagraph"/>
              <w:rPr>
                <w:sz w:val="18"/>
              </w:rPr>
            </w:pPr>
          </w:p>
          <w:p>
            <w:pPr>
              <w:pStyle w:val="TableParagraph"/>
              <w:rPr>
                <w:sz w:val="18"/>
              </w:rPr>
            </w:pPr>
          </w:p>
          <w:p>
            <w:pPr>
              <w:pStyle w:val="TableParagraph"/>
              <w:spacing w:before="9"/>
              <w:rPr>
                <w:sz w:val="18"/>
              </w:rPr>
            </w:pPr>
          </w:p>
          <w:p>
            <w:pPr>
              <w:pStyle w:val="TableParagraph"/>
              <w:ind w:left="254" w:right="220"/>
              <w:jc w:val="center"/>
              <w:rPr>
                <w:rFonts w:ascii="Arial"/>
                <w:sz w:val="16"/>
              </w:rPr>
            </w:pPr>
            <w:r>
              <w:rPr>
                <w:rFonts w:ascii="Arial"/>
                <w:spacing w:val="-5"/>
                <w:sz w:val="16"/>
              </w:rPr>
              <w:t>20</w:t>
            </w:r>
          </w:p>
        </w:tc>
        <w:tc>
          <w:tcPr>
            <w:tcW w:w="3499" w:type="dxa"/>
            <w:tcBorders>
              <w:bottom w:val="nil"/>
            </w:tcBorders>
          </w:tcPr>
          <w:p>
            <w:pPr>
              <w:pStyle w:val="TableParagraph"/>
              <w:spacing w:line="264" w:lineRule="auto" w:before="3"/>
              <w:ind w:left="35"/>
              <w:rPr>
                <w:rFonts w:ascii="Arial"/>
                <w:sz w:val="16"/>
              </w:rPr>
            </w:pPr>
            <w:r>
              <w:rPr>
                <w:rFonts w:ascii="Arial"/>
                <w:sz w:val="16"/>
              </w:rPr>
              <w:t>Assess impact of UK Govt announcement on subsidies for energy prices (EPRMG </w:t>
            </w:r>
            <w:r>
              <w:rPr>
                <w:rFonts w:ascii="Arial"/>
                <w:sz w:val="16"/>
              </w:rPr>
              <w:t>31/10/22)</w:t>
            </w:r>
          </w:p>
        </w:tc>
        <w:tc>
          <w:tcPr>
            <w:tcW w:w="4226" w:type="dxa"/>
          </w:tcPr>
          <w:p>
            <w:pPr>
              <w:pStyle w:val="TableParagraph"/>
              <w:spacing w:line="264" w:lineRule="auto" w:before="3"/>
              <w:ind w:left="35" w:right="208"/>
              <w:rPr>
                <w:rFonts w:ascii="Arial"/>
                <w:sz w:val="16"/>
              </w:rPr>
            </w:pPr>
            <w:r>
              <w:rPr>
                <w:rFonts w:ascii="Arial"/>
                <w:sz w:val="16"/>
              </w:rPr>
              <w:t>Paper on energy costs to March SSPC, and update provided to August Informal SLG. Daily monitoring of prices and buying ahead at fixed price where possible. Presentation to September SSPC. WG are funding first six months of actual additional costs.</w:t>
            </w:r>
          </w:p>
        </w:tc>
        <w:tc>
          <w:tcPr>
            <w:tcW w:w="888" w:type="dxa"/>
            <w:tcBorders>
              <w:bottom w:val="nil"/>
            </w:tcBorders>
          </w:tcPr>
          <w:p>
            <w:pPr>
              <w:pStyle w:val="TableParagraph"/>
              <w:spacing w:before="7"/>
              <w:rPr>
                <w:sz w:val="47"/>
              </w:rPr>
            </w:pPr>
          </w:p>
          <w:p>
            <w:pPr>
              <w:pStyle w:val="TableParagraph"/>
              <w:ind w:left="268"/>
              <w:rPr>
                <w:rFonts w:ascii="Wingdings 3" w:hAnsi="Wingdings 3"/>
                <w:sz w:val="32"/>
              </w:rPr>
            </w:pPr>
            <w:r>
              <w:rPr>
                <w:rFonts w:ascii="Wingdings 3" w:hAnsi="Wingdings 3"/>
                <w:color w:val="FFBF00"/>
                <w:w w:val="101"/>
                <w:sz w:val="32"/>
              </w:rPr>
              <w:t></w:t>
            </w:r>
          </w:p>
        </w:tc>
        <w:tc>
          <w:tcPr>
            <w:tcW w:w="1246" w:type="dxa"/>
            <w:tcBorders>
              <w:bottom w:val="nil"/>
            </w:tcBorders>
            <w:shd w:val="clear" w:color="auto" w:fill="FFBF00"/>
          </w:tcPr>
          <w:p>
            <w:pPr>
              <w:pStyle w:val="TableParagraph"/>
              <w:rPr>
                <w:sz w:val="18"/>
              </w:rPr>
            </w:pPr>
          </w:p>
          <w:p>
            <w:pPr>
              <w:pStyle w:val="TableParagraph"/>
              <w:rPr>
                <w:sz w:val="18"/>
              </w:rPr>
            </w:pPr>
          </w:p>
          <w:p>
            <w:pPr>
              <w:pStyle w:val="TableParagraph"/>
              <w:spacing w:before="1"/>
              <w:rPr>
                <w:sz w:val="19"/>
              </w:rPr>
            </w:pPr>
          </w:p>
          <w:p>
            <w:pPr>
              <w:pStyle w:val="TableParagraph"/>
              <w:spacing w:before="1"/>
              <w:ind w:left="218"/>
              <w:rPr>
                <w:rFonts w:ascii="Arial"/>
                <w:b/>
                <w:sz w:val="16"/>
              </w:rPr>
            </w:pPr>
            <w:r>
              <w:rPr>
                <w:rFonts w:ascii="Arial"/>
                <w:b/>
                <w:spacing w:val="-2"/>
                <w:sz w:val="16"/>
              </w:rPr>
              <w:t>31/03/2023</w:t>
            </w:r>
          </w:p>
        </w:tc>
      </w:tr>
    </w:tbl>
    <w:p>
      <w:pPr>
        <w:spacing w:after="0"/>
        <w:rPr>
          <w:rFonts w:ascii="Arial"/>
          <w:sz w:val="16"/>
        </w:rPr>
        <w:sectPr>
          <w:footerReference w:type="default" r:id="rId163"/>
          <w:pgSz w:w="23820" w:h="16840" w:orient="landscape"/>
          <w:pgMar w:footer="173" w:header="0" w:top="1040" w:bottom="360" w:left="920" w:right="1020"/>
        </w:sectPr>
      </w:pPr>
    </w:p>
    <w:tbl>
      <w:tblPr>
        <w:tblW w:w="0" w:type="auto"/>
        <w:jc w:val="left"/>
        <w:tblInd w:w="11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667"/>
        <w:gridCol w:w="3583"/>
        <w:gridCol w:w="583"/>
        <w:gridCol w:w="660"/>
        <w:gridCol w:w="713"/>
        <w:gridCol w:w="3679"/>
        <w:gridCol w:w="583"/>
        <w:gridCol w:w="621"/>
        <w:gridCol w:w="698"/>
        <w:gridCol w:w="3499"/>
        <w:gridCol w:w="4226"/>
        <w:gridCol w:w="888"/>
        <w:gridCol w:w="1246"/>
      </w:tblGrid>
      <w:tr>
        <w:trPr>
          <w:trHeight w:val="200" w:hRule="atLeast"/>
        </w:trPr>
        <w:tc>
          <w:tcPr>
            <w:tcW w:w="667" w:type="dxa"/>
            <w:tcBorders>
              <w:top w:val="nil"/>
            </w:tcBorders>
          </w:tcPr>
          <w:p>
            <w:pPr>
              <w:pStyle w:val="TableParagraph"/>
              <w:rPr>
                <w:rFonts w:ascii="Times New Roman"/>
                <w:sz w:val="14"/>
              </w:rPr>
            </w:pPr>
          </w:p>
        </w:tc>
        <w:tc>
          <w:tcPr>
            <w:tcW w:w="3583" w:type="dxa"/>
          </w:tcPr>
          <w:p>
            <w:pPr>
              <w:pStyle w:val="TableParagraph"/>
              <w:spacing w:line="171" w:lineRule="exact" w:before="10"/>
              <w:ind w:left="33"/>
              <w:rPr>
                <w:rFonts w:ascii="Arial"/>
                <w:b/>
                <w:sz w:val="16"/>
              </w:rPr>
            </w:pPr>
            <w:r>
              <w:rPr>
                <w:rFonts w:ascii="Arial"/>
                <w:b/>
                <w:sz w:val="16"/>
              </w:rPr>
              <w:t>Strategic</w:t>
            </w:r>
            <w:r>
              <w:rPr>
                <w:rFonts w:ascii="Arial"/>
                <w:b/>
                <w:spacing w:val="6"/>
                <w:sz w:val="16"/>
              </w:rPr>
              <w:t> </w:t>
            </w:r>
            <w:r>
              <w:rPr>
                <w:rFonts w:ascii="Arial"/>
                <w:b/>
                <w:sz w:val="16"/>
              </w:rPr>
              <w:t>Objective</w:t>
            </w:r>
            <w:r>
              <w:rPr>
                <w:rFonts w:ascii="Arial"/>
                <w:b/>
                <w:spacing w:val="4"/>
                <w:sz w:val="16"/>
              </w:rPr>
              <w:t> </w:t>
            </w:r>
            <w:r>
              <w:rPr>
                <w:rFonts w:ascii="Arial"/>
                <w:b/>
                <w:sz w:val="16"/>
              </w:rPr>
              <w:t>-</w:t>
            </w:r>
            <w:r>
              <w:rPr>
                <w:rFonts w:ascii="Arial"/>
                <w:b/>
                <w:spacing w:val="7"/>
                <w:sz w:val="16"/>
              </w:rPr>
              <w:t> </w:t>
            </w:r>
            <w:r>
              <w:rPr>
                <w:rFonts w:ascii="Arial"/>
                <w:b/>
                <w:sz w:val="16"/>
              </w:rPr>
              <w:t>Value</w:t>
            </w:r>
            <w:r>
              <w:rPr>
                <w:rFonts w:ascii="Arial"/>
                <w:b/>
                <w:spacing w:val="4"/>
                <w:sz w:val="16"/>
              </w:rPr>
              <w:t> </w:t>
            </w:r>
            <w:r>
              <w:rPr>
                <w:rFonts w:ascii="Arial"/>
                <w:b/>
                <w:sz w:val="16"/>
              </w:rPr>
              <w:t>For</w:t>
            </w:r>
            <w:r>
              <w:rPr>
                <w:rFonts w:ascii="Arial"/>
                <w:b/>
                <w:spacing w:val="3"/>
                <w:sz w:val="16"/>
              </w:rPr>
              <w:t> </w:t>
            </w:r>
            <w:r>
              <w:rPr>
                <w:rFonts w:ascii="Arial"/>
                <w:b/>
                <w:spacing w:val="-2"/>
                <w:sz w:val="16"/>
              </w:rPr>
              <w:t>Money</w:t>
            </w:r>
          </w:p>
        </w:tc>
        <w:tc>
          <w:tcPr>
            <w:tcW w:w="583" w:type="dxa"/>
            <w:tcBorders>
              <w:top w:val="nil"/>
            </w:tcBorders>
          </w:tcPr>
          <w:p>
            <w:pPr>
              <w:pStyle w:val="TableParagraph"/>
              <w:rPr>
                <w:rFonts w:ascii="Times New Roman"/>
                <w:sz w:val="14"/>
              </w:rPr>
            </w:pPr>
          </w:p>
        </w:tc>
        <w:tc>
          <w:tcPr>
            <w:tcW w:w="660" w:type="dxa"/>
            <w:tcBorders>
              <w:top w:val="nil"/>
            </w:tcBorders>
          </w:tcPr>
          <w:p>
            <w:pPr>
              <w:pStyle w:val="TableParagraph"/>
              <w:rPr>
                <w:rFonts w:ascii="Times New Roman"/>
                <w:sz w:val="14"/>
              </w:rPr>
            </w:pPr>
          </w:p>
        </w:tc>
        <w:tc>
          <w:tcPr>
            <w:tcW w:w="713" w:type="dxa"/>
            <w:vMerge w:val="restart"/>
            <w:tcBorders>
              <w:top w:val="nil"/>
            </w:tcBorders>
            <w:shd w:val="clear" w:color="auto" w:fill="FF0000"/>
          </w:tcPr>
          <w:p>
            <w:pPr>
              <w:pStyle w:val="TableParagraph"/>
              <w:rPr>
                <w:sz w:val="18"/>
              </w:rPr>
            </w:pPr>
          </w:p>
          <w:p>
            <w:pPr>
              <w:pStyle w:val="TableParagraph"/>
              <w:rPr>
                <w:sz w:val="18"/>
              </w:rPr>
            </w:pPr>
          </w:p>
          <w:p>
            <w:pPr>
              <w:pStyle w:val="TableParagraph"/>
              <w:spacing w:before="6"/>
              <w:rPr>
                <w:sz w:val="23"/>
              </w:rPr>
            </w:pPr>
          </w:p>
          <w:p>
            <w:pPr>
              <w:pStyle w:val="TableParagraph"/>
              <w:ind w:left="255" w:right="224"/>
              <w:jc w:val="center"/>
              <w:rPr>
                <w:rFonts w:ascii="Arial"/>
                <w:sz w:val="16"/>
              </w:rPr>
            </w:pPr>
            <w:r>
              <w:rPr>
                <w:rFonts w:ascii="Arial"/>
                <w:spacing w:val="-5"/>
                <w:sz w:val="16"/>
              </w:rPr>
              <w:t>25</w:t>
            </w: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4"/>
              <w:rPr>
                <w:sz w:val="15"/>
              </w:rPr>
            </w:pPr>
          </w:p>
          <w:p>
            <w:pPr>
              <w:pStyle w:val="TableParagraph"/>
              <w:ind w:left="255" w:right="224"/>
              <w:jc w:val="center"/>
              <w:rPr>
                <w:rFonts w:ascii="Arial"/>
                <w:sz w:val="16"/>
              </w:rPr>
            </w:pPr>
            <w:r>
              <w:rPr>
                <w:rFonts w:ascii="Arial"/>
                <w:spacing w:val="-5"/>
                <w:sz w:val="16"/>
              </w:rPr>
              <w:t>16</w:t>
            </w: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1"/>
              <w:rPr>
                <w:sz w:val="15"/>
              </w:rPr>
            </w:pPr>
          </w:p>
          <w:p>
            <w:pPr>
              <w:pStyle w:val="TableParagraph"/>
              <w:spacing w:before="1"/>
              <w:ind w:left="255" w:right="224"/>
              <w:jc w:val="center"/>
              <w:rPr>
                <w:rFonts w:ascii="Arial"/>
                <w:sz w:val="16"/>
              </w:rPr>
            </w:pPr>
            <w:r>
              <w:rPr>
                <w:rFonts w:ascii="Arial"/>
                <w:spacing w:val="-5"/>
                <w:sz w:val="16"/>
              </w:rPr>
              <w:t>25</w:t>
            </w:r>
          </w:p>
          <w:p>
            <w:pPr>
              <w:pStyle w:val="TableParagraph"/>
              <w:rPr>
                <w:sz w:val="18"/>
              </w:rPr>
            </w:pPr>
          </w:p>
          <w:p>
            <w:pPr>
              <w:pStyle w:val="TableParagraph"/>
              <w:rPr>
                <w:sz w:val="18"/>
              </w:rPr>
            </w:pPr>
          </w:p>
          <w:p>
            <w:pPr>
              <w:pStyle w:val="TableParagraph"/>
              <w:rPr>
                <w:sz w:val="18"/>
              </w:rPr>
            </w:pPr>
          </w:p>
          <w:p>
            <w:pPr>
              <w:pStyle w:val="TableParagraph"/>
              <w:spacing w:before="5"/>
              <w:rPr>
                <w:sz w:val="25"/>
              </w:rPr>
            </w:pPr>
          </w:p>
          <w:p>
            <w:pPr>
              <w:pStyle w:val="TableParagraph"/>
              <w:ind w:left="255" w:right="224"/>
              <w:jc w:val="center"/>
              <w:rPr>
                <w:rFonts w:ascii="Arial"/>
                <w:sz w:val="16"/>
              </w:rPr>
            </w:pPr>
            <w:r>
              <w:rPr>
                <w:rFonts w:ascii="Arial"/>
                <w:spacing w:val="-5"/>
                <w:sz w:val="16"/>
              </w:rPr>
              <w:t>16</w:t>
            </w:r>
          </w:p>
        </w:tc>
        <w:tc>
          <w:tcPr>
            <w:tcW w:w="3679" w:type="dxa"/>
            <w:tcBorders>
              <w:top w:val="nil"/>
            </w:tcBorders>
          </w:tcPr>
          <w:p>
            <w:pPr>
              <w:pStyle w:val="TableParagraph"/>
              <w:rPr>
                <w:rFonts w:ascii="Times New Roman"/>
                <w:sz w:val="14"/>
              </w:rPr>
            </w:pPr>
          </w:p>
        </w:tc>
        <w:tc>
          <w:tcPr>
            <w:tcW w:w="583" w:type="dxa"/>
            <w:tcBorders>
              <w:top w:val="nil"/>
            </w:tcBorders>
          </w:tcPr>
          <w:p>
            <w:pPr>
              <w:pStyle w:val="TableParagraph"/>
              <w:rPr>
                <w:rFonts w:ascii="Times New Roman"/>
                <w:sz w:val="14"/>
              </w:rPr>
            </w:pPr>
          </w:p>
        </w:tc>
        <w:tc>
          <w:tcPr>
            <w:tcW w:w="621" w:type="dxa"/>
            <w:tcBorders>
              <w:top w:val="nil"/>
            </w:tcBorders>
          </w:tcPr>
          <w:p>
            <w:pPr>
              <w:pStyle w:val="TableParagraph"/>
              <w:rPr>
                <w:rFonts w:ascii="Times New Roman"/>
                <w:sz w:val="14"/>
              </w:rPr>
            </w:pPr>
          </w:p>
        </w:tc>
        <w:tc>
          <w:tcPr>
            <w:tcW w:w="698" w:type="dxa"/>
            <w:tcBorders>
              <w:top w:val="nil"/>
            </w:tcBorders>
            <w:shd w:val="clear" w:color="auto" w:fill="FF0000"/>
          </w:tcPr>
          <w:p>
            <w:pPr>
              <w:pStyle w:val="TableParagraph"/>
              <w:rPr>
                <w:rFonts w:ascii="Times New Roman"/>
                <w:sz w:val="14"/>
              </w:rPr>
            </w:pPr>
          </w:p>
        </w:tc>
        <w:tc>
          <w:tcPr>
            <w:tcW w:w="3499" w:type="dxa"/>
            <w:tcBorders>
              <w:top w:val="nil"/>
            </w:tcBorders>
          </w:tcPr>
          <w:p>
            <w:pPr>
              <w:pStyle w:val="TableParagraph"/>
              <w:rPr>
                <w:rFonts w:ascii="Times New Roman"/>
                <w:sz w:val="14"/>
              </w:rPr>
            </w:pPr>
          </w:p>
        </w:tc>
        <w:tc>
          <w:tcPr>
            <w:tcW w:w="4226" w:type="dxa"/>
          </w:tcPr>
          <w:p>
            <w:pPr>
              <w:pStyle w:val="TableParagraph"/>
              <w:spacing w:line="173" w:lineRule="exact" w:before="8"/>
              <w:ind w:left="32"/>
              <w:rPr>
                <w:rFonts w:ascii="Calibri"/>
                <w:sz w:val="16"/>
              </w:rPr>
            </w:pPr>
            <w:r>
              <w:rPr>
                <w:rFonts w:ascii="Calibri"/>
                <w:b/>
                <w:sz w:val="16"/>
              </w:rPr>
              <w:t>Risk</w:t>
            </w:r>
            <w:r>
              <w:rPr>
                <w:rFonts w:ascii="Calibri"/>
                <w:b/>
                <w:spacing w:val="2"/>
                <w:sz w:val="16"/>
              </w:rPr>
              <w:t> </w:t>
            </w:r>
            <w:r>
              <w:rPr>
                <w:rFonts w:ascii="Calibri"/>
                <w:b/>
                <w:sz w:val="16"/>
              </w:rPr>
              <w:t>Lead:</w:t>
            </w:r>
            <w:r>
              <w:rPr>
                <w:rFonts w:ascii="Calibri"/>
                <w:b/>
                <w:spacing w:val="2"/>
                <w:sz w:val="16"/>
              </w:rPr>
              <w:t> </w:t>
            </w:r>
            <w:r>
              <w:rPr>
                <w:rFonts w:ascii="Calibri"/>
                <w:b/>
                <w:sz w:val="16"/>
              </w:rPr>
              <w:t>Director</w:t>
            </w:r>
            <w:r>
              <w:rPr>
                <w:rFonts w:ascii="Calibri"/>
                <w:b/>
                <w:spacing w:val="2"/>
                <w:sz w:val="16"/>
              </w:rPr>
              <w:t> </w:t>
            </w:r>
            <w:r>
              <w:rPr>
                <w:rFonts w:ascii="Calibri"/>
                <w:b/>
                <w:sz w:val="16"/>
              </w:rPr>
              <w:t>of</w:t>
            </w:r>
            <w:r>
              <w:rPr>
                <w:rFonts w:ascii="Calibri"/>
                <w:b/>
                <w:spacing w:val="4"/>
                <w:sz w:val="16"/>
              </w:rPr>
              <w:t> </w:t>
            </w:r>
            <w:r>
              <w:rPr>
                <w:rFonts w:ascii="Calibri"/>
                <w:b/>
                <w:sz w:val="16"/>
              </w:rPr>
              <w:t>Finance</w:t>
            </w:r>
            <w:r>
              <w:rPr>
                <w:rFonts w:ascii="Calibri"/>
                <w:b/>
                <w:spacing w:val="2"/>
                <w:sz w:val="16"/>
              </w:rPr>
              <w:t> </w:t>
            </w:r>
            <w:r>
              <w:rPr>
                <w:rFonts w:ascii="Calibri"/>
                <w:b/>
                <w:sz w:val="16"/>
              </w:rPr>
              <w:t>&amp;</w:t>
            </w:r>
            <w:r>
              <w:rPr>
                <w:rFonts w:ascii="Calibri"/>
                <w:b/>
                <w:spacing w:val="3"/>
                <w:sz w:val="16"/>
              </w:rPr>
              <w:t> </w:t>
            </w:r>
            <w:r>
              <w:rPr>
                <w:rFonts w:ascii="Calibri"/>
                <w:b/>
                <w:sz w:val="16"/>
              </w:rPr>
              <w:t>Corporate</w:t>
            </w:r>
            <w:r>
              <w:rPr>
                <w:rFonts w:ascii="Calibri"/>
                <w:b/>
                <w:spacing w:val="2"/>
                <w:sz w:val="16"/>
              </w:rPr>
              <w:t> </w:t>
            </w:r>
            <w:r>
              <w:rPr>
                <w:rFonts w:ascii="Calibri"/>
                <w:b/>
                <w:spacing w:val="-2"/>
                <w:sz w:val="16"/>
              </w:rPr>
              <w:t>Service</w:t>
            </w:r>
            <w:r>
              <w:rPr>
                <w:rFonts w:ascii="Calibri"/>
                <w:spacing w:val="-2"/>
                <w:sz w:val="16"/>
              </w:rPr>
              <w:t>s</w:t>
            </w:r>
          </w:p>
        </w:tc>
        <w:tc>
          <w:tcPr>
            <w:tcW w:w="888" w:type="dxa"/>
            <w:tcBorders>
              <w:top w:val="nil"/>
            </w:tcBorders>
          </w:tcPr>
          <w:p>
            <w:pPr>
              <w:pStyle w:val="TableParagraph"/>
              <w:rPr>
                <w:rFonts w:ascii="Times New Roman"/>
                <w:sz w:val="14"/>
              </w:rPr>
            </w:pPr>
          </w:p>
        </w:tc>
        <w:tc>
          <w:tcPr>
            <w:tcW w:w="1246" w:type="dxa"/>
            <w:tcBorders>
              <w:top w:val="nil"/>
            </w:tcBorders>
            <w:shd w:val="clear" w:color="auto" w:fill="FFBF00"/>
          </w:tcPr>
          <w:p>
            <w:pPr>
              <w:pStyle w:val="TableParagraph"/>
              <w:rPr>
                <w:rFonts w:ascii="Times New Roman"/>
                <w:sz w:val="14"/>
              </w:rPr>
            </w:pPr>
          </w:p>
        </w:tc>
      </w:tr>
      <w:tr>
        <w:trPr>
          <w:trHeight w:val="815" w:hRule="atLeast"/>
        </w:trPr>
        <w:tc>
          <w:tcPr>
            <w:tcW w:w="667" w:type="dxa"/>
            <w:vMerge w:val="restart"/>
          </w:tcPr>
          <w:p>
            <w:pPr>
              <w:pStyle w:val="TableParagraph"/>
              <w:rPr>
                <w:sz w:val="18"/>
              </w:rPr>
            </w:pPr>
          </w:p>
          <w:p>
            <w:pPr>
              <w:pStyle w:val="TableParagraph"/>
              <w:spacing w:before="11"/>
              <w:rPr>
                <w:sz w:val="23"/>
              </w:rPr>
            </w:pPr>
          </w:p>
          <w:p>
            <w:pPr>
              <w:pStyle w:val="TableParagraph"/>
              <w:ind w:left="239"/>
              <w:rPr>
                <w:rFonts w:ascii="Arial"/>
                <w:b/>
                <w:sz w:val="16"/>
              </w:rPr>
            </w:pPr>
            <w:r>
              <w:rPr>
                <w:rFonts w:ascii="Arial"/>
                <w:b/>
                <w:spacing w:val="-5"/>
                <w:sz w:val="16"/>
              </w:rPr>
              <w:t>A7</w:t>
            </w:r>
          </w:p>
        </w:tc>
        <w:tc>
          <w:tcPr>
            <w:tcW w:w="3583" w:type="dxa"/>
          </w:tcPr>
          <w:p>
            <w:pPr>
              <w:pStyle w:val="TableParagraph"/>
              <w:spacing w:line="264" w:lineRule="auto" w:before="3"/>
              <w:ind w:left="33" w:right="80"/>
              <w:rPr>
                <w:rFonts w:ascii="Arial"/>
                <w:sz w:val="16"/>
              </w:rPr>
            </w:pPr>
            <w:r>
              <w:rPr>
                <w:rFonts w:ascii="Arial"/>
                <w:sz w:val="16"/>
              </w:rPr>
              <w:t>The volatility in the energy market, due to the</w:t>
            </w:r>
            <w:r>
              <w:rPr>
                <w:rFonts w:ascii="Arial"/>
                <w:spacing w:val="40"/>
                <w:sz w:val="16"/>
              </w:rPr>
              <w:t> </w:t>
            </w:r>
            <w:r>
              <w:rPr>
                <w:rFonts w:ascii="Arial"/>
                <w:sz w:val="16"/>
              </w:rPr>
              <w:t>war in Ukraine, increases the reputational risk to NWSSP in its role in securing energy on behalf</w:t>
            </w:r>
          </w:p>
          <w:p>
            <w:pPr>
              <w:pStyle w:val="TableParagraph"/>
              <w:spacing w:line="182" w:lineRule="exact"/>
              <w:ind w:left="33"/>
              <w:rPr>
                <w:rFonts w:ascii="Arial"/>
                <w:sz w:val="16"/>
              </w:rPr>
            </w:pPr>
            <w:r>
              <w:rPr>
                <w:rFonts w:ascii="Arial"/>
                <w:sz w:val="16"/>
              </w:rPr>
              <w:t>of</w:t>
            </w:r>
            <w:r>
              <w:rPr>
                <w:rFonts w:ascii="Arial"/>
                <w:spacing w:val="2"/>
                <w:sz w:val="16"/>
              </w:rPr>
              <w:t> </w:t>
            </w:r>
            <w:r>
              <w:rPr>
                <w:rFonts w:ascii="Arial"/>
                <w:sz w:val="16"/>
              </w:rPr>
              <w:t>NHS</w:t>
            </w:r>
            <w:r>
              <w:rPr>
                <w:rFonts w:ascii="Arial"/>
                <w:spacing w:val="2"/>
                <w:sz w:val="16"/>
              </w:rPr>
              <w:t> </w:t>
            </w:r>
            <w:r>
              <w:rPr>
                <w:rFonts w:ascii="Arial"/>
                <w:spacing w:val="-2"/>
                <w:sz w:val="16"/>
              </w:rPr>
              <w:t>Wales.</w:t>
            </w:r>
          </w:p>
        </w:tc>
        <w:tc>
          <w:tcPr>
            <w:tcW w:w="583" w:type="dxa"/>
            <w:vMerge w:val="restart"/>
          </w:tcPr>
          <w:p>
            <w:pPr>
              <w:pStyle w:val="TableParagraph"/>
              <w:rPr>
                <w:sz w:val="18"/>
              </w:rPr>
            </w:pPr>
          </w:p>
          <w:p>
            <w:pPr>
              <w:pStyle w:val="TableParagraph"/>
              <w:spacing w:before="8"/>
              <w:rPr>
                <w:sz w:val="23"/>
              </w:rPr>
            </w:pPr>
          </w:p>
          <w:p>
            <w:pPr>
              <w:pStyle w:val="TableParagraph"/>
              <w:spacing w:before="1"/>
              <w:ind w:left="31"/>
              <w:jc w:val="center"/>
              <w:rPr>
                <w:rFonts w:ascii="Arial"/>
                <w:sz w:val="16"/>
              </w:rPr>
            </w:pPr>
            <w:r>
              <w:rPr>
                <w:rFonts w:ascii="Arial"/>
                <w:w w:val="101"/>
                <w:sz w:val="16"/>
              </w:rPr>
              <w:t>5</w:t>
            </w:r>
          </w:p>
        </w:tc>
        <w:tc>
          <w:tcPr>
            <w:tcW w:w="660" w:type="dxa"/>
            <w:vMerge w:val="restart"/>
          </w:tcPr>
          <w:p>
            <w:pPr>
              <w:pStyle w:val="TableParagraph"/>
              <w:rPr>
                <w:sz w:val="18"/>
              </w:rPr>
            </w:pPr>
          </w:p>
          <w:p>
            <w:pPr>
              <w:pStyle w:val="TableParagraph"/>
              <w:spacing w:before="8"/>
              <w:rPr>
                <w:sz w:val="23"/>
              </w:rPr>
            </w:pPr>
          </w:p>
          <w:p>
            <w:pPr>
              <w:pStyle w:val="TableParagraph"/>
              <w:spacing w:before="1"/>
              <w:ind w:left="32"/>
              <w:jc w:val="center"/>
              <w:rPr>
                <w:rFonts w:ascii="Arial"/>
                <w:sz w:val="16"/>
              </w:rPr>
            </w:pPr>
            <w:r>
              <w:rPr>
                <w:rFonts w:ascii="Arial"/>
                <w:w w:val="101"/>
                <w:sz w:val="16"/>
              </w:rPr>
              <w:t>5</w:t>
            </w:r>
          </w:p>
        </w:tc>
        <w:tc>
          <w:tcPr>
            <w:tcW w:w="713" w:type="dxa"/>
            <w:vMerge/>
            <w:tcBorders>
              <w:top w:val="nil"/>
            </w:tcBorders>
            <w:shd w:val="clear" w:color="auto" w:fill="FF0000"/>
          </w:tcPr>
          <w:p>
            <w:pPr>
              <w:rPr>
                <w:sz w:val="2"/>
                <w:szCs w:val="2"/>
              </w:rPr>
            </w:pPr>
          </w:p>
        </w:tc>
        <w:tc>
          <w:tcPr>
            <w:tcW w:w="3679" w:type="dxa"/>
            <w:vMerge w:val="restart"/>
          </w:tcPr>
          <w:p>
            <w:pPr>
              <w:pStyle w:val="TableParagraph"/>
              <w:spacing w:line="264" w:lineRule="auto" w:before="3"/>
              <w:ind w:left="33" w:right="387"/>
              <w:rPr>
                <w:rFonts w:ascii="Arial"/>
                <w:sz w:val="16"/>
              </w:rPr>
            </w:pPr>
            <w:r>
              <w:rPr>
                <w:rFonts w:ascii="Arial"/>
                <w:sz w:val="16"/>
              </w:rPr>
              <w:t>Energy Price Risk Management </w:t>
            </w:r>
            <w:r>
              <w:rPr>
                <w:rFonts w:ascii="Arial"/>
                <w:sz w:val="16"/>
              </w:rPr>
              <w:t>Group Forward purchase of energy</w:t>
            </w:r>
          </w:p>
          <w:p>
            <w:pPr>
              <w:pStyle w:val="TableParagraph"/>
              <w:spacing w:line="182" w:lineRule="exact"/>
              <w:ind w:left="33"/>
              <w:rPr>
                <w:rFonts w:ascii="Arial"/>
                <w:sz w:val="16"/>
              </w:rPr>
            </w:pPr>
            <w:r>
              <w:rPr>
                <w:rFonts w:ascii="Arial"/>
                <w:sz w:val="16"/>
              </w:rPr>
              <w:t>Briefings</w:t>
            </w:r>
            <w:r>
              <w:rPr>
                <w:rFonts w:ascii="Arial"/>
                <w:spacing w:val="9"/>
                <w:sz w:val="16"/>
              </w:rPr>
              <w:t> </w:t>
            </w:r>
            <w:r>
              <w:rPr>
                <w:rFonts w:ascii="Arial"/>
                <w:sz w:val="16"/>
              </w:rPr>
              <w:t>to</w:t>
            </w:r>
            <w:r>
              <w:rPr>
                <w:rFonts w:ascii="Arial"/>
                <w:spacing w:val="7"/>
                <w:sz w:val="16"/>
              </w:rPr>
              <w:t> </w:t>
            </w:r>
            <w:r>
              <w:rPr>
                <w:rFonts w:ascii="Arial"/>
                <w:sz w:val="16"/>
              </w:rPr>
              <w:t>Welsh</w:t>
            </w:r>
            <w:r>
              <w:rPr>
                <w:rFonts w:ascii="Arial"/>
                <w:spacing w:val="7"/>
                <w:sz w:val="16"/>
              </w:rPr>
              <w:t> </w:t>
            </w:r>
            <w:r>
              <w:rPr>
                <w:rFonts w:ascii="Arial"/>
                <w:spacing w:val="-2"/>
                <w:sz w:val="16"/>
              </w:rPr>
              <w:t>Government</w:t>
            </w:r>
          </w:p>
        </w:tc>
        <w:tc>
          <w:tcPr>
            <w:tcW w:w="583" w:type="dxa"/>
            <w:vMerge w:val="restart"/>
          </w:tcPr>
          <w:p>
            <w:pPr>
              <w:pStyle w:val="TableParagraph"/>
              <w:rPr>
                <w:sz w:val="18"/>
              </w:rPr>
            </w:pPr>
          </w:p>
          <w:p>
            <w:pPr>
              <w:pStyle w:val="TableParagraph"/>
              <w:spacing w:before="8"/>
              <w:rPr>
                <w:sz w:val="23"/>
              </w:rPr>
            </w:pPr>
          </w:p>
          <w:p>
            <w:pPr>
              <w:pStyle w:val="TableParagraph"/>
              <w:spacing w:before="1"/>
              <w:ind w:left="32"/>
              <w:jc w:val="center"/>
              <w:rPr>
                <w:rFonts w:ascii="Arial"/>
                <w:sz w:val="16"/>
              </w:rPr>
            </w:pPr>
            <w:r>
              <w:rPr>
                <w:rFonts w:ascii="Arial"/>
                <w:w w:val="101"/>
                <w:sz w:val="16"/>
              </w:rPr>
              <w:t>4</w:t>
            </w:r>
          </w:p>
        </w:tc>
        <w:tc>
          <w:tcPr>
            <w:tcW w:w="621" w:type="dxa"/>
            <w:vMerge w:val="restart"/>
          </w:tcPr>
          <w:p>
            <w:pPr>
              <w:pStyle w:val="TableParagraph"/>
              <w:rPr>
                <w:sz w:val="18"/>
              </w:rPr>
            </w:pPr>
          </w:p>
          <w:p>
            <w:pPr>
              <w:pStyle w:val="TableParagraph"/>
              <w:spacing w:before="8"/>
              <w:rPr>
                <w:sz w:val="23"/>
              </w:rPr>
            </w:pPr>
          </w:p>
          <w:p>
            <w:pPr>
              <w:pStyle w:val="TableParagraph"/>
              <w:spacing w:before="1"/>
              <w:ind w:left="32"/>
              <w:jc w:val="center"/>
              <w:rPr>
                <w:rFonts w:ascii="Arial"/>
                <w:sz w:val="16"/>
              </w:rPr>
            </w:pPr>
            <w:r>
              <w:rPr>
                <w:rFonts w:ascii="Arial"/>
                <w:w w:val="101"/>
                <w:sz w:val="16"/>
              </w:rPr>
              <w:t>5</w:t>
            </w:r>
          </w:p>
        </w:tc>
        <w:tc>
          <w:tcPr>
            <w:tcW w:w="698" w:type="dxa"/>
            <w:vMerge w:val="restart"/>
            <w:shd w:val="clear" w:color="auto" w:fill="FF0000"/>
          </w:tcPr>
          <w:p>
            <w:pPr>
              <w:pStyle w:val="TableParagraph"/>
              <w:rPr>
                <w:sz w:val="18"/>
              </w:rPr>
            </w:pPr>
          </w:p>
          <w:p>
            <w:pPr>
              <w:pStyle w:val="TableParagraph"/>
              <w:spacing w:before="8"/>
              <w:rPr>
                <w:sz w:val="23"/>
              </w:rPr>
            </w:pPr>
          </w:p>
          <w:p>
            <w:pPr>
              <w:pStyle w:val="TableParagraph"/>
              <w:spacing w:before="1"/>
              <w:ind w:left="248" w:right="214"/>
              <w:jc w:val="center"/>
              <w:rPr>
                <w:rFonts w:ascii="Arial"/>
                <w:sz w:val="16"/>
              </w:rPr>
            </w:pPr>
            <w:r>
              <w:rPr>
                <w:rFonts w:ascii="Arial"/>
                <w:spacing w:val="-5"/>
                <w:sz w:val="16"/>
              </w:rPr>
              <w:t>20</w:t>
            </w:r>
          </w:p>
        </w:tc>
        <w:tc>
          <w:tcPr>
            <w:tcW w:w="3499" w:type="dxa"/>
            <w:vMerge w:val="restart"/>
          </w:tcPr>
          <w:p>
            <w:pPr>
              <w:pStyle w:val="TableParagraph"/>
              <w:spacing w:line="264" w:lineRule="auto" w:before="3"/>
              <w:ind w:left="35"/>
              <w:rPr>
                <w:rFonts w:ascii="Arial"/>
                <w:sz w:val="16"/>
              </w:rPr>
            </w:pPr>
            <w:r>
              <w:rPr>
                <w:rFonts w:ascii="Arial"/>
                <w:sz w:val="16"/>
              </w:rPr>
              <w:t>EPMRG considering an alternative </w:t>
            </w:r>
            <w:r>
              <w:rPr>
                <w:rFonts w:ascii="Arial"/>
                <w:sz w:val="16"/>
              </w:rPr>
              <w:t>energy partner and supplier.</w:t>
            </w:r>
          </w:p>
        </w:tc>
        <w:tc>
          <w:tcPr>
            <w:tcW w:w="4226" w:type="dxa"/>
          </w:tcPr>
          <w:p>
            <w:pPr>
              <w:pStyle w:val="TableParagraph"/>
              <w:spacing w:line="266" w:lineRule="auto" w:before="8"/>
              <w:ind w:left="32"/>
              <w:rPr>
                <w:rFonts w:ascii="Calibri"/>
                <w:sz w:val="16"/>
              </w:rPr>
            </w:pPr>
            <w:r>
              <w:rPr>
                <w:rFonts w:ascii="Calibri"/>
                <w:sz w:val="16"/>
              </w:rPr>
              <w:t>Risk has been increased due to the withdrawal of British Gas</w:t>
            </w:r>
            <w:r>
              <w:rPr>
                <w:rFonts w:ascii="Calibri"/>
                <w:spacing w:val="40"/>
                <w:sz w:val="16"/>
              </w:rPr>
              <w:t> </w:t>
            </w:r>
            <w:r>
              <w:rPr>
                <w:rFonts w:ascii="Calibri"/>
                <w:sz w:val="16"/>
              </w:rPr>
              <w:t>from the market.</w:t>
            </w:r>
          </w:p>
        </w:tc>
        <w:tc>
          <w:tcPr>
            <w:tcW w:w="888" w:type="dxa"/>
            <w:vMerge w:val="restart"/>
          </w:tcPr>
          <w:p>
            <w:pPr>
              <w:pStyle w:val="TableParagraph"/>
              <w:spacing w:before="10"/>
              <w:rPr>
                <w:sz w:val="35"/>
              </w:rPr>
            </w:pPr>
          </w:p>
          <w:p>
            <w:pPr>
              <w:pStyle w:val="TableParagraph"/>
              <w:ind w:left="304"/>
              <w:rPr>
                <w:rFonts w:ascii="Wingdings 2" w:hAnsi="Wingdings 2"/>
                <w:sz w:val="32"/>
              </w:rPr>
            </w:pPr>
            <w:r>
              <w:rPr>
                <w:rFonts w:ascii="Wingdings 2" w:hAnsi="Wingdings 2"/>
                <w:color w:val="FFBF00"/>
                <w:w w:val="101"/>
                <w:sz w:val="32"/>
              </w:rPr>
              <w:t></w:t>
            </w:r>
          </w:p>
        </w:tc>
        <w:tc>
          <w:tcPr>
            <w:tcW w:w="1246" w:type="dxa"/>
            <w:vMerge w:val="restart"/>
            <w:shd w:val="clear" w:color="auto" w:fill="FFBF00"/>
          </w:tcPr>
          <w:p>
            <w:pPr>
              <w:pStyle w:val="TableParagraph"/>
              <w:rPr>
                <w:sz w:val="18"/>
              </w:rPr>
            </w:pPr>
          </w:p>
          <w:p>
            <w:pPr>
              <w:pStyle w:val="TableParagraph"/>
              <w:spacing w:before="3"/>
              <w:rPr>
                <w:sz w:val="24"/>
              </w:rPr>
            </w:pPr>
          </w:p>
          <w:p>
            <w:pPr>
              <w:pStyle w:val="TableParagraph"/>
              <w:spacing w:before="1"/>
              <w:ind w:left="218"/>
              <w:rPr>
                <w:rFonts w:ascii="Arial"/>
                <w:b/>
                <w:sz w:val="16"/>
              </w:rPr>
            </w:pPr>
            <w:r>
              <w:rPr>
                <w:rFonts w:ascii="Arial"/>
                <w:b/>
                <w:spacing w:val="-2"/>
                <w:sz w:val="16"/>
              </w:rPr>
              <w:t>31/03/2023</w:t>
            </w:r>
          </w:p>
        </w:tc>
      </w:tr>
      <w:tr>
        <w:trPr>
          <w:trHeight w:val="390" w:hRule="atLeast"/>
        </w:trPr>
        <w:tc>
          <w:tcPr>
            <w:tcW w:w="667" w:type="dxa"/>
            <w:vMerge/>
            <w:tcBorders>
              <w:top w:val="nil"/>
            </w:tcBorders>
          </w:tcPr>
          <w:p>
            <w:pPr>
              <w:rPr>
                <w:sz w:val="2"/>
                <w:szCs w:val="2"/>
              </w:rPr>
            </w:pPr>
          </w:p>
        </w:tc>
        <w:tc>
          <w:tcPr>
            <w:tcW w:w="3583" w:type="dxa"/>
          </w:tcPr>
          <w:p>
            <w:pPr>
              <w:pStyle w:val="TableParagraph"/>
              <w:spacing w:before="10"/>
              <w:ind w:left="33"/>
              <w:rPr>
                <w:rFonts w:ascii="Arial"/>
                <w:b/>
                <w:sz w:val="16"/>
              </w:rPr>
            </w:pPr>
            <w:r>
              <w:rPr>
                <w:rFonts w:ascii="Arial"/>
                <w:b/>
                <w:sz w:val="16"/>
              </w:rPr>
              <w:t>Strategic</w:t>
            </w:r>
            <w:r>
              <w:rPr>
                <w:rFonts w:ascii="Arial"/>
                <w:b/>
                <w:spacing w:val="6"/>
                <w:sz w:val="16"/>
              </w:rPr>
              <w:t> </w:t>
            </w:r>
            <w:r>
              <w:rPr>
                <w:rFonts w:ascii="Arial"/>
                <w:b/>
                <w:sz w:val="16"/>
              </w:rPr>
              <w:t>Objective</w:t>
            </w:r>
            <w:r>
              <w:rPr>
                <w:rFonts w:ascii="Arial"/>
                <w:b/>
                <w:spacing w:val="4"/>
                <w:sz w:val="16"/>
              </w:rPr>
              <w:t> </w:t>
            </w:r>
            <w:r>
              <w:rPr>
                <w:rFonts w:ascii="Arial"/>
                <w:b/>
                <w:sz w:val="16"/>
              </w:rPr>
              <w:t>-</w:t>
            </w:r>
            <w:r>
              <w:rPr>
                <w:rFonts w:ascii="Arial"/>
                <w:b/>
                <w:spacing w:val="7"/>
                <w:sz w:val="16"/>
              </w:rPr>
              <w:t> </w:t>
            </w:r>
            <w:r>
              <w:rPr>
                <w:rFonts w:ascii="Arial"/>
                <w:b/>
                <w:sz w:val="16"/>
              </w:rPr>
              <w:t>Value</w:t>
            </w:r>
            <w:r>
              <w:rPr>
                <w:rFonts w:ascii="Arial"/>
                <w:b/>
                <w:spacing w:val="4"/>
                <w:sz w:val="16"/>
              </w:rPr>
              <w:t> </w:t>
            </w:r>
            <w:r>
              <w:rPr>
                <w:rFonts w:ascii="Arial"/>
                <w:b/>
                <w:sz w:val="16"/>
              </w:rPr>
              <w:t>For</w:t>
            </w:r>
            <w:r>
              <w:rPr>
                <w:rFonts w:ascii="Arial"/>
                <w:b/>
                <w:spacing w:val="3"/>
                <w:sz w:val="16"/>
              </w:rPr>
              <w:t> </w:t>
            </w:r>
            <w:r>
              <w:rPr>
                <w:rFonts w:ascii="Arial"/>
                <w:b/>
                <w:spacing w:val="-2"/>
                <w:sz w:val="16"/>
              </w:rPr>
              <w:t>Money</w:t>
            </w: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tcBorders>
            <w:shd w:val="clear" w:color="auto" w:fill="FF00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FF0000"/>
          </w:tcPr>
          <w:p>
            <w:pPr>
              <w:rPr>
                <w:sz w:val="2"/>
                <w:szCs w:val="2"/>
              </w:rPr>
            </w:pPr>
          </w:p>
        </w:tc>
        <w:tc>
          <w:tcPr>
            <w:tcW w:w="3499" w:type="dxa"/>
            <w:vMerge/>
            <w:tcBorders>
              <w:top w:val="nil"/>
            </w:tcBorders>
          </w:tcPr>
          <w:p>
            <w:pPr>
              <w:rPr>
                <w:sz w:val="2"/>
                <w:szCs w:val="2"/>
              </w:rPr>
            </w:pPr>
          </w:p>
        </w:tc>
        <w:tc>
          <w:tcPr>
            <w:tcW w:w="4226" w:type="dxa"/>
          </w:tcPr>
          <w:p>
            <w:pPr>
              <w:pStyle w:val="TableParagraph"/>
              <w:spacing w:before="101"/>
              <w:ind w:left="32"/>
              <w:rPr>
                <w:rFonts w:ascii="Calibri"/>
                <w:sz w:val="16"/>
              </w:rPr>
            </w:pPr>
            <w:r>
              <w:rPr>
                <w:rFonts w:ascii="Calibri"/>
                <w:b/>
                <w:sz w:val="16"/>
              </w:rPr>
              <w:t>Risk</w:t>
            </w:r>
            <w:r>
              <w:rPr>
                <w:rFonts w:ascii="Calibri"/>
                <w:b/>
                <w:spacing w:val="2"/>
                <w:sz w:val="16"/>
              </w:rPr>
              <w:t> </w:t>
            </w:r>
            <w:r>
              <w:rPr>
                <w:rFonts w:ascii="Calibri"/>
                <w:b/>
                <w:sz w:val="16"/>
              </w:rPr>
              <w:t>Lead:</w:t>
            </w:r>
            <w:r>
              <w:rPr>
                <w:rFonts w:ascii="Calibri"/>
                <w:b/>
                <w:spacing w:val="2"/>
                <w:sz w:val="16"/>
              </w:rPr>
              <w:t> </w:t>
            </w:r>
            <w:r>
              <w:rPr>
                <w:rFonts w:ascii="Calibri"/>
                <w:b/>
                <w:sz w:val="16"/>
              </w:rPr>
              <w:t>Director</w:t>
            </w:r>
            <w:r>
              <w:rPr>
                <w:rFonts w:ascii="Calibri"/>
                <w:b/>
                <w:spacing w:val="2"/>
                <w:sz w:val="16"/>
              </w:rPr>
              <w:t> </w:t>
            </w:r>
            <w:r>
              <w:rPr>
                <w:rFonts w:ascii="Calibri"/>
                <w:b/>
                <w:sz w:val="16"/>
              </w:rPr>
              <w:t>of</w:t>
            </w:r>
            <w:r>
              <w:rPr>
                <w:rFonts w:ascii="Calibri"/>
                <w:b/>
                <w:spacing w:val="4"/>
                <w:sz w:val="16"/>
              </w:rPr>
              <w:t> </w:t>
            </w:r>
            <w:r>
              <w:rPr>
                <w:rFonts w:ascii="Calibri"/>
                <w:b/>
                <w:sz w:val="16"/>
              </w:rPr>
              <w:t>Finance</w:t>
            </w:r>
            <w:r>
              <w:rPr>
                <w:rFonts w:ascii="Calibri"/>
                <w:b/>
                <w:spacing w:val="2"/>
                <w:sz w:val="16"/>
              </w:rPr>
              <w:t> </w:t>
            </w:r>
            <w:r>
              <w:rPr>
                <w:rFonts w:ascii="Calibri"/>
                <w:b/>
                <w:sz w:val="16"/>
              </w:rPr>
              <w:t>&amp;</w:t>
            </w:r>
            <w:r>
              <w:rPr>
                <w:rFonts w:ascii="Calibri"/>
                <w:b/>
                <w:spacing w:val="3"/>
                <w:sz w:val="16"/>
              </w:rPr>
              <w:t> </w:t>
            </w:r>
            <w:r>
              <w:rPr>
                <w:rFonts w:ascii="Calibri"/>
                <w:b/>
                <w:sz w:val="16"/>
              </w:rPr>
              <w:t>Corporate</w:t>
            </w:r>
            <w:r>
              <w:rPr>
                <w:rFonts w:ascii="Calibri"/>
                <w:b/>
                <w:spacing w:val="2"/>
                <w:sz w:val="16"/>
              </w:rPr>
              <w:t> </w:t>
            </w:r>
            <w:r>
              <w:rPr>
                <w:rFonts w:ascii="Calibri"/>
                <w:b/>
                <w:spacing w:val="-2"/>
                <w:sz w:val="16"/>
              </w:rPr>
              <w:t>Service</w:t>
            </w:r>
            <w:r>
              <w:rPr>
                <w:rFonts w:ascii="Calibri"/>
                <w:spacing w:val="-2"/>
                <w:sz w:val="16"/>
              </w:rPr>
              <w:t>s</w:t>
            </w:r>
          </w:p>
        </w:tc>
        <w:tc>
          <w:tcPr>
            <w:tcW w:w="888" w:type="dxa"/>
            <w:vMerge/>
            <w:tcBorders>
              <w:top w:val="nil"/>
            </w:tcBorders>
          </w:tcPr>
          <w:p>
            <w:pPr>
              <w:rPr>
                <w:sz w:val="2"/>
                <w:szCs w:val="2"/>
              </w:rPr>
            </w:pPr>
          </w:p>
        </w:tc>
        <w:tc>
          <w:tcPr>
            <w:tcW w:w="1246" w:type="dxa"/>
            <w:vMerge/>
            <w:tcBorders>
              <w:top w:val="nil"/>
            </w:tcBorders>
            <w:shd w:val="clear" w:color="auto" w:fill="FFBF00"/>
          </w:tcPr>
          <w:p>
            <w:pPr>
              <w:rPr>
                <w:sz w:val="2"/>
                <w:szCs w:val="2"/>
              </w:rPr>
            </w:pPr>
          </w:p>
        </w:tc>
      </w:tr>
      <w:tr>
        <w:trPr>
          <w:trHeight w:val="1021" w:hRule="atLeast"/>
        </w:trPr>
        <w:tc>
          <w:tcPr>
            <w:tcW w:w="667" w:type="dxa"/>
            <w:vMerge w:val="restart"/>
          </w:tcPr>
          <w:p>
            <w:pPr>
              <w:pStyle w:val="TableParagraph"/>
              <w:rPr>
                <w:sz w:val="18"/>
              </w:rPr>
            </w:pPr>
          </w:p>
          <w:p>
            <w:pPr>
              <w:pStyle w:val="TableParagraph"/>
              <w:spacing w:before="6"/>
              <w:rPr>
                <w:sz w:val="24"/>
              </w:rPr>
            </w:pPr>
          </w:p>
          <w:p>
            <w:pPr>
              <w:pStyle w:val="TableParagraph"/>
              <w:ind w:left="239"/>
              <w:rPr>
                <w:rFonts w:ascii="Arial"/>
                <w:b/>
                <w:sz w:val="16"/>
              </w:rPr>
            </w:pPr>
            <w:r>
              <w:rPr>
                <w:rFonts w:ascii="Arial"/>
                <w:b/>
                <w:spacing w:val="-5"/>
                <w:sz w:val="16"/>
              </w:rPr>
              <w:t>A8</w:t>
            </w:r>
          </w:p>
        </w:tc>
        <w:tc>
          <w:tcPr>
            <w:tcW w:w="3583" w:type="dxa"/>
          </w:tcPr>
          <w:p>
            <w:pPr>
              <w:pStyle w:val="TableParagraph"/>
              <w:spacing w:line="264" w:lineRule="auto" w:before="3"/>
              <w:ind w:left="33" w:right="170"/>
              <w:rPr>
                <w:rFonts w:ascii="Arial"/>
                <w:sz w:val="16"/>
              </w:rPr>
            </w:pPr>
            <w:r>
              <w:rPr>
                <w:rFonts w:ascii="Arial"/>
                <w:sz w:val="16"/>
              </w:rPr>
              <w:t>The threat of industrial action (both within the NHS and across other sectors) is likely to </w:t>
            </w:r>
            <w:r>
              <w:rPr>
                <w:rFonts w:ascii="Arial"/>
                <w:sz w:val="16"/>
              </w:rPr>
              <w:t>lead to staff shortages in both NWSSP and across NHS Wales impacting delivery of services</w:t>
            </w:r>
          </w:p>
          <w:p>
            <w:pPr>
              <w:pStyle w:val="TableParagraph"/>
              <w:spacing w:line="181" w:lineRule="exact"/>
              <w:ind w:left="33"/>
              <w:rPr>
                <w:rFonts w:ascii="Arial"/>
                <w:sz w:val="16"/>
              </w:rPr>
            </w:pPr>
            <w:r>
              <w:rPr>
                <w:rFonts w:ascii="Arial"/>
                <w:color w:val="FF0000"/>
                <w:sz w:val="16"/>
              </w:rPr>
              <w:t>(added</w:t>
            </w:r>
            <w:r>
              <w:rPr>
                <w:rFonts w:ascii="Arial"/>
                <w:color w:val="FF0000"/>
                <w:spacing w:val="5"/>
                <w:sz w:val="16"/>
              </w:rPr>
              <w:t> </w:t>
            </w:r>
            <w:r>
              <w:rPr>
                <w:rFonts w:ascii="Arial"/>
                <w:color w:val="FF0000"/>
                <w:sz w:val="16"/>
              </w:rPr>
              <w:t>August</w:t>
            </w:r>
            <w:r>
              <w:rPr>
                <w:rFonts w:ascii="Arial"/>
                <w:color w:val="FF0000"/>
                <w:spacing w:val="7"/>
                <w:sz w:val="16"/>
              </w:rPr>
              <w:t> </w:t>
            </w:r>
            <w:r>
              <w:rPr>
                <w:rFonts w:ascii="Arial"/>
                <w:color w:val="FF0000"/>
                <w:spacing w:val="-5"/>
                <w:sz w:val="16"/>
              </w:rPr>
              <w:t>22</w:t>
            </w:r>
            <w:r>
              <w:rPr>
                <w:rFonts w:ascii="Arial"/>
                <w:spacing w:val="-5"/>
                <w:sz w:val="16"/>
              </w:rPr>
              <w:t>)</w:t>
            </w:r>
          </w:p>
        </w:tc>
        <w:tc>
          <w:tcPr>
            <w:tcW w:w="583" w:type="dxa"/>
            <w:vMerge w:val="restart"/>
          </w:tcPr>
          <w:p>
            <w:pPr>
              <w:pStyle w:val="TableParagraph"/>
              <w:rPr>
                <w:sz w:val="18"/>
              </w:rPr>
            </w:pPr>
          </w:p>
          <w:p>
            <w:pPr>
              <w:pStyle w:val="TableParagraph"/>
              <w:spacing w:before="6"/>
              <w:rPr>
                <w:sz w:val="24"/>
              </w:rPr>
            </w:pPr>
          </w:p>
          <w:p>
            <w:pPr>
              <w:pStyle w:val="TableParagraph"/>
              <w:ind w:left="31"/>
              <w:jc w:val="center"/>
              <w:rPr>
                <w:rFonts w:ascii="Arial"/>
                <w:sz w:val="16"/>
              </w:rPr>
            </w:pPr>
            <w:r>
              <w:rPr>
                <w:rFonts w:ascii="Arial"/>
                <w:w w:val="101"/>
                <w:sz w:val="16"/>
              </w:rPr>
              <w:t>4</w:t>
            </w:r>
          </w:p>
        </w:tc>
        <w:tc>
          <w:tcPr>
            <w:tcW w:w="660" w:type="dxa"/>
            <w:vMerge w:val="restart"/>
          </w:tcPr>
          <w:p>
            <w:pPr>
              <w:pStyle w:val="TableParagraph"/>
              <w:rPr>
                <w:sz w:val="18"/>
              </w:rPr>
            </w:pPr>
          </w:p>
          <w:p>
            <w:pPr>
              <w:pStyle w:val="TableParagraph"/>
              <w:spacing w:before="6"/>
              <w:rPr>
                <w:sz w:val="24"/>
              </w:rPr>
            </w:pPr>
          </w:p>
          <w:p>
            <w:pPr>
              <w:pStyle w:val="TableParagraph"/>
              <w:ind w:left="32"/>
              <w:jc w:val="center"/>
              <w:rPr>
                <w:rFonts w:ascii="Arial"/>
                <w:sz w:val="16"/>
              </w:rPr>
            </w:pPr>
            <w:r>
              <w:rPr>
                <w:rFonts w:ascii="Arial"/>
                <w:w w:val="101"/>
                <w:sz w:val="16"/>
              </w:rPr>
              <w:t>4</w:t>
            </w:r>
          </w:p>
        </w:tc>
        <w:tc>
          <w:tcPr>
            <w:tcW w:w="713" w:type="dxa"/>
            <w:vMerge/>
            <w:tcBorders>
              <w:top w:val="nil"/>
            </w:tcBorders>
            <w:shd w:val="clear" w:color="auto" w:fill="FF0000"/>
          </w:tcPr>
          <w:p>
            <w:pPr>
              <w:rPr>
                <w:sz w:val="2"/>
                <w:szCs w:val="2"/>
              </w:rPr>
            </w:pPr>
          </w:p>
        </w:tc>
        <w:tc>
          <w:tcPr>
            <w:tcW w:w="3679" w:type="dxa"/>
            <w:vMerge w:val="restart"/>
          </w:tcPr>
          <w:p>
            <w:pPr>
              <w:pStyle w:val="TableParagraph"/>
              <w:spacing w:line="264" w:lineRule="auto" w:before="3"/>
              <w:ind w:left="33"/>
              <w:rPr>
                <w:rFonts w:ascii="Arial"/>
                <w:sz w:val="16"/>
              </w:rPr>
            </w:pPr>
            <w:r>
              <w:rPr>
                <w:rFonts w:ascii="Arial"/>
                <w:sz w:val="16"/>
              </w:rPr>
              <w:t>Good working relationship with Trade Union colleagues - presence on and updates to </w:t>
            </w:r>
            <w:r>
              <w:rPr>
                <w:rFonts w:ascii="Arial"/>
                <w:sz w:val="16"/>
              </w:rPr>
              <w:t>SLG. Business Continuity Plans and Arrangements.</w:t>
            </w:r>
          </w:p>
        </w:tc>
        <w:tc>
          <w:tcPr>
            <w:tcW w:w="583" w:type="dxa"/>
            <w:vMerge w:val="restart"/>
          </w:tcPr>
          <w:p>
            <w:pPr>
              <w:pStyle w:val="TableParagraph"/>
              <w:rPr>
                <w:sz w:val="18"/>
              </w:rPr>
            </w:pPr>
          </w:p>
          <w:p>
            <w:pPr>
              <w:pStyle w:val="TableParagraph"/>
              <w:spacing w:before="6"/>
              <w:rPr>
                <w:sz w:val="24"/>
              </w:rPr>
            </w:pPr>
          </w:p>
          <w:p>
            <w:pPr>
              <w:pStyle w:val="TableParagraph"/>
              <w:ind w:left="32"/>
              <w:jc w:val="center"/>
              <w:rPr>
                <w:rFonts w:ascii="Arial"/>
                <w:sz w:val="16"/>
              </w:rPr>
            </w:pPr>
            <w:r>
              <w:rPr>
                <w:rFonts w:ascii="Arial"/>
                <w:w w:val="101"/>
                <w:sz w:val="16"/>
              </w:rPr>
              <w:t>5</w:t>
            </w:r>
          </w:p>
        </w:tc>
        <w:tc>
          <w:tcPr>
            <w:tcW w:w="621" w:type="dxa"/>
            <w:vMerge w:val="restart"/>
          </w:tcPr>
          <w:p>
            <w:pPr>
              <w:pStyle w:val="TableParagraph"/>
              <w:rPr>
                <w:sz w:val="18"/>
              </w:rPr>
            </w:pPr>
          </w:p>
          <w:p>
            <w:pPr>
              <w:pStyle w:val="TableParagraph"/>
              <w:spacing w:before="6"/>
              <w:rPr>
                <w:sz w:val="24"/>
              </w:rPr>
            </w:pPr>
          </w:p>
          <w:p>
            <w:pPr>
              <w:pStyle w:val="TableParagraph"/>
              <w:ind w:left="32"/>
              <w:jc w:val="center"/>
              <w:rPr>
                <w:rFonts w:ascii="Arial"/>
                <w:sz w:val="16"/>
              </w:rPr>
            </w:pPr>
            <w:r>
              <w:rPr>
                <w:rFonts w:ascii="Arial"/>
                <w:w w:val="101"/>
                <w:sz w:val="16"/>
              </w:rPr>
              <w:t>4</w:t>
            </w:r>
          </w:p>
        </w:tc>
        <w:tc>
          <w:tcPr>
            <w:tcW w:w="698" w:type="dxa"/>
            <w:vMerge w:val="restart"/>
            <w:shd w:val="clear" w:color="auto" w:fill="FF0000"/>
          </w:tcPr>
          <w:p>
            <w:pPr>
              <w:pStyle w:val="TableParagraph"/>
              <w:rPr>
                <w:sz w:val="18"/>
              </w:rPr>
            </w:pPr>
          </w:p>
          <w:p>
            <w:pPr>
              <w:pStyle w:val="TableParagraph"/>
              <w:spacing w:before="6"/>
              <w:rPr>
                <w:sz w:val="24"/>
              </w:rPr>
            </w:pPr>
          </w:p>
          <w:p>
            <w:pPr>
              <w:pStyle w:val="TableParagraph"/>
              <w:ind w:left="248" w:right="214"/>
              <w:jc w:val="center"/>
              <w:rPr>
                <w:rFonts w:ascii="Arial"/>
                <w:sz w:val="16"/>
              </w:rPr>
            </w:pPr>
            <w:r>
              <w:rPr>
                <w:rFonts w:ascii="Arial"/>
                <w:spacing w:val="-5"/>
                <w:sz w:val="16"/>
              </w:rPr>
              <w:t>20</w:t>
            </w:r>
          </w:p>
        </w:tc>
        <w:tc>
          <w:tcPr>
            <w:tcW w:w="3499" w:type="dxa"/>
            <w:vMerge w:val="restart"/>
          </w:tcPr>
          <w:p>
            <w:pPr>
              <w:pStyle w:val="TableParagraph"/>
              <w:spacing w:line="264" w:lineRule="auto" w:before="3"/>
              <w:ind w:left="35" w:right="373"/>
              <w:rPr>
                <w:rFonts w:ascii="Arial"/>
                <w:sz w:val="16"/>
              </w:rPr>
            </w:pPr>
            <w:r>
              <w:rPr>
                <w:rFonts w:ascii="Arial"/>
                <w:sz w:val="16"/>
              </w:rPr>
              <w:t>L&amp;R providing Industrial Action training. BCP Action Cards being updated.</w:t>
            </w:r>
          </w:p>
        </w:tc>
        <w:tc>
          <w:tcPr>
            <w:tcW w:w="4226" w:type="dxa"/>
          </w:tcPr>
          <w:p>
            <w:pPr>
              <w:pStyle w:val="TableParagraph"/>
              <w:spacing w:line="264" w:lineRule="auto" w:before="3"/>
              <w:ind w:left="35"/>
              <w:rPr>
                <w:rFonts w:ascii="Arial"/>
                <w:sz w:val="16"/>
              </w:rPr>
            </w:pPr>
            <w:r>
              <w:rPr>
                <w:rFonts w:ascii="Arial"/>
                <w:sz w:val="16"/>
              </w:rPr>
              <w:t>Difficult to assess impact and possible contingencies until details of industrial action known.</w:t>
            </w:r>
          </w:p>
        </w:tc>
        <w:tc>
          <w:tcPr>
            <w:tcW w:w="888" w:type="dxa"/>
            <w:vMerge w:val="restart"/>
          </w:tcPr>
          <w:p>
            <w:pPr>
              <w:pStyle w:val="TableParagraph"/>
              <w:spacing w:before="4"/>
              <w:rPr>
                <w:sz w:val="35"/>
              </w:rPr>
            </w:pPr>
          </w:p>
          <w:p>
            <w:pPr>
              <w:pStyle w:val="TableParagraph"/>
              <w:ind w:left="304"/>
              <w:rPr>
                <w:rFonts w:ascii="Wingdings 3" w:hAnsi="Wingdings 3"/>
                <w:sz w:val="32"/>
              </w:rPr>
            </w:pPr>
            <w:r>
              <w:rPr>
                <w:rFonts w:ascii="Wingdings 3" w:hAnsi="Wingdings 3"/>
                <w:color w:val="FFBF00"/>
                <w:w w:val="101"/>
                <w:sz w:val="32"/>
              </w:rPr>
              <w:t></w:t>
            </w:r>
          </w:p>
        </w:tc>
        <w:tc>
          <w:tcPr>
            <w:tcW w:w="1246" w:type="dxa"/>
            <w:vMerge w:val="restart"/>
            <w:shd w:val="clear" w:color="auto" w:fill="00AF50"/>
          </w:tcPr>
          <w:p>
            <w:pPr>
              <w:pStyle w:val="TableParagraph"/>
              <w:rPr>
                <w:sz w:val="18"/>
              </w:rPr>
            </w:pPr>
          </w:p>
          <w:p>
            <w:pPr>
              <w:pStyle w:val="TableParagraph"/>
              <w:spacing w:before="11"/>
              <w:rPr>
                <w:sz w:val="24"/>
              </w:rPr>
            </w:pPr>
          </w:p>
          <w:p>
            <w:pPr>
              <w:pStyle w:val="TableParagraph"/>
              <w:ind w:left="218"/>
              <w:rPr>
                <w:rFonts w:ascii="Arial"/>
                <w:b/>
                <w:sz w:val="16"/>
              </w:rPr>
            </w:pPr>
            <w:r>
              <w:rPr>
                <w:rFonts w:ascii="Arial"/>
                <w:b/>
                <w:spacing w:val="-2"/>
                <w:sz w:val="16"/>
              </w:rPr>
              <w:t>31/03/2023</w:t>
            </w:r>
          </w:p>
        </w:tc>
      </w:tr>
      <w:tr>
        <w:trPr>
          <w:trHeight w:val="201" w:hRule="atLeast"/>
        </w:trPr>
        <w:tc>
          <w:tcPr>
            <w:tcW w:w="667" w:type="dxa"/>
            <w:vMerge/>
            <w:tcBorders>
              <w:top w:val="nil"/>
            </w:tcBorders>
          </w:tcPr>
          <w:p>
            <w:pPr>
              <w:rPr>
                <w:sz w:val="2"/>
                <w:szCs w:val="2"/>
              </w:rPr>
            </w:pPr>
          </w:p>
        </w:tc>
        <w:tc>
          <w:tcPr>
            <w:tcW w:w="3583" w:type="dxa"/>
          </w:tcPr>
          <w:p>
            <w:pPr>
              <w:pStyle w:val="TableParagraph"/>
              <w:spacing w:line="171" w:lineRule="exact" w:before="10"/>
              <w:ind w:left="33"/>
              <w:rPr>
                <w:rFonts w:ascii="Arial"/>
                <w:b/>
                <w:sz w:val="16"/>
              </w:rPr>
            </w:pPr>
            <w:r>
              <w:rPr>
                <w:rFonts w:ascii="Arial"/>
                <w:b/>
                <w:sz w:val="16"/>
              </w:rPr>
              <w:t>Strategic</w:t>
            </w:r>
            <w:r>
              <w:rPr>
                <w:rFonts w:ascii="Arial"/>
                <w:b/>
                <w:spacing w:val="5"/>
                <w:sz w:val="16"/>
              </w:rPr>
              <w:t> </w:t>
            </w:r>
            <w:r>
              <w:rPr>
                <w:rFonts w:ascii="Arial"/>
                <w:b/>
                <w:sz w:val="16"/>
              </w:rPr>
              <w:t>Objective</w:t>
            </w:r>
            <w:r>
              <w:rPr>
                <w:rFonts w:ascii="Arial"/>
                <w:b/>
                <w:spacing w:val="4"/>
                <w:sz w:val="16"/>
              </w:rPr>
              <w:t> </w:t>
            </w:r>
            <w:r>
              <w:rPr>
                <w:rFonts w:ascii="Arial"/>
                <w:b/>
                <w:sz w:val="16"/>
              </w:rPr>
              <w:t>-</w:t>
            </w:r>
            <w:r>
              <w:rPr>
                <w:rFonts w:ascii="Arial"/>
                <w:b/>
                <w:spacing w:val="6"/>
                <w:sz w:val="16"/>
              </w:rPr>
              <w:t> </w:t>
            </w:r>
            <w:r>
              <w:rPr>
                <w:rFonts w:ascii="Arial"/>
                <w:b/>
                <w:spacing w:val="-4"/>
                <w:sz w:val="16"/>
              </w:rPr>
              <w:t>Staff</w:t>
            </w: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tcBorders>
            <w:shd w:val="clear" w:color="auto" w:fill="FF00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FF0000"/>
          </w:tcPr>
          <w:p>
            <w:pPr>
              <w:rPr>
                <w:sz w:val="2"/>
                <w:szCs w:val="2"/>
              </w:rPr>
            </w:pPr>
          </w:p>
        </w:tc>
        <w:tc>
          <w:tcPr>
            <w:tcW w:w="3499" w:type="dxa"/>
            <w:vMerge/>
            <w:tcBorders>
              <w:top w:val="nil"/>
            </w:tcBorders>
          </w:tcPr>
          <w:p>
            <w:pPr>
              <w:rPr>
                <w:sz w:val="2"/>
                <w:szCs w:val="2"/>
              </w:rPr>
            </w:pPr>
          </w:p>
        </w:tc>
        <w:tc>
          <w:tcPr>
            <w:tcW w:w="4226" w:type="dxa"/>
          </w:tcPr>
          <w:p>
            <w:pPr>
              <w:pStyle w:val="TableParagraph"/>
              <w:spacing w:line="173" w:lineRule="exact" w:before="8"/>
              <w:ind w:left="32"/>
              <w:rPr>
                <w:rFonts w:ascii="Calibri"/>
                <w:b/>
                <w:sz w:val="16"/>
              </w:rPr>
            </w:pPr>
            <w:r>
              <w:rPr>
                <w:rFonts w:ascii="Calibri"/>
                <w:b/>
                <w:sz w:val="16"/>
              </w:rPr>
              <w:t>Risk</w:t>
            </w:r>
            <w:r>
              <w:rPr>
                <w:rFonts w:ascii="Calibri"/>
                <w:b/>
                <w:spacing w:val="1"/>
                <w:sz w:val="16"/>
              </w:rPr>
              <w:t> </w:t>
            </w:r>
            <w:r>
              <w:rPr>
                <w:rFonts w:ascii="Calibri"/>
                <w:b/>
                <w:sz w:val="16"/>
              </w:rPr>
              <w:t>Lead:</w:t>
            </w:r>
            <w:r>
              <w:rPr>
                <w:rFonts w:ascii="Calibri"/>
                <w:b/>
                <w:spacing w:val="2"/>
                <w:sz w:val="16"/>
              </w:rPr>
              <w:t> </w:t>
            </w:r>
            <w:r>
              <w:rPr>
                <w:rFonts w:ascii="Calibri"/>
                <w:b/>
                <w:sz w:val="16"/>
              </w:rPr>
              <w:t>Director</w:t>
            </w:r>
            <w:r>
              <w:rPr>
                <w:rFonts w:ascii="Calibri"/>
                <w:b/>
                <w:spacing w:val="2"/>
                <w:sz w:val="16"/>
              </w:rPr>
              <w:t> </w:t>
            </w:r>
            <w:r>
              <w:rPr>
                <w:rFonts w:ascii="Calibri"/>
                <w:b/>
                <w:sz w:val="16"/>
              </w:rPr>
              <w:t>of</w:t>
            </w:r>
            <w:r>
              <w:rPr>
                <w:rFonts w:ascii="Calibri"/>
                <w:b/>
                <w:spacing w:val="4"/>
                <w:sz w:val="16"/>
              </w:rPr>
              <w:t> </w:t>
            </w:r>
            <w:r>
              <w:rPr>
                <w:rFonts w:ascii="Calibri"/>
                <w:b/>
                <w:sz w:val="16"/>
              </w:rPr>
              <w:t>People</w:t>
            </w:r>
            <w:r>
              <w:rPr>
                <w:rFonts w:ascii="Calibri"/>
                <w:b/>
                <w:spacing w:val="3"/>
                <w:sz w:val="16"/>
              </w:rPr>
              <w:t> </w:t>
            </w:r>
            <w:r>
              <w:rPr>
                <w:rFonts w:ascii="Calibri"/>
                <w:b/>
                <w:sz w:val="16"/>
              </w:rPr>
              <w:t>and</w:t>
            </w:r>
            <w:r>
              <w:rPr>
                <w:rFonts w:ascii="Calibri"/>
                <w:b/>
                <w:spacing w:val="1"/>
                <w:sz w:val="16"/>
              </w:rPr>
              <w:t> </w:t>
            </w:r>
            <w:r>
              <w:rPr>
                <w:rFonts w:ascii="Calibri"/>
                <w:b/>
                <w:spacing w:val="-5"/>
                <w:sz w:val="16"/>
              </w:rPr>
              <w:t>OD</w:t>
            </w:r>
          </w:p>
        </w:tc>
        <w:tc>
          <w:tcPr>
            <w:tcW w:w="888" w:type="dxa"/>
            <w:vMerge/>
            <w:tcBorders>
              <w:top w:val="nil"/>
            </w:tcBorders>
          </w:tcPr>
          <w:p>
            <w:pPr>
              <w:rPr>
                <w:sz w:val="2"/>
                <w:szCs w:val="2"/>
              </w:rPr>
            </w:pPr>
          </w:p>
        </w:tc>
        <w:tc>
          <w:tcPr>
            <w:tcW w:w="1246" w:type="dxa"/>
            <w:vMerge/>
            <w:tcBorders>
              <w:top w:val="nil"/>
            </w:tcBorders>
            <w:shd w:val="clear" w:color="auto" w:fill="00AF50"/>
          </w:tcPr>
          <w:p>
            <w:pPr>
              <w:rPr>
                <w:sz w:val="2"/>
                <w:szCs w:val="2"/>
              </w:rPr>
            </w:pPr>
          </w:p>
        </w:tc>
      </w:tr>
      <w:tr>
        <w:trPr>
          <w:trHeight w:val="1021" w:hRule="atLeast"/>
        </w:trPr>
        <w:tc>
          <w:tcPr>
            <w:tcW w:w="667" w:type="dxa"/>
            <w:vMerge w:val="restart"/>
          </w:tcPr>
          <w:p>
            <w:pPr>
              <w:pStyle w:val="TableParagraph"/>
              <w:rPr>
                <w:sz w:val="18"/>
              </w:rPr>
            </w:pPr>
          </w:p>
          <w:p>
            <w:pPr>
              <w:pStyle w:val="TableParagraph"/>
              <w:spacing w:before="6"/>
              <w:rPr>
                <w:sz w:val="24"/>
              </w:rPr>
            </w:pPr>
          </w:p>
          <w:p>
            <w:pPr>
              <w:pStyle w:val="TableParagraph"/>
              <w:ind w:left="239"/>
              <w:rPr>
                <w:rFonts w:ascii="Arial"/>
                <w:b/>
                <w:sz w:val="16"/>
              </w:rPr>
            </w:pPr>
            <w:r>
              <w:rPr>
                <w:rFonts w:ascii="Arial"/>
                <w:b/>
                <w:spacing w:val="-5"/>
                <w:sz w:val="16"/>
              </w:rPr>
              <w:t>A9</w:t>
            </w:r>
          </w:p>
        </w:tc>
        <w:tc>
          <w:tcPr>
            <w:tcW w:w="3583" w:type="dxa"/>
          </w:tcPr>
          <w:p>
            <w:pPr>
              <w:pStyle w:val="TableParagraph"/>
              <w:spacing w:line="264" w:lineRule="auto" w:before="3"/>
              <w:ind w:left="33" w:right="95"/>
              <w:rPr>
                <w:rFonts w:ascii="Arial"/>
                <w:sz w:val="16"/>
              </w:rPr>
            </w:pPr>
            <w:r>
              <w:rPr>
                <w:rFonts w:ascii="Arial"/>
                <w:sz w:val="16"/>
              </w:rPr>
              <w:t>The Student Awards software is at end of life and needs replacement without which delays to student bursary payments could be </w:t>
            </w:r>
            <w:r>
              <w:rPr>
                <w:rFonts w:ascii="Arial"/>
                <w:sz w:val="16"/>
              </w:rPr>
              <w:t>significantly affected. </w:t>
            </w:r>
            <w:r>
              <w:rPr>
                <w:rFonts w:ascii="Arial"/>
                <w:color w:val="FF0000"/>
                <w:sz w:val="16"/>
              </w:rPr>
              <w:t>(added May 2022)</w:t>
            </w:r>
          </w:p>
        </w:tc>
        <w:tc>
          <w:tcPr>
            <w:tcW w:w="583" w:type="dxa"/>
            <w:vMerge w:val="restart"/>
          </w:tcPr>
          <w:p>
            <w:pPr>
              <w:pStyle w:val="TableParagraph"/>
              <w:rPr>
                <w:sz w:val="18"/>
              </w:rPr>
            </w:pPr>
          </w:p>
          <w:p>
            <w:pPr>
              <w:pStyle w:val="TableParagraph"/>
              <w:spacing w:before="6"/>
              <w:rPr>
                <w:sz w:val="24"/>
              </w:rPr>
            </w:pPr>
          </w:p>
          <w:p>
            <w:pPr>
              <w:pStyle w:val="TableParagraph"/>
              <w:ind w:left="31"/>
              <w:jc w:val="center"/>
              <w:rPr>
                <w:rFonts w:ascii="Arial"/>
                <w:sz w:val="16"/>
              </w:rPr>
            </w:pPr>
            <w:r>
              <w:rPr>
                <w:rFonts w:ascii="Arial"/>
                <w:w w:val="101"/>
                <w:sz w:val="16"/>
              </w:rPr>
              <w:t>5</w:t>
            </w:r>
          </w:p>
        </w:tc>
        <w:tc>
          <w:tcPr>
            <w:tcW w:w="660" w:type="dxa"/>
            <w:vMerge w:val="restart"/>
          </w:tcPr>
          <w:p>
            <w:pPr>
              <w:pStyle w:val="TableParagraph"/>
              <w:rPr>
                <w:sz w:val="18"/>
              </w:rPr>
            </w:pPr>
          </w:p>
          <w:p>
            <w:pPr>
              <w:pStyle w:val="TableParagraph"/>
              <w:spacing w:before="6"/>
              <w:rPr>
                <w:sz w:val="24"/>
              </w:rPr>
            </w:pPr>
          </w:p>
          <w:p>
            <w:pPr>
              <w:pStyle w:val="TableParagraph"/>
              <w:ind w:left="32"/>
              <w:jc w:val="center"/>
              <w:rPr>
                <w:rFonts w:ascii="Arial"/>
                <w:sz w:val="16"/>
              </w:rPr>
            </w:pPr>
            <w:r>
              <w:rPr>
                <w:rFonts w:ascii="Arial"/>
                <w:w w:val="101"/>
                <w:sz w:val="16"/>
              </w:rPr>
              <w:t>5</w:t>
            </w:r>
          </w:p>
        </w:tc>
        <w:tc>
          <w:tcPr>
            <w:tcW w:w="713" w:type="dxa"/>
            <w:vMerge/>
            <w:tcBorders>
              <w:top w:val="nil"/>
            </w:tcBorders>
            <w:shd w:val="clear" w:color="auto" w:fill="FF0000"/>
          </w:tcPr>
          <w:p>
            <w:pPr>
              <w:rPr>
                <w:sz w:val="2"/>
                <w:szCs w:val="2"/>
              </w:rPr>
            </w:pPr>
          </w:p>
        </w:tc>
        <w:tc>
          <w:tcPr>
            <w:tcW w:w="3679" w:type="dxa"/>
            <w:vMerge w:val="restart"/>
          </w:tcPr>
          <w:p>
            <w:pPr>
              <w:pStyle w:val="TableParagraph"/>
              <w:spacing w:before="3"/>
              <w:ind w:left="33"/>
              <w:rPr>
                <w:rFonts w:ascii="Arial"/>
                <w:sz w:val="16"/>
              </w:rPr>
            </w:pPr>
            <w:r>
              <w:rPr>
                <w:rFonts w:ascii="Arial"/>
                <w:sz w:val="16"/>
              </w:rPr>
              <w:t>Formal</w:t>
            </w:r>
            <w:r>
              <w:rPr>
                <w:rFonts w:ascii="Arial"/>
                <w:spacing w:val="7"/>
                <w:sz w:val="16"/>
              </w:rPr>
              <w:t> </w:t>
            </w:r>
            <w:r>
              <w:rPr>
                <w:rFonts w:ascii="Arial"/>
                <w:sz w:val="16"/>
              </w:rPr>
              <w:t>project</w:t>
            </w:r>
            <w:r>
              <w:rPr>
                <w:rFonts w:ascii="Arial"/>
                <w:spacing w:val="9"/>
                <w:sz w:val="16"/>
              </w:rPr>
              <w:t> </w:t>
            </w:r>
            <w:r>
              <w:rPr>
                <w:rFonts w:ascii="Arial"/>
                <w:sz w:val="16"/>
              </w:rPr>
              <w:t>management</w:t>
            </w:r>
            <w:r>
              <w:rPr>
                <w:rFonts w:ascii="Arial"/>
                <w:spacing w:val="7"/>
                <w:sz w:val="16"/>
              </w:rPr>
              <w:t> </w:t>
            </w:r>
            <w:r>
              <w:rPr>
                <w:rFonts w:ascii="Arial"/>
                <w:sz w:val="16"/>
              </w:rPr>
              <w:t>in</w:t>
            </w:r>
            <w:r>
              <w:rPr>
                <w:rFonts w:ascii="Arial"/>
                <w:spacing w:val="7"/>
                <w:sz w:val="16"/>
              </w:rPr>
              <w:t> </w:t>
            </w:r>
            <w:r>
              <w:rPr>
                <w:rFonts w:ascii="Arial"/>
                <w:spacing w:val="-4"/>
                <w:sz w:val="16"/>
              </w:rPr>
              <w:t>place</w:t>
            </w:r>
          </w:p>
        </w:tc>
        <w:tc>
          <w:tcPr>
            <w:tcW w:w="583" w:type="dxa"/>
            <w:vMerge w:val="restart"/>
          </w:tcPr>
          <w:p>
            <w:pPr>
              <w:pStyle w:val="TableParagraph"/>
              <w:rPr>
                <w:sz w:val="18"/>
              </w:rPr>
            </w:pPr>
          </w:p>
          <w:p>
            <w:pPr>
              <w:pStyle w:val="TableParagraph"/>
              <w:spacing w:before="6"/>
              <w:rPr>
                <w:sz w:val="24"/>
              </w:rPr>
            </w:pPr>
          </w:p>
          <w:p>
            <w:pPr>
              <w:pStyle w:val="TableParagraph"/>
              <w:ind w:left="32"/>
              <w:jc w:val="center"/>
              <w:rPr>
                <w:rFonts w:ascii="Arial"/>
                <w:sz w:val="16"/>
              </w:rPr>
            </w:pPr>
            <w:r>
              <w:rPr>
                <w:rFonts w:ascii="Arial"/>
                <w:w w:val="101"/>
                <w:sz w:val="16"/>
              </w:rPr>
              <w:t>2</w:t>
            </w:r>
          </w:p>
        </w:tc>
        <w:tc>
          <w:tcPr>
            <w:tcW w:w="621" w:type="dxa"/>
            <w:vMerge w:val="restart"/>
          </w:tcPr>
          <w:p>
            <w:pPr>
              <w:pStyle w:val="TableParagraph"/>
              <w:rPr>
                <w:sz w:val="18"/>
              </w:rPr>
            </w:pPr>
          </w:p>
          <w:p>
            <w:pPr>
              <w:pStyle w:val="TableParagraph"/>
              <w:spacing w:before="6"/>
              <w:rPr>
                <w:sz w:val="24"/>
              </w:rPr>
            </w:pPr>
          </w:p>
          <w:p>
            <w:pPr>
              <w:pStyle w:val="TableParagraph"/>
              <w:ind w:left="32"/>
              <w:jc w:val="center"/>
              <w:rPr>
                <w:rFonts w:ascii="Arial"/>
                <w:sz w:val="16"/>
              </w:rPr>
            </w:pPr>
            <w:r>
              <w:rPr>
                <w:rFonts w:ascii="Arial"/>
                <w:w w:val="101"/>
                <w:sz w:val="16"/>
              </w:rPr>
              <w:t>4</w:t>
            </w:r>
          </w:p>
        </w:tc>
        <w:tc>
          <w:tcPr>
            <w:tcW w:w="698" w:type="dxa"/>
            <w:vMerge w:val="restart"/>
            <w:shd w:val="clear" w:color="auto" w:fill="FFBF00"/>
          </w:tcPr>
          <w:p>
            <w:pPr>
              <w:pStyle w:val="TableParagraph"/>
              <w:rPr>
                <w:sz w:val="18"/>
              </w:rPr>
            </w:pPr>
          </w:p>
          <w:p>
            <w:pPr>
              <w:pStyle w:val="TableParagraph"/>
              <w:spacing w:before="6"/>
              <w:rPr>
                <w:sz w:val="24"/>
              </w:rPr>
            </w:pPr>
          </w:p>
          <w:p>
            <w:pPr>
              <w:pStyle w:val="TableParagraph"/>
              <w:ind w:left="33"/>
              <w:jc w:val="center"/>
              <w:rPr>
                <w:rFonts w:ascii="Arial"/>
                <w:sz w:val="16"/>
              </w:rPr>
            </w:pPr>
            <w:r>
              <w:rPr>
                <w:rFonts w:ascii="Arial"/>
                <w:w w:val="101"/>
                <w:sz w:val="16"/>
              </w:rPr>
              <w:t>8</w:t>
            </w:r>
          </w:p>
        </w:tc>
        <w:tc>
          <w:tcPr>
            <w:tcW w:w="3499" w:type="dxa"/>
            <w:vMerge w:val="restart"/>
          </w:tcPr>
          <w:p>
            <w:pPr>
              <w:pStyle w:val="TableParagraph"/>
              <w:spacing w:before="3"/>
              <w:ind w:left="35"/>
              <w:rPr>
                <w:rFonts w:ascii="Arial"/>
                <w:sz w:val="16"/>
              </w:rPr>
            </w:pPr>
            <w:r>
              <w:rPr>
                <w:rFonts w:ascii="Arial"/>
                <w:sz w:val="16"/>
              </w:rPr>
              <w:t>Phase</w:t>
            </w:r>
            <w:r>
              <w:rPr>
                <w:rFonts w:ascii="Arial"/>
                <w:spacing w:val="3"/>
                <w:sz w:val="16"/>
              </w:rPr>
              <w:t> </w:t>
            </w:r>
            <w:r>
              <w:rPr>
                <w:rFonts w:ascii="Arial"/>
                <w:sz w:val="16"/>
              </w:rPr>
              <w:t>1</w:t>
            </w:r>
            <w:r>
              <w:rPr>
                <w:rFonts w:ascii="Arial"/>
                <w:spacing w:val="3"/>
                <w:sz w:val="16"/>
              </w:rPr>
              <w:t> </w:t>
            </w:r>
            <w:r>
              <w:rPr>
                <w:rFonts w:ascii="Arial"/>
                <w:sz w:val="16"/>
              </w:rPr>
              <w:t>to</w:t>
            </w:r>
            <w:r>
              <w:rPr>
                <w:rFonts w:ascii="Arial"/>
                <w:spacing w:val="3"/>
                <w:sz w:val="16"/>
              </w:rPr>
              <w:t> </w:t>
            </w:r>
            <w:r>
              <w:rPr>
                <w:rFonts w:ascii="Arial"/>
                <w:sz w:val="16"/>
              </w:rPr>
              <w:t>be</w:t>
            </w:r>
            <w:r>
              <w:rPr>
                <w:rFonts w:ascii="Arial"/>
                <w:spacing w:val="6"/>
                <w:sz w:val="16"/>
              </w:rPr>
              <w:t> </w:t>
            </w:r>
            <w:r>
              <w:rPr>
                <w:rFonts w:ascii="Arial"/>
                <w:sz w:val="16"/>
              </w:rPr>
              <w:t>delivered</w:t>
            </w:r>
            <w:r>
              <w:rPr>
                <w:rFonts w:ascii="Arial"/>
                <w:spacing w:val="6"/>
                <w:sz w:val="16"/>
              </w:rPr>
              <w:t> </w:t>
            </w:r>
            <w:r>
              <w:rPr>
                <w:rFonts w:ascii="Arial"/>
                <w:sz w:val="16"/>
              </w:rPr>
              <w:t>by April</w:t>
            </w:r>
            <w:r>
              <w:rPr>
                <w:rFonts w:ascii="Arial"/>
                <w:spacing w:val="3"/>
                <w:sz w:val="16"/>
              </w:rPr>
              <w:t> </w:t>
            </w:r>
            <w:r>
              <w:rPr>
                <w:rFonts w:ascii="Arial"/>
                <w:spacing w:val="-2"/>
                <w:sz w:val="16"/>
              </w:rPr>
              <w:t>2023.</w:t>
            </w:r>
          </w:p>
        </w:tc>
        <w:tc>
          <w:tcPr>
            <w:tcW w:w="4226" w:type="dxa"/>
          </w:tcPr>
          <w:p>
            <w:pPr>
              <w:pStyle w:val="TableParagraph"/>
              <w:spacing w:line="264" w:lineRule="auto" w:before="17"/>
              <w:ind w:left="35"/>
              <w:rPr>
                <w:rFonts w:ascii="Arial"/>
                <w:sz w:val="16"/>
              </w:rPr>
            </w:pPr>
            <w:r>
              <w:rPr>
                <w:rFonts w:ascii="Arial"/>
                <w:sz w:val="16"/>
              </w:rPr>
              <w:t>SAS contract support agreement with Kainos in place to end of March 2023.</w:t>
            </w:r>
          </w:p>
          <w:p>
            <w:pPr>
              <w:pStyle w:val="TableParagraph"/>
              <w:spacing w:line="264" w:lineRule="auto"/>
              <w:ind w:left="35" w:right="208"/>
              <w:rPr>
                <w:rFonts w:ascii="Arial"/>
                <w:sz w:val="16"/>
              </w:rPr>
            </w:pPr>
            <w:r>
              <w:rPr>
                <w:rFonts w:ascii="Arial"/>
                <w:sz w:val="16"/>
              </w:rPr>
              <w:t>FBC approved by Welsh Govt 5/9/22 and funding </w:t>
            </w:r>
            <w:r>
              <w:rPr>
                <w:rFonts w:ascii="Arial"/>
                <w:spacing w:val="-2"/>
                <w:sz w:val="16"/>
              </w:rPr>
              <w:t>agreed.</w:t>
            </w:r>
          </w:p>
        </w:tc>
        <w:tc>
          <w:tcPr>
            <w:tcW w:w="888" w:type="dxa"/>
            <w:vMerge w:val="restart"/>
          </w:tcPr>
          <w:p>
            <w:pPr>
              <w:pStyle w:val="TableParagraph"/>
              <w:spacing w:before="4"/>
              <w:rPr>
                <w:sz w:val="35"/>
              </w:rPr>
            </w:pPr>
          </w:p>
          <w:p>
            <w:pPr>
              <w:pStyle w:val="TableParagraph"/>
              <w:ind w:left="268"/>
              <w:rPr>
                <w:rFonts w:ascii="Wingdings 3" w:hAnsi="Wingdings 3"/>
                <w:sz w:val="32"/>
              </w:rPr>
            </w:pPr>
            <w:r>
              <w:rPr>
                <w:rFonts w:ascii="Wingdings 3" w:hAnsi="Wingdings 3"/>
                <w:color w:val="FFBF00"/>
                <w:w w:val="101"/>
                <w:sz w:val="32"/>
              </w:rPr>
              <w:t></w:t>
            </w:r>
          </w:p>
        </w:tc>
        <w:tc>
          <w:tcPr>
            <w:tcW w:w="1246" w:type="dxa"/>
            <w:vMerge w:val="restart"/>
            <w:shd w:val="clear" w:color="auto" w:fill="00AF50"/>
          </w:tcPr>
          <w:p>
            <w:pPr>
              <w:pStyle w:val="TableParagraph"/>
              <w:rPr>
                <w:sz w:val="18"/>
              </w:rPr>
            </w:pPr>
          </w:p>
          <w:p>
            <w:pPr>
              <w:pStyle w:val="TableParagraph"/>
              <w:spacing w:before="11"/>
              <w:rPr>
                <w:sz w:val="24"/>
              </w:rPr>
            </w:pPr>
          </w:p>
          <w:p>
            <w:pPr>
              <w:pStyle w:val="TableParagraph"/>
              <w:ind w:left="218"/>
              <w:rPr>
                <w:rFonts w:ascii="Arial"/>
                <w:b/>
                <w:sz w:val="16"/>
              </w:rPr>
            </w:pPr>
            <w:r>
              <w:rPr>
                <w:rFonts w:ascii="Arial"/>
                <w:b/>
                <w:spacing w:val="-2"/>
                <w:sz w:val="16"/>
              </w:rPr>
              <w:t>31/03/2023</w:t>
            </w:r>
          </w:p>
        </w:tc>
      </w:tr>
      <w:tr>
        <w:trPr>
          <w:trHeight w:val="201" w:hRule="atLeast"/>
        </w:trPr>
        <w:tc>
          <w:tcPr>
            <w:tcW w:w="667" w:type="dxa"/>
            <w:vMerge/>
            <w:tcBorders>
              <w:top w:val="nil"/>
            </w:tcBorders>
          </w:tcPr>
          <w:p>
            <w:pPr>
              <w:rPr>
                <w:sz w:val="2"/>
                <w:szCs w:val="2"/>
              </w:rPr>
            </w:pPr>
          </w:p>
        </w:tc>
        <w:tc>
          <w:tcPr>
            <w:tcW w:w="3583" w:type="dxa"/>
          </w:tcPr>
          <w:p>
            <w:pPr>
              <w:pStyle w:val="TableParagraph"/>
              <w:spacing w:line="171" w:lineRule="exact" w:before="10"/>
              <w:ind w:left="33"/>
              <w:rPr>
                <w:rFonts w:ascii="Arial"/>
                <w:b/>
                <w:sz w:val="16"/>
              </w:rPr>
            </w:pPr>
            <w:r>
              <w:rPr>
                <w:rFonts w:ascii="Arial"/>
                <w:b/>
                <w:sz w:val="16"/>
              </w:rPr>
              <w:t>Strategic</w:t>
            </w:r>
            <w:r>
              <w:rPr>
                <w:rFonts w:ascii="Arial"/>
                <w:b/>
                <w:spacing w:val="5"/>
                <w:sz w:val="16"/>
              </w:rPr>
              <w:t> </w:t>
            </w:r>
            <w:r>
              <w:rPr>
                <w:rFonts w:ascii="Arial"/>
                <w:b/>
                <w:sz w:val="16"/>
              </w:rPr>
              <w:t>Objective</w:t>
            </w:r>
            <w:r>
              <w:rPr>
                <w:rFonts w:ascii="Arial"/>
                <w:b/>
                <w:spacing w:val="4"/>
                <w:sz w:val="16"/>
              </w:rPr>
              <w:t> </w:t>
            </w:r>
            <w:r>
              <w:rPr>
                <w:rFonts w:ascii="Arial"/>
                <w:b/>
                <w:sz w:val="16"/>
              </w:rPr>
              <w:t>-</w:t>
            </w:r>
            <w:r>
              <w:rPr>
                <w:rFonts w:ascii="Arial"/>
                <w:b/>
                <w:spacing w:val="6"/>
                <w:sz w:val="16"/>
              </w:rPr>
              <w:t> </w:t>
            </w:r>
            <w:r>
              <w:rPr>
                <w:rFonts w:ascii="Arial"/>
                <w:b/>
                <w:spacing w:val="-2"/>
                <w:sz w:val="16"/>
              </w:rPr>
              <w:t>Customers</w:t>
            </w: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tcBorders>
            <w:shd w:val="clear" w:color="auto" w:fill="FF00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FFBF00"/>
          </w:tcPr>
          <w:p>
            <w:pPr>
              <w:rPr>
                <w:sz w:val="2"/>
                <w:szCs w:val="2"/>
              </w:rPr>
            </w:pPr>
          </w:p>
        </w:tc>
        <w:tc>
          <w:tcPr>
            <w:tcW w:w="3499" w:type="dxa"/>
            <w:vMerge/>
            <w:tcBorders>
              <w:top w:val="nil"/>
            </w:tcBorders>
          </w:tcPr>
          <w:p>
            <w:pPr>
              <w:rPr>
                <w:sz w:val="2"/>
                <w:szCs w:val="2"/>
              </w:rPr>
            </w:pPr>
          </w:p>
        </w:tc>
        <w:tc>
          <w:tcPr>
            <w:tcW w:w="4226" w:type="dxa"/>
          </w:tcPr>
          <w:p>
            <w:pPr>
              <w:pStyle w:val="TableParagraph"/>
              <w:spacing w:line="171" w:lineRule="exact" w:before="10"/>
              <w:ind w:left="35"/>
              <w:rPr>
                <w:rFonts w:ascii="Arial"/>
                <w:b/>
                <w:sz w:val="16"/>
              </w:rPr>
            </w:pPr>
            <w:r>
              <w:rPr>
                <w:rFonts w:ascii="Arial"/>
                <w:b/>
                <w:sz w:val="16"/>
              </w:rPr>
              <w:t>Risk</w:t>
            </w:r>
            <w:r>
              <w:rPr>
                <w:rFonts w:ascii="Arial"/>
                <w:b/>
                <w:spacing w:val="5"/>
                <w:sz w:val="16"/>
              </w:rPr>
              <w:t> </w:t>
            </w:r>
            <w:r>
              <w:rPr>
                <w:rFonts w:ascii="Arial"/>
                <w:b/>
                <w:sz w:val="16"/>
              </w:rPr>
              <w:t>Lead:</w:t>
            </w:r>
            <w:r>
              <w:rPr>
                <w:rFonts w:ascii="Arial"/>
                <w:b/>
                <w:spacing w:val="6"/>
                <w:sz w:val="16"/>
              </w:rPr>
              <w:t> </w:t>
            </w:r>
            <w:r>
              <w:rPr>
                <w:rFonts w:ascii="Arial"/>
                <w:b/>
                <w:sz w:val="16"/>
              </w:rPr>
              <w:t>Director</w:t>
            </w:r>
            <w:r>
              <w:rPr>
                <w:rFonts w:ascii="Arial"/>
                <w:b/>
                <w:spacing w:val="4"/>
                <w:sz w:val="16"/>
              </w:rPr>
              <w:t> </w:t>
            </w:r>
            <w:r>
              <w:rPr>
                <w:rFonts w:ascii="Arial"/>
                <w:b/>
                <w:sz w:val="16"/>
              </w:rPr>
              <w:t>of</w:t>
            </w:r>
            <w:r>
              <w:rPr>
                <w:rFonts w:ascii="Arial"/>
                <w:b/>
                <w:spacing w:val="8"/>
                <w:sz w:val="16"/>
              </w:rPr>
              <w:t> </w:t>
            </w:r>
            <w:r>
              <w:rPr>
                <w:rFonts w:ascii="Arial"/>
                <w:b/>
                <w:sz w:val="16"/>
              </w:rPr>
              <w:t>People</w:t>
            </w:r>
            <w:r>
              <w:rPr>
                <w:rFonts w:ascii="Arial"/>
                <w:b/>
                <w:spacing w:val="5"/>
                <w:sz w:val="16"/>
              </w:rPr>
              <w:t> </w:t>
            </w:r>
            <w:r>
              <w:rPr>
                <w:rFonts w:ascii="Arial"/>
                <w:b/>
                <w:sz w:val="16"/>
              </w:rPr>
              <w:t>and</w:t>
            </w:r>
            <w:r>
              <w:rPr>
                <w:rFonts w:ascii="Arial"/>
                <w:b/>
                <w:spacing w:val="6"/>
                <w:sz w:val="16"/>
              </w:rPr>
              <w:t> </w:t>
            </w:r>
            <w:r>
              <w:rPr>
                <w:rFonts w:ascii="Arial"/>
                <w:b/>
                <w:spacing w:val="-5"/>
                <w:sz w:val="16"/>
              </w:rPr>
              <w:t>OD</w:t>
            </w:r>
          </w:p>
        </w:tc>
        <w:tc>
          <w:tcPr>
            <w:tcW w:w="888" w:type="dxa"/>
            <w:vMerge/>
            <w:tcBorders>
              <w:top w:val="nil"/>
            </w:tcBorders>
          </w:tcPr>
          <w:p>
            <w:pPr>
              <w:rPr>
                <w:sz w:val="2"/>
                <w:szCs w:val="2"/>
              </w:rPr>
            </w:pPr>
          </w:p>
        </w:tc>
        <w:tc>
          <w:tcPr>
            <w:tcW w:w="1246" w:type="dxa"/>
            <w:vMerge/>
            <w:tcBorders>
              <w:top w:val="nil"/>
            </w:tcBorders>
            <w:shd w:val="clear" w:color="auto" w:fill="00AF50"/>
          </w:tcPr>
          <w:p>
            <w:pPr>
              <w:rPr>
                <w:sz w:val="2"/>
                <w:szCs w:val="2"/>
              </w:rPr>
            </w:pPr>
          </w:p>
        </w:tc>
      </w:tr>
      <w:tr>
        <w:trPr>
          <w:trHeight w:val="815" w:hRule="atLeast"/>
        </w:trPr>
        <w:tc>
          <w:tcPr>
            <w:tcW w:w="667" w:type="dxa"/>
            <w:vMerge w:val="restart"/>
          </w:tcPr>
          <w:p>
            <w:pPr>
              <w:pStyle w:val="TableParagraph"/>
              <w:rPr>
                <w:sz w:val="18"/>
              </w:rPr>
            </w:pPr>
          </w:p>
          <w:p>
            <w:pPr>
              <w:pStyle w:val="TableParagraph"/>
              <w:rPr>
                <w:sz w:val="16"/>
              </w:rPr>
            </w:pPr>
          </w:p>
          <w:p>
            <w:pPr>
              <w:pStyle w:val="TableParagraph"/>
              <w:ind w:left="194"/>
              <w:rPr>
                <w:rFonts w:ascii="Arial"/>
                <w:b/>
                <w:sz w:val="16"/>
              </w:rPr>
            </w:pPr>
            <w:r>
              <w:rPr>
                <w:rFonts w:ascii="Arial"/>
                <w:b/>
                <w:spacing w:val="-5"/>
                <w:sz w:val="16"/>
              </w:rPr>
              <w:t>A10</w:t>
            </w:r>
          </w:p>
        </w:tc>
        <w:tc>
          <w:tcPr>
            <w:tcW w:w="3583" w:type="dxa"/>
          </w:tcPr>
          <w:p>
            <w:pPr>
              <w:pStyle w:val="TableParagraph"/>
              <w:spacing w:line="264" w:lineRule="auto" w:before="3"/>
              <w:ind w:left="33" w:right="170"/>
              <w:rPr>
                <w:rFonts w:ascii="Arial"/>
                <w:sz w:val="16"/>
              </w:rPr>
            </w:pPr>
            <w:r>
              <w:rPr>
                <w:rFonts w:ascii="Arial"/>
                <w:sz w:val="16"/>
              </w:rPr>
              <w:t>There is a reputational risk associated with the establishment of the Citizens' Voice Body (</w:t>
            </w:r>
            <w:r>
              <w:rPr>
                <w:rFonts w:ascii="Arial"/>
                <w:color w:val="FF0000"/>
                <w:sz w:val="16"/>
              </w:rPr>
              <w:t>added July 2022)</w:t>
            </w:r>
          </w:p>
        </w:tc>
        <w:tc>
          <w:tcPr>
            <w:tcW w:w="583" w:type="dxa"/>
            <w:vMerge w:val="restart"/>
          </w:tcPr>
          <w:p>
            <w:pPr>
              <w:pStyle w:val="TableParagraph"/>
              <w:rPr>
                <w:sz w:val="18"/>
              </w:rPr>
            </w:pPr>
          </w:p>
          <w:p>
            <w:pPr>
              <w:pStyle w:val="TableParagraph"/>
              <w:rPr>
                <w:sz w:val="16"/>
              </w:rPr>
            </w:pPr>
          </w:p>
          <w:p>
            <w:pPr>
              <w:pStyle w:val="TableParagraph"/>
              <w:ind w:left="31"/>
              <w:jc w:val="center"/>
              <w:rPr>
                <w:rFonts w:ascii="Arial"/>
                <w:sz w:val="16"/>
              </w:rPr>
            </w:pPr>
            <w:r>
              <w:rPr>
                <w:rFonts w:ascii="Arial"/>
                <w:w w:val="101"/>
                <w:sz w:val="16"/>
              </w:rPr>
              <w:t>4</w:t>
            </w:r>
          </w:p>
        </w:tc>
        <w:tc>
          <w:tcPr>
            <w:tcW w:w="660" w:type="dxa"/>
            <w:vMerge w:val="restart"/>
          </w:tcPr>
          <w:p>
            <w:pPr>
              <w:pStyle w:val="TableParagraph"/>
              <w:rPr>
                <w:sz w:val="18"/>
              </w:rPr>
            </w:pPr>
          </w:p>
          <w:p>
            <w:pPr>
              <w:pStyle w:val="TableParagraph"/>
              <w:rPr>
                <w:sz w:val="16"/>
              </w:rPr>
            </w:pPr>
          </w:p>
          <w:p>
            <w:pPr>
              <w:pStyle w:val="TableParagraph"/>
              <w:ind w:left="32"/>
              <w:jc w:val="center"/>
              <w:rPr>
                <w:rFonts w:ascii="Arial"/>
                <w:sz w:val="16"/>
              </w:rPr>
            </w:pPr>
            <w:r>
              <w:rPr>
                <w:rFonts w:ascii="Arial"/>
                <w:w w:val="101"/>
                <w:sz w:val="16"/>
              </w:rPr>
              <w:t>4</w:t>
            </w:r>
          </w:p>
        </w:tc>
        <w:tc>
          <w:tcPr>
            <w:tcW w:w="713" w:type="dxa"/>
            <w:vMerge/>
            <w:tcBorders>
              <w:top w:val="nil"/>
            </w:tcBorders>
            <w:shd w:val="clear" w:color="auto" w:fill="FF0000"/>
          </w:tcPr>
          <w:p>
            <w:pPr>
              <w:rPr>
                <w:sz w:val="2"/>
                <w:szCs w:val="2"/>
              </w:rPr>
            </w:pPr>
          </w:p>
        </w:tc>
        <w:tc>
          <w:tcPr>
            <w:tcW w:w="3679" w:type="dxa"/>
            <w:vMerge w:val="restart"/>
          </w:tcPr>
          <w:p>
            <w:pPr>
              <w:pStyle w:val="TableParagraph"/>
              <w:spacing w:line="264" w:lineRule="auto" w:before="3"/>
              <w:ind w:left="33" w:right="387"/>
              <w:rPr>
                <w:rFonts w:ascii="Arial"/>
                <w:sz w:val="16"/>
              </w:rPr>
            </w:pPr>
            <w:r>
              <w:rPr>
                <w:rFonts w:ascii="Arial"/>
                <w:sz w:val="16"/>
              </w:rPr>
              <w:t>Experienced Programme Director Appointment of (Agency) Governance </w:t>
            </w:r>
            <w:r>
              <w:rPr>
                <w:rFonts w:ascii="Arial"/>
                <w:sz w:val="16"/>
              </w:rPr>
              <w:t>Lead</w:t>
            </w:r>
          </w:p>
        </w:tc>
        <w:tc>
          <w:tcPr>
            <w:tcW w:w="583" w:type="dxa"/>
            <w:vMerge w:val="restart"/>
          </w:tcPr>
          <w:p>
            <w:pPr>
              <w:pStyle w:val="TableParagraph"/>
              <w:rPr>
                <w:sz w:val="18"/>
              </w:rPr>
            </w:pPr>
          </w:p>
          <w:p>
            <w:pPr>
              <w:pStyle w:val="TableParagraph"/>
              <w:rPr>
                <w:sz w:val="16"/>
              </w:rPr>
            </w:pPr>
          </w:p>
          <w:p>
            <w:pPr>
              <w:pStyle w:val="TableParagraph"/>
              <w:ind w:left="32"/>
              <w:jc w:val="center"/>
              <w:rPr>
                <w:rFonts w:ascii="Arial"/>
                <w:sz w:val="16"/>
              </w:rPr>
            </w:pPr>
            <w:r>
              <w:rPr>
                <w:rFonts w:ascii="Arial"/>
                <w:w w:val="101"/>
                <w:sz w:val="16"/>
              </w:rPr>
              <w:t>2</w:t>
            </w:r>
          </w:p>
        </w:tc>
        <w:tc>
          <w:tcPr>
            <w:tcW w:w="621" w:type="dxa"/>
            <w:vMerge w:val="restart"/>
          </w:tcPr>
          <w:p>
            <w:pPr>
              <w:pStyle w:val="TableParagraph"/>
              <w:rPr>
                <w:sz w:val="18"/>
              </w:rPr>
            </w:pPr>
          </w:p>
          <w:p>
            <w:pPr>
              <w:pStyle w:val="TableParagraph"/>
              <w:rPr>
                <w:sz w:val="16"/>
              </w:rPr>
            </w:pPr>
          </w:p>
          <w:p>
            <w:pPr>
              <w:pStyle w:val="TableParagraph"/>
              <w:ind w:left="32"/>
              <w:jc w:val="center"/>
              <w:rPr>
                <w:rFonts w:ascii="Arial"/>
                <w:sz w:val="16"/>
              </w:rPr>
            </w:pPr>
            <w:r>
              <w:rPr>
                <w:rFonts w:ascii="Arial"/>
                <w:w w:val="101"/>
                <w:sz w:val="16"/>
              </w:rPr>
              <w:t>4</w:t>
            </w:r>
          </w:p>
        </w:tc>
        <w:tc>
          <w:tcPr>
            <w:tcW w:w="698" w:type="dxa"/>
            <w:vMerge w:val="restart"/>
            <w:shd w:val="clear" w:color="auto" w:fill="FFBF00"/>
          </w:tcPr>
          <w:p>
            <w:pPr>
              <w:pStyle w:val="TableParagraph"/>
              <w:rPr>
                <w:sz w:val="18"/>
              </w:rPr>
            </w:pPr>
          </w:p>
          <w:p>
            <w:pPr>
              <w:pStyle w:val="TableParagraph"/>
              <w:rPr>
                <w:sz w:val="16"/>
              </w:rPr>
            </w:pPr>
          </w:p>
          <w:p>
            <w:pPr>
              <w:pStyle w:val="TableParagraph"/>
              <w:ind w:left="35"/>
              <w:jc w:val="center"/>
              <w:rPr>
                <w:rFonts w:ascii="Arial"/>
                <w:sz w:val="16"/>
              </w:rPr>
            </w:pPr>
            <w:r>
              <w:rPr>
                <w:rFonts w:ascii="Arial"/>
                <w:w w:val="101"/>
                <w:sz w:val="16"/>
              </w:rPr>
              <w:t>8</w:t>
            </w:r>
          </w:p>
        </w:tc>
        <w:tc>
          <w:tcPr>
            <w:tcW w:w="3499" w:type="dxa"/>
            <w:vMerge w:val="restart"/>
          </w:tcPr>
          <w:p>
            <w:pPr>
              <w:pStyle w:val="TableParagraph"/>
              <w:spacing w:before="3"/>
              <w:ind w:left="35"/>
              <w:rPr>
                <w:rFonts w:ascii="Arial"/>
                <w:sz w:val="16"/>
              </w:rPr>
            </w:pPr>
            <w:r>
              <w:rPr>
                <w:rFonts w:ascii="Arial"/>
                <w:sz w:val="16"/>
              </w:rPr>
              <w:t>Provide</w:t>
            </w:r>
            <w:r>
              <w:rPr>
                <w:rFonts w:ascii="Arial"/>
                <w:spacing w:val="7"/>
                <w:sz w:val="16"/>
              </w:rPr>
              <w:t> </w:t>
            </w:r>
            <w:r>
              <w:rPr>
                <w:rFonts w:ascii="Arial"/>
                <w:sz w:val="16"/>
              </w:rPr>
              <w:t>options</w:t>
            </w:r>
            <w:r>
              <w:rPr>
                <w:rFonts w:ascii="Arial"/>
                <w:spacing w:val="7"/>
                <w:sz w:val="16"/>
              </w:rPr>
              <w:t> </w:t>
            </w:r>
            <w:r>
              <w:rPr>
                <w:rFonts w:ascii="Arial"/>
                <w:sz w:val="16"/>
              </w:rPr>
              <w:t>for</w:t>
            </w:r>
            <w:r>
              <w:rPr>
                <w:rFonts w:ascii="Arial"/>
                <w:spacing w:val="7"/>
                <w:sz w:val="16"/>
              </w:rPr>
              <w:t> </w:t>
            </w:r>
            <w:r>
              <w:rPr>
                <w:rFonts w:ascii="Arial"/>
                <w:sz w:val="16"/>
              </w:rPr>
              <w:t>financial</w:t>
            </w:r>
            <w:r>
              <w:rPr>
                <w:rFonts w:ascii="Arial"/>
                <w:spacing w:val="5"/>
                <w:sz w:val="16"/>
              </w:rPr>
              <w:t> </w:t>
            </w:r>
            <w:r>
              <w:rPr>
                <w:rFonts w:ascii="Arial"/>
                <w:sz w:val="16"/>
              </w:rPr>
              <w:t>systems</w:t>
            </w:r>
            <w:r>
              <w:rPr>
                <w:rFonts w:ascii="Arial"/>
                <w:spacing w:val="5"/>
                <w:sz w:val="16"/>
              </w:rPr>
              <w:t> </w:t>
            </w:r>
            <w:r>
              <w:rPr>
                <w:rFonts w:ascii="Arial"/>
                <w:spacing w:val="-4"/>
                <w:sz w:val="16"/>
              </w:rPr>
              <w:t>(PB)</w:t>
            </w:r>
          </w:p>
        </w:tc>
        <w:tc>
          <w:tcPr>
            <w:tcW w:w="4226" w:type="dxa"/>
          </w:tcPr>
          <w:p>
            <w:pPr>
              <w:pStyle w:val="TableParagraph"/>
              <w:spacing w:line="264" w:lineRule="auto" w:before="3"/>
              <w:ind w:left="35"/>
              <w:rPr>
                <w:rFonts w:ascii="Arial"/>
                <w:sz w:val="16"/>
              </w:rPr>
            </w:pPr>
            <w:r>
              <w:rPr>
                <w:rFonts w:ascii="Arial"/>
                <w:sz w:val="16"/>
              </w:rPr>
              <w:t>Role is to assist Welsh Government in determining how CVB will operate. Governance advice provided initially by PS but an Agency Governance Lead has now been</w:t>
            </w:r>
          </w:p>
          <w:p>
            <w:pPr>
              <w:pStyle w:val="TableParagraph"/>
              <w:spacing w:line="182" w:lineRule="exact"/>
              <w:ind w:left="35"/>
              <w:rPr>
                <w:rFonts w:ascii="Arial"/>
                <w:sz w:val="16"/>
              </w:rPr>
            </w:pPr>
            <w:r>
              <w:rPr>
                <w:rFonts w:ascii="Arial"/>
                <w:spacing w:val="-2"/>
                <w:sz w:val="16"/>
              </w:rPr>
              <w:t>appointed.</w:t>
            </w:r>
          </w:p>
        </w:tc>
        <w:tc>
          <w:tcPr>
            <w:tcW w:w="888" w:type="dxa"/>
            <w:vMerge w:val="restart"/>
          </w:tcPr>
          <w:p>
            <w:pPr>
              <w:pStyle w:val="TableParagraph"/>
              <w:spacing w:before="10"/>
              <w:rPr>
                <w:sz w:val="26"/>
              </w:rPr>
            </w:pPr>
          </w:p>
          <w:p>
            <w:pPr>
              <w:pStyle w:val="TableParagraph"/>
              <w:spacing w:before="1"/>
              <w:ind w:left="304"/>
              <w:rPr>
                <w:rFonts w:ascii="Wingdings 3" w:hAnsi="Wingdings 3"/>
                <w:sz w:val="32"/>
              </w:rPr>
            </w:pPr>
            <w:r>
              <w:rPr>
                <w:rFonts w:ascii="Wingdings 3" w:hAnsi="Wingdings 3"/>
                <w:color w:val="FFBF00"/>
                <w:w w:val="101"/>
                <w:sz w:val="32"/>
              </w:rPr>
              <w:t></w:t>
            </w:r>
          </w:p>
        </w:tc>
        <w:tc>
          <w:tcPr>
            <w:tcW w:w="1246" w:type="dxa"/>
            <w:vMerge w:val="restart"/>
            <w:shd w:val="clear" w:color="auto" w:fill="00AF50"/>
          </w:tcPr>
          <w:p>
            <w:pPr>
              <w:pStyle w:val="TableParagraph"/>
              <w:rPr>
                <w:sz w:val="18"/>
              </w:rPr>
            </w:pPr>
          </w:p>
          <w:p>
            <w:pPr>
              <w:pStyle w:val="TableParagraph"/>
              <w:spacing w:before="5"/>
              <w:rPr>
                <w:sz w:val="16"/>
              </w:rPr>
            </w:pPr>
          </w:p>
          <w:p>
            <w:pPr>
              <w:pStyle w:val="TableParagraph"/>
              <w:ind w:left="218"/>
              <w:rPr>
                <w:rFonts w:ascii="Arial"/>
                <w:b/>
                <w:sz w:val="16"/>
              </w:rPr>
            </w:pPr>
            <w:r>
              <w:rPr>
                <w:rFonts w:ascii="Arial"/>
                <w:b/>
                <w:spacing w:val="-2"/>
                <w:sz w:val="16"/>
              </w:rPr>
              <w:t>31/03/2023</w:t>
            </w:r>
          </w:p>
        </w:tc>
      </w:tr>
      <w:tr>
        <w:trPr>
          <w:trHeight w:val="200" w:hRule="atLeast"/>
        </w:trPr>
        <w:tc>
          <w:tcPr>
            <w:tcW w:w="667" w:type="dxa"/>
            <w:vMerge/>
            <w:tcBorders>
              <w:top w:val="nil"/>
            </w:tcBorders>
          </w:tcPr>
          <w:p>
            <w:pPr>
              <w:rPr>
                <w:sz w:val="2"/>
                <w:szCs w:val="2"/>
              </w:rPr>
            </w:pPr>
          </w:p>
        </w:tc>
        <w:tc>
          <w:tcPr>
            <w:tcW w:w="3583" w:type="dxa"/>
          </w:tcPr>
          <w:p>
            <w:pPr>
              <w:pStyle w:val="TableParagraph"/>
              <w:spacing w:line="171" w:lineRule="exact" w:before="10"/>
              <w:ind w:left="33"/>
              <w:rPr>
                <w:rFonts w:ascii="Arial"/>
                <w:b/>
                <w:sz w:val="16"/>
              </w:rPr>
            </w:pPr>
            <w:r>
              <w:rPr>
                <w:rFonts w:ascii="Arial"/>
                <w:b/>
                <w:sz w:val="16"/>
              </w:rPr>
              <w:t>Strategic</w:t>
            </w:r>
            <w:r>
              <w:rPr>
                <w:rFonts w:ascii="Arial"/>
                <w:b/>
                <w:spacing w:val="5"/>
                <w:sz w:val="16"/>
              </w:rPr>
              <w:t> </w:t>
            </w:r>
            <w:r>
              <w:rPr>
                <w:rFonts w:ascii="Arial"/>
                <w:b/>
                <w:sz w:val="16"/>
              </w:rPr>
              <w:t>Objective</w:t>
            </w:r>
            <w:r>
              <w:rPr>
                <w:rFonts w:ascii="Arial"/>
                <w:b/>
                <w:spacing w:val="4"/>
                <w:sz w:val="16"/>
              </w:rPr>
              <w:t> </w:t>
            </w:r>
            <w:r>
              <w:rPr>
                <w:rFonts w:ascii="Arial"/>
                <w:b/>
                <w:sz w:val="16"/>
              </w:rPr>
              <w:t>-</w:t>
            </w:r>
            <w:r>
              <w:rPr>
                <w:rFonts w:ascii="Arial"/>
                <w:b/>
                <w:spacing w:val="5"/>
                <w:sz w:val="16"/>
              </w:rPr>
              <w:t> </w:t>
            </w:r>
            <w:r>
              <w:rPr>
                <w:rFonts w:ascii="Arial"/>
                <w:b/>
                <w:sz w:val="16"/>
              </w:rPr>
              <w:t>Service</w:t>
            </w:r>
            <w:r>
              <w:rPr>
                <w:rFonts w:ascii="Arial"/>
                <w:b/>
                <w:spacing w:val="6"/>
                <w:sz w:val="16"/>
              </w:rPr>
              <w:t> </w:t>
            </w:r>
            <w:r>
              <w:rPr>
                <w:rFonts w:ascii="Arial"/>
                <w:b/>
                <w:spacing w:val="-2"/>
                <w:sz w:val="16"/>
              </w:rPr>
              <w:t>Development</w:t>
            </w: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tcBorders>
            <w:shd w:val="clear" w:color="auto" w:fill="FF00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FFBF00"/>
          </w:tcPr>
          <w:p>
            <w:pPr>
              <w:rPr>
                <w:sz w:val="2"/>
                <w:szCs w:val="2"/>
              </w:rPr>
            </w:pPr>
          </w:p>
        </w:tc>
        <w:tc>
          <w:tcPr>
            <w:tcW w:w="3499" w:type="dxa"/>
            <w:vMerge/>
            <w:tcBorders>
              <w:top w:val="nil"/>
            </w:tcBorders>
          </w:tcPr>
          <w:p>
            <w:pPr>
              <w:rPr>
                <w:sz w:val="2"/>
                <w:szCs w:val="2"/>
              </w:rPr>
            </w:pPr>
          </w:p>
        </w:tc>
        <w:tc>
          <w:tcPr>
            <w:tcW w:w="4226" w:type="dxa"/>
          </w:tcPr>
          <w:p>
            <w:pPr>
              <w:pStyle w:val="TableParagraph"/>
              <w:spacing w:line="173" w:lineRule="exact" w:before="8"/>
              <w:ind w:left="32"/>
              <w:rPr>
                <w:rFonts w:ascii="Calibri"/>
                <w:sz w:val="16"/>
              </w:rPr>
            </w:pPr>
            <w:r>
              <w:rPr>
                <w:rFonts w:ascii="Calibri"/>
                <w:b/>
                <w:sz w:val="16"/>
              </w:rPr>
              <w:t>Risk</w:t>
            </w:r>
            <w:r>
              <w:rPr>
                <w:rFonts w:ascii="Calibri"/>
                <w:b/>
                <w:spacing w:val="2"/>
                <w:sz w:val="16"/>
              </w:rPr>
              <w:t> </w:t>
            </w:r>
            <w:r>
              <w:rPr>
                <w:rFonts w:ascii="Calibri"/>
                <w:b/>
                <w:sz w:val="16"/>
              </w:rPr>
              <w:t>Lead:</w:t>
            </w:r>
            <w:r>
              <w:rPr>
                <w:rFonts w:ascii="Calibri"/>
                <w:b/>
                <w:spacing w:val="2"/>
                <w:sz w:val="16"/>
              </w:rPr>
              <w:t> </w:t>
            </w:r>
            <w:r>
              <w:rPr>
                <w:rFonts w:ascii="Calibri"/>
                <w:b/>
                <w:sz w:val="16"/>
              </w:rPr>
              <w:t>Director</w:t>
            </w:r>
            <w:r>
              <w:rPr>
                <w:rFonts w:ascii="Calibri"/>
                <w:b/>
                <w:spacing w:val="2"/>
                <w:sz w:val="16"/>
              </w:rPr>
              <w:t> </w:t>
            </w:r>
            <w:r>
              <w:rPr>
                <w:rFonts w:ascii="Calibri"/>
                <w:b/>
                <w:sz w:val="16"/>
              </w:rPr>
              <w:t>of</w:t>
            </w:r>
            <w:r>
              <w:rPr>
                <w:rFonts w:ascii="Calibri"/>
                <w:b/>
                <w:spacing w:val="4"/>
                <w:sz w:val="16"/>
              </w:rPr>
              <w:t> </w:t>
            </w:r>
            <w:r>
              <w:rPr>
                <w:rFonts w:ascii="Calibri"/>
                <w:b/>
                <w:sz w:val="16"/>
              </w:rPr>
              <w:t>Finance</w:t>
            </w:r>
            <w:r>
              <w:rPr>
                <w:rFonts w:ascii="Calibri"/>
                <w:b/>
                <w:spacing w:val="2"/>
                <w:sz w:val="16"/>
              </w:rPr>
              <w:t> </w:t>
            </w:r>
            <w:r>
              <w:rPr>
                <w:rFonts w:ascii="Calibri"/>
                <w:b/>
                <w:sz w:val="16"/>
              </w:rPr>
              <w:t>&amp;</w:t>
            </w:r>
            <w:r>
              <w:rPr>
                <w:rFonts w:ascii="Calibri"/>
                <w:b/>
                <w:spacing w:val="3"/>
                <w:sz w:val="16"/>
              </w:rPr>
              <w:t> </w:t>
            </w:r>
            <w:r>
              <w:rPr>
                <w:rFonts w:ascii="Calibri"/>
                <w:b/>
                <w:sz w:val="16"/>
              </w:rPr>
              <w:t>Corporate</w:t>
            </w:r>
            <w:r>
              <w:rPr>
                <w:rFonts w:ascii="Calibri"/>
                <w:b/>
                <w:spacing w:val="2"/>
                <w:sz w:val="16"/>
              </w:rPr>
              <w:t> </w:t>
            </w:r>
            <w:r>
              <w:rPr>
                <w:rFonts w:ascii="Calibri"/>
                <w:b/>
                <w:spacing w:val="-2"/>
                <w:sz w:val="16"/>
              </w:rPr>
              <w:t>Service</w:t>
            </w:r>
            <w:r>
              <w:rPr>
                <w:rFonts w:ascii="Calibri"/>
                <w:spacing w:val="-2"/>
                <w:sz w:val="16"/>
              </w:rPr>
              <w:t>s</w:t>
            </w:r>
          </w:p>
        </w:tc>
        <w:tc>
          <w:tcPr>
            <w:tcW w:w="888" w:type="dxa"/>
            <w:vMerge/>
            <w:tcBorders>
              <w:top w:val="nil"/>
            </w:tcBorders>
          </w:tcPr>
          <w:p>
            <w:pPr>
              <w:rPr>
                <w:sz w:val="2"/>
                <w:szCs w:val="2"/>
              </w:rPr>
            </w:pPr>
          </w:p>
        </w:tc>
        <w:tc>
          <w:tcPr>
            <w:tcW w:w="1246" w:type="dxa"/>
            <w:vMerge/>
            <w:tcBorders>
              <w:top w:val="nil"/>
            </w:tcBorders>
            <w:shd w:val="clear" w:color="auto" w:fill="00AF50"/>
          </w:tcPr>
          <w:p>
            <w:pPr>
              <w:rPr>
                <w:sz w:val="2"/>
                <w:szCs w:val="2"/>
              </w:rPr>
            </w:pPr>
          </w:p>
        </w:tc>
      </w:tr>
      <w:tr>
        <w:trPr>
          <w:trHeight w:val="1465" w:hRule="atLeast"/>
        </w:trPr>
        <w:tc>
          <w:tcPr>
            <w:tcW w:w="667" w:type="dxa"/>
            <w:vMerge w:val="restart"/>
          </w:tcPr>
          <w:p>
            <w:pPr>
              <w:pStyle w:val="TableParagraph"/>
              <w:rPr>
                <w:sz w:val="18"/>
              </w:rPr>
            </w:pPr>
          </w:p>
          <w:p>
            <w:pPr>
              <w:pStyle w:val="TableParagraph"/>
              <w:rPr>
                <w:sz w:val="18"/>
              </w:rPr>
            </w:pPr>
          </w:p>
          <w:p>
            <w:pPr>
              <w:pStyle w:val="TableParagraph"/>
              <w:rPr>
                <w:sz w:val="18"/>
              </w:rPr>
            </w:pPr>
          </w:p>
          <w:p>
            <w:pPr>
              <w:pStyle w:val="TableParagraph"/>
              <w:spacing w:before="4"/>
              <w:rPr>
                <w:sz w:val="15"/>
              </w:rPr>
            </w:pPr>
          </w:p>
          <w:p>
            <w:pPr>
              <w:pStyle w:val="TableParagraph"/>
              <w:ind w:left="189"/>
              <w:rPr>
                <w:rFonts w:ascii="Arial"/>
                <w:b/>
                <w:sz w:val="16"/>
              </w:rPr>
            </w:pPr>
            <w:r>
              <w:rPr>
                <w:rFonts w:ascii="Arial"/>
                <w:b/>
                <w:spacing w:val="-5"/>
                <w:sz w:val="16"/>
              </w:rPr>
              <w:t>A11</w:t>
            </w:r>
          </w:p>
        </w:tc>
        <w:tc>
          <w:tcPr>
            <w:tcW w:w="3583" w:type="dxa"/>
          </w:tcPr>
          <w:p>
            <w:pPr>
              <w:pStyle w:val="TableParagraph"/>
              <w:spacing w:line="264" w:lineRule="auto" w:before="3"/>
              <w:ind w:left="33" w:right="170"/>
              <w:rPr>
                <w:rFonts w:ascii="Arial"/>
                <w:sz w:val="16"/>
              </w:rPr>
            </w:pPr>
            <w:r>
              <w:rPr>
                <w:rFonts w:ascii="Arial"/>
                <w:sz w:val="16"/>
              </w:rPr>
              <w:t>NWSSP are unable to continue to provide business-critical services due to having insufficient numbers of staff available and able to undertake the work. This is particularly an issue with staff on bank or fixed term </w:t>
            </w:r>
            <w:r>
              <w:rPr>
                <w:rFonts w:ascii="Arial"/>
                <w:sz w:val="16"/>
              </w:rPr>
              <w:t>contracts</w:t>
            </w:r>
          </w:p>
          <w:p>
            <w:pPr>
              <w:pStyle w:val="TableParagraph"/>
              <w:spacing w:line="264" w:lineRule="auto"/>
              <w:ind w:left="33"/>
              <w:rPr>
                <w:rFonts w:ascii="Arial"/>
                <w:sz w:val="16"/>
              </w:rPr>
            </w:pPr>
            <w:r>
              <w:rPr>
                <w:rFonts w:ascii="Arial"/>
                <w:sz w:val="16"/>
              </w:rPr>
              <w:t>where funding from WG is uncertain e.g. COVID- realted activity and SLE. (</w:t>
            </w:r>
            <w:r>
              <w:rPr>
                <w:rFonts w:ascii="Arial"/>
                <w:color w:val="FF0000"/>
                <w:sz w:val="16"/>
              </w:rPr>
              <w:t>added back Sept</w:t>
            </w:r>
          </w:p>
        </w:tc>
        <w:tc>
          <w:tcPr>
            <w:tcW w:w="583" w:type="dxa"/>
            <w:vMerge w:val="restart"/>
          </w:tcPr>
          <w:p>
            <w:pPr>
              <w:pStyle w:val="TableParagraph"/>
              <w:spacing w:before="3"/>
              <w:ind w:left="22"/>
              <w:jc w:val="center"/>
              <w:rPr>
                <w:rFonts w:ascii="Arial"/>
                <w:sz w:val="16"/>
              </w:rPr>
            </w:pPr>
            <w:r>
              <w:rPr>
                <w:rFonts w:ascii="Arial"/>
                <w:w w:val="101"/>
                <w:sz w:val="16"/>
              </w:rPr>
              <w:t>5</w:t>
            </w:r>
          </w:p>
        </w:tc>
        <w:tc>
          <w:tcPr>
            <w:tcW w:w="660" w:type="dxa"/>
            <w:vMerge w:val="restart"/>
          </w:tcPr>
          <w:p>
            <w:pPr>
              <w:pStyle w:val="TableParagraph"/>
              <w:spacing w:before="3"/>
              <w:ind w:left="22"/>
              <w:jc w:val="center"/>
              <w:rPr>
                <w:rFonts w:ascii="Arial"/>
                <w:sz w:val="16"/>
              </w:rPr>
            </w:pPr>
            <w:r>
              <w:rPr>
                <w:rFonts w:ascii="Arial"/>
                <w:w w:val="101"/>
                <w:sz w:val="16"/>
              </w:rPr>
              <w:t>5</w:t>
            </w:r>
          </w:p>
        </w:tc>
        <w:tc>
          <w:tcPr>
            <w:tcW w:w="713" w:type="dxa"/>
            <w:vMerge w:val="restart"/>
            <w:shd w:val="clear" w:color="auto" w:fill="FF0000"/>
          </w:tcPr>
          <w:p>
            <w:pPr>
              <w:pStyle w:val="TableParagraph"/>
              <w:spacing w:before="3"/>
              <w:ind w:left="251" w:right="229"/>
              <w:jc w:val="center"/>
              <w:rPr>
                <w:rFonts w:ascii="Arial"/>
                <w:sz w:val="16"/>
              </w:rPr>
            </w:pPr>
            <w:r>
              <w:rPr>
                <w:rFonts w:ascii="Arial"/>
                <w:spacing w:val="-5"/>
                <w:sz w:val="16"/>
              </w:rPr>
              <w:t>25</w:t>
            </w:r>
          </w:p>
        </w:tc>
        <w:tc>
          <w:tcPr>
            <w:tcW w:w="3679" w:type="dxa"/>
            <w:vMerge w:val="restart"/>
          </w:tcPr>
          <w:p>
            <w:pPr>
              <w:pStyle w:val="TableParagraph"/>
              <w:spacing w:line="264" w:lineRule="auto" w:before="3"/>
              <w:ind w:left="33" w:right="236" w:hanging="1"/>
              <w:rPr>
                <w:rFonts w:ascii="Arial"/>
                <w:sz w:val="16"/>
              </w:rPr>
            </w:pPr>
            <w:r>
              <w:rPr>
                <w:rFonts w:ascii="Arial"/>
                <w:sz w:val="16"/>
              </w:rPr>
              <w:t>Identification of all business-critical </w:t>
            </w:r>
            <w:r>
              <w:rPr>
                <w:rFonts w:ascii="Arial"/>
                <w:sz w:val="16"/>
              </w:rPr>
              <w:t>services Redeployment of staff to business-critical </w:t>
            </w:r>
            <w:r>
              <w:rPr>
                <w:rFonts w:ascii="Arial"/>
                <w:spacing w:val="-2"/>
                <w:sz w:val="16"/>
              </w:rPr>
              <w:t>services</w:t>
            </w:r>
          </w:p>
          <w:p>
            <w:pPr>
              <w:pStyle w:val="TableParagraph"/>
              <w:spacing w:line="264" w:lineRule="auto"/>
              <w:ind w:left="33" w:right="750"/>
              <w:rPr>
                <w:rFonts w:ascii="Arial"/>
                <w:sz w:val="16"/>
              </w:rPr>
            </w:pPr>
            <w:r>
              <w:rPr>
                <w:rFonts w:ascii="Arial"/>
                <w:sz w:val="16"/>
              </w:rPr>
              <w:t>Increased provision of laptops and VPN Roll-out of Office 365</w:t>
            </w:r>
          </w:p>
          <w:p>
            <w:pPr>
              <w:pStyle w:val="TableParagraph"/>
              <w:spacing w:line="182" w:lineRule="exact"/>
              <w:ind w:left="33"/>
              <w:rPr>
                <w:rFonts w:ascii="Arial"/>
                <w:sz w:val="16"/>
              </w:rPr>
            </w:pPr>
            <w:r>
              <w:rPr>
                <w:rFonts w:ascii="Arial"/>
                <w:sz w:val="16"/>
              </w:rPr>
              <w:t>Use</w:t>
            </w:r>
            <w:r>
              <w:rPr>
                <w:rFonts w:ascii="Arial"/>
                <w:spacing w:val="3"/>
                <w:sz w:val="16"/>
              </w:rPr>
              <w:t> </w:t>
            </w:r>
            <w:r>
              <w:rPr>
                <w:rFonts w:ascii="Arial"/>
                <w:sz w:val="16"/>
              </w:rPr>
              <w:t>of</w:t>
            </w:r>
            <w:r>
              <w:rPr>
                <w:rFonts w:ascii="Arial"/>
                <w:spacing w:val="6"/>
                <w:sz w:val="16"/>
              </w:rPr>
              <w:t> </w:t>
            </w:r>
            <w:r>
              <w:rPr>
                <w:rFonts w:ascii="Arial"/>
                <w:sz w:val="16"/>
              </w:rPr>
              <w:t>Bomgar</w:t>
            </w:r>
            <w:r>
              <w:rPr>
                <w:rFonts w:ascii="Arial"/>
                <w:spacing w:val="6"/>
                <w:sz w:val="16"/>
              </w:rPr>
              <w:t> </w:t>
            </w:r>
            <w:r>
              <w:rPr>
                <w:rFonts w:ascii="Arial"/>
                <w:sz w:val="16"/>
              </w:rPr>
              <w:t>service</w:t>
            </w:r>
            <w:r>
              <w:rPr>
                <w:rFonts w:ascii="Arial"/>
                <w:spacing w:val="3"/>
                <w:sz w:val="16"/>
              </w:rPr>
              <w:t> </w:t>
            </w:r>
            <w:r>
              <w:rPr>
                <w:rFonts w:ascii="Arial"/>
                <w:sz w:val="16"/>
              </w:rPr>
              <w:t>for</w:t>
            </w:r>
            <w:r>
              <w:rPr>
                <w:rFonts w:ascii="Arial"/>
                <w:spacing w:val="6"/>
                <w:sz w:val="16"/>
              </w:rPr>
              <w:t> </w:t>
            </w:r>
            <w:r>
              <w:rPr>
                <w:rFonts w:ascii="Arial"/>
                <w:spacing w:val="-5"/>
                <w:sz w:val="16"/>
              </w:rPr>
              <w:t>PCS</w:t>
            </w:r>
          </w:p>
          <w:p>
            <w:pPr>
              <w:pStyle w:val="TableParagraph"/>
              <w:spacing w:line="264" w:lineRule="auto" w:before="15"/>
              <w:ind w:left="33" w:right="49"/>
              <w:rPr>
                <w:rFonts w:ascii="Arial"/>
                <w:sz w:val="16"/>
              </w:rPr>
            </w:pPr>
            <w:r>
              <w:rPr>
                <w:rFonts w:ascii="Arial"/>
                <w:sz w:val="16"/>
              </w:rPr>
              <w:t>Daily monitoring and reporting of absence figures. IT Update also given to weekly COVID-19</w:t>
            </w:r>
            <w:r>
              <w:rPr>
                <w:rFonts w:ascii="Arial"/>
                <w:spacing w:val="40"/>
                <w:sz w:val="16"/>
              </w:rPr>
              <w:t> </w:t>
            </w:r>
            <w:r>
              <w:rPr>
                <w:rFonts w:ascii="Arial"/>
                <w:sz w:val="16"/>
              </w:rPr>
              <w:t>Planning &amp; Response Group.</w:t>
            </w:r>
          </w:p>
        </w:tc>
        <w:tc>
          <w:tcPr>
            <w:tcW w:w="583" w:type="dxa"/>
            <w:vMerge w:val="restart"/>
          </w:tcPr>
          <w:p>
            <w:pPr>
              <w:pStyle w:val="TableParagraph"/>
              <w:spacing w:before="3"/>
              <w:ind w:left="22"/>
              <w:jc w:val="center"/>
              <w:rPr>
                <w:rFonts w:ascii="Arial"/>
                <w:sz w:val="16"/>
              </w:rPr>
            </w:pPr>
            <w:r>
              <w:rPr>
                <w:rFonts w:ascii="Arial"/>
                <w:w w:val="101"/>
                <w:sz w:val="16"/>
              </w:rPr>
              <w:t>4</w:t>
            </w:r>
          </w:p>
        </w:tc>
        <w:tc>
          <w:tcPr>
            <w:tcW w:w="621" w:type="dxa"/>
            <w:vMerge w:val="restart"/>
          </w:tcPr>
          <w:p>
            <w:pPr>
              <w:pStyle w:val="TableParagraph"/>
              <w:spacing w:before="3"/>
              <w:ind w:left="23"/>
              <w:jc w:val="center"/>
              <w:rPr>
                <w:rFonts w:ascii="Arial"/>
                <w:sz w:val="16"/>
              </w:rPr>
            </w:pPr>
            <w:r>
              <w:rPr>
                <w:rFonts w:ascii="Arial"/>
                <w:w w:val="101"/>
                <w:sz w:val="16"/>
              </w:rPr>
              <w:t>5</w:t>
            </w:r>
          </w:p>
        </w:tc>
        <w:tc>
          <w:tcPr>
            <w:tcW w:w="698" w:type="dxa"/>
            <w:vMerge w:val="restart"/>
            <w:shd w:val="clear" w:color="auto" w:fill="FF0000"/>
          </w:tcPr>
          <w:p>
            <w:pPr>
              <w:pStyle w:val="TableParagraph"/>
              <w:spacing w:before="3"/>
              <w:ind w:left="242" w:right="220"/>
              <w:jc w:val="center"/>
              <w:rPr>
                <w:rFonts w:ascii="Arial"/>
                <w:sz w:val="16"/>
              </w:rPr>
            </w:pPr>
            <w:r>
              <w:rPr>
                <w:rFonts w:ascii="Arial"/>
                <w:spacing w:val="-5"/>
                <w:sz w:val="16"/>
              </w:rPr>
              <w:t>20</w:t>
            </w:r>
          </w:p>
        </w:tc>
        <w:tc>
          <w:tcPr>
            <w:tcW w:w="3499" w:type="dxa"/>
            <w:vMerge w:val="restart"/>
          </w:tcPr>
          <w:p>
            <w:pPr>
              <w:pStyle w:val="TableParagraph"/>
              <w:spacing w:line="264" w:lineRule="auto" w:before="3"/>
              <w:ind w:left="35" w:right="373"/>
              <w:rPr>
                <w:rFonts w:ascii="Arial"/>
                <w:sz w:val="16"/>
              </w:rPr>
            </w:pPr>
            <w:r>
              <w:rPr>
                <w:rFonts w:ascii="Arial"/>
                <w:sz w:val="16"/>
              </w:rPr>
              <w:t>Need to get WG to confirm funding arrangements for 2023/24 and beyond. Staff on bank contracts to given fixed term contracts until end March 2023.</w:t>
            </w:r>
          </w:p>
        </w:tc>
        <w:tc>
          <w:tcPr>
            <w:tcW w:w="4226" w:type="dxa"/>
          </w:tcPr>
          <w:p>
            <w:pPr>
              <w:pStyle w:val="TableParagraph"/>
              <w:spacing w:line="264" w:lineRule="auto" w:before="3"/>
              <w:ind w:left="35"/>
              <w:rPr>
                <w:rFonts w:ascii="Arial"/>
                <w:sz w:val="16"/>
              </w:rPr>
            </w:pPr>
            <w:r>
              <w:rPr>
                <w:rFonts w:ascii="Arial"/>
                <w:sz w:val="16"/>
              </w:rPr>
              <w:t>Action agreed at September SLG to move bank staff onto fixed term contracts for this financial year until funding arrangements from WG are clarified. AB is meeting with Steve</w:t>
            </w:r>
            <w:r>
              <w:rPr>
                <w:rFonts w:ascii="Arial"/>
                <w:spacing w:val="27"/>
                <w:sz w:val="16"/>
              </w:rPr>
              <w:t> </w:t>
            </w:r>
            <w:r>
              <w:rPr>
                <w:rFonts w:ascii="Arial"/>
                <w:sz w:val="16"/>
              </w:rPr>
              <w:t>Elliott</w:t>
            </w:r>
            <w:r>
              <w:rPr>
                <w:rFonts w:ascii="Arial"/>
                <w:spacing w:val="30"/>
                <w:sz w:val="16"/>
              </w:rPr>
              <w:t> </w:t>
            </w:r>
            <w:r>
              <w:rPr>
                <w:rFonts w:ascii="Arial"/>
                <w:sz w:val="16"/>
              </w:rPr>
              <w:t>and</w:t>
            </w:r>
            <w:r>
              <w:rPr>
                <w:rFonts w:ascii="Arial"/>
                <w:spacing w:val="27"/>
                <w:sz w:val="16"/>
              </w:rPr>
              <w:t> </w:t>
            </w:r>
            <w:r>
              <w:rPr>
                <w:rFonts w:ascii="Arial"/>
                <w:sz w:val="16"/>
              </w:rPr>
              <w:t>Matt</w:t>
            </w:r>
            <w:r>
              <w:rPr>
                <w:rFonts w:ascii="Arial"/>
                <w:spacing w:val="27"/>
                <w:sz w:val="16"/>
              </w:rPr>
              <w:t> </w:t>
            </w:r>
            <w:r>
              <w:rPr>
                <w:rFonts w:ascii="Arial"/>
                <w:sz w:val="16"/>
              </w:rPr>
              <w:t>Denham-Jones</w:t>
            </w:r>
            <w:r>
              <w:rPr>
                <w:rFonts w:ascii="Arial"/>
                <w:spacing w:val="27"/>
                <w:sz w:val="16"/>
              </w:rPr>
              <w:t> </w:t>
            </w:r>
            <w:r>
              <w:rPr>
                <w:rFonts w:ascii="Arial"/>
                <w:sz w:val="16"/>
              </w:rPr>
              <w:t>to</w:t>
            </w:r>
            <w:r>
              <w:rPr>
                <w:rFonts w:ascii="Arial"/>
                <w:spacing w:val="27"/>
                <w:sz w:val="16"/>
              </w:rPr>
              <w:t> </w:t>
            </w:r>
            <w:r>
              <w:rPr>
                <w:rFonts w:ascii="Arial"/>
                <w:sz w:val="16"/>
              </w:rPr>
              <w:t>get</w:t>
            </w:r>
            <w:r>
              <w:rPr>
                <w:rFonts w:ascii="Arial"/>
                <w:spacing w:val="30"/>
                <w:sz w:val="16"/>
              </w:rPr>
              <w:t> </w:t>
            </w:r>
            <w:r>
              <w:rPr>
                <w:rFonts w:ascii="Arial"/>
                <w:sz w:val="16"/>
              </w:rPr>
              <w:t>clarity on their funding intentions.</w:t>
            </w:r>
          </w:p>
        </w:tc>
        <w:tc>
          <w:tcPr>
            <w:tcW w:w="888" w:type="dxa"/>
            <w:vMerge w:val="restart"/>
          </w:tcPr>
          <w:p>
            <w:pPr>
              <w:pStyle w:val="TableParagraph"/>
              <w:rPr>
                <w:sz w:val="36"/>
              </w:rPr>
            </w:pPr>
          </w:p>
          <w:p>
            <w:pPr>
              <w:pStyle w:val="TableParagraph"/>
              <w:spacing w:before="314"/>
              <w:ind w:left="304"/>
              <w:rPr>
                <w:rFonts w:ascii="Wingdings 3" w:hAnsi="Wingdings 3"/>
                <w:sz w:val="32"/>
              </w:rPr>
            </w:pPr>
            <w:r>
              <w:rPr>
                <w:rFonts w:ascii="Wingdings 3" w:hAnsi="Wingdings 3"/>
                <w:color w:val="FFBF00"/>
                <w:w w:val="101"/>
                <w:sz w:val="32"/>
              </w:rPr>
              <w:t></w:t>
            </w:r>
          </w:p>
        </w:tc>
        <w:tc>
          <w:tcPr>
            <w:tcW w:w="1246" w:type="dxa"/>
            <w:vMerge w:val="restart"/>
            <w:shd w:val="clear" w:color="auto" w:fill="00AF50"/>
          </w:tcPr>
          <w:p>
            <w:pPr>
              <w:pStyle w:val="TableParagraph"/>
              <w:rPr>
                <w:sz w:val="18"/>
              </w:rPr>
            </w:pPr>
          </w:p>
          <w:p>
            <w:pPr>
              <w:pStyle w:val="TableParagraph"/>
              <w:rPr>
                <w:sz w:val="18"/>
              </w:rPr>
            </w:pPr>
          </w:p>
          <w:p>
            <w:pPr>
              <w:pStyle w:val="TableParagraph"/>
              <w:rPr>
                <w:sz w:val="18"/>
              </w:rPr>
            </w:pPr>
          </w:p>
          <w:p>
            <w:pPr>
              <w:pStyle w:val="TableParagraph"/>
              <w:spacing w:before="4"/>
              <w:rPr>
                <w:sz w:val="15"/>
              </w:rPr>
            </w:pPr>
          </w:p>
          <w:p>
            <w:pPr>
              <w:pStyle w:val="TableParagraph"/>
              <w:ind w:left="246"/>
              <w:rPr>
                <w:rFonts w:ascii="Arial"/>
                <w:b/>
                <w:sz w:val="16"/>
              </w:rPr>
            </w:pPr>
            <w:r>
              <w:rPr>
                <w:rFonts w:ascii="Arial"/>
                <w:b/>
                <w:sz w:val="16"/>
              </w:rPr>
              <w:t>31-Mar-</w:t>
            </w:r>
            <w:r>
              <w:rPr>
                <w:rFonts w:ascii="Arial"/>
                <w:b/>
                <w:spacing w:val="-5"/>
                <w:sz w:val="16"/>
              </w:rPr>
              <w:t>23</w:t>
            </w:r>
          </w:p>
        </w:tc>
      </w:tr>
      <w:tr>
        <w:trPr>
          <w:trHeight w:val="397" w:hRule="atLeast"/>
        </w:trPr>
        <w:tc>
          <w:tcPr>
            <w:tcW w:w="667" w:type="dxa"/>
            <w:vMerge/>
            <w:tcBorders>
              <w:top w:val="nil"/>
            </w:tcBorders>
          </w:tcPr>
          <w:p>
            <w:pPr>
              <w:rPr>
                <w:sz w:val="2"/>
                <w:szCs w:val="2"/>
              </w:rPr>
            </w:pPr>
          </w:p>
        </w:tc>
        <w:tc>
          <w:tcPr>
            <w:tcW w:w="3583" w:type="dxa"/>
          </w:tcPr>
          <w:p>
            <w:pPr>
              <w:pStyle w:val="TableParagraph"/>
              <w:spacing w:before="10"/>
              <w:ind w:left="33"/>
              <w:rPr>
                <w:rFonts w:ascii="Arial"/>
                <w:b/>
                <w:sz w:val="16"/>
              </w:rPr>
            </w:pPr>
            <w:r>
              <w:rPr>
                <w:rFonts w:ascii="Arial"/>
                <w:b/>
                <w:sz w:val="16"/>
              </w:rPr>
              <w:t>Strategic</w:t>
            </w:r>
            <w:r>
              <w:rPr>
                <w:rFonts w:ascii="Arial"/>
                <w:b/>
                <w:spacing w:val="5"/>
                <w:sz w:val="16"/>
              </w:rPr>
              <w:t> </w:t>
            </w:r>
            <w:r>
              <w:rPr>
                <w:rFonts w:ascii="Arial"/>
                <w:b/>
                <w:sz w:val="16"/>
              </w:rPr>
              <w:t>Objective</w:t>
            </w:r>
            <w:r>
              <w:rPr>
                <w:rFonts w:ascii="Arial"/>
                <w:b/>
                <w:spacing w:val="4"/>
                <w:sz w:val="16"/>
              </w:rPr>
              <w:t> </w:t>
            </w:r>
            <w:r>
              <w:rPr>
                <w:rFonts w:ascii="Arial"/>
                <w:b/>
                <w:sz w:val="16"/>
              </w:rPr>
              <w:t>-</w:t>
            </w:r>
            <w:r>
              <w:rPr>
                <w:rFonts w:ascii="Arial"/>
                <w:b/>
                <w:spacing w:val="6"/>
                <w:sz w:val="16"/>
              </w:rPr>
              <w:t> </w:t>
            </w:r>
            <w:r>
              <w:rPr>
                <w:rFonts w:ascii="Arial"/>
                <w:b/>
                <w:spacing w:val="-2"/>
                <w:sz w:val="16"/>
              </w:rPr>
              <w:t>Customers</w:t>
            </w: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tcBorders>
            <w:shd w:val="clear" w:color="auto" w:fill="FF00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FF0000"/>
          </w:tcPr>
          <w:p>
            <w:pPr>
              <w:rPr>
                <w:sz w:val="2"/>
                <w:szCs w:val="2"/>
              </w:rPr>
            </w:pPr>
          </w:p>
        </w:tc>
        <w:tc>
          <w:tcPr>
            <w:tcW w:w="3499" w:type="dxa"/>
            <w:vMerge/>
            <w:tcBorders>
              <w:top w:val="nil"/>
            </w:tcBorders>
          </w:tcPr>
          <w:p>
            <w:pPr>
              <w:rPr>
                <w:sz w:val="2"/>
                <w:szCs w:val="2"/>
              </w:rPr>
            </w:pPr>
          </w:p>
        </w:tc>
        <w:tc>
          <w:tcPr>
            <w:tcW w:w="4226" w:type="dxa"/>
          </w:tcPr>
          <w:p>
            <w:pPr>
              <w:pStyle w:val="TableParagraph"/>
              <w:spacing w:before="10"/>
              <w:ind w:left="35"/>
              <w:rPr>
                <w:rFonts w:ascii="Arial"/>
                <w:b/>
                <w:sz w:val="16"/>
              </w:rPr>
            </w:pPr>
            <w:r>
              <w:rPr>
                <w:rFonts w:ascii="Arial"/>
                <w:b/>
                <w:sz w:val="16"/>
              </w:rPr>
              <w:t>Risk</w:t>
            </w:r>
            <w:r>
              <w:rPr>
                <w:rFonts w:ascii="Arial"/>
                <w:b/>
                <w:spacing w:val="6"/>
                <w:sz w:val="16"/>
              </w:rPr>
              <w:t> </w:t>
            </w:r>
            <w:r>
              <w:rPr>
                <w:rFonts w:ascii="Arial"/>
                <w:b/>
                <w:sz w:val="16"/>
              </w:rPr>
              <w:t>Lead:</w:t>
            </w:r>
            <w:r>
              <w:rPr>
                <w:rFonts w:ascii="Arial"/>
                <w:b/>
                <w:spacing w:val="8"/>
                <w:sz w:val="16"/>
              </w:rPr>
              <w:t> </w:t>
            </w:r>
            <w:r>
              <w:rPr>
                <w:rFonts w:ascii="Arial"/>
                <w:b/>
                <w:sz w:val="16"/>
              </w:rPr>
              <w:t>Senior</w:t>
            </w:r>
            <w:r>
              <w:rPr>
                <w:rFonts w:ascii="Arial"/>
                <w:b/>
                <w:spacing w:val="6"/>
                <w:sz w:val="16"/>
              </w:rPr>
              <w:t> </w:t>
            </w:r>
            <w:r>
              <w:rPr>
                <w:rFonts w:ascii="Arial"/>
                <w:b/>
                <w:sz w:val="16"/>
              </w:rPr>
              <w:t>Leadership</w:t>
            </w:r>
            <w:r>
              <w:rPr>
                <w:rFonts w:ascii="Arial"/>
                <w:b/>
                <w:spacing w:val="9"/>
                <w:sz w:val="16"/>
              </w:rPr>
              <w:t> </w:t>
            </w:r>
            <w:r>
              <w:rPr>
                <w:rFonts w:ascii="Arial"/>
                <w:b/>
                <w:spacing w:val="-2"/>
                <w:sz w:val="16"/>
              </w:rPr>
              <w:t>Group</w:t>
            </w:r>
          </w:p>
        </w:tc>
        <w:tc>
          <w:tcPr>
            <w:tcW w:w="888" w:type="dxa"/>
            <w:vMerge/>
            <w:tcBorders>
              <w:top w:val="nil"/>
            </w:tcBorders>
          </w:tcPr>
          <w:p>
            <w:pPr>
              <w:rPr>
                <w:sz w:val="2"/>
                <w:szCs w:val="2"/>
              </w:rPr>
            </w:pPr>
          </w:p>
        </w:tc>
        <w:tc>
          <w:tcPr>
            <w:tcW w:w="1246" w:type="dxa"/>
            <w:vMerge/>
            <w:tcBorders>
              <w:top w:val="nil"/>
            </w:tcBorders>
            <w:shd w:val="clear" w:color="auto" w:fill="00AF50"/>
          </w:tcPr>
          <w:p>
            <w:pPr>
              <w:rPr>
                <w:sz w:val="2"/>
                <w:szCs w:val="2"/>
              </w:rPr>
            </w:pPr>
          </w:p>
        </w:tc>
      </w:tr>
      <w:tr>
        <w:trPr>
          <w:trHeight w:val="815" w:hRule="atLeast"/>
        </w:trPr>
        <w:tc>
          <w:tcPr>
            <w:tcW w:w="667" w:type="dxa"/>
            <w:vMerge w:val="restart"/>
          </w:tcPr>
          <w:p>
            <w:pPr>
              <w:pStyle w:val="TableParagraph"/>
              <w:rPr>
                <w:sz w:val="18"/>
              </w:rPr>
            </w:pPr>
          </w:p>
          <w:p>
            <w:pPr>
              <w:pStyle w:val="TableParagraph"/>
              <w:rPr>
                <w:sz w:val="16"/>
              </w:rPr>
            </w:pPr>
          </w:p>
          <w:p>
            <w:pPr>
              <w:pStyle w:val="TableParagraph"/>
              <w:ind w:left="194"/>
              <w:rPr>
                <w:rFonts w:ascii="Arial"/>
                <w:b/>
                <w:sz w:val="16"/>
              </w:rPr>
            </w:pPr>
            <w:r>
              <w:rPr>
                <w:rFonts w:ascii="Arial"/>
                <w:b/>
                <w:spacing w:val="-5"/>
                <w:sz w:val="16"/>
              </w:rPr>
              <w:t>A12</w:t>
            </w:r>
          </w:p>
        </w:tc>
        <w:tc>
          <w:tcPr>
            <w:tcW w:w="3583" w:type="dxa"/>
          </w:tcPr>
          <w:p>
            <w:pPr>
              <w:pStyle w:val="TableParagraph"/>
              <w:spacing w:line="264" w:lineRule="auto" w:before="3"/>
              <w:ind w:left="33" w:right="170"/>
              <w:rPr>
                <w:rFonts w:ascii="Arial"/>
                <w:sz w:val="16"/>
              </w:rPr>
            </w:pPr>
            <w:r>
              <w:rPr>
                <w:rFonts w:ascii="Arial"/>
                <w:sz w:val="16"/>
              </w:rPr>
              <w:t>An issue with the supplier of the replacement Legal &amp; Risk Case Management System threatens financial loss and the delivery of the</w:t>
            </w:r>
          </w:p>
          <w:p>
            <w:pPr>
              <w:pStyle w:val="TableParagraph"/>
              <w:spacing w:line="182" w:lineRule="exact"/>
              <w:ind w:left="33"/>
              <w:rPr>
                <w:rFonts w:ascii="Arial"/>
                <w:sz w:val="16"/>
              </w:rPr>
            </w:pPr>
            <w:r>
              <w:rPr>
                <w:rFonts w:ascii="Arial"/>
                <w:sz w:val="16"/>
              </w:rPr>
              <w:t>service</w:t>
            </w:r>
            <w:r>
              <w:rPr>
                <w:rFonts w:ascii="Arial"/>
                <w:spacing w:val="8"/>
                <w:sz w:val="16"/>
              </w:rPr>
              <w:t> </w:t>
            </w:r>
            <w:r>
              <w:rPr>
                <w:rFonts w:ascii="Arial"/>
                <w:color w:val="FF0000"/>
                <w:sz w:val="16"/>
              </w:rPr>
              <w:t>(added</w:t>
            </w:r>
            <w:r>
              <w:rPr>
                <w:rFonts w:ascii="Arial"/>
                <w:color w:val="FF0000"/>
                <w:spacing w:val="5"/>
                <w:sz w:val="16"/>
              </w:rPr>
              <w:t> </w:t>
            </w:r>
            <w:r>
              <w:rPr>
                <w:rFonts w:ascii="Arial"/>
                <w:color w:val="FF0000"/>
                <w:sz w:val="16"/>
              </w:rPr>
              <w:t>Sept</w:t>
            </w:r>
            <w:r>
              <w:rPr>
                <w:rFonts w:ascii="Arial"/>
                <w:color w:val="FF0000"/>
                <w:spacing w:val="7"/>
                <w:sz w:val="16"/>
              </w:rPr>
              <w:t> </w:t>
            </w:r>
            <w:r>
              <w:rPr>
                <w:rFonts w:ascii="Arial"/>
                <w:color w:val="FF0000"/>
                <w:spacing w:val="-5"/>
                <w:sz w:val="16"/>
              </w:rPr>
              <w:t>22</w:t>
            </w:r>
            <w:r>
              <w:rPr>
                <w:rFonts w:ascii="Arial"/>
                <w:spacing w:val="-5"/>
                <w:sz w:val="16"/>
              </w:rPr>
              <w:t>)</w:t>
            </w:r>
          </w:p>
        </w:tc>
        <w:tc>
          <w:tcPr>
            <w:tcW w:w="583" w:type="dxa"/>
            <w:vMerge w:val="restart"/>
          </w:tcPr>
          <w:p>
            <w:pPr>
              <w:pStyle w:val="TableParagraph"/>
              <w:rPr>
                <w:sz w:val="18"/>
              </w:rPr>
            </w:pPr>
          </w:p>
          <w:p>
            <w:pPr>
              <w:pStyle w:val="TableParagraph"/>
              <w:rPr>
                <w:sz w:val="16"/>
              </w:rPr>
            </w:pPr>
          </w:p>
          <w:p>
            <w:pPr>
              <w:pStyle w:val="TableParagraph"/>
              <w:ind w:left="31"/>
              <w:jc w:val="center"/>
              <w:rPr>
                <w:rFonts w:ascii="Arial"/>
                <w:sz w:val="16"/>
              </w:rPr>
            </w:pPr>
            <w:r>
              <w:rPr>
                <w:rFonts w:ascii="Arial"/>
                <w:w w:val="101"/>
                <w:sz w:val="16"/>
              </w:rPr>
              <w:t>4</w:t>
            </w:r>
          </w:p>
        </w:tc>
        <w:tc>
          <w:tcPr>
            <w:tcW w:w="660" w:type="dxa"/>
            <w:vMerge w:val="restart"/>
          </w:tcPr>
          <w:p>
            <w:pPr>
              <w:pStyle w:val="TableParagraph"/>
              <w:rPr>
                <w:sz w:val="18"/>
              </w:rPr>
            </w:pPr>
          </w:p>
          <w:p>
            <w:pPr>
              <w:pStyle w:val="TableParagraph"/>
              <w:rPr>
                <w:sz w:val="16"/>
              </w:rPr>
            </w:pPr>
          </w:p>
          <w:p>
            <w:pPr>
              <w:pStyle w:val="TableParagraph"/>
              <w:ind w:left="32"/>
              <w:jc w:val="center"/>
              <w:rPr>
                <w:rFonts w:ascii="Arial"/>
                <w:sz w:val="16"/>
              </w:rPr>
            </w:pPr>
            <w:r>
              <w:rPr>
                <w:rFonts w:ascii="Arial"/>
                <w:w w:val="101"/>
                <w:sz w:val="16"/>
              </w:rPr>
              <w:t>4</w:t>
            </w:r>
          </w:p>
        </w:tc>
        <w:tc>
          <w:tcPr>
            <w:tcW w:w="713" w:type="dxa"/>
            <w:vMerge w:val="restart"/>
            <w:shd w:val="clear" w:color="auto" w:fill="FF0000"/>
          </w:tcPr>
          <w:p>
            <w:pPr>
              <w:pStyle w:val="TableParagraph"/>
              <w:rPr>
                <w:sz w:val="18"/>
              </w:rPr>
            </w:pPr>
          </w:p>
          <w:p>
            <w:pPr>
              <w:pStyle w:val="TableParagraph"/>
              <w:rPr>
                <w:sz w:val="16"/>
              </w:rPr>
            </w:pPr>
          </w:p>
          <w:p>
            <w:pPr>
              <w:pStyle w:val="TableParagraph"/>
              <w:ind w:left="255" w:right="224"/>
              <w:jc w:val="center"/>
              <w:rPr>
                <w:rFonts w:ascii="Arial"/>
                <w:sz w:val="16"/>
              </w:rPr>
            </w:pPr>
            <w:r>
              <w:rPr>
                <w:rFonts w:ascii="Arial"/>
                <w:spacing w:val="-5"/>
                <w:sz w:val="16"/>
              </w:rPr>
              <w:t>16</w:t>
            </w:r>
          </w:p>
        </w:tc>
        <w:tc>
          <w:tcPr>
            <w:tcW w:w="3679" w:type="dxa"/>
            <w:vMerge w:val="restart"/>
          </w:tcPr>
          <w:p>
            <w:pPr>
              <w:pStyle w:val="TableParagraph"/>
              <w:spacing w:before="3"/>
              <w:ind w:left="33"/>
              <w:rPr>
                <w:rFonts w:ascii="Arial"/>
                <w:sz w:val="16"/>
              </w:rPr>
            </w:pPr>
            <w:r>
              <w:rPr>
                <w:rFonts w:ascii="Arial"/>
                <w:sz w:val="16"/>
              </w:rPr>
              <w:t>Formal</w:t>
            </w:r>
            <w:r>
              <w:rPr>
                <w:rFonts w:ascii="Arial"/>
                <w:spacing w:val="7"/>
                <w:sz w:val="16"/>
              </w:rPr>
              <w:t> </w:t>
            </w:r>
            <w:r>
              <w:rPr>
                <w:rFonts w:ascii="Arial"/>
                <w:sz w:val="16"/>
              </w:rPr>
              <w:t>project</w:t>
            </w:r>
            <w:r>
              <w:rPr>
                <w:rFonts w:ascii="Arial"/>
                <w:spacing w:val="9"/>
                <w:sz w:val="16"/>
              </w:rPr>
              <w:t> </w:t>
            </w:r>
            <w:r>
              <w:rPr>
                <w:rFonts w:ascii="Arial"/>
                <w:sz w:val="16"/>
              </w:rPr>
              <w:t>managed</w:t>
            </w:r>
            <w:r>
              <w:rPr>
                <w:rFonts w:ascii="Arial"/>
                <w:spacing w:val="8"/>
                <w:sz w:val="16"/>
              </w:rPr>
              <w:t> </w:t>
            </w:r>
            <w:r>
              <w:rPr>
                <w:rFonts w:ascii="Arial"/>
                <w:sz w:val="16"/>
              </w:rPr>
              <w:t>through</w:t>
            </w:r>
            <w:r>
              <w:rPr>
                <w:rFonts w:ascii="Arial"/>
                <w:spacing w:val="9"/>
                <w:sz w:val="16"/>
              </w:rPr>
              <w:t> </w:t>
            </w:r>
            <w:r>
              <w:rPr>
                <w:rFonts w:ascii="Arial"/>
                <w:spacing w:val="-5"/>
                <w:sz w:val="16"/>
              </w:rPr>
              <w:t>PMO</w:t>
            </w:r>
          </w:p>
        </w:tc>
        <w:tc>
          <w:tcPr>
            <w:tcW w:w="583" w:type="dxa"/>
            <w:vMerge w:val="restart"/>
          </w:tcPr>
          <w:p>
            <w:pPr>
              <w:pStyle w:val="TableParagraph"/>
              <w:rPr>
                <w:sz w:val="18"/>
              </w:rPr>
            </w:pPr>
          </w:p>
          <w:p>
            <w:pPr>
              <w:pStyle w:val="TableParagraph"/>
              <w:rPr>
                <w:sz w:val="16"/>
              </w:rPr>
            </w:pPr>
          </w:p>
          <w:p>
            <w:pPr>
              <w:pStyle w:val="TableParagraph"/>
              <w:ind w:left="32"/>
              <w:jc w:val="center"/>
              <w:rPr>
                <w:rFonts w:ascii="Arial"/>
                <w:sz w:val="16"/>
              </w:rPr>
            </w:pPr>
            <w:r>
              <w:rPr>
                <w:rFonts w:ascii="Arial"/>
                <w:w w:val="101"/>
                <w:sz w:val="16"/>
              </w:rPr>
              <w:t>4</w:t>
            </w:r>
          </w:p>
        </w:tc>
        <w:tc>
          <w:tcPr>
            <w:tcW w:w="621" w:type="dxa"/>
            <w:vMerge w:val="restart"/>
          </w:tcPr>
          <w:p>
            <w:pPr>
              <w:pStyle w:val="TableParagraph"/>
              <w:rPr>
                <w:sz w:val="18"/>
              </w:rPr>
            </w:pPr>
          </w:p>
          <w:p>
            <w:pPr>
              <w:pStyle w:val="TableParagraph"/>
              <w:rPr>
                <w:sz w:val="16"/>
              </w:rPr>
            </w:pPr>
          </w:p>
          <w:p>
            <w:pPr>
              <w:pStyle w:val="TableParagraph"/>
              <w:ind w:left="32"/>
              <w:jc w:val="center"/>
              <w:rPr>
                <w:rFonts w:ascii="Arial"/>
                <w:sz w:val="16"/>
              </w:rPr>
            </w:pPr>
            <w:r>
              <w:rPr>
                <w:rFonts w:ascii="Arial"/>
                <w:w w:val="101"/>
                <w:sz w:val="16"/>
              </w:rPr>
              <w:t>4</w:t>
            </w:r>
          </w:p>
        </w:tc>
        <w:tc>
          <w:tcPr>
            <w:tcW w:w="698" w:type="dxa"/>
            <w:vMerge w:val="restart"/>
            <w:shd w:val="clear" w:color="auto" w:fill="FF0000"/>
          </w:tcPr>
          <w:p>
            <w:pPr>
              <w:pStyle w:val="TableParagraph"/>
              <w:rPr>
                <w:sz w:val="18"/>
              </w:rPr>
            </w:pPr>
          </w:p>
          <w:p>
            <w:pPr>
              <w:pStyle w:val="TableParagraph"/>
              <w:rPr>
                <w:sz w:val="16"/>
              </w:rPr>
            </w:pPr>
          </w:p>
          <w:p>
            <w:pPr>
              <w:pStyle w:val="TableParagraph"/>
              <w:ind w:left="248" w:right="214"/>
              <w:jc w:val="center"/>
              <w:rPr>
                <w:rFonts w:ascii="Arial"/>
                <w:sz w:val="16"/>
              </w:rPr>
            </w:pPr>
            <w:r>
              <w:rPr>
                <w:rFonts w:ascii="Arial"/>
                <w:spacing w:val="-5"/>
                <w:sz w:val="16"/>
              </w:rPr>
              <w:t>16</w:t>
            </w:r>
          </w:p>
        </w:tc>
        <w:tc>
          <w:tcPr>
            <w:tcW w:w="3499" w:type="dxa"/>
            <w:vMerge w:val="restart"/>
          </w:tcPr>
          <w:p>
            <w:pPr>
              <w:pStyle w:val="TableParagraph"/>
              <w:spacing w:line="264" w:lineRule="auto" w:before="3"/>
              <w:ind w:left="35"/>
              <w:rPr>
                <w:rFonts w:ascii="Arial"/>
                <w:sz w:val="16"/>
              </w:rPr>
            </w:pPr>
            <w:r>
              <w:rPr>
                <w:rFonts w:ascii="Arial"/>
                <w:sz w:val="16"/>
              </w:rPr>
              <w:t>While working with the supplier Management team to resolve the current open issues, it was agreed that all work from the supplier's perspective will pause from 07 July 2022 until</w:t>
            </w:r>
          </w:p>
          <w:p>
            <w:pPr>
              <w:pStyle w:val="TableParagraph"/>
              <w:spacing w:line="181" w:lineRule="exact"/>
              <w:ind w:left="35"/>
              <w:rPr>
                <w:rFonts w:ascii="Arial"/>
                <w:sz w:val="16"/>
              </w:rPr>
            </w:pPr>
            <w:r>
              <w:rPr>
                <w:rFonts w:ascii="Arial"/>
                <w:sz w:val="16"/>
              </w:rPr>
              <w:t>all</w:t>
            </w:r>
            <w:r>
              <w:rPr>
                <w:rFonts w:ascii="Arial"/>
                <w:spacing w:val="4"/>
                <w:sz w:val="16"/>
              </w:rPr>
              <w:t> </w:t>
            </w:r>
            <w:r>
              <w:rPr>
                <w:rFonts w:ascii="Arial"/>
                <w:sz w:val="16"/>
              </w:rPr>
              <w:t>issues</w:t>
            </w:r>
            <w:r>
              <w:rPr>
                <w:rFonts w:ascii="Arial"/>
                <w:spacing w:val="5"/>
                <w:sz w:val="16"/>
              </w:rPr>
              <w:t> </w:t>
            </w:r>
            <w:r>
              <w:rPr>
                <w:rFonts w:ascii="Arial"/>
                <w:sz w:val="16"/>
              </w:rPr>
              <w:t>have</w:t>
            </w:r>
            <w:r>
              <w:rPr>
                <w:rFonts w:ascii="Arial"/>
                <w:spacing w:val="5"/>
                <w:sz w:val="16"/>
              </w:rPr>
              <w:t> </w:t>
            </w:r>
            <w:r>
              <w:rPr>
                <w:rFonts w:ascii="Arial"/>
                <w:sz w:val="16"/>
              </w:rPr>
              <w:t>been</w:t>
            </w:r>
            <w:r>
              <w:rPr>
                <w:rFonts w:ascii="Arial"/>
                <w:spacing w:val="5"/>
                <w:sz w:val="16"/>
              </w:rPr>
              <w:t> </w:t>
            </w:r>
            <w:r>
              <w:rPr>
                <w:rFonts w:ascii="Arial"/>
                <w:spacing w:val="-2"/>
                <w:sz w:val="16"/>
              </w:rPr>
              <w:t>resolved.</w:t>
            </w:r>
          </w:p>
        </w:tc>
        <w:tc>
          <w:tcPr>
            <w:tcW w:w="4226" w:type="dxa"/>
          </w:tcPr>
          <w:p>
            <w:pPr>
              <w:pStyle w:val="TableParagraph"/>
              <w:spacing w:line="264" w:lineRule="auto" w:before="3"/>
              <w:ind w:left="35"/>
              <w:rPr>
                <w:rFonts w:ascii="Arial"/>
                <w:sz w:val="16"/>
              </w:rPr>
            </w:pPr>
            <w:r>
              <w:rPr>
                <w:rFonts w:ascii="Arial"/>
                <w:sz w:val="16"/>
              </w:rPr>
              <w:t>There is currently a significant issue about the scope, duration and cost of the project.</w:t>
            </w:r>
          </w:p>
        </w:tc>
        <w:tc>
          <w:tcPr>
            <w:tcW w:w="888" w:type="dxa"/>
            <w:vMerge w:val="restart"/>
          </w:tcPr>
          <w:p>
            <w:pPr>
              <w:pStyle w:val="TableParagraph"/>
              <w:spacing w:before="10"/>
              <w:rPr>
                <w:sz w:val="26"/>
              </w:rPr>
            </w:pPr>
          </w:p>
          <w:p>
            <w:pPr>
              <w:pStyle w:val="TableParagraph"/>
              <w:spacing w:before="1"/>
              <w:ind w:left="304"/>
              <w:rPr>
                <w:rFonts w:ascii="Wingdings 3" w:hAnsi="Wingdings 3"/>
                <w:sz w:val="32"/>
              </w:rPr>
            </w:pPr>
            <w:r>
              <w:rPr>
                <w:rFonts w:ascii="Wingdings 3" w:hAnsi="Wingdings 3"/>
                <w:color w:val="FFBF00"/>
                <w:w w:val="101"/>
                <w:sz w:val="32"/>
              </w:rPr>
              <w:t></w:t>
            </w:r>
          </w:p>
        </w:tc>
        <w:tc>
          <w:tcPr>
            <w:tcW w:w="1246" w:type="dxa"/>
            <w:vMerge w:val="restart"/>
            <w:shd w:val="clear" w:color="auto" w:fill="00AF50"/>
          </w:tcPr>
          <w:p>
            <w:pPr>
              <w:pStyle w:val="TableParagraph"/>
              <w:rPr>
                <w:sz w:val="18"/>
              </w:rPr>
            </w:pPr>
          </w:p>
          <w:p>
            <w:pPr>
              <w:pStyle w:val="TableParagraph"/>
              <w:spacing w:before="5"/>
              <w:rPr>
                <w:sz w:val="16"/>
              </w:rPr>
            </w:pPr>
          </w:p>
          <w:p>
            <w:pPr>
              <w:pStyle w:val="TableParagraph"/>
              <w:ind w:left="218"/>
              <w:rPr>
                <w:rFonts w:ascii="Arial"/>
                <w:b/>
                <w:sz w:val="16"/>
              </w:rPr>
            </w:pPr>
            <w:r>
              <w:rPr>
                <w:rFonts w:ascii="Arial"/>
                <w:b/>
                <w:spacing w:val="-2"/>
                <w:sz w:val="16"/>
              </w:rPr>
              <w:t>31/03/2023</w:t>
            </w:r>
          </w:p>
        </w:tc>
      </w:tr>
      <w:tr>
        <w:trPr>
          <w:trHeight w:val="201" w:hRule="atLeast"/>
        </w:trPr>
        <w:tc>
          <w:tcPr>
            <w:tcW w:w="667" w:type="dxa"/>
            <w:vMerge/>
            <w:tcBorders>
              <w:top w:val="nil"/>
            </w:tcBorders>
          </w:tcPr>
          <w:p>
            <w:pPr>
              <w:rPr>
                <w:sz w:val="2"/>
                <w:szCs w:val="2"/>
              </w:rPr>
            </w:pPr>
          </w:p>
        </w:tc>
        <w:tc>
          <w:tcPr>
            <w:tcW w:w="3583" w:type="dxa"/>
          </w:tcPr>
          <w:p>
            <w:pPr>
              <w:pStyle w:val="TableParagraph"/>
              <w:spacing w:line="171" w:lineRule="exact" w:before="10"/>
              <w:ind w:left="33"/>
              <w:rPr>
                <w:rFonts w:ascii="Arial"/>
                <w:b/>
                <w:sz w:val="16"/>
              </w:rPr>
            </w:pPr>
            <w:r>
              <w:rPr>
                <w:rFonts w:ascii="Arial"/>
                <w:b/>
                <w:sz w:val="16"/>
              </w:rPr>
              <w:t>Esclalated</w:t>
            </w:r>
            <w:r>
              <w:rPr>
                <w:rFonts w:ascii="Arial"/>
                <w:b/>
                <w:spacing w:val="10"/>
                <w:sz w:val="16"/>
              </w:rPr>
              <w:t> </w:t>
            </w:r>
            <w:r>
              <w:rPr>
                <w:rFonts w:ascii="Arial"/>
                <w:b/>
                <w:sz w:val="16"/>
              </w:rPr>
              <w:t>Divisional</w:t>
            </w:r>
            <w:r>
              <w:rPr>
                <w:rFonts w:ascii="Arial"/>
                <w:b/>
                <w:spacing w:val="8"/>
                <w:sz w:val="16"/>
              </w:rPr>
              <w:t> </w:t>
            </w:r>
            <w:r>
              <w:rPr>
                <w:rFonts w:ascii="Arial"/>
                <w:b/>
                <w:spacing w:val="-4"/>
                <w:sz w:val="16"/>
              </w:rPr>
              <w:t>Risk</w:t>
            </w: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tcBorders>
            <w:shd w:val="clear" w:color="auto" w:fill="FF00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FF0000"/>
          </w:tcPr>
          <w:p>
            <w:pPr>
              <w:rPr>
                <w:sz w:val="2"/>
                <w:szCs w:val="2"/>
              </w:rPr>
            </w:pPr>
          </w:p>
        </w:tc>
        <w:tc>
          <w:tcPr>
            <w:tcW w:w="3499" w:type="dxa"/>
            <w:vMerge/>
            <w:tcBorders>
              <w:top w:val="nil"/>
            </w:tcBorders>
          </w:tcPr>
          <w:p>
            <w:pPr>
              <w:rPr>
                <w:sz w:val="2"/>
                <w:szCs w:val="2"/>
              </w:rPr>
            </w:pPr>
          </w:p>
        </w:tc>
        <w:tc>
          <w:tcPr>
            <w:tcW w:w="4226" w:type="dxa"/>
          </w:tcPr>
          <w:p>
            <w:pPr>
              <w:pStyle w:val="TableParagraph"/>
              <w:spacing w:line="168" w:lineRule="exact" w:before="13"/>
              <w:ind w:left="35"/>
              <w:rPr>
                <w:rFonts w:ascii="Arial"/>
                <w:b/>
                <w:sz w:val="16"/>
              </w:rPr>
            </w:pPr>
            <w:r>
              <w:rPr>
                <w:rFonts w:ascii="Arial"/>
                <w:b/>
                <w:sz w:val="16"/>
              </w:rPr>
              <w:t>Risk</w:t>
            </w:r>
            <w:r>
              <w:rPr>
                <w:rFonts w:ascii="Arial"/>
                <w:b/>
                <w:spacing w:val="4"/>
                <w:sz w:val="16"/>
              </w:rPr>
              <w:t> </w:t>
            </w:r>
            <w:r>
              <w:rPr>
                <w:rFonts w:ascii="Arial"/>
                <w:b/>
                <w:sz w:val="16"/>
              </w:rPr>
              <w:t>Lead:</w:t>
            </w:r>
            <w:r>
              <w:rPr>
                <w:rFonts w:ascii="Arial"/>
                <w:b/>
                <w:spacing w:val="6"/>
                <w:sz w:val="16"/>
              </w:rPr>
              <w:t> </w:t>
            </w:r>
            <w:r>
              <w:rPr>
                <w:rFonts w:ascii="Arial"/>
                <w:b/>
                <w:sz w:val="16"/>
              </w:rPr>
              <w:t>Director,</w:t>
            </w:r>
            <w:r>
              <w:rPr>
                <w:rFonts w:ascii="Arial"/>
                <w:b/>
                <w:spacing w:val="6"/>
                <w:sz w:val="16"/>
              </w:rPr>
              <w:t> </w:t>
            </w:r>
            <w:r>
              <w:rPr>
                <w:rFonts w:ascii="Arial"/>
                <w:b/>
                <w:sz w:val="16"/>
              </w:rPr>
              <w:t>Legal</w:t>
            </w:r>
            <w:r>
              <w:rPr>
                <w:rFonts w:ascii="Arial"/>
                <w:b/>
                <w:spacing w:val="5"/>
                <w:sz w:val="16"/>
              </w:rPr>
              <w:t> </w:t>
            </w:r>
            <w:r>
              <w:rPr>
                <w:rFonts w:ascii="Arial"/>
                <w:b/>
                <w:sz w:val="16"/>
              </w:rPr>
              <w:t>&amp;</w:t>
            </w:r>
            <w:r>
              <w:rPr>
                <w:rFonts w:ascii="Arial"/>
                <w:b/>
                <w:spacing w:val="4"/>
                <w:sz w:val="16"/>
              </w:rPr>
              <w:t> </w:t>
            </w:r>
            <w:r>
              <w:rPr>
                <w:rFonts w:ascii="Arial"/>
                <w:b/>
                <w:sz w:val="16"/>
              </w:rPr>
              <w:t>Risk</w:t>
            </w:r>
            <w:r>
              <w:rPr>
                <w:rFonts w:ascii="Arial"/>
                <w:b/>
                <w:spacing w:val="7"/>
                <w:sz w:val="16"/>
              </w:rPr>
              <w:t> </w:t>
            </w:r>
            <w:r>
              <w:rPr>
                <w:rFonts w:ascii="Arial"/>
                <w:b/>
                <w:spacing w:val="-2"/>
                <w:sz w:val="16"/>
              </w:rPr>
              <w:t>Services</w:t>
            </w:r>
          </w:p>
        </w:tc>
        <w:tc>
          <w:tcPr>
            <w:tcW w:w="888" w:type="dxa"/>
            <w:vMerge/>
            <w:tcBorders>
              <w:top w:val="nil"/>
            </w:tcBorders>
          </w:tcPr>
          <w:p>
            <w:pPr>
              <w:rPr>
                <w:sz w:val="2"/>
                <w:szCs w:val="2"/>
              </w:rPr>
            </w:pPr>
          </w:p>
        </w:tc>
        <w:tc>
          <w:tcPr>
            <w:tcW w:w="1246" w:type="dxa"/>
            <w:vMerge/>
            <w:tcBorders>
              <w:top w:val="nil"/>
            </w:tcBorders>
            <w:shd w:val="clear" w:color="auto" w:fill="00AF50"/>
          </w:tcPr>
          <w:p>
            <w:pPr>
              <w:rPr>
                <w:sz w:val="2"/>
                <w:szCs w:val="2"/>
              </w:rPr>
            </w:pPr>
          </w:p>
        </w:tc>
      </w:tr>
      <w:tr>
        <w:trPr>
          <w:trHeight w:val="815" w:hRule="atLeast"/>
        </w:trPr>
        <w:tc>
          <w:tcPr>
            <w:tcW w:w="667" w:type="dxa"/>
            <w:vMerge w:val="restart"/>
          </w:tcPr>
          <w:p>
            <w:pPr>
              <w:pStyle w:val="TableParagraph"/>
              <w:rPr>
                <w:sz w:val="18"/>
              </w:rPr>
            </w:pPr>
          </w:p>
          <w:p>
            <w:pPr>
              <w:pStyle w:val="TableParagraph"/>
              <w:rPr>
                <w:sz w:val="16"/>
              </w:rPr>
            </w:pPr>
          </w:p>
          <w:p>
            <w:pPr>
              <w:pStyle w:val="TableParagraph"/>
              <w:ind w:left="194"/>
              <w:rPr>
                <w:rFonts w:ascii="Arial"/>
                <w:b/>
                <w:sz w:val="16"/>
              </w:rPr>
            </w:pPr>
            <w:r>
              <w:rPr>
                <w:rFonts w:ascii="Arial"/>
                <w:b/>
                <w:spacing w:val="-5"/>
                <w:sz w:val="16"/>
              </w:rPr>
              <w:t>A13</w:t>
            </w:r>
          </w:p>
        </w:tc>
        <w:tc>
          <w:tcPr>
            <w:tcW w:w="3583" w:type="dxa"/>
          </w:tcPr>
          <w:p>
            <w:pPr>
              <w:pStyle w:val="TableParagraph"/>
              <w:spacing w:line="264" w:lineRule="auto" w:before="3"/>
              <w:ind w:left="33"/>
              <w:rPr>
                <w:rFonts w:ascii="Arial"/>
                <w:sz w:val="16"/>
              </w:rPr>
            </w:pPr>
            <w:r>
              <w:rPr>
                <w:rFonts w:ascii="Arial"/>
                <w:sz w:val="16"/>
              </w:rPr>
              <w:t>The planned development of the Clinical Pharmacy Service is adversely impacted due to financial and staffing challenges </w:t>
            </w:r>
            <w:r>
              <w:rPr>
                <w:rFonts w:ascii="Arial"/>
                <w:color w:val="FF0000"/>
                <w:sz w:val="16"/>
              </w:rPr>
              <w:t>(added Sept</w:t>
            </w:r>
          </w:p>
          <w:p>
            <w:pPr>
              <w:pStyle w:val="TableParagraph"/>
              <w:spacing w:line="182" w:lineRule="exact"/>
              <w:ind w:left="33"/>
              <w:rPr>
                <w:rFonts w:ascii="Arial"/>
                <w:sz w:val="16"/>
              </w:rPr>
            </w:pPr>
            <w:r>
              <w:rPr>
                <w:rFonts w:ascii="Arial"/>
                <w:color w:val="FF0000"/>
                <w:spacing w:val="-5"/>
                <w:sz w:val="16"/>
              </w:rPr>
              <w:t>22</w:t>
            </w:r>
            <w:r>
              <w:rPr>
                <w:rFonts w:ascii="Arial"/>
                <w:spacing w:val="-5"/>
                <w:sz w:val="16"/>
              </w:rPr>
              <w:t>)</w:t>
            </w:r>
          </w:p>
        </w:tc>
        <w:tc>
          <w:tcPr>
            <w:tcW w:w="583" w:type="dxa"/>
            <w:vMerge w:val="restart"/>
          </w:tcPr>
          <w:p>
            <w:pPr>
              <w:pStyle w:val="TableParagraph"/>
              <w:rPr>
                <w:sz w:val="18"/>
              </w:rPr>
            </w:pPr>
          </w:p>
          <w:p>
            <w:pPr>
              <w:pStyle w:val="TableParagraph"/>
              <w:rPr>
                <w:sz w:val="16"/>
              </w:rPr>
            </w:pPr>
          </w:p>
          <w:p>
            <w:pPr>
              <w:pStyle w:val="TableParagraph"/>
              <w:ind w:left="31"/>
              <w:jc w:val="center"/>
              <w:rPr>
                <w:rFonts w:ascii="Arial"/>
                <w:sz w:val="16"/>
              </w:rPr>
            </w:pPr>
            <w:r>
              <w:rPr>
                <w:rFonts w:ascii="Arial"/>
                <w:w w:val="101"/>
                <w:sz w:val="16"/>
              </w:rPr>
              <w:t>4</w:t>
            </w:r>
          </w:p>
        </w:tc>
        <w:tc>
          <w:tcPr>
            <w:tcW w:w="660" w:type="dxa"/>
            <w:vMerge w:val="restart"/>
          </w:tcPr>
          <w:p>
            <w:pPr>
              <w:pStyle w:val="TableParagraph"/>
              <w:rPr>
                <w:sz w:val="18"/>
              </w:rPr>
            </w:pPr>
          </w:p>
          <w:p>
            <w:pPr>
              <w:pStyle w:val="TableParagraph"/>
              <w:rPr>
                <w:sz w:val="16"/>
              </w:rPr>
            </w:pPr>
          </w:p>
          <w:p>
            <w:pPr>
              <w:pStyle w:val="TableParagraph"/>
              <w:ind w:left="32"/>
              <w:jc w:val="center"/>
              <w:rPr>
                <w:rFonts w:ascii="Arial"/>
                <w:sz w:val="16"/>
              </w:rPr>
            </w:pPr>
            <w:r>
              <w:rPr>
                <w:rFonts w:ascii="Arial"/>
                <w:w w:val="101"/>
                <w:sz w:val="16"/>
              </w:rPr>
              <w:t>4</w:t>
            </w:r>
          </w:p>
        </w:tc>
        <w:tc>
          <w:tcPr>
            <w:tcW w:w="713" w:type="dxa"/>
            <w:vMerge w:val="restart"/>
            <w:shd w:val="clear" w:color="auto" w:fill="FF0000"/>
          </w:tcPr>
          <w:p>
            <w:pPr>
              <w:pStyle w:val="TableParagraph"/>
              <w:rPr>
                <w:sz w:val="18"/>
              </w:rPr>
            </w:pPr>
          </w:p>
          <w:p>
            <w:pPr>
              <w:pStyle w:val="TableParagraph"/>
              <w:rPr>
                <w:sz w:val="16"/>
              </w:rPr>
            </w:pPr>
          </w:p>
          <w:p>
            <w:pPr>
              <w:pStyle w:val="TableParagraph"/>
              <w:ind w:left="255" w:right="224"/>
              <w:jc w:val="center"/>
              <w:rPr>
                <w:rFonts w:ascii="Arial"/>
                <w:sz w:val="16"/>
              </w:rPr>
            </w:pPr>
            <w:r>
              <w:rPr>
                <w:rFonts w:ascii="Arial"/>
                <w:spacing w:val="-5"/>
                <w:sz w:val="16"/>
              </w:rPr>
              <w:t>16</w:t>
            </w:r>
          </w:p>
        </w:tc>
        <w:tc>
          <w:tcPr>
            <w:tcW w:w="3679" w:type="dxa"/>
            <w:vMerge w:val="restart"/>
          </w:tcPr>
          <w:p>
            <w:pPr>
              <w:pStyle w:val="TableParagraph"/>
              <w:spacing w:before="3"/>
              <w:ind w:left="33"/>
              <w:rPr>
                <w:rFonts w:ascii="Arial"/>
                <w:sz w:val="16"/>
              </w:rPr>
            </w:pPr>
            <w:r>
              <w:rPr>
                <w:rFonts w:ascii="Arial"/>
                <w:sz w:val="16"/>
              </w:rPr>
              <w:t>CIVAS </w:t>
            </w:r>
            <w:r>
              <w:rPr>
                <w:rFonts w:ascii="Arial"/>
                <w:spacing w:val="-2"/>
                <w:sz w:val="16"/>
              </w:rPr>
              <w:t>Board</w:t>
            </w:r>
          </w:p>
          <w:p>
            <w:pPr>
              <w:pStyle w:val="TableParagraph"/>
              <w:spacing w:before="18"/>
              <w:ind w:left="33"/>
              <w:rPr>
                <w:rFonts w:ascii="Arial"/>
                <w:sz w:val="16"/>
              </w:rPr>
            </w:pPr>
            <w:r>
              <w:rPr>
                <w:rFonts w:ascii="Arial"/>
                <w:sz w:val="16"/>
              </w:rPr>
              <w:t>National</w:t>
            </w:r>
            <w:r>
              <w:rPr>
                <w:rFonts w:ascii="Arial"/>
                <w:spacing w:val="4"/>
                <w:sz w:val="16"/>
              </w:rPr>
              <w:t> </w:t>
            </w:r>
            <w:r>
              <w:rPr>
                <w:rFonts w:ascii="Arial"/>
                <w:sz w:val="16"/>
              </w:rPr>
              <w:t>QA</w:t>
            </w:r>
            <w:r>
              <w:rPr>
                <w:rFonts w:ascii="Arial"/>
                <w:spacing w:val="5"/>
                <w:sz w:val="16"/>
              </w:rPr>
              <w:t> </w:t>
            </w:r>
            <w:r>
              <w:rPr>
                <w:rFonts w:ascii="Arial"/>
                <w:spacing w:val="-2"/>
                <w:sz w:val="16"/>
              </w:rPr>
              <w:t>Pharmacist</w:t>
            </w:r>
          </w:p>
        </w:tc>
        <w:tc>
          <w:tcPr>
            <w:tcW w:w="583" w:type="dxa"/>
            <w:vMerge w:val="restart"/>
          </w:tcPr>
          <w:p>
            <w:pPr>
              <w:pStyle w:val="TableParagraph"/>
              <w:rPr>
                <w:sz w:val="18"/>
              </w:rPr>
            </w:pPr>
          </w:p>
          <w:p>
            <w:pPr>
              <w:pStyle w:val="TableParagraph"/>
              <w:rPr>
                <w:sz w:val="16"/>
              </w:rPr>
            </w:pPr>
          </w:p>
          <w:p>
            <w:pPr>
              <w:pStyle w:val="TableParagraph"/>
              <w:ind w:left="32"/>
              <w:jc w:val="center"/>
              <w:rPr>
                <w:rFonts w:ascii="Arial"/>
                <w:sz w:val="16"/>
              </w:rPr>
            </w:pPr>
            <w:r>
              <w:rPr>
                <w:rFonts w:ascii="Arial"/>
                <w:w w:val="101"/>
                <w:sz w:val="16"/>
              </w:rPr>
              <w:t>3</w:t>
            </w:r>
          </w:p>
        </w:tc>
        <w:tc>
          <w:tcPr>
            <w:tcW w:w="621" w:type="dxa"/>
            <w:vMerge w:val="restart"/>
          </w:tcPr>
          <w:p>
            <w:pPr>
              <w:pStyle w:val="TableParagraph"/>
              <w:rPr>
                <w:sz w:val="18"/>
              </w:rPr>
            </w:pPr>
          </w:p>
          <w:p>
            <w:pPr>
              <w:pStyle w:val="TableParagraph"/>
              <w:rPr>
                <w:sz w:val="16"/>
              </w:rPr>
            </w:pPr>
          </w:p>
          <w:p>
            <w:pPr>
              <w:pStyle w:val="TableParagraph"/>
              <w:ind w:left="32"/>
              <w:jc w:val="center"/>
              <w:rPr>
                <w:rFonts w:ascii="Arial"/>
                <w:sz w:val="16"/>
              </w:rPr>
            </w:pPr>
            <w:r>
              <w:rPr>
                <w:rFonts w:ascii="Arial"/>
                <w:w w:val="101"/>
                <w:sz w:val="16"/>
              </w:rPr>
              <w:t>4</w:t>
            </w:r>
          </w:p>
        </w:tc>
        <w:tc>
          <w:tcPr>
            <w:tcW w:w="698" w:type="dxa"/>
            <w:vMerge w:val="restart"/>
            <w:shd w:val="clear" w:color="auto" w:fill="FFBF00"/>
          </w:tcPr>
          <w:p>
            <w:pPr>
              <w:pStyle w:val="TableParagraph"/>
              <w:rPr>
                <w:sz w:val="18"/>
              </w:rPr>
            </w:pPr>
          </w:p>
          <w:p>
            <w:pPr>
              <w:pStyle w:val="TableParagraph"/>
              <w:rPr>
                <w:sz w:val="16"/>
              </w:rPr>
            </w:pPr>
          </w:p>
          <w:p>
            <w:pPr>
              <w:pStyle w:val="TableParagraph"/>
              <w:ind w:left="248" w:right="214"/>
              <w:jc w:val="center"/>
              <w:rPr>
                <w:rFonts w:ascii="Arial"/>
                <w:sz w:val="16"/>
              </w:rPr>
            </w:pPr>
            <w:r>
              <w:rPr>
                <w:rFonts w:ascii="Arial"/>
                <w:spacing w:val="-5"/>
                <w:sz w:val="16"/>
              </w:rPr>
              <w:t>12</w:t>
            </w:r>
          </w:p>
        </w:tc>
        <w:tc>
          <w:tcPr>
            <w:tcW w:w="3499" w:type="dxa"/>
            <w:vMerge w:val="restart"/>
          </w:tcPr>
          <w:p>
            <w:pPr>
              <w:pStyle w:val="TableParagraph"/>
              <w:spacing w:line="264" w:lineRule="auto" w:before="3"/>
              <w:ind w:left="35"/>
              <w:rPr>
                <w:rFonts w:ascii="Arial"/>
                <w:sz w:val="16"/>
              </w:rPr>
            </w:pPr>
            <w:r>
              <w:rPr>
                <w:rFonts w:ascii="Arial"/>
                <w:sz w:val="16"/>
              </w:rPr>
              <w:t>On-going discussion regarding funding </w:t>
            </w:r>
            <w:r>
              <w:rPr>
                <w:rFonts w:ascii="Arial"/>
                <w:sz w:val="16"/>
              </w:rPr>
              <w:t>and TUPE of staff from Health Boards.</w:t>
            </w:r>
          </w:p>
        </w:tc>
        <w:tc>
          <w:tcPr>
            <w:tcW w:w="4226" w:type="dxa"/>
          </w:tcPr>
          <w:p>
            <w:pPr>
              <w:pStyle w:val="TableParagraph"/>
              <w:spacing w:before="8"/>
              <w:ind w:left="32"/>
              <w:rPr>
                <w:rFonts w:ascii="Calibri"/>
                <w:sz w:val="16"/>
              </w:rPr>
            </w:pPr>
            <w:r>
              <w:rPr>
                <w:rFonts w:ascii="Calibri"/>
                <w:sz w:val="16"/>
              </w:rPr>
              <w:t>Update</w:t>
            </w:r>
            <w:r>
              <w:rPr>
                <w:rFonts w:ascii="Calibri"/>
                <w:spacing w:val="2"/>
                <w:sz w:val="16"/>
              </w:rPr>
              <w:t> </w:t>
            </w:r>
            <w:r>
              <w:rPr>
                <w:rFonts w:ascii="Calibri"/>
                <w:sz w:val="16"/>
              </w:rPr>
              <w:t>on</w:t>
            </w:r>
            <w:r>
              <w:rPr>
                <w:rFonts w:ascii="Calibri"/>
                <w:spacing w:val="3"/>
                <w:sz w:val="16"/>
              </w:rPr>
              <w:t> </w:t>
            </w:r>
            <w:r>
              <w:rPr>
                <w:rFonts w:ascii="Calibri"/>
                <w:sz w:val="16"/>
              </w:rPr>
              <w:t>SSPC</w:t>
            </w:r>
            <w:r>
              <w:rPr>
                <w:rFonts w:ascii="Calibri"/>
                <w:spacing w:val="2"/>
                <w:sz w:val="16"/>
              </w:rPr>
              <w:t> </w:t>
            </w:r>
            <w:r>
              <w:rPr>
                <w:rFonts w:ascii="Calibri"/>
                <w:spacing w:val="-2"/>
                <w:sz w:val="16"/>
              </w:rPr>
              <w:t>Agenda</w:t>
            </w:r>
          </w:p>
        </w:tc>
        <w:tc>
          <w:tcPr>
            <w:tcW w:w="888" w:type="dxa"/>
            <w:vMerge w:val="restart"/>
          </w:tcPr>
          <w:p>
            <w:pPr>
              <w:pStyle w:val="TableParagraph"/>
              <w:spacing w:before="10"/>
              <w:rPr>
                <w:sz w:val="26"/>
              </w:rPr>
            </w:pPr>
          </w:p>
          <w:p>
            <w:pPr>
              <w:pStyle w:val="TableParagraph"/>
              <w:spacing w:before="1"/>
              <w:ind w:left="268"/>
              <w:rPr>
                <w:rFonts w:ascii="Wingdings 3" w:hAnsi="Wingdings 3"/>
                <w:sz w:val="32"/>
              </w:rPr>
            </w:pPr>
            <w:r>
              <w:rPr>
                <w:rFonts w:ascii="Wingdings 3" w:hAnsi="Wingdings 3"/>
                <w:color w:val="FFBF00"/>
                <w:w w:val="101"/>
                <w:sz w:val="32"/>
              </w:rPr>
              <w:t></w:t>
            </w:r>
          </w:p>
        </w:tc>
        <w:tc>
          <w:tcPr>
            <w:tcW w:w="1246" w:type="dxa"/>
            <w:vMerge w:val="restart"/>
            <w:shd w:val="clear" w:color="auto" w:fill="FFFF00"/>
          </w:tcPr>
          <w:p>
            <w:pPr>
              <w:pStyle w:val="TableParagraph"/>
              <w:rPr>
                <w:sz w:val="18"/>
              </w:rPr>
            </w:pPr>
          </w:p>
          <w:p>
            <w:pPr>
              <w:pStyle w:val="TableParagraph"/>
              <w:spacing w:before="5"/>
              <w:rPr>
                <w:sz w:val="16"/>
              </w:rPr>
            </w:pPr>
          </w:p>
          <w:p>
            <w:pPr>
              <w:pStyle w:val="TableParagraph"/>
              <w:ind w:left="218"/>
              <w:rPr>
                <w:rFonts w:ascii="Arial"/>
                <w:b/>
                <w:sz w:val="16"/>
              </w:rPr>
            </w:pPr>
            <w:r>
              <w:rPr>
                <w:rFonts w:ascii="Arial"/>
                <w:b/>
                <w:spacing w:val="-2"/>
                <w:sz w:val="16"/>
              </w:rPr>
              <w:t>31/03/2023</w:t>
            </w:r>
          </w:p>
        </w:tc>
      </w:tr>
      <w:tr>
        <w:trPr>
          <w:trHeight w:val="200" w:hRule="atLeast"/>
        </w:trPr>
        <w:tc>
          <w:tcPr>
            <w:tcW w:w="667" w:type="dxa"/>
            <w:vMerge/>
            <w:tcBorders>
              <w:top w:val="nil"/>
            </w:tcBorders>
          </w:tcPr>
          <w:p>
            <w:pPr>
              <w:rPr>
                <w:sz w:val="2"/>
                <w:szCs w:val="2"/>
              </w:rPr>
            </w:pPr>
          </w:p>
        </w:tc>
        <w:tc>
          <w:tcPr>
            <w:tcW w:w="3583" w:type="dxa"/>
          </w:tcPr>
          <w:p>
            <w:pPr>
              <w:pStyle w:val="TableParagraph"/>
              <w:spacing w:line="171" w:lineRule="exact" w:before="10"/>
              <w:ind w:left="33"/>
              <w:rPr>
                <w:rFonts w:ascii="Arial"/>
                <w:b/>
                <w:sz w:val="16"/>
              </w:rPr>
            </w:pPr>
            <w:r>
              <w:rPr>
                <w:rFonts w:ascii="Arial"/>
                <w:b/>
                <w:sz w:val="16"/>
              </w:rPr>
              <w:t>Esclalated</w:t>
            </w:r>
            <w:r>
              <w:rPr>
                <w:rFonts w:ascii="Arial"/>
                <w:b/>
                <w:spacing w:val="10"/>
                <w:sz w:val="16"/>
              </w:rPr>
              <w:t> </w:t>
            </w:r>
            <w:r>
              <w:rPr>
                <w:rFonts w:ascii="Arial"/>
                <w:b/>
                <w:sz w:val="16"/>
              </w:rPr>
              <w:t>Divisional</w:t>
            </w:r>
            <w:r>
              <w:rPr>
                <w:rFonts w:ascii="Arial"/>
                <w:b/>
                <w:spacing w:val="8"/>
                <w:sz w:val="16"/>
              </w:rPr>
              <w:t> </w:t>
            </w:r>
            <w:r>
              <w:rPr>
                <w:rFonts w:ascii="Arial"/>
                <w:b/>
                <w:spacing w:val="-4"/>
                <w:sz w:val="16"/>
              </w:rPr>
              <w:t>Risk</w:t>
            </w: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tcBorders>
            <w:shd w:val="clear" w:color="auto" w:fill="FF00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FFBF00"/>
          </w:tcPr>
          <w:p>
            <w:pPr>
              <w:rPr>
                <w:sz w:val="2"/>
                <w:szCs w:val="2"/>
              </w:rPr>
            </w:pPr>
          </w:p>
        </w:tc>
        <w:tc>
          <w:tcPr>
            <w:tcW w:w="3499" w:type="dxa"/>
            <w:vMerge/>
            <w:tcBorders>
              <w:top w:val="nil"/>
            </w:tcBorders>
          </w:tcPr>
          <w:p>
            <w:pPr>
              <w:rPr>
                <w:sz w:val="2"/>
                <w:szCs w:val="2"/>
              </w:rPr>
            </w:pPr>
          </w:p>
        </w:tc>
        <w:tc>
          <w:tcPr>
            <w:tcW w:w="4226" w:type="dxa"/>
          </w:tcPr>
          <w:p>
            <w:pPr>
              <w:pStyle w:val="TableParagraph"/>
              <w:spacing w:line="168" w:lineRule="exact" w:before="13"/>
              <w:ind w:left="35"/>
              <w:rPr>
                <w:rFonts w:ascii="Arial"/>
                <w:b/>
                <w:sz w:val="16"/>
              </w:rPr>
            </w:pPr>
            <w:r>
              <w:rPr>
                <w:rFonts w:ascii="Arial"/>
                <w:b/>
                <w:sz w:val="16"/>
              </w:rPr>
              <w:t>Risk</w:t>
            </w:r>
            <w:r>
              <w:rPr>
                <w:rFonts w:ascii="Arial"/>
                <w:b/>
                <w:spacing w:val="4"/>
                <w:sz w:val="16"/>
              </w:rPr>
              <w:t> </w:t>
            </w:r>
            <w:r>
              <w:rPr>
                <w:rFonts w:ascii="Arial"/>
                <w:b/>
                <w:sz w:val="16"/>
              </w:rPr>
              <w:t>Lead:</w:t>
            </w:r>
            <w:r>
              <w:rPr>
                <w:rFonts w:ascii="Arial"/>
                <w:b/>
                <w:spacing w:val="7"/>
                <w:sz w:val="16"/>
              </w:rPr>
              <w:t> </w:t>
            </w:r>
            <w:r>
              <w:rPr>
                <w:rFonts w:ascii="Arial"/>
                <w:b/>
                <w:sz w:val="16"/>
              </w:rPr>
              <w:t>Service</w:t>
            </w:r>
            <w:r>
              <w:rPr>
                <w:rFonts w:ascii="Arial"/>
                <w:b/>
                <w:spacing w:val="3"/>
                <w:sz w:val="16"/>
              </w:rPr>
              <w:t> </w:t>
            </w:r>
            <w:r>
              <w:rPr>
                <w:rFonts w:ascii="Arial"/>
                <w:b/>
                <w:spacing w:val="-2"/>
                <w:sz w:val="16"/>
              </w:rPr>
              <w:t>Director</w:t>
            </w:r>
          </w:p>
        </w:tc>
        <w:tc>
          <w:tcPr>
            <w:tcW w:w="888" w:type="dxa"/>
            <w:vMerge/>
            <w:tcBorders>
              <w:top w:val="nil"/>
            </w:tcBorders>
          </w:tcPr>
          <w:p>
            <w:pPr>
              <w:rPr>
                <w:sz w:val="2"/>
                <w:szCs w:val="2"/>
              </w:rPr>
            </w:pPr>
          </w:p>
        </w:tc>
        <w:tc>
          <w:tcPr>
            <w:tcW w:w="1246" w:type="dxa"/>
            <w:vMerge/>
            <w:tcBorders>
              <w:top w:val="nil"/>
            </w:tcBorders>
            <w:shd w:val="clear" w:color="auto" w:fill="FFFF00"/>
          </w:tcPr>
          <w:p>
            <w:pPr>
              <w:rPr>
                <w:sz w:val="2"/>
                <w:szCs w:val="2"/>
              </w:rPr>
            </w:pPr>
          </w:p>
        </w:tc>
      </w:tr>
      <w:tr>
        <w:trPr>
          <w:trHeight w:val="1021" w:hRule="atLeast"/>
        </w:trPr>
        <w:tc>
          <w:tcPr>
            <w:tcW w:w="667" w:type="dxa"/>
            <w:vMerge w:val="restart"/>
          </w:tcPr>
          <w:p>
            <w:pPr>
              <w:pStyle w:val="TableParagraph"/>
              <w:rPr>
                <w:sz w:val="18"/>
              </w:rPr>
            </w:pPr>
          </w:p>
          <w:p>
            <w:pPr>
              <w:pStyle w:val="TableParagraph"/>
              <w:spacing w:before="6"/>
              <w:rPr>
                <w:sz w:val="24"/>
              </w:rPr>
            </w:pPr>
          </w:p>
          <w:p>
            <w:pPr>
              <w:pStyle w:val="TableParagraph"/>
              <w:ind w:left="194"/>
              <w:rPr>
                <w:rFonts w:ascii="Arial"/>
                <w:b/>
                <w:sz w:val="16"/>
              </w:rPr>
            </w:pPr>
            <w:r>
              <w:rPr>
                <w:rFonts w:ascii="Arial"/>
                <w:b/>
                <w:spacing w:val="-5"/>
                <w:sz w:val="16"/>
              </w:rPr>
              <w:t>A14</w:t>
            </w:r>
          </w:p>
        </w:tc>
        <w:tc>
          <w:tcPr>
            <w:tcW w:w="3583" w:type="dxa"/>
          </w:tcPr>
          <w:p>
            <w:pPr>
              <w:pStyle w:val="TableParagraph"/>
              <w:spacing w:line="264" w:lineRule="auto" w:before="3"/>
              <w:ind w:left="33"/>
              <w:rPr>
                <w:rFonts w:ascii="Arial"/>
                <w:sz w:val="16"/>
              </w:rPr>
            </w:pPr>
            <w:r>
              <w:rPr>
                <w:rFonts w:ascii="Arial"/>
                <w:sz w:val="16"/>
              </w:rPr>
              <w:t>The lack of available capital threatens the successful implementation of the Laundry Transformation programme, resulting in required service improvements not being achieved.</w:t>
            </w:r>
          </w:p>
        </w:tc>
        <w:tc>
          <w:tcPr>
            <w:tcW w:w="583" w:type="dxa"/>
            <w:vMerge w:val="restart"/>
          </w:tcPr>
          <w:p>
            <w:pPr>
              <w:pStyle w:val="TableParagraph"/>
              <w:rPr>
                <w:sz w:val="18"/>
              </w:rPr>
            </w:pPr>
          </w:p>
          <w:p>
            <w:pPr>
              <w:pStyle w:val="TableParagraph"/>
              <w:spacing w:before="6"/>
              <w:rPr>
                <w:sz w:val="24"/>
              </w:rPr>
            </w:pPr>
          </w:p>
          <w:p>
            <w:pPr>
              <w:pStyle w:val="TableParagraph"/>
              <w:ind w:left="31"/>
              <w:jc w:val="center"/>
              <w:rPr>
                <w:rFonts w:ascii="Arial"/>
                <w:sz w:val="16"/>
              </w:rPr>
            </w:pPr>
            <w:r>
              <w:rPr>
                <w:rFonts w:ascii="Arial"/>
                <w:w w:val="101"/>
                <w:sz w:val="16"/>
              </w:rPr>
              <w:t>5</w:t>
            </w:r>
          </w:p>
        </w:tc>
        <w:tc>
          <w:tcPr>
            <w:tcW w:w="660" w:type="dxa"/>
            <w:vMerge w:val="restart"/>
          </w:tcPr>
          <w:p>
            <w:pPr>
              <w:pStyle w:val="TableParagraph"/>
              <w:rPr>
                <w:sz w:val="18"/>
              </w:rPr>
            </w:pPr>
          </w:p>
          <w:p>
            <w:pPr>
              <w:pStyle w:val="TableParagraph"/>
              <w:spacing w:before="6"/>
              <w:rPr>
                <w:sz w:val="24"/>
              </w:rPr>
            </w:pPr>
          </w:p>
          <w:p>
            <w:pPr>
              <w:pStyle w:val="TableParagraph"/>
              <w:ind w:left="32"/>
              <w:jc w:val="center"/>
              <w:rPr>
                <w:rFonts w:ascii="Arial"/>
                <w:sz w:val="16"/>
              </w:rPr>
            </w:pPr>
            <w:r>
              <w:rPr>
                <w:rFonts w:ascii="Arial"/>
                <w:w w:val="101"/>
                <w:sz w:val="16"/>
              </w:rPr>
              <w:t>5</w:t>
            </w:r>
          </w:p>
        </w:tc>
        <w:tc>
          <w:tcPr>
            <w:tcW w:w="713" w:type="dxa"/>
            <w:vMerge w:val="restart"/>
            <w:shd w:val="clear" w:color="auto" w:fill="FF0000"/>
          </w:tcPr>
          <w:p>
            <w:pPr>
              <w:pStyle w:val="TableParagraph"/>
              <w:rPr>
                <w:sz w:val="18"/>
              </w:rPr>
            </w:pPr>
          </w:p>
          <w:p>
            <w:pPr>
              <w:pStyle w:val="TableParagraph"/>
              <w:spacing w:before="6"/>
              <w:rPr>
                <w:sz w:val="24"/>
              </w:rPr>
            </w:pPr>
          </w:p>
          <w:p>
            <w:pPr>
              <w:pStyle w:val="TableParagraph"/>
              <w:ind w:left="255" w:right="224"/>
              <w:jc w:val="center"/>
              <w:rPr>
                <w:rFonts w:ascii="Arial"/>
                <w:sz w:val="16"/>
              </w:rPr>
            </w:pPr>
            <w:r>
              <w:rPr>
                <w:rFonts w:ascii="Arial"/>
                <w:spacing w:val="-5"/>
                <w:sz w:val="16"/>
              </w:rPr>
              <w:t>25</w:t>
            </w:r>
          </w:p>
        </w:tc>
        <w:tc>
          <w:tcPr>
            <w:tcW w:w="3679" w:type="dxa"/>
            <w:vMerge w:val="restart"/>
          </w:tcPr>
          <w:p>
            <w:pPr>
              <w:pStyle w:val="TableParagraph"/>
              <w:spacing w:line="264" w:lineRule="auto" w:before="3"/>
              <w:ind w:left="33" w:right="236"/>
              <w:rPr>
                <w:rFonts w:ascii="Arial"/>
                <w:sz w:val="16"/>
              </w:rPr>
            </w:pPr>
            <w:r>
              <w:rPr>
                <w:rFonts w:ascii="Arial"/>
                <w:sz w:val="16"/>
              </w:rPr>
              <w:t>Business Case signed off at SSPC and Trust </w:t>
            </w:r>
            <w:r>
              <w:rPr>
                <w:rFonts w:ascii="Arial"/>
                <w:spacing w:val="-2"/>
                <w:sz w:val="16"/>
              </w:rPr>
              <w:t>Board</w:t>
            </w:r>
          </w:p>
        </w:tc>
        <w:tc>
          <w:tcPr>
            <w:tcW w:w="583" w:type="dxa"/>
            <w:vMerge w:val="restart"/>
          </w:tcPr>
          <w:p>
            <w:pPr>
              <w:pStyle w:val="TableParagraph"/>
              <w:rPr>
                <w:sz w:val="18"/>
              </w:rPr>
            </w:pPr>
          </w:p>
          <w:p>
            <w:pPr>
              <w:pStyle w:val="TableParagraph"/>
              <w:spacing w:before="6"/>
              <w:rPr>
                <w:sz w:val="24"/>
              </w:rPr>
            </w:pPr>
          </w:p>
          <w:p>
            <w:pPr>
              <w:pStyle w:val="TableParagraph"/>
              <w:ind w:left="32"/>
              <w:jc w:val="center"/>
              <w:rPr>
                <w:rFonts w:ascii="Arial"/>
                <w:sz w:val="16"/>
              </w:rPr>
            </w:pPr>
            <w:r>
              <w:rPr>
                <w:rFonts w:ascii="Arial"/>
                <w:w w:val="101"/>
                <w:sz w:val="16"/>
              </w:rPr>
              <w:t>5</w:t>
            </w:r>
          </w:p>
        </w:tc>
        <w:tc>
          <w:tcPr>
            <w:tcW w:w="621" w:type="dxa"/>
            <w:vMerge w:val="restart"/>
          </w:tcPr>
          <w:p>
            <w:pPr>
              <w:pStyle w:val="TableParagraph"/>
              <w:rPr>
                <w:sz w:val="18"/>
              </w:rPr>
            </w:pPr>
          </w:p>
          <w:p>
            <w:pPr>
              <w:pStyle w:val="TableParagraph"/>
              <w:spacing w:before="6"/>
              <w:rPr>
                <w:sz w:val="24"/>
              </w:rPr>
            </w:pPr>
          </w:p>
          <w:p>
            <w:pPr>
              <w:pStyle w:val="TableParagraph"/>
              <w:ind w:left="32"/>
              <w:jc w:val="center"/>
              <w:rPr>
                <w:rFonts w:ascii="Arial"/>
                <w:sz w:val="16"/>
              </w:rPr>
            </w:pPr>
            <w:r>
              <w:rPr>
                <w:rFonts w:ascii="Arial"/>
                <w:w w:val="101"/>
                <w:sz w:val="16"/>
              </w:rPr>
              <w:t>5</w:t>
            </w:r>
          </w:p>
        </w:tc>
        <w:tc>
          <w:tcPr>
            <w:tcW w:w="698" w:type="dxa"/>
            <w:vMerge w:val="restart"/>
            <w:shd w:val="clear" w:color="auto" w:fill="FF0000"/>
          </w:tcPr>
          <w:p>
            <w:pPr>
              <w:pStyle w:val="TableParagraph"/>
              <w:rPr>
                <w:sz w:val="18"/>
              </w:rPr>
            </w:pPr>
          </w:p>
          <w:p>
            <w:pPr>
              <w:pStyle w:val="TableParagraph"/>
              <w:spacing w:before="6"/>
              <w:rPr>
                <w:sz w:val="24"/>
              </w:rPr>
            </w:pPr>
          </w:p>
          <w:p>
            <w:pPr>
              <w:pStyle w:val="TableParagraph"/>
              <w:ind w:left="248" w:right="215"/>
              <w:jc w:val="center"/>
              <w:rPr>
                <w:rFonts w:ascii="Arial"/>
                <w:sz w:val="16"/>
              </w:rPr>
            </w:pPr>
            <w:r>
              <w:rPr>
                <w:rFonts w:ascii="Arial"/>
                <w:spacing w:val="-5"/>
                <w:sz w:val="16"/>
              </w:rPr>
              <w:t>25</w:t>
            </w:r>
          </w:p>
        </w:tc>
        <w:tc>
          <w:tcPr>
            <w:tcW w:w="3499" w:type="dxa"/>
            <w:vMerge w:val="restart"/>
          </w:tcPr>
          <w:p>
            <w:pPr>
              <w:pStyle w:val="TableParagraph"/>
              <w:spacing w:line="264" w:lineRule="auto" w:before="3"/>
              <w:ind w:left="35"/>
              <w:rPr>
                <w:rFonts w:ascii="Arial"/>
                <w:sz w:val="16"/>
              </w:rPr>
            </w:pPr>
            <w:r>
              <w:rPr>
                <w:rFonts w:ascii="Arial"/>
                <w:sz w:val="16"/>
              </w:rPr>
              <w:t>Develop alternative plans that do not rely on substantial capital investment.</w:t>
            </w:r>
          </w:p>
        </w:tc>
        <w:tc>
          <w:tcPr>
            <w:tcW w:w="4226" w:type="dxa"/>
          </w:tcPr>
          <w:p>
            <w:pPr>
              <w:pStyle w:val="TableParagraph"/>
              <w:spacing w:line="264" w:lineRule="auto" w:before="3"/>
              <w:ind w:left="35" w:right="57"/>
              <w:rPr>
                <w:rFonts w:ascii="Arial"/>
                <w:sz w:val="16"/>
              </w:rPr>
            </w:pPr>
            <w:r>
              <w:rPr>
                <w:rFonts w:ascii="Arial"/>
                <w:sz w:val="16"/>
              </w:rPr>
              <w:t>Welsh Government have confirmed that the required capital funding is not available for the forseeable future.</w:t>
            </w:r>
          </w:p>
        </w:tc>
        <w:tc>
          <w:tcPr>
            <w:tcW w:w="888" w:type="dxa"/>
            <w:vMerge w:val="restart"/>
          </w:tcPr>
          <w:p>
            <w:pPr>
              <w:pStyle w:val="TableParagraph"/>
              <w:spacing w:before="5"/>
              <w:rPr>
                <w:sz w:val="36"/>
              </w:rPr>
            </w:pPr>
          </w:p>
          <w:p>
            <w:pPr>
              <w:pStyle w:val="TableParagraph"/>
              <w:ind w:left="304"/>
              <w:rPr>
                <w:rFonts w:ascii="Wingdings 2" w:hAnsi="Wingdings 2"/>
                <w:sz w:val="32"/>
              </w:rPr>
            </w:pPr>
            <w:r>
              <w:rPr>
                <w:rFonts w:ascii="Wingdings 2" w:hAnsi="Wingdings 2"/>
                <w:color w:val="FFBF00"/>
                <w:w w:val="101"/>
                <w:sz w:val="32"/>
              </w:rPr>
              <w:t></w:t>
            </w:r>
          </w:p>
        </w:tc>
        <w:tc>
          <w:tcPr>
            <w:tcW w:w="1246" w:type="dxa"/>
            <w:vMerge w:val="restart"/>
            <w:shd w:val="clear" w:color="auto" w:fill="FFFF00"/>
          </w:tcPr>
          <w:p>
            <w:pPr>
              <w:pStyle w:val="TableParagraph"/>
              <w:rPr>
                <w:sz w:val="18"/>
              </w:rPr>
            </w:pPr>
          </w:p>
          <w:p>
            <w:pPr>
              <w:pStyle w:val="TableParagraph"/>
              <w:spacing w:before="11"/>
              <w:rPr>
                <w:sz w:val="24"/>
              </w:rPr>
            </w:pPr>
          </w:p>
          <w:p>
            <w:pPr>
              <w:pStyle w:val="TableParagraph"/>
              <w:ind w:left="218"/>
              <w:rPr>
                <w:rFonts w:ascii="Arial"/>
                <w:b/>
                <w:sz w:val="16"/>
              </w:rPr>
            </w:pPr>
            <w:r>
              <w:rPr>
                <w:rFonts w:ascii="Arial"/>
                <w:b/>
                <w:spacing w:val="-2"/>
                <w:sz w:val="16"/>
              </w:rPr>
              <w:t>30/06/2023</w:t>
            </w:r>
          </w:p>
        </w:tc>
      </w:tr>
      <w:tr>
        <w:trPr>
          <w:trHeight w:val="200" w:hRule="atLeast"/>
        </w:trPr>
        <w:tc>
          <w:tcPr>
            <w:tcW w:w="667" w:type="dxa"/>
            <w:vMerge/>
            <w:tcBorders>
              <w:top w:val="nil"/>
            </w:tcBorders>
          </w:tcPr>
          <w:p>
            <w:pPr>
              <w:rPr>
                <w:sz w:val="2"/>
                <w:szCs w:val="2"/>
              </w:rPr>
            </w:pPr>
          </w:p>
        </w:tc>
        <w:tc>
          <w:tcPr>
            <w:tcW w:w="3583" w:type="dxa"/>
          </w:tcPr>
          <w:p>
            <w:pPr>
              <w:pStyle w:val="TableParagraph"/>
              <w:spacing w:line="171" w:lineRule="exact" w:before="10"/>
              <w:ind w:left="33"/>
              <w:rPr>
                <w:rFonts w:ascii="Arial"/>
                <w:b/>
                <w:sz w:val="16"/>
              </w:rPr>
            </w:pPr>
            <w:r>
              <w:rPr>
                <w:rFonts w:ascii="Arial"/>
                <w:b/>
                <w:sz w:val="16"/>
              </w:rPr>
              <w:t>Strategic</w:t>
            </w:r>
            <w:r>
              <w:rPr>
                <w:rFonts w:ascii="Arial"/>
                <w:b/>
                <w:spacing w:val="5"/>
                <w:sz w:val="16"/>
              </w:rPr>
              <w:t> </w:t>
            </w:r>
            <w:r>
              <w:rPr>
                <w:rFonts w:ascii="Arial"/>
                <w:b/>
                <w:sz w:val="16"/>
              </w:rPr>
              <w:t>Objective</w:t>
            </w:r>
            <w:r>
              <w:rPr>
                <w:rFonts w:ascii="Arial"/>
                <w:b/>
                <w:spacing w:val="4"/>
                <w:sz w:val="16"/>
              </w:rPr>
              <w:t> </w:t>
            </w:r>
            <w:r>
              <w:rPr>
                <w:rFonts w:ascii="Arial"/>
                <w:b/>
                <w:sz w:val="16"/>
              </w:rPr>
              <w:t>-</w:t>
            </w:r>
            <w:r>
              <w:rPr>
                <w:rFonts w:ascii="Arial"/>
                <w:b/>
                <w:spacing w:val="5"/>
                <w:sz w:val="16"/>
              </w:rPr>
              <w:t> </w:t>
            </w:r>
            <w:r>
              <w:rPr>
                <w:rFonts w:ascii="Arial"/>
                <w:b/>
                <w:sz w:val="16"/>
              </w:rPr>
              <w:t>Service</w:t>
            </w:r>
            <w:r>
              <w:rPr>
                <w:rFonts w:ascii="Arial"/>
                <w:b/>
                <w:spacing w:val="6"/>
                <w:sz w:val="16"/>
              </w:rPr>
              <w:t> </w:t>
            </w:r>
            <w:r>
              <w:rPr>
                <w:rFonts w:ascii="Arial"/>
                <w:b/>
                <w:spacing w:val="-2"/>
                <w:sz w:val="16"/>
              </w:rPr>
              <w:t>Development</w:t>
            </w: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tcBorders>
            <w:shd w:val="clear" w:color="auto" w:fill="FF00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FF0000"/>
          </w:tcPr>
          <w:p>
            <w:pPr>
              <w:rPr>
                <w:sz w:val="2"/>
                <w:szCs w:val="2"/>
              </w:rPr>
            </w:pPr>
          </w:p>
        </w:tc>
        <w:tc>
          <w:tcPr>
            <w:tcW w:w="3499" w:type="dxa"/>
            <w:vMerge/>
            <w:tcBorders>
              <w:top w:val="nil"/>
            </w:tcBorders>
          </w:tcPr>
          <w:p>
            <w:pPr>
              <w:rPr>
                <w:sz w:val="2"/>
                <w:szCs w:val="2"/>
              </w:rPr>
            </w:pPr>
          </w:p>
        </w:tc>
        <w:tc>
          <w:tcPr>
            <w:tcW w:w="4226" w:type="dxa"/>
          </w:tcPr>
          <w:p>
            <w:pPr>
              <w:pStyle w:val="TableParagraph"/>
              <w:spacing w:line="168" w:lineRule="exact" w:before="13"/>
              <w:ind w:left="35"/>
              <w:rPr>
                <w:rFonts w:ascii="Arial"/>
                <w:b/>
                <w:sz w:val="16"/>
              </w:rPr>
            </w:pPr>
            <w:r>
              <w:rPr>
                <w:rFonts w:ascii="Arial"/>
                <w:b/>
                <w:sz w:val="16"/>
              </w:rPr>
              <w:t>Risk</w:t>
            </w:r>
            <w:r>
              <w:rPr>
                <w:rFonts w:ascii="Arial"/>
                <w:b/>
                <w:spacing w:val="5"/>
                <w:sz w:val="16"/>
              </w:rPr>
              <w:t> </w:t>
            </w:r>
            <w:r>
              <w:rPr>
                <w:rFonts w:ascii="Arial"/>
                <w:b/>
                <w:sz w:val="16"/>
              </w:rPr>
              <w:t>Lead:</w:t>
            </w:r>
            <w:r>
              <w:rPr>
                <w:rFonts w:ascii="Arial"/>
                <w:b/>
                <w:spacing w:val="8"/>
                <w:sz w:val="16"/>
              </w:rPr>
              <w:t> </w:t>
            </w:r>
            <w:r>
              <w:rPr>
                <w:rFonts w:ascii="Arial"/>
                <w:b/>
                <w:sz w:val="16"/>
              </w:rPr>
              <w:t>Director,</w:t>
            </w:r>
            <w:r>
              <w:rPr>
                <w:rFonts w:ascii="Arial"/>
                <w:b/>
                <w:spacing w:val="8"/>
                <w:sz w:val="16"/>
              </w:rPr>
              <w:t> </w:t>
            </w:r>
            <w:r>
              <w:rPr>
                <w:rFonts w:ascii="Arial"/>
                <w:b/>
                <w:sz w:val="16"/>
              </w:rPr>
              <w:t>Procurement</w:t>
            </w:r>
            <w:r>
              <w:rPr>
                <w:rFonts w:ascii="Arial"/>
                <w:b/>
                <w:spacing w:val="6"/>
                <w:sz w:val="16"/>
              </w:rPr>
              <w:t> </w:t>
            </w:r>
            <w:r>
              <w:rPr>
                <w:rFonts w:ascii="Arial"/>
                <w:b/>
                <w:spacing w:val="-2"/>
                <w:sz w:val="16"/>
              </w:rPr>
              <w:t>Services</w:t>
            </w:r>
          </w:p>
        </w:tc>
        <w:tc>
          <w:tcPr>
            <w:tcW w:w="888" w:type="dxa"/>
            <w:vMerge/>
            <w:tcBorders>
              <w:top w:val="nil"/>
            </w:tcBorders>
          </w:tcPr>
          <w:p>
            <w:pPr>
              <w:rPr>
                <w:sz w:val="2"/>
                <w:szCs w:val="2"/>
              </w:rPr>
            </w:pPr>
          </w:p>
        </w:tc>
        <w:tc>
          <w:tcPr>
            <w:tcW w:w="1246" w:type="dxa"/>
            <w:vMerge/>
            <w:tcBorders>
              <w:top w:val="nil"/>
            </w:tcBorders>
            <w:shd w:val="clear" w:color="auto" w:fill="FFFF00"/>
          </w:tcPr>
          <w:p>
            <w:pPr>
              <w:rPr>
                <w:sz w:val="2"/>
                <w:szCs w:val="2"/>
              </w:rPr>
            </w:pPr>
          </w:p>
        </w:tc>
      </w:tr>
      <w:tr>
        <w:trPr>
          <w:trHeight w:val="815" w:hRule="atLeast"/>
        </w:trPr>
        <w:tc>
          <w:tcPr>
            <w:tcW w:w="667" w:type="dxa"/>
            <w:vMerge w:val="restart"/>
          </w:tcPr>
          <w:p>
            <w:pPr>
              <w:pStyle w:val="TableParagraph"/>
              <w:rPr>
                <w:sz w:val="18"/>
              </w:rPr>
            </w:pPr>
          </w:p>
          <w:p>
            <w:pPr>
              <w:pStyle w:val="TableParagraph"/>
              <w:rPr>
                <w:sz w:val="16"/>
              </w:rPr>
            </w:pPr>
          </w:p>
          <w:p>
            <w:pPr>
              <w:pStyle w:val="TableParagraph"/>
              <w:ind w:left="194"/>
              <w:rPr>
                <w:rFonts w:ascii="Arial"/>
                <w:b/>
                <w:sz w:val="16"/>
              </w:rPr>
            </w:pPr>
            <w:r>
              <w:rPr>
                <w:rFonts w:ascii="Arial"/>
                <w:b/>
                <w:spacing w:val="-5"/>
                <w:sz w:val="16"/>
              </w:rPr>
              <w:t>A15</w:t>
            </w:r>
          </w:p>
        </w:tc>
        <w:tc>
          <w:tcPr>
            <w:tcW w:w="3583" w:type="dxa"/>
          </w:tcPr>
          <w:p>
            <w:pPr>
              <w:pStyle w:val="TableParagraph"/>
              <w:spacing w:line="264" w:lineRule="auto" w:before="3"/>
              <w:ind w:left="33"/>
              <w:rPr>
                <w:rFonts w:ascii="Arial"/>
                <w:sz w:val="16"/>
              </w:rPr>
            </w:pPr>
            <w:r>
              <w:rPr>
                <w:rFonts w:ascii="Arial"/>
                <w:sz w:val="16"/>
              </w:rPr>
              <w:t>Difficulties in recruiting staff leave us unable to meet the expectations of Welsh Government in playing a leading role in delivering the</w:t>
            </w:r>
          </w:p>
          <w:p>
            <w:pPr>
              <w:pStyle w:val="TableParagraph"/>
              <w:spacing w:line="182" w:lineRule="exact"/>
              <w:ind w:left="33"/>
              <w:rPr>
                <w:rFonts w:ascii="Arial"/>
                <w:sz w:val="16"/>
              </w:rPr>
            </w:pPr>
            <w:r>
              <w:rPr>
                <w:rFonts w:ascii="Arial"/>
                <w:sz w:val="16"/>
              </w:rPr>
              <w:t>decarbonisation</w:t>
            </w:r>
            <w:r>
              <w:rPr>
                <w:rFonts w:ascii="Arial"/>
                <w:spacing w:val="14"/>
                <w:sz w:val="16"/>
              </w:rPr>
              <w:t> </w:t>
            </w:r>
            <w:r>
              <w:rPr>
                <w:rFonts w:ascii="Arial"/>
                <w:spacing w:val="-2"/>
                <w:sz w:val="16"/>
              </w:rPr>
              <w:t>agenda.</w:t>
            </w:r>
          </w:p>
        </w:tc>
        <w:tc>
          <w:tcPr>
            <w:tcW w:w="583" w:type="dxa"/>
            <w:vMerge w:val="restart"/>
          </w:tcPr>
          <w:p>
            <w:pPr>
              <w:pStyle w:val="TableParagraph"/>
              <w:rPr>
                <w:sz w:val="18"/>
              </w:rPr>
            </w:pPr>
          </w:p>
          <w:p>
            <w:pPr>
              <w:pStyle w:val="TableParagraph"/>
              <w:rPr>
                <w:sz w:val="16"/>
              </w:rPr>
            </w:pPr>
          </w:p>
          <w:p>
            <w:pPr>
              <w:pStyle w:val="TableParagraph"/>
              <w:ind w:left="31"/>
              <w:jc w:val="center"/>
              <w:rPr>
                <w:rFonts w:ascii="Arial"/>
                <w:sz w:val="16"/>
              </w:rPr>
            </w:pPr>
            <w:r>
              <w:rPr>
                <w:rFonts w:ascii="Arial"/>
                <w:w w:val="101"/>
                <w:sz w:val="16"/>
              </w:rPr>
              <w:t>5</w:t>
            </w:r>
          </w:p>
        </w:tc>
        <w:tc>
          <w:tcPr>
            <w:tcW w:w="660" w:type="dxa"/>
            <w:vMerge w:val="restart"/>
          </w:tcPr>
          <w:p>
            <w:pPr>
              <w:pStyle w:val="TableParagraph"/>
              <w:rPr>
                <w:sz w:val="18"/>
              </w:rPr>
            </w:pPr>
          </w:p>
          <w:p>
            <w:pPr>
              <w:pStyle w:val="TableParagraph"/>
              <w:rPr>
                <w:sz w:val="16"/>
              </w:rPr>
            </w:pPr>
          </w:p>
          <w:p>
            <w:pPr>
              <w:pStyle w:val="TableParagraph"/>
              <w:ind w:left="32"/>
              <w:jc w:val="center"/>
              <w:rPr>
                <w:rFonts w:ascii="Arial"/>
                <w:sz w:val="16"/>
              </w:rPr>
            </w:pPr>
            <w:r>
              <w:rPr>
                <w:rFonts w:ascii="Arial"/>
                <w:w w:val="101"/>
                <w:sz w:val="16"/>
              </w:rPr>
              <w:t>5</w:t>
            </w:r>
          </w:p>
        </w:tc>
        <w:tc>
          <w:tcPr>
            <w:tcW w:w="713" w:type="dxa"/>
            <w:vMerge w:val="restart"/>
            <w:shd w:val="clear" w:color="auto" w:fill="FF0000"/>
          </w:tcPr>
          <w:p>
            <w:pPr>
              <w:pStyle w:val="TableParagraph"/>
              <w:rPr>
                <w:sz w:val="18"/>
              </w:rPr>
            </w:pPr>
          </w:p>
          <w:p>
            <w:pPr>
              <w:pStyle w:val="TableParagraph"/>
              <w:rPr>
                <w:sz w:val="16"/>
              </w:rPr>
            </w:pPr>
          </w:p>
          <w:p>
            <w:pPr>
              <w:pStyle w:val="TableParagraph"/>
              <w:ind w:left="255" w:right="224"/>
              <w:jc w:val="center"/>
              <w:rPr>
                <w:rFonts w:ascii="Arial"/>
                <w:sz w:val="16"/>
              </w:rPr>
            </w:pPr>
            <w:r>
              <w:rPr>
                <w:rFonts w:ascii="Arial"/>
                <w:spacing w:val="-5"/>
                <w:sz w:val="16"/>
              </w:rPr>
              <w:t>25</w:t>
            </w:r>
          </w:p>
        </w:tc>
        <w:tc>
          <w:tcPr>
            <w:tcW w:w="3679" w:type="dxa"/>
            <w:vMerge w:val="restart"/>
          </w:tcPr>
          <w:p>
            <w:pPr>
              <w:pStyle w:val="TableParagraph"/>
              <w:spacing w:line="264" w:lineRule="auto" w:before="3"/>
              <w:ind w:left="33" w:right="1054"/>
              <w:rPr>
                <w:rFonts w:ascii="Arial"/>
                <w:sz w:val="16"/>
              </w:rPr>
            </w:pPr>
            <w:r>
              <w:rPr>
                <w:rFonts w:ascii="Arial"/>
                <w:sz w:val="16"/>
              </w:rPr>
              <w:t>Decarbonisation Programme </w:t>
            </w:r>
            <w:r>
              <w:rPr>
                <w:rFonts w:ascii="Arial"/>
                <w:sz w:val="16"/>
              </w:rPr>
              <w:t>Board Project Execution Plan</w:t>
            </w:r>
          </w:p>
          <w:p>
            <w:pPr>
              <w:pStyle w:val="TableParagraph"/>
              <w:spacing w:line="182" w:lineRule="exact"/>
              <w:ind w:left="33"/>
              <w:rPr>
                <w:rFonts w:ascii="Arial"/>
                <w:sz w:val="16"/>
              </w:rPr>
            </w:pPr>
            <w:r>
              <w:rPr>
                <w:rFonts w:ascii="Arial"/>
                <w:sz w:val="16"/>
              </w:rPr>
              <w:t>PMO</w:t>
            </w:r>
            <w:r>
              <w:rPr>
                <w:rFonts w:ascii="Arial"/>
                <w:spacing w:val="2"/>
                <w:sz w:val="16"/>
              </w:rPr>
              <w:t> </w:t>
            </w:r>
            <w:r>
              <w:rPr>
                <w:rFonts w:ascii="Arial"/>
                <w:spacing w:val="-2"/>
                <w:sz w:val="16"/>
              </w:rPr>
              <w:t>Support</w:t>
            </w:r>
          </w:p>
        </w:tc>
        <w:tc>
          <w:tcPr>
            <w:tcW w:w="583" w:type="dxa"/>
            <w:vMerge w:val="restart"/>
          </w:tcPr>
          <w:p>
            <w:pPr>
              <w:pStyle w:val="TableParagraph"/>
              <w:rPr>
                <w:sz w:val="18"/>
              </w:rPr>
            </w:pPr>
          </w:p>
          <w:p>
            <w:pPr>
              <w:pStyle w:val="TableParagraph"/>
              <w:rPr>
                <w:sz w:val="16"/>
              </w:rPr>
            </w:pPr>
          </w:p>
          <w:p>
            <w:pPr>
              <w:pStyle w:val="TableParagraph"/>
              <w:ind w:left="32"/>
              <w:jc w:val="center"/>
              <w:rPr>
                <w:rFonts w:ascii="Arial"/>
                <w:sz w:val="16"/>
              </w:rPr>
            </w:pPr>
            <w:r>
              <w:rPr>
                <w:rFonts w:ascii="Arial"/>
                <w:w w:val="101"/>
                <w:sz w:val="16"/>
              </w:rPr>
              <w:t>3</w:t>
            </w:r>
          </w:p>
        </w:tc>
        <w:tc>
          <w:tcPr>
            <w:tcW w:w="621" w:type="dxa"/>
            <w:vMerge w:val="restart"/>
          </w:tcPr>
          <w:p>
            <w:pPr>
              <w:pStyle w:val="TableParagraph"/>
              <w:rPr>
                <w:sz w:val="18"/>
              </w:rPr>
            </w:pPr>
          </w:p>
          <w:p>
            <w:pPr>
              <w:pStyle w:val="TableParagraph"/>
              <w:rPr>
                <w:sz w:val="16"/>
              </w:rPr>
            </w:pPr>
          </w:p>
          <w:p>
            <w:pPr>
              <w:pStyle w:val="TableParagraph"/>
              <w:ind w:left="32"/>
              <w:jc w:val="center"/>
              <w:rPr>
                <w:rFonts w:ascii="Arial"/>
                <w:sz w:val="16"/>
              </w:rPr>
            </w:pPr>
            <w:r>
              <w:rPr>
                <w:rFonts w:ascii="Arial"/>
                <w:w w:val="101"/>
                <w:sz w:val="16"/>
              </w:rPr>
              <w:t>4</w:t>
            </w:r>
          </w:p>
        </w:tc>
        <w:tc>
          <w:tcPr>
            <w:tcW w:w="698" w:type="dxa"/>
            <w:vMerge w:val="restart"/>
            <w:shd w:val="clear" w:color="auto" w:fill="FFBF00"/>
          </w:tcPr>
          <w:p>
            <w:pPr>
              <w:pStyle w:val="TableParagraph"/>
              <w:rPr>
                <w:sz w:val="18"/>
              </w:rPr>
            </w:pPr>
          </w:p>
          <w:p>
            <w:pPr>
              <w:pStyle w:val="TableParagraph"/>
              <w:rPr>
                <w:sz w:val="16"/>
              </w:rPr>
            </w:pPr>
          </w:p>
          <w:p>
            <w:pPr>
              <w:pStyle w:val="TableParagraph"/>
              <w:ind w:left="248" w:right="214"/>
              <w:jc w:val="center"/>
              <w:rPr>
                <w:rFonts w:ascii="Arial"/>
                <w:sz w:val="16"/>
              </w:rPr>
            </w:pPr>
            <w:r>
              <w:rPr>
                <w:rFonts w:ascii="Arial"/>
                <w:spacing w:val="-5"/>
                <w:sz w:val="16"/>
              </w:rPr>
              <w:t>12</w:t>
            </w:r>
          </w:p>
        </w:tc>
        <w:tc>
          <w:tcPr>
            <w:tcW w:w="3499" w:type="dxa"/>
            <w:vMerge w:val="restart"/>
          </w:tcPr>
          <w:p>
            <w:pPr>
              <w:pStyle w:val="TableParagraph"/>
              <w:spacing w:before="3"/>
              <w:ind w:left="35"/>
              <w:rPr>
                <w:rFonts w:ascii="Arial"/>
                <w:sz w:val="16"/>
              </w:rPr>
            </w:pPr>
            <w:r>
              <w:rPr>
                <w:rFonts w:ascii="Arial"/>
                <w:sz w:val="16"/>
              </w:rPr>
              <w:t>Continue</w:t>
            </w:r>
            <w:r>
              <w:rPr>
                <w:rFonts w:ascii="Arial"/>
                <w:spacing w:val="7"/>
                <w:sz w:val="16"/>
              </w:rPr>
              <w:t> </w:t>
            </w:r>
            <w:r>
              <w:rPr>
                <w:rFonts w:ascii="Arial"/>
                <w:sz w:val="16"/>
              </w:rPr>
              <w:t>to</w:t>
            </w:r>
            <w:r>
              <w:rPr>
                <w:rFonts w:ascii="Arial"/>
                <w:spacing w:val="5"/>
                <w:sz w:val="16"/>
              </w:rPr>
              <w:t> </w:t>
            </w:r>
            <w:r>
              <w:rPr>
                <w:rFonts w:ascii="Arial"/>
                <w:sz w:val="16"/>
              </w:rPr>
              <w:t>recruit</w:t>
            </w:r>
            <w:r>
              <w:rPr>
                <w:rFonts w:ascii="Arial"/>
                <w:spacing w:val="4"/>
                <w:sz w:val="16"/>
              </w:rPr>
              <w:t> </w:t>
            </w:r>
            <w:r>
              <w:rPr>
                <w:rFonts w:ascii="Arial"/>
                <w:sz w:val="16"/>
              </w:rPr>
              <w:t>to</w:t>
            </w:r>
            <w:r>
              <w:rPr>
                <w:rFonts w:ascii="Arial"/>
                <w:spacing w:val="4"/>
                <w:sz w:val="16"/>
              </w:rPr>
              <w:t> </w:t>
            </w:r>
            <w:r>
              <w:rPr>
                <w:rFonts w:ascii="Arial"/>
                <w:sz w:val="16"/>
              </w:rPr>
              <w:t>fill</w:t>
            </w:r>
            <w:r>
              <w:rPr>
                <w:rFonts w:ascii="Arial"/>
                <w:spacing w:val="4"/>
                <w:sz w:val="16"/>
              </w:rPr>
              <w:t> </w:t>
            </w:r>
            <w:r>
              <w:rPr>
                <w:rFonts w:ascii="Arial"/>
                <w:sz w:val="16"/>
              </w:rPr>
              <w:t>vacant</w:t>
            </w:r>
            <w:r>
              <w:rPr>
                <w:rFonts w:ascii="Arial"/>
                <w:spacing w:val="6"/>
                <w:sz w:val="16"/>
              </w:rPr>
              <w:t> </w:t>
            </w:r>
            <w:r>
              <w:rPr>
                <w:rFonts w:ascii="Arial"/>
                <w:spacing w:val="-2"/>
                <w:sz w:val="16"/>
              </w:rPr>
              <w:t>posts.</w:t>
            </w:r>
          </w:p>
        </w:tc>
        <w:tc>
          <w:tcPr>
            <w:tcW w:w="4226" w:type="dxa"/>
          </w:tcPr>
          <w:p>
            <w:pPr>
              <w:pStyle w:val="TableParagraph"/>
              <w:spacing w:line="264" w:lineRule="auto" w:before="3"/>
              <w:ind w:left="35"/>
              <w:rPr>
                <w:rFonts w:ascii="Arial"/>
                <w:sz w:val="16"/>
              </w:rPr>
            </w:pPr>
            <w:r>
              <w:rPr>
                <w:rFonts w:ascii="Arial"/>
                <w:sz w:val="16"/>
              </w:rPr>
              <w:t>Anticipated that the full team will not be in place until the summer of 2023.</w:t>
            </w:r>
          </w:p>
        </w:tc>
        <w:tc>
          <w:tcPr>
            <w:tcW w:w="888" w:type="dxa"/>
            <w:vMerge w:val="restart"/>
          </w:tcPr>
          <w:p>
            <w:pPr>
              <w:pStyle w:val="TableParagraph"/>
              <w:spacing w:before="11"/>
              <w:rPr>
                <w:sz w:val="27"/>
              </w:rPr>
            </w:pPr>
          </w:p>
          <w:p>
            <w:pPr>
              <w:pStyle w:val="TableParagraph"/>
              <w:ind w:left="304"/>
              <w:rPr>
                <w:rFonts w:ascii="Wingdings 2" w:hAnsi="Wingdings 2"/>
                <w:sz w:val="32"/>
              </w:rPr>
            </w:pPr>
            <w:r>
              <w:rPr>
                <w:rFonts w:ascii="Wingdings 2" w:hAnsi="Wingdings 2"/>
                <w:color w:val="FFBF00"/>
                <w:w w:val="101"/>
                <w:sz w:val="32"/>
              </w:rPr>
              <w:t></w:t>
            </w:r>
          </w:p>
        </w:tc>
        <w:tc>
          <w:tcPr>
            <w:tcW w:w="1246" w:type="dxa"/>
            <w:vMerge w:val="restart"/>
            <w:shd w:val="clear" w:color="auto" w:fill="FFFF00"/>
          </w:tcPr>
          <w:p>
            <w:pPr>
              <w:pStyle w:val="TableParagraph"/>
              <w:rPr>
                <w:sz w:val="18"/>
              </w:rPr>
            </w:pPr>
          </w:p>
          <w:p>
            <w:pPr>
              <w:pStyle w:val="TableParagraph"/>
              <w:spacing w:before="5"/>
              <w:rPr>
                <w:sz w:val="16"/>
              </w:rPr>
            </w:pPr>
          </w:p>
          <w:p>
            <w:pPr>
              <w:pStyle w:val="TableParagraph"/>
              <w:ind w:left="218"/>
              <w:rPr>
                <w:rFonts w:ascii="Arial"/>
                <w:b/>
                <w:sz w:val="16"/>
              </w:rPr>
            </w:pPr>
            <w:r>
              <w:rPr>
                <w:rFonts w:ascii="Arial"/>
                <w:b/>
                <w:spacing w:val="-2"/>
                <w:sz w:val="16"/>
              </w:rPr>
              <w:t>31/08/2023</w:t>
            </w:r>
          </w:p>
        </w:tc>
      </w:tr>
      <w:tr>
        <w:trPr>
          <w:trHeight w:val="200" w:hRule="atLeast"/>
        </w:trPr>
        <w:tc>
          <w:tcPr>
            <w:tcW w:w="667" w:type="dxa"/>
            <w:vMerge/>
            <w:tcBorders>
              <w:top w:val="nil"/>
            </w:tcBorders>
          </w:tcPr>
          <w:p>
            <w:pPr>
              <w:rPr>
                <w:sz w:val="2"/>
                <w:szCs w:val="2"/>
              </w:rPr>
            </w:pPr>
          </w:p>
        </w:tc>
        <w:tc>
          <w:tcPr>
            <w:tcW w:w="3583" w:type="dxa"/>
          </w:tcPr>
          <w:p>
            <w:pPr>
              <w:pStyle w:val="TableParagraph"/>
              <w:spacing w:line="171" w:lineRule="exact" w:before="10"/>
              <w:ind w:left="33"/>
              <w:rPr>
                <w:rFonts w:ascii="Arial"/>
                <w:b/>
                <w:sz w:val="16"/>
              </w:rPr>
            </w:pPr>
            <w:r>
              <w:rPr>
                <w:rFonts w:ascii="Arial"/>
                <w:b/>
                <w:sz w:val="16"/>
              </w:rPr>
              <w:t>Strategic</w:t>
            </w:r>
            <w:r>
              <w:rPr>
                <w:rFonts w:ascii="Arial"/>
                <w:b/>
                <w:spacing w:val="5"/>
                <w:sz w:val="16"/>
              </w:rPr>
              <w:t> </w:t>
            </w:r>
            <w:r>
              <w:rPr>
                <w:rFonts w:ascii="Arial"/>
                <w:b/>
                <w:sz w:val="16"/>
              </w:rPr>
              <w:t>Objective</w:t>
            </w:r>
            <w:r>
              <w:rPr>
                <w:rFonts w:ascii="Arial"/>
                <w:b/>
                <w:spacing w:val="4"/>
                <w:sz w:val="16"/>
              </w:rPr>
              <w:t> </w:t>
            </w:r>
            <w:r>
              <w:rPr>
                <w:rFonts w:ascii="Arial"/>
                <w:b/>
                <w:sz w:val="16"/>
              </w:rPr>
              <w:t>-</w:t>
            </w:r>
            <w:r>
              <w:rPr>
                <w:rFonts w:ascii="Arial"/>
                <w:b/>
                <w:spacing w:val="5"/>
                <w:sz w:val="16"/>
              </w:rPr>
              <w:t> </w:t>
            </w:r>
            <w:r>
              <w:rPr>
                <w:rFonts w:ascii="Arial"/>
                <w:b/>
                <w:sz w:val="16"/>
              </w:rPr>
              <w:t>Service</w:t>
            </w:r>
            <w:r>
              <w:rPr>
                <w:rFonts w:ascii="Arial"/>
                <w:b/>
                <w:spacing w:val="6"/>
                <w:sz w:val="16"/>
              </w:rPr>
              <w:t> </w:t>
            </w:r>
            <w:r>
              <w:rPr>
                <w:rFonts w:ascii="Arial"/>
                <w:b/>
                <w:spacing w:val="-2"/>
                <w:sz w:val="16"/>
              </w:rPr>
              <w:t>Development</w:t>
            </w: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tcBorders>
            <w:shd w:val="clear" w:color="auto" w:fill="FF00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FFBF00"/>
          </w:tcPr>
          <w:p>
            <w:pPr>
              <w:rPr>
                <w:sz w:val="2"/>
                <w:szCs w:val="2"/>
              </w:rPr>
            </w:pPr>
          </w:p>
        </w:tc>
        <w:tc>
          <w:tcPr>
            <w:tcW w:w="3499" w:type="dxa"/>
            <w:vMerge/>
            <w:tcBorders>
              <w:top w:val="nil"/>
            </w:tcBorders>
          </w:tcPr>
          <w:p>
            <w:pPr>
              <w:rPr>
                <w:sz w:val="2"/>
                <w:szCs w:val="2"/>
              </w:rPr>
            </w:pPr>
          </w:p>
        </w:tc>
        <w:tc>
          <w:tcPr>
            <w:tcW w:w="4226" w:type="dxa"/>
          </w:tcPr>
          <w:p>
            <w:pPr>
              <w:pStyle w:val="TableParagraph"/>
              <w:spacing w:line="168" w:lineRule="exact" w:before="13"/>
              <w:ind w:left="35"/>
              <w:rPr>
                <w:rFonts w:ascii="Arial"/>
                <w:b/>
                <w:sz w:val="16"/>
              </w:rPr>
            </w:pPr>
            <w:r>
              <w:rPr>
                <w:rFonts w:ascii="Arial"/>
                <w:b/>
                <w:sz w:val="16"/>
              </w:rPr>
              <w:t>Director,</w:t>
            </w:r>
            <w:r>
              <w:rPr>
                <w:rFonts w:ascii="Arial"/>
                <w:b/>
                <w:spacing w:val="6"/>
                <w:sz w:val="16"/>
              </w:rPr>
              <w:t> </w:t>
            </w:r>
            <w:r>
              <w:rPr>
                <w:rFonts w:ascii="Arial"/>
                <w:b/>
                <w:sz w:val="16"/>
              </w:rPr>
              <w:t>Specialist</w:t>
            </w:r>
            <w:r>
              <w:rPr>
                <w:rFonts w:ascii="Arial"/>
                <w:b/>
                <w:spacing w:val="9"/>
                <w:sz w:val="16"/>
              </w:rPr>
              <w:t> </w:t>
            </w:r>
            <w:r>
              <w:rPr>
                <w:rFonts w:ascii="Arial"/>
                <w:b/>
                <w:sz w:val="16"/>
              </w:rPr>
              <w:t>Estates</w:t>
            </w:r>
            <w:r>
              <w:rPr>
                <w:rFonts w:ascii="Arial"/>
                <w:b/>
                <w:spacing w:val="8"/>
                <w:sz w:val="16"/>
              </w:rPr>
              <w:t> </w:t>
            </w:r>
            <w:r>
              <w:rPr>
                <w:rFonts w:ascii="Arial"/>
                <w:b/>
                <w:spacing w:val="-2"/>
                <w:sz w:val="16"/>
              </w:rPr>
              <w:t>Services</w:t>
            </w:r>
          </w:p>
        </w:tc>
        <w:tc>
          <w:tcPr>
            <w:tcW w:w="888" w:type="dxa"/>
            <w:vMerge/>
            <w:tcBorders>
              <w:top w:val="nil"/>
            </w:tcBorders>
          </w:tcPr>
          <w:p>
            <w:pPr>
              <w:rPr>
                <w:sz w:val="2"/>
                <w:szCs w:val="2"/>
              </w:rPr>
            </w:pPr>
          </w:p>
        </w:tc>
        <w:tc>
          <w:tcPr>
            <w:tcW w:w="1246" w:type="dxa"/>
            <w:vMerge/>
            <w:tcBorders>
              <w:top w:val="nil"/>
            </w:tcBorders>
            <w:shd w:val="clear" w:color="auto" w:fill="FFFF00"/>
          </w:tcPr>
          <w:p>
            <w:pPr>
              <w:rPr>
                <w:sz w:val="2"/>
                <w:szCs w:val="2"/>
              </w:rPr>
            </w:pPr>
          </w:p>
        </w:tc>
      </w:tr>
      <w:tr>
        <w:trPr>
          <w:trHeight w:val="815" w:hRule="atLeast"/>
        </w:trPr>
        <w:tc>
          <w:tcPr>
            <w:tcW w:w="667" w:type="dxa"/>
            <w:vMerge w:val="restart"/>
          </w:tcPr>
          <w:p>
            <w:pPr>
              <w:pStyle w:val="TableParagraph"/>
              <w:rPr>
                <w:sz w:val="18"/>
              </w:rPr>
            </w:pPr>
          </w:p>
          <w:p>
            <w:pPr>
              <w:pStyle w:val="TableParagraph"/>
              <w:rPr>
                <w:sz w:val="16"/>
              </w:rPr>
            </w:pPr>
          </w:p>
          <w:p>
            <w:pPr>
              <w:pStyle w:val="TableParagraph"/>
              <w:ind w:left="194"/>
              <w:rPr>
                <w:rFonts w:ascii="Arial"/>
                <w:b/>
                <w:sz w:val="16"/>
              </w:rPr>
            </w:pPr>
            <w:r>
              <w:rPr>
                <w:rFonts w:ascii="Arial"/>
                <w:b/>
                <w:spacing w:val="-5"/>
                <w:sz w:val="16"/>
              </w:rPr>
              <w:t>A16</w:t>
            </w:r>
          </w:p>
        </w:tc>
        <w:tc>
          <w:tcPr>
            <w:tcW w:w="3583" w:type="dxa"/>
          </w:tcPr>
          <w:p>
            <w:pPr>
              <w:pStyle w:val="TableParagraph"/>
              <w:spacing w:line="264" w:lineRule="auto" w:before="3"/>
              <w:ind w:left="33"/>
              <w:rPr>
                <w:rFonts w:ascii="Arial"/>
                <w:sz w:val="16"/>
              </w:rPr>
            </w:pPr>
            <w:r>
              <w:rPr>
                <w:rFonts w:ascii="Arial"/>
                <w:sz w:val="16"/>
              </w:rPr>
              <w:t>The move to agile working, and the relatively imminent expiry of a number of our property leases, require urgent agreement of an</w:t>
            </w:r>
          </w:p>
          <w:p>
            <w:pPr>
              <w:pStyle w:val="TableParagraph"/>
              <w:spacing w:line="182" w:lineRule="exact"/>
              <w:ind w:left="33"/>
              <w:rPr>
                <w:rFonts w:ascii="Arial"/>
                <w:sz w:val="16"/>
              </w:rPr>
            </w:pPr>
            <w:r>
              <w:rPr>
                <w:rFonts w:ascii="Arial"/>
                <w:sz w:val="16"/>
              </w:rPr>
              <w:t>Accommodation</w:t>
            </w:r>
            <w:r>
              <w:rPr>
                <w:rFonts w:ascii="Arial"/>
                <w:spacing w:val="13"/>
                <w:sz w:val="16"/>
              </w:rPr>
              <w:t> </w:t>
            </w:r>
            <w:r>
              <w:rPr>
                <w:rFonts w:ascii="Arial"/>
                <w:spacing w:val="-2"/>
                <w:sz w:val="16"/>
              </w:rPr>
              <w:t>Strategy.</w:t>
            </w:r>
          </w:p>
        </w:tc>
        <w:tc>
          <w:tcPr>
            <w:tcW w:w="583" w:type="dxa"/>
            <w:vMerge w:val="restart"/>
          </w:tcPr>
          <w:p>
            <w:pPr>
              <w:pStyle w:val="TableParagraph"/>
              <w:rPr>
                <w:sz w:val="18"/>
              </w:rPr>
            </w:pPr>
          </w:p>
          <w:p>
            <w:pPr>
              <w:pStyle w:val="TableParagraph"/>
              <w:rPr>
                <w:sz w:val="16"/>
              </w:rPr>
            </w:pPr>
          </w:p>
          <w:p>
            <w:pPr>
              <w:pStyle w:val="TableParagraph"/>
              <w:ind w:left="31"/>
              <w:jc w:val="center"/>
              <w:rPr>
                <w:rFonts w:ascii="Arial"/>
                <w:sz w:val="16"/>
              </w:rPr>
            </w:pPr>
            <w:r>
              <w:rPr>
                <w:rFonts w:ascii="Arial"/>
                <w:w w:val="101"/>
                <w:sz w:val="16"/>
              </w:rPr>
              <w:t>5</w:t>
            </w:r>
          </w:p>
        </w:tc>
        <w:tc>
          <w:tcPr>
            <w:tcW w:w="660" w:type="dxa"/>
            <w:vMerge w:val="restart"/>
          </w:tcPr>
          <w:p>
            <w:pPr>
              <w:pStyle w:val="TableParagraph"/>
              <w:rPr>
                <w:sz w:val="18"/>
              </w:rPr>
            </w:pPr>
          </w:p>
          <w:p>
            <w:pPr>
              <w:pStyle w:val="TableParagraph"/>
              <w:rPr>
                <w:sz w:val="16"/>
              </w:rPr>
            </w:pPr>
          </w:p>
          <w:p>
            <w:pPr>
              <w:pStyle w:val="TableParagraph"/>
              <w:ind w:left="32"/>
              <w:jc w:val="center"/>
              <w:rPr>
                <w:rFonts w:ascii="Arial"/>
                <w:sz w:val="16"/>
              </w:rPr>
            </w:pPr>
            <w:r>
              <w:rPr>
                <w:rFonts w:ascii="Arial"/>
                <w:w w:val="101"/>
                <w:sz w:val="16"/>
              </w:rPr>
              <w:t>4</w:t>
            </w:r>
          </w:p>
        </w:tc>
        <w:tc>
          <w:tcPr>
            <w:tcW w:w="713" w:type="dxa"/>
            <w:vMerge w:val="restart"/>
            <w:tcBorders>
              <w:bottom w:val="nil"/>
            </w:tcBorders>
            <w:shd w:val="clear" w:color="auto" w:fill="FF0000"/>
          </w:tcPr>
          <w:p>
            <w:pPr>
              <w:pStyle w:val="TableParagraph"/>
              <w:rPr>
                <w:sz w:val="18"/>
              </w:rPr>
            </w:pPr>
          </w:p>
          <w:p>
            <w:pPr>
              <w:pStyle w:val="TableParagraph"/>
              <w:rPr>
                <w:sz w:val="16"/>
              </w:rPr>
            </w:pPr>
          </w:p>
          <w:p>
            <w:pPr>
              <w:pStyle w:val="TableParagraph"/>
              <w:ind w:left="255" w:right="224"/>
              <w:jc w:val="center"/>
              <w:rPr>
                <w:rFonts w:ascii="Arial"/>
                <w:sz w:val="16"/>
              </w:rPr>
            </w:pPr>
            <w:r>
              <w:rPr>
                <w:rFonts w:ascii="Arial"/>
                <w:spacing w:val="-5"/>
                <w:sz w:val="16"/>
              </w:rPr>
              <w:t>20</w:t>
            </w:r>
          </w:p>
          <w:p>
            <w:pPr>
              <w:pStyle w:val="TableParagraph"/>
              <w:rPr>
                <w:sz w:val="18"/>
              </w:rPr>
            </w:pPr>
          </w:p>
          <w:p>
            <w:pPr>
              <w:pStyle w:val="TableParagraph"/>
              <w:rPr>
                <w:sz w:val="18"/>
              </w:rPr>
            </w:pPr>
          </w:p>
          <w:p>
            <w:pPr>
              <w:pStyle w:val="TableParagraph"/>
              <w:rPr>
                <w:sz w:val="18"/>
              </w:rPr>
            </w:pPr>
          </w:p>
          <w:p>
            <w:pPr>
              <w:pStyle w:val="TableParagraph"/>
              <w:spacing w:before="5"/>
              <w:rPr>
                <w:sz w:val="25"/>
              </w:rPr>
            </w:pPr>
          </w:p>
          <w:p>
            <w:pPr>
              <w:pStyle w:val="TableParagraph"/>
              <w:spacing w:before="1"/>
              <w:ind w:left="255" w:right="224"/>
              <w:jc w:val="center"/>
              <w:rPr>
                <w:rFonts w:ascii="Arial"/>
                <w:sz w:val="16"/>
              </w:rPr>
            </w:pPr>
            <w:r>
              <w:rPr>
                <w:rFonts w:ascii="Arial"/>
                <w:spacing w:val="-5"/>
                <w:sz w:val="16"/>
              </w:rPr>
              <w:t>25</w:t>
            </w:r>
          </w:p>
        </w:tc>
        <w:tc>
          <w:tcPr>
            <w:tcW w:w="3679" w:type="dxa"/>
            <w:vMerge w:val="restart"/>
          </w:tcPr>
          <w:p>
            <w:pPr>
              <w:pStyle w:val="TableParagraph"/>
              <w:rPr>
                <w:rFonts w:ascii="Times New Roman"/>
                <w:sz w:val="16"/>
              </w:rPr>
            </w:pPr>
          </w:p>
        </w:tc>
        <w:tc>
          <w:tcPr>
            <w:tcW w:w="583" w:type="dxa"/>
            <w:vMerge w:val="restart"/>
          </w:tcPr>
          <w:p>
            <w:pPr>
              <w:pStyle w:val="TableParagraph"/>
              <w:rPr>
                <w:sz w:val="18"/>
              </w:rPr>
            </w:pPr>
          </w:p>
          <w:p>
            <w:pPr>
              <w:pStyle w:val="TableParagraph"/>
              <w:rPr>
                <w:sz w:val="16"/>
              </w:rPr>
            </w:pPr>
          </w:p>
          <w:p>
            <w:pPr>
              <w:pStyle w:val="TableParagraph"/>
              <w:ind w:left="31"/>
              <w:jc w:val="center"/>
              <w:rPr>
                <w:rFonts w:ascii="Arial"/>
                <w:sz w:val="16"/>
              </w:rPr>
            </w:pPr>
            <w:r>
              <w:rPr>
                <w:rFonts w:ascii="Arial"/>
                <w:w w:val="101"/>
                <w:sz w:val="16"/>
              </w:rPr>
              <w:t>3</w:t>
            </w:r>
          </w:p>
        </w:tc>
        <w:tc>
          <w:tcPr>
            <w:tcW w:w="621" w:type="dxa"/>
            <w:vMerge w:val="restart"/>
          </w:tcPr>
          <w:p>
            <w:pPr>
              <w:pStyle w:val="TableParagraph"/>
              <w:rPr>
                <w:sz w:val="18"/>
              </w:rPr>
            </w:pPr>
          </w:p>
          <w:p>
            <w:pPr>
              <w:pStyle w:val="TableParagraph"/>
              <w:rPr>
                <w:sz w:val="16"/>
              </w:rPr>
            </w:pPr>
          </w:p>
          <w:p>
            <w:pPr>
              <w:pStyle w:val="TableParagraph"/>
              <w:ind w:left="31"/>
              <w:jc w:val="center"/>
              <w:rPr>
                <w:rFonts w:ascii="Arial"/>
                <w:sz w:val="16"/>
              </w:rPr>
            </w:pPr>
            <w:r>
              <w:rPr>
                <w:rFonts w:ascii="Arial"/>
                <w:w w:val="101"/>
                <w:sz w:val="16"/>
              </w:rPr>
              <w:t>4</w:t>
            </w:r>
          </w:p>
        </w:tc>
        <w:tc>
          <w:tcPr>
            <w:tcW w:w="698" w:type="dxa"/>
            <w:vMerge w:val="restart"/>
            <w:shd w:val="clear" w:color="auto" w:fill="FFBF00"/>
          </w:tcPr>
          <w:p>
            <w:pPr>
              <w:pStyle w:val="TableParagraph"/>
              <w:rPr>
                <w:sz w:val="18"/>
              </w:rPr>
            </w:pPr>
          </w:p>
          <w:p>
            <w:pPr>
              <w:pStyle w:val="TableParagraph"/>
              <w:rPr>
                <w:sz w:val="16"/>
              </w:rPr>
            </w:pPr>
          </w:p>
          <w:p>
            <w:pPr>
              <w:pStyle w:val="TableParagraph"/>
              <w:ind w:left="248" w:right="214"/>
              <w:jc w:val="center"/>
              <w:rPr>
                <w:rFonts w:ascii="Arial"/>
                <w:sz w:val="16"/>
              </w:rPr>
            </w:pPr>
            <w:r>
              <w:rPr>
                <w:rFonts w:ascii="Arial"/>
                <w:spacing w:val="-5"/>
                <w:sz w:val="16"/>
              </w:rPr>
              <w:t>12</w:t>
            </w:r>
          </w:p>
        </w:tc>
        <w:tc>
          <w:tcPr>
            <w:tcW w:w="3499" w:type="dxa"/>
            <w:vMerge w:val="restart"/>
          </w:tcPr>
          <w:p>
            <w:pPr>
              <w:pStyle w:val="TableParagraph"/>
              <w:spacing w:line="264" w:lineRule="auto" w:before="3"/>
              <w:ind w:left="35" w:right="125"/>
              <w:rPr>
                <w:rFonts w:ascii="Arial"/>
                <w:sz w:val="16"/>
              </w:rPr>
            </w:pPr>
            <w:r>
              <w:rPr>
                <w:rFonts w:ascii="Arial"/>
                <w:sz w:val="16"/>
              </w:rPr>
              <w:t>Work ongoing to re-negotiate leases that are coming up for renewal and/or look for alternative accommodation given the numbers still working from home.</w:t>
            </w:r>
          </w:p>
        </w:tc>
        <w:tc>
          <w:tcPr>
            <w:tcW w:w="4226" w:type="dxa"/>
          </w:tcPr>
          <w:p>
            <w:pPr>
              <w:pStyle w:val="TableParagraph"/>
              <w:spacing w:before="3"/>
              <w:ind w:left="35"/>
              <w:rPr>
                <w:rFonts w:ascii="Arial"/>
                <w:sz w:val="16"/>
              </w:rPr>
            </w:pPr>
            <w:r>
              <w:rPr>
                <w:rFonts w:ascii="Arial"/>
                <w:sz w:val="16"/>
              </w:rPr>
              <w:t>Nantgarw</w:t>
            </w:r>
            <w:r>
              <w:rPr>
                <w:rFonts w:ascii="Arial"/>
                <w:spacing w:val="1"/>
                <w:sz w:val="16"/>
              </w:rPr>
              <w:t> </w:t>
            </w:r>
            <w:r>
              <w:rPr>
                <w:rFonts w:ascii="Arial"/>
                <w:sz w:val="16"/>
              </w:rPr>
              <w:t>lease</w:t>
            </w:r>
            <w:r>
              <w:rPr>
                <w:rFonts w:ascii="Arial"/>
                <w:spacing w:val="7"/>
                <w:sz w:val="16"/>
              </w:rPr>
              <w:t> </w:t>
            </w:r>
            <w:r>
              <w:rPr>
                <w:rFonts w:ascii="Arial"/>
                <w:sz w:val="16"/>
              </w:rPr>
              <w:t>currently</w:t>
            </w:r>
            <w:r>
              <w:rPr>
                <w:rFonts w:ascii="Arial"/>
                <w:spacing w:val="4"/>
                <w:sz w:val="16"/>
              </w:rPr>
              <w:t> </w:t>
            </w:r>
            <w:r>
              <w:rPr>
                <w:rFonts w:ascii="Arial"/>
                <w:sz w:val="16"/>
              </w:rPr>
              <w:t>being</w:t>
            </w:r>
            <w:r>
              <w:rPr>
                <w:rFonts w:ascii="Arial"/>
                <w:spacing w:val="7"/>
                <w:sz w:val="16"/>
              </w:rPr>
              <w:t> </w:t>
            </w:r>
            <w:r>
              <w:rPr>
                <w:rFonts w:ascii="Arial"/>
                <w:spacing w:val="-2"/>
                <w:sz w:val="16"/>
              </w:rPr>
              <w:t>negotiated.</w:t>
            </w:r>
          </w:p>
        </w:tc>
        <w:tc>
          <w:tcPr>
            <w:tcW w:w="888" w:type="dxa"/>
            <w:vMerge w:val="restart"/>
          </w:tcPr>
          <w:p>
            <w:pPr>
              <w:pStyle w:val="TableParagraph"/>
              <w:spacing w:before="11"/>
              <w:rPr>
                <w:sz w:val="27"/>
              </w:rPr>
            </w:pPr>
          </w:p>
          <w:p>
            <w:pPr>
              <w:pStyle w:val="TableParagraph"/>
              <w:ind w:left="304"/>
              <w:rPr>
                <w:rFonts w:ascii="Wingdings 2" w:hAnsi="Wingdings 2"/>
                <w:sz w:val="32"/>
              </w:rPr>
            </w:pPr>
            <w:r>
              <w:rPr>
                <w:rFonts w:ascii="Wingdings 2" w:hAnsi="Wingdings 2"/>
                <w:color w:val="FFBF00"/>
                <w:w w:val="101"/>
                <w:sz w:val="32"/>
              </w:rPr>
              <w:t></w:t>
            </w:r>
          </w:p>
        </w:tc>
        <w:tc>
          <w:tcPr>
            <w:tcW w:w="1246" w:type="dxa"/>
            <w:vMerge w:val="restart"/>
            <w:shd w:val="clear" w:color="auto" w:fill="FFFF00"/>
          </w:tcPr>
          <w:p>
            <w:pPr>
              <w:pStyle w:val="TableParagraph"/>
              <w:rPr>
                <w:sz w:val="18"/>
              </w:rPr>
            </w:pPr>
          </w:p>
          <w:p>
            <w:pPr>
              <w:pStyle w:val="TableParagraph"/>
              <w:spacing w:before="5"/>
              <w:rPr>
                <w:sz w:val="16"/>
              </w:rPr>
            </w:pPr>
          </w:p>
          <w:p>
            <w:pPr>
              <w:pStyle w:val="TableParagraph"/>
              <w:ind w:left="218"/>
              <w:rPr>
                <w:rFonts w:ascii="Arial"/>
                <w:b/>
                <w:sz w:val="16"/>
              </w:rPr>
            </w:pPr>
            <w:r>
              <w:rPr>
                <w:rFonts w:ascii="Arial"/>
                <w:b/>
                <w:spacing w:val="-2"/>
                <w:sz w:val="16"/>
              </w:rPr>
              <w:t>30/04/2023</w:t>
            </w:r>
          </w:p>
        </w:tc>
      </w:tr>
      <w:tr>
        <w:trPr>
          <w:trHeight w:val="200" w:hRule="atLeast"/>
        </w:trPr>
        <w:tc>
          <w:tcPr>
            <w:tcW w:w="667" w:type="dxa"/>
            <w:vMerge/>
            <w:tcBorders>
              <w:top w:val="nil"/>
            </w:tcBorders>
          </w:tcPr>
          <w:p>
            <w:pPr>
              <w:rPr>
                <w:sz w:val="2"/>
                <w:szCs w:val="2"/>
              </w:rPr>
            </w:pPr>
          </w:p>
        </w:tc>
        <w:tc>
          <w:tcPr>
            <w:tcW w:w="3583" w:type="dxa"/>
          </w:tcPr>
          <w:p>
            <w:pPr>
              <w:pStyle w:val="TableParagraph"/>
              <w:spacing w:line="171" w:lineRule="exact" w:before="10"/>
              <w:ind w:left="33"/>
              <w:rPr>
                <w:rFonts w:ascii="Arial"/>
                <w:b/>
                <w:sz w:val="16"/>
              </w:rPr>
            </w:pPr>
            <w:r>
              <w:rPr>
                <w:rFonts w:ascii="Arial"/>
                <w:b/>
                <w:sz w:val="16"/>
              </w:rPr>
              <w:t>Strategic</w:t>
            </w:r>
            <w:r>
              <w:rPr>
                <w:rFonts w:ascii="Arial"/>
                <w:b/>
                <w:spacing w:val="5"/>
                <w:sz w:val="16"/>
              </w:rPr>
              <w:t> </w:t>
            </w:r>
            <w:r>
              <w:rPr>
                <w:rFonts w:ascii="Arial"/>
                <w:b/>
                <w:sz w:val="16"/>
              </w:rPr>
              <w:t>Objective</w:t>
            </w:r>
            <w:r>
              <w:rPr>
                <w:rFonts w:ascii="Arial"/>
                <w:b/>
                <w:spacing w:val="4"/>
                <w:sz w:val="16"/>
              </w:rPr>
              <w:t> </w:t>
            </w:r>
            <w:r>
              <w:rPr>
                <w:rFonts w:ascii="Arial"/>
                <w:b/>
                <w:sz w:val="16"/>
              </w:rPr>
              <w:t>-</w:t>
            </w:r>
            <w:r>
              <w:rPr>
                <w:rFonts w:ascii="Arial"/>
                <w:b/>
                <w:spacing w:val="6"/>
                <w:sz w:val="16"/>
              </w:rPr>
              <w:t> </w:t>
            </w:r>
            <w:r>
              <w:rPr>
                <w:rFonts w:ascii="Arial"/>
                <w:b/>
                <w:spacing w:val="-4"/>
                <w:sz w:val="16"/>
              </w:rPr>
              <w:t>Staff</w:t>
            </w: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bottom w:val="nil"/>
            </w:tcBorders>
            <w:shd w:val="clear" w:color="auto" w:fill="FF00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FFBF00"/>
          </w:tcPr>
          <w:p>
            <w:pPr>
              <w:rPr>
                <w:sz w:val="2"/>
                <w:szCs w:val="2"/>
              </w:rPr>
            </w:pPr>
          </w:p>
        </w:tc>
        <w:tc>
          <w:tcPr>
            <w:tcW w:w="3499" w:type="dxa"/>
            <w:vMerge/>
            <w:tcBorders>
              <w:top w:val="nil"/>
            </w:tcBorders>
          </w:tcPr>
          <w:p>
            <w:pPr>
              <w:rPr>
                <w:sz w:val="2"/>
                <w:szCs w:val="2"/>
              </w:rPr>
            </w:pPr>
          </w:p>
        </w:tc>
        <w:tc>
          <w:tcPr>
            <w:tcW w:w="4226" w:type="dxa"/>
          </w:tcPr>
          <w:p>
            <w:pPr>
              <w:pStyle w:val="TableParagraph"/>
              <w:spacing w:line="168" w:lineRule="exact" w:before="13"/>
              <w:ind w:left="35"/>
              <w:rPr>
                <w:rFonts w:ascii="Arial"/>
                <w:b/>
                <w:sz w:val="16"/>
              </w:rPr>
            </w:pPr>
            <w:r>
              <w:rPr>
                <w:rFonts w:ascii="Arial"/>
                <w:b/>
                <w:sz w:val="16"/>
              </w:rPr>
              <w:t>Director,</w:t>
            </w:r>
            <w:r>
              <w:rPr>
                <w:rFonts w:ascii="Arial"/>
                <w:b/>
                <w:spacing w:val="6"/>
                <w:sz w:val="16"/>
              </w:rPr>
              <w:t> </w:t>
            </w:r>
            <w:r>
              <w:rPr>
                <w:rFonts w:ascii="Arial"/>
                <w:b/>
                <w:sz w:val="16"/>
              </w:rPr>
              <w:t>Specialist</w:t>
            </w:r>
            <w:r>
              <w:rPr>
                <w:rFonts w:ascii="Arial"/>
                <w:b/>
                <w:spacing w:val="9"/>
                <w:sz w:val="16"/>
              </w:rPr>
              <w:t> </w:t>
            </w:r>
            <w:r>
              <w:rPr>
                <w:rFonts w:ascii="Arial"/>
                <w:b/>
                <w:sz w:val="16"/>
              </w:rPr>
              <w:t>Estates</w:t>
            </w:r>
            <w:r>
              <w:rPr>
                <w:rFonts w:ascii="Arial"/>
                <w:b/>
                <w:spacing w:val="8"/>
                <w:sz w:val="16"/>
              </w:rPr>
              <w:t> </w:t>
            </w:r>
            <w:r>
              <w:rPr>
                <w:rFonts w:ascii="Arial"/>
                <w:b/>
                <w:spacing w:val="-2"/>
                <w:sz w:val="16"/>
              </w:rPr>
              <w:t>Services</w:t>
            </w:r>
          </w:p>
        </w:tc>
        <w:tc>
          <w:tcPr>
            <w:tcW w:w="888" w:type="dxa"/>
            <w:vMerge/>
            <w:tcBorders>
              <w:top w:val="nil"/>
            </w:tcBorders>
          </w:tcPr>
          <w:p>
            <w:pPr>
              <w:rPr>
                <w:sz w:val="2"/>
                <w:szCs w:val="2"/>
              </w:rPr>
            </w:pPr>
          </w:p>
        </w:tc>
        <w:tc>
          <w:tcPr>
            <w:tcW w:w="1246" w:type="dxa"/>
            <w:vMerge/>
            <w:tcBorders>
              <w:top w:val="nil"/>
            </w:tcBorders>
            <w:shd w:val="clear" w:color="auto" w:fill="FFFF00"/>
          </w:tcPr>
          <w:p>
            <w:pPr>
              <w:rPr>
                <w:sz w:val="2"/>
                <w:szCs w:val="2"/>
              </w:rPr>
            </w:pPr>
          </w:p>
        </w:tc>
      </w:tr>
      <w:tr>
        <w:trPr>
          <w:trHeight w:val="1021" w:hRule="atLeast"/>
        </w:trPr>
        <w:tc>
          <w:tcPr>
            <w:tcW w:w="667" w:type="dxa"/>
            <w:vMerge w:val="restart"/>
          </w:tcPr>
          <w:p>
            <w:pPr>
              <w:pStyle w:val="TableParagraph"/>
              <w:rPr>
                <w:sz w:val="18"/>
              </w:rPr>
            </w:pPr>
          </w:p>
          <w:p>
            <w:pPr>
              <w:pStyle w:val="TableParagraph"/>
              <w:spacing w:before="6"/>
              <w:rPr>
                <w:sz w:val="24"/>
              </w:rPr>
            </w:pPr>
          </w:p>
          <w:p>
            <w:pPr>
              <w:pStyle w:val="TableParagraph"/>
              <w:ind w:left="194"/>
              <w:rPr>
                <w:rFonts w:ascii="Arial"/>
                <w:b/>
                <w:sz w:val="16"/>
              </w:rPr>
            </w:pPr>
            <w:r>
              <w:rPr>
                <w:rFonts w:ascii="Arial"/>
                <w:b/>
                <w:spacing w:val="-5"/>
                <w:sz w:val="16"/>
              </w:rPr>
              <w:t>A17</w:t>
            </w:r>
          </w:p>
        </w:tc>
        <w:tc>
          <w:tcPr>
            <w:tcW w:w="3583" w:type="dxa"/>
          </w:tcPr>
          <w:p>
            <w:pPr>
              <w:pStyle w:val="TableParagraph"/>
              <w:spacing w:line="264" w:lineRule="auto" w:before="3"/>
              <w:ind w:left="33"/>
              <w:rPr>
                <w:rFonts w:ascii="Arial"/>
                <w:sz w:val="16"/>
              </w:rPr>
            </w:pPr>
            <w:r>
              <w:rPr>
                <w:rFonts w:ascii="Arial"/>
                <w:sz w:val="16"/>
              </w:rPr>
              <w:t>The presence of Reinforced Autoclaved Aerated Concrete in the Brecon House building in Mamhilad has contributed to the unsafe state of repair</w:t>
            </w:r>
            <w:r>
              <w:rPr>
                <w:rFonts w:ascii="Arial"/>
                <w:spacing w:val="3"/>
                <w:sz w:val="16"/>
              </w:rPr>
              <w:t> </w:t>
            </w:r>
            <w:r>
              <w:rPr>
                <w:rFonts w:ascii="Arial"/>
                <w:sz w:val="16"/>
              </w:rPr>
              <w:t>of</w:t>
            </w:r>
            <w:r>
              <w:rPr>
                <w:rFonts w:ascii="Arial"/>
                <w:spacing w:val="7"/>
                <w:sz w:val="16"/>
              </w:rPr>
              <w:t> </w:t>
            </w:r>
            <w:r>
              <w:rPr>
                <w:rFonts w:ascii="Arial"/>
                <w:sz w:val="16"/>
              </w:rPr>
              <w:t>the</w:t>
            </w:r>
            <w:r>
              <w:rPr>
                <w:rFonts w:ascii="Arial"/>
                <w:spacing w:val="4"/>
                <w:sz w:val="16"/>
              </w:rPr>
              <w:t> </w:t>
            </w:r>
            <w:r>
              <w:rPr>
                <w:rFonts w:ascii="Arial"/>
                <w:sz w:val="16"/>
              </w:rPr>
              <w:t>roof,</w:t>
            </w:r>
            <w:r>
              <w:rPr>
                <w:rFonts w:ascii="Arial"/>
                <w:spacing w:val="4"/>
                <w:sz w:val="16"/>
              </w:rPr>
              <w:t> </w:t>
            </w:r>
            <w:r>
              <w:rPr>
                <w:rFonts w:ascii="Arial"/>
                <w:sz w:val="16"/>
              </w:rPr>
              <w:t>making</w:t>
            </w:r>
            <w:r>
              <w:rPr>
                <w:rFonts w:ascii="Arial"/>
                <w:spacing w:val="6"/>
                <w:sz w:val="16"/>
              </w:rPr>
              <w:t> </w:t>
            </w:r>
            <w:r>
              <w:rPr>
                <w:rFonts w:ascii="Arial"/>
                <w:sz w:val="16"/>
              </w:rPr>
              <w:t>the</w:t>
            </w:r>
            <w:r>
              <w:rPr>
                <w:rFonts w:ascii="Arial"/>
                <w:spacing w:val="7"/>
                <w:sz w:val="16"/>
              </w:rPr>
              <w:t> </w:t>
            </w:r>
            <w:r>
              <w:rPr>
                <w:rFonts w:ascii="Arial"/>
                <w:sz w:val="16"/>
              </w:rPr>
              <w:t>building</w:t>
            </w:r>
            <w:r>
              <w:rPr>
                <w:rFonts w:ascii="Arial"/>
                <w:spacing w:val="6"/>
                <w:sz w:val="16"/>
              </w:rPr>
              <w:t> </w:t>
            </w:r>
            <w:r>
              <w:rPr>
                <w:rFonts w:ascii="Arial"/>
                <w:sz w:val="16"/>
              </w:rPr>
              <w:t>unsafe</w:t>
            </w:r>
            <w:r>
              <w:rPr>
                <w:rFonts w:ascii="Arial"/>
                <w:spacing w:val="4"/>
                <w:sz w:val="16"/>
              </w:rPr>
              <w:t> </w:t>
            </w:r>
            <w:r>
              <w:rPr>
                <w:rFonts w:ascii="Arial"/>
                <w:spacing w:val="-5"/>
                <w:sz w:val="16"/>
              </w:rPr>
              <w:t>for</w:t>
            </w:r>
          </w:p>
          <w:p>
            <w:pPr>
              <w:pStyle w:val="TableParagraph"/>
              <w:spacing w:line="181" w:lineRule="exact"/>
              <w:ind w:left="33"/>
              <w:rPr>
                <w:rFonts w:ascii="Arial"/>
                <w:sz w:val="16"/>
              </w:rPr>
            </w:pPr>
            <w:r>
              <w:rPr>
                <w:rFonts w:ascii="Arial"/>
                <w:sz w:val="16"/>
              </w:rPr>
              <w:t>staff.</w:t>
            </w:r>
            <w:r>
              <w:rPr>
                <w:rFonts w:ascii="Arial"/>
                <w:spacing w:val="6"/>
                <w:sz w:val="16"/>
              </w:rPr>
              <w:t> </w:t>
            </w:r>
            <w:r>
              <w:rPr>
                <w:rFonts w:ascii="Arial"/>
                <w:color w:val="FF0000"/>
                <w:sz w:val="16"/>
              </w:rPr>
              <w:t>(added</w:t>
            </w:r>
            <w:r>
              <w:rPr>
                <w:rFonts w:ascii="Arial"/>
                <w:color w:val="FF0000"/>
                <w:spacing w:val="6"/>
                <w:sz w:val="16"/>
              </w:rPr>
              <w:t> </w:t>
            </w:r>
            <w:r>
              <w:rPr>
                <w:rFonts w:ascii="Arial"/>
                <w:color w:val="FF0000"/>
                <w:sz w:val="16"/>
              </w:rPr>
              <w:t>January</w:t>
            </w:r>
            <w:r>
              <w:rPr>
                <w:rFonts w:ascii="Arial"/>
                <w:color w:val="FF0000"/>
                <w:spacing w:val="6"/>
                <w:sz w:val="16"/>
              </w:rPr>
              <w:t> </w:t>
            </w:r>
            <w:r>
              <w:rPr>
                <w:rFonts w:ascii="Arial"/>
                <w:color w:val="FF0000"/>
                <w:spacing w:val="-4"/>
                <w:sz w:val="16"/>
              </w:rPr>
              <w:t>2023)</w:t>
            </w:r>
          </w:p>
        </w:tc>
        <w:tc>
          <w:tcPr>
            <w:tcW w:w="583" w:type="dxa"/>
            <w:vMerge w:val="restart"/>
          </w:tcPr>
          <w:p>
            <w:pPr>
              <w:pStyle w:val="TableParagraph"/>
              <w:rPr>
                <w:sz w:val="18"/>
              </w:rPr>
            </w:pPr>
          </w:p>
          <w:p>
            <w:pPr>
              <w:pStyle w:val="TableParagraph"/>
              <w:spacing w:before="6"/>
              <w:rPr>
                <w:sz w:val="24"/>
              </w:rPr>
            </w:pPr>
          </w:p>
          <w:p>
            <w:pPr>
              <w:pStyle w:val="TableParagraph"/>
              <w:ind w:left="31"/>
              <w:jc w:val="center"/>
              <w:rPr>
                <w:rFonts w:ascii="Arial"/>
                <w:sz w:val="16"/>
              </w:rPr>
            </w:pPr>
            <w:r>
              <w:rPr>
                <w:rFonts w:ascii="Arial"/>
                <w:w w:val="101"/>
                <w:sz w:val="16"/>
              </w:rPr>
              <w:t>5</w:t>
            </w:r>
          </w:p>
        </w:tc>
        <w:tc>
          <w:tcPr>
            <w:tcW w:w="660" w:type="dxa"/>
            <w:vMerge w:val="restart"/>
          </w:tcPr>
          <w:p>
            <w:pPr>
              <w:pStyle w:val="TableParagraph"/>
              <w:rPr>
                <w:sz w:val="18"/>
              </w:rPr>
            </w:pPr>
          </w:p>
          <w:p>
            <w:pPr>
              <w:pStyle w:val="TableParagraph"/>
              <w:spacing w:before="6"/>
              <w:rPr>
                <w:sz w:val="24"/>
              </w:rPr>
            </w:pPr>
          </w:p>
          <w:p>
            <w:pPr>
              <w:pStyle w:val="TableParagraph"/>
              <w:ind w:left="32"/>
              <w:jc w:val="center"/>
              <w:rPr>
                <w:rFonts w:ascii="Arial"/>
                <w:sz w:val="16"/>
              </w:rPr>
            </w:pPr>
            <w:r>
              <w:rPr>
                <w:rFonts w:ascii="Arial"/>
                <w:w w:val="101"/>
                <w:sz w:val="16"/>
              </w:rPr>
              <w:t>5</w:t>
            </w:r>
          </w:p>
        </w:tc>
        <w:tc>
          <w:tcPr>
            <w:tcW w:w="713" w:type="dxa"/>
            <w:vMerge/>
            <w:tcBorders>
              <w:top w:val="nil"/>
              <w:bottom w:val="nil"/>
            </w:tcBorders>
            <w:shd w:val="clear" w:color="auto" w:fill="FF0000"/>
          </w:tcPr>
          <w:p>
            <w:pPr>
              <w:rPr>
                <w:sz w:val="2"/>
                <w:szCs w:val="2"/>
              </w:rPr>
            </w:pPr>
          </w:p>
        </w:tc>
        <w:tc>
          <w:tcPr>
            <w:tcW w:w="3679" w:type="dxa"/>
            <w:vMerge w:val="restart"/>
          </w:tcPr>
          <w:p>
            <w:pPr>
              <w:pStyle w:val="TableParagraph"/>
              <w:spacing w:line="264" w:lineRule="auto" w:before="3"/>
              <w:ind w:left="33" w:right="1054"/>
              <w:rPr>
                <w:rFonts w:ascii="Arial"/>
                <w:sz w:val="16"/>
              </w:rPr>
            </w:pPr>
            <w:r>
              <w:rPr>
                <w:rFonts w:ascii="Arial"/>
                <w:sz w:val="16"/>
              </w:rPr>
              <w:t>Majority of staff working from </w:t>
            </w:r>
            <w:r>
              <w:rPr>
                <w:rFonts w:ascii="Arial"/>
                <w:sz w:val="16"/>
              </w:rPr>
              <w:t>home. Health &amp; Safety Reviews</w:t>
            </w:r>
          </w:p>
        </w:tc>
        <w:tc>
          <w:tcPr>
            <w:tcW w:w="583" w:type="dxa"/>
            <w:vMerge w:val="restart"/>
          </w:tcPr>
          <w:p>
            <w:pPr>
              <w:pStyle w:val="TableParagraph"/>
              <w:rPr>
                <w:sz w:val="18"/>
              </w:rPr>
            </w:pPr>
          </w:p>
          <w:p>
            <w:pPr>
              <w:pStyle w:val="TableParagraph"/>
              <w:spacing w:before="6"/>
              <w:rPr>
                <w:sz w:val="24"/>
              </w:rPr>
            </w:pPr>
          </w:p>
          <w:p>
            <w:pPr>
              <w:pStyle w:val="TableParagraph"/>
              <w:ind w:left="32"/>
              <w:jc w:val="center"/>
              <w:rPr>
                <w:rFonts w:ascii="Arial"/>
                <w:sz w:val="16"/>
              </w:rPr>
            </w:pPr>
            <w:r>
              <w:rPr>
                <w:rFonts w:ascii="Arial"/>
                <w:w w:val="101"/>
                <w:sz w:val="16"/>
              </w:rPr>
              <w:t>3</w:t>
            </w:r>
          </w:p>
        </w:tc>
        <w:tc>
          <w:tcPr>
            <w:tcW w:w="621" w:type="dxa"/>
            <w:vMerge w:val="restart"/>
          </w:tcPr>
          <w:p>
            <w:pPr>
              <w:pStyle w:val="TableParagraph"/>
              <w:rPr>
                <w:sz w:val="18"/>
              </w:rPr>
            </w:pPr>
          </w:p>
          <w:p>
            <w:pPr>
              <w:pStyle w:val="TableParagraph"/>
              <w:spacing w:before="6"/>
              <w:rPr>
                <w:sz w:val="24"/>
              </w:rPr>
            </w:pPr>
          </w:p>
          <w:p>
            <w:pPr>
              <w:pStyle w:val="TableParagraph"/>
              <w:ind w:left="32"/>
              <w:jc w:val="center"/>
              <w:rPr>
                <w:rFonts w:ascii="Arial"/>
                <w:sz w:val="16"/>
              </w:rPr>
            </w:pPr>
            <w:r>
              <w:rPr>
                <w:rFonts w:ascii="Arial"/>
                <w:w w:val="101"/>
                <w:sz w:val="16"/>
              </w:rPr>
              <w:t>5</w:t>
            </w:r>
          </w:p>
        </w:tc>
        <w:tc>
          <w:tcPr>
            <w:tcW w:w="698" w:type="dxa"/>
            <w:vMerge w:val="restart"/>
            <w:shd w:val="clear" w:color="auto" w:fill="FF0000"/>
          </w:tcPr>
          <w:p>
            <w:pPr>
              <w:pStyle w:val="TableParagraph"/>
              <w:rPr>
                <w:sz w:val="18"/>
              </w:rPr>
            </w:pPr>
          </w:p>
          <w:p>
            <w:pPr>
              <w:pStyle w:val="TableParagraph"/>
              <w:spacing w:before="6"/>
              <w:rPr>
                <w:sz w:val="24"/>
              </w:rPr>
            </w:pPr>
          </w:p>
          <w:p>
            <w:pPr>
              <w:pStyle w:val="TableParagraph"/>
              <w:ind w:left="248" w:right="214"/>
              <w:jc w:val="center"/>
              <w:rPr>
                <w:rFonts w:ascii="Arial"/>
                <w:sz w:val="16"/>
              </w:rPr>
            </w:pPr>
            <w:r>
              <w:rPr>
                <w:rFonts w:ascii="Arial"/>
                <w:spacing w:val="-5"/>
                <w:sz w:val="16"/>
              </w:rPr>
              <w:t>15</w:t>
            </w:r>
          </w:p>
        </w:tc>
        <w:tc>
          <w:tcPr>
            <w:tcW w:w="3499" w:type="dxa"/>
            <w:vMerge w:val="restart"/>
          </w:tcPr>
          <w:p>
            <w:pPr>
              <w:pStyle w:val="TableParagraph"/>
              <w:spacing w:before="3"/>
              <w:ind w:left="35"/>
              <w:rPr>
                <w:rFonts w:ascii="Arial"/>
                <w:sz w:val="16"/>
              </w:rPr>
            </w:pPr>
            <w:r>
              <w:rPr>
                <w:rFonts w:ascii="Arial"/>
                <w:sz w:val="16"/>
              </w:rPr>
              <w:t>Structural</w:t>
            </w:r>
            <w:r>
              <w:rPr>
                <w:rFonts w:ascii="Arial"/>
                <w:spacing w:val="7"/>
                <w:sz w:val="16"/>
              </w:rPr>
              <w:t> </w:t>
            </w:r>
            <w:r>
              <w:rPr>
                <w:rFonts w:ascii="Arial"/>
                <w:sz w:val="16"/>
              </w:rPr>
              <w:t>Engineers</w:t>
            </w:r>
            <w:r>
              <w:rPr>
                <w:rFonts w:ascii="Arial"/>
                <w:spacing w:val="8"/>
                <w:sz w:val="16"/>
              </w:rPr>
              <w:t> </w:t>
            </w:r>
            <w:r>
              <w:rPr>
                <w:rFonts w:ascii="Arial"/>
                <w:spacing w:val="-2"/>
                <w:sz w:val="16"/>
              </w:rPr>
              <w:t>appointed</w:t>
            </w:r>
          </w:p>
          <w:p>
            <w:pPr>
              <w:pStyle w:val="TableParagraph"/>
              <w:spacing w:line="264" w:lineRule="auto" w:before="18"/>
              <w:ind w:left="35"/>
              <w:rPr>
                <w:rFonts w:ascii="Arial"/>
                <w:sz w:val="16"/>
              </w:rPr>
            </w:pPr>
            <w:r>
              <w:rPr>
                <w:rFonts w:ascii="Arial"/>
                <w:sz w:val="16"/>
              </w:rPr>
              <w:t>Immediate work being undertaken to </w:t>
            </w:r>
            <w:r>
              <w:rPr>
                <w:rFonts w:ascii="Arial"/>
                <w:sz w:val="16"/>
              </w:rPr>
              <w:t>make building safe for staff.</w:t>
            </w:r>
          </w:p>
          <w:p>
            <w:pPr>
              <w:pStyle w:val="TableParagraph"/>
              <w:spacing w:line="264" w:lineRule="auto"/>
              <w:ind w:left="35"/>
              <w:rPr>
                <w:rFonts w:ascii="Arial"/>
                <w:sz w:val="16"/>
              </w:rPr>
            </w:pPr>
            <w:r>
              <w:rPr>
                <w:rFonts w:ascii="Arial"/>
                <w:sz w:val="16"/>
              </w:rPr>
              <w:t>Plan to vacate Brecon House, ideally at end of 2022/23 financial year.</w:t>
            </w:r>
          </w:p>
        </w:tc>
        <w:tc>
          <w:tcPr>
            <w:tcW w:w="4226" w:type="dxa"/>
          </w:tcPr>
          <w:p>
            <w:pPr>
              <w:pStyle w:val="TableParagraph"/>
              <w:spacing w:line="264" w:lineRule="auto" w:before="3"/>
              <w:ind w:left="35"/>
              <w:rPr>
                <w:rFonts w:ascii="Arial"/>
                <w:sz w:val="16"/>
              </w:rPr>
            </w:pPr>
            <w:r>
              <w:rPr>
                <w:rFonts w:ascii="Arial"/>
                <w:sz w:val="16"/>
              </w:rPr>
              <w:t>Negotiations being undertaken for </w:t>
            </w:r>
            <w:r>
              <w:rPr>
                <w:rFonts w:ascii="Arial"/>
                <w:sz w:val="16"/>
              </w:rPr>
              <w:t>alternative </w:t>
            </w:r>
            <w:r>
              <w:rPr>
                <w:rFonts w:ascii="Arial"/>
                <w:spacing w:val="-2"/>
                <w:sz w:val="16"/>
              </w:rPr>
              <w:t>accommodation.</w:t>
            </w:r>
          </w:p>
        </w:tc>
        <w:tc>
          <w:tcPr>
            <w:tcW w:w="888" w:type="dxa"/>
            <w:vMerge w:val="restart"/>
          </w:tcPr>
          <w:p>
            <w:pPr>
              <w:pStyle w:val="TableParagraph"/>
              <w:spacing w:before="5"/>
              <w:rPr>
                <w:sz w:val="36"/>
              </w:rPr>
            </w:pPr>
          </w:p>
          <w:p>
            <w:pPr>
              <w:pStyle w:val="TableParagraph"/>
              <w:ind w:left="304"/>
              <w:rPr>
                <w:rFonts w:ascii="Wingdings 2" w:hAnsi="Wingdings 2"/>
                <w:sz w:val="32"/>
              </w:rPr>
            </w:pPr>
            <w:r>
              <w:rPr>
                <w:rFonts w:ascii="Wingdings 2" w:hAnsi="Wingdings 2"/>
                <w:color w:val="FFBF00"/>
                <w:w w:val="101"/>
                <w:sz w:val="32"/>
              </w:rPr>
              <w:t></w:t>
            </w:r>
          </w:p>
        </w:tc>
        <w:tc>
          <w:tcPr>
            <w:tcW w:w="1246" w:type="dxa"/>
            <w:vMerge w:val="restart"/>
            <w:shd w:val="clear" w:color="auto" w:fill="FFFF00"/>
          </w:tcPr>
          <w:p>
            <w:pPr>
              <w:pStyle w:val="TableParagraph"/>
              <w:rPr>
                <w:sz w:val="18"/>
              </w:rPr>
            </w:pPr>
          </w:p>
          <w:p>
            <w:pPr>
              <w:pStyle w:val="TableParagraph"/>
              <w:spacing w:before="11"/>
              <w:rPr>
                <w:sz w:val="24"/>
              </w:rPr>
            </w:pPr>
          </w:p>
          <w:p>
            <w:pPr>
              <w:pStyle w:val="TableParagraph"/>
              <w:ind w:left="218"/>
              <w:rPr>
                <w:rFonts w:ascii="Arial"/>
                <w:b/>
                <w:sz w:val="16"/>
              </w:rPr>
            </w:pPr>
            <w:r>
              <w:rPr>
                <w:rFonts w:ascii="Arial"/>
                <w:b/>
                <w:spacing w:val="-2"/>
                <w:sz w:val="16"/>
              </w:rPr>
              <w:t>30/06/2023</w:t>
            </w:r>
          </w:p>
        </w:tc>
      </w:tr>
      <w:tr>
        <w:trPr>
          <w:trHeight w:val="200" w:hRule="atLeast"/>
        </w:trPr>
        <w:tc>
          <w:tcPr>
            <w:tcW w:w="667" w:type="dxa"/>
            <w:vMerge/>
            <w:tcBorders>
              <w:top w:val="nil"/>
            </w:tcBorders>
          </w:tcPr>
          <w:p>
            <w:pPr>
              <w:rPr>
                <w:sz w:val="2"/>
                <w:szCs w:val="2"/>
              </w:rPr>
            </w:pPr>
          </w:p>
        </w:tc>
        <w:tc>
          <w:tcPr>
            <w:tcW w:w="3583" w:type="dxa"/>
            <w:tcBorders>
              <w:bottom w:val="nil"/>
            </w:tcBorders>
          </w:tcPr>
          <w:p>
            <w:pPr>
              <w:pStyle w:val="TableParagraph"/>
              <w:spacing w:line="171" w:lineRule="exact" w:before="10"/>
              <w:ind w:left="33"/>
              <w:rPr>
                <w:rFonts w:ascii="Arial"/>
                <w:b/>
                <w:sz w:val="16"/>
              </w:rPr>
            </w:pPr>
            <w:r>
              <w:rPr>
                <w:rFonts w:ascii="Arial"/>
                <w:b/>
                <w:sz w:val="16"/>
              </w:rPr>
              <w:t>Esclalated</w:t>
            </w:r>
            <w:r>
              <w:rPr>
                <w:rFonts w:ascii="Arial"/>
                <w:b/>
                <w:spacing w:val="10"/>
                <w:sz w:val="16"/>
              </w:rPr>
              <w:t> </w:t>
            </w:r>
            <w:r>
              <w:rPr>
                <w:rFonts w:ascii="Arial"/>
                <w:b/>
                <w:sz w:val="16"/>
              </w:rPr>
              <w:t>Divisional</w:t>
            </w:r>
            <w:r>
              <w:rPr>
                <w:rFonts w:ascii="Arial"/>
                <w:b/>
                <w:spacing w:val="8"/>
                <w:sz w:val="16"/>
              </w:rPr>
              <w:t> </w:t>
            </w:r>
            <w:r>
              <w:rPr>
                <w:rFonts w:ascii="Arial"/>
                <w:b/>
                <w:spacing w:val="-4"/>
                <w:sz w:val="16"/>
              </w:rPr>
              <w:t>Risk</w:t>
            </w: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bottom w:val="nil"/>
            </w:tcBorders>
            <w:shd w:val="clear" w:color="auto" w:fill="FF00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FF0000"/>
          </w:tcPr>
          <w:p>
            <w:pPr>
              <w:rPr>
                <w:sz w:val="2"/>
                <w:szCs w:val="2"/>
              </w:rPr>
            </w:pPr>
          </w:p>
        </w:tc>
        <w:tc>
          <w:tcPr>
            <w:tcW w:w="3499" w:type="dxa"/>
            <w:vMerge/>
            <w:tcBorders>
              <w:top w:val="nil"/>
            </w:tcBorders>
          </w:tcPr>
          <w:p>
            <w:pPr>
              <w:rPr>
                <w:sz w:val="2"/>
                <w:szCs w:val="2"/>
              </w:rPr>
            </w:pPr>
          </w:p>
        </w:tc>
        <w:tc>
          <w:tcPr>
            <w:tcW w:w="4226" w:type="dxa"/>
          </w:tcPr>
          <w:p>
            <w:pPr>
              <w:pStyle w:val="TableParagraph"/>
              <w:spacing w:line="168" w:lineRule="exact" w:before="13"/>
              <w:ind w:left="35"/>
              <w:rPr>
                <w:rFonts w:ascii="Arial"/>
                <w:b/>
                <w:sz w:val="16"/>
              </w:rPr>
            </w:pPr>
            <w:r>
              <w:rPr>
                <w:rFonts w:ascii="Arial"/>
                <w:b/>
                <w:sz w:val="16"/>
              </w:rPr>
              <w:t>Director,</w:t>
            </w:r>
            <w:r>
              <w:rPr>
                <w:rFonts w:ascii="Arial"/>
                <w:b/>
                <w:spacing w:val="3"/>
                <w:sz w:val="16"/>
              </w:rPr>
              <w:t> </w:t>
            </w:r>
            <w:r>
              <w:rPr>
                <w:rFonts w:ascii="Arial"/>
                <w:b/>
                <w:sz w:val="16"/>
              </w:rPr>
              <w:t>Primary</w:t>
            </w:r>
            <w:r>
              <w:rPr>
                <w:rFonts w:ascii="Arial"/>
                <w:b/>
                <w:spacing w:val="-1"/>
                <w:sz w:val="16"/>
              </w:rPr>
              <w:t> </w:t>
            </w:r>
            <w:r>
              <w:rPr>
                <w:rFonts w:ascii="Arial"/>
                <w:b/>
                <w:sz w:val="16"/>
              </w:rPr>
              <w:t>Care</w:t>
            </w:r>
            <w:r>
              <w:rPr>
                <w:rFonts w:ascii="Arial"/>
                <w:b/>
                <w:spacing w:val="4"/>
                <w:sz w:val="16"/>
              </w:rPr>
              <w:t> </w:t>
            </w:r>
            <w:r>
              <w:rPr>
                <w:rFonts w:ascii="Arial"/>
                <w:b/>
                <w:spacing w:val="-2"/>
                <w:sz w:val="16"/>
              </w:rPr>
              <w:t>Services</w:t>
            </w:r>
          </w:p>
        </w:tc>
        <w:tc>
          <w:tcPr>
            <w:tcW w:w="888" w:type="dxa"/>
            <w:vMerge/>
            <w:tcBorders>
              <w:top w:val="nil"/>
            </w:tcBorders>
          </w:tcPr>
          <w:p>
            <w:pPr>
              <w:rPr>
                <w:sz w:val="2"/>
                <w:szCs w:val="2"/>
              </w:rPr>
            </w:pPr>
          </w:p>
        </w:tc>
        <w:tc>
          <w:tcPr>
            <w:tcW w:w="1246" w:type="dxa"/>
            <w:vMerge/>
            <w:tcBorders>
              <w:top w:val="nil"/>
            </w:tcBorders>
            <w:shd w:val="clear" w:color="auto" w:fill="FFFF00"/>
          </w:tcPr>
          <w:p>
            <w:pPr>
              <w:rPr>
                <w:sz w:val="2"/>
                <w:szCs w:val="2"/>
              </w:rPr>
            </w:pPr>
          </w:p>
        </w:tc>
      </w:tr>
    </w:tbl>
    <w:p>
      <w:pPr>
        <w:spacing w:after="0"/>
        <w:rPr>
          <w:sz w:val="2"/>
          <w:szCs w:val="2"/>
        </w:rPr>
        <w:sectPr>
          <w:footerReference w:type="default" r:id="rId164"/>
          <w:pgSz w:w="23820" w:h="16840" w:orient="landscape"/>
          <w:pgMar w:footer="173" w:header="0" w:top="1040" w:bottom="1492" w:left="920" w:right="1020"/>
          <w:pgNumType w:start="2"/>
        </w:sectPr>
      </w:pPr>
    </w:p>
    <w:tbl>
      <w:tblPr>
        <w:tblW w:w="0" w:type="auto"/>
        <w:jc w:val="left"/>
        <w:tblInd w:w="11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667"/>
        <w:gridCol w:w="3583"/>
        <w:gridCol w:w="583"/>
        <w:gridCol w:w="660"/>
        <w:gridCol w:w="713"/>
        <w:gridCol w:w="3679"/>
        <w:gridCol w:w="583"/>
        <w:gridCol w:w="621"/>
        <w:gridCol w:w="698"/>
        <w:gridCol w:w="3499"/>
        <w:gridCol w:w="4226"/>
        <w:gridCol w:w="888"/>
        <w:gridCol w:w="1246"/>
      </w:tblGrid>
      <w:tr>
        <w:trPr>
          <w:trHeight w:val="1437" w:hRule="atLeast"/>
        </w:trPr>
        <w:tc>
          <w:tcPr>
            <w:tcW w:w="667" w:type="dxa"/>
            <w:vMerge w:val="restart"/>
          </w:tcPr>
          <w:p>
            <w:pPr>
              <w:pStyle w:val="TableParagraph"/>
              <w:spacing w:before="10"/>
              <w:ind w:left="189"/>
              <w:rPr>
                <w:rFonts w:ascii="Arial"/>
                <w:b/>
                <w:sz w:val="16"/>
              </w:rPr>
            </w:pPr>
            <w:r>
              <w:rPr>
                <w:rFonts w:ascii="Arial"/>
                <w:b/>
                <w:spacing w:val="-5"/>
                <w:sz w:val="16"/>
              </w:rPr>
              <w:t>A18</w:t>
            </w:r>
          </w:p>
        </w:tc>
        <w:tc>
          <w:tcPr>
            <w:tcW w:w="3583" w:type="dxa"/>
          </w:tcPr>
          <w:p>
            <w:pPr>
              <w:pStyle w:val="TableParagraph"/>
              <w:spacing w:line="264" w:lineRule="auto" w:before="3"/>
              <w:ind w:left="33" w:right="62"/>
              <w:rPr>
                <w:rFonts w:ascii="Arial"/>
                <w:sz w:val="16"/>
              </w:rPr>
            </w:pPr>
            <w:r>
              <w:rPr>
                <w:rFonts w:ascii="Arial"/>
                <w:sz w:val="16"/>
              </w:rPr>
              <w:t>The transfer of the laundries to NWSSP expose</w:t>
            </w:r>
            <w:r>
              <w:rPr>
                <w:rFonts w:ascii="Arial"/>
                <w:spacing w:val="80"/>
                <w:sz w:val="16"/>
              </w:rPr>
              <w:t> </w:t>
            </w:r>
            <w:r>
              <w:rPr>
                <w:rFonts w:ascii="Arial"/>
                <w:sz w:val="16"/>
              </w:rPr>
              <w:t>a number of risks including concerns over </w:t>
            </w:r>
            <w:r>
              <w:rPr>
                <w:rFonts w:ascii="Arial"/>
                <w:sz w:val="16"/>
              </w:rPr>
              <w:t>health and safety and formality of customer relationships. </w:t>
            </w:r>
            <w:r>
              <w:rPr>
                <w:rFonts w:ascii="Arial"/>
                <w:color w:val="FF0000"/>
                <w:sz w:val="16"/>
              </w:rPr>
              <w:t>(added April 2021)</w:t>
            </w:r>
          </w:p>
        </w:tc>
        <w:tc>
          <w:tcPr>
            <w:tcW w:w="583" w:type="dxa"/>
            <w:vMerge w:val="restart"/>
          </w:tcPr>
          <w:p>
            <w:pPr>
              <w:pStyle w:val="TableParagraph"/>
              <w:spacing w:before="3"/>
              <w:ind w:left="22"/>
              <w:jc w:val="center"/>
              <w:rPr>
                <w:rFonts w:ascii="Arial"/>
                <w:sz w:val="16"/>
              </w:rPr>
            </w:pPr>
            <w:r>
              <w:rPr>
                <w:rFonts w:ascii="Arial"/>
                <w:w w:val="101"/>
                <w:sz w:val="16"/>
              </w:rPr>
              <w:t>4</w:t>
            </w:r>
          </w:p>
        </w:tc>
        <w:tc>
          <w:tcPr>
            <w:tcW w:w="660" w:type="dxa"/>
            <w:vMerge w:val="restart"/>
          </w:tcPr>
          <w:p>
            <w:pPr>
              <w:pStyle w:val="TableParagraph"/>
              <w:spacing w:before="3"/>
              <w:ind w:left="22"/>
              <w:jc w:val="center"/>
              <w:rPr>
                <w:rFonts w:ascii="Arial"/>
                <w:sz w:val="16"/>
              </w:rPr>
            </w:pPr>
            <w:r>
              <w:rPr>
                <w:rFonts w:ascii="Arial"/>
                <w:w w:val="101"/>
                <w:sz w:val="16"/>
              </w:rPr>
              <w:t>4</w:t>
            </w:r>
          </w:p>
        </w:tc>
        <w:tc>
          <w:tcPr>
            <w:tcW w:w="713" w:type="dxa"/>
            <w:vMerge w:val="restart"/>
            <w:tcBorders>
              <w:top w:val="nil"/>
            </w:tcBorders>
            <w:shd w:val="clear" w:color="auto" w:fill="FF0000"/>
          </w:tcPr>
          <w:p>
            <w:pPr>
              <w:pStyle w:val="TableParagraph"/>
              <w:spacing w:before="3"/>
              <w:ind w:left="251" w:right="229"/>
              <w:jc w:val="center"/>
              <w:rPr>
                <w:rFonts w:ascii="Arial"/>
                <w:sz w:val="16"/>
              </w:rPr>
            </w:pPr>
            <w:r>
              <w:rPr>
                <w:rFonts w:ascii="Arial"/>
                <w:spacing w:val="-5"/>
                <w:sz w:val="16"/>
              </w:rPr>
              <w:t>16</w:t>
            </w:r>
          </w:p>
        </w:tc>
        <w:tc>
          <w:tcPr>
            <w:tcW w:w="3679" w:type="dxa"/>
            <w:vMerge w:val="restart"/>
          </w:tcPr>
          <w:p>
            <w:pPr>
              <w:pStyle w:val="TableParagraph"/>
              <w:spacing w:line="264" w:lineRule="auto" w:before="3"/>
              <w:ind w:left="33" w:right="236"/>
              <w:rPr>
                <w:rFonts w:ascii="Arial"/>
                <w:sz w:val="16"/>
              </w:rPr>
            </w:pPr>
            <w:r>
              <w:rPr>
                <w:rFonts w:ascii="Arial"/>
                <w:sz w:val="16"/>
              </w:rPr>
              <w:t>All-Wales Programme Business </w:t>
            </w:r>
            <w:r>
              <w:rPr>
                <w:rFonts w:ascii="Arial"/>
                <w:sz w:val="16"/>
              </w:rPr>
              <w:t>Case Programme Board</w:t>
            </w:r>
          </w:p>
          <w:p>
            <w:pPr>
              <w:pStyle w:val="TableParagraph"/>
              <w:spacing w:line="264" w:lineRule="auto"/>
              <w:ind w:left="33"/>
              <w:rPr>
                <w:rFonts w:ascii="Arial"/>
                <w:sz w:val="16"/>
              </w:rPr>
            </w:pPr>
            <w:r>
              <w:rPr>
                <w:rFonts w:ascii="Arial"/>
                <w:sz w:val="16"/>
              </w:rPr>
              <w:t>Regular updates to SLG on progress with Action </w:t>
            </w:r>
            <w:r>
              <w:rPr>
                <w:rFonts w:ascii="Arial"/>
                <w:spacing w:val="-4"/>
                <w:sz w:val="16"/>
              </w:rPr>
              <w:t>Plan</w:t>
            </w:r>
          </w:p>
          <w:p>
            <w:pPr>
              <w:pStyle w:val="TableParagraph"/>
              <w:spacing w:line="182" w:lineRule="exact"/>
              <w:ind w:left="33"/>
              <w:rPr>
                <w:rFonts w:ascii="Arial"/>
                <w:sz w:val="16"/>
              </w:rPr>
            </w:pPr>
            <w:r>
              <w:rPr>
                <w:rFonts w:ascii="Arial"/>
                <w:sz w:val="16"/>
              </w:rPr>
              <w:t>Draft</w:t>
            </w:r>
            <w:r>
              <w:rPr>
                <w:rFonts w:ascii="Arial"/>
                <w:spacing w:val="4"/>
                <w:sz w:val="16"/>
              </w:rPr>
              <w:t> </w:t>
            </w:r>
            <w:r>
              <w:rPr>
                <w:rFonts w:ascii="Arial"/>
                <w:sz w:val="16"/>
              </w:rPr>
              <w:t>SLAs</w:t>
            </w:r>
            <w:r>
              <w:rPr>
                <w:rFonts w:ascii="Arial"/>
                <w:spacing w:val="5"/>
                <w:sz w:val="16"/>
              </w:rPr>
              <w:t> </w:t>
            </w:r>
            <w:r>
              <w:rPr>
                <w:rFonts w:ascii="Arial"/>
                <w:sz w:val="16"/>
              </w:rPr>
              <w:t>approved</w:t>
            </w:r>
            <w:r>
              <w:rPr>
                <w:rFonts w:ascii="Arial"/>
                <w:spacing w:val="8"/>
                <w:sz w:val="16"/>
              </w:rPr>
              <w:t> </w:t>
            </w:r>
            <w:r>
              <w:rPr>
                <w:rFonts w:ascii="Arial"/>
                <w:sz w:val="16"/>
              </w:rPr>
              <w:t>by</w:t>
            </w:r>
            <w:r>
              <w:rPr>
                <w:rFonts w:ascii="Arial"/>
                <w:spacing w:val="3"/>
                <w:sz w:val="16"/>
              </w:rPr>
              <w:t> </w:t>
            </w:r>
            <w:r>
              <w:rPr>
                <w:rFonts w:ascii="Arial"/>
                <w:spacing w:val="-4"/>
                <w:sz w:val="16"/>
              </w:rPr>
              <w:t>SSPC</w:t>
            </w:r>
          </w:p>
          <w:p>
            <w:pPr>
              <w:pStyle w:val="TableParagraph"/>
              <w:spacing w:line="264" w:lineRule="auto" w:before="16"/>
              <w:ind w:left="33"/>
              <w:rPr>
                <w:rFonts w:ascii="Arial"/>
                <w:sz w:val="16"/>
              </w:rPr>
            </w:pPr>
            <w:r>
              <w:rPr>
                <w:rFonts w:ascii="Arial"/>
                <w:sz w:val="16"/>
              </w:rPr>
              <w:t>Appointment of Assistant Director for </w:t>
            </w:r>
            <w:r>
              <w:rPr>
                <w:rFonts w:ascii="Arial"/>
                <w:sz w:val="16"/>
              </w:rPr>
              <w:t>Laundry </w:t>
            </w:r>
            <w:r>
              <w:rPr>
                <w:rFonts w:ascii="Arial"/>
                <w:spacing w:val="-2"/>
                <w:sz w:val="16"/>
              </w:rPr>
              <w:t>Services</w:t>
            </w:r>
          </w:p>
          <w:p>
            <w:pPr>
              <w:pStyle w:val="TableParagraph"/>
              <w:spacing w:line="182" w:lineRule="exact"/>
              <w:ind w:left="33"/>
              <w:rPr>
                <w:rFonts w:ascii="Arial"/>
                <w:sz w:val="16"/>
              </w:rPr>
            </w:pPr>
            <w:r>
              <w:rPr>
                <w:rFonts w:ascii="Arial"/>
                <w:sz w:val="16"/>
              </w:rPr>
              <w:t>H&amp;S</w:t>
            </w:r>
            <w:r>
              <w:rPr>
                <w:rFonts w:ascii="Arial"/>
                <w:spacing w:val="2"/>
                <w:sz w:val="16"/>
              </w:rPr>
              <w:t> </w:t>
            </w:r>
            <w:r>
              <w:rPr>
                <w:rFonts w:ascii="Arial"/>
                <w:sz w:val="16"/>
              </w:rPr>
              <w:t>Audits</w:t>
            </w:r>
            <w:r>
              <w:rPr>
                <w:rFonts w:ascii="Arial"/>
                <w:spacing w:val="4"/>
                <w:sz w:val="16"/>
              </w:rPr>
              <w:t> </w:t>
            </w:r>
            <w:r>
              <w:rPr>
                <w:rFonts w:ascii="Arial"/>
                <w:sz w:val="16"/>
              </w:rPr>
              <w:t>of</w:t>
            </w:r>
            <w:r>
              <w:rPr>
                <w:rFonts w:ascii="Arial"/>
                <w:spacing w:val="6"/>
                <w:sz w:val="16"/>
              </w:rPr>
              <w:t> </w:t>
            </w:r>
            <w:r>
              <w:rPr>
                <w:rFonts w:ascii="Arial"/>
                <w:sz w:val="16"/>
              </w:rPr>
              <w:t>Laundry</w:t>
            </w:r>
            <w:r>
              <w:rPr>
                <w:rFonts w:ascii="Arial"/>
                <w:spacing w:val="2"/>
                <w:sz w:val="16"/>
              </w:rPr>
              <w:t> </w:t>
            </w:r>
            <w:r>
              <w:rPr>
                <w:rFonts w:ascii="Arial"/>
                <w:spacing w:val="-2"/>
                <w:sz w:val="16"/>
              </w:rPr>
              <w:t>Sites</w:t>
            </w:r>
          </w:p>
        </w:tc>
        <w:tc>
          <w:tcPr>
            <w:tcW w:w="583" w:type="dxa"/>
            <w:vMerge w:val="restart"/>
          </w:tcPr>
          <w:p>
            <w:pPr>
              <w:pStyle w:val="TableParagraph"/>
              <w:spacing w:before="3"/>
              <w:ind w:left="22"/>
              <w:jc w:val="center"/>
              <w:rPr>
                <w:rFonts w:ascii="Arial"/>
                <w:sz w:val="16"/>
              </w:rPr>
            </w:pPr>
            <w:r>
              <w:rPr>
                <w:rFonts w:ascii="Arial"/>
                <w:w w:val="101"/>
                <w:sz w:val="16"/>
              </w:rPr>
              <w:t>2</w:t>
            </w:r>
          </w:p>
        </w:tc>
        <w:tc>
          <w:tcPr>
            <w:tcW w:w="621" w:type="dxa"/>
            <w:vMerge w:val="restart"/>
          </w:tcPr>
          <w:p>
            <w:pPr>
              <w:pStyle w:val="TableParagraph"/>
              <w:spacing w:before="3"/>
              <w:ind w:left="22"/>
              <w:jc w:val="center"/>
              <w:rPr>
                <w:rFonts w:ascii="Arial"/>
                <w:sz w:val="16"/>
              </w:rPr>
            </w:pPr>
            <w:r>
              <w:rPr>
                <w:rFonts w:ascii="Arial"/>
                <w:w w:val="101"/>
                <w:sz w:val="16"/>
              </w:rPr>
              <w:t>3</w:t>
            </w:r>
          </w:p>
        </w:tc>
        <w:tc>
          <w:tcPr>
            <w:tcW w:w="698" w:type="dxa"/>
            <w:vMerge w:val="restart"/>
            <w:shd w:val="clear" w:color="auto" w:fill="FFFF00"/>
          </w:tcPr>
          <w:p>
            <w:pPr>
              <w:pStyle w:val="TableParagraph"/>
              <w:spacing w:before="3"/>
              <w:ind w:left="25"/>
              <w:jc w:val="center"/>
              <w:rPr>
                <w:rFonts w:ascii="Arial"/>
                <w:sz w:val="16"/>
              </w:rPr>
            </w:pPr>
            <w:r>
              <w:rPr>
                <w:rFonts w:ascii="Arial"/>
                <w:w w:val="101"/>
                <w:sz w:val="16"/>
              </w:rPr>
              <w:t>6</w:t>
            </w:r>
          </w:p>
        </w:tc>
        <w:tc>
          <w:tcPr>
            <w:tcW w:w="3499" w:type="dxa"/>
            <w:vMerge w:val="restart"/>
          </w:tcPr>
          <w:p>
            <w:pPr>
              <w:pStyle w:val="TableParagraph"/>
              <w:spacing w:line="264" w:lineRule="auto" w:before="3"/>
              <w:ind w:left="35" w:right="125"/>
              <w:rPr>
                <w:rFonts w:ascii="Arial"/>
                <w:sz w:val="16"/>
              </w:rPr>
            </w:pPr>
            <w:r>
              <w:rPr>
                <w:rFonts w:ascii="Arial"/>
                <w:sz w:val="16"/>
              </w:rPr>
              <w:t>Arrange internal audit review of </w:t>
            </w:r>
            <w:r>
              <w:rPr>
                <w:rFonts w:ascii="Arial"/>
                <w:sz w:val="16"/>
              </w:rPr>
              <w:t>Laundry service (AB/PS - complete)</w:t>
            </w:r>
          </w:p>
          <w:p>
            <w:pPr>
              <w:pStyle w:val="TableParagraph"/>
              <w:spacing w:line="264" w:lineRule="auto"/>
              <w:ind w:left="35" w:right="125"/>
              <w:rPr>
                <w:rFonts w:ascii="Arial"/>
                <w:sz w:val="16"/>
              </w:rPr>
            </w:pPr>
            <w:r>
              <w:rPr>
                <w:rFonts w:ascii="Arial"/>
                <w:sz w:val="16"/>
              </w:rPr>
              <w:t>Prioritised report to be submitted to SLGs to monitor progress. (on-going) - good </w:t>
            </w:r>
            <w:r>
              <w:rPr>
                <w:rFonts w:ascii="Arial"/>
                <w:sz w:val="16"/>
              </w:rPr>
              <w:t>progress now being made with majority of required actions completed.</w:t>
            </w:r>
          </w:p>
        </w:tc>
        <w:tc>
          <w:tcPr>
            <w:tcW w:w="4226" w:type="dxa"/>
          </w:tcPr>
          <w:p>
            <w:pPr>
              <w:pStyle w:val="TableParagraph"/>
              <w:spacing w:line="264" w:lineRule="auto" w:before="3"/>
              <w:ind w:left="35"/>
              <w:rPr>
                <w:rFonts w:ascii="Arial"/>
                <w:sz w:val="16"/>
              </w:rPr>
            </w:pPr>
            <w:r>
              <w:rPr>
                <w:rFonts w:ascii="Arial"/>
                <w:sz w:val="16"/>
              </w:rPr>
              <w:t>Transfer has now taken place for all of the 5 laundries, although arrangements are different for Hywel Dda and Cwm Taf. Updates provided to SLG.</w:t>
            </w:r>
          </w:p>
          <w:p>
            <w:pPr>
              <w:pStyle w:val="TableParagraph"/>
              <w:spacing w:line="264" w:lineRule="auto"/>
              <w:ind w:left="35"/>
              <w:rPr>
                <w:rFonts w:ascii="Arial"/>
                <w:sz w:val="16"/>
              </w:rPr>
            </w:pPr>
            <w:r>
              <w:rPr>
                <w:rFonts w:ascii="Arial"/>
                <w:sz w:val="16"/>
              </w:rPr>
              <w:t>IA review focused on Swansea Laundry </w:t>
            </w:r>
            <w:r>
              <w:rPr>
                <w:rFonts w:ascii="Arial"/>
                <w:sz w:val="16"/>
              </w:rPr>
              <w:t>provides reasonable assurance.</w:t>
            </w:r>
          </w:p>
          <w:p>
            <w:pPr>
              <w:pStyle w:val="TableParagraph"/>
              <w:spacing w:line="264" w:lineRule="auto"/>
              <w:ind w:left="35"/>
              <w:rPr>
                <w:rFonts w:ascii="Arial"/>
                <w:sz w:val="16"/>
              </w:rPr>
            </w:pPr>
            <w:r>
              <w:rPr>
                <w:rFonts w:ascii="Arial"/>
                <w:sz w:val="16"/>
              </w:rPr>
              <w:t>Report to Sept 22 H&amp;S Group showed good progress in completing actions.</w:t>
            </w:r>
          </w:p>
        </w:tc>
        <w:tc>
          <w:tcPr>
            <w:tcW w:w="888" w:type="dxa"/>
            <w:vMerge w:val="restart"/>
          </w:tcPr>
          <w:p>
            <w:pPr>
              <w:pStyle w:val="TableParagraph"/>
              <w:spacing w:before="9"/>
              <w:rPr>
                <w:sz w:val="52"/>
              </w:rPr>
            </w:pPr>
          </w:p>
          <w:p>
            <w:pPr>
              <w:pStyle w:val="TableParagraph"/>
              <w:ind w:left="268"/>
              <w:rPr>
                <w:rFonts w:ascii="Wingdings 3" w:hAnsi="Wingdings 3"/>
                <w:sz w:val="32"/>
              </w:rPr>
            </w:pPr>
            <w:r>
              <w:rPr>
                <w:rFonts w:ascii="Wingdings 3" w:hAnsi="Wingdings 3"/>
                <w:color w:val="FFBF00"/>
                <w:w w:val="101"/>
                <w:sz w:val="32"/>
              </w:rPr>
              <w:t></w:t>
            </w:r>
          </w:p>
        </w:tc>
        <w:tc>
          <w:tcPr>
            <w:tcW w:w="1246" w:type="dxa"/>
            <w:vMerge w:val="restart"/>
            <w:shd w:val="clear" w:color="auto" w:fill="00AF50"/>
          </w:tcPr>
          <w:p>
            <w:pPr>
              <w:pStyle w:val="TableParagraph"/>
              <w:rPr>
                <w:sz w:val="18"/>
              </w:rPr>
            </w:pPr>
          </w:p>
          <w:p>
            <w:pPr>
              <w:pStyle w:val="TableParagraph"/>
              <w:rPr>
                <w:sz w:val="18"/>
              </w:rPr>
            </w:pPr>
          </w:p>
          <w:p>
            <w:pPr>
              <w:pStyle w:val="TableParagraph"/>
              <w:spacing w:before="3"/>
              <w:rPr>
                <w:sz w:val="24"/>
              </w:rPr>
            </w:pPr>
          </w:p>
          <w:p>
            <w:pPr>
              <w:pStyle w:val="TableParagraph"/>
              <w:ind w:left="242"/>
              <w:rPr>
                <w:rFonts w:ascii="Arial"/>
                <w:b/>
                <w:sz w:val="16"/>
              </w:rPr>
            </w:pPr>
            <w:r>
              <w:rPr>
                <w:rFonts w:ascii="Arial"/>
                <w:b/>
                <w:sz w:val="16"/>
              </w:rPr>
              <w:t>31-Dec-</w:t>
            </w:r>
            <w:r>
              <w:rPr>
                <w:rFonts w:ascii="Arial"/>
                <w:b/>
                <w:spacing w:val="-5"/>
                <w:sz w:val="16"/>
              </w:rPr>
              <w:t>22</w:t>
            </w:r>
          </w:p>
        </w:tc>
      </w:tr>
      <w:tr>
        <w:trPr>
          <w:trHeight w:val="208" w:hRule="atLeast"/>
        </w:trPr>
        <w:tc>
          <w:tcPr>
            <w:tcW w:w="667" w:type="dxa"/>
            <w:vMerge/>
            <w:tcBorders>
              <w:top w:val="nil"/>
            </w:tcBorders>
          </w:tcPr>
          <w:p>
            <w:pPr>
              <w:rPr>
                <w:sz w:val="2"/>
                <w:szCs w:val="2"/>
              </w:rPr>
            </w:pPr>
          </w:p>
        </w:tc>
        <w:tc>
          <w:tcPr>
            <w:tcW w:w="3583" w:type="dxa"/>
          </w:tcPr>
          <w:p>
            <w:pPr>
              <w:pStyle w:val="TableParagraph"/>
              <w:spacing w:line="178" w:lineRule="exact" w:before="10"/>
              <w:ind w:left="33"/>
              <w:rPr>
                <w:rFonts w:ascii="Arial"/>
                <w:b/>
                <w:sz w:val="16"/>
              </w:rPr>
            </w:pPr>
            <w:r>
              <w:rPr>
                <w:rFonts w:ascii="Arial"/>
                <w:b/>
                <w:sz w:val="16"/>
              </w:rPr>
              <w:t>Strategic</w:t>
            </w:r>
            <w:r>
              <w:rPr>
                <w:rFonts w:ascii="Arial"/>
                <w:b/>
                <w:spacing w:val="5"/>
                <w:sz w:val="16"/>
              </w:rPr>
              <w:t> </w:t>
            </w:r>
            <w:r>
              <w:rPr>
                <w:rFonts w:ascii="Arial"/>
                <w:b/>
                <w:sz w:val="16"/>
              </w:rPr>
              <w:t>Objective</w:t>
            </w:r>
            <w:r>
              <w:rPr>
                <w:rFonts w:ascii="Arial"/>
                <w:b/>
                <w:spacing w:val="4"/>
                <w:sz w:val="16"/>
              </w:rPr>
              <w:t> </w:t>
            </w:r>
            <w:r>
              <w:rPr>
                <w:rFonts w:ascii="Arial"/>
                <w:b/>
                <w:sz w:val="16"/>
              </w:rPr>
              <w:t>-</w:t>
            </w:r>
            <w:r>
              <w:rPr>
                <w:rFonts w:ascii="Arial"/>
                <w:b/>
                <w:spacing w:val="5"/>
                <w:sz w:val="16"/>
              </w:rPr>
              <w:t> </w:t>
            </w:r>
            <w:r>
              <w:rPr>
                <w:rFonts w:ascii="Arial"/>
                <w:b/>
                <w:sz w:val="16"/>
              </w:rPr>
              <w:t>Service</w:t>
            </w:r>
            <w:r>
              <w:rPr>
                <w:rFonts w:ascii="Arial"/>
                <w:b/>
                <w:spacing w:val="6"/>
                <w:sz w:val="16"/>
              </w:rPr>
              <w:t> </w:t>
            </w:r>
            <w:r>
              <w:rPr>
                <w:rFonts w:ascii="Arial"/>
                <w:b/>
                <w:spacing w:val="-2"/>
                <w:sz w:val="16"/>
              </w:rPr>
              <w:t>Development</w:t>
            </w: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tcBorders>
            <w:shd w:val="clear" w:color="auto" w:fill="FF00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FFFF00"/>
          </w:tcPr>
          <w:p>
            <w:pPr>
              <w:rPr>
                <w:sz w:val="2"/>
                <w:szCs w:val="2"/>
              </w:rPr>
            </w:pPr>
          </w:p>
        </w:tc>
        <w:tc>
          <w:tcPr>
            <w:tcW w:w="3499" w:type="dxa"/>
            <w:vMerge/>
            <w:tcBorders>
              <w:top w:val="nil"/>
            </w:tcBorders>
          </w:tcPr>
          <w:p>
            <w:pPr>
              <w:rPr>
                <w:sz w:val="2"/>
                <w:szCs w:val="2"/>
              </w:rPr>
            </w:pPr>
          </w:p>
        </w:tc>
        <w:tc>
          <w:tcPr>
            <w:tcW w:w="4226" w:type="dxa"/>
          </w:tcPr>
          <w:p>
            <w:pPr>
              <w:pStyle w:val="TableParagraph"/>
              <w:spacing w:line="178" w:lineRule="exact" w:before="10"/>
              <w:ind w:left="34"/>
              <w:rPr>
                <w:rFonts w:ascii="Arial"/>
                <w:b/>
                <w:sz w:val="16"/>
              </w:rPr>
            </w:pPr>
            <w:r>
              <w:rPr>
                <w:rFonts w:ascii="Arial"/>
                <w:b/>
                <w:sz w:val="16"/>
              </w:rPr>
              <w:t>Risk</w:t>
            </w:r>
            <w:r>
              <w:rPr>
                <w:rFonts w:ascii="Arial"/>
                <w:b/>
                <w:spacing w:val="7"/>
                <w:sz w:val="16"/>
              </w:rPr>
              <w:t> </w:t>
            </w:r>
            <w:r>
              <w:rPr>
                <w:rFonts w:ascii="Arial"/>
                <w:b/>
                <w:sz w:val="16"/>
              </w:rPr>
              <w:t>Lead:</w:t>
            </w:r>
            <w:r>
              <w:rPr>
                <w:rFonts w:ascii="Arial"/>
                <w:b/>
                <w:spacing w:val="6"/>
                <w:sz w:val="16"/>
              </w:rPr>
              <w:t> </w:t>
            </w:r>
            <w:r>
              <w:rPr>
                <w:rFonts w:ascii="Arial"/>
                <w:b/>
                <w:sz w:val="16"/>
              </w:rPr>
              <w:t>Director</w:t>
            </w:r>
            <w:r>
              <w:rPr>
                <w:rFonts w:ascii="Arial"/>
                <w:b/>
                <w:spacing w:val="5"/>
                <w:sz w:val="16"/>
              </w:rPr>
              <w:t> </w:t>
            </w:r>
            <w:r>
              <w:rPr>
                <w:rFonts w:ascii="Arial"/>
                <w:b/>
                <w:sz w:val="16"/>
              </w:rPr>
              <w:t>of</w:t>
            </w:r>
            <w:r>
              <w:rPr>
                <w:rFonts w:ascii="Arial"/>
                <w:b/>
                <w:spacing w:val="6"/>
                <w:sz w:val="16"/>
              </w:rPr>
              <w:t> </w:t>
            </w:r>
            <w:r>
              <w:rPr>
                <w:rFonts w:ascii="Arial"/>
                <w:b/>
                <w:sz w:val="16"/>
              </w:rPr>
              <w:t>Procurement</w:t>
            </w:r>
            <w:r>
              <w:rPr>
                <w:rFonts w:ascii="Arial"/>
                <w:b/>
                <w:spacing w:val="8"/>
                <w:sz w:val="16"/>
              </w:rPr>
              <w:t> </w:t>
            </w:r>
            <w:r>
              <w:rPr>
                <w:rFonts w:ascii="Arial"/>
                <w:b/>
                <w:spacing w:val="-2"/>
                <w:sz w:val="16"/>
              </w:rPr>
              <w:t>Services</w:t>
            </w:r>
          </w:p>
        </w:tc>
        <w:tc>
          <w:tcPr>
            <w:tcW w:w="888" w:type="dxa"/>
            <w:vMerge/>
            <w:tcBorders>
              <w:top w:val="nil"/>
            </w:tcBorders>
          </w:tcPr>
          <w:p>
            <w:pPr>
              <w:rPr>
                <w:sz w:val="2"/>
                <w:szCs w:val="2"/>
              </w:rPr>
            </w:pPr>
          </w:p>
        </w:tc>
        <w:tc>
          <w:tcPr>
            <w:tcW w:w="1246" w:type="dxa"/>
            <w:vMerge/>
            <w:tcBorders>
              <w:top w:val="nil"/>
            </w:tcBorders>
            <w:shd w:val="clear" w:color="auto" w:fill="00AF50"/>
          </w:tcPr>
          <w:p>
            <w:pPr>
              <w:rPr>
                <w:sz w:val="2"/>
                <w:szCs w:val="2"/>
              </w:rPr>
            </w:pPr>
          </w:p>
        </w:tc>
      </w:tr>
      <w:tr>
        <w:trPr>
          <w:trHeight w:val="726" w:hRule="atLeast"/>
        </w:trPr>
        <w:tc>
          <w:tcPr>
            <w:tcW w:w="21646" w:type="dxa"/>
            <w:gridSpan w:val="13"/>
            <w:shd w:val="clear" w:color="auto" w:fill="D8D8D8"/>
          </w:tcPr>
          <w:p>
            <w:pPr>
              <w:pStyle w:val="TableParagraph"/>
              <w:spacing w:before="1"/>
              <w:rPr>
                <w:sz w:val="20"/>
              </w:rPr>
            </w:pPr>
          </w:p>
          <w:p>
            <w:pPr>
              <w:pStyle w:val="TableParagraph"/>
              <w:ind w:left="9445" w:right="9423"/>
              <w:jc w:val="center"/>
              <w:rPr>
                <w:rFonts w:ascii="Arial"/>
                <w:b/>
                <w:sz w:val="20"/>
              </w:rPr>
            </w:pPr>
            <w:r>
              <w:rPr>
                <w:rFonts w:ascii="Arial"/>
                <w:b/>
                <w:w w:val="105"/>
                <w:sz w:val="20"/>
              </w:rPr>
              <w:t>Risks</w:t>
            </w:r>
            <w:r>
              <w:rPr>
                <w:rFonts w:ascii="Arial"/>
                <w:b/>
                <w:spacing w:val="-7"/>
                <w:w w:val="105"/>
                <w:sz w:val="20"/>
              </w:rPr>
              <w:t> </w:t>
            </w:r>
            <w:r>
              <w:rPr>
                <w:rFonts w:ascii="Arial"/>
                <w:b/>
                <w:w w:val="105"/>
                <w:sz w:val="20"/>
              </w:rPr>
              <w:t>for</w:t>
            </w:r>
            <w:r>
              <w:rPr>
                <w:rFonts w:ascii="Arial"/>
                <w:b/>
                <w:spacing w:val="-11"/>
                <w:w w:val="105"/>
                <w:sz w:val="20"/>
              </w:rPr>
              <w:t> </w:t>
            </w:r>
            <w:r>
              <w:rPr>
                <w:rFonts w:ascii="Arial"/>
                <w:b/>
                <w:spacing w:val="-2"/>
                <w:w w:val="105"/>
                <w:sz w:val="20"/>
              </w:rPr>
              <w:t>Monitoring</w:t>
            </w:r>
          </w:p>
        </w:tc>
      </w:tr>
      <w:tr>
        <w:trPr>
          <w:trHeight w:val="1021" w:hRule="atLeast"/>
        </w:trPr>
        <w:tc>
          <w:tcPr>
            <w:tcW w:w="667" w:type="dxa"/>
            <w:vMerge w:val="restart"/>
          </w:tcPr>
          <w:p>
            <w:pPr>
              <w:pStyle w:val="TableParagraph"/>
              <w:spacing w:before="10"/>
              <w:ind w:left="222"/>
              <w:rPr>
                <w:rFonts w:ascii="Arial"/>
                <w:b/>
                <w:sz w:val="16"/>
              </w:rPr>
            </w:pPr>
            <w:r>
              <w:rPr>
                <w:rFonts w:ascii="Arial"/>
                <w:b/>
                <w:spacing w:val="-5"/>
                <w:sz w:val="16"/>
              </w:rPr>
              <w:t>M1</w:t>
            </w:r>
          </w:p>
        </w:tc>
        <w:tc>
          <w:tcPr>
            <w:tcW w:w="3583" w:type="dxa"/>
            <w:vMerge w:val="restart"/>
          </w:tcPr>
          <w:p>
            <w:pPr>
              <w:pStyle w:val="TableParagraph"/>
              <w:spacing w:line="264" w:lineRule="auto" w:before="3"/>
              <w:ind w:left="33"/>
              <w:rPr>
                <w:rFonts w:ascii="Arial"/>
                <w:sz w:val="16"/>
              </w:rPr>
            </w:pPr>
            <w:r>
              <w:rPr>
                <w:rFonts w:ascii="Arial"/>
                <w:sz w:val="16"/>
              </w:rPr>
              <w:t>Disruption to services and threats to staff due to unauthorised access to NWSSP sites.</w:t>
            </w:r>
          </w:p>
        </w:tc>
        <w:tc>
          <w:tcPr>
            <w:tcW w:w="583" w:type="dxa"/>
            <w:vMerge w:val="restart"/>
          </w:tcPr>
          <w:p>
            <w:pPr>
              <w:pStyle w:val="TableParagraph"/>
              <w:spacing w:before="3"/>
              <w:ind w:left="22"/>
              <w:jc w:val="center"/>
              <w:rPr>
                <w:rFonts w:ascii="Arial"/>
                <w:sz w:val="16"/>
              </w:rPr>
            </w:pPr>
            <w:r>
              <w:rPr>
                <w:rFonts w:ascii="Arial"/>
                <w:w w:val="101"/>
                <w:sz w:val="16"/>
              </w:rPr>
              <w:t>5</w:t>
            </w:r>
          </w:p>
        </w:tc>
        <w:tc>
          <w:tcPr>
            <w:tcW w:w="660" w:type="dxa"/>
            <w:vMerge w:val="restart"/>
          </w:tcPr>
          <w:p>
            <w:pPr>
              <w:pStyle w:val="TableParagraph"/>
              <w:spacing w:before="3"/>
              <w:ind w:left="22"/>
              <w:jc w:val="center"/>
              <w:rPr>
                <w:rFonts w:ascii="Arial"/>
                <w:sz w:val="16"/>
              </w:rPr>
            </w:pPr>
            <w:r>
              <w:rPr>
                <w:rFonts w:ascii="Arial"/>
                <w:w w:val="101"/>
                <w:sz w:val="16"/>
              </w:rPr>
              <w:t>4</w:t>
            </w:r>
          </w:p>
        </w:tc>
        <w:tc>
          <w:tcPr>
            <w:tcW w:w="713" w:type="dxa"/>
            <w:vMerge w:val="restart"/>
            <w:shd w:val="clear" w:color="auto" w:fill="FF0000"/>
          </w:tcPr>
          <w:p>
            <w:pPr>
              <w:pStyle w:val="TableParagraph"/>
              <w:spacing w:before="3"/>
              <w:ind w:left="250" w:right="229"/>
              <w:jc w:val="center"/>
              <w:rPr>
                <w:rFonts w:ascii="Arial"/>
                <w:sz w:val="16"/>
              </w:rPr>
            </w:pPr>
            <w:r>
              <w:rPr>
                <w:rFonts w:ascii="Arial"/>
                <w:spacing w:val="-5"/>
                <w:sz w:val="16"/>
              </w:rPr>
              <w:t>20</w:t>
            </w:r>
          </w:p>
        </w:tc>
        <w:tc>
          <w:tcPr>
            <w:tcW w:w="3679" w:type="dxa"/>
            <w:vMerge w:val="restart"/>
          </w:tcPr>
          <w:p>
            <w:pPr>
              <w:pStyle w:val="TableParagraph"/>
              <w:spacing w:line="264" w:lineRule="auto" w:before="3"/>
              <w:ind w:left="33" w:right="1507"/>
              <w:rPr>
                <w:rFonts w:ascii="Arial"/>
                <w:sz w:val="16"/>
              </w:rPr>
            </w:pPr>
            <w:r>
              <w:rPr>
                <w:rFonts w:ascii="Arial"/>
                <w:sz w:val="16"/>
              </w:rPr>
              <w:t>Manned Security at </w:t>
            </w:r>
            <w:r>
              <w:rPr>
                <w:rFonts w:ascii="Arial"/>
                <w:sz w:val="16"/>
              </w:rPr>
              <w:t>Matrix </w:t>
            </w:r>
            <w:r>
              <w:rPr>
                <w:rFonts w:ascii="Arial"/>
                <w:spacing w:val="-4"/>
                <w:sz w:val="16"/>
              </w:rPr>
              <w:t>CCTV</w:t>
            </w:r>
          </w:p>
          <w:p>
            <w:pPr>
              <w:pStyle w:val="TableParagraph"/>
              <w:spacing w:line="182" w:lineRule="exact"/>
              <w:ind w:left="33"/>
              <w:rPr>
                <w:rFonts w:ascii="Arial"/>
                <w:sz w:val="16"/>
              </w:rPr>
            </w:pPr>
            <w:r>
              <w:rPr>
                <w:rFonts w:ascii="Arial"/>
                <w:sz w:val="16"/>
              </w:rPr>
              <w:t>Locked</w:t>
            </w:r>
            <w:r>
              <w:rPr>
                <w:rFonts w:ascii="Arial"/>
                <w:spacing w:val="6"/>
                <w:sz w:val="16"/>
              </w:rPr>
              <w:t> </w:t>
            </w:r>
            <w:r>
              <w:rPr>
                <w:rFonts w:ascii="Arial"/>
                <w:sz w:val="16"/>
              </w:rPr>
              <w:t>Gates</w:t>
            </w:r>
            <w:r>
              <w:rPr>
                <w:rFonts w:ascii="Arial"/>
                <w:spacing w:val="4"/>
                <w:sz w:val="16"/>
              </w:rPr>
              <w:t> </w:t>
            </w:r>
            <w:r>
              <w:rPr>
                <w:rFonts w:ascii="Arial"/>
                <w:sz w:val="16"/>
              </w:rPr>
              <w:t>installed</w:t>
            </w:r>
            <w:r>
              <w:rPr>
                <w:rFonts w:ascii="Arial"/>
                <w:spacing w:val="6"/>
                <w:sz w:val="16"/>
              </w:rPr>
              <w:t> </w:t>
            </w:r>
            <w:r>
              <w:rPr>
                <w:rFonts w:ascii="Arial"/>
                <w:sz w:val="16"/>
              </w:rPr>
              <w:t>at</w:t>
            </w:r>
            <w:r>
              <w:rPr>
                <w:rFonts w:ascii="Arial"/>
                <w:spacing w:val="6"/>
                <w:sz w:val="16"/>
              </w:rPr>
              <w:t> </w:t>
            </w:r>
            <w:r>
              <w:rPr>
                <w:rFonts w:ascii="Arial"/>
                <w:spacing w:val="-2"/>
                <w:sz w:val="16"/>
              </w:rPr>
              <w:t>Matrix.</w:t>
            </w:r>
          </w:p>
          <w:p>
            <w:pPr>
              <w:pStyle w:val="TableParagraph"/>
              <w:spacing w:line="264" w:lineRule="auto" w:before="18"/>
              <w:ind w:left="33"/>
              <w:rPr>
                <w:rFonts w:ascii="Arial"/>
                <w:sz w:val="16"/>
              </w:rPr>
            </w:pPr>
            <w:r>
              <w:rPr>
                <w:rFonts w:ascii="Arial"/>
                <w:sz w:val="16"/>
              </w:rPr>
              <w:t>Security Review Undertaken (reported Dec 18) Increased Security Patrols at Matrix.</w:t>
            </w:r>
          </w:p>
          <w:p>
            <w:pPr>
              <w:pStyle w:val="TableParagraph"/>
              <w:spacing w:line="182" w:lineRule="exact"/>
              <w:ind w:left="33"/>
              <w:rPr>
                <w:rFonts w:ascii="Arial"/>
                <w:sz w:val="16"/>
              </w:rPr>
            </w:pPr>
            <w:r>
              <w:rPr>
                <w:rFonts w:ascii="Arial"/>
                <w:sz w:val="16"/>
              </w:rPr>
              <w:t>CTSA</w:t>
            </w:r>
            <w:r>
              <w:rPr>
                <w:rFonts w:ascii="Arial"/>
                <w:spacing w:val="3"/>
                <w:sz w:val="16"/>
              </w:rPr>
              <w:t> </w:t>
            </w:r>
            <w:r>
              <w:rPr>
                <w:rFonts w:ascii="Arial"/>
                <w:sz w:val="16"/>
              </w:rPr>
              <w:t>underake</w:t>
            </w:r>
            <w:r>
              <w:rPr>
                <w:rFonts w:ascii="Arial"/>
                <w:spacing w:val="8"/>
                <w:sz w:val="16"/>
              </w:rPr>
              <w:t> </w:t>
            </w:r>
            <w:r>
              <w:rPr>
                <w:rFonts w:ascii="Arial"/>
                <w:sz w:val="16"/>
              </w:rPr>
              <w:t>annual</w:t>
            </w:r>
            <w:r>
              <w:rPr>
                <w:rFonts w:ascii="Arial"/>
                <w:spacing w:val="5"/>
                <w:sz w:val="16"/>
              </w:rPr>
              <w:t> </w:t>
            </w:r>
            <w:r>
              <w:rPr>
                <w:rFonts w:ascii="Arial"/>
                <w:sz w:val="16"/>
              </w:rPr>
              <w:t>reviews</w:t>
            </w:r>
            <w:r>
              <w:rPr>
                <w:rFonts w:ascii="Arial"/>
                <w:spacing w:val="5"/>
                <w:sz w:val="16"/>
              </w:rPr>
              <w:t> </w:t>
            </w:r>
            <w:r>
              <w:rPr>
                <w:rFonts w:ascii="Arial"/>
                <w:sz w:val="16"/>
              </w:rPr>
              <w:t>of</w:t>
            </w:r>
            <w:r>
              <w:rPr>
                <w:rFonts w:ascii="Arial"/>
                <w:spacing w:val="5"/>
                <w:sz w:val="16"/>
              </w:rPr>
              <w:t> </w:t>
            </w:r>
            <w:r>
              <w:rPr>
                <w:rFonts w:ascii="Arial"/>
                <w:sz w:val="16"/>
              </w:rPr>
              <w:t>high</w:t>
            </w:r>
            <w:r>
              <w:rPr>
                <w:rFonts w:ascii="Arial"/>
                <w:spacing w:val="5"/>
                <w:sz w:val="16"/>
              </w:rPr>
              <w:t> </w:t>
            </w:r>
            <w:r>
              <w:rPr>
                <w:rFonts w:ascii="Arial"/>
                <w:spacing w:val="-4"/>
                <w:sz w:val="16"/>
              </w:rPr>
              <w:t>risk</w:t>
            </w:r>
          </w:p>
          <w:p>
            <w:pPr>
              <w:pStyle w:val="TableParagraph"/>
              <w:spacing w:before="17"/>
              <w:ind w:left="33"/>
              <w:rPr>
                <w:rFonts w:ascii="Arial"/>
                <w:sz w:val="16"/>
              </w:rPr>
            </w:pPr>
            <w:r>
              <w:rPr>
                <w:rFonts w:ascii="Arial"/>
                <w:sz w:val="16"/>
              </w:rPr>
              <w:t>buildings</w:t>
            </w:r>
            <w:r>
              <w:rPr>
                <w:rFonts w:ascii="Arial"/>
                <w:spacing w:val="5"/>
                <w:sz w:val="16"/>
              </w:rPr>
              <w:t> </w:t>
            </w:r>
            <w:r>
              <w:rPr>
                <w:rFonts w:ascii="Arial"/>
                <w:sz w:val="16"/>
              </w:rPr>
              <w:t>e.g.</w:t>
            </w:r>
            <w:r>
              <w:rPr>
                <w:rFonts w:ascii="Arial"/>
                <w:spacing w:val="5"/>
                <w:sz w:val="16"/>
              </w:rPr>
              <w:t> </w:t>
            </w:r>
            <w:r>
              <w:rPr>
                <w:rFonts w:ascii="Arial"/>
                <w:sz w:val="16"/>
              </w:rPr>
              <w:t>IP5,</w:t>
            </w:r>
            <w:r>
              <w:rPr>
                <w:rFonts w:ascii="Arial"/>
                <w:spacing w:val="3"/>
                <w:sz w:val="16"/>
              </w:rPr>
              <w:t> </w:t>
            </w:r>
            <w:r>
              <w:rPr>
                <w:rFonts w:ascii="Arial"/>
                <w:spacing w:val="-2"/>
                <w:sz w:val="16"/>
              </w:rPr>
              <w:t>Picketston</w:t>
            </w:r>
          </w:p>
        </w:tc>
        <w:tc>
          <w:tcPr>
            <w:tcW w:w="583" w:type="dxa"/>
            <w:vMerge w:val="restart"/>
          </w:tcPr>
          <w:p>
            <w:pPr>
              <w:pStyle w:val="TableParagraph"/>
              <w:spacing w:before="3"/>
              <w:ind w:left="22"/>
              <w:jc w:val="center"/>
              <w:rPr>
                <w:rFonts w:ascii="Arial"/>
                <w:sz w:val="16"/>
              </w:rPr>
            </w:pPr>
            <w:r>
              <w:rPr>
                <w:rFonts w:ascii="Arial"/>
                <w:w w:val="101"/>
                <w:sz w:val="16"/>
              </w:rPr>
              <w:t>1</w:t>
            </w:r>
          </w:p>
        </w:tc>
        <w:tc>
          <w:tcPr>
            <w:tcW w:w="621" w:type="dxa"/>
            <w:vMerge w:val="restart"/>
          </w:tcPr>
          <w:p>
            <w:pPr>
              <w:pStyle w:val="TableParagraph"/>
              <w:spacing w:before="3"/>
              <w:ind w:left="23"/>
              <w:jc w:val="center"/>
              <w:rPr>
                <w:rFonts w:ascii="Arial"/>
                <w:sz w:val="16"/>
              </w:rPr>
            </w:pPr>
            <w:r>
              <w:rPr>
                <w:rFonts w:ascii="Arial"/>
                <w:w w:val="101"/>
                <w:sz w:val="16"/>
              </w:rPr>
              <w:t>4</w:t>
            </w:r>
          </w:p>
        </w:tc>
        <w:tc>
          <w:tcPr>
            <w:tcW w:w="698" w:type="dxa"/>
            <w:vMerge w:val="restart"/>
            <w:shd w:val="clear" w:color="auto" w:fill="FFFF00"/>
          </w:tcPr>
          <w:p>
            <w:pPr>
              <w:pStyle w:val="TableParagraph"/>
              <w:spacing w:before="3"/>
              <w:ind w:left="25"/>
              <w:jc w:val="center"/>
              <w:rPr>
                <w:rFonts w:ascii="Arial"/>
                <w:sz w:val="16"/>
              </w:rPr>
            </w:pPr>
            <w:r>
              <w:rPr>
                <w:rFonts w:ascii="Arial"/>
                <w:w w:val="101"/>
                <w:sz w:val="16"/>
              </w:rPr>
              <w:t>4</w:t>
            </w:r>
          </w:p>
        </w:tc>
        <w:tc>
          <w:tcPr>
            <w:tcW w:w="3499" w:type="dxa"/>
            <w:vMerge w:val="restart"/>
          </w:tcPr>
          <w:p>
            <w:pPr>
              <w:pStyle w:val="TableParagraph"/>
              <w:spacing w:line="264" w:lineRule="auto" w:before="3"/>
              <w:ind w:left="35"/>
              <w:rPr>
                <w:rFonts w:ascii="Arial"/>
                <w:sz w:val="16"/>
              </w:rPr>
            </w:pPr>
            <w:r>
              <w:rPr>
                <w:rFonts w:ascii="Arial"/>
                <w:sz w:val="16"/>
              </w:rPr>
              <w:t>Review</w:t>
            </w:r>
            <w:r>
              <w:rPr>
                <w:rFonts w:ascii="Arial"/>
                <w:spacing w:val="-1"/>
                <w:sz w:val="16"/>
              </w:rPr>
              <w:t> </w:t>
            </w:r>
            <w:r>
              <w:rPr>
                <w:rFonts w:ascii="Arial"/>
                <w:sz w:val="16"/>
              </w:rPr>
              <w:t>results from security checklists (PS - 31/07/22 - complete)</w:t>
            </w:r>
          </w:p>
          <w:p>
            <w:pPr>
              <w:pStyle w:val="TableParagraph"/>
              <w:spacing w:line="264" w:lineRule="auto"/>
              <w:ind w:left="35"/>
              <w:rPr>
                <w:rFonts w:ascii="Arial"/>
                <w:sz w:val="16"/>
              </w:rPr>
            </w:pPr>
            <w:r>
              <w:rPr>
                <w:rFonts w:ascii="Arial"/>
                <w:sz w:val="16"/>
              </w:rPr>
              <w:t>Review any gaps in security arrangements and address where possible (PS 31/12/2022)</w:t>
            </w:r>
          </w:p>
        </w:tc>
        <w:tc>
          <w:tcPr>
            <w:tcW w:w="4226" w:type="dxa"/>
          </w:tcPr>
          <w:p>
            <w:pPr>
              <w:pStyle w:val="TableParagraph"/>
              <w:spacing w:line="264" w:lineRule="auto" w:before="3"/>
              <w:ind w:left="35"/>
              <w:rPr>
                <w:rFonts w:ascii="Arial"/>
                <w:sz w:val="16"/>
              </w:rPr>
            </w:pPr>
            <w:r>
              <w:rPr>
                <w:rFonts w:ascii="Arial"/>
                <w:sz w:val="16"/>
              </w:rPr>
              <w:t>Security Review undertaken and reported to SMT in Dec 2018. No major findings and all agreed actions implemented or superceded.</w:t>
            </w:r>
          </w:p>
        </w:tc>
        <w:tc>
          <w:tcPr>
            <w:tcW w:w="888" w:type="dxa"/>
            <w:vMerge w:val="restart"/>
          </w:tcPr>
          <w:p>
            <w:pPr>
              <w:pStyle w:val="TableParagraph"/>
              <w:spacing w:before="3"/>
              <w:rPr>
                <w:sz w:val="43"/>
              </w:rPr>
            </w:pPr>
          </w:p>
          <w:p>
            <w:pPr>
              <w:pStyle w:val="TableParagraph"/>
              <w:ind w:left="268"/>
              <w:rPr>
                <w:rFonts w:ascii="Wingdings 3" w:hAnsi="Wingdings 3"/>
                <w:sz w:val="32"/>
              </w:rPr>
            </w:pPr>
            <w:r>
              <w:rPr>
                <w:rFonts w:ascii="Wingdings 3" w:hAnsi="Wingdings 3"/>
                <w:color w:val="FFBF00"/>
                <w:w w:val="101"/>
                <w:sz w:val="32"/>
              </w:rPr>
              <w:t></w:t>
            </w:r>
          </w:p>
        </w:tc>
        <w:tc>
          <w:tcPr>
            <w:tcW w:w="1246" w:type="dxa"/>
            <w:vMerge w:val="restart"/>
            <w:shd w:val="clear" w:color="auto" w:fill="FFFF00"/>
          </w:tcPr>
          <w:p>
            <w:pPr>
              <w:pStyle w:val="TableParagraph"/>
              <w:rPr>
                <w:rFonts w:ascii="Times New Roman"/>
                <w:sz w:val="16"/>
              </w:rPr>
            </w:pPr>
          </w:p>
        </w:tc>
      </w:tr>
      <w:tr>
        <w:trPr>
          <w:trHeight w:val="392" w:hRule="atLeast"/>
        </w:trPr>
        <w:tc>
          <w:tcPr>
            <w:tcW w:w="667" w:type="dxa"/>
            <w:vMerge/>
            <w:tcBorders>
              <w:top w:val="nil"/>
            </w:tcBorders>
          </w:tcPr>
          <w:p>
            <w:pPr>
              <w:rPr>
                <w:sz w:val="2"/>
                <w:szCs w:val="2"/>
              </w:rPr>
            </w:pPr>
          </w:p>
        </w:tc>
        <w:tc>
          <w:tcPr>
            <w:tcW w:w="3583" w:type="dxa"/>
            <w:vMerge/>
            <w:tcBorders>
              <w:top w:val="nil"/>
            </w:tcBorders>
          </w:tcPr>
          <w:p>
            <w:pPr>
              <w:rPr>
                <w:sz w:val="2"/>
                <w:szCs w:val="2"/>
              </w:rPr>
            </w:pP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tcBorders>
            <w:shd w:val="clear" w:color="auto" w:fill="FF00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FFFF00"/>
          </w:tcPr>
          <w:p>
            <w:pPr>
              <w:rPr>
                <w:sz w:val="2"/>
                <w:szCs w:val="2"/>
              </w:rPr>
            </w:pPr>
          </w:p>
        </w:tc>
        <w:tc>
          <w:tcPr>
            <w:tcW w:w="3499" w:type="dxa"/>
            <w:vMerge/>
            <w:tcBorders>
              <w:top w:val="nil"/>
            </w:tcBorders>
          </w:tcPr>
          <w:p>
            <w:pPr>
              <w:rPr>
                <w:sz w:val="2"/>
                <w:szCs w:val="2"/>
              </w:rPr>
            </w:pPr>
          </w:p>
        </w:tc>
        <w:tc>
          <w:tcPr>
            <w:tcW w:w="4226" w:type="dxa"/>
          </w:tcPr>
          <w:p>
            <w:pPr>
              <w:pStyle w:val="TableParagraph"/>
              <w:spacing w:before="10"/>
              <w:ind w:left="35"/>
              <w:rPr>
                <w:rFonts w:ascii="Arial"/>
                <w:b/>
                <w:sz w:val="16"/>
              </w:rPr>
            </w:pPr>
            <w:r>
              <w:rPr>
                <w:rFonts w:ascii="Arial"/>
                <w:b/>
                <w:sz w:val="16"/>
              </w:rPr>
              <w:t>Risk</w:t>
            </w:r>
            <w:r>
              <w:rPr>
                <w:rFonts w:ascii="Arial"/>
                <w:b/>
                <w:spacing w:val="6"/>
                <w:sz w:val="16"/>
              </w:rPr>
              <w:t> </w:t>
            </w:r>
            <w:r>
              <w:rPr>
                <w:rFonts w:ascii="Arial"/>
                <w:b/>
                <w:sz w:val="16"/>
              </w:rPr>
              <w:t>Lead;</w:t>
            </w:r>
            <w:r>
              <w:rPr>
                <w:rFonts w:ascii="Arial"/>
                <w:b/>
                <w:spacing w:val="9"/>
                <w:sz w:val="16"/>
              </w:rPr>
              <w:t> </w:t>
            </w:r>
            <w:r>
              <w:rPr>
                <w:rFonts w:ascii="Arial"/>
                <w:b/>
                <w:sz w:val="16"/>
              </w:rPr>
              <w:t>Director</w:t>
            </w:r>
            <w:r>
              <w:rPr>
                <w:rFonts w:ascii="Arial"/>
                <w:b/>
                <w:spacing w:val="6"/>
                <w:sz w:val="16"/>
              </w:rPr>
              <w:t> </w:t>
            </w:r>
            <w:r>
              <w:rPr>
                <w:rFonts w:ascii="Arial"/>
                <w:b/>
                <w:sz w:val="16"/>
              </w:rPr>
              <w:t>Specialist</w:t>
            </w:r>
            <w:r>
              <w:rPr>
                <w:rFonts w:ascii="Arial"/>
                <w:b/>
                <w:spacing w:val="9"/>
                <w:sz w:val="16"/>
              </w:rPr>
              <w:t> </w:t>
            </w:r>
            <w:r>
              <w:rPr>
                <w:rFonts w:ascii="Arial"/>
                <w:b/>
                <w:spacing w:val="-2"/>
                <w:sz w:val="16"/>
              </w:rPr>
              <w:t>Estates</w:t>
            </w:r>
          </w:p>
          <w:p>
            <w:pPr>
              <w:pStyle w:val="TableParagraph"/>
              <w:spacing w:line="154" w:lineRule="exact" w:before="25"/>
              <w:ind w:left="35"/>
              <w:rPr>
                <w:rFonts w:ascii="Arial"/>
                <w:b/>
                <w:sz w:val="16"/>
              </w:rPr>
            </w:pPr>
            <w:r>
              <w:rPr>
                <w:rFonts w:ascii="Arial"/>
                <w:b/>
                <w:sz w:val="16"/>
              </w:rPr>
              <w:t>Services/Director</w:t>
            </w:r>
            <w:r>
              <w:rPr>
                <w:rFonts w:ascii="Arial"/>
                <w:b/>
                <w:spacing w:val="5"/>
                <w:sz w:val="16"/>
              </w:rPr>
              <w:t> </w:t>
            </w:r>
            <w:r>
              <w:rPr>
                <w:rFonts w:ascii="Arial"/>
                <w:b/>
                <w:sz w:val="16"/>
              </w:rPr>
              <w:t>of</w:t>
            </w:r>
            <w:r>
              <w:rPr>
                <w:rFonts w:ascii="Arial"/>
                <w:b/>
                <w:spacing w:val="8"/>
                <w:sz w:val="16"/>
              </w:rPr>
              <w:t> </w:t>
            </w:r>
            <w:r>
              <w:rPr>
                <w:rFonts w:ascii="Arial"/>
                <w:b/>
                <w:sz w:val="16"/>
              </w:rPr>
              <w:t>Finance</w:t>
            </w:r>
            <w:r>
              <w:rPr>
                <w:rFonts w:ascii="Arial"/>
                <w:b/>
                <w:spacing w:val="9"/>
                <w:sz w:val="16"/>
              </w:rPr>
              <w:t> </w:t>
            </w:r>
            <w:r>
              <w:rPr>
                <w:rFonts w:ascii="Arial"/>
                <w:b/>
                <w:sz w:val="16"/>
              </w:rPr>
              <w:t>and</w:t>
            </w:r>
            <w:r>
              <w:rPr>
                <w:rFonts w:ascii="Arial"/>
                <w:b/>
                <w:spacing w:val="8"/>
                <w:sz w:val="16"/>
              </w:rPr>
              <w:t> </w:t>
            </w:r>
            <w:r>
              <w:rPr>
                <w:rFonts w:ascii="Arial"/>
                <w:b/>
                <w:sz w:val="16"/>
              </w:rPr>
              <w:t>Corporate</w:t>
            </w:r>
            <w:r>
              <w:rPr>
                <w:rFonts w:ascii="Arial"/>
                <w:b/>
                <w:spacing w:val="7"/>
                <w:sz w:val="16"/>
              </w:rPr>
              <w:t> </w:t>
            </w:r>
            <w:r>
              <w:rPr>
                <w:rFonts w:ascii="Arial"/>
                <w:b/>
                <w:spacing w:val="-2"/>
                <w:sz w:val="16"/>
              </w:rPr>
              <w:t>Services</w:t>
            </w:r>
          </w:p>
        </w:tc>
        <w:tc>
          <w:tcPr>
            <w:tcW w:w="888" w:type="dxa"/>
            <w:vMerge/>
            <w:tcBorders>
              <w:top w:val="nil"/>
            </w:tcBorders>
          </w:tcPr>
          <w:p>
            <w:pPr>
              <w:rPr>
                <w:sz w:val="2"/>
                <w:szCs w:val="2"/>
              </w:rPr>
            </w:pPr>
          </w:p>
        </w:tc>
        <w:tc>
          <w:tcPr>
            <w:tcW w:w="1246" w:type="dxa"/>
            <w:vMerge/>
            <w:tcBorders>
              <w:top w:val="nil"/>
            </w:tcBorders>
            <w:shd w:val="clear" w:color="auto" w:fill="FFFF00"/>
          </w:tcPr>
          <w:p>
            <w:pPr>
              <w:rPr>
                <w:sz w:val="2"/>
                <w:szCs w:val="2"/>
              </w:rPr>
            </w:pPr>
          </w:p>
        </w:tc>
      </w:tr>
      <w:tr>
        <w:trPr>
          <w:trHeight w:val="1021" w:hRule="atLeast"/>
        </w:trPr>
        <w:tc>
          <w:tcPr>
            <w:tcW w:w="667" w:type="dxa"/>
            <w:vMerge w:val="restart"/>
          </w:tcPr>
          <w:p>
            <w:pPr>
              <w:pStyle w:val="TableParagraph"/>
              <w:spacing w:before="10"/>
              <w:ind w:left="222"/>
              <w:rPr>
                <w:rFonts w:ascii="Arial"/>
                <w:b/>
                <w:sz w:val="16"/>
              </w:rPr>
            </w:pPr>
            <w:r>
              <w:rPr>
                <w:rFonts w:ascii="Arial"/>
                <w:b/>
                <w:spacing w:val="-5"/>
                <w:sz w:val="16"/>
              </w:rPr>
              <w:t>M2</w:t>
            </w:r>
          </w:p>
        </w:tc>
        <w:tc>
          <w:tcPr>
            <w:tcW w:w="3583" w:type="dxa"/>
            <w:vMerge w:val="restart"/>
          </w:tcPr>
          <w:p>
            <w:pPr>
              <w:pStyle w:val="TableParagraph"/>
              <w:spacing w:line="264" w:lineRule="auto" w:before="3"/>
              <w:ind w:left="33" w:right="95"/>
              <w:rPr>
                <w:rFonts w:ascii="Arial"/>
                <w:sz w:val="16"/>
              </w:rPr>
            </w:pPr>
            <w:r>
              <w:rPr>
                <w:rFonts w:ascii="Arial"/>
                <w:sz w:val="16"/>
              </w:rPr>
              <w:t>There is an increased fire risk with a consequence for protection of buildings at Alder House, Brecon House and Matrix House due to</w:t>
            </w:r>
            <w:r>
              <w:rPr>
                <w:rFonts w:ascii="Arial"/>
                <w:spacing w:val="40"/>
                <w:sz w:val="16"/>
              </w:rPr>
              <w:t> </w:t>
            </w:r>
            <w:r>
              <w:rPr>
                <w:rFonts w:ascii="Arial"/>
                <w:sz w:val="16"/>
              </w:rPr>
              <w:t>a lack of compartmentation in the roof space.</w:t>
            </w:r>
          </w:p>
        </w:tc>
        <w:tc>
          <w:tcPr>
            <w:tcW w:w="583" w:type="dxa"/>
            <w:vMerge w:val="restart"/>
          </w:tcPr>
          <w:p>
            <w:pPr>
              <w:pStyle w:val="TableParagraph"/>
              <w:spacing w:before="3"/>
              <w:ind w:left="22"/>
              <w:jc w:val="center"/>
              <w:rPr>
                <w:rFonts w:ascii="Arial"/>
                <w:sz w:val="16"/>
              </w:rPr>
            </w:pPr>
            <w:r>
              <w:rPr>
                <w:rFonts w:ascii="Arial"/>
                <w:w w:val="101"/>
                <w:sz w:val="16"/>
              </w:rPr>
              <w:t>2</w:t>
            </w:r>
          </w:p>
        </w:tc>
        <w:tc>
          <w:tcPr>
            <w:tcW w:w="660" w:type="dxa"/>
            <w:vMerge w:val="restart"/>
          </w:tcPr>
          <w:p>
            <w:pPr>
              <w:pStyle w:val="TableParagraph"/>
              <w:spacing w:before="3"/>
              <w:ind w:left="22"/>
              <w:jc w:val="center"/>
              <w:rPr>
                <w:rFonts w:ascii="Arial"/>
                <w:sz w:val="16"/>
              </w:rPr>
            </w:pPr>
            <w:r>
              <w:rPr>
                <w:rFonts w:ascii="Arial"/>
                <w:w w:val="101"/>
                <w:sz w:val="16"/>
              </w:rPr>
              <w:t>5</w:t>
            </w:r>
          </w:p>
        </w:tc>
        <w:tc>
          <w:tcPr>
            <w:tcW w:w="713" w:type="dxa"/>
            <w:vMerge w:val="restart"/>
            <w:shd w:val="clear" w:color="auto" w:fill="FFBF00"/>
          </w:tcPr>
          <w:p>
            <w:pPr>
              <w:pStyle w:val="TableParagraph"/>
              <w:spacing w:before="3"/>
              <w:ind w:left="251" w:right="229"/>
              <w:jc w:val="center"/>
              <w:rPr>
                <w:rFonts w:ascii="Arial"/>
                <w:sz w:val="16"/>
              </w:rPr>
            </w:pPr>
            <w:r>
              <w:rPr>
                <w:rFonts w:ascii="Arial"/>
                <w:spacing w:val="-5"/>
                <w:sz w:val="16"/>
              </w:rPr>
              <w:t>10</w:t>
            </w:r>
          </w:p>
        </w:tc>
        <w:tc>
          <w:tcPr>
            <w:tcW w:w="3679" w:type="dxa"/>
            <w:vMerge w:val="restart"/>
          </w:tcPr>
          <w:p>
            <w:pPr>
              <w:pStyle w:val="TableParagraph"/>
              <w:spacing w:line="264" w:lineRule="auto" w:before="3"/>
              <w:ind w:left="33" w:right="49"/>
              <w:rPr>
                <w:rFonts w:ascii="Arial"/>
                <w:sz w:val="16"/>
              </w:rPr>
            </w:pPr>
            <w:r>
              <w:rPr>
                <w:rFonts w:ascii="Arial"/>
                <w:sz w:val="16"/>
              </w:rPr>
              <w:t>Fire Safety Officer Risk Assessment - assessed risk to life as low - Update Paper to Feb, May and November SMTs.</w:t>
            </w:r>
          </w:p>
        </w:tc>
        <w:tc>
          <w:tcPr>
            <w:tcW w:w="583" w:type="dxa"/>
            <w:vMerge w:val="restart"/>
          </w:tcPr>
          <w:p>
            <w:pPr>
              <w:pStyle w:val="TableParagraph"/>
              <w:spacing w:before="3"/>
              <w:ind w:left="22"/>
              <w:jc w:val="center"/>
              <w:rPr>
                <w:rFonts w:ascii="Arial"/>
                <w:sz w:val="16"/>
              </w:rPr>
            </w:pPr>
            <w:r>
              <w:rPr>
                <w:rFonts w:ascii="Arial"/>
                <w:w w:val="101"/>
                <w:sz w:val="16"/>
              </w:rPr>
              <w:t>1</w:t>
            </w:r>
          </w:p>
        </w:tc>
        <w:tc>
          <w:tcPr>
            <w:tcW w:w="621" w:type="dxa"/>
            <w:vMerge w:val="restart"/>
          </w:tcPr>
          <w:p>
            <w:pPr>
              <w:pStyle w:val="TableParagraph"/>
              <w:spacing w:before="3"/>
              <w:ind w:left="23"/>
              <w:jc w:val="center"/>
              <w:rPr>
                <w:rFonts w:ascii="Arial"/>
                <w:sz w:val="16"/>
              </w:rPr>
            </w:pPr>
            <w:r>
              <w:rPr>
                <w:rFonts w:ascii="Arial"/>
                <w:w w:val="101"/>
                <w:sz w:val="16"/>
              </w:rPr>
              <w:t>5</w:t>
            </w:r>
          </w:p>
        </w:tc>
        <w:tc>
          <w:tcPr>
            <w:tcW w:w="698" w:type="dxa"/>
            <w:vMerge w:val="restart"/>
            <w:shd w:val="clear" w:color="auto" w:fill="FFFF00"/>
          </w:tcPr>
          <w:p>
            <w:pPr>
              <w:pStyle w:val="TableParagraph"/>
              <w:spacing w:before="3"/>
              <w:ind w:left="22"/>
              <w:jc w:val="center"/>
              <w:rPr>
                <w:rFonts w:ascii="Arial"/>
                <w:sz w:val="16"/>
              </w:rPr>
            </w:pPr>
            <w:r>
              <w:rPr>
                <w:rFonts w:ascii="Arial"/>
                <w:w w:val="101"/>
                <w:sz w:val="16"/>
              </w:rPr>
              <w:t>5</w:t>
            </w:r>
          </w:p>
        </w:tc>
        <w:tc>
          <w:tcPr>
            <w:tcW w:w="3499" w:type="dxa"/>
            <w:vMerge w:val="restart"/>
          </w:tcPr>
          <w:p>
            <w:pPr>
              <w:pStyle w:val="TableParagraph"/>
              <w:spacing w:line="264" w:lineRule="auto" w:before="3"/>
              <w:ind w:left="35" w:right="137"/>
              <w:rPr>
                <w:rFonts w:ascii="Arial"/>
                <w:sz w:val="16"/>
              </w:rPr>
            </w:pPr>
            <w:r>
              <w:rPr>
                <w:rFonts w:ascii="Arial"/>
                <w:sz w:val="16"/>
              </w:rPr>
              <w:t>Discrete fire risk assessments to be undertaken for each site at the recommended intervals. Risk to remain on Corporate Risk Register to ensure sufficient monitoring. .</w:t>
            </w:r>
          </w:p>
        </w:tc>
        <w:tc>
          <w:tcPr>
            <w:tcW w:w="4226" w:type="dxa"/>
          </w:tcPr>
          <w:p>
            <w:pPr>
              <w:pStyle w:val="TableParagraph"/>
              <w:spacing w:line="264" w:lineRule="auto" w:before="3"/>
              <w:ind w:left="35" w:right="78"/>
              <w:rPr>
                <w:rFonts w:ascii="Arial"/>
                <w:sz w:val="16"/>
              </w:rPr>
            </w:pPr>
            <w:r>
              <w:rPr>
                <w:rFonts w:ascii="Arial"/>
                <w:sz w:val="16"/>
              </w:rPr>
              <w:t>Landlords consider any work on compartmentation to be our responsibility. SES reported</w:t>
            </w:r>
            <w:r>
              <w:rPr>
                <w:rFonts w:ascii="Arial"/>
                <w:spacing w:val="16"/>
                <w:sz w:val="16"/>
              </w:rPr>
              <w:t> </w:t>
            </w:r>
            <w:r>
              <w:rPr>
                <w:rFonts w:ascii="Arial"/>
                <w:sz w:val="16"/>
              </w:rPr>
              <w:t>to Nov</w:t>
            </w:r>
            <w:r>
              <w:rPr>
                <w:rFonts w:ascii="Arial"/>
                <w:spacing w:val="17"/>
                <w:sz w:val="16"/>
              </w:rPr>
              <w:t> </w:t>
            </w:r>
            <w:r>
              <w:rPr>
                <w:rFonts w:ascii="Arial"/>
                <w:sz w:val="16"/>
              </w:rPr>
              <w:t>2020 SLT</w:t>
            </w:r>
            <w:r>
              <w:rPr>
                <w:rFonts w:ascii="Arial"/>
                <w:spacing w:val="17"/>
                <w:sz w:val="16"/>
              </w:rPr>
              <w:t> </w:t>
            </w:r>
            <w:r>
              <w:rPr>
                <w:rFonts w:ascii="Arial"/>
                <w:sz w:val="16"/>
              </w:rPr>
              <w:t>where</w:t>
            </w:r>
            <w:r>
              <w:rPr>
                <w:rFonts w:ascii="Arial"/>
                <w:spacing w:val="40"/>
                <w:sz w:val="16"/>
              </w:rPr>
              <w:t> </w:t>
            </w:r>
            <w:r>
              <w:rPr>
                <w:rFonts w:ascii="Arial"/>
                <w:sz w:val="16"/>
              </w:rPr>
              <w:t>it was agreed that the risk to life is very low. Further discrete risk assessments to be undertaken and reported</w:t>
            </w:r>
          </w:p>
          <w:p>
            <w:pPr>
              <w:pStyle w:val="TableParagraph"/>
              <w:spacing w:line="181" w:lineRule="exact"/>
              <w:ind w:left="35"/>
              <w:rPr>
                <w:rFonts w:ascii="Arial"/>
                <w:sz w:val="16"/>
              </w:rPr>
            </w:pPr>
            <w:r>
              <w:rPr>
                <w:rFonts w:ascii="Arial"/>
                <w:sz w:val="16"/>
              </w:rPr>
              <w:t>back</w:t>
            </w:r>
            <w:r>
              <w:rPr>
                <w:rFonts w:ascii="Arial"/>
                <w:spacing w:val="2"/>
                <w:sz w:val="16"/>
              </w:rPr>
              <w:t> </w:t>
            </w:r>
            <w:r>
              <w:rPr>
                <w:rFonts w:ascii="Arial"/>
                <w:sz w:val="16"/>
              </w:rPr>
              <w:t>to</w:t>
            </w:r>
            <w:r>
              <w:rPr>
                <w:rFonts w:ascii="Arial"/>
                <w:spacing w:val="4"/>
                <w:sz w:val="16"/>
              </w:rPr>
              <w:t> </w:t>
            </w:r>
            <w:r>
              <w:rPr>
                <w:rFonts w:ascii="Arial"/>
                <w:sz w:val="16"/>
              </w:rPr>
              <w:t>Feb</w:t>
            </w:r>
            <w:r>
              <w:rPr>
                <w:rFonts w:ascii="Arial"/>
                <w:spacing w:val="5"/>
                <w:sz w:val="16"/>
              </w:rPr>
              <w:t> </w:t>
            </w:r>
            <w:r>
              <w:rPr>
                <w:rFonts w:ascii="Arial"/>
                <w:sz w:val="16"/>
              </w:rPr>
              <w:t>2021</w:t>
            </w:r>
            <w:r>
              <w:rPr>
                <w:rFonts w:ascii="Arial"/>
                <w:spacing w:val="6"/>
                <w:sz w:val="16"/>
              </w:rPr>
              <w:t> </w:t>
            </w:r>
            <w:r>
              <w:rPr>
                <w:rFonts w:ascii="Arial"/>
                <w:spacing w:val="-4"/>
                <w:sz w:val="16"/>
              </w:rPr>
              <w:t>SLT.</w:t>
            </w:r>
          </w:p>
        </w:tc>
        <w:tc>
          <w:tcPr>
            <w:tcW w:w="888" w:type="dxa"/>
            <w:vMerge w:val="restart"/>
          </w:tcPr>
          <w:p>
            <w:pPr>
              <w:pStyle w:val="TableParagraph"/>
              <w:spacing w:before="4"/>
              <w:rPr>
                <w:sz w:val="35"/>
              </w:rPr>
            </w:pPr>
          </w:p>
          <w:p>
            <w:pPr>
              <w:pStyle w:val="TableParagraph"/>
              <w:ind w:left="268"/>
              <w:rPr>
                <w:rFonts w:ascii="Wingdings 3" w:hAnsi="Wingdings 3"/>
                <w:sz w:val="32"/>
              </w:rPr>
            </w:pPr>
            <w:r>
              <w:rPr>
                <w:rFonts w:ascii="Wingdings 3" w:hAnsi="Wingdings 3"/>
                <w:color w:val="FFBF00"/>
                <w:w w:val="101"/>
                <w:sz w:val="32"/>
              </w:rPr>
              <w:t></w:t>
            </w:r>
          </w:p>
        </w:tc>
        <w:tc>
          <w:tcPr>
            <w:tcW w:w="1246" w:type="dxa"/>
            <w:vMerge w:val="restart"/>
            <w:shd w:val="clear" w:color="auto" w:fill="FFFF00"/>
          </w:tcPr>
          <w:p>
            <w:pPr>
              <w:pStyle w:val="TableParagraph"/>
              <w:rPr>
                <w:rFonts w:ascii="Times New Roman"/>
                <w:sz w:val="16"/>
              </w:rPr>
            </w:pPr>
          </w:p>
        </w:tc>
      </w:tr>
      <w:tr>
        <w:trPr>
          <w:trHeight w:val="198" w:hRule="atLeast"/>
        </w:trPr>
        <w:tc>
          <w:tcPr>
            <w:tcW w:w="667" w:type="dxa"/>
            <w:vMerge/>
            <w:tcBorders>
              <w:top w:val="nil"/>
            </w:tcBorders>
          </w:tcPr>
          <w:p>
            <w:pPr>
              <w:rPr>
                <w:sz w:val="2"/>
                <w:szCs w:val="2"/>
              </w:rPr>
            </w:pPr>
          </w:p>
        </w:tc>
        <w:tc>
          <w:tcPr>
            <w:tcW w:w="3583" w:type="dxa"/>
            <w:vMerge/>
            <w:tcBorders>
              <w:top w:val="nil"/>
            </w:tcBorders>
          </w:tcPr>
          <w:p>
            <w:pPr>
              <w:rPr>
                <w:sz w:val="2"/>
                <w:szCs w:val="2"/>
              </w:rPr>
            </w:pP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tcBorders>
            <w:shd w:val="clear" w:color="auto" w:fill="FFBF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FFFF00"/>
          </w:tcPr>
          <w:p>
            <w:pPr>
              <w:rPr>
                <w:sz w:val="2"/>
                <w:szCs w:val="2"/>
              </w:rPr>
            </w:pPr>
          </w:p>
        </w:tc>
        <w:tc>
          <w:tcPr>
            <w:tcW w:w="3499" w:type="dxa"/>
            <w:vMerge/>
            <w:tcBorders>
              <w:top w:val="nil"/>
            </w:tcBorders>
          </w:tcPr>
          <w:p>
            <w:pPr>
              <w:rPr>
                <w:sz w:val="2"/>
                <w:szCs w:val="2"/>
              </w:rPr>
            </w:pPr>
          </w:p>
        </w:tc>
        <w:tc>
          <w:tcPr>
            <w:tcW w:w="4226" w:type="dxa"/>
          </w:tcPr>
          <w:p>
            <w:pPr>
              <w:pStyle w:val="TableParagraph"/>
              <w:spacing w:line="168" w:lineRule="exact" w:before="10"/>
              <w:ind w:left="35"/>
              <w:rPr>
                <w:rFonts w:ascii="Arial"/>
                <w:b/>
                <w:sz w:val="16"/>
              </w:rPr>
            </w:pPr>
            <w:r>
              <w:rPr>
                <w:rFonts w:ascii="Arial"/>
                <w:b/>
                <w:sz w:val="16"/>
              </w:rPr>
              <w:t>Risk</w:t>
            </w:r>
            <w:r>
              <w:rPr>
                <w:rFonts w:ascii="Arial"/>
                <w:b/>
                <w:spacing w:val="5"/>
                <w:sz w:val="16"/>
              </w:rPr>
              <w:t> </w:t>
            </w:r>
            <w:r>
              <w:rPr>
                <w:rFonts w:ascii="Arial"/>
                <w:b/>
                <w:sz w:val="16"/>
              </w:rPr>
              <w:t>Lead:</w:t>
            </w:r>
            <w:r>
              <w:rPr>
                <w:rFonts w:ascii="Arial"/>
                <w:b/>
                <w:spacing w:val="7"/>
                <w:sz w:val="16"/>
              </w:rPr>
              <w:t> </w:t>
            </w:r>
            <w:r>
              <w:rPr>
                <w:rFonts w:ascii="Arial"/>
                <w:b/>
                <w:sz w:val="16"/>
              </w:rPr>
              <w:t>Director</w:t>
            </w:r>
            <w:r>
              <w:rPr>
                <w:rFonts w:ascii="Arial"/>
                <w:b/>
                <w:spacing w:val="4"/>
                <w:sz w:val="16"/>
              </w:rPr>
              <w:t> </w:t>
            </w:r>
            <w:r>
              <w:rPr>
                <w:rFonts w:ascii="Arial"/>
                <w:b/>
                <w:sz w:val="16"/>
              </w:rPr>
              <w:t>of</w:t>
            </w:r>
            <w:r>
              <w:rPr>
                <w:rFonts w:ascii="Arial"/>
                <w:b/>
                <w:spacing w:val="7"/>
                <w:sz w:val="16"/>
              </w:rPr>
              <w:t> </w:t>
            </w:r>
            <w:r>
              <w:rPr>
                <w:rFonts w:ascii="Arial"/>
                <w:b/>
                <w:sz w:val="16"/>
              </w:rPr>
              <w:t>People</w:t>
            </w:r>
            <w:r>
              <w:rPr>
                <w:rFonts w:ascii="Arial"/>
                <w:b/>
                <w:spacing w:val="6"/>
                <w:sz w:val="16"/>
              </w:rPr>
              <w:t> </w:t>
            </w:r>
            <w:r>
              <w:rPr>
                <w:rFonts w:ascii="Arial"/>
                <w:b/>
                <w:sz w:val="16"/>
              </w:rPr>
              <w:t>and</w:t>
            </w:r>
            <w:r>
              <w:rPr>
                <w:rFonts w:ascii="Arial"/>
                <w:b/>
                <w:spacing w:val="7"/>
                <w:sz w:val="16"/>
              </w:rPr>
              <w:t> </w:t>
            </w:r>
            <w:r>
              <w:rPr>
                <w:rFonts w:ascii="Arial"/>
                <w:b/>
                <w:spacing w:val="-5"/>
                <w:sz w:val="16"/>
              </w:rPr>
              <w:t>OD</w:t>
            </w:r>
          </w:p>
        </w:tc>
        <w:tc>
          <w:tcPr>
            <w:tcW w:w="888" w:type="dxa"/>
            <w:vMerge/>
            <w:tcBorders>
              <w:top w:val="nil"/>
            </w:tcBorders>
          </w:tcPr>
          <w:p>
            <w:pPr>
              <w:rPr>
                <w:sz w:val="2"/>
                <w:szCs w:val="2"/>
              </w:rPr>
            </w:pPr>
          </w:p>
        </w:tc>
        <w:tc>
          <w:tcPr>
            <w:tcW w:w="1246" w:type="dxa"/>
            <w:vMerge/>
            <w:tcBorders>
              <w:top w:val="nil"/>
            </w:tcBorders>
            <w:shd w:val="clear" w:color="auto" w:fill="FFFF00"/>
          </w:tcPr>
          <w:p>
            <w:pPr>
              <w:rPr>
                <w:sz w:val="2"/>
                <w:szCs w:val="2"/>
              </w:rPr>
            </w:pPr>
          </w:p>
        </w:tc>
      </w:tr>
      <w:tr>
        <w:trPr>
          <w:trHeight w:val="1984" w:hRule="atLeast"/>
        </w:trPr>
        <w:tc>
          <w:tcPr>
            <w:tcW w:w="667" w:type="dxa"/>
            <w:vMerge w:val="restart"/>
          </w:tcPr>
          <w:p>
            <w:pPr>
              <w:pStyle w:val="TableParagraph"/>
              <w:spacing w:before="10"/>
              <w:ind w:left="222"/>
              <w:rPr>
                <w:rFonts w:ascii="Arial"/>
                <w:b/>
                <w:sz w:val="16"/>
              </w:rPr>
            </w:pPr>
            <w:r>
              <w:rPr>
                <w:rFonts w:ascii="Arial"/>
                <w:b/>
                <w:spacing w:val="-5"/>
                <w:sz w:val="16"/>
              </w:rPr>
              <w:t>M3</w:t>
            </w:r>
          </w:p>
        </w:tc>
        <w:tc>
          <w:tcPr>
            <w:tcW w:w="3583" w:type="dxa"/>
            <w:vMerge w:val="restart"/>
          </w:tcPr>
          <w:p>
            <w:pPr>
              <w:pStyle w:val="TableParagraph"/>
              <w:spacing w:line="264" w:lineRule="auto" w:before="3"/>
              <w:ind w:left="33" w:right="85"/>
              <w:rPr>
                <w:rFonts w:ascii="Arial" w:hAnsi="Arial"/>
                <w:sz w:val="16"/>
              </w:rPr>
            </w:pPr>
            <w:r>
              <w:rPr>
                <w:rFonts w:ascii="Arial" w:hAnsi="Arial"/>
                <w:sz w:val="16"/>
              </w:rPr>
              <w:t>The total quantum for funding for addressing Covid-19 across Wales remains fluid and uncertain. There is a risk that the organisation’s operational cost of addressing the pandemic cannot be contained within available funding resulting in a potential breach of the planned outturn for 2021-22.</w:t>
            </w:r>
          </w:p>
        </w:tc>
        <w:tc>
          <w:tcPr>
            <w:tcW w:w="583" w:type="dxa"/>
            <w:vMerge w:val="restart"/>
          </w:tcPr>
          <w:p>
            <w:pPr>
              <w:pStyle w:val="TableParagraph"/>
              <w:spacing w:before="3"/>
              <w:ind w:left="22"/>
              <w:jc w:val="center"/>
              <w:rPr>
                <w:rFonts w:ascii="Arial"/>
                <w:sz w:val="16"/>
              </w:rPr>
            </w:pPr>
            <w:r>
              <w:rPr>
                <w:rFonts w:ascii="Arial"/>
                <w:w w:val="101"/>
                <w:sz w:val="16"/>
              </w:rPr>
              <w:t>3</w:t>
            </w:r>
          </w:p>
        </w:tc>
        <w:tc>
          <w:tcPr>
            <w:tcW w:w="660" w:type="dxa"/>
            <w:vMerge w:val="restart"/>
          </w:tcPr>
          <w:p>
            <w:pPr>
              <w:pStyle w:val="TableParagraph"/>
              <w:spacing w:before="3"/>
              <w:ind w:left="22"/>
              <w:jc w:val="center"/>
              <w:rPr>
                <w:rFonts w:ascii="Arial"/>
                <w:sz w:val="16"/>
              </w:rPr>
            </w:pPr>
            <w:r>
              <w:rPr>
                <w:rFonts w:ascii="Arial"/>
                <w:w w:val="101"/>
                <w:sz w:val="16"/>
              </w:rPr>
              <w:t>3</w:t>
            </w:r>
          </w:p>
        </w:tc>
        <w:tc>
          <w:tcPr>
            <w:tcW w:w="713" w:type="dxa"/>
            <w:vMerge w:val="restart"/>
            <w:shd w:val="clear" w:color="auto" w:fill="FFBF00"/>
          </w:tcPr>
          <w:p>
            <w:pPr>
              <w:pStyle w:val="TableParagraph"/>
              <w:spacing w:before="3"/>
              <w:ind w:left="23"/>
              <w:jc w:val="center"/>
              <w:rPr>
                <w:rFonts w:ascii="Arial"/>
                <w:sz w:val="16"/>
              </w:rPr>
            </w:pPr>
            <w:r>
              <w:rPr>
                <w:rFonts w:ascii="Arial"/>
                <w:w w:val="101"/>
                <w:sz w:val="16"/>
              </w:rPr>
              <w:t>9</w:t>
            </w:r>
          </w:p>
        </w:tc>
        <w:tc>
          <w:tcPr>
            <w:tcW w:w="3679" w:type="dxa"/>
            <w:vMerge w:val="restart"/>
          </w:tcPr>
          <w:p>
            <w:pPr>
              <w:pStyle w:val="TableParagraph"/>
              <w:spacing w:line="264" w:lineRule="auto" w:before="3"/>
              <w:ind w:left="33" w:right="236"/>
              <w:rPr>
                <w:rFonts w:ascii="Arial"/>
                <w:sz w:val="16"/>
              </w:rPr>
            </w:pPr>
            <w:r>
              <w:rPr>
                <w:rFonts w:ascii="Arial"/>
                <w:sz w:val="16"/>
              </w:rPr>
              <w:t>Financial modelling and forecasting is co- ordinated on a regular basis;</w:t>
            </w:r>
          </w:p>
          <w:p>
            <w:pPr>
              <w:pStyle w:val="TableParagraph"/>
              <w:spacing w:line="264" w:lineRule="auto"/>
              <w:ind w:left="33"/>
              <w:rPr>
                <w:rFonts w:ascii="Arial"/>
                <w:sz w:val="16"/>
              </w:rPr>
            </w:pPr>
            <w:r>
              <w:rPr>
                <w:rFonts w:ascii="Arial"/>
                <w:sz w:val="16"/>
              </w:rPr>
              <w:t>Financial reporting to Welsh Government on local costs incurred as a result of Covid-19 to inform central and local scrutiny, feedback and decision- </w:t>
            </w:r>
            <w:r>
              <w:rPr>
                <w:rFonts w:ascii="Arial"/>
                <w:spacing w:val="-2"/>
                <w:sz w:val="16"/>
              </w:rPr>
              <w:t>making;</w:t>
            </w:r>
          </w:p>
          <w:p>
            <w:pPr>
              <w:pStyle w:val="TableParagraph"/>
              <w:spacing w:line="264" w:lineRule="auto"/>
              <w:ind w:left="33" w:right="236"/>
              <w:rPr>
                <w:rFonts w:ascii="Arial"/>
                <w:sz w:val="16"/>
              </w:rPr>
            </w:pPr>
            <w:r>
              <w:rPr>
                <w:rFonts w:ascii="Arial"/>
                <w:sz w:val="16"/>
              </w:rPr>
              <w:t>Oversight arrangements in place at SMT level, and through the command structure.</w:t>
            </w:r>
          </w:p>
          <w:p>
            <w:pPr>
              <w:pStyle w:val="TableParagraph"/>
              <w:spacing w:line="264" w:lineRule="auto"/>
              <w:ind w:left="33" w:right="49"/>
              <w:rPr>
                <w:rFonts w:ascii="Arial"/>
                <w:sz w:val="16"/>
              </w:rPr>
            </w:pPr>
            <w:r>
              <w:rPr>
                <w:rFonts w:ascii="Arial"/>
                <w:sz w:val="16"/>
              </w:rPr>
              <w:t>Financial Governance Committee considers </w:t>
            </w:r>
            <w:r>
              <w:rPr>
                <w:rFonts w:ascii="Arial"/>
                <w:sz w:val="16"/>
              </w:rPr>
              <w:t>VFM in all expenditure</w:t>
            </w:r>
          </w:p>
        </w:tc>
        <w:tc>
          <w:tcPr>
            <w:tcW w:w="583" w:type="dxa"/>
            <w:vMerge w:val="restart"/>
          </w:tcPr>
          <w:p>
            <w:pPr>
              <w:pStyle w:val="TableParagraph"/>
              <w:spacing w:before="3"/>
              <w:ind w:left="22"/>
              <w:jc w:val="center"/>
              <w:rPr>
                <w:rFonts w:ascii="Arial"/>
                <w:sz w:val="16"/>
              </w:rPr>
            </w:pPr>
            <w:r>
              <w:rPr>
                <w:rFonts w:ascii="Arial"/>
                <w:w w:val="101"/>
                <w:sz w:val="16"/>
              </w:rPr>
              <w:t>1</w:t>
            </w:r>
          </w:p>
        </w:tc>
        <w:tc>
          <w:tcPr>
            <w:tcW w:w="621" w:type="dxa"/>
            <w:vMerge w:val="restart"/>
          </w:tcPr>
          <w:p>
            <w:pPr>
              <w:pStyle w:val="TableParagraph"/>
              <w:spacing w:before="3"/>
              <w:ind w:left="22"/>
              <w:jc w:val="center"/>
              <w:rPr>
                <w:rFonts w:ascii="Arial"/>
                <w:sz w:val="16"/>
              </w:rPr>
            </w:pPr>
            <w:r>
              <w:rPr>
                <w:rFonts w:ascii="Arial"/>
                <w:w w:val="101"/>
                <w:sz w:val="16"/>
              </w:rPr>
              <w:t>3</w:t>
            </w:r>
          </w:p>
        </w:tc>
        <w:tc>
          <w:tcPr>
            <w:tcW w:w="698" w:type="dxa"/>
            <w:vMerge w:val="restart"/>
            <w:shd w:val="clear" w:color="auto" w:fill="00AF50"/>
          </w:tcPr>
          <w:p>
            <w:pPr>
              <w:pStyle w:val="TableParagraph"/>
              <w:spacing w:before="3"/>
              <w:ind w:left="24"/>
              <w:jc w:val="center"/>
              <w:rPr>
                <w:rFonts w:ascii="Arial"/>
                <w:sz w:val="16"/>
              </w:rPr>
            </w:pPr>
            <w:r>
              <w:rPr>
                <w:rFonts w:ascii="Arial"/>
                <w:w w:val="101"/>
                <w:sz w:val="16"/>
              </w:rPr>
              <w:t>3</w:t>
            </w:r>
          </w:p>
        </w:tc>
        <w:tc>
          <w:tcPr>
            <w:tcW w:w="3499" w:type="dxa"/>
            <w:vMerge w:val="restart"/>
          </w:tcPr>
          <w:p>
            <w:pPr>
              <w:pStyle w:val="TableParagraph"/>
              <w:spacing w:line="264" w:lineRule="auto" w:before="3"/>
              <w:ind w:left="35" w:right="187"/>
              <w:rPr>
                <w:rFonts w:ascii="Arial"/>
                <w:sz w:val="16"/>
              </w:rPr>
            </w:pPr>
            <w:r>
              <w:rPr>
                <w:rFonts w:ascii="Arial"/>
                <w:sz w:val="16"/>
              </w:rPr>
              <w:t>Ensure that the costs directly associated with COVID-19 are identified and accurately </w:t>
            </w:r>
            <w:r>
              <w:rPr>
                <w:rFonts w:ascii="Arial"/>
                <w:spacing w:val="-2"/>
                <w:sz w:val="16"/>
              </w:rPr>
              <w:t>captured.</w:t>
            </w:r>
          </w:p>
          <w:p>
            <w:pPr>
              <w:pStyle w:val="TableParagraph"/>
              <w:spacing w:line="182" w:lineRule="exact"/>
              <w:ind w:left="35"/>
              <w:rPr>
                <w:rFonts w:ascii="Arial"/>
                <w:sz w:val="16"/>
              </w:rPr>
            </w:pPr>
            <w:r>
              <w:rPr>
                <w:rFonts w:ascii="Arial"/>
                <w:sz w:val="16"/>
              </w:rPr>
              <w:t>Provide</w:t>
            </w:r>
            <w:r>
              <w:rPr>
                <w:rFonts w:ascii="Arial"/>
                <w:spacing w:val="9"/>
                <w:sz w:val="16"/>
              </w:rPr>
              <w:t> </w:t>
            </w:r>
            <w:r>
              <w:rPr>
                <w:rFonts w:ascii="Arial"/>
                <w:sz w:val="16"/>
              </w:rPr>
              <w:t>regular</w:t>
            </w:r>
            <w:r>
              <w:rPr>
                <w:rFonts w:ascii="Arial"/>
                <w:spacing w:val="9"/>
                <w:sz w:val="16"/>
              </w:rPr>
              <w:t> </w:t>
            </w:r>
            <w:r>
              <w:rPr>
                <w:rFonts w:ascii="Arial"/>
                <w:sz w:val="16"/>
              </w:rPr>
              <w:t>updates</w:t>
            </w:r>
            <w:r>
              <w:rPr>
                <w:rFonts w:ascii="Arial"/>
                <w:spacing w:val="6"/>
                <w:sz w:val="16"/>
              </w:rPr>
              <w:t> </w:t>
            </w:r>
            <w:r>
              <w:rPr>
                <w:rFonts w:ascii="Arial"/>
                <w:sz w:val="16"/>
              </w:rPr>
              <w:t>to</w:t>
            </w:r>
            <w:r>
              <w:rPr>
                <w:rFonts w:ascii="Arial"/>
                <w:spacing w:val="11"/>
                <w:sz w:val="16"/>
              </w:rPr>
              <w:t> </w:t>
            </w:r>
            <w:r>
              <w:rPr>
                <w:rFonts w:ascii="Arial"/>
                <w:sz w:val="16"/>
              </w:rPr>
              <w:t>Welsh</w:t>
            </w:r>
            <w:r>
              <w:rPr>
                <w:rFonts w:ascii="Arial"/>
                <w:spacing w:val="6"/>
                <w:sz w:val="16"/>
              </w:rPr>
              <w:t> </w:t>
            </w:r>
            <w:r>
              <w:rPr>
                <w:rFonts w:ascii="Arial"/>
                <w:spacing w:val="-2"/>
                <w:sz w:val="16"/>
              </w:rPr>
              <w:t>Government.</w:t>
            </w:r>
          </w:p>
        </w:tc>
        <w:tc>
          <w:tcPr>
            <w:tcW w:w="4226" w:type="dxa"/>
          </w:tcPr>
          <w:p>
            <w:pPr>
              <w:pStyle w:val="TableParagraph"/>
              <w:spacing w:line="264" w:lineRule="auto" w:before="3"/>
              <w:ind w:left="35" w:right="4"/>
              <w:jc w:val="both"/>
              <w:rPr>
                <w:rFonts w:ascii="Arial" w:hAnsi="Arial"/>
                <w:sz w:val="16"/>
              </w:rPr>
            </w:pPr>
            <w:r>
              <w:rPr>
                <w:rFonts w:ascii="Arial" w:hAnsi="Arial"/>
                <w:sz w:val="16"/>
              </w:rPr>
              <w:t>WG issued letter</w:t>
            </w:r>
            <w:r>
              <w:rPr>
                <w:rFonts w:ascii="Arial" w:hAnsi="Arial"/>
                <w:spacing w:val="40"/>
                <w:sz w:val="16"/>
              </w:rPr>
              <w:t> </w:t>
            </w:r>
            <w:r>
              <w:rPr>
                <w:rFonts w:ascii="Arial" w:hAnsi="Arial"/>
                <w:sz w:val="16"/>
              </w:rPr>
              <w:t>on</w:t>
            </w:r>
            <w:r>
              <w:rPr>
                <w:rFonts w:ascii="Arial" w:hAnsi="Arial"/>
                <w:spacing w:val="40"/>
                <w:sz w:val="16"/>
              </w:rPr>
              <w:t> </w:t>
            </w:r>
            <w:r>
              <w:rPr>
                <w:rFonts w:ascii="Arial" w:hAnsi="Arial"/>
                <w:sz w:val="16"/>
              </w:rPr>
              <w:t>24/3/21</w:t>
            </w:r>
            <w:r>
              <w:rPr>
                <w:rFonts w:ascii="Arial" w:hAnsi="Arial"/>
                <w:spacing w:val="40"/>
                <w:sz w:val="16"/>
              </w:rPr>
              <w:t> </w:t>
            </w:r>
            <w:r>
              <w:rPr>
                <w:rFonts w:ascii="Arial" w:hAnsi="Arial"/>
                <w:sz w:val="16"/>
              </w:rPr>
              <w:t>setting</w:t>
            </w:r>
            <w:r>
              <w:rPr>
                <w:rFonts w:ascii="Arial" w:hAnsi="Arial"/>
                <w:spacing w:val="40"/>
                <w:sz w:val="16"/>
              </w:rPr>
              <w:t> </w:t>
            </w:r>
            <w:r>
              <w:rPr>
                <w:rFonts w:ascii="Arial" w:hAnsi="Arial"/>
                <w:sz w:val="16"/>
              </w:rPr>
              <w:t>out funding allocations</w:t>
            </w:r>
            <w:r>
              <w:rPr>
                <w:rFonts w:ascii="Arial" w:hAnsi="Arial"/>
                <w:spacing w:val="33"/>
                <w:sz w:val="16"/>
              </w:rPr>
              <w:t> </w:t>
            </w:r>
            <w:r>
              <w:rPr>
                <w:rFonts w:ascii="Arial" w:hAnsi="Arial"/>
                <w:sz w:val="16"/>
              </w:rPr>
              <w:t>for</w:t>
            </w:r>
            <w:r>
              <w:rPr>
                <w:rFonts w:ascii="Arial" w:hAnsi="Arial"/>
                <w:spacing w:val="33"/>
                <w:sz w:val="16"/>
              </w:rPr>
              <w:t> </w:t>
            </w:r>
            <w:r>
              <w:rPr>
                <w:rFonts w:ascii="Arial" w:hAnsi="Arial"/>
                <w:sz w:val="16"/>
              </w:rPr>
              <w:t>2021/22.</w:t>
            </w:r>
            <w:r>
              <w:rPr>
                <w:rFonts w:ascii="Arial" w:hAnsi="Arial"/>
                <w:spacing w:val="35"/>
                <w:sz w:val="16"/>
              </w:rPr>
              <w:t> </w:t>
            </w:r>
            <w:r>
              <w:rPr>
                <w:rFonts w:ascii="Arial" w:hAnsi="Arial"/>
                <w:sz w:val="16"/>
              </w:rPr>
              <w:t>The sum</w:t>
            </w:r>
            <w:r>
              <w:rPr>
                <w:rFonts w:ascii="Arial" w:hAnsi="Arial"/>
                <w:spacing w:val="35"/>
                <w:sz w:val="16"/>
              </w:rPr>
              <w:t> </w:t>
            </w:r>
            <w:r>
              <w:rPr>
                <w:rFonts w:ascii="Arial" w:hAnsi="Arial"/>
                <w:sz w:val="16"/>
              </w:rPr>
              <w:t>of £170m</w:t>
            </w:r>
            <w:r>
              <w:rPr>
                <w:rFonts w:ascii="Arial" w:hAnsi="Arial"/>
                <w:spacing w:val="33"/>
                <w:sz w:val="16"/>
              </w:rPr>
              <w:t> </w:t>
            </w:r>
            <w:r>
              <w:rPr>
                <w:rFonts w:ascii="Arial" w:hAnsi="Arial"/>
                <w:sz w:val="16"/>
              </w:rPr>
              <w:t>is available but this is being distributed only to HBs in the first</w:t>
            </w:r>
            <w:r>
              <w:rPr>
                <w:rFonts w:ascii="Arial" w:hAnsi="Arial"/>
                <w:spacing w:val="80"/>
                <w:sz w:val="16"/>
              </w:rPr>
              <w:t> </w:t>
            </w:r>
            <w:r>
              <w:rPr>
                <w:rFonts w:ascii="Arial" w:hAnsi="Arial"/>
                <w:spacing w:val="-2"/>
                <w:sz w:val="16"/>
              </w:rPr>
              <w:t>instance.</w:t>
            </w:r>
          </w:p>
        </w:tc>
        <w:tc>
          <w:tcPr>
            <w:tcW w:w="888" w:type="dxa"/>
            <w:vMerge w:val="restart"/>
          </w:tcPr>
          <w:p>
            <w:pPr>
              <w:pStyle w:val="TableParagraph"/>
              <w:rPr>
                <w:sz w:val="36"/>
              </w:rPr>
            </w:pPr>
          </w:p>
          <w:p>
            <w:pPr>
              <w:pStyle w:val="TableParagraph"/>
              <w:spacing w:before="10"/>
              <w:rPr>
                <w:sz w:val="38"/>
              </w:rPr>
            </w:pPr>
          </w:p>
          <w:p>
            <w:pPr>
              <w:pStyle w:val="TableParagraph"/>
              <w:ind w:left="268"/>
              <w:rPr>
                <w:rFonts w:ascii="Wingdings 3" w:hAnsi="Wingdings 3"/>
                <w:sz w:val="32"/>
              </w:rPr>
            </w:pPr>
            <w:r>
              <w:rPr>
                <w:rFonts w:ascii="Wingdings 3" w:hAnsi="Wingdings 3"/>
                <w:color w:val="FFBF00"/>
                <w:w w:val="101"/>
                <w:sz w:val="32"/>
              </w:rPr>
              <w:t></w:t>
            </w:r>
          </w:p>
        </w:tc>
        <w:tc>
          <w:tcPr>
            <w:tcW w:w="1246" w:type="dxa"/>
            <w:vMerge w:val="restart"/>
            <w:shd w:val="clear" w:color="auto" w:fill="00AF50"/>
          </w:tcPr>
          <w:p>
            <w:pPr>
              <w:pStyle w:val="TableParagraph"/>
              <w:rPr>
                <w:rFonts w:ascii="Times New Roman"/>
                <w:sz w:val="16"/>
              </w:rPr>
            </w:pPr>
          </w:p>
        </w:tc>
      </w:tr>
      <w:tr>
        <w:trPr>
          <w:trHeight w:val="198" w:hRule="atLeast"/>
        </w:trPr>
        <w:tc>
          <w:tcPr>
            <w:tcW w:w="667" w:type="dxa"/>
            <w:vMerge/>
            <w:tcBorders>
              <w:top w:val="nil"/>
            </w:tcBorders>
          </w:tcPr>
          <w:p>
            <w:pPr>
              <w:rPr>
                <w:sz w:val="2"/>
                <w:szCs w:val="2"/>
              </w:rPr>
            </w:pPr>
          </w:p>
        </w:tc>
        <w:tc>
          <w:tcPr>
            <w:tcW w:w="3583" w:type="dxa"/>
            <w:vMerge/>
            <w:tcBorders>
              <w:top w:val="nil"/>
            </w:tcBorders>
          </w:tcPr>
          <w:p>
            <w:pPr>
              <w:rPr>
                <w:sz w:val="2"/>
                <w:szCs w:val="2"/>
              </w:rPr>
            </w:pP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tcBorders>
            <w:shd w:val="clear" w:color="auto" w:fill="FFBF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00AF50"/>
          </w:tcPr>
          <w:p>
            <w:pPr>
              <w:rPr>
                <w:sz w:val="2"/>
                <w:szCs w:val="2"/>
              </w:rPr>
            </w:pPr>
          </w:p>
        </w:tc>
        <w:tc>
          <w:tcPr>
            <w:tcW w:w="3499" w:type="dxa"/>
            <w:vMerge/>
            <w:tcBorders>
              <w:top w:val="nil"/>
            </w:tcBorders>
          </w:tcPr>
          <w:p>
            <w:pPr>
              <w:rPr>
                <w:sz w:val="2"/>
                <w:szCs w:val="2"/>
              </w:rPr>
            </w:pPr>
          </w:p>
        </w:tc>
        <w:tc>
          <w:tcPr>
            <w:tcW w:w="4226" w:type="dxa"/>
          </w:tcPr>
          <w:p>
            <w:pPr>
              <w:pStyle w:val="TableParagraph"/>
              <w:spacing w:line="168" w:lineRule="exact" w:before="10"/>
              <w:ind w:left="35"/>
              <w:rPr>
                <w:rFonts w:ascii="Arial"/>
                <w:b/>
                <w:sz w:val="16"/>
              </w:rPr>
            </w:pPr>
            <w:r>
              <w:rPr>
                <w:rFonts w:ascii="Arial"/>
                <w:b/>
                <w:sz w:val="16"/>
              </w:rPr>
              <w:t>Risk</w:t>
            </w:r>
            <w:r>
              <w:rPr>
                <w:rFonts w:ascii="Arial"/>
                <w:b/>
                <w:spacing w:val="5"/>
                <w:sz w:val="16"/>
              </w:rPr>
              <w:t> </w:t>
            </w:r>
            <w:r>
              <w:rPr>
                <w:rFonts w:ascii="Arial"/>
                <w:b/>
                <w:sz w:val="16"/>
              </w:rPr>
              <w:t>Lead:</w:t>
            </w:r>
            <w:r>
              <w:rPr>
                <w:rFonts w:ascii="Arial"/>
                <w:b/>
                <w:spacing w:val="8"/>
                <w:sz w:val="16"/>
              </w:rPr>
              <w:t> </w:t>
            </w:r>
            <w:r>
              <w:rPr>
                <w:rFonts w:ascii="Arial"/>
                <w:b/>
                <w:sz w:val="16"/>
              </w:rPr>
              <w:t>Director</w:t>
            </w:r>
            <w:r>
              <w:rPr>
                <w:rFonts w:ascii="Arial"/>
                <w:b/>
                <w:spacing w:val="4"/>
                <w:sz w:val="16"/>
              </w:rPr>
              <w:t> </w:t>
            </w:r>
            <w:r>
              <w:rPr>
                <w:rFonts w:ascii="Arial"/>
                <w:b/>
                <w:sz w:val="16"/>
              </w:rPr>
              <w:t>of</w:t>
            </w:r>
            <w:r>
              <w:rPr>
                <w:rFonts w:ascii="Arial"/>
                <w:b/>
                <w:spacing w:val="7"/>
                <w:sz w:val="16"/>
              </w:rPr>
              <w:t> </w:t>
            </w:r>
            <w:r>
              <w:rPr>
                <w:rFonts w:ascii="Arial"/>
                <w:b/>
                <w:sz w:val="16"/>
              </w:rPr>
              <w:t>Finance</w:t>
            </w:r>
            <w:r>
              <w:rPr>
                <w:rFonts w:ascii="Arial"/>
                <w:b/>
                <w:spacing w:val="8"/>
                <w:sz w:val="16"/>
              </w:rPr>
              <w:t> </w:t>
            </w:r>
            <w:r>
              <w:rPr>
                <w:rFonts w:ascii="Arial"/>
                <w:b/>
                <w:sz w:val="16"/>
              </w:rPr>
              <w:t>&amp;</w:t>
            </w:r>
            <w:r>
              <w:rPr>
                <w:rFonts w:ascii="Arial"/>
                <w:b/>
                <w:spacing w:val="4"/>
                <w:sz w:val="16"/>
              </w:rPr>
              <w:t> </w:t>
            </w:r>
            <w:r>
              <w:rPr>
                <w:rFonts w:ascii="Arial"/>
                <w:b/>
                <w:sz w:val="16"/>
              </w:rPr>
              <w:t>Corporate</w:t>
            </w:r>
            <w:r>
              <w:rPr>
                <w:rFonts w:ascii="Arial"/>
                <w:b/>
                <w:spacing w:val="6"/>
                <w:sz w:val="16"/>
              </w:rPr>
              <w:t> </w:t>
            </w:r>
            <w:r>
              <w:rPr>
                <w:rFonts w:ascii="Arial"/>
                <w:b/>
                <w:spacing w:val="-2"/>
                <w:sz w:val="16"/>
              </w:rPr>
              <w:t>Services</w:t>
            </w:r>
          </w:p>
        </w:tc>
        <w:tc>
          <w:tcPr>
            <w:tcW w:w="888" w:type="dxa"/>
            <w:vMerge/>
            <w:tcBorders>
              <w:top w:val="nil"/>
            </w:tcBorders>
          </w:tcPr>
          <w:p>
            <w:pPr>
              <w:rPr>
                <w:sz w:val="2"/>
                <w:szCs w:val="2"/>
              </w:rPr>
            </w:pPr>
          </w:p>
        </w:tc>
        <w:tc>
          <w:tcPr>
            <w:tcW w:w="1246" w:type="dxa"/>
            <w:vMerge/>
            <w:tcBorders>
              <w:top w:val="nil"/>
            </w:tcBorders>
            <w:shd w:val="clear" w:color="auto" w:fill="00AF50"/>
          </w:tcPr>
          <w:p>
            <w:pPr>
              <w:rPr>
                <w:sz w:val="2"/>
                <w:szCs w:val="2"/>
              </w:rPr>
            </w:pPr>
          </w:p>
        </w:tc>
      </w:tr>
      <w:tr>
        <w:trPr>
          <w:trHeight w:val="1319" w:hRule="atLeast"/>
        </w:trPr>
        <w:tc>
          <w:tcPr>
            <w:tcW w:w="667" w:type="dxa"/>
            <w:vMerge w:val="restart"/>
          </w:tcPr>
          <w:p>
            <w:pPr>
              <w:pStyle w:val="TableParagraph"/>
              <w:spacing w:before="10"/>
              <w:ind w:left="222"/>
              <w:rPr>
                <w:rFonts w:ascii="Arial"/>
                <w:b/>
                <w:sz w:val="16"/>
              </w:rPr>
            </w:pPr>
            <w:r>
              <w:rPr>
                <w:rFonts w:ascii="Arial"/>
                <w:b/>
                <w:spacing w:val="-5"/>
                <w:sz w:val="16"/>
              </w:rPr>
              <w:t>M4</w:t>
            </w:r>
          </w:p>
        </w:tc>
        <w:tc>
          <w:tcPr>
            <w:tcW w:w="3583" w:type="dxa"/>
            <w:vMerge w:val="restart"/>
          </w:tcPr>
          <w:p>
            <w:pPr>
              <w:pStyle w:val="TableParagraph"/>
              <w:spacing w:line="264" w:lineRule="auto" w:before="3"/>
              <w:ind w:left="33" w:right="95"/>
              <w:rPr>
                <w:rFonts w:ascii="Arial"/>
                <w:sz w:val="16"/>
              </w:rPr>
            </w:pPr>
            <w:r>
              <w:rPr>
                <w:rFonts w:ascii="Arial"/>
                <w:sz w:val="16"/>
              </w:rPr>
              <w:t>NWSSP are unable to procure sufficient orders of PPE, medical consumables and equipment resulting in clinical staff being able to treat patients safely and effectively.</w:t>
            </w:r>
          </w:p>
        </w:tc>
        <w:tc>
          <w:tcPr>
            <w:tcW w:w="583" w:type="dxa"/>
            <w:vMerge w:val="restart"/>
          </w:tcPr>
          <w:p>
            <w:pPr>
              <w:pStyle w:val="TableParagraph"/>
              <w:spacing w:before="3"/>
              <w:ind w:left="22"/>
              <w:jc w:val="center"/>
              <w:rPr>
                <w:rFonts w:ascii="Arial"/>
                <w:sz w:val="16"/>
              </w:rPr>
            </w:pPr>
            <w:r>
              <w:rPr>
                <w:rFonts w:ascii="Arial"/>
                <w:w w:val="101"/>
                <w:sz w:val="16"/>
              </w:rPr>
              <w:t>5</w:t>
            </w:r>
          </w:p>
        </w:tc>
        <w:tc>
          <w:tcPr>
            <w:tcW w:w="660" w:type="dxa"/>
            <w:vMerge w:val="restart"/>
          </w:tcPr>
          <w:p>
            <w:pPr>
              <w:pStyle w:val="TableParagraph"/>
              <w:spacing w:before="3"/>
              <w:ind w:left="22"/>
              <w:jc w:val="center"/>
              <w:rPr>
                <w:rFonts w:ascii="Arial"/>
                <w:sz w:val="16"/>
              </w:rPr>
            </w:pPr>
            <w:r>
              <w:rPr>
                <w:rFonts w:ascii="Arial"/>
                <w:w w:val="101"/>
                <w:sz w:val="16"/>
              </w:rPr>
              <w:t>5</w:t>
            </w:r>
          </w:p>
        </w:tc>
        <w:tc>
          <w:tcPr>
            <w:tcW w:w="713" w:type="dxa"/>
            <w:vMerge w:val="restart"/>
            <w:shd w:val="clear" w:color="auto" w:fill="FF0000"/>
          </w:tcPr>
          <w:p>
            <w:pPr>
              <w:pStyle w:val="TableParagraph"/>
              <w:spacing w:before="3"/>
              <w:ind w:left="250" w:right="229"/>
              <w:jc w:val="center"/>
              <w:rPr>
                <w:rFonts w:ascii="Arial"/>
                <w:sz w:val="16"/>
              </w:rPr>
            </w:pPr>
            <w:r>
              <w:rPr>
                <w:rFonts w:ascii="Arial"/>
                <w:spacing w:val="-5"/>
                <w:sz w:val="16"/>
              </w:rPr>
              <w:t>25</w:t>
            </w:r>
          </w:p>
        </w:tc>
        <w:tc>
          <w:tcPr>
            <w:tcW w:w="3679" w:type="dxa"/>
            <w:vMerge w:val="restart"/>
          </w:tcPr>
          <w:p>
            <w:pPr>
              <w:pStyle w:val="TableParagraph"/>
              <w:spacing w:before="3"/>
              <w:ind w:left="33"/>
              <w:rPr>
                <w:rFonts w:ascii="Arial"/>
                <w:sz w:val="16"/>
              </w:rPr>
            </w:pPr>
            <w:r>
              <w:rPr>
                <w:rFonts w:ascii="Arial"/>
                <w:sz w:val="16"/>
              </w:rPr>
              <w:t>PPE</w:t>
            </w:r>
            <w:r>
              <w:rPr>
                <w:rFonts w:ascii="Arial"/>
                <w:spacing w:val="6"/>
                <w:sz w:val="16"/>
              </w:rPr>
              <w:t> </w:t>
            </w:r>
            <w:r>
              <w:rPr>
                <w:rFonts w:ascii="Arial"/>
                <w:sz w:val="16"/>
              </w:rPr>
              <w:t>Winter</w:t>
            </w:r>
            <w:r>
              <w:rPr>
                <w:rFonts w:ascii="Arial"/>
                <w:spacing w:val="8"/>
                <w:sz w:val="16"/>
              </w:rPr>
              <w:t> </w:t>
            </w:r>
            <w:r>
              <w:rPr>
                <w:rFonts w:ascii="Arial"/>
                <w:spacing w:val="-4"/>
                <w:sz w:val="16"/>
              </w:rPr>
              <w:t>Plan</w:t>
            </w:r>
          </w:p>
          <w:p>
            <w:pPr>
              <w:pStyle w:val="TableParagraph"/>
              <w:spacing w:before="18"/>
              <w:ind w:left="33"/>
              <w:rPr>
                <w:rFonts w:ascii="Arial"/>
                <w:sz w:val="16"/>
              </w:rPr>
            </w:pPr>
            <w:r>
              <w:rPr>
                <w:rFonts w:ascii="Arial"/>
                <w:sz w:val="16"/>
              </w:rPr>
              <w:t>Finance</w:t>
            </w:r>
            <w:r>
              <w:rPr>
                <w:rFonts w:ascii="Arial"/>
                <w:spacing w:val="10"/>
                <w:sz w:val="16"/>
              </w:rPr>
              <w:t> </w:t>
            </w:r>
            <w:r>
              <w:rPr>
                <w:rFonts w:ascii="Arial"/>
                <w:sz w:val="16"/>
              </w:rPr>
              <w:t>Governance</w:t>
            </w:r>
            <w:r>
              <w:rPr>
                <w:rFonts w:ascii="Arial"/>
                <w:spacing w:val="11"/>
                <w:sz w:val="16"/>
              </w:rPr>
              <w:t> </w:t>
            </w:r>
            <w:r>
              <w:rPr>
                <w:rFonts w:ascii="Arial"/>
                <w:spacing w:val="-2"/>
                <w:sz w:val="16"/>
              </w:rPr>
              <w:t>Committee</w:t>
            </w:r>
          </w:p>
          <w:p>
            <w:pPr>
              <w:pStyle w:val="TableParagraph"/>
              <w:spacing w:line="264" w:lineRule="auto" w:before="17"/>
              <w:ind w:left="33" w:right="236"/>
              <w:rPr>
                <w:rFonts w:ascii="Arial"/>
                <w:sz w:val="16"/>
              </w:rPr>
            </w:pPr>
            <w:r>
              <w:rPr>
                <w:rFonts w:ascii="Arial"/>
                <w:sz w:val="16"/>
              </w:rPr>
              <w:t>Streamlined arrangements for Trust Board and WG approvals</w:t>
            </w:r>
          </w:p>
          <w:p>
            <w:pPr>
              <w:pStyle w:val="TableParagraph"/>
              <w:spacing w:line="264" w:lineRule="auto"/>
              <w:ind w:left="33"/>
              <w:rPr>
                <w:rFonts w:ascii="Arial"/>
                <w:sz w:val="16"/>
              </w:rPr>
            </w:pPr>
            <w:r>
              <w:rPr>
                <w:rFonts w:ascii="Arial"/>
                <w:sz w:val="16"/>
              </w:rPr>
              <w:t>Increased limits approved for Scheme </w:t>
            </w:r>
            <w:r>
              <w:rPr>
                <w:rFonts w:ascii="Arial"/>
                <w:sz w:val="16"/>
              </w:rPr>
              <w:t>of </w:t>
            </w:r>
            <w:r>
              <w:rPr>
                <w:rFonts w:ascii="Arial"/>
                <w:spacing w:val="-2"/>
                <w:sz w:val="16"/>
              </w:rPr>
              <w:t>Delegation.</w:t>
            </w:r>
          </w:p>
          <w:p>
            <w:pPr>
              <w:pStyle w:val="TableParagraph"/>
              <w:spacing w:line="264" w:lineRule="auto"/>
              <w:ind w:left="33" w:right="236"/>
              <w:rPr>
                <w:rFonts w:ascii="Arial"/>
                <w:sz w:val="16"/>
              </w:rPr>
            </w:pPr>
            <w:r>
              <w:rPr>
                <w:rFonts w:ascii="Arial"/>
                <w:sz w:val="16"/>
              </w:rPr>
              <w:t>Regular meetings with UK and </w:t>
            </w:r>
            <w:r>
              <w:rPr>
                <w:rFonts w:ascii="Arial"/>
                <w:sz w:val="16"/>
              </w:rPr>
              <w:t>Welsh </w:t>
            </w:r>
            <w:r>
              <w:rPr>
                <w:rFonts w:ascii="Arial"/>
                <w:spacing w:val="-2"/>
                <w:sz w:val="16"/>
              </w:rPr>
              <w:t>Government.</w:t>
            </w:r>
          </w:p>
          <w:p>
            <w:pPr>
              <w:pStyle w:val="TableParagraph"/>
              <w:spacing w:line="264" w:lineRule="auto"/>
              <w:ind w:left="33"/>
              <w:rPr>
                <w:rFonts w:ascii="Arial"/>
                <w:sz w:val="16"/>
              </w:rPr>
            </w:pPr>
            <w:r>
              <w:rPr>
                <w:rFonts w:ascii="Arial"/>
                <w:sz w:val="16"/>
              </w:rPr>
              <w:t>Active involvement in UK Mutual Aid Schemes. Deloitte undertook consultancy work on behalf of WG to assist in this area.</w:t>
            </w:r>
          </w:p>
          <w:p>
            <w:pPr>
              <w:pStyle w:val="TableParagraph"/>
              <w:spacing w:line="182" w:lineRule="exact"/>
              <w:ind w:left="33"/>
              <w:rPr>
                <w:rFonts w:ascii="Arial"/>
                <w:sz w:val="16"/>
              </w:rPr>
            </w:pPr>
            <w:r>
              <w:rPr>
                <w:rFonts w:ascii="Arial"/>
                <w:sz w:val="16"/>
              </w:rPr>
              <w:t>Internal</w:t>
            </w:r>
            <w:r>
              <w:rPr>
                <w:rFonts w:ascii="Arial"/>
                <w:spacing w:val="5"/>
                <w:sz w:val="16"/>
              </w:rPr>
              <w:t> </w:t>
            </w:r>
            <w:r>
              <w:rPr>
                <w:rFonts w:ascii="Arial"/>
                <w:sz w:val="16"/>
              </w:rPr>
              <w:t>Audit</w:t>
            </w:r>
            <w:r>
              <w:rPr>
                <w:rFonts w:ascii="Arial"/>
                <w:spacing w:val="5"/>
                <w:sz w:val="16"/>
              </w:rPr>
              <w:t> </w:t>
            </w:r>
            <w:r>
              <w:rPr>
                <w:rFonts w:ascii="Arial"/>
                <w:sz w:val="16"/>
              </w:rPr>
              <w:t>Review (Sept</w:t>
            </w:r>
            <w:r>
              <w:rPr>
                <w:rFonts w:ascii="Arial"/>
                <w:spacing w:val="8"/>
                <w:sz w:val="16"/>
              </w:rPr>
              <w:t> </w:t>
            </w:r>
            <w:r>
              <w:rPr>
                <w:rFonts w:ascii="Arial"/>
                <w:spacing w:val="-2"/>
                <w:sz w:val="16"/>
              </w:rPr>
              <w:t>2020)</w:t>
            </w:r>
          </w:p>
        </w:tc>
        <w:tc>
          <w:tcPr>
            <w:tcW w:w="583" w:type="dxa"/>
            <w:vMerge w:val="restart"/>
          </w:tcPr>
          <w:p>
            <w:pPr>
              <w:pStyle w:val="TableParagraph"/>
              <w:spacing w:before="3"/>
              <w:ind w:left="22"/>
              <w:jc w:val="center"/>
              <w:rPr>
                <w:rFonts w:ascii="Arial"/>
                <w:sz w:val="16"/>
              </w:rPr>
            </w:pPr>
            <w:r>
              <w:rPr>
                <w:rFonts w:ascii="Arial"/>
                <w:w w:val="101"/>
                <w:sz w:val="16"/>
              </w:rPr>
              <w:t>1</w:t>
            </w:r>
          </w:p>
        </w:tc>
        <w:tc>
          <w:tcPr>
            <w:tcW w:w="621" w:type="dxa"/>
            <w:vMerge w:val="restart"/>
          </w:tcPr>
          <w:p>
            <w:pPr>
              <w:pStyle w:val="TableParagraph"/>
              <w:spacing w:before="3"/>
              <w:ind w:left="22"/>
              <w:jc w:val="center"/>
              <w:rPr>
                <w:rFonts w:ascii="Arial"/>
                <w:sz w:val="16"/>
              </w:rPr>
            </w:pPr>
            <w:r>
              <w:rPr>
                <w:rFonts w:ascii="Arial"/>
                <w:w w:val="101"/>
                <w:sz w:val="16"/>
              </w:rPr>
              <w:t>3</w:t>
            </w:r>
          </w:p>
        </w:tc>
        <w:tc>
          <w:tcPr>
            <w:tcW w:w="698" w:type="dxa"/>
            <w:vMerge w:val="restart"/>
            <w:shd w:val="clear" w:color="auto" w:fill="00AF50"/>
          </w:tcPr>
          <w:p>
            <w:pPr>
              <w:pStyle w:val="TableParagraph"/>
              <w:spacing w:before="3"/>
              <w:ind w:left="24"/>
              <w:jc w:val="center"/>
              <w:rPr>
                <w:rFonts w:ascii="Arial"/>
                <w:sz w:val="16"/>
              </w:rPr>
            </w:pPr>
            <w:r>
              <w:rPr>
                <w:rFonts w:ascii="Arial"/>
                <w:w w:val="101"/>
                <w:sz w:val="16"/>
              </w:rPr>
              <w:t>3</w:t>
            </w:r>
          </w:p>
        </w:tc>
        <w:tc>
          <w:tcPr>
            <w:tcW w:w="3499" w:type="dxa"/>
            <w:vMerge w:val="restart"/>
          </w:tcPr>
          <w:p>
            <w:pPr>
              <w:pStyle w:val="TableParagraph"/>
              <w:spacing w:line="264" w:lineRule="auto" w:before="3"/>
              <w:ind w:left="35" w:right="17"/>
              <w:jc w:val="both"/>
              <w:rPr>
                <w:rFonts w:ascii="Arial"/>
                <w:sz w:val="16"/>
              </w:rPr>
            </w:pPr>
            <w:r>
              <w:rPr>
                <w:rFonts w:ascii="Arial"/>
                <w:sz w:val="16"/>
              </w:rPr>
              <w:t>Audit Wales published their findings on 14 </w:t>
            </w:r>
            <w:r>
              <w:rPr>
                <w:rFonts w:ascii="Arial"/>
                <w:sz w:val="16"/>
              </w:rPr>
              <w:t>April 2021 and report largely positive but action plan developed to respond to their findings.</w:t>
            </w:r>
          </w:p>
        </w:tc>
        <w:tc>
          <w:tcPr>
            <w:tcW w:w="4226" w:type="dxa"/>
          </w:tcPr>
          <w:p>
            <w:pPr>
              <w:pStyle w:val="TableParagraph"/>
              <w:spacing w:line="264" w:lineRule="auto" w:before="3"/>
              <w:ind w:left="35" w:right="208" w:hanging="1"/>
              <w:rPr>
                <w:rFonts w:ascii="Arial" w:hAnsi="Arial"/>
                <w:sz w:val="16"/>
              </w:rPr>
            </w:pPr>
            <w:r>
              <w:rPr>
                <w:rFonts w:ascii="Arial" w:hAnsi="Arial"/>
                <w:sz w:val="16"/>
              </w:rPr>
              <w:t>The PPE plan has been developed in consultation with key stakeholders. Some pressure from Chief Medical Officers that may lead to Type IIR masks being totally replaced by FFP3 masks. £5m COVID expenditure authorisation limit reinstated.</w:t>
            </w:r>
          </w:p>
        </w:tc>
        <w:tc>
          <w:tcPr>
            <w:tcW w:w="888" w:type="dxa"/>
            <w:vMerge w:val="restart"/>
          </w:tcPr>
          <w:p>
            <w:pPr>
              <w:pStyle w:val="TableParagraph"/>
              <w:rPr>
                <w:sz w:val="36"/>
              </w:rPr>
            </w:pPr>
          </w:p>
          <w:p>
            <w:pPr>
              <w:pStyle w:val="TableParagraph"/>
              <w:rPr>
                <w:sz w:val="36"/>
              </w:rPr>
            </w:pPr>
          </w:p>
          <w:p>
            <w:pPr>
              <w:pStyle w:val="TableParagraph"/>
              <w:spacing w:before="263"/>
              <w:ind w:left="268"/>
              <w:rPr>
                <w:rFonts w:ascii="Wingdings 3" w:hAnsi="Wingdings 3"/>
                <w:sz w:val="32"/>
              </w:rPr>
            </w:pPr>
            <w:r>
              <w:rPr>
                <w:rFonts w:ascii="Wingdings 3" w:hAnsi="Wingdings 3"/>
                <w:color w:val="FFBF00"/>
                <w:w w:val="101"/>
                <w:sz w:val="32"/>
              </w:rPr>
              <w:t></w:t>
            </w:r>
          </w:p>
        </w:tc>
        <w:tc>
          <w:tcPr>
            <w:tcW w:w="1246" w:type="dxa"/>
            <w:vMerge w:val="restart"/>
            <w:shd w:val="clear" w:color="auto" w:fill="00AF50"/>
          </w:tcPr>
          <w:p>
            <w:pPr>
              <w:pStyle w:val="TableParagraph"/>
              <w:rPr>
                <w:rFonts w:ascii="Times New Roman"/>
                <w:sz w:val="16"/>
              </w:rPr>
            </w:pPr>
          </w:p>
        </w:tc>
      </w:tr>
      <w:tr>
        <w:trPr>
          <w:trHeight w:val="1319" w:hRule="atLeast"/>
        </w:trPr>
        <w:tc>
          <w:tcPr>
            <w:tcW w:w="667" w:type="dxa"/>
            <w:vMerge/>
            <w:tcBorders>
              <w:top w:val="nil"/>
            </w:tcBorders>
          </w:tcPr>
          <w:p>
            <w:pPr>
              <w:rPr>
                <w:sz w:val="2"/>
                <w:szCs w:val="2"/>
              </w:rPr>
            </w:pPr>
          </w:p>
        </w:tc>
        <w:tc>
          <w:tcPr>
            <w:tcW w:w="3583" w:type="dxa"/>
            <w:vMerge/>
            <w:tcBorders>
              <w:top w:val="nil"/>
            </w:tcBorders>
          </w:tcPr>
          <w:p>
            <w:pPr>
              <w:rPr>
                <w:sz w:val="2"/>
                <w:szCs w:val="2"/>
              </w:rPr>
            </w:pP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tcBorders>
            <w:shd w:val="clear" w:color="auto" w:fill="FF00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00AF50"/>
          </w:tcPr>
          <w:p>
            <w:pPr>
              <w:rPr>
                <w:sz w:val="2"/>
                <w:szCs w:val="2"/>
              </w:rPr>
            </w:pPr>
          </w:p>
        </w:tc>
        <w:tc>
          <w:tcPr>
            <w:tcW w:w="3499" w:type="dxa"/>
            <w:vMerge/>
            <w:tcBorders>
              <w:top w:val="nil"/>
            </w:tcBorders>
          </w:tcPr>
          <w:p>
            <w:pPr>
              <w:rPr>
                <w:sz w:val="2"/>
                <w:szCs w:val="2"/>
              </w:rPr>
            </w:pPr>
          </w:p>
        </w:tc>
        <w:tc>
          <w:tcPr>
            <w:tcW w:w="4226" w:type="dxa"/>
          </w:tcPr>
          <w:p>
            <w:pPr>
              <w:pStyle w:val="TableParagraph"/>
              <w:spacing w:before="10"/>
              <w:ind w:left="35"/>
              <w:rPr>
                <w:rFonts w:ascii="Arial"/>
                <w:b/>
                <w:sz w:val="16"/>
              </w:rPr>
            </w:pPr>
            <w:r>
              <w:rPr>
                <w:rFonts w:ascii="Arial"/>
                <w:b/>
                <w:sz w:val="16"/>
              </w:rPr>
              <w:t>Risk</w:t>
            </w:r>
            <w:r>
              <w:rPr>
                <w:rFonts w:ascii="Arial"/>
                <w:b/>
                <w:spacing w:val="5"/>
                <w:sz w:val="16"/>
              </w:rPr>
              <w:t> </w:t>
            </w:r>
            <w:r>
              <w:rPr>
                <w:rFonts w:ascii="Arial"/>
                <w:b/>
                <w:sz w:val="16"/>
              </w:rPr>
              <w:t>Lead:</w:t>
            </w:r>
            <w:r>
              <w:rPr>
                <w:rFonts w:ascii="Arial"/>
                <w:b/>
                <w:spacing w:val="8"/>
                <w:sz w:val="16"/>
              </w:rPr>
              <w:t> </w:t>
            </w:r>
            <w:r>
              <w:rPr>
                <w:rFonts w:ascii="Arial"/>
                <w:b/>
                <w:sz w:val="16"/>
              </w:rPr>
              <w:t>Director</w:t>
            </w:r>
            <w:r>
              <w:rPr>
                <w:rFonts w:ascii="Arial"/>
                <w:b/>
                <w:spacing w:val="5"/>
                <w:sz w:val="16"/>
              </w:rPr>
              <w:t> </w:t>
            </w:r>
            <w:r>
              <w:rPr>
                <w:rFonts w:ascii="Arial"/>
                <w:b/>
                <w:sz w:val="16"/>
              </w:rPr>
              <w:t>of</w:t>
            </w:r>
            <w:r>
              <w:rPr>
                <w:rFonts w:ascii="Arial"/>
                <w:b/>
                <w:spacing w:val="8"/>
                <w:sz w:val="16"/>
              </w:rPr>
              <w:t> </w:t>
            </w:r>
            <w:r>
              <w:rPr>
                <w:rFonts w:ascii="Arial"/>
                <w:b/>
                <w:sz w:val="16"/>
              </w:rPr>
              <w:t>Procurement</w:t>
            </w:r>
            <w:r>
              <w:rPr>
                <w:rFonts w:ascii="Arial"/>
                <w:b/>
                <w:spacing w:val="8"/>
                <w:sz w:val="16"/>
              </w:rPr>
              <w:t> </w:t>
            </w:r>
            <w:r>
              <w:rPr>
                <w:rFonts w:ascii="Arial"/>
                <w:b/>
                <w:spacing w:val="-2"/>
                <w:sz w:val="16"/>
              </w:rPr>
              <w:t>Services</w:t>
            </w:r>
          </w:p>
        </w:tc>
        <w:tc>
          <w:tcPr>
            <w:tcW w:w="888" w:type="dxa"/>
            <w:vMerge/>
            <w:tcBorders>
              <w:top w:val="nil"/>
            </w:tcBorders>
          </w:tcPr>
          <w:p>
            <w:pPr>
              <w:rPr>
                <w:sz w:val="2"/>
                <w:szCs w:val="2"/>
              </w:rPr>
            </w:pPr>
          </w:p>
        </w:tc>
        <w:tc>
          <w:tcPr>
            <w:tcW w:w="1246" w:type="dxa"/>
            <w:vMerge/>
            <w:tcBorders>
              <w:top w:val="nil"/>
            </w:tcBorders>
            <w:shd w:val="clear" w:color="auto" w:fill="00AF50"/>
          </w:tcPr>
          <w:p>
            <w:pPr>
              <w:rPr>
                <w:sz w:val="2"/>
                <w:szCs w:val="2"/>
              </w:rPr>
            </w:pPr>
          </w:p>
        </w:tc>
      </w:tr>
      <w:tr>
        <w:trPr>
          <w:trHeight w:val="2058" w:hRule="atLeast"/>
        </w:trPr>
        <w:tc>
          <w:tcPr>
            <w:tcW w:w="667" w:type="dxa"/>
            <w:vMerge w:val="restart"/>
          </w:tcPr>
          <w:p>
            <w:pPr>
              <w:pStyle w:val="TableParagraph"/>
              <w:spacing w:before="10"/>
              <w:ind w:left="222"/>
              <w:rPr>
                <w:rFonts w:ascii="Arial"/>
                <w:b/>
                <w:sz w:val="16"/>
              </w:rPr>
            </w:pPr>
            <w:r>
              <w:rPr>
                <w:rFonts w:ascii="Arial"/>
                <w:b/>
                <w:spacing w:val="-5"/>
                <w:sz w:val="16"/>
              </w:rPr>
              <w:t>M5</w:t>
            </w:r>
          </w:p>
        </w:tc>
        <w:tc>
          <w:tcPr>
            <w:tcW w:w="3583" w:type="dxa"/>
            <w:vMerge w:val="restart"/>
          </w:tcPr>
          <w:p>
            <w:pPr>
              <w:pStyle w:val="TableParagraph"/>
              <w:spacing w:line="264" w:lineRule="auto" w:before="3"/>
              <w:ind w:left="33" w:right="170"/>
              <w:rPr>
                <w:rFonts w:ascii="Arial"/>
                <w:sz w:val="16"/>
              </w:rPr>
            </w:pPr>
            <w:r>
              <w:rPr>
                <w:rFonts w:ascii="Arial"/>
                <w:sz w:val="16"/>
              </w:rPr>
              <w:t>By requiring our staff to continue working we expose them to a greater risk of being infected with COVID-19 which may cause them significant health problems.</w:t>
            </w:r>
          </w:p>
        </w:tc>
        <w:tc>
          <w:tcPr>
            <w:tcW w:w="583" w:type="dxa"/>
            <w:vMerge w:val="restart"/>
          </w:tcPr>
          <w:p>
            <w:pPr>
              <w:pStyle w:val="TableParagraph"/>
              <w:spacing w:before="3"/>
              <w:ind w:left="22"/>
              <w:jc w:val="center"/>
              <w:rPr>
                <w:rFonts w:ascii="Arial"/>
                <w:sz w:val="16"/>
              </w:rPr>
            </w:pPr>
            <w:r>
              <w:rPr>
                <w:rFonts w:ascii="Arial"/>
                <w:w w:val="101"/>
                <w:sz w:val="16"/>
              </w:rPr>
              <w:t>5</w:t>
            </w:r>
          </w:p>
        </w:tc>
        <w:tc>
          <w:tcPr>
            <w:tcW w:w="660" w:type="dxa"/>
            <w:vMerge w:val="restart"/>
          </w:tcPr>
          <w:p>
            <w:pPr>
              <w:pStyle w:val="TableParagraph"/>
              <w:spacing w:before="3"/>
              <w:ind w:left="22"/>
              <w:jc w:val="center"/>
              <w:rPr>
                <w:rFonts w:ascii="Arial"/>
                <w:sz w:val="16"/>
              </w:rPr>
            </w:pPr>
            <w:r>
              <w:rPr>
                <w:rFonts w:ascii="Arial"/>
                <w:w w:val="101"/>
                <w:sz w:val="16"/>
              </w:rPr>
              <w:t>5</w:t>
            </w:r>
          </w:p>
        </w:tc>
        <w:tc>
          <w:tcPr>
            <w:tcW w:w="713" w:type="dxa"/>
            <w:vMerge w:val="restart"/>
            <w:shd w:val="clear" w:color="auto" w:fill="FF0000"/>
          </w:tcPr>
          <w:p>
            <w:pPr>
              <w:pStyle w:val="TableParagraph"/>
              <w:spacing w:before="3"/>
              <w:ind w:left="250" w:right="229"/>
              <w:jc w:val="center"/>
              <w:rPr>
                <w:rFonts w:ascii="Arial"/>
                <w:sz w:val="16"/>
              </w:rPr>
            </w:pPr>
            <w:r>
              <w:rPr>
                <w:rFonts w:ascii="Arial"/>
                <w:spacing w:val="-5"/>
                <w:sz w:val="16"/>
              </w:rPr>
              <w:t>25</w:t>
            </w:r>
          </w:p>
        </w:tc>
        <w:tc>
          <w:tcPr>
            <w:tcW w:w="3679" w:type="dxa"/>
            <w:vMerge w:val="restart"/>
          </w:tcPr>
          <w:p>
            <w:pPr>
              <w:pStyle w:val="TableParagraph"/>
              <w:spacing w:before="3"/>
              <w:ind w:left="33"/>
              <w:rPr>
                <w:rFonts w:ascii="Arial"/>
                <w:sz w:val="16"/>
              </w:rPr>
            </w:pPr>
            <w:r>
              <w:rPr>
                <w:rFonts w:ascii="Arial"/>
                <w:sz w:val="16"/>
              </w:rPr>
              <w:t>Vaccination</w:t>
            </w:r>
            <w:r>
              <w:rPr>
                <w:rFonts w:ascii="Arial"/>
                <w:spacing w:val="8"/>
                <w:sz w:val="16"/>
              </w:rPr>
              <w:t> </w:t>
            </w:r>
            <w:r>
              <w:rPr>
                <w:rFonts w:ascii="Arial"/>
                <w:spacing w:val="-2"/>
                <w:sz w:val="16"/>
              </w:rPr>
              <w:t>Programme</w:t>
            </w:r>
          </w:p>
          <w:p>
            <w:pPr>
              <w:pStyle w:val="TableParagraph"/>
              <w:spacing w:line="264" w:lineRule="auto" w:before="18"/>
              <w:ind w:left="33"/>
              <w:rPr>
                <w:rFonts w:ascii="Arial"/>
                <w:sz w:val="16"/>
              </w:rPr>
            </w:pPr>
            <w:r>
              <w:rPr>
                <w:rFonts w:ascii="Arial"/>
                <w:sz w:val="16"/>
              </w:rPr>
              <w:t>All staff encouraged to work from home where </w:t>
            </w:r>
            <w:r>
              <w:rPr>
                <w:rFonts w:ascii="Arial"/>
                <w:spacing w:val="-2"/>
                <w:sz w:val="16"/>
              </w:rPr>
              <w:t>possible.</w:t>
            </w:r>
          </w:p>
          <w:p>
            <w:pPr>
              <w:pStyle w:val="TableParagraph"/>
              <w:spacing w:line="264" w:lineRule="auto"/>
              <w:ind w:left="33" w:right="236"/>
              <w:rPr>
                <w:rFonts w:ascii="Arial"/>
                <w:sz w:val="16"/>
              </w:rPr>
            </w:pPr>
            <w:r>
              <w:rPr>
                <w:rFonts w:ascii="Arial"/>
                <w:sz w:val="16"/>
              </w:rPr>
              <w:t>Risk Assessments undertaken for all staff. Social Distancing measures in place in each </w:t>
            </w:r>
            <w:r>
              <w:rPr>
                <w:rFonts w:ascii="Arial"/>
                <w:spacing w:val="-2"/>
                <w:sz w:val="16"/>
              </w:rPr>
              <w:t>office.</w:t>
            </w:r>
          </w:p>
          <w:p>
            <w:pPr>
              <w:pStyle w:val="TableParagraph"/>
              <w:spacing w:line="264" w:lineRule="auto"/>
              <w:ind w:left="33" w:right="236"/>
              <w:rPr>
                <w:rFonts w:ascii="Arial"/>
                <w:sz w:val="16"/>
              </w:rPr>
            </w:pPr>
            <w:r>
              <w:rPr>
                <w:rFonts w:ascii="Arial"/>
                <w:sz w:val="16"/>
              </w:rPr>
              <w:t>Any staff displaying any symptoms told not to come into office or go home immediately.</w:t>
            </w:r>
          </w:p>
          <w:p>
            <w:pPr>
              <w:pStyle w:val="TableParagraph"/>
              <w:spacing w:line="182" w:lineRule="exact"/>
              <w:ind w:left="33"/>
              <w:rPr>
                <w:rFonts w:ascii="Arial"/>
                <w:sz w:val="16"/>
              </w:rPr>
            </w:pPr>
            <w:r>
              <w:rPr>
                <w:rFonts w:ascii="Arial"/>
                <w:sz w:val="16"/>
              </w:rPr>
              <w:t>Testing</w:t>
            </w:r>
            <w:r>
              <w:rPr>
                <w:rFonts w:ascii="Arial"/>
                <w:spacing w:val="7"/>
                <w:sz w:val="16"/>
              </w:rPr>
              <w:t> </w:t>
            </w:r>
            <w:r>
              <w:rPr>
                <w:rFonts w:ascii="Arial"/>
                <w:sz w:val="16"/>
              </w:rPr>
              <w:t>for</w:t>
            </w:r>
            <w:r>
              <w:rPr>
                <w:rFonts w:ascii="Arial"/>
                <w:spacing w:val="7"/>
                <w:sz w:val="16"/>
              </w:rPr>
              <w:t> </w:t>
            </w:r>
            <w:r>
              <w:rPr>
                <w:rFonts w:ascii="Arial"/>
                <w:sz w:val="16"/>
              </w:rPr>
              <w:t>front-line</w:t>
            </w:r>
            <w:r>
              <w:rPr>
                <w:rFonts w:ascii="Arial"/>
                <w:spacing w:val="9"/>
                <w:sz w:val="16"/>
              </w:rPr>
              <w:t> </w:t>
            </w:r>
            <w:r>
              <w:rPr>
                <w:rFonts w:ascii="Arial"/>
                <w:spacing w:val="-2"/>
                <w:sz w:val="16"/>
              </w:rPr>
              <w:t>staff</w:t>
            </w:r>
          </w:p>
          <w:p>
            <w:pPr>
              <w:pStyle w:val="TableParagraph"/>
              <w:spacing w:line="264" w:lineRule="auto" w:before="13"/>
              <w:ind w:left="33"/>
              <w:rPr>
                <w:rFonts w:ascii="Arial"/>
                <w:sz w:val="16"/>
              </w:rPr>
            </w:pPr>
            <w:r>
              <w:rPr>
                <w:rFonts w:ascii="Arial"/>
                <w:sz w:val="16"/>
              </w:rPr>
              <w:t>Weekly Site Leads' meetings to assess position in each office.</w:t>
            </w:r>
          </w:p>
        </w:tc>
        <w:tc>
          <w:tcPr>
            <w:tcW w:w="583" w:type="dxa"/>
            <w:vMerge w:val="restart"/>
          </w:tcPr>
          <w:p>
            <w:pPr>
              <w:pStyle w:val="TableParagraph"/>
              <w:spacing w:before="3"/>
              <w:ind w:left="22"/>
              <w:jc w:val="center"/>
              <w:rPr>
                <w:rFonts w:ascii="Arial"/>
                <w:sz w:val="16"/>
              </w:rPr>
            </w:pPr>
            <w:r>
              <w:rPr>
                <w:rFonts w:ascii="Arial"/>
                <w:w w:val="101"/>
                <w:sz w:val="16"/>
              </w:rPr>
              <w:t>1</w:t>
            </w:r>
          </w:p>
        </w:tc>
        <w:tc>
          <w:tcPr>
            <w:tcW w:w="621" w:type="dxa"/>
            <w:vMerge w:val="restart"/>
          </w:tcPr>
          <w:p>
            <w:pPr>
              <w:pStyle w:val="TableParagraph"/>
              <w:spacing w:before="3"/>
              <w:ind w:left="22"/>
              <w:jc w:val="center"/>
              <w:rPr>
                <w:rFonts w:ascii="Arial"/>
                <w:sz w:val="16"/>
              </w:rPr>
            </w:pPr>
            <w:r>
              <w:rPr>
                <w:rFonts w:ascii="Arial"/>
                <w:w w:val="101"/>
                <w:sz w:val="16"/>
              </w:rPr>
              <w:t>3</w:t>
            </w:r>
          </w:p>
        </w:tc>
        <w:tc>
          <w:tcPr>
            <w:tcW w:w="698" w:type="dxa"/>
            <w:vMerge w:val="restart"/>
            <w:shd w:val="clear" w:color="auto" w:fill="00AF50"/>
          </w:tcPr>
          <w:p>
            <w:pPr>
              <w:pStyle w:val="TableParagraph"/>
              <w:spacing w:before="3"/>
              <w:ind w:left="24"/>
              <w:jc w:val="center"/>
              <w:rPr>
                <w:rFonts w:ascii="Arial"/>
                <w:sz w:val="16"/>
              </w:rPr>
            </w:pPr>
            <w:r>
              <w:rPr>
                <w:rFonts w:ascii="Arial"/>
                <w:w w:val="101"/>
                <w:sz w:val="16"/>
              </w:rPr>
              <w:t>3</w:t>
            </w:r>
          </w:p>
        </w:tc>
        <w:tc>
          <w:tcPr>
            <w:tcW w:w="3499" w:type="dxa"/>
            <w:vMerge w:val="restart"/>
          </w:tcPr>
          <w:p>
            <w:pPr>
              <w:pStyle w:val="TableParagraph"/>
              <w:spacing w:line="264" w:lineRule="auto" w:before="3"/>
              <w:ind w:left="35" w:right="125"/>
              <w:rPr>
                <w:rFonts w:ascii="Arial"/>
                <w:sz w:val="16"/>
              </w:rPr>
            </w:pPr>
            <w:r>
              <w:rPr>
                <w:rFonts w:ascii="Arial"/>
                <w:sz w:val="16"/>
              </w:rPr>
              <w:t>Following the updated guidance issued by Welsh Government on 22 Dec additional</w:t>
            </w:r>
          </w:p>
          <w:p>
            <w:pPr>
              <w:pStyle w:val="TableParagraph"/>
              <w:spacing w:line="264" w:lineRule="auto"/>
              <w:ind w:left="35"/>
              <w:rPr>
                <w:rFonts w:ascii="Arial"/>
                <w:sz w:val="16"/>
              </w:rPr>
            </w:pPr>
            <w:r>
              <w:rPr>
                <w:rFonts w:ascii="Arial"/>
                <w:sz w:val="16"/>
              </w:rPr>
              <w:t>communications have been issued to all staff. This provide information regarding access to lateral flow tests as well as signposting to the requirements for self-isolation. SLG agreed to reinforce the key message to work from </w:t>
            </w:r>
            <w:r>
              <w:rPr>
                <w:rFonts w:ascii="Arial"/>
                <w:sz w:val="16"/>
              </w:rPr>
              <w:t>home unless there is a requirement to attend site.</w:t>
            </w:r>
          </w:p>
        </w:tc>
        <w:tc>
          <w:tcPr>
            <w:tcW w:w="4226" w:type="dxa"/>
          </w:tcPr>
          <w:p>
            <w:pPr>
              <w:pStyle w:val="TableParagraph"/>
              <w:spacing w:line="264" w:lineRule="auto" w:before="3"/>
              <w:ind w:left="35" w:right="208"/>
              <w:rPr>
                <w:rFonts w:ascii="Arial"/>
                <w:sz w:val="16"/>
              </w:rPr>
            </w:pPr>
            <w:r>
              <w:rPr>
                <w:rFonts w:ascii="Arial"/>
                <w:sz w:val="16"/>
              </w:rPr>
              <w:t>Current measures seem to be effective, but need to be closely monitored in view of Omnicrom variant. Large numbers of staff are working from home and social distancing measures are in place for those staff who need to continue to come into work. Daily reporting of absences shows that the numbers of staff reporting COVID-19 like symptoms continues to be low, but are </w:t>
            </w:r>
            <w:r>
              <w:rPr>
                <w:rFonts w:ascii="Arial"/>
                <w:spacing w:val="-2"/>
                <w:sz w:val="16"/>
              </w:rPr>
              <w:t>increasing.</w:t>
            </w:r>
          </w:p>
        </w:tc>
        <w:tc>
          <w:tcPr>
            <w:tcW w:w="888" w:type="dxa"/>
            <w:vMerge w:val="restart"/>
          </w:tcPr>
          <w:p>
            <w:pPr>
              <w:pStyle w:val="TableParagraph"/>
              <w:rPr>
                <w:sz w:val="36"/>
              </w:rPr>
            </w:pPr>
          </w:p>
          <w:p>
            <w:pPr>
              <w:pStyle w:val="TableParagraph"/>
              <w:spacing w:before="5"/>
              <w:rPr>
                <w:sz w:val="42"/>
              </w:rPr>
            </w:pPr>
          </w:p>
          <w:p>
            <w:pPr>
              <w:pStyle w:val="TableParagraph"/>
              <w:ind w:left="268"/>
              <w:rPr>
                <w:rFonts w:ascii="Wingdings 3" w:hAnsi="Wingdings 3"/>
                <w:sz w:val="32"/>
              </w:rPr>
            </w:pPr>
            <w:r>
              <w:rPr>
                <w:rFonts w:ascii="Wingdings 3" w:hAnsi="Wingdings 3"/>
                <w:color w:val="FFBF00"/>
                <w:w w:val="101"/>
                <w:sz w:val="32"/>
              </w:rPr>
              <w:t></w:t>
            </w:r>
          </w:p>
        </w:tc>
        <w:tc>
          <w:tcPr>
            <w:tcW w:w="1246" w:type="dxa"/>
            <w:vMerge w:val="restart"/>
            <w:shd w:val="clear" w:color="auto" w:fill="00AF50"/>
          </w:tcPr>
          <w:p>
            <w:pPr>
              <w:pStyle w:val="TableParagraph"/>
              <w:rPr>
                <w:rFonts w:ascii="Times New Roman"/>
                <w:sz w:val="16"/>
              </w:rPr>
            </w:pPr>
          </w:p>
        </w:tc>
      </w:tr>
      <w:tr>
        <w:trPr>
          <w:trHeight w:val="208" w:hRule="atLeast"/>
        </w:trPr>
        <w:tc>
          <w:tcPr>
            <w:tcW w:w="667" w:type="dxa"/>
            <w:vMerge/>
            <w:tcBorders>
              <w:top w:val="nil"/>
            </w:tcBorders>
          </w:tcPr>
          <w:p>
            <w:pPr>
              <w:rPr>
                <w:sz w:val="2"/>
                <w:szCs w:val="2"/>
              </w:rPr>
            </w:pPr>
          </w:p>
        </w:tc>
        <w:tc>
          <w:tcPr>
            <w:tcW w:w="3583" w:type="dxa"/>
            <w:vMerge/>
            <w:tcBorders>
              <w:top w:val="nil"/>
            </w:tcBorders>
          </w:tcPr>
          <w:p>
            <w:pPr>
              <w:rPr>
                <w:sz w:val="2"/>
                <w:szCs w:val="2"/>
              </w:rPr>
            </w:pP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tcBorders>
            <w:shd w:val="clear" w:color="auto" w:fill="FF00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00AF50"/>
          </w:tcPr>
          <w:p>
            <w:pPr>
              <w:rPr>
                <w:sz w:val="2"/>
                <w:szCs w:val="2"/>
              </w:rPr>
            </w:pPr>
          </w:p>
        </w:tc>
        <w:tc>
          <w:tcPr>
            <w:tcW w:w="3499" w:type="dxa"/>
            <w:vMerge/>
            <w:tcBorders>
              <w:top w:val="nil"/>
            </w:tcBorders>
          </w:tcPr>
          <w:p>
            <w:pPr>
              <w:rPr>
                <w:sz w:val="2"/>
                <w:szCs w:val="2"/>
              </w:rPr>
            </w:pPr>
          </w:p>
        </w:tc>
        <w:tc>
          <w:tcPr>
            <w:tcW w:w="4226" w:type="dxa"/>
          </w:tcPr>
          <w:p>
            <w:pPr>
              <w:pStyle w:val="TableParagraph"/>
              <w:spacing w:line="178" w:lineRule="exact" w:before="10"/>
              <w:ind w:left="35"/>
              <w:rPr>
                <w:rFonts w:ascii="Arial"/>
                <w:b/>
                <w:sz w:val="16"/>
              </w:rPr>
            </w:pPr>
            <w:r>
              <w:rPr>
                <w:rFonts w:ascii="Arial"/>
                <w:b/>
                <w:sz w:val="16"/>
              </w:rPr>
              <w:t>Risk</w:t>
            </w:r>
            <w:r>
              <w:rPr>
                <w:rFonts w:ascii="Arial"/>
                <w:b/>
                <w:spacing w:val="6"/>
                <w:sz w:val="16"/>
              </w:rPr>
              <w:t> </w:t>
            </w:r>
            <w:r>
              <w:rPr>
                <w:rFonts w:ascii="Arial"/>
                <w:b/>
                <w:sz w:val="16"/>
              </w:rPr>
              <w:t>Lead:</w:t>
            </w:r>
            <w:r>
              <w:rPr>
                <w:rFonts w:ascii="Arial"/>
                <w:b/>
                <w:spacing w:val="8"/>
                <w:sz w:val="16"/>
              </w:rPr>
              <w:t> </w:t>
            </w:r>
            <w:r>
              <w:rPr>
                <w:rFonts w:ascii="Arial"/>
                <w:b/>
                <w:sz w:val="16"/>
              </w:rPr>
              <w:t>Senior</w:t>
            </w:r>
            <w:r>
              <w:rPr>
                <w:rFonts w:ascii="Arial"/>
                <w:b/>
                <w:spacing w:val="6"/>
                <w:sz w:val="16"/>
              </w:rPr>
              <w:t> </w:t>
            </w:r>
            <w:r>
              <w:rPr>
                <w:rFonts w:ascii="Arial"/>
                <w:b/>
                <w:sz w:val="16"/>
              </w:rPr>
              <w:t>Leadership</w:t>
            </w:r>
            <w:r>
              <w:rPr>
                <w:rFonts w:ascii="Arial"/>
                <w:b/>
                <w:spacing w:val="9"/>
                <w:sz w:val="16"/>
              </w:rPr>
              <w:t> </w:t>
            </w:r>
            <w:r>
              <w:rPr>
                <w:rFonts w:ascii="Arial"/>
                <w:b/>
                <w:spacing w:val="-2"/>
                <w:sz w:val="16"/>
              </w:rPr>
              <w:t>Group</w:t>
            </w:r>
          </w:p>
        </w:tc>
        <w:tc>
          <w:tcPr>
            <w:tcW w:w="888" w:type="dxa"/>
            <w:vMerge/>
            <w:tcBorders>
              <w:top w:val="nil"/>
            </w:tcBorders>
          </w:tcPr>
          <w:p>
            <w:pPr>
              <w:rPr>
                <w:sz w:val="2"/>
                <w:szCs w:val="2"/>
              </w:rPr>
            </w:pPr>
          </w:p>
        </w:tc>
        <w:tc>
          <w:tcPr>
            <w:tcW w:w="1246" w:type="dxa"/>
            <w:vMerge/>
            <w:tcBorders>
              <w:top w:val="nil"/>
            </w:tcBorders>
            <w:shd w:val="clear" w:color="auto" w:fill="00AF50"/>
          </w:tcPr>
          <w:p>
            <w:pPr>
              <w:rPr>
                <w:sz w:val="2"/>
                <w:szCs w:val="2"/>
              </w:rPr>
            </w:pPr>
          </w:p>
        </w:tc>
      </w:tr>
      <w:tr>
        <w:trPr>
          <w:trHeight w:val="815" w:hRule="atLeast"/>
        </w:trPr>
        <w:tc>
          <w:tcPr>
            <w:tcW w:w="667" w:type="dxa"/>
            <w:vMerge w:val="restart"/>
          </w:tcPr>
          <w:p>
            <w:pPr>
              <w:pStyle w:val="TableParagraph"/>
              <w:spacing w:before="10"/>
              <w:ind w:left="222"/>
              <w:rPr>
                <w:rFonts w:ascii="Arial"/>
                <w:b/>
                <w:sz w:val="16"/>
              </w:rPr>
            </w:pPr>
            <w:r>
              <w:rPr>
                <w:rFonts w:ascii="Arial"/>
                <w:b/>
                <w:spacing w:val="-5"/>
                <w:sz w:val="16"/>
              </w:rPr>
              <w:t>M6</w:t>
            </w:r>
          </w:p>
        </w:tc>
        <w:tc>
          <w:tcPr>
            <w:tcW w:w="3583" w:type="dxa"/>
            <w:vMerge w:val="restart"/>
          </w:tcPr>
          <w:p>
            <w:pPr>
              <w:pStyle w:val="TableParagraph"/>
              <w:spacing w:line="264" w:lineRule="auto" w:before="3"/>
              <w:ind w:left="33" w:right="102"/>
              <w:rPr>
                <w:rFonts w:ascii="Arial"/>
                <w:sz w:val="16"/>
              </w:rPr>
            </w:pPr>
            <w:r>
              <w:rPr>
                <w:rFonts w:ascii="Arial"/>
                <w:sz w:val="16"/>
              </w:rPr>
              <w:t>Staff wellbeing is adversely affected through concerns arising from COVID-19 either directly</w:t>
            </w:r>
            <w:r>
              <w:rPr>
                <w:rFonts w:ascii="Arial"/>
                <w:spacing w:val="40"/>
                <w:sz w:val="16"/>
              </w:rPr>
              <w:t> </w:t>
            </w:r>
            <w:r>
              <w:rPr>
                <w:rFonts w:ascii="Arial"/>
                <w:sz w:val="16"/>
              </w:rPr>
              <w:t>in terms of their health and that of their families, or financially from loss of income of a family</w:t>
            </w:r>
          </w:p>
          <w:p>
            <w:pPr>
              <w:pStyle w:val="TableParagraph"/>
              <w:spacing w:line="181" w:lineRule="exact"/>
              <w:ind w:left="33"/>
              <w:rPr>
                <w:rFonts w:ascii="Arial"/>
                <w:sz w:val="16"/>
              </w:rPr>
            </w:pPr>
            <w:r>
              <w:rPr>
                <w:rFonts w:ascii="Arial"/>
                <w:sz w:val="16"/>
              </w:rPr>
              <w:t>member.</w:t>
            </w:r>
            <w:r>
              <w:rPr>
                <w:rFonts w:ascii="Arial"/>
                <w:spacing w:val="5"/>
                <w:sz w:val="16"/>
              </w:rPr>
              <w:t> </w:t>
            </w:r>
            <w:r>
              <w:rPr>
                <w:rFonts w:ascii="Arial"/>
                <w:sz w:val="16"/>
              </w:rPr>
              <w:t>This</w:t>
            </w:r>
            <w:r>
              <w:rPr>
                <w:rFonts w:ascii="Arial"/>
                <w:spacing w:val="5"/>
                <w:sz w:val="16"/>
              </w:rPr>
              <w:t> </w:t>
            </w:r>
            <w:r>
              <w:rPr>
                <w:rFonts w:ascii="Arial"/>
                <w:sz w:val="16"/>
              </w:rPr>
              <w:t>includes</w:t>
            </w:r>
            <w:r>
              <w:rPr>
                <w:rFonts w:ascii="Arial"/>
                <w:spacing w:val="7"/>
                <w:sz w:val="16"/>
              </w:rPr>
              <w:t> </w:t>
            </w:r>
            <w:r>
              <w:rPr>
                <w:rFonts w:ascii="Arial"/>
                <w:sz w:val="16"/>
              </w:rPr>
              <w:t>the</w:t>
            </w:r>
            <w:r>
              <w:rPr>
                <w:rFonts w:ascii="Arial"/>
                <w:spacing w:val="8"/>
                <w:sz w:val="16"/>
              </w:rPr>
              <w:t> </w:t>
            </w:r>
            <w:r>
              <w:rPr>
                <w:rFonts w:ascii="Arial"/>
                <w:sz w:val="16"/>
              </w:rPr>
              <w:t>risk</w:t>
            </w:r>
            <w:r>
              <w:rPr>
                <w:rFonts w:ascii="Arial"/>
                <w:spacing w:val="5"/>
                <w:sz w:val="16"/>
              </w:rPr>
              <w:t> </w:t>
            </w:r>
            <w:r>
              <w:rPr>
                <w:rFonts w:ascii="Arial"/>
                <w:sz w:val="16"/>
              </w:rPr>
              <w:t>of</w:t>
            </w:r>
            <w:r>
              <w:rPr>
                <w:rFonts w:ascii="Arial"/>
                <w:spacing w:val="8"/>
                <w:sz w:val="16"/>
              </w:rPr>
              <w:t> </w:t>
            </w:r>
            <w:r>
              <w:rPr>
                <w:rFonts w:ascii="Arial"/>
                <w:sz w:val="16"/>
              </w:rPr>
              <w:t>"burn-out"</w:t>
            </w:r>
            <w:r>
              <w:rPr>
                <w:rFonts w:ascii="Arial"/>
                <w:spacing w:val="5"/>
                <w:sz w:val="16"/>
              </w:rPr>
              <w:t> </w:t>
            </w:r>
            <w:r>
              <w:rPr>
                <w:rFonts w:ascii="Arial"/>
                <w:spacing w:val="-5"/>
                <w:sz w:val="16"/>
              </w:rPr>
              <w:t>for</w:t>
            </w:r>
          </w:p>
        </w:tc>
        <w:tc>
          <w:tcPr>
            <w:tcW w:w="583" w:type="dxa"/>
            <w:vMerge w:val="restart"/>
          </w:tcPr>
          <w:p>
            <w:pPr>
              <w:pStyle w:val="TableParagraph"/>
              <w:spacing w:before="3"/>
              <w:ind w:left="22"/>
              <w:jc w:val="center"/>
              <w:rPr>
                <w:rFonts w:ascii="Arial"/>
                <w:sz w:val="16"/>
              </w:rPr>
            </w:pPr>
            <w:r>
              <w:rPr>
                <w:rFonts w:ascii="Arial"/>
                <w:w w:val="101"/>
                <w:sz w:val="16"/>
              </w:rPr>
              <w:t>5</w:t>
            </w:r>
          </w:p>
        </w:tc>
        <w:tc>
          <w:tcPr>
            <w:tcW w:w="660" w:type="dxa"/>
            <w:vMerge w:val="restart"/>
          </w:tcPr>
          <w:p>
            <w:pPr>
              <w:pStyle w:val="TableParagraph"/>
              <w:spacing w:before="3"/>
              <w:ind w:left="22"/>
              <w:jc w:val="center"/>
              <w:rPr>
                <w:rFonts w:ascii="Arial"/>
                <w:sz w:val="16"/>
              </w:rPr>
            </w:pPr>
            <w:r>
              <w:rPr>
                <w:rFonts w:ascii="Arial"/>
                <w:w w:val="101"/>
                <w:sz w:val="16"/>
              </w:rPr>
              <w:t>5</w:t>
            </w:r>
          </w:p>
        </w:tc>
        <w:tc>
          <w:tcPr>
            <w:tcW w:w="713" w:type="dxa"/>
            <w:vMerge w:val="restart"/>
            <w:shd w:val="clear" w:color="auto" w:fill="FF0000"/>
          </w:tcPr>
          <w:p>
            <w:pPr>
              <w:pStyle w:val="TableParagraph"/>
              <w:spacing w:before="3"/>
              <w:ind w:left="251" w:right="229"/>
              <w:jc w:val="center"/>
              <w:rPr>
                <w:rFonts w:ascii="Arial"/>
                <w:sz w:val="16"/>
              </w:rPr>
            </w:pPr>
            <w:r>
              <w:rPr>
                <w:rFonts w:ascii="Arial"/>
                <w:spacing w:val="-5"/>
                <w:sz w:val="16"/>
              </w:rPr>
              <w:t>25</w:t>
            </w:r>
          </w:p>
        </w:tc>
        <w:tc>
          <w:tcPr>
            <w:tcW w:w="3679" w:type="dxa"/>
            <w:vMerge w:val="restart"/>
          </w:tcPr>
          <w:p>
            <w:pPr>
              <w:pStyle w:val="TableParagraph"/>
              <w:spacing w:line="264" w:lineRule="auto" w:before="3"/>
              <w:ind w:left="33" w:right="387"/>
              <w:rPr>
                <w:rFonts w:ascii="Arial"/>
                <w:sz w:val="16"/>
              </w:rPr>
            </w:pPr>
            <w:r>
              <w:rPr>
                <w:rFonts w:ascii="Arial"/>
                <w:sz w:val="16"/>
              </w:rPr>
              <w:t>Regular communications to all staff Reminders of how to access </w:t>
            </w:r>
            <w:r>
              <w:rPr>
                <w:rFonts w:ascii="Arial"/>
                <w:sz w:val="16"/>
              </w:rPr>
              <w:t>Employee Assistance schemes</w:t>
            </w:r>
          </w:p>
          <w:p>
            <w:pPr>
              <w:pStyle w:val="TableParagraph"/>
              <w:spacing w:line="182" w:lineRule="exact"/>
              <w:ind w:left="33"/>
              <w:rPr>
                <w:rFonts w:ascii="Arial"/>
                <w:sz w:val="16"/>
              </w:rPr>
            </w:pPr>
            <w:r>
              <w:rPr>
                <w:rFonts w:ascii="Arial"/>
                <w:sz w:val="16"/>
              </w:rPr>
              <w:t>Mental</w:t>
            </w:r>
            <w:r>
              <w:rPr>
                <w:rFonts w:ascii="Arial"/>
                <w:spacing w:val="6"/>
                <w:sz w:val="16"/>
              </w:rPr>
              <w:t> </w:t>
            </w:r>
            <w:r>
              <w:rPr>
                <w:rFonts w:ascii="Arial"/>
                <w:sz w:val="16"/>
              </w:rPr>
              <w:t>Health</w:t>
            </w:r>
            <w:r>
              <w:rPr>
                <w:rFonts w:ascii="Arial"/>
                <w:spacing w:val="7"/>
                <w:sz w:val="16"/>
              </w:rPr>
              <w:t> </w:t>
            </w:r>
            <w:r>
              <w:rPr>
                <w:rFonts w:ascii="Arial"/>
                <w:sz w:val="16"/>
              </w:rPr>
              <w:t>First</w:t>
            </w:r>
            <w:r>
              <w:rPr>
                <w:rFonts w:ascii="Arial"/>
                <w:spacing w:val="5"/>
                <w:sz w:val="16"/>
              </w:rPr>
              <w:t> </w:t>
            </w:r>
            <w:r>
              <w:rPr>
                <w:rFonts w:ascii="Arial"/>
                <w:spacing w:val="-2"/>
                <w:sz w:val="16"/>
              </w:rPr>
              <w:t>Aiders</w:t>
            </w:r>
          </w:p>
          <w:p>
            <w:pPr>
              <w:pStyle w:val="TableParagraph"/>
              <w:spacing w:before="18"/>
              <w:ind w:left="33"/>
              <w:rPr>
                <w:rFonts w:ascii="Arial"/>
                <w:sz w:val="16"/>
              </w:rPr>
            </w:pPr>
            <w:r>
              <w:rPr>
                <w:rFonts w:ascii="Arial"/>
                <w:sz w:val="16"/>
              </w:rPr>
              <w:t>Formal</w:t>
            </w:r>
            <w:r>
              <w:rPr>
                <w:rFonts w:ascii="Arial"/>
                <w:spacing w:val="4"/>
                <w:sz w:val="16"/>
              </w:rPr>
              <w:t> </w:t>
            </w:r>
            <w:r>
              <w:rPr>
                <w:rFonts w:ascii="Arial"/>
                <w:sz w:val="16"/>
              </w:rPr>
              <w:t>Peer</w:t>
            </w:r>
            <w:r>
              <w:rPr>
                <w:rFonts w:ascii="Arial"/>
                <w:spacing w:val="6"/>
                <w:sz w:val="16"/>
              </w:rPr>
              <w:t> </w:t>
            </w:r>
            <w:r>
              <w:rPr>
                <w:rFonts w:ascii="Arial"/>
                <w:sz w:val="16"/>
              </w:rPr>
              <w:t>Group</w:t>
            </w:r>
            <w:r>
              <w:rPr>
                <w:rFonts w:ascii="Arial"/>
                <w:spacing w:val="5"/>
                <w:sz w:val="16"/>
              </w:rPr>
              <w:t> </w:t>
            </w:r>
            <w:r>
              <w:rPr>
                <w:rFonts w:ascii="Arial"/>
                <w:sz w:val="16"/>
              </w:rPr>
              <w:t>with</w:t>
            </w:r>
            <w:r>
              <w:rPr>
                <w:rFonts w:ascii="Arial"/>
                <w:spacing w:val="7"/>
                <w:sz w:val="16"/>
              </w:rPr>
              <w:t> </w:t>
            </w:r>
            <w:r>
              <w:rPr>
                <w:rFonts w:ascii="Arial"/>
                <w:sz w:val="16"/>
              </w:rPr>
              <w:t>phone</w:t>
            </w:r>
            <w:r>
              <w:rPr>
                <w:rFonts w:ascii="Arial"/>
                <w:spacing w:val="4"/>
                <w:sz w:val="16"/>
              </w:rPr>
              <w:t> </w:t>
            </w:r>
            <w:r>
              <w:rPr>
                <w:rFonts w:ascii="Arial"/>
                <w:sz w:val="16"/>
              </w:rPr>
              <w:t>surgery</w:t>
            </w:r>
            <w:r>
              <w:rPr>
                <w:rFonts w:ascii="Arial"/>
                <w:spacing w:val="3"/>
                <w:sz w:val="16"/>
              </w:rPr>
              <w:t> </w:t>
            </w:r>
            <w:r>
              <w:rPr>
                <w:rFonts w:ascii="Arial"/>
                <w:spacing w:val="-4"/>
                <w:sz w:val="16"/>
              </w:rPr>
              <w:t>times</w:t>
            </w:r>
          </w:p>
        </w:tc>
        <w:tc>
          <w:tcPr>
            <w:tcW w:w="583" w:type="dxa"/>
            <w:vMerge w:val="restart"/>
          </w:tcPr>
          <w:p>
            <w:pPr>
              <w:pStyle w:val="TableParagraph"/>
              <w:spacing w:before="3"/>
              <w:ind w:left="22"/>
              <w:jc w:val="center"/>
              <w:rPr>
                <w:rFonts w:ascii="Arial"/>
                <w:sz w:val="16"/>
              </w:rPr>
            </w:pPr>
            <w:r>
              <w:rPr>
                <w:rFonts w:ascii="Arial"/>
                <w:w w:val="101"/>
                <w:sz w:val="16"/>
              </w:rPr>
              <w:t>1</w:t>
            </w:r>
          </w:p>
        </w:tc>
        <w:tc>
          <w:tcPr>
            <w:tcW w:w="621" w:type="dxa"/>
            <w:vMerge w:val="restart"/>
          </w:tcPr>
          <w:p>
            <w:pPr>
              <w:pStyle w:val="TableParagraph"/>
              <w:spacing w:before="3"/>
              <w:ind w:left="22"/>
              <w:jc w:val="center"/>
              <w:rPr>
                <w:rFonts w:ascii="Arial"/>
                <w:sz w:val="16"/>
              </w:rPr>
            </w:pPr>
            <w:r>
              <w:rPr>
                <w:rFonts w:ascii="Arial"/>
                <w:w w:val="101"/>
                <w:sz w:val="16"/>
              </w:rPr>
              <w:t>3</w:t>
            </w:r>
          </w:p>
        </w:tc>
        <w:tc>
          <w:tcPr>
            <w:tcW w:w="698" w:type="dxa"/>
            <w:vMerge w:val="restart"/>
            <w:shd w:val="clear" w:color="auto" w:fill="00AF50"/>
          </w:tcPr>
          <w:p>
            <w:pPr>
              <w:pStyle w:val="TableParagraph"/>
              <w:spacing w:before="3"/>
              <w:ind w:left="24"/>
              <w:jc w:val="center"/>
              <w:rPr>
                <w:rFonts w:ascii="Arial"/>
                <w:sz w:val="16"/>
              </w:rPr>
            </w:pPr>
            <w:r>
              <w:rPr>
                <w:rFonts w:ascii="Arial"/>
                <w:w w:val="101"/>
                <w:sz w:val="16"/>
              </w:rPr>
              <w:t>3</w:t>
            </w:r>
          </w:p>
        </w:tc>
        <w:tc>
          <w:tcPr>
            <w:tcW w:w="3499" w:type="dxa"/>
            <w:vMerge w:val="restart"/>
          </w:tcPr>
          <w:p>
            <w:pPr>
              <w:pStyle w:val="TableParagraph"/>
              <w:spacing w:line="264" w:lineRule="auto" w:before="3"/>
              <w:ind w:left="35" w:right="229"/>
              <w:jc w:val="both"/>
              <w:rPr>
                <w:rFonts w:ascii="Arial"/>
                <w:sz w:val="16"/>
              </w:rPr>
            </w:pPr>
            <w:r>
              <w:rPr>
                <w:rFonts w:ascii="Arial"/>
                <w:sz w:val="16"/>
              </w:rPr>
              <w:t>Implement action plan to respond to findings from staff surveys - monitored and </w:t>
            </w:r>
            <w:r>
              <w:rPr>
                <w:rFonts w:ascii="Arial"/>
                <w:sz w:val="16"/>
              </w:rPr>
              <w:t>managed through Adapt and Future Change Group.</w:t>
            </w:r>
          </w:p>
        </w:tc>
        <w:tc>
          <w:tcPr>
            <w:tcW w:w="4226" w:type="dxa"/>
          </w:tcPr>
          <w:p>
            <w:pPr>
              <w:pStyle w:val="TableParagraph"/>
              <w:spacing w:line="264" w:lineRule="auto" w:before="3"/>
              <w:ind w:left="35" w:right="208"/>
              <w:rPr>
                <w:rFonts w:ascii="Arial"/>
                <w:sz w:val="16"/>
              </w:rPr>
            </w:pPr>
            <w:r>
              <w:rPr>
                <w:rFonts w:ascii="Arial"/>
                <w:sz w:val="16"/>
              </w:rPr>
              <w:t>As previously stated, absence rates are very low. Communications are regularly issued and all </w:t>
            </w:r>
            <w:r>
              <w:rPr>
                <w:rFonts w:ascii="Arial"/>
                <w:sz w:val="16"/>
              </w:rPr>
              <w:t>Directors and Managers are tasked with regularly checking the</w:t>
            </w:r>
          </w:p>
          <w:p>
            <w:pPr>
              <w:pStyle w:val="TableParagraph"/>
              <w:spacing w:line="182" w:lineRule="exact"/>
              <w:ind w:left="35"/>
              <w:rPr>
                <w:rFonts w:ascii="Arial"/>
                <w:sz w:val="16"/>
              </w:rPr>
            </w:pPr>
            <w:r>
              <w:rPr>
                <w:rFonts w:ascii="Arial"/>
                <w:sz w:val="16"/>
              </w:rPr>
              <w:t>health</w:t>
            </w:r>
            <w:r>
              <w:rPr>
                <w:rFonts w:ascii="Arial"/>
                <w:spacing w:val="3"/>
                <w:sz w:val="16"/>
              </w:rPr>
              <w:t> </w:t>
            </w:r>
            <w:r>
              <w:rPr>
                <w:rFonts w:ascii="Arial"/>
                <w:sz w:val="16"/>
              </w:rPr>
              <w:t>and</w:t>
            </w:r>
            <w:r>
              <w:rPr>
                <w:rFonts w:ascii="Arial"/>
                <w:spacing w:val="3"/>
                <w:sz w:val="16"/>
              </w:rPr>
              <w:t> </w:t>
            </w:r>
            <w:r>
              <w:rPr>
                <w:rFonts w:ascii="Arial"/>
                <w:sz w:val="16"/>
              </w:rPr>
              <w:t>well-being</w:t>
            </w:r>
            <w:r>
              <w:rPr>
                <w:rFonts w:ascii="Arial"/>
                <w:spacing w:val="4"/>
                <w:sz w:val="16"/>
              </w:rPr>
              <w:t> </w:t>
            </w:r>
            <w:r>
              <w:rPr>
                <w:rFonts w:ascii="Arial"/>
                <w:sz w:val="16"/>
              </w:rPr>
              <w:t>of</w:t>
            </w:r>
            <w:r>
              <w:rPr>
                <w:rFonts w:ascii="Arial"/>
                <w:spacing w:val="6"/>
                <w:sz w:val="16"/>
              </w:rPr>
              <w:t> </w:t>
            </w:r>
            <w:r>
              <w:rPr>
                <w:rFonts w:ascii="Arial"/>
                <w:sz w:val="16"/>
              </w:rPr>
              <w:t>their</w:t>
            </w:r>
            <w:r>
              <w:rPr>
                <w:rFonts w:ascii="Arial"/>
                <w:spacing w:val="4"/>
                <w:sz w:val="16"/>
              </w:rPr>
              <w:t> </w:t>
            </w:r>
            <w:r>
              <w:rPr>
                <w:rFonts w:ascii="Arial"/>
                <w:spacing w:val="-2"/>
                <w:sz w:val="16"/>
              </w:rPr>
              <w:t>staff.</w:t>
            </w:r>
          </w:p>
        </w:tc>
        <w:tc>
          <w:tcPr>
            <w:tcW w:w="888" w:type="dxa"/>
            <w:vMerge w:val="restart"/>
          </w:tcPr>
          <w:p>
            <w:pPr>
              <w:pStyle w:val="TableParagraph"/>
              <w:spacing w:before="10"/>
              <w:rPr>
                <w:sz w:val="26"/>
              </w:rPr>
            </w:pPr>
          </w:p>
          <w:p>
            <w:pPr>
              <w:pStyle w:val="TableParagraph"/>
              <w:spacing w:before="1"/>
              <w:ind w:left="268"/>
              <w:rPr>
                <w:rFonts w:ascii="Wingdings 3" w:hAnsi="Wingdings 3"/>
                <w:sz w:val="32"/>
              </w:rPr>
            </w:pPr>
            <w:r>
              <w:rPr>
                <w:rFonts w:ascii="Wingdings 3" w:hAnsi="Wingdings 3"/>
                <w:color w:val="FFBF00"/>
                <w:w w:val="101"/>
                <w:sz w:val="32"/>
              </w:rPr>
              <w:t></w:t>
            </w:r>
          </w:p>
        </w:tc>
        <w:tc>
          <w:tcPr>
            <w:tcW w:w="1246" w:type="dxa"/>
            <w:vMerge w:val="restart"/>
            <w:shd w:val="clear" w:color="auto" w:fill="00AF50"/>
          </w:tcPr>
          <w:p>
            <w:pPr>
              <w:pStyle w:val="TableParagraph"/>
              <w:rPr>
                <w:rFonts w:ascii="Times New Roman"/>
                <w:sz w:val="16"/>
              </w:rPr>
            </w:pPr>
          </w:p>
        </w:tc>
      </w:tr>
      <w:tr>
        <w:trPr>
          <w:trHeight w:val="198" w:hRule="atLeast"/>
        </w:trPr>
        <w:tc>
          <w:tcPr>
            <w:tcW w:w="667" w:type="dxa"/>
            <w:vMerge/>
            <w:tcBorders>
              <w:top w:val="nil"/>
            </w:tcBorders>
          </w:tcPr>
          <w:p>
            <w:pPr>
              <w:rPr>
                <w:sz w:val="2"/>
                <w:szCs w:val="2"/>
              </w:rPr>
            </w:pPr>
          </w:p>
        </w:tc>
        <w:tc>
          <w:tcPr>
            <w:tcW w:w="3583" w:type="dxa"/>
            <w:vMerge/>
            <w:tcBorders>
              <w:top w:val="nil"/>
            </w:tcBorders>
          </w:tcPr>
          <w:p>
            <w:pPr>
              <w:rPr>
                <w:sz w:val="2"/>
                <w:szCs w:val="2"/>
              </w:rPr>
            </w:pP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tcBorders>
            <w:shd w:val="clear" w:color="auto" w:fill="FF00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00AF50"/>
          </w:tcPr>
          <w:p>
            <w:pPr>
              <w:rPr>
                <w:sz w:val="2"/>
                <w:szCs w:val="2"/>
              </w:rPr>
            </w:pPr>
          </w:p>
        </w:tc>
        <w:tc>
          <w:tcPr>
            <w:tcW w:w="3499" w:type="dxa"/>
            <w:vMerge/>
            <w:tcBorders>
              <w:top w:val="nil"/>
            </w:tcBorders>
          </w:tcPr>
          <w:p>
            <w:pPr>
              <w:rPr>
                <w:sz w:val="2"/>
                <w:szCs w:val="2"/>
              </w:rPr>
            </w:pPr>
          </w:p>
        </w:tc>
        <w:tc>
          <w:tcPr>
            <w:tcW w:w="4226" w:type="dxa"/>
          </w:tcPr>
          <w:p>
            <w:pPr>
              <w:pStyle w:val="TableParagraph"/>
              <w:spacing w:line="168" w:lineRule="exact" w:before="10"/>
              <w:ind w:left="35"/>
              <w:rPr>
                <w:rFonts w:ascii="Arial"/>
                <w:b/>
                <w:sz w:val="16"/>
              </w:rPr>
            </w:pPr>
            <w:r>
              <w:rPr>
                <w:rFonts w:ascii="Arial"/>
                <w:b/>
                <w:sz w:val="16"/>
              </w:rPr>
              <w:t>Risk</w:t>
            </w:r>
            <w:r>
              <w:rPr>
                <w:rFonts w:ascii="Arial"/>
                <w:b/>
                <w:spacing w:val="5"/>
                <w:sz w:val="16"/>
              </w:rPr>
              <w:t> </w:t>
            </w:r>
            <w:r>
              <w:rPr>
                <w:rFonts w:ascii="Arial"/>
                <w:b/>
                <w:sz w:val="16"/>
              </w:rPr>
              <w:t>Lead:</w:t>
            </w:r>
            <w:r>
              <w:rPr>
                <w:rFonts w:ascii="Arial"/>
                <w:b/>
                <w:spacing w:val="7"/>
                <w:sz w:val="16"/>
              </w:rPr>
              <w:t> </w:t>
            </w:r>
            <w:r>
              <w:rPr>
                <w:rFonts w:ascii="Arial"/>
                <w:b/>
                <w:sz w:val="16"/>
              </w:rPr>
              <w:t>Director</w:t>
            </w:r>
            <w:r>
              <w:rPr>
                <w:rFonts w:ascii="Arial"/>
                <w:b/>
                <w:spacing w:val="4"/>
                <w:sz w:val="16"/>
              </w:rPr>
              <w:t> </w:t>
            </w:r>
            <w:r>
              <w:rPr>
                <w:rFonts w:ascii="Arial"/>
                <w:b/>
                <w:sz w:val="16"/>
              </w:rPr>
              <w:t>of</w:t>
            </w:r>
            <w:r>
              <w:rPr>
                <w:rFonts w:ascii="Arial"/>
                <w:b/>
                <w:spacing w:val="7"/>
                <w:sz w:val="16"/>
              </w:rPr>
              <w:t> </w:t>
            </w:r>
            <w:r>
              <w:rPr>
                <w:rFonts w:ascii="Arial"/>
                <w:b/>
                <w:sz w:val="16"/>
              </w:rPr>
              <w:t>People</w:t>
            </w:r>
            <w:r>
              <w:rPr>
                <w:rFonts w:ascii="Arial"/>
                <w:b/>
                <w:spacing w:val="6"/>
                <w:sz w:val="16"/>
              </w:rPr>
              <w:t> </w:t>
            </w:r>
            <w:r>
              <w:rPr>
                <w:rFonts w:ascii="Arial"/>
                <w:b/>
                <w:sz w:val="16"/>
              </w:rPr>
              <w:t>and</w:t>
            </w:r>
            <w:r>
              <w:rPr>
                <w:rFonts w:ascii="Arial"/>
                <w:b/>
                <w:spacing w:val="7"/>
                <w:sz w:val="16"/>
              </w:rPr>
              <w:t> </w:t>
            </w:r>
            <w:r>
              <w:rPr>
                <w:rFonts w:ascii="Arial"/>
                <w:b/>
                <w:spacing w:val="-5"/>
                <w:sz w:val="16"/>
              </w:rPr>
              <w:t>OD</w:t>
            </w:r>
          </w:p>
        </w:tc>
        <w:tc>
          <w:tcPr>
            <w:tcW w:w="888" w:type="dxa"/>
            <w:vMerge/>
            <w:tcBorders>
              <w:top w:val="nil"/>
            </w:tcBorders>
          </w:tcPr>
          <w:p>
            <w:pPr>
              <w:rPr>
                <w:sz w:val="2"/>
                <w:szCs w:val="2"/>
              </w:rPr>
            </w:pPr>
          </w:p>
        </w:tc>
        <w:tc>
          <w:tcPr>
            <w:tcW w:w="1246" w:type="dxa"/>
            <w:vMerge/>
            <w:tcBorders>
              <w:top w:val="nil"/>
            </w:tcBorders>
            <w:shd w:val="clear" w:color="auto" w:fill="00AF50"/>
          </w:tcPr>
          <w:p>
            <w:pPr>
              <w:rPr>
                <w:sz w:val="2"/>
                <w:szCs w:val="2"/>
              </w:rPr>
            </w:pPr>
          </w:p>
        </w:tc>
      </w:tr>
      <w:tr>
        <w:trPr>
          <w:trHeight w:val="1240" w:hRule="atLeast"/>
        </w:trPr>
        <w:tc>
          <w:tcPr>
            <w:tcW w:w="667" w:type="dxa"/>
            <w:tcBorders>
              <w:bottom w:val="nil"/>
            </w:tcBorders>
          </w:tcPr>
          <w:p>
            <w:pPr>
              <w:pStyle w:val="TableParagraph"/>
              <w:spacing w:before="8"/>
              <w:ind w:left="227"/>
              <w:rPr>
                <w:rFonts w:ascii="Arial"/>
                <w:b/>
                <w:sz w:val="16"/>
              </w:rPr>
            </w:pPr>
            <w:r>
              <w:rPr>
                <w:rFonts w:ascii="Arial"/>
                <w:b/>
                <w:spacing w:val="-5"/>
                <w:sz w:val="16"/>
              </w:rPr>
              <w:t>M7</w:t>
            </w:r>
          </w:p>
        </w:tc>
        <w:tc>
          <w:tcPr>
            <w:tcW w:w="3583" w:type="dxa"/>
            <w:tcBorders>
              <w:bottom w:val="nil"/>
            </w:tcBorders>
          </w:tcPr>
          <w:p>
            <w:pPr>
              <w:pStyle w:val="TableParagraph"/>
              <w:spacing w:line="264" w:lineRule="auto" w:before="3"/>
              <w:ind w:left="33" w:right="71"/>
              <w:rPr>
                <w:rFonts w:ascii="Arial"/>
                <w:sz w:val="16"/>
              </w:rPr>
            </w:pPr>
            <w:r>
              <w:rPr>
                <w:rFonts w:ascii="Arial"/>
                <w:sz w:val="16"/>
              </w:rPr>
              <w:t>GP Trainees, who are employed by NWSSP,</w:t>
            </w:r>
            <w:r>
              <w:rPr>
                <w:rFonts w:ascii="Arial"/>
                <w:spacing w:val="80"/>
                <w:sz w:val="16"/>
              </w:rPr>
              <w:t> </w:t>
            </w:r>
            <w:r>
              <w:rPr>
                <w:rFonts w:ascii="Arial"/>
                <w:sz w:val="16"/>
              </w:rPr>
              <w:t>are exposed to a level of risk of risk of catching COVID-19 but are outside the direct control and influence of NWSSP.</w:t>
            </w:r>
          </w:p>
        </w:tc>
        <w:tc>
          <w:tcPr>
            <w:tcW w:w="583" w:type="dxa"/>
            <w:tcBorders>
              <w:bottom w:val="nil"/>
            </w:tcBorders>
          </w:tcPr>
          <w:p>
            <w:pPr>
              <w:pStyle w:val="TableParagraph"/>
              <w:spacing w:before="3"/>
              <w:ind w:left="31"/>
              <w:jc w:val="center"/>
              <w:rPr>
                <w:rFonts w:ascii="Arial"/>
                <w:sz w:val="16"/>
              </w:rPr>
            </w:pPr>
            <w:r>
              <w:rPr>
                <w:rFonts w:ascii="Arial"/>
                <w:w w:val="101"/>
                <w:sz w:val="16"/>
              </w:rPr>
              <w:t>5</w:t>
            </w:r>
          </w:p>
        </w:tc>
        <w:tc>
          <w:tcPr>
            <w:tcW w:w="660" w:type="dxa"/>
            <w:tcBorders>
              <w:bottom w:val="nil"/>
            </w:tcBorders>
          </w:tcPr>
          <w:p>
            <w:pPr>
              <w:pStyle w:val="TableParagraph"/>
              <w:spacing w:before="3"/>
              <w:ind w:left="32"/>
              <w:jc w:val="center"/>
              <w:rPr>
                <w:rFonts w:ascii="Arial"/>
                <w:sz w:val="16"/>
              </w:rPr>
            </w:pPr>
            <w:r>
              <w:rPr>
                <w:rFonts w:ascii="Arial"/>
                <w:w w:val="101"/>
                <w:sz w:val="16"/>
              </w:rPr>
              <w:t>5</w:t>
            </w:r>
          </w:p>
        </w:tc>
        <w:tc>
          <w:tcPr>
            <w:tcW w:w="713" w:type="dxa"/>
            <w:tcBorders>
              <w:bottom w:val="nil"/>
            </w:tcBorders>
            <w:shd w:val="clear" w:color="auto" w:fill="FF0000"/>
          </w:tcPr>
          <w:p>
            <w:pPr>
              <w:pStyle w:val="TableParagraph"/>
              <w:spacing w:before="3"/>
              <w:ind w:left="260" w:right="229"/>
              <w:jc w:val="center"/>
              <w:rPr>
                <w:rFonts w:ascii="Arial"/>
                <w:sz w:val="16"/>
              </w:rPr>
            </w:pPr>
            <w:r>
              <w:rPr>
                <w:rFonts w:ascii="Arial"/>
                <w:spacing w:val="-5"/>
                <w:sz w:val="16"/>
              </w:rPr>
              <w:t>25</w:t>
            </w:r>
          </w:p>
        </w:tc>
        <w:tc>
          <w:tcPr>
            <w:tcW w:w="3679" w:type="dxa"/>
            <w:tcBorders>
              <w:bottom w:val="nil"/>
            </w:tcBorders>
          </w:tcPr>
          <w:p>
            <w:pPr>
              <w:pStyle w:val="TableParagraph"/>
              <w:spacing w:line="264" w:lineRule="auto" w:before="3"/>
              <w:ind w:left="33" w:right="85"/>
              <w:rPr>
                <w:rFonts w:ascii="Arial"/>
                <w:sz w:val="16"/>
              </w:rPr>
            </w:pPr>
            <w:r>
              <w:rPr>
                <w:rFonts w:ascii="Arial"/>
                <w:sz w:val="16"/>
              </w:rPr>
              <w:t>Risk Assessments by Education Supervisor - leads to decision on what PPE is to be provided. Tripartite Agreement</w:t>
            </w:r>
          </w:p>
        </w:tc>
        <w:tc>
          <w:tcPr>
            <w:tcW w:w="583" w:type="dxa"/>
            <w:tcBorders>
              <w:bottom w:val="nil"/>
            </w:tcBorders>
          </w:tcPr>
          <w:p>
            <w:pPr>
              <w:pStyle w:val="TableParagraph"/>
              <w:spacing w:before="3"/>
              <w:ind w:left="32"/>
              <w:jc w:val="center"/>
              <w:rPr>
                <w:rFonts w:ascii="Arial"/>
                <w:sz w:val="16"/>
              </w:rPr>
            </w:pPr>
            <w:r>
              <w:rPr>
                <w:rFonts w:ascii="Arial"/>
                <w:w w:val="101"/>
                <w:sz w:val="16"/>
              </w:rPr>
              <w:t>1</w:t>
            </w:r>
          </w:p>
        </w:tc>
        <w:tc>
          <w:tcPr>
            <w:tcW w:w="621" w:type="dxa"/>
            <w:tcBorders>
              <w:bottom w:val="nil"/>
            </w:tcBorders>
          </w:tcPr>
          <w:p>
            <w:pPr>
              <w:pStyle w:val="TableParagraph"/>
              <w:spacing w:before="3"/>
              <w:ind w:left="32"/>
              <w:jc w:val="center"/>
              <w:rPr>
                <w:rFonts w:ascii="Arial"/>
                <w:sz w:val="16"/>
              </w:rPr>
            </w:pPr>
            <w:r>
              <w:rPr>
                <w:rFonts w:ascii="Arial"/>
                <w:w w:val="101"/>
                <w:sz w:val="16"/>
              </w:rPr>
              <w:t>3</w:t>
            </w:r>
          </w:p>
        </w:tc>
        <w:tc>
          <w:tcPr>
            <w:tcW w:w="698" w:type="dxa"/>
            <w:tcBorders>
              <w:bottom w:val="nil"/>
            </w:tcBorders>
            <w:shd w:val="clear" w:color="auto" w:fill="00AF50"/>
          </w:tcPr>
          <w:p>
            <w:pPr>
              <w:pStyle w:val="TableParagraph"/>
              <w:spacing w:before="3"/>
              <w:ind w:left="33"/>
              <w:jc w:val="center"/>
              <w:rPr>
                <w:rFonts w:ascii="Arial"/>
                <w:sz w:val="16"/>
              </w:rPr>
            </w:pPr>
            <w:r>
              <w:rPr>
                <w:rFonts w:ascii="Arial"/>
                <w:w w:val="101"/>
                <w:sz w:val="16"/>
              </w:rPr>
              <w:t>3</w:t>
            </w:r>
          </w:p>
        </w:tc>
        <w:tc>
          <w:tcPr>
            <w:tcW w:w="3499" w:type="dxa"/>
            <w:tcBorders>
              <w:bottom w:val="nil"/>
            </w:tcBorders>
          </w:tcPr>
          <w:p>
            <w:pPr>
              <w:pStyle w:val="TableParagraph"/>
              <w:spacing w:line="264" w:lineRule="auto" w:before="3"/>
              <w:ind w:left="35"/>
              <w:rPr>
                <w:rFonts w:ascii="Arial"/>
                <w:sz w:val="16"/>
              </w:rPr>
            </w:pPr>
            <w:r>
              <w:rPr>
                <w:rFonts w:ascii="Arial"/>
                <w:sz w:val="16"/>
              </w:rPr>
              <w:t>Confirming vaccination rates with staff individually as Health Board reports to total numbers vaccinated suggest </w:t>
            </w:r>
            <w:r>
              <w:rPr>
                <w:rFonts w:ascii="Arial"/>
                <w:sz w:val="16"/>
              </w:rPr>
              <w:t>under-reporting.</w:t>
            </w:r>
          </w:p>
        </w:tc>
        <w:tc>
          <w:tcPr>
            <w:tcW w:w="4226" w:type="dxa"/>
            <w:tcBorders>
              <w:bottom w:val="nil"/>
            </w:tcBorders>
          </w:tcPr>
          <w:p>
            <w:pPr>
              <w:pStyle w:val="TableParagraph"/>
              <w:spacing w:line="264" w:lineRule="auto" w:before="3"/>
              <w:ind w:left="35" w:right="57"/>
              <w:rPr>
                <w:rFonts w:ascii="Arial"/>
                <w:sz w:val="16"/>
              </w:rPr>
            </w:pPr>
            <w:r>
              <w:rPr>
                <w:rFonts w:ascii="Arial"/>
                <w:sz w:val="16"/>
              </w:rPr>
              <w:t>The tripartite agreement was agreed by the Project Board on 7/9/2020 and sets out the general duties of the host organisation for all trainees employed by NWSSP</w:t>
            </w:r>
            <w:r>
              <w:rPr>
                <w:rFonts w:ascii="Arial"/>
                <w:spacing w:val="40"/>
                <w:sz w:val="16"/>
              </w:rPr>
              <w:t> </w:t>
            </w:r>
            <w:r>
              <w:rPr>
                <w:rFonts w:ascii="Arial"/>
                <w:sz w:val="16"/>
              </w:rPr>
              <w:t>including the general duty to provide a safe working environment. Vaccination of front-line staff further</w:t>
            </w:r>
            <w:r>
              <w:rPr>
                <w:rFonts w:ascii="Arial"/>
                <w:spacing w:val="40"/>
                <w:sz w:val="16"/>
              </w:rPr>
              <w:t> </w:t>
            </w:r>
            <w:r>
              <w:rPr>
                <w:rFonts w:ascii="Arial"/>
                <w:sz w:val="16"/>
              </w:rPr>
              <w:t>mitigates this risk.</w:t>
            </w:r>
          </w:p>
        </w:tc>
        <w:tc>
          <w:tcPr>
            <w:tcW w:w="888" w:type="dxa"/>
            <w:tcBorders>
              <w:bottom w:val="nil"/>
            </w:tcBorders>
          </w:tcPr>
          <w:p>
            <w:pPr>
              <w:pStyle w:val="TableParagraph"/>
              <w:spacing w:before="10"/>
              <w:rPr>
                <w:sz w:val="43"/>
              </w:rPr>
            </w:pPr>
          </w:p>
          <w:p>
            <w:pPr>
              <w:pStyle w:val="TableParagraph"/>
              <w:ind w:left="268"/>
              <w:rPr>
                <w:rFonts w:ascii="Wingdings 3" w:hAnsi="Wingdings 3"/>
                <w:sz w:val="32"/>
              </w:rPr>
            </w:pPr>
            <w:r>
              <w:rPr>
                <w:rFonts w:ascii="Wingdings 3" w:hAnsi="Wingdings 3"/>
                <w:color w:val="FFBF00"/>
                <w:w w:val="101"/>
                <w:sz w:val="32"/>
              </w:rPr>
              <w:t></w:t>
            </w:r>
          </w:p>
        </w:tc>
        <w:tc>
          <w:tcPr>
            <w:tcW w:w="1246" w:type="dxa"/>
            <w:tcBorders>
              <w:bottom w:val="nil"/>
            </w:tcBorders>
            <w:shd w:val="clear" w:color="auto" w:fill="00AF50"/>
          </w:tcPr>
          <w:p>
            <w:pPr>
              <w:pStyle w:val="TableParagraph"/>
              <w:rPr>
                <w:rFonts w:ascii="Times New Roman"/>
                <w:sz w:val="16"/>
              </w:rPr>
            </w:pPr>
          </w:p>
        </w:tc>
      </w:tr>
    </w:tbl>
    <w:p>
      <w:pPr>
        <w:spacing w:after="0"/>
        <w:rPr>
          <w:rFonts w:ascii="Times New Roman"/>
          <w:sz w:val="16"/>
        </w:rPr>
        <w:sectPr>
          <w:type w:val="continuous"/>
          <w:pgSz w:w="23820" w:h="16840" w:orient="landscape"/>
          <w:pgMar w:header="0" w:footer="173" w:top="1040" w:bottom="1121" w:left="920" w:right="1020"/>
        </w:sectPr>
      </w:pPr>
    </w:p>
    <w:tbl>
      <w:tblPr>
        <w:tblW w:w="0" w:type="auto"/>
        <w:jc w:val="left"/>
        <w:tblInd w:w="11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667"/>
        <w:gridCol w:w="3583"/>
        <w:gridCol w:w="583"/>
        <w:gridCol w:w="660"/>
        <w:gridCol w:w="713"/>
        <w:gridCol w:w="3679"/>
        <w:gridCol w:w="583"/>
        <w:gridCol w:w="621"/>
        <w:gridCol w:w="698"/>
        <w:gridCol w:w="3499"/>
        <w:gridCol w:w="4226"/>
        <w:gridCol w:w="888"/>
        <w:gridCol w:w="1246"/>
      </w:tblGrid>
      <w:tr>
        <w:trPr>
          <w:trHeight w:val="193" w:hRule="atLeast"/>
        </w:trPr>
        <w:tc>
          <w:tcPr>
            <w:tcW w:w="667" w:type="dxa"/>
            <w:tcBorders>
              <w:top w:val="nil"/>
            </w:tcBorders>
          </w:tcPr>
          <w:p>
            <w:pPr>
              <w:pStyle w:val="TableParagraph"/>
              <w:rPr>
                <w:rFonts w:ascii="Times New Roman"/>
                <w:sz w:val="12"/>
              </w:rPr>
            </w:pPr>
          </w:p>
        </w:tc>
        <w:tc>
          <w:tcPr>
            <w:tcW w:w="3583" w:type="dxa"/>
            <w:tcBorders>
              <w:top w:val="nil"/>
            </w:tcBorders>
          </w:tcPr>
          <w:p>
            <w:pPr>
              <w:pStyle w:val="TableParagraph"/>
              <w:rPr>
                <w:rFonts w:ascii="Times New Roman"/>
                <w:sz w:val="12"/>
              </w:rPr>
            </w:pPr>
          </w:p>
        </w:tc>
        <w:tc>
          <w:tcPr>
            <w:tcW w:w="583" w:type="dxa"/>
            <w:tcBorders>
              <w:top w:val="nil"/>
            </w:tcBorders>
          </w:tcPr>
          <w:p>
            <w:pPr>
              <w:pStyle w:val="TableParagraph"/>
              <w:rPr>
                <w:rFonts w:ascii="Times New Roman"/>
                <w:sz w:val="12"/>
              </w:rPr>
            </w:pPr>
          </w:p>
        </w:tc>
        <w:tc>
          <w:tcPr>
            <w:tcW w:w="660" w:type="dxa"/>
            <w:tcBorders>
              <w:top w:val="nil"/>
            </w:tcBorders>
          </w:tcPr>
          <w:p>
            <w:pPr>
              <w:pStyle w:val="TableParagraph"/>
              <w:rPr>
                <w:rFonts w:ascii="Times New Roman"/>
                <w:sz w:val="12"/>
              </w:rPr>
            </w:pPr>
          </w:p>
        </w:tc>
        <w:tc>
          <w:tcPr>
            <w:tcW w:w="713" w:type="dxa"/>
            <w:tcBorders>
              <w:top w:val="nil"/>
            </w:tcBorders>
            <w:shd w:val="clear" w:color="auto" w:fill="FF0000"/>
          </w:tcPr>
          <w:p>
            <w:pPr>
              <w:pStyle w:val="TableParagraph"/>
              <w:rPr>
                <w:rFonts w:ascii="Times New Roman"/>
                <w:sz w:val="12"/>
              </w:rPr>
            </w:pPr>
          </w:p>
        </w:tc>
        <w:tc>
          <w:tcPr>
            <w:tcW w:w="3679" w:type="dxa"/>
            <w:tcBorders>
              <w:top w:val="nil"/>
            </w:tcBorders>
          </w:tcPr>
          <w:p>
            <w:pPr>
              <w:pStyle w:val="TableParagraph"/>
              <w:rPr>
                <w:rFonts w:ascii="Times New Roman"/>
                <w:sz w:val="12"/>
              </w:rPr>
            </w:pPr>
          </w:p>
        </w:tc>
        <w:tc>
          <w:tcPr>
            <w:tcW w:w="583" w:type="dxa"/>
            <w:tcBorders>
              <w:top w:val="nil"/>
            </w:tcBorders>
          </w:tcPr>
          <w:p>
            <w:pPr>
              <w:pStyle w:val="TableParagraph"/>
              <w:rPr>
                <w:rFonts w:ascii="Times New Roman"/>
                <w:sz w:val="12"/>
              </w:rPr>
            </w:pPr>
          </w:p>
        </w:tc>
        <w:tc>
          <w:tcPr>
            <w:tcW w:w="621" w:type="dxa"/>
            <w:tcBorders>
              <w:top w:val="nil"/>
            </w:tcBorders>
          </w:tcPr>
          <w:p>
            <w:pPr>
              <w:pStyle w:val="TableParagraph"/>
              <w:rPr>
                <w:rFonts w:ascii="Times New Roman"/>
                <w:sz w:val="12"/>
              </w:rPr>
            </w:pPr>
          </w:p>
        </w:tc>
        <w:tc>
          <w:tcPr>
            <w:tcW w:w="698" w:type="dxa"/>
            <w:tcBorders>
              <w:top w:val="nil"/>
            </w:tcBorders>
            <w:shd w:val="clear" w:color="auto" w:fill="00AF50"/>
          </w:tcPr>
          <w:p>
            <w:pPr>
              <w:pStyle w:val="TableParagraph"/>
              <w:rPr>
                <w:rFonts w:ascii="Times New Roman"/>
                <w:sz w:val="12"/>
              </w:rPr>
            </w:pPr>
          </w:p>
        </w:tc>
        <w:tc>
          <w:tcPr>
            <w:tcW w:w="3499" w:type="dxa"/>
            <w:tcBorders>
              <w:top w:val="nil"/>
            </w:tcBorders>
          </w:tcPr>
          <w:p>
            <w:pPr>
              <w:pStyle w:val="TableParagraph"/>
              <w:rPr>
                <w:rFonts w:ascii="Times New Roman"/>
                <w:sz w:val="12"/>
              </w:rPr>
            </w:pPr>
          </w:p>
        </w:tc>
        <w:tc>
          <w:tcPr>
            <w:tcW w:w="4226" w:type="dxa"/>
          </w:tcPr>
          <w:p>
            <w:pPr>
              <w:pStyle w:val="TableParagraph"/>
              <w:spacing w:line="168" w:lineRule="exact" w:before="5"/>
              <w:ind w:left="35"/>
              <w:rPr>
                <w:rFonts w:ascii="Arial"/>
                <w:b/>
                <w:sz w:val="16"/>
              </w:rPr>
            </w:pPr>
            <w:r>
              <w:rPr>
                <w:rFonts w:ascii="Arial"/>
                <w:b/>
                <w:sz w:val="16"/>
              </w:rPr>
              <w:t>Risk</w:t>
            </w:r>
            <w:r>
              <w:rPr>
                <w:rFonts w:ascii="Arial"/>
                <w:b/>
                <w:spacing w:val="5"/>
                <w:sz w:val="16"/>
              </w:rPr>
              <w:t> </w:t>
            </w:r>
            <w:r>
              <w:rPr>
                <w:rFonts w:ascii="Arial"/>
                <w:b/>
                <w:sz w:val="16"/>
              </w:rPr>
              <w:t>Lead:</w:t>
            </w:r>
            <w:r>
              <w:rPr>
                <w:rFonts w:ascii="Arial"/>
                <w:b/>
                <w:spacing w:val="7"/>
                <w:sz w:val="16"/>
              </w:rPr>
              <w:t> </w:t>
            </w:r>
            <w:r>
              <w:rPr>
                <w:rFonts w:ascii="Arial"/>
                <w:b/>
                <w:sz w:val="16"/>
              </w:rPr>
              <w:t>Director</w:t>
            </w:r>
            <w:r>
              <w:rPr>
                <w:rFonts w:ascii="Arial"/>
                <w:b/>
                <w:spacing w:val="4"/>
                <w:sz w:val="16"/>
              </w:rPr>
              <w:t> </w:t>
            </w:r>
            <w:r>
              <w:rPr>
                <w:rFonts w:ascii="Arial"/>
                <w:b/>
                <w:sz w:val="16"/>
              </w:rPr>
              <w:t>of</w:t>
            </w:r>
            <w:r>
              <w:rPr>
                <w:rFonts w:ascii="Arial"/>
                <w:b/>
                <w:spacing w:val="7"/>
                <w:sz w:val="16"/>
              </w:rPr>
              <w:t> </w:t>
            </w:r>
            <w:r>
              <w:rPr>
                <w:rFonts w:ascii="Arial"/>
                <w:b/>
                <w:sz w:val="16"/>
              </w:rPr>
              <w:t>People</w:t>
            </w:r>
            <w:r>
              <w:rPr>
                <w:rFonts w:ascii="Arial"/>
                <w:b/>
                <w:spacing w:val="6"/>
                <w:sz w:val="16"/>
              </w:rPr>
              <w:t> </w:t>
            </w:r>
            <w:r>
              <w:rPr>
                <w:rFonts w:ascii="Arial"/>
                <w:b/>
                <w:sz w:val="16"/>
              </w:rPr>
              <w:t>and</w:t>
            </w:r>
            <w:r>
              <w:rPr>
                <w:rFonts w:ascii="Arial"/>
                <w:b/>
                <w:spacing w:val="7"/>
                <w:sz w:val="16"/>
              </w:rPr>
              <w:t> </w:t>
            </w:r>
            <w:r>
              <w:rPr>
                <w:rFonts w:ascii="Arial"/>
                <w:b/>
                <w:spacing w:val="-5"/>
                <w:sz w:val="16"/>
              </w:rPr>
              <w:t>OD</w:t>
            </w:r>
          </w:p>
        </w:tc>
        <w:tc>
          <w:tcPr>
            <w:tcW w:w="888" w:type="dxa"/>
            <w:tcBorders>
              <w:top w:val="nil"/>
            </w:tcBorders>
          </w:tcPr>
          <w:p>
            <w:pPr>
              <w:pStyle w:val="TableParagraph"/>
              <w:rPr>
                <w:rFonts w:ascii="Times New Roman"/>
                <w:sz w:val="12"/>
              </w:rPr>
            </w:pPr>
          </w:p>
        </w:tc>
        <w:tc>
          <w:tcPr>
            <w:tcW w:w="1246" w:type="dxa"/>
            <w:tcBorders>
              <w:top w:val="nil"/>
            </w:tcBorders>
            <w:shd w:val="clear" w:color="auto" w:fill="00AF50"/>
          </w:tcPr>
          <w:p>
            <w:pPr>
              <w:pStyle w:val="TableParagraph"/>
              <w:rPr>
                <w:rFonts w:ascii="Times New Roman"/>
                <w:sz w:val="12"/>
              </w:rPr>
            </w:pPr>
          </w:p>
        </w:tc>
      </w:tr>
      <w:tr>
        <w:trPr>
          <w:trHeight w:val="1021" w:hRule="atLeast"/>
        </w:trPr>
        <w:tc>
          <w:tcPr>
            <w:tcW w:w="667" w:type="dxa"/>
            <w:vMerge w:val="restart"/>
          </w:tcPr>
          <w:p>
            <w:pPr>
              <w:pStyle w:val="TableParagraph"/>
              <w:spacing w:before="10"/>
              <w:ind w:left="222"/>
              <w:rPr>
                <w:rFonts w:ascii="Arial"/>
                <w:b/>
                <w:sz w:val="16"/>
              </w:rPr>
            </w:pPr>
            <w:r>
              <w:rPr>
                <w:rFonts w:ascii="Arial"/>
                <w:b/>
                <w:spacing w:val="-5"/>
                <w:sz w:val="16"/>
              </w:rPr>
              <w:t>M8</w:t>
            </w:r>
          </w:p>
        </w:tc>
        <w:tc>
          <w:tcPr>
            <w:tcW w:w="3583" w:type="dxa"/>
            <w:vMerge w:val="restart"/>
          </w:tcPr>
          <w:p>
            <w:pPr>
              <w:pStyle w:val="TableParagraph"/>
              <w:spacing w:line="264" w:lineRule="auto" w:before="3"/>
              <w:ind w:left="33"/>
              <w:rPr>
                <w:rFonts w:ascii="Arial"/>
                <w:sz w:val="16"/>
              </w:rPr>
            </w:pPr>
            <w:r>
              <w:rPr>
                <w:rFonts w:ascii="Arial"/>
                <w:sz w:val="16"/>
              </w:rPr>
              <w:t>Specific fraud risk relating to amendment of banking details for suppliers due to hacking of supplier e-mail accounts leading to payments being made to fraudsters</w:t>
            </w:r>
          </w:p>
        </w:tc>
        <w:tc>
          <w:tcPr>
            <w:tcW w:w="583" w:type="dxa"/>
            <w:vMerge w:val="restart"/>
          </w:tcPr>
          <w:p>
            <w:pPr>
              <w:pStyle w:val="TableParagraph"/>
              <w:spacing w:before="3"/>
              <w:ind w:left="22"/>
              <w:jc w:val="center"/>
              <w:rPr>
                <w:rFonts w:ascii="Arial"/>
                <w:sz w:val="16"/>
              </w:rPr>
            </w:pPr>
            <w:r>
              <w:rPr>
                <w:rFonts w:ascii="Arial"/>
                <w:w w:val="101"/>
                <w:sz w:val="16"/>
              </w:rPr>
              <w:t>5</w:t>
            </w:r>
          </w:p>
        </w:tc>
        <w:tc>
          <w:tcPr>
            <w:tcW w:w="660" w:type="dxa"/>
            <w:vMerge w:val="restart"/>
          </w:tcPr>
          <w:p>
            <w:pPr>
              <w:pStyle w:val="TableParagraph"/>
              <w:spacing w:before="3"/>
              <w:ind w:left="22"/>
              <w:jc w:val="center"/>
              <w:rPr>
                <w:rFonts w:ascii="Arial"/>
                <w:sz w:val="16"/>
              </w:rPr>
            </w:pPr>
            <w:r>
              <w:rPr>
                <w:rFonts w:ascii="Arial"/>
                <w:w w:val="101"/>
                <w:sz w:val="16"/>
              </w:rPr>
              <w:t>3</w:t>
            </w:r>
          </w:p>
        </w:tc>
        <w:tc>
          <w:tcPr>
            <w:tcW w:w="713" w:type="dxa"/>
            <w:vMerge w:val="restart"/>
            <w:shd w:val="clear" w:color="auto" w:fill="FF0000"/>
          </w:tcPr>
          <w:p>
            <w:pPr>
              <w:pStyle w:val="TableParagraph"/>
              <w:spacing w:before="3"/>
              <w:ind w:left="251" w:right="229"/>
              <w:jc w:val="center"/>
              <w:rPr>
                <w:rFonts w:ascii="Arial"/>
                <w:sz w:val="16"/>
              </w:rPr>
            </w:pPr>
            <w:r>
              <w:rPr>
                <w:rFonts w:ascii="Arial"/>
                <w:spacing w:val="-5"/>
                <w:sz w:val="16"/>
              </w:rPr>
              <w:t>15</w:t>
            </w:r>
          </w:p>
        </w:tc>
        <w:tc>
          <w:tcPr>
            <w:tcW w:w="3679" w:type="dxa"/>
            <w:vMerge w:val="restart"/>
          </w:tcPr>
          <w:p>
            <w:pPr>
              <w:pStyle w:val="TableParagraph"/>
              <w:spacing w:line="264" w:lineRule="auto" w:before="3"/>
              <w:ind w:left="33" w:right="141" w:hanging="1"/>
              <w:rPr>
                <w:rFonts w:ascii="Arial"/>
                <w:sz w:val="16"/>
              </w:rPr>
            </w:pPr>
            <w:r>
              <w:rPr>
                <w:rFonts w:ascii="Arial"/>
                <w:sz w:val="16"/>
              </w:rPr>
              <w:t>Documented process for bank mandate changes Role of Supplier Maintenance Team</w:t>
            </w:r>
            <w:r>
              <w:rPr>
                <w:rFonts w:ascii="Arial"/>
                <w:spacing w:val="80"/>
                <w:sz w:val="16"/>
              </w:rPr>
              <w:t> </w:t>
            </w:r>
            <w:r>
              <w:rPr>
                <w:rFonts w:ascii="Arial"/>
                <w:sz w:val="16"/>
              </w:rPr>
              <w:t>Authorisation by Senior Finance Staff</w:t>
            </w:r>
          </w:p>
          <w:p>
            <w:pPr>
              <w:pStyle w:val="TableParagraph"/>
              <w:spacing w:line="182" w:lineRule="exact"/>
              <w:ind w:left="33"/>
              <w:rPr>
                <w:rFonts w:ascii="Arial"/>
                <w:sz w:val="16"/>
              </w:rPr>
            </w:pPr>
            <w:r>
              <w:rPr>
                <w:rFonts w:ascii="Arial"/>
                <w:sz w:val="16"/>
              </w:rPr>
              <w:t>Internal</w:t>
            </w:r>
            <w:r>
              <w:rPr>
                <w:rFonts w:ascii="Arial"/>
                <w:spacing w:val="5"/>
                <w:sz w:val="16"/>
              </w:rPr>
              <w:t> </w:t>
            </w:r>
            <w:r>
              <w:rPr>
                <w:rFonts w:ascii="Arial"/>
                <w:sz w:val="16"/>
              </w:rPr>
              <w:t>Audit</w:t>
            </w:r>
            <w:r>
              <w:rPr>
                <w:rFonts w:ascii="Arial"/>
                <w:spacing w:val="4"/>
                <w:sz w:val="16"/>
              </w:rPr>
              <w:t> </w:t>
            </w:r>
            <w:r>
              <w:rPr>
                <w:rFonts w:ascii="Arial"/>
                <w:spacing w:val="-2"/>
                <w:sz w:val="16"/>
              </w:rPr>
              <w:t>Reviews</w:t>
            </w:r>
          </w:p>
          <w:p>
            <w:pPr>
              <w:pStyle w:val="TableParagraph"/>
              <w:spacing w:before="18"/>
              <w:ind w:left="33"/>
              <w:rPr>
                <w:rFonts w:ascii="Arial"/>
                <w:sz w:val="16"/>
              </w:rPr>
            </w:pPr>
            <w:r>
              <w:rPr>
                <w:rFonts w:ascii="Arial"/>
                <w:sz w:val="16"/>
              </w:rPr>
              <w:t>Experian</w:t>
            </w:r>
            <w:r>
              <w:rPr>
                <w:rFonts w:ascii="Arial"/>
                <w:spacing w:val="4"/>
                <w:sz w:val="16"/>
              </w:rPr>
              <w:t> </w:t>
            </w:r>
            <w:r>
              <w:rPr>
                <w:rFonts w:ascii="Arial"/>
                <w:sz w:val="16"/>
              </w:rPr>
              <w:t>Bank</w:t>
            </w:r>
            <w:r>
              <w:rPr>
                <w:rFonts w:ascii="Arial"/>
                <w:spacing w:val="8"/>
                <w:sz w:val="16"/>
              </w:rPr>
              <w:t> </w:t>
            </w:r>
            <w:r>
              <w:rPr>
                <w:rFonts w:ascii="Arial"/>
                <w:sz w:val="16"/>
              </w:rPr>
              <w:t>Mandate</w:t>
            </w:r>
            <w:r>
              <w:rPr>
                <w:rFonts w:ascii="Arial"/>
                <w:spacing w:val="5"/>
                <w:sz w:val="16"/>
              </w:rPr>
              <w:t> </w:t>
            </w:r>
            <w:r>
              <w:rPr>
                <w:rFonts w:ascii="Arial"/>
                <w:spacing w:val="-2"/>
                <w:sz w:val="16"/>
              </w:rPr>
              <w:t>Checker</w:t>
            </w:r>
          </w:p>
        </w:tc>
        <w:tc>
          <w:tcPr>
            <w:tcW w:w="583" w:type="dxa"/>
            <w:vMerge w:val="restart"/>
          </w:tcPr>
          <w:p>
            <w:pPr>
              <w:pStyle w:val="TableParagraph"/>
              <w:spacing w:before="3"/>
              <w:ind w:left="22"/>
              <w:jc w:val="center"/>
              <w:rPr>
                <w:rFonts w:ascii="Arial"/>
                <w:sz w:val="16"/>
              </w:rPr>
            </w:pPr>
            <w:r>
              <w:rPr>
                <w:rFonts w:ascii="Arial"/>
                <w:w w:val="101"/>
                <w:sz w:val="16"/>
              </w:rPr>
              <w:t>1</w:t>
            </w:r>
          </w:p>
        </w:tc>
        <w:tc>
          <w:tcPr>
            <w:tcW w:w="621" w:type="dxa"/>
            <w:vMerge w:val="restart"/>
          </w:tcPr>
          <w:p>
            <w:pPr>
              <w:pStyle w:val="TableParagraph"/>
              <w:spacing w:before="3"/>
              <w:ind w:left="22"/>
              <w:jc w:val="center"/>
              <w:rPr>
                <w:rFonts w:ascii="Arial"/>
                <w:sz w:val="16"/>
              </w:rPr>
            </w:pPr>
            <w:r>
              <w:rPr>
                <w:rFonts w:ascii="Arial"/>
                <w:w w:val="101"/>
                <w:sz w:val="16"/>
              </w:rPr>
              <w:t>3</w:t>
            </w:r>
          </w:p>
        </w:tc>
        <w:tc>
          <w:tcPr>
            <w:tcW w:w="698" w:type="dxa"/>
            <w:vMerge w:val="restart"/>
            <w:shd w:val="clear" w:color="auto" w:fill="00AF50"/>
          </w:tcPr>
          <w:p>
            <w:pPr>
              <w:pStyle w:val="TableParagraph"/>
              <w:spacing w:before="3"/>
              <w:ind w:left="25"/>
              <w:jc w:val="center"/>
              <w:rPr>
                <w:rFonts w:ascii="Arial"/>
                <w:sz w:val="16"/>
              </w:rPr>
            </w:pPr>
            <w:r>
              <w:rPr>
                <w:rFonts w:ascii="Arial"/>
                <w:w w:val="101"/>
                <w:sz w:val="16"/>
              </w:rPr>
              <w:t>3</w:t>
            </w:r>
          </w:p>
        </w:tc>
        <w:tc>
          <w:tcPr>
            <w:tcW w:w="3499" w:type="dxa"/>
            <w:vMerge w:val="restart"/>
          </w:tcPr>
          <w:p>
            <w:pPr>
              <w:pStyle w:val="TableParagraph"/>
              <w:spacing w:line="264" w:lineRule="auto" w:before="3"/>
              <w:ind w:left="35" w:right="125"/>
              <w:rPr>
                <w:rFonts w:ascii="Arial"/>
                <w:sz w:val="16"/>
              </w:rPr>
            </w:pPr>
            <w:r>
              <w:rPr>
                <w:rFonts w:ascii="Arial"/>
                <w:sz w:val="16"/>
              </w:rPr>
              <w:t>Recent spate of attacks (Apr 22) </w:t>
            </w:r>
            <w:r>
              <w:rPr>
                <w:rFonts w:ascii="Arial"/>
                <w:sz w:val="16"/>
              </w:rPr>
              <w:t>reinforces need to maintain current controls.</w:t>
            </w:r>
          </w:p>
          <w:p>
            <w:pPr>
              <w:pStyle w:val="TableParagraph"/>
              <w:spacing w:line="264" w:lineRule="auto"/>
              <w:ind w:left="35"/>
              <w:rPr>
                <w:rFonts w:ascii="Arial"/>
                <w:sz w:val="16"/>
              </w:rPr>
            </w:pPr>
            <w:r>
              <w:rPr>
                <w:rFonts w:ascii="Arial"/>
                <w:sz w:val="16"/>
              </w:rPr>
              <w:t>Review results of further Internal Audit (Sept </w:t>
            </w:r>
            <w:r>
              <w:rPr>
                <w:rFonts w:ascii="Arial"/>
                <w:spacing w:val="-2"/>
                <w:sz w:val="16"/>
              </w:rPr>
              <w:t>2022)</w:t>
            </w:r>
          </w:p>
        </w:tc>
        <w:tc>
          <w:tcPr>
            <w:tcW w:w="4226" w:type="dxa"/>
          </w:tcPr>
          <w:p>
            <w:pPr>
              <w:pStyle w:val="TableParagraph"/>
              <w:spacing w:line="264" w:lineRule="auto" w:before="3"/>
              <w:ind w:left="35" w:right="78"/>
              <w:rPr>
                <w:rFonts w:ascii="Arial"/>
                <w:sz w:val="16"/>
              </w:rPr>
            </w:pPr>
            <w:r>
              <w:rPr>
                <w:rFonts w:ascii="Arial"/>
                <w:sz w:val="16"/>
              </w:rPr>
              <w:t>Further spate of attempted frauds in April/May 2022 (4) but all stopped by team. This has reinforced the need to maintain and possibly even strengthen existing </w:t>
            </w:r>
            <w:r>
              <w:rPr>
                <w:rFonts w:ascii="Arial"/>
                <w:sz w:val="16"/>
              </w:rPr>
              <w:t>controls. Meeting held with Nat West on 22/9/22 to review their</w:t>
            </w:r>
          </w:p>
          <w:p>
            <w:pPr>
              <w:pStyle w:val="TableParagraph"/>
              <w:spacing w:line="181" w:lineRule="exact"/>
              <w:ind w:left="35"/>
              <w:rPr>
                <w:rFonts w:ascii="Arial"/>
                <w:sz w:val="16"/>
              </w:rPr>
            </w:pPr>
            <w:r>
              <w:rPr>
                <w:rFonts w:ascii="Arial"/>
                <w:sz w:val="16"/>
              </w:rPr>
              <w:t>payee</w:t>
            </w:r>
            <w:r>
              <w:rPr>
                <w:rFonts w:ascii="Arial"/>
                <w:spacing w:val="8"/>
                <w:sz w:val="16"/>
              </w:rPr>
              <w:t> </w:t>
            </w:r>
            <w:r>
              <w:rPr>
                <w:rFonts w:ascii="Arial"/>
                <w:sz w:val="16"/>
              </w:rPr>
              <w:t>verification</w:t>
            </w:r>
            <w:r>
              <w:rPr>
                <w:rFonts w:ascii="Arial"/>
                <w:spacing w:val="8"/>
                <w:sz w:val="16"/>
              </w:rPr>
              <w:t> </w:t>
            </w:r>
            <w:r>
              <w:rPr>
                <w:rFonts w:ascii="Arial"/>
                <w:spacing w:val="-2"/>
                <w:sz w:val="16"/>
              </w:rPr>
              <w:t>software.</w:t>
            </w:r>
          </w:p>
        </w:tc>
        <w:tc>
          <w:tcPr>
            <w:tcW w:w="888" w:type="dxa"/>
            <w:vMerge w:val="restart"/>
          </w:tcPr>
          <w:p>
            <w:pPr>
              <w:pStyle w:val="TableParagraph"/>
              <w:spacing w:before="4"/>
              <w:rPr>
                <w:sz w:val="35"/>
              </w:rPr>
            </w:pPr>
          </w:p>
          <w:p>
            <w:pPr>
              <w:pStyle w:val="TableParagraph"/>
              <w:ind w:left="268"/>
              <w:rPr>
                <w:rFonts w:ascii="Wingdings 3" w:hAnsi="Wingdings 3"/>
                <w:sz w:val="32"/>
              </w:rPr>
            </w:pPr>
            <w:r>
              <w:rPr>
                <w:rFonts w:ascii="Wingdings 3" w:hAnsi="Wingdings 3"/>
                <w:color w:val="FFBF00"/>
                <w:w w:val="101"/>
                <w:sz w:val="32"/>
              </w:rPr>
              <w:t></w:t>
            </w:r>
          </w:p>
        </w:tc>
        <w:tc>
          <w:tcPr>
            <w:tcW w:w="1246" w:type="dxa"/>
            <w:vMerge w:val="restart"/>
            <w:shd w:val="clear" w:color="auto" w:fill="00AF50"/>
          </w:tcPr>
          <w:p>
            <w:pPr>
              <w:pStyle w:val="TableParagraph"/>
              <w:rPr>
                <w:rFonts w:ascii="Times New Roman"/>
                <w:sz w:val="16"/>
              </w:rPr>
            </w:pPr>
          </w:p>
        </w:tc>
      </w:tr>
      <w:tr>
        <w:trPr>
          <w:trHeight w:val="198" w:hRule="atLeast"/>
        </w:trPr>
        <w:tc>
          <w:tcPr>
            <w:tcW w:w="667" w:type="dxa"/>
            <w:vMerge/>
            <w:tcBorders>
              <w:top w:val="nil"/>
            </w:tcBorders>
          </w:tcPr>
          <w:p>
            <w:pPr>
              <w:rPr>
                <w:sz w:val="2"/>
                <w:szCs w:val="2"/>
              </w:rPr>
            </w:pPr>
          </w:p>
        </w:tc>
        <w:tc>
          <w:tcPr>
            <w:tcW w:w="3583" w:type="dxa"/>
            <w:vMerge/>
            <w:tcBorders>
              <w:top w:val="nil"/>
            </w:tcBorders>
          </w:tcPr>
          <w:p>
            <w:pPr>
              <w:rPr>
                <w:sz w:val="2"/>
                <w:szCs w:val="2"/>
              </w:rPr>
            </w:pPr>
          </w:p>
        </w:tc>
        <w:tc>
          <w:tcPr>
            <w:tcW w:w="583" w:type="dxa"/>
            <w:vMerge/>
            <w:tcBorders>
              <w:top w:val="nil"/>
            </w:tcBorders>
          </w:tcPr>
          <w:p>
            <w:pPr>
              <w:rPr>
                <w:sz w:val="2"/>
                <w:szCs w:val="2"/>
              </w:rPr>
            </w:pPr>
          </w:p>
        </w:tc>
        <w:tc>
          <w:tcPr>
            <w:tcW w:w="660" w:type="dxa"/>
            <w:vMerge/>
            <w:tcBorders>
              <w:top w:val="nil"/>
            </w:tcBorders>
          </w:tcPr>
          <w:p>
            <w:pPr>
              <w:rPr>
                <w:sz w:val="2"/>
                <w:szCs w:val="2"/>
              </w:rPr>
            </w:pPr>
          </w:p>
        </w:tc>
        <w:tc>
          <w:tcPr>
            <w:tcW w:w="713" w:type="dxa"/>
            <w:vMerge/>
            <w:tcBorders>
              <w:top w:val="nil"/>
            </w:tcBorders>
            <w:shd w:val="clear" w:color="auto" w:fill="FF0000"/>
          </w:tcPr>
          <w:p>
            <w:pPr>
              <w:rPr>
                <w:sz w:val="2"/>
                <w:szCs w:val="2"/>
              </w:rPr>
            </w:pPr>
          </w:p>
        </w:tc>
        <w:tc>
          <w:tcPr>
            <w:tcW w:w="3679" w:type="dxa"/>
            <w:vMerge/>
            <w:tcBorders>
              <w:top w:val="nil"/>
            </w:tcBorders>
          </w:tcPr>
          <w:p>
            <w:pPr>
              <w:rPr>
                <w:sz w:val="2"/>
                <w:szCs w:val="2"/>
              </w:rPr>
            </w:pPr>
          </w:p>
        </w:tc>
        <w:tc>
          <w:tcPr>
            <w:tcW w:w="583" w:type="dxa"/>
            <w:vMerge/>
            <w:tcBorders>
              <w:top w:val="nil"/>
            </w:tcBorders>
          </w:tcPr>
          <w:p>
            <w:pPr>
              <w:rPr>
                <w:sz w:val="2"/>
                <w:szCs w:val="2"/>
              </w:rPr>
            </w:pPr>
          </w:p>
        </w:tc>
        <w:tc>
          <w:tcPr>
            <w:tcW w:w="621" w:type="dxa"/>
            <w:vMerge/>
            <w:tcBorders>
              <w:top w:val="nil"/>
            </w:tcBorders>
          </w:tcPr>
          <w:p>
            <w:pPr>
              <w:rPr>
                <w:sz w:val="2"/>
                <w:szCs w:val="2"/>
              </w:rPr>
            </w:pPr>
          </w:p>
        </w:tc>
        <w:tc>
          <w:tcPr>
            <w:tcW w:w="698" w:type="dxa"/>
            <w:vMerge/>
            <w:tcBorders>
              <w:top w:val="nil"/>
            </w:tcBorders>
            <w:shd w:val="clear" w:color="auto" w:fill="00AF50"/>
          </w:tcPr>
          <w:p>
            <w:pPr>
              <w:rPr>
                <w:sz w:val="2"/>
                <w:szCs w:val="2"/>
              </w:rPr>
            </w:pPr>
          </w:p>
        </w:tc>
        <w:tc>
          <w:tcPr>
            <w:tcW w:w="3499" w:type="dxa"/>
            <w:vMerge/>
            <w:tcBorders>
              <w:top w:val="nil"/>
            </w:tcBorders>
          </w:tcPr>
          <w:p>
            <w:pPr>
              <w:rPr>
                <w:sz w:val="2"/>
                <w:szCs w:val="2"/>
              </w:rPr>
            </w:pPr>
          </w:p>
        </w:tc>
        <w:tc>
          <w:tcPr>
            <w:tcW w:w="4226" w:type="dxa"/>
          </w:tcPr>
          <w:p>
            <w:pPr>
              <w:pStyle w:val="TableParagraph"/>
              <w:spacing w:line="168" w:lineRule="exact" w:before="10"/>
              <w:ind w:left="35"/>
              <w:rPr>
                <w:rFonts w:ascii="Arial"/>
                <w:b/>
                <w:sz w:val="16"/>
              </w:rPr>
            </w:pPr>
            <w:r>
              <w:rPr>
                <w:rFonts w:ascii="Arial"/>
                <w:b/>
                <w:sz w:val="16"/>
              </w:rPr>
              <w:t>Risk</w:t>
            </w:r>
            <w:r>
              <w:rPr>
                <w:rFonts w:ascii="Arial"/>
                <w:b/>
                <w:spacing w:val="5"/>
                <w:sz w:val="16"/>
              </w:rPr>
              <w:t> </w:t>
            </w:r>
            <w:r>
              <w:rPr>
                <w:rFonts w:ascii="Arial"/>
                <w:b/>
                <w:sz w:val="16"/>
              </w:rPr>
              <w:t>Lead:</w:t>
            </w:r>
            <w:r>
              <w:rPr>
                <w:rFonts w:ascii="Arial"/>
                <w:b/>
                <w:spacing w:val="8"/>
                <w:sz w:val="16"/>
              </w:rPr>
              <w:t> </w:t>
            </w:r>
            <w:r>
              <w:rPr>
                <w:rFonts w:ascii="Arial"/>
                <w:b/>
                <w:sz w:val="16"/>
              </w:rPr>
              <w:t>Director</w:t>
            </w:r>
            <w:r>
              <w:rPr>
                <w:rFonts w:ascii="Arial"/>
                <w:b/>
                <w:spacing w:val="4"/>
                <w:sz w:val="16"/>
              </w:rPr>
              <w:t> </w:t>
            </w:r>
            <w:r>
              <w:rPr>
                <w:rFonts w:ascii="Arial"/>
                <w:b/>
                <w:sz w:val="16"/>
              </w:rPr>
              <w:t>of</w:t>
            </w:r>
            <w:r>
              <w:rPr>
                <w:rFonts w:ascii="Arial"/>
                <w:b/>
                <w:spacing w:val="7"/>
                <w:sz w:val="16"/>
              </w:rPr>
              <w:t> </w:t>
            </w:r>
            <w:r>
              <w:rPr>
                <w:rFonts w:ascii="Arial"/>
                <w:b/>
                <w:sz w:val="16"/>
              </w:rPr>
              <w:t>Finance</w:t>
            </w:r>
            <w:r>
              <w:rPr>
                <w:rFonts w:ascii="Arial"/>
                <w:b/>
                <w:spacing w:val="8"/>
                <w:sz w:val="16"/>
              </w:rPr>
              <w:t> </w:t>
            </w:r>
            <w:r>
              <w:rPr>
                <w:rFonts w:ascii="Arial"/>
                <w:b/>
                <w:sz w:val="16"/>
              </w:rPr>
              <w:t>&amp;</w:t>
            </w:r>
            <w:r>
              <w:rPr>
                <w:rFonts w:ascii="Arial"/>
                <w:b/>
                <w:spacing w:val="4"/>
                <w:sz w:val="16"/>
              </w:rPr>
              <w:t> </w:t>
            </w:r>
            <w:r>
              <w:rPr>
                <w:rFonts w:ascii="Arial"/>
                <w:b/>
                <w:sz w:val="16"/>
              </w:rPr>
              <w:t>Corporate</w:t>
            </w:r>
            <w:r>
              <w:rPr>
                <w:rFonts w:ascii="Arial"/>
                <w:b/>
                <w:spacing w:val="6"/>
                <w:sz w:val="16"/>
              </w:rPr>
              <w:t> </w:t>
            </w:r>
            <w:r>
              <w:rPr>
                <w:rFonts w:ascii="Arial"/>
                <w:b/>
                <w:spacing w:val="-2"/>
                <w:sz w:val="16"/>
              </w:rPr>
              <w:t>Services</w:t>
            </w:r>
          </w:p>
        </w:tc>
        <w:tc>
          <w:tcPr>
            <w:tcW w:w="888" w:type="dxa"/>
            <w:vMerge/>
            <w:tcBorders>
              <w:top w:val="nil"/>
            </w:tcBorders>
          </w:tcPr>
          <w:p>
            <w:pPr>
              <w:rPr>
                <w:sz w:val="2"/>
                <w:szCs w:val="2"/>
              </w:rPr>
            </w:pPr>
          </w:p>
        </w:tc>
        <w:tc>
          <w:tcPr>
            <w:tcW w:w="1246" w:type="dxa"/>
            <w:vMerge/>
            <w:tcBorders>
              <w:top w:val="nil"/>
            </w:tcBorders>
            <w:shd w:val="clear" w:color="auto" w:fill="00AF50"/>
          </w:tcPr>
          <w:p>
            <w:pPr>
              <w:rPr>
                <w:sz w:val="2"/>
                <w:szCs w:val="2"/>
              </w:rPr>
            </w:pPr>
          </w:p>
        </w:tc>
      </w:tr>
    </w:tbl>
    <w:p>
      <w:pPr>
        <w:spacing w:after="0"/>
        <w:rPr>
          <w:sz w:val="2"/>
          <w:szCs w:val="2"/>
        </w:rPr>
        <w:sectPr>
          <w:type w:val="continuous"/>
          <w:pgSz w:w="23820" w:h="16840" w:orient="landscape"/>
          <w:pgMar w:header="0" w:footer="173" w:top="1040" w:bottom="360" w:left="9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p>
    <w:p>
      <w:pPr>
        <w:spacing w:line="1250" w:lineRule="exact" w:before="0"/>
        <w:ind w:left="1134" w:right="0" w:firstLine="0"/>
        <w:jc w:val="left"/>
        <w:rPr>
          <w:rFonts w:ascii="Calibri"/>
          <w:b/>
          <w:sz w:val="114"/>
        </w:rPr>
      </w:pPr>
      <w:bookmarkStart w:name=" 6.2.3 Assurance Mapping Jan 23.pdf" w:id="67"/>
      <w:bookmarkEnd w:id="67"/>
      <w:r>
        <w:rPr/>
      </w:r>
      <w:r>
        <w:rPr>
          <w:rFonts w:ascii="Calibri"/>
          <w:b/>
          <w:spacing w:val="-2"/>
          <w:sz w:val="114"/>
        </w:rPr>
        <w:t>NWSSP</w:t>
      </w:r>
    </w:p>
    <w:p>
      <w:pPr>
        <w:spacing w:line="1380" w:lineRule="exact" w:before="0"/>
        <w:ind w:left="1134" w:right="0" w:firstLine="0"/>
        <w:jc w:val="left"/>
        <w:rPr>
          <w:rFonts w:ascii="Calibri"/>
          <w:b/>
          <w:sz w:val="114"/>
        </w:rPr>
      </w:pPr>
      <w:r>
        <w:rPr>
          <w:rFonts w:ascii="Calibri"/>
          <w:b/>
          <w:sz w:val="114"/>
        </w:rPr>
        <w:t>Assurance</w:t>
      </w:r>
      <w:r>
        <w:rPr>
          <w:rFonts w:ascii="Calibri"/>
          <w:b/>
          <w:spacing w:val="-29"/>
          <w:sz w:val="114"/>
        </w:rPr>
        <w:t> </w:t>
      </w:r>
      <w:r>
        <w:rPr>
          <w:rFonts w:ascii="Calibri"/>
          <w:b/>
          <w:spacing w:val="-2"/>
          <w:sz w:val="114"/>
        </w:rPr>
        <w:t>Mapping</w:t>
      </w:r>
    </w:p>
    <w:p>
      <w:pPr>
        <w:pStyle w:val="BodyText"/>
        <w:spacing w:before="7"/>
        <w:rPr>
          <w:rFonts w:ascii="Calibri"/>
          <w:b/>
          <w:sz w:val="25"/>
        </w:rPr>
      </w:pPr>
      <w:r>
        <w:rPr/>
        <w:pict>
          <v:group style="position:absolute;margin-left:47.875pt;margin-top:16.848572pt;width:322.75pt;height:6.9pt;mso-position-horizontal-relative:page;mso-position-vertical-relative:paragraph;z-index:-15620096;mso-wrap-distance-left:0;mso-wrap-distance-right:0" id="docshapegroup525" coordorigin="958,337" coordsize="6455,138">
            <v:shape style="position:absolute;left:990;top:358;width:6390;height:98" id="docshape526" coordorigin="990,359" coordsize="6390,98" path="m2619,426l2547,425,2480,424,2418,421,2361,417,2311,412,2263,405,2206,398,2141,391,2070,385,2009,380,2055,371,2121,364,2190,360,2261,359,2335,360,2413,363,2669,376,2764,380,2864,383,2958,393,3047,400,3132,405,3214,407,3341,407,3312,412,2694,425,2619,426xm1513,422l1429,420,1343,417,1255,412,1167,404,1078,395,1071,394,1129,384,1207,375,1290,368,1376,363,1465,361,1555,360,1646,361,1736,364,1825,368,1911,373,1993,378,2009,380,1991,383,1939,393,1880,401,1815,409,1746,414,1672,419,1594,421,1513,422xm3347,407l3406,398,3495,387,3579,378,3659,372,3737,368,3812,366,3887,367,3962,369,4038,374,4117,381,4131,382,3976,382,3897,383,3820,385,3649,394,3521,400,3447,404,3371,406,3347,407xm5707,416l5640,416,5571,413,5499,409,5466,407,5505,400,5555,392,5614,383,5675,375,5742,370,5814,367,5894,368,5982,372,6081,380,6101,382,6059,383,5983,396,5911,405,5841,412,5774,415,5707,416xm5325,398l4318,398,4388,397,4454,395,4477,394,4644,383,4711,379,4785,376,4865,376,4956,378,5256,394,5325,398xm6706,417l6522,416,6315,412,6191,393,6101,382,6132,382,6206,382,6892,393,7378,394,7380,404,7380,411,7241,411,6706,417xm4262,397l4240,396,4154,391,4057,383,3976,382,4131,382,4199,389,4262,397xm990,412l991,399,990,396,990,383,1071,394,1056,396,990,412xm7378,394l6971,394,7132,392,7214,390,7297,387,7380,383,7378,392,7378,394xm4989,457l4898,456,4806,454,4714,450,4624,443,4536,435,4453,424,4377,412,4285,400,4262,397,4318,398,5325,398,5466,407,5442,412,5407,423,5360,433,5302,441,5234,447,5158,452,5076,455,4989,457xm3341,407l3294,407,3347,407,3341,407xm7380,412l7241,411,7380,411,7380,412xe" filled="true" fillcolor="#c0504d" stroked="false">
              <v:path arrowok="t"/>
              <v:fill type="solid"/>
            </v:shape>
            <v:shape style="position:absolute;left:990;top:369;width:6390;height:73" id="docshape527" coordorigin="990,369" coordsize="6390,73" path="m990,383l1095,381,1193,379,1368,378,1523,379,1663,381,1793,383,1919,384,2048,384,2184,383,2333,379,2463,378,2580,377,2695,377,2818,377,2955,379,3033,379,3118,381,3210,382,3313,383,3415,381,3508,379,3591,378,3668,378,3804,377,3924,377,4038,378,4156,379,4288,381,4361,382,4441,383,4599,386,4735,386,4853,382,4956,379,5050,376,5139,374,5315,383,5545,384,5776,376,6011,369,6131,373,6251,383,6388,392,6519,394,6778,391,6913,386,7056,383,7210,381,7380,383,7380,401,7380,412,7293,421,7211,426,7065,428,6936,423,6819,416,6704,407,6586,402,6459,402,6315,412,6179,434,6049,442,5928,439,5814,431,5709,419,5611,409,5523,406,5443,412,5411,416,5373,418,5278,421,5164,421,5040,419,4910,417,4785,414,4669,412,4569,412,4469,416,4360,418,4239,419,4106,421,3961,421,3801,418,3629,416,3440,412,3231,411,3001,422,2756,427,2630,423,2503,412,2469,398,2420,388,2358,381,2283,376,2196,374,2100,374,1998,376,1888,378,1658,388,1423,398,1196,407,1090,411,990,412,990,383xe" filled="false" stroked="true" strokeweight="3.25pt" strokecolor="#c0504d">
              <v:path arrowok="t"/>
              <v:stroke dashstyle="solid"/>
            </v:shape>
            <w10:wrap type="topAndBottom"/>
          </v:group>
        </w:pict>
      </w:r>
    </w:p>
    <w:p>
      <w:pPr>
        <w:spacing w:line="259" w:lineRule="auto" w:before="327"/>
        <w:ind w:left="1133" w:right="7644" w:firstLine="0"/>
        <w:jc w:val="left"/>
        <w:rPr>
          <w:rFonts w:ascii="Calibri"/>
          <w:sz w:val="64"/>
        </w:rPr>
      </w:pPr>
      <w:r>
        <w:rPr>
          <w:rFonts w:ascii="Calibri"/>
          <w:color w:val="898989"/>
          <w:sz w:val="64"/>
        </w:rPr>
        <w:t>24 January 2023 Audit</w:t>
      </w:r>
      <w:r>
        <w:rPr>
          <w:rFonts w:ascii="Calibri"/>
          <w:color w:val="898989"/>
          <w:spacing w:val="-37"/>
          <w:sz w:val="64"/>
        </w:rPr>
        <w:t> </w:t>
      </w:r>
      <w:r>
        <w:rPr>
          <w:rFonts w:ascii="Calibri"/>
          <w:color w:val="898989"/>
          <w:sz w:val="64"/>
        </w:rPr>
        <w:t>Committee</w:t>
      </w:r>
    </w:p>
    <w:p>
      <w:pPr>
        <w:spacing w:after="0" w:line="259" w:lineRule="auto"/>
        <w:jc w:val="left"/>
        <w:rPr>
          <w:rFonts w:ascii="Calibri"/>
          <w:sz w:val="64"/>
        </w:rPr>
        <w:sectPr>
          <w:footerReference w:type="default" r:id="rId165"/>
          <w:pgSz w:w="14400" w:h="10800" w:orient="landscape"/>
          <w:pgMar w:footer="173" w:header="0" w:top="1220" w:bottom="360" w:left="0" w:right="0"/>
        </w:sectPr>
      </w:pPr>
    </w:p>
    <w:p>
      <w:pPr>
        <w:spacing w:line="739" w:lineRule="exact" w:before="0"/>
        <w:ind w:left="2077" w:right="2074" w:firstLine="0"/>
        <w:jc w:val="center"/>
        <w:rPr>
          <w:rFonts w:ascii="Calibri"/>
          <w:b/>
          <w:sz w:val="64"/>
        </w:rPr>
      </w:pPr>
      <w:r>
        <w:rPr>
          <w:rFonts w:ascii="Calibri"/>
          <w:b/>
          <w:spacing w:val="-2"/>
          <w:sz w:val="64"/>
        </w:rPr>
        <w:t>Introduction</w:t>
      </w:r>
    </w:p>
    <w:p>
      <w:pPr>
        <w:pStyle w:val="BodyText"/>
        <w:spacing w:before="6"/>
        <w:rPr>
          <w:rFonts w:ascii="Calibri"/>
          <w:b/>
          <w:sz w:val="71"/>
        </w:rPr>
      </w:pPr>
    </w:p>
    <w:p>
      <w:pPr>
        <w:spacing w:line="235" w:lineRule="auto" w:before="0"/>
        <w:ind w:left="864" w:right="861" w:firstLine="0"/>
        <w:jc w:val="both"/>
        <w:rPr>
          <w:rFonts w:ascii="Calibri"/>
          <w:sz w:val="28"/>
        </w:rPr>
      </w:pPr>
      <w:r>
        <w:rPr>
          <w:rFonts w:ascii="Calibri"/>
          <w:sz w:val="28"/>
        </w:rPr>
        <w:t>An assurance map sets out pictorially the level of assurance against risks using the HM Treasury Three Lines of Defence Model. The benefit of this approach is that it both introduces a qualitative assessment to the assurance and provides an informative overview of whether the level of assurance for each risk is appropriate.</w:t>
      </w:r>
    </w:p>
    <w:p>
      <w:pPr>
        <w:pStyle w:val="BodyText"/>
        <w:spacing w:before="10"/>
        <w:rPr>
          <w:rFonts w:ascii="Calibri"/>
          <w:sz w:val="38"/>
        </w:rPr>
      </w:pPr>
    </w:p>
    <w:p>
      <w:pPr>
        <w:spacing w:line="235" w:lineRule="auto" w:before="0"/>
        <w:ind w:left="864" w:right="871" w:firstLine="0"/>
        <w:jc w:val="both"/>
        <w:rPr>
          <w:rFonts w:ascii="Calibri"/>
          <w:sz w:val="28"/>
        </w:rPr>
      </w:pPr>
      <w:r>
        <w:rPr>
          <w:rFonts w:ascii="Calibri"/>
          <w:sz w:val="28"/>
        </w:rPr>
        <w:t>The map is produced using the following criteria to rate the required level of assurance, the individual assurance providers, and the overall current level of assurance:</w:t>
      </w:r>
    </w:p>
    <w:p>
      <w:pPr>
        <w:pStyle w:val="BodyText"/>
        <w:spacing w:before="2"/>
        <w:rPr>
          <w:rFonts w:ascii="Calibri"/>
        </w:rPr>
      </w:pPr>
      <w:r>
        <w:rPr/>
        <w:drawing>
          <wp:anchor distT="0" distB="0" distL="0" distR="0" allowOverlap="1" layoutInCell="1" locked="0" behindDoc="0" simplePos="0" relativeHeight="213">
            <wp:simplePos x="0" y="0"/>
            <wp:positionH relativeFrom="page">
              <wp:posOffset>1270000</wp:posOffset>
            </wp:positionH>
            <wp:positionV relativeFrom="paragraph">
              <wp:posOffset>202700</wp:posOffset>
            </wp:positionV>
            <wp:extent cx="3761951" cy="594074"/>
            <wp:effectExtent l="0" t="0" r="0" b="0"/>
            <wp:wrapTopAndBottom/>
            <wp:docPr id="187" name="image80.png"/>
            <wp:cNvGraphicFramePr>
              <a:graphicFrameLocks noChangeAspect="1"/>
            </wp:cNvGraphicFramePr>
            <a:graphic>
              <a:graphicData uri="http://schemas.openxmlformats.org/drawingml/2006/picture">
                <pic:pic>
                  <pic:nvPicPr>
                    <pic:cNvPr id="188" name="image80.png"/>
                    <pic:cNvPicPr/>
                  </pic:nvPicPr>
                  <pic:blipFill>
                    <a:blip r:embed="rId167" cstate="print"/>
                    <a:stretch>
                      <a:fillRect/>
                    </a:stretch>
                  </pic:blipFill>
                  <pic:spPr>
                    <a:xfrm>
                      <a:off x="0" y="0"/>
                      <a:ext cx="3761951" cy="594074"/>
                    </a:xfrm>
                    <a:prstGeom prst="rect">
                      <a:avLst/>
                    </a:prstGeom>
                  </pic:spPr>
                </pic:pic>
              </a:graphicData>
            </a:graphic>
          </wp:anchor>
        </w:drawing>
      </w:r>
    </w:p>
    <w:p>
      <w:pPr>
        <w:pStyle w:val="BodyText"/>
        <w:rPr>
          <w:rFonts w:ascii="Calibri"/>
          <w:sz w:val="35"/>
        </w:rPr>
      </w:pPr>
    </w:p>
    <w:p>
      <w:pPr>
        <w:spacing w:line="235" w:lineRule="auto" w:before="0"/>
        <w:ind w:left="864" w:right="861" w:firstLine="0"/>
        <w:jc w:val="both"/>
        <w:rPr>
          <w:rFonts w:ascii="Calibri"/>
          <w:sz w:val="28"/>
        </w:rPr>
      </w:pPr>
      <w:r>
        <w:rPr>
          <w:rFonts w:ascii="Calibri"/>
          <w:sz w:val="28"/>
        </w:rPr>
        <w:t>While the detailed review of relevant information obviously provides the most assurance, there is a place for each of the three categories in gaining assurance over a specific risk. For instance, a risk where there are multiple levels of detailed assurance may well indicate over-control with possible duplication of effort. Generally, there is likely to be more</w:t>
      </w:r>
      <w:r>
        <w:rPr>
          <w:rFonts w:ascii="Calibri"/>
          <w:spacing w:val="-1"/>
          <w:sz w:val="28"/>
        </w:rPr>
        <w:t> </w:t>
      </w:r>
      <w:r>
        <w:rPr>
          <w:rFonts w:ascii="Calibri"/>
          <w:sz w:val="28"/>
        </w:rPr>
        <w:t>detailed assurance in the 1</w:t>
      </w:r>
      <w:r>
        <w:rPr>
          <w:rFonts w:ascii="Calibri"/>
          <w:sz w:val="28"/>
          <w:vertAlign w:val="superscript"/>
        </w:rPr>
        <w:t>st</w:t>
      </w:r>
      <w:r>
        <w:rPr>
          <w:rFonts w:ascii="Calibri"/>
          <w:sz w:val="28"/>
          <w:vertAlign w:val="baseline"/>
        </w:rPr>
        <w:t> line of Defence, with the other two categories being more prevalent in the 2</w:t>
      </w:r>
      <w:r>
        <w:rPr>
          <w:rFonts w:ascii="Calibri"/>
          <w:sz w:val="28"/>
          <w:vertAlign w:val="superscript"/>
        </w:rPr>
        <w:t>nd</w:t>
      </w:r>
      <w:r>
        <w:rPr>
          <w:rFonts w:ascii="Calibri"/>
          <w:sz w:val="28"/>
          <w:vertAlign w:val="baseline"/>
        </w:rPr>
        <w:t> and 3</w:t>
      </w:r>
      <w:r>
        <w:rPr>
          <w:rFonts w:ascii="Calibri"/>
          <w:sz w:val="28"/>
          <w:vertAlign w:val="superscript"/>
        </w:rPr>
        <w:t>rd</w:t>
      </w:r>
      <w:r>
        <w:rPr>
          <w:rFonts w:ascii="Calibri"/>
          <w:sz w:val="28"/>
          <w:vertAlign w:val="baseline"/>
        </w:rPr>
        <w:t> lines.</w:t>
      </w:r>
    </w:p>
    <w:p>
      <w:pPr>
        <w:spacing w:line="235" w:lineRule="auto" w:before="73"/>
        <w:ind w:left="864" w:right="864" w:firstLine="0"/>
        <w:jc w:val="both"/>
        <w:rPr>
          <w:rFonts w:ascii="Calibri" w:hAnsi="Calibri"/>
          <w:sz w:val="28"/>
        </w:rPr>
      </w:pPr>
      <w:r>
        <w:rPr>
          <w:rFonts w:ascii="Calibri" w:hAnsi="Calibri"/>
          <w:sz w:val="28"/>
        </w:rPr>
        <w:t>Assurance can be both positive and negative (i.e. just because a risk is well-assured, it does not necessarily mean that there isn’t a problem with it. However, if there is a problem, good assurance means that the organisation should know about it at an early stage).</w:t>
      </w:r>
    </w:p>
    <w:p>
      <w:pPr>
        <w:spacing w:after="0" w:line="235" w:lineRule="auto"/>
        <w:jc w:val="both"/>
        <w:rPr>
          <w:rFonts w:ascii="Calibri" w:hAnsi="Calibri"/>
          <w:sz w:val="28"/>
        </w:rPr>
        <w:sectPr>
          <w:footerReference w:type="default" r:id="rId166"/>
          <w:pgSz w:w="14400" w:h="10800" w:orient="landscape"/>
          <w:pgMar w:footer="173" w:header="0" w:top="980" w:bottom="360" w:left="0" w:right="0"/>
          <w:pgNumType w:start="2"/>
        </w:sectPr>
      </w:pPr>
    </w:p>
    <w:p>
      <w:pPr>
        <w:spacing w:line="974" w:lineRule="exact" w:before="0"/>
        <w:ind w:left="2077" w:right="2073" w:firstLine="0"/>
        <w:jc w:val="center"/>
        <w:rPr>
          <w:rFonts w:ascii="Calibri"/>
          <w:b/>
          <w:sz w:val="88"/>
        </w:rPr>
      </w:pPr>
      <w:r>
        <w:rPr>
          <w:rFonts w:ascii="Calibri"/>
          <w:b/>
          <w:sz w:val="88"/>
        </w:rPr>
        <w:t>2022/23</w:t>
      </w:r>
      <w:r>
        <w:rPr>
          <w:rFonts w:ascii="Calibri"/>
          <w:b/>
          <w:spacing w:val="-2"/>
          <w:sz w:val="88"/>
        </w:rPr>
        <w:t> Update</w:t>
      </w:r>
    </w:p>
    <w:p>
      <w:pPr>
        <w:pStyle w:val="BodyText"/>
        <w:rPr>
          <w:rFonts w:ascii="Calibri"/>
          <w:b/>
          <w:sz w:val="20"/>
        </w:rPr>
      </w:pPr>
    </w:p>
    <w:p>
      <w:pPr>
        <w:pStyle w:val="BodyText"/>
        <w:rPr>
          <w:rFonts w:ascii="Calibri"/>
          <w:b/>
          <w:sz w:val="18"/>
        </w:rPr>
      </w:pPr>
      <w:r>
        <w:rPr/>
        <w:pict>
          <v:group style="position:absolute;margin-left:49.679996pt;margin-top:12.228775pt;width:618.7pt;height:9.050pt;mso-position-horizontal-relative:page;mso-position-vertical-relative:paragraph;z-index:-15619072;mso-wrap-distance-left:0;mso-wrap-distance-right:0" id="docshapegroup530" coordorigin="994,245" coordsize="12374,181">
            <v:shape style="position:absolute;left:1022;top:396;width:12345;height:29" id="docshape531" coordorigin="1023,396" coordsize="12345,29" path="m13367,396l1023,396,1023,418,1023,425,13367,425,13367,418,13367,396xe" filled="true" fillcolor="#d5d5d5" stroked="false">
              <v:path arrowok="t"/>
              <v:fill type="solid"/>
            </v:shape>
            <v:rect style="position:absolute;left:993;top:244;width:2213;height:173" id="docshape532" filled="true" fillcolor="#c0504d" stroked="false">
              <v:fill type="solid"/>
            </v:rect>
            <w10:wrap type="topAndBottom"/>
          </v:group>
        </w:pict>
      </w:r>
    </w:p>
    <w:p>
      <w:pPr>
        <w:pStyle w:val="BodyText"/>
        <w:rPr>
          <w:rFonts w:ascii="Calibri"/>
          <w:b/>
          <w:sz w:val="20"/>
        </w:rPr>
      </w:pPr>
    </w:p>
    <w:p>
      <w:pPr>
        <w:pStyle w:val="BodyText"/>
        <w:spacing w:before="4"/>
        <w:rPr>
          <w:rFonts w:ascii="Calibri"/>
          <w:b/>
          <w:sz w:val="13"/>
        </w:rPr>
      </w:pPr>
      <w:r>
        <w:rPr/>
        <w:pict>
          <v:group style="position:absolute;margin-left:49.499996pt;margin-top:9.368301pt;width:621pt;height:98.05pt;mso-position-horizontal-relative:page;mso-position-vertical-relative:paragraph;z-index:-15618560;mso-wrap-distance-left:0;mso-wrap-distance-right:0" id="docshapegroup533" coordorigin="990,187" coordsize="12420,1961">
            <v:shape style="position:absolute;left:990;top:187;width:12420;height:1961" id="docshape534" coordorigin="990,187" coordsize="12420,1961" path="m1186,2148l1110,2132,1047,2090,1005,2028,990,1952,990,383,1005,307,1047,245,1110,203,1186,187,13214,187,13290,203,13353,245,13395,307,13410,383,13410,1952,13395,2028,13353,2090,13290,2132,13214,2148,1186,2148xe" filled="true" fillcolor="#c0504d" stroked="false">
              <v:path arrowok="t"/>
              <v:fill type="solid"/>
            </v:shape>
            <v:shape style="position:absolute;left:1580;top:633;width:1079;height:1079" type="#_x0000_t75" id="docshape535" stroked="false">
              <v:imagedata r:id="rId168" o:title=""/>
            </v:shape>
            <v:shape style="position:absolute;left:990;top:187;width:12420;height:1961" type="#_x0000_t202" id="docshape536" filled="false" stroked="false">
              <v:textbox inset="0,0,0,0">
                <w:txbxContent>
                  <w:p>
                    <w:pPr>
                      <w:spacing w:line="240" w:lineRule="auto" w:before="0"/>
                      <w:rPr>
                        <w:rFonts w:ascii="Calibri"/>
                        <w:b/>
                        <w:sz w:val="28"/>
                      </w:rPr>
                    </w:pPr>
                  </w:p>
                  <w:p>
                    <w:pPr>
                      <w:spacing w:line="211" w:lineRule="auto" w:before="182"/>
                      <w:ind w:left="2471" w:right="218" w:firstLine="0"/>
                      <w:jc w:val="left"/>
                      <w:rPr>
                        <w:rFonts w:ascii="Calibri"/>
                        <w:sz w:val="28"/>
                      </w:rPr>
                    </w:pPr>
                    <w:r>
                      <w:rPr>
                        <w:rFonts w:ascii="Calibri"/>
                        <w:color w:val="FFFFFF"/>
                        <w:sz w:val="28"/>
                      </w:rPr>
                      <w:t>The Assurance Maps for NWSSP were first presented to the Audit Committee in November</w:t>
                    </w:r>
                    <w:r>
                      <w:rPr>
                        <w:rFonts w:ascii="Calibri"/>
                        <w:color w:val="FFFFFF"/>
                        <w:spacing w:val="-5"/>
                        <w:sz w:val="28"/>
                      </w:rPr>
                      <w:t> </w:t>
                    </w:r>
                    <w:r>
                      <w:rPr>
                        <w:rFonts w:ascii="Calibri"/>
                        <w:color w:val="FFFFFF"/>
                        <w:sz w:val="28"/>
                      </w:rPr>
                      <w:t>2017,</w:t>
                    </w:r>
                    <w:r>
                      <w:rPr>
                        <w:rFonts w:ascii="Calibri"/>
                        <w:color w:val="FFFFFF"/>
                        <w:spacing w:val="-5"/>
                        <w:sz w:val="28"/>
                      </w:rPr>
                      <w:t> </w:t>
                    </w:r>
                    <w:r>
                      <w:rPr>
                        <w:rFonts w:ascii="Calibri"/>
                        <w:color w:val="FFFFFF"/>
                        <w:sz w:val="28"/>
                      </w:rPr>
                      <w:t>with</w:t>
                    </w:r>
                    <w:r>
                      <w:rPr>
                        <w:rFonts w:ascii="Calibri"/>
                        <w:color w:val="FFFFFF"/>
                        <w:spacing w:val="-5"/>
                        <w:sz w:val="28"/>
                      </w:rPr>
                      <w:t> </w:t>
                    </w:r>
                    <w:r>
                      <w:rPr>
                        <w:rFonts w:ascii="Calibri"/>
                        <w:color w:val="FFFFFF"/>
                        <w:sz w:val="28"/>
                      </w:rPr>
                      <w:t>an</w:t>
                    </w:r>
                    <w:r>
                      <w:rPr>
                        <w:rFonts w:ascii="Calibri"/>
                        <w:color w:val="FFFFFF"/>
                        <w:spacing w:val="-6"/>
                        <w:sz w:val="28"/>
                      </w:rPr>
                      <w:t> </w:t>
                    </w:r>
                    <w:r>
                      <w:rPr>
                        <w:rFonts w:ascii="Calibri"/>
                        <w:color w:val="FFFFFF"/>
                        <w:sz w:val="28"/>
                      </w:rPr>
                      <w:t>annual</w:t>
                    </w:r>
                    <w:r>
                      <w:rPr>
                        <w:rFonts w:ascii="Calibri"/>
                        <w:color w:val="FFFFFF"/>
                        <w:spacing w:val="-6"/>
                        <w:sz w:val="28"/>
                      </w:rPr>
                      <w:t> </w:t>
                    </w:r>
                    <w:r>
                      <w:rPr>
                        <w:rFonts w:ascii="Calibri"/>
                        <w:color w:val="FFFFFF"/>
                        <w:sz w:val="28"/>
                      </w:rPr>
                      <w:t>update</w:t>
                    </w:r>
                    <w:r>
                      <w:rPr>
                        <w:rFonts w:ascii="Calibri"/>
                        <w:color w:val="FFFFFF"/>
                        <w:spacing w:val="-5"/>
                        <w:sz w:val="28"/>
                      </w:rPr>
                      <w:t> </w:t>
                    </w:r>
                    <w:r>
                      <w:rPr>
                        <w:rFonts w:ascii="Calibri"/>
                        <w:color w:val="FFFFFF"/>
                        <w:sz w:val="28"/>
                      </w:rPr>
                      <w:t>provided</w:t>
                    </w:r>
                    <w:r>
                      <w:rPr>
                        <w:rFonts w:ascii="Calibri"/>
                        <w:color w:val="FFFFFF"/>
                        <w:spacing w:val="-5"/>
                        <w:sz w:val="28"/>
                      </w:rPr>
                      <w:t> </w:t>
                    </w:r>
                    <w:r>
                      <w:rPr>
                        <w:rFonts w:ascii="Calibri"/>
                        <w:color w:val="FFFFFF"/>
                        <w:sz w:val="28"/>
                      </w:rPr>
                      <w:t>since</w:t>
                    </w:r>
                    <w:r>
                      <w:rPr>
                        <w:rFonts w:ascii="Calibri"/>
                        <w:color w:val="FFFFFF"/>
                        <w:spacing w:val="-6"/>
                        <w:sz w:val="28"/>
                      </w:rPr>
                      <w:t> </w:t>
                    </w:r>
                    <w:r>
                      <w:rPr>
                        <w:rFonts w:ascii="Calibri"/>
                        <w:color w:val="FFFFFF"/>
                        <w:sz w:val="28"/>
                      </w:rPr>
                      <w:t>to</w:t>
                    </w:r>
                    <w:r>
                      <w:rPr>
                        <w:rFonts w:ascii="Calibri"/>
                        <w:color w:val="FFFFFF"/>
                        <w:spacing w:val="-6"/>
                        <w:sz w:val="28"/>
                      </w:rPr>
                      <w:t> </w:t>
                    </w:r>
                    <w:r>
                      <w:rPr>
                        <w:rFonts w:ascii="Calibri"/>
                        <w:color w:val="FFFFFF"/>
                        <w:sz w:val="28"/>
                      </w:rPr>
                      <w:t>ensure</w:t>
                    </w:r>
                    <w:r>
                      <w:rPr>
                        <w:rFonts w:ascii="Calibri"/>
                        <w:color w:val="FFFFFF"/>
                        <w:spacing w:val="-5"/>
                        <w:sz w:val="28"/>
                      </w:rPr>
                      <w:t> </w:t>
                    </w:r>
                    <w:r>
                      <w:rPr>
                        <w:rFonts w:ascii="Calibri"/>
                        <w:color w:val="FFFFFF"/>
                        <w:sz w:val="28"/>
                      </w:rPr>
                      <w:t>that</w:t>
                    </w:r>
                    <w:r>
                      <w:rPr>
                        <w:rFonts w:ascii="Calibri"/>
                        <w:color w:val="FFFFFF"/>
                        <w:spacing w:val="-5"/>
                        <w:sz w:val="28"/>
                      </w:rPr>
                      <w:t> </w:t>
                    </w:r>
                    <w:r>
                      <w:rPr>
                        <w:rFonts w:ascii="Calibri"/>
                        <w:color w:val="FFFFFF"/>
                        <w:sz w:val="28"/>
                      </w:rPr>
                      <w:t>they</w:t>
                    </w:r>
                    <w:r>
                      <w:rPr>
                        <w:rFonts w:ascii="Calibri"/>
                        <w:color w:val="FFFFFF"/>
                        <w:spacing w:val="-5"/>
                        <w:sz w:val="28"/>
                      </w:rPr>
                      <w:t> </w:t>
                    </w:r>
                    <w:r>
                      <w:rPr>
                        <w:rFonts w:ascii="Calibri"/>
                        <w:color w:val="FFFFFF"/>
                        <w:sz w:val="28"/>
                      </w:rPr>
                      <w:t>remain </w:t>
                    </w:r>
                    <w:r>
                      <w:rPr>
                        <w:rFonts w:ascii="Calibri"/>
                        <w:color w:val="FFFFFF"/>
                        <w:spacing w:val="-2"/>
                        <w:sz w:val="28"/>
                      </w:rPr>
                      <w:t>current.</w:t>
                    </w:r>
                  </w:p>
                </w:txbxContent>
              </v:textbox>
              <w10:wrap type="none"/>
            </v:shape>
            <w10:wrap type="topAndBottom"/>
          </v:group>
        </w:pict>
      </w:r>
    </w:p>
    <w:p>
      <w:pPr>
        <w:pStyle w:val="BodyText"/>
        <w:rPr>
          <w:rFonts w:ascii="Calibri"/>
          <w:b/>
          <w:sz w:val="20"/>
        </w:rPr>
      </w:pPr>
    </w:p>
    <w:p>
      <w:pPr>
        <w:pStyle w:val="BodyText"/>
        <w:spacing w:before="2"/>
        <w:rPr>
          <w:rFonts w:ascii="Calibri"/>
          <w:b/>
          <w:sz w:val="18"/>
        </w:rPr>
      </w:pPr>
      <w:r>
        <w:rPr/>
        <w:pict>
          <v:group style="position:absolute;margin-left:49.500004pt;margin-top:12.295059pt;width:621pt;height:98.05pt;mso-position-horizontal-relative:page;mso-position-vertical-relative:paragraph;z-index:-15618048;mso-wrap-distance-left:0;mso-wrap-distance-right:0" id="docshapegroup537" coordorigin="990,246" coordsize="12420,1961">
            <v:shape style="position:absolute;left:990;top:245;width:12420;height:1961" id="docshape538" coordorigin="990,246" coordsize="12420,1961" path="m1186,2206l1110,2191,1047,2149,1005,2086,990,2010,990,442,1005,366,1047,303,1110,261,1186,246,13214,246,13290,261,13353,303,13395,366,13410,442,13410,2010,13395,2086,13353,2149,13290,2191,13214,2206,1186,2206xe" filled="true" fillcolor="#9bbb59" stroked="false">
              <v:path arrowok="t"/>
              <v:fill type="solid"/>
            </v:shape>
            <v:shape style="position:absolute;left:1580;top:681;width:1079;height:1079" type="#_x0000_t75" id="docshape539" stroked="false">
              <v:imagedata r:id="rId169" o:title=""/>
            </v:shape>
            <v:shape style="position:absolute;left:990;top:245;width:12420;height:1961" type="#_x0000_t202" id="docshape540" filled="false" stroked="false">
              <v:textbox inset="0,0,0,0">
                <w:txbxContent>
                  <w:p>
                    <w:pPr>
                      <w:spacing w:line="240" w:lineRule="auto" w:before="6"/>
                      <w:rPr>
                        <w:rFonts w:ascii="Calibri"/>
                        <w:b/>
                        <w:sz w:val="30"/>
                      </w:rPr>
                    </w:pPr>
                  </w:p>
                  <w:p>
                    <w:pPr>
                      <w:spacing w:line="211" w:lineRule="auto" w:before="0"/>
                      <w:ind w:left="2471" w:right="218" w:firstLine="0"/>
                      <w:jc w:val="left"/>
                      <w:rPr>
                        <w:rFonts w:ascii="Calibri"/>
                        <w:sz w:val="28"/>
                      </w:rPr>
                    </w:pPr>
                    <w:r>
                      <w:rPr>
                        <w:rFonts w:ascii="Calibri"/>
                        <w:color w:val="FFFFFF"/>
                        <w:sz w:val="28"/>
                      </w:rPr>
                      <w:t>The last update, to the October 2021 Committee, demonstrated that the vast majority</w:t>
                    </w:r>
                    <w:r>
                      <w:rPr>
                        <w:rFonts w:ascii="Calibri"/>
                        <w:color w:val="FFFFFF"/>
                        <w:spacing w:val="-3"/>
                        <w:sz w:val="28"/>
                      </w:rPr>
                      <w:t> </w:t>
                    </w:r>
                    <w:r>
                      <w:rPr>
                        <w:rFonts w:ascii="Calibri"/>
                        <w:color w:val="FFFFFF"/>
                        <w:sz w:val="28"/>
                      </w:rPr>
                      <w:t>of</w:t>
                    </w:r>
                    <w:r>
                      <w:rPr>
                        <w:rFonts w:ascii="Calibri"/>
                        <w:color w:val="FFFFFF"/>
                        <w:spacing w:val="-4"/>
                        <w:sz w:val="28"/>
                      </w:rPr>
                      <w:t> </w:t>
                    </w:r>
                    <w:r>
                      <w:rPr>
                        <w:rFonts w:ascii="Calibri"/>
                        <w:color w:val="FFFFFF"/>
                        <w:sz w:val="28"/>
                      </w:rPr>
                      <w:t>risks</w:t>
                    </w:r>
                    <w:r>
                      <w:rPr>
                        <w:rFonts w:ascii="Calibri"/>
                        <w:color w:val="FFFFFF"/>
                        <w:spacing w:val="-4"/>
                        <w:sz w:val="28"/>
                      </w:rPr>
                      <w:t> </w:t>
                    </w:r>
                    <w:r>
                      <w:rPr>
                        <w:rFonts w:ascii="Calibri"/>
                        <w:color w:val="FFFFFF"/>
                        <w:sz w:val="28"/>
                      </w:rPr>
                      <w:t>had</w:t>
                    </w:r>
                    <w:r>
                      <w:rPr>
                        <w:rFonts w:ascii="Calibri"/>
                        <w:color w:val="FFFFFF"/>
                        <w:spacing w:val="-4"/>
                        <w:sz w:val="28"/>
                      </w:rPr>
                      <w:t> </w:t>
                    </w:r>
                    <w:r>
                      <w:rPr>
                        <w:rFonts w:ascii="Calibri"/>
                        <w:color w:val="FFFFFF"/>
                        <w:sz w:val="28"/>
                      </w:rPr>
                      <w:t>adequate</w:t>
                    </w:r>
                    <w:r>
                      <w:rPr>
                        <w:rFonts w:ascii="Calibri"/>
                        <w:color w:val="FFFFFF"/>
                        <w:spacing w:val="-3"/>
                        <w:sz w:val="28"/>
                      </w:rPr>
                      <w:t> </w:t>
                    </w:r>
                    <w:r>
                      <w:rPr>
                        <w:rFonts w:ascii="Calibri"/>
                        <w:color w:val="FFFFFF"/>
                        <w:sz w:val="28"/>
                      </w:rPr>
                      <w:t>assurance</w:t>
                    </w:r>
                    <w:r>
                      <w:rPr>
                        <w:rFonts w:ascii="Calibri"/>
                        <w:color w:val="FFFFFF"/>
                        <w:spacing w:val="-4"/>
                        <w:sz w:val="28"/>
                      </w:rPr>
                      <w:t> </w:t>
                    </w:r>
                    <w:r>
                      <w:rPr>
                        <w:rFonts w:ascii="Calibri"/>
                        <w:color w:val="FFFFFF"/>
                        <w:sz w:val="28"/>
                      </w:rPr>
                      <w:t>in</w:t>
                    </w:r>
                    <w:r>
                      <w:rPr>
                        <w:rFonts w:ascii="Calibri"/>
                        <w:color w:val="FFFFFF"/>
                        <w:spacing w:val="-4"/>
                        <w:sz w:val="28"/>
                      </w:rPr>
                      <w:t> </w:t>
                    </w:r>
                    <w:r>
                      <w:rPr>
                        <w:rFonts w:ascii="Calibri"/>
                        <w:color w:val="FFFFFF"/>
                        <w:sz w:val="28"/>
                      </w:rPr>
                      <w:t>place.</w:t>
                    </w:r>
                    <w:r>
                      <w:rPr>
                        <w:rFonts w:ascii="Calibri"/>
                        <w:color w:val="FFFFFF"/>
                        <w:spacing w:val="-4"/>
                        <w:sz w:val="28"/>
                      </w:rPr>
                      <w:t> </w:t>
                    </w:r>
                    <w:r>
                      <w:rPr>
                        <w:rFonts w:ascii="Calibri"/>
                        <w:color w:val="FFFFFF"/>
                        <w:sz w:val="28"/>
                      </w:rPr>
                      <w:t>In</w:t>
                    </w:r>
                    <w:r>
                      <w:rPr>
                        <w:rFonts w:ascii="Calibri"/>
                        <w:color w:val="FFFFFF"/>
                        <w:spacing w:val="-3"/>
                        <w:sz w:val="28"/>
                      </w:rPr>
                      <w:t> </w:t>
                    </w:r>
                    <w:r>
                      <w:rPr>
                        <w:rFonts w:ascii="Calibri"/>
                        <w:color w:val="FFFFFF"/>
                        <w:sz w:val="28"/>
                      </w:rPr>
                      <w:t>general,</w:t>
                    </w:r>
                    <w:r>
                      <w:rPr>
                        <w:rFonts w:ascii="Calibri"/>
                        <w:color w:val="FFFFFF"/>
                        <w:spacing w:val="-4"/>
                        <w:sz w:val="28"/>
                      </w:rPr>
                      <w:t> </w:t>
                    </w:r>
                    <w:r>
                      <w:rPr>
                        <w:rFonts w:ascii="Calibri"/>
                        <w:color w:val="FFFFFF"/>
                        <w:sz w:val="28"/>
                      </w:rPr>
                      <w:t>all</w:t>
                    </w:r>
                    <w:r>
                      <w:rPr>
                        <w:rFonts w:ascii="Calibri"/>
                        <w:color w:val="FFFFFF"/>
                        <w:spacing w:val="-4"/>
                        <w:sz w:val="28"/>
                      </w:rPr>
                      <w:t> </w:t>
                    </w:r>
                    <w:r>
                      <w:rPr>
                        <w:rFonts w:ascii="Calibri"/>
                        <w:color w:val="FFFFFF"/>
                        <w:sz w:val="28"/>
                      </w:rPr>
                      <w:t>previous</w:t>
                    </w:r>
                    <w:r>
                      <w:rPr>
                        <w:rFonts w:ascii="Calibri"/>
                        <w:color w:val="FFFFFF"/>
                        <w:spacing w:val="-3"/>
                        <w:sz w:val="28"/>
                      </w:rPr>
                      <w:t> </w:t>
                    </w:r>
                    <w:r>
                      <w:rPr>
                        <w:rFonts w:ascii="Calibri"/>
                        <w:color w:val="FFFFFF"/>
                        <w:sz w:val="28"/>
                      </w:rPr>
                      <w:t>assurances remain</w:t>
                    </w:r>
                    <w:r>
                      <w:rPr>
                        <w:rFonts w:ascii="Calibri"/>
                        <w:color w:val="FFFFFF"/>
                        <w:spacing w:val="-4"/>
                        <w:sz w:val="28"/>
                      </w:rPr>
                      <w:t> </w:t>
                    </w:r>
                    <w:r>
                      <w:rPr>
                        <w:rFonts w:ascii="Calibri"/>
                        <w:color w:val="FFFFFF"/>
                        <w:sz w:val="28"/>
                      </w:rPr>
                      <w:t>in</w:t>
                    </w:r>
                    <w:r>
                      <w:rPr>
                        <w:rFonts w:ascii="Calibri"/>
                        <w:color w:val="FFFFFF"/>
                        <w:spacing w:val="-5"/>
                        <w:sz w:val="28"/>
                      </w:rPr>
                      <w:t> </w:t>
                    </w:r>
                    <w:r>
                      <w:rPr>
                        <w:rFonts w:ascii="Calibri"/>
                        <w:color w:val="FFFFFF"/>
                        <w:sz w:val="28"/>
                      </w:rPr>
                      <w:t>place</w:t>
                    </w:r>
                    <w:r>
                      <w:rPr>
                        <w:rFonts w:ascii="Calibri"/>
                        <w:color w:val="FFFFFF"/>
                        <w:spacing w:val="-5"/>
                        <w:sz w:val="28"/>
                      </w:rPr>
                      <w:t> </w:t>
                    </w:r>
                    <w:r>
                      <w:rPr>
                        <w:rFonts w:ascii="Calibri"/>
                        <w:color w:val="FFFFFF"/>
                        <w:sz w:val="28"/>
                      </w:rPr>
                      <w:t>and</w:t>
                    </w:r>
                    <w:r>
                      <w:rPr>
                        <w:rFonts w:ascii="Calibri"/>
                        <w:color w:val="FFFFFF"/>
                        <w:spacing w:val="-5"/>
                        <w:sz w:val="28"/>
                      </w:rPr>
                      <w:t> </w:t>
                    </w:r>
                    <w:r>
                      <w:rPr>
                        <w:rFonts w:ascii="Calibri"/>
                        <w:color w:val="FFFFFF"/>
                        <w:sz w:val="28"/>
                      </w:rPr>
                      <w:t>the</w:t>
                    </w:r>
                    <w:r>
                      <w:rPr>
                        <w:rFonts w:ascii="Calibri"/>
                        <w:color w:val="FFFFFF"/>
                        <w:spacing w:val="-4"/>
                        <w:sz w:val="28"/>
                      </w:rPr>
                      <w:t> </w:t>
                    </w:r>
                    <w:r>
                      <w:rPr>
                        <w:rFonts w:ascii="Calibri"/>
                        <w:color w:val="FFFFFF"/>
                        <w:sz w:val="28"/>
                      </w:rPr>
                      <w:t>maps</w:t>
                    </w:r>
                    <w:r>
                      <w:rPr>
                        <w:rFonts w:ascii="Calibri"/>
                        <w:color w:val="FFFFFF"/>
                        <w:spacing w:val="-5"/>
                        <w:sz w:val="28"/>
                      </w:rPr>
                      <w:t> </w:t>
                    </w:r>
                    <w:r>
                      <w:rPr>
                        <w:rFonts w:ascii="Calibri"/>
                        <w:color w:val="FFFFFF"/>
                        <w:sz w:val="28"/>
                      </w:rPr>
                      <w:t>now</w:t>
                    </w:r>
                    <w:r>
                      <w:rPr>
                        <w:rFonts w:ascii="Calibri"/>
                        <w:color w:val="FFFFFF"/>
                        <w:spacing w:val="-4"/>
                        <w:sz w:val="28"/>
                      </w:rPr>
                      <w:t> </w:t>
                    </w:r>
                    <w:r>
                      <w:rPr>
                        <w:rFonts w:ascii="Calibri"/>
                        <w:color w:val="FFFFFF"/>
                        <w:sz w:val="28"/>
                      </w:rPr>
                      <w:t>include</w:t>
                    </w:r>
                    <w:r>
                      <w:rPr>
                        <w:rFonts w:ascii="Calibri"/>
                        <w:color w:val="FFFFFF"/>
                        <w:spacing w:val="-5"/>
                        <w:sz w:val="28"/>
                      </w:rPr>
                      <w:t> </w:t>
                    </w:r>
                    <w:r>
                      <w:rPr>
                        <w:rFonts w:ascii="Calibri"/>
                        <w:color w:val="FFFFFF"/>
                        <w:sz w:val="28"/>
                      </w:rPr>
                      <w:t>assurance</w:t>
                    </w:r>
                    <w:r>
                      <w:rPr>
                        <w:rFonts w:ascii="Calibri"/>
                        <w:color w:val="FFFFFF"/>
                        <w:spacing w:val="-5"/>
                        <w:sz w:val="28"/>
                      </w:rPr>
                      <w:t> </w:t>
                    </w:r>
                    <w:r>
                      <w:rPr>
                        <w:rFonts w:ascii="Calibri"/>
                        <w:color w:val="FFFFFF"/>
                        <w:sz w:val="28"/>
                      </w:rPr>
                      <w:t>over</w:t>
                    </w:r>
                    <w:r>
                      <w:rPr>
                        <w:rFonts w:ascii="Calibri"/>
                        <w:color w:val="FFFFFF"/>
                        <w:spacing w:val="-4"/>
                        <w:sz w:val="28"/>
                      </w:rPr>
                      <w:t> </w:t>
                    </w:r>
                    <w:r>
                      <w:rPr>
                        <w:rFonts w:ascii="Calibri"/>
                        <w:color w:val="FFFFFF"/>
                        <w:sz w:val="28"/>
                      </w:rPr>
                      <w:t>the</w:t>
                    </w:r>
                    <w:r>
                      <w:rPr>
                        <w:rFonts w:ascii="Calibri"/>
                        <w:color w:val="FFFFFF"/>
                        <w:spacing w:val="-4"/>
                        <w:sz w:val="28"/>
                      </w:rPr>
                      <w:t> </w:t>
                    </w:r>
                    <w:r>
                      <w:rPr>
                        <w:rFonts w:ascii="Calibri"/>
                        <w:color w:val="FFFFFF"/>
                        <w:sz w:val="28"/>
                      </w:rPr>
                      <w:t>Laundry</w:t>
                    </w:r>
                    <w:r>
                      <w:rPr>
                        <w:rFonts w:ascii="Calibri"/>
                        <w:color w:val="FFFFFF"/>
                        <w:spacing w:val="-4"/>
                        <w:sz w:val="28"/>
                      </w:rPr>
                      <w:t> </w:t>
                    </w:r>
                    <w:r>
                      <w:rPr>
                        <w:rFonts w:ascii="Calibri"/>
                        <w:color w:val="FFFFFF"/>
                        <w:sz w:val="28"/>
                      </w:rPr>
                      <w:t>Service</w:t>
                    </w:r>
                    <w:r>
                      <w:rPr>
                        <w:rFonts w:ascii="Calibri"/>
                        <w:color w:val="FFFFFF"/>
                        <w:spacing w:val="-4"/>
                        <w:sz w:val="28"/>
                      </w:rPr>
                      <w:t> </w:t>
                    </w:r>
                    <w:r>
                      <w:rPr>
                        <w:rFonts w:ascii="Calibri"/>
                        <w:color w:val="FFFFFF"/>
                        <w:sz w:val="28"/>
                      </w:rPr>
                      <w:t>which transferred, at least in part, to NWSSP responsibility with effect from 1 April 2021.</w:t>
                    </w:r>
                  </w:p>
                </w:txbxContent>
              </v:textbox>
              <w10:wrap type="none"/>
            </v:shape>
            <w10:wrap type="topAndBottom"/>
          </v:group>
        </w:pict>
      </w:r>
    </w:p>
    <w:p>
      <w:pPr>
        <w:pStyle w:val="BodyText"/>
        <w:rPr>
          <w:rFonts w:ascii="Calibri"/>
          <w:b/>
          <w:sz w:val="20"/>
        </w:rPr>
      </w:pPr>
    </w:p>
    <w:p>
      <w:pPr>
        <w:pStyle w:val="BodyText"/>
        <w:spacing w:before="2"/>
        <w:rPr>
          <w:rFonts w:ascii="Calibri"/>
          <w:b/>
          <w:sz w:val="18"/>
        </w:rPr>
      </w:pPr>
      <w:r>
        <w:rPr/>
        <w:pict>
          <v:group style="position:absolute;margin-left:49.500004pt;margin-top:12.295044pt;width:621pt;height:98.05pt;mso-position-horizontal-relative:page;mso-position-vertical-relative:paragraph;z-index:-15617536;mso-wrap-distance-left:0;mso-wrap-distance-right:0" id="docshapegroup541" coordorigin="990,246" coordsize="12420,1961">
            <v:shape style="position:absolute;left:990;top:245;width:12420;height:1961" id="docshape542" coordorigin="990,246" coordsize="12420,1961" path="m1186,2206l1110,2191,1047,2149,1005,2086,990,2010,990,442,1005,366,1047,303,1110,261,1186,246,13214,246,13290,261,13353,303,13395,366,13410,442,13410,2010,13395,2086,13353,2149,13290,2191,13214,2206,1186,2206xe" filled="true" fillcolor="#8064a2" stroked="false">
              <v:path arrowok="t"/>
              <v:fill type="solid"/>
            </v:shape>
            <v:shape style="position:absolute;left:1580;top:691;width:1079;height:1079" type="#_x0000_t75" id="docshape543" stroked="false">
              <v:imagedata r:id="rId170" o:title=""/>
            </v:shape>
            <v:shape style="position:absolute;left:990;top:245;width:12420;height:1961" type="#_x0000_t202" id="docshape544" filled="false" stroked="false">
              <v:textbox inset="0,0,0,0">
                <w:txbxContent>
                  <w:p>
                    <w:pPr>
                      <w:spacing w:line="240" w:lineRule="auto" w:before="0"/>
                      <w:rPr>
                        <w:rFonts w:ascii="Calibri"/>
                        <w:b/>
                        <w:sz w:val="28"/>
                      </w:rPr>
                    </w:pPr>
                  </w:p>
                  <w:p>
                    <w:pPr>
                      <w:spacing w:line="240" w:lineRule="auto" w:before="3"/>
                      <w:rPr>
                        <w:rFonts w:ascii="Calibri"/>
                        <w:b/>
                        <w:sz w:val="27"/>
                      </w:rPr>
                    </w:pPr>
                  </w:p>
                  <w:p>
                    <w:pPr>
                      <w:spacing w:line="211" w:lineRule="auto" w:before="1"/>
                      <w:ind w:left="2471" w:right="218" w:firstLine="0"/>
                      <w:jc w:val="left"/>
                      <w:rPr>
                        <w:rFonts w:ascii="Calibri"/>
                        <w:sz w:val="28"/>
                      </w:rPr>
                    </w:pPr>
                    <w:r>
                      <w:rPr>
                        <w:rFonts w:ascii="Calibri"/>
                        <w:color w:val="FFFFFF"/>
                        <w:sz w:val="28"/>
                      </w:rPr>
                      <w:t>An</w:t>
                    </w:r>
                    <w:r>
                      <w:rPr>
                        <w:rFonts w:ascii="Calibri"/>
                        <w:color w:val="FFFFFF"/>
                        <w:spacing w:val="-6"/>
                        <w:sz w:val="28"/>
                      </w:rPr>
                      <w:t> </w:t>
                    </w:r>
                    <w:r>
                      <w:rPr>
                        <w:rFonts w:ascii="Calibri"/>
                        <w:color w:val="FFFFFF"/>
                        <w:sz w:val="28"/>
                      </w:rPr>
                      <w:t>Assurance</w:t>
                    </w:r>
                    <w:r>
                      <w:rPr>
                        <w:rFonts w:ascii="Calibri"/>
                        <w:color w:val="FFFFFF"/>
                        <w:spacing w:val="-6"/>
                        <w:sz w:val="28"/>
                      </w:rPr>
                      <w:t> </w:t>
                    </w:r>
                    <w:r>
                      <w:rPr>
                        <w:rFonts w:ascii="Calibri"/>
                        <w:color w:val="FFFFFF"/>
                        <w:sz w:val="28"/>
                      </w:rPr>
                      <w:t>Map</w:t>
                    </w:r>
                    <w:r>
                      <w:rPr>
                        <w:rFonts w:ascii="Calibri"/>
                        <w:color w:val="FFFFFF"/>
                        <w:spacing w:val="-6"/>
                        <w:sz w:val="28"/>
                      </w:rPr>
                      <w:t> </w:t>
                    </w:r>
                    <w:r>
                      <w:rPr>
                        <w:rFonts w:ascii="Calibri"/>
                        <w:color w:val="FFFFFF"/>
                        <w:sz w:val="28"/>
                      </w:rPr>
                      <w:t>has</w:t>
                    </w:r>
                    <w:r>
                      <w:rPr>
                        <w:rFonts w:ascii="Calibri"/>
                        <w:color w:val="FFFFFF"/>
                        <w:spacing w:val="-6"/>
                        <w:sz w:val="28"/>
                      </w:rPr>
                      <w:t> </w:t>
                    </w:r>
                    <w:r>
                      <w:rPr>
                        <w:rFonts w:ascii="Calibri"/>
                        <w:color w:val="FFFFFF"/>
                        <w:sz w:val="28"/>
                      </w:rPr>
                      <w:t>now</w:t>
                    </w:r>
                    <w:r>
                      <w:rPr>
                        <w:rFonts w:ascii="Calibri"/>
                        <w:color w:val="FFFFFF"/>
                        <w:spacing w:val="-6"/>
                        <w:sz w:val="28"/>
                      </w:rPr>
                      <w:t> </w:t>
                    </w:r>
                    <w:r>
                      <w:rPr>
                        <w:rFonts w:ascii="Calibri"/>
                        <w:color w:val="FFFFFF"/>
                        <w:sz w:val="28"/>
                      </w:rPr>
                      <w:t>also</w:t>
                    </w:r>
                    <w:r>
                      <w:rPr>
                        <w:rFonts w:ascii="Calibri"/>
                        <w:color w:val="FFFFFF"/>
                        <w:spacing w:val="-6"/>
                        <w:sz w:val="28"/>
                      </w:rPr>
                      <w:t> </w:t>
                    </w:r>
                    <w:r>
                      <w:rPr>
                        <w:rFonts w:ascii="Calibri"/>
                        <w:color w:val="FFFFFF"/>
                        <w:sz w:val="28"/>
                      </w:rPr>
                      <w:t>been</w:t>
                    </w:r>
                    <w:r>
                      <w:rPr>
                        <w:rFonts w:ascii="Calibri"/>
                        <w:color w:val="FFFFFF"/>
                        <w:spacing w:val="-6"/>
                        <w:sz w:val="28"/>
                      </w:rPr>
                      <w:t> </w:t>
                    </w:r>
                    <w:r>
                      <w:rPr>
                        <w:rFonts w:ascii="Calibri"/>
                        <w:color w:val="FFFFFF"/>
                        <w:sz w:val="28"/>
                      </w:rPr>
                      <w:t>produced</w:t>
                    </w:r>
                    <w:r>
                      <w:rPr>
                        <w:rFonts w:ascii="Calibri"/>
                        <w:color w:val="FFFFFF"/>
                        <w:spacing w:val="-6"/>
                        <w:sz w:val="28"/>
                      </w:rPr>
                      <w:t> </w:t>
                    </w:r>
                    <w:r>
                      <w:rPr>
                        <w:rFonts w:ascii="Calibri"/>
                        <w:color w:val="FFFFFF"/>
                        <w:sz w:val="28"/>
                      </w:rPr>
                      <w:t>for</w:t>
                    </w:r>
                    <w:r>
                      <w:rPr>
                        <w:rFonts w:ascii="Calibri"/>
                        <w:color w:val="FFFFFF"/>
                        <w:spacing w:val="-6"/>
                        <w:sz w:val="28"/>
                      </w:rPr>
                      <w:t> </w:t>
                    </w:r>
                    <w:r>
                      <w:rPr>
                        <w:rFonts w:ascii="Calibri"/>
                        <w:color w:val="FFFFFF"/>
                        <w:sz w:val="28"/>
                      </w:rPr>
                      <w:t>other</w:t>
                    </w:r>
                    <w:r>
                      <w:rPr>
                        <w:rFonts w:ascii="Calibri"/>
                        <w:color w:val="FFFFFF"/>
                        <w:spacing w:val="-6"/>
                        <w:sz w:val="28"/>
                      </w:rPr>
                      <w:t> </w:t>
                    </w:r>
                    <w:r>
                      <w:rPr>
                        <w:rFonts w:ascii="Calibri"/>
                        <w:color w:val="FFFFFF"/>
                        <w:sz w:val="28"/>
                      </w:rPr>
                      <w:t>recently</w:t>
                    </w:r>
                    <w:r>
                      <w:rPr>
                        <w:rFonts w:ascii="Calibri"/>
                        <w:color w:val="FFFFFF"/>
                        <w:spacing w:val="-6"/>
                        <w:sz w:val="28"/>
                      </w:rPr>
                      <w:t> </w:t>
                    </w:r>
                    <w:r>
                      <w:rPr>
                        <w:rFonts w:ascii="Calibri"/>
                        <w:color w:val="FFFFFF"/>
                        <w:sz w:val="28"/>
                      </w:rPr>
                      <w:t>acquired</w:t>
                    </w:r>
                    <w:r>
                      <w:rPr>
                        <w:rFonts w:ascii="Calibri"/>
                        <w:color w:val="FFFFFF"/>
                        <w:spacing w:val="-6"/>
                        <w:sz w:val="28"/>
                      </w:rPr>
                      <w:t> </w:t>
                    </w:r>
                    <w:r>
                      <w:rPr>
                        <w:rFonts w:ascii="Calibri"/>
                        <w:color w:val="FFFFFF"/>
                        <w:sz w:val="28"/>
                      </w:rPr>
                      <w:t>or introduced services such as the Medical Examiner and CIVAS services.</w:t>
                    </w:r>
                  </w:p>
                </w:txbxContent>
              </v:textbox>
              <w10:wrap type="none"/>
            </v:shape>
            <w10:wrap type="topAndBottom"/>
          </v:group>
        </w:pict>
      </w:r>
    </w:p>
    <w:p>
      <w:pPr>
        <w:spacing w:after="0"/>
        <w:rPr>
          <w:rFonts w:ascii="Calibri"/>
          <w:sz w:val="18"/>
        </w:rPr>
        <w:sectPr>
          <w:pgSz w:w="14400" w:h="10800" w:orient="landscape"/>
          <w:pgMar w:header="0" w:footer="173" w:top="960" w:bottom="360" w:left="0" w:right="0"/>
        </w:sectPr>
      </w:pPr>
    </w:p>
    <w:p>
      <w:pPr>
        <w:pStyle w:val="BodyText"/>
        <w:rPr>
          <w:rFonts w:ascii="Calibri"/>
          <w:b/>
          <w:sz w:val="20"/>
        </w:rPr>
      </w:pPr>
      <w:r>
        <w:rPr/>
        <w:pict>
          <v:group style="position:absolute;margin-left:0pt;margin-top:0pt;width:720pt;height:226pt;mso-position-horizontal-relative:page;mso-position-vertical-relative:page;z-index:15840256" id="docshapegroup545" coordorigin="0,0" coordsize="14400,4520">
            <v:shape style="position:absolute;left:0;top:0;width:14400;height:4520" id="docshape546" coordorigin="0,0" coordsize="14400,4520" path="m10724,4040l2869,4040,2633,3980,3087,3980,3055,3972,3049,3960,2064,3700,1989,3660,1689,3580,1614,3540,1464,3500,1389,3460,1239,3420,1165,3380,1016,3340,941,3300,867,3280,793,3240,719,3220,644,3180,570,3160,497,3120,0,2900,0,0,14400,0,14400,3000,14245,3060,14170,3100,14094,3120,14019,3160,13867,3200,13714,3260,13560,3300,13482,3340,13249,3400,13172,3440,12782,3540,12704,3580,11605,3860,11526,3860,11131,3960,11049,3960,10724,4040xm11559,4080l11119,4080,11357,4020,11437,4020,11917,3900,11997,3900,12710,3720,12787,3680,13251,3560,13328,3520,13559,3460,13636,3420,13866,3360,13943,3320,14019,3300,14095,3260,14171,3240,14400,3140,14400,3240,13972,3400,13897,3420,13822,3460,13673,3500,13598,3540,13298,3620,13222,3660,12020,3980,11945,3980,11794,4020,11559,4080xm3060,3980l2554,3980,2318,3920,2240,3920,1926,3840,1848,3840,1226,3680,1149,3680,766,3580,690,3540,157,3400,81,3360,0,3340,0,3260,86,3280,241,3320,319,3360,1782,3740,1859,3740,2167,3820,2244,3820,2475,3880,2552,3880,2782,3940,2859,3940,2935,3960,3011,3960,3055,3972,3060,3980xm9911,4180l3745,4180,3585,4140,3506,4140,3426,4120,3347,4120,3187,4080,3108,4080,2949,4040,10643,4040,10398,4100,10317,4100,10072,4160,9990,4160,9911,4180xm10691,4240l10109,4240,10186,4220,10264,4220,10419,4180,10497,4180,10575,4160,10653,4160,10809,4120,10886,4120,11042,4080,11480,4080,11244,4140,11166,4140,10929,4200,10851,4200,10691,4240xm9672,4220l4066,4220,3984,4200,3904,4200,3824,4180,9831,4180,9672,4220xm8211,4400l5443,4400,5366,4380,5288,4380,5211,4360,5133,4360,5051,4340,4969,4340,4887,4320,4805,4320,4723,4300,4641,4300,4559,4280,4148,4220,9592,4220,9512,4240,9433,4240,9353,4260,9273,4260,9193,4280,9113,4280,8211,4400xm10531,4260l9955,4260,10032,4240,10611,4240,10531,4260xm10292,4300l9569,4300,9646,4280,9800,4280,9877,4260,10452,4260,10292,4300xm10132,4320l9415,4320,9492,4300,10212,4300,10132,4320xm9979,4340l9260,4340,9337,4320,10055,4320,9979,4340xm9825,4360l9029,4360,9106,4340,9902,4340,9825,4360xm9672,4380l8787,4380,8869,4360,9749,4360,9672,4380xm9442,4400l8459,4400,8541,4380,9519,4380,9442,4400xm8020,4420l5598,4420,5520,4400,8131,4400,8125,4408,8020,4420xm9289,4420l8116,4420,8125,4408,8192,4400,9365,4400,9289,4420xm9054,4440l5831,4440,5753,4420,9132,4420,9054,4440xm8819,4460l6141,4460,6063,4440,8897,4440,8819,4460xm8505,4480l6448,4480,6372,4460,8584,4460,8505,4480xm8192,4500l6754,4500,6678,4480,8270,4480,8192,4500xm7728,4520l7060,4520,6984,4500,7883,4500,7728,4520xe" filled="true" fillcolor="#c0504d" stroked="false">
              <v:path arrowok="t"/>
              <v:fill type="solid"/>
            </v:shape>
            <v:shape style="position:absolute;left:4693;top:2714;width:5014;height:96" id="docshape547" coordorigin="4694,2715" coordsize="5014,96" path="m7618,2762l6552,2762,6608,2759,6667,2754,6864,2731,6937,2724,7016,2718,7099,2715,7187,2715,7281,2718,7381,2727,7488,2741,7601,2761,7618,2762xm8617,2792l8533,2791,8452,2789,8373,2785,8136,2771,8196,2770,8497,2761,8553,2761,8605,2755,8667,2750,8739,2745,8817,2740,8902,2737,8990,2734,9081,2732,9173,2731,9265,2731,9353,2733,9438,2735,9518,2739,9590,2745,9653,2752,9706,2761,9705,2768,9705,2769,9706,2772,9563,2772,9498,2775,9426,2780,9320,2790,8704,2790,8617,2792xm5862,2769l4903,2769,4996,2768,5082,2766,5162,2762,5310,2753,5379,2749,5446,2748,5512,2749,5579,2753,5646,2761,5862,2769xm4694,2790l4695,2778,4695,2776,4695,2775,4695,2771,4694,2761,4803,2767,4903,2769,5862,2769,6032,2776,6071,2777,4969,2777,4885,2778,4793,2782,4694,2790xm7681,2778l6182,2778,6258,2778,6336,2775,6416,2769,6498,2761,6552,2762,7618,2762,7730,2766,7802,2768,7762,2770,7682,2778,7681,2778xm8039,2772l7947,2771,7845,2769,7802,2768,7839,2766,7916,2764,7992,2765,8067,2768,8136,2771,8122,2771,8039,2772xm9706,2790l9668,2778,9620,2772,9563,2772,9706,2772,9707,2777,9707,2781,9706,2790xm5491,2801l5416,2799,5342,2795,5125,2782,5049,2778,4969,2777,6071,2777,6107,2778,7681,2778,7601,2790,5746,2790,5655,2797,5571,2800,5491,2801xm6461,2810l6386,2809,5746,2790,6749,2790,6704,2798,6652,2804,6594,2807,6530,2809,6461,2810xm7089,2809l7019,2808,6952,2806,6885,2803,6817,2797,6749,2790,7601,2790,7319,2804,7238,2807,7162,2808,7089,2809xm8992,2810l8897,2809,8800,2802,8704,2790,9320,2790,9265,2795,9177,2802,9086,2807,8992,2810xe" filled="true" fillcolor="#ffffff" stroked="false">
              <v:path arrowok="t"/>
              <v:fill type="solid"/>
            </v:shape>
            <v:shape style="position:absolute;left:4695;top:2730;width:5012;height:87" id="docshape548" coordorigin="4695,2730" coordsize="5012,87" path="m4695,2761l4793,2744,4911,2734,5041,2730,5179,2731,5315,2736,5443,2744,5555,2753,5646,2761,5680,2760,5723,2759,5826,2758,5950,2756,6089,2755,6381,2755,6521,2758,6649,2761,6756,2759,6879,2758,7014,2759,7155,2761,7441,2765,7578,2764,7701,2761,7815,2745,7925,2739,8035,2743,8150,2750,8275,2759,8414,2766,8573,2768,8754,2761,8929,2760,9083,2761,9216,2765,9334,2769,9439,2771,9534,2773,9706,2761,9706,2778,9706,2790,9578,2808,9438,2816,9143,2815,8995,2808,8854,2800,8721,2794,8604,2790,8483,2798,8343,2801,8189,2800,8030,2796,7874,2791,7729,2789,7601,2788,7548,2788,7501,2790,7454,2790,7399,2790,7271,2786,7129,2783,6979,2779,6833,2776,6698,2776,6638,2778,6536,2785,6451,2800,6383,2806,6295,2809,6191,2809,6075,2808,5948,2805,5813,2800,5671,2795,5388,2786,5248,2781,5115,2779,4990,2778,4876,2779,4778,2783,4695,2790,4695,2761xe" filled="false" stroked="true" strokeweight="3pt" strokecolor="#ffffff">
              <v:path arrowok="t"/>
              <v:stroke dashstyle="solid"/>
            </v:shape>
            <v:shape style="position:absolute;left:0;top:0;width:14400;height:4520" type="#_x0000_t202" id="docshape549" filled="false" stroked="false">
              <v:textbox inset="0,0,0,0">
                <w:txbxContent>
                  <w:p>
                    <w:pPr>
                      <w:spacing w:line="240" w:lineRule="auto" w:before="8"/>
                      <w:rPr>
                        <w:rFonts w:ascii="Calibri"/>
                        <w:b/>
                        <w:sz w:val="95"/>
                      </w:rPr>
                    </w:pPr>
                  </w:p>
                  <w:p>
                    <w:pPr>
                      <w:spacing w:before="0"/>
                      <w:ind w:left="1411" w:right="0" w:firstLine="0"/>
                      <w:jc w:val="left"/>
                      <w:rPr>
                        <w:rFonts w:ascii="Calibri"/>
                        <w:sz w:val="96"/>
                      </w:rPr>
                    </w:pPr>
                    <w:r>
                      <w:rPr>
                        <w:rFonts w:ascii="Calibri"/>
                        <w:color w:val="FFFFFF"/>
                        <w:sz w:val="96"/>
                      </w:rPr>
                      <w:t>NWSSP</w:t>
                    </w:r>
                    <w:r>
                      <w:rPr>
                        <w:rFonts w:ascii="Calibri"/>
                        <w:color w:val="FFFFFF"/>
                        <w:spacing w:val="-15"/>
                        <w:sz w:val="96"/>
                      </w:rPr>
                      <w:t> </w:t>
                    </w:r>
                    <w:r>
                      <w:rPr>
                        <w:rFonts w:ascii="Calibri"/>
                        <w:color w:val="FFFFFF"/>
                        <w:sz w:val="96"/>
                      </w:rPr>
                      <w:t>Board</w:t>
                    </w:r>
                    <w:r>
                      <w:rPr>
                        <w:rFonts w:ascii="Calibri"/>
                        <w:color w:val="FFFFFF"/>
                        <w:spacing w:val="-15"/>
                        <w:sz w:val="96"/>
                      </w:rPr>
                      <w:t> </w:t>
                    </w:r>
                    <w:r>
                      <w:rPr>
                        <w:rFonts w:ascii="Calibri"/>
                        <w:color w:val="FFFFFF"/>
                        <w:sz w:val="96"/>
                      </w:rPr>
                      <w:t>Assurance</w:t>
                    </w:r>
                    <w:r>
                      <w:rPr>
                        <w:rFonts w:ascii="Calibri"/>
                        <w:color w:val="FFFFFF"/>
                        <w:spacing w:val="-14"/>
                        <w:sz w:val="96"/>
                      </w:rPr>
                      <w:t> </w:t>
                    </w:r>
                    <w:r>
                      <w:rPr>
                        <w:rFonts w:ascii="Calibri"/>
                        <w:color w:val="FFFFFF"/>
                        <w:spacing w:val="-5"/>
                        <w:sz w:val="96"/>
                      </w:rPr>
                      <w:t>Map</w:t>
                    </w:r>
                  </w:p>
                </w:txbxContent>
              </v:textbox>
              <w10:wrap type="none"/>
            </v:shape>
            <w10:wrap type="none"/>
          </v:group>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4"/>
        <w:rPr>
          <w:rFonts w:ascii="Calibri"/>
          <w:b/>
          <w:sz w:val="22"/>
        </w:rPr>
      </w:pPr>
    </w:p>
    <w:p>
      <w:pPr>
        <w:pStyle w:val="BodyText"/>
        <w:ind w:left="400"/>
        <w:rPr>
          <w:rFonts w:ascii="Calibri"/>
          <w:sz w:val="20"/>
        </w:rPr>
      </w:pPr>
      <w:r>
        <w:rPr>
          <w:rFonts w:ascii="Calibri"/>
          <w:sz w:val="20"/>
        </w:rPr>
        <w:drawing>
          <wp:inline distT="0" distB="0" distL="0" distR="0">
            <wp:extent cx="8540658" cy="1992820"/>
            <wp:effectExtent l="0" t="0" r="0" b="0"/>
            <wp:docPr id="189" name="image84.png"/>
            <wp:cNvGraphicFramePr>
              <a:graphicFrameLocks noChangeAspect="1"/>
            </wp:cNvGraphicFramePr>
            <a:graphic>
              <a:graphicData uri="http://schemas.openxmlformats.org/drawingml/2006/picture">
                <pic:pic>
                  <pic:nvPicPr>
                    <pic:cNvPr id="190" name="image84.png"/>
                    <pic:cNvPicPr/>
                  </pic:nvPicPr>
                  <pic:blipFill>
                    <a:blip r:embed="rId171" cstate="print"/>
                    <a:stretch>
                      <a:fillRect/>
                    </a:stretch>
                  </pic:blipFill>
                  <pic:spPr>
                    <a:xfrm>
                      <a:off x="0" y="0"/>
                      <a:ext cx="8540658" cy="1992820"/>
                    </a:xfrm>
                    <a:prstGeom prst="rect">
                      <a:avLst/>
                    </a:prstGeom>
                  </pic:spPr>
                </pic:pic>
              </a:graphicData>
            </a:graphic>
          </wp:inline>
        </w:drawing>
      </w:r>
      <w:r>
        <w:rPr>
          <w:rFonts w:ascii="Calibri"/>
          <w:sz w:val="20"/>
        </w:rPr>
      </w:r>
    </w:p>
    <w:p>
      <w:pPr>
        <w:spacing w:after="0"/>
        <w:rPr>
          <w:rFonts w:ascii="Calibri"/>
          <w:sz w:val="20"/>
        </w:rPr>
        <w:sectPr>
          <w:pgSz w:w="14400" w:h="10800" w:orient="landscape"/>
          <w:pgMar w:header="0" w:footer="173" w:top="0" w:bottom="360" w:left="0" w:right="0"/>
        </w:sectPr>
      </w:pPr>
    </w:p>
    <w:p>
      <w:pPr>
        <w:pStyle w:val="BodyText"/>
        <w:rPr>
          <w:rFonts w:ascii="Calibri"/>
          <w:b/>
          <w:sz w:val="20"/>
        </w:rPr>
      </w:pPr>
      <w:r>
        <w:rPr/>
        <w:pict>
          <v:group style="position:absolute;margin-left:0pt;margin-top:0pt;width:720pt;height:226pt;mso-position-horizontal-relative:page;mso-position-vertical-relative:page;z-index:15840768" id="docshapegroup550" coordorigin="0,0" coordsize="14400,4520">
            <v:shape style="position:absolute;left:0;top:0;width:14400;height:4520" id="docshape551" coordorigin="0,0" coordsize="14400,4520" path="m10724,4040l2869,4040,2633,3980,3087,3980,3055,3972,3049,3960,2064,3700,1989,3660,1689,3580,1614,3540,1464,3500,1389,3460,1239,3420,1165,3380,1016,3340,941,3300,867,3280,793,3240,719,3220,644,3180,570,3160,497,3120,0,2900,0,0,14400,0,14400,3000,14245,3060,14170,3100,14094,3120,14019,3160,13867,3200,13714,3260,13560,3300,13482,3340,13249,3400,13172,3440,12782,3540,12704,3580,11605,3860,11526,3860,11131,3960,11049,3960,10724,4040xm11559,4080l11119,4080,11357,4020,11437,4020,11917,3900,11997,3900,12710,3720,12787,3680,13251,3560,13328,3520,13559,3460,13636,3420,13866,3360,13943,3320,14019,3300,14095,3260,14171,3240,14400,3140,14400,3240,13972,3400,13897,3420,13822,3460,13673,3500,13598,3540,13298,3620,13222,3660,12020,3980,11945,3980,11794,4020,11559,4080xm3060,3980l2554,3980,2318,3920,2240,3920,1926,3840,1848,3840,1226,3680,1149,3680,766,3580,690,3540,157,3400,81,3360,0,3340,0,3260,86,3280,241,3320,319,3360,1782,3740,1859,3740,2167,3820,2244,3820,2475,3880,2552,3880,2782,3940,2859,3940,2935,3960,3011,3960,3055,3972,3060,3980xm9911,4180l3745,4180,3585,4140,3506,4140,3426,4120,3347,4120,3187,4080,3108,4080,2949,4040,10643,4040,10398,4100,10317,4100,10072,4160,9990,4160,9911,4180xm10691,4240l10109,4240,10186,4220,10264,4220,10419,4180,10497,4180,10575,4160,10653,4160,10809,4120,10886,4120,11042,4080,11480,4080,11244,4140,11166,4140,10929,4200,10851,4200,10691,4240xm9672,4220l4066,4220,3984,4200,3904,4200,3824,4180,9831,4180,9672,4220xm8211,4400l5443,4400,5366,4380,5288,4380,5211,4360,5133,4360,5051,4340,4969,4340,4887,4320,4805,4320,4723,4300,4641,4300,4559,4280,4148,4220,9592,4220,9512,4240,9433,4240,9353,4260,9273,4260,9193,4280,9113,4280,8211,4400xm10531,4260l9955,4260,10032,4240,10611,4240,10531,4260xm10292,4300l9569,4300,9646,4280,9800,4280,9877,4260,10452,4260,10292,4300xm10132,4320l9415,4320,9492,4300,10212,4300,10132,4320xm9979,4340l9260,4340,9337,4320,10055,4320,9979,4340xm9825,4360l9029,4360,9106,4340,9902,4340,9825,4360xm9672,4380l8787,4380,8869,4360,9749,4360,9672,4380xm9442,4400l8459,4400,8541,4380,9519,4380,9442,4400xm8020,4420l5598,4420,5520,4400,8131,4400,8125,4408,8020,4420xm9289,4420l8116,4420,8125,4408,8192,4400,9365,4400,9289,4420xm9054,4440l5831,4440,5753,4420,9132,4420,9054,4440xm8819,4460l6141,4460,6063,4440,8897,4440,8819,4460xm8505,4480l6448,4480,6372,4460,8584,4460,8505,4480xm8192,4500l6754,4500,6678,4480,8270,4480,8192,4500xm7728,4520l7060,4520,6984,4500,7883,4500,7728,4520xe" filled="true" fillcolor="#c0504d" stroked="false">
              <v:path arrowok="t"/>
              <v:fill type="solid"/>
            </v:shape>
            <v:shape style="position:absolute;left:4693;top:2714;width:5014;height:96" id="docshape552" coordorigin="4694,2715" coordsize="5014,96" path="m7618,2762l6552,2762,6608,2759,6667,2754,6864,2731,6937,2724,7016,2718,7099,2715,7187,2715,7281,2718,7381,2727,7488,2741,7601,2761,7618,2762xm8617,2792l8533,2791,8452,2789,8373,2785,8136,2771,8196,2770,8497,2761,8553,2761,8605,2755,8667,2750,8739,2745,8817,2740,8902,2737,8990,2734,9081,2732,9173,2731,9265,2731,9353,2733,9438,2735,9518,2739,9590,2745,9653,2752,9706,2761,9705,2768,9705,2769,9706,2772,9563,2772,9498,2775,9426,2780,9320,2790,8704,2790,8617,2792xm5862,2769l4903,2769,4996,2768,5082,2766,5162,2762,5310,2753,5379,2749,5446,2748,5512,2749,5579,2753,5646,2761,5862,2769xm4694,2790l4695,2778,4695,2776,4695,2775,4695,2771,4694,2761,4803,2767,4903,2769,5862,2769,6032,2776,6071,2777,4969,2777,4885,2778,4793,2782,4694,2790xm7681,2778l6182,2778,6258,2778,6336,2775,6416,2769,6498,2761,6552,2762,7618,2762,7730,2766,7802,2768,7762,2770,7682,2778,7681,2778xm8039,2772l7947,2771,7845,2769,7802,2768,7839,2766,7916,2764,7992,2765,8067,2768,8136,2771,8122,2771,8039,2772xm9706,2790l9668,2778,9620,2772,9563,2772,9706,2772,9707,2777,9707,2781,9706,2790xm5491,2801l5416,2799,5342,2795,5125,2782,5049,2778,4969,2777,6071,2777,6107,2778,7681,2778,7601,2790,5746,2790,5655,2797,5571,2800,5491,2801xm6461,2810l6386,2809,5746,2790,6749,2790,6704,2798,6652,2804,6594,2807,6530,2809,6461,2810xm7089,2809l7019,2808,6952,2806,6885,2803,6817,2797,6749,2790,7601,2790,7319,2804,7238,2807,7162,2808,7089,2809xm8992,2810l8897,2809,8800,2802,8704,2790,9320,2790,9265,2795,9177,2802,9086,2807,8992,2810xe" filled="true" fillcolor="#ffffff" stroked="false">
              <v:path arrowok="t"/>
              <v:fill type="solid"/>
            </v:shape>
            <v:shape style="position:absolute;left:4695;top:2730;width:5012;height:87" id="docshape553" coordorigin="4695,2730" coordsize="5012,87" path="m4695,2761l4793,2744,4911,2734,5041,2730,5179,2731,5315,2736,5443,2744,5555,2753,5646,2761,5680,2760,5723,2759,5826,2758,5950,2756,6089,2755,6381,2755,6521,2758,6649,2761,6756,2759,6879,2758,7014,2759,7155,2761,7441,2765,7578,2764,7701,2761,7815,2745,7925,2739,8035,2743,8150,2750,8275,2759,8414,2766,8573,2768,8754,2761,8929,2760,9083,2761,9216,2765,9334,2769,9439,2771,9534,2773,9706,2761,9706,2778,9706,2790,9578,2808,9438,2816,9143,2815,8995,2808,8854,2800,8721,2794,8604,2790,8483,2798,8343,2801,8189,2800,8030,2796,7874,2791,7729,2789,7601,2788,7548,2788,7501,2790,7454,2790,7399,2790,7271,2786,7129,2783,6979,2779,6833,2776,6698,2776,6638,2778,6536,2785,6451,2800,6383,2806,6295,2809,6191,2809,6075,2808,5948,2805,5813,2800,5671,2795,5388,2786,5248,2781,5115,2779,4990,2778,4876,2779,4778,2783,4695,2790,4695,2761xe" filled="false" stroked="true" strokeweight="3pt" strokecolor="#ffffff">
              <v:path arrowok="t"/>
              <v:stroke dashstyle="solid"/>
            </v:shape>
            <v:shape style="position:absolute;left:0;top:0;width:14400;height:4520" type="#_x0000_t202" id="docshape554" filled="false" stroked="false">
              <v:textbox inset="0,0,0,0">
                <w:txbxContent>
                  <w:p>
                    <w:pPr>
                      <w:spacing w:line="240" w:lineRule="auto" w:before="10"/>
                      <w:rPr>
                        <w:rFonts w:ascii="Calibri"/>
                        <w:b/>
                        <w:sz w:val="85"/>
                      </w:rPr>
                    </w:pPr>
                  </w:p>
                  <w:p>
                    <w:pPr>
                      <w:spacing w:before="1"/>
                      <w:ind w:left="2077" w:right="2077" w:firstLine="0"/>
                      <w:jc w:val="center"/>
                      <w:rPr>
                        <w:rFonts w:ascii="Calibri"/>
                        <w:b/>
                        <w:sz w:val="114"/>
                      </w:rPr>
                    </w:pPr>
                    <w:r>
                      <w:rPr>
                        <w:rFonts w:ascii="Calibri"/>
                        <w:b/>
                        <w:color w:val="FFFFFF"/>
                        <w:sz w:val="114"/>
                      </w:rPr>
                      <w:t>Accounts</w:t>
                    </w:r>
                    <w:r>
                      <w:rPr>
                        <w:rFonts w:ascii="Calibri"/>
                        <w:b/>
                        <w:color w:val="FFFFFF"/>
                        <w:spacing w:val="-19"/>
                        <w:sz w:val="114"/>
                      </w:rPr>
                      <w:t> </w:t>
                    </w:r>
                    <w:r>
                      <w:rPr>
                        <w:rFonts w:ascii="Calibri"/>
                        <w:b/>
                        <w:color w:val="FFFFFF"/>
                        <w:spacing w:val="-2"/>
                        <w:sz w:val="114"/>
                      </w:rPr>
                      <w:t>Payable</w:t>
                    </w:r>
                  </w:p>
                </w:txbxContent>
              </v:textbox>
              <w10:wrap type="none"/>
            </v:shape>
            <w10:wrap type="none"/>
          </v:group>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7"/>
        <w:rPr>
          <w:rFonts w:ascii="Calibri"/>
          <w:b/>
          <w:sz w:val="28"/>
        </w:rPr>
      </w:pPr>
    </w:p>
    <w:p>
      <w:pPr>
        <w:pStyle w:val="BodyText"/>
        <w:ind w:left="1220"/>
        <w:rPr>
          <w:rFonts w:ascii="Calibri"/>
          <w:sz w:val="20"/>
        </w:rPr>
      </w:pPr>
      <w:r>
        <w:rPr>
          <w:rFonts w:ascii="Calibri"/>
          <w:sz w:val="20"/>
        </w:rPr>
        <w:drawing>
          <wp:inline distT="0" distB="0" distL="0" distR="0">
            <wp:extent cx="7493509" cy="1873377"/>
            <wp:effectExtent l="0" t="0" r="0" b="0"/>
            <wp:docPr id="191" name="image85.png"/>
            <wp:cNvGraphicFramePr>
              <a:graphicFrameLocks noChangeAspect="1"/>
            </wp:cNvGraphicFramePr>
            <a:graphic>
              <a:graphicData uri="http://schemas.openxmlformats.org/drawingml/2006/picture">
                <pic:pic>
                  <pic:nvPicPr>
                    <pic:cNvPr id="192" name="image85.png"/>
                    <pic:cNvPicPr/>
                  </pic:nvPicPr>
                  <pic:blipFill>
                    <a:blip r:embed="rId172" cstate="print"/>
                    <a:stretch>
                      <a:fillRect/>
                    </a:stretch>
                  </pic:blipFill>
                  <pic:spPr>
                    <a:xfrm>
                      <a:off x="0" y="0"/>
                      <a:ext cx="7493509" cy="1873377"/>
                    </a:xfrm>
                    <a:prstGeom prst="rect">
                      <a:avLst/>
                    </a:prstGeom>
                  </pic:spPr>
                </pic:pic>
              </a:graphicData>
            </a:graphic>
          </wp:inline>
        </w:drawing>
      </w:r>
      <w:r>
        <w:rPr>
          <w:rFonts w:ascii="Calibri"/>
          <w:sz w:val="20"/>
        </w:rPr>
      </w:r>
    </w:p>
    <w:p>
      <w:pPr>
        <w:spacing w:after="0"/>
        <w:rPr>
          <w:rFonts w:ascii="Calibri"/>
          <w:sz w:val="20"/>
        </w:rPr>
        <w:sectPr>
          <w:pgSz w:w="14400" w:h="10800" w:orient="landscape"/>
          <w:pgMar w:header="0" w:footer="173" w:top="0" w:bottom="360" w:left="0" w:right="0"/>
        </w:sectPr>
      </w:pPr>
    </w:p>
    <w:p>
      <w:pPr>
        <w:pStyle w:val="BodyText"/>
        <w:rPr>
          <w:rFonts w:ascii="Calibri"/>
          <w:b/>
          <w:sz w:val="20"/>
        </w:rPr>
      </w:pPr>
      <w:r>
        <w:rPr/>
        <w:pict>
          <v:group style="position:absolute;margin-left:0pt;margin-top:0pt;width:720pt;height:226pt;mso-position-horizontal-relative:page;mso-position-vertical-relative:page;z-index:15841280" id="docshapegroup555" coordorigin="0,0" coordsize="14400,4520">
            <v:shape style="position:absolute;left:0;top:0;width:14400;height:4520" id="docshape556" coordorigin="0,0" coordsize="14400,4520" path="m10724,4040l2869,4040,2633,3980,3087,3980,3055,3972,3049,3960,2064,3700,1989,3660,1689,3580,1614,3540,1464,3500,1389,3460,1239,3420,1165,3380,1016,3340,941,3300,867,3280,793,3240,719,3220,644,3180,570,3160,497,3120,0,2900,0,0,14400,0,14400,3000,14245,3060,14170,3100,14094,3120,14019,3160,13867,3200,13714,3260,13560,3300,13482,3340,13249,3400,13172,3440,12782,3540,12704,3580,11605,3860,11526,3860,11131,3960,11049,3960,10724,4040xm11559,4080l11119,4080,11357,4020,11437,4020,11917,3900,11997,3900,12710,3720,12787,3680,13251,3560,13328,3520,13559,3460,13636,3420,13866,3360,13943,3320,14019,3300,14095,3260,14171,3240,14400,3140,14400,3240,13972,3400,13897,3420,13822,3460,13673,3500,13598,3540,13298,3620,13222,3660,12020,3980,11945,3980,11794,4020,11559,4080xm3060,3980l2554,3980,2318,3920,2240,3920,1926,3840,1848,3840,1226,3680,1149,3680,766,3580,690,3540,157,3400,81,3360,0,3340,0,3260,86,3280,241,3320,319,3360,1782,3740,1859,3740,2167,3820,2244,3820,2475,3880,2552,3880,2782,3940,2859,3940,2935,3960,3011,3960,3055,3972,3060,3980xm9911,4180l3745,4180,3585,4140,3506,4140,3426,4120,3347,4120,3187,4080,3108,4080,2949,4040,10643,4040,10398,4100,10317,4100,10072,4160,9990,4160,9911,4180xm10691,4240l10109,4240,10186,4220,10264,4220,10419,4180,10497,4180,10575,4160,10653,4160,10809,4120,10886,4120,11042,4080,11480,4080,11244,4140,11166,4140,10929,4200,10851,4200,10691,4240xm9672,4220l4066,4220,3984,4200,3904,4200,3824,4180,9831,4180,9672,4220xm8211,4400l5443,4400,5366,4380,5288,4380,5211,4360,5133,4360,5051,4340,4969,4340,4887,4320,4805,4320,4723,4300,4641,4300,4559,4280,4148,4220,9592,4220,9512,4240,9433,4240,9353,4260,9273,4260,9193,4280,9113,4280,8211,4400xm10531,4260l9955,4260,10032,4240,10611,4240,10531,4260xm10292,4300l9569,4300,9646,4280,9800,4280,9877,4260,10452,4260,10292,4300xm10132,4320l9415,4320,9492,4300,10212,4300,10132,4320xm9979,4340l9260,4340,9337,4320,10055,4320,9979,4340xm9825,4360l9029,4360,9106,4340,9902,4340,9825,4360xm9672,4380l8787,4380,8869,4360,9749,4360,9672,4380xm9442,4400l8459,4400,8541,4380,9519,4380,9442,4400xm8020,4420l5598,4420,5520,4400,8131,4400,8125,4408,8020,4420xm9289,4420l8116,4420,8125,4408,8192,4400,9365,4400,9289,4420xm9054,4440l5831,4440,5753,4420,9132,4420,9054,4440xm8819,4460l6141,4460,6063,4440,8897,4440,8819,4460xm8505,4480l6448,4480,6372,4460,8584,4460,8505,4480xm8192,4500l6754,4500,6678,4480,8270,4480,8192,4500xm7728,4520l7060,4520,6984,4500,7883,4500,7728,4520xe" filled="true" fillcolor="#c0504d" stroked="false">
              <v:path arrowok="t"/>
              <v:fill type="solid"/>
            </v:shape>
            <v:shape style="position:absolute;left:4693;top:2714;width:5014;height:96" id="docshape557" coordorigin="4694,2715" coordsize="5014,96" path="m7618,2762l6552,2762,6608,2759,6667,2754,6864,2731,6937,2724,7016,2718,7099,2715,7187,2715,7281,2718,7381,2727,7488,2741,7601,2761,7618,2762xm8617,2792l8533,2791,8452,2789,8373,2785,8136,2771,8196,2770,8497,2761,8553,2761,8605,2755,8667,2750,8739,2745,8817,2740,8902,2737,8990,2734,9081,2732,9173,2731,9265,2731,9353,2733,9438,2735,9518,2739,9590,2745,9653,2752,9706,2761,9705,2768,9705,2769,9706,2772,9563,2772,9498,2775,9426,2780,9320,2790,8704,2790,8617,2792xm5862,2769l4903,2769,4996,2768,5082,2766,5162,2762,5310,2753,5379,2749,5446,2748,5512,2749,5579,2753,5646,2761,5862,2769xm4694,2790l4695,2778,4695,2776,4695,2775,4695,2771,4694,2761,4803,2767,4903,2769,5862,2769,6032,2776,6071,2777,4969,2777,4885,2778,4793,2782,4694,2790xm7681,2778l6182,2778,6258,2778,6336,2775,6416,2769,6498,2761,6552,2762,7618,2762,7730,2766,7802,2768,7762,2770,7682,2778,7681,2778xm8039,2772l7947,2771,7845,2769,7802,2768,7839,2766,7916,2764,7992,2765,8067,2768,8136,2771,8122,2771,8039,2772xm9706,2790l9668,2778,9620,2772,9563,2772,9706,2772,9707,2777,9707,2781,9706,2790xm5491,2801l5416,2799,5342,2795,5125,2782,5049,2778,4969,2777,6071,2777,6107,2778,7681,2778,7601,2790,5746,2790,5655,2797,5571,2800,5491,2801xm6461,2810l6386,2809,5746,2790,6749,2790,6704,2798,6652,2804,6594,2807,6530,2809,6461,2810xm7089,2809l7019,2808,6952,2806,6885,2803,6817,2797,6749,2790,7601,2790,7319,2804,7238,2807,7162,2808,7089,2809xm8992,2810l8897,2809,8800,2802,8704,2790,9320,2790,9265,2795,9177,2802,9086,2807,8992,2810xe" filled="true" fillcolor="#ffffff" stroked="false">
              <v:path arrowok="t"/>
              <v:fill type="solid"/>
            </v:shape>
            <v:shape style="position:absolute;left:4695;top:2730;width:5012;height:87" id="docshape558" coordorigin="4695,2730" coordsize="5012,87" path="m4695,2761l4793,2744,4911,2734,5041,2730,5179,2731,5315,2736,5443,2744,5555,2753,5646,2761,5680,2760,5723,2759,5826,2758,5950,2756,6089,2755,6381,2755,6521,2758,6649,2761,6756,2759,6879,2758,7014,2759,7155,2761,7441,2765,7578,2764,7701,2761,7815,2745,7925,2739,8035,2743,8150,2750,8275,2759,8414,2766,8573,2768,8754,2761,8929,2760,9083,2761,9216,2765,9334,2769,9439,2771,9534,2773,9706,2761,9706,2778,9706,2790,9578,2808,9438,2816,9143,2815,8995,2808,8854,2800,8721,2794,8604,2790,8483,2798,8343,2801,8189,2800,8030,2796,7874,2791,7729,2789,7601,2788,7548,2788,7501,2790,7454,2790,7399,2790,7271,2786,7129,2783,6979,2779,6833,2776,6698,2776,6638,2778,6536,2785,6451,2800,6383,2806,6295,2809,6191,2809,6075,2808,5948,2805,5813,2800,5671,2795,5388,2786,5248,2781,5115,2779,4990,2778,4876,2779,4778,2783,4695,2790,4695,2761xe" filled="false" stroked="true" strokeweight="3pt" strokecolor="#ffffff">
              <v:path arrowok="t"/>
              <v:stroke dashstyle="solid"/>
            </v:shape>
            <v:shape style="position:absolute;left:0;top:0;width:14400;height:4520" type="#_x0000_t202" id="docshape559" filled="false" stroked="false">
              <v:textbox inset="0,0,0,0">
                <w:txbxContent>
                  <w:p>
                    <w:pPr>
                      <w:spacing w:line="240" w:lineRule="auto" w:before="10"/>
                      <w:rPr>
                        <w:rFonts w:ascii="Calibri"/>
                        <w:b/>
                        <w:sz w:val="85"/>
                      </w:rPr>
                    </w:pPr>
                  </w:p>
                  <w:p>
                    <w:pPr>
                      <w:spacing w:before="1"/>
                      <w:ind w:left="2077" w:right="2077" w:firstLine="0"/>
                      <w:jc w:val="center"/>
                      <w:rPr>
                        <w:rFonts w:ascii="Calibri"/>
                        <w:b/>
                        <w:sz w:val="114"/>
                      </w:rPr>
                    </w:pPr>
                    <w:r>
                      <w:rPr>
                        <w:rFonts w:ascii="Calibri"/>
                        <w:b/>
                        <w:color w:val="FFFFFF"/>
                        <w:sz w:val="114"/>
                      </w:rPr>
                      <w:t>Audit &amp; </w:t>
                    </w:r>
                    <w:r>
                      <w:rPr>
                        <w:rFonts w:ascii="Calibri"/>
                        <w:b/>
                        <w:color w:val="FFFFFF"/>
                        <w:spacing w:val="-2"/>
                        <w:sz w:val="114"/>
                      </w:rPr>
                      <w:t>Assurance</w:t>
                    </w:r>
                  </w:p>
                </w:txbxContent>
              </v:textbox>
              <w10:wrap type="none"/>
            </v:shape>
            <w10:wrap type="none"/>
          </v:group>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6" w:after="1"/>
        <w:rPr>
          <w:rFonts w:ascii="Calibri"/>
          <w:b/>
          <w:sz w:val="10"/>
        </w:rPr>
      </w:pPr>
    </w:p>
    <w:p>
      <w:pPr>
        <w:pStyle w:val="BodyText"/>
        <w:ind w:left="1220"/>
        <w:rPr>
          <w:rFonts w:ascii="Calibri"/>
          <w:sz w:val="20"/>
        </w:rPr>
      </w:pPr>
      <w:r>
        <w:rPr>
          <w:rFonts w:ascii="Calibri"/>
          <w:sz w:val="20"/>
        </w:rPr>
        <w:drawing>
          <wp:inline distT="0" distB="0" distL="0" distR="0">
            <wp:extent cx="7509407" cy="2143696"/>
            <wp:effectExtent l="0" t="0" r="0" b="0"/>
            <wp:docPr id="193" name="image86.png"/>
            <wp:cNvGraphicFramePr>
              <a:graphicFrameLocks noChangeAspect="1"/>
            </wp:cNvGraphicFramePr>
            <a:graphic>
              <a:graphicData uri="http://schemas.openxmlformats.org/drawingml/2006/picture">
                <pic:pic>
                  <pic:nvPicPr>
                    <pic:cNvPr id="194" name="image86.png"/>
                    <pic:cNvPicPr/>
                  </pic:nvPicPr>
                  <pic:blipFill>
                    <a:blip r:embed="rId173" cstate="print"/>
                    <a:stretch>
                      <a:fillRect/>
                    </a:stretch>
                  </pic:blipFill>
                  <pic:spPr>
                    <a:xfrm>
                      <a:off x="0" y="0"/>
                      <a:ext cx="7509407" cy="2143696"/>
                    </a:xfrm>
                    <a:prstGeom prst="rect">
                      <a:avLst/>
                    </a:prstGeom>
                  </pic:spPr>
                </pic:pic>
              </a:graphicData>
            </a:graphic>
          </wp:inline>
        </w:drawing>
      </w:r>
      <w:r>
        <w:rPr>
          <w:rFonts w:ascii="Calibri"/>
          <w:sz w:val="20"/>
        </w:rPr>
      </w:r>
    </w:p>
    <w:p>
      <w:pPr>
        <w:spacing w:after="0"/>
        <w:rPr>
          <w:rFonts w:ascii="Calibri"/>
          <w:sz w:val="20"/>
        </w:rPr>
        <w:sectPr>
          <w:pgSz w:w="14400" w:h="10800" w:orient="landscape"/>
          <w:pgMar w:header="0" w:footer="173" w:top="0" w:bottom="360" w:left="0" w:right="0"/>
        </w:sectPr>
      </w:pPr>
    </w:p>
    <w:p>
      <w:pPr>
        <w:pStyle w:val="BodyText"/>
        <w:rPr>
          <w:rFonts w:ascii="Calibri"/>
          <w:b/>
          <w:sz w:val="20"/>
        </w:rPr>
      </w:pPr>
      <w:r>
        <w:rPr/>
        <w:pict>
          <v:group style="position:absolute;margin-left:0pt;margin-top:0pt;width:720pt;height:226pt;mso-position-horizontal-relative:page;mso-position-vertical-relative:page;z-index:15841792" id="docshapegroup560" coordorigin="0,0" coordsize="14400,4520">
            <v:shape style="position:absolute;left:0;top:0;width:14400;height:4520" id="docshape561" coordorigin="0,0" coordsize="14400,4520" path="m10724,4040l2869,4040,2633,3980,3087,3980,3055,3972,3049,3960,2064,3700,1989,3660,1689,3580,1614,3540,1464,3500,1389,3460,1239,3420,1165,3380,1016,3340,941,3300,867,3280,793,3240,719,3220,644,3180,570,3160,497,3120,0,2900,0,0,14400,0,14400,3000,14245,3060,14170,3100,14094,3120,14019,3160,13867,3200,13714,3260,13560,3300,13482,3340,13249,3400,13172,3440,12782,3540,12704,3580,11605,3860,11526,3860,11131,3960,11049,3960,10724,4040xm11559,4080l11119,4080,11357,4020,11437,4020,11917,3900,11997,3900,12710,3720,12787,3680,13251,3560,13328,3520,13559,3460,13636,3420,13866,3360,13943,3320,14019,3300,14095,3260,14171,3240,14400,3140,14400,3240,13972,3400,13897,3420,13822,3460,13673,3500,13598,3540,13298,3620,13222,3660,12020,3980,11945,3980,11794,4020,11559,4080xm3060,3980l2554,3980,2318,3920,2240,3920,1926,3840,1848,3840,1226,3680,1149,3680,766,3580,690,3540,157,3400,81,3360,0,3340,0,3260,86,3280,241,3320,319,3360,1782,3740,1859,3740,2167,3820,2244,3820,2475,3880,2552,3880,2782,3940,2859,3940,2935,3960,3011,3960,3055,3972,3060,3980xm9911,4180l3745,4180,3585,4140,3506,4140,3426,4120,3347,4120,3187,4080,3108,4080,2949,4040,10643,4040,10398,4100,10317,4100,10072,4160,9990,4160,9911,4180xm10691,4240l10109,4240,10186,4220,10264,4220,10419,4180,10497,4180,10575,4160,10653,4160,10809,4120,10886,4120,11042,4080,11480,4080,11244,4140,11166,4140,10929,4200,10851,4200,10691,4240xm9672,4220l4066,4220,3984,4200,3904,4200,3824,4180,9831,4180,9672,4220xm8211,4400l5443,4400,5366,4380,5288,4380,5211,4360,5133,4360,5051,4340,4969,4340,4887,4320,4805,4320,4723,4300,4641,4300,4559,4280,4148,4220,9592,4220,9512,4240,9433,4240,9353,4260,9273,4260,9193,4280,9113,4280,8211,4400xm10531,4260l9955,4260,10032,4240,10611,4240,10531,4260xm10292,4300l9569,4300,9646,4280,9800,4280,9877,4260,10452,4260,10292,4300xm10132,4320l9415,4320,9492,4300,10212,4300,10132,4320xm9979,4340l9260,4340,9337,4320,10055,4320,9979,4340xm9825,4360l9029,4360,9106,4340,9902,4340,9825,4360xm9672,4380l8787,4380,8869,4360,9749,4360,9672,4380xm9442,4400l8459,4400,8541,4380,9519,4380,9442,4400xm8020,4420l5598,4420,5520,4400,8131,4400,8125,4408,8020,4420xm9289,4420l8116,4420,8125,4408,8192,4400,9365,4400,9289,4420xm9054,4440l5831,4440,5753,4420,9132,4420,9054,4440xm8819,4460l6141,4460,6063,4440,8897,4440,8819,4460xm8505,4480l6448,4480,6372,4460,8584,4460,8505,4480xm8192,4500l6754,4500,6678,4480,8270,4480,8192,4500xm7728,4520l7060,4520,6984,4500,7883,4500,7728,4520xe" filled="true" fillcolor="#c0504d" stroked="false">
              <v:path arrowok="t"/>
              <v:fill type="solid"/>
            </v:shape>
            <v:shape style="position:absolute;left:4693;top:2714;width:5014;height:96" id="docshape562" coordorigin="4694,2715" coordsize="5014,96" path="m7618,2762l6552,2762,6608,2759,6667,2754,6864,2731,6937,2724,7016,2718,7099,2715,7187,2715,7281,2718,7381,2727,7488,2741,7601,2761,7618,2762xm8617,2792l8533,2791,8452,2789,8373,2785,8136,2771,8196,2770,8497,2761,8553,2761,8605,2755,8667,2750,8739,2745,8817,2740,8902,2737,8990,2734,9081,2732,9173,2731,9265,2731,9353,2733,9438,2735,9518,2739,9590,2745,9653,2752,9706,2761,9705,2768,9705,2769,9706,2772,9563,2772,9498,2775,9426,2780,9320,2790,8704,2790,8617,2792xm5862,2769l4903,2769,4996,2768,5082,2766,5162,2762,5310,2753,5379,2749,5446,2748,5512,2749,5579,2753,5646,2761,5862,2769xm4694,2790l4695,2778,4695,2776,4695,2775,4695,2771,4694,2761,4803,2767,4903,2769,5862,2769,6032,2776,6071,2777,4969,2777,4885,2778,4793,2782,4694,2790xm7681,2778l6182,2778,6258,2778,6336,2775,6416,2769,6498,2761,6552,2762,7618,2762,7730,2766,7802,2768,7762,2770,7682,2778,7681,2778xm8039,2772l7947,2771,7845,2769,7802,2768,7839,2766,7916,2764,7992,2765,8067,2768,8136,2771,8122,2771,8039,2772xm9706,2790l9668,2778,9620,2772,9563,2772,9706,2772,9707,2777,9707,2781,9706,2790xm5491,2801l5416,2799,5342,2795,5125,2782,5049,2778,4969,2777,6071,2777,6107,2778,7681,2778,7601,2790,5746,2790,5655,2797,5571,2800,5491,2801xm6461,2810l6386,2809,5746,2790,6749,2790,6704,2798,6652,2804,6594,2807,6530,2809,6461,2810xm7089,2809l7019,2808,6952,2806,6885,2803,6817,2797,6749,2790,7601,2790,7319,2804,7238,2807,7162,2808,7089,2809xm8992,2810l8897,2809,8800,2802,8704,2790,9320,2790,9265,2795,9177,2802,9086,2807,8992,2810xe" filled="true" fillcolor="#ffffff" stroked="false">
              <v:path arrowok="t"/>
              <v:fill type="solid"/>
            </v:shape>
            <v:shape style="position:absolute;left:4695;top:2730;width:5012;height:87" id="docshape563" coordorigin="4695,2730" coordsize="5012,87" path="m4695,2761l4793,2744,4911,2734,5041,2730,5179,2731,5315,2736,5443,2744,5555,2753,5646,2761,5680,2760,5723,2759,5826,2758,5950,2756,6089,2755,6381,2755,6521,2758,6649,2761,6756,2759,6879,2758,7014,2759,7155,2761,7441,2765,7578,2764,7701,2761,7815,2745,7925,2739,8035,2743,8150,2750,8275,2759,8414,2766,8573,2768,8754,2761,8929,2760,9083,2761,9216,2765,9334,2769,9439,2771,9534,2773,9706,2761,9706,2778,9706,2790,9578,2808,9438,2816,9143,2815,8995,2808,8854,2800,8721,2794,8604,2790,8483,2798,8343,2801,8189,2800,8030,2796,7874,2791,7729,2789,7601,2788,7548,2788,7501,2790,7454,2790,7399,2790,7271,2786,7129,2783,6979,2779,6833,2776,6698,2776,6638,2778,6536,2785,6451,2800,6383,2806,6295,2809,6191,2809,6075,2808,5948,2805,5813,2800,5671,2795,5388,2786,5248,2781,5115,2779,4990,2778,4876,2779,4778,2783,4695,2790,4695,2761xe" filled="false" stroked="true" strokeweight="3pt" strokecolor="#ffffff">
              <v:path arrowok="t"/>
              <v:stroke dashstyle="solid"/>
            </v:shape>
            <v:shape style="position:absolute;left:0;top:0;width:14400;height:4520" type="#_x0000_t202" id="docshape564" filled="false" stroked="false">
              <v:textbox inset="0,0,0,0">
                <w:txbxContent>
                  <w:p>
                    <w:pPr>
                      <w:spacing w:line="211" w:lineRule="auto" w:before="759"/>
                      <w:ind w:left="4818" w:right="0" w:hanging="1923"/>
                      <w:jc w:val="left"/>
                      <w:rPr>
                        <w:rFonts w:ascii="Calibri"/>
                        <w:b/>
                        <w:sz w:val="96"/>
                      </w:rPr>
                    </w:pPr>
                    <w:r>
                      <w:rPr>
                        <w:rFonts w:ascii="Calibri"/>
                        <w:b/>
                        <w:color w:val="FFFFFF"/>
                        <w:sz w:val="96"/>
                      </w:rPr>
                      <w:t>Business</w:t>
                    </w:r>
                    <w:r>
                      <w:rPr>
                        <w:rFonts w:ascii="Calibri"/>
                        <w:b/>
                        <w:color w:val="FFFFFF"/>
                        <w:spacing w:val="-39"/>
                        <w:sz w:val="96"/>
                      </w:rPr>
                      <w:t> </w:t>
                    </w:r>
                    <w:r>
                      <w:rPr>
                        <w:rFonts w:ascii="Calibri"/>
                        <w:b/>
                        <w:color w:val="FFFFFF"/>
                        <w:sz w:val="96"/>
                      </w:rPr>
                      <w:t>Systems</w:t>
                    </w:r>
                    <w:r>
                      <w:rPr>
                        <w:rFonts w:ascii="Calibri"/>
                        <w:b/>
                        <w:color w:val="FFFFFF"/>
                        <w:spacing w:val="-39"/>
                        <w:sz w:val="96"/>
                      </w:rPr>
                      <w:t> </w:t>
                    </w:r>
                    <w:r>
                      <w:rPr>
                        <w:rFonts w:ascii="Calibri"/>
                        <w:b/>
                        <w:color w:val="FFFFFF"/>
                        <w:sz w:val="96"/>
                      </w:rPr>
                      <w:t>and </w:t>
                    </w:r>
                    <w:r>
                      <w:rPr>
                        <w:rFonts w:ascii="Calibri"/>
                        <w:b/>
                        <w:color w:val="FFFFFF"/>
                        <w:spacing w:val="-2"/>
                        <w:sz w:val="96"/>
                      </w:rPr>
                      <w:t>Information</w:t>
                    </w:r>
                  </w:p>
                </w:txbxContent>
              </v:textbox>
              <w10:wrap type="none"/>
            </v:shape>
            <w10:wrap type="none"/>
          </v:group>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10"/>
        <w:rPr>
          <w:rFonts w:ascii="Calibri"/>
          <w:b/>
          <w:sz w:val="11"/>
        </w:rPr>
      </w:pPr>
    </w:p>
    <w:p>
      <w:pPr>
        <w:pStyle w:val="BodyText"/>
        <w:ind w:left="1220"/>
        <w:rPr>
          <w:rFonts w:ascii="Calibri"/>
          <w:sz w:val="20"/>
        </w:rPr>
      </w:pPr>
      <w:r>
        <w:rPr>
          <w:rFonts w:ascii="Calibri"/>
          <w:sz w:val="20"/>
        </w:rPr>
        <w:drawing>
          <wp:inline distT="0" distB="0" distL="0" distR="0">
            <wp:extent cx="7489742" cy="1816798"/>
            <wp:effectExtent l="0" t="0" r="0" b="0"/>
            <wp:docPr id="195" name="image87.png"/>
            <wp:cNvGraphicFramePr>
              <a:graphicFrameLocks noChangeAspect="1"/>
            </wp:cNvGraphicFramePr>
            <a:graphic>
              <a:graphicData uri="http://schemas.openxmlformats.org/drawingml/2006/picture">
                <pic:pic>
                  <pic:nvPicPr>
                    <pic:cNvPr id="196" name="image87.png"/>
                    <pic:cNvPicPr/>
                  </pic:nvPicPr>
                  <pic:blipFill>
                    <a:blip r:embed="rId174" cstate="print"/>
                    <a:stretch>
                      <a:fillRect/>
                    </a:stretch>
                  </pic:blipFill>
                  <pic:spPr>
                    <a:xfrm>
                      <a:off x="0" y="0"/>
                      <a:ext cx="7489742" cy="1816798"/>
                    </a:xfrm>
                    <a:prstGeom prst="rect">
                      <a:avLst/>
                    </a:prstGeom>
                  </pic:spPr>
                </pic:pic>
              </a:graphicData>
            </a:graphic>
          </wp:inline>
        </w:drawing>
      </w:r>
      <w:r>
        <w:rPr>
          <w:rFonts w:ascii="Calibri"/>
          <w:sz w:val="20"/>
        </w:rPr>
      </w:r>
    </w:p>
    <w:p>
      <w:pPr>
        <w:spacing w:after="0"/>
        <w:rPr>
          <w:rFonts w:ascii="Calibri"/>
          <w:sz w:val="20"/>
        </w:rPr>
        <w:sectPr>
          <w:pgSz w:w="14400" w:h="10800" w:orient="landscape"/>
          <w:pgMar w:header="0" w:footer="173" w:top="0" w:bottom="360" w:left="0" w:right="0"/>
        </w:sectPr>
      </w:pPr>
    </w:p>
    <w:p>
      <w:pPr>
        <w:pStyle w:val="BodyText"/>
        <w:rPr>
          <w:rFonts w:ascii="Calibri"/>
          <w:b/>
          <w:sz w:val="20"/>
        </w:rPr>
      </w:pPr>
      <w:r>
        <w:rPr/>
        <w:pict>
          <v:group style="position:absolute;margin-left:0pt;margin-top:0pt;width:720pt;height:226pt;mso-position-horizontal-relative:page;mso-position-vertical-relative:page;z-index:15842304" id="docshapegroup565" coordorigin="0,0" coordsize="14400,4520">
            <v:shape style="position:absolute;left:0;top:0;width:14400;height:4520" id="docshape566" coordorigin="0,0" coordsize="14400,4520" path="m10724,4040l2869,4040,2633,3980,3087,3980,3055,3972,3049,3960,2064,3700,1989,3660,1689,3580,1614,3540,1464,3500,1389,3460,1239,3420,1165,3380,1016,3340,941,3300,867,3280,793,3240,719,3220,644,3180,570,3160,497,3120,0,2900,0,0,14400,0,14400,3000,14245,3060,14170,3100,14094,3120,14019,3160,13867,3200,13714,3260,13560,3300,13482,3340,13249,3400,13172,3440,12782,3540,12704,3580,11605,3860,11526,3860,11131,3960,11049,3960,10724,4040xm11559,4080l11119,4080,11357,4020,11437,4020,11917,3900,11997,3900,12710,3720,12787,3680,13251,3560,13328,3520,13559,3460,13636,3420,13866,3360,13943,3320,14019,3300,14095,3260,14171,3240,14400,3140,14400,3240,13972,3400,13897,3420,13822,3460,13673,3500,13598,3540,13298,3620,13222,3660,12020,3980,11945,3980,11794,4020,11559,4080xm3060,3980l2554,3980,2318,3920,2240,3920,1926,3840,1848,3840,1226,3680,1149,3680,766,3580,690,3540,157,3400,81,3360,0,3340,0,3260,86,3280,241,3320,319,3360,1782,3740,1859,3740,2167,3820,2244,3820,2475,3880,2552,3880,2782,3940,2859,3940,2935,3960,3011,3960,3055,3972,3060,3980xm9911,4180l3745,4180,3585,4140,3506,4140,3426,4120,3347,4120,3187,4080,3108,4080,2949,4040,10643,4040,10398,4100,10317,4100,10072,4160,9990,4160,9911,4180xm10691,4240l10109,4240,10186,4220,10264,4220,10419,4180,10497,4180,10575,4160,10653,4160,10809,4120,10886,4120,11042,4080,11480,4080,11244,4140,11166,4140,10929,4200,10851,4200,10691,4240xm9672,4220l4066,4220,3984,4200,3904,4200,3824,4180,9831,4180,9672,4220xm8211,4400l5443,4400,5366,4380,5288,4380,5211,4360,5133,4360,5051,4340,4969,4340,4887,4320,4805,4320,4723,4300,4641,4300,4559,4280,4148,4220,9592,4220,9512,4240,9433,4240,9353,4260,9273,4260,9193,4280,9113,4280,8211,4400xm10531,4260l9955,4260,10032,4240,10611,4240,10531,4260xm10292,4300l9569,4300,9646,4280,9800,4280,9877,4260,10452,4260,10292,4300xm10132,4320l9415,4320,9492,4300,10212,4300,10132,4320xm9979,4340l9260,4340,9337,4320,10055,4320,9979,4340xm9825,4360l9029,4360,9106,4340,9902,4340,9825,4360xm9672,4380l8787,4380,8869,4360,9749,4360,9672,4380xm9442,4400l8459,4400,8541,4380,9519,4380,9442,4400xm8020,4420l5598,4420,5520,4400,8131,4400,8125,4408,8020,4420xm9289,4420l8116,4420,8125,4408,8192,4400,9365,4400,9289,4420xm9054,4440l5831,4440,5753,4420,9132,4420,9054,4440xm8819,4460l6141,4460,6063,4440,8897,4440,8819,4460xm8505,4480l6448,4480,6372,4460,8584,4460,8505,4480xm8192,4500l6754,4500,6678,4480,8270,4480,8192,4500xm7728,4520l7060,4520,6984,4500,7883,4500,7728,4520xe" filled="true" fillcolor="#c0504d" stroked="false">
              <v:path arrowok="t"/>
              <v:fill type="solid"/>
            </v:shape>
            <v:shape style="position:absolute;left:4693;top:2714;width:5014;height:96" id="docshape567" coordorigin="4694,2715" coordsize="5014,96" path="m7618,2762l6552,2762,6608,2759,6667,2754,6864,2731,6937,2724,7016,2718,7099,2715,7187,2715,7281,2718,7381,2727,7488,2741,7601,2761,7618,2762xm8617,2792l8533,2791,8452,2789,8373,2785,8136,2771,8196,2770,8497,2761,8553,2761,8605,2755,8667,2750,8739,2745,8817,2740,8902,2737,8990,2734,9081,2732,9173,2731,9265,2731,9353,2733,9438,2735,9518,2739,9590,2745,9653,2752,9706,2761,9705,2768,9705,2769,9706,2772,9563,2772,9498,2775,9426,2780,9320,2790,8704,2790,8617,2792xm5862,2769l4903,2769,4996,2768,5082,2766,5162,2762,5310,2753,5379,2749,5446,2748,5512,2749,5579,2753,5646,2761,5862,2769xm4694,2790l4695,2778,4695,2776,4695,2775,4695,2771,4694,2761,4803,2767,4903,2769,5862,2769,6032,2776,6071,2777,4969,2777,4885,2778,4793,2782,4694,2790xm7681,2778l6182,2778,6258,2778,6336,2775,6416,2769,6498,2761,6552,2762,7618,2762,7730,2766,7802,2768,7762,2770,7682,2778,7681,2778xm8039,2772l7947,2771,7845,2769,7802,2768,7839,2766,7916,2764,7992,2765,8067,2768,8136,2771,8122,2771,8039,2772xm9706,2790l9668,2778,9620,2772,9563,2772,9706,2772,9707,2777,9707,2781,9706,2790xm5491,2801l5416,2799,5342,2795,5125,2782,5049,2778,4969,2777,6071,2777,6107,2778,7681,2778,7601,2790,5746,2790,5655,2797,5571,2800,5491,2801xm6461,2810l6386,2809,5746,2790,6749,2790,6704,2798,6652,2804,6594,2807,6530,2809,6461,2810xm7089,2809l7019,2808,6952,2806,6885,2803,6817,2797,6749,2790,7601,2790,7319,2804,7238,2807,7162,2808,7089,2809xm8992,2810l8897,2809,8800,2802,8704,2790,9320,2790,9265,2795,9177,2802,9086,2807,8992,2810xe" filled="true" fillcolor="#ffffff" stroked="false">
              <v:path arrowok="t"/>
              <v:fill type="solid"/>
            </v:shape>
            <v:shape style="position:absolute;left:4695;top:2730;width:5012;height:87" id="docshape568" coordorigin="4695,2730" coordsize="5012,87" path="m4695,2761l4793,2744,4911,2734,5041,2730,5179,2731,5315,2736,5443,2744,5555,2753,5646,2761,5680,2760,5723,2759,5826,2758,5950,2756,6089,2755,6381,2755,6521,2758,6649,2761,6756,2759,6879,2758,7014,2759,7155,2761,7441,2765,7578,2764,7701,2761,7815,2745,7925,2739,8035,2743,8150,2750,8275,2759,8414,2766,8573,2768,8754,2761,8929,2760,9083,2761,9216,2765,9334,2769,9439,2771,9534,2773,9706,2761,9706,2778,9706,2790,9578,2808,9438,2816,9143,2815,8995,2808,8854,2800,8721,2794,8604,2790,8483,2798,8343,2801,8189,2800,8030,2796,7874,2791,7729,2789,7601,2788,7548,2788,7501,2790,7454,2790,7399,2790,7271,2786,7129,2783,6979,2779,6833,2776,6698,2776,6638,2778,6536,2785,6451,2800,6383,2806,6295,2809,6191,2809,6075,2808,5948,2805,5813,2800,5671,2795,5388,2786,5248,2781,5115,2779,4990,2778,4876,2779,4778,2783,4695,2790,4695,2761xe" filled="false" stroked="true" strokeweight="3pt" strokecolor="#ffffff">
              <v:path arrowok="t"/>
              <v:stroke dashstyle="solid"/>
            </v:shape>
            <v:shape style="position:absolute;left:0;top:0;width:14400;height:4520" type="#_x0000_t202" id="docshape569" filled="false" stroked="false">
              <v:textbox inset="0,0,0,0">
                <w:txbxContent>
                  <w:p>
                    <w:pPr>
                      <w:spacing w:line="240" w:lineRule="auto" w:before="8"/>
                      <w:rPr>
                        <w:rFonts w:ascii="Calibri"/>
                        <w:b/>
                        <w:sz w:val="95"/>
                      </w:rPr>
                    </w:pPr>
                  </w:p>
                  <w:p>
                    <w:pPr>
                      <w:spacing w:before="0"/>
                      <w:ind w:left="2077" w:right="2080" w:firstLine="0"/>
                      <w:jc w:val="center"/>
                      <w:rPr>
                        <w:rFonts w:ascii="Calibri"/>
                        <w:b/>
                        <w:sz w:val="96"/>
                      </w:rPr>
                    </w:pPr>
                    <w:r>
                      <w:rPr>
                        <w:rFonts w:ascii="Calibri"/>
                        <w:b/>
                        <w:color w:val="FFFFFF"/>
                        <w:spacing w:val="-2"/>
                        <w:sz w:val="96"/>
                      </w:rPr>
                      <w:t>CIVAS</w:t>
                    </w:r>
                  </w:p>
                </w:txbxContent>
              </v:textbox>
              <w10:wrap type="none"/>
            </v:shape>
            <w10:wrap type="none"/>
          </v:group>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5"/>
        </w:rPr>
      </w:pPr>
    </w:p>
    <w:p>
      <w:pPr>
        <w:pStyle w:val="BodyText"/>
        <w:ind w:left="1180"/>
        <w:rPr>
          <w:rFonts w:ascii="Calibri"/>
          <w:sz w:val="20"/>
        </w:rPr>
      </w:pPr>
      <w:r>
        <w:rPr>
          <w:rFonts w:ascii="Calibri"/>
          <w:sz w:val="20"/>
        </w:rPr>
        <w:drawing>
          <wp:inline distT="0" distB="0" distL="0" distR="0">
            <wp:extent cx="7242325" cy="1559052"/>
            <wp:effectExtent l="0" t="0" r="0" b="0"/>
            <wp:docPr id="197" name="image88.png"/>
            <wp:cNvGraphicFramePr>
              <a:graphicFrameLocks noChangeAspect="1"/>
            </wp:cNvGraphicFramePr>
            <a:graphic>
              <a:graphicData uri="http://schemas.openxmlformats.org/drawingml/2006/picture">
                <pic:pic>
                  <pic:nvPicPr>
                    <pic:cNvPr id="198" name="image88.png"/>
                    <pic:cNvPicPr/>
                  </pic:nvPicPr>
                  <pic:blipFill>
                    <a:blip r:embed="rId175" cstate="print"/>
                    <a:stretch>
                      <a:fillRect/>
                    </a:stretch>
                  </pic:blipFill>
                  <pic:spPr>
                    <a:xfrm>
                      <a:off x="0" y="0"/>
                      <a:ext cx="7242325" cy="1559052"/>
                    </a:xfrm>
                    <a:prstGeom prst="rect">
                      <a:avLst/>
                    </a:prstGeom>
                  </pic:spPr>
                </pic:pic>
              </a:graphicData>
            </a:graphic>
          </wp:inline>
        </w:drawing>
      </w:r>
      <w:r>
        <w:rPr>
          <w:rFonts w:ascii="Calibri"/>
          <w:sz w:val="20"/>
        </w:rPr>
      </w:r>
    </w:p>
    <w:p>
      <w:pPr>
        <w:spacing w:after="0"/>
        <w:rPr>
          <w:rFonts w:ascii="Calibri"/>
          <w:sz w:val="20"/>
        </w:rPr>
        <w:sectPr>
          <w:pgSz w:w="14400" w:h="10800" w:orient="landscape"/>
          <w:pgMar w:header="0" w:footer="173" w:top="0" w:bottom="360" w:left="0" w:right="0"/>
        </w:sectPr>
      </w:pPr>
    </w:p>
    <w:p>
      <w:pPr>
        <w:pStyle w:val="BodyText"/>
        <w:rPr>
          <w:rFonts w:ascii="Calibri"/>
          <w:b/>
          <w:sz w:val="20"/>
        </w:rPr>
      </w:pPr>
      <w:r>
        <w:rPr/>
        <w:pict>
          <v:group style="position:absolute;margin-left:0pt;margin-top:0pt;width:720pt;height:226pt;mso-position-horizontal-relative:page;mso-position-vertical-relative:page;z-index:15842816" id="docshapegroup570" coordorigin="0,0" coordsize="14400,4520">
            <v:shape style="position:absolute;left:0;top:0;width:14400;height:4520" id="docshape571" coordorigin="0,0" coordsize="14400,4520" path="m10724,4040l2869,4040,2633,3980,3087,3980,3055,3972,3049,3960,2064,3700,1989,3660,1689,3580,1614,3540,1464,3500,1389,3460,1239,3420,1165,3380,1016,3340,941,3300,867,3280,793,3240,719,3220,644,3180,570,3160,497,3120,0,2900,0,0,14400,0,14400,3000,14245,3060,14170,3100,14094,3120,14019,3160,13867,3200,13714,3260,13560,3300,13482,3340,13249,3400,13172,3440,12782,3540,12704,3580,11605,3860,11526,3860,11131,3960,11049,3960,10724,4040xm11559,4080l11119,4080,11357,4020,11437,4020,11917,3900,11997,3900,12710,3720,12787,3680,13251,3560,13328,3520,13559,3460,13636,3420,13866,3360,13943,3320,14019,3300,14095,3260,14171,3240,14400,3140,14400,3240,13972,3400,13897,3420,13822,3460,13673,3500,13598,3540,13298,3620,13222,3660,12020,3980,11945,3980,11794,4020,11559,4080xm3060,3980l2554,3980,2318,3920,2240,3920,1926,3840,1848,3840,1226,3680,1149,3680,766,3580,690,3540,157,3400,81,3360,0,3340,0,3260,86,3280,241,3320,319,3360,1782,3740,1859,3740,2167,3820,2244,3820,2475,3880,2552,3880,2782,3940,2859,3940,2935,3960,3011,3960,3055,3972,3060,3980xm9911,4180l3745,4180,3585,4140,3506,4140,3426,4120,3347,4120,3187,4080,3108,4080,2949,4040,10643,4040,10398,4100,10317,4100,10072,4160,9990,4160,9911,4180xm10691,4240l10109,4240,10186,4220,10264,4220,10419,4180,10497,4180,10575,4160,10653,4160,10809,4120,10886,4120,11042,4080,11480,4080,11244,4140,11166,4140,10929,4200,10851,4200,10691,4240xm9672,4220l4066,4220,3984,4200,3904,4200,3824,4180,9831,4180,9672,4220xm8211,4400l5443,4400,5366,4380,5288,4380,5211,4360,5133,4360,5051,4340,4969,4340,4887,4320,4805,4320,4723,4300,4641,4300,4559,4280,4148,4220,9592,4220,9512,4240,9433,4240,9353,4260,9273,4260,9193,4280,9113,4280,8211,4400xm10531,4260l9955,4260,10032,4240,10611,4240,10531,4260xm10292,4300l9569,4300,9646,4280,9800,4280,9877,4260,10452,4260,10292,4300xm10132,4320l9415,4320,9492,4300,10212,4300,10132,4320xm9979,4340l9260,4340,9337,4320,10055,4320,9979,4340xm9825,4360l9029,4360,9106,4340,9902,4340,9825,4360xm9672,4380l8787,4380,8869,4360,9749,4360,9672,4380xm9442,4400l8459,4400,8541,4380,9519,4380,9442,4400xm8020,4420l5598,4420,5520,4400,8131,4400,8125,4408,8020,4420xm9289,4420l8116,4420,8125,4408,8192,4400,9365,4400,9289,4420xm9054,4440l5831,4440,5753,4420,9132,4420,9054,4440xm8819,4460l6141,4460,6063,4440,8897,4440,8819,4460xm8505,4480l6448,4480,6372,4460,8584,4460,8505,4480xm8192,4500l6754,4500,6678,4480,8270,4480,8192,4500xm7728,4520l7060,4520,6984,4500,7883,4500,7728,4520xe" filled="true" fillcolor="#c0504d" stroked="false">
              <v:path arrowok="t"/>
              <v:fill type="solid"/>
            </v:shape>
            <v:shape style="position:absolute;left:4693;top:2714;width:5014;height:96" id="docshape572" coordorigin="4694,2715" coordsize="5014,96" path="m7618,2762l6552,2762,6608,2759,6667,2754,6864,2731,6937,2724,7016,2718,7099,2715,7187,2715,7281,2718,7381,2727,7488,2741,7601,2761,7618,2762xm8617,2792l8533,2791,8452,2789,8373,2785,8136,2771,8196,2770,8497,2761,8553,2761,8605,2755,8667,2750,8739,2745,8817,2740,8902,2737,8990,2734,9081,2732,9173,2731,9265,2731,9353,2733,9438,2735,9518,2739,9590,2745,9653,2752,9706,2761,9705,2768,9705,2769,9706,2772,9563,2772,9498,2775,9426,2780,9320,2790,8704,2790,8617,2792xm5862,2769l4903,2769,4996,2768,5082,2766,5162,2762,5310,2753,5379,2749,5446,2748,5512,2749,5579,2753,5646,2761,5862,2769xm4694,2790l4695,2778,4695,2776,4695,2775,4695,2771,4694,2761,4803,2767,4903,2769,5862,2769,6032,2776,6071,2777,4969,2777,4885,2778,4793,2782,4694,2790xm7681,2778l6182,2778,6258,2778,6336,2775,6416,2769,6498,2761,6552,2762,7618,2762,7730,2766,7802,2768,7762,2770,7682,2778,7681,2778xm8039,2772l7947,2771,7845,2769,7802,2768,7839,2766,7916,2764,7992,2765,8067,2768,8136,2771,8122,2771,8039,2772xm9706,2790l9668,2778,9620,2772,9563,2772,9706,2772,9707,2777,9707,2781,9706,2790xm5491,2801l5416,2799,5342,2795,5125,2782,5049,2778,4969,2777,6071,2777,6107,2778,7681,2778,7601,2790,5746,2790,5655,2797,5571,2800,5491,2801xm6461,2810l6386,2809,5746,2790,6749,2790,6704,2798,6652,2804,6594,2807,6530,2809,6461,2810xm7089,2809l7019,2808,6952,2806,6885,2803,6817,2797,6749,2790,7601,2790,7319,2804,7238,2807,7162,2808,7089,2809xm8992,2810l8897,2809,8800,2802,8704,2790,9320,2790,9265,2795,9177,2802,9086,2807,8992,2810xe" filled="true" fillcolor="#ffffff" stroked="false">
              <v:path arrowok="t"/>
              <v:fill type="solid"/>
            </v:shape>
            <v:shape style="position:absolute;left:4695;top:2730;width:5012;height:87" id="docshape573" coordorigin="4695,2730" coordsize="5012,87" path="m4695,2761l4793,2744,4911,2734,5041,2730,5179,2731,5315,2736,5443,2744,5555,2753,5646,2761,5680,2760,5723,2759,5826,2758,5950,2756,6089,2755,6381,2755,6521,2758,6649,2761,6756,2759,6879,2758,7014,2759,7155,2761,7441,2765,7578,2764,7701,2761,7815,2745,7925,2739,8035,2743,8150,2750,8275,2759,8414,2766,8573,2768,8754,2761,8929,2760,9083,2761,9216,2765,9334,2769,9439,2771,9534,2773,9706,2761,9706,2778,9706,2790,9578,2808,9438,2816,9143,2815,8995,2808,8854,2800,8721,2794,8604,2790,8483,2798,8343,2801,8189,2800,8030,2796,7874,2791,7729,2789,7601,2788,7548,2788,7501,2790,7454,2790,7399,2790,7271,2786,7129,2783,6979,2779,6833,2776,6698,2776,6638,2778,6536,2785,6451,2800,6383,2806,6295,2809,6191,2809,6075,2808,5948,2805,5813,2800,5671,2795,5388,2786,5248,2781,5115,2779,4990,2778,4876,2779,4778,2783,4695,2790,4695,2761xe" filled="false" stroked="true" strokeweight="3pt" strokecolor="#ffffff">
              <v:path arrowok="t"/>
              <v:stroke dashstyle="solid"/>
            </v:shape>
            <v:shape style="position:absolute;left:0;top:0;width:14400;height:4520" type="#_x0000_t202" id="docshape574" filled="false" stroked="false">
              <v:textbox inset="0,0,0,0">
                <w:txbxContent>
                  <w:p>
                    <w:pPr>
                      <w:spacing w:line="240" w:lineRule="auto" w:before="10"/>
                      <w:rPr>
                        <w:rFonts w:ascii="Calibri"/>
                        <w:b/>
                        <w:sz w:val="85"/>
                      </w:rPr>
                    </w:pPr>
                  </w:p>
                  <w:p>
                    <w:pPr>
                      <w:spacing w:before="1"/>
                      <w:ind w:left="2077" w:right="2080" w:firstLine="0"/>
                      <w:jc w:val="center"/>
                      <w:rPr>
                        <w:rFonts w:ascii="Calibri"/>
                        <w:b/>
                        <w:sz w:val="114"/>
                      </w:rPr>
                    </w:pPr>
                    <w:r>
                      <w:rPr>
                        <w:rFonts w:ascii="Calibri"/>
                        <w:b/>
                        <w:color w:val="FFFFFF"/>
                        <w:sz w:val="114"/>
                      </w:rPr>
                      <w:t>Corporate</w:t>
                    </w:r>
                    <w:r>
                      <w:rPr>
                        <w:rFonts w:ascii="Calibri"/>
                        <w:b/>
                        <w:color w:val="FFFFFF"/>
                        <w:spacing w:val="-54"/>
                        <w:sz w:val="114"/>
                      </w:rPr>
                      <w:t> </w:t>
                    </w:r>
                    <w:r>
                      <w:rPr>
                        <w:rFonts w:ascii="Calibri"/>
                        <w:b/>
                        <w:color w:val="FFFFFF"/>
                        <w:spacing w:val="-2"/>
                        <w:sz w:val="114"/>
                      </w:rPr>
                      <w:t>Services</w:t>
                    </w:r>
                  </w:p>
                </w:txbxContent>
              </v:textbox>
              <w10:wrap type="none"/>
            </v:shape>
            <w10:wrap type="none"/>
          </v:group>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6"/>
        <w:rPr>
          <w:rFonts w:ascii="Calibri"/>
          <w:b/>
          <w:sz w:val="11"/>
        </w:rPr>
      </w:pPr>
    </w:p>
    <w:p>
      <w:pPr>
        <w:pStyle w:val="BodyText"/>
        <w:ind w:left="1220"/>
        <w:rPr>
          <w:rFonts w:ascii="Calibri"/>
          <w:sz w:val="20"/>
        </w:rPr>
      </w:pPr>
      <w:r>
        <w:rPr>
          <w:rFonts w:ascii="Calibri"/>
          <w:sz w:val="20"/>
        </w:rPr>
        <w:drawing>
          <wp:inline distT="0" distB="0" distL="0" distR="0">
            <wp:extent cx="7510127" cy="1521333"/>
            <wp:effectExtent l="0" t="0" r="0" b="0"/>
            <wp:docPr id="199" name="image89.png"/>
            <wp:cNvGraphicFramePr>
              <a:graphicFrameLocks noChangeAspect="1"/>
            </wp:cNvGraphicFramePr>
            <a:graphic>
              <a:graphicData uri="http://schemas.openxmlformats.org/drawingml/2006/picture">
                <pic:pic>
                  <pic:nvPicPr>
                    <pic:cNvPr id="200" name="image89.png"/>
                    <pic:cNvPicPr/>
                  </pic:nvPicPr>
                  <pic:blipFill>
                    <a:blip r:embed="rId176" cstate="print"/>
                    <a:stretch>
                      <a:fillRect/>
                    </a:stretch>
                  </pic:blipFill>
                  <pic:spPr>
                    <a:xfrm>
                      <a:off x="0" y="0"/>
                      <a:ext cx="7510127" cy="1521333"/>
                    </a:xfrm>
                    <a:prstGeom prst="rect">
                      <a:avLst/>
                    </a:prstGeom>
                  </pic:spPr>
                </pic:pic>
              </a:graphicData>
            </a:graphic>
          </wp:inline>
        </w:drawing>
      </w:r>
      <w:r>
        <w:rPr>
          <w:rFonts w:ascii="Calibri"/>
          <w:sz w:val="20"/>
        </w:rPr>
      </w:r>
    </w:p>
    <w:p>
      <w:pPr>
        <w:spacing w:after="0"/>
        <w:rPr>
          <w:rFonts w:ascii="Calibri"/>
          <w:sz w:val="20"/>
        </w:rPr>
        <w:sectPr>
          <w:pgSz w:w="14400" w:h="10800" w:orient="landscape"/>
          <w:pgMar w:header="0" w:footer="173" w:top="0" w:bottom="360" w:left="0" w:right="0"/>
        </w:sectPr>
      </w:pPr>
    </w:p>
    <w:p>
      <w:pPr>
        <w:pStyle w:val="BodyText"/>
        <w:rPr>
          <w:rFonts w:ascii="Calibri"/>
          <w:b/>
          <w:sz w:val="20"/>
        </w:rPr>
      </w:pPr>
      <w:r>
        <w:rPr/>
        <w:pict>
          <v:group style="position:absolute;margin-left:0pt;margin-top:0pt;width:720pt;height:382.65pt;mso-position-horizontal-relative:page;mso-position-vertical-relative:page;z-index:-24076800" id="docshapegroup575" coordorigin="0,0" coordsize="14400,7653">
            <v:shape style="position:absolute;left:0;top:0;width:14400;height:4520" id="docshape576" coordorigin="0,0" coordsize="14400,4520" path="m10724,4040l2869,4040,2633,3980,3087,3980,3055,3972,3049,3960,2064,3700,1989,3660,1689,3580,1614,3540,1464,3500,1389,3460,1239,3420,1165,3380,1016,3340,941,3300,867,3280,793,3240,719,3220,644,3180,570,3160,497,3120,0,2900,0,0,14400,0,14400,3000,14245,3060,14170,3100,14094,3120,14019,3160,13867,3200,13714,3260,13560,3300,13482,3340,13249,3400,13172,3440,12782,3540,12704,3580,11605,3860,11526,3860,11131,3960,11049,3960,10724,4040xm11559,4080l11119,4080,11357,4020,11437,4020,11917,3900,11997,3900,12710,3720,12787,3680,13251,3560,13328,3520,13559,3460,13636,3420,13866,3360,13943,3320,14019,3300,14095,3260,14171,3240,14400,3140,14400,3240,13972,3400,13897,3420,13822,3460,13673,3500,13598,3540,13298,3620,13222,3660,12020,3980,11945,3980,11794,4020,11559,4080xm3060,3980l2554,3980,2318,3920,2240,3920,1926,3840,1848,3840,1226,3680,1149,3680,766,3580,690,3540,157,3400,81,3360,0,3340,0,3260,86,3280,241,3320,319,3360,1782,3740,1859,3740,2167,3820,2244,3820,2475,3880,2552,3880,2782,3940,2859,3940,2935,3960,3011,3960,3055,3972,3060,3980xm9911,4180l3745,4180,3585,4140,3506,4140,3426,4120,3347,4120,3187,4080,3108,4080,2949,4040,10643,4040,10398,4100,10317,4100,10072,4160,9990,4160,9911,4180xm10691,4240l10109,4240,10186,4220,10264,4220,10419,4180,10497,4180,10575,4160,10653,4160,10809,4120,10886,4120,11042,4080,11480,4080,11244,4140,11166,4140,10929,4200,10851,4200,10691,4240xm9672,4220l4066,4220,3984,4200,3904,4200,3824,4180,9831,4180,9672,4220xm8211,4400l5443,4400,5366,4380,5288,4380,5211,4360,5133,4360,5051,4340,4969,4340,4887,4320,4805,4320,4723,4300,4641,4300,4559,4280,4148,4220,9592,4220,9512,4240,9433,4240,9353,4260,9273,4260,9193,4280,9113,4280,8211,4400xm10531,4260l9955,4260,10032,4240,10611,4240,10531,4260xm10292,4300l9569,4300,9646,4280,9800,4280,9877,4260,10452,4260,10292,4300xm10132,4320l9415,4320,9492,4300,10212,4300,10132,4320xm9979,4340l9260,4340,9337,4320,10055,4320,9979,4340xm9825,4360l9029,4360,9106,4340,9902,4340,9825,4360xm9672,4380l8787,4380,8869,4360,9749,4360,9672,4380xm9442,4400l8459,4400,8541,4380,9519,4380,9442,4400xm8020,4420l5598,4420,5520,4400,8131,4400,8125,4408,8020,4420xm9289,4420l8116,4420,8125,4408,8192,4400,9365,4400,9289,4420xm9054,4440l5831,4440,5753,4420,9132,4420,9054,4440xm8819,4460l6141,4460,6063,4440,8897,4440,8819,4460xm8505,4480l6448,4480,6372,4460,8584,4460,8505,4480xm8192,4500l6754,4500,6678,4480,8270,4480,8192,4500xm7728,4520l7060,4520,6984,4500,7883,4500,7728,4520xe" filled="true" fillcolor="#c0504d" stroked="false">
              <v:path arrowok="t"/>
              <v:fill type="solid"/>
            </v:shape>
            <v:shape style="position:absolute;left:4693;top:2714;width:5014;height:96" id="docshape577" coordorigin="4694,2715" coordsize="5014,96" path="m7618,2762l6552,2762,6608,2759,6667,2754,6864,2731,6937,2724,7016,2718,7099,2715,7187,2715,7281,2718,7381,2727,7488,2741,7601,2761,7618,2762xm8617,2792l8533,2791,8452,2789,8373,2785,8136,2771,8196,2770,8497,2761,8553,2761,8605,2755,8667,2750,8739,2745,8817,2740,8902,2737,8990,2734,9081,2732,9173,2731,9265,2731,9353,2733,9438,2735,9518,2739,9590,2745,9653,2752,9706,2761,9705,2768,9705,2769,9706,2772,9563,2772,9498,2775,9426,2780,9320,2790,8704,2790,8617,2792xm5862,2769l4903,2769,4996,2768,5082,2766,5162,2762,5310,2753,5379,2749,5446,2748,5512,2749,5579,2753,5646,2761,5862,2769xm4694,2790l4695,2778,4695,2776,4695,2775,4695,2771,4694,2761,4803,2767,4903,2769,5862,2769,6032,2776,6071,2777,4969,2777,4885,2778,4793,2782,4694,2790xm7681,2778l6182,2778,6258,2778,6336,2775,6416,2769,6498,2761,6552,2762,7618,2762,7730,2766,7802,2768,7762,2770,7682,2778,7681,2778xm8039,2772l7947,2771,7845,2769,7802,2768,7839,2766,7916,2764,7992,2765,8067,2768,8136,2771,8122,2771,8039,2772xm9706,2790l9668,2778,9620,2772,9563,2772,9706,2772,9707,2777,9707,2781,9706,2790xm5491,2801l5416,2799,5342,2795,5125,2782,5049,2778,4969,2777,6071,2777,6107,2778,7681,2778,7601,2790,5746,2790,5655,2797,5571,2800,5491,2801xm6461,2810l6386,2809,5746,2790,6749,2790,6704,2798,6652,2804,6594,2807,6530,2809,6461,2810xm7089,2809l7019,2808,6952,2806,6885,2803,6817,2797,6749,2790,7601,2790,7319,2804,7238,2807,7162,2808,7089,2809xm8992,2810l8897,2809,8800,2802,8704,2790,9320,2790,9265,2795,9177,2802,9086,2807,8992,2810xe" filled="true" fillcolor="#ffffff" stroked="false">
              <v:path arrowok="t"/>
              <v:fill type="solid"/>
            </v:shape>
            <v:shape style="position:absolute;left:4695;top:2730;width:5012;height:87" id="docshape578" coordorigin="4695,2730" coordsize="5012,87" path="m4695,2761l4793,2744,4911,2734,5041,2730,5179,2731,5315,2736,5443,2744,5555,2753,5646,2761,5680,2760,5723,2759,5826,2758,5950,2756,6089,2755,6381,2755,6521,2758,6649,2761,6756,2759,6879,2758,7014,2759,7155,2761,7441,2765,7578,2764,7701,2761,7815,2745,7925,2739,8035,2743,8150,2750,8275,2759,8414,2766,8573,2768,8754,2761,8929,2760,9083,2761,9216,2765,9334,2769,9439,2771,9534,2773,9706,2761,9706,2778,9706,2790,9578,2808,9438,2816,9143,2815,8995,2808,8854,2800,8721,2794,8604,2790,8483,2798,8343,2801,8189,2800,8030,2796,7874,2791,7729,2789,7601,2788,7548,2788,7501,2790,7454,2790,7399,2790,7271,2786,7129,2783,6979,2779,6833,2776,6698,2776,6638,2778,6536,2785,6451,2800,6383,2806,6295,2809,6191,2809,6075,2808,5948,2805,5813,2800,5671,2795,5388,2786,5248,2781,5115,2779,4990,2778,4876,2779,4778,2783,4695,2790,4695,2761xe" filled="false" stroked="true" strokeweight="3pt" strokecolor="#ffffff">
              <v:path arrowok="t"/>
              <v:stroke dashstyle="solid"/>
            </v:shape>
            <v:shape style="position:absolute;left:720;top:4515;width:12960;height:3137" type="#_x0000_t75" id="docshape579" stroked="false">
              <v:imagedata r:id="rId177" o:title=""/>
            </v:shape>
            <w10:wrap type="none"/>
          </v:group>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7"/>
        <w:rPr>
          <w:rFonts w:ascii="Calibri"/>
          <w:b/>
          <w:sz w:val="16"/>
        </w:rPr>
      </w:pPr>
    </w:p>
    <w:p>
      <w:pPr>
        <w:spacing w:line="1261" w:lineRule="exact" w:before="0"/>
        <w:ind w:left="2077" w:right="2077" w:firstLine="0"/>
        <w:jc w:val="center"/>
        <w:rPr>
          <w:rFonts w:ascii="Calibri"/>
          <w:b/>
          <w:sz w:val="114"/>
        </w:rPr>
      </w:pPr>
      <w:r>
        <w:rPr>
          <w:rFonts w:ascii="Calibri"/>
          <w:b/>
          <w:color w:val="FFFFFF"/>
          <w:sz w:val="114"/>
        </w:rPr>
        <w:t>Counter</w:t>
      </w:r>
      <w:r>
        <w:rPr>
          <w:rFonts w:ascii="Calibri"/>
          <w:b/>
          <w:color w:val="FFFFFF"/>
          <w:spacing w:val="-27"/>
          <w:sz w:val="114"/>
        </w:rPr>
        <w:t> </w:t>
      </w:r>
      <w:r>
        <w:rPr>
          <w:rFonts w:ascii="Calibri"/>
          <w:b/>
          <w:color w:val="FFFFFF"/>
          <w:spacing w:val="-2"/>
          <w:sz w:val="114"/>
        </w:rPr>
        <w:t>Fraud</w:t>
      </w:r>
    </w:p>
    <w:p>
      <w:pPr>
        <w:spacing w:after="0" w:line="1261" w:lineRule="exact"/>
        <w:jc w:val="center"/>
        <w:rPr>
          <w:rFonts w:ascii="Calibri"/>
          <w:sz w:val="114"/>
        </w:rPr>
        <w:sectPr>
          <w:pgSz w:w="14400" w:h="10800" w:orient="landscape"/>
          <w:pgMar w:header="0" w:footer="173" w:top="0" w:bottom="360" w:left="0" w:right="0"/>
        </w:sectPr>
      </w:pPr>
    </w:p>
    <w:p>
      <w:pPr>
        <w:pStyle w:val="BodyText"/>
        <w:rPr>
          <w:rFonts w:ascii="Calibri"/>
          <w:b/>
          <w:sz w:val="20"/>
        </w:rPr>
      </w:pPr>
      <w:r>
        <w:rPr/>
        <w:pict>
          <v:group style="position:absolute;margin-left:0pt;margin-top:0pt;width:720pt;height:226pt;mso-position-horizontal-relative:page;mso-position-vertical-relative:page;z-index:15843840" id="docshapegroup580" coordorigin="0,0" coordsize="14400,4520">
            <v:shape style="position:absolute;left:0;top:0;width:14400;height:4520" id="docshape581" coordorigin="0,0" coordsize="14400,4520" path="m10724,4040l2869,4040,2633,3980,3087,3980,3055,3972,3049,3960,2064,3700,1989,3660,1689,3580,1614,3540,1464,3500,1389,3460,1239,3420,1165,3380,1016,3340,941,3300,867,3280,793,3240,719,3220,644,3180,570,3160,497,3120,0,2900,0,0,14400,0,14400,3000,14245,3060,14170,3100,14094,3120,14019,3160,13867,3200,13714,3260,13560,3300,13482,3340,13249,3400,13172,3440,12782,3540,12704,3580,11605,3860,11526,3860,11131,3960,11049,3960,10724,4040xm11559,4080l11119,4080,11357,4020,11437,4020,11917,3900,11997,3900,12710,3720,12787,3680,13251,3560,13328,3520,13559,3460,13636,3420,13866,3360,13943,3320,14019,3300,14095,3260,14171,3240,14400,3140,14400,3240,13972,3400,13897,3420,13822,3460,13673,3500,13598,3540,13298,3620,13222,3660,12020,3980,11945,3980,11794,4020,11559,4080xm3060,3980l2554,3980,2318,3920,2240,3920,1926,3840,1848,3840,1226,3680,1149,3680,766,3580,690,3540,157,3400,81,3360,0,3340,0,3260,86,3280,241,3320,319,3360,1782,3740,1859,3740,2167,3820,2244,3820,2475,3880,2552,3880,2782,3940,2859,3940,2935,3960,3011,3960,3055,3972,3060,3980xm9911,4180l3745,4180,3585,4140,3506,4140,3426,4120,3347,4120,3187,4080,3108,4080,2949,4040,10643,4040,10398,4100,10317,4100,10072,4160,9990,4160,9911,4180xm10691,4240l10109,4240,10186,4220,10264,4220,10419,4180,10497,4180,10575,4160,10653,4160,10809,4120,10886,4120,11042,4080,11480,4080,11244,4140,11166,4140,10929,4200,10851,4200,10691,4240xm9672,4220l4066,4220,3984,4200,3904,4200,3824,4180,9831,4180,9672,4220xm8211,4400l5443,4400,5366,4380,5288,4380,5211,4360,5133,4360,5051,4340,4969,4340,4887,4320,4805,4320,4723,4300,4641,4300,4559,4280,4148,4220,9592,4220,9512,4240,9433,4240,9353,4260,9273,4260,9193,4280,9113,4280,8211,4400xm10531,4260l9955,4260,10032,4240,10611,4240,10531,4260xm10292,4300l9569,4300,9646,4280,9800,4280,9877,4260,10452,4260,10292,4300xm10132,4320l9415,4320,9492,4300,10212,4300,10132,4320xm9979,4340l9260,4340,9337,4320,10055,4320,9979,4340xm9825,4360l9029,4360,9106,4340,9902,4340,9825,4360xm9672,4380l8787,4380,8869,4360,9749,4360,9672,4380xm9442,4400l8459,4400,8541,4380,9519,4380,9442,4400xm8020,4420l5598,4420,5520,4400,8131,4400,8125,4408,8020,4420xm9289,4420l8116,4420,8125,4408,8192,4400,9365,4400,9289,4420xm9054,4440l5831,4440,5753,4420,9132,4420,9054,4440xm8819,4460l6141,4460,6063,4440,8897,4440,8819,4460xm8505,4480l6448,4480,6372,4460,8584,4460,8505,4480xm8192,4500l6754,4500,6678,4480,8270,4480,8192,4500xm7728,4520l7060,4520,6984,4500,7883,4500,7728,4520xe" filled="true" fillcolor="#c0504d" stroked="false">
              <v:path arrowok="t"/>
              <v:fill type="solid"/>
            </v:shape>
            <v:shape style="position:absolute;left:4693;top:2714;width:5014;height:96" id="docshape582" coordorigin="4694,2715" coordsize="5014,96" path="m7618,2762l6552,2762,6608,2759,6667,2754,6864,2731,6937,2724,7016,2718,7099,2715,7187,2715,7281,2718,7381,2727,7488,2741,7601,2761,7618,2762xm8617,2792l8533,2791,8452,2789,8373,2785,8136,2771,8196,2770,8497,2761,8553,2761,8605,2755,8667,2750,8739,2745,8817,2740,8902,2737,8990,2734,9081,2732,9173,2731,9265,2731,9353,2733,9438,2735,9518,2739,9590,2745,9653,2752,9706,2761,9705,2768,9705,2769,9706,2772,9563,2772,9498,2775,9426,2780,9320,2790,8704,2790,8617,2792xm5862,2769l4903,2769,4996,2768,5082,2766,5162,2762,5310,2753,5379,2749,5446,2748,5512,2749,5579,2753,5646,2761,5862,2769xm4694,2790l4695,2778,4695,2776,4695,2775,4695,2771,4694,2761,4803,2767,4903,2769,5862,2769,6032,2776,6071,2777,4969,2777,4885,2778,4793,2782,4694,2790xm7681,2778l6182,2778,6258,2778,6336,2775,6416,2769,6498,2761,6552,2762,7618,2762,7730,2766,7802,2768,7762,2770,7682,2778,7681,2778xm8039,2772l7947,2771,7845,2769,7802,2768,7839,2766,7916,2764,7992,2765,8067,2768,8136,2771,8122,2771,8039,2772xm9706,2790l9668,2778,9620,2772,9563,2772,9706,2772,9707,2777,9707,2781,9706,2790xm5491,2801l5416,2799,5342,2795,5125,2782,5049,2778,4969,2777,6071,2777,6107,2778,7681,2778,7601,2790,5746,2790,5655,2797,5571,2800,5491,2801xm6461,2810l6386,2809,5746,2790,6749,2790,6704,2798,6652,2804,6594,2807,6530,2809,6461,2810xm7089,2809l7019,2808,6952,2806,6885,2803,6817,2797,6749,2790,7601,2790,7319,2804,7238,2807,7162,2808,7089,2809xm8992,2810l8897,2809,8800,2802,8704,2790,9320,2790,9265,2795,9177,2802,9086,2807,8992,2810xe" filled="true" fillcolor="#ffffff" stroked="false">
              <v:path arrowok="t"/>
              <v:fill type="solid"/>
            </v:shape>
            <v:shape style="position:absolute;left:4695;top:2730;width:5012;height:87" id="docshape583" coordorigin="4695,2730" coordsize="5012,87" path="m4695,2761l4793,2744,4911,2734,5041,2730,5179,2731,5315,2736,5443,2744,5555,2753,5646,2761,5680,2760,5723,2759,5826,2758,5950,2756,6089,2755,6381,2755,6521,2758,6649,2761,6756,2759,6879,2758,7014,2759,7155,2761,7441,2765,7578,2764,7701,2761,7815,2745,7925,2739,8035,2743,8150,2750,8275,2759,8414,2766,8573,2768,8754,2761,8929,2760,9083,2761,9216,2765,9334,2769,9439,2771,9534,2773,9706,2761,9706,2778,9706,2790,9578,2808,9438,2816,9143,2815,8995,2808,8854,2800,8721,2794,8604,2790,8483,2798,8343,2801,8189,2800,8030,2796,7874,2791,7729,2789,7601,2788,7548,2788,7501,2790,7454,2790,7399,2790,7271,2786,7129,2783,6979,2779,6833,2776,6698,2776,6638,2778,6536,2785,6451,2800,6383,2806,6295,2809,6191,2809,6075,2808,5948,2805,5813,2800,5671,2795,5388,2786,5248,2781,5115,2779,4990,2778,4876,2779,4778,2783,4695,2790,4695,2761xe" filled="false" stroked="true" strokeweight="3pt" strokecolor="#ffffff">
              <v:path arrowok="t"/>
              <v:stroke dashstyle="solid"/>
            </v:shape>
            <v:shape style="position:absolute;left:0;top:0;width:14400;height:4520" type="#_x0000_t202" id="docshape584" filled="false" stroked="false">
              <v:textbox inset="0,0,0,0">
                <w:txbxContent>
                  <w:p>
                    <w:pPr>
                      <w:spacing w:line="240" w:lineRule="auto" w:before="10"/>
                      <w:rPr>
                        <w:rFonts w:ascii="Calibri"/>
                        <w:b/>
                        <w:sz w:val="85"/>
                      </w:rPr>
                    </w:pPr>
                  </w:p>
                  <w:p>
                    <w:pPr>
                      <w:spacing w:before="1"/>
                      <w:ind w:left="2077" w:right="2079" w:firstLine="0"/>
                      <w:jc w:val="center"/>
                      <w:rPr>
                        <w:rFonts w:ascii="Calibri"/>
                        <w:b/>
                        <w:sz w:val="114"/>
                      </w:rPr>
                    </w:pPr>
                    <w:r>
                      <w:rPr>
                        <w:rFonts w:ascii="Calibri"/>
                        <w:b/>
                        <w:color w:val="FFFFFF"/>
                        <w:spacing w:val="-2"/>
                        <w:sz w:val="114"/>
                      </w:rPr>
                      <w:t>Finance</w:t>
                    </w:r>
                  </w:p>
                </w:txbxContent>
              </v:textbox>
              <w10:wrap type="none"/>
            </v:shape>
            <w10:wrap type="none"/>
          </v:group>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3" w:after="1"/>
        <w:rPr>
          <w:rFonts w:ascii="Calibri"/>
          <w:b/>
          <w:sz w:val="26"/>
        </w:rPr>
      </w:pPr>
    </w:p>
    <w:p>
      <w:pPr>
        <w:pStyle w:val="BodyText"/>
        <w:ind w:left="1220"/>
        <w:rPr>
          <w:rFonts w:ascii="Calibri"/>
          <w:sz w:val="20"/>
        </w:rPr>
      </w:pPr>
      <w:r>
        <w:rPr>
          <w:rFonts w:ascii="Calibri"/>
          <w:sz w:val="20"/>
        </w:rPr>
        <w:drawing>
          <wp:inline distT="0" distB="0" distL="0" distR="0">
            <wp:extent cx="7499923" cy="2822638"/>
            <wp:effectExtent l="0" t="0" r="0" b="0"/>
            <wp:docPr id="201" name="image91.png"/>
            <wp:cNvGraphicFramePr>
              <a:graphicFrameLocks noChangeAspect="1"/>
            </wp:cNvGraphicFramePr>
            <a:graphic>
              <a:graphicData uri="http://schemas.openxmlformats.org/drawingml/2006/picture">
                <pic:pic>
                  <pic:nvPicPr>
                    <pic:cNvPr id="202" name="image91.png"/>
                    <pic:cNvPicPr/>
                  </pic:nvPicPr>
                  <pic:blipFill>
                    <a:blip r:embed="rId178" cstate="print"/>
                    <a:stretch>
                      <a:fillRect/>
                    </a:stretch>
                  </pic:blipFill>
                  <pic:spPr>
                    <a:xfrm>
                      <a:off x="0" y="0"/>
                      <a:ext cx="7499923" cy="2822638"/>
                    </a:xfrm>
                    <a:prstGeom prst="rect">
                      <a:avLst/>
                    </a:prstGeom>
                  </pic:spPr>
                </pic:pic>
              </a:graphicData>
            </a:graphic>
          </wp:inline>
        </w:drawing>
      </w:r>
      <w:r>
        <w:rPr>
          <w:rFonts w:ascii="Calibri"/>
          <w:sz w:val="20"/>
        </w:rPr>
      </w:r>
    </w:p>
    <w:p>
      <w:pPr>
        <w:spacing w:after="0"/>
        <w:rPr>
          <w:rFonts w:ascii="Calibri"/>
          <w:sz w:val="20"/>
        </w:rPr>
        <w:sectPr>
          <w:pgSz w:w="14400" w:h="10800" w:orient="landscape"/>
          <w:pgMar w:header="0" w:footer="173" w:top="0" w:bottom="360" w:left="0" w:right="0"/>
        </w:sectPr>
      </w:pPr>
    </w:p>
    <w:p>
      <w:pPr>
        <w:pStyle w:val="BodyText"/>
        <w:rPr>
          <w:rFonts w:ascii="Calibri"/>
          <w:b/>
          <w:sz w:val="20"/>
        </w:rPr>
      </w:pPr>
      <w:r>
        <w:rPr/>
        <w:pict>
          <v:group style="position:absolute;margin-left:0pt;margin-top:0pt;width:720pt;height:226pt;mso-position-horizontal-relative:page;mso-position-vertical-relative:page;z-index:15844352" id="docshapegroup585" coordorigin="0,0" coordsize="14400,4520">
            <v:shape style="position:absolute;left:0;top:0;width:14400;height:4520" id="docshape586" coordorigin="0,0" coordsize="14400,4520" path="m10724,4040l2869,4040,2633,3980,3087,3980,3055,3972,3049,3960,2064,3700,1989,3660,1689,3580,1614,3540,1464,3500,1389,3460,1239,3420,1165,3380,1016,3340,941,3300,867,3280,793,3240,719,3220,644,3180,570,3160,497,3120,0,2900,0,0,14400,0,14400,3000,14245,3060,14170,3100,14094,3120,14019,3160,13867,3200,13714,3260,13560,3300,13482,3340,13249,3400,13172,3440,12782,3540,12704,3580,11605,3860,11526,3860,11131,3960,11049,3960,10724,4040xm11559,4080l11119,4080,11357,4020,11437,4020,11917,3900,11997,3900,12710,3720,12787,3680,13251,3560,13328,3520,13559,3460,13636,3420,13866,3360,13943,3320,14019,3300,14095,3260,14171,3240,14400,3140,14400,3240,13972,3400,13897,3420,13822,3460,13673,3500,13598,3540,13298,3620,13222,3660,12020,3980,11945,3980,11794,4020,11559,4080xm3060,3980l2554,3980,2318,3920,2240,3920,1926,3840,1848,3840,1226,3680,1149,3680,766,3580,690,3540,157,3400,81,3360,0,3340,0,3260,86,3280,241,3320,319,3360,1782,3740,1859,3740,2167,3820,2244,3820,2475,3880,2552,3880,2782,3940,2859,3940,2935,3960,3011,3960,3055,3972,3060,3980xm9911,4180l3745,4180,3585,4140,3506,4140,3426,4120,3347,4120,3187,4080,3108,4080,2949,4040,10643,4040,10398,4100,10317,4100,10072,4160,9990,4160,9911,4180xm10691,4240l10109,4240,10186,4220,10264,4220,10419,4180,10497,4180,10575,4160,10653,4160,10809,4120,10886,4120,11042,4080,11480,4080,11244,4140,11166,4140,10929,4200,10851,4200,10691,4240xm9672,4220l4066,4220,3984,4200,3904,4200,3824,4180,9831,4180,9672,4220xm8211,4400l5443,4400,5366,4380,5288,4380,5211,4360,5133,4360,5051,4340,4969,4340,4887,4320,4805,4320,4723,4300,4641,4300,4559,4280,4148,4220,9592,4220,9512,4240,9433,4240,9353,4260,9273,4260,9193,4280,9113,4280,8211,4400xm10531,4260l9955,4260,10032,4240,10611,4240,10531,4260xm10292,4300l9569,4300,9646,4280,9800,4280,9877,4260,10452,4260,10292,4300xm10132,4320l9415,4320,9492,4300,10212,4300,10132,4320xm9979,4340l9260,4340,9337,4320,10055,4320,9979,4340xm9825,4360l9029,4360,9106,4340,9902,4340,9825,4360xm9672,4380l8787,4380,8869,4360,9749,4360,9672,4380xm9442,4400l8459,4400,8541,4380,9519,4380,9442,4400xm8020,4420l5598,4420,5520,4400,8131,4400,8125,4408,8020,4420xm9289,4420l8116,4420,8125,4408,8192,4400,9365,4400,9289,4420xm9054,4440l5831,4440,5753,4420,9132,4420,9054,4440xm8819,4460l6141,4460,6063,4440,8897,4440,8819,4460xm8505,4480l6448,4480,6372,4460,8584,4460,8505,4480xm8192,4500l6754,4500,6678,4480,8270,4480,8192,4500xm7728,4520l7060,4520,6984,4500,7883,4500,7728,4520xe" filled="true" fillcolor="#c0504d" stroked="false">
              <v:path arrowok="t"/>
              <v:fill type="solid"/>
            </v:shape>
            <v:shape style="position:absolute;left:4693;top:2714;width:5014;height:96" id="docshape587" coordorigin="4694,2715" coordsize="5014,96" path="m7618,2762l6552,2762,6608,2759,6667,2754,6864,2731,6937,2724,7016,2718,7099,2715,7187,2715,7281,2718,7381,2727,7488,2741,7601,2761,7618,2762xm8617,2792l8533,2791,8452,2789,8373,2785,8136,2771,8196,2770,8497,2761,8553,2761,8605,2755,8667,2750,8739,2745,8817,2740,8902,2737,8990,2734,9081,2732,9173,2731,9265,2731,9353,2733,9438,2735,9518,2739,9590,2745,9653,2752,9706,2761,9705,2768,9705,2769,9706,2772,9563,2772,9498,2775,9426,2780,9320,2790,8704,2790,8617,2792xm5862,2769l4903,2769,4996,2768,5082,2766,5162,2762,5310,2753,5379,2749,5446,2748,5512,2749,5579,2753,5646,2761,5862,2769xm4694,2790l4695,2778,4695,2776,4695,2775,4695,2771,4694,2761,4803,2767,4903,2769,5862,2769,6032,2776,6071,2777,4969,2777,4885,2778,4793,2782,4694,2790xm7681,2778l6182,2778,6258,2778,6336,2775,6416,2769,6498,2761,6552,2762,7618,2762,7730,2766,7802,2768,7762,2770,7682,2778,7681,2778xm8039,2772l7947,2771,7845,2769,7802,2768,7839,2766,7916,2764,7992,2765,8067,2768,8136,2771,8122,2771,8039,2772xm9706,2790l9668,2778,9620,2772,9563,2772,9706,2772,9707,2777,9707,2781,9706,2790xm5491,2801l5416,2799,5342,2795,5125,2782,5049,2778,4969,2777,6071,2777,6107,2778,7681,2778,7601,2790,5746,2790,5655,2797,5571,2800,5491,2801xm6461,2810l6386,2809,5746,2790,6749,2790,6704,2798,6652,2804,6594,2807,6530,2809,6461,2810xm7089,2809l7019,2808,6952,2806,6885,2803,6817,2797,6749,2790,7601,2790,7319,2804,7238,2807,7162,2808,7089,2809xm8992,2810l8897,2809,8800,2802,8704,2790,9320,2790,9265,2795,9177,2802,9086,2807,8992,2810xe" filled="true" fillcolor="#ffffff" stroked="false">
              <v:path arrowok="t"/>
              <v:fill type="solid"/>
            </v:shape>
            <v:shape style="position:absolute;left:4695;top:2730;width:5012;height:87" id="docshape588" coordorigin="4695,2730" coordsize="5012,87" path="m4695,2761l4793,2744,4911,2734,5041,2730,5179,2731,5315,2736,5443,2744,5555,2753,5646,2761,5680,2760,5723,2759,5826,2758,5950,2756,6089,2755,6381,2755,6521,2758,6649,2761,6756,2759,6879,2758,7014,2759,7155,2761,7441,2765,7578,2764,7701,2761,7815,2745,7925,2739,8035,2743,8150,2750,8275,2759,8414,2766,8573,2768,8754,2761,8929,2760,9083,2761,9216,2765,9334,2769,9439,2771,9534,2773,9706,2761,9706,2778,9706,2790,9578,2808,9438,2816,9143,2815,8995,2808,8854,2800,8721,2794,8604,2790,8483,2798,8343,2801,8189,2800,8030,2796,7874,2791,7729,2789,7601,2788,7548,2788,7501,2790,7454,2790,7399,2790,7271,2786,7129,2783,6979,2779,6833,2776,6698,2776,6638,2778,6536,2785,6451,2800,6383,2806,6295,2809,6191,2809,6075,2808,5948,2805,5813,2800,5671,2795,5388,2786,5248,2781,5115,2779,4990,2778,4876,2779,4778,2783,4695,2790,4695,2761xe" filled="false" stroked="true" strokeweight="3pt" strokecolor="#ffffff">
              <v:path arrowok="t"/>
              <v:stroke dashstyle="solid"/>
            </v:shape>
            <v:shape style="position:absolute;left:0;top:0;width:14400;height:4520" type="#_x0000_t202" id="docshape589" filled="false" stroked="false">
              <v:textbox inset="0,0,0,0">
                <w:txbxContent>
                  <w:p>
                    <w:pPr>
                      <w:spacing w:line="240" w:lineRule="auto" w:before="2"/>
                      <w:rPr>
                        <w:rFonts w:ascii="Calibri"/>
                        <w:b/>
                        <w:sz w:val="90"/>
                      </w:rPr>
                    </w:pPr>
                  </w:p>
                  <w:p>
                    <w:pPr>
                      <w:spacing w:before="1"/>
                      <w:ind w:left="2077" w:right="2078" w:firstLine="0"/>
                      <w:jc w:val="center"/>
                      <w:rPr>
                        <w:rFonts w:ascii="Calibri"/>
                        <w:b/>
                        <w:sz w:val="106"/>
                      </w:rPr>
                    </w:pPr>
                    <w:r>
                      <w:rPr>
                        <w:rFonts w:ascii="Calibri"/>
                        <w:b/>
                        <w:color w:val="FFFFFF"/>
                        <w:sz w:val="106"/>
                      </w:rPr>
                      <w:t>Health</w:t>
                    </w:r>
                    <w:r>
                      <w:rPr>
                        <w:rFonts w:ascii="Calibri"/>
                        <w:b/>
                        <w:color w:val="FFFFFF"/>
                        <w:spacing w:val="-1"/>
                        <w:sz w:val="106"/>
                      </w:rPr>
                      <w:t> </w:t>
                    </w:r>
                    <w:r>
                      <w:rPr>
                        <w:rFonts w:ascii="Calibri"/>
                        <w:b/>
                        <w:color w:val="FFFFFF"/>
                        <w:sz w:val="106"/>
                      </w:rPr>
                      <w:t>&amp; </w:t>
                    </w:r>
                    <w:r>
                      <w:rPr>
                        <w:rFonts w:ascii="Calibri"/>
                        <w:b/>
                        <w:color w:val="FFFFFF"/>
                        <w:spacing w:val="-2"/>
                        <w:sz w:val="106"/>
                      </w:rPr>
                      <w:t>Safety</w:t>
                    </w:r>
                  </w:p>
                </w:txbxContent>
              </v:textbox>
              <w10:wrap type="none"/>
            </v:shape>
            <w10:wrap type="none"/>
          </v:group>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7"/>
        <w:rPr>
          <w:rFonts w:ascii="Calibri"/>
          <w:b/>
          <w:sz w:val="26"/>
        </w:rPr>
      </w:pPr>
    </w:p>
    <w:p>
      <w:pPr>
        <w:pStyle w:val="BodyText"/>
        <w:ind w:left="1220"/>
        <w:rPr>
          <w:rFonts w:ascii="Calibri"/>
          <w:sz w:val="20"/>
        </w:rPr>
      </w:pPr>
      <w:r>
        <w:rPr>
          <w:rFonts w:ascii="Calibri"/>
          <w:sz w:val="20"/>
        </w:rPr>
        <w:drawing>
          <wp:inline distT="0" distB="0" distL="0" distR="0">
            <wp:extent cx="7504823" cy="1596771"/>
            <wp:effectExtent l="0" t="0" r="0" b="0"/>
            <wp:docPr id="203" name="image92.png"/>
            <wp:cNvGraphicFramePr>
              <a:graphicFrameLocks noChangeAspect="1"/>
            </wp:cNvGraphicFramePr>
            <a:graphic>
              <a:graphicData uri="http://schemas.openxmlformats.org/drawingml/2006/picture">
                <pic:pic>
                  <pic:nvPicPr>
                    <pic:cNvPr id="204" name="image92.png"/>
                    <pic:cNvPicPr/>
                  </pic:nvPicPr>
                  <pic:blipFill>
                    <a:blip r:embed="rId179" cstate="print"/>
                    <a:stretch>
                      <a:fillRect/>
                    </a:stretch>
                  </pic:blipFill>
                  <pic:spPr>
                    <a:xfrm>
                      <a:off x="0" y="0"/>
                      <a:ext cx="7504823" cy="1596771"/>
                    </a:xfrm>
                    <a:prstGeom prst="rect">
                      <a:avLst/>
                    </a:prstGeom>
                  </pic:spPr>
                </pic:pic>
              </a:graphicData>
            </a:graphic>
          </wp:inline>
        </w:drawing>
      </w:r>
      <w:r>
        <w:rPr>
          <w:rFonts w:ascii="Calibri"/>
          <w:sz w:val="20"/>
        </w:rPr>
      </w:r>
    </w:p>
    <w:p>
      <w:pPr>
        <w:spacing w:after="0"/>
        <w:rPr>
          <w:rFonts w:ascii="Calibri"/>
          <w:sz w:val="20"/>
        </w:rPr>
        <w:sectPr>
          <w:pgSz w:w="14400" w:h="10800" w:orient="landscape"/>
          <w:pgMar w:header="0" w:footer="173" w:top="0" w:bottom="360" w:left="0" w:right="0"/>
        </w:sectPr>
      </w:pPr>
    </w:p>
    <w:p>
      <w:pPr>
        <w:pStyle w:val="BodyText"/>
        <w:rPr>
          <w:rFonts w:ascii="Calibri"/>
          <w:b/>
          <w:sz w:val="20"/>
        </w:rPr>
      </w:pPr>
      <w:r>
        <w:rPr/>
        <w:pict>
          <v:group style="position:absolute;margin-left:0pt;margin-top:0pt;width:720pt;height:226pt;mso-position-horizontal-relative:page;mso-position-vertical-relative:page;z-index:15844864" id="docshapegroup590" coordorigin="0,0" coordsize="14400,4520">
            <v:shape style="position:absolute;left:0;top:0;width:14400;height:4520" id="docshape591" coordorigin="0,0" coordsize="14400,4520" path="m10724,4040l2869,4040,2633,3980,3087,3980,3055,3972,3049,3960,2064,3700,1989,3660,1689,3580,1614,3540,1464,3500,1389,3460,1239,3420,1165,3380,1016,3340,941,3300,867,3280,793,3240,719,3220,644,3180,570,3160,497,3120,0,2900,0,0,14400,0,14400,3000,14245,3060,14170,3100,14094,3120,14019,3160,13867,3200,13714,3260,13560,3300,13482,3340,13249,3400,13172,3440,12782,3540,12704,3580,11605,3860,11526,3860,11131,3960,11049,3960,10724,4040xm11559,4080l11119,4080,11357,4020,11437,4020,11917,3900,11997,3900,12710,3720,12787,3680,13251,3560,13328,3520,13559,3460,13636,3420,13866,3360,13943,3320,14019,3300,14095,3260,14171,3240,14400,3140,14400,3240,13972,3400,13897,3420,13822,3460,13673,3500,13598,3540,13298,3620,13222,3660,12020,3980,11945,3980,11794,4020,11559,4080xm3060,3980l2554,3980,2318,3920,2240,3920,1926,3840,1848,3840,1226,3680,1149,3680,766,3580,690,3540,157,3400,81,3360,0,3340,0,3260,86,3280,241,3320,319,3360,1782,3740,1859,3740,2167,3820,2244,3820,2475,3880,2552,3880,2782,3940,2859,3940,2935,3960,3011,3960,3055,3972,3060,3980xm9911,4180l3745,4180,3585,4140,3506,4140,3426,4120,3347,4120,3187,4080,3108,4080,2949,4040,10643,4040,10398,4100,10317,4100,10072,4160,9990,4160,9911,4180xm10691,4240l10109,4240,10186,4220,10264,4220,10419,4180,10497,4180,10575,4160,10653,4160,10809,4120,10886,4120,11042,4080,11480,4080,11244,4140,11166,4140,10929,4200,10851,4200,10691,4240xm9672,4220l4066,4220,3984,4200,3904,4200,3824,4180,9831,4180,9672,4220xm8211,4400l5443,4400,5366,4380,5288,4380,5211,4360,5133,4360,5051,4340,4969,4340,4887,4320,4805,4320,4723,4300,4641,4300,4559,4280,4148,4220,9592,4220,9512,4240,9433,4240,9353,4260,9273,4260,9193,4280,9113,4280,8211,4400xm10531,4260l9955,4260,10032,4240,10611,4240,10531,4260xm10292,4300l9569,4300,9646,4280,9800,4280,9877,4260,10452,4260,10292,4300xm10132,4320l9415,4320,9492,4300,10212,4300,10132,4320xm9979,4340l9260,4340,9337,4320,10055,4320,9979,4340xm9825,4360l9029,4360,9106,4340,9902,4340,9825,4360xm9672,4380l8787,4380,8869,4360,9749,4360,9672,4380xm9442,4400l8459,4400,8541,4380,9519,4380,9442,4400xm8020,4420l5598,4420,5520,4400,8131,4400,8125,4408,8020,4420xm9289,4420l8116,4420,8125,4408,8192,4400,9365,4400,9289,4420xm9054,4440l5831,4440,5753,4420,9132,4420,9054,4440xm8819,4460l6141,4460,6063,4440,8897,4440,8819,4460xm8505,4480l6448,4480,6372,4460,8584,4460,8505,4480xm8192,4500l6754,4500,6678,4480,8270,4480,8192,4500xm7728,4520l7060,4520,6984,4500,7883,4500,7728,4520xe" filled="true" fillcolor="#c0504d" stroked="false">
              <v:path arrowok="t"/>
              <v:fill type="solid"/>
            </v:shape>
            <v:shape style="position:absolute;left:4693;top:2714;width:5014;height:96" id="docshape592" coordorigin="4694,2715" coordsize="5014,96" path="m7618,2762l6552,2762,6608,2759,6667,2754,6864,2731,6937,2724,7016,2718,7099,2715,7187,2715,7281,2718,7381,2727,7488,2741,7601,2761,7618,2762xm8617,2792l8533,2791,8452,2789,8373,2785,8136,2771,8196,2770,8497,2761,8553,2761,8605,2755,8667,2750,8739,2745,8817,2740,8902,2737,8990,2734,9081,2732,9173,2731,9265,2731,9353,2733,9438,2735,9518,2739,9590,2745,9653,2752,9706,2761,9705,2768,9705,2769,9706,2772,9563,2772,9498,2775,9426,2780,9320,2790,8704,2790,8617,2792xm5862,2769l4903,2769,4996,2768,5082,2766,5162,2762,5310,2753,5379,2749,5446,2748,5512,2749,5579,2753,5646,2761,5862,2769xm4694,2790l4695,2778,4695,2776,4695,2775,4695,2771,4694,2761,4803,2767,4903,2769,5862,2769,6032,2776,6071,2777,4969,2777,4885,2778,4793,2782,4694,2790xm7681,2778l6182,2778,6258,2778,6336,2775,6416,2769,6498,2761,6552,2762,7618,2762,7730,2766,7802,2768,7762,2770,7682,2778,7681,2778xm8039,2772l7947,2771,7845,2769,7802,2768,7839,2766,7916,2764,7992,2765,8067,2768,8136,2771,8122,2771,8039,2772xm9706,2790l9668,2778,9620,2772,9563,2772,9706,2772,9707,2777,9707,2781,9706,2790xm5491,2801l5416,2799,5342,2795,5125,2782,5049,2778,4969,2777,6071,2777,6107,2778,7681,2778,7601,2790,5746,2790,5655,2797,5571,2800,5491,2801xm6461,2810l6386,2809,5746,2790,6749,2790,6704,2798,6652,2804,6594,2807,6530,2809,6461,2810xm7089,2809l7019,2808,6952,2806,6885,2803,6817,2797,6749,2790,7601,2790,7319,2804,7238,2807,7162,2808,7089,2809xm8992,2810l8897,2809,8800,2802,8704,2790,9320,2790,9265,2795,9177,2802,9086,2807,8992,2810xe" filled="true" fillcolor="#ffffff" stroked="false">
              <v:path arrowok="t"/>
              <v:fill type="solid"/>
            </v:shape>
            <v:shape style="position:absolute;left:4695;top:2730;width:5012;height:87" id="docshape593" coordorigin="4695,2730" coordsize="5012,87" path="m4695,2761l4793,2744,4911,2734,5041,2730,5179,2731,5315,2736,5443,2744,5555,2753,5646,2761,5680,2760,5723,2759,5826,2758,5950,2756,6089,2755,6381,2755,6521,2758,6649,2761,6756,2759,6879,2758,7014,2759,7155,2761,7441,2765,7578,2764,7701,2761,7815,2745,7925,2739,8035,2743,8150,2750,8275,2759,8414,2766,8573,2768,8754,2761,8929,2760,9083,2761,9216,2765,9334,2769,9439,2771,9534,2773,9706,2761,9706,2778,9706,2790,9578,2808,9438,2816,9143,2815,8995,2808,8854,2800,8721,2794,8604,2790,8483,2798,8343,2801,8189,2800,8030,2796,7874,2791,7729,2789,7601,2788,7548,2788,7501,2790,7454,2790,7399,2790,7271,2786,7129,2783,6979,2779,6833,2776,6698,2776,6638,2778,6536,2785,6451,2800,6383,2806,6295,2809,6191,2809,6075,2808,5948,2805,5813,2800,5671,2795,5388,2786,5248,2781,5115,2779,4990,2778,4876,2779,4778,2783,4695,2790,4695,2761xe" filled="false" stroked="true" strokeweight="3pt" strokecolor="#ffffff">
              <v:path arrowok="t"/>
              <v:stroke dashstyle="solid"/>
            </v:shape>
            <v:shape style="position:absolute;left:0;top:0;width:14400;height:4520" type="#_x0000_t202" id="docshape594" filled="false" stroked="false">
              <v:textbox inset="0,0,0,0">
                <w:txbxContent>
                  <w:p>
                    <w:pPr>
                      <w:spacing w:line="240" w:lineRule="auto" w:before="10"/>
                      <w:rPr>
                        <w:rFonts w:ascii="Calibri"/>
                        <w:b/>
                        <w:sz w:val="85"/>
                      </w:rPr>
                    </w:pPr>
                  </w:p>
                  <w:p>
                    <w:pPr>
                      <w:spacing w:before="1"/>
                      <w:ind w:left="2077" w:right="2081" w:firstLine="0"/>
                      <w:jc w:val="center"/>
                      <w:rPr>
                        <w:rFonts w:ascii="Calibri"/>
                        <w:b/>
                        <w:sz w:val="114"/>
                      </w:rPr>
                    </w:pPr>
                    <w:r>
                      <w:rPr>
                        <w:rFonts w:ascii="Calibri"/>
                        <w:b/>
                        <w:color w:val="FFFFFF"/>
                        <w:sz w:val="114"/>
                      </w:rPr>
                      <w:t>Laundry</w:t>
                    </w:r>
                    <w:r>
                      <w:rPr>
                        <w:rFonts w:ascii="Calibri"/>
                        <w:b/>
                        <w:color w:val="FFFFFF"/>
                        <w:spacing w:val="2"/>
                        <w:sz w:val="114"/>
                      </w:rPr>
                      <w:t> </w:t>
                    </w:r>
                    <w:r>
                      <w:rPr>
                        <w:rFonts w:ascii="Calibri"/>
                        <w:b/>
                        <w:color w:val="FFFFFF"/>
                        <w:spacing w:val="-2"/>
                        <w:sz w:val="114"/>
                      </w:rPr>
                      <w:t>Services</w:t>
                    </w:r>
                  </w:p>
                </w:txbxContent>
              </v:textbox>
              <w10:wrap type="none"/>
            </v:shape>
            <w10:wrap type="none"/>
          </v:group>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10" w:after="1"/>
        <w:rPr>
          <w:rFonts w:ascii="Calibri"/>
          <w:b/>
          <w:sz w:val="10"/>
        </w:rPr>
      </w:pPr>
    </w:p>
    <w:p>
      <w:pPr>
        <w:pStyle w:val="BodyText"/>
        <w:ind w:left="1220"/>
        <w:rPr>
          <w:rFonts w:ascii="Calibri"/>
          <w:sz w:val="20"/>
        </w:rPr>
      </w:pPr>
      <w:r>
        <w:rPr>
          <w:rFonts w:ascii="Calibri"/>
          <w:sz w:val="20"/>
        </w:rPr>
        <w:drawing>
          <wp:inline distT="0" distB="0" distL="0" distR="0">
            <wp:extent cx="7499426" cy="2451735"/>
            <wp:effectExtent l="0" t="0" r="0" b="0"/>
            <wp:docPr id="205" name="image93.png"/>
            <wp:cNvGraphicFramePr>
              <a:graphicFrameLocks noChangeAspect="1"/>
            </wp:cNvGraphicFramePr>
            <a:graphic>
              <a:graphicData uri="http://schemas.openxmlformats.org/drawingml/2006/picture">
                <pic:pic>
                  <pic:nvPicPr>
                    <pic:cNvPr id="206" name="image93.png"/>
                    <pic:cNvPicPr/>
                  </pic:nvPicPr>
                  <pic:blipFill>
                    <a:blip r:embed="rId180" cstate="print"/>
                    <a:stretch>
                      <a:fillRect/>
                    </a:stretch>
                  </pic:blipFill>
                  <pic:spPr>
                    <a:xfrm>
                      <a:off x="0" y="0"/>
                      <a:ext cx="7499426" cy="2451735"/>
                    </a:xfrm>
                    <a:prstGeom prst="rect">
                      <a:avLst/>
                    </a:prstGeom>
                  </pic:spPr>
                </pic:pic>
              </a:graphicData>
            </a:graphic>
          </wp:inline>
        </w:drawing>
      </w:r>
      <w:r>
        <w:rPr>
          <w:rFonts w:ascii="Calibri"/>
          <w:sz w:val="20"/>
        </w:rPr>
      </w:r>
    </w:p>
    <w:p>
      <w:pPr>
        <w:spacing w:after="0"/>
        <w:rPr>
          <w:rFonts w:ascii="Calibri"/>
          <w:sz w:val="20"/>
        </w:rPr>
        <w:sectPr>
          <w:pgSz w:w="14400" w:h="10800" w:orient="landscape"/>
          <w:pgMar w:header="0" w:footer="173" w:top="0" w:bottom="360" w:left="0" w:right="0"/>
        </w:sectPr>
      </w:pPr>
    </w:p>
    <w:p>
      <w:pPr>
        <w:pStyle w:val="BodyText"/>
        <w:rPr>
          <w:rFonts w:ascii="Calibri"/>
          <w:b/>
          <w:sz w:val="20"/>
        </w:rPr>
      </w:pPr>
      <w:r>
        <w:rPr/>
        <w:pict>
          <v:group style="position:absolute;margin-left:0pt;margin-top:0pt;width:720pt;height:383.85pt;mso-position-horizontal-relative:page;mso-position-vertical-relative:page;z-index:-24074752" id="docshapegroup595" coordorigin="0,0" coordsize="14400,7677">
            <v:shape style="position:absolute;left:0;top:0;width:14400;height:4520" id="docshape596" coordorigin="0,0" coordsize="14400,4520" path="m10724,4040l2869,4040,2633,3980,3087,3980,3055,3972,3049,3960,2064,3700,1989,3660,1689,3580,1614,3540,1464,3500,1389,3460,1239,3420,1165,3380,1016,3340,941,3300,867,3280,793,3240,719,3220,644,3180,570,3160,497,3120,0,2900,0,0,14400,0,14400,3000,14245,3060,14170,3100,14094,3120,14019,3160,13867,3200,13714,3260,13560,3300,13482,3340,13249,3400,13172,3440,12782,3540,12704,3580,11605,3860,11526,3860,11131,3960,11049,3960,10724,4040xm11559,4080l11119,4080,11357,4020,11437,4020,11917,3900,11997,3900,12710,3720,12787,3680,13251,3560,13328,3520,13559,3460,13636,3420,13866,3360,13943,3320,14019,3300,14095,3260,14171,3240,14400,3140,14400,3240,13972,3400,13897,3420,13822,3460,13673,3500,13598,3540,13298,3620,13222,3660,12020,3980,11945,3980,11794,4020,11559,4080xm3060,3980l2554,3980,2318,3920,2240,3920,1926,3840,1848,3840,1226,3680,1149,3680,766,3580,690,3540,157,3400,81,3360,0,3340,0,3260,86,3280,241,3320,319,3360,1782,3740,1859,3740,2167,3820,2244,3820,2475,3880,2552,3880,2782,3940,2859,3940,2935,3960,3011,3960,3055,3972,3060,3980xm9911,4180l3745,4180,3585,4140,3506,4140,3426,4120,3347,4120,3187,4080,3108,4080,2949,4040,10643,4040,10398,4100,10317,4100,10072,4160,9990,4160,9911,4180xm10691,4240l10109,4240,10186,4220,10264,4220,10419,4180,10497,4180,10575,4160,10653,4160,10809,4120,10886,4120,11042,4080,11480,4080,11244,4140,11166,4140,10929,4200,10851,4200,10691,4240xm9672,4220l4066,4220,3984,4200,3904,4200,3824,4180,9831,4180,9672,4220xm8211,4400l5443,4400,5366,4380,5288,4380,5211,4360,5133,4360,5051,4340,4969,4340,4887,4320,4805,4320,4723,4300,4641,4300,4559,4280,4148,4220,9592,4220,9512,4240,9433,4240,9353,4260,9273,4260,9193,4280,9113,4280,8211,4400xm10531,4260l9955,4260,10032,4240,10611,4240,10531,4260xm10292,4300l9569,4300,9646,4280,9800,4280,9877,4260,10452,4260,10292,4300xm10132,4320l9415,4320,9492,4300,10212,4300,10132,4320xm9979,4340l9260,4340,9337,4320,10055,4320,9979,4340xm9825,4360l9029,4360,9106,4340,9902,4340,9825,4360xm9672,4380l8787,4380,8869,4360,9749,4360,9672,4380xm9442,4400l8459,4400,8541,4380,9519,4380,9442,4400xm8020,4420l5598,4420,5520,4400,8131,4400,8125,4408,8020,4420xm9289,4420l8116,4420,8125,4408,8192,4400,9365,4400,9289,4420xm9054,4440l5831,4440,5753,4420,9132,4420,9054,4440xm8819,4460l6141,4460,6063,4440,8897,4440,8819,4460xm8505,4480l6448,4480,6372,4460,8584,4460,8505,4480xm8192,4500l6754,4500,6678,4480,8270,4480,8192,4500xm7728,4520l7060,4520,6984,4500,7883,4500,7728,4520xe" filled="true" fillcolor="#c0504d" stroked="false">
              <v:path arrowok="t"/>
              <v:fill type="solid"/>
            </v:shape>
            <v:shape style="position:absolute;left:4693;top:2714;width:5014;height:96" id="docshape597" coordorigin="4694,2715" coordsize="5014,96" path="m7618,2762l6552,2762,6608,2759,6667,2754,6864,2731,6937,2724,7016,2718,7099,2715,7187,2715,7281,2718,7381,2727,7488,2741,7601,2761,7618,2762xm8617,2792l8533,2791,8452,2789,8373,2785,8136,2771,8196,2770,8497,2761,8553,2761,8605,2755,8667,2750,8739,2745,8817,2740,8902,2737,8990,2734,9081,2732,9173,2731,9265,2731,9353,2733,9438,2735,9518,2739,9590,2745,9653,2752,9706,2761,9705,2768,9705,2769,9706,2772,9563,2772,9498,2775,9426,2780,9320,2790,8704,2790,8617,2792xm5862,2769l4903,2769,4996,2768,5082,2766,5162,2762,5310,2753,5379,2749,5446,2748,5512,2749,5579,2753,5646,2761,5862,2769xm4694,2790l4695,2778,4695,2776,4695,2775,4695,2771,4694,2761,4803,2767,4903,2769,5862,2769,6032,2776,6071,2777,4969,2777,4885,2778,4793,2782,4694,2790xm7681,2778l6182,2778,6258,2778,6336,2775,6416,2769,6498,2761,6552,2762,7618,2762,7730,2766,7802,2768,7762,2770,7682,2778,7681,2778xm8039,2772l7947,2771,7845,2769,7802,2768,7839,2766,7916,2764,7992,2765,8067,2768,8136,2771,8122,2771,8039,2772xm9706,2790l9668,2778,9620,2772,9563,2772,9706,2772,9707,2777,9707,2781,9706,2790xm5491,2801l5416,2799,5342,2795,5125,2782,5049,2778,4969,2777,6071,2777,6107,2778,7681,2778,7601,2790,5746,2790,5655,2797,5571,2800,5491,2801xm6461,2810l6386,2809,5746,2790,6749,2790,6704,2798,6652,2804,6594,2807,6530,2809,6461,2810xm7089,2809l7019,2808,6952,2806,6885,2803,6817,2797,6749,2790,7601,2790,7319,2804,7238,2807,7162,2808,7089,2809xm8992,2810l8897,2809,8800,2802,8704,2790,9320,2790,9265,2795,9177,2802,9086,2807,8992,2810xe" filled="true" fillcolor="#ffffff" stroked="false">
              <v:path arrowok="t"/>
              <v:fill type="solid"/>
            </v:shape>
            <v:shape style="position:absolute;left:4695;top:2730;width:5012;height:87" id="docshape598" coordorigin="4695,2730" coordsize="5012,87" path="m4695,2761l4793,2744,4911,2734,5041,2730,5179,2731,5315,2736,5443,2744,5555,2753,5646,2761,5680,2760,5723,2759,5826,2758,5950,2756,6089,2755,6381,2755,6521,2758,6649,2761,6756,2759,6879,2758,7014,2759,7155,2761,7441,2765,7578,2764,7701,2761,7815,2745,7925,2739,8035,2743,8150,2750,8275,2759,8414,2766,8573,2768,8754,2761,8929,2760,9083,2761,9216,2765,9334,2769,9439,2771,9534,2773,9706,2761,9706,2778,9706,2790,9578,2808,9438,2816,9143,2815,8995,2808,8854,2800,8721,2794,8604,2790,8483,2798,8343,2801,8189,2800,8030,2796,7874,2791,7729,2789,7601,2788,7548,2788,7501,2790,7454,2790,7399,2790,7271,2786,7129,2783,6979,2779,6833,2776,6698,2776,6638,2778,6536,2785,6451,2800,6383,2806,6295,2809,6191,2809,6075,2808,5948,2805,5813,2800,5671,2795,5388,2786,5248,2781,5115,2779,4990,2778,4876,2779,4778,2783,4695,2790,4695,2761xe" filled="false" stroked="true" strokeweight="3pt" strokecolor="#ffffff">
              <v:path arrowok="t"/>
              <v:stroke dashstyle="solid"/>
            </v:shape>
            <v:shape style="position:absolute;left:720;top:4480;width:12960;height:3197" type="#_x0000_t75" id="docshape599" stroked="false">
              <v:imagedata r:id="rId181" o:title=""/>
            </v:shape>
            <w10:wrap type="none"/>
          </v:group>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7"/>
        <w:rPr>
          <w:rFonts w:ascii="Calibri"/>
          <w:b/>
          <w:sz w:val="16"/>
        </w:rPr>
      </w:pPr>
    </w:p>
    <w:p>
      <w:pPr>
        <w:spacing w:line="1261" w:lineRule="exact" w:before="0"/>
        <w:ind w:left="2077" w:right="2081" w:firstLine="0"/>
        <w:jc w:val="center"/>
        <w:rPr>
          <w:rFonts w:ascii="Calibri"/>
          <w:b/>
          <w:sz w:val="114"/>
        </w:rPr>
      </w:pPr>
      <w:r>
        <w:rPr>
          <w:rFonts w:ascii="Calibri"/>
          <w:b/>
          <w:color w:val="FFFFFF"/>
          <w:sz w:val="114"/>
        </w:rPr>
        <w:t>Legal</w:t>
      </w:r>
      <w:r>
        <w:rPr>
          <w:rFonts w:ascii="Calibri"/>
          <w:b/>
          <w:color w:val="FFFFFF"/>
          <w:spacing w:val="-9"/>
          <w:sz w:val="114"/>
        </w:rPr>
        <w:t> </w:t>
      </w:r>
      <w:r>
        <w:rPr>
          <w:rFonts w:ascii="Calibri"/>
          <w:b/>
          <w:color w:val="FFFFFF"/>
          <w:sz w:val="114"/>
        </w:rPr>
        <w:t>&amp;</w:t>
      </w:r>
      <w:r>
        <w:rPr>
          <w:rFonts w:ascii="Calibri"/>
          <w:b/>
          <w:color w:val="FFFFFF"/>
          <w:spacing w:val="-7"/>
          <w:sz w:val="114"/>
        </w:rPr>
        <w:t> </w:t>
      </w:r>
      <w:r>
        <w:rPr>
          <w:rFonts w:ascii="Calibri"/>
          <w:b/>
          <w:color w:val="FFFFFF"/>
          <w:sz w:val="114"/>
        </w:rPr>
        <w:t>Risk</w:t>
      </w:r>
      <w:r>
        <w:rPr>
          <w:rFonts w:ascii="Calibri"/>
          <w:b/>
          <w:color w:val="FFFFFF"/>
          <w:spacing w:val="-7"/>
          <w:sz w:val="114"/>
        </w:rPr>
        <w:t> </w:t>
      </w:r>
      <w:r>
        <w:rPr>
          <w:rFonts w:ascii="Calibri"/>
          <w:b/>
          <w:color w:val="FFFFFF"/>
          <w:spacing w:val="-2"/>
          <w:sz w:val="114"/>
        </w:rPr>
        <w:t>Services</w:t>
      </w:r>
    </w:p>
    <w:p>
      <w:pPr>
        <w:spacing w:after="0" w:line="1261" w:lineRule="exact"/>
        <w:jc w:val="center"/>
        <w:rPr>
          <w:rFonts w:ascii="Calibri"/>
          <w:sz w:val="114"/>
        </w:rPr>
        <w:sectPr>
          <w:pgSz w:w="14400" w:h="10800" w:orient="landscape"/>
          <w:pgMar w:header="0" w:footer="173" w:top="0" w:bottom="360" w:left="0" w:right="0"/>
        </w:sectPr>
      </w:pPr>
    </w:p>
    <w:p>
      <w:pPr>
        <w:pStyle w:val="BodyText"/>
        <w:rPr>
          <w:rFonts w:ascii="Calibri"/>
          <w:b/>
          <w:sz w:val="20"/>
        </w:rPr>
      </w:pPr>
      <w:r>
        <w:rPr/>
        <w:pict>
          <v:group style="position:absolute;margin-left:0pt;margin-top:0pt;width:720pt;height:389.85pt;mso-position-horizontal-relative:page;mso-position-vertical-relative:page;z-index:-24074240" id="docshapegroup600" coordorigin="0,0" coordsize="14400,7797">
            <v:shape style="position:absolute;left:0;top:0;width:14400;height:4520" id="docshape601" coordorigin="0,0" coordsize="14400,4520" path="m10724,4040l2869,4040,2633,3980,3087,3980,3055,3972,3049,3960,2064,3700,1989,3660,1689,3580,1614,3540,1464,3500,1389,3460,1239,3420,1165,3380,1016,3340,941,3300,867,3280,793,3240,719,3220,644,3180,570,3160,497,3120,0,2900,0,0,14400,0,14400,3000,14245,3060,14170,3100,14094,3120,14019,3160,13867,3200,13714,3260,13560,3300,13482,3340,13249,3400,13172,3440,12782,3540,12704,3580,11605,3860,11526,3860,11131,3960,11049,3960,10724,4040xm11559,4080l11119,4080,11357,4020,11437,4020,11917,3900,11997,3900,12710,3720,12787,3680,13251,3560,13328,3520,13559,3460,13636,3420,13866,3360,13943,3320,14019,3300,14095,3260,14171,3240,14400,3140,14400,3240,13972,3400,13897,3420,13822,3460,13673,3500,13598,3540,13298,3620,13222,3660,12020,3980,11945,3980,11794,4020,11559,4080xm3060,3980l2554,3980,2318,3920,2240,3920,1926,3840,1848,3840,1226,3680,1149,3680,766,3580,690,3540,157,3400,81,3360,0,3340,0,3260,86,3280,241,3320,319,3360,1782,3740,1859,3740,2167,3820,2244,3820,2475,3880,2552,3880,2782,3940,2859,3940,2935,3960,3011,3960,3055,3972,3060,3980xm9911,4180l3745,4180,3585,4140,3506,4140,3426,4120,3347,4120,3187,4080,3108,4080,2949,4040,10643,4040,10398,4100,10317,4100,10072,4160,9990,4160,9911,4180xm10691,4240l10109,4240,10186,4220,10264,4220,10419,4180,10497,4180,10575,4160,10653,4160,10809,4120,10886,4120,11042,4080,11480,4080,11244,4140,11166,4140,10929,4200,10851,4200,10691,4240xm9672,4220l4066,4220,3984,4200,3904,4200,3824,4180,9831,4180,9672,4220xm8211,4400l5443,4400,5366,4380,5288,4380,5211,4360,5133,4360,5051,4340,4969,4340,4887,4320,4805,4320,4723,4300,4641,4300,4559,4280,4148,4220,9592,4220,9512,4240,9433,4240,9353,4260,9273,4260,9193,4280,9113,4280,8211,4400xm10531,4260l9955,4260,10032,4240,10611,4240,10531,4260xm10292,4300l9569,4300,9646,4280,9800,4280,9877,4260,10452,4260,10292,4300xm10132,4320l9415,4320,9492,4300,10212,4300,10132,4320xm9979,4340l9260,4340,9337,4320,10055,4320,9979,4340xm9825,4360l9029,4360,9106,4340,9902,4340,9825,4360xm9672,4380l8787,4380,8869,4360,9749,4360,9672,4380xm9442,4400l8459,4400,8541,4380,9519,4380,9442,4400xm8020,4420l5598,4420,5520,4400,8131,4400,8125,4408,8020,4420xm9289,4420l8116,4420,8125,4408,8192,4400,9365,4400,9289,4420xm9054,4440l5831,4440,5753,4420,9132,4420,9054,4440xm8819,4460l6141,4460,6063,4440,8897,4440,8819,4460xm8505,4480l6448,4480,6372,4460,8584,4460,8505,4480xm8192,4500l6754,4500,6678,4480,8270,4480,8192,4500xm7728,4520l7060,4520,6984,4500,7883,4500,7728,4520xe" filled="true" fillcolor="#c0504d" stroked="false">
              <v:path arrowok="t"/>
              <v:fill type="solid"/>
            </v:shape>
            <v:shape style="position:absolute;left:4693;top:2714;width:5014;height:96" id="docshape602" coordorigin="4694,2715" coordsize="5014,96" path="m7618,2762l6552,2762,6608,2759,6667,2754,6864,2731,6937,2724,7016,2718,7099,2715,7187,2715,7281,2718,7381,2727,7488,2741,7601,2761,7618,2762xm8617,2792l8533,2791,8452,2789,8373,2785,8136,2771,8196,2770,8497,2761,8553,2761,8605,2755,8667,2750,8739,2745,8817,2740,8902,2737,8990,2734,9081,2732,9173,2731,9265,2731,9353,2733,9438,2735,9518,2739,9590,2745,9653,2752,9706,2761,9705,2768,9705,2769,9706,2772,9563,2772,9498,2775,9426,2780,9320,2790,8704,2790,8617,2792xm5862,2769l4903,2769,4996,2768,5082,2766,5162,2762,5310,2753,5379,2749,5446,2748,5512,2749,5579,2753,5646,2761,5862,2769xm4694,2790l4695,2778,4695,2776,4695,2775,4695,2771,4694,2761,4803,2767,4903,2769,5862,2769,6032,2776,6071,2777,4969,2777,4885,2778,4793,2782,4694,2790xm7681,2778l6182,2778,6258,2778,6336,2775,6416,2769,6498,2761,6552,2762,7618,2762,7730,2766,7802,2768,7762,2770,7682,2778,7681,2778xm8039,2772l7947,2771,7845,2769,7802,2768,7839,2766,7916,2764,7992,2765,8067,2768,8136,2771,8122,2771,8039,2772xm9706,2790l9668,2778,9620,2772,9563,2772,9706,2772,9707,2777,9707,2781,9706,2790xm5491,2801l5416,2799,5342,2795,5125,2782,5049,2778,4969,2777,6071,2777,6107,2778,7681,2778,7601,2790,5746,2790,5655,2797,5571,2800,5491,2801xm6461,2810l6386,2809,5746,2790,6749,2790,6704,2798,6652,2804,6594,2807,6530,2809,6461,2810xm7089,2809l7019,2808,6952,2806,6885,2803,6817,2797,6749,2790,7601,2790,7319,2804,7238,2807,7162,2808,7089,2809xm8992,2810l8897,2809,8800,2802,8704,2790,9320,2790,9265,2795,9177,2802,9086,2807,8992,2810xe" filled="true" fillcolor="#ffffff" stroked="false">
              <v:path arrowok="t"/>
              <v:fill type="solid"/>
            </v:shape>
            <v:shape style="position:absolute;left:4695;top:2730;width:5012;height:87" id="docshape603" coordorigin="4695,2730" coordsize="5012,87" path="m4695,2761l4793,2744,4911,2734,5041,2730,5179,2731,5315,2736,5443,2744,5555,2753,5646,2761,5680,2760,5723,2759,5826,2758,5950,2756,6089,2755,6381,2755,6521,2758,6649,2761,6756,2759,6879,2758,7014,2759,7155,2761,7441,2765,7578,2764,7701,2761,7815,2745,7925,2739,8035,2743,8150,2750,8275,2759,8414,2766,8573,2768,8754,2761,8929,2760,9083,2761,9216,2765,9334,2769,9439,2771,9534,2773,9706,2761,9706,2778,9706,2790,9578,2808,9438,2816,9143,2815,8995,2808,8854,2800,8721,2794,8604,2790,8483,2798,8343,2801,8189,2800,8030,2796,7874,2791,7729,2789,7601,2788,7548,2788,7501,2790,7454,2790,7399,2790,7271,2786,7129,2783,6979,2779,6833,2776,6698,2776,6638,2778,6536,2785,6451,2800,6383,2806,6295,2809,6191,2809,6075,2808,5948,2805,5813,2800,5671,2795,5388,2786,5248,2781,5115,2779,4990,2778,4876,2779,4778,2783,4695,2790,4695,2761xe" filled="false" stroked="true" strokeweight="3pt" strokecolor="#ffffff">
              <v:path arrowok="t"/>
              <v:stroke dashstyle="solid"/>
            </v:shape>
            <v:shape style="position:absolute;left:720;top:4380;width:12960;height:3417" type="#_x0000_t75" id="docshape604" stroked="false">
              <v:imagedata r:id="rId182" o:title=""/>
            </v:shape>
            <w10:wrap type="none"/>
          </v:group>
        </w:pict>
      </w:r>
    </w:p>
    <w:p>
      <w:pPr>
        <w:pStyle w:val="BodyText"/>
        <w:rPr>
          <w:rFonts w:ascii="Calibri"/>
          <w:b/>
          <w:sz w:val="20"/>
        </w:rPr>
      </w:pPr>
    </w:p>
    <w:p>
      <w:pPr>
        <w:pStyle w:val="BodyText"/>
        <w:spacing w:before="12"/>
        <w:rPr>
          <w:rFonts w:ascii="Calibri"/>
          <w:b/>
          <w:sz w:val="15"/>
        </w:rPr>
      </w:pPr>
    </w:p>
    <w:p>
      <w:pPr>
        <w:spacing w:line="211" w:lineRule="auto" w:before="10"/>
        <w:ind w:left="5848" w:right="0" w:hanging="4070"/>
        <w:jc w:val="left"/>
        <w:rPr>
          <w:rFonts w:ascii="Calibri"/>
          <w:b/>
          <w:sz w:val="102"/>
        </w:rPr>
      </w:pPr>
      <w:r>
        <w:rPr>
          <w:rFonts w:ascii="Calibri"/>
          <w:b/>
          <w:color w:val="FFFFFF"/>
          <w:sz w:val="102"/>
        </w:rPr>
        <w:t>Medical</w:t>
      </w:r>
      <w:r>
        <w:rPr>
          <w:rFonts w:ascii="Calibri"/>
          <w:b/>
          <w:color w:val="FFFFFF"/>
          <w:spacing w:val="-25"/>
          <w:sz w:val="102"/>
        </w:rPr>
        <w:t> </w:t>
      </w:r>
      <w:r>
        <w:rPr>
          <w:rFonts w:ascii="Calibri"/>
          <w:b/>
          <w:color w:val="FFFFFF"/>
          <w:sz w:val="102"/>
        </w:rPr>
        <w:t>Examiner</w:t>
      </w:r>
      <w:r>
        <w:rPr>
          <w:rFonts w:ascii="Calibri"/>
          <w:b/>
          <w:color w:val="FFFFFF"/>
          <w:spacing w:val="-26"/>
          <w:sz w:val="102"/>
        </w:rPr>
        <w:t> </w:t>
      </w:r>
      <w:r>
        <w:rPr>
          <w:rFonts w:ascii="Calibri"/>
          <w:b/>
          <w:color w:val="FFFFFF"/>
          <w:sz w:val="102"/>
        </w:rPr>
        <w:t>Service </w:t>
      </w:r>
      <w:r>
        <w:rPr>
          <w:rFonts w:ascii="Calibri"/>
          <w:b/>
          <w:color w:val="FFFFFF"/>
          <w:spacing w:val="-2"/>
          <w:sz w:val="102"/>
        </w:rPr>
        <w:t>(draft)</w:t>
      </w:r>
    </w:p>
    <w:p>
      <w:pPr>
        <w:spacing w:after="0" w:line="211" w:lineRule="auto"/>
        <w:jc w:val="left"/>
        <w:rPr>
          <w:rFonts w:ascii="Calibri"/>
          <w:sz w:val="102"/>
        </w:rPr>
        <w:sectPr>
          <w:pgSz w:w="14400" w:h="10800" w:orient="landscape"/>
          <w:pgMar w:header="0" w:footer="173" w:top="0" w:bottom="360" w:left="0" w:right="0"/>
        </w:sectPr>
      </w:pPr>
    </w:p>
    <w:p>
      <w:pPr>
        <w:pStyle w:val="BodyText"/>
        <w:rPr>
          <w:rFonts w:ascii="Calibri"/>
          <w:b/>
          <w:sz w:val="20"/>
        </w:rPr>
      </w:pPr>
      <w:r>
        <w:rPr/>
        <w:pict>
          <v:group style="position:absolute;margin-left:0pt;margin-top:0pt;width:720pt;height:226pt;mso-position-horizontal-relative:page;mso-position-vertical-relative:page;z-index:15846400" id="docshapegroup605" coordorigin="0,0" coordsize="14400,4520">
            <v:shape style="position:absolute;left:0;top:0;width:14400;height:4520" id="docshape606" coordorigin="0,0" coordsize="14400,4520" path="m10724,4040l2869,4040,2633,3980,3087,3980,3055,3972,3049,3960,2064,3700,1989,3660,1689,3580,1614,3540,1464,3500,1389,3460,1239,3420,1165,3380,1016,3340,941,3300,867,3280,793,3240,719,3220,644,3180,570,3160,497,3120,0,2900,0,0,14400,0,14400,3000,14245,3060,14170,3100,14094,3120,14019,3160,13867,3200,13714,3260,13560,3300,13482,3340,13249,3400,13172,3440,12782,3540,12704,3580,11605,3860,11526,3860,11131,3960,11049,3960,10724,4040xm11559,4080l11119,4080,11357,4020,11437,4020,11917,3900,11997,3900,12710,3720,12787,3680,13251,3560,13328,3520,13559,3460,13636,3420,13866,3360,13943,3320,14019,3300,14095,3260,14171,3240,14400,3140,14400,3240,13972,3400,13897,3420,13822,3460,13673,3500,13598,3540,13298,3620,13222,3660,12020,3980,11945,3980,11794,4020,11559,4080xm3060,3980l2554,3980,2318,3920,2240,3920,1926,3840,1848,3840,1226,3680,1149,3680,766,3580,690,3540,157,3400,81,3360,0,3340,0,3260,86,3280,241,3320,319,3360,1782,3740,1859,3740,2167,3820,2244,3820,2475,3880,2552,3880,2782,3940,2859,3940,2935,3960,3011,3960,3055,3972,3060,3980xm9911,4180l3745,4180,3585,4140,3506,4140,3426,4120,3347,4120,3187,4080,3108,4080,2949,4040,10643,4040,10398,4100,10317,4100,10072,4160,9990,4160,9911,4180xm10691,4240l10109,4240,10186,4220,10264,4220,10419,4180,10497,4180,10575,4160,10653,4160,10809,4120,10886,4120,11042,4080,11480,4080,11244,4140,11166,4140,10929,4200,10851,4200,10691,4240xm9672,4220l4066,4220,3984,4200,3904,4200,3824,4180,9831,4180,9672,4220xm8211,4400l5443,4400,5366,4380,5288,4380,5211,4360,5133,4360,5051,4340,4969,4340,4887,4320,4805,4320,4723,4300,4641,4300,4559,4280,4148,4220,9592,4220,9512,4240,9433,4240,9353,4260,9273,4260,9193,4280,9113,4280,8211,4400xm10531,4260l9955,4260,10032,4240,10611,4240,10531,4260xm10292,4300l9569,4300,9646,4280,9800,4280,9877,4260,10452,4260,10292,4300xm10132,4320l9415,4320,9492,4300,10212,4300,10132,4320xm9979,4340l9260,4340,9337,4320,10055,4320,9979,4340xm9825,4360l9029,4360,9106,4340,9902,4340,9825,4360xm9672,4380l8787,4380,8869,4360,9749,4360,9672,4380xm9442,4400l8459,4400,8541,4380,9519,4380,9442,4400xm8020,4420l5598,4420,5520,4400,8131,4400,8125,4408,8020,4420xm9289,4420l8116,4420,8125,4408,8192,4400,9365,4400,9289,4420xm9054,4440l5831,4440,5753,4420,9132,4420,9054,4440xm8819,4460l6141,4460,6063,4440,8897,4440,8819,4460xm8505,4480l6448,4480,6372,4460,8584,4460,8505,4480xm8192,4500l6754,4500,6678,4480,8270,4480,8192,4500xm7728,4520l7060,4520,6984,4500,7883,4500,7728,4520xe" filled="true" fillcolor="#c0504d" stroked="false">
              <v:path arrowok="t"/>
              <v:fill type="solid"/>
            </v:shape>
            <v:shape style="position:absolute;left:4693;top:2714;width:5014;height:96" id="docshape607" coordorigin="4694,2715" coordsize="5014,96" path="m7618,2762l6552,2762,6608,2759,6667,2754,6864,2731,6937,2724,7016,2718,7099,2715,7187,2715,7281,2718,7381,2727,7488,2741,7601,2761,7618,2762xm8617,2792l8533,2791,8452,2789,8373,2785,8136,2771,8196,2770,8497,2761,8553,2761,8605,2755,8667,2750,8739,2745,8817,2740,8902,2737,8990,2734,9081,2732,9173,2731,9265,2731,9353,2733,9438,2735,9518,2739,9590,2745,9653,2752,9706,2761,9705,2768,9705,2769,9706,2772,9563,2772,9498,2775,9426,2780,9320,2790,8704,2790,8617,2792xm5862,2769l4903,2769,4996,2768,5082,2766,5162,2762,5310,2753,5379,2749,5446,2748,5512,2749,5579,2753,5646,2761,5862,2769xm4694,2790l4695,2778,4695,2776,4695,2775,4695,2771,4694,2761,4803,2767,4903,2769,5862,2769,6032,2776,6071,2777,4969,2777,4885,2778,4793,2782,4694,2790xm7681,2778l6182,2778,6258,2778,6336,2775,6416,2769,6498,2761,6552,2762,7618,2762,7730,2766,7802,2768,7762,2770,7682,2778,7681,2778xm8039,2772l7947,2771,7845,2769,7802,2768,7839,2766,7916,2764,7992,2765,8067,2768,8136,2771,8122,2771,8039,2772xm9706,2790l9668,2778,9620,2772,9563,2772,9706,2772,9707,2777,9707,2781,9706,2790xm5491,2801l5416,2799,5342,2795,5125,2782,5049,2778,4969,2777,6071,2777,6107,2778,7681,2778,7601,2790,5746,2790,5655,2797,5571,2800,5491,2801xm6461,2810l6386,2809,5746,2790,6749,2790,6704,2798,6652,2804,6594,2807,6530,2809,6461,2810xm7089,2809l7019,2808,6952,2806,6885,2803,6817,2797,6749,2790,7601,2790,7319,2804,7238,2807,7162,2808,7089,2809xm8992,2810l8897,2809,8800,2802,8704,2790,9320,2790,9265,2795,9177,2802,9086,2807,8992,2810xe" filled="true" fillcolor="#ffffff" stroked="false">
              <v:path arrowok="t"/>
              <v:fill type="solid"/>
            </v:shape>
            <v:shape style="position:absolute;left:4695;top:2730;width:5012;height:87" id="docshape608" coordorigin="4695,2730" coordsize="5012,87" path="m4695,2761l4793,2744,4911,2734,5041,2730,5179,2731,5315,2736,5443,2744,5555,2753,5646,2761,5680,2760,5723,2759,5826,2758,5950,2756,6089,2755,6381,2755,6521,2758,6649,2761,6756,2759,6879,2758,7014,2759,7155,2761,7441,2765,7578,2764,7701,2761,7815,2745,7925,2739,8035,2743,8150,2750,8275,2759,8414,2766,8573,2768,8754,2761,8929,2760,9083,2761,9216,2765,9334,2769,9439,2771,9534,2773,9706,2761,9706,2778,9706,2790,9578,2808,9438,2816,9143,2815,8995,2808,8854,2800,8721,2794,8604,2790,8483,2798,8343,2801,8189,2800,8030,2796,7874,2791,7729,2789,7601,2788,7548,2788,7501,2790,7454,2790,7399,2790,7271,2786,7129,2783,6979,2779,6833,2776,6698,2776,6638,2778,6536,2785,6451,2800,6383,2806,6295,2809,6191,2809,6075,2808,5948,2805,5813,2800,5671,2795,5388,2786,5248,2781,5115,2779,4990,2778,4876,2779,4778,2783,4695,2790,4695,2761xe" filled="false" stroked="true" strokeweight="3pt" strokecolor="#ffffff">
              <v:path arrowok="t"/>
              <v:stroke dashstyle="solid"/>
            </v:shape>
            <v:shape style="position:absolute;left:0;top:0;width:14400;height:4520" type="#_x0000_t202" id="docshape609" filled="false" stroked="false">
              <v:textbox inset="0,0,0,0">
                <w:txbxContent>
                  <w:p>
                    <w:pPr>
                      <w:spacing w:line="240" w:lineRule="auto" w:before="10"/>
                      <w:rPr>
                        <w:rFonts w:ascii="Calibri"/>
                        <w:b/>
                        <w:sz w:val="85"/>
                      </w:rPr>
                    </w:pPr>
                  </w:p>
                  <w:p>
                    <w:pPr>
                      <w:spacing w:before="1"/>
                      <w:ind w:left="2077" w:right="2078" w:firstLine="0"/>
                      <w:jc w:val="center"/>
                      <w:rPr>
                        <w:rFonts w:ascii="Calibri"/>
                        <w:b/>
                        <w:sz w:val="114"/>
                      </w:rPr>
                    </w:pPr>
                    <w:r>
                      <w:rPr>
                        <w:rFonts w:ascii="Calibri"/>
                        <w:b/>
                        <w:color w:val="FFFFFF"/>
                        <w:spacing w:val="-2"/>
                        <w:sz w:val="114"/>
                      </w:rPr>
                      <w:t>Payroll</w:t>
                    </w:r>
                  </w:p>
                </w:txbxContent>
              </v:textbox>
              <w10:wrap type="none"/>
            </v:shape>
            <w10:wrap type="none"/>
          </v:group>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2"/>
        <w:rPr>
          <w:rFonts w:ascii="Calibri"/>
          <w:b/>
          <w:sz w:val="10"/>
        </w:rPr>
      </w:pPr>
    </w:p>
    <w:p>
      <w:pPr>
        <w:pStyle w:val="BodyText"/>
        <w:ind w:left="1220"/>
        <w:rPr>
          <w:rFonts w:ascii="Calibri"/>
          <w:sz w:val="20"/>
        </w:rPr>
      </w:pPr>
      <w:r>
        <w:rPr>
          <w:rFonts w:ascii="Calibri"/>
          <w:sz w:val="20"/>
        </w:rPr>
        <w:drawing>
          <wp:inline distT="0" distB="0" distL="0" distR="0">
            <wp:extent cx="7492244" cy="1829371"/>
            <wp:effectExtent l="0" t="0" r="0" b="0"/>
            <wp:docPr id="207" name="image96.png"/>
            <wp:cNvGraphicFramePr>
              <a:graphicFrameLocks noChangeAspect="1"/>
            </wp:cNvGraphicFramePr>
            <a:graphic>
              <a:graphicData uri="http://schemas.openxmlformats.org/drawingml/2006/picture">
                <pic:pic>
                  <pic:nvPicPr>
                    <pic:cNvPr id="208" name="image96.png"/>
                    <pic:cNvPicPr/>
                  </pic:nvPicPr>
                  <pic:blipFill>
                    <a:blip r:embed="rId183" cstate="print"/>
                    <a:stretch>
                      <a:fillRect/>
                    </a:stretch>
                  </pic:blipFill>
                  <pic:spPr>
                    <a:xfrm>
                      <a:off x="0" y="0"/>
                      <a:ext cx="7492244" cy="1829371"/>
                    </a:xfrm>
                    <a:prstGeom prst="rect">
                      <a:avLst/>
                    </a:prstGeom>
                  </pic:spPr>
                </pic:pic>
              </a:graphicData>
            </a:graphic>
          </wp:inline>
        </w:drawing>
      </w:r>
      <w:r>
        <w:rPr>
          <w:rFonts w:ascii="Calibri"/>
          <w:sz w:val="20"/>
        </w:rPr>
      </w:r>
    </w:p>
    <w:p>
      <w:pPr>
        <w:spacing w:after="0"/>
        <w:rPr>
          <w:rFonts w:ascii="Calibri"/>
          <w:sz w:val="20"/>
        </w:rPr>
        <w:sectPr>
          <w:pgSz w:w="14400" w:h="10800" w:orient="landscape"/>
          <w:pgMar w:header="0" w:footer="173" w:top="0" w:bottom="360" w:left="0" w:right="0"/>
        </w:sectPr>
      </w:pPr>
    </w:p>
    <w:p>
      <w:pPr>
        <w:pStyle w:val="BodyText"/>
        <w:rPr>
          <w:rFonts w:ascii="Calibri"/>
          <w:b/>
          <w:sz w:val="20"/>
        </w:rPr>
      </w:pPr>
      <w:r>
        <w:rPr/>
        <w:pict>
          <v:group style="position:absolute;margin-left:0pt;margin-top:0pt;width:720pt;height:226pt;mso-position-horizontal-relative:page;mso-position-vertical-relative:page;z-index:15846912" id="docshapegroup610" coordorigin="0,0" coordsize="14400,4520">
            <v:shape style="position:absolute;left:0;top:0;width:14400;height:4520" id="docshape611" coordorigin="0,0" coordsize="14400,4520" path="m10724,4040l2869,4040,2633,3980,3087,3980,3055,3972,3049,3960,2064,3700,1989,3660,1689,3580,1614,3540,1464,3500,1389,3460,1239,3420,1165,3380,1016,3340,941,3300,867,3280,793,3240,719,3220,644,3180,570,3160,497,3120,0,2900,0,0,14400,0,14400,3000,14245,3060,14170,3100,14094,3120,14019,3160,13867,3200,13714,3260,13560,3300,13482,3340,13249,3400,13172,3440,12782,3540,12704,3580,11605,3860,11526,3860,11131,3960,11049,3960,10724,4040xm11559,4080l11119,4080,11357,4020,11437,4020,11917,3900,11997,3900,12710,3720,12787,3680,13251,3560,13328,3520,13559,3460,13636,3420,13866,3360,13943,3320,14019,3300,14095,3260,14171,3240,14400,3140,14400,3240,13972,3400,13897,3420,13822,3460,13673,3500,13598,3540,13298,3620,13222,3660,12020,3980,11945,3980,11794,4020,11559,4080xm3060,3980l2554,3980,2318,3920,2240,3920,1926,3840,1848,3840,1226,3680,1149,3680,766,3580,690,3540,157,3400,81,3360,0,3340,0,3260,86,3280,241,3320,319,3360,1782,3740,1859,3740,2167,3820,2244,3820,2475,3880,2552,3880,2782,3940,2859,3940,2935,3960,3011,3960,3055,3972,3060,3980xm9911,4180l3745,4180,3585,4140,3506,4140,3426,4120,3347,4120,3187,4080,3108,4080,2949,4040,10643,4040,10398,4100,10317,4100,10072,4160,9990,4160,9911,4180xm10691,4240l10109,4240,10186,4220,10264,4220,10419,4180,10497,4180,10575,4160,10653,4160,10809,4120,10886,4120,11042,4080,11480,4080,11244,4140,11166,4140,10929,4200,10851,4200,10691,4240xm9672,4220l4066,4220,3984,4200,3904,4200,3824,4180,9831,4180,9672,4220xm8211,4400l5443,4400,5366,4380,5288,4380,5211,4360,5133,4360,5051,4340,4969,4340,4887,4320,4805,4320,4723,4300,4641,4300,4559,4280,4148,4220,9592,4220,9512,4240,9433,4240,9353,4260,9273,4260,9193,4280,9113,4280,8211,4400xm10531,4260l9955,4260,10032,4240,10611,4240,10531,4260xm10292,4300l9569,4300,9646,4280,9800,4280,9877,4260,10452,4260,10292,4300xm10132,4320l9415,4320,9492,4300,10212,4300,10132,4320xm9979,4340l9260,4340,9337,4320,10055,4320,9979,4340xm9825,4360l9029,4360,9106,4340,9902,4340,9825,4360xm9672,4380l8787,4380,8869,4360,9749,4360,9672,4380xm9442,4400l8459,4400,8541,4380,9519,4380,9442,4400xm8020,4420l5598,4420,5520,4400,8131,4400,8125,4408,8020,4420xm9289,4420l8116,4420,8125,4408,8192,4400,9365,4400,9289,4420xm9054,4440l5831,4440,5753,4420,9132,4420,9054,4440xm8819,4460l6141,4460,6063,4440,8897,4440,8819,4460xm8505,4480l6448,4480,6372,4460,8584,4460,8505,4480xm8192,4500l6754,4500,6678,4480,8270,4480,8192,4500xm7728,4520l7060,4520,6984,4500,7883,4500,7728,4520xe" filled="true" fillcolor="#c0504d" stroked="false">
              <v:path arrowok="t"/>
              <v:fill type="solid"/>
            </v:shape>
            <v:shape style="position:absolute;left:4693;top:2714;width:5014;height:96" id="docshape612" coordorigin="4694,2715" coordsize="5014,96" path="m7618,2762l6552,2762,6608,2759,6667,2754,6864,2731,6937,2724,7016,2718,7099,2715,7187,2715,7281,2718,7381,2727,7488,2741,7601,2761,7618,2762xm8617,2792l8533,2791,8452,2789,8373,2785,8136,2771,8196,2770,8497,2761,8553,2761,8605,2755,8667,2750,8739,2745,8817,2740,8902,2737,8990,2734,9081,2732,9173,2731,9265,2731,9353,2733,9438,2735,9518,2739,9590,2745,9653,2752,9706,2761,9705,2768,9705,2769,9706,2772,9563,2772,9498,2775,9426,2780,9320,2790,8704,2790,8617,2792xm5862,2769l4903,2769,4996,2768,5082,2766,5162,2762,5310,2753,5379,2749,5446,2748,5512,2749,5579,2753,5646,2761,5862,2769xm4694,2790l4695,2778,4695,2776,4695,2775,4695,2771,4694,2761,4803,2767,4903,2769,5862,2769,6032,2776,6071,2777,4969,2777,4885,2778,4793,2782,4694,2790xm7681,2778l6182,2778,6258,2778,6336,2775,6416,2769,6498,2761,6552,2762,7618,2762,7730,2766,7802,2768,7762,2770,7682,2778,7681,2778xm8039,2772l7947,2771,7845,2769,7802,2768,7839,2766,7916,2764,7992,2765,8067,2768,8136,2771,8122,2771,8039,2772xm9706,2790l9668,2778,9620,2772,9563,2772,9706,2772,9707,2777,9707,2781,9706,2790xm5491,2801l5416,2799,5342,2795,5125,2782,5049,2778,4969,2777,6071,2777,6107,2778,7681,2778,7601,2790,5746,2790,5655,2797,5571,2800,5491,2801xm6461,2810l6386,2809,5746,2790,6749,2790,6704,2798,6652,2804,6594,2807,6530,2809,6461,2810xm7089,2809l7019,2808,6952,2806,6885,2803,6817,2797,6749,2790,7601,2790,7319,2804,7238,2807,7162,2808,7089,2809xm8992,2810l8897,2809,8800,2802,8704,2790,9320,2790,9265,2795,9177,2802,9086,2807,8992,2810xe" filled="true" fillcolor="#ffffff" stroked="false">
              <v:path arrowok="t"/>
              <v:fill type="solid"/>
            </v:shape>
            <v:shape style="position:absolute;left:4695;top:2730;width:5012;height:87" id="docshape613" coordorigin="4695,2730" coordsize="5012,87" path="m4695,2761l4793,2744,4911,2734,5041,2730,5179,2731,5315,2736,5443,2744,5555,2753,5646,2761,5680,2760,5723,2759,5826,2758,5950,2756,6089,2755,6381,2755,6521,2758,6649,2761,6756,2759,6879,2758,7014,2759,7155,2761,7441,2765,7578,2764,7701,2761,7815,2745,7925,2739,8035,2743,8150,2750,8275,2759,8414,2766,8573,2768,8754,2761,8929,2760,9083,2761,9216,2765,9334,2769,9439,2771,9534,2773,9706,2761,9706,2778,9706,2790,9578,2808,9438,2816,9143,2815,8995,2808,8854,2800,8721,2794,8604,2790,8483,2798,8343,2801,8189,2800,8030,2796,7874,2791,7729,2789,7601,2788,7548,2788,7501,2790,7454,2790,7399,2790,7271,2786,7129,2783,6979,2779,6833,2776,6698,2776,6638,2778,6536,2785,6451,2800,6383,2806,6295,2809,6191,2809,6075,2808,5948,2805,5813,2800,5671,2795,5388,2786,5248,2781,5115,2779,4990,2778,4876,2779,4778,2783,4695,2790,4695,2761xe" filled="false" stroked="true" strokeweight="3pt" strokecolor="#ffffff">
              <v:path arrowok="t"/>
              <v:stroke dashstyle="solid"/>
            </v:shape>
            <v:shape style="position:absolute;left:0;top:0;width:14400;height:4520" type="#_x0000_t202" id="docshape614" filled="false" stroked="false">
              <v:textbox inset="0,0,0,0">
                <w:txbxContent>
                  <w:p>
                    <w:pPr>
                      <w:spacing w:line="240" w:lineRule="auto" w:before="2"/>
                      <w:rPr>
                        <w:rFonts w:ascii="Calibri"/>
                        <w:b/>
                        <w:sz w:val="90"/>
                      </w:rPr>
                    </w:pPr>
                  </w:p>
                  <w:p>
                    <w:pPr>
                      <w:spacing w:before="1"/>
                      <w:ind w:left="1172" w:right="0" w:firstLine="0"/>
                      <w:jc w:val="left"/>
                      <w:rPr>
                        <w:rFonts w:ascii="Calibri"/>
                        <w:b/>
                        <w:sz w:val="106"/>
                      </w:rPr>
                    </w:pPr>
                    <w:r>
                      <w:rPr>
                        <w:rFonts w:ascii="Calibri"/>
                        <w:b/>
                        <w:color w:val="FFFFFF"/>
                        <w:sz w:val="106"/>
                      </w:rPr>
                      <w:t>People</w:t>
                    </w:r>
                    <w:r>
                      <w:rPr>
                        <w:rFonts w:ascii="Calibri"/>
                        <w:b/>
                        <w:color w:val="FFFFFF"/>
                        <w:spacing w:val="-6"/>
                        <w:sz w:val="106"/>
                      </w:rPr>
                      <w:t> </w:t>
                    </w:r>
                    <w:r>
                      <w:rPr>
                        <w:rFonts w:ascii="Calibri"/>
                        <w:b/>
                        <w:color w:val="FFFFFF"/>
                        <w:sz w:val="106"/>
                      </w:rPr>
                      <w:t>&amp;</w:t>
                    </w:r>
                    <w:r>
                      <w:rPr>
                        <w:rFonts w:ascii="Calibri"/>
                        <w:b/>
                        <w:color w:val="FFFFFF"/>
                        <w:spacing w:val="-6"/>
                        <w:sz w:val="106"/>
                      </w:rPr>
                      <w:t> </w:t>
                    </w:r>
                    <w:r>
                      <w:rPr>
                        <w:rFonts w:ascii="Calibri"/>
                        <w:b/>
                        <w:color w:val="FFFFFF"/>
                        <w:sz w:val="106"/>
                      </w:rPr>
                      <w:t>OD</w:t>
                    </w:r>
                    <w:r>
                      <w:rPr>
                        <w:rFonts w:ascii="Calibri"/>
                        <w:b/>
                        <w:color w:val="FFFFFF"/>
                        <w:spacing w:val="-5"/>
                        <w:sz w:val="106"/>
                      </w:rPr>
                      <w:t> </w:t>
                    </w:r>
                    <w:r>
                      <w:rPr>
                        <w:rFonts w:ascii="Calibri"/>
                        <w:b/>
                        <w:color w:val="FFFFFF"/>
                        <w:sz w:val="106"/>
                      </w:rPr>
                      <w:t>-</w:t>
                    </w:r>
                    <w:r>
                      <w:rPr>
                        <w:rFonts w:ascii="Calibri"/>
                        <w:b/>
                        <w:color w:val="FFFFFF"/>
                        <w:spacing w:val="-6"/>
                        <w:sz w:val="106"/>
                      </w:rPr>
                      <w:t> </w:t>
                    </w:r>
                    <w:r>
                      <w:rPr>
                        <w:rFonts w:ascii="Calibri"/>
                        <w:b/>
                        <w:color w:val="FFFFFF"/>
                        <w:spacing w:val="-2"/>
                        <w:sz w:val="106"/>
                      </w:rPr>
                      <w:t>Organisation</w:t>
                    </w:r>
                  </w:p>
                </w:txbxContent>
              </v:textbox>
              <w10:wrap type="none"/>
            </v:shape>
            <w10:wrap type="none"/>
          </v:group>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11"/>
        <w:rPr>
          <w:rFonts w:ascii="Calibri"/>
          <w:b/>
          <w:sz w:val="28"/>
        </w:rPr>
      </w:pPr>
    </w:p>
    <w:p>
      <w:pPr>
        <w:pStyle w:val="BodyText"/>
        <w:ind w:left="1220"/>
        <w:rPr>
          <w:rFonts w:ascii="Calibri"/>
          <w:sz w:val="20"/>
        </w:rPr>
      </w:pPr>
      <w:r>
        <w:rPr>
          <w:rFonts w:ascii="Calibri"/>
          <w:sz w:val="20"/>
        </w:rPr>
        <w:drawing>
          <wp:inline distT="0" distB="0" distL="0" distR="0">
            <wp:extent cx="7495773" cy="2156269"/>
            <wp:effectExtent l="0" t="0" r="0" b="0"/>
            <wp:docPr id="209" name="image97.png"/>
            <wp:cNvGraphicFramePr>
              <a:graphicFrameLocks noChangeAspect="1"/>
            </wp:cNvGraphicFramePr>
            <a:graphic>
              <a:graphicData uri="http://schemas.openxmlformats.org/drawingml/2006/picture">
                <pic:pic>
                  <pic:nvPicPr>
                    <pic:cNvPr id="210" name="image97.png"/>
                    <pic:cNvPicPr/>
                  </pic:nvPicPr>
                  <pic:blipFill>
                    <a:blip r:embed="rId184" cstate="print"/>
                    <a:stretch>
                      <a:fillRect/>
                    </a:stretch>
                  </pic:blipFill>
                  <pic:spPr>
                    <a:xfrm>
                      <a:off x="0" y="0"/>
                      <a:ext cx="7495773" cy="2156269"/>
                    </a:xfrm>
                    <a:prstGeom prst="rect">
                      <a:avLst/>
                    </a:prstGeom>
                  </pic:spPr>
                </pic:pic>
              </a:graphicData>
            </a:graphic>
          </wp:inline>
        </w:drawing>
      </w:r>
      <w:r>
        <w:rPr>
          <w:rFonts w:ascii="Calibri"/>
          <w:sz w:val="20"/>
        </w:rPr>
      </w:r>
    </w:p>
    <w:p>
      <w:pPr>
        <w:spacing w:after="0"/>
        <w:rPr>
          <w:rFonts w:ascii="Calibri"/>
          <w:sz w:val="20"/>
        </w:rPr>
        <w:sectPr>
          <w:pgSz w:w="14400" w:h="10800" w:orient="landscape"/>
          <w:pgMar w:header="0" w:footer="173" w:top="0" w:bottom="360" w:left="0" w:right="0"/>
        </w:sectPr>
      </w:pPr>
    </w:p>
    <w:p>
      <w:pPr>
        <w:pStyle w:val="BodyText"/>
        <w:rPr>
          <w:rFonts w:ascii="Calibri"/>
          <w:b/>
          <w:sz w:val="20"/>
        </w:rPr>
      </w:pPr>
      <w:r>
        <w:rPr/>
        <w:pict>
          <v:group style="position:absolute;margin-left:0pt;margin-top:0pt;width:720pt;height:226pt;mso-position-horizontal-relative:page;mso-position-vertical-relative:page;z-index:15847424" id="docshapegroup615" coordorigin="0,0" coordsize="14400,4520">
            <v:shape style="position:absolute;left:0;top:0;width:14400;height:4520" id="docshape616" coordorigin="0,0" coordsize="14400,4520" path="m10724,4040l2869,4040,2633,3980,3087,3980,3055,3972,3049,3960,2064,3700,1989,3660,1689,3580,1614,3540,1464,3500,1389,3460,1239,3420,1165,3380,1016,3340,941,3300,867,3280,793,3240,719,3220,644,3180,570,3160,497,3120,0,2900,0,0,14400,0,14400,3000,14245,3060,14170,3100,14094,3120,14019,3160,13867,3200,13714,3260,13560,3300,13482,3340,13249,3400,13172,3440,12782,3540,12704,3580,11605,3860,11526,3860,11131,3960,11049,3960,10724,4040xm11559,4080l11119,4080,11357,4020,11437,4020,11917,3900,11997,3900,12710,3720,12787,3680,13251,3560,13328,3520,13559,3460,13636,3420,13866,3360,13943,3320,14019,3300,14095,3260,14171,3240,14400,3140,14400,3240,13972,3400,13897,3420,13822,3460,13673,3500,13598,3540,13298,3620,13222,3660,12020,3980,11945,3980,11794,4020,11559,4080xm3060,3980l2554,3980,2318,3920,2240,3920,1926,3840,1848,3840,1226,3680,1149,3680,766,3580,690,3540,157,3400,81,3360,0,3340,0,3260,86,3280,241,3320,319,3360,1782,3740,1859,3740,2167,3820,2244,3820,2475,3880,2552,3880,2782,3940,2859,3940,2935,3960,3011,3960,3055,3972,3060,3980xm9911,4180l3745,4180,3585,4140,3506,4140,3426,4120,3347,4120,3187,4080,3108,4080,2949,4040,10643,4040,10398,4100,10317,4100,10072,4160,9990,4160,9911,4180xm10691,4240l10109,4240,10186,4220,10264,4220,10419,4180,10497,4180,10575,4160,10653,4160,10809,4120,10886,4120,11042,4080,11480,4080,11244,4140,11166,4140,10929,4200,10851,4200,10691,4240xm9672,4220l4066,4220,3984,4200,3904,4200,3824,4180,9831,4180,9672,4220xm8211,4400l5443,4400,5366,4380,5288,4380,5211,4360,5133,4360,5051,4340,4969,4340,4887,4320,4805,4320,4723,4300,4641,4300,4559,4280,4148,4220,9592,4220,9512,4240,9433,4240,9353,4260,9273,4260,9193,4280,9113,4280,8211,4400xm10531,4260l9955,4260,10032,4240,10611,4240,10531,4260xm10292,4300l9569,4300,9646,4280,9800,4280,9877,4260,10452,4260,10292,4300xm10132,4320l9415,4320,9492,4300,10212,4300,10132,4320xm9979,4340l9260,4340,9337,4320,10055,4320,9979,4340xm9825,4360l9029,4360,9106,4340,9902,4340,9825,4360xm9672,4380l8787,4380,8869,4360,9749,4360,9672,4380xm9442,4400l8459,4400,8541,4380,9519,4380,9442,4400xm8020,4420l5598,4420,5520,4400,8131,4400,8125,4408,8020,4420xm9289,4420l8116,4420,8125,4408,8192,4400,9365,4400,9289,4420xm9054,4440l5831,4440,5753,4420,9132,4420,9054,4440xm8819,4460l6141,4460,6063,4440,8897,4440,8819,4460xm8505,4480l6448,4480,6372,4460,8584,4460,8505,4480xm8192,4500l6754,4500,6678,4480,8270,4480,8192,4500xm7728,4520l7060,4520,6984,4500,7883,4500,7728,4520xe" filled="true" fillcolor="#c0504d" stroked="false">
              <v:path arrowok="t"/>
              <v:fill type="solid"/>
            </v:shape>
            <v:shape style="position:absolute;left:4693;top:2714;width:5014;height:96" id="docshape617" coordorigin="4694,2715" coordsize="5014,96" path="m7618,2762l6552,2762,6608,2759,6667,2754,6864,2731,6937,2724,7016,2718,7099,2715,7187,2715,7281,2718,7381,2727,7488,2741,7601,2761,7618,2762xm8617,2792l8533,2791,8452,2789,8373,2785,8136,2771,8196,2770,8497,2761,8553,2761,8605,2755,8667,2750,8739,2745,8817,2740,8902,2737,8990,2734,9081,2732,9173,2731,9265,2731,9353,2733,9438,2735,9518,2739,9590,2745,9653,2752,9706,2761,9705,2768,9705,2769,9706,2772,9563,2772,9498,2775,9426,2780,9320,2790,8704,2790,8617,2792xm5862,2769l4903,2769,4996,2768,5082,2766,5162,2762,5310,2753,5379,2749,5446,2748,5512,2749,5579,2753,5646,2761,5862,2769xm4694,2790l4695,2778,4695,2776,4695,2775,4695,2771,4694,2761,4803,2767,4903,2769,5862,2769,6032,2776,6071,2777,4969,2777,4885,2778,4793,2782,4694,2790xm7681,2778l6182,2778,6258,2778,6336,2775,6416,2769,6498,2761,6552,2762,7618,2762,7730,2766,7802,2768,7762,2770,7682,2778,7681,2778xm8039,2772l7947,2771,7845,2769,7802,2768,7839,2766,7916,2764,7992,2765,8067,2768,8136,2771,8122,2771,8039,2772xm9706,2790l9668,2778,9620,2772,9563,2772,9706,2772,9707,2777,9707,2781,9706,2790xm5491,2801l5416,2799,5342,2795,5125,2782,5049,2778,4969,2777,6071,2777,6107,2778,7681,2778,7601,2790,5746,2790,5655,2797,5571,2800,5491,2801xm6461,2810l6386,2809,5746,2790,6749,2790,6704,2798,6652,2804,6594,2807,6530,2809,6461,2810xm7089,2809l7019,2808,6952,2806,6885,2803,6817,2797,6749,2790,7601,2790,7319,2804,7238,2807,7162,2808,7089,2809xm8992,2810l8897,2809,8800,2802,8704,2790,9320,2790,9265,2795,9177,2802,9086,2807,8992,2810xe" filled="true" fillcolor="#ffffff" stroked="false">
              <v:path arrowok="t"/>
              <v:fill type="solid"/>
            </v:shape>
            <v:shape style="position:absolute;left:4695;top:2730;width:5012;height:87" id="docshape618" coordorigin="4695,2730" coordsize="5012,87" path="m4695,2761l4793,2744,4911,2734,5041,2730,5179,2731,5315,2736,5443,2744,5555,2753,5646,2761,5680,2760,5723,2759,5826,2758,5950,2756,6089,2755,6381,2755,6521,2758,6649,2761,6756,2759,6879,2758,7014,2759,7155,2761,7441,2765,7578,2764,7701,2761,7815,2745,7925,2739,8035,2743,8150,2750,8275,2759,8414,2766,8573,2768,8754,2761,8929,2760,9083,2761,9216,2765,9334,2769,9439,2771,9534,2773,9706,2761,9706,2778,9706,2790,9578,2808,9438,2816,9143,2815,8995,2808,8854,2800,8721,2794,8604,2790,8483,2798,8343,2801,8189,2800,8030,2796,7874,2791,7729,2789,7601,2788,7548,2788,7501,2790,7454,2790,7399,2790,7271,2786,7129,2783,6979,2779,6833,2776,6698,2776,6638,2778,6536,2785,6451,2800,6383,2806,6295,2809,6191,2809,6075,2808,5948,2805,5813,2800,5671,2795,5388,2786,5248,2781,5115,2779,4990,2778,4876,2779,4778,2783,4695,2790,4695,2761xe" filled="false" stroked="true" strokeweight="3pt" strokecolor="#ffffff">
              <v:path arrowok="t"/>
              <v:stroke dashstyle="solid"/>
            </v:shape>
            <v:shape style="position:absolute;left:0;top:0;width:14400;height:4520" type="#_x0000_t202" id="docshape619" filled="false" stroked="false">
              <v:textbox inset="0,0,0,0">
                <w:txbxContent>
                  <w:p>
                    <w:pPr>
                      <w:spacing w:line="240" w:lineRule="auto" w:before="10"/>
                      <w:rPr>
                        <w:rFonts w:ascii="Calibri"/>
                        <w:b/>
                        <w:sz w:val="85"/>
                      </w:rPr>
                    </w:pPr>
                  </w:p>
                  <w:p>
                    <w:pPr>
                      <w:spacing w:before="1"/>
                      <w:ind w:left="2077" w:right="2080" w:firstLine="0"/>
                      <w:jc w:val="center"/>
                      <w:rPr>
                        <w:rFonts w:ascii="Calibri"/>
                        <w:b/>
                        <w:sz w:val="114"/>
                      </w:rPr>
                    </w:pPr>
                    <w:r>
                      <w:rPr>
                        <w:rFonts w:ascii="Calibri"/>
                        <w:b/>
                        <w:color w:val="FFFFFF"/>
                        <w:sz w:val="114"/>
                      </w:rPr>
                      <w:t>People</w:t>
                    </w:r>
                    <w:r>
                      <w:rPr>
                        <w:rFonts w:ascii="Calibri"/>
                        <w:b/>
                        <w:color w:val="FFFFFF"/>
                        <w:spacing w:val="-7"/>
                        <w:sz w:val="114"/>
                      </w:rPr>
                      <w:t> </w:t>
                    </w:r>
                    <w:r>
                      <w:rPr>
                        <w:rFonts w:ascii="Calibri"/>
                        <w:b/>
                        <w:color w:val="FFFFFF"/>
                        <w:sz w:val="114"/>
                      </w:rPr>
                      <w:t>&amp;</w:t>
                    </w:r>
                    <w:r>
                      <w:rPr>
                        <w:rFonts w:ascii="Calibri"/>
                        <w:b/>
                        <w:color w:val="FFFFFF"/>
                        <w:spacing w:val="-5"/>
                        <w:sz w:val="114"/>
                      </w:rPr>
                      <w:t> </w:t>
                    </w:r>
                    <w:r>
                      <w:rPr>
                        <w:rFonts w:ascii="Calibri"/>
                        <w:b/>
                        <w:color w:val="FFFFFF"/>
                        <w:sz w:val="114"/>
                      </w:rPr>
                      <w:t>OD</w:t>
                    </w:r>
                    <w:r>
                      <w:rPr>
                        <w:rFonts w:ascii="Calibri"/>
                        <w:b/>
                        <w:color w:val="FFFFFF"/>
                        <w:spacing w:val="-6"/>
                        <w:sz w:val="114"/>
                      </w:rPr>
                      <w:t> </w:t>
                    </w:r>
                    <w:r>
                      <w:rPr>
                        <w:rFonts w:ascii="Calibri"/>
                        <w:b/>
                        <w:color w:val="FFFFFF"/>
                        <w:sz w:val="114"/>
                      </w:rPr>
                      <w:t>-</w:t>
                    </w:r>
                    <w:r>
                      <w:rPr>
                        <w:rFonts w:ascii="Calibri"/>
                        <w:b/>
                        <w:color w:val="FFFFFF"/>
                        <w:spacing w:val="-6"/>
                        <w:sz w:val="114"/>
                      </w:rPr>
                      <w:t> </w:t>
                    </w:r>
                    <w:r>
                      <w:rPr>
                        <w:rFonts w:ascii="Calibri"/>
                        <w:b/>
                        <w:color w:val="FFFFFF"/>
                        <w:spacing w:val="-4"/>
                        <w:sz w:val="114"/>
                      </w:rPr>
                      <w:t>Team</w:t>
                    </w:r>
                  </w:p>
                </w:txbxContent>
              </v:textbox>
              <w10:wrap type="none"/>
            </v:shape>
            <w10:wrap type="none"/>
          </v:group>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11"/>
        <w:rPr>
          <w:rFonts w:ascii="Calibri"/>
          <w:b/>
          <w:sz w:val="28"/>
        </w:rPr>
      </w:pPr>
    </w:p>
    <w:p>
      <w:pPr>
        <w:pStyle w:val="BodyText"/>
        <w:ind w:left="1220"/>
        <w:rPr>
          <w:rFonts w:ascii="Calibri"/>
          <w:sz w:val="20"/>
        </w:rPr>
      </w:pPr>
      <w:r>
        <w:rPr>
          <w:rFonts w:ascii="Calibri"/>
          <w:sz w:val="20"/>
        </w:rPr>
        <w:drawing>
          <wp:inline distT="0" distB="0" distL="0" distR="0">
            <wp:extent cx="7495773" cy="2156269"/>
            <wp:effectExtent l="0" t="0" r="0" b="0"/>
            <wp:docPr id="211" name="image98.png"/>
            <wp:cNvGraphicFramePr>
              <a:graphicFrameLocks noChangeAspect="1"/>
            </wp:cNvGraphicFramePr>
            <a:graphic>
              <a:graphicData uri="http://schemas.openxmlformats.org/drawingml/2006/picture">
                <pic:pic>
                  <pic:nvPicPr>
                    <pic:cNvPr id="212" name="image98.png"/>
                    <pic:cNvPicPr/>
                  </pic:nvPicPr>
                  <pic:blipFill>
                    <a:blip r:embed="rId185" cstate="print"/>
                    <a:stretch>
                      <a:fillRect/>
                    </a:stretch>
                  </pic:blipFill>
                  <pic:spPr>
                    <a:xfrm>
                      <a:off x="0" y="0"/>
                      <a:ext cx="7495773" cy="2156269"/>
                    </a:xfrm>
                    <a:prstGeom prst="rect">
                      <a:avLst/>
                    </a:prstGeom>
                  </pic:spPr>
                </pic:pic>
              </a:graphicData>
            </a:graphic>
          </wp:inline>
        </w:drawing>
      </w:r>
      <w:r>
        <w:rPr>
          <w:rFonts w:ascii="Calibri"/>
          <w:sz w:val="20"/>
        </w:rPr>
      </w:r>
    </w:p>
    <w:p>
      <w:pPr>
        <w:spacing w:after="0"/>
        <w:rPr>
          <w:rFonts w:ascii="Calibri"/>
          <w:sz w:val="20"/>
        </w:rPr>
        <w:sectPr>
          <w:pgSz w:w="14400" w:h="10800" w:orient="landscape"/>
          <w:pgMar w:header="0" w:footer="173" w:top="0" w:bottom="360" w:left="0" w:right="0"/>
        </w:sectPr>
      </w:pPr>
    </w:p>
    <w:p>
      <w:pPr>
        <w:pStyle w:val="BodyText"/>
        <w:rPr>
          <w:rFonts w:ascii="Calibri"/>
          <w:b/>
          <w:sz w:val="20"/>
        </w:rPr>
      </w:pPr>
      <w:r>
        <w:rPr/>
        <w:pict>
          <v:group style="position:absolute;margin-left:0pt;margin-top:0pt;width:720pt;height:226pt;mso-position-horizontal-relative:page;mso-position-vertical-relative:page;z-index:15847936" id="docshapegroup620" coordorigin="0,0" coordsize="14400,4520">
            <v:shape style="position:absolute;left:0;top:0;width:14400;height:4520" id="docshape621" coordorigin="0,0" coordsize="14400,4520" path="m10724,4040l2869,4040,2633,3980,3087,3980,3055,3972,3049,3960,2064,3700,1989,3660,1689,3580,1614,3540,1464,3500,1389,3460,1239,3420,1165,3380,1016,3340,941,3300,867,3280,793,3240,719,3220,644,3180,570,3160,497,3120,0,2900,0,0,14400,0,14400,3000,14245,3060,14170,3100,14094,3120,14019,3160,13867,3200,13714,3260,13560,3300,13482,3340,13249,3400,13172,3440,12782,3540,12704,3580,11605,3860,11526,3860,11131,3960,11049,3960,10724,4040xm11559,4080l11119,4080,11357,4020,11437,4020,11917,3900,11997,3900,12710,3720,12787,3680,13251,3560,13328,3520,13559,3460,13636,3420,13866,3360,13943,3320,14019,3300,14095,3260,14171,3240,14400,3140,14400,3240,13972,3400,13897,3420,13822,3460,13673,3500,13598,3540,13298,3620,13222,3660,12020,3980,11945,3980,11794,4020,11559,4080xm3060,3980l2554,3980,2318,3920,2240,3920,1926,3840,1848,3840,1226,3680,1149,3680,766,3580,690,3540,157,3400,81,3360,0,3340,0,3260,86,3280,241,3320,319,3360,1782,3740,1859,3740,2167,3820,2244,3820,2475,3880,2552,3880,2782,3940,2859,3940,2935,3960,3011,3960,3055,3972,3060,3980xm9911,4180l3745,4180,3585,4140,3506,4140,3426,4120,3347,4120,3187,4080,3108,4080,2949,4040,10643,4040,10398,4100,10317,4100,10072,4160,9990,4160,9911,4180xm10691,4240l10109,4240,10186,4220,10264,4220,10419,4180,10497,4180,10575,4160,10653,4160,10809,4120,10886,4120,11042,4080,11480,4080,11244,4140,11166,4140,10929,4200,10851,4200,10691,4240xm9672,4220l4066,4220,3984,4200,3904,4200,3824,4180,9831,4180,9672,4220xm8211,4400l5443,4400,5366,4380,5288,4380,5211,4360,5133,4360,5051,4340,4969,4340,4887,4320,4805,4320,4723,4300,4641,4300,4559,4280,4148,4220,9592,4220,9512,4240,9433,4240,9353,4260,9273,4260,9193,4280,9113,4280,8211,4400xm10531,4260l9955,4260,10032,4240,10611,4240,10531,4260xm10292,4300l9569,4300,9646,4280,9800,4280,9877,4260,10452,4260,10292,4300xm10132,4320l9415,4320,9492,4300,10212,4300,10132,4320xm9979,4340l9260,4340,9337,4320,10055,4320,9979,4340xm9825,4360l9029,4360,9106,4340,9902,4340,9825,4360xm9672,4380l8787,4380,8869,4360,9749,4360,9672,4380xm9442,4400l8459,4400,8541,4380,9519,4380,9442,4400xm8020,4420l5598,4420,5520,4400,8131,4400,8125,4408,8020,4420xm9289,4420l8116,4420,8125,4408,8192,4400,9365,4400,9289,4420xm9054,4440l5831,4440,5753,4420,9132,4420,9054,4440xm8819,4460l6141,4460,6063,4440,8897,4440,8819,4460xm8505,4480l6448,4480,6372,4460,8584,4460,8505,4480xm8192,4500l6754,4500,6678,4480,8270,4480,8192,4500xm7728,4520l7060,4520,6984,4500,7883,4500,7728,4520xe" filled="true" fillcolor="#c0504d" stroked="false">
              <v:path arrowok="t"/>
              <v:fill type="solid"/>
            </v:shape>
            <v:shape style="position:absolute;left:4693;top:2714;width:5014;height:96" id="docshape622" coordorigin="4694,2715" coordsize="5014,96" path="m7618,2762l6552,2762,6608,2759,6667,2754,6864,2731,6937,2724,7016,2718,7099,2715,7187,2715,7281,2718,7381,2727,7488,2741,7601,2761,7618,2762xm8617,2792l8533,2791,8452,2789,8373,2785,8136,2771,8196,2770,8497,2761,8553,2761,8605,2755,8667,2750,8739,2745,8817,2740,8902,2737,8990,2734,9081,2732,9173,2731,9265,2731,9353,2733,9438,2735,9518,2739,9590,2745,9653,2752,9706,2761,9705,2768,9705,2769,9706,2772,9563,2772,9498,2775,9426,2780,9320,2790,8704,2790,8617,2792xm5862,2769l4903,2769,4996,2768,5082,2766,5162,2762,5310,2753,5379,2749,5446,2748,5512,2749,5579,2753,5646,2761,5862,2769xm4694,2790l4695,2778,4695,2776,4695,2775,4695,2771,4694,2761,4803,2767,4903,2769,5862,2769,6032,2776,6071,2777,4969,2777,4885,2778,4793,2782,4694,2790xm7681,2778l6182,2778,6258,2778,6336,2775,6416,2769,6498,2761,6552,2762,7618,2762,7730,2766,7802,2768,7762,2770,7682,2778,7681,2778xm8039,2772l7947,2771,7845,2769,7802,2768,7839,2766,7916,2764,7992,2765,8067,2768,8136,2771,8122,2771,8039,2772xm9706,2790l9668,2778,9620,2772,9563,2772,9706,2772,9707,2777,9707,2781,9706,2790xm5491,2801l5416,2799,5342,2795,5125,2782,5049,2778,4969,2777,6071,2777,6107,2778,7681,2778,7601,2790,5746,2790,5655,2797,5571,2800,5491,2801xm6461,2810l6386,2809,5746,2790,6749,2790,6704,2798,6652,2804,6594,2807,6530,2809,6461,2810xm7089,2809l7019,2808,6952,2806,6885,2803,6817,2797,6749,2790,7601,2790,7319,2804,7238,2807,7162,2808,7089,2809xm8992,2810l8897,2809,8800,2802,8704,2790,9320,2790,9265,2795,9177,2802,9086,2807,8992,2810xe" filled="true" fillcolor="#ffffff" stroked="false">
              <v:path arrowok="t"/>
              <v:fill type="solid"/>
            </v:shape>
            <v:shape style="position:absolute;left:4695;top:2730;width:5012;height:87" id="docshape623" coordorigin="4695,2730" coordsize="5012,87" path="m4695,2761l4793,2744,4911,2734,5041,2730,5179,2731,5315,2736,5443,2744,5555,2753,5646,2761,5680,2760,5723,2759,5826,2758,5950,2756,6089,2755,6381,2755,6521,2758,6649,2761,6756,2759,6879,2758,7014,2759,7155,2761,7441,2765,7578,2764,7701,2761,7815,2745,7925,2739,8035,2743,8150,2750,8275,2759,8414,2766,8573,2768,8754,2761,8929,2760,9083,2761,9216,2765,9334,2769,9439,2771,9534,2773,9706,2761,9706,2778,9706,2790,9578,2808,9438,2816,9143,2815,8995,2808,8854,2800,8721,2794,8604,2790,8483,2798,8343,2801,8189,2800,8030,2796,7874,2791,7729,2789,7601,2788,7548,2788,7501,2790,7454,2790,7399,2790,7271,2786,7129,2783,6979,2779,6833,2776,6698,2776,6638,2778,6536,2785,6451,2800,6383,2806,6295,2809,6191,2809,6075,2808,5948,2805,5813,2800,5671,2795,5388,2786,5248,2781,5115,2779,4990,2778,4876,2779,4778,2783,4695,2790,4695,2761xe" filled="false" stroked="true" strokeweight="3pt" strokecolor="#ffffff">
              <v:path arrowok="t"/>
              <v:stroke dashstyle="solid"/>
            </v:shape>
            <v:shape style="position:absolute;left:0;top:0;width:14400;height:4520" type="#_x0000_t202" id="docshape624" filled="false" stroked="false">
              <v:textbox inset="0,0,0,0">
                <w:txbxContent>
                  <w:p>
                    <w:pPr>
                      <w:spacing w:line="240" w:lineRule="auto" w:before="10"/>
                      <w:rPr>
                        <w:rFonts w:ascii="Calibri"/>
                        <w:b/>
                        <w:sz w:val="85"/>
                      </w:rPr>
                    </w:pPr>
                  </w:p>
                  <w:p>
                    <w:pPr>
                      <w:spacing w:before="1"/>
                      <w:ind w:left="2077" w:right="2084" w:firstLine="0"/>
                      <w:jc w:val="center"/>
                      <w:rPr>
                        <w:rFonts w:ascii="Calibri"/>
                        <w:b/>
                        <w:sz w:val="114"/>
                      </w:rPr>
                    </w:pPr>
                    <w:r>
                      <w:rPr>
                        <w:rFonts w:ascii="Calibri"/>
                        <w:b/>
                        <w:color w:val="FFFFFF"/>
                        <w:sz w:val="114"/>
                      </w:rPr>
                      <w:t>Primary</w:t>
                    </w:r>
                    <w:r>
                      <w:rPr>
                        <w:rFonts w:ascii="Calibri"/>
                        <w:b/>
                        <w:color w:val="FFFFFF"/>
                        <w:spacing w:val="-10"/>
                        <w:sz w:val="114"/>
                      </w:rPr>
                      <w:t> </w:t>
                    </w:r>
                    <w:r>
                      <w:rPr>
                        <w:rFonts w:ascii="Calibri"/>
                        <w:b/>
                        <w:color w:val="FFFFFF"/>
                        <w:sz w:val="114"/>
                      </w:rPr>
                      <w:t>Care</w:t>
                    </w:r>
                    <w:r>
                      <w:rPr>
                        <w:rFonts w:ascii="Calibri"/>
                        <w:b/>
                        <w:color w:val="FFFFFF"/>
                        <w:spacing w:val="-7"/>
                        <w:sz w:val="114"/>
                      </w:rPr>
                      <w:t> </w:t>
                    </w:r>
                    <w:r>
                      <w:rPr>
                        <w:rFonts w:ascii="Calibri"/>
                        <w:b/>
                        <w:color w:val="FFFFFF"/>
                        <w:spacing w:val="-2"/>
                        <w:sz w:val="114"/>
                      </w:rPr>
                      <w:t>Services</w:t>
                    </w:r>
                  </w:p>
                </w:txbxContent>
              </v:textbox>
              <w10:wrap type="none"/>
            </v:shape>
            <w10:wrap type="none"/>
          </v:group>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8"/>
        <w:rPr>
          <w:rFonts w:ascii="Calibri"/>
          <w:b/>
          <w:sz w:val="26"/>
        </w:rPr>
      </w:pPr>
    </w:p>
    <w:p>
      <w:pPr>
        <w:pStyle w:val="BodyText"/>
        <w:ind w:left="720"/>
        <w:rPr>
          <w:rFonts w:ascii="Calibri"/>
          <w:sz w:val="20"/>
        </w:rPr>
      </w:pPr>
      <w:r>
        <w:rPr>
          <w:rFonts w:ascii="Calibri"/>
          <w:sz w:val="20"/>
        </w:rPr>
        <w:drawing>
          <wp:inline distT="0" distB="0" distL="0" distR="0">
            <wp:extent cx="8130248" cy="2112264"/>
            <wp:effectExtent l="0" t="0" r="0" b="0"/>
            <wp:docPr id="213" name="image99.png"/>
            <wp:cNvGraphicFramePr>
              <a:graphicFrameLocks noChangeAspect="1"/>
            </wp:cNvGraphicFramePr>
            <a:graphic>
              <a:graphicData uri="http://schemas.openxmlformats.org/drawingml/2006/picture">
                <pic:pic>
                  <pic:nvPicPr>
                    <pic:cNvPr id="214" name="image99.png"/>
                    <pic:cNvPicPr/>
                  </pic:nvPicPr>
                  <pic:blipFill>
                    <a:blip r:embed="rId186" cstate="print"/>
                    <a:stretch>
                      <a:fillRect/>
                    </a:stretch>
                  </pic:blipFill>
                  <pic:spPr>
                    <a:xfrm>
                      <a:off x="0" y="0"/>
                      <a:ext cx="8130248" cy="2112264"/>
                    </a:xfrm>
                    <a:prstGeom prst="rect">
                      <a:avLst/>
                    </a:prstGeom>
                  </pic:spPr>
                </pic:pic>
              </a:graphicData>
            </a:graphic>
          </wp:inline>
        </w:drawing>
      </w:r>
      <w:r>
        <w:rPr>
          <w:rFonts w:ascii="Calibri"/>
          <w:sz w:val="20"/>
        </w:rPr>
      </w:r>
    </w:p>
    <w:p>
      <w:pPr>
        <w:spacing w:after="0"/>
        <w:rPr>
          <w:rFonts w:ascii="Calibri"/>
          <w:sz w:val="20"/>
        </w:rPr>
        <w:sectPr>
          <w:pgSz w:w="14400" w:h="10800" w:orient="landscape"/>
          <w:pgMar w:header="0" w:footer="173" w:top="0" w:bottom="360" w:left="0" w:right="0"/>
        </w:sectPr>
      </w:pPr>
    </w:p>
    <w:p>
      <w:pPr>
        <w:pStyle w:val="BodyText"/>
        <w:rPr>
          <w:rFonts w:ascii="Calibri"/>
          <w:b/>
          <w:sz w:val="20"/>
        </w:rPr>
      </w:pPr>
      <w:r>
        <w:rPr/>
        <w:pict>
          <v:group style="position:absolute;margin-left:0pt;margin-top:0pt;width:720pt;height:429.65pt;mso-position-horizontal-relative:page;mso-position-vertical-relative:page;z-index:-24071680" id="docshapegroup625" coordorigin="0,0" coordsize="14400,8593">
            <v:shape style="position:absolute;left:0;top:0;width:14400;height:4520" id="docshape626" coordorigin="0,0" coordsize="14400,4520" path="m10724,4040l2869,4040,2633,3980,3087,3980,3055,3972,3049,3960,2064,3700,1989,3660,1689,3580,1614,3540,1464,3500,1389,3460,1239,3420,1165,3380,1016,3340,941,3300,867,3280,793,3240,719,3220,644,3180,570,3160,497,3120,0,2900,0,0,14400,0,14400,3000,14245,3060,14170,3100,14094,3120,14019,3160,13867,3200,13714,3260,13560,3300,13482,3340,13249,3400,13172,3440,12782,3540,12704,3580,11605,3860,11526,3860,11131,3960,11049,3960,10724,4040xm11559,4080l11119,4080,11357,4020,11437,4020,11917,3900,11997,3900,12710,3720,12787,3680,13251,3560,13328,3520,13559,3460,13636,3420,13866,3360,13943,3320,14019,3300,14095,3260,14171,3240,14400,3140,14400,3240,13972,3400,13897,3420,13822,3460,13673,3500,13598,3540,13298,3620,13222,3660,12020,3980,11945,3980,11794,4020,11559,4080xm3060,3980l2554,3980,2318,3920,2240,3920,1926,3840,1848,3840,1226,3680,1149,3680,766,3580,690,3540,157,3400,81,3360,0,3340,0,3260,86,3280,241,3320,319,3360,1782,3740,1859,3740,2167,3820,2244,3820,2475,3880,2552,3880,2782,3940,2859,3940,2935,3960,3011,3960,3055,3972,3060,3980xm9911,4180l3745,4180,3585,4140,3506,4140,3426,4120,3347,4120,3187,4080,3108,4080,2949,4040,10643,4040,10398,4100,10317,4100,10072,4160,9990,4160,9911,4180xm10691,4240l10109,4240,10186,4220,10264,4220,10419,4180,10497,4180,10575,4160,10653,4160,10809,4120,10886,4120,11042,4080,11480,4080,11244,4140,11166,4140,10929,4200,10851,4200,10691,4240xm9672,4220l4066,4220,3984,4200,3904,4200,3824,4180,9831,4180,9672,4220xm8211,4400l5443,4400,5366,4380,5288,4380,5211,4360,5133,4360,5051,4340,4969,4340,4887,4320,4805,4320,4723,4300,4641,4300,4559,4280,4148,4220,9592,4220,9512,4240,9433,4240,9353,4260,9273,4260,9193,4280,9113,4280,8211,4400xm10531,4260l9955,4260,10032,4240,10611,4240,10531,4260xm10292,4300l9569,4300,9646,4280,9800,4280,9877,4260,10452,4260,10292,4300xm10132,4320l9415,4320,9492,4300,10212,4300,10132,4320xm9979,4340l9260,4340,9337,4320,10055,4320,9979,4340xm9825,4360l9029,4360,9106,4340,9902,4340,9825,4360xm9672,4380l8787,4380,8869,4360,9749,4360,9672,4380xm9442,4400l8459,4400,8541,4380,9519,4380,9442,4400xm8020,4420l5598,4420,5520,4400,8131,4400,8125,4408,8020,4420xm9289,4420l8116,4420,8125,4408,8192,4400,9365,4400,9289,4420xm9054,4440l5831,4440,5753,4420,9132,4420,9054,4440xm8819,4460l6141,4460,6063,4440,8897,4440,8819,4460xm8505,4480l6448,4480,6372,4460,8584,4460,8505,4480xm8192,4500l6754,4500,6678,4480,8270,4480,8192,4500xm7728,4520l7060,4520,6984,4500,7883,4500,7728,4520xe" filled="true" fillcolor="#c0504d" stroked="false">
              <v:path arrowok="t"/>
              <v:fill type="solid"/>
            </v:shape>
            <v:shape style="position:absolute;left:4693;top:2714;width:5014;height:96" id="docshape627" coordorigin="4694,2715" coordsize="5014,96" path="m7618,2762l6552,2762,6608,2759,6667,2754,6864,2731,6937,2724,7016,2718,7099,2715,7187,2715,7281,2718,7381,2727,7488,2741,7601,2761,7618,2762xm8617,2792l8533,2791,8452,2789,8373,2785,8136,2771,8196,2770,8497,2761,8553,2761,8605,2755,8667,2750,8739,2745,8817,2740,8902,2737,8990,2734,9081,2732,9173,2731,9265,2731,9353,2733,9438,2735,9518,2739,9590,2745,9653,2752,9706,2761,9705,2768,9705,2769,9706,2772,9563,2772,9498,2775,9426,2780,9320,2790,8704,2790,8617,2792xm5862,2769l4903,2769,4996,2768,5082,2766,5162,2762,5310,2753,5379,2749,5446,2748,5512,2749,5579,2753,5646,2761,5862,2769xm4694,2790l4695,2778,4695,2776,4695,2775,4695,2771,4694,2761,4803,2767,4903,2769,5862,2769,6032,2776,6071,2777,4969,2777,4885,2778,4793,2782,4694,2790xm7681,2778l6182,2778,6258,2778,6336,2775,6416,2769,6498,2761,6552,2762,7618,2762,7730,2766,7802,2768,7762,2770,7682,2778,7681,2778xm8039,2772l7947,2771,7845,2769,7802,2768,7839,2766,7916,2764,7992,2765,8067,2768,8136,2771,8122,2771,8039,2772xm9706,2790l9668,2778,9620,2772,9563,2772,9706,2772,9707,2777,9707,2781,9706,2790xm5491,2801l5416,2799,5342,2795,5125,2782,5049,2778,4969,2777,6071,2777,6107,2778,7681,2778,7601,2790,5746,2790,5655,2797,5571,2800,5491,2801xm6461,2810l6386,2809,5746,2790,6749,2790,6704,2798,6652,2804,6594,2807,6530,2809,6461,2810xm7089,2809l7019,2808,6952,2806,6885,2803,6817,2797,6749,2790,7601,2790,7319,2804,7238,2807,7162,2808,7089,2809xm8992,2810l8897,2809,8800,2802,8704,2790,9320,2790,9265,2795,9177,2802,9086,2807,8992,2810xe" filled="true" fillcolor="#ffffff" stroked="false">
              <v:path arrowok="t"/>
              <v:fill type="solid"/>
            </v:shape>
            <v:shape style="position:absolute;left:4695;top:2730;width:5012;height:87" id="docshape628" coordorigin="4695,2730" coordsize="5012,87" path="m4695,2761l4793,2744,4911,2734,5041,2730,5179,2731,5315,2736,5443,2744,5555,2753,5646,2761,5680,2760,5723,2759,5826,2758,5950,2756,6089,2755,6381,2755,6521,2758,6649,2761,6756,2759,6879,2758,7014,2759,7155,2761,7441,2765,7578,2764,7701,2761,7815,2745,7925,2739,8035,2743,8150,2750,8275,2759,8414,2766,8573,2768,8754,2761,8929,2760,9083,2761,9216,2765,9334,2769,9439,2771,9534,2773,9706,2761,9706,2778,9706,2790,9578,2808,9438,2816,9143,2815,8995,2808,8854,2800,8721,2794,8604,2790,8483,2798,8343,2801,8189,2800,8030,2796,7874,2791,7729,2789,7601,2788,7548,2788,7501,2790,7454,2790,7399,2790,7271,2786,7129,2783,6979,2779,6833,2776,6698,2776,6638,2778,6536,2785,6451,2800,6383,2806,6295,2809,6191,2809,6075,2808,5948,2805,5813,2800,5671,2795,5388,2786,5248,2781,5115,2779,4990,2778,4876,2779,4778,2783,4695,2790,4695,2761xe" filled="false" stroked="true" strokeweight="3pt" strokecolor="#ffffff">
              <v:path arrowok="t"/>
              <v:stroke dashstyle="solid"/>
            </v:shape>
            <v:shape style="position:absolute;left:720;top:4060;width:12960;height:4533" type="#_x0000_t75" id="docshape629" stroked="false">
              <v:imagedata r:id="rId187" o:title=""/>
            </v:shape>
            <w10:wrap type="none"/>
          </v:group>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7"/>
        <w:rPr>
          <w:rFonts w:ascii="Calibri"/>
          <w:b/>
          <w:sz w:val="16"/>
        </w:rPr>
      </w:pPr>
    </w:p>
    <w:p>
      <w:pPr>
        <w:spacing w:line="1261" w:lineRule="exact" w:before="0"/>
        <w:ind w:left="2077" w:right="2081" w:firstLine="0"/>
        <w:jc w:val="center"/>
        <w:rPr>
          <w:rFonts w:ascii="Calibri"/>
          <w:b/>
          <w:sz w:val="114"/>
        </w:rPr>
      </w:pPr>
      <w:r>
        <w:rPr>
          <w:rFonts w:ascii="Calibri"/>
          <w:b/>
          <w:color w:val="FFFFFF"/>
          <w:spacing w:val="-2"/>
          <w:sz w:val="114"/>
        </w:rPr>
        <w:t>Procurement</w:t>
      </w:r>
    </w:p>
    <w:p>
      <w:pPr>
        <w:spacing w:after="0" w:line="1261" w:lineRule="exact"/>
        <w:jc w:val="center"/>
        <w:rPr>
          <w:rFonts w:ascii="Calibri"/>
          <w:sz w:val="114"/>
        </w:rPr>
        <w:sectPr>
          <w:pgSz w:w="14400" w:h="10800" w:orient="landscape"/>
          <w:pgMar w:header="0" w:footer="173" w:top="0" w:bottom="360" w:left="0" w:right="0"/>
        </w:sectPr>
      </w:pPr>
    </w:p>
    <w:p>
      <w:pPr>
        <w:pStyle w:val="BodyText"/>
        <w:rPr>
          <w:rFonts w:ascii="Calibri"/>
          <w:b/>
          <w:sz w:val="20"/>
        </w:rPr>
      </w:pPr>
      <w:r>
        <w:rPr/>
        <w:pict>
          <v:group style="position:absolute;margin-left:0pt;margin-top:0pt;width:720pt;height:226pt;mso-position-horizontal-relative:page;mso-position-vertical-relative:page;z-index:15848960" id="docshapegroup630" coordorigin="0,0" coordsize="14400,4520">
            <v:shape style="position:absolute;left:0;top:0;width:14400;height:4520" id="docshape631" coordorigin="0,0" coordsize="14400,4520" path="m10724,4040l2869,4040,2633,3980,3087,3980,3055,3972,3049,3960,2064,3700,1989,3660,1689,3580,1614,3540,1464,3500,1389,3460,1239,3420,1165,3380,1016,3340,941,3300,867,3280,793,3240,719,3220,644,3180,570,3160,497,3120,0,2900,0,0,14400,0,14400,3000,14245,3060,14170,3100,14094,3120,14019,3160,13867,3200,13714,3260,13560,3300,13482,3340,13249,3400,13172,3440,12782,3540,12704,3580,11605,3860,11526,3860,11131,3960,11049,3960,10724,4040xm11559,4080l11119,4080,11357,4020,11437,4020,11917,3900,11997,3900,12710,3720,12787,3680,13251,3560,13328,3520,13559,3460,13636,3420,13866,3360,13943,3320,14019,3300,14095,3260,14171,3240,14400,3140,14400,3240,13972,3400,13897,3420,13822,3460,13673,3500,13598,3540,13298,3620,13222,3660,12020,3980,11945,3980,11794,4020,11559,4080xm3060,3980l2554,3980,2318,3920,2240,3920,1926,3840,1848,3840,1226,3680,1149,3680,766,3580,690,3540,157,3400,81,3360,0,3340,0,3260,86,3280,241,3320,319,3360,1782,3740,1859,3740,2167,3820,2244,3820,2475,3880,2552,3880,2782,3940,2859,3940,2935,3960,3011,3960,3055,3972,3060,3980xm9911,4180l3745,4180,3585,4140,3506,4140,3426,4120,3347,4120,3187,4080,3108,4080,2949,4040,10643,4040,10398,4100,10317,4100,10072,4160,9990,4160,9911,4180xm10691,4240l10109,4240,10186,4220,10264,4220,10419,4180,10497,4180,10575,4160,10653,4160,10809,4120,10886,4120,11042,4080,11480,4080,11244,4140,11166,4140,10929,4200,10851,4200,10691,4240xm9672,4220l4066,4220,3984,4200,3904,4200,3824,4180,9831,4180,9672,4220xm8211,4400l5443,4400,5366,4380,5288,4380,5211,4360,5133,4360,5051,4340,4969,4340,4887,4320,4805,4320,4723,4300,4641,4300,4559,4280,4148,4220,9592,4220,9512,4240,9433,4240,9353,4260,9273,4260,9193,4280,9113,4280,8211,4400xm10531,4260l9955,4260,10032,4240,10611,4240,10531,4260xm10292,4300l9569,4300,9646,4280,9800,4280,9877,4260,10452,4260,10292,4300xm10132,4320l9415,4320,9492,4300,10212,4300,10132,4320xm9979,4340l9260,4340,9337,4320,10055,4320,9979,4340xm9825,4360l9029,4360,9106,4340,9902,4340,9825,4360xm9672,4380l8787,4380,8869,4360,9749,4360,9672,4380xm9442,4400l8459,4400,8541,4380,9519,4380,9442,4400xm8020,4420l5598,4420,5520,4400,8131,4400,8125,4408,8020,4420xm9289,4420l8116,4420,8125,4408,8192,4400,9365,4400,9289,4420xm9054,4440l5831,4440,5753,4420,9132,4420,9054,4440xm8819,4460l6141,4460,6063,4440,8897,4440,8819,4460xm8505,4480l6448,4480,6372,4460,8584,4460,8505,4480xm8192,4500l6754,4500,6678,4480,8270,4480,8192,4500xm7728,4520l7060,4520,6984,4500,7883,4500,7728,4520xe" filled="true" fillcolor="#c0504d" stroked="false">
              <v:path arrowok="t"/>
              <v:fill type="solid"/>
            </v:shape>
            <v:shape style="position:absolute;left:4693;top:2714;width:5014;height:96" id="docshape632" coordorigin="4694,2715" coordsize="5014,96" path="m7618,2762l6552,2762,6608,2759,6667,2754,6864,2731,6937,2724,7016,2718,7099,2715,7187,2715,7281,2718,7381,2727,7488,2741,7601,2761,7618,2762xm8617,2792l8533,2791,8452,2789,8373,2785,8136,2771,8196,2770,8497,2761,8553,2761,8605,2755,8667,2750,8739,2745,8817,2740,8902,2737,8990,2734,9081,2732,9173,2731,9265,2731,9353,2733,9438,2735,9518,2739,9590,2745,9653,2752,9706,2761,9705,2768,9705,2769,9706,2772,9563,2772,9498,2775,9426,2780,9320,2790,8704,2790,8617,2792xm5862,2769l4903,2769,4996,2768,5082,2766,5162,2762,5310,2753,5379,2749,5446,2748,5512,2749,5579,2753,5646,2761,5862,2769xm4694,2790l4695,2778,4695,2776,4695,2775,4695,2771,4694,2761,4803,2767,4903,2769,5862,2769,6032,2776,6071,2777,4969,2777,4885,2778,4793,2782,4694,2790xm7681,2778l6182,2778,6258,2778,6336,2775,6416,2769,6498,2761,6552,2762,7618,2762,7730,2766,7802,2768,7762,2770,7682,2778,7681,2778xm8039,2772l7947,2771,7845,2769,7802,2768,7839,2766,7916,2764,7992,2765,8067,2768,8136,2771,8122,2771,8039,2772xm9706,2790l9668,2778,9620,2772,9563,2772,9706,2772,9707,2777,9707,2781,9706,2790xm5491,2801l5416,2799,5342,2795,5125,2782,5049,2778,4969,2777,6071,2777,6107,2778,7681,2778,7601,2790,5746,2790,5655,2797,5571,2800,5491,2801xm6461,2810l6386,2809,5746,2790,6749,2790,6704,2798,6652,2804,6594,2807,6530,2809,6461,2810xm7089,2809l7019,2808,6952,2806,6885,2803,6817,2797,6749,2790,7601,2790,7319,2804,7238,2807,7162,2808,7089,2809xm8992,2810l8897,2809,8800,2802,8704,2790,9320,2790,9265,2795,9177,2802,9086,2807,8992,2810xe" filled="true" fillcolor="#ffffff" stroked="false">
              <v:path arrowok="t"/>
              <v:fill type="solid"/>
            </v:shape>
            <v:shape style="position:absolute;left:4695;top:2730;width:5012;height:87" id="docshape633" coordorigin="4695,2730" coordsize="5012,87" path="m4695,2761l4793,2744,4911,2734,5041,2730,5179,2731,5315,2736,5443,2744,5555,2753,5646,2761,5680,2760,5723,2759,5826,2758,5950,2756,6089,2755,6381,2755,6521,2758,6649,2761,6756,2759,6879,2758,7014,2759,7155,2761,7441,2765,7578,2764,7701,2761,7815,2745,7925,2739,8035,2743,8150,2750,8275,2759,8414,2766,8573,2768,8754,2761,8929,2760,9083,2761,9216,2765,9334,2769,9439,2771,9534,2773,9706,2761,9706,2778,9706,2790,9578,2808,9438,2816,9143,2815,8995,2808,8854,2800,8721,2794,8604,2790,8483,2798,8343,2801,8189,2800,8030,2796,7874,2791,7729,2789,7601,2788,7548,2788,7501,2790,7454,2790,7399,2790,7271,2786,7129,2783,6979,2779,6833,2776,6698,2776,6638,2778,6536,2785,6451,2800,6383,2806,6295,2809,6191,2809,6075,2808,5948,2805,5813,2800,5671,2795,5388,2786,5248,2781,5115,2779,4990,2778,4876,2779,4778,2783,4695,2790,4695,2761xe" filled="false" stroked="true" strokeweight="3pt" strokecolor="#ffffff">
              <v:path arrowok="t"/>
              <v:stroke dashstyle="solid"/>
            </v:shape>
            <v:shape style="position:absolute;left:0;top:0;width:14400;height:4520" type="#_x0000_t202" id="docshape634" filled="false" stroked="false">
              <v:textbox inset="0,0,0,0">
                <w:txbxContent>
                  <w:p>
                    <w:pPr>
                      <w:spacing w:line="240" w:lineRule="auto" w:before="10"/>
                      <w:rPr>
                        <w:rFonts w:ascii="Calibri"/>
                        <w:b/>
                        <w:sz w:val="85"/>
                      </w:rPr>
                    </w:pPr>
                  </w:p>
                  <w:p>
                    <w:pPr>
                      <w:spacing w:before="1"/>
                      <w:ind w:left="2077" w:right="2080" w:firstLine="0"/>
                      <w:jc w:val="center"/>
                      <w:rPr>
                        <w:rFonts w:ascii="Calibri"/>
                        <w:b/>
                        <w:sz w:val="114"/>
                      </w:rPr>
                    </w:pPr>
                    <w:r>
                      <w:rPr>
                        <w:rFonts w:ascii="Calibri"/>
                        <w:b/>
                        <w:color w:val="FFFFFF"/>
                        <w:spacing w:val="-2"/>
                        <w:sz w:val="114"/>
                      </w:rPr>
                      <w:t>Recruitment</w:t>
                    </w:r>
                  </w:p>
                </w:txbxContent>
              </v:textbox>
              <w10:wrap type="none"/>
            </v:shape>
            <w10:wrap type="none"/>
          </v:group>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7" w:after="1"/>
        <w:rPr>
          <w:rFonts w:ascii="Calibri"/>
          <w:b/>
          <w:sz w:val="25"/>
        </w:rPr>
      </w:pPr>
    </w:p>
    <w:p>
      <w:pPr>
        <w:pStyle w:val="BodyText"/>
        <w:ind w:left="1220"/>
        <w:rPr>
          <w:rFonts w:ascii="Calibri"/>
          <w:sz w:val="20"/>
        </w:rPr>
      </w:pPr>
      <w:r>
        <w:rPr>
          <w:rFonts w:ascii="Calibri"/>
          <w:sz w:val="20"/>
        </w:rPr>
        <w:drawing>
          <wp:inline distT="0" distB="0" distL="0" distR="0">
            <wp:extent cx="7508580" cy="2219134"/>
            <wp:effectExtent l="0" t="0" r="0" b="0"/>
            <wp:docPr id="215" name="image101.png"/>
            <wp:cNvGraphicFramePr>
              <a:graphicFrameLocks noChangeAspect="1"/>
            </wp:cNvGraphicFramePr>
            <a:graphic>
              <a:graphicData uri="http://schemas.openxmlformats.org/drawingml/2006/picture">
                <pic:pic>
                  <pic:nvPicPr>
                    <pic:cNvPr id="216" name="image101.png"/>
                    <pic:cNvPicPr/>
                  </pic:nvPicPr>
                  <pic:blipFill>
                    <a:blip r:embed="rId188" cstate="print"/>
                    <a:stretch>
                      <a:fillRect/>
                    </a:stretch>
                  </pic:blipFill>
                  <pic:spPr>
                    <a:xfrm>
                      <a:off x="0" y="0"/>
                      <a:ext cx="7508580" cy="2219134"/>
                    </a:xfrm>
                    <a:prstGeom prst="rect">
                      <a:avLst/>
                    </a:prstGeom>
                  </pic:spPr>
                </pic:pic>
              </a:graphicData>
            </a:graphic>
          </wp:inline>
        </w:drawing>
      </w:r>
      <w:r>
        <w:rPr>
          <w:rFonts w:ascii="Calibri"/>
          <w:sz w:val="20"/>
        </w:rPr>
      </w:r>
    </w:p>
    <w:p>
      <w:pPr>
        <w:spacing w:after="0"/>
        <w:rPr>
          <w:rFonts w:ascii="Calibri"/>
          <w:sz w:val="20"/>
        </w:rPr>
        <w:sectPr>
          <w:pgSz w:w="14400" w:h="10800" w:orient="landscape"/>
          <w:pgMar w:header="0" w:footer="173" w:top="0" w:bottom="360" w:left="0" w:right="0"/>
        </w:sectPr>
      </w:pPr>
    </w:p>
    <w:p>
      <w:pPr>
        <w:pStyle w:val="BodyText"/>
        <w:rPr>
          <w:rFonts w:ascii="Calibri"/>
          <w:b/>
          <w:sz w:val="20"/>
        </w:rPr>
      </w:pPr>
      <w:r>
        <w:rPr/>
        <w:pict>
          <v:group style="position:absolute;margin-left:0pt;margin-top:0pt;width:720pt;height:226pt;mso-position-horizontal-relative:page;mso-position-vertical-relative:page;z-index:-24070144" id="docshapegroup635" coordorigin="0,0" coordsize="14400,4520">
            <v:shape style="position:absolute;left:0;top:0;width:14400;height:4520" id="docshape636" coordorigin="0,0" coordsize="14400,4520" path="m10724,4040l2869,4040,2633,3980,3087,3980,3055,3972,3049,3960,2064,3700,1989,3660,1689,3580,1614,3540,1464,3500,1389,3460,1239,3420,1165,3380,1016,3340,941,3300,867,3280,793,3240,719,3220,644,3180,570,3160,497,3120,0,2900,0,0,14400,0,14400,3000,14245,3060,14170,3100,14094,3120,14019,3160,13867,3200,13714,3260,13560,3300,13482,3340,13249,3400,13172,3440,12782,3540,12704,3580,11605,3860,11526,3860,11131,3960,11049,3960,10724,4040xm11559,4080l11119,4080,11357,4020,11437,4020,11917,3900,11997,3900,12710,3720,12787,3680,13251,3560,13328,3520,13559,3460,13636,3420,13866,3360,13943,3320,14019,3300,14095,3260,14171,3240,14400,3140,14400,3240,13972,3400,13897,3420,13822,3460,13673,3500,13598,3540,13298,3620,13222,3660,12020,3980,11945,3980,11794,4020,11559,4080xm3060,3980l2554,3980,2318,3920,2240,3920,1926,3840,1848,3840,1226,3680,1149,3680,766,3580,690,3540,157,3400,81,3360,0,3340,0,3260,86,3280,241,3320,319,3360,1782,3740,1859,3740,2167,3820,2244,3820,2475,3880,2552,3880,2782,3940,2859,3940,2935,3960,3011,3960,3055,3972,3060,3980xm9911,4180l3745,4180,3585,4140,3506,4140,3426,4120,3347,4120,3187,4080,3108,4080,2949,4040,10643,4040,10398,4100,10317,4100,10072,4160,9990,4160,9911,4180xm10691,4240l10109,4240,10186,4220,10264,4220,10419,4180,10497,4180,10575,4160,10653,4160,10809,4120,10886,4120,11042,4080,11480,4080,11244,4140,11166,4140,10929,4200,10851,4200,10691,4240xm9672,4220l4066,4220,3984,4200,3904,4200,3824,4180,9831,4180,9672,4220xm8211,4400l5443,4400,5366,4380,5288,4380,5211,4360,5133,4360,5051,4340,4969,4340,4887,4320,4805,4320,4723,4300,4641,4300,4559,4280,4148,4220,9592,4220,9512,4240,9433,4240,9353,4260,9273,4260,9193,4280,9113,4280,8211,4400xm10531,4260l9955,4260,10032,4240,10611,4240,10531,4260xm10292,4300l9569,4300,9646,4280,9800,4280,9877,4260,10452,4260,10292,4300xm10132,4320l9415,4320,9492,4300,10212,4300,10132,4320xm9979,4340l9260,4340,9337,4320,10055,4320,9979,4340xm9825,4360l9029,4360,9106,4340,9902,4340,9825,4360xm9672,4380l8787,4380,8869,4360,9749,4360,9672,4380xm9442,4400l8459,4400,8541,4380,9519,4380,9442,4400xm8020,4420l5598,4420,5520,4400,8131,4400,8125,4408,8020,4420xm9289,4420l8116,4420,8125,4408,8192,4400,9365,4400,9289,4420xm9054,4440l5831,4440,5753,4420,9132,4420,9054,4440xm8819,4460l6141,4460,6063,4440,8897,4440,8819,4460xm8505,4480l6448,4480,6372,4460,8584,4460,8505,4480xm8192,4500l6754,4500,6678,4480,8270,4480,8192,4500xm7728,4520l7060,4520,6984,4500,7883,4500,7728,4520xe" filled="true" fillcolor="#c0504d" stroked="false">
              <v:path arrowok="t"/>
              <v:fill type="solid"/>
            </v:shape>
            <v:shape style="position:absolute;left:4693;top:2714;width:5014;height:96" id="docshape637" coordorigin="4694,2715" coordsize="5014,96" path="m7618,2762l6552,2762,6608,2759,6667,2754,6864,2731,6937,2724,7016,2718,7099,2715,7187,2715,7281,2718,7381,2727,7488,2741,7601,2761,7618,2762xm8617,2792l8533,2791,8452,2789,8373,2785,8136,2771,8196,2770,8497,2761,8553,2761,8605,2755,8667,2750,8739,2745,8817,2740,8902,2737,8990,2734,9081,2732,9173,2731,9265,2731,9353,2733,9438,2735,9518,2739,9590,2745,9653,2752,9706,2761,9705,2768,9705,2769,9706,2772,9563,2772,9498,2775,9426,2780,9320,2790,8704,2790,8617,2792xm5862,2769l4903,2769,4996,2768,5082,2766,5162,2762,5310,2753,5379,2749,5446,2748,5512,2749,5579,2753,5646,2761,5862,2769xm4694,2790l4695,2778,4695,2776,4695,2775,4695,2771,4694,2761,4803,2767,4903,2769,5862,2769,6032,2776,6071,2777,4969,2777,4885,2778,4793,2782,4694,2790xm7681,2778l6182,2778,6258,2778,6336,2775,6416,2769,6498,2761,6552,2762,7618,2762,7730,2766,7802,2768,7762,2770,7682,2778,7681,2778xm8039,2772l7947,2771,7845,2769,7802,2768,7839,2766,7916,2764,7992,2765,8067,2768,8136,2771,8122,2771,8039,2772xm9706,2790l9668,2778,9620,2772,9563,2772,9706,2772,9707,2777,9707,2781,9706,2790xm5491,2801l5416,2799,5342,2795,5125,2782,5049,2778,4969,2777,6071,2777,6107,2778,7681,2778,7601,2790,5746,2790,5655,2797,5571,2800,5491,2801xm6461,2810l6386,2809,5746,2790,6749,2790,6704,2798,6652,2804,6594,2807,6530,2809,6461,2810xm7089,2809l7019,2808,6952,2806,6885,2803,6817,2797,6749,2790,7601,2790,7319,2804,7238,2807,7162,2808,7089,2809xm8992,2810l8897,2809,8800,2802,8704,2790,9320,2790,9265,2795,9177,2802,9086,2807,8992,2810xe" filled="true" fillcolor="#ffffff" stroked="false">
              <v:path arrowok="t"/>
              <v:fill type="solid"/>
            </v:shape>
            <v:shape style="position:absolute;left:4695;top:2730;width:5012;height:87" id="docshape638" coordorigin="4695,2730" coordsize="5012,87" path="m4695,2761l4793,2744,4911,2734,5041,2730,5179,2731,5315,2736,5443,2744,5555,2753,5646,2761,5680,2760,5723,2759,5826,2758,5950,2756,6089,2755,6381,2755,6521,2758,6649,2761,6756,2759,6879,2758,7014,2759,7155,2761,7441,2765,7578,2764,7701,2761,7815,2745,7925,2739,8035,2743,8150,2750,8275,2759,8414,2766,8573,2768,8754,2761,8929,2760,9083,2761,9216,2765,9334,2769,9439,2771,9534,2773,9706,2761,9706,2778,9706,2790,9578,2808,9438,2816,9143,2815,8995,2808,8854,2800,8721,2794,8604,2790,8483,2798,8343,2801,8189,2800,8030,2796,7874,2791,7729,2789,7601,2788,7548,2788,7501,2790,7454,2790,7399,2790,7271,2786,7129,2783,6979,2779,6833,2776,6698,2776,6638,2778,6536,2785,6451,2800,6383,2806,6295,2809,6191,2809,6075,2808,5948,2805,5813,2800,5671,2795,5388,2786,5248,2781,5115,2779,4990,2778,4876,2779,4778,2783,4695,2790,4695,2761xe" filled="false" stroked="true" strokeweight="3pt" strokecolor="#ffffff">
              <v:path arrowok="t"/>
              <v:stroke dashstyle="solid"/>
            </v:shape>
            <w10:wrap type="none"/>
          </v:group>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7"/>
        <w:rPr>
          <w:rFonts w:ascii="Calibri"/>
          <w:b/>
          <w:sz w:val="16"/>
        </w:rPr>
      </w:pPr>
    </w:p>
    <w:p>
      <w:pPr>
        <w:spacing w:line="1261" w:lineRule="exact" w:before="0"/>
        <w:ind w:left="1120" w:right="0" w:firstLine="0"/>
        <w:jc w:val="left"/>
        <w:rPr>
          <w:rFonts w:ascii="Calibri"/>
          <w:b/>
          <w:sz w:val="114"/>
        </w:rPr>
      </w:pPr>
      <w:r>
        <w:rPr>
          <w:rFonts w:ascii="Calibri"/>
          <w:b/>
          <w:color w:val="FFFFFF"/>
          <w:sz w:val="114"/>
        </w:rPr>
        <w:t>Specialist</w:t>
      </w:r>
      <w:r>
        <w:rPr>
          <w:rFonts w:ascii="Calibri"/>
          <w:b/>
          <w:color w:val="FFFFFF"/>
          <w:spacing w:val="-34"/>
          <w:sz w:val="114"/>
        </w:rPr>
        <w:t> </w:t>
      </w:r>
      <w:r>
        <w:rPr>
          <w:rFonts w:ascii="Calibri"/>
          <w:b/>
          <w:color w:val="FFFFFF"/>
          <w:sz w:val="114"/>
        </w:rPr>
        <w:t>Estates</w:t>
      </w:r>
      <w:r>
        <w:rPr>
          <w:rFonts w:ascii="Calibri"/>
          <w:b/>
          <w:color w:val="FFFFFF"/>
          <w:spacing w:val="-31"/>
          <w:sz w:val="114"/>
        </w:rPr>
        <w:t> </w:t>
      </w:r>
      <w:r>
        <w:rPr>
          <w:rFonts w:ascii="Calibri"/>
          <w:b/>
          <w:color w:val="FFFFFF"/>
          <w:spacing w:val="-2"/>
          <w:sz w:val="114"/>
        </w:rPr>
        <w:t>Services</w: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9"/>
        <w:rPr>
          <w:rFonts w:ascii="Calibri"/>
          <w:b/>
          <w:sz w:val="23"/>
        </w:rPr>
      </w:pPr>
      <w:r>
        <w:rPr/>
        <w:drawing>
          <wp:anchor distT="0" distB="0" distL="0" distR="0" allowOverlap="1" layoutInCell="1" locked="0" behindDoc="0" simplePos="0" relativeHeight="236">
            <wp:simplePos x="0" y="0"/>
            <wp:positionH relativeFrom="page">
              <wp:posOffset>774700</wp:posOffset>
            </wp:positionH>
            <wp:positionV relativeFrom="paragraph">
              <wp:posOffset>199643</wp:posOffset>
            </wp:positionV>
            <wp:extent cx="7508580" cy="2219134"/>
            <wp:effectExtent l="0" t="0" r="0" b="0"/>
            <wp:wrapTopAndBottom/>
            <wp:docPr id="217" name="image101.png"/>
            <wp:cNvGraphicFramePr>
              <a:graphicFrameLocks noChangeAspect="1"/>
            </wp:cNvGraphicFramePr>
            <a:graphic>
              <a:graphicData uri="http://schemas.openxmlformats.org/drawingml/2006/picture">
                <pic:pic>
                  <pic:nvPicPr>
                    <pic:cNvPr id="218" name="image101.png"/>
                    <pic:cNvPicPr/>
                  </pic:nvPicPr>
                  <pic:blipFill>
                    <a:blip r:embed="rId188" cstate="print"/>
                    <a:stretch>
                      <a:fillRect/>
                    </a:stretch>
                  </pic:blipFill>
                  <pic:spPr>
                    <a:xfrm>
                      <a:off x="0" y="0"/>
                      <a:ext cx="7508580" cy="2219134"/>
                    </a:xfrm>
                    <a:prstGeom prst="rect">
                      <a:avLst/>
                    </a:prstGeom>
                  </pic:spPr>
                </pic:pic>
              </a:graphicData>
            </a:graphic>
          </wp:anchor>
        </w:drawing>
      </w:r>
    </w:p>
    <w:p>
      <w:pPr>
        <w:spacing w:after="0"/>
        <w:rPr>
          <w:rFonts w:ascii="Calibri"/>
          <w:sz w:val="23"/>
        </w:rPr>
        <w:sectPr>
          <w:pgSz w:w="14400" w:h="10800" w:orient="landscape"/>
          <w:pgMar w:header="0" w:footer="173" w:top="0" w:bottom="360" w:left="0" w:right="0"/>
        </w:sectPr>
      </w:pPr>
    </w:p>
    <w:p>
      <w:pPr>
        <w:pStyle w:val="BodyText"/>
        <w:rPr>
          <w:rFonts w:ascii="Calibri"/>
          <w:b/>
          <w:sz w:val="20"/>
        </w:rPr>
      </w:pPr>
      <w:r>
        <w:rPr/>
        <w:pict>
          <v:group style="position:absolute;margin-left:0pt;margin-top:0pt;width:720pt;height:226pt;mso-position-horizontal-relative:page;mso-position-vertical-relative:page;z-index:-24069120" id="docshapegroup639" coordorigin="0,0" coordsize="14400,4520">
            <v:shape style="position:absolute;left:0;top:0;width:14400;height:4520" id="docshape640" coordorigin="0,0" coordsize="14400,4520" path="m10724,4040l2869,4040,2633,3980,3087,3980,3055,3972,3049,3960,2064,3700,1989,3660,1689,3580,1614,3540,1464,3500,1389,3460,1239,3420,1165,3380,1016,3340,941,3300,867,3280,793,3240,719,3220,644,3180,570,3160,497,3120,0,2900,0,0,14400,0,14400,3000,14245,3060,14170,3100,14094,3120,14019,3160,13867,3200,13714,3260,13560,3300,13482,3340,13249,3400,13172,3440,12782,3540,12704,3580,11605,3860,11526,3860,11131,3960,11049,3960,10724,4040xm11559,4080l11119,4080,11357,4020,11437,4020,11917,3900,11997,3900,12710,3720,12787,3680,13251,3560,13328,3520,13559,3460,13636,3420,13866,3360,13943,3320,14019,3300,14095,3260,14171,3240,14400,3140,14400,3240,13972,3400,13897,3420,13822,3460,13673,3500,13598,3540,13298,3620,13222,3660,12020,3980,11945,3980,11794,4020,11559,4080xm3060,3980l2554,3980,2318,3920,2240,3920,1926,3840,1848,3840,1226,3680,1149,3680,766,3580,690,3540,157,3400,81,3360,0,3340,0,3260,86,3280,241,3320,319,3360,1782,3740,1859,3740,2167,3820,2244,3820,2475,3880,2552,3880,2782,3940,2859,3940,2935,3960,3011,3960,3055,3972,3060,3980xm9911,4180l3745,4180,3585,4140,3506,4140,3426,4120,3347,4120,3187,4080,3108,4080,2949,4040,10643,4040,10398,4100,10317,4100,10072,4160,9990,4160,9911,4180xm10691,4240l10109,4240,10186,4220,10264,4220,10419,4180,10497,4180,10575,4160,10653,4160,10809,4120,10886,4120,11042,4080,11480,4080,11244,4140,11166,4140,10929,4200,10851,4200,10691,4240xm9672,4220l4066,4220,3984,4200,3904,4200,3824,4180,9831,4180,9672,4220xm8211,4400l5443,4400,5366,4380,5288,4380,5211,4360,5133,4360,5051,4340,4969,4340,4887,4320,4805,4320,4723,4300,4641,4300,4559,4280,4148,4220,9592,4220,9512,4240,9433,4240,9353,4260,9273,4260,9193,4280,9113,4280,8211,4400xm10531,4260l9955,4260,10032,4240,10611,4240,10531,4260xm10292,4300l9569,4300,9646,4280,9800,4280,9877,4260,10452,4260,10292,4300xm10132,4320l9415,4320,9492,4300,10212,4300,10132,4320xm9979,4340l9260,4340,9337,4320,10055,4320,9979,4340xm9825,4360l9029,4360,9106,4340,9902,4340,9825,4360xm9672,4380l8787,4380,8869,4360,9749,4360,9672,4380xm9442,4400l8459,4400,8541,4380,9519,4380,9442,4400xm8020,4420l5598,4420,5520,4400,8131,4400,8125,4408,8020,4420xm9289,4420l8116,4420,8125,4408,8192,4400,9365,4400,9289,4420xm9054,4440l5831,4440,5753,4420,9132,4420,9054,4440xm8819,4460l6141,4460,6063,4440,8897,4440,8819,4460xm8505,4480l6448,4480,6372,4460,8584,4460,8505,4480xm8192,4500l6754,4500,6678,4480,8270,4480,8192,4500xm7728,4520l7060,4520,6984,4500,7883,4500,7728,4520xe" filled="true" fillcolor="#c0504d" stroked="false">
              <v:path arrowok="t"/>
              <v:fill type="solid"/>
            </v:shape>
            <v:shape style="position:absolute;left:4693;top:2714;width:5014;height:96" id="docshape641" coordorigin="4694,2715" coordsize="5014,96" path="m7618,2762l6552,2762,6608,2759,6667,2754,6864,2731,6937,2724,7016,2718,7099,2715,7187,2715,7281,2718,7381,2727,7488,2741,7601,2761,7618,2762xm8617,2792l8533,2791,8452,2789,8373,2785,8136,2771,8196,2770,8497,2761,8553,2761,8605,2755,8667,2750,8739,2745,8817,2740,8902,2737,8990,2734,9081,2732,9173,2731,9265,2731,9353,2733,9438,2735,9518,2739,9590,2745,9653,2752,9706,2761,9705,2768,9705,2769,9706,2772,9563,2772,9498,2775,9426,2780,9320,2790,8704,2790,8617,2792xm5862,2769l4903,2769,4996,2768,5082,2766,5162,2762,5310,2753,5379,2749,5446,2748,5512,2749,5579,2753,5646,2761,5862,2769xm4694,2790l4695,2778,4695,2776,4695,2775,4695,2771,4694,2761,4803,2767,4903,2769,5862,2769,6032,2776,6071,2777,4969,2777,4885,2778,4793,2782,4694,2790xm7681,2778l6182,2778,6258,2778,6336,2775,6416,2769,6498,2761,6552,2762,7618,2762,7730,2766,7802,2768,7762,2770,7682,2778,7681,2778xm8039,2772l7947,2771,7845,2769,7802,2768,7839,2766,7916,2764,7992,2765,8067,2768,8136,2771,8122,2771,8039,2772xm9706,2790l9668,2778,9620,2772,9563,2772,9706,2772,9707,2777,9707,2781,9706,2790xm5491,2801l5416,2799,5342,2795,5125,2782,5049,2778,4969,2777,6071,2777,6107,2778,7681,2778,7601,2790,5746,2790,5655,2797,5571,2800,5491,2801xm6461,2810l6386,2809,5746,2790,6749,2790,6704,2798,6652,2804,6594,2807,6530,2809,6461,2810xm7089,2809l7019,2808,6952,2806,6885,2803,6817,2797,6749,2790,7601,2790,7319,2804,7238,2807,7162,2808,7089,2809xm8992,2810l8897,2809,8800,2802,8704,2790,9320,2790,9265,2795,9177,2802,9086,2807,8992,2810xe" filled="true" fillcolor="#ffffff" stroked="false">
              <v:path arrowok="t"/>
              <v:fill type="solid"/>
            </v:shape>
            <v:shape style="position:absolute;left:4695;top:2730;width:5012;height:87" id="docshape642" coordorigin="4695,2730" coordsize="5012,87" path="m4695,2761l4793,2744,4911,2734,5041,2730,5179,2731,5315,2736,5443,2744,5555,2753,5646,2761,5680,2760,5723,2759,5826,2758,5950,2756,6089,2755,6381,2755,6521,2758,6649,2761,6756,2759,6879,2758,7014,2759,7155,2761,7441,2765,7578,2764,7701,2761,7815,2745,7925,2739,8035,2743,8150,2750,8275,2759,8414,2766,8573,2768,8754,2761,8929,2760,9083,2761,9216,2765,9334,2769,9439,2771,9534,2773,9706,2761,9706,2778,9706,2790,9578,2808,9438,2816,9143,2815,8995,2808,8854,2800,8721,2794,8604,2790,8483,2798,8343,2801,8189,2800,8030,2796,7874,2791,7729,2789,7601,2788,7548,2788,7501,2790,7454,2790,7399,2790,7271,2786,7129,2783,6979,2779,6833,2776,6698,2776,6638,2778,6536,2785,6451,2800,6383,2806,6295,2809,6191,2809,6075,2808,5948,2805,5813,2800,5671,2795,5388,2786,5248,2781,5115,2779,4990,2778,4876,2779,4778,2783,4695,2790,4695,2761xe" filled="false" stroked="true" strokeweight="3pt" strokecolor="#ffffff">
              <v:path arrowok="t"/>
              <v:stroke dashstyle="solid"/>
            </v:shape>
            <w10:wrap type="none"/>
          </v:group>
        </w:pict>
      </w:r>
    </w:p>
    <w:p>
      <w:pPr>
        <w:pStyle w:val="BodyText"/>
        <w:rPr>
          <w:rFonts w:ascii="Calibri"/>
          <w:b/>
          <w:sz w:val="20"/>
        </w:rPr>
      </w:pPr>
    </w:p>
    <w:p>
      <w:pPr>
        <w:pStyle w:val="BodyText"/>
        <w:spacing w:before="11"/>
        <w:rPr>
          <w:rFonts w:ascii="Calibri"/>
          <w:b/>
          <w:sz w:val="20"/>
        </w:rPr>
      </w:pPr>
    </w:p>
    <w:p>
      <w:pPr>
        <w:spacing w:line="211" w:lineRule="auto" w:before="15"/>
        <w:ind w:left="5638" w:right="0" w:hanging="4377"/>
        <w:jc w:val="left"/>
        <w:rPr>
          <w:rFonts w:ascii="Calibri"/>
          <w:b/>
          <w:sz w:val="96"/>
        </w:rPr>
      </w:pPr>
      <w:r>
        <w:rPr>
          <w:rFonts w:ascii="Calibri"/>
          <w:b/>
          <w:color w:val="FFFFFF"/>
          <w:sz w:val="96"/>
        </w:rPr>
        <w:t>Welsh</w:t>
      </w:r>
      <w:r>
        <w:rPr>
          <w:rFonts w:ascii="Calibri"/>
          <w:b/>
          <w:color w:val="FFFFFF"/>
          <w:spacing w:val="-34"/>
          <w:sz w:val="96"/>
        </w:rPr>
        <w:t> </w:t>
      </w:r>
      <w:r>
        <w:rPr>
          <w:rFonts w:ascii="Calibri"/>
          <w:b/>
          <w:color w:val="FFFFFF"/>
          <w:sz w:val="96"/>
        </w:rPr>
        <w:t>Infected</w:t>
      </w:r>
      <w:r>
        <w:rPr>
          <w:rFonts w:ascii="Calibri"/>
          <w:b/>
          <w:color w:val="FFFFFF"/>
          <w:spacing w:val="-34"/>
          <w:sz w:val="96"/>
        </w:rPr>
        <w:t> </w:t>
      </w:r>
      <w:r>
        <w:rPr>
          <w:rFonts w:ascii="Calibri"/>
          <w:b/>
          <w:color w:val="FFFFFF"/>
          <w:sz w:val="96"/>
        </w:rPr>
        <w:t>Blood</w:t>
      </w:r>
      <w:r>
        <w:rPr>
          <w:rFonts w:ascii="Calibri"/>
          <w:b/>
          <w:color w:val="FFFFFF"/>
          <w:spacing w:val="-34"/>
          <w:sz w:val="96"/>
        </w:rPr>
        <w:t> </w:t>
      </w:r>
      <w:r>
        <w:rPr>
          <w:rFonts w:ascii="Calibri"/>
          <w:b/>
          <w:color w:val="FFFFFF"/>
          <w:sz w:val="96"/>
        </w:rPr>
        <w:t>Support </w:t>
      </w:r>
      <w:r>
        <w:rPr>
          <w:rFonts w:ascii="Calibri"/>
          <w:b/>
          <w:color w:val="FFFFFF"/>
          <w:spacing w:val="-2"/>
          <w:sz w:val="96"/>
        </w:rPr>
        <w:t>Scheme</w: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5"/>
        <w:rPr>
          <w:rFonts w:ascii="Calibri"/>
          <w:b/>
          <w:sz w:val="23"/>
        </w:rPr>
      </w:pPr>
      <w:r>
        <w:rPr/>
        <w:drawing>
          <wp:anchor distT="0" distB="0" distL="0" distR="0" allowOverlap="1" layoutInCell="1" locked="0" behindDoc="0" simplePos="0" relativeHeight="238">
            <wp:simplePos x="0" y="0"/>
            <wp:positionH relativeFrom="page">
              <wp:posOffset>457200</wp:posOffset>
            </wp:positionH>
            <wp:positionV relativeFrom="paragraph">
              <wp:posOffset>196909</wp:posOffset>
            </wp:positionV>
            <wp:extent cx="8145758" cy="1961388"/>
            <wp:effectExtent l="0" t="0" r="0" b="0"/>
            <wp:wrapTopAndBottom/>
            <wp:docPr id="219" name="image102.png"/>
            <wp:cNvGraphicFramePr>
              <a:graphicFrameLocks noChangeAspect="1"/>
            </wp:cNvGraphicFramePr>
            <a:graphic>
              <a:graphicData uri="http://schemas.openxmlformats.org/drawingml/2006/picture">
                <pic:pic>
                  <pic:nvPicPr>
                    <pic:cNvPr id="220" name="image102.png"/>
                    <pic:cNvPicPr/>
                  </pic:nvPicPr>
                  <pic:blipFill>
                    <a:blip r:embed="rId189" cstate="print"/>
                    <a:stretch>
                      <a:fillRect/>
                    </a:stretch>
                  </pic:blipFill>
                  <pic:spPr>
                    <a:xfrm>
                      <a:off x="0" y="0"/>
                      <a:ext cx="8145758" cy="1961388"/>
                    </a:xfrm>
                    <a:prstGeom prst="rect">
                      <a:avLst/>
                    </a:prstGeom>
                  </pic:spPr>
                </pic:pic>
              </a:graphicData>
            </a:graphic>
          </wp:anchor>
        </w:drawing>
      </w:r>
    </w:p>
    <w:p>
      <w:pPr>
        <w:spacing w:after="0"/>
        <w:rPr>
          <w:rFonts w:ascii="Calibri"/>
          <w:sz w:val="23"/>
        </w:rPr>
        <w:sectPr>
          <w:pgSz w:w="14400" w:h="10800" w:orient="landscape"/>
          <w:pgMar w:header="0" w:footer="173" w:top="0" w:bottom="360" w:left="0" w:right="0"/>
        </w:sectPr>
      </w:pPr>
    </w:p>
    <w:p>
      <w:pPr>
        <w:pStyle w:val="BodyText"/>
        <w:rPr>
          <w:rFonts w:ascii="Calibri"/>
          <w:b/>
          <w:sz w:val="20"/>
        </w:rPr>
      </w:pPr>
      <w:r>
        <w:rPr/>
        <w:drawing>
          <wp:anchor distT="0" distB="0" distL="0" distR="0" allowOverlap="1" layoutInCell="1" locked="0" behindDoc="0" simplePos="0" relativeHeight="15851520">
            <wp:simplePos x="0" y="0"/>
            <wp:positionH relativeFrom="page">
              <wp:posOffset>0</wp:posOffset>
            </wp:positionH>
            <wp:positionV relativeFrom="page">
              <wp:posOffset>83481</wp:posOffset>
            </wp:positionV>
            <wp:extent cx="7560309" cy="1481793"/>
            <wp:effectExtent l="0" t="0" r="0" b="0"/>
            <wp:wrapNone/>
            <wp:docPr id="221" name="image103.png"/>
            <wp:cNvGraphicFramePr>
              <a:graphicFrameLocks noChangeAspect="1"/>
            </wp:cNvGraphicFramePr>
            <a:graphic>
              <a:graphicData uri="http://schemas.openxmlformats.org/drawingml/2006/picture">
                <pic:pic>
                  <pic:nvPicPr>
                    <pic:cNvPr id="222" name="image103.png"/>
                    <pic:cNvPicPr/>
                  </pic:nvPicPr>
                  <pic:blipFill>
                    <a:blip r:embed="rId191" cstate="print"/>
                    <a:stretch>
                      <a:fillRect/>
                    </a:stretch>
                  </pic:blipFill>
                  <pic:spPr>
                    <a:xfrm>
                      <a:off x="0" y="0"/>
                      <a:ext cx="7560309" cy="1481793"/>
                    </a:xfrm>
                    <a:prstGeom prst="rect">
                      <a:avLst/>
                    </a:prstGeom>
                  </pic:spPr>
                </pic:pic>
              </a:graphicData>
            </a:graphic>
          </wp:anchor>
        </w:drawing>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6"/>
        <w:rPr>
          <w:rFonts w:ascii="Calibri"/>
          <w:b/>
          <w:sz w:val="14"/>
        </w:rPr>
      </w:pPr>
    </w:p>
    <w:tbl>
      <w:tblPr>
        <w:tblW w:w="0" w:type="auto"/>
        <w:jc w:val="left"/>
        <w:tblInd w:w="11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52"/>
        <w:gridCol w:w="6095"/>
      </w:tblGrid>
      <w:tr>
        <w:trPr>
          <w:trHeight w:val="583" w:hRule="atLeast"/>
        </w:trPr>
        <w:tc>
          <w:tcPr>
            <w:tcW w:w="3652" w:type="dxa"/>
          </w:tcPr>
          <w:p>
            <w:pPr>
              <w:pStyle w:val="TableParagraph"/>
              <w:ind w:left="108"/>
              <w:rPr>
                <w:b/>
                <w:sz w:val="24"/>
              </w:rPr>
            </w:pPr>
            <w:bookmarkStart w:name=" 6.3 Audit Committee NWSSP Health and Ca" w:id="68"/>
            <w:bookmarkEnd w:id="68"/>
            <w:r>
              <w:rPr/>
            </w:r>
            <w:r>
              <w:rPr>
                <w:b/>
                <w:spacing w:val="-2"/>
                <w:sz w:val="24"/>
              </w:rPr>
              <w:t>MEETING</w:t>
            </w:r>
          </w:p>
        </w:tc>
        <w:tc>
          <w:tcPr>
            <w:tcW w:w="6095" w:type="dxa"/>
          </w:tcPr>
          <w:p>
            <w:pPr>
              <w:pStyle w:val="TableParagraph"/>
              <w:spacing w:line="290" w:lineRule="atLeast"/>
              <w:ind w:left="430" w:hanging="238"/>
              <w:rPr>
                <w:sz w:val="24"/>
              </w:rPr>
            </w:pPr>
            <w:r>
              <w:rPr>
                <w:sz w:val="24"/>
              </w:rPr>
              <w:t>Velindre</w:t>
            </w:r>
            <w:r>
              <w:rPr>
                <w:spacing w:val="-8"/>
                <w:sz w:val="24"/>
              </w:rPr>
              <w:t> </w:t>
            </w:r>
            <w:r>
              <w:rPr>
                <w:sz w:val="24"/>
              </w:rPr>
              <w:t>University</w:t>
            </w:r>
            <w:r>
              <w:rPr>
                <w:spacing w:val="-8"/>
                <w:sz w:val="24"/>
              </w:rPr>
              <w:t> </w:t>
            </w:r>
            <w:r>
              <w:rPr>
                <w:sz w:val="24"/>
              </w:rPr>
              <w:t>NHS</w:t>
            </w:r>
            <w:r>
              <w:rPr>
                <w:spacing w:val="-8"/>
                <w:sz w:val="24"/>
              </w:rPr>
              <w:t> </w:t>
            </w:r>
            <w:r>
              <w:rPr>
                <w:sz w:val="24"/>
              </w:rPr>
              <w:t>Trust</w:t>
            </w:r>
            <w:r>
              <w:rPr>
                <w:spacing w:val="-8"/>
                <w:sz w:val="24"/>
              </w:rPr>
              <w:t> </w:t>
            </w:r>
            <w:r>
              <w:rPr>
                <w:sz w:val="24"/>
              </w:rPr>
              <w:t>Audit</w:t>
            </w:r>
            <w:r>
              <w:rPr>
                <w:spacing w:val="-7"/>
                <w:sz w:val="24"/>
              </w:rPr>
              <w:t> </w:t>
            </w:r>
            <w:r>
              <w:rPr>
                <w:sz w:val="24"/>
              </w:rPr>
              <w:t>Committee for NHS Wales Shared Services Partnership</w:t>
            </w:r>
          </w:p>
        </w:tc>
      </w:tr>
      <w:tr>
        <w:trPr>
          <w:trHeight w:val="538" w:hRule="atLeast"/>
        </w:trPr>
        <w:tc>
          <w:tcPr>
            <w:tcW w:w="3652" w:type="dxa"/>
          </w:tcPr>
          <w:p>
            <w:pPr>
              <w:pStyle w:val="TableParagraph"/>
              <w:ind w:left="108"/>
              <w:rPr>
                <w:b/>
                <w:sz w:val="24"/>
              </w:rPr>
            </w:pPr>
            <w:r>
              <w:rPr>
                <w:b/>
                <w:spacing w:val="-4"/>
                <w:sz w:val="24"/>
              </w:rPr>
              <w:t>DATE</w:t>
            </w:r>
          </w:p>
        </w:tc>
        <w:tc>
          <w:tcPr>
            <w:tcW w:w="6095" w:type="dxa"/>
          </w:tcPr>
          <w:p>
            <w:pPr>
              <w:pStyle w:val="TableParagraph"/>
              <w:ind w:left="580" w:right="570"/>
              <w:jc w:val="center"/>
              <w:rPr>
                <w:sz w:val="24"/>
              </w:rPr>
            </w:pPr>
            <w:r>
              <w:rPr>
                <w:sz w:val="24"/>
              </w:rPr>
              <w:t>24</w:t>
            </w:r>
            <w:r>
              <w:rPr>
                <w:spacing w:val="-4"/>
                <w:sz w:val="24"/>
              </w:rPr>
              <w:t> </w:t>
            </w:r>
            <w:r>
              <w:rPr>
                <w:sz w:val="24"/>
              </w:rPr>
              <w:t>January</w:t>
            </w:r>
            <w:r>
              <w:rPr>
                <w:spacing w:val="-1"/>
                <w:sz w:val="24"/>
              </w:rPr>
              <w:t> </w:t>
            </w:r>
            <w:r>
              <w:rPr>
                <w:spacing w:val="-4"/>
                <w:sz w:val="24"/>
              </w:rPr>
              <w:t>2023</w:t>
            </w:r>
          </w:p>
        </w:tc>
      </w:tr>
      <w:tr>
        <w:trPr>
          <w:trHeight w:val="583" w:hRule="atLeast"/>
        </w:trPr>
        <w:tc>
          <w:tcPr>
            <w:tcW w:w="3652" w:type="dxa"/>
          </w:tcPr>
          <w:p>
            <w:pPr>
              <w:pStyle w:val="TableParagraph"/>
              <w:ind w:left="108"/>
              <w:rPr>
                <w:b/>
                <w:sz w:val="24"/>
              </w:rPr>
            </w:pPr>
            <w:r>
              <w:rPr>
                <w:b/>
                <w:sz w:val="24"/>
              </w:rPr>
              <w:t>PREPARED</w:t>
            </w:r>
            <w:r>
              <w:rPr>
                <w:b/>
                <w:spacing w:val="-3"/>
                <w:sz w:val="24"/>
              </w:rPr>
              <w:t> </w:t>
            </w:r>
            <w:r>
              <w:rPr>
                <w:b/>
                <w:spacing w:val="-5"/>
                <w:sz w:val="24"/>
              </w:rPr>
              <w:t>BY</w:t>
            </w:r>
          </w:p>
        </w:tc>
        <w:tc>
          <w:tcPr>
            <w:tcW w:w="6095" w:type="dxa"/>
          </w:tcPr>
          <w:p>
            <w:pPr>
              <w:pStyle w:val="TableParagraph"/>
              <w:spacing w:line="290" w:lineRule="atLeast"/>
              <w:ind w:left="2528" w:hanging="2070"/>
              <w:rPr>
                <w:sz w:val="24"/>
              </w:rPr>
            </w:pPr>
            <w:r>
              <w:rPr>
                <w:sz w:val="24"/>
              </w:rPr>
              <w:t>Roxann</w:t>
            </w:r>
            <w:r>
              <w:rPr>
                <w:spacing w:val="-9"/>
                <w:sz w:val="24"/>
              </w:rPr>
              <w:t> </w:t>
            </w:r>
            <w:r>
              <w:rPr>
                <w:sz w:val="24"/>
              </w:rPr>
              <w:t>Davies,</w:t>
            </w:r>
            <w:r>
              <w:rPr>
                <w:spacing w:val="-9"/>
                <w:sz w:val="24"/>
              </w:rPr>
              <w:t> </w:t>
            </w:r>
            <w:r>
              <w:rPr>
                <w:sz w:val="24"/>
              </w:rPr>
              <w:t>Corporate</w:t>
            </w:r>
            <w:r>
              <w:rPr>
                <w:spacing w:val="-9"/>
                <w:sz w:val="24"/>
              </w:rPr>
              <w:t> </w:t>
            </w:r>
            <w:r>
              <w:rPr>
                <w:sz w:val="24"/>
              </w:rPr>
              <w:t>Services</w:t>
            </w:r>
            <w:r>
              <w:rPr>
                <w:spacing w:val="-9"/>
                <w:sz w:val="24"/>
              </w:rPr>
              <w:t> </w:t>
            </w:r>
            <w:r>
              <w:rPr>
                <w:sz w:val="24"/>
              </w:rPr>
              <w:t>Project </w:t>
            </w:r>
            <w:r>
              <w:rPr>
                <w:spacing w:val="-2"/>
                <w:sz w:val="24"/>
              </w:rPr>
              <w:t>Manager</w:t>
            </w:r>
          </w:p>
        </w:tc>
      </w:tr>
      <w:tr>
        <w:trPr>
          <w:trHeight w:val="583" w:hRule="atLeast"/>
        </w:trPr>
        <w:tc>
          <w:tcPr>
            <w:tcW w:w="3652" w:type="dxa"/>
          </w:tcPr>
          <w:p>
            <w:pPr>
              <w:pStyle w:val="TableParagraph"/>
              <w:ind w:left="108"/>
              <w:rPr>
                <w:b/>
                <w:sz w:val="24"/>
              </w:rPr>
            </w:pPr>
            <w:r>
              <w:rPr>
                <w:b/>
                <w:sz w:val="24"/>
              </w:rPr>
              <w:t>PRESENTED</w:t>
            </w:r>
            <w:r>
              <w:rPr>
                <w:b/>
                <w:spacing w:val="-2"/>
                <w:sz w:val="24"/>
              </w:rPr>
              <w:t> </w:t>
            </w:r>
            <w:r>
              <w:rPr>
                <w:b/>
                <w:spacing w:val="-5"/>
                <w:sz w:val="24"/>
              </w:rPr>
              <w:t>BY</w:t>
            </w:r>
          </w:p>
        </w:tc>
        <w:tc>
          <w:tcPr>
            <w:tcW w:w="6095" w:type="dxa"/>
          </w:tcPr>
          <w:p>
            <w:pPr>
              <w:pStyle w:val="TableParagraph"/>
              <w:spacing w:line="290" w:lineRule="atLeast"/>
              <w:ind w:left="2249" w:hanging="2020"/>
              <w:rPr>
                <w:sz w:val="24"/>
              </w:rPr>
            </w:pPr>
            <w:r>
              <w:rPr>
                <w:sz w:val="24"/>
              </w:rPr>
              <w:t>Peter</w:t>
            </w:r>
            <w:r>
              <w:rPr>
                <w:spacing w:val="-6"/>
                <w:sz w:val="24"/>
              </w:rPr>
              <w:t> </w:t>
            </w:r>
            <w:r>
              <w:rPr>
                <w:sz w:val="24"/>
              </w:rPr>
              <w:t>Stephenson,</w:t>
            </w:r>
            <w:r>
              <w:rPr>
                <w:spacing w:val="-6"/>
                <w:sz w:val="24"/>
              </w:rPr>
              <w:t> </w:t>
            </w:r>
            <w:r>
              <w:rPr>
                <w:sz w:val="24"/>
              </w:rPr>
              <w:t>Head</w:t>
            </w:r>
            <w:r>
              <w:rPr>
                <w:spacing w:val="-6"/>
                <w:sz w:val="24"/>
              </w:rPr>
              <w:t> </w:t>
            </w:r>
            <w:r>
              <w:rPr>
                <w:sz w:val="24"/>
              </w:rPr>
              <w:t>of</w:t>
            </w:r>
            <w:r>
              <w:rPr>
                <w:spacing w:val="-7"/>
                <w:sz w:val="24"/>
              </w:rPr>
              <w:t> </w:t>
            </w:r>
            <w:r>
              <w:rPr>
                <w:sz w:val="24"/>
              </w:rPr>
              <w:t>Finance</w:t>
            </w:r>
            <w:r>
              <w:rPr>
                <w:spacing w:val="-6"/>
                <w:sz w:val="24"/>
              </w:rPr>
              <w:t> </w:t>
            </w:r>
            <w:r>
              <w:rPr>
                <w:sz w:val="24"/>
              </w:rPr>
              <w:t>&amp;</w:t>
            </w:r>
            <w:r>
              <w:rPr>
                <w:spacing w:val="-7"/>
                <w:sz w:val="24"/>
              </w:rPr>
              <w:t> </w:t>
            </w:r>
            <w:r>
              <w:rPr>
                <w:sz w:val="24"/>
              </w:rPr>
              <w:t>Business </w:t>
            </w:r>
            <w:r>
              <w:rPr>
                <w:spacing w:val="-2"/>
                <w:sz w:val="24"/>
              </w:rPr>
              <w:t>Development</w:t>
            </w:r>
          </w:p>
        </w:tc>
      </w:tr>
      <w:tr>
        <w:trPr>
          <w:trHeight w:val="583" w:hRule="atLeast"/>
        </w:trPr>
        <w:tc>
          <w:tcPr>
            <w:tcW w:w="3652" w:type="dxa"/>
          </w:tcPr>
          <w:p>
            <w:pPr>
              <w:pStyle w:val="TableParagraph"/>
              <w:spacing w:line="290" w:lineRule="atLeast"/>
              <w:ind w:left="108" w:right="919"/>
              <w:rPr>
                <w:b/>
                <w:sz w:val="24"/>
              </w:rPr>
            </w:pPr>
            <w:r>
              <w:rPr>
                <w:b/>
                <w:spacing w:val="-2"/>
                <w:sz w:val="24"/>
              </w:rPr>
              <w:t>RESPONSIBLE </w:t>
            </w:r>
            <w:r>
              <w:rPr>
                <w:b/>
                <w:sz w:val="24"/>
              </w:rPr>
              <w:t>HEAD</w:t>
            </w:r>
            <w:r>
              <w:rPr>
                <w:b/>
                <w:spacing w:val="-20"/>
                <w:sz w:val="24"/>
              </w:rPr>
              <w:t> </w:t>
            </w:r>
            <w:r>
              <w:rPr>
                <w:b/>
                <w:sz w:val="24"/>
              </w:rPr>
              <w:t>OF</w:t>
            </w:r>
            <w:r>
              <w:rPr>
                <w:b/>
                <w:spacing w:val="-19"/>
                <w:sz w:val="24"/>
              </w:rPr>
              <w:t> </w:t>
            </w:r>
            <w:r>
              <w:rPr>
                <w:b/>
                <w:sz w:val="24"/>
              </w:rPr>
              <w:t>SERVICE</w:t>
            </w:r>
          </w:p>
        </w:tc>
        <w:tc>
          <w:tcPr>
            <w:tcW w:w="6095" w:type="dxa"/>
          </w:tcPr>
          <w:p>
            <w:pPr>
              <w:pStyle w:val="TableParagraph"/>
              <w:spacing w:line="290" w:lineRule="atLeast"/>
              <w:ind w:left="2542" w:hanging="2334"/>
              <w:rPr>
                <w:sz w:val="24"/>
              </w:rPr>
            </w:pPr>
            <w:r>
              <w:rPr>
                <w:sz w:val="24"/>
              </w:rPr>
              <w:t>Andy</w:t>
            </w:r>
            <w:r>
              <w:rPr>
                <w:spacing w:val="-6"/>
                <w:sz w:val="24"/>
              </w:rPr>
              <w:t> </w:t>
            </w:r>
            <w:r>
              <w:rPr>
                <w:sz w:val="24"/>
              </w:rPr>
              <w:t>Butler,</w:t>
            </w:r>
            <w:r>
              <w:rPr>
                <w:spacing w:val="-6"/>
                <w:sz w:val="24"/>
              </w:rPr>
              <w:t> </w:t>
            </w:r>
            <w:r>
              <w:rPr>
                <w:sz w:val="24"/>
              </w:rPr>
              <w:t>Director</w:t>
            </w:r>
            <w:r>
              <w:rPr>
                <w:spacing w:val="-7"/>
                <w:sz w:val="24"/>
              </w:rPr>
              <w:t> </w:t>
            </w:r>
            <w:r>
              <w:rPr>
                <w:sz w:val="24"/>
              </w:rPr>
              <w:t>of</w:t>
            </w:r>
            <w:r>
              <w:rPr>
                <w:spacing w:val="-7"/>
                <w:sz w:val="24"/>
              </w:rPr>
              <w:t> </w:t>
            </w:r>
            <w:r>
              <w:rPr>
                <w:sz w:val="24"/>
              </w:rPr>
              <w:t>Finance</w:t>
            </w:r>
            <w:r>
              <w:rPr>
                <w:spacing w:val="-7"/>
                <w:sz w:val="24"/>
              </w:rPr>
              <w:t> </w:t>
            </w:r>
            <w:r>
              <w:rPr>
                <w:sz w:val="24"/>
              </w:rPr>
              <w:t>and</w:t>
            </w:r>
            <w:r>
              <w:rPr>
                <w:spacing w:val="-6"/>
                <w:sz w:val="24"/>
              </w:rPr>
              <w:t> </w:t>
            </w:r>
            <w:r>
              <w:rPr>
                <w:sz w:val="24"/>
              </w:rPr>
              <w:t>Corporate </w:t>
            </w:r>
            <w:r>
              <w:rPr>
                <w:spacing w:val="-2"/>
                <w:sz w:val="24"/>
              </w:rPr>
              <w:t>Services</w:t>
            </w:r>
          </w:p>
        </w:tc>
      </w:tr>
      <w:tr>
        <w:trPr>
          <w:trHeight w:val="627" w:hRule="atLeast"/>
        </w:trPr>
        <w:tc>
          <w:tcPr>
            <w:tcW w:w="3652" w:type="dxa"/>
          </w:tcPr>
          <w:p>
            <w:pPr>
              <w:pStyle w:val="TableParagraph"/>
              <w:ind w:left="108"/>
              <w:rPr>
                <w:b/>
                <w:sz w:val="24"/>
              </w:rPr>
            </w:pPr>
            <w:r>
              <w:rPr>
                <w:b/>
                <w:sz w:val="24"/>
              </w:rPr>
              <w:t>TITLE</w:t>
            </w:r>
            <w:r>
              <w:rPr>
                <w:b/>
                <w:spacing w:val="-2"/>
                <w:sz w:val="24"/>
              </w:rPr>
              <w:t> </w:t>
            </w:r>
            <w:r>
              <w:rPr>
                <w:b/>
                <w:sz w:val="24"/>
              </w:rPr>
              <w:t>OF</w:t>
            </w:r>
            <w:r>
              <w:rPr>
                <w:b/>
                <w:spacing w:val="-1"/>
                <w:sz w:val="24"/>
              </w:rPr>
              <w:t> </w:t>
            </w:r>
            <w:r>
              <w:rPr>
                <w:b/>
                <w:spacing w:val="-2"/>
                <w:sz w:val="24"/>
              </w:rPr>
              <w:t>REPORT</w:t>
            </w:r>
          </w:p>
        </w:tc>
        <w:tc>
          <w:tcPr>
            <w:tcW w:w="6095" w:type="dxa"/>
          </w:tcPr>
          <w:p>
            <w:pPr>
              <w:pStyle w:val="TableParagraph"/>
              <w:ind w:left="2332" w:hanging="1728"/>
              <w:rPr>
                <w:sz w:val="24"/>
              </w:rPr>
            </w:pPr>
            <w:r>
              <w:rPr>
                <w:sz w:val="24"/>
              </w:rPr>
              <w:t>NWSSP</w:t>
            </w:r>
            <w:r>
              <w:rPr>
                <w:spacing w:val="-8"/>
                <w:sz w:val="24"/>
              </w:rPr>
              <w:t> </w:t>
            </w:r>
            <w:r>
              <w:rPr>
                <w:sz w:val="24"/>
              </w:rPr>
              <w:t>Health</w:t>
            </w:r>
            <w:r>
              <w:rPr>
                <w:spacing w:val="-9"/>
                <w:sz w:val="24"/>
              </w:rPr>
              <w:t> </w:t>
            </w:r>
            <w:r>
              <w:rPr>
                <w:sz w:val="24"/>
              </w:rPr>
              <w:t>and</w:t>
            </w:r>
            <w:r>
              <w:rPr>
                <w:spacing w:val="-8"/>
                <w:sz w:val="24"/>
              </w:rPr>
              <w:t> </w:t>
            </w:r>
            <w:r>
              <w:rPr>
                <w:sz w:val="24"/>
              </w:rPr>
              <w:t>Care</w:t>
            </w:r>
            <w:r>
              <w:rPr>
                <w:spacing w:val="-9"/>
                <w:sz w:val="24"/>
              </w:rPr>
              <w:t> </w:t>
            </w:r>
            <w:r>
              <w:rPr>
                <w:sz w:val="24"/>
              </w:rPr>
              <w:t>Standards</w:t>
            </w:r>
            <w:r>
              <w:rPr>
                <w:spacing w:val="-8"/>
                <w:sz w:val="24"/>
              </w:rPr>
              <w:t> </w:t>
            </w:r>
            <w:r>
              <w:rPr>
                <w:sz w:val="24"/>
              </w:rPr>
              <w:t>Self- </w:t>
            </w:r>
            <w:r>
              <w:rPr>
                <w:spacing w:val="-2"/>
                <w:sz w:val="24"/>
              </w:rPr>
              <w:t>Assessment</w:t>
            </w:r>
          </w:p>
        </w:tc>
      </w:tr>
      <w:tr>
        <w:trPr>
          <w:trHeight w:val="1341" w:hRule="atLeast"/>
        </w:trPr>
        <w:tc>
          <w:tcPr>
            <w:tcW w:w="9747" w:type="dxa"/>
            <w:gridSpan w:val="2"/>
          </w:tcPr>
          <w:p>
            <w:pPr>
              <w:pStyle w:val="TableParagraph"/>
              <w:ind w:left="108"/>
              <w:rPr>
                <w:b/>
                <w:sz w:val="24"/>
              </w:rPr>
            </w:pPr>
            <w:r>
              <w:rPr>
                <w:b/>
                <w:spacing w:val="-2"/>
                <w:sz w:val="24"/>
              </w:rPr>
              <w:t>PURPOSE</w:t>
            </w:r>
          </w:p>
          <w:p>
            <w:pPr>
              <w:pStyle w:val="TableParagraph"/>
              <w:spacing w:before="10"/>
              <w:rPr>
                <w:rFonts w:ascii="Calibri"/>
                <w:b/>
                <w:sz w:val="23"/>
              </w:rPr>
            </w:pPr>
          </w:p>
          <w:p>
            <w:pPr>
              <w:pStyle w:val="TableParagraph"/>
              <w:spacing w:before="1"/>
              <w:ind w:left="108" w:right="77"/>
              <w:rPr>
                <w:sz w:val="24"/>
              </w:rPr>
            </w:pPr>
            <w:r>
              <w:rPr>
                <w:sz w:val="24"/>
              </w:rPr>
              <w:t>The purpose of this report is to provide the Committee with an update as to</w:t>
            </w:r>
            <w:r>
              <w:rPr>
                <w:spacing w:val="80"/>
                <w:sz w:val="24"/>
              </w:rPr>
              <w:t> </w:t>
            </w:r>
            <w:r>
              <w:rPr>
                <w:sz w:val="24"/>
              </w:rPr>
              <w:t>the Health and Care Standards Self-Assessment.</w:t>
            </w:r>
          </w:p>
        </w:tc>
      </w:tr>
    </w:tbl>
    <w:p>
      <w:pPr>
        <w:pStyle w:val="BodyText"/>
        <w:spacing w:before="7"/>
        <w:rPr>
          <w:rFonts w:ascii="Calibri"/>
          <w:b/>
          <w:sz w:val="14"/>
        </w:rPr>
      </w:pPr>
    </w:p>
    <w:p>
      <w:pPr>
        <w:pStyle w:val="ListParagraph"/>
        <w:numPr>
          <w:ilvl w:val="0"/>
          <w:numId w:val="37"/>
        </w:numPr>
        <w:tabs>
          <w:tab w:pos="1636" w:val="left" w:leader="none"/>
        </w:tabs>
        <w:spacing w:line="240" w:lineRule="auto" w:before="100" w:after="0"/>
        <w:ind w:left="1636" w:right="0" w:hanging="361"/>
        <w:jc w:val="left"/>
        <w:rPr>
          <w:b/>
          <w:sz w:val="22"/>
        </w:rPr>
      </w:pPr>
      <w:r>
        <w:rPr>
          <w:b/>
          <w:spacing w:val="-2"/>
          <w:sz w:val="22"/>
        </w:rPr>
        <w:t>INTRODUCTION</w:t>
      </w:r>
    </w:p>
    <w:p>
      <w:pPr>
        <w:spacing w:before="200"/>
        <w:ind w:left="1275" w:right="1247" w:firstLine="0"/>
        <w:jc w:val="both"/>
        <w:rPr>
          <w:sz w:val="22"/>
        </w:rPr>
      </w:pPr>
      <w:r>
        <w:rPr>
          <w:sz w:val="22"/>
        </w:rPr>
        <w:t>The paper is to provide the Committee with an update as to the Health and Care Standards Self-Assessment within NWSSP.</w:t>
      </w:r>
    </w:p>
    <w:p>
      <w:pPr>
        <w:pStyle w:val="BodyText"/>
        <w:rPr>
          <w:sz w:val="22"/>
        </w:rPr>
      </w:pPr>
    </w:p>
    <w:p>
      <w:pPr>
        <w:pStyle w:val="ListParagraph"/>
        <w:numPr>
          <w:ilvl w:val="0"/>
          <w:numId w:val="37"/>
        </w:numPr>
        <w:tabs>
          <w:tab w:pos="1636" w:val="left" w:leader="none"/>
        </w:tabs>
        <w:spacing w:line="240" w:lineRule="auto" w:before="0" w:after="0"/>
        <w:ind w:left="1636" w:right="0" w:hanging="361"/>
        <w:jc w:val="left"/>
        <w:rPr>
          <w:b/>
          <w:sz w:val="22"/>
        </w:rPr>
      </w:pPr>
      <w:r>
        <w:rPr>
          <w:b/>
          <w:spacing w:val="-2"/>
          <w:sz w:val="22"/>
        </w:rPr>
        <w:t>BACKGROUND</w:t>
      </w:r>
    </w:p>
    <w:p>
      <w:pPr>
        <w:spacing w:before="200"/>
        <w:ind w:left="1275" w:right="1244" w:firstLine="0"/>
        <w:jc w:val="both"/>
        <w:rPr>
          <w:sz w:val="22"/>
        </w:rPr>
      </w:pPr>
      <w:r>
        <w:rPr/>
        <w:drawing>
          <wp:anchor distT="0" distB="0" distL="0" distR="0" allowOverlap="1" layoutInCell="1" locked="0" behindDoc="0" simplePos="0" relativeHeight="15852032">
            <wp:simplePos x="0" y="0"/>
            <wp:positionH relativeFrom="page">
              <wp:posOffset>5010418</wp:posOffset>
            </wp:positionH>
            <wp:positionV relativeFrom="paragraph">
              <wp:posOffset>1174428</wp:posOffset>
            </wp:positionV>
            <wp:extent cx="1695214" cy="1680156"/>
            <wp:effectExtent l="0" t="0" r="0" b="0"/>
            <wp:wrapNone/>
            <wp:docPr id="223" name="image104.jpeg"/>
            <wp:cNvGraphicFramePr>
              <a:graphicFrameLocks noChangeAspect="1"/>
            </wp:cNvGraphicFramePr>
            <a:graphic>
              <a:graphicData uri="http://schemas.openxmlformats.org/drawingml/2006/picture">
                <pic:pic>
                  <pic:nvPicPr>
                    <pic:cNvPr id="224" name="image104.jpeg"/>
                    <pic:cNvPicPr/>
                  </pic:nvPicPr>
                  <pic:blipFill>
                    <a:blip r:embed="rId192" cstate="print"/>
                    <a:stretch>
                      <a:fillRect/>
                    </a:stretch>
                  </pic:blipFill>
                  <pic:spPr>
                    <a:xfrm>
                      <a:off x="0" y="0"/>
                      <a:ext cx="1695214" cy="1680156"/>
                    </a:xfrm>
                    <a:prstGeom prst="rect">
                      <a:avLst/>
                    </a:prstGeom>
                  </pic:spPr>
                </pic:pic>
              </a:graphicData>
            </a:graphic>
          </wp:anchor>
        </w:drawing>
      </w:r>
      <w:r>
        <w:rPr>
          <w:sz w:val="22"/>
        </w:rPr>
        <w:t>The Standards for Health Service in Wales provide a framework for consistent standards of practice and delivery across NHS Wales and for continuous improvement. In accordance with the programme of Internal Audits, the process is tested and is an integral part of the organisation’s assurance framework process. The Framework comprises seven main themes and sub criteria against which NHS bodies need to demonstrate compliance:</w:t>
      </w:r>
    </w:p>
    <w:p>
      <w:pPr>
        <w:pStyle w:val="BodyText"/>
        <w:rPr>
          <w:sz w:val="22"/>
        </w:rPr>
      </w:pPr>
    </w:p>
    <w:p>
      <w:pPr>
        <w:pStyle w:val="ListParagraph"/>
        <w:numPr>
          <w:ilvl w:val="1"/>
          <w:numId w:val="37"/>
        </w:numPr>
        <w:tabs>
          <w:tab w:pos="1995" w:val="left" w:leader="none"/>
          <w:tab w:pos="1996" w:val="left" w:leader="none"/>
        </w:tabs>
        <w:spacing w:line="268" w:lineRule="exact" w:before="0" w:after="0"/>
        <w:ind w:left="1995" w:right="0" w:hanging="361"/>
        <w:jc w:val="left"/>
        <w:rPr>
          <w:sz w:val="22"/>
        </w:rPr>
      </w:pPr>
      <w:r>
        <w:rPr>
          <w:sz w:val="22"/>
        </w:rPr>
        <w:t>Governance,</w:t>
      </w:r>
      <w:r>
        <w:rPr>
          <w:spacing w:val="-4"/>
          <w:sz w:val="22"/>
        </w:rPr>
        <w:t> </w:t>
      </w:r>
      <w:r>
        <w:rPr>
          <w:sz w:val="22"/>
        </w:rPr>
        <w:t>Leadership</w:t>
      </w:r>
      <w:r>
        <w:rPr>
          <w:spacing w:val="-4"/>
          <w:sz w:val="22"/>
        </w:rPr>
        <w:t> </w:t>
      </w:r>
      <w:r>
        <w:rPr>
          <w:sz w:val="22"/>
        </w:rPr>
        <w:t>&amp;</w:t>
      </w:r>
      <w:r>
        <w:rPr>
          <w:spacing w:val="-2"/>
          <w:sz w:val="22"/>
        </w:rPr>
        <w:t> Accountability</w:t>
      </w:r>
    </w:p>
    <w:p>
      <w:pPr>
        <w:pStyle w:val="ListParagraph"/>
        <w:numPr>
          <w:ilvl w:val="1"/>
          <w:numId w:val="37"/>
        </w:numPr>
        <w:tabs>
          <w:tab w:pos="1995" w:val="left" w:leader="none"/>
          <w:tab w:pos="1996" w:val="left" w:leader="none"/>
        </w:tabs>
        <w:spacing w:line="267" w:lineRule="exact" w:before="0" w:after="0"/>
        <w:ind w:left="1995" w:right="0" w:hanging="361"/>
        <w:jc w:val="left"/>
        <w:rPr>
          <w:sz w:val="22"/>
        </w:rPr>
      </w:pPr>
      <w:r>
        <w:rPr>
          <w:sz w:val="22"/>
        </w:rPr>
        <w:t>Staying</w:t>
      </w:r>
      <w:r>
        <w:rPr>
          <w:spacing w:val="-2"/>
          <w:sz w:val="22"/>
        </w:rPr>
        <w:t> Healthy</w:t>
      </w:r>
    </w:p>
    <w:p>
      <w:pPr>
        <w:pStyle w:val="ListParagraph"/>
        <w:numPr>
          <w:ilvl w:val="1"/>
          <w:numId w:val="37"/>
        </w:numPr>
        <w:tabs>
          <w:tab w:pos="1995" w:val="left" w:leader="none"/>
          <w:tab w:pos="1996" w:val="left" w:leader="none"/>
        </w:tabs>
        <w:spacing w:line="267" w:lineRule="exact" w:before="0" w:after="0"/>
        <w:ind w:left="1995" w:right="0" w:hanging="361"/>
        <w:jc w:val="left"/>
        <w:rPr>
          <w:sz w:val="22"/>
        </w:rPr>
      </w:pPr>
      <w:r>
        <w:rPr>
          <w:sz w:val="22"/>
        </w:rPr>
        <w:t>Safe</w:t>
      </w:r>
      <w:r>
        <w:rPr>
          <w:spacing w:val="-3"/>
          <w:sz w:val="22"/>
        </w:rPr>
        <w:t> </w:t>
      </w:r>
      <w:r>
        <w:rPr>
          <w:spacing w:val="-4"/>
          <w:sz w:val="22"/>
        </w:rPr>
        <w:t>Care</w:t>
      </w:r>
    </w:p>
    <w:p>
      <w:pPr>
        <w:pStyle w:val="ListParagraph"/>
        <w:numPr>
          <w:ilvl w:val="1"/>
          <w:numId w:val="37"/>
        </w:numPr>
        <w:tabs>
          <w:tab w:pos="1995" w:val="left" w:leader="none"/>
          <w:tab w:pos="1996" w:val="left" w:leader="none"/>
        </w:tabs>
        <w:spacing w:line="267" w:lineRule="exact" w:before="0" w:after="0"/>
        <w:ind w:left="1995" w:right="0" w:hanging="361"/>
        <w:jc w:val="left"/>
        <w:rPr>
          <w:sz w:val="22"/>
        </w:rPr>
      </w:pPr>
      <w:r>
        <w:rPr>
          <w:sz w:val="22"/>
        </w:rPr>
        <w:t>Effective</w:t>
      </w:r>
      <w:r>
        <w:rPr>
          <w:spacing w:val="-2"/>
          <w:sz w:val="22"/>
        </w:rPr>
        <w:t> </w:t>
      </w:r>
      <w:r>
        <w:rPr>
          <w:spacing w:val="-4"/>
          <w:sz w:val="22"/>
        </w:rPr>
        <w:t>Care</w:t>
      </w:r>
    </w:p>
    <w:p>
      <w:pPr>
        <w:pStyle w:val="ListParagraph"/>
        <w:numPr>
          <w:ilvl w:val="1"/>
          <w:numId w:val="37"/>
        </w:numPr>
        <w:tabs>
          <w:tab w:pos="1995" w:val="left" w:leader="none"/>
          <w:tab w:pos="1996" w:val="left" w:leader="none"/>
        </w:tabs>
        <w:spacing w:line="267" w:lineRule="exact" w:before="0" w:after="0"/>
        <w:ind w:left="1995" w:right="0" w:hanging="361"/>
        <w:jc w:val="left"/>
        <w:rPr>
          <w:sz w:val="22"/>
        </w:rPr>
      </w:pPr>
      <w:r>
        <w:rPr>
          <w:sz w:val="22"/>
        </w:rPr>
        <w:t>Dignified</w:t>
      </w:r>
      <w:r>
        <w:rPr>
          <w:spacing w:val="-2"/>
          <w:sz w:val="22"/>
        </w:rPr>
        <w:t> </w:t>
      </w:r>
      <w:r>
        <w:rPr>
          <w:spacing w:val="-4"/>
          <w:sz w:val="22"/>
        </w:rPr>
        <w:t>Care</w:t>
      </w:r>
    </w:p>
    <w:p>
      <w:pPr>
        <w:pStyle w:val="ListParagraph"/>
        <w:numPr>
          <w:ilvl w:val="1"/>
          <w:numId w:val="37"/>
        </w:numPr>
        <w:tabs>
          <w:tab w:pos="1995" w:val="left" w:leader="none"/>
          <w:tab w:pos="1996" w:val="left" w:leader="none"/>
        </w:tabs>
        <w:spacing w:line="267" w:lineRule="exact" w:before="0" w:after="0"/>
        <w:ind w:left="1995" w:right="0" w:hanging="361"/>
        <w:jc w:val="left"/>
        <w:rPr>
          <w:sz w:val="22"/>
        </w:rPr>
      </w:pPr>
      <w:r>
        <w:rPr>
          <w:sz w:val="22"/>
        </w:rPr>
        <w:t>Timely</w:t>
      </w:r>
      <w:r>
        <w:rPr>
          <w:spacing w:val="-4"/>
          <w:sz w:val="22"/>
        </w:rPr>
        <w:t> Care</w:t>
      </w:r>
    </w:p>
    <w:p>
      <w:pPr>
        <w:pStyle w:val="ListParagraph"/>
        <w:numPr>
          <w:ilvl w:val="1"/>
          <w:numId w:val="37"/>
        </w:numPr>
        <w:tabs>
          <w:tab w:pos="1995" w:val="left" w:leader="none"/>
          <w:tab w:pos="1996" w:val="left" w:leader="none"/>
        </w:tabs>
        <w:spacing w:line="267" w:lineRule="exact" w:before="0" w:after="0"/>
        <w:ind w:left="1995" w:right="0" w:hanging="361"/>
        <w:jc w:val="left"/>
        <w:rPr>
          <w:sz w:val="22"/>
        </w:rPr>
      </w:pPr>
      <w:r>
        <w:rPr>
          <w:sz w:val="22"/>
        </w:rPr>
        <w:t>Individual</w:t>
      </w:r>
      <w:r>
        <w:rPr>
          <w:spacing w:val="-4"/>
          <w:sz w:val="22"/>
        </w:rPr>
        <w:t> Care</w:t>
      </w:r>
    </w:p>
    <w:p>
      <w:pPr>
        <w:pStyle w:val="ListParagraph"/>
        <w:numPr>
          <w:ilvl w:val="1"/>
          <w:numId w:val="37"/>
        </w:numPr>
        <w:tabs>
          <w:tab w:pos="1995" w:val="left" w:leader="none"/>
          <w:tab w:pos="1996" w:val="left" w:leader="none"/>
        </w:tabs>
        <w:spacing w:line="268" w:lineRule="exact" w:before="0" w:after="0"/>
        <w:ind w:left="1995" w:right="0" w:hanging="361"/>
        <w:jc w:val="left"/>
        <w:rPr>
          <w:sz w:val="22"/>
        </w:rPr>
      </w:pPr>
      <w:r>
        <w:rPr>
          <w:sz w:val="22"/>
        </w:rPr>
        <w:t>Staff</w:t>
      </w:r>
      <w:r>
        <w:rPr>
          <w:spacing w:val="-1"/>
          <w:sz w:val="22"/>
        </w:rPr>
        <w:t> </w:t>
      </w:r>
      <w:r>
        <w:rPr>
          <w:sz w:val="22"/>
        </w:rPr>
        <w:t>and </w:t>
      </w:r>
      <w:r>
        <w:rPr>
          <w:spacing w:val="-2"/>
          <w:sz w:val="22"/>
        </w:rPr>
        <w:t>Resources</w:t>
      </w:r>
    </w:p>
    <w:p>
      <w:pPr>
        <w:pStyle w:val="BodyText"/>
        <w:spacing w:before="10"/>
        <w:rPr>
          <w:sz w:val="21"/>
        </w:rPr>
      </w:pPr>
    </w:p>
    <w:p>
      <w:pPr>
        <w:spacing w:before="0"/>
        <w:ind w:left="1275" w:right="0" w:firstLine="0"/>
        <w:jc w:val="both"/>
        <w:rPr>
          <w:sz w:val="22"/>
        </w:rPr>
      </w:pPr>
      <w:r>
        <w:rPr>
          <w:sz w:val="22"/>
          <w:u w:val="single"/>
        </w:rPr>
        <w:t>Process</w:t>
      </w:r>
      <w:r>
        <w:rPr>
          <w:spacing w:val="-1"/>
          <w:sz w:val="22"/>
          <w:u w:val="single"/>
        </w:rPr>
        <w:t> </w:t>
      </w:r>
      <w:r>
        <w:rPr>
          <w:sz w:val="22"/>
          <w:u w:val="single"/>
        </w:rPr>
        <w:t>for</w:t>
      </w:r>
      <w:r>
        <w:rPr>
          <w:spacing w:val="-1"/>
          <w:sz w:val="22"/>
          <w:u w:val="single"/>
        </w:rPr>
        <w:t> </w:t>
      </w:r>
      <w:r>
        <w:rPr>
          <w:spacing w:val="-2"/>
          <w:sz w:val="22"/>
          <w:u w:val="single"/>
        </w:rPr>
        <w:t>Completion</w:t>
      </w:r>
    </w:p>
    <w:p>
      <w:pPr>
        <w:spacing w:before="0"/>
        <w:ind w:left="1275" w:right="1243" w:firstLine="0"/>
        <w:jc w:val="both"/>
        <w:rPr>
          <w:sz w:val="22"/>
        </w:rPr>
      </w:pPr>
      <w:r>
        <w:rPr>
          <w:sz w:val="22"/>
        </w:rPr>
        <w:t>The process for undertaking the annual self-assessment is that NWSSP Corporate Services undertake an evaluation against the Standards, which is presented to the Senior Leadership Group (SLG) for discussion and consultation at Directorate level, where appropriate.</w:t>
      </w:r>
      <w:r>
        <w:rPr>
          <w:spacing w:val="80"/>
          <w:sz w:val="22"/>
        </w:rPr>
        <w:t> </w:t>
      </w:r>
      <w:r>
        <w:rPr>
          <w:sz w:val="22"/>
        </w:rPr>
        <w:t>Any feedback provided from Directorates is then reviewed and</w:t>
      </w:r>
    </w:p>
    <w:p>
      <w:pPr>
        <w:pStyle w:val="BodyText"/>
        <w:spacing w:before="7"/>
        <w:rPr>
          <w:sz w:val="15"/>
        </w:rPr>
      </w:pPr>
    </w:p>
    <w:p>
      <w:pPr>
        <w:spacing w:before="100"/>
        <w:ind w:left="1275" w:right="0" w:firstLine="0"/>
        <w:jc w:val="left"/>
        <w:rPr>
          <w:sz w:val="22"/>
        </w:rPr>
      </w:pPr>
      <w:r>
        <w:rPr>
          <w:sz w:val="22"/>
        </w:rPr>
        <w:t>24</w:t>
      </w:r>
      <w:r>
        <w:rPr>
          <w:spacing w:val="-2"/>
          <w:sz w:val="22"/>
        </w:rPr>
        <w:t> </w:t>
      </w:r>
      <w:r>
        <w:rPr>
          <w:sz w:val="22"/>
        </w:rPr>
        <w:t>January</w:t>
      </w:r>
      <w:r>
        <w:rPr>
          <w:spacing w:val="-2"/>
          <w:sz w:val="22"/>
        </w:rPr>
        <w:t> </w:t>
      </w:r>
      <w:r>
        <w:rPr>
          <w:spacing w:val="-4"/>
          <w:sz w:val="22"/>
        </w:rPr>
        <w:t>2023</w:t>
      </w:r>
    </w:p>
    <w:p>
      <w:pPr>
        <w:tabs>
          <w:tab w:pos="10302" w:val="right" w:leader="none"/>
        </w:tabs>
        <w:spacing w:before="0"/>
        <w:ind w:left="1275" w:right="0" w:firstLine="0"/>
        <w:jc w:val="left"/>
        <w:rPr>
          <w:sz w:val="22"/>
        </w:rPr>
      </w:pPr>
      <w:r>
        <w:rPr>
          <w:sz w:val="22"/>
        </w:rPr>
        <w:t>NWSSP</w:t>
      </w:r>
      <w:r>
        <w:rPr>
          <w:spacing w:val="-4"/>
          <w:sz w:val="22"/>
        </w:rPr>
        <w:t> </w:t>
      </w:r>
      <w:r>
        <w:rPr>
          <w:sz w:val="22"/>
        </w:rPr>
        <w:t>Audit</w:t>
      </w:r>
      <w:r>
        <w:rPr>
          <w:spacing w:val="-2"/>
          <w:sz w:val="22"/>
        </w:rPr>
        <w:t> Committee</w:t>
      </w:r>
      <w:r>
        <w:rPr>
          <w:sz w:val="22"/>
        </w:rPr>
        <w:tab/>
      </w:r>
      <w:r>
        <w:rPr>
          <w:spacing w:val="-10"/>
          <w:sz w:val="22"/>
        </w:rPr>
        <w:t>1</w:t>
      </w:r>
    </w:p>
    <w:p>
      <w:pPr>
        <w:spacing w:after="0"/>
        <w:jc w:val="left"/>
        <w:rPr>
          <w:sz w:val="22"/>
        </w:rPr>
        <w:sectPr>
          <w:footerReference w:type="default" r:id="rId190"/>
          <w:pgSz w:w="11910" w:h="16840"/>
          <w:pgMar w:footer="173" w:header="0" w:top="120" w:bottom="360" w:left="0" w:right="0"/>
        </w:sectPr>
      </w:pPr>
    </w:p>
    <w:p>
      <w:pPr>
        <w:spacing w:before="75"/>
        <w:ind w:left="1275" w:right="1247" w:firstLine="0"/>
        <w:jc w:val="both"/>
        <w:rPr>
          <w:sz w:val="22"/>
        </w:rPr>
      </w:pPr>
      <w:r>
        <w:rPr>
          <w:sz w:val="22"/>
        </w:rPr>
        <w:t>incorporated into the Self-Assessment and then this is reviewed by the NWSSP Medical Director.</w:t>
      </w:r>
    </w:p>
    <w:p>
      <w:pPr>
        <w:pStyle w:val="BodyText"/>
        <w:rPr>
          <w:sz w:val="22"/>
        </w:rPr>
      </w:pPr>
    </w:p>
    <w:p>
      <w:pPr>
        <w:spacing w:before="0"/>
        <w:ind w:left="1275" w:right="1242" w:firstLine="0"/>
        <w:jc w:val="both"/>
        <w:rPr>
          <w:sz w:val="22"/>
        </w:rPr>
      </w:pPr>
      <w:r>
        <w:rPr>
          <w:sz w:val="22"/>
        </w:rPr>
        <w:t>Following</w:t>
      </w:r>
      <w:r>
        <w:rPr>
          <w:spacing w:val="-2"/>
          <w:sz w:val="22"/>
        </w:rPr>
        <w:t> </w:t>
      </w:r>
      <w:r>
        <w:rPr>
          <w:sz w:val="22"/>
        </w:rPr>
        <w:t>completion</w:t>
      </w:r>
      <w:r>
        <w:rPr>
          <w:spacing w:val="-2"/>
          <w:sz w:val="22"/>
        </w:rPr>
        <w:t> </w:t>
      </w:r>
      <w:r>
        <w:rPr>
          <w:sz w:val="22"/>
        </w:rPr>
        <w:t>of</w:t>
      </w:r>
      <w:r>
        <w:rPr>
          <w:spacing w:val="-2"/>
          <w:sz w:val="22"/>
        </w:rPr>
        <w:t> </w:t>
      </w:r>
      <w:r>
        <w:rPr>
          <w:sz w:val="22"/>
        </w:rPr>
        <w:t>the</w:t>
      </w:r>
      <w:r>
        <w:rPr>
          <w:spacing w:val="-2"/>
          <w:sz w:val="22"/>
        </w:rPr>
        <w:t> </w:t>
      </w:r>
      <w:r>
        <w:rPr>
          <w:sz w:val="22"/>
        </w:rPr>
        <w:t>Self-Assessment,</w:t>
      </w:r>
      <w:r>
        <w:rPr>
          <w:spacing w:val="-2"/>
          <w:sz w:val="22"/>
        </w:rPr>
        <w:t> </w:t>
      </w:r>
      <w:r>
        <w:rPr>
          <w:sz w:val="22"/>
        </w:rPr>
        <w:t>an</w:t>
      </w:r>
      <w:r>
        <w:rPr>
          <w:spacing w:val="-2"/>
          <w:sz w:val="22"/>
        </w:rPr>
        <w:t> </w:t>
      </w:r>
      <w:r>
        <w:rPr>
          <w:sz w:val="22"/>
        </w:rPr>
        <w:t>Action</w:t>
      </w:r>
      <w:r>
        <w:rPr>
          <w:spacing w:val="-2"/>
          <w:sz w:val="22"/>
        </w:rPr>
        <w:t> </w:t>
      </w:r>
      <w:r>
        <w:rPr>
          <w:sz w:val="22"/>
        </w:rPr>
        <w:t>Plan</w:t>
      </w:r>
      <w:r>
        <w:rPr>
          <w:spacing w:val="-2"/>
          <w:sz w:val="22"/>
        </w:rPr>
        <w:t> </w:t>
      </w:r>
      <w:r>
        <w:rPr>
          <w:sz w:val="22"/>
        </w:rPr>
        <w:t>to</w:t>
      </w:r>
      <w:r>
        <w:rPr>
          <w:spacing w:val="-2"/>
          <w:sz w:val="22"/>
        </w:rPr>
        <w:t> </w:t>
      </w:r>
      <w:r>
        <w:rPr>
          <w:sz w:val="22"/>
        </w:rPr>
        <w:t>manage</w:t>
      </w:r>
      <w:r>
        <w:rPr>
          <w:spacing w:val="-2"/>
          <w:sz w:val="22"/>
        </w:rPr>
        <w:t> </w:t>
      </w:r>
      <w:r>
        <w:rPr>
          <w:sz w:val="22"/>
        </w:rPr>
        <w:t>and</w:t>
      </w:r>
      <w:r>
        <w:rPr>
          <w:spacing w:val="-2"/>
          <w:sz w:val="22"/>
        </w:rPr>
        <w:t> </w:t>
      </w:r>
      <w:r>
        <w:rPr>
          <w:sz w:val="22"/>
        </w:rPr>
        <w:t>monitor areas whereby we may develop and strengthen our compliance against the Standards has been developed, in consultation with Services, linked to the wider well-being agenda and is presented at a future SLG meeting, for discussion and </w:t>
      </w:r>
      <w:r>
        <w:rPr>
          <w:spacing w:val="-2"/>
          <w:sz w:val="22"/>
        </w:rPr>
        <w:t>approval.</w:t>
      </w:r>
    </w:p>
    <w:p>
      <w:pPr>
        <w:pStyle w:val="BodyText"/>
        <w:rPr>
          <w:sz w:val="22"/>
        </w:rPr>
      </w:pPr>
    </w:p>
    <w:p>
      <w:pPr>
        <w:spacing w:before="0"/>
        <w:ind w:left="1275" w:right="1243" w:firstLine="0"/>
        <w:jc w:val="both"/>
        <w:rPr>
          <w:sz w:val="22"/>
        </w:rPr>
      </w:pPr>
      <w:r>
        <w:rPr>
          <w:sz w:val="22"/>
        </w:rPr>
        <w:t>In addition, once approved by the SLG, the Self-Assessment and Action Plan is presented to the Partnership Committee, Audit Committee and the Velindre University NHS Trust Quality and Safety Committee, for endorsement and </w:t>
      </w:r>
      <w:r>
        <w:rPr>
          <w:spacing w:val="-2"/>
          <w:sz w:val="22"/>
        </w:rPr>
        <w:t>assurance.</w:t>
      </w:r>
    </w:p>
    <w:p>
      <w:pPr>
        <w:pStyle w:val="BodyText"/>
        <w:rPr>
          <w:sz w:val="22"/>
        </w:rPr>
      </w:pPr>
    </w:p>
    <w:p>
      <w:pPr>
        <w:pStyle w:val="ListParagraph"/>
        <w:numPr>
          <w:ilvl w:val="0"/>
          <w:numId w:val="37"/>
        </w:numPr>
        <w:tabs>
          <w:tab w:pos="1636" w:val="left" w:leader="none"/>
        </w:tabs>
        <w:spacing w:line="240" w:lineRule="auto" w:before="0" w:after="0"/>
        <w:ind w:left="1636" w:right="0" w:hanging="361"/>
        <w:jc w:val="left"/>
        <w:rPr>
          <w:b/>
          <w:sz w:val="22"/>
        </w:rPr>
      </w:pPr>
      <w:r>
        <w:rPr>
          <w:b/>
          <w:sz w:val="22"/>
        </w:rPr>
        <w:t>ASSESSMENT</w:t>
      </w:r>
      <w:r>
        <w:rPr>
          <w:b/>
          <w:spacing w:val="-3"/>
          <w:sz w:val="22"/>
        </w:rPr>
        <w:t> </w:t>
      </w:r>
      <w:r>
        <w:rPr>
          <w:b/>
          <w:sz w:val="22"/>
        </w:rPr>
        <w:t>/</w:t>
      </w:r>
      <w:r>
        <w:rPr>
          <w:b/>
          <w:spacing w:val="-3"/>
          <w:sz w:val="22"/>
        </w:rPr>
        <w:t> </w:t>
      </w:r>
      <w:r>
        <w:rPr>
          <w:b/>
          <w:sz w:val="22"/>
        </w:rPr>
        <w:t>SUMMARY</w:t>
      </w:r>
      <w:r>
        <w:rPr>
          <w:b/>
          <w:spacing w:val="-3"/>
          <w:sz w:val="22"/>
        </w:rPr>
        <w:t> </w:t>
      </w:r>
      <w:r>
        <w:rPr>
          <w:b/>
          <w:sz w:val="22"/>
        </w:rPr>
        <w:t>OF</w:t>
      </w:r>
      <w:r>
        <w:rPr>
          <w:b/>
          <w:spacing w:val="-3"/>
          <w:sz w:val="22"/>
        </w:rPr>
        <w:t> </w:t>
      </w:r>
      <w:r>
        <w:rPr>
          <w:b/>
          <w:sz w:val="22"/>
        </w:rPr>
        <w:t>MATTERS</w:t>
      </w:r>
      <w:r>
        <w:rPr>
          <w:b/>
          <w:spacing w:val="-2"/>
          <w:sz w:val="22"/>
        </w:rPr>
        <w:t> </w:t>
      </w:r>
      <w:r>
        <w:rPr>
          <w:b/>
          <w:sz w:val="22"/>
        </w:rPr>
        <w:t>FOR</w:t>
      </w:r>
      <w:r>
        <w:rPr>
          <w:b/>
          <w:spacing w:val="-2"/>
          <w:sz w:val="22"/>
        </w:rPr>
        <w:t> CONSIDERATION</w:t>
      </w:r>
    </w:p>
    <w:p>
      <w:pPr>
        <w:spacing w:before="200"/>
        <w:ind w:left="1275" w:right="0" w:firstLine="0"/>
        <w:jc w:val="both"/>
        <w:rPr>
          <w:sz w:val="22"/>
        </w:rPr>
      </w:pPr>
      <w:r>
        <w:rPr>
          <w:sz w:val="22"/>
          <w:u w:val="single"/>
        </w:rPr>
        <w:t>Assessment</w:t>
      </w:r>
      <w:r>
        <w:rPr>
          <w:spacing w:val="-1"/>
          <w:sz w:val="22"/>
          <w:u w:val="single"/>
        </w:rPr>
        <w:t> </w:t>
      </w:r>
      <w:r>
        <w:rPr>
          <w:sz w:val="22"/>
          <w:u w:val="single"/>
        </w:rPr>
        <w:t>of</w:t>
      </w:r>
      <w:r>
        <w:rPr>
          <w:spacing w:val="-2"/>
          <w:sz w:val="22"/>
          <w:u w:val="single"/>
        </w:rPr>
        <w:t> Ratings</w:t>
      </w:r>
    </w:p>
    <w:p>
      <w:pPr>
        <w:spacing w:before="0"/>
        <w:ind w:left="1275" w:right="1244" w:firstLine="0"/>
        <w:jc w:val="both"/>
        <w:rPr>
          <w:sz w:val="22"/>
        </w:rPr>
      </w:pPr>
      <w:r>
        <w:rPr>
          <w:sz w:val="22"/>
        </w:rPr>
        <w:t>Each</w:t>
      </w:r>
      <w:r>
        <w:rPr>
          <w:spacing w:val="-1"/>
          <w:sz w:val="22"/>
        </w:rPr>
        <w:t> </w:t>
      </w:r>
      <w:r>
        <w:rPr>
          <w:sz w:val="22"/>
        </w:rPr>
        <w:t>theme</w:t>
      </w:r>
      <w:r>
        <w:rPr>
          <w:spacing w:val="-1"/>
          <w:sz w:val="22"/>
        </w:rPr>
        <w:t> </w:t>
      </w:r>
      <w:r>
        <w:rPr>
          <w:sz w:val="22"/>
        </w:rPr>
        <w:t>is</w:t>
      </w:r>
      <w:r>
        <w:rPr>
          <w:spacing w:val="-1"/>
          <w:sz w:val="22"/>
        </w:rPr>
        <w:t> </w:t>
      </w:r>
      <w:r>
        <w:rPr>
          <w:sz w:val="22"/>
        </w:rPr>
        <w:t>assessed</w:t>
      </w:r>
      <w:r>
        <w:rPr>
          <w:spacing w:val="-1"/>
          <w:sz w:val="22"/>
        </w:rPr>
        <w:t> </w:t>
      </w:r>
      <w:r>
        <w:rPr>
          <w:sz w:val="22"/>
        </w:rPr>
        <w:t>and</w:t>
      </w:r>
      <w:r>
        <w:rPr>
          <w:spacing w:val="-1"/>
          <w:sz w:val="22"/>
        </w:rPr>
        <w:t> </w:t>
      </w:r>
      <w:r>
        <w:rPr>
          <w:sz w:val="22"/>
        </w:rPr>
        <w:t>given</w:t>
      </w:r>
      <w:r>
        <w:rPr>
          <w:spacing w:val="-1"/>
          <w:sz w:val="22"/>
        </w:rPr>
        <w:t> </w:t>
      </w:r>
      <w:r>
        <w:rPr>
          <w:sz w:val="22"/>
        </w:rPr>
        <w:t>an</w:t>
      </w:r>
      <w:r>
        <w:rPr>
          <w:spacing w:val="-1"/>
          <w:sz w:val="22"/>
        </w:rPr>
        <w:t> </w:t>
      </w:r>
      <w:r>
        <w:rPr>
          <w:sz w:val="22"/>
        </w:rPr>
        <w:t>overall</w:t>
      </w:r>
      <w:r>
        <w:rPr>
          <w:spacing w:val="-1"/>
          <w:sz w:val="22"/>
        </w:rPr>
        <w:t> </w:t>
      </w:r>
      <w:r>
        <w:rPr>
          <w:sz w:val="22"/>
        </w:rPr>
        <w:t>rating</w:t>
      </w:r>
      <w:r>
        <w:rPr>
          <w:spacing w:val="-1"/>
          <w:sz w:val="22"/>
        </w:rPr>
        <w:t> </w:t>
      </w:r>
      <w:r>
        <w:rPr>
          <w:sz w:val="22"/>
        </w:rPr>
        <w:t>of</w:t>
      </w:r>
      <w:r>
        <w:rPr>
          <w:spacing w:val="-1"/>
          <w:sz w:val="22"/>
        </w:rPr>
        <w:t> </w:t>
      </w:r>
      <w:r>
        <w:rPr>
          <w:sz w:val="22"/>
        </w:rPr>
        <w:t>between</w:t>
      </w:r>
      <w:r>
        <w:rPr>
          <w:spacing w:val="-1"/>
          <w:sz w:val="22"/>
        </w:rPr>
        <w:t> </w:t>
      </w:r>
      <w:r>
        <w:rPr>
          <w:sz w:val="22"/>
        </w:rPr>
        <w:t>1</w:t>
      </w:r>
      <w:r>
        <w:rPr>
          <w:spacing w:val="-1"/>
          <w:sz w:val="22"/>
        </w:rPr>
        <w:t> </w:t>
      </w:r>
      <w:r>
        <w:rPr>
          <w:sz w:val="22"/>
        </w:rPr>
        <w:t>and</w:t>
      </w:r>
      <w:r>
        <w:rPr>
          <w:spacing w:val="-1"/>
          <w:sz w:val="22"/>
        </w:rPr>
        <w:t> </w:t>
      </w:r>
      <w:r>
        <w:rPr>
          <w:sz w:val="22"/>
        </w:rPr>
        <w:t>5.</w:t>
      </w:r>
      <w:r>
        <w:rPr>
          <w:spacing w:val="-1"/>
          <w:sz w:val="22"/>
        </w:rPr>
        <w:t> </w:t>
      </w:r>
      <w:r>
        <w:rPr>
          <w:sz w:val="22"/>
        </w:rPr>
        <w:t>As</w:t>
      </w:r>
      <w:r>
        <w:rPr>
          <w:spacing w:val="-1"/>
          <w:sz w:val="22"/>
        </w:rPr>
        <w:t> </w:t>
      </w:r>
      <w:r>
        <w:rPr>
          <w:sz w:val="22"/>
        </w:rPr>
        <w:t>a</w:t>
      </w:r>
      <w:r>
        <w:rPr>
          <w:spacing w:val="-1"/>
          <w:sz w:val="22"/>
        </w:rPr>
        <w:t> </w:t>
      </w:r>
      <w:r>
        <w:rPr>
          <w:sz w:val="22"/>
        </w:rPr>
        <w:t>largely non-clinical service provider, not all of the sub-criteria are applicable to NWSSP.</w:t>
      </w:r>
      <w:r>
        <w:rPr>
          <w:spacing w:val="40"/>
          <w:sz w:val="22"/>
        </w:rPr>
        <w:t> </w:t>
      </w:r>
      <w:r>
        <w:rPr>
          <w:sz w:val="22"/>
        </w:rPr>
        <w:t>A summary of the self-assessment ratings is outlined below:</w:t>
      </w:r>
    </w:p>
    <w:p>
      <w:pPr>
        <w:pStyle w:val="BodyText"/>
        <w:rPr>
          <w:sz w:val="22"/>
        </w:rPr>
      </w:pPr>
    </w:p>
    <w:tbl>
      <w:tblPr>
        <w:tblW w:w="0" w:type="auto"/>
        <w:jc w:val="left"/>
        <w:tblInd w:w="11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70"/>
        <w:gridCol w:w="3828"/>
      </w:tblGrid>
      <w:tr>
        <w:trPr>
          <w:trHeight w:val="480" w:hRule="atLeast"/>
        </w:trPr>
        <w:tc>
          <w:tcPr>
            <w:tcW w:w="5670" w:type="dxa"/>
            <w:shd w:val="clear" w:color="auto" w:fill="C6D9F1"/>
          </w:tcPr>
          <w:p>
            <w:pPr>
              <w:pStyle w:val="TableParagraph"/>
              <w:ind w:left="567" w:right="557"/>
              <w:jc w:val="center"/>
              <w:rPr>
                <w:b/>
                <w:sz w:val="22"/>
              </w:rPr>
            </w:pPr>
            <w:r>
              <w:rPr>
                <w:b/>
                <w:spacing w:val="-2"/>
                <w:sz w:val="22"/>
              </w:rPr>
              <w:t>Theme</w:t>
            </w:r>
          </w:p>
        </w:tc>
        <w:tc>
          <w:tcPr>
            <w:tcW w:w="3828" w:type="dxa"/>
            <w:shd w:val="clear" w:color="auto" w:fill="C6D9F1"/>
          </w:tcPr>
          <w:p>
            <w:pPr>
              <w:pStyle w:val="TableParagraph"/>
              <w:ind w:left="1122" w:right="1113"/>
              <w:jc w:val="center"/>
              <w:rPr>
                <w:b/>
                <w:sz w:val="22"/>
              </w:rPr>
            </w:pPr>
            <w:r>
              <w:rPr>
                <w:b/>
                <w:spacing w:val="-2"/>
                <w:sz w:val="22"/>
              </w:rPr>
              <w:t>Rating</w:t>
            </w:r>
          </w:p>
        </w:tc>
      </w:tr>
      <w:tr>
        <w:trPr>
          <w:trHeight w:val="267" w:hRule="atLeast"/>
        </w:trPr>
        <w:tc>
          <w:tcPr>
            <w:tcW w:w="5670" w:type="dxa"/>
          </w:tcPr>
          <w:p>
            <w:pPr>
              <w:pStyle w:val="TableParagraph"/>
              <w:spacing w:line="247" w:lineRule="exact"/>
              <w:ind w:left="567" w:right="557"/>
              <w:jc w:val="center"/>
              <w:rPr>
                <w:sz w:val="22"/>
              </w:rPr>
            </w:pPr>
            <w:r>
              <w:rPr>
                <w:sz w:val="22"/>
              </w:rPr>
              <w:t>Governance,</w:t>
            </w:r>
            <w:r>
              <w:rPr>
                <w:spacing w:val="-3"/>
                <w:sz w:val="22"/>
              </w:rPr>
              <w:t> </w:t>
            </w:r>
            <w:r>
              <w:rPr>
                <w:sz w:val="22"/>
              </w:rPr>
              <w:t>Leadership</w:t>
            </w:r>
            <w:r>
              <w:rPr>
                <w:spacing w:val="-3"/>
                <w:sz w:val="22"/>
              </w:rPr>
              <w:t> </w:t>
            </w:r>
            <w:r>
              <w:rPr>
                <w:sz w:val="22"/>
              </w:rPr>
              <w:t>&amp;</w:t>
            </w:r>
            <w:r>
              <w:rPr>
                <w:spacing w:val="-3"/>
                <w:sz w:val="22"/>
              </w:rPr>
              <w:t> </w:t>
            </w:r>
            <w:r>
              <w:rPr>
                <w:spacing w:val="-2"/>
                <w:sz w:val="22"/>
              </w:rPr>
              <w:t>Accountability</w:t>
            </w:r>
          </w:p>
        </w:tc>
        <w:tc>
          <w:tcPr>
            <w:tcW w:w="3828" w:type="dxa"/>
            <w:shd w:val="clear" w:color="auto" w:fill="92D050"/>
          </w:tcPr>
          <w:p>
            <w:pPr>
              <w:pStyle w:val="TableParagraph"/>
              <w:spacing w:line="247" w:lineRule="exact"/>
              <w:ind w:left="9"/>
              <w:jc w:val="center"/>
              <w:rPr>
                <w:sz w:val="22"/>
              </w:rPr>
            </w:pPr>
            <w:r>
              <w:rPr>
                <w:sz w:val="22"/>
              </w:rPr>
              <w:t>4</w:t>
            </w:r>
          </w:p>
        </w:tc>
      </w:tr>
      <w:tr>
        <w:trPr>
          <w:trHeight w:val="267" w:hRule="atLeast"/>
        </w:trPr>
        <w:tc>
          <w:tcPr>
            <w:tcW w:w="5670" w:type="dxa"/>
          </w:tcPr>
          <w:p>
            <w:pPr>
              <w:pStyle w:val="TableParagraph"/>
              <w:spacing w:line="247" w:lineRule="exact"/>
              <w:ind w:left="566" w:right="557"/>
              <w:jc w:val="center"/>
              <w:rPr>
                <w:sz w:val="22"/>
              </w:rPr>
            </w:pPr>
            <w:r>
              <w:rPr>
                <w:sz w:val="22"/>
              </w:rPr>
              <w:t>Staying</w:t>
            </w:r>
            <w:r>
              <w:rPr>
                <w:spacing w:val="-1"/>
                <w:sz w:val="22"/>
              </w:rPr>
              <w:t> </w:t>
            </w:r>
            <w:r>
              <w:rPr>
                <w:spacing w:val="-2"/>
                <w:sz w:val="22"/>
              </w:rPr>
              <w:t>Healthy</w:t>
            </w:r>
          </w:p>
        </w:tc>
        <w:tc>
          <w:tcPr>
            <w:tcW w:w="3828" w:type="dxa"/>
            <w:shd w:val="clear" w:color="auto" w:fill="92D050"/>
          </w:tcPr>
          <w:p>
            <w:pPr>
              <w:pStyle w:val="TableParagraph"/>
              <w:spacing w:line="247" w:lineRule="exact"/>
              <w:ind w:left="9"/>
              <w:jc w:val="center"/>
              <w:rPr>
                <w:sz w:val="22"/>
              </w:rPr>
            </w:pPr>
            <w:r>
              <w:rPr>
                <w:sz w:val="22"/>
              </w:rPr>
              <w:t>4</w:t>
            </w:r>
          </w:p>
        </w:tc>
      </w:tr>
      <w:tr>
        <w:trPr>
          <w:trHeight w:val="267" w:hRule="atLeast"/>
        </w:trPr>
        <w:tc>
          <w:tcPr>
            <w:tcW w:w="5670" w:type="dxa"/>
          </w:tcPr>
          <w:p>
            <w:pPr>
              <w:pStyle w:val="TableParagraph"/>
              <w:spacing w:line="247" w:lineRule="exact"/>
              <w:ind w:left="566" w:right="557"/>
              <w:jc w:val="center"/>
              <w:rPr>
                <w:sz w:val="22"/>
              </w:rPr>
            </w:pPr>
            <w:r>
              <w:rPr>
                <w:sz w:val="22"/>
              </w:rPr>
              <w:t>Safe</w:t>
            </w:r>
            <w:r>
              <w:rPr>
                <w:spacing w:val="-2"/>
                <w:sz w:val="22"/>
              </w:rPr>
              <w:t> </w:t>
            </w:r>
            <w:r>
              <w:rPr>
                <w:spacing w:val="-4"/>
                <w:sz w:val="22"/>
              </w:rPr>
              <w:t>Care</w:t>
            </w:r>
          </w:p>
        </w:tc>
        <w:tc>
          <w:tcPr>
            <w:tcW w:w="3828" w:type="dxa"/>
            <w:shd w:val="clear" w:color="auto" w:fill="92D050"/>
          </w:tcPr>
          <w:p>
            <w:pPr>
              <w:pStyle w:val="TableParagraph"/>
              <w:spacing w:line="247" w:lineRule="exact"/>
              <w:ind w:left="9"/>
              <w:jc w:val="center"/>
              <w:rPr>
                <w:sz w:val="22"/>
              </w:rPr>
            </w:pPr>
            <w:r>
              <w:rPr>
                <w:sz w:val="22"/>
              </w:rPr>
              <w:t>4</w:t>
            </w:r>
          </w:p>
        </w:tc>
      </w:tr>
      <w:tr>
        <w:trPr>
          <w:trHeight w:val="267" w:hRule="atLeast"/>
        </w:trPr>
        <w:tc>
          <w:tcPr>
            <w:tcW w:w="5670" w:type="dxa"/>
          </w:tcPr>
          <w:p>
            <w:pPr>
              <w:pStyle w:val="TableParagraph"/>
              <w:spacing w:line="247" w:lineRule="exact"/>
              <w:ind w:left="566" w:right="557"/>
              <w:jc w:val="center"/>
              <w:rPr>
                <w:sz w:val="22"/>
              </w:rPr>
            </w:pPr>
            <w:r>
              <w:rPr>
                <w:sz w:val="22"/>
              </w:rPr>
              <w:t>Effective</w:t>
            </w:r>
            <w:r>
              <w:rPr>
                <w:spacing w:val="-4"/>
                <w:sz w:val="22"/>
              </w:rPr>
              <w:t> Care</w:t>
            </w:r>
          </w:p>
        </w:tc>
        <w:tc>
          <w:tcPr>
            <w:tcW w:w="3828" w:type="dxa"/>
            <w:shd w:val="clear" w:color="auto" w:fill="92D050"/>
          </w:tcPr>
          <w:p>
            <w:pPr>
              <w:pStyle w:val="TableParagraph"/>
              <w:spacing w:line="247" w:lineRule="exact"/>
              <w:ind w:left="9"/>
              <w:jc w:val="center"/>
              <w:rPr>
                <w:sz w:val="22"/>
              </w:rPr>
            </w:pPr>
            <w:r>
              <w:rPr>
                <w:sz w:val="22"/>
              </w:rPr>
              <w:t>4</w:t>
            </w:r>
          </w:p>
        </w:tc>
      </w:tr>
      <w:tr>
        <w:trPr>
          <w:trHeight w:val="267" w:hRule="atLeast"/>
        </w:trPr>
        <w:tc>
          <w:tcPr>
            <w:tcW w:w="5670" w:type="dxa"/>
          </w:tcPr>
          <w:p>
            <w:pPr>
              <w:pStyle w:val="TableParagraph"/>
              <w:spacing w:line="247" w:lineRule="exact"/>
              <w:ind w:left="567" w:right="556"/>
              <w:jc w:val="center"/>
              <w:rPr>
                <w:sz w:val="22"/>
              </w:rPr>
            </w:pPr>
            <w:r>
              <w:rPr>
                <w:sz w:val="22"/>
              </w:rPr>
              <w:t>Dignified</w:t>
            </w:r>
            <w:r>
              <w:rPr>
                <w:spacing w:val="-2"/>
                <w:sz w:val="22"/>
              </w:rPr>
              <w:t> </w:t>
            </w:r>
            <w:r>
              <w:rPr>
                <w:spacing w:val="-4"/>
                <w:sz w:val="22"/>
              </w:rPr>
              <w:t>Care</w:t>
            </w:r>
          </w:p>
        </w:tc>
        <w:tc>
          <w:tcPr>
            <w:tcW w:w="3828" w:type="dxa"/>
            <w:shd w:val="clear" w:color="auto" w:fill="D9D9D9"/>
          </w:tcPr>
          <w:p>
            <w:pPr>
              <w:pStyle w:val="TableParagraph"/>
              <w:spacing w:line="247" w:lineRule="exact"/>
              <w:ind w:left="1122" w:right="1113"/>
              <w:jc w:val="center"/>
              <w:rPr>
                <w:sz w:val="22"/>
              </w:rPr>
            </w:pPr>
            <w:r>
              <w:rPr>
                <w:sz w:val="22"/>
              </w:rPr>
              <w:t>Not</w:t>
            </w:r>
            <w:r>
              <w:rPr>
                <w:spacing w:val="-2"/>
                <w:sz w:val="22"/>
              </w:rPr>
              <w:t> applicable</w:t>
            </w:r>
          </w:p>
        </w:tc>
      </w:tr>
      <w:tr>
        <w:trPr>
          <w:trHeight w:val="267" w:hRule="atLeast"/>
        </w:trPr>
        <w:tc>
          <w:tcPr>
            <w:tcW w:w="5670" w:type="dxa"/>
          </w:tcPr>
          <w:p>
            <w:pPr>
              <w:pStyle w:val="TableParagraph"/>
              <w:spacing w:line="247" w:lineRule="exact"/>
              <w:ind w:left="567" w:right="557"/>
              <w:jc w:val="center"/>
              <w:rPr>
                <w:sz w:val="22"/>
              </w:rPr>
            </w:pPr>
            <w:r>
              <w:rPr>
                <w:sz w:val="22"/>
              </w:rPr>
              <w:t>Timely</w:t>
            </w:r>
            <w:r>
              <w:rPr>
                <w:spacing w:val="-2"/>
                <w:sz w:val="22"/>
              </w:rPr>
              <w:t> </w:t>
            </w:r>
            <w:r>
              <w:rPr>
                <w:spacing w:val="-4"/>
                <w:sz w:val="22"/>
              </w:rPr>
              <w:t>Care</w:t>
            </w:r>
          </w:p>
        </w:tc>
        <w:tc>
          <w:tcPr>
            <w:tcW w:w="3828" w:type="dxa"/>
            <w:shd w:val="clear" w:color="auto" w:fill="D9D9D9"/>
          </w:tcPr>
          <w:p>
            <w:pPr>
              <w:pStyle w:val="TableParagraph"/>
              <w:spacing w:line="247" w:lineRule="exact"/>
              <w:ind w:left="1122" w:right="1113"/>
              <w:jc w:val="center"/>
              <w:rPr>
                <w:sz w:val="22"/>
              </w:rPr>
            </w:pPr>
            <w:r>
              <w:rPr>
                <w:sz w:val="22"/>
              </w:rPr>
              <w:t>Not</w:t>
            </w:r>
            <w:r>
              <w:rPr>
                <w:spacing w:val="-2"/>
                <w:sz w:val="22"/>
              </w:rPr>
              <w:t> applicable</w:t>
            </w:r>
          </w:p>
        </w:tc>
      </w:tr>
      <w:tr>
        <w:trPr>
          <w:trHeight w:val="267" w:hRule="atLeast"/>
        </w:trPr>
        <w:tc>
          <w:tcPr>
            <w:tcW w:w="5670" w:type="dxa"/>
          </w:tcPr>
          <w:p>
            <w:pPr>
              <w:pStyle w:val="TableParagraph"/>
              <w:spacing w:line="247" w:lineRule="exact"/>
              <w:ind w:left="567" w:right="557"/>
              <w:jc w:val="center"/>
              <w:rPr>
                <w:sz w:val="22"/>
              </w:rPr>
            </w:pPr>
            <w:r>
              <w:rPr>
                <w:sz w:val="22"/>
              </w:rPr>
              <w:t>Individual </w:t>
            </w:r>
            <w:r>
              <w:rPr>
                <w:spacing w:val="-4"/>
                <w:sz w:val="22"/>
              </w:rPr>
              <w:t>Care</w:t>
            </w:r>
          </w:p>
        </w:tc>
        <w:tc>
          <w:tcPr>
            <w:tcW w:w="3828" w:type="dxa"/>
            <w:shd w:val="clear" w:color="auto" w:fill="92D050"/>
          </w:tcPr>
          <w:p>
            <w:pPr>
              <w:pStyle w:val="TableParagraph"/>
              <w:spacing w:line="247" w:lineRule="exact"/>
              <w:ind w:left="9"/>
              <w:jc w:val="center"/>
              <w:rPr>
                <w:sz w:val="22"/>
              </w:rPr>
            </w:pPr>
            <w:r>
              <w:rPr>
                <w:sz w:val="22"/>
              </w:rPr>
              <w:t>4</w:t>
            </w:r>
          </w:p>
        </w:tc>
      </w:tr>
      <w:tr>
        <w:trPr>
          <w:trHeight w:val="267" w:hRule="atLeast"/>
        </w:trPr>
        <w:tc>
          <w:tcPr>
            <w:tcW w:w="5670" w:type="dxa"/>
          </w:tcPr>
          <w:p>
            <w:pPr>
              <w:pStyle w:val="TableParagraph"/>
              <w:spacing w:line="247" w:lineRule="exact"/>
              <w:ind w:left="566" w:right="557"/>
              <w:jc w:val="center"/>
              <w:rPr>
                <w:sz w:val="22"/>
              </w:rPr>
            </w:pPr>
            <w:r>
              <w:rPr>
                <w:sz w:val="22"/>
              </w:rPr>
              <w:t>Staff</w:t>
            </w:r>
            <w:r>
              <w:rPr>
                <w:spacing w:val="-2"/>
                <w:sz w:val="22"/>
              </w:rPr>
              <w:t> </w:t>
            </w:r>
            <w:r>
              <w:rPr>
                <w:sz w:val="22"/>
              </w:rPr>
              <w:t>and</w:t>
            </w:r>
            <w:r>
              <w:rPr>
                <w:spacing w:val="-1"/>
                <w:sz w:val="22"/>
              </w:rPr>
              <w:t> </w:t>
            </w:r>
            <w:r>
              <w:rPr>
                <w:spacing w:val="-2"/>
                <w:sz w:val="22"/>
              </w:rPr>
              <w:t>Resources</w:t>
            </w:r>
          </w:p>
        </w:tc>
        <w:tc>
          <w:tcPr>
            <w:tcW w:w="3828" w:type="dxa"/>
            <w:shd w:val="clear" w:color="auto" w:fill="92D050"/>
          </w:tcPr>
          <w:p>
            <w:pPr>
              <w:pStyle w:val="TableParagraph"/>
              <w:spacing w:line="247" w:lineRule="exact"/>
              <w:ind w:left="9"/>
              <w:jc w:val="center"/>
              <w:rPr>
                <w:sz w:val="22"/>
              </w:rPr>
            </w:pPr>
            <w:r>
              <w:rPr>
                <w:sz w:val="22"/>
              </w:rPr>
              <w:t>4</w:t>
            </w:r>
          </w:p>
        </w:tc>
      </w:tr>
    </w:tbl>
    <w:p>
      <w:pPr>
        <w:pStyle w:val="BodyText"/>
        <w:spacing w:before="4"/>
        <w:rPr>
          <w:sz w:val="22"/>
        </w:rPr>
      </w:pPr>
    </w:p>
    <w:p>
      <w:pPr>
        <w:spacing w:before="0"/>
        <w:ind w:left="1275" w:right="1244" w:firstLine="0"/>
        <w:jc w:val="both"/>
        <w:rPr>
          <w:sz w:val="22"/>
        </w:rPr>
      </w:pPr>
      <w:r>
        <w:rPr>
          <w:sz w:val="22"/>
        </w:rPr>
        <w:t>Appendices 1 to 8 contain the detailed criteria and assurances provided against</w:t>
      </w:r>
      <w:r>
        <w:rPr>
          <w:spacing w:val="40"/>
          <w:sz w:val="22"/>
        </w:rPr>
        <w:t> </w:t>
      </w:r>
      <w:r>
        <w:rPr>
          <w:sz w:val="22"/>
        </w:rPr>
        <w:t>each theme of the Standards.</w:t>
      </w:r>
    </w:p>
    <w:p>
      <w:pPr>
        <w:pStyle w:val="BodyText"/>
        <w:rPr>
          <w:sz w:val="22"/>
        </w:rPr>
      </w:pPr>
    </w:p>
    <w:p>
      <w:pPr>
        <w:spacing w:before="0"/>
        <w:ind w:left="1275" w:right="1243" w:firstLine="0"/>
        <w:jc w:val="both"/>
        <w:rPr>
          <w:i/>
          <w:sz w:val="22"/>
        </w:rPr>
      </w:pPr>
      <w:r>
        <w:rPr>
          <w:sz w:val="22"/>
        </w:rPr>
        <w:t>The overall rating against the mandatory Governance, Leadership and</w:t>
      </w:r>
      <w:r>
        <w:rPr>
          <w:spacing w:val="40"/>
          <w:sz w:val="22"/>
        </w:rPr>
        <w:t> </w:t>
      </w:r>
      <w:r>
        <w:rPr>
          <w:sz w:val="22"/>
        </w:rPr>
        <w:t>Accountability module and the seven themes reflects NWSSP’s overall compliance against the Health and Care Standards and has been rated as a 4, as outlined below.</w:t>
      </w:r>
      <w:r>
        <w:rPr>
          <w:spacing w:val="80"/>
          <w:sz w:val="22"/>
        </w:rPr>
        <w:t> </w:t>
      </w:r>
      <w:r>
        <w:rPr>
          <w:sz w:val="22"/>
        </w:rPr>
        <w:t>This rating is based on the work undertaken to address staff well-being across the organisation, in line with A Healthier Wales and as a result of the recovery and response work undertaken in relation to the pandemic.</w:t>
      </w:r>
      <w:r>
        <w:rPr>
          <w:spacing w:val="80"/>
          <w:sz w:val="22"/>
        </w:rPr>
        <w:t> </w:t>
      </w:r>
      <w:r>
        <w:rPr>
          <w:sz w:val="22"/>
        </w:rPr>
        <w:t>An</w:t>
      </w:r>
      <w:r>
        <w:rPr>
          <w:spacing w:val="40"/>
          <w:sz w:val="22"/>
        </w:rPr>
        <w:t> </w:t>
      </w:r>
      <w:r>
        <w:rPr>
          <w:sz w:val="22"/>
        </w:rPr>
        <w:t>assessment level rating of 4 sets out that </w:t>
      </w:r>
      <w:r>
        <w:rPr>
          <w:i/>
          <w:sz w:val="22"/>
        </w:rPr>
        <w:t>“we have well-developed plans and</w:t>
      </w:r>
      <w:r>
        <w:rPr>
          <w:i/>
          <w:sz w:val="22"/>
        </w:rPr>
        <w:t> processes can demonstrate sustainable improvement throughout the organisation”.</w:t>
      </w:r>
    </w:p>
    <w:p>
      <w:pPr>
        <w:pStyle w:val="BodyText"/>
        <w:rPr>
          <w:i/>
          <w:sz w:val="22"/>
        </w:rPr>
      </w:pPr>
    </w:p>
    <w:p>
      <w:pPr>
        <w:spacing w:before="0"/>
        <w:ind w:left="1275" w:right="1244" w:firstLine="0"/>
        <w:jc w:val="both"/>
        <w:rPr>
          <w:sz w:val="22"/>
        </w:rPr>
      </w:pPr>
      <w:r>
        <w:rPr>
          <w:sz w:val="22"/>
        </w:rPr>
        <w:t>The actions identified in the Action Plan will be monitored by the NWSSP SLG and we are working towards</w:t>
      </w:r>
      <w:r>
        <w:rPr>
          <w:spacing w:val="-1"/>
          <w:sz w:val="22"/>
        </w:rPr>
        <w:t> </w:t>
      </w:r>
      <w:r>
        <w:rPr>
          <w:sz w:val="22"/>
        </w:rPr>
        <w:t>achieving a self-assessment</w:t>
      </w:r>
      <w:r>
        <w:rPr>
          <w:spacing w:val="-1"/>
          <w:sz w:val="22"/>
        </w:rPr>
        <w:t> </w:t>
      </w:r>
      <w:r>
        <w:rPr>
          <w:sz w:val="22"/>
        </w:rPr>
        <w:t>rating of</w:t>
      </w:r>
      <w:r>
        <w:rPr>
          <w:spacing w:val="-1"/>
          <w:sz w:val="22"/>
        </w:rPr>
        <w:t> </w:t>
      </w:r>
      <w:r>
        <w:rPr>
          <w:sz w:val="22"/>
        </w:rPr>
        <w:t>5, which sets out that “</w:t>
      </w:r>
      <w:r>
        <w:rPr>
          <w:i/>
          <w:sz w:val="22"/>
        </w:rPr>
        <w:t>we can demonstrate sustained good practice and innovation that is shared</w:t>
      </w:r>
      <w:r>
        <w:rPr>
          <w:i/>
          <w:sz w:val="22"/>
        </w:rPr>
        <w:t> throughout the organisation, and which others can learn from”</w:t>
      </w:r>
      <w:r>
        <w:rPr>
          <w:sz w:val="22"/>
        </w:rPr>
        <w:t>.</w:t>
      </w:r>
    </w:p>
    <w:p>
      <w:pPr>
        <w:pStyle w:val="BodyText"/>
        <w:rPr>
          <w:sz w:val="22"/>
        </w:rPr>
      </w:pPr>
    </w:p>
    <w:p>
      <w:pPr>
        <w:spacing w:before="0"/>
        <w:ind w:left="1275" w:right="0" w:firstLine="0"/>
        <w:jc w:val="left"/>
        <w:rPr>
          <w:sz w:val="22"/>
        </w:rPr>
      </w:pPr>
      <w:r>
        <w:rPr>
          <w:spacing w:val="-2"/>
          <w:sz w:val="22"/>
          <w:u w:val="single"/>
        </w:rPr>
        <w:t>Developments</w:t>
      </w:r>
    </w:p>
    <w:p>
      <w:pPr>
        <w:spacing w:before="0"/>
        <w:ind w:left="1275" w:right="1244" w:firstLine="0"/>
        <w:jc w:val="both"/>
        <w:rPr>
          <w:sz w:val="22"/>
        </w:rPr>
      </w:pPr>
      <w:r>
        <w:rPr>
          <w:sz w:val="22"/>
        </w:rPr>
        <w:t>In light of the commencement of the Health and Social Care (Quality and Engagement) (Wales) Act 2020 and the associated duty that this brings upon the organisation,</w:t>
      </w:r>
      <w:r>
        <w:rPr>
          <w:spacing w:val="36"/>
          <w:sz w:val="22"/>
        </w:rPr>
        <w:t> </w:t>
      </w:r>
      <w:r>
        <w:rPr>
          <w:sz w:val="22"/>
        </w:rPr>
        <w:t>this</w:t>
      </w:r>
      <w:r>
        <w:rPr>
          <w:spacing w:val="36"/>
          <w:sz w:val="22"/>
        </w:rPr>
        <w:t> </w:t>
      </w:r>
      <w:r>
        <w:rPr>
          <w:sz w:val="22"/>
        </w:rPr>
        <w:t>is</w:t>
      </w:r>
      <w:r>
        <w:rPr>
          <w:spacing w:val="36"/>
          <w:sz w:val="22"/>
        </w:rPr>
        <w:t> </w:t>
      </w:r>
      <w:r>
        <w:rPr>
          <w:sz w:val="22"/>
        </w:rPr>
        <w:t>likely</w:t>
      </w:r>
      <w:r>
        <w:rPr>
          <w:spacing w:val="36"/>
          <w:sz w:val="22"/>
        </w:rPr>
        <w:t> </w:t>
      </w:r>
      <w:r>
        <w:rPr>
          <w:sz w:val="22"/>
        </w:rPr>
        <w:t>to</w:t>
      </w:r>
      <w:r>
        <w:rPr>
          <w:spacing w:val="36"/>
          <w:sz w:val="22"/>
        </w:rPr>
        <w:t> </w:t>
      </w:r>
      <w:r>
        <w:rPr>
          <w:sz w:val="22"/>
        </w:rPr>
        <w:t>alter</w:t>
      </w:r>
      <w:r>
        <w:rPr>
          <w:spacing w:val="36"/>
          <w:sz w:val="22"/>
        </w:rPr>
        <w:t> </w:t>
      </w:r>
      <w:r>
        <w:rPr>
          <w:sz w:val="22"/>
        </w:rPr>
        <w:t>the</w:t>
      </w:r>
      <w:r>
        <w:rPr>
          <w:spacing w:val="36"/>
          <w:sz w:val="22"/>
        </w:rPr>
        <w:t> </w:t>
      </w:r>
      <w:r>
        <w:rPr>
          <w:sz w:val="22"/>
        </w:rPr>
        <w:t>way</w:t>
      </w:r>
      <w:r>
        <w:rPr>
          <w:spacing w:val="36"/>
          <w:sz w:val="22"/>
        </w:rPr>
        <w:t> </w:t>
      </w:r>
      <w:r>
        <w:rPr>
          <w:sz w:val="22"/>
        </w:rPr>
        <w:t>in</w:t>
      </w:r>
      <w:r>
        <w:rPr>
          <w:spacing w:val="35"/>
          <w:sz w:val="22"/>
        </w:rPr>
        <w:t> </w:t>
      </w:r>
      <w:r>
        <w:rPr>
          <w:sz w:val="22"/>
        </w:rPr>
        <w:t>which</w:t>
      </w:r>
      <w:r>
        <w:rPr>
          <w:spacing w:val="36"/>
          <w:sz w:val="22"/>
        </w:rPr>
        <w:t> </w:t>
      </w:r>
      <w:r>
        <w:rPr>
          <w:sz w:val="22"/>
        </w:rPr>
        <w:t>we</w:t>
      </w:r>
      <w:r>
        <w:rPr>
          <w:spacing w:val="36"/>
          <w:sz w:val="22"/>
        </w:rPr>
        <w:t> </w:t>
      </w:r>
      <w:r>
        <w:rPr>
          <w:sz w:val="22"/>
        </w:rPr>
        <w:t>report</w:t>
      </w:r>
      <w:r>
        <w:rPr>
          <w:spacing w:val="36"/>
          <w:sz w:val="22"/>
        </w:rPr>
        <w:t> </w:t>
      </w:r>
      <w:r>
        <w:rPr>
          <w:sz w:val="22"/>
        </w:rPr>
        <w:t>and</w:t>
      </w:r>
      <w:r>
        <w:rPr>
          <w:spacing w:val="36"/>
          <w:sz w:val="22"/>
        </w:rPr>
        <w:t> </w:t>
      </w:r>
      <w:r>
        <w:rPr>
          <w:sz w:val="22"/>
        </w:rPr>
        <w:t>approach</w:t>
      </w:r>
      <w:r>
        <w:rPr>
          <w:spacing w:val="36"/>
          <w:sz w:val="22"/>
        </w:rPr>
        <w:t> </w:t>
      </w:r>
      <w:r>
        <w:rPr>
          <w:sz w:val="22"/>
        </w:rPr>
        <w:t>this</w:t>
      </w:r>
    </w:p>
    <w:p>
      <w:pPr>
        <w:spacing w:after="0"/>
        <w:jc w:val="both"/>
        <w:rPr>
          <w:sz w:val="22"/>
        </w:rPr>
        <w:sectPr>
          <w:footerReference w:type="default" r:id="rId193"/>
          <w:pgSz w:w="11910" w:h="16840"/>
          <w:pgMar w:footer="1044" w:header="0" w:top="900" w:bottom="1240" w:left="0" w:right="0"/>
        </w:sectPr>
      </w:pPr>
    </w:p>
    <w:p>
      <w:pPr>
        <w:spacing w:before="75"/>
        <w:ind w:left="1275" w:right="1245" w:firstLine="0"/>
        <w:jc w:val="both"/>
        <w:rPr>
          <w:sz w:val="22"/>
        </w:rPr>
      </w:pPr>
      <w:r>
        <w:rPr>
          <w:sz w:val="22"/>
        </w:rPr>
        <w:t>Self-Assessment, going forward.</w:t>
      </w:r>
      <w:r>
        <w:rPr>
          <w:spacing w:val="40"/>
          <w:sz w:val="22"/>
        </w:rPr>
        <w:t> </w:t>
      </w:r>
      <w:r>
        <w:rPr>
          <w:sz w:val="22"/>
        </w:rPr>
        <w:t>It is hoped that the Duty will lend itself better to NWSSP and the Services that we provide to NHS Wales.</w:t>
      </w:r>
    </w:p>
    <w:p>
      <w:pPr>
        <w:pStyle w:val="BodyText"/>
        <w:rPr>
          <w:sz w:val="22"/>
        </w:rPr>
      </w:pPr>
    </w:p>
    <w:p>
      <w:pPr>
        <w:spacing w:before="0"/>
        <w:ind w:left="1275" w:right="1243" w:firstLine="0"/>
        <w:jc w:val="both"/>
        <w:rPr>
          <w:sz w:val="22"/>
        </w:rPr>
      </w:pPr>
      <w:r>
        <w:rPr>
          <w:sz w:val="22"/>
        </w:rPr>
        <w:t>The approach supports the five ways of working (Sustainable Development</w:t>
      </w:r>
      <w:r>
        <w:rPr>
          <w:spacing w:val="40"/>
          <w:sz w:val="22"/>
        </w:rPr>
        <w:t> </w:t>
      </w:r>
      <w:r>
        <w:rPr>
          <w:sz w:val="22"/>
        </w:rPr>
        <w:t>Principle) in the Well-being of Future Generations (Wales) act 2015, to achieve a Healthier Wales.</w:t>
      </w:r>
      <w:r>
        <w:rPr>
          <w:spacing w:val="40"/>
          <w:sz w:val="22"/>
        </w:rPr>
        <w:t> </w:t>
      </w:r>
      <w:r>
        <w:rPr>
          <w:sz w:val="22"/>
        </w:rPr>
        <w:t>The Duty will see active consideration of whether decisions will improve service quality and secure improvement in outcomes and applies to all health services functions (not just clinical), requiring health services to demonstrate that quality is at the heart of all we do.</w:t>
      </w:r>
      <w:r>
        <w:rPr>
          <w:spacing w:val="40"/>
          <w:sz w:val="22"/>
        </w:rPr>
        <w:t> </w:t>
      </w:r>
      <w:r>
        <w:rPr>
          <w:sz w:val="22"/>
        </w:rPr>
        <w:t>There will be a system-wide approach to achieving quality of care in a way that secures continuous improvement and in addressing this, we will consider the domains of quality and how these apply to </w:t>
      </w:r>
      <w:r>
        <w:rPr>
          <w:spacing w:val="-2"/>
          <w:sz w:val="22"/>
        </w:rPr>
        <w:t>NWSSP:</w:t>
      </w:r>
    </w:p>
    <w:p>
      <w:pPr>
        <w:pStyle w:val="BodyText"/>
        <w:rPr>
          <w:sz w:val="22"/>
        </w:rPr>
      </w:pPr>
    </w:p>
    <w:p>
      <w:pPr>
        <w:pStyle w:val="ListParagraph"/>
        <w:numPr>
          <w:ilvl w:val="0"/>
          <w:numId w:val="38"/>
        </w:numPr>
        <w:tabs>
          <w:tab w:pos="1996" w:val="left" w:leader="none"/>
        </w:tabs>
        <w:spacing w:line="240" w:lineRule="auto" w:before="0" w:after="0"/>
        <w:ind w:left="1995" w:right="0" w:hanging="361"/>
        <w:jc w:val="both"/>
        <w:rPr>
          <w:sz w:val="22"/>
        </w:rPr>
      </w:pPr>
      <w:r>
        <w:rPr>
          <w:b/>
          <w:i/>
          <w:sz w:val="22"/>
        </w:rPr>
        <w:t>Safe</w:t>
      </w:r>
      <w:r>
        <w:rPr>
          <w:sz w:val="22"/>
        </w:rPr>
        <w:t>:</w:t>
      </w:r>
      <w:r>
        <w:rPr>
          <w:spacing w:val="-4"/>
          <w:sz w:val="22"/>
        </w:rPr>
        <w:t> </w:t>
      </w:r>
      <w:r>
        <w:rPr>
          <w:sz w:val="22"/>
        </w:rPr>
        <w:t>Avoiding</w:t>
      </w:r>
      <w:r>
        <w:rPr>
          <w:spacing w:val="-2"/>
          <w:sz w:val="22"/>
        </w:rPr>
        <w:t> </w:t>
      </w:r>
      <w:r>
        <w:rPr>
          <w:sz w:val="22"/>
        </w:rPr>
        <w:t>harm</w:t>
      </w:r>
      <w:r>
        <w:rPr>
          <w:spacing w:val="-1"/>
          <w:sz w:val="22"/>
        </w:rPr>
        <w:t> </w:t>
      </w:r>
      <w:r>
        <w:rPr>
          <w:sz w:val="22"/>
        </w:rPr>
        <w:t>to</w:t>
      </w:r>
      <w:r>
        <w:rPr>
          <w:spacing w:val="-2"/>
          <w:sz w:val="22"/>
        </w:rPr>
        <w:t> </w:t>
      </w:r>
      <w:r>
        <w:rPr>
          <w:sz w:val="22"/>
        </w:rPr>
        <w:t>patients</w:t>
      </w:r>
      <w:r>
        <w:rPr>
          <w:spacing w:val="-3"/>
          <w:sz w:val="22"/>
        </w:rPr>
        <w:t> </w:t>
      </w:r>
      <w:r>
        <w:rPr>
          <w:sz w:val="22"/>
        </w:rPr>
        <w:t>from</w:t>
      </w:r>
      <w:r>
        <w:rPr>
          <w:spacing w:val="-2"/>
          <w:sz w:val="22"/>
        </w:rPr>
        <w:t> </w:t>
      </w:r>
      <w:r>
        <w:rPr>
          <w:sz w:val="22"/>
        </w:rPr>
        <w:t>the</w:t>
      </w:r>
      <w:r>
        <w:rPr>
          <w:spacing w:val="-2"/>
          <w:sz w:val="22"/>
        </w:rPr>
        <w:t> </w:t>
      </w:r>
      <w:r>
        <w:rPr>
          <w:sz w:val="22"/>
        </w:rPr>
        <w:t>care</w:t>
      </w:r>
      <w:r>
        <w:rPr>
          <w:spacing w:val="-2"/>
          <w:sz w:val="22"/>
        </w:rPr>
        <w:t> </w:t>
      </w:r>
      <w:r>
        <w:rPr>
          <w:sz w:val="22"/>
        </w:rPr>
        <w:t>that</w:t>
      </w:r>
      <w:r>
        <w:rPr>
          <w:spacing w:val="-3"/>
          <w:sz w:val="22"/>
        </w:rPr>
        <w:t> </w:t>
      </w:r>
      <w:r>
        <w:rPr>
          <w:sz w:val="22"/>
        </w:rPr>
        <w:t>is</w:t>
      </w:r>
      <w:r>
        <w:rPr>
          <w:spacing w:val="-2"/>
          <w:sz w:val="22"/>
        </w:rPr>
        <w:t> </w:t>
      </w:r>
      <w:r>
        <w:rPr>
          <w:sz w:val="22"/>
        </w:rPr>
        <w:t>intended</w:t>
      </w:r>
      <w:r>
        <w:rPr>
          <w:spacing w:val="-1"/>
          <w:sz w:val="22"/>
        </w:rPr>
        <w:t> </w:t>
      </w:r>
      <w:r>
        <w:rPr>
          <w:sz w:val="22"/>
        </w:rPr>
        <w:t>to</w:t>
      </w:r>
      <w:r>
        <w:rPr>
          <w:spacing w:val="-2"/>
          <w:sz w:val="22"/>
        </w:rPr>
        <w:t> </w:t>
      </w:r>
      <w:r>
        <w:rPr>
          <w:sz w:val="22"/>
        </w:rPr>
        <w:t>help</w:t>
      </w:r>
      <w:r>
        <w:rPr>
          <w:spacing w:val="-1"/>
          <w:sz w:val="22"/>
        </w:rPr>
        <w:t> </w:t>
      </w:r>
      <w:r>
        <w:rPr>
          <w:spacing w:val="-2"/>
          <w:sz w:val="22"/>
        </w:rPr>
        <w:t>them;</w:t>
      </w:r>
    </w:p>
    <w:p>
      <w:pPr>
        <w:pStyle w:val="ListParagraph"/>
        <w:numPr>
          <w:ilvl w:val="0"/>
          <w:numId w:val="38"/>
        </w:numPr>
        <w:tabs>
          <w:tab w:pos="1996" w:val="left" w:leader="none"/>
        </w:tabs>
        <w:spacing w:line="240" w:lineRule="auto" w:before="0" w:after="0"/>
        <w:ind w:left="1995" w:right="1244" w:hanging="360"/>
        <w:jc w:val="both"/>
        <w:rPr>
          <w:sz w:val="22"/>
        </w:rPr>
      </w:pPr>
      <w:r>
        <w:rPr>
          <w:b/>
          <w:i/>
          <w:sz w:val="22"/>
        </w:rPr>
        <w:t>Effective</w:t>
      </w:r>
      <w:r>
        <w:rPr>
          <w:sz w:val="22"/>
        </w:rPr>
        <w:t>: Providing services based on scientific knowledge to all who could benefit and refraining from providing services to those not likely to benefit (avoiding underuse and misuse, respectively);</w:t>
      </w:r>
    </w:p>
    <w:p>
      <w:pPr>
        <w:pStyle w:val="ListParagraph"/>
        <w:numPr>
          <w:ilvl w:val="0"/>
          <w:numId w:val="38"/>
        </w:numPr>
        <w:tabs>
          <w:tab w:pos="1996" w:val="left" w:leader="none"/>
        </w:tabs>
        <w:spacing w:line="240" w:lineRule="auto" w:before="0" w:after="0"/>
        <w:ind w:left="1995" w:right="1244" w:hanging="360"/>
        <w:jc w:val="both"/>
        <w:rPr>
          <w:sz w:val="22"/>
        </w:rPr>
      </w:pPr>
      <w:r>
        <w:rPr>
          <w:b/>
          <w:i/>
          <w:sz w:val="22"/>
        </w:rPr>
        <w:t>Patient</w:t>
      </w:r>
      <w:r>
        <w:rPr>
          <w:b/>
          <w:sz w:val="22"/>
        </w:rPr>
        <w:t>-</w:t>
      </w:r>
      <w:r>
        <w:rPr>
          <w:b/>
          <w:i/>
          <w:sz w:val="22"/>
        </w:rPr>
        <w:t>centred</w:t>
      </w:r>
      <w:r>
        <w:rPr>
          <w:sz w:val="22"/>
        </w:rPr>
        <w:t>: Providing care that is respectful of and responsive to individual patient preferences, needs, and values and ensuring that patient values guide all clinical decisions;</w:t>
      </w:r>
    </w:p>
    <w:p>
      <w:pPr>
        <w:pStyle w:val="ListParagraph"/>
        <w:numPr>
          <w:ilvl w:val="0"/>
          <w:numId w:val="38"/>
        </w:numPr>
        <w:tabs>
          <w:tab w:pos="1996" w:val="left" w:leader="none"/>
        </w:tabs>
        <w:spacing w:line="240" w:lineRule="auto" w:before="0" w:after="0"/>
        <w:ind w:left="1995" w:right="1245" w:hanging="360"/>
        <w:jc w:val="both"/>
        <w:rPr>
          <w:sz w:val="22"/>
        </w:rPr>
      </w:pPr>
      <w:r>
        <w:rPr>
          <w:b/>
          <w:i/>
          <w:sz w:val="22"/>
        </w:rPr>
        <w:t>Timely</w:t>
      </w:r>
      <w:r>
        <w:rPr>
          <w:sz w:val="22"/>
        </w:rPr>
        <w:t>: Reducing waits and sometimes harmful delays for both those who receive and those who give care;</w:t>
      </w:r>
    </w:p>
    <w:p>
      <w:pPr>
        <w:pStyle w:val="ListParagraph"/>
        <w:numPr>
          <w:ilvl w:val="0"/>
          <w:numId w:val="38"/>
        </w:numPr>
        <w:tabs>
          <w:tab w:pos="1996" w:val="left" w:leader="none"/>
        </w:tabs>
        <w:spacing w:line="240" w:lineRule="auto" w:before="0" w:after="0"/>
        <w:ind w:left="1995" w:right="1246" w:hanging="360"/>
        <w:jc w:val="both"/>
        <w:rPr>
          <w:sz w:val="22"/>
        </w:rPr>
      </w:pPr>
      <w:r>
        <w:rPr>
          <w:b/>
          <w:i/>
          <w:sz w:val="22"/>
        </w:rPr>
        <w:t>Efficient</w:t>
      </w:r>
      <w:r>
        <w:rPr>
          <w:sz w:val="22"/>
        </w:rPr>
        <w:t>: Avoiding waste,</w:t>
      </w:r>
      <w:r>
        <w:rPr>
          <w:spacing w:val="-1"/>
          <w:sz w:val="22"/>
        </w:rPr>
        <w:t> </w:t>
      </w:r>
      <w:r>
        <w:rPr>
          <w:sz w:val="22"/>
        </w:rPr>
        <w:t>including waste of equipment, supplies, ideas,</w:t>
      </w:r>
      <w:r>
        <w:rPr>
          <w:spacing w:val="-1"/>
          <w:sz w:val="22"/>
        </w:rPr>
        <w:t> </w:t>
      </w:r>
      <w:r>
        <w:rPr>
          <w:sz w:val="22"/>
        </w:rPr>
        <w:t>and energy; and</w:t>
      </w:r>
    </w:p>
    <w:p>
      <w:pPr>
        <w:pStyle w:val="ListParagraph"/>
        <w:numPr>
          <w:ilvl w:val="0"/>
          <w:numId w:val="38"/>
        </w:numPr>
        <w:tabs>
          <w:tab w:pos="1996" w:val="left" w:leader="none"/>
        </w:tabs>
        <w:spacing w:line="240" w:lineRule="auto" w:before="0" w:after="0"/>
        <w:ind w:left="1995" w:right="1244" w:hanging="360"/>
        <w:jc w:val="both"/>
        <w:rPr>
          <w:sz w:val="22"/>
        </w:rPr>
      </w:pPr>
      <w:r>
        <w:rPr>
          <w:b/>
          <w:i/>
          <w:sz w:val="22"/>
        </w:rPr>
        <w:t>Equitable</w:t>
      </w:r>
      <w:r>
        <w:rPr>
          <w:sz w:val="22"/>
        </w:rPr>
        <w:t>: Providing care that does not vary in quality because of personal characteristics such as gender, ethnicity, geographic location, and socioeconomic status.</w:t>
      </w:r>
    </w:p>
    <w:p>
      <w:pPr>
        <w:pStyle w:val="BodyText"/>
        <w:rPr>
          <w:sz w:val="22"/>
        </w:rPr>
      </w:pPr>
    </w:p>
    <w:p>
      <w:pPr>
        <w:spacing w:before="0"/>
        <w:ind w:left="1275" w:right="1244" w:firstLine="0"/>
        <w:jc w:val="both"/>
        <w:rPr>
          <w:sz w:val="22"/>
        </w:rPr>
      </w:pPr>
      <w:r>
        <w:rPr>
          <w:sz w:val="22"/>
        </w:rPr>
        <w:t>In recognising the role that NWSSP plays in terms of the Services that we deliver within NHS Wales and our contributions through these Services (both directly and indirectly) towards the well-being of the wider population of Wales, we have chosen to include links to case studies within this year’s Self-Assessment, to help to tell the story of the organisation’s impact.</w:t>
      </w:r>
    </w:p>
    <w:p>
      <w:pPr>
        <w:pStyle w:val="BodyText"/>
        <w:rPr>
          <w:sz w:val="22"/>
        </w:rPr>
      </w:pPr>
    </w:p>
    <w:p>
      <w:pPr>
        <w:pStyle w:val="ListParagraph"/>
        <w:numPr>
          <w:ilvl w:val="0"/>
          <w:numId w:val="37"/>
        </w:numPr>
        <w:tabs>
          <w:tab w:pos="1636" w:val="left" w:leader="none"/>
        </w:tabs>
        <w:spacing w:line="240" w:lineRule="auto" w:before="0" w:after="0"/>
        <w:ind w:left="1636" w:right="0" w:hanging="361"/>
        <w:jc w:val="left"/>
        <w:rPr>
          <w:b/>
          <w:sz w:val="22"/>
        </w:rPr>
      </w:pPr>
      <w:r>
        <w:rPr>
          <w:b/>
          <w:spacing w:val="-2"/>
          <w:sz w:val="22"/>
        </w:rPr>
        <w:t>RECOMMENDATION</w:t>
      </w:r>
    </w:p>
    <w:p>
      <w:pPr>
        <w:spacing w:before="0"/>
        <w:ind w:left="1275" w:right="1245" w:firstLine="0"/>
        <w:jc w:val="both"/>
        <w:rPr>
          <w:sz w:val="22"/>
        </w:rPr>
      </w:pPr>
      <w:r>
        <w:rPr>
          <w:sz w:val="22"/>
        </w:rPr>
        <w:t>The Committee is asked to </w:t>
      </w:r>
      <w:r>
        <w:rPr>
          <w:b/>
          <w:sz w:val="22"/>
        </w:rPr>
        <w:t>ENDORSE </w:t>
      </w:r>
      <w:r>
        <w:rPr>
          <w:sz w:val="22"/>
        </w:rPr>
        <w:t>the NWSSP Health and Care Standards Self- </w:t>
      </w:r>
      <w:r>
        <w:rPr>
          <w:spacing w:val="-2"/>
          <w:sz w:val="22"/>
        </w:rPr>
        <w:t>Assessment.</w:t>
      </w:r>
    </w:p>
    <w:p>
      <w:pPr>
        <w:spacing w:after="0"/>
        <w:jc w:val="both"/>
        <w:rPr>
          <w:sz w:val="22"/>
        </w:rPr>
        <w:sectPr>
          <w:footerReference w:type="default" r:id="rId194"/>
          <w:pgSz w:w="11910" w:h="16840"/>
          <w:pgMar w:footer="1044" w:header="0" w:top="900" w:bottom="1240" w:left="0" w:right="0"/>
        </w:sectPr>
      </w:pPr>
    </w:p>
    <w:tbl>
      <w:tblPr>
        <w:tblW w:w="0" w:type="auto"/>
        <w:jc w:val="left"/>
        <w:tblInd w:w="7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52"/>
        <w:gridCol w:w="6975"/>
      </w:tblGrid>
      <w:tr>
        <w:trPr>
          <w:trHeight w:val="583" w:hRule="atLeast"/>
        </w:trPr>
        <w:tc>
          <w:tcPr>
            <w:tcW w:w="3652" w:type="dxa"/>
          </w:tcPr>
          <w:p>
            <w:pPr>
              <w:pStyle w:val="TableParagraph"/>
              <w:ind w:left="108"/>
              <w:rPr>
                <w:b/>
                <w:sz w:val="24"/>
              </w:rPr>
            </w:pPr>
            <w:bookmarkStart w:name=" 6.4 Final Governance Matters January 20" w:id="69"/>
            <w:bookmarkEnd w:id="69"/>
            <w:r>
              <w:rPr/>
            </w:r>
            <w:r>
              <w:rPr>
                <w:b/>
                <w:spacing w:val="-2"/>
                <w:sz w:val="24"/>
              </w:rPr>
              <w:t>MEETING</w:t>
            </w:r>
          </w:p>
        </w:tc>
        <w:tc>
          <w:tcPr>
            <w:tcW w:w="6975" w:type="dxa"/>
          </w:tcPr>
          <w:p>
            <w:pPr>
              <w:pStyle w:val="TableParagraph"/>
              <w:spacing w:line="290" w:lineRule="atLeast"/>
              <w:ind w:left="1382" w:hanging="1263"/>
              <w:rPr>
                <w:sz w:val="24"/>
              </w:rPr>
            </w:pPr>
            <w:r>
              <w:rPr>
                <w:sz w:val="24"/>
              </w:rPr>
              <w:t>Velindre</w:t>
            </w:r>
            <w:r>
              <w:rPr>
                <w:spacing w:val="-6"/>
                <w:sz w:val="24"/>
              </w:rPr>
              <w:t> </w:t>
            </w:r>
            <w:r>
              <w:rPr>
                <w:sz w:val="24"/>
              </w:rPr>
              <w:t>University</w:t>
            </w:r>
            <w:r>
              <w:rPr>
                <w:spacing w:val="-6"/>
                <w:sz w:val="24"/>
              </w:rPr>
              <w:t> </w:t>
            </w:r>
            <w:r>
              <w:rPr>
                <w:sz w:val="24"/>
              </w:rPr>
              <w:t>NHS</w:t>
            </w:r>
            <w:r>
              <w:rPr>
                <w:spacing w:val="-6"/>
                <w:sz w:val="24"/>
              </w:rPr>
              <w:t> </w:t>
            </w:r>
            <w:r>
              <w:rPr>
                <w:sz w:val="24"/>
              </w:rPr>
              <w:t>Trust</w:t>
            </w:r>
            <w:r>
              <w:rPr>
                <w:spacing w:val="-6"/>
                <w:sz w:val="24"/>
              </w:rPr>
              <w:t> </w:t>
            </w:r>
            <w:r>
              <w:rPr>
                <w:sz w:val="24"/>
              </w:rPr>
              <w:t>Audit</w:t>
            </w:r>
            <w:r>
              <w:rPr>
                <w:spacing w:val="-5"/>
                <w:sz w:val="24"/>
              </w:rPr>
              <w:t> </w:t>
            </w:r>
            <w:r>
              <w:rPr>
                <w:sz w:val="24"/>
              </w:rPr>
              <w:t>Committee</w:t>
            </w:r>
            <w:r>
              <w:rPr>
                <w:spacing w:val="-6"/>
                <w:sz w:val="24"/>
              </w:rPr>
              <w:t> </w:t>
            </w:r>
            <w:r>
              <w:rPr>
                <w:sz w:val="24"/>
              </w:rPr>
              <w:t>for</w:t>
            </w:r>
            <w:r>
              <w:rPr>
                <w:spacing w:val="-5"/>
                <w:sz w:val="24"/>
              </w:rPr>
              <w:t> </w:t>
            </w:r>
            <w:r>
              <w:rPr>
                <w:sz w:val="24"/>
              </w:rPr>
              <w:t>NHS Wales Shared Services Partnership</w:t>
            </w:r>
          </w:p>
        </w:tc>
      </w:tr>
      <w:tr>
        <w:trPr>
          <w:trHeight w:val="538" w:hRule="atLeast"/>
        </w:trPr>
        <w:tc>
          <w:tcPr>
            <w:tcW w:w="3652" w:type="dxa"/>
          </w:tcPr>
          <w:p>
            <w:pPr>
              <w:pStyle w:val="TableParagraph"/>
              <w:ind w:left="108"/>
              <w:rPr>
                <w:b/>
                <w:sz w:val="24"/>
              </w:rPr>
            </w:pPr>
            <w:r>
              <w:rPr>
                <w:b/>
                <w:spacing w:val="-4"/>
                <w:sz w:val="24"/>
              </w:rPr>
              <w:t>DATE</w:t>
            </w:r>
          </w:p>
        </w:tc>
        <w:tc>
          <w:tcPr>
            <w:tcW w:w="6975" w:type="dxa"/>
          </w:tcPr>
          <w:p>
            <w:pPr>
              <w:pStyle w:val="TableParagraph"/>
              <w:ind w:left="950" w:right="940"/>
              <w:jc w:val="center"/>
              <w:rPr>
                <w:sz w:val="24"/>
              </w:rPr>
            </w:pPr>
            <w:r>
              <w:rPr>
                <w:sz w:val="24"/>
              </w:rPr>
              <w:t>24</w:t>
            </w:r>
            <w:r>
              <w:rPr>
                <w:spacing w:val="-4"/>
                <w:sz w:val="24"/>
              </w:rPr>
              <w:t> </w:t>
            </w:r>
            <w:r>
              <w:rPr>
                <w:sz w:val="24"/>
              </w:rPr>
              <w:t>January</w:t>
            </w:r>
            <w:r>
              <w:rPr>
                <w:spacing w:val="-1"/>
                <w:sz w:val="24"/>
              </w:rPr>
              <w:t> </w:t>
            </w:r>
            <w:r>
              <w:rPr>
                <w:spacing w:val="-4"/>
                <w:sz w:val="24"/>
              </w:rPr>
              <w:t>2023</w:t>
            </w:r>
          </w:p>
        </w:tc>
      </w:tr>
      <w:tr>
        <w:trPr>
          <w:trHeight w:val="296" w:hRule="atLeast"/>
        </w:trPr>
        <w:tc>
          <w:tcPr>
            <w:tcW w:w="3652" w:type="dxa"/>
          </w:tcPr>
          <w:p>
            <w:pPr>
              <w:pStyle w:val="TableParagraph"/>
              <w:spacing w:line="276" w:lineRule="exact"/>
              <w:ind w:left="108"/>
              <w:rPr>
                <w:b/>
                <w:sz w:val="24"/>
              </w:rPr>
            </w:pPr>
            <w:r>
              <w:rPr>
                <w:b/>
                <w:sz w:val="24"/>
              </w:rPr>
              <w:t>PREPARED</w:t>
            </w:r>
            <w:r>
              <w:rPr>
                <w:b/>
                <w:spacing w:val="-3"/>
                <w:sz w:val="24"/>
              </w:rPr>
              <w:t> </w:t>
            </w:r>
            <w:r>
              <w:rPr>
                <w:b/>
                <w:spacing w:val="-5"/>
                <w:sz w:val="24"/>
              </w:rPr>
              <w:t>BY</w:t>
            </w:r>
          </w:p>
        </w:tc>
        <w:tc>
          <w:tcPr>
            <w:tcW w:w="6975" w:type="dxa"/>
          </w:tcPr>
          <w:p>
            <w:pPr>
              <w:pStyle w:val="TableParagraph"/>
              <w:spacing w:line="276" w:lineRule="exact"/>
              <w:ind w:left="1091" w:right="940"/>
              <w:jc w:val="center"/>
              <w:rPr>
                <w:sz w:val="24"/>
              </w:rPr>
            </w:pPr>
            <w:r>
              <w:rPr>
                <w:sz w:val="24"/>
              </w:rPr>
              <w:t>Carly</w:t>
            </w:r>
            <w:r>
              <w:rPr>
                <w:spacing w:val="-7"/>
                <w:sz w:val="24"/>
              </w:rPr>
              <w:t> </w:t>
            </w:r>
            <w:r>
              <w:rPr>
                <w:sz w:val="24"/>
              </w:rPr>
              <w:t>Wilce,</w:t>
            </w:r>
            <w:r>
              <w:rPr>
                <w:spacing w:val="-5"/>
                <w:sz w:val="24"/>
              </w:rPr>
              <w:t> </w:t>
            </w:r>
            <w:r>
              <w:rPr>
                <w:sz w:val="24"/>
              </w:rPr>
              <w:t>Corporate</w:t>
            </w:r>
            <w:r>
              <w:rPr>
                <w:spacing w:val="-4"/>
                <w:sz w:val="24"/>
              </w:rPr>
              <w:t> </w:t>
            </w:r>
            <w:r>
              <w:rPr>
                <w:sz w:val="24"/>
              </w:rPr>
              <w:t>Services</w:t>
            </w:r>
            <w:r>
              <w:rPr>
                <w:spacing w:val="-4"/>
                <w:sz w:val="24"/>
              </w:rPr>
              <w:t> </w:t>
            </w:r>
            <w:r>
              <w:rPr>
                <w:spacing w:val="-2"/>
                <w:sz w:val="24"/>
              </w:rPr>
              <w:t>Manager</w:t>
            </w:r>
          </w:p>
        </w:tc>
      </w:tr>
      <w:tr>
        <w:trPr>
          <w:trHeight w:val="583" w:hRule="atLeast"/>
        </w:trPr>
        <w:tc>
          <w:tcPr>
            <w:tcW w:w="3652" w:type="dxa"/>
          </w:tcPr>
          <w:p>
            <w:pPr>
              <w:pStyle w:val="TableParagraph"/>
              <w:ind w:left="108"/>
              <w:rPr>
                <w:b/>
                <w:sz w:val="24"/>
              </w:rPr>
            </w:pPr>
            <w:r>
              <w:rPr>
                <w:b/>
                <w:sz w:val="24"/>
              </w:rPr>
              <w:t>PRESENTED</w:t>
            </w:r>
            <w:r>
              <w:rPr>
                <w:b/>
                <w:spacing w:val="-2"/>
                <w:sz w:val="24"/>
              </w:rPr>
              <w:t> </w:t>
            </w:r>
            <w:r>
              <w:rPr>
                <w:b/>
                <w:spacing w:val="-5"/>
                <w:sz w:val="24"/>
              </w:rPr>
              <w:t>BY</w:t>
            </w:r>
          </w:p>
        </w:tc>
        <w:tc>
          <w:tcPr>
            <w:tcW w:w="6975" w:type="dxa"/>
          </w:tcPr>
          <w:p>
            <w:pPr>
              <w:pStyle w:val="TableParagraph"/>
              <w:spacing w:line="290" w:lineRule="atLeast"/>
              <w:ind w:left="2982" w:hanging="2334"/>
              <w:rPr>
                <w:sz w:val="24"/>
              </w:rPr>
            </w:pPr>
            <w:r>
              <w:rPr>
                <w:sz w:val="24"/>
              </w:rPr>
              <w:t>Andy</w:t>
            </w:r>
            <w:r>
              <w:rPr>
                <w:spacing w:val="-6"/>
                <w:sz w:val="24"/>
              </w:rPr>
              <w:t> </w:t>
            </w:r>
            <w:r>
              <w:rPr>
                <w:sz w:val="24"/>
              </w:rPr>
              <w:t>Butler,</w:t>
            </w:r>
            <w:r>
              <w:rPr>
                <w:spacing w:val="-6"/>
                <w:sz w:val="24"/>
              </w:rPr>
              <w:t> </w:t>
            </w:r>
            <w:r>
              <w:rPr>
                <w:sz w:val="24"/>
              </w:rPr>
              <w:t>Director</w:t>
            </w:r>
            <w:r>
              <w:rPr>
                <w:spacing w:val="-7"/>
                <w:sz w:val="24"/>
              </w:rPr>
              <w:t> </w:t>
            </w:r>
            <w:r>
              <w:rPr>
                <w:sz w:val="24"/>
              </w:rPr>
              <w:t>of</w:t>
            </w:r>
            <w:r>
              <w:rPr>
                <w:spacing w:val="-7"/>
                <w:sz w:val="24"/>
              </w:rPr>
              <w:t> </w:t>
            </w:r>
            <w:r>
              <w:rPr>
                <w:sz w:val="24"/>
              </w:rPr>
              <w:t>Finance</w:t>
            </w:r>
            <w:r>
              <w:rPr>
                <w:spacing w:val="-7"/>
                <w:sz w:val="24"/>
              </w:rPr>
              <w:t> </w:t>
            </w:r>
            <w:r>
              <w:rPr>
                <w:sz w:val="24"/>
              </w:rPr>
              <w:t>and</w:t>
            </w:r>
            <w:r>
              <w:rPr>
                <w:spacing w:val="-6"/>
                <w:sz w:val="24"/>
              </w:rPr>
              <w:t> </w:t>
            </w:r>
            <w:r>
              <w:rPr>
                <w:sz w:val="24"/>
              </w:rPr>
              <w:t>Corporate </w:t>
            </w:r>
            <w:r>
              <w:rPr>
                <w:spacing w:val="-2"/>
                <w:sz w:val="24"/>
              </w:rPr>
              <w:t>Services</w:t>
            </w:r>
          </w:p>
        </w:tc>
      </w:tr>
      <w:tr>
        <w:trPr>
          <w:trHeight w:val="583" w:hRule="atLeast"/>
        </w:trPr>
        <w:tc>
          <w:tcPr>
            <w:tcW w:w="3652" w:type="dxa"/>
          </w:tcPr>
          <w:p>
            <w:pPr>
              <w:pStyle w:val="TableParagraph"/>
              <w:spacing w:line="290" w:lineRule="atLeast"/>
              <w:ind w:left="108" w:right="919"/>
              <w:rPr>
                <w:b/>
                <w:sz w:val="24"/>
              </w:rPr>
            </w:pPr>
            <w:r>
              <w:rPr>
                <w:b/>
                <w:spacing w:val="-2"/>
                <w:sz w:val="24"/>
              </w:rPr>
              <w:t>RESPONSIBLE </w:t>
            </w:r>
            <w:r>
              <w:rPr>
                <w:b/>
                <w:sz w:val="24"/>
              </w:rPr>
              <w:t>HEAD</w:t>
            </w:r>
            <w:r>
              <w:rPr>
                <w:b/>
                <w:spacing w:val="-20"/>
                <w:sz w:val="24"/>
              </w:rPr>
              <w:t> </w:t>
            </w:r>
            <w:r>
              <w:rPr>
                <w:b/>
                <w:sz w:val="24"/>
              </w:rPr>
              <w:t>OF</w:t>
            </w:r>
            <w:r>
              <w:rPr>
                <w:b/>
                <w:spacing w:val="-19"/>
                <w:sz w:val="24"/>
              </w:rPr>
              <w:t> </w:t>
            </w:r>
            <w:r>
              <w:rPr>
                <w:b/>
                <w:sz w:val="24"/>
              </w:rPr>
              <w:t>SERVICE</w:t>
            </w:r>
          </w:p>
        </w:tc>
        <w:tc>
          <w:tcPr>
            <w:tcW w:w="6975" w:type="dxa"/>
          </w:tcPr>
          <w:p>
            <w:pPr>
              <w:pStyle w:val="TableParagraph"/>
              <w:spacing w:line="290" w:lineRule="atLeast"/>
              <w:ind w:left="2982" w:hanging="2334"/>
              <w:rPr>
                <w:sz w:val="24"/>
              </w:rPr>
            </w:pPr>
            <w:r>
              <w:rPr>
                <w:sz w:val="24"/>
              </w:rPr>
              <w:t>Andy</w:t>
            </w:r>
            <w:r>
              <w:rPr>
                <w:spacing w:val="-6"/>
                <w:sz w:val="24"/>
              </w:rPr>
              <w:t> </w:t>
            </w:r>
            <w:r>
              <w:rPr>
                <w:sz w:val="24"/>
              </w:rPr>
              <w:t>Butler,</w:t>
            </w:r>
            <w:r>
              <w:rPr>
                <w:spacing w:val="-6"/>
                <w:sz w:val="24"/>
              </w:rPr>
              <w:t> </w:t>
            </w:r>
            <w:r>
              <w:rPr>
                <w:sz w:val="24"/>
              </w:rPr>
              <w:t>Director</w:t>
            </w:r>
            <w:r>
              <w:rPr>
                <w:spacing w:val="-7"/>
                <w:sz w:val="24"/>
              </w:rPr>
              <w:t> </w:t>
            </w:r>
            <w:r>
              <w:rPr>
                <w:sz w:val="24"/>
              </w:rPr>
              <w:t>of</w:t>
            </w:r>
            <w:r>
              <w:rPr>
                <w:spacing w:val="-7"/>
                <w:sz w:val="24"/>
              </w:rPr>
              <w:t> </w:t>
            </w:r>
            <w:r>
              <w:rPr>
                <w:sz w:val="24"/>
              </w:rPr>
              <w:t>Finance</w:t>
            </w:r>
            <w:r>
              <w:rPr>
                <w:spacing w:val="-7"/>
                <w:sz w:val="24"/>
              </w:rPr>
              <w:t> </w:t>
            </w:r>
            <w:r>
              <w:rPr>
                <w:sz w:val="24"/>
              </w:rPr>
              <w:t>and</w:t>
            </w:r>
            <w:r>
              <w:rPr>
                <w:spacing w:val="-6"/>
                <w:sz w:val="24"/>
              </w:rPr>
              <w:t> </w:t>
            </w:r>
            <w:r>
              <w:rPr>
                <w:sz w:val="24"/>
              </w:rPr>
              <w:t>Corporate </w:t>
            </w:r>
            <w:r>
              <w:rPr>
                <w:spacing w:val="-2"/>
                <w:sz w:val="24"/>
              </w:rPr>
              <w:t>Services</w:t>
            </w:r>
          </w:p>
        </w:tc>
      </w:tr>
      <w:tr>
        <w:trPr>
          <w:trHeight w:val="627" w:hRule="atLeast"/>
        </w:trPr>
        <w:tc>
          <w:tcPr>
            <w:tcW w:w="3652" w:type="dxa"/>
          </w:tcPr>
          <w:p>
            <w:pPr>
              <w:pStyle w:val="TableParagraph"/>
              <w:ind w:left="108"/>
              <w:rPr>
                <w:b/>
                <w:sz w:val="24"/>
              </w:rPr>
            </w:pPr>
            <w:r>
              <w:rPr>
                <w:b/>
                <w:sz w:val="24"/>
              </w:rPr>
              <w:t>TITLE</w:t>
            </w:r>
            <w:r>
              <w:rPr>
                <w:b/>
                <w:spacing w:val="-2"/>
                <w:sz w:val="24"/>
              </w:rPr>
              <w:t> </w:t>
            </w:r>
            <w:r>
              <w:rPr>
                <w:b/>
                <w:sz w:val="24"/>
              </w:rPr>
              <w:t>OF</w:t>
            </w:r>
            <w:r>
              <w:rPr>
                <w:b/>
                <w:spacing w:val="-1"/>
                <w:sz w:val="24"/>
              </w:rPr>
              <w:t> </w:t>
            </w:r>
            <w:r>
              <w:rPr>
                <w:b/>
                <w:spacing w:val="-2"/>
                <w:sz w:val="24"/>
              </w:rPr>
              <w:t>REPORT</w:t>
            </w:r>
          </w:p>
        </w:tc>
        <w:tc>
          <w:tcPr>
            <w:tcW w:w="6975" w:type="dxa"/>
          </w:tcPr>
          <w:p>
            <w:pPr>
              <w:pStyle w:val="TableParagraph"/>
              <w:ind w:left="949" w:right="940"/>
              <w:jc w:val="center"/>
              <w:rPr>
                <w:sz w:val="24"/>
              </w:rPr>
            </w:pPr>
            <w:r>
              <w:rPr>
                <w:sz w:val="24"/>
              </w:rPr>
              <w:t>Governance</w:t>
            </w:r>
            <w:r>
              <w:rPr>
                <w:spacing w:val="-6"/>
                <w:sz w:val="24"/>
              </w:rPr>
              <w:t> </w:t>
            </w:r>
            <w:r>
              <w:rPr>
                <w:spacing w:val="-2"/>
                <w:sz w:val="24"/>
              </w:rPr>
              <w:t>Matters</w:t>
            </w:r>
          </w:p>
        </w:tc>
      </w:tr>
      <w:tr>
        <w:trPr>
          <w:trHeight w:val="875" w:hRule="atLeast"/>
        </w:trPr>
        <w:tc>
          <w:tcPr>
            <w:tcW w:w="10627" w:type="dxa"/>
            <w:gridSpan w:val="2"/>
          </w:tcPr>
          <w:p>
            <w:pPr>
              <w:pStyle w:val="TableParagraph"/>
              <w:ind w:left="108"/>
              <w:rPr>
                <w:b/>
                <w:sz w:val="24"/>
              </w:rPr>
            </w:pPr>
            <w:r>
              <w:rPr>
                <w:b/>
                <w:spacing w:val="-2"/>
                <w:sz w:val="24"/>
              </w:rPr>
              <w:t>PURPOSE</w:t>
            </w:r>
          </w:p>
          <w:p>
            <w:pPr>
              <w:pStyle w:val="TableParagraph"/>
              <w:spacing w:line="290" w:lineRule="atLeast"/>
              <w:ind w:left="108"/>
              <w:rPr>
                <w:sz w:val="24"/>
              </w:rPr>
            </w:pPr>
            <w:r>
              <w:rPr>
                <w:sz w:val="24"/>
              </w:rPr>
              <w:t>The</w:t>
            </w:r>
            <w:r>
              <w:rPr>
                <w:spacing w:val="23"/>
                <w:sz w:val="24"/>
              </w:rPr>
              <w:t> </w:t>
            </w:r>
            <w:r>
              <w:rPr>
                <w:sz w:val="24"/>
              </w:rPr>
              <w:t>purpose</w:t>
            </w:r>
            <w:r>
              <w:rPr>
                <w:spacing w:val="23"/>
                <w:sz w:val="24"/>
              </w:rPr>
              <w:t> </w:t>
            </w:r>
            <w:r>
              <w:rPr>
                <w:sz w:val="24"/>
              </w:rPr>
              <w:t>of</w:t>
            </w:r>
            <w:r>
              <w:rPr>
                <w:spacing w:val="23"/>
                <w:sz w:val="24"/>
              </w:rPr>
              <w:t> </w:t>
            </w:r>
            <w:r>
              <w:rPr>
                <w:sz w:val="24"/>
              </w:rPr>
              <w:t>this</w:t>
            </w:r>
            <w:r>
              <w:rPr>
                <w:spacing w:val="23"/>
                <w:sz w:val="24"/>
              </w:rPr>
              <w:t> </w:t>
            </w:r>
            <w:r>
              <w:rPr>
                <w:sz w:val="24"/>
              </w:rPr>
              <w:t>paper</w:t>
            </w:r>
            <w:r>
              <w:rPr>
                <w:spacing w:val="23"/>
                <w:sz w:val="24"/>
              </w:rPr>
              <w:t> </w:t>
            </w:r>
            <w:r>
              <w:rPr>
                <w:sz w:val="24"/>
              </w:rPr>
              <w:t>is</w:t>
            </w:r>
            <w:r>
              <w:rPr>
                <w:spacing w:val="23"/>
                <w:sz w:val="24"/>
              </w:rPr>
              <w:t> </w:t>
            </w:r>
            <w:r>
              <w:rPr>
                <w:sz w:val="24"/>
              </w:rPr>
              <w:t>to</w:t>
            </w:r>
            <w:r>
              <w:rPr>
                <w:spacing w:val="23"/>
                <w:sz w:val="24"/>
              </w:rPr>
              <w:t> </w:t>
            </w:r>
            <w:r>
              <w:rPr>
                <w:sz w:val="24"/>
              </w:rPr>
              <w:t>provide</w:t>
            </w:r>
            <w:r>
              <w:rPr>
                <w:spacing w:val="23"/>
                <w:sz w:val="24"/>
              </w:rPr>
              <w:t> </w:t>
            </w:r>
            <w:r>
              <w:rPr>
                <w:sz w:val="24"/>
              </w:rPr>
              <w:t>the</w:t>
            </w:r>
            <w:r>
              <w:rPr>
                <w:spacing w:val="23"/>
                <w:sz w:val="24"/>
              </w:rPr>
              <w:t> </w:t>
            </w:r>
            <w:r>
              <w:rPr>
                <w:sz w:val="24"/>
              </w:rPr>
              <w:t>Audit</w:t>
            </w:r>
            <w:r>
              <w:rPr>
                <w:spacing w:val="23"/>
                <w:sz w:val="24"/>
              </w:rPr>
              <w:t> </w:t>
            </w:r>
            <w:r>
              <w:rPr>
                <w:sz w:val="24"/>
              </w:rPr>
              <w:t>Committee</w:t>
            </w:r>
            <w:r>
              <w:rPr>
                <w:spacing w:val="23"/>
                <w:sz w:val="24"/>
              </w:rPr>
              <w:t> </w:t>
            </w:r>
            <w:r>
              <w:rPr>
                <w:sz w:val="24"/>
              </w:rPr>
              <w:t>with</w:t>
            </w:r>
            <w:r>
              <w:rPr>
                <w:spacing w:val="23"/>
                <w:sz w:val="24"/>
              </w:rPr>
              <w:t> </w:t>
            </w:r>
            <w:r>
              <w:rPr>
                <w:sz w:val="24"/>
              </w:rPr>
              <w:t>a</w:t>
            </w:r>
            <w:r>
              <w:rPr>
                <w:spacing w:val="23"/>
                <w:sz w:val="24"/>
              </w:rPr>
              <w:t> </w:t>
            </w:r>
            <w:r>
              <w:rPr>
                <w:sz w:val="24"/>
              </w:rPr>
              <w:t>brief</w:t>
            </w:r>
            <w:r>
              <w:rPr>
                <w:spacing w:val="23"/>
                <w:sz w:val="24"/>
              </w:rPr>
              <w:t> </w:t>
            </w:r>
            <w:r>
              <w:rPr>
                <w:sz w:val="24"/>
              </w:rPr>
              <w:t>update</w:t>
            </w:r>
            <w:r>
              <w:rPr>
                <w:spacing w:val="23"/>
                <w:sz w:val="24"/>
              </w:rPr>
              <w:t> </w:t>
            </w:r>
            <w:r>
              <w:rPr>
                <w:sz w:val="24"/>
              </w:rPr>
              <w:t>on governance developments within NWSSP.</w:t>
            </w:r>
          </w:p>
        </w:tc>
      </w:tr>
    </w:tbl>
    <w:p>
      <w:pPr>
        <w:pStyle w:val="BodyText"/>
        <w:spacing w:before="9"/>
        <w:rPr>
          <w:sz w:val="15"/>
        </w:rPr>
      </w:pPr>
    </w:p>
    <w:p>
      <w:pPr>
        <w:pStyle w:val="ListParagraph"/>
        <w:numPr>
          <w:ilvl w:val="0"/>
          <w:numId w:val="39"/>
        </w:numPr>
        <w:tabs>
          <w:tab w:pos="1286" w:val="left" w:leader="none"/>
          <w:tab w:pos="1288" w:val="left" w:leader="none"/>
        </w:tabs>
        <w:spacing w:line="240" w:lineRule="auto" w:before="100" w:after="0"/>
        <w:ind w:left="1287" w:right="0" w:hanging="568"/>
        <w:jc w:val="left"/>
        <w:rPr>
          <w:b/>
          <w:sz w:val="22"/>
        </w:rPr>
      </w:pPr>
      <w:r>
        <w:rPr>
          <w:b/>
          <w:sz w:val="22"/>
        </w:rPr>
        <w:t>STANDING</w:t>
      </w:r>
      <w:r>
        <w:rPr>
          <w:b/>
          <w:spacing w:val="-6"/>
          <w:sz w:val="22"/>
        </w:rPr>
        <w:t> </w:t>
      </w:r>
      <w:r>
        <w:rPr>
          <w:b/>
          <w:sz w:val="22"/>
        </w:rPr>
        <w:t>ORDERS</w:t>
      </w:r>
      <w:r>
        <w:rPr>
          <w:b/>
          <w:spacing w:val="-4"/>
          <w:sz w:val="22"/>
        </w:rPr>
        <w:t> </w:t>
      </w:r>
      <w:r>
        <w:rPr>
          <w:b/>
          <w:sz w:val="22"/>
        </w:rPr>
        <w:t>AND</w:t>
      </w:r>
      <w:r>
        <w:rPr>
          <w:b/>
          <w:spacing w:val="-4"/>
          <w:sz w:val="22"/>
        </w:rPr>
        <w:t> </w:t>
      </w:r>
      <w:r>
        <w:rPr>
          <w:b/>
          <w:sz w:val="22"/>
        </w:rPr>
        <w:t>FINANCIAL</w:t>
      </w:r>
      <w:r>
        <w:rPr>
          <w:b/>
          <w:spacing w:val="-4"/>
          <w:sz w:val="22"/>
        </w:rPr>
        <w:t> </w:t>
      </w:r>
      <w:r>
        <w:rPr>
          <w:b/>
          <w:sz w:val="22"/>
        </w:rPr>
        <w:t>INSTRUCTIONS</w:t>
      </w:r>
      <w:r>
        <w:rPr>
          <w:b/>
          <w:spacing w:val="-3"/>
          <w:sz w:val="22"/>
        </w:rPr>
        <w:t> </w:t>
      </w:r>
      <w:r>
        <w:rPr>
          <w:b/>
          <w:sz w:val="22"/>
        </w:rPr>
        <w:t>(SOs</w:t>
      </w:r>
      <w:r>
        <w:rPr>
          <w:b/>
          <w:spacing w:val="-3"/>
          <w:sz w:val="22"/>
        </w:rPr>
        <w:t> </w:t>
      </w:r>
      <w:r>
        <w:rPr>
          <w:b/>
          <w:sz w:val="22"/>
        </w:rPr>
        <w:t>and</w:t>
      </w:r>
      <w:r>
        <w:rPr>
          <w:b/>
          <w:spacing w:val="-3"/>
          <w:sz w:val="22"/>
        </w:rPr>
        <w:t> </w:t>
      </w:r>
      <w:r>
        <w:rPr>
          <w:b/>
          <w:spacing w:val="-2"/>
          <w:sz w:val="22"/>
        </w:rPr>
        <w:t>SFIs)</w:t>
      </w:r>
    </w:p>
    <w:p>
      <w:pPr>
        <w:pStyle w:val="BodyText"/>
        <w:rPr>
          <w:b/>
          <w:sz w:val="22"/>
        </w:rPr>
      </w:pPr>
    </w:p>
    <w:p>
      <w:pPr>
        <w:spacing w:before="0"/>
        <w:ind w:left="720" w:right="377" w:firstLine="0"/>
        <w:jc w:val="both"/>
        <w:rPr>
          <w:sz w:val="22"/>
        </w:rPr>
      </w:pPr>
      <w:r>
        <w:rPr>
          <w:sz w:val="22"/>
        </w:rPr>
        <w:t>There have been no departures from the Standing Orders and financial regulations during the </w:t>
      </w:r>
      <w:r>
        <w:rPr>
          <w:spacing w:val="-2"/>
          <w:sz w:val="22"/>
        </w:rPr>
        <w:t>period.</w:t>
      </w:r>
    </w:p>
    <w:p>
      <w:pPr>
        <w:pStyle w:val="BodyText"/>
        <w:rPr>
          <w:sz w:val="22"/>
        </w:rPr>
      </w:pPr>
    </w:p>
    <w:p>
      <w:pPr>
        <w:pStyle w:val="ListParagraph"/>
        <w:numPr>
          <w:ilvl w:val="0"/>
          <w:numId w:val="39"/>
        </w:numPr>
        <w:tabs>
          <w:tab w:pos="1286" w:val="left" w:leader="none"/>
          <w:tab w:pos="1288" w:val="left" w:leader="none"/>
        </w:tabs>
        <w:spacing w:line="240" w:lineRule="auto" w:before="0" w:after="0"/>
        <w:ind w:left="1287" w:right="0" w:hanging="568"/>
        <w:jc w:val="left"/>
        <w:rPr>
          <w:b/>
          <w:sz w:val="22"/>
        </w:rPr>
      </w:pPr>
      <w:r>
        <w:rPr>
          <w:b/>
          <w:sz w:val="22"/>
        </w:rPr>
        <w:t>CONTRACTS</w:t>
      </w:r>
      <w:r>
        <w:rPr>
          <w:b/>
          <w:spacing w:val="-4"/>
          <w:sz w:val="22"/>
        </w:rPr>
        <w:t> </w:t>
      </w:r>
      <w:r>
        <w:rPr>
          <w:b/>
          <w:sz w:val="22"/>
        </w:rPr>
        <w:t>FOR</w:t>
      </w:r>
      <w:r>
        <w:rPr>
          <w:b/>
          <w:spacing w:val="-2"/>
          <w:sz w:val="22"/>
        </w:rPr>
        <w:t> NWSSP</w:t>
      </w:r>
    </w:p>
    <w:p>
      <w:pPr>
        <w:pStyle w:val="BodyText"/>
        <w:spacing w:before="7"/>
        <w:rPr>
          <w:b/>
          <w:sz w:val="28"/>
        </w:rPr>
      </w:pPr>
    </w:p>
    <w:p>
      <w:pPr>
        <w:spacing w:line="276" w:lineRule="auto" w:before="1"/>
        <w:ind w:left="720" w:right="378" w:firstLine="0"/>
        <w:jc w:val="both"/>
        <w:rPr>
          <w:sz w:val="22"/>
        </w:rPr>
      </w:pPr>
      <w:r>
        <w:rPr>
          <w:sz w:val="22"/>
        </w:rPr>
        <w:t>The table overleaf summarises contracting activity undertaken during the period </w:t>
      </w:r>
      <w:r>
        <w:rPr>
          <w:b/>
          <w:sz w:val="22"/>
        </w:rPr>
        <w:t>21 September 2022 to 20 December 2022</w:t>
      </w:r>
      <w:r>
        <w:rPr>
          <w:sz w:val="22"/>
        </w:rPr>
        <w:t>.</w:t>
      </w:r>
      <w:r>
        <w:rPr>
          <w:spacing w:val="80"/>
          <w:sz w:val="22"/>
        </w:rPr>
        <w:t> </w:t>
      </w:r>
      <w:r>
        <w:rPr>
          <w:sz w:val="22"/>
        </w:rPr>
        <w:t>A summary of activity for the period is set out in </w:t>
      </w:r>
      <w:r>
        <w:rPr>
          <w:b/>
          <w:sz w:val="22"/>
        </w:rPr>
        <w:t>Appendix A</w:t>
      </w:r>
      <w:r>
        <w:rPr>
          <w:sz w:val="22"/>
        </w:rPr>
        <w:t>.</w:t>
      </w:r>
    </w:p>
    <w:p>
      <w:pPr>
        <w:pStyle w:val="BodyText"/>
        <w:spacing w:before="3"/>
        <w:rPr>
          <w:sz w:val="25"/>
        </w:rPr>
      </w:pPr>
    </w:p>
    <w:tbl>
      <w:tblPr>
        <w:tblW w:w="0" w:type="auto"/>
        <w:jc w:val="left"/>
        <w:tblInd w:w="1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16"/>
        <w:gridCol w:w="1554"/>
      </w:tblGrid>
      <w:tr>
        <w:trPr>
          <w:trHeight w:val="534" w:hRule="atLeast"/>
        </w:trPr>
        <w:tc>
          <w:tcPr>
            <w:tcW w:w="7216" w:type="dxa"/>
            <w:shd w:val="clear" w:color="auto" w:fill="C6D9F1"/>
          </w:tcPr>
          <w:p>
            <w:pPr>
              <w:pStyle w:val="TableParagraph"/>
              <w:ind w:left="108"/>
              <w:rPr>
                <w:b/>
                <w:sz w:val="22"/>
              </w:rPr>
            </w:pPr>
            <w:r>
              <w:rPr>
                <w:b/>
                <w:spacing w:val="-2"/>
                <w:sz w:val="22"/>
              </w:rPr>
              <w:t>Description</w:t>
            </w:r>
          </w:p>
        </w:tc>
        <w:tc>
          <w:tcPr>
            <w:tcW w:w="1554" w:type="dxa"/>
            <w:shd w:val="clear" w:color="auto" w:fill="C6D9F1"/>
          </w:tcPr>
          <w:p>
            <w:pPr>
              <w:pStyle w:val="TableParagraph"/>
              <w:ind w:right="96"/>
              <w:jc w:val="right"/>
              <w:rPr>
                <w:b/>
                <w:sz w:val="22"/>
              </w:rPr>
            </w:pPr>
            <w:r>
              <w:rPr>
                <w:b/>
                <w:spacing w:val="-5"/>
                <w:sz w:val="22"/>
              </w:rPr>
              <w:t>No.</w:t>
            </w:r>
          </w:p>
        </w:tc>
      </w:tr>
      <w:tr>
        <w:trPr>
          <w:trHeight w:val="459" w:hRule="atLeast"/>
        </w:trPr>
        <w:tc>
          <w:tcPr>
            <w:tcW w:w="7216" w:type="dxa"/>
          </w:tcPr>
          <w:p>
            <w:pPr>
              <w:pStyle w:val="TableParagraph"/>
              <w:ind w:left="108"/>
              <w:rPr>
                <w:sz w:val="22"/>
              </w:rPr>
            </w:pPr>
            <w:r>
              <w:rPr>
                <w:sz w:val="22"/>
              </w:rPr>
              <w:t>File</w:t>
            </w:r>
            <w:r>
              <w:rPr>
                <w:spacing w:val="-1"/>
                <w:sz w:val="22"/>
              </w:rPr>
              <w:t> </w:t>
            </w:r>
            <w:r>
              <w:rPr>
                <w:spacing w:val="-4"/>
                <w:sz w:val="22"/>
              </w:rPr>
              <w:t>Note</w:t>
            </w:r>
          </w:p>
        </w:tc>
        <w:tc>
          <w:tcPr>
            <w:tcW w:w="1554" w:type="dxa"/>
          </w:tcPr>
          <w:p>
            <w:pPr>
              <w:pStyle w:val="TableParagraph"/>
              <w:ind w:right="97"/>
              <w:jc w:val="right"/>
              <w:rPr>
                <w:b/>
                <w:sz w:val="22"/>
              </w:rPr>
            </w:pPr>
            <w:r>
              <w:rPr>
                <w:b/>
                <w:sz w:val="22"/>
              </w:rPr>
              <w:t>5</w:t>
            </w:r>
          </w:p>
        </w:tc>
      </w:tr>
      <w:tr>
        <w:trPr>
          <w:trHeight w:val="534" w:hRule="atLeast"/>
        </w:trPr>
        <w:tc>
          <w:tcPr>
            <w:tcW w:w="7216" w:type="dxa"/>
          </w:tcPr>
          <w:p>
            <w:pPr>
              <w:pStyle w:val="TableParagraph"/>
              <w:ind w:left="108"/>
              <w:rPr>
                <w:sz w:val="22"/>
              </w:rPr>
            </w:pPr>
            <w:r>
              <w:rPr>
                <w:sz w:val="22"/>
              </w:rPr>
              <w:t>Invitation</w:t>
            </w:r>
            <w:r>
              <w:rPr>
                <w:spacing w:val="28"/>
                <w:sz w:val="22"/>
              </w:rPr>
              <w:t> </w:t>
            </w:r>
            <w:r>
              <w:rPr>
                <w:sz w:val="22"/>
              </w:rPr>
              <w:t>to</w:t>
            </w:r>
            <w:r>
              <w:rPr>
                <w:spacing w:val="31"/>
                <w:sz w:val="22"/>
              </w:rPr>
              <w:t> </w:t>
            </w:r>
            <w:r>
              <w:rPr>
                <w:sz w:val="22"/>
              </w:rPr>
              <w:t>competitive</w:t>
            </w:r>
            <w:r>
              <w:rPr>
                <w:spacing w:val="30"/>
                <w:sz w:val="22"/>
              </w:rPr>
              <w:t> </w:t>
            </w:r>
            <w:r>
              <w:rPr>
                <w:sz w:val="22"/>
              </w:rPr>
              <w:t>quote</w:t>
            </w:r>
            <w:r>
              <w:rPr>
                <w:spacing w:val="31"/>
                <w:sz w:val="22"/>
              </w:rPr>
              <w:t> </w:t>
            </w:r>
            <w:r>
              <w:rPr>
                <w:sz w:val="22"/>
              </w:rPr>
              <w:t>of</w:t>
            </w:r>
            <w:r>
              <w:rPr>
                <w:spacing w:val="31"/>
                <w:sz w:val="22"/>
              </w:rPr>
              <w:t> </w:t>
            </w:r>
            <w:r>
              <w:rPr>
                <w:sz w:val="22"/>
              </w:rPr>
              <w:t>value</w:t>
            </w:r>
            <w:r>
              <w:rPr>
                <w:spacing w:val="30"/>
                <w:sz w:val="22"/>
              </w:rPr>
              <w:t> </w:t>
            </w:r>
            <w:r>
              <w:rPr>
                <w:sz w:val="22"/>
              </w:rPr>
              <w:t>between</w:t>
            </w:r>
            <w:r>
              <w:rPr>
                <w:spacing w:val="31"/>
                <w:sz w:val="22"/>
              </w:rPr>
              <w:t> </w:t>
            </w:r>
            <w:r>
              <w:rPr>
                <w:sz w:val="22"/>
              </w:rPr>
              <w:t>£5,000</w:t>
            </w:r>
            <w:r>
              <w:rPr>
                <w:spacing w:val="31"/>
                <w:sz w:val="22"/>
              </w:rPr>
              <w:t> </w:t>
            </w:r>
            <w:r>
              <w:rPr>
                <w:spacing w:val="-5"/>
                <w:sz w:val="22"/>
              </w:rPr>
              <w:t>and</w:t>
            </w:r>
          </w:p>
          <w:p>
            <w:pPr>
              <w:pStyle w:val="TableParagraph"/>
              <w:spacing w:line="247" w:lineRule="exact"/>
              <w:ind w:left="108"/>
              <w:rPr>
                <w:sz w:val="22"/>
              </w:rPr>
            </w:pPr>
            <w:r>
              <w:rPr>
                <w:sz w:val="22"/>
              </w:rPr>
              <w:t>£25,000</w:t>
            </w:r>
            <w:r>
              <w:rPr>
                <w:spacing w:val="-2"/>
                <w:sz w:val="22"/>
              </w:rPr>
              <w:t> </w:t>
            </w:r>
            <w:r>
              <w:rPr>
                <w:sz w:val="22"/>
              </w:rPr>
              <w:t>(exclusive</w:t>
            </w:r>
            <w:r>
              <w:rPr>
                <w:spacing w:val="-3"/>
                <w:sz w:val="22"/>
              </w:rPr>
              <w:t> </w:t>
            </w:r>
            <w:r>
              <w:rPr>
                <w:sz w:val="22"/>
              </w:rPr>
              <w:t>of</w:t>
            </w:r>
            <w:r>
              <w:rPr>
                <w:spacing w:val="-2"/>
                <w:sz w:val="22"/>
              </w:rPr>
              <w:t> </w:t>
            </w:r>
            <w:r>
              <w:rPr>
                <w:spacing w:val="-4"/>
                <w:sz w:val="22"/>
              </w:rPr>
              <w:t>VAT)</w:t>
            </w:r>
          </w:p>
        </w:tc>
        <w:tc>
          <w:tcPr>
            <w:tcW w:w="1554" w:type="dxa"/>
          </w:tcPr>
          <w:p>
            <w:pPr>
              <w:pStyle w:val="TableParagraph"/>
              <w:ind w:right="95"/>
              <w:jc w:val="right"/>
              <w:rPr>
                <w:b/>
                <w:sz w:val="22"/>
              </w:rPr>
            </w:pPr>
            <w:r>
              <w:rPr>
                <w:b/>
                <w:spacing w:val="-5"/>
                <w:sz w:val="22"/>
              </w:rPr>
              <w:t>16</w:t>
            </w:r>
          </w:p>
        </w:tc>
      </w:tr>
      <w:tr>
        <w:trPr>
          <w:trHeight w:val="534" w:hRule="atLeast"/>
        </w:trPr>
        <w:tc>
          <w:tcPr>
            <w:tcW w:w="7216" w:type="dxa"/>
          </w:tcPr>
          <w:p>
            <w:pPr>
              <w:pStyle w:val="TableParagraph"/>
              <w:spacing w:line="260" w:lineRule="atLeast"/>
              <w:ind w:left="108"/>
              <w:rPr>
                <w:sz w:val="22"/>
              </w:rPr>
            </w:pPr>
            <w:r>
              <w:rPr>
                <w:sz w:val="22"/>
              </w:rPr>
              <w:t>Invitation</w:t>
            </w:r>
            <w:r>
              <w:rPr>
                <w:spacing w:val="-2"/>
                <w:sz w:val="22"/>
              </w:rPr>
              <w:t> </w:t>
            </w:r>
            <w:r>
              <w:rPr>
                <w:sz w:val="22"/>
              </w:rPr>
              <w:t>to</w:t>
            </w:r>
            <w:r>
              <w:rPr>
                <w:spacing w:val="-2"/>
                <w:sz w:val="22"/>
              </w:rPr>
              <w:t> </w:t>
            </w:r>
            <w:r>
              <w:rPr>
                <w:sz w:val="22"/>
              </w:rPr>
              <w:t>competitive</w:t>
            </w:r>
            <w:r>
              <w:rPr>
                <w:spacing w:val="-2"/>
                <w:sz w:val="22"/>
              </w:rPr>
              <w:t> </w:t>
            </w:r>
            <w:r>
              <w:rPr>
                <w:sz w:val="22"/>
              </w:rPr>
              <w:t>tender</w:t>
            </w:r>
            <w:r>
              <w:rPr>
                <w:spacing w:val="-2"/>
                <w:sz w:val="22"/>
              </w:rPr>
              <w:t> </w:t>
            </w:r>
            <w:r>
              <w:rPr>
                <w:sz w:val="22"/>
              </w:rPr>
              <w:t>of</w:t>
            </w:r>
            <w:r>
              <w:rPr>
                <w:spacing w:val="-2"/>
                <w:sz w:val="22"/>
              </w:rPr>
              <w:t> </w:t>
            </w:r>
            <w:r>
              <w:rPr>
                <w:sz w:val="22"/>
              </w:rPr>
              <w:t>value</w:t>
            </w:r>
            <w:r>
              <w:rPr>
                <w:spacing w:val="-2"/>
                <w:sz w:val="22"/>
              </w:rPr>
              <w:t> </w:t>
            </w:r>
            <w:r>
              <w:rPr>
                <w:sz w:val="22"/>
              </w:rPr>
              <w:t>between</w:t>
            </w:r>
            <w:r>
              <w:rPr>
                <w:spacing w:val="-2"/>
                <w:sz w:val="22"/>
              </w:rPr>
              <w:t> </w:t>
            </w:r>
            <w:r>
              <w:rPr>
                <w:sz w:val="22"/>
              </w:rPr>
              <w:t>£25,000</w:t>
            </w:r>
            <w:r>
              <w:rPr>
                <w:spacing w:val="-2"/>
                <w:sz w:val="22"/>
              </w:rPr>
              <w:t> </w:t>
            </w:r>
            <w:r>
              <w:rPr>
                <w:sz w:val="22"/>
              </w:rPr>
              <w:t>and the prevailing OJEU threshold (exclusive of VAT)</w:t>
            </w:r>
          </w:p>
        </w:tc>
        <w:tc>
          <w:tcPr>
            <w:tcW w:w="1554" w:type="dxa"/>
          </w:tcPr>
          <w:p>
            <w:pPr>
              <w:pStyle w:val="TableParagraph"/>
              <w:ind w:right="97"/>
              <w:jc w:val="right"/>
              <w:rPr>
                <w:b/>
                <w:sz w:val="22"/>
              </w:rPr>
            </w:pPr>
            <w:r>
              <w:rPr>
                <w:b/>
                <w:sz w:val="22"/>
              </w:rPr>
              <w:t>1</w:t>
            </w:r>
          </w:p>
        </w:tc>
      </w:tr>
      <w:tr>
        <w:trPr>
          <w:trHeight w:val="459" w:hRule="atLeast"/>
        </w:trPr>
        <w:tc>
          <w:tcPr>
            <w:tcW w:w="7216" w:type="dxa"/>
          </w:tcPr>
          <w:p>
            <w:pPr>
              <w:pStyle w:val="TableParagraph"/>
              <w:ind w:left="108"/>
              <w:rPr>
                <w:sz w:val="22"/>
              </w:rPr>
            </w:pPr>
            <w:r>
              <w:rPr>
                <w:sz w:val="22"/>
              </w:rPr>
              <w:t>Single</w:t>
            </w:r>
            <w:r>
              <w:rPr>
                <w:spacing w:val="-1"/>
                <w:sz w:val="22"/>
              </w:rPr>
              <w:t> </w:t>
            </w:r>
            <w:r>
              <w:rPr>
                <w:sz w:val="22"/>
              </w:rPr>
              <w:t>Tender</w:t>
            </w:r>
            <w:r>
              <w:rPr>
                <w:spacing w:val="-2"/>
                <w:sz w:val="22"/>
              </w:rPr>
              <w:t> Actions</w:t>
            </w:r>
          </w:p>
        </w:tc>
        <w:tc>
          <w:tcPr>
            <w:tcW w:w="1554" w:type="dxa"/>
          </w:tcPr>
          <w:p>
            <w:pPr>
              <w:pStyle w:val="TableParagraph"/>
              <w:ind w:right="97"/>
              <w:jc w:val="right"/>
              <w:rPr>
                <w:b/>
                <w:sz w:val="22"/>
              </w:rPr>
            </w:pPr>
            <w:r>
              <w:rPr>
                <w:b/>
                <w:sz w:val="22"/>
              </w:rPr>
              <w:t>5</w:t>
            </w:r>
          </w:p>
        </w:tc>
      </w:tr>
      <w:tr>
        <w:trPr>
          <w:trHeight w:val="460" w:hRule="atLeast"/>
        </w:trPr>
        <w:tc>
          <w:tcPr>
            <w:tcW w:w="7216" w:type="dxa"/>
          </w:tcPr>
          <w:p>
            <w:pPr>
              <w:pStyle w:val="TableParagraph"/>
              <w:ind w:left="108"/>
              <w:rPr>
                <w:sz w:val="22"/>
              </w:rPr>
            </w:pPr>
            <w:r>
              <w:rPr>
                <w:sz w:val="22"/>
              </w:rPr>
              <w:t>Single</w:t>
            </w:r>
            <w:r>
              <w:rPr>
                <w:spacing w:val="-1"/>
                <w:sz w:val="22"/>
              </w:rPr>
              <w:t> </w:t>
            </w:r>
            <w:r>
              <w:rPr>
                <w:sz w:val="22"/>
              </w:rPr>
              <w:t>Quotation</w:t>
            </w:r>
            <w:r>
              <w:rPr>
                <w:spacing w:val="-1"/>
                <w:sz w:val="22"/>
              </w:rPr>
              <w:t> </w:t>
            </w:r>
            <w:r>
              <w:rPr>
                <w:spacing w:val="-2"/>
                <w:sz w:val="22"/>
              </w:rPr>
              <w:t>Actions</w:t>
            </w:r>
          </w:p>
        </w:tc>
        <w:tc>
          <w:tcPr>
            <w:tcW w:w="1554" w:type="dxa"/>
          </w:tcPr>
          <w:p>
            <w:pPr>
              <w:pStyle w:val="TableParagraph"/>
              <w:ind w:right="97"/>
              <w:jc w:val="right"/>
              <w:rPr>
                <w:b/>
                <w:sz w:val="22"/>
              </w:rPr>
            </w:pPr>
            <w:r>
              <w:rPr>
                <w:b/>
                <w:sz w:val="22"/>
              </w:rPr>
              <w:t>4</w:t>
            </w:r>
          </w:p>
        </w:tc>
      </w:tr>
      <w:tr>
        <w:trPr>
          <w:trHeight w:val="460" w:hRule="atLeast"/>
        </w:trPr>
        <w:tc>
          <w:tcPr>
            <w:tcW w:w="7216" w:type="dxa"/>
          </w:tcPr>
          <w:p>
            <w:pPr>
              <w:pStyle w:val="TableParagraph"/>
              <w:ind w:left="108"/>
              <w:rPr>
                <w:sz w:val="22"/>
              </w:rPr>
            </w:pPr>
            <w:r>
              <w:rPr>
                <w:sz w:val="22"/>
              </w:rPr>
              <w:t>Direct</w:t>
            </w:r>
            <w:r>
              <w:rPr>
                <w:spacing w:val="-3"/>
                <w:sz w:val="22"/>
              </w:rPr>
              <w:t> </w:t>
            </w:r>
            <w:r>
              <w:rPr>
                <w:sz w:val="22"/>
              </w:rPr>
              <w:t>Call</w:t>
            </w:r>
            <w:r>
              <w:rPr>
                <w:spacing w:val="-3"/>
                <w:sz w:val="22"/>
              </w:rPr>
              <w:t> </w:t>
            </w:r>
            <w:r>
              <w:rPr>
                <w:sz w:val="22"/>
              </w:rPr>
              <w:t>Off</w:t>
            </w:r>
            <w:r>
              <w:rPr>
                <w:spacing w:val="-3"/>
                <w:sz w:val="22"/>
              </w:rPr>
              <w:t> </w:t>
            </w:r>
            <w:r>
              <w:rPr>
                <w:sz w:val="22"/>
              </w:rPr>
              <w:t>against</w:t>
            </w:r>
            <w:r>
              <w:rPr>
                <w:spacing w:val="-3"/>
                <w:sz w:val="22"/>
              </w:rPr>
              <w:t> </w:t>
            </w:r>
            <w:r>
              <w:rPr>
                <w:sz w:val="22"/>
              </w:rPr>
              <w:t>National</w:t>
            </w:r>
            <w:r>
              <w:rPr>
                <w:spacing w:val="-3"/>
                <w:sz w:val="22"/>
              </w:rPr>
              <w:t> </w:t>
            </w:r>
            <w:r>
              <w:rPr>
                <w:sz w:val="22"/>
              </w:rPr>
              <w:t>Framework</w:t>
            </w:r>
            <w:r>
              <w:rPr>
                <w:spacing w:val="-2"/>
                <w:sz w:val="22"/>
              </w:rPr>
              <w:t> Agreement</w:t>
            </w:r>
          </w:p>
        </w:tc>
        <w:tc>
          <w:tcPr>
            <w:tcW w:w="1554" w:type="dxa"/>
          </w:tcPr>
          <w:p>
            <w:pPr>
              <w:pStyle w:val="TableParagraph"/>
              <w:ind w:right="97"/>
              <w:jc w:val="right"/>
              <w:rPr>
                <w:b/>
                <w:sz w:val="22"/>
              </w:rPr>
            </w:pPr>
            <w:r>
              <w:rPr>
                <w:b/>
                <w:sz w:val="22"/>
              </w:rPr>
              <w:t>6</w:t>
            </w:r>
          </w:p>
        </w:tc>
      </w:tr>
      <w:tr>
        <w:trPr>
          <w:trHeight w:val="534" w:hRule="atLeast"/>
        </w:trPr>
        <w:tc>
          <w:tcPr>
            <w:tcW w:w="7216" w:type="dxa"/>
          </w:tcPr>
          <w:p>
            <w:pPr>
              <w:pStyle w:val="TableParagraph"/>
              <w:spacing w:line="260" w:lineRule="atLeast"/>
              <w:ind w:left="108"/>
              <w:rPr>
                <w:sz w:val="22"/>
              </w:rPr>
            </w:pPr>
            <w:r>
              <w:rPr>
                <w:sz w:val="22"/>
              </w:rPr>
              <w:t>Invitation to competitive tender of value exceeding prevailing OJEU threshold (exclusive of VAT)</w:t>
            </w:r>
          </w:p>
        </w:tc>
        <w:tc>
          <w:tcPr>
            <w:tcW w:w="1554" w:type="dxa"/>
          </w:tcPr>
          <w:p>
            <w:pPr>
              <w:pStyle w:val="TableParagraph"/>
              <w:ind w:right="97"/>
              <w:jc w:val="right"/>
              <w:rPr>
                <w:b/>
                <w:sz w:val="22"/>
              </w:rPr>
            </w:pPr>
            <w:r>
              <w:rPr>
                <w:b/>
                <w:sz w:val="22"/>
              </w:rPr>
              <w:t>1</w:t>
            </w:r>
          </w:p>
        </w:tc>
      </w:tr>
      <w:tr>
        <w:trPr>
          <w:trHeight w:val="460" w:hRule="atLeast"/>
        </w:trPr>
        <w:tc>
          <w:tcPr>
            <w:tcW w:w="7216" w:type="dxa"/>
          </w:tcPr>
          <w:p>
            <w:pPr>
              <w:pStyle w:val="TableParagraph"/>
              <w:ind w:left="108"/>
              <w:rPr>
                <w:sz w:val="22"/>
              </w:rPr>
            </w:pPr>
            <w:r>
              <w:rPr>
                <w:sz w:val="22"/>
              </w:rPr>
              <w:t>Contract</w:t>
            </w:r>
            <w:r>
              <w:rPr>
                <w:spacing w:val="-6"/>
                <w:sz w:val="22"/>
              </w:rPr>
              <w:t> </w:t>
            </w:r>
            <w:r>
              <w:rPr>
                <w:spacing w:val="-2"/>
                <w:sz w:val="22"/>
              </w:rPr>
              <w:t>Extensions</w:t>
            </w:r>
          </w:p>
        </w:tc>
        <w:tc>
          <w:tcPr>
            <w:tcW w:w="1554" w:type="dxa"/>
          </w:tcPr>
          <w:p>
            <w:pPr>
              <w:pStyle w:val="TableParagraph"/>
              <w:ind w:right="97"/>
              <w:jc w:val="right"/>
              <w:rPr>
                <w:b/>
                <w:sz w:val="22"/>
              </w:rPr>
            </w:pPr>
            <w:r>
              <w:rPr>
                <w:b/>
                <w:sz w:val="22"/>
              </w:rPr>
              <w:t>0</w:t>
            </w:r>
          </w:p>
        </w:tc>
      </w:tr>
      <w:tr>
        <w:trPr>
          <w:trHeight w:val="534" w:hRule="atLeast"/>
        </w:trPr>
        <w:tc>
          <w:tcPr>
            <w:tcW w:w="7216" w:type="dxa"/>
            <w:shd w:val="clear" w:color="auto" w:fill="D0CECE"/>
          </w:tcPr>
          <w:p>
            <w:pPr>
              <w:pStyle w:val="TableParagraph"/>
              <w:ind w:left="108"/>
              <w:rPr>
                <w:b/>
                <w:sz w:val="22"/>
              </w:rPr>
            </w:pPr>
            <w:r>
              <w:rPr>
                <w:b/>
                <w:spacing w:val="-2"/>
                <w:sz w:val="22"/>
              </w:rPr>
              <w:t>Total</w:t>
            </w:r>
          </w:p>
        </w:tc>
        <w:tc>
          <w:tcPr>
            <w:tcW w:w="1554" w:type="dxa"/>
            <w:shd w:val="clear" w:color="auto" w:fill="D0CECE"/>
          </w:tcPr>
          <w:p>
            <w:pPr>
              <w:pStyle w:val="TableParagraph"/>
              <w:ind w:right="95"/>
              <w:jc w:val="right"/>
              <w:rPr>
                <w:b/>
                <w:sz w:val="22"/>
              </w:rPr>
            </w:pPr>
            <w:r>
              <w:rPr>
                <w:b/>
                <w:spacing w:val="-5"/>
                <w:sz w:val="22"/>
              </w:rPr>
              <w:t>38</w:t>
            </w:r>
          </w:p>
        </w:tc>
      </w:tr>
    </w:tbl>
    <w:p>
      <w:pPr>
        <w:pStyle w:val="BodyText"/>
        <w:rPr>
          <w:sz w:val="26"/>
        </w:rPr>
      </w:pPr>
    </w:p>
    <w:p>
      <w:pPr>
        <w:pStyle w:val="BodyText"/>
        <w:rPr>
          <w:sz w:val="25"/>
        </w:rPr>
      </w:pPr>
    </w:p>
    <w:p>
      <w:pPr>
        <w:pStyle w:val="ListParagraph"/>
        <w:numPr>
          <w:ilvl w:val="0"/>
          <w:numId w:val="39"/>
        </w:numPr>
        <w:tabs>
          <w:tab w:pos="1286" w:val="left" w:leader="none"/>
          <w:tab w:pos="1288" w:val="left" w:leader="none"/>
        </w:tabs>
        <w:spacing w:line="240" w:lineRule="auto" w:before="1" w:after="0"/>
        <w:ind w:left="1287" w:right="0" w:hanging="568"/>
        <w:jc w:val="left"/>
        <w:rPr>
          <w:b/>
          <w:sz w:val="22"/>
        </w:rPr>
      </w:pPr>
      <w:r>
        <w:rPr>
          <w:b/>
          <w:sz w:val="22"/>
        </w:rPr>
        <w:t>NWSSP</w:t>
      </w:r>
      <w:r>
        <w:rPr>
          <w:b/>
          <w:spacing w:val="-5"/>
          <w:sz w:val="22"/>
        </w:rPr>
        <w:t> </w:t>
      </w:r>
      <w:r>
        <w:rPr>
          <w:b/>
          <w:sz w:val="22"/>
        </w:rPr>
        <w:t>PROCUREMENT</w:t>
      </w:r>
      <w:r>
        <w:rPr>
          <w:b/>
          <w:spacing w:val="-4"/>
          <w:sz w:val="22"/>
        </w:rPr>
        <w:t> </w:t>
      </w:r>
      <w:r>
        <w:rPr>
          <w:b/>
          <w:sz w:val="22"/>
        </w:rPr>
        <w:t>SERVICES</w:t>
      </w:r>
      <w:r>
        <w:rPr>
          <w:b/>
          <w:spacing w:val="-3"/>
          <w:sz w:val="22"/>
        </w:rPr>
        <w:t> </w:t>
      </w:r>
      <w:r>
        <w:rPr>
          <w:b/>
          <w:sz w:val="22"/>
        </w:rPr>
        <w:t>ALL</w:t>
      </w:r>
      <w:r>
        <w:rPr>
          <w:b/>
          <w:spacing w:val="-5"/>
          <w:sz w:val="22"/>
        </w:rPr>
        <w:t> </w:t>
      </w:r>
      <w:r>
        <w:rPr>
          <w:b/>
          <w:sz w:val="22"/>
        </w:rPr>
        <w:t>WALES</w:t>
      </w:r>
      <w:r>
        <w:rPr>
          <w:b/>
          <w:spacing w:val="-3"/>
          <w:sz w:val="22"/>
        </w:rPr>
        <w:t> </w:t>
      </w:r>
      <w:r>
        <w:rPr>
          <w:b/>
          <w:sz w:val="22"/>
        </w:rPr>
        <w:t>CONTRACTING</w:t>
      </w:r>
      <w:r>
        <w:rPr>
          <w:b/>
          <w:spacing w:val="-3"/>
          <w:sz w:val="22"/>
        </w:rPr>
        <w:t> </w:t>
      </w:r>
      <w:r>
        <w:rPr>
          <w:b/>
          <w:spacing w:val="-2"/>
          <w:sz w:val="22"/>
        </w:rPr>
        <w:t>ACTIVITY</w:t>
      </w:r>
    </w:p>
    <w:p>
      <w:pPr>
        <w:pStyle w:val="BodyText"/>
        <w:spacing w:before="7"/>
        <w:rPr>
          <w:b/>
          <w:sz w:val="28"/>
        </w:rPr>
      </w:pPr>
    </w:p>
    <w:p>
      <w:pPr>
        <w:spacing w:line="276" w:lineRule="auto" w:before="0"/>
        <w:ind w:left="720" w:right="377" w:firstLine="0"/>
        <w:jc w:val="both"/>
        <w:rPr>
          <w:sz w:val="22"/>
        </w:rPr>
      </w:pPr>
      <w:r>
        <w:rPr>
          <w:sz w:val="22"/>
        </w:rPr>
        <w:t>During the period </w:t>
      </w:r>
      <w:r>
        <w:rPr>
          <w:b/>
          <w:sz w:val="22"/>
        </w:rPr>
        <w:t>19 September 2022 to 28 December 2022</w:t>
      </w:r>
      <w:r>
        <w:rPr>
          <w:sz w:val="22"/>
        </w:rPr>
        <w:t>, activity against </w:t>
      </w:r>
      <w:r>
        <w:rPr>
          <w:b/>
          <w:sz w:val="22"/>
        </w:rPr>
        <w:t>22 contracts </w:t>
      </w:r>
      <w:r>
        <w:rPr>
          <w:sz w:val="22"/>
        </w:rPr>
        <w:t>have been completed. This includes </w:t>
      </w:r>
      <w:r>
        <w:rPr>
          <w:b/>
          <w:sz w:val="22"/>
        </w:rPr>
        <w:t>10 </w:t>
      </w:r>
      <w:r>
        <w:rPr>
          <w:sz w:val="22"/>
        </w:rPr>
        <w:t>contracts at the </w:t>
      </w:r>
      <w:r>
        <w:rPr>
          <w:b/>
          <w:sz w:val="22"/>
        </w:rPr>
        <w:t>briefing </w:t>
      </w:r>
      <w:r>
        <w:rPr>
          <w:sz w:val="22"/>
        </w:rPr>
        <w:t>stage and </w:t>
      </w:r>
      <w:r>
        <w:rPr>
          <w:b/>
          <w:sz w:val="22"/>
        </w:rPr>
        <w:t>7 </w:t>
      </w:r>
      <w:r>
        <w:rPr>
          <w:sz w:val="22"/>
        </w:rPr>
        <w:t>contracts at the </w:t>
      </w:r>
      <w:r>
        <w:rPr>
          <w:b/>
          <w:sz w:val="22"/>
        </w:rPr>
        <w:t>ratification </w:t>
      </w:r>
      <w:r>
        <w:rPr>
          <w:sz w:val="22"/>
        </w:rPr>
        <w:t>stage. In addition to this activity, </w:t>
      </w:r>
      <w:r>
        <w:rPr>
          <w:b/>
          <w:sz w:val="22"/>
        </w:rPr>
        <w:t>5 extensions </w:t>
      </w:r>
      <w:r>
        <w:rPr>
          <w:sz w:val="22"/>
        </w:rPr>
        <w:t>have been actioned against contracts.</w:t>
      </w:r>
      <w:r>
        <w:rPr>
          <w:spacing w:val="80"/>
          <w:sz w:val="22"/>
        </w:rPr>
        <w:t> </w:t>
      </w:r>
      <w:r>
        <w:rPr>
          <w:sz w:val="22"/>
        </w:rPr>
        <w:t>A summary of activity for the period is set out in </w:t>
      </w:r>
      <w:r>
        <w:rPr>
          <w:b/>
          <w:sz w:val="22"/>
        </w:rPr>
        <w:t>Appendix B</w:t>
      </w:r>
      <w:r>
        <w:rPr>
          <w:sz w:val="22"/>
        </w:rPr>
        <w:t>.</w:t>
      </w:r>
    </w:p>
    <w:p>
      <w:pPr>
        <w:spacing w:after="0" w:line="276" w:lineRule="auto"/>
        <w:jc w:val="both"/>
        <w:rPr>
          <w:sz w:val="22"/>
        </w:rPr>
        <w:sectPr>
          <w:footerReference w:type="default" r:id="rId195"/>
          <w:pgSz w:w="11910" w:h="16840"/>
          <w:pgMar w:footer="644" w:header="0" w:top="980" w:bottom="840" w:left="0" w:right="0"/>
        </w:sectPr>
      </w:pPr>
    </w:p>
    <w:p>
      <w:pPr>
        <w:pStyle w:val="ListParagraph"/>
        <w:numPr>
          <w:ilvl w:val="0"/>
          <w:numId w:val="39"/>
        </w:numPr>
        <w:tabs>
          <w:tab w:pos="1080" w:val="left" w:leader="none"/>
        </w:tabs>
        <w:spacing w:line="276" w:lineRule="auto" w:before="82" w:after="0"/>
        <w:ind w:left="1080" w:right="474" w:hanging="360"/>
        <w:jc w:val="left"/>
        <w:rPr>
          <w:b/>
          <w:sz w:val="22"/>
        </w:rPr>
      </w:pPr>
      <w:r>
        <w:rPr>
          <w:b/>
          <w:sz w:val="22"/>
        </w:rPr>
        <w:t>AUDIT</w:t>
      </w:r>
      <w:r>
        <w:rPr>
          <w:b/>
          <w:spacing w:val="-5"/>
          <w:sz w:val="22"/>
        </w:rPr>
        <w:t> </w:t>
      </w:r>
      <w:r>
        <w:rPr>
          <w:b/>
          <w:sz w:val="22"/>
        </w:rPr>
        <w:t>COMMITTEE</w:t>
      </w:r>
      <w:r>
        <w:rPr>
          <w:b/>
          <w:spacing w:val="-4"/>
          <w:sz w:val="22"/>
        </w:rPr>
        <w:t> </w:t>
      </w:r>
      <w:r>
        <w:rPr>
          <w:b/>
          <w:sz w:val="22"/>
        </w:rPr>
        <w:t>APPROVAL</w:t>
      </w:r>
      <w:r>
        <w:rPr>
          <w:b/>
          <w:spacing w:val="-5"/>
          <w:sz w:val="22"/>
        </w:rPr>
        <w:t> </w:t>
      </w:r>
      <w:r>
        <w:rPr>
          <w:b/>
          <w:sz w:val="22"/>
        </w:rPr>
        <w:t>FOR</w:t>
      </w:r>
      <w:r>
        <w:rPr>
          <w:b/>
          <w:spacing w:val="-4"/>
          <w:sz w:val="22"/>
        </w:rPr>
        <w:t> </w:t>
      </w:r>
      <w:r>
        <w:rPr>
          <w:b/>
          <w:sz w:val="22"/>
        </w:rPr>
        <w:t>THE</w:t>
      </w:r>
      <w:r>
        <w:rPr>
          <w:b/>
          <w:spacing w:val="-4"/>
          <w:sz w:val="22"/>
        </w:rPr>
        <w:t> </w:t>
      </w:r>
      <w:r>
        <w:rPr>
          <w:b/>
          <w:sz w:val="22"/>
        </w:rPr>
        <w:t>SUBMISSION</w:t>
      </w:r>
      <w:r>
        <w:rPr>
          <w:b/>
          <w:spacing w:val="-5"/>
          <w:sz w:val="22"/>
        </w:rPr>
        <w:t> </w:t>
      </w:r>
      <w:r>
        <w:rPr>
          <w:b/>
          <w:sz w:val="22"/>
        </w:rPr>
        <w:t>OF</w:t>
      </w:r>
      <w:r>
        <w:rPr>
          <w:b/>
          <w:spacing w:val="-4"/>
          <w:sz w:val="22"/>
        </w:rPr>
        <w:t> </w:t>
      </w:r>
      <w:r>
        <w:rPr>
          <w:b/>
          <w:sz w:val="22"/>
        </w:rPr>
        <w:t>LOSSES</w:t>
      </w:r>
      <w:r>
        <w:rPr>
          <w:b/>
          <w:spacing w:val="-4"/>
          <w:sz w:val="22"/>
        </w:rPr>
        <w:t> </w:t>
      </w:r>
      <w:r>
        <w:rPr>
          <w:b/>
          <w:sz w:val="22"/>
        </w:rPr>
        <w:t>FORMS</w:t>
      </w:r>
      <w:r>
        <w:rPr>
          <w:b/>
          <w:spacing w:val="-5"/>
          <w:sz w:val="22"/>
        </w:rPr>
        <w:t> </w:t>
      </w:r>
      <w:r>
        <w:rPr>
          <w:b/>
          <w:sz w:val="22"/>
        </w:rPr>
        <w:t>TO</w:t>
      </w:r>
      <w:r>
        <w:rPr>
          <w:b/>
          <w:spacing w:val="-4"/>
          <w:sz w:val="22"/>
        </w:rPr>
        <w:t> </w:t>
      </w:r>
      <w:r>
        <w:rPr>
          <w:b/>
          <w:sz w:val="22"/>
        </w:rPr>
        <w:t>WELSH </w:t>
      </w:r>
      <w:r>
        <w:rPr>
          <w:b/>
          <w:spacing w:val="-2"/>
          <w:sz w:val="22"/>
        </w:rPr>
        <w:t>GOVERNMENT</w:t>
      </w:r>
    </w:p>
    <w:p>
      <w:pPr>
        <w:pStyle w:val="BodyText"/>
        <w:spacing w:before="3"/>
        <w:rPr>
          <w:b/>
          <w:sz w:val="25"/>
        </w:rPr>
      </w:pPr>
    </w:p>
    <w:p>
      <w:pPr>
        <w:spacing w:line="276" w:lineRule="auto" w:before="0"/>
        <w:ind w:left="720" w:right="468" w:firstLine="0"/>
        <w:jc w:val="left"/>
        <w:rPr>
          <w:sz w:val="22"/>
        </w:rPr>
      </w:pPr>
      <w:r>
        <w:rPr>
          <w:sz w:val="22"/>
        </w:rPr>
        <w:t>As</w:t>
      </w:r>
      <w:r>
        <w:rPr>
          <w:spacing w:val="-2"/>
          <w:sz w:val="22"/>
        </w:rPr>
        <w:t> </w:t>
      </w:r>
      <w:r>
        <w:rPr>
          <w:sz w:val="22"/>
        </w:rPr>
        <w:t>we</w:t>
      </w:r>
      <w:r>
        <w:rPr>
          <w:spacing w:val="-3"/>
          <w:sz w:val="22"/>
        </w:rPr>
        <w:t> </w:t>
      </w:r>
      <w:r>
        <w:rPr>
          <w:sz w:val="22"/>
        </w:rPr>
        <w:t>progress</w:t>
      </w:r>
      <w:r>
        <w:rPr>
          <w:spacing w:val="-2"/>
          <w:sz w:val="22"/>
        </w:rPr>
        <w:t> </w:t>
      </w:r>
      <w:r>
        <w:rPr>
          <w:sz w:val="22"/>
        </w:rPr>
        <w:t>towards</w:t>
      </w:r>
      <w:r>
        <w:rPr>
          <w:spacing w:val="-2"/>
          <w:sz w:val="22"/>
        </w:rPr>
        <w:t> </w:t>
      </w:r>
      <w:r>
        <w:rPr>
          <w:sz w:val="22"/>
        </w:rPr>
        <w:t>the</w:t>
      </w:r>
      <w:r>
        <w:rPr>
          <w:spacing w:val="-3"/>
          <w:sz w:val="22"/>
        </w:rPr>
        <w:t> </w:t>
      </w:r>
      <w:r>
        <w:rPr>
          <w:sz w:val="22"/>
        </w:rPr>
        <w:t>close</w:t>
      </w:r>
      <w:r>
        <w:rPr>
          <w:spacing w:val="-3"/>
          <w:sz w:val="22"/>
        </w:rPr>
        <w:t> </w:t>
      </w:r>
      <w:r>
        <w:rPr>
          <w:sz w:val="22"/>
        </w:rPr>
        <w:t>of</w:t>
      </w:r>
      <w:r>
        <w:rPr>
          <w:spacing w:val="-3"/>
          <w:sz w:val="22"/>
        </w:rPr>
        <w:t> </w:t>
      </w:r>
      <w:r>
        <w:rPr>
          <w:sz w:val="22"/>
        </w:rPr>
        <w:t>the</w:t>
      </w:r>
      <w:r>
        <w:rPr>
          <w:spacing w:val="-2"/>
          <w:sz w:val="22"/>
        </w:rPr>
        <w:t> </w:t>
      </w:r>
      <w:r>
        <w:rPr>
          <w:sz w:val="22"/>
        </w:rPr>
        <w:t>2022/23</w:t>
      </w:r>
      <w:r>
        <w:rPr>
          <w:spacing w:val="-2"/>
          <w:sz w:val="22"/>
        </w:rPr>
        <w:t> </w:t>
      </w:r>
      <w:r>
        <w:rPr>
          <w:sz w:val="22"/>
        </w:rPr>
        <w:t>financial</w:t>
      </w:r>
      <w:r>
        <w:rPr>
          <w:spacing w:val="-2"/>
          <w:sz w:val="22"/>
        </w:rPr>
        <w:t> </w:t>
      </w:r>
      <w:r>
        <w:rPr>
          <w:sz w:val="22"/>
        </w:rPr>
        <w:t>year,</w:t>
      </w:r>
      <w:r>
        <w:rPr>
          <w:spacing w:val="-3"/>
          <w:sz w:val="22"/>
        </w:rPr>
        <w:t> </w:t>
      </w:r>
      <w:r>
        <w:rPr>
          <w:sz w:val="22"/>
        </w:rPr>
        <w:t>we</w:t>
      </w:r>
      <w:r>
        <w:rPr>
          <w:spacing w:val="-3"/>
          <w:sz w:val="22"/>
        </w:rPr>
        <w:t> </w:t>
      </w:r>
      <w:r>
        <w:rPr>
          <w:sz w:val="22"/>
        </w:rPr>
        <w:t>are</w:t>
      </w:r>
      <w:r>
        <w:rPr>
          <w:spacing w:val="-3"/>
          <w:sz w:val="22"/>
        </w:rPr>
        <w:t> </w:t>
      </w:r>
      <w:r>
        <w:rPr>
          <w:sz w:val="22"/>
        </w:rPr>
        <w:t>reviewing</w:t>
      </w:r>
      <w:r>
        <w:rPr>
          <w:spacing w:val="-2"/>
          <w:sz w:val="22"/>
        </w:rPr>
        <w:t> </w:t>
      </w:r>
      <w:r>
        <w:rPr>
          <w:sz w:val="22"/>
        </w:rPr>
        <w:t>both</w:t>
      </w:r>
      <w:r>
        <w:rPr>
          <w:spacing w:val="-3"/>
          <w:sz w:val="22"/>
        </w:rPr>
        <w:t> </w:t>
      </w:r>
      <w:r>
        <w:rPr>
          <w:sz w:val="22"/>
        </w:rPr>
        <w:t>our</w:t>
      </w:r>
      <w:r>
        <w:rPr>
          <w:spacing w:val="-3"/>
          <w:sz w:val="22"/>
        </w:rPr>
        <w:t> </w:t>
      </w:r>
      <w:r>
        <w:rPr>
          <w:sz w:val="22"/>
        </w:rPr>
        <w:t>fixed and current assets and making assessments of any impairments and/or write off’s</w:t>
      </w:r>
    </w:p>
    <w:p>
      <w:pPr>
        <w:spacing w:line="276" w:lineRule="auto" w:before="0"/>
        <w:ind w:left="720" w:right="468" w:firstLine="0"/>
        <w:jc w:val="left"/>
        <w:rPr>
          <w:sz w:val="22"/>
        </w:rPr>
      </w:pPr>
      <w:r>
        <w:rPr>
          <w:sz w:val="22"/>
        </w:rPr>
        <w:t>required.</w:t>
      </w:r>
      <w:r>
        <w:rPr>
          <w:spacing w:val="40"/>
          <w:sz w:val="22"/>
        </w:rPr>
        <w:t> </w:t>
      </w:r>
      <w:r>
        <w:rPr>
          <w:sz w:val="22"/>
        </w:rPr>
        <w:t>This</w:t>
      </w:r>
      <w:r>
        <w:rPr>
          <w:spacing w:val="-3"/>
          <w:sz w:val="22"/>
        </w:rPr>
        <w:t> </w:t>
      </w:r>
      <w:r>
        <w:rPr>
          <w:sz w:val="22"/>
        </w:rPr>
        <w:t>includes</w:t>
      </w:r>
      <w:r>
        <w:rPr>
          <w:spacing w:val="-2"/>
          <w:sz w:val="22"/>
        </w:rPr>
        <w:t> </w:t>
      </w:r>
      <w:r>
        <w:rPr>
          <w:sz w:val="22"/>
        </w:rPr>
        <w:t>both</w:t>
      </w:r>
      <w:r>
        <w:rPr>
          <w:spacing w:val="-3"/>
          <w:sz w:val="22"/>
        </w:rPr>
        <w:t> </w:t>
      </w:r>
      <w:r>
        <w:rPr>
          <w:sz w:val="22"/>
        </w:rPr>
        <w:t>capital</w:t>
      </w:r>
      <w:r>
        <w:rPr>
          <w:spacing w:val="-2"/>
          <w:sz w:val="22"/>
        </w:rPr>
        <w:t> </w:t>
      </w:r>
      <w:r>
        <w:rPr>
          <w:sz w:val="22"/>
        </w:rPr>
        <w:t>assets</w:t>
      </w:r>
      <w:r>
        <w:rPr>
          <w:spacing w:val="-2"/>
          <w:sz w:val="22"/>
        </w:rPr>
        <w:t> </w:t>
      </w:r>
      <w:r>
        <w:rPr>
          <w:sz w:val="22"/>
        </w:rPr>
        <w:t>and</w:t>
      </w:r>
      <w:r>
        <w:rPr>
          <w:spacing w:val="-2"/>
          <w:sz w:val="22"/>
        </w:rPr>
        <w:t> </w:t>
      </w:r>
      <w:r>
        <w:rPr>
          <w:sz w:val="22"/>
        </w:rPr>
        <w:t>stock</w:t>
      </w:r>
      <w:r>
        <w:rPr>
          <w:spacing w:val="-3"/>
          <w:sz w:val="22"/>
        </w:rPr>
        <w:t> </w:t>
      </w:r>
      <w:r>
        <w:rPr>
          <w:sz w:val="22"/>
        </w:rPr>
        <w:t>holding.</w:t>
      </w:r>
      <w:r>
        <w:rPr>
          <w:spacing w:val="40"/>
          <w:sz w:val="22"/>
        </w:rPr>
        <w:t> </w:t>
      </w:r>
      <w:r>
        <w:rPr>
          <w:sz w:val="22"/>
        </w:rPr>
        <w:t>Per</w:t>
      </w:r>
      <w:r>
        <w:rPr>
          <w:spacing w:val="-3"/>
          <w:sz w:val="22"/>
        </w:rPr>
        <w:t> </w:t>
      </w:r>
      <w:r>
        <w:rPr>
          <w:sz w:val="22"/>
        </w:rPr>
        <w:t>the</w:t>
      </w:r>
      <w:r>
        <w:rPr>
          <w:spacing w:val="-3"/>
          <w:sz w:val="22"/>
        </w:rPr>
        <w:t> </w:t>
      </w:r>
      <w:r>
        <w:rPr>
          <w:sz w:val="22"/>
        </w:rPr>
        <w:t>Scheme</w:t>
      </w:r>
      <w:r>
        <w:rPr>
          <w:spacing w:val="-2"/>
          <w:sz w:val="22"/>
        </w:rPr>
        <w:t> </w:t>
      </w:r>
      <w:r>
        <w:rPr>
          <w:sz w:val="22"/>
        </w:rPr>
        <w:t>of</w:t>
      </w:r>
      <w:r>
        <w:rPr>
          <w:spacing w:val="-3"/>
          <w:sz w:val="22"/>
        </w:rPr>
        <w:t> </w:t>
      </w:r>
      <w:r>
        <w:rPr>
          <w:sz w:val="22"/>
        </w:rPr>
        <w:t>Delegation,</w:t>
      </w:r>
      <w:r>
        <w:rPr>
          <w:spacing w:val="-3"/>
          <w:sz w:val="22"/>
        </w:rPr>
        <w:t> </w:t>
      </w:r>
      <w:r>
        <w:rPr>
          <w:sz w:val="22"/>
        </w:rPr>
        <w:t>we may need to seek Audit Committee approval to submit losses forms to Welsh Government</w:t>
      </w:r>
      <w:r>
        <w:rPr>
          <w:spacing w:val="40"/>
          <w:sz w:val="22"/>
        </w:rPr>
        <w:t> </w:t>
      </w:r>
      <w:r>
        <w:rPr>
          <w:sz w:val="22"/>
        </w:rPr>
        <w:t>during Quarter 4, noting that our next Audit Committee meeting is not until the final stages of the account’s completion on 19</w:t>
      </w:r>
      <w:r>
        <w:rPr>
          <w:position w:val="7"/>
          <w:sz w:val="14"/>
        </w:rPr>
        <w:t>th</w:t>
      </w:r>
      <w:r>
        <w:rPr>
          <w:spacing w:val="40"/>
          <w:position w:val="7"/>
          <w:sz w:val="14"/>
        </w:rPr>
        <w:t> </w:t>
      </w:r>
      <w:r>
        <w:rPr>
          <w:sz w:val="22"/>
        </w:rPr>
        <w:t>April 2023.</w:t>
      </w:r>
    </w:p>
    <w:p>
      <w:pPr>
        <w:pStyle w:val="BodyText"/>
        <w:spacing w:before="4"/>
        <w:rPr>
          <w:sz w:val="25"/>
        </w:rPr>
      </w:pPr>
    </w:p>
    <w:p>
      <w:pPr>
        <w:pStyle w:val="ListParagraph"/>
        <w:numPr>
          <w:ilvl w:val="0"/>
          <w:numId w:val="39"/>
        </w:numPr>
        <w:tabs>
          <w:tab w:pos="1080" w:val="left" w:leader="none"/>
        </w:tabs>
        <w:spacing w:line="240" w:lineRule="auto" w:before="0" w:after="0"/>
        <w:ind w:left="1080" w:right="0" w:hanging="360"/>
        <w:jc w:val="left"/>
        <w:rPr>
          <w:b/>
          <w:sz w:val="22"/>
        </w:rPr>
      </w:pPr>
      <w:r>
        <w:rPr>
          <w:b/>
          <w:sz w:val="22"/>
        </w:rPr>
        <w:t>GIFTS,</w:t>
      </w:r>
      <w:r>
        <w:rPr>
          <w:b/>
          <w:spacing w:val="-4"/>
          <w:sz w:val="22"/>
        </w:rPr>
        <w:t> </w:t>
      </w:r>
      <w:r>
        <w:rPr>
          <w:b/>
          <w:sz w:val="22"/>
        </w:rPr>
        <w:t>HOSPITALITY</w:t>
      </w:r>
      <w:r>
        <w:rPr>
          <w:b/>
          <w:spacing w:val="-2"/>
          <w:sz w:val="22"/>
        </w:rPr>
        <w:t> </w:t>
      </w:r>
      <w:r>
        <w:rPr>
          <w:b/>
          <w:sz w:val="22"/>
        </w:rPr>
        <w:t>&amp;</w:t>
      </w:r>
      <w:r>
        <w:rPr>
          <w:b/>
          <w:spacing w:val="-3"/>
          <w:sz w:val="22"/>
        </w:rPr>
        <w:t> </w:t>
      </w:r>
      <w:r>
        <w:rPr>
          <w:b/>
          <w:spacing w:val="-2"/>
          <w:sz w:val="22"/>
        </w:rPr>
        <w:t>SPONSORSHIP</w:t>
      </w:r>
    </w:p>
    <w:p>
      <w:pPr>
        <w:pStyle w:val="BodyText"/>
        <w:spacing w:before="9"/>
        <w:rPr>
          <w:b/>
          <w:sz w:val="19"/>
        </w:rPr>
      </w:pPr>
    </w:p>
    <w:p>
      <w:pPr>
        <w:spacing w:before="0"/>
        <w:ind w:left="720" w:right="0" w:firstLine="0"/>
        <w:jc w:val="left"/>
        <w:rPr>
          <w:sz w:val="22"/>
        </w:rPr>
      </w:pPr>
      <w:r>
        <w:rPr>
          <w:sz w:val="22"/>
        </w:rPr>
        <w:t>There</w:t>
      </w:r>
      <w:r>
        <w:rPr>
          <w:spacing w:val="24"/>
          <w:sz w:val="22"/>
        </w:rPr>
        <w:t> </w:t>
      </w:r>
      <w:r>
        <w:rPr>
          <w:sz w:val="22"/>
        </w:rPr>
        <w:t>have</w:t>
      </w:r>
      <w:r>
        <w:rPr>
          <w:spacing w:val="24"/>
          <w:sz w:val="22"/>
        </w:rPr>
        <w:t> </w:t>
      </w:r>
      <w:r>
        <w:rPr>
          <w:sz w:val="22"/>
        </w:rPr>
        <w:t>been</w:t>
      </w:r>
      <w:r>
        <w:rPr>
          <w:spacing w:val="24"/>
          <w:sz w:val="22"/>
        </w:rPr>
        <w:t> </w:t>
      </w:r>
      <w:r>
        <w:rPr>
          <w:sz w:val="22"/>
        </w:rPr>
        <w:t>three</w:t>
      </w:r>
      <w:r>
        <w:rPr>
          <w:spacing w:val="24"/>
          <w:sz w:val="22"/>
        </w:rPr>
        <w:t> </w:t>
      </w:r>
      <w:r>
        <w:rPr>
          <w:sz w:val="22"/>
        </w:rPr>
        <w:t>declarations</w:t>
      </w:r>
      <w:r>
        <w:rPr>
          <w:spacing w:val="24"/>
          <w:sz w:val="22"/>
        </w:rPr>
        <w:t> </w:t>
      </w:r>
      <w:r>
        <w:rPr>
          <w:sz w:val="22"/>
        </w:rPr>
        <w:t>as</w:t>
      </w:r>
      <w:r>
        <w:rPr>
          <w:spacing w:val="24"/>
          <w:sz w:val="22"/>
        </w:rPr>
        <w:t> </w:t>
      </w:r>
      <w:r>
        <w:rPr>
          <w:sz w:val="22"/>
        </w:rPr>
        <w:t>to</w:t>
      </w:r>
      <w:r>
        <w:rPr>
          <w:spacing w:val="24"/>
          <w:sz w:val="22"/>
        </w:rPr>
        <w:t> </w:t>
      </w:r>
      <w:r>
        <w:rPr>
          <w:sz w:val="22"/>
        </w:rPr>
        <w:t>Gifts,</w:t>
      </w:r>
      <w:r>
        <w:rPr>
          <w:spacing w:val="24"/>
          <w:sz w:val="22"/>
        </w:rPr>
        <w:t> </w:t>
      </w:r>
      <w:r>
        <w:rPr>
          <w:sz w:val="22"/>
        </w:rPr>
        <w:t>Hospitality</w:t>
      </w:r>
      <w:r>
        <w:rPr>
          <w:spacing w:val="24"/>
          <w:sz w:val="22"/>
        </w:rPr>
        <w:t> </w:t>
      </w:r>
      <w:r>
        <w:rPr>
          <w:sz w:val="22"/>
        </w:rPr>
        <w:t>or</w:t>
      </w:r>
      <w:r>
        <w:rPr>
          <w:spacing w:val="24"/>
          <w:sz w:val="22"/>
        </w:rPr>
        <w:t> </w:t>
      </w:r>
      <w:r>
        <w:rPr>
          <w:sz w:val="22"/>
        </w:rPr>
        <w:t>Sponsorship</w:t>
      </w:r>
      <w:r>
        <w:rPr>
          <w:spacing w:val="24"/>
          <w:sz w:val="22"/>
        </w:rPr>
        <w:t> </w:t>
      </w:r>
      <w:r>
        <w:rPr>
          <w:sz w:val="22"/>
        </w:rPr>
        <w:t>made</w:t>
      </w:r>
      <w:r>
        <w:rPr>
          <w:spacing w:val="24"/>
          <w:sz w:val="22"/>
        </w:rPr>
        <w:t> </w:t>
      </w:r>
      <w:r>
        <w:rPr>
          <w:sz w:val="22"/>
        </w:rPr>
        <w:t>since</w:t>
      </w:r>
      <w:r>
        <w:rPr>
          <w:spacing w:val="24"/>
          <w:sz w:val="22"/>
        </w:rPr>
        <w:t> </w:t>
      </w:r>
      <w:r>
        <w:rPr>
          <w:sz w:val="22"/>
        </w:rPr>
        <w:t>the</w:t>
      </w:r>
      <w:r>
        <w:rPr>
          <w:spacing w:val="24"/>
          <w:sz w:val="22"/>
        </w:rPr>
        <w:t> </w:t>
      </w:r>
      <w:r>
        <w:rPr>
          <w:sz w:val="22"/>
        </w:rPr>
        <w:t>last Audit Committee meeting. These are as follows:</w:t>
      </w:r>
    </w:p>
    <w:p>
      <w:pPr>
        <w:pStyle w:val="BodyText"/>
        <w:rPr>
          <w:sz w:val="22"/>
        </w:rPr>
      </w:pPr>
    </w:p>
    <w:p>
      <w:pPr>
        <w:pStyle w:val="ListParagraph"/>
        <w:numPr>
          <w:ilvl w:val="1"/>
          <w:numId w:val="39"/>
        </w:numPr>
        <w:tabs>
          <w:tab w:pos="1440" w:val="left" w:leader="none"/>
        </w:tabs>
        <w:spacing w:line="240" w:lineRule="auto" w:before="0" w:after="0"/>
        <w:ind w:left="1440" w:right="376" w:hanging="360"/>
        <w:jc w:val="both"/>
        <w:rPr>
          <w:sz w:val="22"/>
        </w:rPr>
      </w:pPr>
      <w:r>
        <w:rPr>
          <w:sz w:val="22"/>
        </w:rPr>
        <w:t>Evening</w:t>
      </w:r>
      <w:r>
        <w:rPr>
          <w:spacing w:val="-8"/>
          <w:sz w:val="22"/>
        </w:rPr>
        <w:t> </w:t>
      </w:r>
      <w:r>
        <w:rPr>
          <w:sz w:val="22"/>
        </w:rPr>
        <w:t>awards</w:t>
      </w:r>
      <w:r>
        <w:rPr>
          <w:spacing w:val="-8"/>
          <w:sz w:val="22"/>
        </w:rPr>
        <w:t> </w:t>
      </w:r>
      <w:r>
        <w:rPr>
          <w:sz w:val="22"/>
        </w:rPr>
        <w:t>dinner</w:t>
      </w:r>
      <w:r>
        <w:rPr>
          <w:spacing w:val="-8"/>
          <w:sz w:val="22"/>
        </w:rPr>
        <w:t> </w:t>
      </w:r>
      <w:r>
        <w:rPr>
          <w:sz w:val="22"/>
        </w:rPr>
        <w:t>linked</w:t>
      </w:r>
      <w:r>
        <w:rPr>
          <w:spacing w:val="-8"/>
          <w:sz w:val="22"/>
        </w:rPr>
        <w:t> </w:t>
      </w:r>
      <w:r>
        <w:rPr>
          <w:sz w:val="22"/>
        </w:rPr>
        <w:t>to</w:t>
      </w:r>
      <w:r>
        <w:rPr>
          <w:spacing w:val="-8"/>
          <w:sz w:val="22"/>
        </w:rPr>
        <w:t> </w:t>
      </w:r>
      <w:r>
        <w:rPr>
          <w:sz w:val="22"/>
        </w:rPr>
        <w:t>BIP</w:t>
      </w:r>
      <w:r>
        <w:rPr>
          <w:spacing w:val="-8"/>
          <w:sz w:val="22"/>
        </w:rPr>
        <w:t> </w:t>
      </w:r>
      <w:r>
        <w:rPr>
          <w:sz w:val="22"/>
        </w:rPr>
        <w:t>Procurex.</w:t>
      </w:r>
      <w:r>
        <w:rPr>
          <w:spacing w:val="-8"/>
          <w:sz w:val="22"/>
        </w:rPr>
        <w:t> </w:t>
      </w:r>
      <w:r>
        <w:rPr>
          <w:sz w:val="22"/>
        </w:rPr>
        <w:t>Offer</w:t>
      </w:r>
      <w:r>
        <w:rPr>
          <w:spacing w:val="-8"/>
          <w:sz w:val="22"/>
        </w:rPr>
        <w:t> </w:t>
      </w:r>
      <w:r>
        <w:rPr>
          <w:sz w:val="22"/>
        </w:rPr>
        <w:t>made</w:t>
      </w:r>
      <w:r>
        <w:rPr>
          <w:spacing w:val="-8"/>
          <w:sz w:val="22"/>
        </w:rPr>
        <w:t> </w:t>
      </w:r>
      <w:r>
        <w:rPr>
          <w:sz w:val="22"/>
        </w:rPr>
        <w:t>to</w:t>
      </w:r>
      <w:r>
        <w:rPr>
          <w:spacing w:val="-8"/>
          <w:sz w:val="22"/>
        </w:rPr>
        <w:t> </w:t>
      </w:r>
      <w:r>
        <w:rPr>
          <w:sz w:val="22"/>
        </w:rPr>
        <w:t>NWSSP’s</w:t>
      </w:r>
      <w:r>
        <w:rPr>
          <w:spacing w:val="-8"/>
          <w:sz w:val="22"/>
        </w:rPr>
        <w:t> </w:t>
      </w:r>
      <w:r>
        <w:rPr>
          <w:sz w:val="22"/>
        </w:rPr>
        <w:t>Programme</w:t>
      </w:r>
      <w:r>
        <w:rPr>
          <w:spacing w:val="-8"/>
          <w:sz w:val="22"/>
        </w:rPr>
        <w:t> </w:t>
      </w:r>
      <w:r>
        <w:rPr>
          <w:sz w:val="22"/>
        </w:rPr>
        <w:t>Director as</w:t>
      </w:r>
      <w:r>
        <w:rPr>
          <w:spacing w:val="-20"/>
          <w:sz w:val="22"/>
        </w:rPr>
        <w:t> </w:t>
      </w:r>
      <w:r>
        <w:rPr>
          <w:sz w:val="22"/>
        </w:rPr>
        <w:t>chief</w:t>
      </w:r>
      <w:r>
        <w:rPr>
          <w:spacing w:val="-19"/>
          <w:sz w:val="22"/>
        </w:rPr>
        <w:t> </w:t>
      </w:r>
      <w:r>
        <w:rPr>
          <w:sz w:val="22"/>
        </w:rPr>
        <w:t>Judge</w:t>
      </w:r>
      <w:r>
        <w:rPr>
          <w:spacing w:val="-19"/>
          <w:sz w:val="22"/>
        </w:rPr>
        <w:t> </w:t>
      </w:r>
      <w:r>
        <w:rPr>
          <w:sz w:val="22"/>
        </w:rPr>
        <w:t>for</w:t>
      </w:r>
      <w:r>
        <w:rPr>
          <w:spacing w:val="-20"/>
          <w:sz w:val="22"/>
        </w:rPr>
        <w:t> </w:t>
      </w:r>
      <w:r>
        <w:rPr>
          <w:sz w:val="22"/>
        </w:rPr>
        <w:t>the</w:t>
      </w:r>
      <w:r>
        <w:rPr>
          <w:spacing w:val="-19"/>
          <w:sz w:val="22"/>
        </w:rPr>
        <w:t> </w:t>
      </w:r>
      <w:r>
        <w:rPr>
          <w:sz w:val="22"/>
        </w:rPr>
        <w:t>awards</w:t>
      </w:r>
      <w:r>
        <w:rPr>
          <w:spacing w:val="-20"/>
          <w:sz w:val="22"/>
        </w:rPr>
        <w:t> </w:t>
      </w:r>
      <w:r>
        <w:rPr>
          <w:sz w:val="22"/>
        </w:rPr>
        <w:t>event.</w:t>
      </w:r>
      <w:r>
        <w:rPr>
          <w:spacing w:val="-19"/>
          <w:sz w:val="22"/>
        </w:rPr>
        <w:t> </w:t>
      </w:r>
      <w:r>
        <w:rPr>
          <w:sz w:val="22"/>
        </w:rPr>
        <w:t>funded</w:t>
      </w:r>
      <w:r>
        <w:rPr>
          <w:spacing w:val="-19"/>
          <w:sz w:val="22"/>
        </w:rPr>
        <w:t> </w:t>
      </w:r>
      <w:r>
        <w:rPr>
          <w:sz w:val="22"/>
        </w:rPr>
        <w:t>by</w:t>
      </w:r>
      <w:r>
        <w:rPr>
          <w:spacing w:val="-19"/>
          <w:sz w:val="22"/>
        </w:rPr>
        <w:t> </w:t>
      </w:r>
      <w:r>
        <w:rPr>
          <w:sz w:val="22"/>
        </w:rPr>
        <w:t>BIP</w:t>
      </w:r>
      <w:r>
        <w:rPr>
          <w:spacing w:val="-17"/>
          <w:sz w:val="22"/>
        </w:rPr>
        <w:t> </w:t>
      </w:r>
      <w:r>
        <w:rPr>
          <w:sz w:val="22"/>
        </w:rPr>
        <w:t>Solutions.</w:t>
      </w:r>
      <w:r>
        <w:rPr>
          <w:spacing w:val="-17"/>
          <w:sz w:val="22"/>
        </w:rPr>
        <w:t> </w:t>
      </w:r>
      <w:r>
        <w:rPr>
          <w:sz w:val="22"/>
        </w:rPr>
        <w:t>Total</w:t>
      </w:r>
      <w:r>
        <w:rPr>
          <w:spacing w:val="-17"/>
          <w:sz w:val="22"/>
        </w:rPr>
        <w:t> </w:t>
      </w:r>
      <w:r>
        <w:rPr>
          <w:sz w:val="22"/>
        </w:rPr>
        <w:t>value</w:t>
      </w:r>
      <w:r>
        <w:rPr>
          <w:spacing w:val="-17"/>
          <w:sz w:val="22"/>
        </w:rPr>
        <w:t> </w:t>
      </w:r>
      <w:r>
        <w:rPr>
          <w:sz w:val="22"/>
        </w:rPr>
        <w:t>of</w:t>
      </w:r>
      <w:r>
        <w:rPr>
          <w:spacing w:val="-17"/>
          <w:sz w:val="22"/>
        </w:rPr>
        <w:t> </w:t>
      </w:r>
      <w:r>
        <w:rPr>
          <w:sz w:val="22"/>
        </w:rPr>
        <w:t>£40</w:t>
      </w:r>
      <w:r>
        <w:rPr>
          <w:spacing w:val="-17"/>
          <w:sz w:val="22"/>
        </w:rPr>
        <w:t> </w:t>
      </w:r>
      <w:r>
        <w:rPr>
          <w:sz w:val="22"/>
        </w:rPr>
        <w:t>–</w:t>
      </w:r>
      <w:r>
        <w:rPr>
          <w:spacing w:val="-17"/>
          <w:sz w:val="22"/>
        </w:rPr>
        <w:t> </w:t>
      </w:r>
      <w:r>
        <w:rPr>
          <w:b/>
          <w:sz w:val="22"/>
        </w:rPr>
        <w:t>Accepted and Approved</w:t>
      </w:r>
      <w:r>
        <w:rPr>
          <w:sz w:val="22"/>
        </w:rPr>
        <w:t>;</w:t>
      </w:r>
    </w:p>
    <w:p>
      <w:pPr>
        <w:pStyle w:val="ListParagraph"/>
        <w:numPr>
          <w:ilvl w:val="1"/>
          <w:numId w:val="39"/>
        </w:numPr>
        <w:tabs>
          <w:tab w:pos="1440" w:val="left" w:leader="none"/>
        </w:tabs>
        <w:spacing w:line="237" w:lineRule="auto" w:before="0" w:after="0"/>
        <w:ind w:left="1440" w:right="377" w:hanging="360"/>
        <w:jc w:val="both"/>
        <w:rPr>
          <w:sz w:val="22"/>
        </w:rPr>
      </w:pPr>
      <w:r>
        <w:rPr>
          <w:sz w:val="22"/>
        </w:rPr>
        <w:t>Evening awards dinner linked to the HCSA event. Approximate value of £350 - </w:t>
      </w:r>
      <w:r>
        <w:rPr>
          <w:b/>
          <w:sz w:val="22"/>
        </w:rPr>
        <w:t>this offer was Accepted and Approved</w:t>
      </w:r>
      <w:r>
        <w:rPr>
          <w:sz w:val="22"/>
        </w:rPr>
        <w:t>; and</w:t>
      </w:r>
    </w:p>
    <w:p>
      <w:pPr>
        <w:pStyle w:val="ListParagraph"/>
        <w:numPr>
          <w:ilvl w:val="1"/>
          <w:numId w:val="39"/>
        </w:numPr>
        <w:tabs>
          <w:tab w:pos="1440" w:val="left" w:leader="none"/>
        </w:tabs>
        <w:spacing w:line="237" w:lineRule="auto" w:before="4" w:after="0"/>
        <w:ind w:left="1440" w:right="378" w:hanging="360"/>
        <w:jc w:val="both"/>
        <w:rPr>
          <w:sz w:val="22"/>
        </w:rPr>
      </w:pPr>
      <w:r>
        <w:rPr>
          <w:sz w:val="22"/>
        </w:rPr>
        <w:t>PROMPT Wales Celebratory Event, funded by RLDatix Ltd. Total costs of £250. </w:t>
      </w:r>
      <w:r>
        <w:rPr>
          <w:b/>
          <w:sz w:val="22"/>
        </w:rPr>
        <w:t>Accepted and Approved</w:t>
      </w:r>
      <w:r>
        <w:rPr>
          <w:sz w:val="22"/>
        </w:rPr>
        <w:t>.</w:t>
      </w:r>
    </w:p>
    <w:p>
      <w:pPr>
        <w:pStyle w:val="BodyText"/>
        <w:rPr>
          <w:sz w:val="22"/>
        </w:rPr>
      </w:pPr>
    </w:p>
    <w:p>
      <w:pPr>
        <w:pStyle w:val="ListParagraph"/>
        <w:numPr>
          <w:ilvl w:val="0"/>
          <w:numId w:val="39"/>
        </w:numPr>
        <w:tabs>
          <w:tab w:pos="1080" w:val="left" w:leader="none"/>
        </w:tabs>
        <w:spacing w:line="240" w:lineRule="auto" w:before="1" w:after="0"/>
        <w:ind w:left="1080" w:right="0" w:hanging="360"/>
        <w:jc w:val="left"/>
        <w:rPr>
          <w:b/>
          <w:sz w:val="22"/>
        </w:rPr>
      </w:pPr>
      <w:r>
        <w:rPr>
          <w:b/>
          <w:sz w:val="22"/>
        </w:rPr>
        <w:t>WELSH</w:t>
      </w:r>
      <w:r>
        <w:rPr>
          <w:b/>
          <w:spacing w:val="-6"/>
          <w:sz w:val="22"/>
        </w:rPr>
        <w:t> </w:t>
      </w:r>
      <w:r>
        <w:rPr>
          <w:b/>
          <w:sz w:val="22"/>
        </w:rPr>
        <w:t>GOVERNMENT</w:t>
      </w:r>
      <w:r>
        <w:rPr>
          <w:b/>
          <w:spacing w:val="-4"/>
          <w:sz w:val="22"/>
        </w:rPr>
        <w:t> </w:t>
      </w:r>
      <w:r>
        <w:rPr>
          <w:b/>
          <w:sz w:val="22"/>
        </w:rPr>
        <w:t>QUARTERLY</w:t>
      </w:r>
      <w:r>
        <w:rPr>
          <w:b/>
          <w:spacing w:val="-4"/>
          <w:sz w:val="22"/>
        </w:rPr>
        <w:t> </w:t>
      </w:r>
      <w:r>
        <w:rPr>
          <w:b/>
          <w:spacing w:val="-2"/>
          <w:sz w:val="22"/>
        </w:rPr>
        <w:t>UPDATE</w:t>
      </w:r>
    </w:p>
    <w:p>
      <w:pPr>
        <w:pStyle w:val="BodyText"/>
        <w:spacing w:before="12"/>
        <w:rPr>
          <w:b/>
          <w:sz w:val="21"/>
        </w:rPr>
      </w:pPr>
    </w:p>
    <w:p>
      <w:pPr>
        <w:spacing w:before="0"/>
        <w:ind w:left="720" w:right="0" w:firstLine="0"/>
        <w:jc w:val="left"/>
        <w:rPr>
          <w:sz w:val="22"/>
        </w:rPr>
      </w:pPr>
      <w:r>
        <w:rPr>
          <w:sz w:val="22"/>
        </w:rPr>
        <w:t>On</w:t>
      </w:r>
      <w:r>
        <w:rPr>
          <w:spacing w:val="-1"/>
          <w:sz w:val="22"/>
        </w:rPr>
        <w:t> </w:t>
      </w:r>
      <w:r>
        <w:rPr>
          <w:sz w:val="22"/>
        </w:rPr>
        <w:t>a</w:t>
      </w:r>
      <w:r>
        <w:rPr>
          <w:spacing w:val="-1"/>
          <w:sz w:val="22"/>
        </w:rPr>
        <w:t> </w:t>
      </w:r>
      <w:r>
        <w:rPr>
          <w:sz w:val="22"/>
        </w:rPr>
        <w:t>quarterly</w:t>
      </w:r>
      <w:r>
        <w:rPr>
          <w:spacing w:val="-1"/>
          <w:sz w:val="22"/>
        </w:rPr>
        <w:t> </w:t>
      </w:r>
      <w:r>
        <w:rPr>
          <w:sz w:val="22"/>
        </w:rPr>
        <w:t>basis,</w:t>
      </w:r>
      <w:r>
        <w:rPr>
          <w:spacing w:val="-1"/>
          <w:sz w:val="22"/>
        </w:rPr>
        <w:t> </w:t>
      </w:r>
      <w:r>
        <w:rPr>
          <w:sz w:val="22"/>
        </w:rPr>
        <w:t>we</w:t>
      </w:r>
      <w:r>
        <w:rPr>
          <w:spacing w:val="-1"/>
          <w:sz w:val="22"/>
        </w:rPr>
        <w:t> </w:t>
      </w:r>
      <w:r>
        <w:rPr>
          <w:sz w:val="22"/>
        </w:rPr>
        <w:t>issue</w:t>
      </w:r>
      <w:r>
        <w:rPr>
          <w:spacing w:val="-1"/>
          <w:sz w:val="22"/>
        </w:rPr>
        <w:t> </w:t>
      </w:r>
      <w:r>
        <w:rPr>
          <w:sz w:val="22"/>
        </w:rPr>
        <w:t>a</w:t>
      </w:r>
      <w:r>
        <w:rPr>
          <w:spacing w:val="-1"/>
          <w:sz w:val="22"/>
        </w:rPr>
        <w:t> </w:t>
      </w:r>
      <w:r>
        <w:rPr>
          <w:sz w:val="22"/>
        </w:rPr>
        <w:t>letter</w:t>
      </w:r>
      <w:r>
        <w:rPr>
          <w:spacing w:val="-1"/>
          <w:sz w:val="22"/>
        </w:rPr>
        <w:t> </w:t>
      </w:r>
      <w:r>
        <w:rPr>
          <w:sz w:val="22"/>
        </w:rPr>
        <w:t>to</w:t>
      </w:r>
      <w:r>
        <w:rPr>
          <w:spacing w:val="-1"/>
          <w:sz w:val="22"/>
        </w:rPr>
        <w:t> </w:t>
      </w:r>
      <w:r>
        <w:rPr>
          <w:sz w:val="22"/>
        </w:rPr>
        <w:t>Judith</w:t>
      </w:r>
      <w:r>
        <w:rPr>
          <w:spacing w:val="-1"/>
          <w:sz w:val="22"/>
        </w:rPr>
        <w:t> </w:t>
      </w:r>
      <w:r>
        <w:rPr>
          <w:sz w:val="22"/>
        </w:rPr>
        <w:t>Paget</w:t>
      </w:r>
      <w:r>
        <w:rPr>
          <w:spacing w:val="-1"/>
          <w:sz w:val="22"/>
        </w:rPr>
        <w:t> </w:t>
      </w:r>
      <w:r>
        <w:rPr>
          <w:sz w:val="22"/>
        </w:rPr>
        <w:t>at</w:t>
      </w:r>
      <w:r>
        <w:rPr>
          <w:spacing w:val="-1"/>
          <w:sz w:val="22"/>
        </w:rPr>
        <w:t> </w:t>
      </w:r>
      <w:r>
        <w:rPr>
          <w:sz w:val="22"/>
        </w:rPr>
        <w:t>Welsh</w:t>
      </w:r>
      <w:r>
        <w:rPr>
          <w:spacing w:val="-1"/>
          <w:sz w:val="22"/>
        </w:rPr>
        <w:t> </w:t>
      </w:r>
      <w:r>
        <w:rPr>
          <w:sz w:val="22"/>
        </w:rPr>
        <w:t>Government</w:t>
      </w:r>
      <w:r>
        <w:rPr>
          <w:spacing w:val="-1"/>
          <w:sz w:val="22"/>
        </w:rPr>
        <w:t> </w:t>
      </w:r>
      <w:r>
        <w:rPr>
          <w:sz w:val="22"/>
        </w:rPr>
        <w:t>to</w:t>
      </w:r>
      <w:r>
        <w:rPr>
          <w:spacing w:val="-1"/>
          <w:sz w:val="22"/>
        </w:rPr>
        <w:t> </w:t>
      </w:r>
      <w:r>
        <w:rPr>
          <w:sz w:val="22"/>
        </w:rPr>
        <w:t>confirm</w:t>
      </w:r>
      <w:r>
        <w:rPr>
          <w:spacing w:val="-1"/>
          <w:sz w:val="22"/>
        </w:rPr>
        <w:t> </w:t>
      </w:r>
      <w:r>
        <w:rPr>
          <w:sz w:val="22"/>
        </w:rPr>
        <w:t>any</w:t>
      </w:r>
      <w:r>
        <w:rPr>
          <w:spacing w:val="-1"/>
          <w:sz w:val="22"/>
        </w:rPr>
        <w:t> </w:t>
      </w:r>
      <w:r>
        <w:rPr>
          <w:sz w:val="22"/>
        </w:rPr>
        <w:t>Audit Reports which have achieved limited or no assurance.</w:t>
      </w:r>
      <w:r>
        <w:rPr>
          <w:spacing w:val="80"/>
          <w:sz w:val="22"/>
        </w:rPr>
        <w:t> </w:t>
      </w:r>
      <w:r>
        <w:rPr>
          <w:sz w:val="22"/>
        </w:rPr>
        <w:t>This was a nil return for the last quarter.</w:t>
      </w:r>
    </w:p>
    <w:p>
      <w:pPr>
        <w:pStyle w:val="BodyText"/>
        <w:rPr>
          <w:sz w:val="26"/>
        </w:rPr>
      </w:pPr>
    </w:p>
    <w:p>
      <w:pPr>
        <w:spacing w:before="219"/>
        <w:ind w:left="720" w:right="0" w:firstLine="0"/>
        <w:jc w:val="left"/>
        <w:rPr>
          <w:b/>
          <w:sz w:val="22"/>
        </w:rPr>
      </w:pPr>
      <w:r>
        <w:rPr>
          <w:b/>
          <w:sz w:val="22"/>
        </w:rPr>
        <w:t>6. </w:t>
      </w:r>
      <w:r>
        <w:rPr>
          <w:b/>
          <w:spacing w:val="-2"/>
          <w:sz w:val="22"/>
        </w:rPr>
        <w:t>RECOMMENDATIONS</w:t>
      </w:r>
    </w:p>
    <w:p>
      <w:pPr>
        <w:pStyle w:val="BodyText"/>
        <w:spacing w:before="9"/>
        <w:rPr>
          <w:b/>
          <w:sz w:val="19"/>
        </w:rPr>
      </w:pPr>
    </w:p>
    <w:p>
      <w:pPr>
        <w:spacing w:before="0"/>
        <w:ind w:left="720" w:right="0" w:firstLine="0"/>
        <w:jc w:val="left"/>
        <w:rPr>
          <w:sz w:val="22"/>
        </w:rPr>
      </w:pPr>
      <w:r>
        <w:rPr>
          <w:sz w:val="22"/>
        </w:rPr>
        <w:t>The</w:t>
      </w:r>
      <w:r>
        <w:rPr>
          <w:spacing w:val="-2"/>
          <w:sz w:val="22"/>
        </w:rPr>
        <w:t> </w:t>
      </w:r>
      <w:r>
        <w:rPr>
          <w:sz w:val="22"/>
        </w:rPr>
        <w:t>Committee</w:t>
      </w:r>
      <w:r>
        <w:rPr>
          <w:spacing w:val="-1"/>
          <w:sz w:val="22"/>
        </w:rPr>
        <w:t> </w:t>
      </w:r>
      <w:r>
        <w:rPr>
          <w:sz w:val="22"/>
        </w:rPr>
        <w:t>is</w:t>
      </w:r>
      <w:r>
        <w:rPr>
          <w:spacing w:val="-2"/>
          <w:sz w:val="22"/>
        </w:rPr>
        <w:t> </w:t>
      </w:r>
      <w:r>
        <w:rPr>
          <w:sz w:val="22"/>
        </w:rPr>
        <w:t>asked</w:t>
      </w:r>
      <w:r>
        <w:rPr>
          <w:spacing w:val="-1"/>
          <w:sz w:val="22"/>
        </w:rPr>
        <w:t> </w:t>
      </w:r>
      <w:r>
        <w:rPr>
          <w:sz w:val="22"/>
        </w:rPr>
        <w:t>to</w:t>
      </w:r>
      <w:r>
        <w:rPr>
          <w:spacing w:val="-2"/>
          <w:sz w:val="22"/>
        </w:rPr>
        <w:t> </w:t>
      </w:r>
      <w:r>
        <w:rPr>
          <w:b/>
          <w:sz w:val="22"/>
        </w:rPr>
        <w:t>NOTE</w:t>
      </w:r>
      <w:r>
        <w:rPr>
          <w:b/>
          <w:spacing w:val="1"/>
          <w:sz w:val="22"/>
        </w:rPr>
        <w:t> </w:t>
      </w:r>
      <w:r>
        <w:rPr>
          <w:sz w:val="22"/>
        </w:rPr>
        <w:t>the</w:t>
      </w:r>
      <w:r>
        <w:rPr>
          <w:spacing w:val="-1"/>
          <w:sz w:val="22"/>
        </w:rPr>
        <w:t> </w:t>
      </w:r>
      <w:r>
        <w:rPr>
          <w:spacing w:val="-2"/>
          <w:sz w:val="22"/>
        </w:rPr>
        <w:t>report.</w:t>
      </w:r>
    </w:p>
    <w:p>
      <w:pPr>
        <w:spacing w:after="0"/>
        <w:jc w:val="left"/>
        <w:rPr>
          <w:sz w:val="22"/>
        </w:rPr>
        <w:sectPr>
          <w:footerReference w:type="default" r:id="rId196"/>
          <w:pgSz w:w="11910" w:h="16840"/>
          <w:pgMar w:footer="644" w:header="0" w:top="620" w:bottom="840" w:left="0" w:right="0"/>
        </w:sectPr>
      </w:pPr>
    </w:p>
    <w:p>
      <w:pPr>
        <w:spacing w:before="74"/>
        <w:ind w:left="230" w:right="0" w:firstLine="0"/>
        <w:jc w:val="left"/>
        <w:rPr>
          <w:b/>
          <w:sz w:val="24"/>
        </w:rPr>
      </w:pPr>
      <w:r>
        <w:rPr>
          <w:b/>
          <w:sz w:val="24"/>
        </w:rPr>
        <w:t>Appendix</w:t>
      </w:r>
      <w:r>
        <w:rPr>
          <w:b/>
          <w:spacing w:val="-6"/>
          <w:sz w:val="24"/>
        </w:rPr>
        <w:t> </w:t>
      </w:r>
      <w:r>
        <w:rPr>
          <w:b/>
          <w:sz w:val="24"/>
        </w:rPr>
        <w:t>A</w:t>
      </w:r>
      <w:r>
        <w:rPr>
          <w:b/>
          <w:spacing w:val="-3"/>
          <w:sz w:val="24"/>
        </w:rPr>
        <w:t> </w:t>
      </w:r>
      <w:r>
        <w:rPr>
          <w:b/>
          <w:sz w:val="24"/>
        </w:rPr>
        <w:t>-</w:t>
      </w:r>
      <w:r>
        <w:rPr>
          <w:b/>
          <w:spacing w:val="-2"/>
          <w:sz w:val="24"/>
        </w:rPr>
        <w:t> </w:t>
      </w:r>
      <w:r>
        <w:rPr>
          <w:b/>
          <w:sz w:val="24"/>
        </w:rPr>
        <w:t>NWSSP</w:t>
      </w:r>
      <w:r>
        <w:rPr>
          <w:b/>
          <w:spacing w:val="-3"/>
          <w:sz w:val="24"/>
        </w:rPr>
        <w:t> </w:t>
      </w:r>
      <w:r>
        <w:rPr>
          <w:b/>
          <w:sz w:val="24"/>
        </w:rPr>
        <w:t>Contracting</w:t>
      </w:r>
      <w:r>
        <w:rPr>
          <w:b/>
          <w:spacing w:val="-3"/>
          <w:sz w:val="24"/>
        </w:rPr>
        <w:t> </w:t>
      </w:r>
      <w:r>
        <w:rPr>
          <w:b/>
          <w:sz w:val="24"/>
        </w:rPr>
        <w:t>Activity</w:t>
      </w:r>
      <w:r>
        <w:rPr>
          <w:b/>
          <w:spacing w:val="-3"/>
          <w:sz w:val="24"/>
        </w:rPr>
        <w:t> </w:t>
      </w:r>
      <w:r>
        <w:rPr>
          <w:b/>
          <w:sz w:val="24"/>
        </w:rPr>
        <w:t>Undertaken</w:t>
      </w:r>
      <w:r>
        <w:rPr>
          <w:b/>
          <w:spacing w:val="-3"/>
          <w:sz w:val="24"/>
        </w:rPr>
        <w:t> </w:t>
      </w:r>
      <w:r>
        <w:rPr>
          <w:b/>
          <w:sz w:val="24"/>
        </w:rPr>
        <w:t>(21/09/2022</w:t>
      </w:r>
      <w:r>
        <w:rPr>
          <w:b/>
          <w:spacing w:val="-3"/>
          <w:sz w:val="24"/>
        </w:rPr>
        <w:t> </w:t>
      </w:r>
      <w:r>
        <w:rPr>
          <w:b/>
          <w:sz w:val="24"/>
        </w:rPr>
        <w:t>to</w:t>
      </w:r>
      <w:r>
        <w:rPr>
          <w:b/>
          <w:spacing w:val="-3"/>
          <w:sz w:val="24"/>
        </w:rPr>
        <w:t> </w:t>
      </w:r>
      <w:r>
        <w:rPr>
          <w:b/>
          <w:spacing w:val="-2"/>
          <w:sz w:val="24"/>
        </w:rPr>
        <w:t>20/12/2022)</w:t>
      </w:r>
    </w:p>
    <w:p>
      <w:pPr>
        <w:pStyle w:val="BodyText"/>
        <w:rPr>
          <w:b/>
          <w:sz w:val="20"/>
        </w:rPr>
      </w:pPr>
    </w:p>
    <w:p>
      <w:pPr>
        <w:pStyle w:val="BodyText"/>
        <w:spacing w:before="7"/>
        <w:rPr>
          <w:b/>
          <w:sz w:val="27"/>
        </w:rPr>
      </w:pPr>
    </w:p>
    <w:tbl>
      <w:tblPr>
        <w:tblW w:w="0" w:type="auto"/>
        <w:jc w:val="left"/>
        <w:tblInd w:w="1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2"/>
        <w:gridCol w:w="695"/>
        <w:gridCol w:w="986"/>
        <w:gridCol w:w="1486"/>
        <w:gridCol w:w="1246"/>
        <w:gridCol w:w="1479"/>
        <w:gridCol w:w="1459"/>
        <w:gridCol w:w="1276"/>
        <w:gridCol w:w="1418"/>
        <w:gridCol w:w="2557"/>
        <w:gridCol w:w="1586"/>
        <w:gridCol w:w="1430"/>
      </w:tblGrid>
      <w:tr>
        <w:trPr>
          <w:trHeight w:val="870" w:hRule="atLeast"/>
        </w:trPr>
        <w:tc>
          <w:tcPr>
            <w:tcW w:w="582" w:type="dxa"/>
            <w:shd w:val="clear" w:color="auto" w:fill="BDD6EE"/>
          </w:tcPr>
          <w:p>
            <w:pPr>
              <w:pStyle w:val="TableParagraph"/>
              <w:ind w:left="108"/>
              <w:rPr>
                <w:b/>
                <w:sz w:val="16"/>
              </w:rPr>
            </w:pPr>
            <w:r>
              <w:rPr>
                <w:b/>
                <w:spacing w:val="-5"/>
                <w:sz w:val="16"/>
              </w:rPr>
              <w:t>No.</w:t>
            </w:r>
          </w:p>
        </w:tc>
        <w:tc>
          <w:tcPr>
            <w:tcW w:w="695" w:type="dxa"/>
            <w:shd w:val="clear" w:color="auto" w:fill="BDD6EE"/>
          </w:tcPr>
          <w:p>
            <w:pPr>
              <w:pStyle w:val="TableParagraph"/>
              <w:ind w:left="108"/>
              <w:rPr>
                <w:b/>
                <w:sz w:val="16"/>
              </w:rPr>
            </w:pPr>
            <w:r>
              <w:rPr>
                <w:b/>
                <w:spacing w:val="-2"/>
                <w:sz w:val="16"/>
              </w:rPr>
              <w:t>Trust</w:t>
            </w:r>
          </w:p>
        </w:tc>
        <w:tc>
          <w:tcPr>
            <w:tcW w:w="986" w:type="dxa"/>
            <w:shd w:val="clear" w:color="auto" w:fill="BDD6EE"/>
          </w:tcPr>
          <w:p>
            <w:pPr>
              <w:pStyle w:val="TableParagraph"/>
              <w:ind w:left="107"/>
              <w:rPr>
                <w:b/>
                <w:sz w:val="16"/>
              </w:rPr>
            </w:pPr>
            <w:r>
              <w:rPr>
                <w:b/>
                <w:spacing w:val="-2"/>
                <w:sz w:val="16"/>
              </w:rPr>
              <w:t>Division</w:t>
            </w:r>
          </w:p>
        </w:tc>
        <w:tc>
          <w:tcPr>
            <w:tcW w:w="1486" w:type="dxa"/>
            <w:shd w:val="clear" w:color="auto" w:fill="BDD6EE"/>
          </w:tcPr>
          <w:p>
            <w:pPr>
              <w:pStyle w:val="TableParagraph"/>
              <w:ind w:left="108" w:right="15"/>
              <w:rPr>
                <w:b/>
                <w:sz w:val="16"/>
              </w:rPr>
            </w:pPr>
            <w:r>
              <w:rPr>
                <w:b/>
                <w:spacing w:val="-2"/>
                <w:sz w:val="16"/>
              </w:rPr>
              <w:t>Procurement </w:t>
            </w:r>
            <w:r>
              <w:rPr>
                <w:b/>
                <w:sz w:val="16"/>
              </w:rPr>
              <w:t>Ref No</w:t>
            </w:r>
          </w:p>
        </w:tc>
        <w:tc>
          <w:tcPr>
            <w:tcW w:w="1246" w:type="dxa"/>
            <w:shd w:val="clear" w:color="auto" w:fill="BDD6EE"/>
          </w:tcPr>
          <w:p>
            <w:pPr>
              <w:pStyle w:val="TableParagraph"/>
              <w:ind w:left="107"/>
              <w:rPr>
                <w:b/>
                <w:sz w:val="16"/>
              </w:rPr>
            </w:pPr>
            <w:r>
              <w:rPr>
                <w:b/>
                <w:spacing w:val="-4"/>
                <w:sz w:val="16"/>
              </w:rPr>
              <w:t>Date</w:t>
            </w:r>
          </w:p>
        </w:tc>
        <w:tc>
          <w:tcPr>
            <w:tcW w:w="1479" w:type="dxa"/>
            <w:shd w:val="clear" w:color="auto" w:fill="BDD6EE"/>
          </w:tcPr>
          <w:p>
            <w:pPr>
              <w:pStyle w:val="TableParagraph"/>
              <w:ind w:left="108"/>
              <w:rPr>
                <w:b/>
                <w:sz w:val="16"/>
              </w:rPr>
            </w:pPr>
            <w:r>
              <w:rPr>
                <w:b/>
                <w:spacing w:val="-5"/>
                <w:sz w:val="16"/>
              </w:rPr>
              <w:t>SFI</w:t>
            </w:r>
          </w:p>
          <w:p>
            <w:pPr>
              <w:pStyle w:val="TableParagraph"/>
              <w:ind w:left="108"/>
              <w:rPr>
                <w:b/>
                <w:sz w:val="16"/>
              </w:rPr>
            </w:pPr>
            <w:r>
              <w:rPr>
                <w:b/>
                <w:spacing w:val="-2"/>
                <w:sz w:val="16"/>
              </w:rPr>
              <w:t>Reference</w:t>
            </w:r>
          </w:p>
        </w:tc>
        <w:tc>
          <w:tcPr>
            <w:tcW w:w="1459" w:type="dxa"/>
            <w:shd w:val="clear" w:color="auto" w:fill="BDD6EE"/>
          </w:tcPr>
          <w:p>
            <w:pPr>
              <w:pStyle w:val="TableParagraph"/>
              <w:ind w:left="108" w:right="149"/>
              <w:rPr>
                <w:b/>
                <w:sz w:val="16"/>
              </w:rPr>
            </w:pPr>
            <w:r>
              <w:rPr>
                <w:b/>
                <w:spacing w:val="-2"/>
                <w:sz w:val="16"/>
              </w:rPr>
              <w:t>Agreement Title/Descrip </w:t>
            </w:r>
            <w:r>
              <w:rPr>
                <w:b/>
                <w:spacing w:val="-4"/>
                <w:sz w:val="16"/>
              </w:rPr>
              <w:t>tion</w:t>
            </w:r>
          </w:p>
        </w:tc>
        <w:tc>
          <w:tcPr>
            <w:tcW w:w="1276" w:type="dxa"/>
            <w:shd w:val="clear" w:color="auto" w:fill="BDD6EE"/>
          </w:tcPr>
          <w:p>
            <w:pPr>
              <w:pStyle w:val="TableParagraph"/>
              <w:ind w:left="107"/>
              <w:rPr>
                <w:b/>
                <w:sz w:val="16"/>
              </w:rPr>
            </w:pPr>
            <w:r>
              <w:rPr>
                <w:b/>
                <w:spacing w:val="-2"/>
                <w:sz w:val="16"/>
              </w:rPr>
              <w:t>Supplier</w:t>
            </w:r>
          </w:p>
        </w:tc>
        <w:tc>
          <w:tcPr>
            <w:tcW w:w="1418" w:type="dxa"/>
            <w:shd w:val="clear" w:color="auto" w:fill="BDD6EE"/>
          </w:tcPr>
          <w:p>
            <w:pPr>
              <w:pStyle w:val="TableParagraph"/>
              <w:ind w:left="108" w:right="34"/>
              <w:rPr>
                <w:b/>
                <w:sz w:val="16"/>
              </w:rPr>
            </w:pPr>
            <w:r>
              <w:rPr>
                <w:b/>
                <w:spacing w:val="-2"/>
                <w:sz w:val="16"/>
              </w:rPr>
              <w:t>Anticipated Agreement </w:t>
            </w:r>
            <w:r>
              <w:rPr>
                <w:b/>
                <w:sz w:val="16"/>
              </w:rPr>
              <w:t>Value (ex </w:t>
            </w:r>
            <w:r>
              <w:rPr>
                <w:b/>
                <w:spacing w:val="-4"/>
                <w:sz w:val="16"/>
              </w:rPr>
              <w:t>VAT)</w:t>
            </w:r>
          </w:p>
        </w:tc>
        <w:tc>
          <w:tcPr>
            <w:tcW w:w="2557" w:type="dxa"/>
            <w:shd w:val="clear" w:color="auto" w:fill="BDD6EE"/>
          </w:tcPr>
          <w:p>
            <w:pPr>
              <w:pStyle w:val="TableParagraph"/>
              <w:ind w:left="107" w:right="181"/>
              <w:rPr>
                <w:b/>
                <w:sz w:val="16"/>
              </w:rPr>
            </w:pPr>
            <w:r>
              <w:rPr>
                <w:b/>
                <w:spacing w:val="-2"/>
                <w:sz w:val="16"/>
              </w:rPr>
              <w:t>Reason/Circumstance </w:t>
            </w:r>
            <w:r>
              <w:rPr>
                <w:b/>
                <w:sz w:val="16"/>
              </w:rPr>
              <w:t>and Issue</w:t>
            </w:r>
          </w:p>
        </w:tc>
        <w:tc>
          <w:tcPr>
            <w:tcW w:w="1586" w:type="dxa"/>
            <w:shd w:val="clear" w:color="auto" w:fill="BDD6EE"/>
          </w:tcPr>
          <w:p>
            <w:pPr>
              <w:pStyle w:val="TableParagraph"/>
              <w:ind w:left="108"/>
              <w:rPr>
                <w:b/>
                <w:sz w:val="16"/>
              </w:rPr>
            </w:pPr>
            <w:r>
              <w:rPr>
                <w:b/>
                <w:spacing w:val="-2"/>
                <w:sz w:val="16"/>
              </w:rPr>
              <w:t>Compliance Comment</w:t>
            </w:r>
          </w:p>
        </w:tc>
        <w:tc>
          <w:tcPr>
            <w:tcW w:w="1430" w:type="dxa"/>
            <w:shd w:val="clear" w:color="auto" w:fill="BDD6EE"/>
          </w:tcPr>
          <w:p>
            <w:pPr>
              <w:pStyle w:val="TableParagraph"/>
              <w:ind w:left="108" w:right="126"/>
              <w:rPr>
                <w:b/>
                <w:sz w:val="16"/>
              </w:rPr>
            </w:pPr>
            <w:r>
              <w:rPr>
                <w:b/>
                <w:spacing w:val="-2"/>
                <w:sz w:val="16"/>
              </w:rPr>
              <w:t>Procurement Action Required</w:t>
            </w:r>
          </w:p>
        </w:tc>
      </w:tr>
      <w:tr>
        <w:trPr>
          <w:trHeight w:val="972" w:hRule="atLeast"/>
        </w:trPr>
        <w:tc>
          <w:tcPr>
            <w:tcW w:w="582" w:type="dxa"/>
          </w:tcPr>
          <w:p>
            <w:pPr>
              <w:pStyle w:val="TableParagraph"/>
              <w:ind w:left="108"/>
              <w:rPr>
                <w:sz w:val="16"/>
              </w:rPr>
            </w:pPr>
            <w:r>
              <w:rPr>
                <w:spacing w:val="-5"/>
                <w:sz w:val="16"/>
              </w:rPr>
              <w:t>1.</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15"/>
              <w:rPr>
                <w:sz w:val="16"/>
              </w:rPr>
            </w:pPr>
            <w:r>
              <w:rPr>
                <w:spacing w:val="-2"/>
                <w:sz w:val="16"/>
              </w:rPr>
              <w:t>NWSSP-OJEU- 50121</w:t>
            </w:r>
          </w:p>
        </w:tc>
        <w:tc>
          <w:tcPr>
            <w:tcW w:w="1246" w:type="dxa"/>
          </w:tcPr>
          <w:p>
            <w:pPr>
              <w:pStyle w:val="TableParagraph"/>
              <w:ind w:left="107"/>
              <w:rPr>
                <w:sz w:val="16"/>
              </w:rPr>
            </w:pPr>
            <w:r>
              <w:rPr>
                <w:spacing w:val="-2"/>
                <w:sz w:val="16"/>
              </w:rPr>
              <w:t>01/12/2022</w:t>
            </w:r>
          </w:p>
        </w:tc>
        <w:tc>
          <w:tcPr>
            <w:tcW w:w="1479" w:type="dxa"/>
          </w:tcPr>
          <w:p>
            <w:pPr>
              <w:pStyle w:val="TableParagraph"/>
              <w:ind w:left="108" w:right="428"/>
              <w:rPr>
                <w:sz w:val="16"/>
              </w:rPr>
            </w:pPr>
            <w:r>
              <w:rPr>
                <w:spacing w:val="-2"/>
                <w:sz w:val="16"/>
              </w:rPr>
              <w:t>Above Threshold Tender</w:t>
            </w:r>
          </w:p>
        </w:tc>
        <w:tc>
          <w:tcPr>
            <w:tcW w:w="1459" w:type="dxa"/>
          </w:tcPr>
          <w:p>
            <w:pPr>
              <w:pStyle w:val="TableParagraph"/>
              <w:ind w:left="108" w:right="348"/>
              <w:rPr>
                <w:sz w:val="16"/>
              </w:rPr>
            </w:pPr>
            <w:r>
              <w:rPr>
                <w:sz w:val="16"/>
              </w:rPr>
              <w:t>Provision of </w:t>
            </w:r>
            <w:r>
              <w:rPr>
                <w:spacing w:val="-2"/>
                <w:sz w:val="16"/>
              </w:rPr>
              <w:t>Laundry </w:t>
            </w:r>
            <w:r>
              <w:rPr>
                <w:sz w:val="16"/>
              </w:rPr>
              <w:t>Chemicals</w:t>
            </w:r>
            <w:r>
              <w:rPr>
                <w:spacing w:val="-15"/>
                <w:sz w:val="16"/>
              </w:rPr>
              <w:t> </w:t>
            </w:r>
            <w:r>
              <w:rPr>
                <w:sz w:val="16"/>
              </w:rPr>
              <w:t>&amp; </w:t>
            </w:r>
            <w:r>
              <w:rPr>
                <w:spacing w:val="-2"/>
                <w:sz w:val="16"/>
              </w:rPr>
              <w:t>Detergent</w:t>
            </w:r>
          </w:p>
        </w:tc>
        <w:tc>
          <w:tcPr>
            <w:tcW w:w="1276" w:type="dxa"/>
          </w:tcPr>
          <w:p>
            <w:pPr>
              <w:pStyle w:val="TableParagraph"/>
              <w:ind w:left="107"/>
              <w:rPr>
                <w:sz w:val="16"/>
              </w:rPr>
            </w:pPr>
            <w:r>
              <w:rPr>
                <w:spacing w:val="-2"/>
                <w:sz w:val="16"/>
              </w:rPr>
              <w:t>Ecolab</w:t>
            </w:r>
          </w:p>
        </w:tc>
        <w:tc>
          <w:tcPr>
            <w:tcW w:w="1418" w:type="dxa"/>
          </w:tcPr>
          <w:p>
            <w:pPr>
              <w:pStyle w:val="TableParagraph"/>
              <w:ind w:left="108"/>
              <w:rPr>
                <w:sz w:val="16"/>
              </w:rPr>
            </w:pPr>
            <w:r>
              <w:rPr>
                <w:spacing w:val="-2"/>
                <w:sz w:val="16"/>
              </w:rPr>
              <w:t>£2,117,414.73</w:t>
            </w:r>
          </w:p>
        </w:tc>
        <w:tc>
          <w:tcPr>
            <w:tcW w:w="2557" w:type="dxa"/>
          </w:tcPr>
          <w:p>
            <w:pPr>
              <w:pStyle w:val="TableParagraph"/>
              <w:spacing w:line="190" w:lineRule="atLeast"/>
              <w:ind w:left="107" w:right="124"/>
              <w:rPr>
                <w:sz w:val="16"/>
              </w:rPr>
            </w:pPr>
            <w:r>
              <w:rPr>
                <w:sz w:val="16"/>
              </w:rPr>
              <w:t>Laundry Chemicals, Detergent, Dosing pumps and Management information</w:t>
            </w:r>
            <w:r>
              <w:rPr>
                <w:spacing w:val="-9"/>
                <w:sz w:val="16"/>
              </w:rPr>
              <w:t> </w:t>
            </w:r>
            <w:r>
              <w:rPr>
                <w:sz w:val="16"/>
              </w:rPr>
              <w:t>systems</w:t>
            </w:r>
            <w:r>
              <w:rPr>
                <w:spacing w:val="-10"/>
                <w:sz w:val="16"/>
              </w:rPr>
              <w:t> </w:t>
            </w:r>
            <w:r>
              <w:rPr>
                <w:sz w:val="16"/>
              </w:rPr>
              <w:t>for</w:t>
            </w:r>
            <w:r>
              <w:rPr>
                <w:spacing w:val="-10"/>
                <w:sz w:val="16"/>
              </w:rPr>
              <w:t> </w:t>
            </w:r>
            <w:r>
              <w:rPr>
                <w:sz w:val="16"/>
              </w:rPr>
              <w:t>all</w:t>
            </w:r>
            <w:r>
              <w:rPr>
                <w:spacing w:val="-10"/>
                <w:sz w:val="16"/>
              </w:rPr>
              <w:t> </w:t>
            </w:r>
            <w:r>
              <w:rPr>
                <w:sz w:val="16"/>
              </w:rPr>
              <w:t>5 NWSSP Laundries</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870" w:hRule="atLeast"/>
        </w:trPr>
        <w:tc>
          <w:tcPr>
            <w:tcW w:w="582" w:type="dxa"/>
          </w:tcPr>
          <w:p>
            <w:pPr>
              <w:pStyle w:val="TableParagraph"/>
              <w:ind w:left="108"/>
              <w:rPr>
                <w:sz w:val="16"/>
              </w:rPr>
            </w:pPr>
            <w:r>
              <w:rPr>
                <w:spacing w:val="-5"/>
                <w:sz w:val="16"/>
              </w:rPr>
              <w:t>2.</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15"/>
              <w:rPr>
                <w:sz w:val="16"/>
              </w:rPr>
            </w:pPr>
            <w:r>
              <w:rPr>
                <w:spacing w:val="-2"/>
                <w:sz w:val="16"/>
              </w:rPr>
              <w:t>NWSSP-DCO- 51124</w:t>
            </w:r>
          </w:p>
        </w:tc>
        <w:tc>
          <w:tcPr>
            <w:tcW w:w="1246" w:type="dxa"/>
          </w:tcPr>
          <w:p>
            <w:pPr>
              <w:pStyle w:val="TableParagraph"/>
              <w:ind w:left="107"/>
              <w:rPr>
                <w:sz w:val="16"/>
              </w:rPr>
            </w:pPr>
            <w:r>
              <w:rPr>
                <w:spacing w:val="-2"/>
                <w:sz w:val="16"/>
              </w:rPr>
              <w:t>01/11/2022</w:t>
            </w:r>
          </w:p>
        </w:tc>
        <w:tc>
          <w:tcPr>
            <w:tcW w:w="1479" w:type="dxa"/>
          </w:tcPr>
          <w:p>
            <w:pPr>
              <w:pStyle w:val="TableParagraph"/>
              <w:ind w:left="108"/>
              <w:rPr>
                <w:sz w:val="16"/>
              </w:rPr>
            </w:pPr>
            <w:r>
              <w:rPr>
                <w:sz w:val="16"/>
              </w:rPr>
              <w:t>Direct</w:t>
            </w:r>
            <w:r>
              <w:rPr>
                <w:spacing w:val="-2"/>
                <w:sz w:val="16"/>
              </w:rPr>
              <w:t> </w:t>
            </w:r>
            <w:r>
              <w:rPr>
                <w:sz w:val="16"/>
              </w:rPr>
              <w:t>Call</w:t>
            </w:r>
            <w:r>
              <w:rPr>
                <w:spacing w:val="-2"/>
                <w:sz w:val="16"/>
              </w:rPr>
              <w:t> </w:t>
            </w:r>
            <w:r>
              <w:rPr>
                <w:spacing w:val="-5"/>
                <w:sz w:val="16"/>
              </w:rPr>
              <w:t>Off</w:t>
            </w:r>
          </w:p>
        </w:tc>
        <w:tc>
          <w:tcPr>
            <w:tcW w:w="1459" w:type="dxa"/>
          </w:tcPr>
          <w:p>
            <w:pPr>
              <w:pStyle w:val="TableParagraph"/>
              <w:ind w:left="108" w:right="149"/>
              <w:rPr>
                <w:sz w:val="16"/>
              </w:rPr>
            </w:pPr>
            <w:r>
              <w:rPr>
                <w:spacing w:val="-2"/>
                <w:sz w:val="16"/>
              </w:rPr>
              <w:t>Welsh Language Translation</w:t>
            </w:r>
          </w:p>
        </w:tc>
        <w:tc>
          <w:tcPr>
            <w:tcW w:w="1276" w:type="dxa"/>
          </w:tcPr>
          <w:p>
            <w:pPr>
              <w:pStyle w:val="TableParagraph"/>
              <w:ind w:left="107"/>
              <w:rPr>
                <w:sz w:val="16"/>
              </w:rPr>
            </w:pPr>
            <w:r>
              <w:rPr>
                <w:spacing w:val="-2"/>
                <w:sz w:val="16"/>
              </w:rPr>
              <w:t>Atebol</w:t>
            </w:r>
          </w:p>
        </w:tc>
        <w:tc>
          <w:tcPr>
            <w:tcW w:w="1418" w:type="dxa"/>
          </w:tcPr>
          <w:p>
            <w:pPr>
              <w:pStyle w:val="TableParagraph"/>
              <w:ind w:left="108"/>
              <w:rPr>
                <w:sz w:val="16"/>
              </w:rPr>
            </w:pPr>
            <w:r>
              <w:rPr>
                <w:spacing w:val="-2"/>
                <w:sz w:val="16"/>
              </w:rPr>
              <w:t>£50,000</w:t>
            </w:r>
          </w:p>
        </w:tc>
        <w:tc>
          <w:tcPr>
            <w:tcW w:w="2557" w:type="dxa"/>
          </w:tcPr>
          <w:p>
            <w:pPr>
              <w:pStyle w:val="TableParagraph"/>
              <w:ind w:left="107"/>
              <w:rPr>
                <w:sz w:val="16"/>
              </w:rPr>
            </w:pPr>
            <w:r>
              <w:rPr>
                <w:sz w:val="16"/>
              </w:rPr>
              <w:t>Welsh</w:t>
            </w:r>
            <w:r>
              <w:rPr>
                <w:spacing w:val="-4"/>
                <w:sz w:val="16"/>
              </w:rPr>
              <w:t> </w:t>
            </w:r>
            <w:r>
              <w:rPr>
                <w:sz w:val="16"/>
              </w:rPr>
              <w:t>Language</w:t>
            </w:r>
            <w:r>
              <w:rPr>
                <w:spacing w:val="-2"/>
                <w:sz w:val="16"/>
              </w:rPr>
              <w:t> translation</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870" w:hRule="atLeast"/>
        </w:trPr>
        <w:tc>
          <w:tcPr>
            <w:tcW w:w="582" w:type="dxa"/>
          </w:tcPr>
          <w:p>
            <w:pPr>
              <w:pStyle w:val="TableParagraph"/>
              <w:ind w:left="108"/>
              <w:rPr>
                <w:sz w:val="16"/>
              </w:rPr>
            </w:pPr>
            <w:r>
              <w:rPr>
                <w:spacing w:val="-5"/>
                <w:sz w:val="16"/>
              </w:rPr>
              <w:t>3.</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15"/>
              <w:rPr>
                <w:sz w:val="16"/>
              </w:rPr>
            </w:pPr>
            <w:r>
              <w:rPr>
                <w:spacing w:val="-2"/>
                <w:sz w:val="16"/>
              </w:rPr>
              <w:t>NWSSP-DCO- 51124</w:t>
            </w:r>
          </w:p>
        </w:tc>
        <w:tc>
          <w:tcPr>
            <w:tcW w:w="1246" w:type="dxa"/>
          </w:tcPr>
          <w:p>
            <w:pPr>
              <w:pStyle w:val="TableParagraph"/>
              <w:ind w:left="107"/>
              <w:rPr>
                <w:sz w:val="16"/>
              </w:rPr>
            </w:pPr>
            <w:r>
              <w:rPr>
                <w:spacing w:val="-2"/>
                <w:sz w:val="16"/>
              </w:rPr>
              <w:t>01/11/2022</w:t>
            </w:r>
          </w:p>
        </w:tc>
        <w:tc>
          <w:tcPr>
            <w:tcW w:w="1479" w:type="dxa"/>
          </w:tcPr>
          <w:p>
            <w:pPr>
              <w:pStyle w:val="TableParagraph"/>
              <w:ind w:left="108"/>
              <w:rPr>
                <w:sz w:val="16"/>
              </w:rPr>
            </w:pPr>
            <w:r>
              <w:rPr>
                <w:sz w:val="16"/>
              </w:rPr>
              <w:t>Direct</w:t>
            </w:r>
            <w:r>
              <w:rPr>
                <w:spacing w:val="-2"/>
                <w:sz w:val="16"/>
              </w:rPr>
              <w:t> </w:t>
            </w:r>
            <w:r>
              <w:rPr>
                <w:sz w:val="16"/>
              </w:rPr>
              <w:t>Call</w:t>
            </w:r>
            <w:r>
              <w:rPr>
                <w:spacing w:val="-2"/>
                <w:sz w:val="16"/>
              </w:rPr>
              <w:t> </w:t>
            </w:r>
            <w:r>
              <w:rPr>
                <w:spacing w:val="-5"/>
                <w:sz w:val="16"/>
              </w:rPr>
              <w:t>Off</w:t>
            </w:r>
          </w:p>
        </w:tc>
        <w:tc>
          <w:tcPr>
            <w:tcW w:w="1459" w:type="dxa"/>
          </w:tcPr>
          <w:p>
            <w:pPr>
              <w:pStyle w:val="TableParagraph"/>
              <w:ind w:left="108" w:right="149"/>
              <w:rPr>
                <w:sz w:val="16"/>
              </w:rPr>
            </w:pPr>
            <w:r>
              <w:rPr>
                <w:spacing w:val="-2"/>
                <w:sz w:val="16"/>
              </w:rPr>
              <w:t>Welsh Language Translation</w:t>
            </w:r>
          </w:p>
        </w:tc>
        <w:tc>
          <w:tcPr>
            <w:tcW w:w="1276" w:type="dxa"/>
          </w:tcPr>
          <w:p>
            <w:pPr>
              <w:pStyle w:val="TableParagraph"/>
              <w:ind w:left="107"/>
              <w:rPr>
                <w:sz w:val="16"/>
              </w:rPr>
            </w:pPr>
            <w:r>
              <w:rPr>
                <w:spacing w:val="-2"/>
                <w:sz w:val="16"/>
              </w:rPr>
              <w:t>Clear Translations</w:t>
            </w:r>
          </w:p>
        </w:tc>
        <w:tc>
          <w:tcPr>
            <w:tcW w:w="1418" w:type="dxa"/>
          </w:tcPr>
          <w:p>
            <w:pPr>
              <w:pStyle w:val="TableParagraph"/>
              <w:ind w:left="108"/>
              <w:rPr>
                <w:sz w:val="16"/>
              </w:rPr>
            </w:pPr>
            <w:r>
              <w:rPr>
                <w:spacing w:val="-2"/>
                <w:sz w:val="16"/>
              </w:rPr>
              <w:t>£50,000</w:t>
            </w:r>
          </w:p>
        </w:tc>
        <w:tc>
          <w:tcPr>
            <w:tcW w:w="2557" w:type="dxa"/>
          </w:tcPr>
          <w:p>
            <w:pPr>
              <w:pStyle w:val="TableParagraph"/>
              <w:ind w:left="107"/>
              <w:rPr>
                <w:sz w:val="16"/>
              </w:rPr>
            </w:pPr>
            <w:r>
              <w:rPr>
                <w:sz w:val="16"/>
              </w:rPr>
              <w:t>Welsh</w:t>
            </w:r>
            <w:r>
              <w:rPr>
                <w:spacing w:val="-4"/>
                <w:sz w:val="16"/>
              </w:rPr>
              <w:t> </w:t>
            </w:r>
            <w:r>
              <w:rPr>
                <w:sz w:val="16"/>
              </w:rPr>
              <w:t>Language</w:t>
            </w:r>
            <w:r>
              <w:rPr>
                <w:spacing w:val="-2"/>
                <w:sz w:val="16"/>
              </w:rPr>
              <w:t> translation</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869" w:hRule="atLeast"/>
        </w:trPr>
        <w:tc>
          <w:tcPr>
            <w:tcW w:w="582" w:type="dxa"/>
          </w:tcPr>
          <w:p>
            <w:pPr>
              <w:pStyle w:val="TableParagraph"/>
              <w:ind w:left="108"/>
              <w:rPr>
                <w:sz w:val="16"/>
              </w:rPr>
            </w:pPr>
            <w:r>
              <w:rPr>
                <w:spacing w:val="-5"/>
                <w:sz w:val="16"/>
              </w:rPr>
              <w:t>4.</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15"/>
              <w:rPr>
                <w:sz w:val="16"/>
              </w:rPr>
            </w:pPr>
            <w:r>
              <w:rPr>
                <w:spacing w:val="-2"/>
                <w:sz w:val="16"/>
              </w:rPr>
              <w:t>NWSSP-DCO- 51124</w:t>
            </w:r>
          </w:p>
        </w:tc>
        <w:tc>
          <w:tcPr>
            <w:tcW w:w="1246" w:type="dxa"/>
          </w:tcPr>
          <w:p>
            <w:pPr>
              <w:pStyle w:val="TableParagraph"/>
              <w:ind w:left="107"/>
              <w:rPr>
                <w:sz w:val="16"/>
              </w:rPr>
            </w:pPr>
            <w:r>
              <w:rPr>
                <w:spacing w:val="-2"/>
                <w:sz w:val="16"/>
              </w:rPr>
              <w:t>01/11/2022</w:t>
            </w:r>
          </w:p>
        </w:tc>
        <w:tc>
          <w:tcPr>
            <w:tcW w:w="1479" w:type="dxa"/>
          </w:tcPr>
          <w:p>
            <w:pPr>
              <w:pStyle w:val="TableParagraph"/>
              <w:ind w:left="108"/>
              <w:rPr>
                <w:sz w:val="16"/>
              </w:rPr>
            </w:pPr>
            <w:r>
              <w:rPr>
                <w:sz w:val="16"/>
              </w:rPr>
              <w:t>Direct</w:t>
            </w:r>
            <w:r>
              <w:rPr>
                <w:spacing w:val="-2"/>
                <w:sz w:val="16"/>
              </w:rPr>
              <w:t> </w:t>
            </w:r>
            <w:r>
              <w:rPr>
                <w:sz w:val="16"/>
              </w:rPr>
              <w:t>Call</w:t>
            </w:r>
            <w:r>
              <w:rPr>
                <w:spacing w:val="-2"/>
                <w:sz w:val="16"/>
              </w:rPr>
              <w:t> </w:t>
            </w:r>
            <w:r>
              <w:rPr>
                <w:spacing w:val="-5"/>
                <w:sz w:val="16"/>
              </w:rPr>
              <w:t>Off</w:t>
            </w:r>
          </w:p>
        </w:tc>
        <w:tc>
          <w:tcPr>
            <w:tcW w:w="1459" w:type="dxa"/>
          </w:tcPr>
          <w:p>
            <w:pPr>
              <w:pStyle w:val="TableParagraph"/>
              <w:ind w:left="108" w:right="149"/>
              <w:rPr>
                <w:sz w:val="16"/>
              </w:rPr>
            </w:pPr>
            <w:r>
              <w:rPr>
                <w:spacing w:val="-2"/>
                <w:sz w:val="16"/>
              </w:rPr>
              <w:t>Welsh Language Translation</w:t>
            </w:r>
          </w:p>
        </w:tc>
        <w:tc>
          <w:tcPr>
            <w:tcW w:w="1276" w:type="dxa"/>
          </w:tcPr>
          <w:p>
            <w:pPr>
              <w:pStyle w:val="TableParagraph"/>
              <w:ind w:left="107"/>
              <w:rPr>
                <w:sz w:val="16"/>
              </w:rPr>
            </w:pPr>
            <w:r>
              <w:rPr>
                <w:sz w:val="16"/>
              </w:rPr>
              <w:t>Testun</w:t>
            </w:r>
            <w:r>
              <w:rPr>
                <w:spacing w:val="-6"/>
                <w:sz w:val="16"/>
              </w:rPr>
              <w:t> </w:t>
            </w:r>
            <w:r>
              <w:rPr>
                <w:spacing w:val="-5"/>
                <w:sz w:val="16"/>
              </w:rPr>
              <w:t>Cyf</w:t>
            </w:r>
          </w:p>
        </w:tc>
        <w:tc>
          <w:tcPr>
            <w:tcW w:w="1418" w:type="dxa"/>
          </w:tcPr>
          <w:p>
            <w:pPr>
              <w:pStyle w:val="TableParagraph"/>
              <w:ind w:left="108"/>
              <w:rPr>
                <w:sz w:val="16"/>
              </w:rPr>
            </w:pPr>
            <w:r>
              <w:rPr>
                <w:spacing w:val="-2"/>
                <w:sz w:val="16"/>
              </w:rPr>
              <w:t>£50,000</w:t>
            </w:r>
          </w:p>
        </w:tc>
        <w:tc>
          <w:tcPr>
            <w:tcW w:w="2557" w:type="dxa"/>
          </w:tcPr>
          <w:p>
            <w:pPr>
              <w:pStyle w:val="TableParagraph"/>
              <w:ind w:left="107"/>
              <w:rPr>
                <w:sz w:val="16"/>
              </w:rPr>
            </w:pPr>
            <w:r>
              <w:rPr>
                <w:sz w:val="16"/>
              </w:rPr>
              <w:t>Welsh</w:t>
            </w:r>
            <w:r>
              <w:rPr>
                <w:spacing w:val="-4"/>
                <w:sz w:val="16"/>
              </w:rPr>
              <w:t> </w:t>
            </w:r>
            <w:r>
              <w:rPr>
                <w:sz w:val="16"/>
              </w:rPr>
              <w:t>Language</w:t>
            </w:r>
            <w:r>
              <w:rPr>
                <w:spacing w:val="-2"/>
                <w:sz w:val="16"/>
              </w:rPr>
              <w:t> translation</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1555" w:hRule="atLeast"/>
        </w:trPr>
        <w:tc>
          <w:tcPr>
            <w:tcW w:w="582" w:type="dxa"/>
          </w:tcPr>
          <w:p>
            <w:pPr>
              <w:pStyle w:val="TableParagraph"/>
              <w:ind w:left="108"/>
              <w:rPr>
                <w:sz w:val="16"/>
              </w:rPr>
            </w:pPr>
            <w:r>
              <w:rPr>
                <w:spacing w:val="-5"/>
                <w:sz w:val="16"/>
              </w:rPr>
              <w:t>5.</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15"/>
              <w:rPr>
                <w:sz w:val="16"/>
              </w:rPr>
            </w:pPr>
            <w:r>
              <w:rPr>
                <w:spacing w:val="-2"/>
                <w:sz w:val="16"/>
              </w:rPr>
              <w:t>NWSSP-ITT- 51444</w:t>
            </w:r>
          </w:p>
        </w:tc>
        <w:tc>
          <w:tcPr>
            <w:tcW w:w="1246" w:type="dxa"/>
          </w:tcPr>
          <w:p>
            <w:pPr>
              <w:pStyle w:val="TableParagraph"/>
              <w:ind w:left="107"/>
              <w:rPr>
                <w:sz w:val="16"/>
              </w:rPr>
            </w:pPr>
            <w:r>
              <w:rPr>
                <w:spacing w:val="-2"/>
                <w:sz w:val="16"/>
              </w:rPr>
              <w:t>12/12/2022</w:t>
            </w:r>
          </w:p>
        </w:tc>
        <w:tc>
          <w:tcPr>
            <w:tcW w:w="1479" w:type="dxa"/>
          </w:tcPr>
          <w:p>
            <w:pPr>
              <w:pStyle w:val="TableParagraph"/>
              <w:ind w:left="108" w:right="428"/>
              <w:rPr>
                <w:sz w:val="16"/>
              </w:rPr>
            </w:pPr>
            <w:r>
              <w:rPr>
                <w:spacing w:val="-2"/>
                <w:sz w:val="16"/>
              </w:rPr>
              <w:t>Under Threshold Tender</w:t>
            </w:r>
          </w:p>
        </w:tc>
        <w:tc>
          <w:tcPr>
            <w:tcW w:w="1459" w:type="dxa"/>
          </w:tcPr>
          <w:p>
            <w:pPr>
              <w:pStyle w:val="TableParagraph"/>
              <w:spacing w:line="190" w:lineRule="atLeast"/>
              <w:ind w:left="108" w:right="149"/>
              <w:rPr>
                <w:sz w:val="16"/>
              </w:rPr>
            </w:pPr>
            <w:r>
              <w:rPr>
                <w:sz w:val="16"/>
              </w:rPr>
              <w:t>Provision</w:t>
            </w:r>
            <w:r>
              <w:rPr>
                <w:spacing w:val="-15"/>
                <w:sz w:val="16"/>
              </w:rPr>
              <w:t> </w:t>
            </w:r>
            <w:r>
              <w:rPr>
                <w:sz w:val="16"/>
              </w:rPr>
              <w:t>of</w:t>
            </w:r>
            <w:r>
              <w:rPr>
                <w:spacing w:val="-14"/>
                <w:sz w:val="16"/>
              </w:rPr>
              <w:t> </w:t>
            </w:r>
            <w:r>
              <w:rPr>
                <w:sz w:val="16"/>
              </w:rPr>
              <w:t>an Audit of All- Wales NHS </w:t>
            </w:r>
            <w:r>
              <w:rPr>
                <w:spacing w:val="-2"/>
                <w:sz w:val="16"/>
              </w:rPr>
              <w:t>Workforce Policies </w:t>
            </w:r>
            <w:r>
              <w:rPr>
                <w:sz w:val="16"/>
              </w:rPr>
              <w:t>through an </w:t>
            </w:r>
            <w:r>
              <w:rPr>
                <w:spacing w:val="-2"/>
                <w:sz w:val="16"/>
              </w:rPr>
              <w:t>Anti-racist</w:t>
            </w:r>
            <w:r>
              <w:rPr>
                <w:spacing w:val="40"/>
                <w:sz w:val="16"/>
              </w:rPr>
              <w:t> </w:t>
            </w:r>
            <w:r>
              <w:rPr>
                <w:spacing w:val="-4"/>
                <w:sz w:val="16"/>
              </w:rPr>
              <w:t>Lens</w:t>
            </w:r>
          </w:p>
        </w:tc>
        <w:tc>
          <w:tcPr>
            <w:tcW w:w="1276" w:type="dxa"/>
          </w:tcPr>
          <w:p>
            <w:pPr>
              <w:pStyle w:val="TableParagraph"/>
              <w:ind w:left="107" w:right="548"/>
              <w:rPr>
                <w:sz w:val="16"/>
              </w:rPr>
            </w:pPr>
            <w:r>
              <w:rPr>
                <w:spacing w:val="-2"/>
                <w:sz w:val="16"/>
              </w:rPr>
              <w:t>Diverse Cymru</w:t>
            </w:r>
          </w:p>
        </w:tc>
        <w:tc>
          <w:tcPr>
            <w:tcW w:w="1418" w:type="dxa"/>
          </w:tcPr>
          <w:p>
            <w:pPr>
              <w:pStyle w:val="TableParagraph"/>
              <w:ind w:left="108"/>
              <w:rPr>
                <w:sz w:val="16"/>
              </w:rPr>
            </w:pPr>
            <w:r>
              <w:rPr>
                <w:spacing w:val="-2"/>
                <w:sz w:val="16"/>
              </w:rPr>
              <w:t>£20,000.00</w:t>
            </w:r>
          </w:p>
        </w:tc>
        <w:tc>
          <w:tcPr>
            <w:tcW w:w="2557" w:type="dxa"/>
          </w:tcPr>
          <w:p>
            <w:pPr>
              <w:pStyle w:val="TableParagraph"/>
              <w:ind w:left="107" w:right="181"/>
              <w:rPr>
                <w:sz w:val="16"/>
              </w:rPr>
            </w:pPr>
            <w:r>
              <w:rPr>
                <w:sz w:val="16"/>
              </w:rPr>
              <w:t>An audit of workforce policies</w:t>
            </w:r>
            <w:r>
              <w:rPr>
                <w:spacing w:val="-13"/>
                <w:sz w:val="16"/>
              </w:rPr>
              <w:t> </w:t>
            </w:r>
            <w:r>
              <w:rPr>
                <w:sz w:val="16"/>
              </w:rPr>
              <w:t>through</w:t>
            </w:r>
            <w:r>
              <w:rPr>
                <w:spacing w:val="-13"/>
                <w:sz w:val="16"/>
              </w:rPr>
              <w:t> </w:t>
            </w:r>
            <w:r>
              <w:rPr>
                <w:sz w:val="16"/>
              </w:rPr>
              <w:t>an</w:t>
            </w:r>
            <w:r>
              <w:rPr>
                <w:spacing w:val="-12"/>
                <w:sz w:val="16"/>
              </w:rPr>
              <w:t> </w:t>
            </w:r>
            <w:r>
              <w:rPr>
                <w:sz w:val="16"/>
              </w:rPr>
              <w:t>anti- racist lens</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870" w:hRule="atLeast"/>
        </w:trPr>
        <w:tc>
          <w:tcPr>
            <w:tcW w:w="582" w:type="dxa"/>
          </w:tcPr>
          <w:p>
            <w:pPr>
              <w:pStyle w:val="TableParagraph"/>
              <w:ind w:left="108"/>
              <w:rPr>
                <w:sz w:val="16"/>
              </w:rPr>
            </w:pPr>
            <w:r>
              <w:rPr>
                <w:spacing w:val="-5"/>
                <w:sz w:val="16"/>
              </w:rPr>
              <w:t>6.</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15"/>
              <w:rPr>
                <w:sz w:val="16"/>
              </w:rPr>
            </w:pPr>
            <w:r>
              <w:rPr>
                <w:spacing w:val="-2"/>
                <w:sz w:val="16"/>
              </w:rPr>
              <w:t>NWSSP-DCO- </w:t>
            </w:r>
            <w:r>
              <w:rPr>
                <w:spacing w:val="-4"/>
                <w:sz w:val="16"/>
              </w:rPr>
              <w:t>822</w:t>
            </w:r>
          </w:p>
        </w:tc>
        <w:tc>
          <w:tcPr>
            <w:tcW w:w="1246" w:type="dxa"/>
          </w:tcPr>
          <w:p>
            <w:pPr>
              <w:pStyle w:val="TableParagraph"/>
              <w:ind w:left="107"/>
              <w:rPr>
                <w:sz w:val="16"/>
              </w:rPr>
            </w:pPr>
            <w:r>
              <w:rPr>
                <w:spacing w:val="-2"/>
                <w:sz w:val="16"/>
              </w:rPr>
              <w:t>31/10/2022</w:t>
            </w:r>
          </w:p>
        </w:tc>
        <w:tc>
          <w:tcPr>
            <w:tcW w:w="1479" w:type="dxa"/>
          </w:tcPr>
          <w:p>
            <w:pPr>
              <w:pStyle w:val="TableParagraph"/>
              <w:ind w:left="108"/>
              <w:rPr>
                <w:sz w:val="16"/>
              </w:rPr>
            </w:pPr>
            <w:r>
              <w:rPr>
                <w:sz w:val="16"/>
              </w:rPr>
              <w:t>Direct</w:t>
            </w:r>
            <w:r>
              <w:rPr>
                <w:spacing w:val="-2"/>
                <w:sz w:val="16"/>
              </w:rPr>
              <w:t> </w:t>
            </w:r>
            <w:r>
              <w:rPr>
                <w:sz w:val="16"/>
              </w:rPr>
              <w:t>Call</w:t>
            </w:r>
            <w:r>
              <w:rPr>
                <w:spacing w:val="-2"/>
                <w:sz w:val="16"/>
              </w:rPr>
              <w:t> </w:t>
            </w:r>
            <w:r>
              <w:rPr>
                <w:spacing w:val="-5"/>
                <w:sz w:val="16"/>
              </w:rPr>
              <w:t>Off</w:t>
            </w:r>
          </w:p>
        </w:tc>
        <w:tc>
          <w:tcPr>
            <w:tcW w:w="1459" w:type="dxa"/>
          </w:tcPr>
          <w:p>
            <w:pPr>
              <w:pStyle w:val="TableParagraph"/>
              <w:ind w:left="108" w:right="149"/>
              <w:rPr>
                <w:sz w:val="16"/>
              </w:rPr>
            </w:pPr>
            <w:r>
              <w:rPr>
                <w:spacing w:val="-2"/>
                <w:sz w:val="16"/>
              </w:rPr>
              <w:t>Eprescribing Temporary Staff</w:t>
            </w:r>
          </w:p>
        </w:tc>
        <w:tc>
          <w:tcPr>
            <w:tcW w:w="1276" w:type="dxa"/>
          </w:tcPr>
          <w:p>
            <w:pPr>
              <w:pStyle w:val="TableParagraph"/>
              <w:ind w:left="107" w:right="195"/>
              <w:rPr>
                <w:sz w:val="16"/>
              </w:rPr>
            </w:pPr>
            <w:r>
              <w:rPr>
                <w:sz w:val="16"/>
              </w:rPr>
              <w:t>ROC</w:t>
            </w:r>
            <w:r>
              <w:rPr>
                <w:spacing w:val="-15"/>
                <w:sz w:val="16"/>
              </w:rPr>
              <w:t> </w:t>
            </w:r>
            <w:r>
              <w:rPr>
                <w:sz w:val="16"/>
              </w:rPr>
              <w:t>Search </w:t>
            </w:r>
            <w:r>
              <w:rPr>
                <w:spacing w:val="-4"/>
                <w:sz w:val="16"/>
              </w:rPr>
              <w:t>Ltd</w:t>
            </w:r>
          </w:p>
        </w:tc>
        <w:tc>
          <w:tcPr>
            <w:tcW w:w="1418" w:type="dxa"/>
          </w:tcPr>
          <w:p>
            <w:pPr>
              <w:pStyle w:val="TableParagraph"/>
              <w:ind w:left="108"/>
              <w:rPr>
                <w:sz w:val="16"/>
              </w:rPr>
            </w:pPr>
            <w:r>
              <w:rPr>
                <w:spacing w:val="-2"/>
                <w:sz w:val="16"/>
              </w:rPr>
              <w:t>£44,800.00</w:t>
            </w:r>
          </w:p>
        </w:tc>
        <w:tc>
          <w:tcPr>
            <w:tcW w:w="2557" w:type="dxa"/>
          </w:tcPr>
          <w:p>
            <w:pPr>
              <w:pStyle w:val="TableParagraph"/>
              <w:ind w:left="107" w:right="181"/>
              <w:rPr>
                <w:sz w:val="16"/>
              </w:rPr>
            </w:pPr>
            <w:r>
              <w:rPr>
                <w:sz w:val="16"/>
              </w:rPr>
              <w:t>Provision of a temporary member of staff to assist with</w:t>
            </w:r>
            <w:r>
              <w:rPr>
                <w:spacing w:val="-13"/>
                <w:sz w:val="16"/>
              </w:rPr>
              <w:t> </w:t>
            </w:r>
            <w:r>
              <w:rPr>
                <w:sz w:val="16"/>
              </w:rPr>
              <w:t>the</w:t>
            </w:r>
            <w:r>
              <w:rPr>
                <w:spacing w:val="-13"/>
                <w:sz w:val="16"/>
              </w:rPr>
              <w:t> </w:t>
            </w:r>
            <w:r>
              <w:rPr>
                <w:sz w:val="16"/>
              </w:rPr>
              <w:t>implementation</w:t>
            </w:r>
            <w:r>
              <w:rPr>
                <w:spacing w:val="-13"/>
                <w:sz w:val="16"/>
              </w:rPr>
              <w:t> </w:t>
            </w:r>
            <w:r>
              <w:rPr>
                <w:sz w:val="16"/>
              </w:rPr>
              <w:t>of Eprescribing within PCS</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870" w:hRule="atLeast"/>
        </w:trPr>
        <w:tc>
          <w:tcPr>
            <w:tcW w:w="582" w:type="dxa"/>
          </w:tcPr>
          <w:p>
            <w:pPr>
              <w:pStyle w:val="TableParagraph"/>
              <w:ind w:left="108"/>
              <w:rPr>
                <w:sz w:val="16"/>
              </w:rPr>
            </w:pPr>
            <w:r>
              <w:rPr>
                <w:spacing w:val="-5"/>
                <w:sz w:val="16"/>
              </w:rPr>
              <w:t>7.</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15"/>
              <w:rPr>
                <w:sz w:val="16"/>
              </w:rPr>
            </w:pPr>
            <w:r>
              <w:rPr>
                <w:spacing w:val="-2"/>
                <w:sz w:val="16"/>
              </w:rPr>
              <w:t>NWSSP-DCO- </w:t>
            </w:r>
            <w:r>
              <w:rPr>
                <w:spacing w:val="-4"/>
                <w:sz w:val="16"/>
              </w:rPr>
              <w:t>823</w:t>
            </w:r>
          </w:p>
        </w:tc>
        <w:tc>
          <w:tcPr>
            <w:tcW w:w="1246" w:type="dxa"/>
          </w:tcPr>
          <w:p>
            <w:pPr>
              <w:pStyle w:val="TableParagraph"/>
              <w:ind w:left="107"/>
              <w:rPr>
                <w:sz w:val="16"/>
              </w:rPr>
            </w:pPr>
            <w:r>
              <w:rPr>
                <w:spacing w:val="-2"/>
                <w:sz w:val="16"/>
              </w:rPr>
              <w:t>28/11/2022</w:t>
            </w:r>
          </w:p>
        </w:tc>
        <w:tc>
          <w:tcPr>
            <w:tcW w:w="1479" w:type="dxa"/>
          </w:tcPr>
          <w:p>
            <w:pPr>
              <w:pStyle w:val="TableParagraph"/>
              <w:ind w:left="108"/>
              <w:rPr>
                <w:sz w:val="16"/>
              </w:rPr>
            </w:pPr>
            <w:r>
              <w:rPr>
                <w:sz w:val="16"/>
              </w:rPr>
              <w:t>Direct</w:t>
            </w:r>
            <w:r>
              <w:rPr>
                <w:spacing w:val="-2"/>
                <w:sz w:val="16"/>
              </w:rPr>
              <w:t> </w:t>
            </w:r>
            <w:r>
              <w:rPr>
                <w:sz w:val="16"/>
              </w:rPr>
              <w:t>Call</w:t>
            </w:r>
            <w:r>
              <w:rPr>
                <w:spacing w:val="-2"/>
                <w:sz w:val="16"/>
              </w:rPr>
              <w:t> </w:t>
            </w:r>
            <w:r>
              <w:rPr>
                <w:spacing w:val="-5"/>
                <w:sz w:val="16"/>
              </w:rPr>
              <w:t>Off</w:t>
            </w:r>
          </w:p>
        </w:tc>
        <w:tc>
          <w:tcPr>
            <w:tcW w:w="1459" w:type="dxa"/>
          </w:tcPr>
          <w:p>
            <w:pPr>
              <w:pStyle w:val="TableParagraph"/>
              <w:ind w:left="108" w:right="229"/>
              <w:rPr>
                <w:sz w:val="16"/>
              </w:rPr>
            </w:pPr>
            <w:r>
              <w:rPr>
                <w:sz w:val="16"/>
              </w:rPr>
              <w:t>BA Campus - Due</w:t>
            </w:r>
            <w:r>
              <w:rPr>
                <w:spacing w:val="-15"/>
                <w:sz w:val="16"/>
              </w:rPr>
              <w:t> </w:t>
            </w:r>
            <w:r>
              <w:rPr>
                <w:sz w:val="16"/>
              </w:rPr>
              <w:t>Diligence </w:t>
            </w:r>
            <w:r>
              <w:rPr>
                <w:spacing w:val="-2"/>
                <w:sz w:val="16"/>
              </w:rPr>
              <w:t>Services</w:t>
            </w:r>
          </w:p>
        </w:tc>
        <w:tc>
          <w:tcPr>
            <w:tcW w:w="1276" w:type="dxa"/>
          </w:tcPr>
          <w:p>
            <w:pPr>
              <w:pStyle w:val="TableParagraph"/>
              <w:ind w:left="107" w:right="128"/>
              <w:rPr>
                <w:sz w:val="16"/>
              </w:rPr>
            </w:pPr>
            <w:r>
              <w:rPr>
                <w:sz w:val="16"/>
              </w:rPr>
              <w:t>Ove Arup and</w:t>
            </w:r>
            <w:r>
              <w:rPr>
                <w:spacing w:val="-15"/>
                <w:sz w:val="16"/>
              </w:rPr>
              <w:t> </w:t>
            </w:r>
            <w:r>
              <w:rPr>
                <w:sz w:val="16"/>
              </w:rPr>
              <w:t>Partners </w:t>
            </w:r>
            <w:r>
              <w:rPr>
                <w:spacing w:val="-2"/>
                <w:sz w:val="16"/>
              </w:rPr>
              <w:t>(Arup)</w:t>
            </w:r>
          </w:p>
        </w:tc>
        <w:tc>
          <w:tcPr>
            <w:tcW w:w="1418" w:type="dxa"/>
          </w:tcPr>
          <w:p>
            <w:pPr>
              <w:pStyle w:val="TableParagraph"/>
              <w:ind w:left="108"/>
              <w:rPr>
                <w:sz w:val="16"/>
              </w:rPr>
            </w:pPr>
            <w:r>
              <w:rPr>
                <w:spacing w:val="-2"/>
                <w:sz w:val="16"/>
              </w:rPr>
              <w:t>£46,600.43</w:t>
            </w:r>
          </w:p>
        </w:tc>
        <w:tc>
          <w:tcPr>
            <w:tcW w:w="2557" w:type="dxa"/>
          </w:tcPr>
          <w:p>
            <w:pPr>
              <w:pStyle w:val="TableParagraph"/>
              <w:ind w:left="107" w:right="181"/>
              <w:rPr>
                <w:sz w:val="16"/>
              </w:rPr>
            </w:pPr>
            <w:r>
              <w:rPr>
                <w:sz w:val="16"/>
              </w:rPr>
              <w:t>Technical</w:t>
            </w:r>
            <w:r>
              <w:rPr>
                <w:spacing w:val="-15"/>
                <w:sz w:val="16"/>
              </w:rPr>
              <w:t> </w:t>
            </w:r>
            <w:r>
              <w:rPr>
                <w:sz w:val="16"/>
              </w:rPr>
              <w:t>Due</w:t>
            </w:r>
            <w:r>
              <w:rPr>
                <w:spacing w:val="-14"/>
                <w:sz w:val="16"/>
              </w:rPr>
              <w:t> </w:t>
            </w:r>
            <w:r>
              <w:rPr>
                <w:sz w:val="16"/>
              </w:rPr>
              <w:t>Diligence Report concerning a potential site purchase</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870" w:hRule="atLeast"/>
        </w:trPr>
        <w:tc>
          <w:tcPr>
            <w:tcW w:w="582" w:type="dxa"/>
          </w:tcPr>
          <w:p>
            <w:pPr>
              <w:pStyle w:val="TableParagraph"/>
              <w:ind w:left="108"/>
              <w:rPr>
                <w:sz w:val="16"/>
              </w:rPr>
            </w:pPr>
            <w:r>
              <w:rPr>
                <w:spacing w:val="-5"/>
                <w:sz w:val="16"/>
              </w:rPr>
              <w:t>8.</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Pr>
                <w:sz w:val="16"/>
              </w:rPr>
            </w:pPr>
            <w:r>
              <w:rPr>
                <w:spacing w:val="-2"/>
                <w:sz w:val="16"/>
              </w:rPr>
              <w:t>SCLT-DCO-</w:t>
            </w:r>
            <w:r>
              <w:rPr>
                <w:spacing w:val="-5"/>
                <w:sz w:val="16"/>
              </w:rPr>
              <w:t>001</w:t>
            </w:r>
          </w:p>
        </w:tc>
        <w:tc>
          <w:tcPr>
            <w:tcW w:w="1246" w:type="dxa"/>
          </w:tcPr>
          <w:p>
            <w:pPr>
              <w:pStyle w:val="TableParagraph"/>
              <w:ind w:left="107"/>
              <w:rPr>
                <w:sz w:val="16"/>
              </w:rPr>
            </w:pPr>
            <w:r>
              <w:rPr>
                <w:spacing w:val="-2"/>
                <w:sz w:val="16"/>
              </w:rPr>
              <w:t>28/11/2022</w:t>
            </w:r>
          </w:p>
        </w:tc>
        <w:tc>
          <w:tcPr>
            <w:tcW w:w="1479" w:type="dxa"/>
          </w:tcPr>
          <w:p>
            <w:pPr>
              <w:pStyle w:val="TableParagraph"/>
              <w:ind w:left="108"/>
              <w:rPr>
                <w:sz w:val="16"/>
              </w:rPr>
            </w:pPr>
            <w:r>
              <w:rPr>
                <w:sz w:val="16"/>
              </w:rPr>
              <w:t>Direct</w:t>
            </w:r>
            <w:r>
              <w:rPr>
                <w:spacing w:val="-2"/>
                <w:sz w:val="16"/>
              </w:rPr>
              <w:t> </w:t>
            </w:r>
            <w:r>
              <w:rPr>
                <w:sz w:val="16"/>
              </w:rPr>
              <w:t>Call</w:t>
            </w:r>
            <w:r>
              <w:rPr>
                <w:spacing w:val="-2"/>
                <w:sz w:val="16"/>
              </w:rPr>
              <w:t> </w:t>
            </w:r>
            <w:r>
              <w:rPr>
                <w:spacing w:val="-5"/>
                <w:sz w:val="16"/>
              </w:rPr>
              <w:t>Off</w:t>
            </w:r>
          </w:p>
        </w:tc>
        <w:tc>
          <w:tcPr>
            <w:tcW w:w="1459" w:type="dxa"/>
          </w:tcPr>
          <w:p>
            <w:pPr>
              <w:pStyle w:val="TableParagraph"/>
              <w:ind w:left="108"/>
              <w:rPr>
                <w:sz w:val="16"/>
              </w:rPr>
            </w:pPr>
            <w:r>
              <w:rPr>
                <w:sz w:val="16"/>
              </w:rPr>
              <w:t>IP5</w:t>
            </w:r>
            <w:r>
              <w:rPr>
                <w:spacing w:val="-1"/>
                <w:sz w:val="16"/>
              </w:rPr>
              <w:t> </w:t>
            </w:r>
            <w:r>
              <w:rPr>
                <w:spacing w:val="-2"/>
                <w:sz w:val="16"/>
              </w:rPr>
              <w:t>Racking</w:t>
            </w:r>
          </w:p>
        </w:tc>
        <w:tc>
          <w:tcPr>
            <w:tcW w:w="1276" w:type="dxa"/>
          </w:tcPr>
          <w:p>
            <w:pPr>
              <w:pStyle w:val="TableParagraph"/>
              <w:ind w:left="107" w:right="195"/>
              <w:rPr>
                <w:sz w:val="16"/>
              </w:rPr>
            </w:pPr>
            <w:r>
              <w:rPr>
                <w:spacing w:val="-2"/>
                <w:sz w:val="16"/>
              </w:rPr>
              <w:t>Whittan Industrial </w:t>
            </w:r>
            <w:r>
              <w:rPr>
                <w:spacing w:val="-4"/>
                <w:sz w:val="16"/>
              </w:rPr>
              <w:t>Ltd</w:t>
            </w:r>
          </w:p>
        </w:tc>
        <w:tc>
          <w:tcPr>
            <w:tcW w:w="1418" w:type="dxa"/>
          </w:tcPr>
          <w:p>
            <w:pPr>
              <w:pStyle w:val="TableParagraph"/>
              <w:ind w:left="108"/>
              <w:rPr>
                <w:sz w:val="16"/>
              </w:rPr>
            </w:pPr>
            <w:r>
              <w:rPr>
                <w:spacing w:val="-2"/>
                <w:sz w:val="16"/>
              </w:rPr>
              <w:t>£199,401.00</w:t>
            </w:r>
          </w:p>
        </w:tc>
        <w:tc>
          <w:tcPr>
            <w:tcW w:w="2557" w:type="dxa"/>
          </w:tcPr>
          <w:p>
            <w:pPr>
              <w:pStyle w:val="TableParagraph"/>
              <w:ind w:left="107"/>
              <w:rPr>
                <w:sz w:val="16"/>
              </w:rPr>
            </w:pPr>
            <w:r>
              <w:rPr>
                <w:sz w:val="16"/>
              </w:rPr>
              <w:t>Racking</w:t>
            </w:r>
            <w:r>
              <w:rPr>
                <w:spacing w:val="-3"/>
                <w:sz w:val="16"/>
              </w:rPr>
              <w:t> </w:t>
            </w:r>
            <w:r>
              <w:rPr>
                <w:sz w:val="16"/>
              </w:rPr>
              <w:t>for</w:t>
            </w:r>
            <w:r>
              <w:rPr>
                <w:spacing w:val="-3"/>
                <w:sz w:val="16"/>
              </w:rPr>
              <w:t> </w:t>
            </w:r>
            <w:r>
              <w:rPr>
                <w:sz w:val="16"/>
              </w:rPr>
              <w:t>IP5</w:t>
            </w:r>
            <w:r>
              <w:rPr>
                <w:spacing w:val="-2"/>
                <w:sz w:val="16"/>
              </w:rPr>
              <w:t> warehouse</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bl>
    <w:p>
      <w:pPr>
        <w:spacing w:after="0"/>
        <w:rPr>
          <w:sz w:val="16"/>
        </w:rPr>
        <w:sectPr>
          <w:footerReference w:type="default" r:id="rId197"/>
          <w:pgSz w:w="16840" w:h="11910" w:orient="landscape"/>
          <w:pgMar w:footer="641" w:header="0" w:top="640" w:bottom="840" w:left="280" w:right="120"/>
        </w:sectPr>
      </w:pPr>
    </w:p>
    <w:tbl>
      <w:tblPr>
        <w:tblW w:w="0" w:type="auto"/>
        <w:jc w:val="left"/>
        <w:tblInd w:w="1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2"/>
        <w:gridCol w:w="695"/>
        <w:gridCol w:w="986"/>
        <w:gridCol w:w="1486"/>
        <w:gridCol w:w="1246"/>
        <w:gridCol w:w="1479"/>
        <w:gridCol w:w="1459"/>
        <w:gridCol w:w="1276"/>
        <w:gridCol w:w="1418"/>
        <w:gridCol w:w="2557"/>
        <w:gridCol w:w="1586"/>
        <w:gridCol w:w="1430"/>
      </w:tblGrid>
      <w:tr>
        <w:trPr>
          <w:trHeight w:val="777" w:hRule="atLeast"/>
        </w:trPr>
        <w:tc>
          <w:tcPr>
            <w:tcW w:w="582" w:type="dxa"/>
          </w:tcPr>
          <w:p>
            <w:pPr>
              <w:pStyle w:val="TableParagraph"/>
              <w:ind w:left="108"/>
              <w:rPr>
                <w:sz w:val="16"/>
              </w:rPr>
            </w:pPr>
            <w:r>
              <w:rPr>
                <w:spacing w:val="-5"/>
                <w:sz w:val="16"/>
              </w:rPr>
              <w:t>9.</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15"/>
              <w:rPr>
                <w:sz w:val="16"/>
              </w:rPr>
            </w:pPr>
            <w:r>
              <w:rPr>
                <w:spacing w:val="-2"/>
                <w:sz w:val="16"/>
              </w:rPr>
              <w:t>NWSSP-MQ- RA322610</w:t>
            </w:r>
          </w:p>
        </w:tc>
        <w:tc>
          <w:tcPr>
            <w:tcW w:w="1246" w:type="dxa"/>
          </w:tcPr>
          <w:p>
            <w:pPr>
              <w:pStyle w:val="TableParagraph"/>
              <w:ind w:left="107"/>
              <w:rPr>
                <w:sz w:val="16"/>
              </w:rPr>
            </w:pPr>
            <w:r>
              <w:rPr>
                <w:spacing w:val="-2"/>
                <w:sz w:val="16"/>
              </w:rPr>
              <w:t>01/09/2022</w:t>
            </w:r>
          </w:p>
        </w:tc>
        <w:tc>
          <w:tcPr>
            <w:tcW w:w="1479" w:type="dxa"/>
          </w:tcPr>
          <w:p>
            <w:pPr>
              <w:pStyle w:val="TableParagraph"/>
              <w:ind w:left="108"/>
              <w:rPr>
                <w:sz w:val="16"/>
              </w:rPr>
            </w:pPr>
            <w:r>
              <w:rPr>
                <w:spacing w:val="-2"/>
                <w:sz w:val="16"/>
              </w:rPr>
              <w:t>Multiquote</w:t>
            </w:r>
          </w:p>
        </w:tc>
        <w:tc>
          <w:tcPr>
            <w:tcW w:w="1459" w:type="dxa"/>
          </w:tcPr>
          <w:p>
            <w:pPr>
              <w:pStyle w:val="TableParagraph"/>
              <w:spacing w:line="190" w:lineRule="atLeast"/>
              <w:ind w:left="108" w:right="433"/>
              <w:rPr>
                <w:sz w:val="16"/>
              </w:rPr>
            </w:pPr>
            <w:r>
              <w:rPr>
                <w:spacing w:val="-2"/>
                <w:sz w:val="16"/>
              </w:rPr>
              <w:t>Material </w:t>
            </w:r>
            <w:r>
              <w:rPr>
                <w:sz w:val="16"/>
              </w:rPr>
              <w:t>testing</w:t>
            </w:r>
            <w:r>
              <w:rPr>
                <w:spacing w:val="-15"/>
                <w:sz w:val="16"/>
              </w:rPr>
              <w:t> </w:t>
            </w:r>
            <w:r>
              <w:rPr>
                <w:sz w:val="16"/>
              </w:rPr>
              <w:t>and </w:t>
            </w:r>
            <w:r>
              <w:rPr>
                <w:spacing w:val="-2"/>
                <w:sz w:val="16"/>
              </w:rPr>
              <w:t>associated services</w:t>
            </w:r>
          </w:p>
        </w:tc>
        <w:tc>
          <w:tcPr>
            <w:tcW w:w="1276" w:type="dxa"/>
          </w:tcPr>
          <w:p>
            <w:pPr>
              <w:pStyle w:val="TableParagraph"/>
              <w:spacing w:line="190" w:lineRule="atLeast"/>
              <w:ind w:left="107" w:right="264"/>
              <w:rPr>
                <w:sz w:val="16"/>
              </w:rPr>
            </w:pPr>
            <w:r>
              <w:rPr>
                <w:spacing w:val="-2"/>
                <w:sz w:val="16"/>
              </w:rPr>
              <w:t>Minton, Treharne </w:t>
            </w:r>
            <w:r>
              <w:rPr>
                <w:sz w:val="16"/>
              </w:rPr>
              <w:t>and</w:t>
            </w:r>
            <w:r>
              <w:rPr>
                <w:spacing w:val="-15"/>
                <w:sz w:val="16"/>
              </w:rPr>
              <w:t> </w:t>
            </w:r>
            <w:r>
              <w:rPr>
                <w:sz w:val="16"/>
              </w:rPr>
              <w:t>Davies </w:t>
            </w:r>
            <w:r>
              <w:rPr>
                <w:spacing w:val="-2"/>
                <w:sz w:val="16"/>
              </w:rPr>
              <w:t>Limited</w:t>
            </w:r>
          </w:p>
        </w:tc>
        <w:tc>
          <w:tcPr>
            <w:tcW w:w="1418" w:type="dxa"/>
          </w:tcPr>
          <w:p>
            <w:pPr>
              <w:pStyle w:val="TableParagraph"/>
              <w:ind w:left="108"/>
              <w:rPr>
                <w:sz w:val="16"/>
              </w:rPr>
            </w:pPr>
            <w:r>
              <w:rPr>
                <w:sz w:val="16"/>
              </w:rPr>
              <w:t>Up to</w:t>
            </w:r>
            <w:r>
              <w:rPr>
                <w:spacing w:val="-1"/>
                <w:sz w:val="16"/>
              </w:rPr>
              <w:t> </w:t>
            </w:r>
            <w:r>
              <w:rPr>
                <w:spacing w:val="-2"/>
                <w:sz w:val="16"/>
              </w:rPr>
              <w:t>£25,000</w:t>
            </w:r>
          </w:p>
        </w:tc>
        <w:tc>
          <w:tcPr>
            <w:tcW w:w="2557" w:type="dxa"/>
          </w:tcPr>
          <w:p>
            <w:pPr>
              <w:pStyle w:val="TableParagraph"/>
              <w:ind w:left="107"/>
              <w:rPr>
                <w:sz w:val="16"/>
              </w:rPr>
            </w:pPr>
            <w:r>
              <w:rPr>
                <w:sz w:val="16"/>
              </w:rPr>
              <w:t>MEAT</w:t>
            </w:r>
            <w:r>
              <w:rPr>
                <w:spacing w:val="-4"/>
                <w:sz w:val="16"/>
              </w:rPr>
              <w:t> </w:t>
            </w:r>
            <w:r>
              <w:rPr>
                <w:sz w:val="16"/>
              </w:rPr>
              <w:t>evaluation</w:t>
            </w:r>
            <w:r>
              <w:rPr>
                <w:spacing w:val="-2"/>
                <w:sz w:val="16"/>
              </w:rPr>
              <w:t> utilised</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870" w:hRule="atLeast"/>
        </w:trPr>
        <w:tc>
          <w:tcPr>
            <w:tcW w:w="582" w:type="dxa"/>
          </w:tcPr>
          <w:p>
            <w:pPr>
              <w:pStyle w:val="TableParagraph"/>
              <w:ind w:left="108"/>
              <w:rPr>
                <w:sz w:val="16"/>
              </w:rPr>
            </w:pPr>
            <w:r>
              <w:rPr>
                <w:spacing w:val="-5"/>
                <w:sz w:val="16"/>
              </w:rPr>
              <w:t>10.</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15"/>
              <w:rPr>
                <w:sz w:val="16"/>
              </w:rPr>
            </w:pPr>
            <w:r>
              <w:rPr>
                <w:spacing w:val="-2"/>
                <w:sz w:val="16"/>
              </w:rPr>
              <w:t>NWSSP-MQ- RA322906</w:t>
            </w:r>
          </w:p>
        </w:tc>
        <w:tc>
          <w:tcPr>
            <w:tcW w:w="1246" w:type="dxa"/>
          </w:tcPr>
          <w:p>
            <w:pPr>
              <w:pStyle w:val="TableParagraph"/>
              <w:ind w:left="107"/>
              <w:rPr>
                <w:sz w:val="16"/>
              </w:rPr>
            </w:pPr>
            <w:r>
              <w:rPr>
                <w:spacing w:val="-2"/>
                <w:sz w:val="16"/>
              </w:rPr>
              <w:t>17/10/2022</w:t>
            </w:r>
          </w:p>
        </w:tc>
        <w:tc>
          <w:tcPr>
            <w:tcW w:w="1479" w:type="dxa"/>
          </w:tcPr>
          <w:p>
            <w:pPr>
              <w:pStyle w:val="TableParagraph"/>
              <w:ind w:left="108"/>
              <w:rPr>
                <w:sz w:val="16"/>
              </w:rPr>
            </w:pPr>
            <w:r>
              <w:rPr>
                <w:spacing w:val="-2"/>
                <w:sz w:val="16"/>
              </w:rPr>
              <w:t>Multiquote</w:t>
            </w:r>
          </w:p>
        </w:tc>
        <w:tc>
          <w:tcPr>
            <w:tcW w:w="1459" w:type="dxa"/>
          </w:tcPr>
          <w:p>
            <w:pPr>
              <w:pStyle w:val="TableParagraph"/>
              <w:ind w:left="108" w:right="255"/>
              <w:rPr>
                <w:sz w:val="16"/>
              </w:rPr>
            </w:pPr>
            <w:r>
              <w:rPr>
                <w:sz w:val="16"/>
              </w:rPr>
              <w:t>The</w:t>
            </w:r>
            <w:r>
              <w:rPr>
                <w:spacing w:val="-15"/>
                <w:sz w:val="16"/>
              </w:rPr>
              <w:t> </w:t>
            </w:r>
            <w:r>
              <w:rPr>
                <w:sz w:val="16"/>
              </w:rPr>
              <w:t>provision of Mobile Phones for </w:t>
            </w:r>
            <w:r>
              <w:rPr>
                <w:spacing w:val="-4"/>
                <w:sz w:val="16"/>
              </w:rPr>
              <w:t>NWSSP</w:t>
            </w:r>
          </w:p>
        </w:tc>
        <w:tc>
          <w:tcPr>
            <w:tcW w:w="1276" w:type="dxa"/>
          </w:tcPr>
          <w:p>
            <w:pPr>
              <w:pStyle w:val="TableParagraph"/>
              <w:ind w:left="107" w:right="182"/>
              <w:rPr>
                <w:sz w:val="16"/>
              </w:rPr>
            </w:pPr>
            <w:r>
              <w:rPr>
                <w:spacing w:val="-2"/>
                <w:sz w:val="16"/>
              </w:rPr>
              <w:t>Specialist Computer </w:t>
            </w:r>
            <w:r>
              <w:rPr>
                <w:sz w:val="16"/>
              </w:rPr>
              <w:t>Centres</w:t>
            </w:r>
            <w:r>
              <w:rPr>
                <w:spacing w:val="-15"/>
                <w:sz w:val="16"/>
              </w:rPr>
              <w:t> </w:t>
            </w:r>
            <w:r>
              <w:rPr>
                <w:sz w:val="16"/>
              </w:rPr>
              <w:t>PLC</w:t>
            </w:r>
          </w:p>
        </w:tc>
        <w:tc>
          <w:tcPr>
            <w:tcW w:w="1418" w:type="dxa"/>
          </w:tcPr>
          <w:p>
            <w:pPr>
              <w:pStyle w:val="TableParagraph"/>
              <w:ind w:left="108"/>
              <w:rPr>
                <w:sz w:val="16"/>
              </w:rPr>
            </w:pPr>
            <w:r>
              <w:rPr>
                <w:spacing w:val="-2"/>
                <w:sz w:val="16"/>
              </w:rPr>
              <w:t>£10,022.40</w:t>
            </w:r>
          </w:p>
        </w:tc>
        <w:tc>
          <w:tcPr>
            <w:tcW w:w="2557" w:type="dxa"/>
          </w:tcPr>
          <w:p>
            <w:pPr>
              <w:pStyle w:val="TableParagraph"/>
              <w:ind w:left="107"/>
              <w:rPr>
                <w:sz w:val="16"/>
              </w:rPr>
            </w:pPr>
            <w:r>
              <w:rPr>
                <w:sz w:val="16"/>
              </w:rPr>
              <w:t>MEAT</w:t>
            </w:r>
            <w:r>
              <w:rPr>
                <w:spacing w:val="-4"/>
                <w:sz w:val="16"/>
              </w:rPr>
              <w:t> </w:t>
            </w:r>
            <w:r>
              <w:rPr>
                <w:sz w:val="16"/>
              </w:rPr>
              <w:t>evaluation</w:t>
            </w:r>
            <w:r>
              <w:rPr>
                <w:spacing w:val="-2"/>
                <w:sz w:val="16"/>
              </w:rPr>
              <w:t> utilised</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870" w:hRule="atLeast"/>
        </w:trPr>
        <w:tc>
          <w:tcPr>
            <w:tcW w:w="582" w:type="dxa"/>
          </w:tcPr>
          <w:p>
            <w:pPr>
              <w:pStyle w:val="TableParagraph"/>
              <w:ind w:left="108"/>
              <w:rPr>
                <w:sz w:val="16"/>
              </w:rPr>
            </w:pPr>
            <w:r>
              <w:rPr>
                <w:spacing w:val="-5"/>
                <w:sz w:val="16"/>
              </w:rPr>
              <w:t>11.</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15"/>
              <w:rPr>
                <w:sz w:val="16"/>
              </w:rPr>
            </w:pPr>
            <w:r>
              <w:rPr>
                <w:spacing w:val="-2"/>
                <w:sz w:val="16"/>
              </w:rPr>
              <w:t>NWSSP-MQ- RA322973</w:t>
            </w:r>
          </w:p>
        </w:tc>
        <w:tc>
          <w:tcPr>
            <w:tcW w:w="1246" w:type="dxa"/>
          </w:tcPr>
          <w:p>
            <w:pPr>
              <w:pStyle w:val="TableParagraph"/>
              <w:ind w:left="107"/>
              <w:rPr>
                <w:sz w:val="16"/>
              </w:rPr>
            </w:pPr>
            <w:r>
              <w:rPr>
                <w:spacing w:val="-2"/>
                <w:sz w:val="16"/>
              </w:rPr>
              <w:t>10/10/2022</w:t>
            </w:r>
          </w:p>
        </w:tc>
        <w:tc>
          <w:tcPr>
            <w:tcW w:w="1479" w:type="dxa"/>
          </w:tcPr>
          <w:p>
            <w:pPr>
              <w:pStyle w:val="TableParagraph"/>
              <w:ind w:left="108"/>
              <w:rPr>
                <w:sz w:val="16"/>
              </w:rPr>
            </w:pPr>
            <w:r>
              <w:rPr>
                <w:spacing w:val="-2"/>
                <w:sz w:val="16"/>
              </w:rPr>
              <w:t>Multiquote</w:t>
            </w:r>
          </w:p>
        </w:tc>
        <w:tc>
          <w:tcPr>
            <w:tcW w:w="1459" w:type="dxa"/>
          </w:tcPr>
          <w:p>
            <w:pPr>
              <w:pStyle w:val="TableParagraph"/>
              <w:ind w:left="108"/>
              <w:rPr>
                <w:sz w:val="16"/>
              </w:rPr>
            </w:pPr>
            <w:r>
              <w:rPr>
                <w:spacing w:val="-2"/>
                <w:sz w:val="16"/>
              </w:rPr>
              <w:t>ISO20000-</w:t>
            </w:r>
            <w:r>
              <w:rPr>
                <w:spacing w:val="-10"/>
                <w:sz w:val="16"/>
              </w:rPr>
              <w:t>1</w:t>
            </w:r>
          </w:p>
          <w:p>
            <w:pPr>
              <w:pStyle w:val="TableParagraph"/>
              <w:ind w:left="108"/>
              <w:rPr>
                <w:sz w:val="16"/>
              </w:rPr>
            </w:pPr>
            <w:r>
              <w:rPr>
                <w:spacing w:val="-2"/>
                <w:sz w:val="16"/>
              </w:rPr>
              <w:t>Certification</w:t>
            </w:r>
          </w:p>
        </w:tc>
        <w:tc>
          <w:tcPr>
            <w:tcW w:w="1276" w:type="dxa"/>
          </w:tcPr>
          <w:p>
            <w:pPr>
              <w:pStyle w:val="TableParagraph"/>
              <w:ind w:left="107"/>
              <w:rPr>
                <w:sz w:val="16"/>
              </w:rPr>
            </w:pPr>
            <w:r>
              <w:rPr>
                <w:spacing w:val="-5"/>
                <w:sz w:val="16"/>
              </w:rPr>
              <w:t>BSI</w:t>
            </w:r>
          </w:p>
          <w:p>
            <w:pPr>
              <w:pStyle w:val="TableParagraph"/>
              <w:ind w:left="107"/>
              <w:rPr>
                <w:sz w:val="16"/>
              </w:rPr>
            </w:pPr>
            <w:r>
              <w:rPr>
                <w:spacing w:val="-2"/>
                <w:sz w:val="16"/>
              </w:rPr>
              <w:t>Assurance Group</w:t>
            </w:r>
          </w:p>
        </w:tc>
        <w:tc>
          <w:tcPr>
            <w:tcW w:w="1418" w:type="dxa"/>
          </w:tcPr>
          <w:p>
            <w:pPr>
              <w:pStyle w:val="TableParagraph"/>
              <w:ind w:left="108"/>
              <w:rPr>
                <w:sz w:val="16"/>
              </w:rPr>
            </w:pPr>
            <w:r>
              <w:rPr>
                <w:spacing w:val="-2"/>
                <w:sz w:val="16"/>
              </w:rPr>
              <w:t>£7,010.00</w:t>
            </w:r>
          </w:p>
        </w:tc>
        <w:tc>
          <w:tcPr>
            <w:tcW w:w="2557" w:type="dxa"/>
          </w:tcPr>
          <w:p>
            <w:pPr>
              <w:pStyle w:val="TableParagraph"/>
              <w:ind w:left="107"/>
              <w:rPr>
                <w:sz w:val="16"/>
              </w:rPr>
            </w:pPr>
            <w:r>
              <w:rPr>
                <w:sz w:val="16"/>
              </w:rPr>
              <w:t>MEAT</w:t>
            </w:r>
            <w:r>
              <w:rPr>
                <w:spacing w:val="-4"/>
                <w:sz w:val="16"/>
              </w:rPr>
              <w:t> </w:t>
            </w:r>
            <w:r>
              <w:rPr>
                <w:sz w:val="16"/>
              </w:rPr>
              <w:t>evaluation</w:t>
            </w:r>
            <w:r>
              <w:rPr>
                <w:spacing w:val="-2"/>
                <w:sz w:val="16"/>
              </w:rPr>
              <w:t> utilised</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1361" w:hRule="atLeast"/>
        </w:trPr>
        <w:tc>
          <w:tcPr>
            <w:tcW w:w="582" w:type="dxa"/>
          </w:tcPr>
          <w:p>
            <w:pPr>
              <w:pStyle w:val="TableParagraph"/>
              <w:ind w:left="108"/>
              <w:rPr>
                <w:sz w:val="16"/>
              </w:rPr>
            </w:pPr>
            <w:r>
              <w:rPr>
                <w:spacing w:val="-5"/>
                <w:sz w:val="16"/>
              </w:rPr>
              <w:t>12.</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15"/>
              <w:rPr>
                <w:sz w:val="16"/>
              </w:rPr>
            </w:pPr>
            <w:r>
              <w:rPr>
                <w:spacing w:val="-2"/>
                <w:sz w:val="16"/>
              </w:rPr>
              <w:t>NWSSP-MQ- RA323768</w:t>
            </w:r>
          </w:p>
        </w:tc>
        <w:tc>
          <w:tcPr>
            <w:tcW w:w="1246" w:type="dxa"/>
          </w:tcPr>
          <w:p>
            <w:pPr>
              <w:pStyle w:val="TableParagraph"/>
              <w:ind w:left="107"/>
              <w:rPr>
                <w:sz w:val="16"/>
              </w:rPr>
            </w:pPr>
            <w:r>
              <w:rPr>
                <w:spacing w:val="-2"/>
                <w:sz w:val="16"/>
              </w:rPr>
              <w:t>01/11/2022</w:t>
            </w:r>
          </w:p>
        </w:tc>
        <w:tc>
          <w:tcPr>
            <w:tcW w:w="1479" w:type="dxa"/>
          </w:tcPr>
          <w:p>
            <w:pPr>
              <w:pStyle w:val="TableParagraph"/>
              <w:ind w:left="108"/>
              <w:rPr>
                <w:sz w:val="16"/>
              </w:rPr>
            </w:pPr>
            <w:r>
              <w:rPr>
                <w:spacing w:val="-2"/>
                <w:sz w:val="16"/>
              </w:rPr>
              <w:t>Multiquote</w:t>
            </w:r>
          </w:p>
        </w:tc>
        <w:tc>
          <w:tcPr>
            <w:tcW w:w="1459" w:type="dxa"/>
          </w:tcPr>
          <w:p>
            <w:pPr>
              <w:pStyle w:val="TableParagraph"/>
              <w:spacing w:line="190" w:lineRule="atLeast"/>
              <w:ind w:left="108" w:right="149"/>
              <w:rPr>
                <w:sz w:val="16"/>
              </w:rPr>
            </w:pPr>
            <w:r>
              <w:rPr>
                <w:spacing w:val="-2"/>
                <w:sz w:val="16"/>
              </w:rPr>
              <w:t>Culture </w:t>
            </w:r>
            <w:r>
              <w:rPr>
                <w:sz w:val="16"/>
              </w:rPr>
              <w:t>Assessment</w:t>
            </w:r>
            <w:r>
              <w:rPr>
                <w:spacing w:val="-15"/>
                <w:sz w:val="16"/>
              </w:rPr>
              <w:t> </w:t>
            </w:r>
            <w:r>
              <w:rPr>
                <w:sz w:val="16"/>
              </w:rPr>
              <w:t>of The Citizen Voice</w:t>
            </w:r>
            <w:r>
              <w:rPr>
                <w:spacing w:val="-15"/>
                <w:sz w:val="16"/>
              </w:rPr>
              <w:t> </w:t>
            </w:r>
            <w:r>
              <w:rPr>
                <w:sz w:val="16"/>
              </w:rPr>
              <w:t>Body</w:t>
            </w:r>
            <w:r>
              <w:rPr>
                <w:spacing w:val="-14"/>
                <w:sz w:val="16"/>
              </w:rPr>
              <w:t> </w:t>
            </w:r>
            <w:r>
              <w:rPr>
                <w:sz w:val="16"/>
              </w:rPr>
              <w:t>for Health and Social Care in </w:t>
            </w:r>
            <w:r>
              <w:rPr>
                <w:spacing w:val="-2"/>
                <w:sz w:val="16"/>
              </w:rPr>
              <w:t>Wales</w:t>
            </w:r>
          </w:p>
        </w:tc>
        <w:tc>
          <w:tcPr>
            <w:tcW w:w="1276" w:type="dxa"/>
          </w:tcPr>
          <w:p>
            <w:pPr>
              <w:pStyle w:val="TableParagraph"/>
              <w:ind w:left="107"/>
              <w:rPr>
                <w:sz w:val="16"/>
              </w:rPr>
            </w:pPr>
            <w:r>
              <w:rPr>
                <w:spacing w:val="-2"/>
                <w:sz w:val="16"/>
              </w:rPr>
              <w:t>Human Synergistics</w:t>
            </w:r>
          </w:p>
        </w:tc>
        <w:tc>
          <w:tcPr>
            <w:tcW w:w="1418" w:type="dxa"/>
          </w:tcPr>
          <w:p>
            <w:pPr>
              <w:pStyle w:val="TableParagraph"/>
              <w:ind w:left="108"/>
              <w:rPr>
                <w:sz w:val="16"/>
              </w:rPr>
            </w:pPr>
            <w:r>
              <w:rPr>
                <w:spacing w:val="-2"/>
                <w:sz w:val="16"/>
              </w:rPr>
              <w:t>£14,143.26</w:t>
            </w:r>
          </w:p>
        </w:tc>
        <w:tc>
          <w:tcPr>
            <w:tcW w:w="2557" w:type="dxa"/>
          </w:tcPr>
          <w:p>
            <w:pPr>
              <w:pStyle w:val="TableParagraph"/>
              <w:ind w:left="107"/>
              <w:rPr>
                <w:sz w:val="16"/>
              </w:rPr>
            </w:pPr>
            <w:r>
              <w:rPr>
                <w:sz w:val="16"/>
              </w:rPr>
              <w:t>MEAT</w:t>
            </w:r>
            <w:r>
              <w:rPr>
                <w:spacing w:val="-4"/>
                <w:sz w:val="16"/>
              </w:rPr>
              <w:t> </w:t>
            </w:r>
            <w:r>
              <w:rPr>
                <w:sz w:val="16"/>
              </w:rPr>
              <w:t>evaluation</w:t>
            </w:r>
            <w:r>
              <w:rPr>
                <w:spacing w:val="-2"/>
                <w:sz w:val="16"/>
              </w:rPr>
              <w:t> utilised</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1166" w:hRule="atLeast"/>
        </w:trPr>
        <w:tc>
          <w:tcPr>
            <w:tcW w:w="582" w:type="dxa"/>
          </w:tcPr>
          <w:p>
            <w:pPr>
              <w:pStyle w:val="TableParagraph"/>
              <w:ind w:left="108"/>
              <w:rPr>
                <w:sz w:val="16"/>
              </w:rPr>
            </w:pPr>
            <w:r>
              <w:rPr>
                <w:spacing w:val="-5"/>
                <w:sz w:val="16"/>
              </w:rPr>
              <w:t>13.</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15"/>
              <w:rPr>
                <w:sz w:val="16"/>
              </w:rPr>
            </w:pPr>
            <w:r>
              <w:rPr>
                <w:spacing w:val="-2"/>
                <w:sz w:val="16"/>
              </w:rPr>
              <w:t>NWSSP-MQ- RA323925</w:t>
            </w:r>
          </w:p>
        </w:tc>
        <w:tc>
          <w:tcPr>
            <w:tcW w:w="1246" w:type="dxa"/>
          </w:tcPr>
          <w:p>
            <w:pPr>
              <w:pStyle w:val="TableParagraph"/>
              <w:ind w:left="107"/>
              <w:rPr>
                <w:sz w:val="16"/>
              </w:rPr>
            </w:pPr>
            <w:r>
              <w:rPr>
                <w:spacing w:val="-2"/>
                <w:sz w:val="16"/>
              </w:rPr>
              <w:t>12/12/2022</w:t>
            </w:r>
          </w:p>
        </w:tc>
        <w:tc>
          <w:tcPr>
            <w:tcW w:w="1479" w:type="dxa"/>
          </w:tcPr>
          <w:p>
            <w:pPr>
              <w:pStyle w:val="TableParagraph"/>
              <w:ind w:left="108"/>
              <w:rPr>
                <w:sz w:val="16"/>
              </w:rPr>
            </w:pPr>
            <w:r>
              <w:rPr>
                <w:spacing w:val="-2"/>
                <w:sz w:val="16"/>
              </w:rPr>
              <w:t>Multiquote</w:t>
            </w:r>
          </w:p>
        </w:tc>
        <w:tc>
          <w:tcPr>
            <w:tcW w:w="1459" w:type="dxa"/>
          </w:tcPr>
          <w:p>
            <w:pPr>
              <w:pStyle w:val="TableParagraph"/>
              <w:spacing w:line="190" w:lineRule="atLeast"/>
              <w:ind w:left="108" w:right="188"/>
              <w:rPr>
                <w:sz w:val="16"/>
              </w:rPr>
            </w:pPr>
            <w:r>
              <w:rPr>
                <w:spacing w:val="-2"/>
                <w:sz w:val="16"/>
              </w:rPr>
              <w:t>External Quality </w:t>
            </w:r>
            <w:r>
              <w:rPr>
                <w:sz w:val="16"/>
              </w:rPr>
              <w:t>Assesment</w:t>
            </w:r>
            <w:r>
              <w:rPr>
                <w:spacing w:val="-15"/>
                <w:sz w:val="16"/>
              </w:rPr>
              <w:t> </w:t>
            </w:r>
            <w:r>
              <w:rPr>
                <w:sz w:val="16"/>
              </w:rPr>
              <w:t>for NHS Wales Audit and </w:t>
            </w:r>
            <w:r>
              <w:rPr>
                <w:spacing w:val="-2"/>
                <w:sz w:val="16"/>
              </w:rPr>
              <w:t>Assurance</w:t>
            </w:r>
          </w:p>
        </w:tc>
        <w:tc>
          <w:tcPr>
            <w:tcW w:w="1276" w:type="dxa"/>
          </w:tcPr>
          <w:p>
            <w:pPr>
              <w:pStyle w:val="TableParagraph"/>
              <w:ind w:left="107"/>
              <w:rPr>
                <w:sz w:val="16"/>
              </w:rPr>
            </w:pPr>
            <w:r>
              <w:rPr>
                <w:spacing w:val="-2"/>
                <w:sz w:val="16"/>
              </w:rPr>
              <w:t>CIPFA</w:t>
            </w:r>
          </w:p>
        </w:tc>
        <w:tc>
          <w:tcPr>
            <w:tcW w:w="1418" w:type="dxa"/>
          </w:tcPr>
          <w:p>
            <w:pPr>
              <w:pStyle w:val="TableParagraph"/>
              <w:ind w:left="108"/>
              <w:rPr>
                <w:sz w:val="16"/>
              </w:rPr>
            </w:pPr>
            <w:r>
              <w:rPr>
                <w:spacing w:val="-2"/>
                <w:sz w:val="16"/>
              </w:rPr>
              <w:t>£4,785.00</w:t>
            </w:r>
          </w:p>
        </w:tc>
        <w:tc>
          <w:tcPr>
            <w:tcW w:w="2557" w:type="dxa"/>
          </w:tcPr>
          <w:p>
            <w:pPr>
              <w:pStyle w:val="TableParagraph"/>
              <w:ind w:left="107"/>
              <w:rPr>
                <w:sz w:val="16"/>
              </w:rPr>
            </w:pPr>
            <w:r>
              <w:rPr>
                <w:sz w:val="16"/>
              </w:rPr>
              <w:t>MEAT</w:t>
            </w:r>
            <w:r>
              <w:rPr>
                <w:spacing w:val="-4"/>
                <w:sz w:val="16"/>
              </w:rPr>
              <w:t> </w:t>
            </w:r>
            <w:r>
              <w:rPr>
                <w:sz w:val="16"/>
              </w:rPr>
              <w:t>evaluation</w:t>
            </w:r>
            <w:r>
              <w:rPr>
                <w:spacing w:val="-2"/>
                <w:sz w:val="16"/>
              </w:rPr>
              <w:t> utilised</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870" w:hRule="atLeast"/>
        </w:trPr>
        <w:tc>
          <w:tcPr>
            <w:tcW w:w="582" w:type="dxa"/>
          </w:tcPr>
          <w:p>
            <w:pPr>
              <w:pStyle w:val="TableParagraph"/>
              <w:ind w:left="108"/>
              <w:rPr>
                <w:sz w:val="16"/>
              </w:rPr>
            </w:pPr>
            <w:r>
              <w:rPr>
                <w:spacing w:val="-5"/>
                <w:sz w:val="16"/>
              </w:rPr>
              <w:t>14.</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15"/>
              <w:rPr>
                <w:sz w:val="16"/>
              </w:rPr>
            </w:pPr>
            <w:r>
              <w:rPr>
                <w:spacing w:val="-2"/>
                <w:sz w:val="16"/>
              </w:rPr>
              <w:t>NWSSP-MQ- RA324540</w:t>
            </w:r>
          </w:p>
        </w:tc>
        <w:tc>
          <w:tcPr>
            <w:tcW w:w="1246" w:type="dxa"/>
          </w:tcPr>
          <w:p>
            <w:pPr>
              <w:pStyle w:val="TableParagraph"/>
              <w:ind w:left="107"/>
              <w:rPr>
                <w:sz w:val="16"/>
              </w:rPr>
            </w:pPr>
            <w:r>
              <w:rPr>
                <w:spacing w:val="-2"/>
                <w:sz w:val="16"/>
              </w:rPr>
              <w:t>05/12/2022</w:t>
            </w:r>
          </w:p>
        </w:tc>
        <w:tc>
          <w:tcPr>
            <w:tcW w:w="1479" w:type="dxa"/>
          </w:tcPr>
          <w:p>
            <w:pPr>
              <w:pStyle w:val="TableParagraph"/>
              <w:ind w:left="108"/>
              <w:rPr>
                <w:sz w:val="16"/>
              </w:rPr>
            </w:pPr>
            <w:r>
              <w:rPr>
                <w:spacing w:val="-2"/>
                <w:sz w:val="16"/>
              </w:rPr>
              <w:t>Multiquote</w:t>
            </w:r>
          </w:p>
        </w:tc>
        <w:tc>
          <w:tcPr>
            <w:tcW w:w="1459" w:type="dxa"/>
          </w:tcPr>
          <w:p>
            <w:pPr>
              <w:pStyle w:val="TableParagraph"/>
              <w:ind w:left="108" w:right="149"/>
              <w:rPr>
                <w:sz w:val="16"/>
              </w:rPr>
            </w:pPr>
            <w:r>
              <w:rPr>
                <w:spacing w:val="-2"/>
                <w:sz w:val="16"/>
              </w:rPr>
              <w:t>Microbiological Incubators</w:t>
            </w:r>
          </w:p>
        </w:tc>
        <w:tc>
          <w:tcPr>
            <w:tcW w:w="1276" w:type="dxa"/>
          </w:tcPr>
          <w:p>
            <w:pPr>
              <w:pStyle w:val="TableParagraph"/>
              <w:ind w:left="107"/>
              <w:rPr>
                <w:sz w:val="16"/>
              </w:rPr>
            </w:pPr>
            <w:r>
              <w:rPr>
                <w:spacing w:val="-2"/>
                <w:sz w:val="16"/>
              </w:rPr>
              <w:t>Scientific laboratory supplies</w:t>
            </w:r>
          </w:p>
        </w:tc>
        <w:tc>
          <w:tcPr>
            <w:tcW w:w="1418" w:type="dxa"/>
          </w:tcPr>
          <w:p>
            <w:pPr>
              <w:pStyle w:val="TableParagraph"/>
              <w:ind w:left="108"/>
              <w:rPr>
                <w:sz w:val="16"/>
              </w:rPr>
            </w:pPr>
            <w:r>
              <w:rPr>
                <w:spacing w:val="-2"/>
                <w:sz w:val="16"/>
              </w:rPr>
              <w:t>£12,713.50</w:t>
            </w:r>
          </w:p>
        </w:tc>
        <w:tc>
          <w:tcPr>
            <w:tcW w:w="2557" w:type="dxa"/>
          </w:tcPr>
          <w:p>
            <w:pPr>
              <w:pStyle w:val="TableParagraph"/>
              <w:ind w:left="107"/>
              <w:rPr>
                <w:sz w:val="16"/>
              </w:rPr>
            </w:pPr>
            <w:r>
              <w:rPr>
                <w:sz w:val="16"/>
              </w:rPr>
              <w:t>MEAT</w:t>
            </w:r>
            <w:r>
              <w:rPr>
                <w:spacing w:val="-4"/>
                <w:sz w:val="16"/>
              </w:rPr>
              <w:t> </w:t>
            </w:r>
            <w:r>
              <w:rPr>
                <w:sz w:val="16"/>
              </w:rPr>
              <w:t>evaluation</w:t>
            </w:r>
            <w:r>
              <w:rPr>
                <w:spacing w:val="-2"/>
                <w:sz w:val="16"/>
              </w:rPr>
              <w:t> utilised</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972" w:hRule="atLeast"/>
        </w:trPr>
        <w:tc>
          <w:tcPr>
            <w:tcW w:w="582" w:type="dxa"/>
          </w:tcPr>
          <w:p>
            <w:pPr>
              <w:pStyle w:val="TableParagraph"/>
              <w:ind w:left="108"/>
              <w:rPr>
                <w:sz w:val="16"/>
              </w:rPr>
            </w:pPr>
            <w:r>
              <w:rPr>
                <w:spacing w:val="-5"/>
                <w:sz w:val="16"/>
              </w:rPr>
              <w:t>15.</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15"/>
              <w:rPr>
                <w:sz w:val="16"/>
              </w:rPr>
            </w:pPr>
            <w:r>
              <w:rPr>
                <w:spacing w:val="-2"/>
                <w:sz w:val="16"/>
              </w:rPr>
              <w:t>NWSSP-MQ- RA325500</w:t>
            </w:r>
          </w:p>
        </w:tc>
        <w:tc>
          <w:tcPr>
            <w:tcW w:w="1246" w:type="dxa"/>
          </w:tcPr>
          <w:p>
            <w:pPr>
              <w:pStyle w:val="TableParagraph"/>
              <w:ind w:left="107"/>
              <w:rPr>
                <w:sz w:val="16"/>
              </w:rPr>
            </w:pPr>
            <w:r>
              <w:rPr>
                <w:spacing w:val="-2"/>
                <w:sz w:val="16"/>
              </w:rPr>
              <w:t>01/01/2023</w:t>
            </w:r>
          </w:p>
        </w:tc>
        <w:tc>
          <w:tcPr>
            <w:tcW w:w="1479" w:type="dxa"/>
          </w:tcPr>
          <w:p>
            <w:pPr>
              <w:pStyle w:val="TableParagraph"/>
              <w:ind w:left="108"/>
              <w:rPr>
                <w:sz w:val="16"/>
              </w:rPr>
            </w:pPr>
            <w:r>
              <w:rPr>
                <w:spacing w:val="-2"/>
                <w:sz w:val="16"/>
              </w:rPr>
              <w:t>Multiquote</w:t>
            </w:r>
          </w:p>
        </w:tc>
        <w:tc>
          <w:tcPr>
            <w:tcW w:w="1459" w:type="dxa"/>
          </w:tcPr>
          <w:p>
            <w:pPr>
              <w:pStyle w:val="TableParagraph"/>
              <w:spacing w:line="190" w:lineRule="atLeast"/>
              <w:ind w:left="108" w:right="348"/>
              <w:rPr>
                <w:sz w:val="16"/>
              </w:rPr>
            </w:pPr>
            <w:r>
              <w:rPr>
                <w:spacing w:val="-2"/>
                <w:sz w:val="16"/>
              </w:rPr>
              <w:t>Prince2 Foundation </w:t>
            </w:r>
            <w:r>
              <w:rPr>
                <w:spacing w:val="-4"/>
                <w:sz w:val="16"/>
              </w:rPr>
              <w:t>and </w:t>
            </w:r>
            <w:r>
              <w:rPr>
                <w:spacing w:val="-2"/>
                <w:sz w:val="16"/>
              </w:rPr>
              <w:t>Practitioner Training</w:t>
            </w:r>
          </w:p>
        </w:tc>
        <w:tc>
          <w:tcPr>
            <w:tcW w:w="1276" w:type="dxa"/>
          </w:tcPr>
          <w:p>
            <w:pPr>
              <w:pStyle w:val="TableParagraph"/>
              <w:ind w:left="107"/>
              <w:rPr>
                <w:sz w:val="16"/>
              </w:rPr>
            </w:pPr>
            <w:r>
              <w:rPr>
                <w:sz w:val="16"/>
              </w:rPr>
              <w:t>NILC</w:t>
            </w:r>
            <w:r>
              <w:rPr>
                <w:spacing w:val="-4"/>
                <w:sz w:val="16"/>
              </w:rPr>
              <w:t> </w:t>
            </w:r>
            <w:r>
              <w:rPr>
                <w:spacing w:val="-5"/>
                <w:sz w:val="16"/>
              </w:rPr>
              <w:t>LTD</w:t>
            </w:r>
          </w:p>
        </w:tc>
        <w:tc>
          <w:tcPr>
            <w:tcW w:w="1418" w:type="dxa"/>
          </w:tcPr>
          <w:p>
            <w:pPr>
              <w:pStyle w:val="TableParagraph"/>
              <w:ind w:left="108"/>
              <w:rPr>
                <w:sz w:val="16"/>
              </w:rPr>
            </w:pPr>
            <w:r>
              <w:rPr>
                <w:spacing w:val="-2"/>
                <w:sz w:val="16"/>
              </w:rPr>
              <w:t>£14,043.60</w:t>
            </w:r>
          </w:p>
        </w:tc>
        <w:tc>
          <w:tcPr>
            <w:tcW w:w="2557" w:type="dxa"/>
          </w:tcPr>
          <w:p>
            <w:pPr>
              <w:pStyle w:val="TableParagraph"/>
              <w:ind w:left="107"/>
              <w:rPr>
                <w:sz w:val="16"/>
              </w:rPr>
            </w:pPr>
            <w:r>
              <w:rPr>
                <w:sz w:val="16"/>
              </w:rPr>
              <w:t>MEAT</w:t>
            </w:r>
            <w:r>
              <w:rPr>
                <w:spacing w:val="-4"/>
                <w:sz w:val="16"/>
              </w:rPr>
              <w:t> </w:t>
            </w:r>
            <w:r>
              <w:rPr>
                <w:sz w:val="16"/>
              </w:rPr>
              <w:t>evaluation</w:t>
            </w:r>
            <w:r>
              <w:rPr>
                <w:spacing w:val="-2"/>
                <w:sz w:val="16"/>
              </w:rPr>
              <w:t> utilised</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870" w:hRule="atLeast"/>
        </w:trPr>
        <w:tc>
          <w:tcPr>
            <w:tcW w:w="582" w:type="dxa"/>
          </w:tcPr>
          <w:p>
            <w:pPr>
              <w:pStyle w:val="TableParagraph"/>
              <w:ind w:left="108"/>
              <w:rPr>
                <w:sz w:val="16"/>
              </w:rPr>
            </w:pPr>
            <w:r>
              <w:rPr>
                <w:spacing w:val="-5"/>
                <w:sz w:val="16"/>
              </w:rPr>
              <w:t>16.</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298"/>
              <w:rPr>
                <w:sz w:val="16"/>
              </w:rPr>
            </w:pPr>
            <w:r>
              <w:rPr>
                <w:spacing w:val="-2"/>
                <w:sz w:val="16"/>
              </w:rPr>
              <w:t>NWSSP-RFQ- (22-23)-3</w:t>
            </w:r>
          </w:p>
        </w:tc>
        <w:tc>
          <w:tcPr>
            <w:tcW w:w="1246" w:type="dxa"/>
          </w:tcPr>
          <w:p>
            <w:pPr>
              <w:pStyle w:val="TableParagraph"/>
              <w:ind w:left="107"/>
              <w:rPr>
                <w:sz w:val="16"/>
              </w:rPr>
            </w:pPr>
            <w:r>
              <w:rPr>
                <w:spacing w:val="-2"/>
                <w:sz w:val="16"/>
              </w:rPr>
              <w:t>14/10/2022</w:t>
            </w:r>
          </w:p>
        </w:tc>
        <w:tc>
          <w:tcPr>
            <w:tcW w:w="1479" w:type="dxa"/>
          </w:tcPr>
          <w:p>
            <w:pPr>
              <w:pStyle w:val="TableParagraph"/>
              <w:ind w:left="108" w:right="428"/>
              <w:rPr>
                <w:sz w:val="16"/>
              </w:rPr>
            </w:pPr>
            <w:r>
              <w:rPr>
                <w:sz w:val="16"/>
              </w:rPr>
              <w:t>Request</w:t>
            </w:r>
            <w:r>
              <w:rPr>
                <w:spacing w:val="-15"/>
                <w:sz w:val="16"/>
              </w:rPr>
              <w:t> </w:t>
            </w:r>
            <w:r>
              <w:rPr>
                <w:sz w:val="16"/>
              </w:rPr>
              <w:t>for </w:t>
            </w:r>
            <w:r>
              <w:rPr>
                <w:spacing w:val="-2"/>
                <w:sz w:val="16"/>
              </w:rPr>
              <w:t>Quote</w:t>
            </w:r>
          </w:p>
        </w:tc>
        <w:tc>
          <w:tcPr>
            <w:tcW w:w="1459" w:type="dxa"/>
          </w:tcPr>
          <w:p>
            <w:pPr>
              <w:pStyle w:val="TableParagraph"/>
              <w:ind w:left="108" w:right="143"/>
              <w:rPr>
                <w:sz w:val="16"/>
              </w:rPr>
            </w:pPr>
            <w:r>
              <w:rPr>
                <w:sz w:val="16"/>
              </w:rPr>
              <w:t>Generator</w:t>
            </w:r>
            <w:r>
              <w:rPr>
                <w:spacing w:val="-15"/>
                <w:sz w:val="16"/>
              </w:rPr>
              <w:t> </w:t>
            </w:r>
            <w:r>
              <w:rPr>
                <w:sz w:val="16"/>
              </w:rPr>
              <w:t>Hire for Picketston</w:t>
            </w:r>
          </w:p>
        </w:tc>
        <w:tc>
          <w:tcPr>
            <w:tcW w:w="1276" w:type="dxa"/>
          </w:tcPr>
          <w:p>
            <w:pPr>
              <w:pStyle w:val="TableParagraph"/>
              <w:ind w:left="107" w:right="195"/>
              <w:rPr>
                <w:sz w:val="16"/>
              </w:rPr>
            </w:pPr>
            <w:r>
              <w:rPr>
                <w:spacing w:val="-2"/>
                <w:sz w:val="16"/>
              </w:rPr>
              <w:t>POWER ELECTRICS (BRISTOL) </w:t>
            </w:r>
            <w:r>
              <w:rPr>
                <w:spacing w:val="-4"/>
                <w:sz w:val="16"/>
              </w:rPr>
              <w:t>LTD</w:t>
            </w:r>
          </w:p>
        </w:tc>
        <w:tc>
          <w:tcPr>
            <w:tcW w:w="1418" w:type="dxa"/>
          </w:tcPr>
          <w:p>
            <w:pPr>
              <w:pStyle w:val="TableParagraph"/>
              <w:ind w:left="108"/>
              <w:rPr>
                <w:sz w:val="16"/>
              </w:rPr>
            </w:pPr>
            <w:r>
              <w:rPr>
                <w:spacing w:val="-2"/>
                <w:sz w:val="16"/>
              </w:rPr>
              <w:t>£8,898.00</w:t>
            </w:r>
          </w:p>
        </w:tc>
        <w:tc>
          <w:tcPr>
            <w:tcW w:w="2557" w:type="dxa"/>
          </w:tcPr>
          <w:p>
            <w:pPr>
              <w:pStyle w:val="TableParagraph"/>
              <w:ind w:left="107" w:right="181"/>
              <w:rPr>
                <w:sz w:val="16"/>
              </w:rPr>
            </w:pPr>
            <w:r>
              <w:rPr>
                <w:sz w:val="16"/>
              </w:rPr>
              <w:t>Awarded</w:t>
            </w:r>
            <w:r>
              <w:rPr>
                <w:spacing w:val="-12"/>
                <w:sz w:val="16"/>
              </w:rPr>
              <w:t> </w:t>
            </w:r>
            <w:r>
              <w:rPr>
                <w:sz w:val="16"/>
              </w:rPr>
              <w:t>to</w:t>
            </w:r>
            <w:r>
              <w:rPr>
                <w:spacing w:val="-13"/>
                <w:sz w:val="16"/>
              </w:rPr>
              <w:t> </w:t>
            </w:r>
            <w:r>
              <w:rPr>
                <w:sz w:val="16"/>
              </w:rPr>
              <w:t>lowest</w:t>
            </w:r>
            <w:r>
              <w:rPr>
                <w:spacing w:val="-12"/>
                <w:sz w:val="16"/>
              </w:rPr>
              <w:t> </w:t>
            </w:r>
            <w:r>
              <w:rPr>
                <w:sz w:val="16"/>
              </w:rPr>
              <w:t>price </w:t>
            </w:r>
            <w:r>
              <w:rPr>
                <w:spacing w:val="-2"/>
                <w:sz w:val="16"/>
              </w:rPr>
              <w:t>quotation</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777" w:hRule="atLeast"/>
        </w:trPr>
        <w:tc>
          <w:tcPr>
            <w:tcW w:w="582" w:type="dxa"/>
          </w:tcPr>
          <w:p>
            <w:pPr>
              <w:pStyle w:val="TableParagraph"/>
              <w:ind w:left="108"/>
              <w:rPr>
                <w:sz w:val="16"/>
              </w:rPr>
            </w:pPr>
            <w:r>
              <w:rPr>
                <w:spacing w:val="-5"/>
                <w:sz w:val="16"/>
              </w:rPr>
              <w:t>17.</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298"/>
              <w:rPr>
                <w:sz w:val="16"/>
              </w:rPr>
            </w:pPr>
            <w:r>
              <w:rPr>
                <w:spacing w:val="-2"/>
                <w:sz w:val="16"/>
              </w:rPr>
              <w:t>NWSSP-RFQ- (22-23)-4</w:t>
            </w:r>
          </w:p>
        </w:tc>
        <w:tc>
          <w:tcPr>
            <w:tcW w:w="1246" w:type="dxa"/>
          </w:tcPr>
          <w:p>
            <w:pPr>
              <w:pStyle w:val="TableParagraph"/>
              <w:ind w:left="107"/>
              <w:rPr>
                <w:sz w:val="16"/>
              </w:rPr>
            </w:pPr>
            <w:r>
              <w:rPr>
                <w:spacing w:val="-2"/>
                <w:sz w:val="16"/>
              </w:rPr>
              <w:t>14/10/2022</w:t>
            </w:r>
          </w:p>
        </w:tc>
        <w:tc>
          <w:tcPr>
            <w:tcW w:w="1479" w:type="dxa"/>
          </w:tcPr>
          <w:p>
            <w:pPr>
              <w:pStyle w:val="TableParagraph"/>
              <w:ind w:left="108" w:right="428"/>
              <w:rPr>
                <w:sz w:val="16"/>
              </w:rPr>
            </w:pPr>
            <w:r>
              <w:rPr>
                <w:sz w:val="16"/>
              </w:rPr>
              <w:t>Request</w:t>
            </w:r>
            <w:r>
              <w:rPr>
                <w:spacing w:val="-15"/>
                <w:sz w:val="16"/>
              </w:rPr>
              <w:t> </w:t>
            </w:r>
            <w:r>
              <w:rPr>
                <w:sz w:val="16"/>
              </w:rPr>
              <w:t>for </w:t>
            </w:r>
            <w:r>
              <w:rPr>
                <w:spacing w:val="-2"/>
                <w:sz w:val="16"/>
              </w:rPr>
              <w:t>Quote</w:t>
            </w:r>
          </w:p>
        </w:tc>
        <w:tc>
          <w:tcPr>
            <w:tcW w:w="1459" w:type="dxa"/>
          </w:tcPr>
          <w:p>
            <w:pPr>
              <w:pStyle w:val="TableParagraph"/>
              <w:spacing w:line="190" w:lineRule="atLeast"/>
              <w:ind w:left="108" w:right="186"/>
              <w:rPr>
                <w:sz w:val="16"/>
              </w:rPr>
            </w:pPr>
            <w:r>
              <w:rPr>
                <w:spacing w:val="-2"/>
                <w:sz w:val="16"/>
              </w:rPr>
              <w:t>Trainee Solicitors </w:t>
            </w:r>
            <w:r>
              <w:rPr>
                <w:sz w:val="16"/>
              </w:rPr>
              <w:t>Practical</w:t>
            </w:r>
            <w:r>
              <w:rPr>
                <w:spacing w:val="-15"/>
                <w:sz w:val="16"/>
              </w:rPr>
              <w:t> </w:t>
            </w:r>
            <w:r>
              <w:rPr>
                <w:sz w:val="16"/>
              </w:rPr>
              <w:t>Skills </w:t>
            </w:r>
            <w:r>
              <w:rPr>
                <w:spacing w:val="-2"/>
                <w:sz w:val="16"/>
              </w:rPr>
              <w:t>Course</w:t>
            </w:r>
          </w:p>
        </w:tc>
        <w:tc>
          <w:tcPr>
            <w:tcW w:w="1276" w:type="dxa"/>
          </w:tcPr>
          <w:p>
            <w:pPr>
              <w:pStyle w:val="TableParagraph"/>
              <w:ind w:left="107"/>
              <w:rPr>
                <w:sz w:val="16"/>
              </w:rPr>
            </w:pPr>
            <w:r>
              <w:rPr>
                <w:sz w:val="16"/>
              </w:rPr>
              <w:t>Barbri</w:t>
            </w:r>
            <w:r>
              <w:rPr>
                <w:spacing w:val="-1"/>
                <w:sz w:val="16"/>
              </w:rPr>
              <w:t> </w:t>
            </w:r>
            <w:r>
              <w:rPr>
                <w:spacing w:val="-2"/>
                <w:sz w:val="16"/>
              </w:rPr>
              <w:t>Altior</w:t>
            </w:r>
          </w:p>
        </w:tc>
        <w:tc>
          <w:tcPr>
            <w:tcW w:w="1418" w:type="dxa"/>
          </w:tcPr>
          <w:p>
            <w:pPr>
              <w:pStyle w:val="TableParagraph"/>
              <w:ind w:left="108"/>
              <w:rPr>
                <w:sz w:val="16"/>
              </w:rPr>
            </w:pPr>
            <w:r>
              <w:rPr>
                <w:spacing w:val="-2"/>
                <w:sz w:val="16"/>
              </w:rPr>
              <w:t>£5,100.00</w:t>
            </w:r>
          </w:p>
        </w:tc>
        <w:tc>
          <w:tcPr>
            <w:tcW w:w="2557" w:type="dxa"/>
          </w:tcPr>
          <w:p>
            <w:pPr>
              <w:pStyle w:val="TableParagraph"/>
              <w:ind w:left="107" w:right="181"/>
              <w:rPr>
                <w:sz w:val="16"/>
              </w:rPr>
            </w:pPr>
            <w:r>
              <w:rPr>
                <w:sz w:val="16"/>
              </w:rPr>
              <w:t>Awarded</w:t>
            </w:r>
            <w:r>
              <w:rPr>
                <w:spacing w:val="-12"/>
                <w:sz w:val="16"/>
              </w:rPr>
              <w:t> </w:t>
            </w:r>
            <w:r>
              <w:rPr>
                <w:sz w:val="16"/>
              </w:rPr>
              <w:t>to</w:t>
            </w:r>
            <w:r>
              <w:rPr>
                <w:spacing w:val="-13"/>
                <w:sz w:val="16"/>
              </w:rPr>
              <w:t> </w:t>
            </w:r>
            <w:r>
              <w:rPr>
                <w:sz w:val="16"/>
              </w:rPr>
              <w:t>lowest</w:t>
            </w:r>
            <w:r>
              <w:rPr>
                <w:spacing w:val="-12"/>
                <w:sz w:val="16"/>
              </w:rPr>
              <w:t> </w:t>
            </w:r>
            <w:r>
              <w:rPr>
                <w:sz w:val="16"/>
              </w:rPr>
              <w:t>price </w:t>
            </w:r>
            <w:r>
              <w:rPr>
                <w:spacing w:val="-2"/>
                <w:sz w:val="16"/>
              </w:rPr>
              <w:t>quotation</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870" w:hRule="atLeast"/>
        </w:trPr>
        <w:tc>
          <w:tcPr>
            <w:tcW w:w="582" w:type="dxa"/>
          </w:tcPr>
          <w:p>
            <w:pPr>
              <w:pStyle w:val="TableParagraph"/>
              <w:ind w:left="108"/>
              <w:rPr>
                <w:sz w:val="16"/>
              </w:rPr>
            </w:pPr>
            <w:r>
              <w:rPr>
                <w:spacing w:val="-5"/>
                <w:sz w:val="16"/>
              </w:rPr>
              <w:t>18.</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298"/>
              <w:rPr>
                <w:sz w:val="16"/>
              </w:rPr>
            </w:pPr>
            <w:r>
              <w:rPr>
                <w:spacing w:val="-2"/>
                <w:sz w:val="16"/>
              </w:rPr>
              <w:t>NWSSP-RFQ- (22-23)-5</w:t>
            </w:r>
          </w:p>
        </w:tc>
        <w:tc>
          <w:tcPr>
            <w:tcW w:w="1246" w:type="dxa"/>
          </w:tcPr>
          <w:p>
            <w:pPr>
              <w:pStyle w:val="TableParagraph"/>
              <w:ind w:left="107"/>
              <w:rPr>
                <w:sz w:val="16"/>
              </w:rPr>
            </w:pPr>
            <w:r>
              <w:rPr>
                <w:spacing w:val="-2"/>
                <w:sz w:val="16"/>
              </w:rPr>
              <w:t>07/11/2022</w:t>
            </w:r>
          </w:p>
        </w:tc>
        <w:tc>
          <w:tcPr>
            <w:tcW w:w="1479" w:type="dxa"/>
          </w:tcPr>
          <w:p>
            <w:pPr>
              <w:pStyle w:val="TableParagraph"/>
              <w:ind w:left="108" w:right="428"/>
              <w:rPr>
                <w:sz w:val="16"/>
              </w:rPr>
            </w:pPr>
            <w:r>
              <w:rPr>
                <w:sz w:val="16"/>
              </w:rPr>
              <w:t>Request</w:t>
            </w:r>
            <w:r>
              <w:rPr>
                <w:spacing w:val="-15"/>
                <w:sz w:val="16"/>
              </w:rPr>
              <w:t> </w:t>
            </w:r>
            <w:r>
              <w:rPr>
                <w:sz w:val="16"/>
              </w:rPr>
              <w:t>for </w:t>
            </w:r>
            <w:r>
              <w:rPr>
                <w:spacing w:val="-2"/>
                <w:sz w:val="16"/>
              </w:rPr>
              <w:t>Quote</w:t>
            </w:r>
          </w:p>
        </w:tc>
        <w:tc>
          <w:tcPr>
            <w:tcW w:w="1459" w:type="dxa"/>
          </w:tcPr>
          <w:p>
            <w:pPr>
              <w:pStyle w:val="TableParagraph"/>
              <w:ind w:left="108" w:right="149"/>
              <w:rPr>
                <w:sz w:val="16"/>
              </w:rPr>
            </w:pPr>
            <w:r>
              <w:rPr>
                <w:sz w:val="16"/>
              </w:rPr>
              <w:t>Rental of </w:t>
            </w:r>
            <w:r>
              <w:rPr>
                <w:spacing w:val="-2"/>
                <w:sz w:val="16"/>
              </w:rPr>
              <w:t>refrigerated </w:t>
            </w:r>
            <w:r>
              <w:rPr>
                <w:spacing w:val="-4"/>
                <w:sz w:val="16"/>
              </w:rPr>
              <w:t>Vans</w:t>
            </w:r>
          </w:p>
        </w:tc>
        <w:tc>
          <w:tcPr>
            <w:tcW w:w="1276" w:type="dxa"/>
          </w:tcPr>
          <w:p>
            <w:pPr>
              <w:pStyle w:val="TableParagraph"/>
              <w:ind w:left="107" w:right="179"/>
              <w:rPr>
                <w:sz w:val="16"/>
              </w:rPr>
            </w:pPr>
            <w:r>
              <w:rPr>
                <w:spacing w:val="-2"/>
                <w:sz w:val="16"/>
              </w:rPr>
              <w:t>Petit </w:t>
            </w:r>
            <w:r>
              <w:rPr>
                <w:sz w:val="16"/>
              </w:rPr>
              <w:t>Forestier</w:t>
            </w:r>
            <w:r>
              <w:rPr>
                <w:spacing w:val="-15"/>
                <w:sz w:val="16"/>
              </w:rPr>
              <w:t> </w:t>
            </w:r>
            <w:r>
              <w:rPr>
                <w:sz w:val="16"/>
              </w:rPr>
              <w:t>Uk </w:t>
            </w:r>
            <w:r>
              <w:rPr>
                <w:spacing w:val="-4"/>
                <w:sz w:val="16"/>
              </w:rPr>
              <w:t>Ltd</w:t>
            </w:r>
          </w:p>
        </w:tc>
        <w:tc>
          <w:tcPr>
            <w:tcW w:w="1418" w:type="dxa"/>
          </w:tcPr>
          <w:p>
            <w:pPr>
              <w:pStyle w:val="TableParagraph"/>
              <w:ind w:left="108"/>
              <w:rPr>
                <w:sz w:val="16"/>
              </w:rPr>
            </w:pPr>
            <w:r>
              <w:rPr>
                <w:spacing w:val="-2"/>
                <w:sz w:val="16"/>
              </w:rPr>
              <w:t>£17,120.00</w:t>
            </w:r>
          </w:p>
        </w:tc>
        <w:tc>
          <w:tcPr>
            <w:tcW w:w="2557" w:type="dxa"/>
          </w:tcPr>
          <w:p>
            <w:pPr>
              <w:pStyle w:val="TableParagraph"/>
              <w:ind w:left="107" w:right="181"/>
              <w:rPr>
                <w:sz w:val="16"/>
              </w:rPr>
            </w:pPr>
            <w:r>
              <w:rPr>
                <w:sz w:val="16"/>
              </w:rPr>
              <w:t>Awarded</w:t>
            </w:r>
            <w:r>
              <w:rPr>
                <w:spacing w:val="-12"/>
                <w:sz w:val="16"/>
              </w:rPr>
              <w:t> </w:t>
            </w:r>
            <w:r>
              <w:rPr>
                <w:sz w:val="16"/>
              </w:rPr>
              <w:t>to</w:t>
            </w:r>
            <w:r>
              <w:rPr>
                <w:spacing w:val="-13"/>
                <w:sz w:val="16"/>
              </w:rPr>
              <w:t> </w:t>
            </w:r>
            <w:r>
              <w:rPr>
                <w:sz w:val="16"/>
              </w:rPr>
              <w:t>lowest</w:t>
            </w:r>
            <w:r>
              <w:rPr>
                <w:spacing w:val="-12"/>
                <w:sz w:val="16"/>
              </w:rPr>
              <w:t> </w:t>
            </w:r>
            <w:r>
              <w:rPr>
                <w:sz w:val="16"/>
              </w:rPr>
              <w:t>price </w:t>
            </w:r>
            <w:r>
              <w:rPr>
                <w:spacing w:val="-2"/>
                <w:sz w:val="16"/>
              </w:rPr>
              <w:t>quotation</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bl>
    <w:p>
      <w:pPr>
        <w:spacing w:after="0"/>
        <w:rPr>
          <w:sz w:val="16"/>
        </w:rPr>
        <w:sectPr>
          <w:footerReference w:type="default" r:id="rId198"/>
          <w:pgSz w:w="16840" w:h="11910" w:orient="landscape"/>
          <w:pgMar w:footer="641" w:header="0" w:top="700" w:bottom="840" w:left="280" w:right="120"/>
          <w:pgNumType w:start="4"/>
        </w:sectPr>
      </w:pPr>
    </w:p>
    <w:tbl>
      <w:tblPr>
        <w:tblW w:w="0" w:type="auto"/>
        <w:jc w:val="left"/>
        <w:tblInd w:w="1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2"/>
        <w:gridCol w:w="695"/>
        <w:gridCol w:w="986"/>
        <w:gridCol w:w="1486"/>
        <w:gridCol w:w="1246"/>
        <w:gridCol w:w="1479"/>
        <w:gridCol w:w="1459"/>
        <w:gridCol w:w="1276"/>
        <w:gridCol w:w="1418"/>
        <w:gridCol w:w="2557"/>
        <w:gridCol w:w="1586"/>
        <w:gridCol w:w="1430"/>
      </w:tblGrid>
      <w:tr>
        <w:trPr>
          <w:trHeight w:val="2722" w:hRule="atLeast"/>
        </w:trPr>
        <w:tc>
          <w:tcPr>
            <w:tcW w:w="582" w:type="dxa"/>
          </w:tcPr>
          <w:p>
            <w:pPr>
              <w:pStyle w:val="TableParagraph"/>
              <w:ind w:left="108"/>
              <w:rPr>
                <w:sz w:val="16"/>
              </w:rPr>
            </w:pPr>
            <w:r>
              <w:rPr>
                <w:spacing w:val="-5"/>
                <w:sz w:val="16"/>
              </w:rPr>
              <w:t>19.</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15"/>
              <w:rPr>
                <w:sz w:val="16"/>
              </w:rPr>
            </w:pPr>
            <w:r>
              <w:rPr>
                <w:sz w:val="16"/>
              </w:rPr>
              <w:t>NWSSP - </w:t>
            </w:r>
            <w:r>
              <w:rPr>
                <w:spacing w:val="-2"/>
                <w:sz w:val="16"/>
              </w:rPr>
              <w:t>SES/DEPD/003</w:t>
            </w:r>
          </w:p>
        </w:tc>
        <w:tc>
          <w:tcPr>
            <w:tcW w:w="1246" w:type="dxa"/>
          </w:tcPr>
          <w:p>
            <w:pPr>
              <w:pStyle w:val="TableParagraph"/>
              <w:ind w:left="107"/>
              <w:rPr>
                <w:sz w:val="16"/>
              </w:rPr>
            </w:pPr>
            <w:r>
              <w:rPr>
                <w:spacing w:val="-2"/>
                <w:sz w:val="16"/>
              </w:rPr>
              <w:t>14/11/2022</w:t>
            </w:r>
          </w:p>
        </w:tc>
        <w:tc>
          <w:tcPr>
            <w:tcW w:w="1479" w:type="dxa"/>
          </w:tcPr>
          <w:p>
            <w:pPr>
              <w:pStyle w:val="TableParagraph"/>
              <w:ind w:left="108" w:right="428"/>
              <w:rPr>
                <w:sz w:val="16"/>
              </w:rPr>
            </w:pPr>
            <w:r>
              <w:rPr>
                <w:sz w:val="16"/>
              </w:rPr>
              <w:t>Request</w:t>
            </w:r>
            <w:r>
              <w:rPr>
                <w:spacing w:val="-15"/>
                <w:sz w:val="16"/>
              </w:rPr>
              <w:t> </w:t>
            </w:r>
            <w:r>
              <w:rPr>
                <w:sz w:val="16"/>
              </w:rPr>
              <w:t>for </w:t>
            </w:r>
            <w:r>
              <w:rPr>
                <w:spacing w:val="-2"/>
                <w:sz w:val="16"/>
              </w:rPr>
              <w:t>Quote</w:t>
            </w:r>
          </w:p>
        </w:tc>
        <w:tc>
          <w:tcPr>
            <w:tcW w:w="1459" w:type="dxa"/>
          </w:tcPr>
          <w:p>
            <w:pPr>
              <w:pStyle w:val="TableParagraph"/>
              <w:spacing w:line="190" w:lineRule="atLeast"/>
              <w:ind w:left="108" w:right="99"/>
              <w:rPr>
                <w:sz w:val="16"/>
              </w:rPr>
            </w:pPr>
            <w:r>
              <w:rPr>
                <w:sz w:val="16"/>
              </w:rPr>
              <w:t>Appointment</w:t>
            </w:r>
            <w:r>
              <w:rPr>
                <w:spacing w:val="-15"/>
                <w:sz w:val="16"/>
              </w:rPr>
              <w:t> </w:t>
            </w:r>
            <w:r>
              <w:rPr>
                <w:sz w:val="16"/>
              </w:rPr>
              <w:t>of a specialist engineer to </w:t>
            </w:r>
            <w:r>
              <w:rPr>
                <w:spacing w:val="-2"/>
                <w:sz w:val="16"/>
              </w:rPr>
              <w:t>support investigation </w:t>
            </w:r>
            <w:r>
              <w:rPr>
                <w:sz w:val="16"/>
              </w:rPr>
              <w:t>into the presence and </w:t>
            </w:r>
            <w:r>
              <w:rPr>
                <w:spacing w:val="-2"/>
                <w:sz w:val="16"/>
              </w:rPr>
              <w:t>management</w:t>
            </w:r>
            <w:r>
              <w:rPr>
                <w:spacing w:val="40"/>
                <w:sz w:val="16"/>
              </w:rPr>
              <w:t> </w:t>
            </w:r>
            <w:r>
              <w:rPr>
                <w:sz w:val="16"/>
              </w:rPr>
              <w:t>of reinforced </w:t>
            </w:r>
            <w:r>
              <w:rPr>
                <w:spacing w:val="-2"/>
                <w:sz w:val="16"/>
              </w:rPr>
              <w:t>autoclaved aerated </w:t>
            </w:r>
            <w:r>
              <w:rPr>
                <w:sz w:val="16"/>
              </w:rPr>
              <w:t>concrete</w:t>
            </w:r>
            <w:r>
              <w:rPr>
                <w:spacing w:val="-15"/>
                <w:sz w:val="16"/>
              </w:rPr>
              <w:t> </w:t>
            </w:r>
            <w:r>
              <w:rPr>
                <w:sz w:val="16"/>
              </w:rPr>
              <w:t>(raac) across</w:t>
            </w:r>
            <w:r>
              <w:rPr>
                <w:spacing w:val="-15"/>
                <w:sz w:val="16"/>
              </w:rPr>
              <w:t> </w:t>
            </w:r>
            <w:r>
              <w:rPr>
                <w:sz w:val="16"/>
              </w:rPr>
              <w:t>the</w:t>
            </w:r>
            <w:r>
              <w:rPr>
                <w:spacing w:val="-14"/>
                <w:sz w:val="16"/>
              </w:rPr>
              <w:t> </w:t>
            </w:r>
            <w:r>
              <w:rPr>
                <w:sz w:val="16"/>
              </w:rPr>
              <w:t>NHS Wales estate</w:t>
            </w:r>
          </w:p>
        </w:tc>
        <w:tc>
          <w:tcPr>
            <w:tcW w:w="1276" w:type="dxa"/>
          </w:tcPr>
          <w:p>
            <w:pPr>
              <w:pStyle w:val="TableParagraph"/>
              <w:ind w:left="107" w:right="195"/>
              <w:rPr>
                <w:sz w:val="16"/>
              </w:rPr>
            </w:pPr>
            <w:r>
              <w:rPr>
                <w:spacing w:val="-2"/>
                <w:sz w:val="16"/>
              </w:rPr>
              <w:t>Curtins Consulting </w:t>
            </w:r>
            <w:r>
              <w:rPr>
                <w:spacing w:val="-4"/>
                <w:sz w:val="16"/>
              </w:rPr>
              <w:t>Ltd</w:t>
            </w:r>
          </w:p>
        </w:tc>
        <w:tc>
          <w:tcPr>
            <w:tcW w:w="1418" w:type="dxa"/>
          </w:tcPr>
          <w:p>
            <w:pPr>
              <w:pStyle w:val="TableParagraph"/>
              <w:ind w:left="108"/>
              <w:rPr>
                <w:sz w:val="16"/>
              </w:rPr>
            </w:pPr>
            <w:r>
              <w:rPr>
                <w:spacing w:val="-2"/>
                <w:sz w:val="16"/>
              </w:rPr>
              <w:t>£15,850.00</w:t>
            </w:r>
          </w:p>
        </w:tc>
        <w:tc>
          <w:tcPr>
            <w:tcW w:w="2557" w:type="dxa"/>
          </w:tcPr>
          <w:p>
            <w:pPr>
              <w:pStyle w:val="TableParagraph"/>
              <w:ind w:left="107" w:right="181"/>
              <w:rPr>
                <w:sz w:val="16"/>
              </w:rPr>
            </w:pPr>
            <w:r>
              <w:rPr>
                <w:sz w:val="16"/>
              </w:rPr>
              <w:t>Awarded</w:t>
            </w:r>
            <w:r>
              <w:rPr>
                <w:spacing w:val="-12"/>
                <w:sz w:val="16"/>
              </w:rPr>
              <w:t> </w:t>
            </w:r>
            <w:r>
              <w:rPr>
                <w:sz w:val="16"/>
              </w:rPr>
              <w:t>to</w:t>
            </w:r>
            <w:r>
              <w:rPr>
                <w:spacing w:val="-13"/>
                <w:sz w:val="16"/>
              </w:rPr>
              <w:t> </w:t>
            </w:r>
            <w:r>
              <w:rPr>
                <w:sz w:val="16"/>
              </w:rPr>
              <w:t>lowest</w:t>
            </w:r>
            <w:r>
              <w:rPr>
                <w:spacing w:val="-12"/>
                <w:sz w:val="16"/>
              </w:rPr>
              <w:t> </w:t>
            </w:r>
            <w:r>
              <w:rPr>
                <w:sz w:val="16"/>
              </w:rPr>
              <w:t>price </w:t>
            </w:r>
            <w:r>
              <w:rPr>
                <w:spacing w:val="-2"/>
                <w:sz w:val="16"/>
              </w:rPr>
              <w:t>quotation</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870" w:hRule="atLeast"/>
        </w:trPr>
        <w:tc>
          <w:tcPr>
            <w:tcW w:w="582" w:type="dxa"/>
          </w:tcPr>
          <w:p>
            <w:pPr>
              <w:pStyle w:val="TableParagraph"/>
              <w:ind w:left="108"/>
              <w:rPr>
                <w:sz w:val="16"/>
              </w:rPr>
            </w:pPr>
            <w:r>
              <w:rPr>
                <w:spacing w:val="-5"/>
                <w:sz w:val="16"/>
              </w:rPr>
              <w:t>20.</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298"/>
              <w:rPr>
                <w:sz w:val="16"/>
              </w:rPr>
            </w:pPr>
            <w:r>
              <w:rPr>
                <w:spacing w:val="-2"/>
                <w:sz w:val="16"/>
              </w:rPr>
              <w:t>NWSSP-RFQ- (22-23)-6</w:t>
            </w:r>
          </w:p>
        </w:tc>
        <w:tc>
          <w:tcPr>
            <w:tcW w:w="1246" w:type="dxa"/>
          </w:tcPr>
          <w:p>
            <w:pPr>
              <w:pStyle w:val="TableParagraph"/>
              <w:ind w:left="107"/>
              <w:rPr>
                <w:sz w:val="16"/>
              </w:rPr>
            </w:pPr>
            <w:r>
              <w:rPr>
                <w:spacing w:val="-2"/>
                <w:sz w:val="16"/>
              </w:rPr>
              <w:t>14/12/2022</w:t>
            </w:r>
          </w:p>
        </w:tc>
        <w:tc>
          <w:tcPr>
            <w:tcW w:w="1479" w:type="dxa"/>
          </w:tcPr>
          <w:p>
            <w:pPr>
              <w:pStyle w:val="TableParagraph"/>
              <w:ind w:left="108" w:right="428"/>
              <w:rPr>
                <w:sz w:val="16"/>
              </w:rPr>
            </w:pPr>
            <w:r>
              <w:rPr>
                <w:sz w:val="16"/>
              </w:rPr>
              <w:t>Request</w:t>
            </w:r>
            <w:r>
              <w:rPr>
                <w:spacing w:val="-15"/>
                <w:sz w:val="16"/>
              </w:rPr>
              <w:t> </w:t>
            </w:r>
            <w:r>
              <w:rPr>
                <w:sz w:val="16"/>
              </w:rPr>
              <w:t>for </w:t>
            </w:r>
            <w:r>
              <w:rPr>
                <w:spacing w:val="-2"/>
                <w:sz w:val="16"/>
              </w:rPr>
              <w:t>Quote</w:t>
            </w:r>
          </w:p>
        </w:tc>
        <w:tc>
          <w:tcPr>
            <w:tcW w:w="1459" w:type="dxa"/>
          </w:tcPr>
          <w:p>
            <w:pPr>
              <w:pStyle w:val="TableParagraph"/>
              <w:ind w:left="108" w:right="223"/>
              <w:rPr>
                <w:sz w:val="16"/>
              </w:rPr>
            </w:pPr>
            <w:r>
              <w:rPr>
                <w:sz w:val="16"/>
              </w:rPr>
              <w:t>Repairing</w:t>
            </w:r>
            <w:r>
              <w:rPr>
                <w:spacing w:val="-15"/>
                <w:sz w:val="16"/>
              </w:rPr>
              <w:t> </w:t>
            </w:r>
            <w:r>
              <w:rPr>
                <w:sz w:val="16"/>
              </w:rPr>
              <w:t>and erecting new </w:t>
            </w:r>
            <w:r>
              <w:rPr>
                <w:spacing w:val="-2"/>
                <w:sz w:val="16"/>
              </w:rPr>
              <w:t>fence</w:t>
            </w:r>
          </w:p>
        </w:tc>
        <w:tc>
          <w:tcPr>
            <w:tcW w:w="1276" w:type="dxa"/>
          </w:tcPr>
          <w:p>
            <w:pPr>
              <w:pStyle w:val="TableParagraph"/>
              <w:ind w:left="107" w:right="337"/>
              <w:rPr>
                <w:sz w:val="16"/>
              </w:rPr>
            </w:pPr>
            <w:r>
              <w:rPr>
                <w:spacing w:val="-2"/>
                <w:sz w:val="16"/>
              </w:rPr>
              <w:t>ABBEY BUILDING SUPPLIES</w:t>
            </w:r>
          </w:p>
        </w:tc>
        <w:tc>
          <w:tcPr>
            <w:tcW w:w="1418" w:type="dxa"/>
          </w:tcPr>
          <w:p>
            <w:pPr>
              <w:pStyle w:val="TableParagraph"/>
              <w:ind w:left="108"/>
              <w:rPr>
                <w:sz w:val="16"/>
              </w:rPr>
            </w:pPr>
            <w:r>
              <w:rPr>
                <w:spacing w:val="-2"/>
                <w:sz w:val="16"/>
              </w:rPr>
              <w:t>£5,130.00</w:t>
            </w:r>
          </w:p>
        </w:tc>
        <w:tc>
          <w:tcPr>
            <w:tcW w:w="2557" w:type="dxa"/>
          </w:tcPr>
          <w:p>
            <w:pPr>
              <w:pStyle w:val="TableParagraph"/>
              <w:ind w:left="107" w:right="181"/>
              <w:rPr>
                <w:sz w:val="16"/>
              </w:rPr>
            </w:pPr>
            <w:r>
              <w:rPr>
                <w:sz w:val="16"/>
              </w:rPr>
              <w:t>Awarded</w:t>
            </w:r>
            <w:r>
              <w:rPr>
                <w:spacing w:val="-12"/>
                <w:sz w:val="16"/>
              </w:rPr>
              <w:t> </w:t>
            </w:r>
            <w:r>
              <w:rPr>
                <w:sz w:val="16"/>
              </w:rPr>
              <w:t>to</w:t>
            </w:r>
            <w:r>
              <w:rPr>
                <w:spacing w:val="-13"/>
                <w:sz w:val="16"/>
              </w:rPr>
              <w:t> </w:t>
            </w:r>
            <w:r>
              <w:rPr>
                <w:sz w:val="16"/>
              </w:rPr>
              <w:t>lowest</w:t>
            </w:r>
            <w:r>
              <w:rPr>
                <w:spacing w:val="-12"/>
                <w:sz w:val="16"/>
              </w:rPr>
              <w:t> </w:t>
            </w:r>
            <w:r>
              <w:rPr>
                <w:sz w:val="16"/>
              </w:rPr>
              <w:t>price </w:t>
            </w:r>
            <w:r>
              <w:rPr>
                <w:spacing w:val="-2"/>
                <w:sz w:val="16"/>
              </w:rPr>
              <w:t>quotation</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870" w:hRule="atLeast"/>
        </w:trPr>
        <w:tc>
          <w:tcPr>
            <w:tcW w:w="582" w:type="dxa"/>
          </w:tcPr>
          <w:p>
            <w:pPr>
              <w:pStyle w:val="TableParagraph"/>
              <w:ind w:left="108"/>
              <w:rPr>
                <w:sz w:val="16"/>
              </w:rPr>
            </w:pPr>
            <w:r>
              <w:rPr>
                <w:spacing w:val="-5"/>
                <w:sz w:val="16"/>
              </w:rPr>
              <w:t>21.</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298"/>
              <w:rPr>
                <w:sz w:val="16"/>
              </w:rPr>
            </w:pPr>
            <w:r>
              <w:rPr>
                <w:spacing w:val="-2"/>
                <w:sz w:val="16"/>
              </w:rPr>
              <w:t>NWSSP-RFQ- (22-23)-7</w:t>
            </w:r>
          </w:p>
        </w:tc>
        <w:tc>
          <w:tcPr>
            <w:tcW w:w="1246" w:type="dxa"/>
          </w:tcPr>
          <w:p>
            <w:pPr>
              <w:pStyle w:val="TableParagraph"/>
              <w:ind w:left="107"/>
              <w:rPr>
                <w:sz w:val="16"/>
              </w:rPr>
            </w:pPr>
            <w:r>
              <w:rPr>
                <w:spacing w:val="-2"/>
                <w:sz w:val="16"/>
              </w:rPr>
              <w:t>14/10/2022</w:t>
            </w:r>
          </w:p>
        </w:tc>
        <w:tc>
          <w:tcPr>
            <w:tcW w:w="1479" w:type="dxa"/>
          </w:tcPr>
          <w:p>
            <w:pPr>
              <w:pStyle w:val="TableParagraph"/>
              <w:ind w:left="108" w:right="428"/>
              <w:rPr>
                <w:sz w:val="16"/>
              </w:rPr>
            </w:pPr>
            <w:r>
              <w:rPr>
                <w:sz w:val="16"/>
              </w:rPr>
              <w:t>Request</w:t>
            </w:r>
            <w:r>
              <w:rPr>
                <w:spacing w:val="-15"/>
                <w:sz w:val="16"/>
              </w:rPr>
              <w:t> </w:t>
            </w:r>
            <w:r>
              <w:rPr>
                <w:sz w:val="16"/>
              </w:rPr>
              <w:t>for </w:t>
            </w:r>
            <w:r>
              <w:rPr>
                <w:spacing w:val="-2"/>
                <w:sz w:val="16"/>
              </w:rPr>
              <w:t>Quote</w:t>
            </w:r>
          </w:p>
        </w:tc>
        <w:tc>
          <w:tcPr>
            <w:tcW w:w="1459" w:type="dxa"/>
          </w:tcPr>
          <w:p>
            <w:pPr>
              <w:pStyle w:val="TableParagraph"/>
              <w:ind w:left="108" w:right="193"/>
              <w:jc w:val="both"/>
              <w:rPr>
                <w:sz w:val="16"/>
              </w:rPr>
            </w:pPr>
            <w:r>
              <w:rPr>
                <w:sz w:val="16"/>
              </w:rPr>
              <w:t>ROOF</w:t>
            </w:r>
            <w:r>
              <w:rPr>
                <w:spacing w:val="-1"/>
                <w:sz w:val="16"/>
              </w:rPr>
              <w:t> </w:t>
            </w:r>
            <w:r>
              <w:rPr>
                <w:sz w:val="16"/>
              </w:rPr>
              <w:t>REPAIR AT</w:t>
            </w:r>
            <w:r>
              <w:rPr>
                <w:spacing w:val="-15"/>
                <w:sz w:val="16"/>
              </w:rPr>
              <w:t> </w:t>
            </w:r>
            <w:r>
              <w:rPr>
                <w:sz w:val="16"/>
              </w:rPr>
              <w:t>BRIDGEND </w:t>
            </w:r>
            <w:r>
              <w:rPr>
                <w:spacing w:val="-2"/>
                <w:sz w:val="16"/>
              </w:rPr>
              <w:t>STORES</w:t>
            </w:r>
          </w:p>
        </w:tc>
        <w:tc>
          <w:tcPr>
            <w:tcW w:w="1276" w:type="dxa"/>
          </w:tcPr>
          <w:p>
            <w:pPr>
              <w:pStyle w:val="TableParagraph"/>
              <w:ind w:left="107" w:right="586"/>
              <w:rPr>
                <w:sz w:val="16"/>
              </w:rPr>
            </w:pPr>
            <w:r>
              <w:rPr>
                <w:spacing w:val="-2"/>
                <w:sz w:val="16"/>
              </w:rPr>
              <w:t>Waters roofing</w:t>
            </w:r>
          </w:p>
        </w:tc>
        <w:tc>
          <w:tcPr>
            <w:tcW w:w="1418" w:type="dxa"/>
          </w:tcPr>
          <w:p>
            <w:pPr>
              <w:pStyle w:val="TableParagraph"/>
              <w:ind w:left="108"/>
              <w:rPr>
                <w:sz w:val="16"/>
              </w:rPr>
            </w:pPr>
            <w:r>
              <w:rPr>
                <w:spacing w:val="-2"/>
                <w:sz w:val="16"/>
              </w:rPr>
              <w:t>£7,100.00</w:t>
            </w:r>
          </w:p>
        </w:tc>
        <w:tc>
          <w:tcPr>
            <w:tcW w:w="2557" w:type="dxa"/>
          </w:tcPr>
          <w:p>
            <w:pPr>
              <w:pStyle w:val="TableParagraph"/>
              <w:ind w:left="107" w:right="181"/>
              <w:rPr>
                <w:sz w:val="16"/>
              </w:rPr>
            </w:pPr>
            <w:r>
              <w:rPr>
                <w:sz w:val="16"/>
              </w:rPr>
              <w:t>Awarded</w:t>
            </w:r>
            <w:r>
              <w:rPr>
                <w:spacing w:val="-12"/>
                <w:sz w:val="16"/>
              </w:rPr>
              <w:t> </w:t>
            </w:r>
            <w:r>
              <w:rPr>
                <w:sz w:val="16"/>
              </w:rPr>
              <w:t>to</w:t>
            </w:r>
            <w:r>
              <w:rPr>
                <w:spacing w:val="-13"/>
                <w:sz w:val="16"/>
              </w:rPr>
              <w:t> </w:t>
            </w:r>
            <w:r>
              <w:rPr>
                <w:sz w:val="16"/>
              </w:rPr>
              <w:t>lowest</w:t>
            </w:r>
            <w:r>
              <w:rPr>
                <w:spacing w:val="-12"/>
                <w:sz w:val="16"/>
              </w:rPr>
              <w:t> </w:t>
            </w:r>
            <w:r>
              <w:rPr>
                <w:sz w:val="16"/>
              </w:rPr>
              <w:t>price </w:t>
            </w:r>
            <w:r>
              <w:rPr>
                <w:spacing w:val="-2"/>
                <w:sz w:val="16"/>
              </w:rPr>
              <w:t>quotation</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972" w:hRule="atLeast"/>
        </w:trPr>
        <w:tc>
          <w:tcPr>
            <w:tcW w:w="582" w:type="dxa"/>
          </w:tcPr>
          <w:p>
            <w:pPr>
              <w:pStyle w:val="TableParagraph"/>
              <w:ind w:left="108"/>
              <w:rPr>
                <w:sz w:val="16"/>
              </w:rPr>
            </w:pPr>
            <w:r>
              <w:rPr>
                <w:spacing w:val="-5"/>
                <w:sz w:val="16"/>
              </w:rPr>
              <w:t>22.</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298"/>
              <w:rPr>
                <w:sz w:val="16"/>
              </w:rPr>
            </w:pPr>
            <w:r>
              <w:rPr>
                <w:spacing w:val="-2"/>
                <w:sz w:val="16"/>
              </w:rPr>
              <w:t>NWSSP-RFQ- (22-23)-8</w:t>
            </w:r>
          </w:p>
        </w:tc>
        <w:tc>
          <w:tcPr>
            <w:tcW w:w="1246" w:type="dxa"/>
          </w:tcPr>
          <w:p>
            <w:pPr>
              <w:pStyle w:val="TableParagraph"/>
              <w:ind w:left="107"/>
              <w:rPr>
                <w:sz w:val="16"/>
              </w:rPr>
            </w:pPr>
            <w:r>
              <w:rPr>
                <w:spacing w:val="-2"/>
                <w:sz w:val="16"/>
              </w:rPr>
              <w:t>14/10/2022</w:t>
            </w:r>
          </w:p>
        </w:tc>
        <w:tc>
          <w:tcPr>
            <w:tcW w:w="1479" w:type="dxa"/>
          </w:tcPr>
          <w:p>
            <w:pPr>
              <w:pStyle w:val="TableParagraph"/>
              <w:ind w:left="108" w:right="428"/>
              <w:rPr>
                <w:sz w:val="16"/>
              </w:rPr>
            </w:pPr>
            <w:r>
              <w:rPr>
                <w:sz w:val="16"/>
              </w:rPr>
              <w:t>Request</w:t>
            </w:r>
            <w:r>
              <w:rPr>
                <w:spacing w:val="-15"/>
                <w:sz w:val="16"/>
              </w:rPr>
              <w:t> </w:t>
            </w:r>
            <w:r>
              <w:rPr>
                <w:sz w:val="16"/>
              </w:rPr>
              <w:t>for </w:t>
            </w:r>
            <w:r>
              <w:rPr>
                <w:spacing w:val="-2"/>
                <w:sz w:val="16"/>
              </w:rPr>
              <w:t>Quote</w:t>
            </w:r>
          </w:p>
        </w:tc>
        <w:tc>
          <w:tcPr>
            <w:tcW w:w="1459" w:type="dxa"/>
          </w:tcPr>
          <w:p>
            <w:pPr>
              <w:pStyle w:val="TableParagraph"/>
              <w:spacing w:line="190" w:lineRule="atLeast"/>
              <w:ind w:left="108" w:right="226"/>
              <w:rPr>
                <w:sz w:val="16"/>
              </w:rPr>
            </w:pPr>
            <w:r>
              <w:rPr>
                <w:sz w:val="16"/>
              </w:rPr>
              <w:t>Installation</w:t>
            </w:r>
            <w:r>
              <w:rPr>
                <w:spacing w:val="-15"/>
                <w:sz w:val="16"/>
              </w:rPr>
              <w:t> </w:t>
            </w:r>
            <w:r>
              <w:rPr>
                <w:sz w:val="16"/>
              </w:rPr>
              <w:t>of windows at </w:t>
            </w:r>
            <w:r>
              <w:rPr>
                <w:spacing w:val="-2"/>
                <w:sz w:val="16"/>
              </w:rPr>
              <w:t>WestPoint industrial Estate</w:t>
            </w:r>
          </w:p>
        </w:tc>
        <w:tc>
          <w:tcPr>
            <w:tcW w:w="1276" w:type="dxa"/>
          </w:tcPr>
          <w:p>
            <w:pPr>
              <w:pStyle w:val="TableParagraph"/>
              <w:ind w:left="107"/>
              <w:rPr>
                <w:sz w:val="16"/>
              </w:rPr>
            </w:pPr>
            <w:r>
              <w:rPr>
                <w:spacing w:val="-5"/>
                <w:sz w:val="16"/>
              </w:rPr>
              <w:t>PRW</w:t>
            </w:r>
          </w:p>
          <w:p>
            <w:pPr>
              <w:pStyle w:val="TableParagraph"/>
              <w:ind w:left="107"/>
              <w:rPr>
                <w:sz w:val="16"/>
              </w:rPr>
            </w:pPr>
            <w:r>
              <w:rPr>
                <w:spacing w:val="-2"/>
                <w:sz w:val="16"/>
              </w:rPr>
              <w:t>Construction</w:t>
            </w:r>
          </w:p>
        </w:tc>
        <w:tc>
          <w:tcPr>
            <w:tcW w:w="1418" w:type="dxa"/>
          </w:tcPr>
          <w:p>
            <w:pPr>
              <w:pStyle w:val="TableParagraph"/>
              <w:ind w:left="108"/>
              <w:rPr>
                <w:sz w:val="16"/>
              </w:rPr>
            </w:pPr>
            <w:r>
              <w:rPr>
                <w:spacing w:val="-2"/>
                <w:sz w:val="16"/>
              </w:rPr>
              <w:t>£7,680.00</w:t>
            </w:r>
          </w:p>
        </w:tc>
        <w:tc>
          <w:tcPr>
            <w:tcW w:w="2557" w:type="dxa"/>
          </w:tcPr>
          <w:p>
            <w:pPr>
              <w:pStyle w:val="TableParagraph"/>
              <w:ind w:left="107" w:right="181"/>
              <w:rPr>
                <w:sz w:val="16"/>
              </w:rPr>
            </w:pPr>
            <w:r>
              <w:rPr>
                <w:sz w:val="16"/>
              </w:rPr>
              <w:t>Awarded</w:t>
            </w:r>
            <w:r>
              <w:rPr>
                <w:spacing w:val="-12"/>
                <w:sz w:val="16"/>
              </w:rPr>
              <w:t> </w:t>
            </w:r>
            <w:r>
              <w:rPr>
                <w:sz w:val="16"/>
              </w:rPr>
              <w:t>to</w:t>
            </w:r>
            <w:r>
              <w:rPr>
                <w:spacing w:val="-13"/>
                <w:sz w:val="16"/>
              </w:rPr>
              <w:t> </w:t>
            </w:r>
            <w:r>
              <w:rPr>
                <w:sz w:val="16"/>
              </w:rPr>
              <w:t>lowest</w:t>
            </w:r>
            <w:r>
              <w:rPr>
                <w:spacing w:val="-12"/>
                <w:sz w:val="16"/>
              </w:rPr>
              <w:t> </w:t>
            </w:r>
            <w:r>
              <w:rPr>
                <w:sz w:val="16"/>
              </w:rPr>
              <w:t>price </w:t>
            </w:r>
            <w:r>
              <w:rPr>
                <w:spacing w:val="-2"/>
                <w:sz w:val="16"/>
              </w:rPr>
              <w:t>quotation</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870" w:hRule="atLeast"/>
        </w:trPr>
        <w:tc>
          <w:tcPr>
            <w:tcW w:w="582" w:type="dxa"/>
          </w:tcPr>
          <w:p>
            <w:pPr>
              <w:pStyle w:val="TableParagraph"/>
              <w:ind w:left="108"/>
              <w:rPr>
                <w:sz w:val="16"/>
              </w:rPr>
            </w:pPr>
            <w:r>
              <w:rPr>
                <w:spacing w:val="-5"/>
                <w:sz w:val="16"/>
              </w:rPr>
              <w:t>23.</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298"/>
              <w:rPr>
                <w:sz w:val="16"/>
              </w:rPr>
            </w:pPr>
            <w:r>
              <w:rPr>
                <w:spacing w:val="-2"/>
                <w:sz w:val="16"/>
              </w:rPr>
              <w:t>NWSSP-RFQ- (22-23)-9</w:t>
            </w:r>
          </w:p>
        </w:tc>
        <w:tc>
          <w:tcPr>
            <w:tcW w:w="1246" w:type="dxa"/>
          </w:tcPr>
          <w:p>
            <w:pPr>
              <w:pStyle w:val="TableParagraph"/>
              <w:ind w:left="107"/>
              <w:rPr>
                <w:sz w:val="16"/>
              </w:rPr>
            </w:pPr>
            <w:r>
              <w:rPr>
                <w:spacing w:val="-2"/>
                <w:sz w:val="16"/>
              </w:rPr>
              <w:t>07/11/2022</w:t>
            </w:r>
          </w:p>
        </w:tc>
        <w:tc>
          <w:tcPr>
            <w:tcW w:w="1479" w:type="dxa"/>
          </w:tcPr>
          <w:p>
            <w:pPr>
              <w:pStyle w:val="TableParagraph"/>
              <w:ind w:left="108" w:right="428"/>
              <w:rPr>
                <w:sz w:val="16"/>
              </w:rPr>
            </w:pPr>
            <w:r>
              <w:rPr>
                <w:sz w:val="16"/>
              </w:rPr>
              <w:t>Request</w:t>
            </w:r>
            <w:r>
              <w:rPr>
                <w:spacing w:val="-15"/>
                <w:sz w:val="16"/>
              </w:rPr>
              <w:t> </w:t>
            </w:r>
            <w:r>
              <w:rPr>
                <w:sz w:val="16"/>
              </w:rPr>
              <w:t>for </w:t>
            </w:r>
            <w:r>
              <w:rPr>
                <w:spacing w:val="-2"/>
                <w:sz w:val="16"/>
              </w:rPr>
              <w:t>Quote</w:t>
            </w:r>
          </w:p>
        </w:tc>
        <w:tc>
          <w:tcPr>
            <w:tcW w:w="1459" w:type="dxa"/>
          </w:tcPr>
          <w:p>
            <w:pPr>
              <w:pStyle w:val="TableParagraph"/>
              <w:ind w:left="108" w:right="299"/>
              <w:jc w:val="both"/>
              <w:rPr>
                <w:sz w:val="16"/>
              </w:rPr>
            </w:pPr>
            <w:r>
              <w:rPr>
                <w:spacing w:val="-2"/>
                <w:sz w:val="16"/>
              </w:rPr>
              <w:t>Replacement </w:t>
            </w:r>
            <w:r>
              <w:rPr>
                <w:sz w:val="16"/>
              </w:rPr>
              <w:t>Dock</w:t>
            </w:r>
            <w:r>
              <w:rPr>
                <w:spacing w:val="-12"/>
                <w:sz w:val="16"/>
              </w:rPr>
              <w:t> </w:t>
            </w:r>
            <w:r>
              <w:rPr>
                <w:sz w:val="16"/>
              </w:rPr>
              <w:t>lever </w:t>
            </w:r>
            <w:r>
              <w:rPr>
                <w:sz w:val="16"/>
              </w:rPr>
              <w:t>( Bay 2)</w:t>
            </w:r>
          </w:p>
        </w:tc>
        <w:tc>
          <w:tcPr>
            <w:tcW w:w="1276" w:type="dxa"/>
          </w:tcPr>
          <w:p>
            <w:pPr>
              <w:pStyle w:val="TableParagraph"/>
              <w:ind w:left="107"/>
              <w:rPr>
                <w:sz w:val="16"/>
              </w:rPr>
            </w:pPr>
            <w:r>
              <w:rPr>
                <w:sz w:val="16"/>
              </w:rPr>
              <w:t>Bolton</w:t>
            </w:r>
            <w:r>
              <w:rPr>
                <w:spacing w:val="-2"/>
                <w:sz w:val="16"/>
              </w:rPr>
              <w:t> </w:t>
            </w:r>
            <w:r>
              <w:rPr>
                <w:sz w:val="16"/>
              </w:rPr>
              <w:t>Gate Services</w:t>
            </w:r>
            <w:r>
              <w:rPr>
                <w:spacing w:val="-2"/>
                <w:sz w:val="16"/>
              </w:rPr>
              <w:t> </w:t>
            </w:r>
            <w:r>
              <w:rPr>
                <w:spacing w:val="-5"/>
                <w:sz w:val="16"/>
              </w:rPr>
              <w:t>Ltd</w:t>
            </w:r>
          </w:p>
        </w:tc>
        <w:tc>
          <w:tcPr>
            <w:tcW w:w="1418" w:type="dxa"/>
          </w:tcPr>
          <w:p>
            <w:pPr>
              <w:pStyle w:val="TableParagraph"/>
              <w:ind w:left="108"/>
              <w:rPr>
                <w:sz w:val="16"/>
              </w:rPr>
            </w:pPr>
            <w:r>
              <w:rPr>
                <w:spacing w:val="-2"/>
                <w:sz w:val="16"/>
              </w:rPr>
              <w:t>£8,804.40</w:t>
            </w:r>
          </w:p>
        </w:tc>
        <w:tc>
          <w:tcPr>
            <w:tcW w:w="2557" w:type="dxa"/>
          </w:tcPr>
          <w:p>
            <w:pPr>
              <w:pStyle w:val="TableParagraph"/>
              <w:ind w:left="107" w:right="181"/>
              <w:rPr>
                <w:sz w:val="16"/>
              </w:rPr>
            </w:pPr>
            <w:r>
              <w:rPr>
                <w:sz w:val="16"/>
              </w:rPr>
              <w:t>Awarded</w:t>
            </w:r>
            <w:r>
              <w:rPr>
                <w:spacing w:val="-12"/>
                <w:sz w:val="16"/>
              </w:rPr>
              <w:t> </w:t>
            </w:r>
            <w:r>
              <w:rPr>
                <w:sz w:val="16"/>
              </w:rPr>
              <w:t>to</w:t>
            </w:r>
            <w:r>
              <w:rPr>
                <w:spacing w:val="-13"/>
                <w:sz w:val="16"/>
              </w:rPr>
              <w:t> </w:t>
            </w:r>
            <w:r>
              <w:rPr>
                <w:sz w:val="16"/>
              </w:rPr>
              <w:t>lowest</w:t>
            </w:r>
            <w:r>
              <w:rPr>
                <w:spacing w:val="-12"/>
                <w:sz w:val="16"/>
              </w:rPr>
              <w:t> </w:t>
            </w:r>
            <w:r>
              <w:rPr>
                <w:sz w:val="16"/>
              </w:rPr>
              <w:t>price </w:t>
            </w:r>
            <w:r>
              <w:rPr>
                <w:spacing w:val="-2"/>
                <w:sz w:val="16"/>
              </w:rPr>
              <w:t>quotation</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870" w:hRule="atLeast"/>
        </w:trPr>
        <w:tc>
          <w:tcPr>
            <w:tcW w:w="582" w:type="dxa"/>
          </w:tcPr>
          <w:p>
            <w:pPr>
              <w:pStyle w:val="TableParagraph"/>
              <w:ind w:left="108"/>
              <w:rPr>
                <w:sz w:val="16"/>
              </w:rPr>
            </w:pPr>
            <w:r>
              <w:rPr>
                <w:spacing w:val="-5"/>
                <w:sz w:val="16"/>
              </w:rPr>
              <w:t>24.</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298"/>
              <w:rPr>
                <w:sz w:val="16"/>
              </w:rPr>
            </w:pPr>
            <w:r>
              <w:rPr>
                <w:spacing w:val="-2"/>
                <w:sz w:val="16"/>
              </w:rPr>
              <w:t>NWSSP-RFQ- (22-23)-10</w:t>
            </w:r>
          </w:p>
        </w:tc>
        <w:tc>
          <w:tcPr>
            <w:tcW w:w="1246" w:type="dxa"/>
          </w:tcPr>
          <w:p>
            <w:pPr>
              <w:pStyle w:val="TableParagraph"/>
              <w:ind w:left="107"/>
              <w:rPr>
                <w:sz w:val="16"/>
              </w:rPr>
            </w:pPr>
            <w:r>
              <w:rPr>
                <w:spacing w:val="-2"/>
                <w:sz w:val="16"/>
              </w:rPr>
              <w:t>14/11/2022</w:t>
            </w:r>
          </w:p>
        </w:tc>
        <w:tc>
          <w:tcPr>
            <w:tcW w:w="1479" w:type="dxa"/>
          </w:tcPr>
          <w:p>
            <w:pPr>
              <w:pStyle w:val="TableParagraph"/>
              <w:ind w:left="108" w:right="428"/>
              <w:rPr>
                <w:sz w:val="16"/>
              </w:rPr>
            </w:pPr>
            <w:r>
              <w:rPr>
                <w:sz w:val="16"/>
              </w:rPr>
              <w:t>Request</w:t>
            </w:r>
            <w:r>
              <w:rPr>
                <w:spacing w:val="-15"/>
                <w:sz w:val="16"/>
              </w:rPr>
              <w:t> </w:t>
            </w:r>
            <w:r>
              <w:rPr>
                <w:sz w:val="16"/>
              </w:rPr>
              <w:t>for </w:t>
            </w:r>
            <w:r>
              <w:rPr>
                <w:spacing w:val="-2"/>
                <w:sz w:val="16"/>
              </w:rPr>
              <w:t>Quote</w:t>
            </w:r>
          </w:p>
        </w:tc>
        <w:tc>
          <w:tcPr>
            <w:tcW w:w="1459" w:type="dxa"/>
          </w:tcPr>
          <w:p>
            <w:pPr>
              <w:pStyle w:val="TableParagraph"/>
              <w:ind w:left="108"/>
              <w:rPr>
                <w:sz w:val="16"/>
              </w:rPr>
            </w:pPr>
            <w:r>
              <w:rPr>
                <w:sz w:val="16"/>
              </w:rPr>
              <w:t>Hygiene</w:t>
            </w:r>
            <w:r>
              <w:rPr>
                <w:spacing w:val="-4"/>
                <w:sz w:val="16"/>
              </w:rPr>
              <w:t> Bins</w:t>
            </w:r>
          </w:p>
        </w:tc>
        <w:tc>
          <w:tcPr>
            <w:tcW w:w="1276" w:type="dxa"/>
          </w:tcPr>
          <w:p>
            <w:pPr>
              <w:pStyle w:val="TableParagraph"/>
              <w:ind w:left="107"/>
              <w:rPr>
                <w:sz w:val="16"/>
              </w:rPr>
            </w:pPr>
            <w:r>
              <w:rPr>
                <w:sz w:val="16"/>
              </w:rPr>
              <w:t>PHS </w:t>
            </w:r>
            <w:r>
              <w:rPr>
                <w:spacing w:val="-2"/>
                <w:sz w:val="16"/>
              </w:rPr>
              <w:t>Group</w:t>
            </w:r>
          </w:p>
        </w:tc>
        <w:tc>
          <w:tcPr>
            <w:tcW w:w="1418" w:type="dxa"/>
          </w:tcPr>
          <w:p>
            <w:pPr>
              <w:pStyle w:val="TableParagraph"/>
              <w:ind w:left="108"/>
              <w:rPr>
                <w:sz w:val="16"/>
              </w:rPr>
            </w:pPr>
            <w:r>
              <w:rPr>
                <w:spacing w:val="-2"/>
                <w:sz w:val="16"/>
              </w:rPr>
              <w:t>£2,500.00</w:t>
            </w:r>
          </w:p>
        </w:tc>
        <w:tc>
          <w:tcPr>
            <w:tcW w:w="2557" w:type="dxa"/>
          </w:tcPr>
          <w:p>
            <w:pPr>
              <w:pStyle w:val="TableParagraph"/>
              <w:ind w:left="107" w:right="181"/>
              <w:rPr>
                <w:sz w:val="16"/>
              </w:rPr>
            </w:pPr>
            <w:r>
              <w:rPr>
                <w:sz w:val="16"/>
              </w:rPr>
              <w:t>Awarded</w:t>
            </w:r>
            <w:r>
              <w:rPr>
                <w:spacing w:val="-12"/>
                <w:sz w:val="16"/>
              </w:rPr>
              <w:t> </w:t>
            </w:r>
            <w:r>
              <w:rPr>
                <w:sz w:val="16"/>
              </w:rPr>
              <w:t>to</w:t>
            </w:r>
            <w:r>
              <w:rPr>
                <w:spacing w:val="-13"/>
                <w:sz w:val="16"/>
              </w:rPr>
              <w:t> </w:t>
            </w:r>
            <w:r>
              <w:rPr>
                <w:sz w:val="16"/>
              </w:rPr>
              <w:t>lowest</w:t>
            </w:r>
            <w:r>
              <w:rPr>
                <w:spacing w:val="-12"/>
                <w:sz w:val="16"/>
              </w:rPr>
              <w:t> </w:t>
            </w:r>
            <w:r>
              <w:rPr>
                <w:sz w:val="16"/>
              </w:rPr>
              <w:t>price </w:t>
            </w:r>
            <w:r>
              <w:rPr>
                <w:spacing w:val="-2"/>
                <w:sz w:val="16"/>
              </w:rPr>
              <w:t>quotation</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1944" w:hRule="atLeast"/>
        </w:trPr>
        <w:tc>
          <w:tcPr>
            <w:tcW w:w="582" w:type="dxa"/>
          </w:tcPr>
          <w:p>
            <w:pPr>
              <w:pStyle w:val="TableParagraph"/>
              <w:ind w:left="108"/>
              <w:rPr>
                <w:sz w:val="16"/>
              </w:rPr>
            </w:pPr>
            <w:r>
              <w:rPr>
                <w:spacing w:val="-5"/>
                <w:sz w:val="16"/>
              </w:rPr>
              <w:t>25.</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282"/>
              <w:rPr>
                <w:sz w:val="16"/>
              </w:rPr>
            </w:pPr>
            <w:r>
              <w:rPr>
                <w:spacing w:val="-2"/>
                <w:sz w:val="16"/>
              </w:rPr>
              <w:t>NWSSP-SQA- (22-23)-7</w:t>
            </w:r>
          </w:p>
        </w:tc>
        <w:tc>
          <w:tcPr>
            <w:tcW w:w="1246" w:type="dxa"/>
          </w:tcPr>
          <w:p>
            <w:pPr>
              <w:pStyle w:val="TableParagraph"/>
              <w:ind w:left="107"/>
              <w:rPr>
                <w:sz w:val="16"/>
              </w:rPr>
            </w:pPr>
            <w:r>
              <w:rPr>
                <w:spacing w:val="-2"/>
                <w:sz w:val="16"/>
              </w:rPr>
              <w:t>01/09/2022</w:t>
            </w:r>
          </w:p>
        </w:tc>
        <w:tc>
          <w:tcPr>
            <w:tcW w:w="1479" w:type="dxa"/>
          </w:tcPr>
          <w:p>
            <w:pPr>
              <w:pStyle w:val="TableParagraph"/>
              <w:ind w:left="108" w:right="428"/>
              <w:rPr>
                <w:sz w:val="16"/>
              </w:rPr>
            </w:pPr>
            <w:r>
              <w:rPr>
                <w:spacing w:val="-2"/>
                <w:sz w:val="16"/>
              </w:rPr>
              <w:t>Single Quotation Action</w:t>
            </w:r>
          </w:p>
        </w:tc>
        <w:tc>
          <w:tcPr>
            <w:tcW w:w="1459" w:type="dxa"/>
          </w:tcPr>
          <w:p>
            <w:pPr>
              <w:pStyle w:val="TableParagraph"/>
              <w:ind w:left="108" w:right="609"/>
              <w:rPr>
                <w:sz w:val="16"/>
              </w:rPr>
            </w:pPr>
            <w:r>
              <w:rPr>
                <w:sz w:val="16"/>
              </w:rPr>
              <w:t>Maldi</w:t>
            </w:r>
            <w:r>
              <w:rPr>
                <w:spacing w:val="-15"/>
                <w:sz w:val="16"/>
              </w:rPr>
              <w:t> </w:t>
            </w:r>
            <w:r>
              <w:rPr>
                <w:sz w:val="16"/>
              </w:rPr>
              <w:t>Tof </w:t>
            </w:r>
            <w:r>
              <w:rPr>
                <w:spacing w:val="-2"/>
                <w:sz w:val="16"/>
              </w:rPr>
              <w:t>service contract</w:t>
            </w:r>
          </w:p>
        </w:tc>
        <w:tc>
          <w:tcPr>
            <w:tcW w:w="1276" w:type="dxa"/>
          </w:tcPr>
          <w:p>
            <w:pPr>
              <w:pStyle w:val="TableParagraph"/>
              <w:ind w:left="107" w:right="332"/>
              <w:rPr>
                <w:sz w:val="16"/>
              </w:rPr>
            </w:pPr>
            <w:r>
              <w:rPr>
                <w:sz w:val="16"/>
              </w:rPr>
              <w:t>Bruker</w:t>
            </w:r>
            <w:r>
              <w:rPr>
                <w:spacing w:val="-15"/>
                <w:sz w:val="16"/>
              </w:rPr>
              <w:t> </w:t>
            </w:r>
            <w:r>
              <w:rPr>
                <w:sz w:val="16"/>
              </w:rPr>
              <w:t>UK </w:t>
            </w:r>
            <w:r>
              <w:rPr>
                <w:spacing w:val="-4"/>
                <w:sz w:val="16"/>
              </w:rPr>
              <w:t>Ltd</w:t>
            </w:r>
          </w:p>
        </w:tc>
        <w:tc>
          <w:tcPr>
            <w:tcW w:w="1418" w:type="dxa"/>
          </w:tcPr>
          <w:p>
            <w:pPr>
              <w:pStyle w:val="TableParagraph"/>
              <w:ind w:left="108"/>
              <w:rPr>
                <w:sz w:val="16"/>
              </w:rPr>
            </w:pPr>
            <w:r>
              <w:rPr>
                <w:spacing w:val="-2"/>
                <w:sz w:val="16"/>
              </w:rPr>
              <w:t>£11,500.00</w:t>
            </w:r>
          </w:p>
        </w:tc>
        <w:tc>
          <w:tcPr>
            <w:tcW w:w="2557" w:type="dxa"/>
          </w:tcPr>
          <w:p>
            <w:pPr>
              <w:pStyle w:val="TableParagraph"/>
              <w:spacing w:line="190" w:lineRule="atLeast"/>
              <w:ind w:left="107" w:right="95"/>
              <w:rPr>
                <w:sz w:val="16"/>
              </w:rPr>
            </w:pPr>
            <w:r>
              <w:rPr>
                <w:sz w:val="16"/>
              </w:rPr>
              <w:t>The Maldi Tof is only able to have a service agreement through</w:t>
            </w:r>
            <w:r>
              <w:rPr>
                <w:spacing w:val="-13"/>
                <w:sz w:val="16"/>
              </w:rPr>
              <w:t> </w:t>
            </w:r>
            <w:r>
              <w:rPr>
                <w:sz w:val="16"/>
              </w:rPr>
              <w:t>the</w:t>
            </w:r>
            <w:r>
              <w:rPr>
                <w:spacing w:val="-14"/>
                <w:sz w:val="16"/>
              </w:rPr>
              <w:t> </w:t>
            </w:r>
            <w:r>
              <w:rPr>
                <w:sz w:val="16"/>
              </w:rPr>
              <w:t>original</w:t>
            </w:r>
            <w:r>
              <w:rPr>
                <w:spacing w:val="-13"/>
                <w:sz w:val="16"/>
              </w:rPr>
              <w:t> </w:t>
            </w:r>
            <w:r>
              <w:rPr>
                <w:sz w:val="16"/>
              </w:rPr>
              <w:t>provider of the equipment. The servicing contract will allow ongoing maintenance and replacement of parts which will greatly reduce the ad- hoc costs incurred when fixing this machine.</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bl>
    <w:p>
      <w:pPr>
        <w:spacing w:after="0"/>
        <w:rPr>
          <w:sz w:val="16"/>
        </w:rPr>
        <w:sectPr>
          <w:type w:val="continuous"/>
          <w:pgSz w:w="16840" w:h="11910" w:orient="landscape"/>
          <w:pgMar w:header="0" w:footer="641" w:top="700" w:bottom="840" w:left="280" w:right="120"/>
        </w:sectPr>
      </w:pPr>
    </w:p>
    <w:tbl>
      <w:tblPr>
        <w:tblW w:w="0" w:type="auto"/>
        <w:jc w:val="left"/>
        <w:tblInd w:w="1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2"/>
        <w:gridCol w:w="695"/>
        <w:gridCol w:w="986"/>
        <w:gridCol w:w="1486"/>
        <w:gridCol w:w="1246"/>
        <w:gridCol w:w="1479"/>
        <w:gridCol w:w="1459"/>
        <w:gridCol w:w="1276"/>
        <w:gridCol w:w="1418"/>
        <w:gridCol w:w="2557"/>
        <w:gridCol w:w="1586"/>
        <w:gridCol w:w="1430"/>
      </w:tblGrid>
      <w:tr>
        <w:trPr>
          <w:trHeight w:val="3111" w:hRule="atLeast"/>
        </w:trPr>
        <w:tc>
          <w:tcPr>
            <w:tcW w:w="582" w:type="dxa"/>
          </w:tcPr>
          <w:p>
            <w:pPr>
              <w:pStyle w:val="TableParagraph"/>
              <w:ind w:left="108"/>
              <w:rPr>
                <w:sz w:val="16"/>
              </w:rPr>
            </w:pPr>
            <w:r>
              <w:rPr>
                <w:spacing w:val="-5"/>
                <w:sz w:val="16"/>
              </w:rPr>
              <w:t>26.</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309"/>
              <w:rPr>
                <w:sz w:val="16"/>
              </w:rPr>
            </w:pPr>
            <w:r>
              <w:rPr>
                <w:spacing w:val="-2"/>
                <w:sz w:val="16"/>
              </w:rPr>
              <w:t>NWSSP-STA- (22-23)-8</w:t>
            </w:r>
          </w:p>
        </w:tc>
        <w:tc>
          <w:tcPr>
            <w:tcW w:w="1246" w:type="dxa"/>
          </w:tcPr>
          <w:p>
            <w:pPr>
              <w:pStyle w:val="TableParagraph"/>
              <w:ind w:left="107"/>
              <w:rPr>
                <w:sz w:val="16"/>
              </w:rPr>
            </w:pPr>
            <w:r>
              <w:rPr>
                <w:spacing w:val="-2"/>
                <w:sz w:val="16"/>
              </w:rPr>
              <w:t>01/09/2022</w:t>
            </w:r>
          </w:p>
        </w:tc>
        <w:tc>
          <w:tcPr>
            <w:tcW w:w="1479" w:type="dxa"/>
          </w:tcPr>
          <w:p>
            <w:pPr>
              <w:pStyle w:val="TableParagraph"/>
              <w:ind w:left="108" w:right="247"/>
              <w:rPr>
                <w:sz w:val="16"/>
              </w:rPr>
            </w:pPr>
            <w:r>
              <w:rPr>
                <w:sz w:val="16"/>
              </w:rPr>
              <w:t>Single</w:t>
            </w:r>
            <w:r>
              <w:rPr>
                <w:spacing w:val="-15"/>
                <w:sz w:val="16"/>
              </w:rPr>
              <w:t> </w:t>
            </w:r>
            <w:r>
              <w:rPr>
                <w:sz w:val="16"/>
              </w:rPr>
              <w:t>Tender </w:t>
            </w:r>
            <w:r>
              <w:rPr>
                <w:spacing w:val="-2"/>
                <w:sz w:val="16"/>
              </w:rPr>
              <w:t>Action</w:t>
            </w:r>
          </w:p>
        </w:tc>
        <w:tc>
          <w:tcPr>
            <w:tcW w:w="1459" w:type="dxa"/>
          </w:tcPr>
          <w:p>
            <w:pPr>
              <w:pStyle w:val="TableParagraph"/>
              <w:ind w:left="108" w:right="174"/>
              <w:rPr>
                <w:sz w:val="16"/>
              </w:rPr>
            </w:pPr>
            <w:r>
              <w:rPr>
                <w:sz w:val="16"/>
              </w:rPr>
              <w:t>Testing to EN 14683</w:t>
            </w:r>
            <w:r>
              <w:rPr>
                <w:spacing w:val="-15"/>
                <w:sz w:val="16"/>
              </w:rPr>
              <w:t> </w:t>
            </w:r>
            <w:r>
              <w:rPr>
                <w:sz w:val="16"/>
              </w:rPr>
              <w:t>Medical face masks.</w:t>
            </w:r>
          </w:p>
          <w:p>
            <w:pPr>
              <w:pStyle w:val="TableParagraph"/>
              <w:ind w:left="108" w:right="149"/>
              <w:rPr>
                <w:sz w:val="16"/>
              </w:rPr>
            </w:pPr>
            <w:r>
              <w:rPr>
                <w:spacing w:val="-2"/>
                <w:sz w:val="16"/>
              </w:rPr>
              <w:t>Requirements </w:t>
            </w:r>
            <w:r>
              <w:rPr>
                <w:sz w:val="16"/>
              </w:rPr>
              <w:t>and test </w:t>
            </w:r>
            <w:r>
              <w:rPr>
                <w:spacing w:val="-2"/>
                <w:sz w:val="16"/>
              </w:rPr>
              <w:t>methods</w:t>
            </w:r>
          </w:p>
        </w:tc>
        <w:tc>
          <w:tcPr>
            <w:tcW w:w="1276" w:type="dxa"/>
          </w:tcPr>
          <w:p>
            <w:pPr>
              <w:pStyle w:val="TableParagraph"/>
              <w:ind w:left="107" w:right="128"/>
              <w:rPr>
                <w:sz w:val="16"/>
              </w:rPr>
            </w:pPr>
            <w:r>
              <w:rPr>
                <w:spacing w:val="-4"/>
                <w:sz w:val="16"/>
              </w:rPr>
              <w:t>4Ward </w:t>
            </w:r>
            <w:r>
              <w:rPr>
                <w:spacing w:val="-2"/>
                <w:sz w:val="16"/>
              </w:rPr>
              <w:t>Testing Laboratories</w:t>
            </w:r>
          </w:p>
        </w:tc>
        <w:tc>
          <w:tcPr>
            <w:tcW w:w="1418" w:type="dxa"/>
          </w:tcPr>
          <w:p>
            <w:pPr>
              <w:pStyle w:val="TableParagraph"/>
              <w:ind w:left="108"/>
              <w:rPr>
                <w:sz w:val="16"/>
              </w:rPr>
            </w:pPr>
            <w:r>
              <w:rPr>
                <w:spacing w:val="-2"/>
                <w:sz w:val="16"/>
              </w:rPr>
              <w:t>£79,200.00</w:t>
            </w:r>
          </w:p>
        </w:tc>
        <w:tc>
          <w:tcPr>
            <w:tcW w:w="2557" w:type="dxa"/>
          </w:tcPr>
          <w:p>
            <w:pPr>
              <w:pStyle w:val="TableParagraph"/>
              <w:ind w:left="107" w:right="95"/>
              <w:rPr>
                <w:sz w:val="16"/>
              </w:rPr>
            </w:pPr>
            <w:r>
              <w:rPr>
                <w:sz w:val="16"/>
              </w:rPr>
              <w:t>STA is requested for the EN 14683:2019 Medical face masks. Requirements and test methods laboratory testing services from 4Ward Testing who have been providing medical mask testing services to SMTL on behalf</w:t>
            </w:r>
            <w:r>
              <w:rPr>
                <w:spacing w:val="-8"/>
                <w:sz w:val="16"/>
              </w:rPr>
              <w:t> </w:t>
            </w:r>
            <w:r>
              <w:rPr>
                <w:sz w:val="16"/>
              </w:rPr>
              <w:t>of</w:t>
            </w:r>
            <w:r>
              <w:rPr>
                <w:spacing w:val="-8"/>
                <w:sz w:val="16"/>
              </w:rPr>
              <w:t> </w:t>
            </w:r>
            <w:r>
              <w:rPr>
                <w:sz w:val="16"/>
              </w:rPr>
              <w:t>the</w:t>
            </w:r>
            <w:r>
              <w:rPr>
                <w:spacing w:val="-7"/>
                <w:sz w:val="16"/>
              </w:rPr>
              <w:t> </w:t>
            </w:r>
            <w:r>
              <w:rPr>
                <w:sz w:val="16"/>
              </w:rPr>
              <w:t>Welsh</w:t>
            </w:r>
            <w:r>
              <w:rPr>
                <w:spacing w:val="-8"/>
                <w:sz w:val="16"/>
              </w:rPr>
              <w:t> </w:t>
            </w:r>
            <w:r>
              <w:rPr>
                <w:sz w:val="16"/>
              </w:rPr>
              <w:t>NHS</w:t>
            </w:r>
            <w:r>
              <w:rPr>
                <w:spacing w:val="-8"/>
                <w:sz w:val="16"/>
              </w:rPr>
              <w:t> </w:t>
            </w:r>
            <w:r>
              <w:rPr>
                <w:sz w:val="16"/>
              </w:rPr>
              <w:t>and other organisations during the COVID pandemic.</w:t>
            </w:r>
          </w:p>
          <w:p>
            <w:pPr>
              <w:pStyle w:val="TableParagraph"/>
              <w:spacing w:before="4"/>
              <w:rPr>
                <w:b/>
                <w:sz w:val="14"/>
              </w:rPr>
            </w:pPr>
          </w:p>
          <w:p>
            <w:pPr>
              <w:pStyle w:val="TableParagraph"/>
              <w:spacing w:line="190" w:lineRule="atLeast"/>
              <w:ind w:left="107" w:right="95"/>
              <w:rPr>
                <w:sz w:val="16"/>
              </w:rPr>
            </w:pPr>
            <w:r>
              <w:rPr>
                <w:sz w:val="16"/>
              </w:rPr>
              <w:t>4Ward are the only UKAS accredited</w:t>
            </w:r>
            <w:r>
              <w:rPr>
                <w:spacing w:val="-15"/>
                <w:sz w:val="16"/>
              </w:rPr>
              <w:t> </w:t>
            </w:r>
            <w:r>
              <w:rPr>
                <w:sz w:val="16"/>
              </w:rPr>
              <w:t>testing</w:t>
            </w:r>
            <w:r>
              <w:rPr>
                <w:spacing w:val="-14"/>
                <w:sz w:val="16"/>
              </w:rPr>
              <w:t> </w:t>
            </w:r>
            <w:r>
              <w:rPr>
                <w:sz w:val="16"/>
              </w:rPr>
              <w:t>laboratory offering this service in the </w:t>
            </w:r>
            <w:r>
              <w:rPr>
                <w:spacing w:val="-4"/>
                <w:sz w:val="16"/>
              </w:rPr>
              <w:t>UK.</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3889" w:hRule="atLeast"/>
        </w:trPr>
        <w:tc>
          <w:tcPr>
            <w:tcW w:w="582" w:type="dxa"/>
          </w:tcPr>
          <w:p>
            <w:pPr>
              <w:pStyle w:val="TableParagraph"/>
              <w:ind w:left="108"/>
              <w:rPr>
                <w:sz w:val="16"/>
              </w:rPr>
            </w:pPr>
            <w:r>
              <w:rPr>
                <w:spacing w:val="-5"/>
                <w:sz w:val="16"/>
              </w:rPr>
              <w:t>27.</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309"/>
              <w:rPr>
                <w:sz w:val="16"/>
              </w:rPr>
            </w:pPr>
            <w:r>
              <w:rPr>
                <w:spacing w:val="-2"/>
                <w:sz w:val="16"/>
              </w:rPr>
              <w:t>NWSSP-STA- (22-23)-9</w:t>
            </w:r>
          </w:p>
        </w:tc>
        <w:tc>
          <w:tcPr>
            <w:tcW w:w="1246" w:type="dxa"/>
          </w:tcPr>
          <w:p>
            <w:pPr>
              <w:pStyle w:val="TableParagraph"/>
              <w:ind w:left="107"/>
              <w:rPr>
                <w:sz w:val="16"/>
              </w:rPr>
            </w:pPr>
            <w:r>
              <w:rPr>
                <w:spacing w:val="-2"/>
                <w:sz w:val="16"/>
              </w:rPr>
              <w:t>01/10/2022</w:t>
            </w:r>
          </w:p>
        </w:tc>
        <w:tc>
          <w:tcPr>
            <w:tcW w:w="1479" w:type="dxa"/>
          </w:tcPr>
          <w:p>
            <w:pPr>
              <w:pStyle w:val="TableParagraph"/>
              <w:ind w:left="108" w:right="247"/>
              <w:rPr>
                <w:sz w:val="16"/>
              </w:rPr>
            </w:pPr>
            <w:r>
              <w:rPr>
                <w:sz w:val="16"/>
              </w:rPr>
              <w:t>Single</w:t>
            </w:r>
            <w:r>
              <w:rPr>
                <w:spacing w:val="-15"/>
                <w:sz w:val="16"/>
              </w:rPr>
              <w:t> </w:t>
            </w:r>
            <w:r>
              <w:rPr>
                <w:sz w:val="16"/>
              </w:rPr>
              <w:t>Tender </w:t>
            </w:r>
            <w:r>
              <w:rPr>
                <w:spacing w:val="-2"/>
                <w:sz w:val="16"/>
              </w:rPr>
              <w:t>Action</w:t>
            </w:r>
          </w:p>
        </w:tc>
        <w:tc>
          <w:tcPr>
            <w:tcW w:w="1459" w:type="dxa"/>
          </w:tcPr>
          <w:p>
            <w:pPr>
              <w:pStyle w:val="TableParagraph"/>
              <w:ind w:left="108" w:right="149"/>
              <w:rPr>
                <w:sz w:val="16"/>
              </w:rPr>
            </w:pPr>
            <w:r>
              <w:rPr>
                <w:spacing w:val="-2"/>
                <w:sz w:val="16"/>
              </w:rPr>
              <w:t>Temporary </w:t>
            </w:r>
            <w:r>
              <w:rPr>
                <w:sz w:val="16"/>
              </w:rPr>
              <w:t>Staff for </w:t>
            </w:r>
            <w:r>
              <w:rPr>
                <w:spacing w:val="-2"/>
                <w:sz w:val="16"/>
              </w:rPr>
              <w:t>Laundry Services</w:t>
            </w:r>
          </w:p>
        </w:tc>
        <w:tc>
          <w:tcPr>
            <w:tcW w:w="1276" w:type="dxa"/>
          </w:tcPr>
          <w:p>
            <w:pPr>
              <w:pStyle w:val="TableParagraph"/>
              <w:ind w:left="107"/>
              <w:rPr>
                <w:sz w:val="16"/>
              </w:rPr>
            </w:pPr>
            <w:r>
              <w:rPr>
                <w:spacing w:val="-2"/>
                <w:sz w:val="16"/>
              </w:rPr>
              <w:t>Smart Solutions</w:t>
            </w:r>
          </w:p>
        </w:tc>
        <w:tc>
          <w:tcPr>
            <w:tcW w:w="1418" w:type="dxa"/>
          </w:tcPr>
          <w:p>
            <w:pPr>
              <w:pStyle w:val="TableParagraph"/>
              <w:ind w:left="108"/>
              <w:rPr>
                <w:sz w:val="16"/>
              </w:rPr>
            </w:pPr>
            <w:r>
              <w:rPr>
                <w:spacing w:val="-2"/>
                <w:sz w:val="16"/>
              </w:rPr>
              <w:t>£35,611.95</w:t>
            </w:r>
          </w:p>
        </w:tc>
        <w:tc>
          <w:tcPr>
            <w:tcW w:w="2557" w:type="dxa"/>
          </w:tcPr>
          <w:p>
            <w:pPr>
              <w:pStyle w:val="TableParagraph"/>
              <w:spacing w:line="190" w:lineRule="atLeast"/>
              <w:ind w:left="107" w:right="95"/>
              <w:rPr>
                <w:sz w:val="16"/>
              </w:rPr>
            </w:pPr>
            <w:r>
              <w:rPr>
                <w:sz w:val="16"/>
              </w:rPr>
              <w:t>Laundry services have attempted to use bank staff to fulfil the roles within Laundry but this has failed. Bank have been unable to recruit despite advertising repeatedly. Attempts to use a compliant framework have also failed. Laundry have contacted Hays and multiple suppliers via the Crown Commercial Services (CCS) RM6160 Framework but all attempts have failed to provide staff. The requirement is now become business critical and Smart Solutions</w:t>
            </w:r>
            <w:r>
              <w:rPr>
                <w:spacing w:val="-9"/>
                <w:sz w:val="16"/>
              </w:rPr>
              <w:t> </w:t>
            </w:r>
            <w:r>
              <w:rPr>
                <w:sz w:val="16"/>
              </w:rPr>
              <w:t>have</w:t>
            </w:r>
            <w:r>
              <w:rPr>
                <w:spacing w:val="-10"/>
                <w:sz w:val="16"/>
              </w:rPr>
              <w:t> </w:t>
            </w:r>
            <w:r>
              <w:rPr>
                <w:sz w:val="16"/>
              </w:rPr>
              <w:t>been</w:t>
            </w:r>
            <w:r>
              <w:rPr>
                <w:spacing w:val="-9"/>
                <w:sz w:val="16"/>
              </w:rPr>
              <w:t> </w:t>
            </w:r>
            <w:r>
              <w:rPr>
                <w:sz w:val="16"/>
              </w:rPr>
              <w:t>the</w:t>
            </w:r>
            <w:r>
              <w:rPr>
                <w:spacing w:val="-9"/>
                <w:sz w:val="16"/>
              </w:rPr>
              <w:t> </w:t>
            </w:r>
            <w:r>
              <w:rPr>
                <w:sz w:val="16"/>
              </w:rPr>
              <w:t>only supplier who have staff immediately available.</w:t>
            </w:r>
          </w:p>
        </w:tc>
        <w:tc>
          <w:tcPr>
            <w:tcW w:w="1586" w:type="dxa"/>
          </w:tcPr>
          <w:p>
            <w:pPr>
              <w:pStyle w:val="TableParagraph"/>
              <w:ind w:left="108"/>
              <w:rPr>
                <w:sz w:val="16"/>
              </w:rPr>
            </w:pPr>
            <w:r>
              <w:rPr>
                <w:spacing w:val="-2"/>
                <w:sz w:val="16"/>
              </w:rPr>
              <w:t>Endorsed</w:t>
            </w:r>
          </w:p>
        </w:tc>
        <w:tc>
          <w:tcPr>
            <w:tcW w:w="1430" w:type="dxa"/>
          </w:tcPr>
          <w:p>
            <w:pPr>
              <w:pStyle w:val="TableParagraph"/>
              <w:ind w:left="108" w:right="126"/>
              <w:rPr>
                <w:sz w:val="16"/>
              </w:rPr>
            </w:pPr>
            <w:r>
              <w:rPr>
                <w:spacing w:val="-2"/>
                <w:sz w:val="16"/>
              </w:rPr>
              <w:t>Procurement</w:t>
            </w:r>
            <w:r>
              <w:rPr>
                <w:spacing w:val="40"/>
                <w:sz w:val="16"/>
              </w:rPr>
              <w:t> </w:t>
            </w:r>
            <w:r>
              <w:rPr>
                <w:sz w:val="16"/>
              </w:rPr>
              <w:t>in</w:t>
            </w:r>
            <w:r>
              <w:rPr>
                <w:spacing w:val="-15"/>
                <w:sz w:val="16"/>
              </w:rPr>
              <w:t> </w:t>
            </w:r>
            <w:r>
              <w:rPr>
                <w:sz w:val="16"/>
              </w:rPr>
              <w:t>contact</w:t>
            </w:r>
            <w:r>
              <w:rPr>
                <w:spacing w:val="-14"/>
                <w:sz w:val="16"/>
              </w:rPr>
              <w:t> </w:t>
            </w:r>
            <w:r>
              <w:rPr>
                <w:sz w:val="16"/>
              </w:rPr>
              <w:t>with the</w:t>
            </w:r>
            <w:r>
              <w:rPr>
                <w:spacing w:val="-12"/>
                <w:sz w:val="16"/>
              </w:rPr>
              <w:t> </w:t>
            </w:r>
            <w:r>
              <w:rPr>
                <w:sz w:val="16"/>
              </w:rPr>
              <w:t>supplier</w:t>
            </w:r>
            <w:r>
              <w:rPr>
                <w:spacing w:val="-11"/>
                <w:sz w:val="16"/>
              </w:rPr>
              <w:t> </w:t>
            </w:r>
            <w:r>
              <w:rPr>
                <w:sz w:val="16"/>
              </w:rPr>
              <w:t>to see</w:t>
            </w:r>
            <w:r>
              <w:rPr>
                <w:spacing w:val="-4"/>
                <w:sz w:val="16"/>
              </w:rPr>
              <w:t> </w:t>
            </w:r>
            <w:r>
              <w:rPr>
                <w:sz w:val="16"/>
              </w:rPr>
              <w:t>if</w:t>
            </w:r>
            <w:r>
              <w:rPr>
                <w:spacing w:val="-4"/>
                <w:sz w:val="16"/>
              </w:rPr>
              <w:t> </w:t>
            </w:r>
            <w:r>
              <w:rPr>
                <w:sz w:val="16"/>
              </w:rPr>
              <w:t>they</w:t>
            </w:r>
            <w:r>
              <w:rPr>
                <w:spacing w:val="-4"/>
                <w:sz w:val="16"/>
              </w:rPr>
              <w:t> </w:t>
            </w:r>
            <w:r>
              <w:rPr>
                <w:sz w:val="16"/>
              </w:rPr>
              <w:t>are able to join</w:t>
            </w:r>
            <w:r>
              <w:rPr>
                <w:spacing w:val="40"/>
                <w:sz w:val="16"/>
              </w:rPr>
              <w:t> </w:t>
            </w:r>
            <w:r>
              <w:rPr>
                <w:sz w:val="16"/>
              </w:rPr>
              <w:t>the CCS </w:t>
            </w:r>
            <w:r>
              <w:rPr>
                <w:spacing w:val="-2"/>
                <w:sz w:val="16"/>
              </w:rPr>
              <w:t>RM6160</w:t>
            </w:r>
          </w:p>
          <w:p>
            <w:pPr>
              <w:pStyle w:val="TableParagraph"/>
              <w:ind w:left="108" w:right="228"/>
              <w:rPr>
                <w:sz w:val="16"/>
              </w:rPr>
            </w:pPr>
            <w:r>
              <w:rPr>
                <w:sz w:val="16"/>
              </w:rPr>
              <w:t>framework</w:t>
            </w:r>
            <w:r>
              <w:rPr>
                <w:spacing w:val="-15"/>
                <w:sz w:val="16"/>
              </w:rPr>
              <w:t> </w:t>
            </w:r>
            <w:r>
              <w:rPr>
                <w:sz w:val="16"/>
              </w:rPr>
              <w:t>to </w:t>
            </w:r>
            <w:r>
              <w:rPr>
                <w:spacing w:val="-2"/>
                <w:sz w:val="16"/>
              </w:rPr>
              <w:t>allow compliant </w:t>
            </w:r>
            <w:r>
              <w:rPr>
                <w:sz w:val="16"/>
              </w:rPr>
              <w:t>route to </w:t>
            </w:r>
            <w:r>
              <w:rPr>
                <w:spacing w:val="-2"/>
                <w:sz w:val="16"/>
              </w:rPr>
              <w:t>market</w:t>
            </w:r>
          </w:p>
        </w:tc>
      </w:tr>
      <w:tr>
        <w:trPr>
          <w:trHeight w:val="2527" w:hRule="atLeast"/>
        </w:trPr>
        <w:tc>
          <w:tcPr>
            <w:tcW w:w="582" w:type="dxa"/>
          </w:tcPr>
          <w:p>
            <w:pPr>
              <w:pStyle w:val="TableParagraph"/>
              <w:ind w:left="108"/>
              <w:rPr>
                <w:sz w:val="16"/>
              </w:rPr>
            </w:pPr>
            <w:r>
              <w:rPr>
                <w:spacing w:val="-5"/>
                <w:sz w:val="16"/>
              </w:rPr>
              <w:t>28.</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282"/>
              <w:rPr>
                <w:sz w:val="16"/>
              </w:rPr>
            </w:pPr>
            <w:r>
              <w:rPr>
                <w:spacing w:val="-2"/>
                <w:sz w:val="16"/>
              </w:rPr>
              <w:t>NWSSP-SQA- (22-23)-10</w:t>
            </w:r>
          </w:p>
        </w:tc>
        <w:tc>
          <w:tcPr>
            <w:tcW w:w="1246" w:type="dxa"/>
          </w:tcPr>
          <w:p>
            <w:pPr>
              <w:pStyle w:val="TableParagraph"/>
              <w:ind w:left="107"/>
              <w:rPr>
                <w:sz w:val="16"/>
              </w:rPr>
            </w:pPr>
            <w:r>
              <w:rPr>
                <w:spacing w:val="-2"/>
                <w:sz w:val="16"/>
              </w:rPr>
              <w:t>01/10/2022</w:t>
            </w:r>
          </w:p>
        </w:tc>
        <w:tc>
          <w:tcPr>
            <w:tcW w:w="1479" w:type="dxa"/>
          </w:tcPr>
          <w:p>
            <w:pPr>
              <w:pStyle w:val="TableParagraph"/>
              <w:ind w:left="108" w:right="428"/>
              <w:rPr>
                <w:sz w:val="16"/>
              </w:rPr>
            </w:pPr>
            <w:r>
              <w:rPr>
                <w:spacing w:val="-2"/>
                <w:sz w:val="16"/>
              </w:rPr>
              <w:t>Single Quotation Action</w:t>
            </w:r>
          </w:p>
        </w:tc>
        <w:tc>
          <w:tcPr>
            <w:tcW w:w="1459" w:type="dxa"/>
          </w:tcPr>
          <w:p>
            <w:pPr>
              <w:pStyle w:val="TableParagraph"/>
              <w:ind w:left="108" w:right="149"/>
              <w:rPr>
                <w:sz w:val="16"/>
              </w:rPr>
            </w:pPr>
            <w:r>
              <w:rPr>
                <w:spacing w:val="-2"/>
                <w:sz w:val="16"/>
              </w:rPr>
              <w:t>Emergency </w:t>
            </w:r>
            <w:r>
              <w:rPr>
                <w:sz w:val="16"/>
              </w:rPr>
              <w:t>callout</w:t>
            </w:r>
            <w:r>
              <w:rPr>
                <w:spacing w:val="-15"/>
                <w:sz w:val="16"/>
              </w:rPr>
              <w:t> </w:t>
            </w:r>
            <w:r>
              <w:rPr>
                <w:sz w:val="16"/>
              </w:rPr>
              <w:t>for</w:t>
            </w:r>
            <w:r>
              <w:rPr>
                <w:spacing w:val="-14"/>
                <w:sz w:val="16"/>
              </w:rPr>
              <w:t> </w:t>
            </w:r>
            <w:r>
              <w:rPr>
                <w:sz w:val="16"/>
              </w:rPr>
              <w:t>roof repairs at IP5</w:t>
            </w:r>
          </w:p>
        </w:tc>
        <w:tc>
          <w:tcPr>
            <w:tcW w:w="1276" w:type="dxa"/>
          </w:tcPr>
          <w:p>
            <w:pPr>
              <w:pStyle w:val="TableParagraph"/>
              <w:ind w:left="107" w:right="546"/>
              <w:rPr>
                <w:sz w:val="16"/>
              </w:rPr>
            </w:pPr>
            <w:r>
              <w:rPr>
                <w:spacing w:val="-2"/>
                <w:sz w:val="16"/>
              </w:rPr>
              <w:t>Waters Roofing</w:t>
            </w:r>
          </w:p>
        </w:tc>
        <w:tc>
          <w:tcPr>
            <w:tcW w:w="1418" w:type="dxa"/>
          </w:tcPr>
          <w:p>
            <w:pPr>
              <w:pStyle w:val="TableParagraph"/>
              <w:ind w:left="108"/>
              <w:rPr>
                <w:sz w:val="16"/>
              </w:rPr>
            </w:pPr>
            <w:r>
              <w:rPr>
                <w:spacing w:val="-2"/>
                <w:sz w:val="16"/>
              </w:rPr>
              <w:t>£10,000.00</w:t>
            </w:r>
          </w:p>
        </w:tc>
        <w:tc>
          <w:tcPr>
            <w:tcW w:w="2557" w:type="dxa"/>
          </w:tcPr>
          <w:p>
            <w:pPr>
              <w:pStyle w:val="TableParagraph"/>
              <w:ind w:left="107" w:right="104"/>
              <w:rPr>
                <w:sz w:val="16"/>
              </w:rPr>
            </w:pPr>
            <w:r>
              <w:rPr>
                <w:sz w:val="16"/>
              </w:rPr>
              <w:t>Cover</w:t>
            </w:r>
            <w:r>
              <w:rPr>
                <w:spacing w:val="-13"/>
                <w:sz w:val="16"/>
              </w:rPr>
              <w:t> </w:t>
            </w:r>
            <w:r>
              <w:rPr>
                <w:sz w:val="16"/>
              </w:rPr>
              <w:t>needed</w:t>
            </w:r>
            <w:r>
              <w:rPr>
                <w:spacing w:val="-12"/>
                <w:sz w:val="16"/>
              </w:rPr>
              <w:t> </w:t>
            </w:r>
            <w:r>
              <w:rPr>
                <w:sz w:val="16"/>
              </w:rPr>
              <w:t>for</w:t>
            </w:r>
            <w:r>
              <w:rPr>
                <w:spacing w:val="-12"/>
                <w:sz w:val="16"/>
              </w:rPr>
              <w:t> </w:t>
            </w:r>
            <w:r>
              <w:rPr>
                <w:sz w:val="16"/>
              </w:rPr>
              <w:t>emergency callouts in regards to leaks to the warehouse roof at</w:t>
            </w:r>
            <w:r>
              <w:rPr>
                <w:spacing w:val="40"/>
                <w:sz w:val="16"/>
              </w:rPr>
              <w:t> </w:t>
            </w:r>
            <w:r>
              <w:rPr>
                <w:sz w:val="16"/>
              </w:rPr>
              <w:t>IP5. Waters roofing have extensive knowledge of the roof at IP5 and the multiple issues encountered since purchasing the building.</w:t>
            </w:r>
          </w:p>
          <w:p>
            <w:pPr>
              <w:pStyle w:val="TableParagraph"/>
              <w:spacing w:line="190" w:lineRule="atLeast"/>
              <w:ind w:left="107" w:right="118"/>
              <w:rPr>
                <w:sz w:val="16"/>
              </w:rPr>
            </w:pPr>
            <w:r>
              <w:rPr>
                <w:sz w:val="16"/>
              </w:rPr>
              <w:t>Bringing in another contractor could cause</w:t>
            </w:r>
            <w:r>
              <w:rPr>
                <w:spacing w:val="40"/>
                <w:sz w:val="16"/>
              </w:rPr>
              <w:t> </w:t>
            </w:r>
            <w:r>
              <w:rPr>
                <w:sz w:val="16"/>
              </w:rPr>
              <w:t>issues both operationally</w:t>
            </w:r>
            <w:r>
              <w:rPr>
                <w:spacing w:val="40"/>
                <w:sz w:val="16"/>
              </w:rPr>
              <w:t> </w:t>
            </w:r>
            <w:r>
              <w:rPr>
                <w:sz w:val="16"/>
              </w:rPr>
              <w:t>and</w:t>
            </w:r>
            <w:r>
              <w:rPr>
                <w:spacing w:val="-8"/>
                <w:sz w:val="16"/>
              </w:rPr>
              <w:t> </w:t>
            </w:r>
            <w:r>
              <w:rPr>
                <w:sz w:val="16"/>
              </w:rPr>
              <w:t>from</w:t>
            </w:r>
            <w:r>
              <w:rPr>
                <w:spacing w:val="-8"/>
                <w:sz w:val="16"/>
              </w:rPr>
              <w:t> </w:t>
            </w:r>
            <w:r>
              <w:rPr>
                <w:sz w:val="16"/>
              </w:rPr>
              <w:t>a</w:t>
            </w:r>
            <w:r>
              <w:rPr>
                <w:spacing w:val="-8"/>
                <w:sz w:val="16"/>
              </w:rPr>
              <w:t> </w:t>
            </w:r>
            <w:r>
              <w:rPr>
                <w:sz w:val="16"/>
              </w:rPr>
              <w:t>health</w:t>
            </w:r>
            <w:r>
              <w:rPr>
                <w:spacing w:val="-8"/>
                <w:sz w:val="16"/>
              </w:rPr>
              <w:t> </w:t>
            </w:r>
            <w:r>
              <w:rPr>
                <w:sz w:val="16"/>
              </w:rPr>
              <w:t>and</w:t>
            </w:r>
            <w:r>
              <w:rPr>
                <w:spacing w:val="-8"/>
                <w:sz w:val="16"/>
              </w:rPr>
              <w:t> </w:t>
            </w:r>
            <w:r>
              <w:rPr>
                <w:sz w:val="16"/>
              </w:rPr>
              <w:t>safety </w:t>
            </w:r>
            <w:r>
              <w:rPr>
                <w:spacing w:val="-2"/>
                <w:sz w:val="16"/>
              </w:rPr>
              <w:t>position.</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bl>
    <w:p>
      <w:pPr>
        <w:spacing w:after="0"/>
        <w:rPr>
          <w:sz w:val="16"/>
        </w:rPr>
        <w:sectPr>
          <w:type w:val="continuous"/>
          <w:pgSz w:w="16840" w:h="11910" w:orient="landscape"/>
          <w:pgMar w:header="0" w:footer="641" w:top="700" w:bottom="840" w:left="280" w:right="120"/>
        </w:sectPr>
      </w:pPr>
    </w:p>
    <w:tbl>
      <w:tblPr>
        <w:tblW w:w="0" w:type="auto"/>
        <w:jc w:val="left"/>
        <w:tblInd w:w="1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2"/>
        <w:gridCol w:w="695"/>
        <w:gridCol w:w="986"/>
        <w:gridCol w:w="1486"/>
        <w:gridCol w:w="1246"/>
        <w:gridCol w:w="1479"/>
        <w:gridCol w:w="1459"/>
        <w:gridCol w:w="1276"/>
        <w:gridCol w:w="1418"/>
        <w:gridCol w:w="2557"/>
        <w:gridCol w:w="1586"/>
        <w:gridCol w:w="1430"/>
      </w:tblGrid>
      <w:tr>
        <w:trPr>
          <w:trHeight w:val="3694" w:hRule="atLeast"/>
        </w:trPr>
        <w:tc>
          <w:tcPr>
            <w:tcW w:w="582" w:type="dxa"/>
          </w:tcPr>
          <w:p>
            <w:pPr>
              <w:pStyle w:val="TableParagraph"/>
              <w:ind w:left="108"/>
              <w:rPr>
                <w:sz w:val="16"/>
              </w:rPr>
            </w:pPr>
            <w:r>
              <w:rPr>
                <w:spacing w:val="-5"/>
                <w:sz w:val="16"/>
              </w:rPr>
              <w:t>29.</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309"/>
              <w:rPr>
                <w:sz w:val="16"/>
              </w:rPr>
            </w:pPr>
            <w:r>
              <w:rPr>
                <w:spacing w:val="-2"/>
                <w:sz w:val="16"/>
              </w:rPr>
              <w:t>NWSSP-STA- (22-23)-11</w:t>
            </w:r>
          </w:p>
        </w:tc>
        <w:tc>
          <w:tcPr>
            <w:tcW w:w="1246" w:type="dxa"/>
          </w:tcPr>
          <w:p>
            <w:pPr>
              <w:pStyle w:val="TableParagraph"/>
              <w:ind w:left="107"/>
              <w:rPr>
                <w:sz w:val="16"/>
              </w:rPr>
            </w:pPr>
            <w:r>
              <w:rPr>
                <w:spacing w:val="-2"/>
                <w:sz w:val="16"/>
              </w:rPr>
              <w:t>01/11/2022</w:t>
            </w:r>
          </w:p>
        </w:tc>
        <w:tc>
          <w:tcPr>
            <w:tcW w:w="1479" w:type="dxa"/>
          </w:tcPr>
          <w:p>
            <w:pPr>
              <w:pStyle w:val="TableParagraph"/>
              <w:ind w:left="108" w:right="247"/>
              <w:rPr>
                <w:sz w:val="16"/>
              </w:rPr>
            </w:pPr>
            <w:r>
              <w:rPr>
                <w:sz w:val="16"/>
              </w:rPr>
              <w:t>Single</w:t>
            </w:r>
            <w:r>
              <w:rPr>
                <w:spacing w:val="-15"/>
                <w:sz w:val="16"/>
              </w:rPr>
              <w:t> </w:t>
            </w:r>
            <w:r>
              <w:rPr>
                <w:sz w:val="16"/>
              </w:rPr>
              <w:t>Tender </w:t>
            </w:r>
            <w:r>
              <w:rPr>
                <w:spacing w:val="-2"/>
                <w:sz w:val="16"/>
              </w:rPr>
              <w:t>Action</w:t>
            </w:r>
          </w:p>
        </w:tc>
        <w:tc>
          <w:tcPr>
            <w:tcW w:w="1459" w:type="dxa"/>
          </w:tcPr>
          <w:p>
            <w:pPr>
              <w:pStyle w:val="TableParagraph"/>
              <w:ind w:left="108" w:right="149"/>
              <w:rPr>
                <w:sz w:val="16"/>
              </w:rPr>
            </w:pPr>
            <w:r>
              <w:rPr>
                <w:spacing w:val="-2"/>
                <w:sz w:val="16"/>
              </w:rPr>
              <w:t>Endotoxin Testing Consumables</w:t>
            </w:r>
          </w:p>
        </w:tc>
        <w:tc>
          <w:tcPr>
            <w:tcW w:w="1276" w:type="dxa"/>
          </w:tcPr>
          <w:p>
            <w:pPr>
              <w:pStyle w:val="TableParagraph"/>
              <w:ind w:left="107" w:right="106"/>
              <w:rPr>
                <w:sz w:val="16"/>
              </w:rPr>
            </w:pPr>
            <w:r>
              <w:rPr>
                <w:sz w:val="16"/>
              </w:rPr>
              <w:t>Associates</w:t>
            </w:r>
            <w:r>
              <w:rPr>
                <w:spacing w:val="-15"/>
                <w:sz w:val="16"/>
              </w:rPr>
              <w:t> </w:t>
            </w:r>
            <w:r>
              <w:rPr>
                <w:sz w:val="16"/>
              </w:rPr>
              <w:t>of Cape Cod</w:t>
            </w:r>
          </w:p>
        </w:tc>
        <w:tc>
          <w:tcPr>
            <w:tcW w:w="1418" w:type="dxa"/>
          </w:tcPr>
          <w:p>
            <w:pPr>
              <w:pStyle w:val="TableParagraph"/>
              <w:ind w:left="108"/>
              <w:rPr>
                <w:sz w:val="16"/>
              </w:rPr>
            </w:pPr>
            <w:r>
              <w:rPr>
                <w:spacing w:val="-2"/>
                <w:sz w:val="16"/>
              </w:rPr>
              <w:t>£40,000.00</w:t>
            </w:r>
          </w:p>
        </w:tc>
        <w:tc>
          <w:tcPr>
            <w:tcW w:w="2557" w:type="dxa"/>
          </w:tcPr>
          <w:p>
            <w:pPr>
              <w:pStyle w:val="TableParagraph"/>
              <w:spacing w:line="190" w:lineRule="atLeast"/>
              <w:ind w:left="107" w:right="166"/>
              <w:rPr>
                <w:sz w:val="16"/>
              </w:rPr>
            </w:pPr>
            <w:r>
              <w:rPr>
                <w:sz w:val="16"/>
              </w:rPr>
              <w:t>SMTL performs endotoxin analysis for Sterile Service Departments (SSDs) within NHS Wales, a local medical device manufacturer (Biomet) and glove manufacturers/suppliers as requested on a commercial basis. Changing suppliers would require 6-week validation process. For business continuity the STA has</w:t>
            </w:r>
            <w:r>
              <w:rPr>
                <w:spacing w:val="-9"/>
                <w:sz w:val="16"/>
              </w:rPr>
              <w:t> </w:t>
            </w:r>
            <w:r>
              <w:rPr>
                <w:sz w:val="16"/>
              </w:rPr>
              <w:t>been</w:t>
            </w:r>
            <w:r>
              <w:rPr>
                <w:spacing w:val="-9"/>
                <w:sz w:val="16"/>
              </w:rPr>
              <w:t> </w:t>
            </w:r>
            <w:r>
              <w:rPr>
                <w:sz w:val="16"/>
              </w:rPr>
              <w:t>requested</w:t>
            </w:r>
            <w:r>
              <w:rPr>
                <w:spacing w:val="-9"/>
                <w:sz w:val="16"/>
              </w:rPr>
              <w:t> </w:t>
            </w:r>
            <w:r>
              <w:rPr>
                <w:sz w:val="16"/>
              </w:rPr>
              <w:t>to</w:t>
            </w:r>
            <w:r>
              <w:rPr>
                <w:spacing w:val="-10"/>
                <w:sz w:val="16"/>
              </w:rPr>
              <w:t> </w:t>
            </w:r>
            <w:r>
              <w:rPr>
                <w:sz w:val="16"/>
              </w:rPr>
              <w:t>allow a full tender exercise in March/April 2023 with validation scheduled for June 2023 when the department has capacity to conduct this.</w:t>
            </w:r>
          </w:p>
        </w:tc>
        <w:tc>
          <w:tcPr>
            <w:tcW w:w="1586" w:type="dxa"/>
          </w:tcPr>
          <w:p>
            <w:pPr>
              <w:pStyle w:val="TableParagraph"/>
              <w:ind w:left="108"/>
              <w:rPr>
                <w:sz w:val="16"/>
              </w:rPr>
            </w:pPr>
            <w:r>
              <w:rPr>
                <w:spacing w:val="-2"/>
                <w:sz w:val="16"/>
              </w:rPr>
              <w:t>Endorsed</w:t>
            </w:r>
          </w:p>
        </w:tc>
        <w:tc>
          <w:tcPr>
            <w:tcW w:w="1430" w:type="dxa"/>
          </w:tcPr>
          <w:p>
            <w:pPr>
              <w:pStyle w:val="TableParagraph"/>
              <w:ind w:left="108" w:right="228"/>
              <w:rPr>
                <w:sz w:val="16"/>
              </w:rPr>
            </w:pPr>
            <w:r>
              <w:rPr>
                <w:spacing w:val="-2"/>
                <w:sz w:val="16"/>
              </w:rPr>
              <w:t>Procurement </w:t>
            </w:r>
            <w:r>
              <w:rPr>
                <w:sz w:val="16"/>
              </w:rPr>
              <w:t>to conduct </w:t>
            </w:r>
            <w:r>
              <w:rPr>
                <w:spacing w:val="-2"/>
                <w:sz w:val="16"/>
              </w:rPr>
              <w:t>tender </w:t>
            </w:r>
            <w:r>
              <w:rPr>
                <w:sz w:val="16"/>
              </w:rPr>
              <w:t>exercise in March April </w:t>
            </w:r>
            <w:r>
              <w:rPr>
                <w:spacing w:val="-2"/>
                <w:sz w:val="16"/>
              </w:rPr>
              <w:t>2023.</w:t>
            </w:r>
          </w:p>
        </w:tc>
      </w:tr>
      <w:tr>
        <w:trPr>
          <w:trHeight w:val="6222" w:hRule="atLeast"/>
        </w:trPr>
        <w:tc>
          <w:tcPr>
            <w:tcW w:w="582" w:type="dxa"/>
          </w:tcPr>
          <w:p>
            <w:pPr>
              <w:pStyle w:val="TableParagraph"/>
              <w:ind w:left="108"/>
              <w:rPr>
                <w:sz w:val="16"/>
              </w:rPr>
            </w:pPr>
            <w:r>
              <w:rPr>
                <w:spacing w:val="-5"/>
                <w:sz w:val="16"/>
              </w:rPr>
              <w:t>30.</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309"/>
              <w:rPr>
                <w:sz w:val="16"/>
              </w:rPr>
            </w:pPr>
            <w:r>
              <w:rPr>
                <w:spacing w:val="-2"/>
                <w:sz w:val="16"/>
              </w:rPr>
              <w:t>NWSSP-STA- (22-23)-12</w:t>
            </w:r>
          </w:p>
        </w:tc>
        <w:tc>
          <w:tcPr>
            <w:tcW w:w="1246" w:type="dxa"/>
          </w:tcPr>
          <w:p>
            <w:pPr>
              <w:pStyle w:val="TableParagraph"/>
              <w:ind w:left="107"/>
              <w:rPr>
                <w:sz w:val="16"/>
              </w:rPr>
            </w:pPr>
            <w:r>
              <w:rPr>
                <w:spacing w:val="-2"/>
                <w:sz w:val="16"/>
              </w:rPr>
              <w:t>01/12/2022</w:t>
            </w:r>
          </w:p>
        </w:tc>
        <w:tc>
          <w:tcPr>
            <w:tcW w:w="1479" w:type="dxa"/>
          </w:tcPr>
          <w:p>
            <w:pPr>
              <w:pStyle w:val="TableParagraph"/>
              <w:ind w:left="108" w:right="247"/>
              <w:rPr>
                <w:sz w:val="16"/>
              </w:rPr>
            </w:pPr>
            <w:r>
              <w:rPr>
                <w:sz w:val="16"/>
              </w:rPr>
              <w:t>Single</w:t>
            </w:r>
            <w:r>
              <w:rPr>
                <w:spacing w:val="-15"/>
                <w:sz w:val="16"/>
              </w:rPr>
              <w:t> </w:t>
            </w:r>
            <w:r>
              <w:rPr>
                <w:sz w:val="16"/>
              </w:rPr>
              <w:t>Tender </w:t>
            </w:r>
            <w:r>
              <w:rPr>
                <w:spacing w:val="-2"/>
                <w:sz w:val="16"/>
              </w:rPr>
              <w:t>Action</w:t>
            </w:r>
          </w:p>
        </w:tc>
        <w:tc>
          <w:tcPr>
            <w:tcW w:w="1459" w:type="dxa"/>
          </w:tcPr>
          <w:p>
            <w:pPr>
              <w:pStyle w:val="TableParagraph"/>
              <w:ind w:left="108"/>
              <w:rPr>
                <w:sz w:val="16"/>
              </w:rPr>
            </w:pPr>
            <w:r>
              <w:rPr>
                <w:sz w:val="16"/>
              </w:rPr>
              <w:t>TOC</w:t>
            </w:r>
            <w:r>
              <w:rPr>
                <w:spacing w:val="-2"/>
                <w:sz w:val="16"/>
              </w:rPr>
              <w:t> testing</w:t>
            </w:r>
          </w:p>
        </w:tc>
        <w:tc>
          <w:tcPr>
            <w:tcW w:w="1276" w:type="dxa"/>
          </w:tcPr>
          <w:p>
            <w:pPr>
              <w:pStyle w:val="TableParagraph"/>
              <w:ind w:left="107"/>
              <w:rPr>
                <w:sz w:val="16"/>
              </w:rPr>
            </w:pPr>
            <w:r>
              <w:rPr>
                <w:spacing w:val="-5"/>
                <w:sz w:val="16"/>
              </w:rPr>
              <w:t>ALS</w:t>
            </w:r>
          </w:p>
        </w:tc>
        <w:tc>
          <w:tcPr>
            <w:tcW w:w="1418" w:type="dxa"/>
          </w:tcPr>
          <w:p>
            <w:pPr>
              <w:pStyle w:val="TableParagraph"/>
              <w:ind w:left="108"/>
              <w:rPr>
                <w:sz w:val="16"/>
              </w:rPr>
            </w:pPr>
            <w:r>
              <w:rPr>
                <w:spacing w:val="-2"/>
                <w:sz w:val="16"/>
              </w:rPr>
              <w:t>£30,000</w:t>
            </w:r>
          </w:p>
        </w:tc>
        <w:tc>
          <w:tcPr>
            <w:tcW w:w="2557" w:type="dxa"/>
          </w:tcPr>
          <w:p>
            <w:pPr>
              <w:pStyle w:val="TableParagraph"/>
              <w:spacing w:line="190" w:lineRule="atLeast"/>
              <w:ind w:left="107" w:right="126"/>
              <w:rPr>
                <w:sz w:val="16"/>
              </w:rPr>
            </w:pPr>
            <w:r>
              <w:rPr>
                <w:sz w:val="16"/>
              </w:rPr>
              <w:t>SMTL perform analysis of water samples for a local medical device manufacturer, SMTL does not offer Total organic carbon (TOC) testing of water samples, this part of the analysis therefore needs to be subcontracted to another laboratory. NWSSP recently undertook a tender for</w:t>
            </w:r>
            <w:r>
              <w:rPr>
                <w:spacing w:val="-10"/>
                <w:sz w:val="16"/>
              </w:rPr>
              <w:t> </w:t>
            </w:r>
            <w:r>
              <w:rPr>
                <w:sz w:val="16"/>
              </w:rPr>
              <w:t>TOC</w:t>
            </w:r>
            <w:r>
              <w:rPr>
                <w:spacing w:val="-10"/>
                <w:sz w:val="16"/>
              </w:rPr>
              <w:t> </w:t>
            </w:r>
            <w:r>
              <w:rPr>
                <w:sz w:val="16"/>
              </w:rPr>
              <w:t>testing,</w:t>
            </w:r>
            <w:r>
              <w:rPr>
                <w:spacing w:val="-10"/>
                <w:sz w:val="16"/>
              </w:rPr>
              <w:t> </w:t>
            </w:r>
            <w:r>
              <w:rPr>
                <w:sz w:val="16"/>
              </w:rPr>
              <w:t>however</w:t>
            </w:r>
            <w:r>
              <w:rPr>
                <w:spacing w:val="-10"/>
                <w:sz w:val="16"/>
              </w:rPr>
              <w:t> </w:t>
            </w:r>
            <w:r>
              <w:rPr>
                <w:sz w:val="16"/>
              </w:rPr>
              <w:t>the incumbent supplier (ALS)</w:t>
            </w:r>
            <w:r>
              <w:rPr>
                <w:spacing w:val="40"/>
                <w:sz w:val="16"/>
              </w:rPr>
              <w:t> </w:t>
            </w:r>
            <w:r>
              <w:rPr>
                <w:sz w:val="16"/>
              </w:rPr>
              <w:t>did not bid. Only one company (Anderson Caledonian) bid, however they did not have the required ISO 17025 accreditation for the testing. Anderson Caledonian are working towards obtaining this accreditation which is estimated to be achieved mid 2023.</w:t>
            </w:r>
            <w:r>
              <w:rPr>
                <w:spacing w:val="80"/>
                <w:sz w:val="16"/>
              </w:rPr>
              <w:t> </w:t>
            </w:r>
            <w:r>
              <w:rPr>
                <w:sz w:val="16"/>
              </w:rPr>
              <w:t>The period of</w:t>
            </w:r>
            <w:r>
              <w:rPr>
                <w:spacing w:val="40"/>
                <w:sz w:val="16"/>
              </w:rPr>
              <w:t> </w:t>
            </w:r>
            <w:r>
              <w:rPr>
                <w:sz w:val="16"/>
              </w:rPr>
              <w:t>this STA will allow the Anderson Caledonian to achieve ISO 17025 accreditation who will then meet our specification requirements</w:t>
            </w:r>
            <w:r>
              <w:rPr>
                <w:spacing w:val="-1"/>
                <w:sz w:val="16"/>
              </w:rPr>
              <w:t> </w:t>
            </w:r>
            <w:r>
              <w:rPr>
                <w:sz w:val="16"/>
              </w:rPr>
              <w:t>and</w:t>
            </w:r>
            <w:r>
              <w:rPr>
                <w:spacing w:val="-1"/>
                <w:sz w:val="16"/>
              </w:rPr>
              <w:t> </w:t>
            </w:r>
            <w:r>
              <w:rPr>
                <w:sz w:val="16"/>
              </w:rPr>
              <w:t>be</w:t>
            </w:r>
            <w:r>
              <w:rPr>
                <w:spacing w:val="-2"/>
                <w:sz w:val="16"/>
              </w:rPr>
              <w:t> </w:t>
            </w:r>
            <w:r>
              <w:rPr>
                <w:sz w:val="16"/>
              </w:rPr>
              <w:t>eligible to bid for the TOC testing in a future re-tender exercise.</w:t>
            </w:r>
          </w:p>
        </w:tc>
        <w:tc>
          <w:tcPr>
            <w:tcW w:w="1586" w:type="dxa"/>
          </w:tcPr>
          <w:p>
            <w:pPr>
              <w:pStyle w:val="TableParagraph"/>
              <w:ind w:left="108"/>
              <w:rPr>
                <w:sz w:val="16"/>
              </w:rPr>
            </w:pPr>
            <w:r>
              <w:rPr>
                <w:spacing w:val="-2"/>
                <w:sz w:val="16"/>
              </w:rPr>
              <w:t>Endorsed</w:t>
            </w:r>
          </w:p>
        </w:tc>
        <w:tc>
          <w:tcPr>
            <w:tcW w:w="1430" w:type="dxa"/>
          </w:tcPr>
          <w:p>
            <w:pPr>
              <w:pStyle w:val="TableParagraph"/>
              <w:ind w:left="108" w:right="248"/>
              <w:rPr>
                <w:sz w:val="16"/>
              </w:rPr>
            </w:pPr>
            <w:r>
              <w:rPr>
                <w:spacing w:val="-2"/>
                <w:sz w:val="16"/>
              </w:rPr>
              <w:t>Procurement </w:t>
            </w:r>
            <w:r>
              <w:rPr>
                <w:sz w:val="16"/>
              </w:rPr>
              <w:t>to re-tender when</w:t>
            </w:r>
            <w:r>
              <w:rPr>
                <w:spacing w:val="-15"/>
                <w:sz w:val="16"/>
              </w:rPr>
              <w:t> </w:t>
            </w:r>
            <w:r>
              <w:rPr>
                <w:sz w:val="16"/>
              </w:rPr>
              <w:t>market has</w:t>
            </w:r>
            <w:r>
              <w:rPr>
                <w:spacing w:val="-1"/>
                <w:sz w:val="16"/>
              </w:rPr>
              <w:t> </w:t>
            </w:r>
            <w:r>
              <w:rPr>
                <w:spacing w:val="-2"/>
                <w:sz w:val="16"/>
              </w:rPr>
              <w:t>matured</w:t>
            </w:r>
          </w:p>
        </w:tc>
      </w:tr>
    </w:tbl>
    <w:p>
      <w:pPr>
        <w:spacing w:after="0"/>
        <w:rPr>
          <w:sz w:val="16"/>
        </w:rPr>
        <w:sectPr>
          <w:type w:val="continuous"/>
          <w:pgSz w:w="16840" w:h="11910" w:orient="landscape"/>
          <w:pgMar w:header="0" w:footer="641" w:top="700" w:bottom="840" w:left="280" w:right="120"/>
        </w:sectPr>
      </w:pPr>
    </w:p>
    <w:tbl>
      <w:tblPr>
        <w:tblW w:w="0" w:type="auto"/>
        <w:jc w:val="left"/>
        <w:tblInd w:w="1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2"/>
        <w:gridCol w:w="695"/>
        <w:gridCol w:w="986"/>
        <w:gridCol w:w="1486"/>
        <w:gridCol w:w="1246"/>
        <w:gridCol w:w="1479"/>
        <w:gridCol w:w="1459"/>
        <w:gridCol w:w="1276"/>
        <w:gridCol w:w="1418"/>
        <w:gridCol w:w="2557"/>
        <w:gridCol w:w="1586"/>
        <w:gridCol w:w="1430"/>
      </w:tblGrid>
      <w:tr>
        <w:trPr>
          <w:trHeight w:val="1555" w:hRule="atLeast"/>
        </w:trPr>
        <w:tc>
          <w:tcPr>
            <w:tcW w:w="582" w:type="dxa"/>
          </w:tcPr>
          <w:p>
            <w:pPr>
              <w:pStyle w:val="TableParagraph"/>
              <w:ind w:left="108"/>
              <w:rPr>
                <w:sz w:val="16"/>
              </w:rPr>
            </w:pPr>
            <w:r>
              <w:rPr>
                <w:spacing w:val="-5"/>
                <w:sz w:val="16"/>
              </w:rPr>
              <w:t>31.</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282"/>
              <w:rPr>
                <w:sz w:val="16"/>
              </w:rPr>
            </w:pPr>
            <w:r>
              <w:rPr>
                <w:spacing w:val="-2"/>
                <w:sz w:val="16"/>
              </w:rPr>
              <w:t>NWSSP-SQA- (22-23)-14</w:t>
            </w:r>
          </w:p>
        </w:tc>
        <w:tc>
          <w:tcPr>
            <w:tcW w:w="1246" w:type="dxa"/>
          </w:tcPr>
          <w:p>
            <w:pPr>
              <w:pStyle w:val="TableParagraph"/>
              <w:ind w:left="107"/>
              <w:rPr>
                <w:sz w:val="16"/>
              </w:rPr>
            </w:pPr>
            <w:r>
              <w:rPr>
                <w:spacing w:val="-2"/>
                <w:sz w:val="16"/>
              </w:rPr>
              <w:t>01/10/2022</w:t>
            </w:r>
          </w:p>
        </w:tc>
        <w:tc>
          <w:tcPr>
            <w:tcW w:w="1479" w:type="dxa"/>
          </w:tcPr>
          <w:p>
            <w:pPr>
              <w:pStyle w:val="TableParagraph"/>
              <w:ind w:left="108" w:right="428"/>
              <w:rPr>
                <w:sz w:val="16"/>
              </w:rPr>
            </w:pPr>
            <w:r>
              <w:rPr>
                <w:spacing w:val="-2"/>
                <w:sz w:val="16"/>
              </w:rPr>
              <w:t>Single Quotation Action</w:t>
            </w:r>
          </w:p>
        </w:tc>
        <w:tc>
          <w:tcPr>
            <w:tcW w:w="1459" w:type="dxa"/>
          </w:tcPr>
          <w:p>
            <w:pPr>
              <w:pStyle w:val="TableParagraph"/>
              <w:ind w:left="108" w:right="250"/>
              <w:rPr>
                <w:sz w:val="16"/>
              </w:rPr>
            </w:pPr>
            <w:r>
              <w:rPr>
                <w:sz w:val="16"/>
              </w:rPr>
              <w:t>Provision of Ad-hoc</w:t>
            </w:r>
            <w:r>
              <w:rPr>
                <w:spacing w:val="-15"/>
                <w:sz w:val="16"/>
              </w:rPr>
              <w:t> </w:t>
            </w:r>
            <w:r>
              <w:rPr>
                <w:sz w:val="16"/>
              </w:rPr>
              <w:t>waste </w:t>
            </w:r>
            <w:r>
              <w:rPr>
                <w:spacing w:val="-2"/>
                <w:sz w:val="16"/>
              </w:rPr>
              <w:t>collections</w:t>
            </w:r>
          </w:p>
        </w:tc>
        <w:tc>
          <w:tcPr>
            <w:tcW w:w="1276" w:type="dxa"/>
          </w:tcPr>
          <w:p>
            <w:pPr>
              <w:pStyle w:val="TableParagraph"/>
              <w:ind w:left="107" w:right="128"/>
              <w:rPr>
                <w:sz w:val="16"/>
              </w:rPr>
            </w:pPr>
            <w:r>
              <w:rPr>
                <w:spacing w:val="-4"/>
                <w:sz w:val="16"/>
              </w:rPr>
              <w:t>Shaw </w:t>
            </w:r>
            <w:r>
              <w:rPr>
                <w:spacing w:val="-2"/>
                <w:sz w:val="16"/>
              </w:rPr>
              <w:t>Environment </w:t>
            </w:r>
            <w:r>
              <w:rPr>
                <w:spacing w:val="-6"/>
                <w:sz w:val="16"/>
              </w:rPr>
              <w:t>al</w:t>
            </w:r>
          </w:p>
        </w:tc>
        <w:tc>
          <w:tcPr>
            <w:tcW w:w="1418" w:type="dxa"/>
          </w:tcPr>
          <w:p>
            <w:pPr>
              <w:pStyle w:val="TableParagraph"/>
              <w:ind w:left="108"/>
              <w:rPr>
                <w:sz w:val="16"/>
              </w:rPr>
            </w:pPr>
            <w:r>
              <w:rPr>
                <w:spacing w:val="-2"/>
                <w:sz w:val="16"/>
              </w:rPr>
              <w:t>£10,000.00</w:t>
            </w:r>
          </w:p>
        </w:tc>
        <w:tc>
          <w:tcPr>
            <w:tcW w:w="2557" w:type="dxa"/>
          </w:tcPr>
          <w:p>
            <w:pPr>
              <w:pStyle w:val="TableParagraph"/>
              <w:spacing w:line="190" w:lineRule="atLeast"/>
              <w:ind w:left="107" w:right="103"/>
              <w:rPr>
                <w:sz w:val="16"/>
              </w:rPr>
            </w:pPr>
            <w:r>
              <w:rPr>
                <w:sz w:val="16"/>
              </w:rPr>
              <w:t>The provision of Ad-Hoc waste</w:t>
            </w:r>
            <w:r>
              <w:rPr>
                <w:spacing w:val="-13"/>
                <w:sz w:val="16"/>
              </w:rPr>
              <w:t> </w:t>
            </w:r>
            <w:r>
              <w:rPr>
                <w:sz w:val="16"/>
              </w:rPr>
              <w:t>collections</w:t>
            </w:r>
            <w:r>
              <w:rPr>
                <w:spacing w:val="-13"/>
                <w:sz w:val="16"/>
              </w:rPr>
              <w:t> </w:t>
            </w:r>
            <w:r>
              <w:rPr>
                <w:sz w:val="16"/>
              </w:rPr>
              <w:t>across</w:t>
            </w:r>
            <w:r>
              <w:rPr>
                <w:spacing w:val="-12"/>
                <w:sz w:val="16"/>
              </w:rPr>
              <w:t> </w:t>
            </w:r>
            <w:r>
              <w:rPr>
                <w:sz w:val="16"/>
              </w:rPr>
              <w:t>NHS Supply Chain Sites. Issues with All Wales Contracted supplier has resulted in the requirement for short-term ad-hoc collections until the issues are resolved.</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4225" w:hRule="atLeast"/>
        </w:trPr>
        <w:tc>
          <w:tcPr>
            <w:tcW w:w="582" w:type="dxa"/>
          </w:tcPr>
          <w:p>
            <w:pPr>
              <w:pStyle w:val="TableParagraph"/>
              <w:ind w:left="108"/>
              <w:rPr>
                <w:sz w:val="16"/>
              </w:rPr>
            </w:pPr>
            <w:r>
              <w:rPr>
                <w:spacing w:val="-5"/>
                <w:sz w:val="16"/>
              </w:rPr>
              <w:t>32.</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309"/>
              <w:rPr>
                <w:sz w:val="16"/>
              </w:rPr>
            </w:pPr>
            <w:r>
              <w:rPr>
                <w:spacing w:val="-2"/>
                <w:sz w:val="16"/>
              </w:rPr>
              <w:t>NWSSP-STA- (22-23)-16</w:t>
            </w:r>
          </w:p>
        </w:tc>
        <w:tc>
          <w:tcPr>
            <w:tcW w:w="1246" w:type="dxa"/>
          </w:tcPr>
          <w:p>
            <w:pPr>
              <w:pStyle w:val="TableParagraph"/>
              <w:ind w:left="107"/>
              <w:rPr>
                <w:sz w:val="16"/>
              </w:rPr>
            </w:pPr>
            <w:r>
              <w:rPr>
                <w:spacing w:val="-2"/>
                <w:sz w:val="16"/>
              </w:rPr>
              <w:t>01/12/2022</w:t>
            </w:r>
          </w:p>
        </w:tc>
        <w:tc>
          <w:tcPr>
            <w:tcW w:w="1479" w:type="dxa"/>
          </w:tcPr>
          <w:p>
            <w:pPr>
              <w:pStyle w:val="TableParagraph"/>
              <w:ind w:left="108" w:right="247"/>
              <w:rPr>
                <w:sz w:val="16"/>
              </w:rPr>
            </w:pPr>
            <w:r>
              <w:rPr>
                <w:sz w:val="16"/>
              </w:rPr>
              <w:t>Single</w:t>
            </w:r>
            <w:r>
              <w:rPr>
                <w:spacing w:val="-15"/>
                <w:sz w:val="16"/>
              </w:rPr>
              <w:t> </w:t>
            </w:r>
            <w:r>
              <w:rPr>
                <w:sz w:val="16"/>
              </w:rPr>
              <w:t>Tender </w:t>
            </w:r>
            <w:r>
              <w:rPr>
                <w:spacing w:val="-2"/>
                <w:sz w:val="16"/>
              </w:rPr>
              <w:t>Action</w:t>
            </w:r>
          </w:p>
        </w:tc>
        <w:tc>
          <w:tcPr>
            <w:tcW w:w="1459" w:type="dxa"/>
          </w:tcPr>
          <w:p>
            <w:pPr>
              <w:pStyle w:val="TableParagraph"/>
              <w:ind w:left="108" w:right="170"/>
              <w:rPr>
                <w:sz w:val="16"/>
              </w:rPr>
            </w:pPr>
            <w:r>
              <w:rPr>
                <w:sz w:val="16"/>
              </w:rPr>
              <w:t>Counsel to provide</w:t>
            </w:r>
            <w:r>
              <w:rPr>
                <w:spacing w:val="-15"/>
                <w:sz w:val="16"/>
              </w:rPr>
              <w:t> </w:t>
            </w:r>
            <w:r>
              <w:rPr>
                <w:sz w:val="16"/>
              </w:rPr>
              <w:t>advice to NWSSP in relation</w:t>
            </w:r>
            <w:r>
              <w:rPr>
                <w:spacing w:val="-6"/>
                <w:sz w:val="16"/>
              </w:rPr>
              <w:t> </w:t>
            </w:r>
            <w:r>
              <w:rPr>
                <w:sz w:val="16"/>
              </w:rPr>
              <w:t>to</w:t>
            </w:r>
            <w:r>
              <w:rPr>
                <w:spacing w:val="-5"/>
                <w:sz w:val="16"/>
              </w:rPr>
              <w:t> </w:t>
            </w:r>
            <w:r>
              <w:rPr>
                <w:sz w:val="16"/>
              </w:rPr>
              <w:t>the </w:t>
            </w:r>
            <w:r>
              <w:rPr>
                <w:spacing w:val="-2"/>
                <w:sz w:val="16"/>
              </w:rPr>
              <w:t>COVID-19</w:t>
            </w:r>
          </w:p>
          <w:p>
            <w:pPr>
              <w:pStyle w:val="TableParagraph"/>
              <w:ind w:left="108"/>
              <w:rPr>
                <w:sz w:val="16"/>
              </w:rPr>
            </w:pPr>
            <w:r>
              <w:rPr>
                <w:sz w:val="16"/>
              </w:rPr>
              <w:t>Public</w:t>
            </w:r>
            <w:r>
              <w:rPr>
                <w:spacing w:val="-1"/>
                <w:sz w:val="16"/>
              </w:rPr>
              <w:t> </w:t>
            </w:r>
            <w:r>
              <w:rPr>
                <w:spacing w:val="-2"/>
                <w:sz w:val="16"/>
              </w:rPr>
              <w:t>Inquiry.</w:t>
            </w:r>
          </w:p>
        </w:tc>
        <w:tc>
          <w:tcPr>
            <w:tcW w:w="1276" w:type="dxa"/>
          </w:tcPr>
          <w:p>
            <w:pPr>
              <w:pStyle w:val="TableParagraph"/>
              <w:ind w:left="107" w:right="343"/>
              <w:rPr>
                <w:sz w:val="16"/>
              </w:rPr>
            </w:pPr>
            <w:r>
              <w:rPr>
                <w:spacing w:val="-2"/>
                <w:sz w:val="16"/>
              </w:rPr>
              <w:t>Serjeant’s </w:t>
            </w:r>
            <w:r>
              <w:rPr>
                <w:spacing w:val="-4"/>
                <w:sz w:val="16"/>
              </w:rPr>
              <w:t>Inn </w:t>
            </w:r>
            <w:r>
              <w:rPr>
                <w:spacing w:val="-2"/>
                <w:sz w:val="16"/>
              </w:rPr>
              <w:t>Chambers</w:t>
            </w:r>
          </w:p>
        </w:tc>
        <w:tc>
          <w:tcPr>
            <w:tcW w:w="1418" w:type="dxa"/>
          </w:tcPr>
          <w:p>
            <w:pPr>
              <w:pStyle w:val="TableParagraph"/>
              <w:ind w:left="108"/>
              <w:rPr>
                <w:sz w:val="16"/>
              </w:rPr>
            </w:pPr>
            <w:r>
              <w:rPr>
                <w:spacing w:val="-2"/>
                <w:sz w:val="16"/>
              </w:rPr>
              <w:t>£80,000.00</w:t>
            </w:r>
          </w:p>
        </w:tc>
        <w:tc>
          <w:tcPr>
            <w:tcW w:w="2557" w:type="dxa"/>
          </w:tcPr>
          <w:p>
            <w:pPr>
              <w:pStyle w:val="TableParagraph"/>
              <w:spacing w:line="276" w:lineRule="auto"/>
              <w:ind w:left="107" w:right="117"/>
              <w:rPr>
                <w:sz w:val="16"/>
              </w:rPr>
            </w:pPr>
            <w:r>
              <w:rPr>
                <w:sz w:val="16"/>
              </w:rPr>
              <w:t>Legal counsel for COVID-19 Public Enquiry. Serjeants in Inn Counsel was selected as they understood the</w:t>
            </w:r>
            <w:r>
              <w:rPr>
                <w:spacing w:val="40"/>
                <w:sz w:val="16"/>
              </w:rPr>
              <w:t> </w:t>
            </w:r>
            <w:r>
              <w:rPr>
                <w:sz w:val="16"/>
              </w:rPr>
              <w:t>complex nature of NWSSP and the role in the wider NHS</w:t>
            </w:r>
            <w:r>
              <w:rPr>
                <w:spacing w:val="-10"/>
                <w:sz w:val="16"/>
              </w:rPr>
              <w:t> </w:t>
            </w:r>
            <w:r>
              <w:rPr>
                <w:sz w:val="16"/>
              </w:rPr>
              <w:t>Wales.</w:t>
            </w:r>
            <w:r>
              <w:rPr>
                <w:spacing w:val="-9"/>
                <w:sz w:val="16"/>
              </w:rPr>
              <w:t> </w:t>
            </w:r>
            <w:r>
              <w:rPr>
                <w:sz w:val="16"/>
              </w:rPr>
              <w:t>The</w:t>
            </w:r>
            <w:r>
              <w:rPr>
                <w:spacing w:val="-9"/>
                <w:sz w:val="16"/>
              </w:rPr>
              <w:t> </w:t>
            </w:r>
            <w:r>
              <w:rPr>
                <w:sz w:val="16"/>
              </w:rPr>
              <w:t>Counsel</w:t>
            </w:r>
            <w:r>
              <w:rPr>
                <w:spacing w:val="-9"/>
                <w:sz w:val="16"/>
              </w:rPr>
              <w:t> </w:t>
            </w:r>
            <w:r>
              <w:rPr>
                <w:sz w:val="16"/>
              </w:rPr>
              <w:t>has similar experience with Inquiry proceedings (Ranald Davidson had acted in the WIBSS Inquiry). There is</w:t>
            </w:r>
          </w:p>
          <w:p>
            <w:pPr>
              <w:pStyle w:val="TableParagraph"/>
              <w:spacing w:line="276" w:lineRule="auto"/>
              <w:ind w:left="107" w:right="134"/>
              <w:rPr>
                <w:sz w:val="16"/>
              </w:rPr>
            </w:pPr>
            <w:r>
              <w:rPr>
                <w:sz w:val="16"/>
              </w:rPr>
              <w:t>an exemption to the Public Contracts Regulations (Regulation 10 – Legal representation in Judicial proceedings),</w:t>
            </w:r>
            <w:r>
              <w:rPr>
                <w:spacing w:val="-13"/>
                <w:sz w:val="16"/>
              </w:rPr>
              <w:t> </w:t>
            </w:r>
            <w:r>
              <w:rPr>
                <w:sz w:val="16"/>
              </w:rPr>
              <w:t>as</w:t>
            </w:r>
            <w:r>
              <w:rPr>
                <w:spacing w:val="-12"/>
                <w:sz w:val="16"/>
              </w:rPr>
              <w:t> </w:t>
            </w:r>
            <w:r>
              <w:rPr>
                <w:sz w:val="16"/>
              </w:rPr>
              <w:t>this</w:t>
            </w:r>
            <w:r>
              <w:rPr>
                <w:spacing w:val="-12"/>
                <w:sz w:val="16"/>
              </w:rPr>
              <w:t> </w:t>
            </w:r>
            <w:r>
              <w:rPr>
                <w:sz w:val="16"/>
              </w:rPr>
              <w:t>matter relates to the Covid-19 Public Inquiry.</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2527" w:hRule="atLeast"/>
        </w:trPr>
        <w:tc>
          <w:tcPr>
            <w:tcW w:w="582" w:type="dxa"/>
          </w:tcPr>
          <w:p>
            <w:pPr>
              <w:pStyle w:val="TableParagraph"/>
              <w:ind w:left="108"/>
              <w:rPr>
                <w:sz w:val="16"/>
              </w:rPr>
            </w:pPr>
            <w:r>
              <w:rPr>
                <w:spacing w:val="-5"/>
                <w:sz w:val="16"/>
              </w:rPr>
              <w:t>33.</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282"/>
              <w:rPr>
                <w:sz w:val="16"/>
              </w:rPr>
            </w:pPr>
            <w:r>
              <w:rPr>
                <w:spacing w:val="-2"/>
                <w:sz w:val="16"/>
              </w:rPr>
              <w:t>NWSSP-SQA- (22-23)-17</w:t>
            </w:r>
          </w:p>
        </w:tc>
        <w:tc>
          <w:tcPr>
            <w:tcW w:w="1246" w:type="dxa"/>
          </w:tcPr>
          <w:p>
            <w:pPr>
              <w:pStyle w:val="TableParagraph"/>
              <w:ind w:left="107"/>
              <w:rPr>
                <w:sz w:val="16"/>
              </w:rPr>
            </w:pPr>
            <w:r>
              <w:rPr>
                <w:spacing w:val="-2"/>
                <w:sz w:val="16"/>
              </w:rPr>
              <w:t>16/11/2022</w:t>
            </w:r>
          </w:p>
        </w:tc>
        <w:tc>
          <w:tcPr>
            <w:tcW w:w="1479" w:type="dxa"/>
          </w:tcPr>
          <w:p>
            <w:pPr>
              <w:pStyle w:val="TableParagraph"/>
              <w:ind w:left="108" w:right="428"/>
              <w:rPr>
                <w:sz w:val="16"/>
              </w:rPr>
            </w:pPr>
            <w:r>
              <w:rPr>
                <w:spacing w:val="-2"/>
                <w:sz w:val="16"/>
              </w:rPr>
              <w:t>Single Quotation Action</w:t>
            </w:r>
          </w:p>
        </w:tc>
        <w:tc>
          <w:tcPr>
            <w:tcW w:w="1459" w:type="dxa"/>
          </w:tcPr>
          <w:p>
            <w:pPr>
              <w:pStyle w:val="TableParagraph"/>
              <w:ind w:left="108" w:right="315"/>
              <w:rPr>
                <w:sz w:val="16"/>
              </w:rPr>
            </w:pPr>
            <w:r>
              <w:rPr>
                <w:sz w:val="16"/>
              </w:rPr>
              <w:t>Agency</w:t>
            </w:r>
            <w:r>
              <w:rPr>
                <w:spacing w:val="-15"/>
                <w:sz w:val="16"/>
              </w:rPr>
              <w:t> </w:t>
            </w:r>
            <w:r>
              <w:rPr>
                <w:sz w:val="16"/>
              </w:rPr>
              <w:t>Staff </w:t>
            </w:r>
            <w:r>
              <w:rPr>
                <w:spacing w:val="-4"/>
                <w:sz w:val="16"/>
              </w:rPr>
              <w:t>SMTL</w:t>
            </w:r>
          </w:p>
        </w:tc>
        <w:tc>
          <w:tcPr>
            <w:tcW w:w="1276" w:type="dxa"/>
          </w:tcPr>
          <w:p>
            <w:pPr>
              <w:pStyle w:val="TableParagraph"/>
              <w:ind w:left="107" w:right="117"/>
              <w:rPr>
                <w:sz w:val="16"/>
              </w:rPr>
            </w:pPr>
            <w:r>
              <w:rPr>
                <w:spacing w:val="-2"/>
                <w:sz w:val="16"/>
              </w:rPr>
              <w:t>Science Recruitment </w:t>
            </w:r>
            <w:r>
              <w:rPr>
                <w:sz w:val="16"/>
              </w:rPr>
              <w:t>Group</w:t>
            </w:r>
            <w:r>
              <w:rPr>
                <w:spacing w:val="-15"/>
                <w:sz w:val="16"/>
              </w:rPr>
              <w:t> </w:t>
            </w:r>
            <w:r>
              <w:rPr>
                <w:sz w:val="16"/>
              </w:rPr>
              <w:t>(SRG)</w:t>
            </w:r>
          </w:p>
        </w:tc>
        <w:tc>
          <w:tcPr>
            <w:tcW w:w="1418" w:type="dxa"/>
          </w:tcPr>
          <w:p>
            <w:pPr>
              <w:pStyle w:val="TableParagraph"/>
              <w:ind w:left="108"/>
              <w:rPr>
                <w:sz w:val="16"/>
              </w:rPr>
            </w:pPr>
            <w:r>
              <w:rPr>
                <w:spacing w:val="-2"/>
                <w:sz w:val="16"/>
              </w:rPr>
              <w:t>£20,840.63</w:t>
            </w:r>
          </w:p>
        </w:tc>
        <w:tc>
          <w:tcPr>
            <w:tcW w:w="2557" w:type="dxa"/>
          </w:tcPr>
          <w:p>
            <w:pPr>
              <w:pStyle w:val="TableParagraph"/>
              <w:spacing w:line="190" w:lineRule="atLeast"/>
              <w:ind w:left="107" w:right="130"/>
              <w:rPr>
                <w:sz w:val="16"/>
              </w:rPr>
            </w:pPr>
            <w:r>
              <w:rPr>
                <w:sz w:val="16"/>
              </w:rPr>
              <w:t>Agency Laboratory Staff to cover</w:t>
            </w:r>
            <w:r>
              <w:rPr>
                <w:spacing w:val="-7"/>
                <w:sz w:val="16"/>
              </w:rPr>
              <w:t> </w:t>
            </w:r>
            <w:r>
              <w:rPr>
                <w:sz w:val="16"/>
              </w:rPr>
              <w:t>outstanding</w:t>
            </w:r>
            <w:r>
              <w:rPr>
                <w:spacing w:val="-7"/>
                <w:sz w:val="16"/>
              </w:rPr>
              <w:t> </w:t>
            </w:r>
            <w:r>
              <w:rPr>
                <w:sz w:val="16"/>
              </w:rPr>
              <w:t>work</w:t>
            </w:r>
            <w:r>
              <w:rPr>
                <w:spacing w:val="-8"/>
                <w:sz w:val="16"/>
              </w:rPr>
              <w:t> </w:t>
            </w:r>
            <w:r>
              <w:rPr>
                <w:sz w:val="16"/>
              </w:rPr>
              <w:t>on</w:t>
            </w:r>
            <w:r>
              <w:rPr>
                <w:spacing w:val="-8"/>
                <w:sz w:val="16"/>
              </w:rPr>
              <w:t> </w:t>
            </w:r>
            <w:r>
              <w:rPr>
                <w:sz w:val="16"/>
              </w:rPr>
              <w:t>a Welsh Government (WG) research project into the technologies</w:t>
            </w:r>
            <w:r>
              <w:rPr>
                <w:spacing w:val="-15"/>
                <w:sz w:val="16"/>
              </w:rPr>
              <w:t> </w:t>
            </w:r>
            <w:r>
              <w:rPr>
                <w:sz w:val="16"/>
              </w:rPr>
              <w:t>for</w:t>
            </w:r>
            <w:r>
              <w:rPr>
                <w:spacing w:val="-14"/>
                <w:sz w:val="16"/>
              </w:rPr>
              <w:t> </w:t>
            </w:r>
            <w:r>
              <w:rPr>
                <w:sz w:val="16"/>
              </w:rPr>
              <w:t>determining protein levels on surgical instruments. Despite approaching several framework agencies SMTL were not able to recruit this type of role and had to approach a specialist </w:t>
            </w:r>
            <w:r>
              <w:rPr>
                <w:spacing w:val="-2"/>
                <w:sz w:val="16"/>
              </w:rPr>
              <w:t>agency.</w:t>
            </w:r>
          </w:p>
        </w:tc>
        <w:tc>
          <w:tcPr>
            <w:tcW w:w="1586" w:type="dxa"/>
          </w:tcPr>
          <w:p>
            <w:pPr>
              <w:pStyle w:val="TableParagraph"/>
              <w:ind w:left="108"/>
              <w:rPr>
                <w:sz w:val="16"/>
              </w:rPr>
            </w:pPr>
            <w:r>
              <w:rPr>
                <w:spacing w:val="-2"/>
                <w:sz w:val="16"/>
              </w:rPr>
              <w:t>Endorsed</w:t>
            </w:r>
          </w:p>
        </w:tc>
        <w:tc>
          <w:tcPr>
            <w:tcW w:w="1430" w:type="dxa"/>
          </w:tcPr>
          <w:p>
            <w:pPr>
              <w:pStyle w:val="TableParagraph"/>
              <w:ind w:left="108" w:right="535"/>
              <w:rPr>
                <w:sz w:val="16"/>
              </w:rPr>
            </w:pPr>
            <w:r>
              <w:rPr>
                <w:sz w:val="16"/>
              </w:rPr>
              <w:t>No</w:t>
            </w:r>
            <w:r>
              <w:rPr>
                <w:spacing w:val="-15"/>
                <w:sz w:val="16"/>
              </w:rPr>
              <w:t> </w:t>
            </w:r>
            <w:r>
              <w:rPr>
                <w:sz w:val="16"/>
              </w:rPr>
              <w:t>Action </w:t>
            </w:r>
            <w:r>
              <w:rPr>
                <w:spacing w:val="-2"/>
                <w:sz w:val="16"/>
              </w:rPr>
              <w:t>Required</w:t>
            </w:r>
          </w:p>
        </w:tc>
      </w:tr>
      <w:tr>
        <w:trPr>
          <w:trHeight w:val="1166" w:hRule="atLeast"/>
        </w:trPr>
        <w:tc>
          <w:tcPr>
            <w:tcW w:w="582" w:type="dxa"/>
          </w:tcPr>
          <w:p>
            <w:pPr>
              <w:pStyle w:val="TableParagraph"/>
              <w:ind w:left="108"/>
              <w:rPr>
                <w:sz w:val="16"/>
              </w:rPr>
            </w:pPr>
            <w:r>
              <w:rPr>
                <w:spacing w:val="-5"/>
                <w:sz w:val="16"/>
              </w:rPr>
              <w:t>34.</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415"/>
              <w:rPr>
                <w:sz w:val="16"/>
              </w:rPr>
            </w:pPr>
            <w:r>
              <w:rPr>
                <w:spacing w:val="-2"/>
                <w:sz w:val="16"/>
              </w:rPr>
              <w:t>NWSSP-FN- (22-23)-7</w:t>
            </w:r>
          </w:p>
        </w:tc>
        <w:tc>
          <w:tcPr>
            <w:tcW w:w="1246" w:type="dxa"/>
          </w:tcPr>
          <w:p>
            <w:pPr>
              <w:pStyle w:val="TableParagraph"/>
              <w:ind w:left="107"/>
              <w:rPr>
                <w:sz w:val="16"/>
              </w:rPr>
            </w:pPr>
            <w:r>
              <w:rPr>
                <w:spacing w:val="-2"/>
                <w:sz w:val="16"/>
              </w:rPr>
              <w:t>23/09/2022</w:t>
            </w:r>
          </w:p>
        </w:tc>
        <w:tc>
          <w:tcPr>
            <w:tcW w:w="1479" w:type="dxa"/>
          </w:tcPr>
          <w:p>
            <w:pPr>
              <w:pStyle w:val="TableParagraph"/>
              <w:ind w:left="108"/>
              <w:rPr>
                <w:sz w:val="16"/>
              </w:rPr>
            </w:pPr>
            <w:r>
              <w:rPr>
                <w:sz w:val="16"/>
              </w:rPr>
              <w:t>File</w:t>
            </w:r>
            <w:r>
              <w:rPr>
                <w:spacing w:val="-1"/>
                <w:sz w:val="16"/>
              </w:rPr>
              <w:t> </w:t>
            </w:r>
            <w:r>
              <w:rPr>
                <w:spacing w:val="-4"/>
                <w:sz w:val="16"/>
              </w:rPr>
              <w:t>Note</w:t>
            </w:r>
          </w:p>
        </w:tc>
        <w:tc>
          <w:tcPr>
            <w:tcW w:w="1459" w:type="dxa"/>
          </w:tcPr>
          <w:p>
            <w:pPr>
              <w:pStyle w:val="TableParagraph"/>
              <w:ind w:left="108" w:right="149"/>
              <w:rPr>
                <w:sz w:val="16"/>
              </w:rPr>
            </w:pPr>
            <w:r>
              <w:rPr>
                <w:sz w:val="16"/>
              </w:rPr>
              <w:t>Number of Small Roofing Repairs and </w:t>
            </w:r>
            <w:r>
              <w:rPr>
                <w:spacing w:val="-2"/>
                <w:sz w:val="16"/>
              </w:rPr>
              <w:t>Emergency </w:t>
            </w:r>
            <w:r>
              <w:rPr>
                <w:sz w:val="16"/>
              </w:rPr>
              <w:t>Callouts</w:t>
            </w:r>
            <w:r>
              <w:rPr>
                <w:spacing w:val="-15"/>
                <w:sz w:val="16"/>
              </w:rPr>
              <w:t> </w:t>
            </w:r>
            <w:r>
              <w:rPr>
                <w:sz w:val="16"/>
              </w:rPr>
              <w:t>at</w:t>
            </w:r>
            <w:r>
              <w:rPr>
                <w:spacing w:val="-14"/>
                <w:sz w:val="16"/>
              </w:rPr>
              <w:t> </w:t>
            </w:r>
            <w:r>
              <w:rPr>
                <w:sz w:val="16"/>
              </w:rPr>
              <w:t>IP5</w:t>
            </w:r>
          </w:p>
        </w:tc>
        <w:tc>
          <w:tcPr>
            <w:tcW w:w="1276" w:type="dxa"/>
          </w:tcPr>
          <w:p>
            <w:pPr>
              <w:pStyle w:val="TableParagraph"/>
              <w:ind w:left="107" w:right="546"/>
              <w:rPr>
                <w:sz w:val="16"/>
              </w:rPr>
            </w:pPr>
            <w:r>
              <w:rPr>
                <w:spacing w:val="-2"/>
                <w:sz w:val="16"/>
              </w:rPr>
              <w:t>Waters Roofing</w:t>
            </w:r>
          </w:p>
        </w:tc>
        <w:tc>
          <w:tcPr>
            <w:tcW w:w="1418" w:type="dxa"/>
          </w:tcPr>
          <w:p>
            <w:pPr>
              <w:pStyle w:val="TableParagraph"/>
              <w:ind w:left="108"/>
              <w:rPr>
                <w:sz w:val="16"/>
              </w:rPr>
            </w:pPr>
            <w:r>
              <w:rPr>
                <w:spacing w:val="-2"/>
                <w:sz w:val="16"/>
              </w:rPr>
              <w:t>£19,150.00</w:t>
            </w:r>
          </w:p>
        </w:tc>
        <w:tc>
          <w:tcPr>
            <w:tcW w:w="2557" w:type="dxa"/>
          </w:tcPr>
          <w:p>
            <w:pPr>
              <w:pStyle w:val="TableParagraph"/>
              <w:spacing w:line="190" w:lineRule="atLeast"/>
              <w:ind w:left="107" w:right="181"/>
              <w:rPr>
                <w:sz w:val="16"/>
              </w:rPr>
            </w:pPr>
            <w:r>
              <w:rPr>
                <w:sz w:val="16"/>
              </w:rPr>
              <w:t>Emergency Callouts in adverse weather and inspections</w:t>
            </w:r>
            <w:r>
              <w:rPr>
                <w:spacing w:val="-15"/>
                <w:sz w:val="16"/>
              </w:rPr>
              <w:t> </w:t>
            </w:r>
            <w:r>
              <w:rPr>
                <w:sz w:val="16"/>
              </w:rPr>
              <w:t>following</w:t>
            </w:r>
            <w:r>
              <w:rPr>
                <w:spacing w:val="-14"/>
                <w:sz w:val="16"/>
              </w:rPr>
              <w:t> </w:t>
            </w:r>
            <w:r>
              <w:rPr>
                <w:sz w:val="16"/>
              </w:rPr>
              <w:t>storm Eunice and small repair works as follow ups of emergency callout.</w:t>
            </w:r>
          </w:p>
        </w:tc>
        <w:tc>
          <w:tcPr>
            <w:tcW w:w="1586" w:type="dxa"/>
          </w:tcPr>
          <w:p>
            <w:pPr>
              <w:pStyle w:val="TableParagraph"/>
              <w:ind w:left="108" w:right="163"/>
              <w:rPr>
                <w:sz w:val="16"/>
              </w:rPr>
            </w:pPr>
            <w:r>
              <w:rPr>
                <w:sz w:val="16"/>
              </w:rPr>
              <w:t>Competition</w:t>
            </w:r>
            <w:r>
              <w:rPr>
                <w:spacing w:val="-15"/>
                <w:sz w:val="16"/>
              </w:rPr>
              <w:t> </w:t>
            </w:r>
            <w:r>
              <w:rPr>
                <w:sz w:val="16"/>
              </w:rPr>
              <w:t>not sought in accordance</w:t>
            </w:r>
            <w:r>
              <w:rPr>
                <w:spacing w:val="-15"/>
                <w:sz w:val="16"/>
              </w:rPr>
              <w:t> </w:t>
            </w:r>
            <w:r>
              <w:rPr>
                <w:sz w:val="16"/>
              </w:rPr>
              <w:t>with </w:t>
            </w:r>
            <w:r>
              <w:rPr>
                <w:spacing w:val="-2"/>
                <w:sz w:val="16"/>
              </w:rPr>
              <w:t>SFI’S</w:t>
            </w:r>
          </w:p>
        </w:tc>
        <w:tc>
          <w:tcPr>
            <w:tcW w:w="1430" w:type="dxa"/>
          </w:tcPr>
          <w:p>
            <w:pPr>
              <w:pStyle w:val="TableParagraph"/>
              <w:ind w:left="108" w:right="126"/>
              <w:rPr>
                <w:sz w:val="16"/>
              </w:rPr>
            </w:pPr>
            <w:r>
              <w:rPr>
                <w:sz w:val="16"/>
              </w:rPr>
              <w:t>Service and </w:t>
            </w:r>
            <w:r>
              <w:rPr>
                <w:spacing w:val="-2"/>
                <w:sz w:val="16"/>
              </w:rPr>
              <w:t>Procurement </w:t>
            </w:r>
            <w:r>
              <w:rPr>
                <w:sz w:val="16"/>
              </w:rPr>
              <w:t>meeting</w:t>
            </w:r>
            <w:r>
              <w:rPr>
                <w:spacing w:val="-15"/>
                <w:sz w:val="16"/>
              </w:rPr>
              <w:t> </w:t>
            </w:r>
            <w:r>
              <w:rPr>
                <w:sz w:val="16"/>
              </w:rPr>
              <w:t>to</w:t>
            </w:r>
            <w:r>
              <w:rPr>
                <w:spacing w:val="-14"/>
                <w:sz w:val="16"/>
              </w:rPr>
              <w:t> </w:t>
            </w:r>
            <w:r>
              <w:rPr>
                <w:sz w:val="16"/>
              </w:rPr>
              <w:t>be arranged to </w:t>
            </w:r>
            <w:r>
              <w:rPr>
                <w:spacing w:val="-2"/>
                <w:sz w:val="16"/>
              </w:rPr>
              <w:t>support</w:t>
            </w:r>
          </w:p>
        </w:tc>
      </w:tr>
    </w:tbl>
    <w:p>
      <w:pPr>
        <w:spacing w:after="0"/>
        <w:rPr>
          <w:sz w:val="16"/>
        </w:rPr>
        <w:sectPr>
          <w:type w:val="continuous"/>
          <w:pgSz w:w="16840" w:h="11910" w:orient="landscape"/>
          <w:pgMar w:header="0" w:footer="641" w:top="700" w:bottom="840" w:left="280" w:right="120"/>
        </w:sectPr>
      </w:pPr>
    </w:p>
    <w:tbl>
      <w:tblPr>
        <w:tblW w:w="0" w:type="auto"/>
        <w:jc w:val="left"/>
        <w:tblInd w:w="1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2"/>
        <w:gridCol w:w="695"/>
        <w:gridCol w:w="986"/>
        <w:gridCol w:w="1486"/>
        <w:gridCol w:w="1246"/>
        <w:gridCol w:w="1479"/>
        <w:gridCol w:w="1459"/>
        <w:gridCol w:w="1276"/>
        <w:gridCol w:w="1418"/>
        <w:gridCol w:w="2557"/>
        <w:gridCol w:w="1586"/>
        <w:gridCol w:w="1430"/>
      </w:tblGrid>
      <w:tr>
        <w:trPr>
          <w:trHeight w:val="2333" w:hRule="atLeast"/>
        </w:trPr>
        <w:tc>
          <w:tcPr>
            <w:tcW w:w="582" w:type="dxa"/>
          </w:tcPr>
          <w:p>
            <w:pPr>
              <w:pStyle w:val="TableParagraph"/>
              <w:ind w:left="108"/>
              <w:rPr>
                <w:sz w:val="16"/>
              </w:rPr>
            </w:pPr>
            <w:r>
              <w:rPr>
                <w:spacing w:val="-5"/>
                <w:sz w:val="16"/>
              </w:rPr>
              <w:t>35.</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415"/>
              <w:rPr>
                <w:sz w:val="16"/>
              </w:rPr>
            </w:pPr>
            <w:r>
              <w:rPr>
                <w:spacing w:val="-2"/>
                <w:sz w:val="16"/>
              </w:rPr>
              <w:t>NWSSP-FN- (22-23)-8</w:t>
            </w:r>
          </w:p>
        </w:tc>
        <w:tc>
          <w:tcPr>
            <w:tcW w:w="1246" w:type="dxa"/>
          </w:tcPr>
          <w:p>
            <w:pPr>
              <w:pStyle w:val="TableParagraph"/>
              <w:ind w:left="107"/>
              <w:rPr>
                <w:sz w:val="16"/>
              </w:rPr>
            </w:pPr>
            <w:r>
              <w:rPr>
                <w:spacing w:val="-2"/>
                <w:sz w:val="16"/>
              </w:rPr>
              <w:t>25/10/2022</w:t>
            </w:r>
          </w:p>
        </w:tc>
        <w:tc>
          <w:tcPr>
            <w:tcW w:w="1479" w:type="dxa"/>
          </w:tcPr>
          <w:p>
            <w:pPr>
              <w:pStyle w:val="TableParagraph"/>
              <w:ind w:left="108"/>
              <w:rPr>
                <w:sz w:val="16"/>
              </w:rPr>
            </w:pPr>
            <w:r>
              <w:rPr>
                <w:sz w:val="16"/>
              </w:rPr>
              <w:t>File</w:t>
            </w:r>
            <w:r>
              <w:rPr>
                <w:spacing w:val="-1"/>
                <w:sz w:val="16"/>
              </w:rPr>
              <w:t> </w:t>
            </w:r>
            <w:r>
              <w:rPr>
                <w:spacing w:val="-4"/>
                <w:sz w:val="16"/>
              </w:rPr>
              <w:t>Note</w:t>
            </w:r>
          </w:p>
        </w:tc>
        <w:tc>
          <w:tcPr>
            <w:tcW w:w="1459" w:type="dxa"/>
          </w:tcPr>
          <w:p>
            <w:pPr>
              <w:pStyle w:val="TableParagraph"/>
              <w:spacing w:line="190" w:lineRule="atLeast"/>
              <w:ind w:left="108" w:right="149"/>
              <w:rPr>
                <w:sz w:val="16"/>
              </w:rPr>
            </w:pPr>
            <w:r>
              <w:rPr>
                <w:sz w:val="16"/>
              </w:rPr>
              <w:t>Purchase of access to an online library </w:t>
            </w:r>
            <w:r>
              <w:rPr>
                <w:spacing w:val="-2"/>
                <w:sz w:val="16"/>
              </w:rPr>
              <w:t>containing information </w:t>
            </w:r>
            <w:r>
              <w:rPr>
                <w:sz w:val="16"/>
              </w:rPr>
              <w:t>from HSE, </w:t>
            </w:r>
            <w:r>
              <w:rPr>
                <w:spacing w:val="-2"/>
                <w:sz w:val="16"/>
              </w:rPr>
              <w:t>British standards, trade associations </w:t>
            </w:r>
            <w:r>
              <w:rPr>
                <w:sz w:val="16"/>
              </w:rPr>
              <w:t>and legal </w:t>
            </w:r>
            <w:r>
              <w:rPr>
                <w:spacing w:val="-2"/>
                <w:sz w:val="16"/>
              </w:rPr>
              <w:t>organisations.</w:t>
            </w:r>
          </w:p>
        </w:tc>
        <w:tc>
          <w:tcPr>
            <w:tcW w:w="1276" w:type="dxa"/>
          </w:tcPr>
          <w:p>
            <w:pPr>
              <w:pStyle w:val="TableParagraph"/>
              <w:ind w:left="107" w:right="126"/>
              <w:rPr>
                <w:sz w:val="16"/>
              </w:rPr>
            </w:pPr>
            <w:r>
              <w:rPr>
                <w:sz w:val="16"/>
              </w:rPr>
              <w:t>Barbour</w:t>
            </w:r>
            <w:r>
              <w:rPr>
                <w:spacing w:val="-15"/>
                <w:sz w:val="16"/>
              </w:rPr>
              <w:t> </w:t>
            </w:r>
            <w:r>
              <w:rPr>
                <w:sz w:val="16"/>
              </w:rPr>
              <w:t>EHS </w:t>
            </w:r>
            <w:r>
              <w:rPr>
                <w:spacing w:val="-4"/>
                <w:sz w:val="16"/>
              </w:rPr>
              <w:t>Ltd</w:t>
            </w:r>
          </w:p>
        </w:tc>
        <w:tc>
          <w:tcPr>
            <w:tcW w:w="1418" w:type="dxa"/>
          </w:tcPr>
          <w:p>
            <w:pPr>
              <w:pStyle w:val="TableParagraph"/>
              <w:ind w:left="108"/>
              <w:rPr>
                <w:sz w:val="16"/>
              </w:rPr>
            </w:pPr>
            <w:r>
              <w:rPr>
                <w:spacing w:val="-2"/>
                <w:sz w:val="16"/>
              </w:rPr>
              <w:t>£10,302.53</w:t>
            </w:r>
          </w:p>
        </w:tc>
        <w:tc>
          <w:tcPr>
            <w:tcW w:w="2557" w:type="dxa"/>
          </w:tcPr>
          <w:p>
            <w:pPr>
              <w:pStyle w:val="TableParagraph"/>
              <w:spacing w:line="190" w:lineRule="atLeast"/>
              <w:ind w:left="107" w:right="166"/>
              <w:rPr>
                <w:sz w:val="16"/>
              </w:rPr>
            </w:pPr>
            <w:r>
              <w:rPr>
                <w:sz w:val="16"/>
              </w:rPr>
              <w:t>Barbour 12 month contract for an online library containing</w:t>
            </w:r>
            <w:r>
              <w:rPr>
                <w:spacing w:val="-6"/>
                <w:sz w:val="16"/>
              </w:rPr>
              <w:t> </w:t>
            </w:r>
            <w:r>
              <w:rPr>
                <w:sz w:val="16"/>
              </w:rPr>
              <w:t>information</w:t>
            </w:r>
            <w:r>
              <w:rPr>
                <w:spacing w:val="-5"/>
                <w:sz w:val="16"/>
              </w:rPr>
              <w:t> </w:t>
            </w:r>
            <w:r>
              <w:rPr>
                <w:sz w:val="16"/>
              </w:rPr>
              <w:t>from HSE, British standards, trade</w:t>
            </w:r>
            <w:r>
              <w:rPr>
                <w:spacing w:val="-2"/>
                <w:sz w:val="16"/>
              </w:rPr>
              <w:t> </w:t>
            </w:r>
            <w:r>
              <w:rPr>
                <w:sz w:val="16"/>
              </w:rPr>
              <w:t>associations</w:t>
            </w:r>
            <w:r>
              <w:rPr>
                <w:spacing w:val="-2"/>
                <w:sz w:val="16"/>
              </w:rPr>
              <w:t> </w:t>
            </w:r>
            <w:r>
              <w:rPr>
                <w:sz w:val="16"/>
              </w:rPr>
              <w:t>and</w:t>
            </w:r>
            <w:r>
              <w:rPr>
                <w:spacing w:val="-2"/>
                <w:sz w:val="16"/>
              </w:rPr>
              <w:t> </w:t>
            </w:r>
            <w:r>
              <w:rPr>
                <w:sz w:val="16"/>
              </w:rPr>
              <w:t>legal organisations</w:t>
            </w:r>
            <w:r>
              <w:rPr>
                <w:spacing w:val="-14"/>
                <w:sz w:val="16"/>
              </w:rPr>
              <w:t> </w:t>
            </w:r>
            <w:r>
              <w:rPr>
                <w:sz w:val="16"/>
              </w:rPr>
              <w:t>auto-renewed for an additional</w:t>
            </w:r>
            <w:r>
              <w:rPr>
                <w:spacing w:val="-1"/>
                <w:sz w:val="16"/>
              </w:rPr>
              <w:t> </w:t>
            </w:r>
            <w:r>
              <w:rPr>
                <w:sz w:val="16"/>
              </w:rPr>
              <w:t>12 months automatically.</w:t>
            </w:r>
            <w:r>
              <w:rPr>
                <w:spacing w:val="-15"/>
                <w:sz w:val="16"/>
              </w:rPr>
              <w:t> </w:t>
            </w:r>
            <w:r>
              <w:rPr>
                <w:sz w:val="16"/>
              </w:rPr>
              <w:t>This</w:t>
            </w:r>
            <w:r>
              <w:rPr>
                <w:spacing w:val="-14"/>
                <w:sz w:val="16"/>
              </w:rPr>
              <w:t> </w:t>
            </w:r>
            <w:r>
              <w:rPr>
                <w:sz w:val="16"/>
              </w:rPr>
              <w:t>occurred without being able to engage in a competitive exercise requested by </w:t>
            </w:r>
            <w:r>
              <w:rPr>
                <w:spacing w:val="-2"/>
                <w:sz w:val="16"/>
              </w:rPr>
              <w:t>procurement.</w:t>
            </w:r>
          </w:p>
        </w:tc>
        <w:tc>
          <w:tcPr>
            <w:tcW w:w="1586" w:type="dxa"/>
          </w:tcPr>
          <w:p>
            <w:pPr>
              <w:pStyle w:val="TableParagraph"/>
              <w:ind w:left="108" w:right="163"/>
              <w:rPr>
                <w:sz w:val="16"/>
              </w:rPr>
            </w:pPr>
            <w:r>
              <w:rPr>
                <w:sz w:val="16"/>
              </w:rPr>
              <w:t>Competition</w:t>
            </w:r>
            <w:r>
              <w:rPr>
                <w:spacing w:val="-15"/>
                <w:sz w:val="16"/>
              </w:rPr>
              <w:t> </w:t>
            </w:r>
            <w:r>
              <w:rPr>
                <w:sz w:val="16"/>
              </w:rPr>
              <w:t>not sought in accordance</w:t>
            </w:r>
            <w:r>
              <w:rPr>
                <w:spacing w:val="-15"/>
                <w:sz w:val="16"/>
              </w:rPr>
              <w:t> </w:t>
            </w:r>
            <w:r>
              <w:rPr>
                <w:sz w:val="16"/>
              </w:rPr>
              <w:t>with </w:t>
            </w:r>
            <w:r>
              <w:rPr>
                <w:spacing w:val="-2"/>
                <w:sz w:val="16"/>
              </w:rPr>
              <w:t>SFI’S</w:t>
            </w:r>
          </w:p>
        </w:tc>
        <w:tc>
          <w:tcPr>
            <w:tcW w:w="1430" w:type="dxa"/>
          </w:tcPr>
          <w:p>
            <w:pPr>
              <w:pStyle w:val="TableParagraph"/>
              <w:ind w:left="108" w:right="263"/>
              <w:rPr>
                <w:sz w:val="16"/>
              </w:rPr>
            </w:pPr>
            <w:r>
              <w:rPr>
                <w:sz w:val="16"/>
              </w:rPr>
              <w:t>Service and </w:t>
            </w:r>
            <w:r>
              <w:rPr>
                <w:spacing w:val="-2"/>
                <w:sz w:val="16"/>
              </w:rPr>
              <w:t>Procurement </w:t>
            </w:r>
            <w:r>
              <w:rPr>
                <w:sz w:val="16"/>
              </w:rPr>
              <w:t>meeting</w:t>
            </w:r>
            <w:r>
              <w:rPr>
                <w:spacing w:val="-14"/>
                <w:sz w:val="16"/>
              </w:rPr>
              <w:t> </w:t>
            </w:r>
            <w:r>
              <w:rPr>
                <w:sz w:val="16"/>
              </w:rPr>
              <w:t>was held.</w:t>
            </w:r>
            <w:r>
              <w:rPr>
                <w:spacing w:val="-15"/>
                <w:sz w:val="16"/>
              </w:rPr>
              <w:t> </w:t>
            </w:r>
            <w:r>
              <w:rPr>
                <w:sz w:val="16"/>
              </w:rPr>
              <w:t>Further </w:t>
            </w:r>
            <w:r>
              <w:rPr>
                <w:spacing w:val="-2"/>
                <w:sz w:val="16"/>
              </w:rPr>
              <w:t>training provided.</w:t>
            </w:r>
          </w:p>
        </w:tc>
      </w:tr>
      <w:tr>
        <w:trPr>
          <w:trHeight w:val="2527" w:hRule="atLeast"/>
        </w:trPr>
        <w:tc>
          <w:tcPr>
            <w:tcW w:w="582" w:type="dxa"/>
          </w:tcPr>
          <w:p>
            <w:pPr>
              <w:pStyle w:val="TableParagraph"/>
              <w:ind w:left="108"/>
              <w:rPr>
                <w:sz w:val="16"/>
              </w:rPr>
            </w:pPr>
            <w:r>
              <w:rPr>
                <w:spacing w:val="-5"/>
                <w:sz w:val="16"/>
              </w:rPr>
              <w:t>36.</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415"/>
              <w:rPr>
                <w:sz w:val="16"/>
              </w:rPr>
            </w:pPr>
            <w:r>
              <w:rPr>
                <w:spacing w:val="-2"/>
                <w:sz w:val="16"/>
              </w:rPr>
              <w:t>NWSSP-FN- (22-23)-10</w:t>
            </w:r>
          </w:p>
        </w:tc>
        <w:tc>
          <w:tcPr>
            <w:tcW w:w="1246" w:type="dxa"/>
          </w:tcPr>
          <w:p>
            <w:pPr>
              <w:pStyle w:val="TableParagraph"/>
              <w:ind w:left="107"/>
              <w:rPr>
                <w:sz w:val="16"/>
              </w:rPr>
            </w:pPr>
            <w:r>
              <w:rPr>
                <w:spacing w:val="-2"/>
                <w:sz w:val="16"/>
              </w:rPr>
              <w:t>14/11/2022</w:t>
            </w:r>
          </w:p>
        </w:tc>
        <w:tc>
          <w:tcPr>
            <w:tcW w:w="1479" w:type="dxa"/>
          </w:tcPr>
          <w:p>
            <w:pPr>
              <w:pStyle w:val="TableParagraph"/>
              <w:ind w:left="108"/>
              <w:rPr>
                <w:sz w:val="16"/>
              </w:rPr>
            </w:pPr>
            <w:r>
              <w:rPr>
                <w:sz w:val="16"/>
              </w:rPr>
              <w:t>File</w:t>
            </w:r>
            <w:r>
              <w:rPr>
                <w:spacing w:val="-1"/>
                <w:sz w:val="16"/>
              </w:rPr>
              <w:t> </w:t>
            </w:r>
            <w:r>
              <w:rPr>
                <w:spacing w:val="-4"/>
                <w:sz w:val="16"/>
              </w:rPr>
              <w:t>Note</w:t>
            </w:r>
          </w:p>
        </w:tc>
        <w:tc>
          <w:tcPr>
            <w:tcW w:w="1459" w:type="dxa"/>
          </w:tcPr>
          <w:p>
            <w:pPr>
              <w:pStyle w:val="TableParagraph"/>
              <w:ind w:left="108" w:right="175"/>
              <w:rPr>
                <w:sz w:val="16"/>
              </w:rPr>
            </w:pPr>
            <w:r>
              <w:rPr>
                <w:sz w:val="16"/>
              </w:rPr>
              <w:t>The provision of ad-hoc </w:t>
            </w:r>
            <w:r>
              <w:rPr>
                <w:spacing w:val="-2"/>
                <w:sz w:val="16"/>
              </w:rPr>
              <w:t>waste collections </w:t>
            </w:r>
            <w:r>
              <w:rPr>
                <w:sz w:val="16"/>
              </w:rPr>
              <w:t>across</w:t>
            </w:r>
            <w:r>
              <w:rPr>
                <w:spacing w:val="-15"/>
                <w:sz w:val="16"/>
              </w:rPr>
              <w:t> </w:t>
            </w:r>
            <w:r>
              <w:rPr>
                <w:sz w:val="16"/>
              </w:rPr>
              <w:t>NWSSP Supply Chain</w:t>
            </w:r>
          </w:p>
        </w:tc>
        <w:tc>
          <w:tcPr>
            <w:tcW w:w="1276" w:type="dxa"/>
          </w:tcPr>
          <w:p>
            <w:pPr>
              <w:pStyle w:val="TableParagraph"/>
              <w:ind w:left="107" w:right="128"/>
              <w:rPr>
                <w:sz w:val="16"/>
              </w:rPr>
            </w:pPr>
            <w:r>
              <w:rPr>
                <w:spacing w:val="-4"/>
                <w:sz w:val="16"/>
              </w:rPr>
              <w:t>Shaw </w:t>
            </w:r>
            <w:r>
              <w:rPr>
                <w:spacing w:val="-2"/>
                <w:sz w:val="16"/>
              </w:rPr>
              <w:t>Environment </w:t>
            </w:r>
            <w:r>
              <w:rPr>
                <w:spacing w:val="-6"/>
                <w:sz w:val="16"/>
              </w:rPr>
              <w:t>al</w:t>
            </w:r>
          </w:p>
        </w:tc>
        <w:tc>
          <w:tcPr>
            <w:tcW w:w="1418" w:type="dxa"/>
          </w:tcPr>
          <w:p>
            <w:pPr>
              <w:pStyle w:val="TableParagraph"/>
              <w:ind w:left="108"/>
              <w:rPr>
                <w:sz w:val="16"/>
              </w:rPr>
            </w:pPr>
            <w:r>
              <w:rPr>
                <w:spacing w:val="-2"/>
                <w:sz w:val="16"/>
              </w:rPr>
              <w:t>£10,552.00</w:t>
            </w:r>
          </w:p>
        </w:tc>
        <w:tc>
          <w:tcPr>
            <w:tcW w:w="2557" w:type="dxa"/>
          </w:tcPr>
          <w:p>
            <w:pPr>
              <w:pStyle w:val="TableParagraph"/>
              <w:spacing w:line="190" w:lineRule="atLeast"/>
              <w:ind w:left="107" w:right="119"/>
              <w:rPr>
                <w:sz w:val="16"/>
              </w:rPr>
            </w:pPr>
            <w:r>
              <w:rPr>
                <w:sz w:val="16"/>
              </w:rPr>
              <w:t>Historic Ad Hoc agreement for picking up of waste across NWSSP Sites. Shaw Environmental have</w:t>
            </w:r>
            <w:r>
              <w:rPr>
                <w:spacing w:val="40"/>
                <w:sz w:val="16"/>
              </w:rPr>
              <w:t> </w:t>
            </w:r>
            <w:r>
              <w:rPr>
                <w:sz w:val="16"/>
              </w:rPr>
              <w:t>provided vital adhoc waste removals of items due to issues with the All Wales Contractor picking up the additional waste streams. Work is being undertaken with</w:t>
            </w:r>
            <w:r>
              <w:rPr>
                <w:spacing w:val="-10"/>
                <w:sz w:val="16"/>
              </w:rPr>
              <w:t> </w:t>
            </w:r>
            <w:r>
              <w:rPr>
                <w:sz w:val="16"/>
              </w:rPr>
              <w:t>the</w:t>
            </w:r>
            <w:r>
              <w:rPr>
                <w:spacing w:val="-10"/>
                <w:sz w:val="16"/>
              </w:rPr>
              <w:t> </w:t>
            </w:r>
            <w:r>
              <w:rPr>
                <w:sz w:val="16"/>
              </w:rPr>
              <w:t>All</w:t>
            </w:r>
            <w:r>
              <w:rPr>
                <w:spacing w:val="-9"/>
                <w:sz w:val="16"/>
              </w:rPr>
              <w:t> </w:t>
            </w:r>
            <w:r>
              <w:rPr>
                <w:sz w:val="16"/>
              </w:rPr>
              <w:t>Wales</w:t>
            </w:r>
            <w:r>
              <w:rPr>
                <w:spacing w:val="-9"/>
                <w:sz w:val="16"/>
              </w:rPr>
              <w:t> </w:t>
            </w:r>
            <w:r>
              <w:rPr>
                <w:sz w:val="16"/>
              </w:rPr>
              <w:t>contractor to migrate the spend into the All Wales Contractor.</w:t>
            </w:r>
          </w:p>
        </w:tc>
        <w:tc>
          <w:tcPr>
            <w:tcW w:w="1586" w:type="dxa"/>
          </w:tcPr>
          <w:p>
            <w:pPr>
              <w:pStyle w:val="TableParagraph"/>
              <w:ind w:left="108" w:right="163"/>
              <w:rPr>
                <w:sz w:val="16"/>
              </w:rPr>
            </w:pPr>
            <w:r>
              <w:rPr>
                <w:sz w:val="16"/>
              </w:rPr>
              <w:t>Competition</w:t>
            </w:r>
            <w:r>
              <w:rPr>
                <w:spacing w:val="-15"/>
                <w:sz w:val="16"/>
              </w:rPr>
              <w:t> </w:t>
            </w:r>
            <w:r>
              <w:rPr>
                <w:sz w:val="16"/>
              </w:rPr>
              <w:t>not sought in accordance</w:t>
            </w:r>
            <w:r>
              <w:rPr>
                <w:spacing w:val="-15"/>
                <w:sz w:val="16"/>
              </w:rPr>
              <w:t> </w:t>
            </w:r>
            <w:r>
              <w:rPr>
                <w:sz w:val="16"/>
              </w:rPr>
              <w:t>with </w:t>
            </w:r>
            <w:r>
              <w:rPr>
                <w:spacing w:val="-2"/>
                <w:sz w:val="16"/>
              </w:rPr>
              <w:t>SFI’S</w:t>
            </w:r>
          </w:p>
        </w:tc>
        <w:tc>
          <w:tcPr>
            <w:tcW w:w="1430" w:type="dxa"/>
          </w:tcPr>
          <w:p>
            <w:pPr>
              <w:pStyle w:val="TableParagraph"/>
              <w:ind w:left="108" w:right="94"/>
              <w:rPr>
                <w:sz w:val="16"/>
              </w:rPr>
            </w:pPr>
            <w:r>
              <w:rPr>
                <w:sz w:val="16"/>
              </w:rPr>
              <w:t>No further action</w:t>
            </w:r>
            <w:r>
              <w:rPr>
                <w:spacing w:val="-15"/>
                <w:sz w:val="16"/>
              </w:rPr>
              <w:t> </w:t>
            </w:r>
            <w:r>
              <w:rPr>
                <w:sz w:val="16"/>
              </w:rPr>
              <w:t>required</w:t>
            </w:r>
          </w:p>
        </w:tc>
      </w:tr>
      <w:tr>
        <w:trPr>
          <w:trHeight w:val="1555" w:hRule="atLeast"/>
        </w:trPr>
        <w:tc>
          <w:tcPr>
            <w:tcW w:w="582" w:type="dxa"/>
          </w:tcPr>
          <w:p>
            <w:pPr>
              <w:pStyle w:val="TableParagraph"/>
              <w:ind w:left="108"/>
              <w:rPr>
                <w:sz w:val="16"/>
              </w:rPr>
            </w:pPr>
            <w:r>
              <w:rPr>
                <w:spacing w:val="-5"/>
                <w:sz w:val="16"/>
              </w:rPr>
              <w:t>37.</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415"/>
              <w:rPr>
                <w:sz w:val="16"/>
              </w:rPr>
            </w:pPr>
            <w:r>
              <w:rPr>
                <w:spacing w:val="-2"/>
                <w:sz w:val="16"/>
              </w:rPr>
              <w:t>NWSSP-FN- (22-23)-11</w:t>
            </w:r>
          </w:p>
        </w:tc>
        <w:tc>
          <w:tcPr>
            <w:tcW w:w="1246" w:type="dxa"/>
          </w:tcPr>
          <w:p>
            <w:pPr>
              <w:pStyle w:val="TableParagraph"/>
              <w:ind w:left="107"/>
              <w:rPr>
                <w:sz w:val="16"/>
              </w:rPr>
            </w:pPr>
            <w:r>
              <w:rPr>
                <w:spacing w:val="-2"/>
                <w:sz w:val="16"/>
              </w:rPr>
              <w:t>25/11/2022</w:t>
            </w:r>
          </w:p>
        </w:tc>
        <w:tc>
          <w:tcPr>
            <w:tcW w:w="1479" w:type="dxa"/>
          </w:tcPr>
          <w:p>
            <w:pPr>
              <w:pStyle w:val="TableParagraph"/>
              <w:ind w:left="108"/>
              <w:rPr>
                <w:sz w:val="16"/>
              </w:rPr>
            </w:pPr>
            <w:r>
              <w:rPr>
                <w:sz w:val="16"/>
              </w:rPr>
              <w:t>File</w:t>
            </w:r>
            <w:r>
              <w:rPr>
                <w:spacing w:val="-1"/>
                <w:sz w:val="16"/>
              </w:rPr>
              <w:t> </w:t>
            </w:r>
            <w:r>
              <w:rPr>
                <w:spacing w:val="-4"/>
                <w:sz w:val="16"/>
              </w:rPr>
              <w:t>Note</w:t>
            </w:r>
          </w:p>
        </w:tc>
        <w:tc>
          <w:tcPr>
            <w:tcW w:w="1459" w:type="dxa"/>
          </w:tcPr>
          <w:p>
            <w:pPr>
              <w:pStyle w:val="TableParagraph"/>
              <w:spacing w:line="190" w:lineRule="atLeast"/>
              <w:ind w:left="108" w:right="144"/>
              <w:rPr>
                <w:sz w:val="16"/>
              </w:rPr>
            </w:pPr>
            <w:r>
              <w:rPr>
                <w:sz w:val="16"/>
              </w:rPr>
              <w:t>Lease of </w:t>
            </w:r>
            <w:r>
              <w:rPr>
                <w:spacing w:val="-2"/>
                <w:sz w:val="16"/>
              </w:rPr>
              <w:t>temperature Controlled </w:t>
            </w:r>
            <w:r>
              <w:rPr>
                <w:sz w:val="16"/>
              </w:rPr>
              <w:t>Boxes and </w:t>
            </w:r>
            <w:r>
              <w:rPr>
                <w:spacing w:val="-2"/>
                <w:sz w:val="16"/>
              </w:rPr>
              <w:t>Service/calibra </w:t>
            </w:r>
            <w:r>
              <w:rPr>
                <w:sz w:val="16"/>
              </w:rPr>
              <w:t>tion from David Brett </w:t>
            </w:r>
            <w:r>
              <w:rPr>
                <w:spacing w:val="-2"/>
                <w:sz w:val="16"/>
              </w:rPr>
              <w:t>Solutions</w:t>
            </w:r>
          </w:p>
        </w:tc>
        <w:tc>
          <w:tcPr>
            <w:tcW w:w="1276" w:type="dxa"/>
          </w:tcPr>
          <w:p>
            <w:pPr>
              <w:pStyle w:val="TableParagraph"/>
              <w:ind w:left="107" w:right="240"/>
              <w:rPr>
                <w:sz w:val="16"/>
              </w:rPr>
            </w:pPr>
            <w:r>
              <w:rPr>
                <w:sz w:val="16"/>
              </w:rPr>
              <w:t>David</w:t>
            </w:r>
            <w:r>
              <w:rPr>
                <w:spacing w:val="-15"/>
                <w:sz w:val="16"/>
              </w:rPr>
              <w:t> </w:t>
            </w:r>
            <w:r>
              <w:rPr>
                <w:sz w:val="16"/>
              </w:rPr>
              <w:t>Brett </w:t>
            </w:r>
            <w:r>
              <w:rPr>
                <w:spacing w:val="-2"/>
                <w:sz w:val="16"/>
              </w:rPr>
              <w:t>Solutions</w:t>
            </w:r>
          </w:p>
        </w:tc>
        <w:tc>
          <w:tcPr>
            <w:tcW w:w="1418" w:type="dxa"/>
          </w:tcPr>
          <w:p>
            <w:pPr>
              <w:pStyle w:val="TableParagraph"/>
              <w:ind w:left="108"/>
              <w:rPr>
                <w:sz w:val="16"/>
              </w:rPr>
            </w:pPr>
            <w:r>
              <w:rPr>
                <w:color w:val="242424"/>
                <w:spacing w:val="-2"/>
                <w:sz w:val="16"/>
              </w:rPr>
              <w:t>£16,344.65</w:t>
            </w:r>
          </w:p>
        </w:tc>
        <w:tc>
          <w:tcPr>
            <w:tcW w:w="2557" w:type="dxa"/>
          </w:tcPr>
          <w:p>
            <w:pPr>
              <w:pStyle w:val="TableParagraph"/>
              <w:ind w:left="107" w:right="181"/>
              <w:rPr>
                <w:sz w:val="16"/>
              </w:rPr>
            </w:pPr>
            <w:r>
              <w:rPr>
                <w:sz w:val="16"/>
              </w:rPr>
              <w:t>During Covid 19, HCS urgently</w:t>
            </w:r>
            <w:r>
              <w:rPr>
                <w:spacing w:val="-13"/>
                <w:sz w:val="16"/>
              </w:rPr>
              <w:t> </w:t>
            </w:r>
            <w:r>
              <w:rPr>
                <w:sz w:val="16"/>
              </w:rPr>
              <w:t>needed</w:t>
            </w:r>
            <w:r>
              <w:rPr>
                <w:spacing w:val="-12"/>
                <w:sz w:val="16"/>
              </w:rPr>
              <w:t> </w:t>
            </w:r>
            <w:r>
              <w:rPr>
                <w:sz w:val="16"/>
              </w:rPr>
              <w:t>to</w:t>
            </w:r>
            <w:r>
              <w:rPr>
                <w:spacing w:val="-13"/>
                <w:sz w:val="16"/>
              </w:rPr>
              <w:t> </w:t>
            </w:r>
            <w:r>
              <w:rPr>
                <w:sz w:val="16"/>
              </w:rPr>
              <w:t>expand its temperature-controlled capacity and use of Euroengel</w:t>
            </w:r>
            <w:r>
              <w:rPr>
                <w:spacing w:val="-2"/>
                <w:sz w:val="16"/>
              </w:rPr>
              <w:t> </w:t>
            </w:r>
            <w:r>
              <w:rPr>
                <w:sz w:val="16"/>
              </w:rPr>
              <w:t>units</w:t>
            </w:r>
            <w:r>
              <w:rPr>
                <w:spacing w:val="-2"/>
                <w:sz w:val="16"/>
              </w:rPr>
              <w:t> </w:t>
            </w:r>
            <w:r>
              <w:rPr>
                <w:sz w:val="16"/>
              </w:rPr>
              <w:t>to</w:t>
            </w:r>
            <w:r>
              <w:rPr>
                <w:spacing w:val="-3"/>
                <w:sz w:val="16"/>
              </w:rPr>
              <w:t> </w:t>
            </w:r>
            <w:r>
              <w:rPr>
                <w:sz w:val="16"/>
              </w:rPr>
              <w:t>support distribution of the Covid </w:t>
            </w:r>
            <w:r>
              <w:rPr>
                <w:spacing w:val="-2"/>
                <w:sz w:val="16"/>
              </w:rPr>
              <w:t>Vaccine.</w:t>
            </w:r>
          </w:p>
        </w:tc>
        <w:tc>
          <w:tcPr>
            <w:tcW w:w="1586" w:type="dxa"/>
          </w:tcPr>
          <w:p>
            <w:pPr>
              <w:pStyle w:val="TableParagraph"/>
              <w:ind w:left="108" w:right="163"/>
              <w:rPr>
                <w:sz w:val="16"/>
              </w:rPr>
            </w:pPr>
            <w:r>
              <w:rPr>
                <w:sz w:val="16"/>
              </w:rPr>
              <w:t>Competition</w:t>
            </w:r>
            <w:r>
              <w:rPr>
                <w:spacing w:val="-15"/>
                <w:sz w:val="16"/>
              </w:rPr>
              <w:t> </w:t>
            </w:r>
            <w:r>
              <w:rPr>
                <w:sz w:val="16"/>
              </w:rPr>
              <w:t>not sought in accordance</w:t>
            </w:r>
            <w:r>
              <w:rPr>
                <w:spacing w:val="-15"/>
                <w:sz w:val="16"/>
              </w:rPr>
              <w:t> </w:t>
            </w:r>
            <w:r>
              <w:rPr>
                <w:sz w:val="16"/>
              </w:rPr>
              <w:t>with </w:t>
            </w:r>
            <w:r>
              <w:rPr>
                <w:spacing w:val="-2"/>
                <w:sz w:val="16"/>
              </w:rPr>
              <w:t>SFI’S</w:t>
            </w:r>
          </w:p>
        </w:tc>
        <w:tc>
          <w:tcPr>
            <w:tcW w:w="1430" w:type="dxa"/>
          </w:tcPr>
          <w:p>
            <w:pPr>
              <w:pStyle w:val="TableParagraph"/>
              <w:ind w:left="108" w:right="97"/>
              <w:rPr>
                <w:sz w:val="16"/>
              </w:rPr>
            </w:pPr>
            <w:r>
              <w:rPr>
                <w:sz w:val="16"/>
              </w:rPr>
              <w:t>Work is being undertaken by service to</w:t>
            </w:r>
            <w:r>
              <w:rPr>
                <w:spacing w:val="80"/>
                <w:sz w:val="16"/>
              </w:rPr>
              <w:t> </w:t>
            </w:r>
            <w:r>
              <w:rPr>
                <w:spacing w:val="-2"/>
                <w:sz w:val="16"/>
              </w:rPr>
              <w:t>draft specifications </w:t>
            </w:r>
            <w:r>
              <w:rPr>
                <w:sz w:val="16"/>
              </w:rPr>
              <w:t>for</w:t>
            </w:r>
            <w:r>
              <w:rPr>
                <w:spacing w:val="-15"/>
                <w:sz w:val="16"/>
              </w:rPr>
              <w:t> </w:t>
            </w:r>
            <w:r>
              <w:rPr>
                <w:sz w:val="16"/>
              </w:rPr>
              <w:t>competitive </w:t>
            </w:r>
            <w:r>
              <w:rPr>
                <w:spacing w:val="-2"/>
                <w:sz w:val="16"/>
              </w:rPr>
              <w:t>tender.</w:t>
            </w:r>
          </w:p>
        </w:tc>
      </w:tr>
      <w:tr>
        <w:trPr>
          <w:trHeight w:val="2722" w:hRule="atLeast"/>
        </w:trPr>
        <w:tc>
          <w:tcPr>
            <w:tcW w:w="582" w:type="dxa"/>
          </w:tcPr>
          <w:p>
            <w:pPr>
              <w:pStyle w:val="TableParagraph"/>
              <w:ind w:left="108"/>
              <w:rPr>
                <w:sz w:val="16"/>
              </w:rPr>
            </w:pPr>
            <w:r>
              <w:rPr>
                <w:spacing w:val="-5"/>
                <w:sz w:val="16"/>
              </w:rPr>
              <w:t>38.</w:t>
            </w:r>
          </w:p>
        </w:tc>
        <w:tc>
          <w:tcPr>
            <w:tcW w:w="695" w:type="dxa"/>
          </w:tcPr>
          <w:p>
            <w:pPr>
              <w:pStyle w:val="TableParagraph"/>
              <w:ind w:left="108"/>
              <w:rPr>
                <w:sz w:val="16"/>
              </w:rPr>
            </w:pPr>
            <w:r>
              <w:rPr>
                <w:spacing w:val="-5"/>
                <w:sz w:val="16"/>
              </w:rPr>
              <w:t>VEL</w:t>
            </w:r>
          </w:p>
        </w:tc>
        <w:tc>
          <w:tcPr>
            <w:tcW w:w="986" w:type="dxa"/>
          </w:tcPr>
          <w:p>
            <w:pPr>
              <w:pStyle w:val="TableParagraph"/>
              <w:ind w:left="107"/>
              <w:rPr>
                <w:sz w:val="16"/>
              </w:rPr>
            </w:pPr>
            <w:r>
              <w:rPr>
                <w:spacing w:val="-4"/>
                <w:sz w:val="16"/>
              </w:rPr>
              <w:t>NWSSP</w:t>
            </w:r>
          </w:p>
        </w:tc>
        <w:tc>
          <w:tcPr>
            <w:tcW w:w="1486" w:type="dxa"/>
          </w:tcPr>
          <w:p>
            <w:pPr>
              <w:pStyle w:val="TableParagraph"/>
              <w:ind w:left="108" w:right="415"/>
              <w:rPr>
                <w:sz w:val="16"/>
              </w:rPr>
            </w:pPr>
            <w:r>
              <w:rPr>
                <w:spacing w:val="-2"/>
                <w:sz w:val="16"/>
              </w:rPr>
              <w:t>NWSSP-FN- (22-23)-12</w:t>
            </w:r>
          </w:p>
        </w:tc>
        <w:tc>
          <w:tcPr>
            <w:tcW w:w="1246" w:type="dxa"/>
          </w:tcPr>
          <w:p>
            <w:pPr>
              <w:pStyle w:val="TableParagraph"/>
              <w:ind w:left="107"/>
              <w:rPr>
                <w:sz w:val="16"/>
              </w:rPr>
            </w:pPr>
            <w:r>
              <w:rPr>
                <w:spacing w:val="-2"/>
                <w:sz w:val="16"/>
              </w:rPr>
              <w:t>05/12/2022</w:t>
            </w:r>
          </w:p>
        </w:tc>
        <w:tc>
          <w:tcPr>
            <w:tcW w:w="1479" w:type="dxa"/>
          </w:tcPr>
          <w:p>
            <w:pPr>
              <w:pStyle w:val="TableParagraph"/>
              <w:ind w:left="108"/>
              <w:rPr>
                <w:sz w:val="16"/>
              </w:rPr>
            </w:pPr>
            <w:r>
              <w:rPr>
                <w:sz w:val="16"/>
              </w:rPr>
              <w:t>File</w:t>
            </w:r>
            <w:r>
              <w:rPr>
                <w:spacing w:val="-1"/>
                <w:sz w:val="16"/>
              </w:rPr>
              <w:t> </w:t>
            </w:r>
            <w:r>
              <w:rPr>
                <w:spacing w:val="-4"/>
                <w:sz w:val="16"/>
              </w:rPr>
              <w:t>Note</w:t>
            </w:r>
          </w:p>
        </w:tc>
        <w:tc>
          <w:tcPr>
            <w:tcW w:w="1459" w:type="dxa"/>
          </w:tcPr>
          <w:p>
            <w:pPr>
              <w:pStyle w:val="TableParagraph"/>
              <w:ind w:left="108" w:right="122"/>
              <w:rPr>
                <w:sz w:val="16"/>
              </w:rPr>
            </w:pPr>
            <w:r>
              <w:rPr>
                <w:sz w:val="16"/>
              </w:rPr>
              <w:t>Counsel</w:t>
            </w:r>
            <w:r>
              <w:rPr>
                <w:spacing w:val="-15"/>
                <w:sz w:val="16"/>
              </w:rPr>
              <w:t> </w:t>
            </w:r>
            <w:r>
              <w:rPr>
                <w:sz w:val="16"/>
              </w:rPr>
              <w:t>Advice </w:t>
            </w:r>
            <w:r>
              <w:rPr>
                <w:spacing w:val="-4"/>
                <w:sz w:val="16"/>
              </w:rPr>
              <w:t>from</w:t>
            </w:r>
            <w:r>
              <w:rPr>
                <w:spacing w:val="40"/>
                <w:sz w:val="16"/>
              </w:rPr>
              <w:t> </w:t>
            </w:r>
            <w:r>
              <w:rPr>
                <w:sz w:val="16"/>
              </w:rPr>
              <w:t>Serjeant’s Inn Chambers in relation to the </w:t>
            </w:r>
            <w:r>
              <w:rPr>
                <w:spacing w:val="-2"/>
                <w:sz w:val="16"/>
              </w:rPr>
              <w:t>Covid-19</w:t>
            </w:r>
            <w:r>
              <w:rPr>
                <w:spacing w:val="40"/>
                <w:sz w:val="16"/>
              </w:rPr>
              <w:t> </w:t>
            </w:r>
            <w:r>
              <w:rPr>
                <w:sz w:val="16"/>
              </w:rPr>
              <w:t>Public Inquiry </w:t>
            </w:r>
            <w:r>
              <w:rPr>
                <w:spacing w:val="-2"/>
                <w:sz w:val="16"/>
              </w:rPr>
              <w:t>Proceedings</w:t>
            </w:r>
          </w:p>
        </w:tc>
        <w:tc>
          <w:tcPr>
            <w:tcW w:w="1276" w:type="dxa"/>
          </w:tcPr>
          <w:p>
            <w:pPr>
              <w:pStyle w:val="TableParagraph"/>
              <w:ind w:left="107" w:right="343"/>
              <w:rPr>
                <w:sz w:val="16"/>
              </w:rPr>
            </w:pPr>
            <w:r>
              <w:rPr>
                <w:spacing w:val="-2"/>
                <w:sz w:val="16"/>
              </w:rPr>
              <w:t>Serjeant’s </w:t>
            </w:r>
            <w:r>
              <w:rPr>
                <w:spacing w:val="-4"/>
                <w:sz w:val="16"/>
              </w:rPr>
              <w:t>Inn </w:t>
            </w:r>
            <w:r>
              <w:rPr>
                <w:spacing w:val="-2"/>
                <w:sz w:val="16"/>
              </w:rPr>
              <w:t>Chambers</w:t>
            </w:r>
          </w:p>
        </w:tc>
        <w:tc>
          <w:tcPr>
            <w:tcW w:w="1418" w:type="dxa"/>
          </w:tcPr>
          <w:p>
            <w:pPr>
              <w:pStyle w:val="TableParagraph"/>
              <w:ind w:left="108"/>
              <w:rPr>
                <w:sz w:val="16"/>
              </w:rPr>
            </w:pPr>
            <w:r>
              <w:rPr>
                <w:spacing w:val="-2"/>
                <w:sz w:val="16"/>
              </w:rPr>
              <w:t>£7,212.50</w:t>
            </w:r>
          </w:p>
        </w:tc>
        <w:tc>
          <w:tcPr>
            <w:tcW w:w="2557" w:type="dxa"/>
          </w:tcPr>
          <w:p>
            <w:pPr>
              <w:pStyle w:val="TableParagraph"/>
              <w:spacing w:line="190" w:lineRule="atLeast"/>
              <w:ind w:left="107" w:right="123"/>
              <w:rPr>
                <w:sz w:val="16"/>
              </w:rPr>
            </w:pPr>
            <w:r>
              <w:rPr>
                <w:sz w:val="16"/>
              </w:rPr>
              <w:t>Limited options</w:t>
            </w:r>
            <w:r>
              <w:rPr>
                <w:spacing w:val="-1"/>
                <w:sz w:val="16"/>
              </w:rPr>
              <w:t> </w:t>
            </w:r>
            <w:r>
              <w:rPr>
                <w:sz w:val="16"/>
              </w:rPr>
              <w:t>available</w:t>
            </w:r>
            <w:r>
              <w:rPr>
                <w:spacing w:val="-1"/>
                <w:sz w:val="16"/>
              </w:rPr>
              <w:t> </w:t>
            </w:r>
            <w:r>
              <w:rPr>
                <w:sz w:val="16"/>
              </w:rPr>
              <w:t>for appropriate Counsel to represent NWSSP for the Covid-19 Public Inquiry, including the requirement</w:t>
            </w:r>
            <w:r>
              <w:rPr>
                <w:spacing w:val="40"/>
                <w:sz w:val="16"/>
              </w:rPr>
              <w:t> </w:t>
            </w:r>
            <w:r>
              <w:rPr>
                <w:sz w:val="16"/>
              </w:rPr>
              <w:t>for a specialist Counsel who understood the complex nature of NWSSP and our role</w:t>
            </w:r>
            <w:r>
              <w:rPr>
                <w:spacing w:val="-8"/>
                <w:sz w:val="16"/>
              </w:rPr>
              <w:t> </w:t>
            </w:r>
            <w:r>
              <w:rPr>
                <w:sz w:val="16"/>
              </w:rPr>
              <w:t>in</w:t>
            </w:r>
            <w:r>
              <w:rPr>
                <w:spacing w:val="-8"/>
                <w:sz w:val="16"/>
              </w:rPr>
              <w:t> </w:t>
            </w:r>
            <w:r>
              <w:rPr>
                <w:sz w:val="16"/>
              </w:rPr>
              <w:t>the</w:t>
            </w:r>
            <w:r>
              <w:rPr>
                <w:spacing w:val="-8"/>
                <w:sz w:val="16"/>
              </w:rPr>
              <w:t> </w:t>
            </w:r>
            <w:r>
              <w:rPr>
                <w:sz w:val="16"/>
              </w:rPr>
              <w:t>wider</w:t>
            </w:r>
            <w:r>
              <w:rPr>
                <w:spacing w:val="-8"/>
                <w:sz w:val="16"/>
              </w:rPr>
              <w:t> </w:t>
            </w:r>
            <w:r>
              <w:rPr>
                <w:sz w:val="16"/>
              </w:rPr>
              <w:t>NHS</w:t>
            </w:r>
            <w:r>
              <w:rPr>
                <w:spacing w:val="-8"/>
                <w:sz w:val="16"/>
              </w:rPr>
              <w:t> </w:t>
            </w:r>
            <w:r>
              <w:rPr>
                <w:sz w:val="16"/>
              </w:rPr>
              <w:t>Wales, and Counsel who was experienced with Inquiry proceedings (Ranald Davidson</w:t>
            </w:r>
            <w:r>
              <w:rPr>
                <w:spacing w:val="-6"/>
                <w:sz w:val="16"/>
              </w:rPr>
              <w:t> </w:t>
            </w:r>
            <w:r>
              <w:rPr>
                <w:sz w:val="16"/>
              </w:rPr>
              <w:t>had</w:t>
            </w:r>
            <w:r>
              <w:rPr>
                <w:spacing w:val="-6"/>
                <w:sz w:val="16"/>
              </w:rPr>
              <w:t> </w:t>
            </w:r>
            <w:r>
              <w:rPr>
                <w:sz w:val="16"/>
              </w:rPr>
              <w:t>acted</w:t>
            </w:r>
            <w:r>
              <w:rPr>
                <w:spacing w:val="-6"/>
                <w:sz w:val="16"/>
              </w:rPr>
              <w:t> </w:t>
            </w:r>
            <w:r>
              <w:rPr>
                <w:sz w:val="16"/>
              </w:rPr>
              <w:t>for</w:t>
            </w:r>
            <w:r>
              <w:rPr>
                <w:spacing w:val="-7"/>
                <w:sz w:val="16"/>
              </w:rPr>
              <w:t> </w:t>
            </w:r>
            <w:r>
              <w:rPr>
                <w:sz w:val="16"/>
              </w:rPr>
              <w:t>us</w:t>
            </w:r>
            <w:r>
              <w:rPr>
                <w:spacing w:val="-7"/>
                <w:sz w:val="16"/>
              </w:rPr>
              <w:t> </w:t>
            </w:r>
            <w:r>
              <w:rPr>
                <w:sz w:val="16"/>
              </w:rPr>
              <w:t>in the WIBSS Inquiry).</w:t>
            </w:r>
          </w:p>
        </w:tc>
        <w:tc>
          <w:tcPr>
            <w:tcW w:w="1586" w:type="dxa"/>
          </w:tcPr>
          <w:p>
            <w:pPr>
              <w:pStyle w:val="TableParagraph"/>
              <w:ind w:left="108" w:right="163"/>
              <w:rPr>
                <w:sz w:val="16"/>
              </w:rPr>
            </w:pPr>
            <w:r>
              <w:rPr>
                <w:sz w:val="16"/>
              </w:rPr>
              <w:t>Competition</w:t>
            </w:r>
            <w:r>
              <w:rPr>
                <w:spacing w:val="-15"/>
                <w:sz w:val="16"/>
              </w:rPr>
              <w:t> </w:t>
            </w:r>
            <w:r>
              <w:rPr>
                <w:sz w:val="16"/>
              </w:rPr>
              <w:t>not sought in accordance</w:t>
            </w:r>
            <w:r>
              <w:rPr>
                <w:spacing w:val="-15"/>
                <w:sz w:val="16"/>
              </w:rPr>
              <w:t> </w:t>
            </w:r>
            <w:r>
              <w:rPr>
                <w:sz w:val="16"/>
              </w:rPr>
              <w:t>with </w:t>
            </w:r>
            <w:r>
              <w:rPr>
                <w:spacing w:val="-2"/>
                <w:sz w:val="16"/>
              </w:rPr>
              <w:t>SFI’S</w:t>
            </w:r>
          </w:p>
        </w:tc>
        <w:tc>
          <w:tcPr>
            <w:tcW w:w="1430" w:type="dxa"/>
          </w:tcPr>
          <w:p>
            <w:pPr>
              <w:pStyle w:val="TableParagraph"/>
              <w:ind w:left="108" w:right="94"/>
              <w:rPr>
                <w:sz w:val="16"/>
              </w:rPr>
            </w:pPr>
            <w:r>
              <w:rPr>
                <w:sz w:val="16"/>
              </w:rPr>
              <w:t>STA in place. Not further action</w:t>
            </w:r>
            <w:r>
              <w:rPr>
                <w:spacing w:val="-15"/>
                <w:sz w:val="16"/>
              </w:rPr>
              <w:t> </w:t>
            </w:r>
            <w:r>
              <w:rPr>
                <w:sz w:val="16"/>
              </w:rPr>
              <w:t>required</w:t>
            </w:r>
          </w:p>
        </w:tc>
      </w:tr>
    </w:tbl>
    <w:p>
      <w:pPr>
        <w:spacing w:after="0"/>
        <w:rPr>
          <w:sz w:val="16"/>
        </w:rPr>
        <w:sectPr>
          <w:type w:val="continuous"/>
          <w:pgSz w:w="16840" w:h="11910" w:orient="landscape"/>
          <w:pgMar w:header="0" w:footer="641" w:top="700" w:bottom="840" w:left="280" w:right="120"/>
        </w:sectPr>
      </w:pPr>
    </w:p>
    <w:p>
      <w:pPr>
        <w:spacing w:before="74"/>
        <w:ind w:left="440" w:right="0" w:firstLine="0"/>
        <w:jc w:val="left"/>
        <w:rPr>
          <w:b/>
          <w:sz w:val="24"/>
        </w:rPr>
      </w:pPr>
      <w:r>
        <w:rPr>
          <w:b/>
          <w:sz w:val="24"/>
        </w:rPr>
        <w:t>APPENDIX</w:t>
      </w:r>
      <w:r>
        <w:rPr>
          <w:b/>
          <w:spacing w:val="-6"/>
          <w:sz w:val="24"/>
        </w:rPr>
        <w:t> </w:t>
      </w:r>
      <w:r>
        <w:rPr>
          <w:b/>
          <w:sz w:val="24"/>
        </w:rPr>
        <w:t>B</w:t>
      </w:r>
      <w:r>
        <w:rPr>
          <w:b/>
          <w:spacing w:val="-3"/>
          <w:sz w:val="24"/>
        </w:rPr>
        <w:t> </w:t>
      </w:r>
      <w:r>
        <w:rPr>
          <w:b/>
          <w:sz w:val="24"/>
        </w:rPr>
        <w:t>-</w:t>
      </w:r>
      <w:r>
        <w:rPr>
          <w:b/>
          <w:spacing w:val="-3"/>
          <w:sz w:val="24"/>
        </w:rPr>
        <w:t> </w:t>
      </w:r>
      <w:r>
        <w:rPr>
          <w:b/>
          <w:sz w:val="24"/>
        </w:rPr>
        <w:t>All</w:t>
      </w:r>
      <w:r>
        <w:rPr>
          <w:b/>
          <w:spacing w:val="-3"/>
          <w:sz w:val="24"/>
        </w:rPr>
        <w:t> </w:t>
      </w:r>
      <w:r>
        <w:rPr>
          <w:b/>
          <w:sz w:val="24"/>
        </w:rPr>
        <w:t>Wales</w:t>
      </w:r>
      <w:r>
        <w:rPr>
          <w:b/>
          <w:spacing w:val="-4"/>
          <w:sz w:val="24"/>
        </w:rPr>
        <w:t> </w:t>
      </w:r>
      <w:r>
        <w:rPr>
          <w:b/>
          <w:sz w:val="24"/>
        </w:rPr>
        <w:t>Contracting</w:t>
      </w:r>
      <w:r>
        <w:rPr>
          <w:b/>
          <w:spacing w:val="-3"/>
          <w:sz w:val="24"/>
        </w:rPr>
        <w:t> </w:t>
      </w:r>
      <w:r>
        <w:rPr>
          <w:b/>
          <w:sz w:val="24"/>
        </w:rPr>
        <w:t>Activity</w:t>
      </w:r>
      <w:r>
        <w:rPr>
          <w:b/>
          <w:spacing w:val="-4"/>
          <w:sz w:val="24"/>
        </w:rPr>
        <w:t> </w:t>
      </w:r>
      <w:r>
        <w:rPr>
          <w:b/>
          <w:sz w:val="24"/>
        </w:rPr>
        <w:t>In</w:t>
      </w:r>
      <w:r>
        <w:rPr>
          <w:b/>
          <w:spacing w:val="-2"/>
          <w:sz w:val="24"/>
        </w:rPr>
        <w:t> </w:t>
      </w:r>
      <w:r>
        <w:rPr>
          <w:b/>
          <w:sz w:val="24"/>
        </w:rPr>
        <w:t>Progress</w:t>
      </w:r>
      <w:r>
        <w:rPr>
          <w:b/>
          <w:spacing w:val="-4"/>
          <w:sz w:val="24"/>
        </w:rPr>
        <w:t> </w:t>
      </w:r>
      <w:r>
        <w:rPr>
          <w:b/>
          <w:sz w:val="24"/>
        </w:rPr>
        <w:t>(19/09/2022</w:t>
      </w:r>
      <w:r>
        <w:rPr>
          <w:b/>
          <w:spacing w:val="-4"/>
          <w:sz w:val="24"/>
        </w:rPr>
        <w:t> </w:t>
      </w:r>
      <w:r>
        <w:rPr>
          <w:b/>
          <w:sz w:val="24"/>
        </w:rPr>
        <w:t>-</w:t>
      </w:r>
      <w:r>
        <w:rPr>
          <w:b/>
          <w:spacing w:val="-2"/>
          <w:sz w:val="24"/>
        </w:rPr>
        <w:t> 28/12/2022)</w:t>
      </w:r>
    </w:p>
    <w:p>
      <w:pPr>
        <w:pStyle w:val="BodyText"/>
        <w:rPr>
          <w:b/>
          <w:sz w:val="20"/>
        </w:rPr>
      </w:pPr>
    </w:p>
    <w:tbl>
      <w:tblPr>
        <w:tblW w:w="0" w:type="auto"/>
        <w:jc w:val="left"/>
        <w:tblInd w:w="4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9"/>
        <w:gridCol w:w="6379"/>
        <w:gridCol w:w="1276"/>
        <w:gridCol w:w="1701"/>
        <w:gridCol w:w="1417"/>
        <w:gridCol w:w="1580"/>
        <w:gridCol w:w="1391"/>
        <w:gridCol w:w="1461"/>
      </w:tblGrid>
      <w:tr>
        <w:trPr>
          <w:trHeight w:val="480" w:hRule="atLeast"/>
        </w:trPr>
        <w:tc>
          <w:tcPr>
            <w:tcW w:w="709" w:type="dxa"/>
            <w:shd w:val="clear" w:color="auto" w:fill="BDD6EE"/>
          </w:tcPr>
          <w:p>
            <w:pPr>
              <w:pStyle w:val="TableParagraph"/>
              <w:ind w:left="151"/>
              <w:rPr>
                <w:sz w:val="16"/>
              </w:rPr>
            </w:pPr>
            <w:r>
              <w:rPr>
                <w:spacing w:val="-5"/>
                <w:sz w:val="16"/>
              </w:rPr>
              <w:t>No.</w:t>
            </w:r>
          </w:p>
        </w:tc>
        <w:tc>
          <w:tcPr>
            <w:tcW w:w="6379" w:type="dxa"/>
            <w:shd w:val="clear" w:color="auto" w:fill="BDD6EE"/>
          </w:tcPr>
          <w:p>
            <w:pPr>
              <w:pStyle w:val="TableParagraph"/>
              <w:ind w:left="108"/>
              <w:rPr>
                <w:sz w:val="16"/>
              </w:rPr>
            </w:pPr>
            <w:r>
              <w:rPr>
                <w:sz w:val="16"/>
              </w:rPr>
              <w:t>Contract</w:t>
            </w:r>
            <w:r>
              <w:rPr>
                <w:spacing w:val="-6"/>
                <w:sz w:val="16"/>
              </w:rPr>
              <w:t> </w:t>
            </w:r>
            <w:r>
              <w:rPr>
                <w:spacing w:val="-2"/>
                <w:sz w:val="16"/>
              </w:rPr>
              <w:t>Title</w:t>
            </w:r>
          </w:p>
        </w:tc>
        <w:tc>
          <w:tcPr>
            <w:tcW w:w="1276" w:type="dxa"/>
            <w:shd w:val="clear" w:color="auto" w:fill="BDD6EE"/>
          </w:tcPr>
          <w:p>
            <w:pPr>
              <w:pStyle w:val="TableParagraph"/>
              <w:ind w:left="107"/>
              <w:rPr>
                <w:sz w:val="16"/>
              </w:rPr>
            </w:pPr>
            <w:r>
              <w:rPr>
                <w:sz w:val="16"/>
              </w:rPr>
              <w:t>Doc</w:t>
            </w:r>
            <w:r>
              <w:rPr>
                <w:spacing w:val="-1"/>
                <w:sz w:val="16"/>
              </w:rPr>
              <w:t> </w:t>
            </w:r>
            <w:r>
              <w:rPr>
                <w:spacing w:val="-4"/>
                <w:sz w:val="16"/>
              </w:rPr>
              <w:t>Type</w:t>
            </w:r>
          </w:p>
        </w:tc>
        <w:tc>
          <w:tcPr>
            <w:tcW w:w="1701" w:type="dxa"/>
            <w:shd w:val="clear" w:color="auto" w:fill="BDD6EE"/>
          </w:tcPr>
          <w:p>
            <w:pPr>
              <w:pStyle w:val="TableParagraph"/>
              <w:ind w:right="96"/>
              <w:jc w:val="right"/>
              <w:rPr>
                <w:sz w:val="16"/>
              </w:rPr>
            </w:pPr>
            <w:r>
              <w:rPr>
                <w:sz w:val="16"/>
              </w:rPr>
              <w:t>Total</w:t>
            </w:r>
            <w:r>
              <w:rPr>
                <w:spacing w:val="-4"/>
                <w:sz w:val="16"/>
              </w:rPr>
              <w:t> </w:t>
            </w:r>
            <w:r>
              <w:rPr>
                <w:spacing w:val="-2"/>
                <w:sz w:val="16"/>
              </w:rPr>
              <w:t>Value</w:t>
            </w:r>
          </w:p>
        </w:tc>
        <w:tc>
          <w:tcPr>
            <w:tcW w:w="1417" w:type="dxa"/>
            <w:shd w:val="clear" w:color="auto" w:fill="BDD6EE"/>
          </w:tcPr>
          <w:p>
            <w:pPr>
              <w:pStyle w:val="TableParagraph"/>
              <w:ind w:left="108"/>
              <w:rPr>
                <w:sz w:val="16"/>
              </w:rPr>
            </w:pPr>
            <w:r>
              <w:rPr>
                <w:sz w:val="16"/>
              </w:rPr>
              <w:t>JI</w:t>
            </w:r>
            <w:r>
              <w:rPr>
                <w:spacing w:val="-1"/>
                <w:sz w:val="16"/>
              </w:rPr>
              <w:t> </w:t>
            </w:r>
            <w:r>
              <w:rPr>
                <w:spacing w:val="-2"/>
                <w:sz w:val="16"/>
              </w:rPr>
              <w:t>approval</w:t>
            </w:r>
          </w:p>
          <w:p>
            <w:pPr>
              <w:pStyle w:val="TableParagraph"/>
              <w:ind w:left="108"/>
              <w:rPr>
                <w:sz w:val="16"/>
              </w:rPr>
            </w:pPr>
            <w:r>
              <w:rPr>
                <w:spacing w:val="-2"/>
                <w:sz w:val="16"/>
              </w:rPr>
              <w:t>&lt;£750K</w:t>
            </w:r>
          </w:p>
        </w:tc>
        <w:tc>
          <w:tcPr>
            <w:tcW w:w="1580" w:type="dxa"/>
            <w:shd w:val="clear" w:color="auto" w:fill="BDD6EE"/>
          </w:tcPr>
          <w:p>
            <w:pPr>
              <w:pStyle w:val="TableParagraph"/>
              <w:ind w:left="107"/>
              <w:rPr>
                <w:sz w:val="16"/>
              </w:rPr>
            </w:pPr>
            <w:r>
              <w:rPr>
                <w:sz w:val="16"/>
              </w:rPr>
              <w:t>WG </w:t>
            </w:r>
            <w:r>
              <w:rPr>
                <w:spacing w:val="-2"/>
                <w:sz w:val="16"/>
              </w:rPr>
              <w:t>approval</w:t>
            </w:r>
          </w:p>
          <w:p>
            <w:pPr>
              <w:pStyle w:val="TableParagraph"/>
              <w:ind w:left="107"/>
              <w:rPr>
                <w:sz w:val="16"/>
              </w:rPr>
            </w:pPr>
            <w:r>
              <w:rPr>
                <w:spacing w:val="-2"/>
                <w:sz w:val="16"/>
              </w:rPr>
              <w:t>&gt;£500k</w:t>
            </w:r>
          </w:p>
        </w:tc>
        <w:tc>
          <w:tcPr>
            <w:tcW w:w="1391" w:type="dxa"/>
            <w:shd w:val="clear" w:color="auto" w:fill="BDD6EE"/>
          </w:tcPr>
          <w:p>
            <w:pPr>
              <w:pStyle w:val="TableParagraph"/>
              <w:ind w:left="112"/>
              <w:rPr>
                <w:sz w:val="16"/>
              </w:rPr>
            </w:pPr>
            <w:r>
              <w:rPr>
                <w:sz w:val="16"/>
              </w:rPr>
              <w:t>NF</w:t>
            </w:r>
            <w:r>
              <w:rPr>
                <w:spacing w:val="-2"/>
                <w:sz w:val="16"/>
              </w:rPr>
              <w:t> approval</w:t>
            </w:r>
          </w:p>
          <w:p>
            <w:pPr>
              <w:pStyle w:val="TableParagraph"/>
              <w:ind w:left="112"/>
              <w:rPr>
                <w:sz w:val="16"/>
              </w:rPr>
            </w:pPr>
            <w:r>
              <w:rPr>
                <w:spacing w:val="-2"/>
                <w:sz w:val="16"/>
              </w:rPr>
              <w:t>£750-</w:t>
            </w:r>
            <w:r>
              <w:rPr>
                <w:spacing w:val="-5"/>
                <w:sz w:val="16"/>
              </w:rPr>
              <w:t>£1M</w:t>
            </w:r>
          </w:p>
        </w:tc>
        <w:tc>
          <w:tcPr>
            <w:tcW w:w="1461" w:type="dxa"/>
            <w:shd w:val="clear" w:color="auto" w:fill="BDD6EE"/>
          </w:tcPr>
          <w:p>
            <w:pPr>
              <w:pStyle w:val="TableParagraph"/>
              <w:ind w:left="139"/>
              <w:rPr>
                <w:sz w:val="16"/>
              </w:rPr>
            </w:pPr>
            <w:r>
              <w:rPr>
                <w:sz w:val="16"/>
              </w:rPr>
              <w:t>Chair</w:t>
            </w:r>
            <w:r>
              <w:rPr>
                <w:spacing w:val="-5"/>
                <w:sz w:val="16"/>
              </w:rPr>
              <w:t> </w:t>
            </w:r>
            <w:r>
              <w:rPr>
                <w:spacing w:val="-2"/>
                <w:sz w:val="16"/>
              </w:rPr>
              <w:t>Approval</w:t>
            </w:r>
          </w:p>
          <w:p>
            <w:pPr>
              <w:pStyle w:val="TableParagraph"/>
              <w:ind w:left="139"/>
              <w:rPr>
                <w:sz w:val="16"/>
              </w:rPr>
            </w:pPr>
            <w:r>
              <w:rPr>
                <w:spacing w:val="-4"/>
                <w:sz w:val="16"/>
              </w:rPr>
              <w:t>£1M+</w:t>
            </w:r>
          </w:p>
        </w:tc>
      </w:tr>
      <w:tr>
        <w:trPr>
          <w:trHeight w:val="777" w:hRule="atLeast"/>
        </w:trPr>
        <w:tc>
          <w:tcPr>
            <w:tcW w:w="709" w:type="dxa"/>
          </w:tcPr>
          <w:p>
            <w:pPr>
              <w:pStyle w:val="TableParagraph"/>
              <w:ind w:left="151"/>
              <w:rPr>
                <w:sz w:val="16"/>
              </w:rPr>
            </w:pPr>
            <w:r>
              <w:rPr>
                <w:spacing w:val="-5"/>
                <w:sz w:val="16"/>
              </w:rPr>
              <w:t>1.</w:t>
            </w:r>
          </w:p>
        </w:tc>
        <w:tc>
          <w:tcPr>
            <w:tcW w:w="6379" w:type="dxa"/>
          </w:tcPr>
          <w:p>
            <w:pPr>
              <w:pStyle w:val="TableParagraph"/>
              <w:ind w:left="108"/>
              <w:rPr>
                <w:sz w:val="16"/>
              </w:rPr>
            </w:pPr>
            <w:r>
              <w:rPr>
                <w:color w:val="0463C1"/>
                <w:sz w:val="16"/>
                <w:u w:val="single" w:color="0463C1"/>
              </w:rPr>
              <w:t>Wheelchairs,</w:t>
            </w:r>
            <w:r>
              <w:rPr>
                <w:color w:val="0463C1"/>
                <w:spacing w:val="-2"/>
                <w:sz w:val="16"/>
                <w:u w:val="single" w:color="0463C1"/>
              </w:rPr>
              <w:t> </w:t>
            </w:r>
            <w:r>
              <w:rPr>
                <w:color w:val="0463C1"/>
                <w:sz w:val="16"/>
                <w:u w:val="single" w:color="0463C1"/>
              </w:rPr>
              <w:t>Associated</w:t>
            </w:r>
            <w:r>
              <w:rPr>
                <w:color w:val="0463C1"/>
                <w:spacing w:val="-2"/>
                <w:sz w:val="16"/>
                <w:u w:val="single" w:color="0463C1"/>
              </w:rPr>
              <w:t> </w:t>
            </w:r>
            <w:r>
              <w:rPr>
                <w:color w:val="0463C1"/>
                <w:sz w:val="16"/>
                <w:u w:val="single" w:color="0463C1"/>
              </w:rPr>
              <w:t>Parts,</w:t>
            </w:r>
            <w:r>
              <w:rPr>
                <w:color w:val="0463C1"/>
                <w:spacing w:val="-1"/>
                <w:sz w:val="16"/>
                <w:u w:val="single" w:color="0463C1"/>
              </w:rPr>
              <w:t> </w:t>
            </w:r>
            <w:r>
              <w:rPr>
                <w:color w:val="0463C1"/>
                <w:sz w:val="16"/>
                <w:u w:val="single" w:color="0463C1"/>
              </w:rPr>
              <w:t>and</w:t>
            </w:r>
            <w:r>
              <w:rPr>
                <w:color w:val="0463C1"/>
                <w:spacing w:val="-1"/>
                <w:sz w:val="16"/>
                <w:u w:val="single" w:color="0463C1"/>
              </w:rPr>
              <w:t> </w:t>
            </w:r>
            <w:r>
              <w:rPr>
                <w:color w:val="0463C1"/>
                <w:spacing w:val="-2"/>
                <w:sz w:val="16"/>
                <w:u w:val="single" w:color="0463C1"/>
              </w:rPr>
              <w:t>Accessories.</w:t>
            </w:r>
          </w:p>
          <w:p>
            <w:pPr>
              <w:pStyle w:val="TableParagraph"/>
              <w:ind w:left="108" w:right="191"/>
              <w:rPr>
                <w:sz w:val="16"/>
              </w:rPr>
            </w:pPr>
            <w:r>
              <w:rPr>
                <w:sz w:val="16"/>
              </w:rPr>
              <w:t>Provision</w:t>
            </w:r>
            <w:r>
              <w:rPr>
                <w:spacing w:val="-4"/>
                <w:sz w:val="16"/>
              </w:rPr>
              <w:t> </w:t>
            </w:r>
            <w:r>
              <w:rPr>
                <w:sz w:val="16"/>
              </w:rPr>
              <w:t>of</w:t>
            </w:r>
            <w:r>
              <w:rPr>
                <w:spacing w:val="-5"/>
                <w:sz w:val="16"/>
              </w:rPr>
              <w:t> </w:t>
            </w:r>
            <w:r>
              <w:rPr>
                <w:sz w:val="16"/>
              </w:rPr>
              <w:t>Manual</w:t>
            </w:r>
            <w:r>
              <w:rPr>
                <w:spacing w:val="-4"/>
                <w:sz w:val="16"/>
              </w:rPr>
              <w:t> </w:t>
            </w:r>
            <w:r>
              <w:rPr>
                <w:sz w:val="16"/>
              </w:rPr>
              <w:t>and</w:t>
            </w:r>
            <w:r>
              <w:rPr>
                <w:spacing w:val="-4"/>
                <w:sz w:val="16"/>
              </w:rPr>
              <w:t> </w:t>
            </w:r>
            <w:r>
              <w:rPr>
                <w:sz w:val="16"/>
              </w:rPr>
              <w:t>Powered,</w:t>
            </w:r>
            <w:r>
              <w:rPr>
                <w:spacing w:val="-5"/>
                <w:sz w:val="16"/>
              </w:rPr>
              <w:t> </w:t>
            </w:r>
            <w:r>
              <w:rPr>
                <w:sz w:val="16"/>
              </w:rPr>
              <w:t>Adult</w:t>
            </w:r>
            <w:r>
              <w:rPr>
                <w:spacing w:val="-5"/>
                <w:sz w:val="16"/>
              </w:rPr>
              <w:t> </w:t>
            </w:r>
            <w:r>
              <w:rPr>
                <w:sz w:val="16"/>
              </w:rPr>
              <w:t>and</w:t>
            </w:r>
            <w:r>
              <w:rPr>
                <w:spacing w:val="-4"/>
                <w:sz w:val="16"/>
              </w:rPr>
              <w:t> </w:t>
            </w:r>
            <w:r>
              <w:rPr>
                <w:sz w:val="16"/>
              </w:rPr>
              <w:t>Paediatric</w:t>
            </w:r>
            <w:r>
              <w:rPr>
                <w:spacing w:val="-5"/>
                <w:sz w:val="16"/>
              </w:rPr>
              <w:t> </w:t>
            </w:r>
            <w:r>
              <w:rPr>
                <w:sz w:val="16"/>
              </w:rPr>
              <w:t>Wheelchairs</w:t>
            </w:r>
            <w:r>
              <w:rPr>
                <w:spacing w:val="-4"/>
                <w:sz w:val="16"/>
              </w:rPr>
              <w:t> </w:t>
            </w:r>
            <w:r>
              <w:rPr>
                <w:sz w:val="16"/>
              </w:rPr>
              <w:t>and their associated accessories and consumables</w:t>
            </w:r>
          </w:p>
          <w:p>
            <w:pPr>
              <w:pStyle w:val="TableParagraph"/>
              <w:spacing w:line="174" w:lineRule="exact"/>
              <w:ind w:left="108"/>
              <w:rPr>
                <w:sz w:val="16"/>
              </w:rPr>
            </w:pPr>
            <w:r>
              <w:rPr>
                <w:sz w:val="16"/>
              </w:rPr>
              <w:t>Contract:</w:t>
            </w:r>
            <w:r>
              <w:rPr>
                <w:spacing w:val="-4"/>
                <w:sz w:val="16"/>
              </w:rPr>
              <w:t> </w:t>
            </w:r>
            <w:r>
              <w:rPr>
                <w:sz w:val="16"/>
              </w:rPr>
              <w:t>1st</w:t>
            </w:r>
            <w:r>
              <w:rPr>
                <w:spacing w:val="-2"/>
                <w:sz w:val="16"/>
              </w:rPr>
              <w:t> </w:t>
            </w:r>
            <w:r>
              <w:rPr>
                <w:sz w:val="16"/>
              </w:rPr>
              <w:t>January</w:t>
            </w:r>
            <w:r>
              <w:rPr>
                <w:spacing w:val="-1"/>
                <w:sz w:val="16"/>
              </w:rPr>
              <w:t> </w:t>
            </w:r>
            <w:r>
              <w:rPr>
                <w:sz w:val="16"/>
              </w:rPr>
              <w:t>2023</w:t>
            </w:r>
            <w:r>
              <w:rPr>
                <w:spacing w:val="-2"/>
                <w:sz w:val="16"/>
              </w:rPr>
              <w:t> </w:t>
            </w:r>
            <w:r>
              <w:rPr>
                <w:sz w:val="16"/>
              </w:rPr>
              <w:t>–</w:t>
            </w:r>
            <w:r>
              <w:rPr>
                <w:spacing w:val="-1"/>
                <w:sz w:val="16"/>
              </w:rPr>
              <w:t> </w:t>
            </w:r>
            <w:r>
              <w:rPr>
                <w:sz w:val="16"/>
              </w:rPr>
              <w:t>31st</w:t>
            </w:r>
            <w:r>
              <w:rPr>
                <w:spacing w:val="-2"/>
                <w:sz w:val="16"/>
              </w:rPr>
              <w:t> </w:t>
            </w:r>
            <w:r>
              <w:rPr>
                <w:sz w:val="16"/>
              </w:rPr>
              <w:t>December</w:t>
            </w:r>
            <w:r>
              <w:rPr>
                <w:spacing w:val="-1"/>
                <w:sz w:val="16"/>
              </w:rPr>
              <w:t> </w:t>
            </w:r>
            <w:r>
              <w:rPr>
                <w:sz w:val="16"/>
              </w:rPr>
              <w:t>2024</w:t>
            </w:r>
            <w:r>
              <w:rPr>
                <w:spacing w:val="-2"/>
                <w:sz w:val="16"/>
              </w:rPr>
              <w:t> </w:t>
            </w:r>
            <w:r>
              <w:rPr>
                <w:sz w:val="16"/>
              </w:rPr>
              <w:t>+2</w:t>
            </w:r>
            <w:r>
              <w:rPr>
                <w:spacing w:val="-2"/>
                <w:sz w:val="16"/>
              </w:rPr>
              <w:t> </w:t>
            </w:r>
            <w:r>
              <w:rPr>
                <w:spacing w:val="-4"/>
                <w:sz w:val="16"/>
              </w:rPr>
              <w:t>Years</w:t>
            </w:r>
          </w:p>
        </w:tc>
        <w:tc>
          <w:tcPr>
            <w:tcW w:w="1276" w:type="dxa"/>
          </w:tcPr>
          <w:p>
            <w:pPr>
              <w:pStyle w:val="TableParagraph"/>
              <w:ind w:left="107"/>
              <w:rPr>
                <w:sz w:val="16"/>
              </w:rPr>
            </w:pPr>
            <w:r>
              <w:rPr>
                <w:spacing w:val="-2"/>
                <w:sz w:val="16"/>
              </w:rPr>
              <w:t>Ratification</w:t>
            </w:r>
          </w:p>
        </w:tc>
        <w:tc>
          <w:tcPr>
            <w:tcW w:w="1701" w:type="dxa"/>
          </w:tcPr>
          <w:p>
            <w:pPr>
              <w:pStyle w:val="TableParagraph"/>
              <w:ind w:right="96"/>
              <w:jc w:val="right"/>
              <w:rPr>
                <w:sz w:val="16"/>
              </w:rPr>
            </w:pPr>
            <w:r>
              <w:rPr>
                <w:spacing w:val="-2"/>
                <w:sz w:val="16"/>
              </w:rPr>
              <w:t>£11,076,944</w:t>
            </w:r>
          </w:p>
        </w:tc>
        <w:tc>
          <w:tcPr>
            <w:tcW w:w="1417" w:type="dxa"/>
          </w:tcPr>
          <w:p>
            <w:pPr>
              <w:pStyle w:val="TableParagraph"/>
              <w:ind w:left="108"/>
              <w:rPr>
                <w:sz w:val="16"/>
              </w:rPr>
            </w:pPr>
            <w:r>
              <w:rPr>
                <w:spacing w:val="-2"/>
                <w:sz w:val="16"/>
              </w:rPr>
              <w:t>21/09/2022</w:t>
            </w:r>
          </w:p>
        </w:tc>
        <w:tc>
          <w:tcPr>
            <w:tcW w:w="1580" w:type="dxa"/>
          </w:tcPr>
          <w:p>
            <w:pPr>
              <w:pStyle w:val="TableParagraph"/>
              <w:ind w:left="107"/>
              <w:rPr>
                <w:sz w:val="16"/>
              </w:rPr>
            </w:pPr>
            <w:r>
              <w:rPr>
                <w:spacing w:val="-2"/>
                <w:sz w:val="16"/>
              </w:rPr>
              <w:t>26/09/2022</w:t>
            </w:r>
          </w:p>
        </w:tc>
        <w:tc>
          <w:tcPr>
            <w:tcW w:w="1391" w:type="dxa"/>
          </w:tcPr>
          <w:p>
            <w:pPr>
              <w:pStyle w:val="TableParagraph"/>
              <w:ind w:left="101"/>
              <w:rPr>
                <w:sz w:val="16"/>
              </w:rPr>
            </w:pPr>
            <w:r>
              <w:rPr>
                <w:spacing w:val="-2"/>
                <w:sz w:val="16"/>
              </w:rPr>
              <w:t>06/10/2022</w:t>
            </w:r>
          </w:p>
        </w:tc>
        <w:tc>
          <w:tcPr>
            <w:tcW w:w="1461" w:type="dxa"/>
          </w:tcPr>
          <w:p>
            <w:pPr>
              <w:pStyle w:val="TableParagraph"/>
              <w:ind w:left="106"/>
              <w:rPr>
                <w:sz w:val="16"/>
              </w:rPr>
            </w:pPr>
            <w:r>
              <w:rPr>
                <w:spacing w:val="-2"/>
                <w:sz w:val="16"/>
              </w:rPr>
              <w:t>07/10/2022</w:t>
            </w:r>
          </w:p>
        </w:tc>
      </w:tr>
      <w:tr>
        <w:trPr>
          <w:trHeight w:val="972" w:hRule="atLeast"/>
        </w:trPr>
        <w:tc>
          <w:tcPr>
            <w:tcW w:w="709" w:type="dxa"/>
          </w:tcPr>
          <w:p>
            <w:pPr>
              <w:pStyle w:val="TableParagraph"/>
              <w:ind w:left="151"/>
              <w:rPr>
                <w:sz w:val="16"/>
              </w:rPr>
            </w:pPr>
            <w:r>
              <w:rPr>
                <w:spacing w:val="-5"/>
                <w:sz w:val="16"/>
              </w:rPr>
              <w:t>2.</w:t>
            </w:r>
          </w:p>
        </w:tc>
        <w:tc>
          <w:tcPr>
            <w:tcW w:w="6379" w:type="dxa"/>
          </w:tcPr>
          <w:p>
            <w:pPr>
              <w:pStyle w:val="TableParagraph"/>
              <w:ind w:left="108"/>
              <w:rPr>
                <w:sz w:val="16"/>
              </w:rPr>
            </w:pPr>
            <w:r>
              <w:rPr>
                <w:color w:val="0463C1"/>
                <w:spacing w:val="-2"/>
                <w:sz w:val="16"/>
                <w:u w:val="single" w:color="0463C1"/>
              </w:rPr>
              <w:t>Clozapine</w:t>
            </w:r>
          </w:p>
          <w:p>
            <w:pPr>
              <w:pStyle w:val="TableParagraph"/>
              <w:ind w:left="108" w:right="191"/>
              <w:rPr>
                <w:sz w:val="16"/>
              </w:rPr>
            </w:pPr>
            <w:r>
              <w:rPr>
                <w:sz w:val="16"/>
              </w:rPr>
              <w:t>Indicated</w:t>
            </w:r>
            <w:r>
              <w:rPr>
                <w:spacing w:val="-5"/>
                <w:sz w:val="16"/>
              </w:rPr>
              <w:t> </w:t>
            </w:r>
            <w:r>
              <w:rPr>
                <w:sz w:val="16"/>
              </w:rPr>
              <w:t>for</w:t>
            </w:r>
            <w:r>
              <w:rPr>
                <w:spacing w:val="-5"/>
                <w:sz w:val="16"/>
              </w:rPr>
              <w:t> </w:t>
            </w:r>
            <w:r>
              <w:rPr>
                <w:sz w:val="16"/>
              </w:rPr>
              <w:t>the</w:t>
            </w:r>
            <w:r>
              <w:rPr>
                <w:spacing w:val="-6"/>
                <w:sz w:val="16"/>
              </w:rPr>
              <w:t> </w:t>
            </w:r>
            <w:r>
              <w:rPr>
                <w:sz w:val="16"/>
              </w:rPr>
              <w:t>treatment</w:t>
            </w:r>
            <w:r>
              <w:rPr>
                <w:spacing w:val="-5"/>
                <w:sz w:val="16"/>
              </w:rPr>
              <w:t> </w:t>
            </w:r>
            <w:r>
              <w:rPr>
                <w:sz w:val="16"/>
              </w:rPr>
              <w:t>of</w:t>
            </w:r>
            <w:r>
              <w:rPr>
                <w:spacing w:val="-6"/>
                <w:sz w:val="16"/>
              </w:rPr>
              <w:t> </w:t>
            </w:r>
            <w:r>
              <w:rPr>
                <w:sz w:val="16"/>
              </w:rPr>
              <w:t>schizophrenia</w:t>
            </w:r>
            <w:r>
              <w:rPr>
                <w:spacing w:val="-6"/>
                <w:sz w:val="16"/>
              </w:rPr>
              <w:t> </w:t>
            </w:r>
            <w:r>
              <w:rPr>
                <w:sz w:val="16"/>
              </w:rPr>
              <w:t>(including</w:t>
            </w:r>
            <w:r>
              <w:rPr>
                <w:spacing w:val="-6"/>
                <w:sz w:val="16"/>
              </w:rPr>
              <w:t> </w:t>
            </w:r>
            <w:r>
              <w:rPr>
                <w:sz w:val="16"/>
              </w:rPr>
              <w:t>psychosis</w:t>
            </w:r>
            <w:r>
              <w:rPr>
                <w:spacing w:val="-5"/>
                <w:sz w:val="16"/>
              </w:rPr>
              <w:t> </w:t>
            </w:r>
            <w:r>
              <w:rPr>
                <w:sz w:val="16"/>
              </w:rPr>
              <w:t>in Parkinson's disease) in patients unresponsive to, or intolerant of, conventional antipsychotic drugs.</w:t>
            </w:r>
          </w:p>
          <w:p>
            <w:pPr>
              <w:pStyle w:val="TableParagraph"/>
              <w:spacing w:line="174" w:lineRule="exact"/>
              <w:ind w:left="108"/>
              <w:rPr>
                <w:sz w:val="16"/>
              </w:rPr>
            </w:pPr>
            <w:r>
              <w:rPr>
                <w:sz w:val="16"/>
              </w:rPr>
              <w:t>Contract:</w:t>
            </w:r>
            <w:r>
              <w:rPr>
                <w:spacing w:val="-3"/>
                <w:sz w:val="16"/>
              </w:rPr>
              <w:t> </w:t>
            </w:r>
            <w:r>
              <w:rPr>
                <w:sz w:val="16"/>
              </w:rPr>
              <w:t>01.07.2023</w:t>
            </w:r>
            <w:r>
              <w:rPr>
                <w:spacing w:val="-2"/>
                <w:sz w:val="16"/>
              </w:rPr>
              <w:t> </w:t>
            </w:r>
            <w:r>
              <w:rPr>
                <w:sz w:val="16"/>
              </w:rPr>
              <w:t>–</w:t>
            </w:r>
            <w:r>
              <w:rPr>
                <w:spacing w:val="-3"/>
                <w:sz w:val="16"/>
              </w:rPr>
              <w:t> </w:t>
            </w:r>
            <w:r>
              <w:rPr>
                <w:sz w:val="16"/>
              </w:rPr>
              <w:t>30.06.2026</w:t>
            </w:r>
            <w:r>
              <w:rPr>
                <w:spacing w:val="-2"/>
                <w:sz w:val="16"/>
              </w:rPr>
              <w:t> </w:t>
            </w:r>
            <w:r>
              <w:rPr>
                <w:spacing w:val="-5"/>
                <w:sz w:val="16"/>
              </w:rPr>
              <w:t>+1</w:t>
            </w:r>
          </w:p>
        </w:tc>
        <w:tc>
          <w:tcPr>
            <w:tcW w:w="1276" w:type="dxa"/>
          </w:tcPr>
          <w:p>
            <w:pPr>
              <w:pStyle w:val="TableParagraph"/>
              <w:ind w:left="107"/>
              <w:rPr>
                <w:sz w:val="16"/>
              </w:rPr>
            </w:pPr>
            <w:r>
              <w:rPr>
                <w:spacing w:val="-2"/>
                <w:sz w:val="16"/>
              </w:rPr>
              <w:t>Briefing</w:t>
            </w:r>
          </w:p>
        </w:tc>
        <w:tc>
          <w:tcPr>
            <w:tcW w:w="1701" w:type="dxa"/>
          </w:tcPr>
          <w:p>
            <w:pPr>
              <w:pStyle w:val="TableParagraph"/>
              <w:ind w:right="95"/>
              <w:jc w:val="right"/>
              <w:rPr>
                <w:sz w:val="16"/>
              </w:rPr>
            </w:pPr>
            <w:r>
              <w:rPr>
                <w:spacing w:val="-2"/>
                <w:sz w:val="16"/>
              </w:rPr>
              <w:t>£1,382,251</w:t>
            </w:r>
          </w:p>
        </w:tc>
        <w:tc>
          <w:tcPr>
            <w:tcW w:w="1417" w:type="dxa"/>
          </w:tcPr>
          <w:p>
            <w:pPr>
              <w:pStyle w:val="TableParagraph"/>
              <w:ind w:left="108"/>
              <w:rPr>
                <w:sz w:val="16"/>
              </w:rPr>
            </w:pPr>
            <w:r>
              <w:rPr>
                <w:spacing w:val="-2"/>
                <w:sz w:val="16"/>
              </w:rPr>
              <w:t>17/10/2022</w:t>
            </w:r>
          </w:p>
        </w:tc>
        <w:tc>
          <w:tcPr>
            <w:tcW w:w="1580" w:type="dxa"/>
          </w:tcPr>
          <w:p>
            <w:pPr>
              <w:pStyle w:val="TableParagraph"/>
              <w:ind w:left="107"/>
              <w:rPr>
                <w:sz w:val="16"/>
              </w:rPr>
            </w:pPr>
            <w:r>
              <w:rPr>
                <w:spacing w:val="-2"/>
                <w:sz w:val="16"/>
              </w:rPr>
              <w:t>28/10/2022</w:t>
            </w:r>
          </w:p>
        </w:tc>
        <w:tc>
          <w:tcPr>
            <w:tcW w:w="1391" w:type="dxa"/>
          </w:tcPr>
          <w:p>
            <w:pPr>
              <w:pStyle w:val="TableParagraph"/>
              <w:ind w:left="101"/>
              <w:rPr>
                <w:sz w:val="16"/>
              </w:rPr>
            </w:pPr>
            <w:r>
              <w:rPr>
                <w:spacing w:val="-5"/>
                <w:sz w:val="16"/>
              </w:rPr>
              <w:t>n/a</w:t>
            </w:r>
          </w:p>
        </w:tc>
        <w:tc>
          <w:tcPr>
            <w:tcW w:w="1461" w:type="dxa"/>
          </w:tcPr>
          <w:p>
            <w:pPr>
              <w:pStyle w:val="TableParagraph"/>
              <w:ind w:left="106"/>
              <w:rPr>
                <w:sz w:val="16"/>
              </w:rPr>
            </w:pPr>
            <w:r>
              <w:rPr>
                <w:spacing w:val="-5"/>
                <w:sz w:val="16"/>
              </w:rPr>
              <w:t>n/a</w:t>
            </w:r>
          </w:p>
        </w:tc>
      </w:tr>
      <w:tr>
        <w:trPr>
          <w:trHeight w:val="1166" w:hRule="atLeast"/>
        </w:trPr>
        <w:tc>
          <w:tcPr>
            <w:tcW w:w="709" w:type="dxa"/>
          </w:tcPr>
          <w:p>
            <w:pPr>
              <w:pStyle w:val="TableParagraph"/>
              <w:ind w:left="151"/>
              <w:rPr>
                <w:sz w:val="16"/>
              </w:rPr>
            </w:pPr>
            <w:r>
              <w:rPr>
                <w:spacing w:val="-5"/>
                <w:sz w:val="16"/>
              </w:rPr>
              <w:t>3.</w:t>
            </w:r>
          </w:p>
        </w:tc>
        <w:tc>
          <w:tcPr>
            <w:tcW w:w="6379" w:type="dxa"/>
          </w:tcPr>
          <w:p>
            <w:pPr>
              <w:pStyle w:val="TableParagraph"/>
              <w:ind w:left="108"/>
              <w:rPr>
                <w:sz w:val="16"/>
              </w:rPr>
            </w:pPr>
            <w:r>
              <w:rPr>
                <w:color w:val="0463C1"/>
                <w:sz w:val="16"/>
                <w:u w:val="single" w:color="0463C1"/>
              </w:rPr>
              <w:t>WBS</w:t>
            </w:r>
            <w:r>
              <w:rPr>
                <w:color w:val="0463C1"/>
                <w:spacing w:val="-1"/>
                <w:sz w:val="16"/>
                <w:u w:val="single" w:color="0463C1"/>
              </w:rPr>
              <w:t> </w:t>
            </w:r>
            <w:r>
              <w:rPr>
                <w:color w:val="0463C1"/>
                <w:spacing w:val="-4"/>
                <w:sz w:val="16"/>
                <w:u w:val="single" w:color="0463C1"/>
              </w:rPr>
              <w:t>Becs</w:t>
            </w:r>
          </w:p>
          <w:p>
            <w:pPr>
              <w:pStyle w:val="TableParagraph"/>
              <w:ind w:left="108" w:right="191"/>
              <w:rPr>
                <w:sz w:val="16"/>
              </w:rPr>
            </w:pPr>
            <w:r>
              <w:rPr>
                <w:sz w:val="16"/>
              </w:rPr>
              <w:t>Blood</w:t>
            </w:r>
            <w:r>
              <w:rPr>
                <w:spacing w:val="-4"/>
                <w:sz w:val="16"/>
              </w:rPr>
              <w:t> </w:t>
            </w:r>
            <w:r>
              <w:rPr>
                <w:sz w:val="16"/>
              </w:rPr>
              <w:t>Establishment</w:t>
            </w:r>
            <w:r>
              <w:rPr>
                <w:spacing w:val="-4"/>
                <w:sz w:val="16"/>
              </w:rPr>
              <w:t> </w:t>
            </w:r>
            <w:r>
              <w:rPr>
                <w:sz w:val="16"/>
              </w:rPr>
              <w:t>Computer</w:t>
            </w:r>
            <w:r>
              <w:rPr>
                <w:spacing w:val="-5"/>
                <w:sz w:val="16"/>
              </w:rPr>
              <w:t> </w:t>
            </w:r>
            <w:r>
              <w:rPr>
                <w:sz w:val="16"/>
              </w:rPr>
              <w:t>System</w:t>
            </w:r>
            <w:r>
              <w:rPr>
                <w:spacing w:val="-5"/>
                <w:sz w:val="16"/>
              </w:rPr>
              <w:t> </w:t>
            </w:r>
            <w:r>
              <w:rPr>
                <w:sz w:val="16"/>
              </w:rPr>
              <w:t>(BECS)</w:t>
            </w:r>
            <w:r>
              <w:rPr>
                <w:spacing w:val="-5"/>
                <w:sz w:val="16"/>
              </w:rPr>
              <w:t> </w:t>
            </w:r>
            <w:r>
              <w:rPr>
                <w:sz w:val="16"/>
              </w:rPr>
              <w:t>via</w:t>
            </w:r>
            <w:r>
              <w:rPr>
                <w:spacing w:val="-5"/>
                <w:sz w:val="16"/>
              </w:rPr>
              <w:t> </w:t>
            </w:r>
            <w:r>
              <w:rPr>
                <w:sz w:val="16"/>
              </w:rPr>
              <w:t>its</w:t>
            </w:r>
            <w:r>
              <w:rPr>
                <w:spacing w:val="-5"/>
                <w:sz w:val="16"/>
              </w:rPr>
              <w:t> </w:t>
            </w:r>
            <w:r>
              <w:rPr>
                <w:sz w:val="16"/>
              </w:rPr>
              <w:t>‘ePROGESA’</w:t>
            </w:r>
            <w:r>
              <w:rPr>
                <w:spacing w:val="-5"/>
                <w:sz w:val="16"/>
              </w:rPr>
              <w:t> </w:t>
            </w:r>
            <w:r>
              <w:rPr>
                <w:sz w:val="16"/>
              </w:rPr>
              <w:t>platform and associated modules. This system manages the WBS supply chain activity, including donor engagement, blood collection, manufacturing &amp; testing and component issuing activity.</w:t>
            </w:r>
          </w:p>
          <w:p>
            <w:pPr>
              <w:pStyle w:val="TableParagraph"/>
              <w:spacing w:line="174" w:lineRule="exact"/>
              <w:ind w:left="108"/>
              <w:rPr>
                <w:sz w:val="16"/>
              </w:rPr>
            </w:pPr>
            <w:r>
              <w:rPr>
                <w:sz w:val="16"/>
              </w:rPr>
              <w:t>Contract:</w:t>
            </w:r>
            <w:r>
              <w:rPr>
                <w:spacing w:val="-5"/>
                <w:sz w:val="16"/>
              </w:rPr>
              <w:t> </w:t>
            </w:r>
            <w:r>
              <w:rPr>
                <w:sz w:val="16"/>
              </w:rPr>
              <w:t>1</w:t>
            </w:r>
            <w:r>
              <w:rPr>
                <w:position w:val="5"/>
                <w:sz w:val="10"/>
              </w:rPr>
              <w:t>st</w:t>
            </w:r>
            <w:r>
              <w:rPr>
                <w:spacing w:val="19"/>
                <w:position w:val="5"/>
                <w:sz w:val="10"/>
              </w:rPr>
              <w:t> </w:t>
            </w:r>
            <w:r>
              <w:rPr>
                <w:sz w:val="16"/>
              </w:rPr>
              <w:t>November</w:t>
            </w:r>
            <w:r>
              <w:rPr>
                <w:spacing w:val="-2"/>
                <w:sz w:val="16"/>
              </w:rPr>
              <w:t> </w:t>
            </w:r>
            <w:r>
              <w:rPr>
                <w:sz w:val="16"/>
              </w:rPr>
              <w:t>2022</w:t>
            </w:r>
            <w:r>
              <w:rPr>
                <w:spacing w:val="-2"/>
                <w:sz w:val="16"/>
              </w:rPr>
              <w:t> </w:t>
            </w:r>
            <w:r>
              <w:rPr>
                <w:sz w:val="16"/>
              </w:rPr>
              <w:t>–</w:t>
            </w:r>
            <w:r>
              <w:rPr>
                <w:spacing w:val="-2"/>
                <w:sz w:val="16"/>
              </w:rPr>
              <w:t> </w:t>
            </w:r>
            <w:r>
              <w:rPr>
                <w:sz w:val="16"/>
              </w:rPr>
              <w:t>31</w:t>
            </w:r>
            <w:r>
              <w:rPr>
                <w:position w:val="5"/>
                <w:sz w:val="10"/>
              </w:rPr>
              <w:t>st</w:t>
            </w:r>
            <w:r>
              <w:rPr>
                <w:spacing w:val="19"/>
                <w:position w:val="5"/>
                <w:sz w:val="10"/>
              </w:rPr>
              <w:t> </w:t>
            </w:r>
            <w:r>
              <w:rPr>
                <w:sz w:val="16"/>
              </w:rPr>
              <w:t>October</w:t>
            </w:r>
            <w:r>
              <w:rPr>
                <w:spacing w:val="-2"/>
                <w:sz w:val="16"/>
              </w:rPr>
              <w:t> </w:t>
            </w:r>
            <w:r>
              <w:rPr>
                <w:sz w:val="16"/>
              </w:rPr>
              <w:t>2024</w:t>
            </w:r>
            <w:r>
              <w:rPr>
                <w:spacing w:val="-2"/>
                <w:sz w:val="16"/>
              </w:rPr>
              <w:t> </w:t>
            </w:r>
            <w:r>
              <w:rPr>
                <w:spacing w:val="-5"/>
                <w:sz w:val="16"/>
              </w:rPr>
              <w:t>+1.</w:t>
            </w:r>
          </w:p>
        </w:tc>
        <w:tc>
          <w:tcPr>
            <w:tcW w:w="1276" w:type="dxa"/>
          </w:tcPr>
          <w:p>
            <w:pPr>
              <w:pStyle w:val="TableParagraph"/>
              <w:ind w:left="107"/>
              <w:rPr>
                <w:sz w:val="16"/>
              </w:rPr>
            </w:pPr>
            <w:r>
              <w:rPr>
                <w:spacing w:val="-2"/>
                <w:sz w:val="16"/>
              </w:rPr>
              <w:t>Ratification</w:t>
            </w:r>
          </w:p>
        </w:tc>
        <w:tc>
          <w:tcPr>
            <w:tcW w:w="1701" w:type="dxa"/>
          </w:tcPr>
          <w:p>
            <w:pPr>
              <w:pStyle w:val="TableParagraph"/>
              <w:ind w:right="95"/>
              <w:jc w:val="right"/>
              <w:rPr>
                <w:sz w:val="16"/>
              </w:rPr>
            </w:pPr>
            <w:r>
              <w:rPr>
                <w:spacing w:val="-2"/>
                <w:sz w:val="16"/>
              </w:rPr>
              <w:t>£623,278</w:t>
            </w:r>
          </w:p>
        </w:tc>
        <w:tc>
          <w:tcPr>
            <w:tcW w:w="1417" w:type="dxa"/>
          </w:tcPr>
          <w:p>
            <w:pPr>
              <w:pStyle w:val="TableParagraph"/>
              <w:ind w:left="108"/>
              <w:rPr>
                <w:sz w:val="16"/>
              </w:rPr>
            </w:pPr>
            <w:r>
              <w:rPr>
                <w:spacing w:val="-2"/>
                <w:sz w:val="16"/>
              </w:rPr>
              <w:t>17/10/2022</w:t>
            </w:r>
          </w:p>
        </w:tc>
        <w:tc>
          <w:tcPr>
            <w:tcW w:w="1580" w:type="dxa"/>
          </w:tcPr>
          <w:p>
            <w:pPr>
              <w:pStyle w:val="TableParagraph"/>
              <w:ind w:left="107"/>
              <w:rPr>
                <w:sz w:val="16"/>
              </w:rPr>
            </w:pPr>
            <w:r>
              <w:rPr>
                <w:spacing w:val="-2"/>
                <w:sz w:val="16"/>
              </w:rPr>
              <w:t>02/11/2022</w:t>
            </w:r>
          </w:p>
        </w:tc>
        <w:tc>
          <w:tcPr>
            <w:tcW w:w="1391" w:type="dxa"/>
          </w:tcPr>
          <w:p>
            <w:pPr>
              <w:pStyle w:val="TableParagraph"/>
              <w:ind w:left="101"/>
              <w:rPr>
                <w:sz w:val="16"/>
              </w:rPr>
            </w:pPr>
            <w:r>
              <w:rPr>
                <w:spacing w:val="-5"/>
                <w:sz w:val="16"/>
              </w:rPr>
              <w:t>n/a</w:t>
            </w:r>
          </w:p>
        </w:tc>
        <w:tc>
          <w:tcPr>
            <w:tcW w:w="1461" w:type="dxa"/>
          </w:tcPr>
          <w:p>
            <w:pPr>
              <w:pStyle w:val="TableParagraph"/>
              <w:ind w:left="106"/>
              <w:rPr>
                <w:sz w:val="16"/>
              </w:rPr>
            </w:pPr>
            <w:r>
              <w:rPr>
                <w:spacing w:val="-5"/>
                <w:sz w:val="16"/>
              </w:rPr>
              <w:t>n/a</w:t>
            </w:r>
          </w:p>
        </w:tc>
      </w:tr>
      <w:tr>
        <w:trPr>
          <w:trHeight w:val="583" w:hRule="atLeast"/>
        </w:trPr>
        <w:tc>
          <w:tcPr>
            <w:tcW w:w="709" w:type="dxa"/>
          </w:tcPr>
          <w:p>
            <w:pPr>
              <w:pStyle w:val="TableParagraph"/>
              <w:ind w:left="151"/>
              <w:rPr>
                <w:sz w:val="16"/>
              </w:rPr>
            </w:pPr>
            <w:r>
              <w:rPr>
                <w:spacing w:val="-5"/>
                <w:sz w:val="16"/>
              </w:rPr>
              <w:t>4.</w:t>
            </w:r>
          </w:p>
        </w:tc>
        <w:tc>
          <w:tcPr>
            <w:tcW w:w="6379" w:type="dxa"/>
            <w:tcBorders>
              <w:bottom w:val="nil"/>
            </w:tcBorders>
          </w:tcPr>
          <w:p>
            <w:pPr>
              <w:pStyle w:val="TableParagraph"/>
              <w:ind w:left="108" w:right="2433"/>
              <w:rPr>
                <w:sz w:val="16"/>
              </w:rPr>
            </w:pPr>
            <w:r>
              <w:rPr>
                <w:color w:val="0463C1"/>
                <w:sz w:val="16"/>
                <w:u w:val="single" w:color="0463C1"/>
              </w:rPr>
              <w:t>Women</w:t>
            </w:r>
            <w:r>
              <w:rPr>
                <w:color w:val="0463C1"/>
                <w:spacing w:val="-8"/>
                <w:sz w:val="16"/>
                <w:u w:val="single" w:color="0463C1"/>
              </w:rPr>
              <w:t> </w:t>
            </w:r>
            <w:r>
              <w:rPr>
                <w:color w:val="0463C1"/>
                <w:sz w:val="16"/>
                <w:u w:val="single" w:color="0463C1"/>
              </w:rPr>
              <w:t>&amp;</w:t>
            </w:r>
            <w:r>
              <w:rPr>
                <w:color w:val="0463C1"/>
                <w:spacing w:val="-8"/>
                <w:sz w:val="16"/>
                <w:u w:val="single" w:color="0463C1"/>
              </w:rPr>
              <w:t> </w:t>
            </w:r>
            <w:r>
              <w:rPr>
                <w:color w:val="0463C1"/>
                <w:sz w:val="16"/>
                <w:u w:val="single" w:color="0463C1"/>
              </w:rPr>
              <w:t>child</w:t>
            </w:r>
            <w:r>
              <w:rPr>
                <w:color w:val="0463C1"/>
                <w:spacing w:val="-9"/>
                <w:sz w:val="16"/>
                <w:u w:val="single" w:color="0463C1"/>
              </w:rPr>
              <w:t> </w:t>
            </w:r>
            <w:r>
              <w:rPr>
                <w:color w:val="0463C1"/>
                <w:sz w:val="16"/>
                <w:u w:val="single" w:color="0463C1"/>
              </w:rPr>
              <w:t>health</w:t>
            </w:r>
            <w:r>
              <w:rPr>
                <w:color w:val="0463C1"/>
                <w:spacing w:val="-9"/>
                <w:sz w:val="16"/>
                <w:u w:val="single" w:color="0463C1"/>
              </w:rPr>
              <w:t> </w:t>
            </w:r>
            <w:r>
              <w:rPr>
                <w:color w:val="0463C1"/>
                <w:sz w:val="16"/>
                <w:u w:val="single" w:color="0463C1"/>
              </w:rPr>
              <w:t>consumables</w:t>
            </w:r>
            <w:r>
              <w:rPr>
                <w:color w:val="0463C1"/>
                <w:spacing w:val="-8"/>
                <w:sz w:val="16"/>
                <w:u w:val="single" w:color="0463C1"/>
              </w:rPr>
              <w:t> </w:t>
            </w:r>
            <w:r>
              <w:rPr>
                <w:color w:val="0463C1"/>
                <w:sz w:val="16"/>
                <w:u w:val="single" w:color="0463C1"/>
              </w:rPr>
              <w:t>Framework</w:t>
            </w:r>
            <w:r>
              <w:rPr>
                <w:color w:val="0463C1"/>
                <w:sz w:val="16"/>
              </w:rPr>
              <w:t> </w:t>
            </w:r>
            <w:r>
              <w:rPr>
                <w:sz w:val="16"/>
              </w:rPr>
              <w:t>Supply of Women &amp; Child Health Consumables</w:t>
            </w:r>
          </w:p>
          <w:p>
            <w:pPr>
              <w:pStyle w:val="TableParagraph"/>
              <w:spacing w:line="174" w:lineRule="exact"/>
              <w:ind w:left="108"/>
              <w:rPr>
                <w:sz w:val="16"/>
              </w:rPr>
            </w:pPr>
            <w:r>
              <w:rPr>
                <w:sz w:val="16"/>
              </w:rPr>
              <w:t>Contract</w:t>
            </w:r>
            <w:r>
              <w:rPr>
                <w:color w:val="0463C1"/>
                <w:sz w:val="16"/>
              </w:rPr>
              <w:t>:</w:t>
            </w:r>
            <w:r>
              <w:rPr>
                <w:color w:val="0463C1"/>
                <w:spacing w:val="53"/>
                <w:sz w:val="16"/>
              </w:rPr>
              <w:t> </w:t>
            </w:r>
            <w:r>
              <w:rPr>
                <w:sz w:val="16"/>
              </w:rPr>
              <w:t>1</w:t>
            </w:r>
            <w:r>
              <w:rPr>
                <w:position w:val="5"/>
                <w:sz w:val="10"/>
              </w:rPr>
              <w:t>st</w:t>
            </w:r>
            <w:r>
              <w:rPr>
                <w:spacing w:val="18"/>
                <w:position w:val="5"/>
                <w:sz w:val="10"/>
              </w:rPr>
              <w:t> </w:t>
            </w:r>
            <w:r>
              <w:rPr>
                <w:sz w:val="16"/>
              </w:rPr>
              <w:t>December</w:t>
            </w:r>
            <w:r>
              <w:rPr>
                <w:spacing w:val="-1"/>
                <w:sz w:val="16"/>
              </w:rPr>
              <w:t> </w:t>
            </w:r>
            <w:r>
              <w:rPr>
                <w:sz w:val="16"/>
              </w:rPr>
              <w:t>2022</w:t>
            </w:r>
            <w:r>
              <w:rPr>
                <w:spacing w:val="-1"/>
                <w:sz w:val="16"/>
              </w:rPr>
              <w:t> </w:t>
            </w:r>
            <w:r>
              <w:rPr>
                <w:sz w:val="16"/>
              </w:rPr>
              <w:t>to</w:t>
            </w:r>
            <w:r>
              <w:rPr>
                <w:spacing w:val="52"/>
                <w:sz w:val="16"/>
              </w:rPr>
              <w:t> </w:t>
            </w:r>
            <w:r>
              <w:rPr>
                <w:sz w:val="16"/>
              </w:rPr>
              <w:t>30</w:t>
            </w:r>
            <w:r>
              <w:rPr>
                <w:position w:val="5"/>
                <w:sz w:val="10"/>
              </w:rPr>
              <w:t>th</w:t>
            </w:r>
            <w:r>
              <w:rPr>
                <w:spacing w:val="19"/>
                <w:position w:val="5"/>
                <w:sz w:val="10"/>
              </w:rPr>
              <w:t> </w:t>
            </w:r>
            <w:r>
              <w:rPr>
                <w:sz w:val="16"/>
              </w:rPr>
              <w:t>November</w:t>
            </w:r>
            <w:r>
              <w:rPr>
                <w:spacing w:val="-1"/>
                <w:sz w:val="16"/>
              </w:rPr>
              <w:t> </w:t>
            </w:r>
            <w:r>
              <w:rPr>
                <w:spacing w:val="-2"/>
                <w:sz w:val="16"/>
              </w:rPr>
              <w:t>2025+1</w:t>
            </w:r>
          </w:p>
        </w:tc>
        <w:tc>
          <w:tcPr>
            <w:tcW w:w="1276" w:type="dxa"/>
          </w:tcPr>
          <w:p>
            <w:pPr>
              <w:pStyle w:val="TableParagraph"/>
              <w:ind w:left="107"/>
              <w:rPr>
                <w:sz w:val="16"/>
              </w:rPr>
            </w:pPr>
            <w:r>
              <w:rPr>
                <w:spacing w:val="-2"/>
                <w:sz w:val="16"/>
              </w:rPr>
              <w:t>Ratification</w:t>
            </w:r>
          </w:p>
        </w:tc>
        <w:tc>
          <w:tcPr>
            <w:tcW w:w="1701" w:type="dxa"/>
          </w:tcPr>
          <w:p>
            <w:pPr>
              <w:pStyle w:val="TableParagraph"/>
              <w:ind w:right="95"/>
              <w:jc w:val="right"/>
              <w:rPr>
                <w:sz w:val="16"/>
              </w:rPr>
            </w:pPr>
            <w:r>
              <w:rPr>
                <w:spacing w:val="-2"/>
                <w:sz w:val="16"/>
              </w:rPr>
              <w:t>£2,448,093</w:t>
            </w:r>
          </w:p>
        </w:tc>
        <w:tc>
          <w:tcPr>
            <w:tcW w:w="1417" w:type="dxa"/>
          </w:tcPr>
          <w:p>
            <w:pPr>
              <w:pStyle w:val="TableParagraph"/>
              <w:ind w:left="108"/>
              <w:rPr>
                <w:sz w:val="16"/>
              </w:rPr>
            </w:pPr>
            <w:r>
              <w:rPr>
                <w:spacing w:val="-2"/>
                <w:sz w:val="16"/>
              </w:rPr>
              <w:t>19/10/2022</w:t>
            </w:r>
          </w:p>
        </w:tc>
        <w:tc>
          <w:tcPr>
            <w:tcW w:w="1580" w:type="dxa"/>
          </w:tcPr>
          <w:p>
            <w:pPr>
              <w:pStyle w:val="TableParagraph"/>
              <w:ind w:left="107"/>
              <w:rPr>
                <w:sz w:val="16"/>
              </w:rPr>
            </w:pPr>
            <w:r>
              <w:rPr>
                <w:spacing w:val="-2"/>
                <w:sz w:val="16"/>
              </w:rPr>
              <w:t>11/11/2022</w:t>
            </w:r>
          </w:p>
        </w:tc>
        <w:tc>
          <w:tcPr>
            <w:tcW w:w="1391" w:type="dxa"/>
          </w:tcPr>
          <w:p>
            <w:pPr>
              <w:pStyle w:val="TableParagraph"/>
              <w:ind w:left="101"/>
              <w:rPr>
                <w:sz w:val="16"/>
              </w:rPr>
            </w:pPr>
            <w:r>
              <w:rPr>
                <w:spacing w:val="-2"/>
                <w:sz w:val="16"/>
              </w:rPr>
              <w:t>11/11/2022</w:t>
            </w:r>
          </w:p>
        </w:tc>
        <w:tc>
          <w:tcPr>
            <w:tcW w:w="1461" w:type="dxa"/>
          </w:tcPr>
          <w:p>
            <w:pPr>
              <w:pStyle w:val="TableParagraph"/>
              <w:ind w:left="106"/>
              <w:rPr>
                <w:sz w:val="16"/>
              </w:rPr>
            </w:pPr>
            <w:r>
              <w:rPr>
                <w:spacing w:val="-2"/>
                <w:sz w:val="16"/>
              </w:rPr>
              <w:t>11/11/2022</w:t>
            </w:r>
          </w:p>
        </w:tc>
      </w:tr>
      <w:tr>
        <w:trPr>
          <w:trHeight w:val="777" w:hRule="atLeast"/>
        </w:trPr>
        <w:tc>
          <w:tcPr>
            <w:tcW w:w="709" w:type="dxa"/>
          </w:tcPr>
          <w:p>
            <w:pPr>
              <w:pStyle w:val="TableParagraph"/>
              <w:ind w:left="151"/>
              <w:rPr>
                <w:sz w:val="16"/>
              </w:rPr>
            </w:pPr>
            <w:r>
              <w:rPr>
                <w:spacing w:val="-5"/>
                <w:sz w:val="16"/>
              </w:rPr>
              <w:t>5.</w:t>
            </w:r>
          </w:p>
        </w:tc>
        <w:tc>
          <w:tcPr>
            <w:tcW w:w="6379" w:type="dxa"/>
            <w:tcBorders>
              <w:top w:val="nil"/>
            </w:tcBorders>
          </w:tcPr>
          <w:p>
            <w:pPr>
              <w:pStyle w:val="TableParagraph"/>
              <w:ind w:left="108"/>
              <w:rPr>
                <w:sz w:val="16"/>
              </w:rPr>
            </w:pPr>
            <w:r>
              <w:rPr>
                <w:color w:val="0463C1"/>
                <w:sz w:val="16"/>
                <w:u w:val="single" w:color="0463C1"/>
              </w:rPr>
              <w:t>Stoma</w:t>
            </w:r>
            <w:r>
              <w:rPr>
                <w:color w:val="0463C1"/>
                <w:spacing w:val="-4"/>
                <w:sz w:val="16"/>
                <w:u w:val="single" w:color="0463C1"/>
              </w:rPr>
              <w:t> </w:t>
            </w:r>
            <w:r>
              <w:rPr>
                <w:color w:val="0463C1"/>
                <w:sz w:val="16"/>
                <w:u w:val="single" w:color="0463C1"/>
              </w:rPr>
              <w:t>(prescribed</w:t>
            </w:r>
            <w:r>
              <w:rPr>
                <w:color w:val="0463C1"/>
                <w:spacing w:val="-5"/>
                <w:sz w:val="16"/>
                <w:u w:val="single" w:color="0463C1"/>
              </w:rPr>
              <w:t> </w:t>
            </w:r>
            <w:r>
              <w:rPr>
                <w:color w:val="0463C1"/>
                <w:sz w:val="16"/>
                <w:u w:val="single" w:color="0463C1"/>
              </w:rPr>
              <w:t>items</w:t>
            </w:r>
            <w:r>
              <w:rPr>
                <w:color w:val="0463C1"/>
                <w:spacing w:val="-3"/>
                <w:sz w:val="16"/>
                <w:u w:val="single" w:color="0463C1"/>
              </w:rPr>
              <w:t> </w:t>
            </w:r>
            <w:r>
              <w:rPr>
                <w:color w:val="0463C1"/>
                <w:sz w:val="16"/>
                <w:u w:val="single" w:color="0463C1"/>
              </w:rPr>
              <w:t>and</w:t>
            </w:r>
            <w:r>
              <w:rPr>
                <w:color w:val="0463C1"/>
                <w:spacing w:val="-4"/>
                <w:sz w:val="16"/>
                <w:u w:val="single" w:color="0463C1"/>
              </w:rPr>
              <w:t> </w:t>
            </w:r>
            <w:r>
              <w:rPr>
                <w:color w:val="0463C1"/>
                <w:sz w:val="16"/>
                <w:u w:val="single" w:color="0463C1"/>
              </w:rPr>
              <w:t>delivery/prep</w:t>
            </w:r>
            <w:r>
              <w:rPr>
                <w:color w:val="0463C1"/>
                <w:spacing w:val="-4"/>
                <w:sz w:val="16"/>
                <w:u w:val="single" w:color="0463C1"/>
              </w:rPr>
              <w:t> </w:t>
            </w:r>
            <w:r>
              <w:rPr>
                <w:color w:val="0463C1"/>
                <w:spacing w:val="-2"/>
                <w:sz w:val="16"/>
                <w:u w:val="single" w:color="0463C1"/>
              </w:rPr>
              <w:t>costs)</w:t>
            </w:r>
          </w:p>
          <w:p>
            <w:pPr>
              <w:pStyle w:val="TableParagraph"/>
              <w:ind w:left="108" w:right="83"/>
              <w:rPr>
                <w:sz w:val="16"/>
              </w:rPr>
            </w:pPr>
            <w:r>
              <w:rPr>
                <w:sz w:val="16"/>
              </w:rPr>
              <w:t>Service to deliver value to those receiving stoma care services and to build on the existing arrangements by delivering a range of benefits.</w:t>
            </w:r>
          </w:p>
          <w:p>
            <w:pPr>
              <w:pStyle w:val="TableParagraph"/>
              <w:spacing w:line="174" w:lineRule="exact"/>
              <w:ind w:left="108"/>
              <w:rPr>
                <w:sz w:val="16"/>
              </w:rPr>
            </w:pPr>
            <w:r>
              <w:rPr>
                <w:sz w:val="16"/>
              </w:rPr>
              <w:t>Contract</w:t>
            </w:r>
            <w:r>
              <w:rPr>
                <w:spacing w:val="-2"/>
                <w:sz w:val="16"/>
              </w:rPr>
              <w:t> </w:t>
            </w:r>
            <w:r>
              <w:rPr>
                <w:sz w:val="16"/>
              </w:rPr>
              <w:t>1</w:t>
            </w:r>
            <w:r>
              <w:rPr>
                <w:position w:val="5"/>
                <w:sz w:val="10"/>
              </w:rPr>
              <w:t>st</w:t>
            </w:r>
            <w:r>
              <w:rPr>
                <w:spacing w:val="18"/>
                <w:position w:val="5"/>
                <w:sz w:val="10"/>
              </w:rPr>
              <w:t> </w:t>
            </w:r>
            <w:r>
              <w:rPr>
                <w:sz w:val="16"/>
              </w:rPr>
              <w:t>January</w:t>
            </w:r>
            <w:r>
              <w:rPr>
                <w:spacing w:val="-2"/>
                <w:sz w:val="16"/>
              </w:rPr>
              <w:t> </w:t>
            </w:r>
            <w:r>
              <w:rPr>
                <w:sz w:val="16"/>
              </w:rPr>
              <w:t>2023</w:t>
            </w:r>
            <w:r>
              <w:rPr>
                <w:spacing w:val="-2"/>
                <w:sz w:val="16"/>
              </w:rPr>
              <w:t> </w:t>
            </w:r>
            <w:r>
              <w:rPr>
                <w:sz w:val="16"/>
              </w:rPr>
              <w:t>–</w:t>
            </w:r>
            <w:r>
              <w:rPr>
                <w:spacing w:val="-3"/>
                <w:sz w:val="16"/>
              </w:rPr>
              <w:t> </w:t>
            </w:r>
            <w:r>
              <w:rPr>
                <w:sz w:val="16"/>
              </w:rPr>
              <w:t>31</w:t>
            </w:r>
            <w:r>
              <w:rPr>
                <w:position w:val="5"/>
                <w:sz w:val="10"/>
              </w:rPr>
              <w:t>st</w:t>
            </w:r>
            <w:r>
              <w:rPr>
                <w:spacing w:val="20"/>
                <w:position w:val="5"/>
                <w:sz w:val="10"/>
              </w:rPr>
              <w:t> </w:t>
            </w:r>
            <w:r>
              <w:rPr>
                <w:sz w:val="16"/>
              </w:rPr>
              <w:t>December</w:t>
            </w:r>
            <w:r>
              <w:rPr>
                <w:spacing w:val="-2"/>
                <w:sz w:val="16"/>
              </w:rPr>
              <w:t> </w:t>
            </w:r>
            <w:r>
              <w:rPr>
                <w:sz w:val="16"/>
              </w:rPr>
              <w:t>2026</w:t>
            </w:r>
            <w:r>
              <w:rPr>
                <w:spacing w:val="-1"/>
                <w:sz w:val="16"/>
              </w:rPr>
              <w:t> </w:t>
            </w:r>
            <w:r>
              <w:rPr>
                <w:spacing w:val="-5"/>
                <w:sz w:val="16"/>
              </w:rPr>
              <w:t>+2</w:t>
            </w:r>
          </w:p>
        </w:tc>
        <w:tc>
          <w:tcPr>
            <w:tcW w:w="1276" w:type="dxa"/>
          </w:tcPr>
          <w:p>
            <w:pPr>
              <w:pStyle w:val="TableParagraph"/>
              <w:ind w:left="107"/>
              <w:rPr>
                <w:sz w:val="16"/>
              </w:rPr>
            </w:pPr>
            <w:r>
              <w:rPr>
                <w:spacing w:val="-2"/>
                <w:sz w:val="16"/>
              </w:rPr>
              <w:t>Briefing</w:t>
            </w:r>
          </w:p>
        </w:tc>
        <w:tc>
          <w:tcPr>
            <w:tcW w:w="1701" w:type="dxa"/>
          </w:tcPr>
          <w:p>
            <w:pPr>
              <w:pStyle w:val="TableParagraph"/>
              <w:ind w:right="97"/>
              <w:jc w:val="right"/>
              <w:rPr>
                <w:sz w:val="16"/>
              </w:rPr>
            </w:pPr>
            <w:r>
              <w:rPr>
                <w:spacing w:val="-2"/>
                <w:sz w:val="16"/>
              </w:rPr>
              <w:t>£125,000,000</w:t>
            </w:r>
          </w:p>
          <w:p>
            <w:pPr>
              <w:pStyle w:val="TableParagraph"/>
              <w:ind w:right="96"/>
              <w:jc w:val="right"/>
              <w:rPr>
                <w:sz w:val="16"/>
              </w:rPr>
            </w:pPr>
            <w:r>
              <w:rPr>
                <w:spacing w:val="-2"/>
                <w:sz w:val="16"/>
              </w:rPr>
              <w:t>£17,500,000</w:t>
            </w:r>
          </w:p>
        </w:tc>
        <w:tc>
          <w:tcPr>
            <w:tcW w:w="1417" w:type="dxa"/>
          </w:tcPr>
          <w:p>
            <w:pPr>
              <w:pStyle w:val="TableParagraph"/>
              <w:ind w:left="108"/>
              <w:rPr>
                <w:sz w:val="16"/>
              </w:rPr>
            </w:pPr>
            <w:r>
              <w:rPr>
                <w:sz w:val="16"/>
              </w:rPr>
              <w:t>CS</w:t>
            </w:r>
            <w:r>
              <w:rPr>
                <w:spacing w:val="52"/>
                <w:sz w:val="16"/>
              </w:rPr>
              <w:t> </w:t>
            </w:r>
            <w:r>
              <w:rPr>
                <w:spacing w:val="-2"/>
                <w:sz w:val="16"/>
              </w:rPr>
              <w:t>08/07/22</w:t>
            </w:r>
          </w:p>
        </w:tc>
        <w:tc>
          <w:tcPr>
            <w:tcW w:w="1580" w:type="dxa"/>
          </w:tcPr>
          <w:p>
            <w:pPr>
              <w:pStyle w:val="TableParagraph"/>
              <w:ind w:left="107"/>
              <w:rPr>
                <w:sz w:val="16"/>
              </w:rPr>
            </w:pPr>
            <w:r>
              <w:rPr>
                <w:spacing w:val="-2"/>
                <w:sz w:val="16"/>
              </w:rPr>
              <w:t>22/12/2022</w:t>
            </w:r>
          </w:p>
        </w:tc>
        <w:tc>
          <w:tcPr>
            <w:tcW w:w="1391" w:type="dxa"/>
          </w:tcPr>
          <w:p>
            <w:pPr>
              <w:pStyle w:val="TableParagraph"/>
              <w:ind w:left="101"/>
              <w:rPr>
                <w:sz w:val="16"/>
              </w:rPr>
            </w:pPr>
            <w:r>
              <w:rPr>
                <w:spacing w:val="-5"/>
                <w:sz w:val="16"/>
              </w:rPr>
              <w:t>n/a</w:t>
            </w:r>
          </w:p>
        </w:tc>
        <w:tc>
          <w:tcPr>
            <w:tcW w:w="1461" w:type="dxa"/>
          </w:tcPr>
          <w:p>
            <w:pPr>
              <w:pStyle w:val="TableParagraph"/>
              <w:ind w:left="106"/>
              <w:rPr>
                <w:sz w:val="16"/>
              </w:rPr>
            </w:pPr>
            <w:r>
              <w:rPr>
                <w:spacing w:val="-5"/>
                <w:sz w:val="16"/>
              </w:rPr>
              <w:t>n/a</w:t>
            </w:r>
          </w:p>
        </w:tc>
      </w:tr>
      <w:tr>
        <w:trPr>
          <w:trHeight w:val="777" w:hRule="atLeast"/>
        </w:trPr>
        <w:tc>
          <w:tcPr>
            <w:tcW w:w="709" w:type="dxa"/>
          </w:tcPr>
          <w:p>
            <w:pPr>
              <w:pStyle w:val="TableParagraph"/>
              <w:ind w:left="151"/>
              <w:rPr>
                <w:sz w:val="16"/>
              </w:rPr>
            </w:pPr>
            <w:r>
              <w:rPr>
                <w:spacing w:val="-5"/>
                <w:sz w:val="16"/>
              </w:rPr>
              <w:t>6.</w:t>
            </w:r>
          </w:p>
        </w:tc>
        <w:tc>
          <w:tcPr>
            <w:tcW w:w="6379" w:type="dxa"/>
          </w:tcPr>
          <w:p>
            <w:pPr>
              <w:pStyle w:val="TableParagraph"/>
              <w:ind w:left="108"/>
              <w:rPr>
                <w:sz w:val="16"/>
              </w:rPr>
            </w:pPr>
            <w:r>
              <w:rPr>
                <w:color w:val="0463C1"/>
                <w:sz w:val="16"/>
                <w:u w:val="single" w:color="0463C1"/>
              </w:rPr>
              <w:t>Contrast</w:t>
            </w:r>
            <w:r>
              <w:rPr>
                <w:color w:val="0463C1"/>
                <w:spacing w:val="-4"/>
                <w:sz w:val="16"/>
                <w:u w:val="single" w:color="0463C1"/>
              </w:rPr>
              <w:t> </w:t>
            </w:r>
            <w:r>
              <w:rPr>
                <w:color w:val="0463C1"/>
                <w:sz w:val="16"/>
                <w:u w:val="single" w:color="0463C1"/>
              </w:rPr>
              <w:t>Media</w:t>
            </w:r>
            <w:r>
              <w:rPr>
                <w:color w:val="0463C1"/>
                <w:spacing w:val="-4"/>
                <w:sz w:val="16"/>
                <w:u w:val="single" w:color="0463C1"/>
              </w:rPr>
              <w:t> </w:t>
            </w:r>
            <w:r>
              <w:rPr>
                <w:color w:val="0463C1"/>
                <w:spacing w:val="-2"/>
                <w:sz w:val="16"/>
                <w:u w:val="single" w:color="0463C1"/>
              </w:rPr>
              <w:t>extension</w:t>
            </w:r>
          </w:p>
          <w:p>
            <w:pPr>
              <w:pStyle w:val="TableParagraph"/>
              <w:spacing w:line="190" w:lineRule="atLeast"/>
              <w:ind w:left="108" w:right="191"/>
              <w:rPr>
                <w:sz w:val="16"/>
              </w:rPr>
            </w:pPr>
            <w:r>
              <w:rPr>
                <w:sz w:val="16"/>
              </w:rPr>
              <w:t>This</w:t>
            </w:r>
            <w:r>
              <w:rPr>
                <w:spacing w:val="-3"/>
                <w:sz w:val="16"/>
              </w:rPr>
              <w:t> </w:t>
            </w:r>
            <w:r>
              <w:rPr>
                <w:sz w:val="16"/>
              </w:rPr>
              <w:t>contract</w:t>
            </w:r>
            <w:r>
              <w:rPr>
                <w:spacing w:val="-3"/>
                <w:sz w:val="16"/>
              </w:rPr>
              <w:t> </w:t>
            </w:r>
            <w:r>
              <w:rPr>
                <w:sz w:val="16"/>
              </w:rPr>
              <w:t>is</w:t>
            </w:r>
            <w:r>
              <w:rPr>
                <w:spacing w:val="-4"/>
                <w:sz w:val="16"/>
              </w:rPr>
              <w:t> </w:t>
            </w:r>
            <w:r>
              <w:rPr>
                <w:sz w:val="16"/>
              </w:rPr>
              <w:t>for</w:t>
            </w:r>
            <w:r>
              <w:rPr>
                <w:spacing w:val="-3"/>
                <w:sz w:val="16"/>
              </w:rPr>
              <w:t> </w:t>
            </w:r>
            <w:r>
              <w:rPr>
                <w:sz w:val="16"/>
              </w:rPr>
              <w:t>all</w:t>
            </w:r>
            <w:r>
              <w:rPr>
                <w:spacing w:val="-3"/>
                <w:sz w:val="16"/>
              </w:rPr>
              <w:t> </w:t>
            </w:r>
            <w:r>
              <w:rPr>
                <w:sz w:val="16"/>
              </w:rPr>
              <w:t>X-Ray</w:t>
            </w:r>
            <w:r>
              <w:rPr>
                <w:spacing w:val="-4"/>
                <w:sz w:val="16"/>
              </w:rPr>
              <w:t> </w:t>
            </w:r>
            <w:r>
              <w:rPr>
                <w:sz w:val="16"/>
              </w:rPr>
              <w:t>Contrast</w:t>
            </w:r>
            <w:r>
              <w:rPr>
                <w:spacing w:val="-4"/>
                <w:sz w:val="16"/>
              </w:rPr>
              <w:t> </w:t>
            </w:r>
            <w:r>
              <w:rPr>
                <w:sz w:val="16"/>
              </w:rPr>
              <w:t>Media</w:t>
            </w:r>
            <w:r>
              <w:rPr>
                <w:spacing w:val="-4"/>
                <w:sz w:val="16"/>
              </w:rPr>
              <w:t> </w:t>
            </w:r>
            <w:r>
              <w:rPr>
                <w:sz w:val="16"/>
              </w:rPr>
              <w:t>purchased</w:t>
            </w:r>
            <w:r>
              <w:rPr>
                <w:spacing w:val="-3"/>
                <w:sz w:val="16"/>
              </w:rPr>
              <w:t> </w:t>
            </w:r>
            <w:r>
              <w:rPr>
                <w:sz w:val="16"/>
              </w:rPr>
              <w:t>by</w:t>
            </w:r>
            <w:r>
              <w:rPr>
                <w:spacing w:val="-4"/>
                <w:sz w:val="16"/>
              </w:rPr>
              <w:t> </w:t>
            </w:r>
            <w:r>
              <w:rPr>
                <w:sz w:val="16"/>
              </w:rPr>
              <w:t>all</w:t>
            </w:r>
            <w:r>
              <w:rPr>
                <w:spacing w:val="-4"/>
                <w:sz w:val="16"/>
              </w:rPr>
              <w:t> </w:t>
            </w:r>
            <w:r>
              <w:rPr>
                <w:sz w:val="16"/>
              </w:rPr>
              <w:t>hospital Pharmacy Departments in Wales for use by radiology departments. Contract 1</w:t>
            </w:r>
            <w:r>
              <w:rPr>
                <w:position w:val="5"/>
                <w:sz w:val="10"/>
              </w:rPr>
              <w:t>st</w:t>
            </w:r>
            <w:r>
              <w:rPr>
                <w:spacing w:val="39"/>
                <w:position w:val="5"/>
                <w:sz w:val="10"/>
              </w:rPr>
              <w:t> </w:t>
            </w:r>
            <w:r>
              <w:rPr>
                <w:sz w:val="16"/>
              </w:rPr>
              <w:t>November 2019 to 31</w:t>
            </w:r>
            <w:r>
              <w:rPr>
                <w:position w:val="5"/>
                <w:sz w:val="10"/>
              </w:rPr>
              <w:t>st</w:t>
            </w:r>
            <w:r>
              <w:rPr>
                <w:spacing w:val="40"/>
                <w:position w:val="5"/>
                <w:sz w:val="10"/>
              </w:rPr>
              <w:t> </w:t>
            </w:r>
            <w:r>
              <w:rPr>
                <w:sz w:val="16"/>
              </w:rPr>
              <w:t>October 2023</w:t>
            </w:r>
          </w:p>
        </w:tc>
        <w:tc>
          <w:tcPr>
            <w:tcW w:w="1276" w:type="dxa"/>
          </w:tcPr>
          <w:p>
            <w:pPr>
              <w:pStyle w:val="TableParagraph"/>
              <w:ind w:left="107"/>
              <w:rPr>
                <w:sz w:val="16"/>
              </w:rPr>
            </w:pPr>
            <w:r>
              <w:rPr>
                <w:spacing w:val="-2"/>
                <w:sz w:val="16"/>
              </w:rPr>
              <w:t>Extension</w:t>
            </w:r>
          </w:p>
        </w:tc>
        <w:tc>
          <w:tcPr>
            <w:tcW w:w="1701" w:type="dxa"/>
          </w:tcPr>
          <w:p>
            <w:pPr>
              <w:pStyle w:val="TableParagraph"/>
              <w:ind w:right="96"/>
              <w:jc w:val="right"/>
              <w:rPr>
                <w:sz w:val="16"/>
              </w:rPr>
            </w:pPr>
            <w:r>
              <w:rPr>
                <w:spacing w:val="-2"/>
                <w:sz w:val="16"/>
              </w:rPr>
              <w:t>£12,329,124</w:t>
            </w:r>
          </w:p>
        </w:tc>
        <w:tc>
          <w:tcPr>
            <w:tcW w:w="1417" w:type="dxa"/>
          </w:tcPr>
          <w:p>
            <w:pPr>
              <w:pStyle w:val="TableParagraph"/>
              <w:ind w:left="108"/>
              <w:rPr>
                <w:sz w:val="16"/>
              </w:rPr>
            </w:pPr>
            <w:r>
              <w:rPr>
                <w:spacing w:val="-2"/>
                <w:sz w:val="16"/>
              </w:rPr>
              <w:t>25/10/2022</w:t>
            </w:r>
          </w:p>
        </w:tc>
        <w:tc>
          <w:tcPr>
            <w:tcW w:w="1580" w:type="dxa"/>
          </w:tcPr>
          <w:p>
            <w:pPr>
              <w:pStyle w:val="TableParagraph"/>
              <w:ind w:left="107" w:right="112"/>
              <w:rPr>
                <w:sz w:val="16"/>
              </w:rPr>
            </w:pPr>
            <w:r>
              <w:rPr>
                <w:sz w:val="16"/>
              </w:rPr>
              <w:t>original</w:t>
            </w:r>
            <w:r>
              <w:rPr>
                <w:spacing w:val="-15"/>
                <w:sz w:val="16"/>
              </w:rPr>
              <w:t> </w:t>
            </w:r>
            <w:r>
              <w:rPr>
                <w:sz w:val="16"/>
              </w:rPr>
              <w:t>approval applies 18/9/19</w:t>
            </w:r>
          </w:p>
        </w:tc>
        <w:tc>
          <w:tcPr>
            <w:tcW w:w="1391" w:type="dxa"/>
          </w:tcPr>
          <w:p>
            <w:pPr>
              <w:pStyle w:val="TableParagraph"/>
              <w:ind w:left="101"/>
              <w:rPr>
                <w:sz w:val="16"/>
              </w:rPr>
            </w:pPr>
            <w:r>
              <w:rPr>
                <w:spacing w:val="-2"/>
                <w:sz w:val="16"/>
              </w:rPr>
              <w:t>25/10/2022</w:t>
            </w:r>
          </w:p>
        </w:tc>
        <w:tc>
          <w:tcPr>
            <w:tcW w:w="1461" w:type="dxa"/>
          </w:tcPr>
          <w:p>
            <w:pPr>
              <w:pStyle w:val="TableParagraph"/>
              <w:ind w:left="106"/>
              <w:rPr>
                <w:sz w:val="16"/>
              </w:rPr>
            </w:pPr>
            <w:r>
              <w:rPr>
                <w:spacing w:val="-2"/>
                <w:sz w:val="16"/>
              </w:rPr>
              <w:t>25/10/2022</w:t>
            </w:r>
          </w:p>
        </w:tc>
      </w:tr>
      <w:tr>
        <w:trPr>
          <w:trHeight w:val="972" w:hRule="atLeast"/>
        </w:trPr>
        <w:tc>
          <w:tcPr>
            <w:tcW w:w="709" w:type="dxa"/>
          </w:tcPr>
          <w:p>
            <w:pPr>
              <w:pStyle w:val="TableParagraph"/>
              <w:ind w:left="151"/>
              <w:rPr>
                <w:sz w:val="16"/>
              </w:rPr>
            </w:pPr>
            <w:r>
              <w:rPr>
                <w:spacing w:val="-5"/>
                <w:sz w:val="16"/>
              </w:rPr>
              <w:t>7.</w:t>
            </w:r>
          </w:p>
        </w:tc>
        <w:tc>
          <w:tcPr>
            <w:tcW w:w="6379" w:type="dxa"/>
          </w:tcPr>
          <w:p>
            <w:pPr>
              <w:pStyle w:val="TableParagraph"/>
              <w:ind w:left="108"/>
              <w:rPr>
                <w:sz w:val="16"/>
              </w:rPr>
            </w:pPr>
            <w:r>
              <w:rPr>
                <w:color w:val="0463C1"/>
                <w:sz w:val="16"/>
                <w:u w:val="single" w:color="0463C1"/>
              </w:rPr>
              <w:t>Hep</w:t>
            </w:r>
            <w:r>
              <w:rPr>
                <w:color w:val="0463C1"/>
                <w:spacing w:val="-3"/>
                <w:sz w:val="16"/>
                <w:u w:val="single" w:color="0463C1"/>
              </w:rPr>
              <w:t> </w:t>
            </w:r>
            <w:r>
              <w:rPr>
                <w:color w:val="0463C1"/>
                <w:spacing w:val="-10"/>
                <w:sz w:val="16"/>
                <w:u w:val="single" w:color="0463C1"/>
              </w:rPr>
              <w:t>C</w:t>
            </w:r>
          </w:p>
          <w:p>
            <w:pPr>
              <w:pStyle w:val="TableParagraph"/>
              <w:ind w:left="108"/>
              <w:rPr>
                <w:sz w:val="16"/>
              </w:rPr>
            </w:pPr>
            <w:r>
              <w:rPr>
                <w:sz w:val="16"/>
              </w:rPr>
              <w:t>This</w:t>
            </w:r>
            <w:r>
              <w:rPr>
                <w:spacing w:val="-3"/>
                <w:sz w:val="16"/>
              </w:rPr>
              <w:t> </w:t>
            </w:r>
            <w:r>
              <w:rPr>
                <w:sz w:val="16"/>
              </w:rPr>
              <w:t>contract</w:t>
            </w:r>
            <w:r>
              <w:rPr>
                <w:spacing w:val="-3"/>
                <w:sz w:val="16"/>
              </w:rPr>
              <w:t> </w:t>
            </w:r>
            <w:r>
              <w:rPr>
                <w:sz w:val="16"/>
              </w:rPr>
              <w:t>is</w:t>
            </w:r>
            <w:r>
              <w:rPr>
                <w:spacing w:val="-4"/>
                <w:sz w:val="16"/>
              </w:rPr>
              <w:t> </w:t>
            </w:r>
            <w:r>
              <w:rPr>
                <w:sz w:val="16"/>
              </w:rPr>
              <w:t>for</w:t>
            </w:r>
            <w:r>
              <w:rPr>
                <w:spacing w:val="-3"/>
                <w:sz w:val="16"/>
              </w:rPr>
              <w:t> </w:t>
            </w:r>
            <w:r>
              <w:rPr>
                <w:sz w:val="16"/>
              </w:rPr>
              <w:t>the</w:t>
            </w:r>
            <w:r>
              <w:rPr>
                <w:spacing w:val="-4"/>
                <w:sz w:val="16"/>
              </w:rPr>
              <w:t> </w:t>
            </w:r>
            <w:r>
              <w:rPr>
                <w:sz w:val="16"/>
              </w:rPr>
              <w:t>provision</w:t>
            </w:r>
            <w:r>
              <w:rPr>
                <w:spacing w:val="-3"/>
                <w:sz w:val="16"/>
              </w:rPr>
              <w:t> </w:t>
            </w:r>
            <w:r>
              <w:rPr>
                <w:sz w:val="16"/>
              </w:rPr>
              <w:t>of</w:t>
            </w:r>
            <w:r>
              <w:rPr>
                <w:spacing w:val="-4"/>
                <w:sz w:val="16"/>
              </w:rPr>
              <w:t> </w:t>
            </w:r>
            <w:r>
              <w:rPr>
                <w:sz w:val="16"/>
              </w:rPr>
              <w:t>antiviral</w:t>
            </w:r>
            <w:r>
              <w:rPr>
                <w:spacing w:val="-3"/>
                <w:sz w:val="16"/>
              </w:rPr>
              <w:t> </w:t>
            </w:r>
            <w:r>
              <w:rPr>
                <w:sz w:val="16"/>
              </w:rPr>
              <w:t>medicines</w:t>
            </w:r>
            <w:r>
              <w:rPr>
                <w:spacing w:val="-4"/>
                <w:sz w:val="16"/>
              </w:rPr>
              <w:t> </w:t>
            </w:r>
            <w:r>
              <w:rPr>
                <w:sz w:val="16"/>
              </w:rPr>
              <w:t>for</w:t>
            </w:r>
            <w:r>
              <w:rPr>
                <w:spacing w:val="-3"/>
                <w:sz w:val="16"/>
              </w:rPr>
              <w:t> </w:t>
            </w:r>
            <w:r>
              <w:rPr>
                <w:sz w:val="16"/>
              </w:rPr>
              <w:t>the</w:t>
            </w:r>
            <w:r>
              <w:rPr>
                <w:spacing w:val="-4"/>
                <w:sz w:val="16"/>
              </w:rPr>
              <w:t> </w:t>
            </w:r>
            <w:r>
              <w:rPr>
                <w:sz w:val="16"/>
              </w:rPr>
              <w:t>treatment</w:t>
            </w:r>
            <w:r>
              <w:rPr>
                <w:spacing w:val="-3"/>
                <w:sz w:val="16"/>
              </w:rPr>
              <w:t> </w:t>
            </w:r>
            <w:r>
              <w:rPr>
                <w:sz w:val="16"/>
              </w:rPr>
              <w:t>of Hepatitis C (HCV). These medicines are designed to stop the virus from multiplying inside the body and thereby preventing liver damage.</w:t>
            </w:r>
          </w:p>
          <w:p>
            <w:pPr>
              <w:pStyle w:val="TableParagraph"/>
              <w:spacing w:line="174" w:lineRule="exact"/>
              <w:ind w:left="108"/>
              <w:rPr>
                <w:sz w:val="16"/>
              </w:rPr>
            </w:pPr>
            <w:r>
              <w:rPr>
                <w:sz w:val="16"/>
              </w:rPr>
              <w:t>Contract</w:t>
            </w:r>
            <w:r>
              <w:rPr>
                <w:spacing w:val="-5"/>
                <w:sz w:val="16"/>
              </w:rPr>
              <w:t> </w:t>
            </w:r>
            <w:r>
              <w:rPr>
                <w:sz w:val="16"/>
              </w:rPr>
              <w:t>01/05/2023</w:t>
            </w:r>
            <w:r>
              <w:rPr>
                <w:spacing w:val="-4"/>
                <w:sz w:val="16"/>
              </w:rPr>
              <w:t> </w:t>
            </w:r>
            <w:r>
              <w:rPr>
                <w:sz w:val="16"/>
              </w:rPr>
              <w:t>to</w:t>
            </w:r>
            <w:r>
              <w:rPr>
                <w:spacing w:val="-5"/>
                <w:sz w:val="16"/>
              </w:rPr>
              <w:t> </w:t>
            </w:r>
            <w:r>
              <w:rPr>
                <w:sz w:val="16"/>
              </w:rPr>
              <w:t>30/04/2025</w:t>
            </w:r>
            <w:r>
              <w:rPr>
                <w:spacing w:val="-4"/>
                <w:sz w:val="16"/>
              </w:rPr>
              <w:t> </w:t>
            </w:r>
            <w:r>
              <w:rPr>
                <w:spacing w:val="-5"/>
                <w:sz w:val="16"/>
              </w:rPr>
              <w:t>+2</w:t>
            </w:r>
          </w:p>
        </w:tc>
        <w:tc>
          <w:tcPr>
            <w:tcW w:w="1276" w:type="dxa"/>
          </w:tcPr>
          <w:p>
            <w:pPr>
              <w:pStyle w:val="TableParagraph"/>
              <w:ind w:left="107"/>
              <w:rPr>
                <w:sz w:val="16"/>
              </w:rPr>
            </w:pPr>
            <w:r>
              <w:rPr>
                <w:spacing w:val="-2"/>
                <w:sz w:val="16"/>
              </w:rPr>
              <w:t>Briefing</w:t>
            </w:r>
          </w:p>
        </w:tc>
        <w:tc>
          <w:tcPr>
            <w:tcW w:w="1701" w:type="dxa"/>
          </w:tcPr>
          <w:p>
            <w:pPr>
              <w:pStyle w:val="TableParagraph"/>
              <w:ind w:right="96"/>
              <w:jc w:val="right"/>
              <w:rPr>
                <w:sz w:val="16"/>
              </w:rPr>
            </w:pPr>
            <w:r>
              <w:rPr>
                <w:spacing w:val="-2"/>
                <w:sz w:val="16"/>
              </w:rPr>
              <w:t>£13,826,112</w:t>
            </w:r>
          </w:p>
        </w:tc>
        <w:tc>
          <w:tcPr>
            <w:tcW w:w="1417" w:type="dxa"/>
          </w:tcPr>
          <w:p>
            <w:pPr>
              <w:pStyle w:val="TableParagraph"/>
              <w:ind w:left="108"/>
              <w:rPr>
                <w:sz w:val="16"/>
              </w:rPr>
            </w:pPr>
            <w:r>
              <w:rPr>
                <w:spacing w:val="-2"/>
                <w:sz w:val="16"/>
              </w:rPr>
              <w:t>27/10/2022</w:t>
            </w:r>
          </w:p>
        </w:tc>
        <w:tc>
          <w:tcPr>
            <w:tcW w:w="1580" w:type="dxa"/>
          </w:tcPr>
          <w:p>
            <w:pPr>
              <w:pStyle w:val="TableParagraph"/>
              <w:ind w:left="107"/>
              <w:rPr>
                <w:sz w:val="16"/>
              </w:rPr>
            </w:pPr>
            <w:r>
              <w:rPr>
                <w:spacing w:val="-2"/>
                <w:sz w:val="16"/>
              </w:rPr>
              <w:t>18/11/2022</w:t>
            </w:r>
          </w:p>
        </w:tc>
        <w:tc>
          <w:tcPr>
            <w:tcW w:w="1391" w:type="dxa"/>
          </w:tcPr>
          <w:p>
            <w:pPr>
              <w:pStyle w:val="TableParagraph"/>
              <w:ind w:left="101"/>
              <w:rPr>
                <w:sz w:val="16"/>
              </w:rPr>
            </w:pPr>
            <w:r>
              <w:rPr>
                <w:spacing w:val="-5"/>
                <w:sz w:val="16"/>
              </w:rPr>
              <w:t>n/a</w:t>
            </w:r>
          </w:p>
        </w:tc>
        <w:tc>
          <w:tcPr>
            <w:tcW w:w="1461" w:type="dxa"/>
          </w:tcPr>
          <w:p>
            <w:pPr>
              <w:pStyle w:val="TableParagraph"/>
              <w:ind w:left="106"/>
              <w:rPr>
                <w:sz w:val="16"/>
              </w:rPr>
            </w:pPr>
            <w:r>
              <w:rPr>
                <w:spacing w:val="-5"/>
                <w:sz w:val="16"/>
              </w:rPr>
              <w:t>n/a</w:t>
            </w:r>
          </w:p>
        </w:tc>
      </w:tr>
      <w:tr>
        <w:trPr>
          <w:trHeight w:val="1166" w:hRule="atLeast"/>
        </w:trPr>
        <w:tc>
          <w:tcPr>
            <w:tcW w:w="709" w:type="dxa"/>
          </w:tcPr>
          <w:p>
            <w:pPr>
              <w:pStyle w:val="TableParagraph"/>
              <w:ind w:left="151"/>
              <w:rPr>
                <w:sz w:val="16"/>
              </w:rPr>
            </w:pPr>
            <w:r>
              <w:rPr>
                <w:spacing w:val="-5"/>
                <w:sz w:val="16"/>
              </w:rPr>
              <w:t>8.</w:t>
            </w:r>
          </w:p>
        </w:tc>
        <w:tc>
          <w:tcPr>
            <w:tcW w:w="6379" w:type="dxa"/>
          </w:tcPr>
          <w:p>
            <w:pPr>
              <w:pStyle w:val="TableParagraph"/>
              <w:ind w:left="108"/>
              <w:jc w:val="both"/>
              <w:rPr>
                <w:sz w:val="16"/>
              </w:rPr>
            </w:pPr>
            <w:r>
              <w:rPr>
                <w:color w:val="0463C1"/>
                <w:sz w:val="16"/>
                <w:u w:val="single" w:color="0463C1"/>
              </w:rPr>
              <w:t>Nurses</w:t>
            </w:r>
            <w:r>
              <w:rPr>
                <w:color w:val="0463C1"/>
                <w:spacing w:val="-3"/>
                <w:sz w:val="16"/>
                <w:u w:val="single" w:color="0463C1"/>
              </w:rPr>
              <w:t> </w:t>
            </w:r>
            <w:r>
              <w:rPr>
                <w:color w:val="0463C1"/>
                <w:spacing w:val="-2"/>
                <w:sz w:val="16"/>
                <w:u w:val="single" w:color="0463C1"/>
              </w:rPr>
              <w:t>Uniforms</w:t>
            </w:r>
          </w:p>
          <w:p>
            <w:pPr>
              <w:pStyle w:val="TableParagraph"/>
              <w:ind w:left="108" w:right="96"/>
              <w:jc w:val="both"/>
              <w:rPr>
                <w:sz w:val="16"/>
              </w:rPr>
            </w:pPr>
            <w:r>
              <w:rPr>
                <w:sz w:val="16"/>
              </w:rPr>
              <w:t>The contract is for the supply and delivery of various standard unisex garments</w:t>
            </w:r>
            <w:r>
              <w:rPr>
                <w:spacing w:val="-14"/>
                <w:sz w:val="16"/>
              </w:rPr>
              <w:t> </w:t>
            </w:r>
            <w:r>
              <w:rPr>
                <w:sz w:val="16"/>
              </w:rPr>
              <w:t>to</w:t>
            </w:r>
            <w:r>
              <w:rPr>
                <w:spacing w:val="-14"/>
                <w:sz w:val="16"/>
              </w:rPr>
              <w:t> </w:t>
            </w:r>
            <w:r>
              <w:rPr>
                <w:sz w:val="16"/>
              </w:rPr>
              <w:t>each</w:t>
            </w:r>
            <w:r>
              <w:rPr>
                <w:spacing w:val="-14"/>
                <w:sz w:val="16"/>
              </w:rPr>
              <w:t> </w:t>
            </w:r>
            <w:r>
              <w:rPr>
                <w:sz w:val="16"/>
              </w:rPr>
              <w:t>Health</w:t>
            </w:r>
            <w:r>
              <w:rPr>
                <w:spacing w:val="-14"/>
                <w:sz w:val="16"/>
              </w:rPr>
              <w:t> </w:t>
            </w:r>
            <w:r>
              <w:rPr>
                <w:sz w:val="16"/>
              </w:rPr>
              <w:t>Board</w:t>
            </w:r>
            <w:r>
              <w:rPr>
                <w:spacing w:val="-14"/>
                <w:sz w:val="16"/>
              </w:rPr>
              <w:t> </w:t>
            </w:r>
            <w:r>
              <w:rPr>
                <w:sz w:val="16"/>
              </w:rPr>
              <w:t>and</w:t>
            </w:r>
            <w:r>
              <w:rPr>
                <w:spacing w:val="-14"/>
                <w:sz w:val="16"/>
              </w:rPr>
              <w:t> </w:t>
            </w:r>
            <w:r>
              <w:rPr>
                <w:sz w:val="16"/>
              </w:rPr>
              <w:t>Trust</w:t>
            </w:r>
            <w:r>
              <w:rPr>
                <w:spacing w:val="-14"/>
                <w:sz w:val="16"/>
              </w:rPr>
              <w:t> </w:t>
            </w:r>
            <w:r>
              <w:rPr>
                <w:sz w:val="16"/>
              </w:rPr>
              <w:t>in</w:t>
            </w:r>
            <w:r>
              <w:rPr>
                <w:spacing w:val="-14"/>
                <w:sz w:val="16"/>
              </w:rPr>
              <w:t> </w:t>
            </w:r>
            <w:r>
              <w:rPr>
                <w:sz w:val="16"/>
              </w:rPr>
              <w:t>Wales.</w:t>
            </w:r>
            <w:r>
              <w:rPr>
                <w:spacing w:val="-14"/>
                <w:sz w:val="16"/>
              </w:rPr>
              <w:t> </w:t>
            </w:r>
            <w:r>
              <w:rPr>
                <w:sz w:val="16"/>
              </w:rPr>
              <w:t>All</w:t>
            </w:r>
            <w:r>
              <w:rPr>
                <w:spacing w:val="-14"/>
                <w:sz w:val="16"/>
              </w:rPr>
              <w:t> </w:t>
            </w:r>
            <w:r>
              <w:rPr>
                <w:sz w:val="16"/>
              </w:rPr>
              <w:t>garments</w:t>
            </w:r>
            <w:r>
              <w:rPr>
                <w:spacing w:val="-14"/>
                <w:sz w:val="16"/>
              </w:rPr>
              <w:t> </w:t>
            </w:r>
            <w:r>
              <w:rPr>
                <w:sz w:val="16"/>
              </w:rPr>
              <w:t>are</w:t>
            </w:r>
            <w:r>
              <w:rPr>
                <w:spacing w:val="-14"/>
                <w:sz w:val="16"/>
              </w:rPr>
              <w:t> </w:t>
            </w:r>
            <w:r>
              <w:rPr>
                <w:sz w:val="16"/>
              </w:rPr>
              <w:t>available in sizes XS – 4XL, with the option to choose from two lengths, standard or </w:t>
            </w:r>
            <w:r>
              <w:rPr>
                <w:spacing w:val="-4"/>
                <w:sz w:val="16"/>
              </w:rPr>
              <w:t>tall.</w:t>
            </w:r>
          </w:p>
          <w:p>
            <w:pPr>
              <w:pStyle w:val="TableParagraph"/>
              <w:spacing w:line="174" w:lineRule="exact"/>
              <w:ind w:left="108"/>
              <w:jc w:val="both"/>
              <w:rPr>
                <w:sz w:val="16"/>
              </w:rPr>
            </w:pPr>
            <w:r>
              <w:rPr>
                <w:sz w:val="16"/>
              </w:rPr>
              <w:t>Contract:</w:t>
            </w:r>
            <w:r>
              <w:rPr>
                <w:spacing w:val="-2"/>
                <w:sz w:val="16"/>
              </w:rPr>
              <w:t> </w:t>
            </w:r>
            <w:r>
              <w:rPr>
                <w:sz w:val="16"/>
              </w:rPr>
              <w:t>1</w:t>
            </w:r>
            <w:r>
              <w:rPr>
                <w:position w:val="5"/>
                <w:sz w:val="10"/>
              </w:rPr>
              <w:t>st</w:t>
            </w:r>
            <w:r>
              <w:rPr>
                <w:spacing w:val="19"/>
                <w:position w:val="5"/>
                <w:sz w:val="10"/>
              </w:rPr>
              <w:t> </w:t>
            </w:r>
            <w:r>
              <w:rPr>
                <w:sz w:val="16"/>
              </w:rPr>
              <w:t>March</w:t>
            </w:r>
            <w:r>
              <w:rPr>
                <w:spacing w:val="-3"/>
                <w:sz w:val="16"/>
              </w:rPr>
              <w:t> </w:t>
            </w:r>
            <w:r>
              <w:rPr>
                <w:sz w:val="16"/>
              </w:rPr>
              <w:t>2023</w:t>
            </w:r>
            <w:r>
              <w:rPr>
                <w:spacing w:val="-1"/>
                <w:sz w:val="16"/>
              </w:rPr>
              <w:t> </w:t>
            </w:r>
            <w:r>
              <w:rPr>
                <w:sz w:val="16"/>
              </w:rPr>
              <w:t>–</w:t>
            </w:r>
            <w:r>
              <w:rPr>
                <w:spacing w:val="-2"/>
                <w:sz w:val="16"/>
              </w:rPr>
              <w:t> </w:t>
            </w:r>
            <w:r>
              <w:rPr>
                <w:sz w:val="16"/>
              </w:rPr>
              <w:t>28</w:t>
            </w:r>
            <w:r>
              <w:rPr>
                <w:position w:val="5"/>
                <w:sz w:val="10"/>
              </w:rPr>
              <w:t>th</w:t>
            </w:r>
            <w:r>
              <w:rPr>
                <w:spacing w:val="19"/>
                <w:position w:val="5"/>
                <w:sz w:val="10"/>
              </w:rPr>
              <w:t> </w:t>
            </w:r>
            <w:r>
              <w:rPr>
                <w:sz w:val="16"/>
              </w:rPr>
              <w:t>February</w:t>
            </w:r>
            <w:r>
              <w:rPr>
                <w:spacing w:val="-2"/>
                <w:sz w:val="16"/>
              </w:rPr>
              <w:t> 2027+3</w:t>
            </w:r>
          </w:p>
        </w:tc>
        <w:tc>
          <w:tcPr>
            <w:tcW w:w="1276" w:type="dxa"/>
          </w:tcPr>
          <w:p>
            <w:pPr>
              <w:pStyle w:val="TableParagraph"/>
              <w:ind w:left="107"/>
              <w:rPr>
                <w:sz w:val="16"/>
              </w:rPr>
            </w:pPr>
            <w:r>
              <w:rPr>
                <w:spacing w:val="-2"/>
                <w:sz w:val="16"/>
              </w:rPr>
              <w:t>Briefing</w:t>
            </w:r>
          </w:p>
        </w:tc>
        <w:tc>
          <w:tcPr>
            <w:tcW w:w="1701" w:type="dxa"/>
          </w:tcPr>
          <w:p>
            <w:pPr>
              <w:pStyle w:val="TableParagraph"/>
              <w:ind w:right="95"/>
              <w:jc w:val="right"/>
              <w:rPr>
                <w:sz w:val="16"/>
              </w:rPr>
            </w:pPr>
            <w:r>
              <w:rPr>
                <w:spacing w:val="-2"/>
                <w:sz w:val="16"/>
              </w:rPr>
              <w:t>£8,494,396</w:t>
            </w:r>
          </w:p>
        </w:tc>
        <w:tc>
          <w:tcPr>
            <w:tcW w:w="1417" w:type="dxa"/>
          </w:tcPr>
          <w:p>
            <w:pPr>
              <w:pStyle w:val="TableParagraph"/>
              <w:ind w:left="108"/>
              <w:rPr>
                <w:sz w:val="16"/>
              </w:rPr>
            </w:pPr>
            <w:r>
              <w:rPr>
                <w:spacing w:val="-2"/>
                <w:sz w:val="16"/>
              </w:rPr>
              <w:t>27/10/2022</w:t>
            </w:r>
          </w:p>
        </w:tc>
        <w:tc>
          <w:tcPr>
            <w:tcW w:w="1580" w:type="dxa"/>
          </w:tcPr>
          <w:p>
            <w:pPr>
              <w:pStyle w:val="TableParagraph"/>
              <w:ind w:left="107" w:right="144"/>
              <w:rPr>
                <w:sz w:val="16"/>
              </w:rPr>
            </w:pPr>
            <w:r>
              <w:rPr>
                <w:sz w:val="16"/>
              </w:rPr>
              <w:t>sent</w:t>
            </w:r>
            <w:r>
              <w:rPr>
                <w:spacing w:val="-15"/>
                <w:sz w:val="16"/>
              </w:rPr>
              <w:t> </w:t>
            </w:r>
            <w:r>
              <w:rPr>
                <w:sz w:val="16"/>
              </w:rPr>
              <w:t>to</w:t>
            </w:r>
            <w:r>
              <w:rPr>
                <w:spacing w:val="-14"/>
                <w:sz w:val="16"/>
              </w:rPr>
              <w:t> </w:t>
            </w:r>
            <w:r>
              <w:rPr>
                <w:sz w:val="16"/>
              </w:rPr>
              <w:t>WG </w:t>
            </w:r>
            <w:r>
              <w:rPr>
                <w:spacing w:val="-2"/>
                <w:sz w:val="16"/>
              </w:rPr>
              <w:t>27/10</w:t>
            </w:r>
          </w:p>
        </w:tc>
        <w:tc>
          <w:tcPr>
            <w:tcW w:w="1391" w:type="dxa"/>
          </w:tcPr>
          <w:p>
            <w:pPr>
              <w:pStyle w:val="TableParagraph"/>
              <w:ind w:left="101"/>
              <w:rPr>
                <w:sz w:val="16"/>
              </w:rPr>
            </w:pPr>
            <w:r>
              <w:rPr>
                <w:spacing w:val="-5"/>
                <w:sz w:val="16"/>
              </w:rPr>
              <w:t>n/a</w:t>
            </w:r>
          </w:p>
        </w:tc>
        <w:tc>
          <w:tcPr>
            <w:tcW w:w="1461" w:type="dxa"/>
          </w:tcPr>
          <w:p>
            <w:pPr>
              <w:pStyle w:val="TableParagraph"/>
              <w:ind w:left="106"/>
              <w:rPr>
                <w:sz w:val="16"/>
              </w:rPr>
            </w:pPr>
            <w:r>
              <w:rPr>
                <w:spacing w:val="-5"/>
                <w:sz w:val="16"/>
              </w:rPr>
              <w:t>n/a</w:t>
            </w:r>
          </w:p>
        </w:tc>
      </w:tr>
      <w:tr>
        <w:trPr>
          <w:trHeight w:val="972" w:hRule="atLeast"/>
        </w:trPr>
        <w:tc>
          <w:tcPr>
            <w:tcW w:w="709" w:type="dxa"/>
          </w:tcPr>
          <w:p>
            <w:pPr>
              <w:pStyle w:val="TableParagraph"/>
              <w:ind w:left="151"/>
              <w:rPr>
                <w:sz w:val="16"/>
              </w:rPr>
            </w:pPr>
            <w:r>
              <w:rPr>
                <w:spacing w:val="-5"/>
                <w:sz w:val="16"/>
              </w:rPr>
              <w:t>9.</w:t>
            </w:r>
          </w:p>
        </w:tc>
        <w:tc>
          <w:tcPr>
            <w:tcW w:w="6379" w:type="dxa"/>
          </w:tcPr>
          <w:p>
            <w:pPr>
              <w:pStyle w:val="TableParagraph"/>
              <w:ind w:left="108"/>
              <w:rPr>
                <w:sz w:val="16"/>
              </w:rPr>
            </w:pPr>
            <w:r>
              <w:rPr>
                <w:color w:val="0463C1"/>
                <w:sz w:val="16"/>
                <w:u w:val="single" w:color="0463C1"/>
              </w:rPr>
              <w:t>Provision</w:t>
            </w:r>
            <w:r>
              <w:rPr>
                <w:color w:val="0463C1"/>
                <w:spacing w:val="80"/>
                <w:sz w:val="16"/>
                <w:u w:val="single" w:color="0463C1"/>
              </w:rPr>
              <w:t> </w:t>
            </w:r>
            <w:r>
              <w:rPr>
                <w:color w:val="0463C1"/>
                <w:sz w:val="16"/>
                <w:u w:val="single" w:color="0463C1"/>
              </w:rPr>
              <w:t>of</w:t>
            </w:r>
            <w:r>
              <w:rPr>
                <w:color w:val="0463C1"/>
                <w:spacing w:val="80"/>
                <w:sz w:val="16"/>
                <w:u w:val="single" w:color="0463C1"/>
              </w:rPr>
              <w:t> </w:t>
            </w:r>
            <w:r>
              <w:rPr>
                <w:color w:val="0463C1"/>
                <w:sz w:val="16"/>
                <w:u w:val="single" w:color="0463C1"/>
              </w:rPr>
              <w:t>Medical</w:t>
            </w:r>
            <w:r>
              <w:rPr>
                <w:color w:val="0463C1"/>
                <w:spacing w:val="80"/>
                <w:sz w:val="16"/>
                <w:u w:val="single" w:color="0463C1"/>
              </w:rPr>
              <w:t> </w:t>
            </w:r>
            <w:r>
              <w:rPr>
                <w:color w:val="0463C1"/>
                <w:sz w:val="16"/>
                <w:u w:val="single" w:color="0463C1"/>
              </w:rPr>
              <w:t>Consumables</w:t>
            </w:r>
            <w:r>
              <w:rPr>
                <w:color w:val="0463C1"/>
                <w:spacing w:val="80"/>
                <w:sz w:val="16"/>
                <w:u w:val="single" w:color="0463C1"/>
              </w:rPr>
              <w:t> </w:t>
            </w:r>
            <w:r>
              <w:rPr>
                <w:color w:val="0463C1"/>
                <w:sz w:val="16"/>
                <w:u w:val="single" w:color="0463C1"/>
              </w:rPr>
              <w:t>Commercial</w:t>
            </w:r>
            <w:r>
              <w:rPr>
                <w:color w:val="0463C1"/>
                <w:spacing w:val="80"/>
                <w:sz w:val="16"/>
                <w:u w:val="single" w:color="0463C1"/>
              </w:rPr>
              <w:t> </w:t>
            </w:r>
            <w:r>
              <w:rPr>
                <w:color w:val="0463C1"/>
                <w:sz w:val="16"/>
                <w:u w:val="single" w:color="0463C1"/>
              </w:rPr>
              <w:t>Storage</w:t>
            </w:r>
            <w:r>
              <w:rPr>
                <w:color w:val="0463C1"/>
                <w:spacing w:val="80"/>
                <w:sz w:val="16"/>
                <w:u w:val="single" w:color="0463C1"/>
              </w:rPr>
              <w:t> </w:t>
            </w:r>
            <w:r>
              <w:rPr>
                <w:color w:val="0463C1"/>
                <w:sz w:val="16"/>
                <w:u w:val="single" w:color="0463C1"/>
              </w:rPr>
              <w:t>Facilities</w:t>
            </w:r>
            <w:r>
              <w:rPr>
                <w:color w:val="0463C1"/>
                <w:spacing w:val="80"/>
                <w:sz w:val="16"/>
                <w:u w:val="single" w:color="0463C1"/>
              </w:rPr>
              <w:t> </w:t>
            </w:r>
            <w:r>
              <w:rPr>
                <w:color w:val="0463C1"/>
                <w:sz w:val="16"/>
                <w:u w:val="single" w:color="0463C1"/>
              </w:rPr>
              <w:t>&amp;</w:t>
            </w:r>
            <w:r>
              <w:rPr>
                <w:color w:val="0463C1"/>
                <w:spacing w:val="80"/>
                <w:sz w:val="16"/>
              </w:rPr>
              <w:t> </w:t>
            </w:r>
            <w:r>
              <w:rPr>
                <w:color w:val="0463C1"/>
                <w:sz w:val="16"/>
                <w:u w:val="single" w:color="0463C1"/>
              </w:rPr>
              <w:t>Distribution Services</w:t>
            </w:r>
          </w:p>
          <w:p>
            <w:pPr>
              <w:pStyle w:val="TableParagraph"/>
              <w:ind w:left="108"/>
              <w:rPr>
                <w:sz w:val="16"/>
              </w:rPr>
            </w:pPr>
            <w:r>
              <w:rPr>
                <w:sz w:val="16"/>
              </w:rPr>
              <w:t>Safe</w:t>
            </w:r>
            <w:r>
              <w:rPr>
                <w:spacing w:val="-6"/>
                <w:sz w:val="16"/>
              </w:rPr>
              <w:t> </w:t>
            </w:r>
            <w:r>
              <w:rPr>
                <w:sz w:val="16"/>
              </w:rPr>
              <w:t>storage</w:t>
            </w:r>
            <w:r>
              <w:rPr>
                <w:spacing w:val="-6"/>
                <w:sz w:val="16"/>
              </w:rPr>
              <w:t> </w:t>
            </w:r>
            <w:r>
              <w:rPr>
                <w:sz w:val="16"/>
              </w:rPr>
              <w:t>and</w:t>
            </w:r>
            <w:r>
              <w:rPr>
                <w:spacing w:val="-5"/>
                <w:sz w:val="16"/>
              </w:rPr>
              <w:t> </w:t>
            </w:r>
            <w:r>
              <w:rPr>
                <w:sz w:val="16"/>
              </w:rPr>
              <w:t>distribution</w:t>
            </w:r>
            <w:r>
              <w:rPr>
                <w:spacing w:val="-6"/>
                <w:sz w:val="16"/>
              </w:rPr>
              <w:t> </w:t>
            </w:r>
            <w:r>
              <w:rPr>
                <w:sz w:val="16"/>
              </w:rPr>
              <w:t>as</w:t>
            </w:r>
            <w:r>
              <w:rPr>
                <w:spacing w:val="-5"/>
                <w:sz w:val="16"/>
              </w:rPr>
              <w:t> </w:t>
            </w:r>
            <w:r>
              <w:rPr>
                <w:sz w:val="16"/>
              </w:rPr>
              <w:t>required</w:t>
            </w:r>
            <w:r>
              <w:rPr>
                <w:spacing w:val="-5"/>
                <w:sz w:val="16"/>
              </w:rPr>
              <w:t> </w:t>
            </w:r>
            <w:r>
              <w:rPr>
                <w:sz w:val="16"/>
              </w:rPr>
              <w:t>of</w:t>
            </w:r>
            <w:r>
              <w:rPr>
                <w:spacing w:val="-6"/>
                <w:sz w:val="16"/>
              </w:rPr>
              <w:t> </w:t>
            </w:r>
            <w:r>
              <w:rPr>
                <w:sz w:val="16"/>
              </w:rPr>
              <w:t>various</w:t>
            </w:r>
            <w:r>
              <w:rPr>
                <w:spacing w:val="-5"/>
                <w:sz w:val="16"/>
              </w:rPr>
              <w:t> </w:t>
            </w:r>
            <w:r>
              <w:rPr>
                <w:sz w:val="16"/>
              </w:rPr>
              <w:t>medical</w:t>
            </w:r>
            <w:r>
              <w:rPr>
                <w:spacing w:val="-5"/>
                <w:sz w:val="16"/>
              </w:rPr>
              <w:t> </w:t>
            </w:r>
            <w:r>
              <w:rPr>
                <w:sz w:val="16"/>
              </w:rPr>
              <w:t>consumables</w:t>
            </w:r>
            <w:r>
              <w:rPr>
                <w:spacing w:val="-6"/>
                <w:sz w:val="16"/>
              </w:rPr>
              <w:t> </w:t>
            </w:r>
            <w:r>
              <w:rPr>
                <w:sz w:val="16"/>
              </w:rPr>
              <w:t>on behalf of NHS Wales.</w:t>
            </w:r>
          </w:p>
          <w:p>
            <w:pPr>
              <w:pStyle w:val="TableParagraph"/>
              <w:spacing w:line="174" w:lineRule="exact"/>
              <w:ind w:left="108"/>
              <w:rPr>
                <w:sz w:val="16"/>
              </w:rPr>
            </w:pPr>
            <w:r>
              <w:rPr>
                <w:sz w:val="16"/>
              </w:rPr>
              <w:t>Contract:</w:t>
            </w:r>
            <w:r>
              <w:rPr>
                <w:spacing w:val="-2"/>
                <w:sz w:val="16"/>
              </w:rPr>
              <w:t> </w:t>
            </w:r>
            <w:r>
              <w:rPr>
                <w:sz w:val="16"/>
              </w:rPr>
              <w:t>1</w:t>
            </w:r>
            <w:r>
              <w:rPr>
                <w:position w:val="5"/>
                <w:sz w:val="10"/>
              </w:rPr>
              <w:t>st</w:t>
            </w:r>
            <w:r>
              <w:rPr>
                <w:spacing w:val="19"/>
                <w:position w:val="5"/>
                <w:sz w:val="10"/>
              </w:rPr>
              <w:t> </w:t>
            </w:r>
            <w:r>
              <w:rPr>
                <w:sz w:val="16"/>
              </w:rPr>
              <w:t>December</w:t>
            </w:r>
            <w:r>
              <w:rPr>
                <w:spacing w:val="-2"/>
                <w:sz w:val="16"/>
              </w:rPr>
              <w:t> </w:t>
            </w:r>
            <w:r>
              <w:rPr>
                <w:sz w:val="16"/>
              </w:rPr>
              <w:t>2021</w:t>
            </w:r>
            <w:r>
              <w:rPr>
                <w:spacing w:val="-2"/>
                <w:sz w:val="16"/>
              </w:rPr>
              <w:t> </w:t>
            </w:r>
            <w:r>
              <w:rPr>
                <w:sz w:val="16"/>
              </w:rPr>
              <w:t>to</w:t>
            </w:r>
            <w:r>
              <w:rPr>
                <w:spacing w:val="-3"/>
                <w:sz w:val="16"/>
              </w:rPr>
              <w:t> </w:t>
            </w:r>
            <w:r>
              <w:rPr>
                <w:sz w:val="16"/>
              </w:rPr>
              <w:t>30</w:t>
            </w:r>
            <w:r>
              <w:rPr>
                <w:position w:val="5"/>
                <w:sz w:val="10"/>
              </w:rPr>
              <w:t>th</w:t>
            </w:r>
            <w:r>
              <w:rPr>
                <w:spacing w:val="19"/>
                <w:position w:val="5"/>
                <w:sz w:val="10"/>
              </w:rPr>
              <w:t> </w:t>
            </w:r>
            <w:r>
              <w:rPr>
                <w:sz w:val="16"/>
              </w:rPr>
              <w:t>November</w:t>
            </w:r>
            <w:r>
              <w:rPr>
                <w:spacing w:val="-1"/>
                <w:sz w:val="16"/>
              </w:rPr>
              <w:t> </w:t>
            </w:r>
            <w:r>
              <w:rPr>
                <w:spacing w:val="-4"/>
                <w:sz w:val="16"/>
              </w:rPr>
              <w:t>2023</w:t>
            </w:r>
          </w:p>
        </w:tc>
        <w:tc>
          <w:tcPr>
            <w:tcW w:w="1276" w:type="dxa"/>
          </w:tcPr>
          <w:p>
            <w:pPr>
              <w:pStyle w:val="TableParagraph"/>
              <w:ind w:left="107"/>
              <w:rPr>
                <w:sz w:val="16"/>
              </w:rPr>
            </w:pPr>
            <w:r>
              <w:rPr>
                <w:spacing w:val="-2"/>
                <w:sz w:val="16"/>
              </w:rPr>
              <w:t>Extension</w:t>
            </w:r>
          </w:p>
        </w:tc>
        <w:tc>
          <w:tcPr>
            <w:tcW w:w="1701" w:type="dxa"/>
          </w:tcPr>
          <w:p>
            <w:pPr>
              <w:pStyle w:val="TableParagraph"/>
              <w:ind w:right="95"/>
              <w:jc w:val="right"/>
              <w:rPr>
                <w:sz w:val="16"/>
              </w:rPr>
            </w:pPr>
            <w:r>
              <w:rPr>
                <w:spacing w:val="-2"/>
                <w:sz w:val="16"/>
              </w:rPr>
              <w:t>£1,986,400</w:t>
            </w:r>
          </w:p>
        </w:tc>
        <w:tc>
          <w:tcPr>
            <w:tcW w:w="1417" w:type="dxa"/>
          </w:tcPr>
          <w:p>
            <w:pPr>
              <w:pStyle w:val="TableParagraph"/>
              <w:ind w:left="108"/>
              <w:rPr>
                <w:sz w:val="16"/>
              </w:rPr>
            </w:pPr>
            <w:r>
              <w:rPr>
                <w:spacing w:val="-2"/>
                <w:sz w:val="16"/>
              </w:rPr>
              <w:t>02/11/2022</w:t>
            </w:r>
          </w:p>
        </w:tc>
        <w:tc>
          <w:tcPr>
            <w:tcW w:w="1580" w:type="dxa"/>
          </w:tcPr>
          <w:p>
            <w:pPr>
              <w:pStyle w:val="TableParagraph"/>
              <w:ind w:left="107" w:right="113"/>
              <w:rPr>
                <w:sz w:val="16"/>
              </w:rPr>
            </w:pPr>
            <w:r>
              <w:rPr>
                <w:sz w:val="16"/>
              </w:rPr>
              <w:t>original</w:t>
            </w:r>
            <w:r>
              <w:rPr>
                <w:spacing w:val="-15"/>
                <w:sz w:val="16"/>
              </w:rPr>
              <w:t> </w:t>
            </w:r>
            <w:r>
              <w:rPr>
                <w:sz w:val="16"/>
              </w:rPr>
              <w:t>approval </w:t>
            </w:r>
            <w:r>
              <w:rPr>
                <w:spacing w:val="-2"/>
                <w:sz w:val="16"/>
              </w:rPr>
              <w:t>applies</w:t>
            </w:r>
            <w:r>
              <w:rPr>
                <w:spacing w:val="80"/>
                <w:sz w:val="16"/>
              </w:rPr>
              <w:t> </w:t>
            </w:r>
            <w:r>
              <w:rPr>
                <w:spacing w:val="-2"/>
                <w:sz w:val="16"/>
              </w:rPr>
              <w:t>17/11/21</w:t>
            </w:r>
          </w:p>
        </w:tc>
        <w:tc>
          <w:tcPr>
            <w:tcW w:w="1391" w:type="dxa"/>
          </w:tcPr>
          <w:p>
            <w:pPr>
              <w:pStyle w:val="TableParagraph"/>
              <w:ind w:left="101"/>
              <w:rPr>
                <w:sz w:val="16"/>
              </w:rPr>
            </w:pPr>
            <w:r>
              <w:rPr>
                <w:spacing w:val="-2"/>
                <w:sz w:val="16"/>
              </w:rPr>
              <w:t>07/11/2022</w:t>
            </w:r>
          </w:p>
        </w:tc>
        <w:tc>
          <w:tcPr>
            <w:tcW w:w="1461" w:type="dxa"/>
          </w:tcPr>
          <w:p>
            <w:pPr>
              <w:pStyle w:val="TableParagraph"/>
              <w:ind w:left="106"/>
              <w:rPr>
                <w:sz w:val="16"/>
              </w:rPr>
            </w:pPr>
            <w:r>
              <w:rPr>
                <w:spacing w:val="-2"/>
                <w:sz w:val="16"/>
              </w:rPr>
              <w:t>08/11/2022</w:t>
            </w:r>
          </w:p>
        </w:tc>
      </w:tr>
      <w:tr>
        <w:trPr>
          <w:trHeight w:val="972" w:hRule="atLeast"/>
        </w:trPr>
        <w:tc>
          <w:tcPr>
            <w:tcW w:w="709" w:type="dxa"/>
          </w:tcPr>
          <w:p>
            <w:pPr>
              <w:pStyle w:val="TableParagraph"/>
              <w:ind w:left="151"/>
              <w:rPr>
                <w:sz w:val="16"/>
              </w:rPr>
            </w:pPr>
            <w:r>
              <w:rPr>
                <w:spacing w:val="-5"/>
                <w:sz w:val="16"/>
              </w:rPr>
              <w:t>10.</w:t>
            </w:r>
          </w:p>
        </w:tc>
        <w:tc>
          <w:tcPr>
            <w:tcW w:w="6379" w:type="dxa"/>
          </w:tcPr>
          <w:p>
            <w:pPr>
              <w:pStyle w:val="TableParagraph"/>
              <w:ind w:left="108"/>
              <w:rPr>
                <w:sz w:val="16"/>
              </w:rPr>
            </w:pPr>
            <w:r>
              <w:rPr>
                <w:color w:val="0463C1"/>
                <w:spacing w:val="-2"/>
                <w:sz w:val="16"/>
                <w:u w:val="single" w:color="0463C1"/>
              </w:rPr>
              <w:t>Lenalidomide</w:t>
            </w:r>
          </w:p>
          <w:p>
            <w:pPr>
              <w:pStyle w:val="TableParagraph"/>
              <w:spacing w:line="190" w:lineRule="atLeast"/>
              <w:ind w:left="108" w:right="83"/>
              <w:rPr>
                <w:sz w:val="16"/>
              </w:rPr>
            </w:pPr>
            <w:r>
              <w:rPr>
                <w:sz w:val="16"/>
              </w:rPr>
              <w:t>Lenalidomide Capsules, which until recently, has been on the Proprietary Drugs contract, which expired on 30th June 2022.</w:t>
            </w:r>
            <w:r>
              <w:rPr>
                <w:spacing w:val="40"/>
                <w:sz w:val="16"/>
              </w:rPr>
              <w:t> </w:t>
            </w:r>
            <w:r>
              <w:rPr>
                <w:sz w:val="16"/>
              </w:rPr>
              <w:t>The product is available in</w:t>
            </w:r>
            <w:r>
              <w:rPr>
                <w:spacing w:val="-4"/>
                <w:sz w:val="16"/>
              </w:rPr>
              <w:t> </w:t>
            </w:r>
            <w:r>
              <w:rPr>
                <w:sz w:val="16"/>
              </w:rPr>
              <w:t>Capsule</w:t>
            </w:r>
            <w:r>
              <w:rPr>
                <w:spacing w:val="-4"/>
                <w:sz w:val="16"/>
              </w:rPr>
              <w:t> </w:t>
            </w:r>
            <w:r>
              <w:rPr>
                <w:sz w:val="16"/>
              </w:rPr>
              <w:t>form</w:t>
            </w:r>
            <w:r>
              <w:rPr>
                <w:spacing w:val="-4"/>
                <w:sz w:val="16"/>
              </w:rPr>
              <w:t> </w:t>
            </w:r>
            <w:r>
              <w:rPr>
                <w:sz w:val="16"/>
              </w:rPr>
              <w:t>and</w:t>
            </w:r>
            <w:r>
              <w:rPr>
                <w:spacing w:val="-3"/>
                <w:sz w:val="16"/>
              </w:rPr>
              <w:t> </w:t>
            </w:r>
            <w:r>
              <w:rPr>
                <w:sz w:val="16"/>
              </w:rPr>
              <w:t>comes</w:t>
            </w:r>
            <w:r>
              <w:rPr>
                <w:spacing w:val="-4"/>
                <w:sz w:val="16"/>
              </w:rPr>
              <w:t> </w:t>
            </w:r>
            <w:r>
              <w:rPr>
                <w:sz w:val="16"/>
              </w:rPr>
              <w:t>in</w:t>
            </w:r>
            <w:r>
              <w:rPr>
                <w:spacing w:val="-4"/>
                <w:sz w:val="16"/>
              </w:rPr>
              <w:t> </w:t>
            </w:r>
            <w:r>
              <w:rPr>
                <w:sz w:val="16"/>
              </w:rPr>
              <w:t>different</w:t>
            </w:r>
            <w:r>
              <w:rPr>
                <w:spacing w:val="-3"/>
                <w:sz w:val="16"/>
              </w:rPr>
              <w:t> </w:t>
            </w:r>
            <w:r>
              <w:rPr>
                <w:sz w:val="16"/>
              </w:rPr>
              <w:t>strengths</w:t>
            </w:r>
            <w:r>
              <w:rPr>
                <w:spacing w:val="-3"/>
                <w:sz w:val="16"/>
              </w:rPr>
              <w:t> </w:t>
            </w:r>
            <w:r>
              <w:rPr>
                <w:sz w:val="16"/>
              </w:rPr>
              <w:t>ranging</w:t>
            </w:r>
            <w:r>
              <w:rPr>
                <w:spacing w:val="-3"/>
                <w:sz w:val="16"/>
              </w:rPr>
              <w:t> </w:t>
            </w:r>
            <w:r>
              <w:rPr>
                <w:sz w:val="16"/>
              </w:rPr>
              <w:t>from</w:t>
            </w:r>
            <w:r>
              <w:rPr>
                <w:spacing w:val="-4"/>
                <w:sz w:val="16"/>
              </w:rPr>
              <w:t> </w:t>
            </w:r>
            <w:r>
              <w:rPr>
                <w:sz w:val="16"/>
              </w:rPr>
              <w:t>2.5mg,</w:t>
            </w:r>
            <w:r>
              <w:rPr>
                <w:spacing w:val="-3"/>
                <w:sz w:val="16"/>
              </w:rPr>
              <w:t> </w:t>
            </w:r>
            <w:r>
              <w:rPr>
                <w:sz w:val="16"/>
              </w:rPr>
              <w:t>5mg, 7.5mg,</w:t>
            </w:r>
            <w:r>
              <w:rPr>
                <w:spacing w:val="-4"/>
                <w:sz w:val="16"/>
              </w:rPr>
              <w:t> </w:t>
            </w:r>
            <w:r>
              <w:rPr>
                <w:sz w:val="16"/>
              </w:rPr>
              <w:t>10mg,</w:t>
            </w:r>
            <w:r>
              <w:rPr>
                <w:spacing w:val="-1"/>
                <w:sz w:val="16"/>
              </w:rPr>
              <w:t> </w:t>
            </w:r>
            <w:r>
              <w:rPr>
                <w:sz w:val="16"/>
              </w:rPr>
              <w:t>15mg,</w:t>
            </w:r>
            <w:r>
              <w:rPr>
                <w:spacing w:val="-2"/>
                <w:sz w:val="16"/>
              </w:rPr>
              <w:t> </w:t>
            </w:r>
            <w:r>
              <w:rPr>
                <w:sz w:val="16"/>
              </w:rPr>
              <w:t>20mg</w:t>
            </w:r>
            <w:r>
              <w:rPr>
                <w:spacing w:val="-1"/>
                <w:sz w:val="16"/>
              </w:rPr>
              <w:t> </w:t>
            </w:r>
            <w:r>
              <w:rPr>
                <w:sz w:val="16"/>
              </w:rPr>
              <w:t>&amp;</w:t>
            </w:r>
            <w:r>
              <w:rPr>
                <w:spacing w:val="-1"/>
                <w:sz w:val="16"/>
              </w:rPr>
              <w:t> </w:t>
            </w:r>
            <w:r>
              <w:rPr>
                <w:sz w:val="16"/>
              </w:rPr>
              <w:t>25mg</w:t>
            </w:r>
            <w:r>
              <w:rPr>
                <w:spacing w:val="-2"/>
                <w:sz w:val="16"/>
              </w:rPr>
              <w:t> </w:t>
            </w:r>
            <w:r>
              <w:rPr>
                <w:sz w:val="16"/>
              </w:rPr>
              <w:t>(all</w:t>
            </w:r>
            <w:r>
              <w:rPr>
                <w:spacing w:val="-2"/>
                <w:sz w:val="16"/>
              </w:rPr>
              <w:t> </w:t>
            </w:r>
            <w:r>
              <w:rPr>
                <w:sz w:val="16"/>
              </w:rPr>
              <w:t>pack</w:t>
            </w:r>
            <w:r>
              <w:rPr>
                <w:spacing w:val="-2"/>
                <w:sz w:val="16"/>
              </w:rPr>
              <w:t> </w:t>
            </w:r>
            <w:r>
              <w:rPr>
                <w:sz w:val="16"/>
              </w:rPr>
              <w:t>sizes</w:t>
            </w:r>
            <w:r>
              <w:rPr>
                <w:spacing w:val="-1"/>
                <w:sz w:val="16"/>
              </w:rPr>
              <w:t> </w:t>
            </w:r>
            <w:r>
              <w:rPr>
                <w:sz w:val="16"/>
              </w:rPr>
              <w:t>of</w:t>
            </w:r>
            <w:r>
              <w:rPr>
                <w:spacing w:val="-2"/>
                <w:sz w:val="16"/>
              </w:rPr>
              <w:t> </w:t>
            </w:r>
            <w:r>
              <w:rPr>
                <w:sz w:val="16"/>
              </w:rPr>
              <w:t>21</w:t>
            </w:r>
            <w:r>
              <w:rPr>
                <w:spacing w:val="-2"/>
                <w:sz w:val="16"/>
              </w:rPr>
              <w:t> </w:t>
            </w:r>
            <w:r>
              <w:rPr>
                <w:sz w:val="16"/>
              </w:rPr>
              <w:t>capsules)</w:t>
            </w:r>
            <w:r>
              <w:rPr>
                <w:spacing w:val="-1"/>
                <w:sz w:val="16"/>
              </w:rPr>
              <w:t> </w:t>
            </w:r>
            <w:r>
              <w:rPr>
                <w:sz w:val="16"/>
              </w:rPr>
              <w:t>used</w:t>
            </w:r>
            <w:r>
              <w:rPr>
                <w:spacing w:val="-1"/>
                <w:sz w:val="16"/>
              </w:rPr>
              <w:t> </w:t>
            </w:r>
            <w:r>
              <w:rPr>
                <w:spacing w:val="-5"/>
                <w:sz w:val="16"/>
              </w:rPr>
              <w:t>for</w:t>
            </w:r>
          </w:p>
        </w:tc>
        <w:tc>
          <w:tcPr>
            <w:tcW w:w="1276" w:type="dxa"/>
          </w:tcPr>
          <w:p>
            <w:pPr>
              <w:pStyle w:val="TableParagraph"/>
              <w:ind w:left="107"/>
              <w:rPr>
                <w:sz w:val="16"/>
              </w:rPr>
            </w:pPr>
            <w:r>
              <w:rPr>
                <w:spacing w:val="-2"/>
                <w:sz w:val="16"/>
              </w:rPr>
              <w:t>Ratification</w:t>
            </w:r>
          </w:p>
        </w:tc>
        <w:tc>
          <w:tcPr>
            <w:tcW w:w="1701" w:type="dxa"/>
          </w:tcPr>
          <w:p>
            <w:pPr>
              <w:pStyle w:val="TableParagraph"/>
              <w:ind w:right="95"/>
              <w:jc w:val="right"/>
              <w:rPr>
                <w:sz w:val="16"/>
              </w:rPr>
            </w:pPr>
            <w:r>
              <w:rPr>
                <w:spacing w:val="-2"/>
                <w:sz w:val="16"/>
              </w:rPr>
              <w:t>£739,384</w:t>
            </w:r>
          </w:p>
        </w:tc>
        <w:tc>
          <w:tcPr>
            <w:tcW w:w="1417" w:type="dxa"/>
          </w:tcPr>
          <w:p>
            <w:pPr>
              <w:pStyle w:val="TableParagraph"/>
              <w:ind w:left="108"/>
              <w:rPr>
                <w:sz w:val="16"/>
              </w:rPr>
            </w:pPr>
            <w:r>
              <w:rPr>
                <w:spacing w:val="-2"/>
                <w:sz w:val="16"/>
              </w:rPr>
              <w:t>10/11/2022</w:t>
            </w:r>
          </w:p>
        </w:tc>
        <w:tc>
          <w:tcPr>
            <w:tcW w:w="1580" w:type="dxa"/>
          </w:tcPr>
          <w:p>
            <w:pPr>
              <w:pStyle w:val="TableParagraph"/>
              <w:ind w:left="107"/>
              <w:rPr>
                <w:sz w:val="16"/>
              </w:rPr>
            </w:pPr>
            <w:r>
              <w:rPr>
                <w:spacing w:val="-2"/>
                <w:sz w:val="16"/>
              </w:rPr>
              <w:t>11/11/2022</w:t>
            </w:r>
          </w:p>
        </w:tc>
        <w:tc>
          <w:tcPr>
            <w:tcW w:w="1391" w:type="dxa"/>
          </w:tcPr>
          <w:p>
            <w:pPr>
              <w:pStyle w:val="TableParagraph"/>
              <w:ind w:left="101"/>
              <w:rPr>
                <w:sz w:val="16"/>
              </w:rPr>
            </w:pPr>
            <w:r>
              <w:rPr>
                <w:spacing w:val="-2"/>
                <w:sz w:val="16"/>
              </w:rPr>
              <w:t>11/11/2022</w:t>
            </w:r>
          </w:p>
        </w:tc>
        <w:tc>
          <w:tcPr>
            <w:tcW w:w="1461" w:type="dxa"/>
          </w:tcPr>
          <w:p>
            <w:pPr>
              <w:pStyle w:val="TableParagraph"/>
              <w:ind w:left="106"/>
              <w:rPr>
                <w:sz w:val="16"/>
              </w:rPr>
            </w:pPr>
            <w:r>
              <w:rPr>
                <w:spacing w:val="-5"/>
                <w:sz w:val="16"/>
              </w:rPr>
              <w:t>n/a</w:t>
            </w:r>
          </w:p>
        </w:tc>
      </w:tr>
    </w:tbl>
    <w:p>
      <w:pPr>
        <w:spacing w:after="0"/>
        <w:rPr>
          <w:sz w:val="16"/>
        </w:rPr>
        <w:sectPr>
          <w:footerReference w:type="default" r:id="rId199"/>
          <w:pgSz w:w="16840" w:h="11910" w:orient="landscape"/>
          <w:pgMar w:footer="636" w:header="0" w:top="640" w:bottom="820" w:left="280" w:right="120"/>
        </w:sectPr>
      </w:pPr>
    </w:p>
    <w:tbl>
      <w:tblPr>
        <w:tblW w:w="0" w:type="auto"/>
        <w:jc w:val="left"/>
        <w:tblInd w:w="4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9"/>
        <w:gridCol w:w="6379"/>
        <w:gridCol w:w="1276"/>
        <w:gridCol w:w="1701"/>
        <w:gridCol w:w="1417"/>
        <w:gridCol w:w="1574"/>
        <w:gridCol w:w="1396"/>
        <w:gridCol w:w="1460"/>
      </w:tblGrid>
      <w:tr>
        <w:trPr>
          <w:trHeight w:val="777" w:hRule="atLeast"/>
        </w:trPr>
        <w:tc>
          <w:tcPr>
            <w:tcW w:w="709" w:type="dxa"/>
          </w:tcPr>
          <w:p>
            <w:pPr>
              <w:pStyle w:val="TableParagraph"/>
              <w:rPr>
                <w:rFonts w:ascii="Times New Roman"/>
                <w:sz w:val="16"/>
              </w:rPr>
            </w:pPr>
          </w:p>
        </w:tc>
        <w:tc>
          <w:tcPr>
            <w:tcW w:w="6379" w:type="dxa"/>
          </w:tcPr>
          <w:p>
            <w:pPr>
              <w:pStyle w:val="TableParagraph"/>
              <w:ind w:left="108" w:right="83"/>
              <w:rPr>
                <w:sz w:val="16"/>
              </w:rPr>
            </w:pPr>
            <w:r>
              <w:rPr>
                <w:sz w:val="16"/>
              </w:rPr>
              <w:t>the</w:t>
            </w:r>
            <w:r>
              <w:rPr>
                <w:spacing w:val="-5"/>
                <w:sz w:val="16"/>
              </w:rPr>
              <w:t> </w:t>
            </w:r>
            <w:r>
              <w:rPr>
                <w:sz w:val="16"/>
              </w:rPr>
              <w:t>treatment</w:t>
            </w:r>
            <w:r>
              <w:rPr>
                <w:spacing w:val="-4"/>
                <w:sz w:val="16"/>
              </w:rPr>
              <w:t> </w:t>
            </w:r>
            <w:r>
              <w:rPr>
                <w:sz w:val="16"/>
              </w:rPr>
              <w:t>of</w:t>
            </w:r>
            <w:r>
              <w:rPr>
                <w:spacing w:val="-5"/>
                <w:sz w:val="16"/>
              </w:rPr>
              <w:t> </w:t>
            </w:r>
            <w:r>
              <w:rPr>
                <w:sz w:val="16"/>
              </w:rPr>
              <w:t>certain</w:t>
            </w:r>
            <w:r>
              <w:rPr>
                <w:spacing w:val="-4"/>
                <w:sz w:val="16"/>
              </w:rPr>
              <w:t> </w:t>
            </w:r>
            <w:r>
              <w:rPr>
                <w:sz w:val="16"/>
              </w:rPr>
              <w:t>cancers</w:t>
            </w:r>
            <w:r>
              <w:rPr>
                <w:spacing w:val="-4"/>
                <w:sz w:val="16"/>
              </w:rPr>
              <w:t> </w:t>
            </w:r>
            <w:r>
              <w:rPr>
                <w:sz w:val="16"/>
              </w:rPr>
              <w:t>and</w:t>
            </w:r>
            <w:r>
              <w:rPr>
                <w:spacing w:val="-4"/>
                <w:sz w:val="16"/>
              </w:rPr>
              <w:t> </w:t>
            </w:r>
            <w:r>
              <w:rPr>
                <w:sz w:val="16"/>
              </w:rPr>
              <w:t>serious</w:t>
            </w:r>
            <w:r>
              <w:rPr>
                <w:spacing w:val="-5"/>
                <w:sz w:val="16"/>
              </w:rPr>
              <w:t> </w:t>
            </w:r>
            <w:r>
              <w:rPr>
                <w:sz w:val="16"/>
              </w:rPr>
              <w:t>conditions</w:t>
            </w:r>
            <w:r>
              <w:rPr>
                <w:spacing w:val="-5"/>
                <w:sz w:val="16"/>
              </w:rPr>
              <w:t> </w:t>
            </w:r>
            <w:r>
              <w:rPr>
                <w:sz w:val="16"/>
              </w:rPr>
              <w:t>affecting</w:t>
            </w:r>
            <w:r>
              <w:rPr>
                <w:spacing w:val="-5"/>
                <w:sz w:val="16"/>
              </w:rPr>
              <w:t> </w:t>
            </w:r>
            <w:r>
              <w:rPr>
                <w:sz w:val="16"/>
              </w:rPr>
              <w:t>blood</w:t>
            </w:r>
            <w:r>
              <w:rPr>
                <w:spacing w:val="-5"/>
                <w:sz w:val="16"/>
              </w:rPr>
              <w:t> </w:t>
            </w:r>
            <w:r>
              <w:rPr>
                <w:sz w:val="16"/>
              </w:rPr>
              <w:t>cells and bone marrow, namely multiple myeloma, myelodysplastic syndromes and mantle cell and follicular lymphoma</w:t>
            </w:r>
          </w:p>
          <w:p>
            <w:pPr>
              <w:pStyle w:val="TableParagraph"/>
              <w:spacing w:line="174" w:lineRule="exact"/>
              <w:ind w:left="108"/>
              <w:rPr>
                <w:sz w:val="16"/>
              </w:rPr>
            </w:pPr>
            <w:r>
              <w:rPr>
                <w:sz w:val="16"/>
              </w:rPr>
              <w:t>Contract:</w:t>
            </w:r>
            <w:r>
              <w:rPr>
                <w:spacing w:val="-3"/>
                <w:sz w:val="16"/>
              </w:rPr>
              <w:t> </w:t>
            </w:r>
            <w:r>
              <w:rPr>
                <w:sz w:val="16"/>
              </w:rPr>
              <w:t>01/12/2022</w:t>
            </w:r>
            <w:r>
              <w:rPr>
                <w:spacing w:val="-3"/>
                <w:sz w:val="16"/>
              </w:rPr>
              <w:t> </w:t>
            </w:r>
            <w:r>
              <w:rPr>
                <w:sz w:val="16"/>
              </w:rPr>
              <w:t>to</w:t>
            </w:r>
            <w:r>
              <w:rPr>
                <w:spacing w:val="-4"/>
                <w:sz w:val="16"/>
              </w:rPr>
              <w:t> </w:t>
            </w:r>
            <w:r>
              <w:rPr>
                <w:sz w:val="16"/>
              </w:rPr>
              <w:t>30/11/2024</w:t>
            </w:r>
            <w:r>
              <w:rPr>
                <w:spacing w:val="-3"/>
                <w:sz w:val="16"/>
              </w:rPr>
              <w:t> </w:t>
            </w:r>
            <w:r>
              <w:rPr>
                <w:spacing w:val="-5"/>
                <w:sz w:val="16"/>
              </w:rPr>
              <w:t>+2</w:t>
            </w:r>
          </w:p>
        </w:tc>
        <w:tc>
          <w:tcPr>
            <w:tcW w:w="1276" w:type="dxa"/>
          </w:tcPr>
          <w:p>
            <w:pPr>
              <w:pStyle w:val="TableParagraph"/>
              <w:rPr>
                <w:rFonts w:ascii="Times New Roman"/>
                <w:sz w:val="16"/>
              </w:rPr>
            </w:pPr>
          </w:p>
        </w:tc>
        <w:tc>
          <w:tcPr>
            <w:tcW w:w="1701" w:type="dxa"/>
          </w:tcPr>
          <w:p>
            <w:pPr>
              <w:pStyle w:val="TableParagraph"/>
              <w:rPr>
                <w:rFonts w:ascii="Times New Roman"/>
                <w:sz w:val="16"/>
              </w:rPr>
            </w:pPr>
          </w:p>
        </w:tc>
        <w:tc>
          <w:tcPr>
            <w:tcW w:w="1417" w:type="dxa"/>
          </w:tcPr>
          <w:p>
            <w:pPr>
              <w:pStyle w:val="TableParagraph"/>
              <w:rPr>
                <w:rFonts w:ascii="Times New Roman"/>
                <w:sz w:val="16"/>
              </w:rPr>
            </w:pPr>
          </w:p>
        </w:tc>
        <w:tc>
          <w:tcPr>
            <w:tcW w:w="1574" w:type="dxa"/>
          </w:tcPr>
          <w:p>
            <w:pPr>
              <w:pStyle w:val="TableParagraph"/>
              <w:rPr>
                <w:rFonts w:ascii="Times New Roman"/>
                <w:sz w:val="16"/>
              </w:rPr>
            </w:pPr>
          </w:p>
        </w:tc>
        <w:tc>
          <w:tcPr>
            <w:tcW w:w="1396" w:type="dxa"/>
          </w:tcPr>
          <w:p>
            <w:pPr>
              <w:pStyle w:val="TableParagraph"/>
              <w:rPr>
                <w:rFonts w:ascii="Times New Roman"/>
                <w:sz w:val="16"/>
              </w:rPr>
            </w:pPr>
          </w:p>
        </w:tc>
        <w:tc>
          <w:tcPr>
            <w:tcW w:w="1460" w:type="dxa"/>
          </w:tcPr>
          <w:p>
            <w:pPr>
              <w:pStyle w:val="TableParagraph"/>
              <w:rPr>
                <w:rFonts w:ascii="Times New Roman"/>
                <w:sz w:val="16"/>
              </w:rPr>
            </w:pPr>
          </w:p>
        </w:tc>
      </w:tr>
      <w:tr>
        <w:trPr>
          <w:trHeight w:val="777" w:hRule="atLeast"/>
        </w:trPr>
        <w:tc>
          <w:tcPr>
            <w:tcW w:w="709" w:type="dxa"/>
          </w:tcPr>
          <w:p>
            <w:pPr>
              <w:pStyle w:val="TableParagraph"/>
              <w:ind w:left="151"/>
              <w:rPr>
                <w:sz w:val="16"/>
              </w:rPr>
            </w:pPr>
            <w:r>
              <w:rPr>
                <w:spacing w:val="-5"/>
                <w:sz w:val="16"/>
              </w:rPr>
              <w:t>11.</w:t>
            </w:r>
          </w:p>
        </w:tc>
        <w:tc>
          <w:tcPr>
            <w:tcW w:w="6379" w:type="dxa"/>
          </w:tcPr>
          <w:p>
            <w:pPr>
              <w:pStyle w:val="TableParagraph"/>
              <w:ind w:left="108"/>
              <w:rPr>
                <w:sz w:val="16"/>
              </w:rPr>
            </w:pPr>
            <w:r>
              <w:rPr>
                <w:color w:val="0463C1"/>
                <w:sz w:val="16"/>
                <w:u w:val="single" w:color="0463C1"/>
              </w:rPr>
              <w:t>Oral</w:t>
            </w:r>
            <w:r>
              <w:rPr>
                <w:color w:val="0463C1"/>
                <w:spacing w:val="-5"/>
                <w:sz w:val="16"/>
                <w:u w:val="single" w:color="0463C1"/>
              </w:rPr>
              <w:t> </w:t>
            </w:r>
            <w:r>
              <w:rPr>
                <w:color w:val="0463C1"/>
                <w:spacing w:val="-2"/>
                <w:sz w:val="16"/>
                <w:u w:val="single" w:color="0463C1"/>
              </w:rPr>
              <w:t>Liquids</w:t>
            </w:r>
          </w:p>
          <w:p>
            <w:pPr>
              <w:pStyle w:val="TableParagraph"/>
              <w:ind w:left="108"/>
              <w:rPr>
                <w:sz w:val="16"/>
              </w:rPr>
            </w:pPr>
            <w:r>
              <w:rPr>
                <w:sz w:val="16"/>
              </w:rPr>
              <w:t>It</w:t>
            </w:r>
            <w:r>
              <w:rPr>
                <w:spacing w:val="-4"/>
                <w:sz w:val="16"/>
              </w:rPr>
              <w:t> </w:t>
            </w:r>
            <w:r>
              <w:rPr>
                <w:sz w:val="16"/>
              </w:rPr>
              <w:t>consists</w:t>
            </w:r>
            <w:r>
              <w:rPr>
                <w:spacing w:val="-4"/>
                <w:sz w:val="16"/>
              </w:rPr>
              <w:t> </w:t>
            </w:r>
            <w:r>
              <w:rPr>
                <w:sz w:val="16"/>
              </w:rPr>
              <w:t>of</w:t>
            </w:r>
            <w:r>
              <w:rPr>
                <w:spacing w:val="-4"/>
                <w:sz w:val="16"/>
              </w:rPr>
              <w:t> </w:t>
            </w:r>
            <w:r>
              <w:rPr>
                <w:sz w:val="16"/>
              </w:rPr>
              <w:t>all</w:t>
            </w:r>
            <w:r>
              <w:rPr>
                <w:spacing w:val="-3"/>
                <w:sz w:val="16"/>
              </w:rPr>
              <w:t> </w:t>
            </w:r>
            <w:r>
              <w:rPr>
                <w:sz w:val="16"/>
              </w:rPr>
              <w:t>Generic</w:t>
            </w:r>
            <w:r>
              <w:rPr>
                <w:spacing w:val="-4"/>
                <w:sz w:val="16"/>
              </w:rPr>
              <w:t> </w:t>
            </w:r>
            <w:r>
              <w:rPr>
                <w:sz w:val="16"/>
              </w:rPr>
              <w:t>liquids,</w:t>
            </w:r>
            <w:r>
              <w:rPr>
                <w:spacing w:val="-4"/>
                <w:sz w:val="16"/>
              </w:rPr>
              <w:t> </w:t>
            </w:r>
            <w:r>
              <w:rPr>
                <w:sz w:val="16"/>
              </w:rPr>
              <w:t>syrups,</w:t>
            </w:r>
            <w:r>
              <w:rPr>
                <w:spacing w:val="-4"/>
                <w:sz w:val="16"/>
              </w:rPr>
              <w:t> </w:t>
            </w:r>
            <w:r>
              <w:rPr>
                <w:sz w:val="16"/>
              </w:rPr>
              <w:t>solutions,</w:t>
            </w:r>
            <w:r>
              <w:rPr>
                <w:spacing w:val="-4"/>
                <w:sz w:val="16"/>
              </w:rPr>
              <w:t> </w:t>
            </w:r>
            <w:r>
              <w:rPr>
                <w:sz w:val="16"/>
              </w:rPr>
              <w:t>suspensions</w:t>
            </w:r>
            <w:r>
              <w:rPr>
                <w:spacing w:val="-4"/>
                <w:sz w:val="16"/>
              </w:rPr>
              <w:t> </w:t>
            </w:r>
            <w:r>
              <w:rPr>
                <w:sz w:val="16"/>
              </w:rPr>
              <w:t>and</w:t>
            </w:r>
            <w:r>
              <w:rPr>
                <w:spacing w:val="-3"/>
                <w:sz w:val="16"/>
              </w:rPr>
              <w:t> </w:t>
            </w:r>
            <w:r>
              <w:rPr>
                <w:sz w:val="16"/>
              </w:rPr>
              <w:t>powders purchased through hospital Pharmacy Departments.</w:t>
            </w:r>
          </w:p>
          <w:p>
            <w:pPr>
              <w:pStyle w:val="TableParagraph"/>
              <w:spacing w:line="174" w:lineRule="exact"/>
              <w:ind w:left="108"/>
              <w:rPr>
                <w:sz w:val="16"/>
              </w:rPr>
            </w:pPr>
            <w:r>
              <w:rPr>
                <w:sz w:val="16"/>
              </w:rPr>
              <w:t>Contract:</w:t>
            </w:r>
            <w:r>
              <w:rPr>
                <w:spacing w:val="-3"/>
                <w:sz w:val="16"/>
              </w:rPr>
              <w:t> </w:t>
            </w:r>
            <w:r>
              <w:rPr>
                <w:sz w:val="16"/>
              </w:rPr>
              <w:t>01/07/2023</w:t>
            </w:r>
            <w:r>
              <w:rPr>
                <w:spacing w:val="-3"/>
                <w:sz w:val="16"/>
              </w:rPr>
              <w:t> </w:t>
            </w:r>
            <w:r>
              <w:rPr>
                <w:sz w:val="16"/>
              </w:rPr>
              <w:t>to</w:t>
            </w:r>
            <w:r>
              <w:rPr>
                <w:spacing w:val="-4"/>
                <w:sz w:val="16"/>
              </w:rPr>
              <w:t> </w:t>
            </w:r>
            <w:r>
              <w:rPr>
                <w:sz w:val="16"/>
              </w:rPr>
              <w:t>30/06/2026</w:t>
            </w:r>
            <w:r>
              <w:rPr>
                <w:spacing w:val="-3"/>
                <w:sz w:val="16"/>
              </w:rPr>
              <w:t> </w:t>
            </w:r>
            <w:r>
              <w:rPr>
                <w:spacing w:val="-5"/>
                <w:sz w:val="16"/>
              </w:rPr>
              <w:t>+1</w:t>
            </w:r>
          </w:p>
        </w:tc>
        <w:tc>
          <w:tcPr>
            <w:tcW w:w="1276" w:type="dxa"/>
          </w:tcPr>
          <w:p>
            <w:pPr>
              <w:pStyle w:val="TableParagraph"/>
              <w:ind w:left="107"/>
              <w:rPr>
                <w:sz w:val="16"/>
              </w:rPr>
            </w:pPr>
            <w:r>
              <w:rPr>
                <w:spacing w:val="-2"/>
                <w:sz w:val="16"/>
              </w:rPr>
              <w:t>Briefing</w:t>
            </w:r>
          </w:p>
        </w:tc>
        <w:tc>
          <w:tcPr>
            <w:tcW w:w="1701" w:type="dxa"/>
          </w:tcPr>
          <w:p>
            <w:pPr>
              <w:pStyle w:val="TableParagraph"/>
              <w:ind w:right="96"/>
              <w:jc w:val="right"/>
              <w:rPr>
                <w:sz w:val="16"/>
              </w:rPr>
            </w:pPr>
            <w:r>
              <w:rPr>
                <w:spacing w:val="-2"/>
                <w:sz w:val="16"/>
              </w:rPr>
              <w:t>£10,788,379</w:t>
            </w:r>
          </w:p>
        </w:tc>
        <w:tc>
          <w:tcPr>
            <w:tcW w:w="1417" w:type="dxa"/>
          </w:tcPr>
          <w:p>
            <w:pPr>
              <w:pStyle w:val="TableParagraph"/>
              <w:ind w:left="108"/>
              <w:rPr>
                <w:sz w:val="16"/>
              </w:rPr>
            </w:pPr>
            <w:r>
              <w:rPr>
                <w:spacing w:val="-2"/>
                <w:sz w:val="16"/>
              </w:rPr>
              <w:t>25/11/2022</w:t>
            </w:r>
          </w:p>
        </w:tc>
        <w:tc>
          <w:tcPr>
            <w:tcW w:w="1574" w:type="dxa"/>
          </w:tcPr>
          <w:p>
            <w:pPr>
              <w:pStyle w:val="TableParagraph"/>
              <w:ind w:left="107"/>
              <w:rPr>
                <w:sz w:val="16"/>
              </w:rPr>
            </w:pPr>
            <w:r>
              <w:rPr>
                <w:spacing w:val="-2"/>
                <w:sz w:val="16"/>
              </w:rPr>
              <w:t>30/11/2022</w:t>
            </w:r>
          </w:p>
        </w:tc>
        <w:tc>
          <w:tcPr>
            <w:tcW w:w="1396" w:type="dxa"/>
          </w:tcPr>
          <w:p>
            <w:pPr>
              <w:pStyle w:val="TableParagraph"/>
              <w:ind w:left="107"/>
              <w:rPr>
                <w:sz w:val="16"/>
              </w:rPr>
            </w:pPr>
            <w:r>
              <w:rPr>
                <w:spacing w:val="-5"/>
                <w:sz w:val="16"/>
              </w:rPr>
              <w:t>n/a</w:t>
            </w:r>
          </w:p>
        </w:tc>
        <w:tc>
          <w:tcPr>
            <w:tcW w:w="1460" w:type="dxa"/>
          </w:tcPr>
          <w:p>
            <w:pPr>
              <w:pStyle w:val="TableParagraph"/>
              <w:ind w:left="107"/>
              <w:rPr>
                <w:sz w:val="16"/>
              </w:rPr>
            </w:pPr>
            <w:r>
              <w:rPr>
                <w:spacing w:val="-5"/>
                <w:sz w:val="16"/>
              </w:rPr>
              <w:t>n/a</w:t>
            </w:r>
          </w:p>
        </w:tc>
      </w:tr>
      <w:tr>
        <w:trPr>
          <w:trHeight w:val="777" w:hRule="atLeast"/>
        </w:trPr>
        <w:tc>
          <w:tcPr>
            <w:tcW w:w="709" w:type="dxa"/>
          </w:tcPr>
          <w:p>
            <w:pPr>
              <w:pStyle w:val="TableParagraph"/>
              <w:ind w:left="151"/>
              <w:rPr>
                <w:sz w:val="16"/>
              </w:rPr>
            </w:pPr>
            <w:r>
              <w:rPr>
                <w:spacing w:val="-5"/>
                <w:sz w:val="16"/>
              </w:rPr>
              <w:t>12.</w:t>
            </w:r>
          </w:p>
        </w:tc>
        <w:tc>
          <w:tcPr>
            <w:tcW w:w="6379" w:type="dxa"/>
          </w:tcPr>
          <w:p>
            <w:pPr>
              <w:pStyle w:val="TableParagraph"/>
              <w:ind w:left="108"/>
              <w:rPr>
                <w:sz w:val="16"/>
              </w:rPr>
            </w:pPr>
            <w:r>
              <w:rPr>
                <w:color w:val="0463C1"/>
                <w:sz w:val="16"/>
                <w:u w:val="single" w:color="0463C1"/>
              </w:rPr>
              <w:t>Eating</w:t>
            </w:r>
            <w:r>
              <w:rPr>
                <w:color w:val="0463C1"/>
                <w:spacing w:val="-6"/>
                <w:sz w:val="16"/>
                <w:u w:val="single" w:color="0463C1"/>
              </w:rPr>
              <w:t> </w:t>
            </w:r>
            <w:r>
              <w:rPr>
                <w:color w:val="0463C1"/>
                <w:sz w:val="16"/>
                <w:u w:val="single" w:color="0463C1"/>
              </w:rPr>
              <w:t>disorder</w:t>
            </w:r>
            <w:r>
              <w:rPr>
                <w:color w:val="0463C1"/>
                <w:spacing w:val="-3"/>
                <w:sz w:val="16"/>
                <w:u w:val="single" w:color="0463C1"/>
              </w:rPr>
              <w:t> </w:t>
            </w:r>
            <w:r>
              <w:rPr>
                <w:color w:val="0463C1"/>
                <w:spacing w:val="-4"/>
                <w:sz w:val="16"/>
                <w:u w:val="single" w:color="0463C1"/>
              </w:rPr>
              <w:t>units</w:t>
            </w:r>
          </w:p>
          <w:p>
            <w:pPr>
              <w:pStyle w:val="TableParagraph"/>
              <w:ind w:left="108"/>
              <w:rPr>
                <w:sz w:val="16"/>
              </w:rPr>
            </w:pPr>
            <w:r>
              <w:rPr>
                <w:sz w:val="16"/>
              </w:rPr>
              <w:t>Eating disorders are a range of complex mental health conditions requiring specialised treatment and support for individuals.</w:t>
            </w:r>
          </w:p>
          <w:p>
            <w:pPr>
              <w:pStyle w:val="TableParagraph"/>
              <w:spacing w:line="174" w:lineRule="exact"/>
              <w:ind w:left="108"/>
              <w:rPr>
                <w:sz w:val="16"/>
              </w:rPr>
            </w:pPr>
            <w:r>
              <w:rPr>
                <w:sz w:val="16"/>
              </w:rPr>
              <w:t>Contract:</w:t>
            </w:r>
            <w:r>
              <w:rPr>
                <w:spacing w:val="-4"/>
                <w:sz w:val="16"/>
              </w:rPr>
              <w:t> </w:t>
            </w:r>
            <w:r>
              <w:rPr>
                <w:sz w:val="16"/>
              </w:rPr>
              <w:t>1</w:t>
            </w:r>
            <w:r>
              <w:rPr>
                <w:position w:val="5"/>
                <w:sz w:val="10"/>
              </w:rPr>
              <w:t>st</w:t>
            </w:r>
            <w:r>
              <w:rPr>
                <w:spacing w:val="19"/>
                <w:position w:val="5"/>
                <w:sz w:val="10"/>
              </w:rPr>
              <w:t> </w:t>
            </w:r>
            <w:r>
              <w:rPr>
                <w:sz w:val="16"/>
              </w:rPr>
              <w:t>April</w:t>
            </w:r>
            <w:r>
              <w:rPr>
                <w:spacing w:val="-1"/>
                <w:sz w:val="16"/>
              </w:rPr>
              <w:t> </w:t>
            </w:r>
            <w:r>
              <w:rPr>
                <w:sz w:val="16"/>
              </w:rPr>
              <w:t>2023</w:t>
            </w:r>
            <w:r>
              <w:rPr>
                <w:spacing w:val="-2"/>
                <w:sz w:val="16"/>
              </w:rPr>
              <w:t> </w:t>
            </w:r>
            <w:r>
              <w:rPr>
                <w:sz w:val="16"/>
              </w:rPr>
              <w:t>to</w:t>
            </w:r>
            <w:r>
              <w:rPr>
                <w:spacing w:val="-2"/>
                <w:sz w:val="16"/>
              </w:rPr>
              <w:t> </w:t>
            </w:r>
            <w:r>
              <w:rPr>
                <w:sz w:val="16"/>
              </w:rPr>
              <w:t>31</w:t>
            </w:r>
            <w:r>
              <w:rPr>
                <w:position w:val="5"/>
                <w:sz w:val="10"/>
              </w:rPr>
              <w:t>st</w:t>
            </w:r>
            <w:r>
              <w:rPr>
                <w:spacing w:val="19"/>
                <w:position w:val="5"/>
                <w:sz w:val="10"/>
              </w:rPr>
              <w:t> </w:t>
            </w:r>
            <w:r>
              <w:rPr>
                <w:sz w:val="16"/>
              </w:rPr>
              <w:t>March</w:t>
            </w:r>
            <w:r>
              <w:rPr>
                <w:spacing w:val="-2"/>
                <w:sz w:val="16"/>
              </w:rPr>
              <w:t> </w:t>
            </w:r>
            <w:r>
              <w:rPr>
                <w:sz w:val="16"/>
              </w:rPr>
              <w:t>2025</w:t>
            </w:r>
            <w:r>
              <w:rPr>
                <w:spacing w:val="-1"/>
                <w:sz w:val="16"/>
              </w:rPr>
              <w:t> </w:t>
            </w:r>
            <w:r>
              <w:rPr>
                <w:spacing w:val="-5"/>
                <w:sz w:val="16"/>
              </w:rPr>
              <w:t>+3</w:t>
            </w:r>
          </w:p>
        </w:tc>
        <w:tc>
          <w:tcPr>
            <w:tcW w:w="1276" w:type="dxa"/>
          </w:tcPr>
          <w:p>
            <w:pPr>
              <w:pStyle w:val="TableParagraph"/>
              <w:ind w:left="107"/>
              <w:rPr>
                <w:sz w:val="16"/>
              </w:rPr>
            </w:pPr>
            <w:r>
              <w:rPr>
                <w:spacing w:val="-2"/>
                <w:sz w:val="16"/>
              </w:rPr>
              <w:t>Briefing</w:t>
            </w:r>
          </w:p>
        </w:tc>
        <w:tc>
          <w:tcPr>
            <w:tcW w:w="1701" w:type="dxa"/>
          </w:tcPr>
          <w:p>
            <w:pPr>
              <w:pStyle w:val="TableParagraph"/>
              <w:ind w:right="96"/>
              <w:jc w:val="right"/>
              <w:rPr>
                <w:sz w:val="16"/>
              </w:rPr>
            </w:pPr>
            <w:r>
              <w:rPr>
                <w:spacing w:val="-2"/>
                <w:sz w:val="16"/>
              </w:rPr>
              <w:t>£10,950,000</w:t>
            </w:r>
          </w:p>
        </w:tc>
        <w:tc>
          <w:tcPr>
            <w:tcW w:w="1417" w:type="dxa"/>
          </w:tcPr>
          <w:p>
            <w:pPr>
              <w:pStyle w:val="TableParagraph"/>
              <w:ind w:left="108"/>
              <w:rPr>
                <w:sz w:val="16"/>
              </w:rPr>
            </w:pPr>
            <w:r>
              <w:rPr>
                <w:spacing w:val="-2"/>
                <w:sz w:val="16"/>
              </w:rPr>
              <w:t>25/11/2022</w:t>
            </w:r>
          </w:p>
        </w:tc>
        <w:tc>
          <w:tcPr>
            <w:tcW w:w="1574" w:type="dxa"/>
          </w:tcPr>
          <w:p>
            <w:pPr>
              <w:pStyle w:val="TableParagraph"/>
              <w:ind w:left="107"/>
              <w:rPr>
                <w:sz w:val="16"/>
              </w:rPr>
            </w:pPr>
            <w:r>
              <w:rPr>
                <w:spacing w:val="-2"/>
                <w:sz w:val="16"/>
              </w:rPr>
              <w:t>20/12/2022</w:t>
            </w:r>
          </w:p>
        </w:tc>
        <w:tc>
          <w:tcPr>
            <w:tcW w:w="1396" w:type="dxa"/>
          </w:tcPr>
          <w:p>
            <w:pPr>
              <w:pStyle w:val="TableParagraph"/>
              <w:ind w:left="107"/>
              <w:rPr>
                <w:sz w:val="16"/>
              </w:rPr>
            </w:pPr>
            <w:r>
              <w:rPr>
                <w:spacing w:val="-5"/>
                <w:sz w:val="16"/>
              </w:rPr>
              <w:t>n/a</w:t>
            </w:r>
          </w:p>
        </w:tc>
        <w:tc>
          <w:tcPr>
            <w:tcW w:w="1460" w:type="dxa"/>
          </w:tcPr>
          <w:p>
            <w:pPr>
              <w:pStyle w:val="TableParagraph"/>
              <w:ind w:left="107"/>
              <w:rPr>
                <w:sz w:val="16"/>
              </w:rPr>
            </w:pPr>
            <w:r>
              <w:rPr>
                <w:spacing w:val="-5"/>
                <w:sz w:val="16"/>
              </w:rPr>
              <w:t>n/a</w:t>
            </w:r>
          </w:p>
        </w:tc>
      </w:tr>
      <w:tr>
        <w:trPr>
          <w:trHeight w:val="1166" w:hRule="atLeast"/>
        </w:trPr>
        <w:tc>
          <w:tcPr>
            <w:tcW w:w="709" w:type="dxa"/>
          </w:tcPr>
          <w:p>
            <w:pPr>
              <w:pStyle w:val="TableParagraph"/>
              <w:ind w:left="151"/>
              <w:rPr>
                <w:sz w:val="16"/>
              </w:rPr>
            </w:pPr>
            <w:r>
              <w:rPr>
                <w:spacing w:val="-5"/>
                <w:sz w:val="16"/>
              </w:rPr>
              <w:t>13.</w:t>
            </w:r>
          </w:p>
        </w:tc>
        <w:tc>
          <w:tcPr>
            <w:tcW w:w="6379" w:type="dxa"/>
          </w:tcPr>
          <w:p>
            <w:pPr>
              <w:pStyle w:val="TableParagraph"/>
              <w:ind w:left="108"/>
              <w:jc w:val="both"/>
              <w:rPr>
                <w:sz w:val="16"/>
              </w:rPr>
            </w:pPr>
            <w:r>
              <w:rPr>
                <w:color w:val="0463C1"/>
                <w:sz w:val="16"/>
                <w:u w:val="single" w:color="0463C1"/>
              </w:rPr>
              <w:t>Emergency</w:t>
            </w:r>
            <w:r>
              <w:rPr>
                <w:color w:val="0463C1"/>
                <w:spacing w:val="-7"/>
                <w:sz w:val="16"/>
                <w:u w:val="single" w:color="0463C1"/>
              </w:rPr>
              <w:t> </w:t>
            </w:r>
            <w:r>
              <w:rPr>
                <w:color w:val="0463C1"/>
                <w:sz w:val="16"/>
                <w:u w:val="single" w:color="0463C1"/>
              </w:rPr>
              <w:t>Department</w:t>
            </w:r>
            <w:r>
              <w:rPr>
                <w:color w:val="0463C1"/>
                <w:spacing w:val="-4"/>
                <w:sz w:val="16"/>
                <w:u w:val="single" w:color="0463C1"/>
              </w:rPr>
              <w:t> </w:t>
            </w:r>
            <w:r>
              <w:rPr>
                <w:color w:val="0463C1"/>
                <w:sz w:val="16"/>
                <w:u w:val="single" w:color="0463C1"/>
              </w:rPr>
              <w:t>Well-being</w:t>
            </w:r>
            <w:r>
              <w:rPr>
                <w:color w:val="0463C1"/>
                <w:spacing w:val="-5"/>
                <w:sz w:val="16"/>
                <w:u w:val="single" w:color="0463C1"/>
              </w:rPr>
              <w:t> </w:t>
            </w:r>
            <w:r>
              <w:rPr>
                <w:color w:val="0463C1"/>
                <w:sz w:val="16"/>
                <w:u w:val="single" w:color="0463C1"/>
              </w:rPr>
              <w:t>and</w:t>
            </w:r>
            <w:r>
              <w:rPr>
                <w:color w:val="0463C1"/>
                <w:spacing w:val="-4"/>
                <w:sz w:val="16"/>
                <w:u w:val="single" w:color="0463C1"/>
              </w:rPr>
              <w:t> </w:t>
            </w:r>
            <w:r>
              <w:rPr>
                <w:color w:val="0463C1"/>
                <w:sz w:val="16"/>
                <w:u w:val="single" w:color="0463C1"/>
              </w:rPr>
              <w:t>Home</w:t>
            </w:r>
            <w:r>
              <w:rPr>
                <w:color w:val="0463C1"/>
                <w:spacing w:val="-5"/>
                <w:sz w:val="16"/>
                <w:u w:val="single" w:color="0463C1"/>
              </w:rPr>
              <w:t> </w:t>
            </w:r>
            <w:r>
              <w:rPr>
                <w:color w:val="0463C1"/>
                <w:sz w:val="16"/>
                <w:u w:val="single" w:color="0463C1"/>
              </w:rPr>
              <w:t>Safe</w:t>
            </w:r>
            <w:r>
              <w:rPr>
                <w:color w:val="0463C1"/>
                <w:spacing w:val="-4"/>
                <w:sz w:val="16"/>
                <w:u w:val="single" w:color="0463C1"/>
              </w:rPr>
              <w:t> </w:t>
            </w:r>
            <w:r>
              <w:rPr>
                <w:color w:val="0463C1"/>
                <w:spacing w:val="-2"/>
                <w:sz w:val="16"/>
                <w:u w:val="single" w:color="0463C1"/>
              </w:rPr>
              <w:t>Service</w:t>
            </w:r>
          </w:p>
          <w:p>
            <w:pPr>
              <w:pStyle w:val="TableParagraph"/>
              <w:ind w:left="108" w:right="95"/>
              <w:jc w:val="both"/>
              <w:rPr>
                <w:sz w:val="16"/>
              </w:rPr>
            </w:pPr>
            <w:r>
              <w:rPr>
                <w:sz w:val="16"/>
              </w:rPr>
              <w:t>Offer support for frail older people and vulnerable adults in emergency departments</w:t>
            </w:r>
            <w:r>
              <w:rPr>
                <w:spacing w:val="-15"/>
                <w:sz w:val="16"/>
              </w:rPr>
              <w:t> </w:t>
            </w:r>
            <w:r>
              <w:rPr>
                <w:sz w:val="16"/>
              </w:rPr>
              <w:t>and</w:t>
            </w:r>
            <w:r>
              <w:rPr>
                <w:spacing w:val="-14"/>
                <w:sz w:val="16"/>
              </w:rPr>
              <w:t> </w:t>
            </w:r>
            <w:r>
              <w:rPr>
                <w:sz w:val="16"/>
              </w:rPr>
              <w:t>to</w:t>
            </w:r>
            <w:r>
              <w:rPr>
                <w:spacing w:val="-14"/>
                <w:sz w:val="16"/>
              </w:rPr>
              <w:t> </w:t>
            </w:r>
            <w:r>
              <w:rPr>
                <w:sz w:val="16"/>
              </w:rPr>
              <w:t>resettle</w:t>
            </w:r>
            <w:r>
              <w:rPr>
                <w:spacing w:val="-14"/>
                <w:sz w:val="16"/>
              </w:rPr>
              <w:t> </w:t>
            </w:r>
            <w:r>
              <w:rPr>
                <w:sz w:val="16"/>
              </w:rPr>
              <w:t>people</w:t>
            </w:r>
            <w:r>
              <w:rPr>
                <w:spacing w:val="-14"/>
                <w:sz w:val="16"/>
              </w:rPr>
              <w:t> </w:t>
            </w:r>
            <w:r>
              <w:rPr>
                <w:sz w:val="16"/>
              </w:rPr>
              <w:t>in</w:t>
            </w:r>
            <w:r>
              <w:rPr>
                <w:spacing w:val="-14"/>
                <w:sz w:val="16"/>
              </w:rPr>
              <w:t> </w:t>
            </w:r>
            <w:r>
              <w:rPr>
                <w:sz w:val="16"/>
              </w:rPr>
              <w:t>their</w:t>
            </w:r>
            <w:r>
              <w:rPr>
                <w:spacing w:val="-14"/>
                <w:sz w:val="16"/>
              </w:rPr>
              <w:t> </w:t>
            </w:r>
            <w:r>
              <w:rPr>
                <w:sz w:val="16"/>
              </w:rPr>
              <w:t>homes</w:t>
            </w:r>
            <w:r>
              <w:rPr>
                <w:spacing w:val="-14"/>
                <w:sz w:val="16"/>
              </w:rPr>
              <w:t> </w:t>
            </w:r>
            <w:r>
              <w:rPr>
                <w:sz w:val="16"/>
              </w:rPr>
              <w:t>with</w:t>
            </w:r>
            <w:r>
              <w:rPr>
                <w:spacing w:val="-14"/>
                <w:sz w:val="16"/>
              </w:rPr>
              <w:t> </w:t>
            </w:r>
            <w:r>
              <w:rPr>
                <w:sz w:val="16"/>
              </w:rPr>
              <w:t>follow-up</w:t>
            </w:r>
            <w:r>
              <w:rPr>
                <w:spacing w:val="-14"/>
                <w:sz w:val="16"/>
              </w:rPr>
              <w:t> </w:t>
            </w:r>
            <w:r>
              <w:rPr>
                <w:sz w:val="16"/>
              </w:rPr>
              <w:t>welfare</w:t>
            </w:r>
            <w:r>
              <w:rPr>
                <w:spacing w:val="-14"/>
                <w:sz w:val="16"/>
              </w:rPr>
              <w:t> </w:t>
            </w:r>
            <w:r>
              <w:rPr>
                <w:sz w:val="16"/>
              </w:rPr>
              <w:t>calls or visits and where necessary to connect them to community services to avoid readmission into the emergency department.</w:t>
            </w:r>
          </w:p>
          <w:p>
            <w:pPr>
              <w:pStyle w:val="TableParagraph"/>
              <w:spacing w:line="174" w:lineRule="exact"/>
              <w:ind w:left="108"/>
              <w:jc w:val="both"/>
              <w:rPr>
                <w:sz w:val="16"/>
              </w:rPr>
            </w:pPr>
            <w:r>
              <w:rPr>
                <w:sz w:val="16"/>
              </w:rPr>
              <w:t>Contract:</w:t>
            </w:r>
            <w:r>
              <w:rPr>
                <w:spacing w:val="-4"/>
                <w:sz w:val="16"/>
              </w:rPr>
              <w:t> </w:t>
            </w:r>
            <w:r>
              <w:rPr>
                <w:sz w:val="16"/>
              </w:rPr>
              <w:t>1</w:t>
            </w:r>
            <w:r>
              <w:rPr>
                <w:position w:val="5"/>
                <w:sz w:val="10"/>
              </w:rPr>
              <w:t>st</w:t>
            </w:r>
            <w:r>
              <w:rPr>
                <w:spacing w:val="20"/>
                <w:position w:val="5"/>
                <w:sz w:val="10"/>
              </w:rPr>
              <w:t> </w:t>
            </w:r>
            <w:r>
              <w:rPr>
                <w:sz w:val="16"/>
              </w:rPr>
              <w:t>April</w:t>
            </w:r>
            <w:r>
              <w:rPr>
                <w:spacing w:val="-1"/>
                <w:sz w:val="16"/>
              </w:rPr>
              <w:t> </w:t>
            </w:r>
            <w:r>
              <w:rPr>
                <w:sz w:val="16"/>
              </w:rPr>
              <w:t>2023</w:t>
            </w:r>
            <w:r>
              <w:rPr>
                <w:spacing w:val="-2"/>
                <w:sz w:val="16"/>
              </w:rPr>
              <w:t> </w:t>
            </w:r>
            <w:r>
              <w:rPr>
                <w:sz w:val="16"/>
              </w:rPr>
              <w:t>–</w:t>
            </w:r>
            <w:r>
              <w:rPr>
                <w:spacing w:val="-1"/>
                <w:sz w:val="16"/>
              </w:rPr>
              <w:t> </w:t>
            </w:r>
            <w:r>
              <w:rPr>
                <w:sz w:val="16"/>
              </w:rPr>
              <w:t>31</w:t>
            </w:r>
            <w:r>
              <w:rPr>
                <w:position w:val="5"/>
                <w:sz w:val="10"/>
              </w:rPr>
              <w:t>st</w:t>
            </w:r>
            <w:r>
              <w:rPr>
                <w:spacing w:val="19"/>
                <w:position w:val="5"/>
                <w:sz w:val="10"/>
              </w:rPr>
              <w:t> </w:t>
            </w:r>
            <w:r>
              <w:rPr>
                <w:sz w:val="16"/>
              </w:rPr>
              <w:t>March</w:t>
            </w:r>
            <w:r>
              <w:rPr>
                <w:spacing w:val="-2"/>
                <w:sz w:val="16"/>
              </w:rPr>
              <w:t> </w:t>
            </w:r>
            <w:r>
              <w:rPr>
                <w:sz w:val="16"/>
              </w:rPr>
              <w:t>2024</w:t>
            </w:r>
            <w:r>
              <w:rPr>
                <w:spacing w:val="-1"/>
                <w:sz w:val="16"/>
              </w:rPr>
              <w:t> </w:t>
            </w:r>
            <w:r>
              <w:rPr>
                <w:spacing w:val="-5"/>
                <w:sz w:val="16"/>
              </w:rPr>
              <w:t>+2</w:t>
            </w:r>
          </w:p>
        </w:tc>
        <w:tc>
          <w:tcPr>
            <w:tcW w:w="1276" w:type="dxa"/>
          </w:tcPr>
          <w:p>
            <w:pPr>
              <w:pStyle w:val="TableParagraph"/>
              <w:ind w:left="107"/>
              <w:rPr>
                <w:sz w:val="16"/>
              </w:rPr>
            </w:pPr>
            <w:r>
              <w:rPr>
                <w:spacing w:val="-2"/>
                <w:sz w:val="16"/>
              </w:rPr>
              <w:t>Briefing</w:t>
            </w:r>
          </w:p>
        </w:tc>
        <w:tc>
          <w:tcPr>
            <w:tcW w:w="1701" w:type="dxa"/>
          </w:tcPr>
          <w:p>
            <w:pPr>
              <w:pStyle w:val="TableParagraph"/>
              <w:ind w:right="95"/>
              <w:jc w:val="right"/>
              <w:rPr>
                <w:sz w:val="16"/>
              </w:rPr>
            </w:pPr>
            <w:r>
              <w:rPr>
                <w:spacing w:val="-2"/>
                <w:sz w:val="16"/>
              </w:rPr>
              <w:t>£2,700,417</w:t>
            </w:r>
          </w:p>
        </w:tc>
        <w:tc>
          <w:tcPr>
            <w:tcW w:w="1417" w:type="dxa"/>
          </w:tcPr>
          <w:p>
            <w:pPr>
              <w:pStyle w:val="TableParagraph"/>
              <w:ind w:left="108"/>
              <w:rPr>
                <w:sz w:val="16"/>
              </w:rPr>
            </w:pPr>
            <w:r>
              <w:rPr>
                <w:sz w:val="16"/>
              </w:rPr>
              <w:t>AS</w:t>
            </w:r>
            <w:r>
              <w:rPr>
                <w:spacing w:val="-1"/>
                <w:sz w:val="16"/>
              </w:rPr>
              <w:t> </w:t>
            </w:r>
            <w:r>
              <w:rPr>
                <w:spacing w:val="-2"/>
                <w:sz w:val="16"/>
              </w:rPr>
              <w:t>23/11/22</w:t>
            </w:r>
          </w:p>
        </w:tc>
        <w:tc>
          <w:tcPr>
            <w:tcW w:w="1574" w:type="dxa"/>
          </w:tcPr>
          <w:p>
            <w:pPr>
              <w:pStyle w:val="TableParagraph"/>
              <w:ind w:left="107"/>
              <w:rPr>
                <w:sz w:val="16"/>
              </w:rPr>
            </w:pPr>
            <w:r>
              <w:rPr>
                <w:spacing w:val="-2"/>
                <w:sz w:val="16"/>
              </w:rPr>
              <w:t>14/12/2022</w:t>
            </w:r>
          </w:p>
        </w:tc>
        <w:tc>
          <w:tcPr>
            <w:tcW w:w="1396" w:type="dxa"/>
          </w:tcPr>
          <w:p>
            <w:pPr>
              <w:pStyle w:val="TableParagraph"/>
              <w:ind w:left="107"/>
              <w:rPr>
                <w:sz w:val="16"/>
              </w:rPr>
            </w:pPr>
            <w:r>
              <w:rPr>
                <w:spacing w:val="-5"/>
                <w:sz w:val="16"/>
              </w:rPr>
              <w:t>n/a</w:t>
            </w:r>
          </w:p>
        </w:tc>
        <w:tc>
          <w:tcPr>
            <w:tcW w:w="1460" w:type="dxa"/>
          </w:tcPr>
          <w:p>
            <w:pPr>
              <w:pStyle w:val="TableParagraph"/>
              <w:ind w:left="107"/>
              <w:rPr>
                <w:sz w:val="16"/>
              </w:rPr>
            </w:pPr>
            <w:r>
              <w:rPr>
                <w:spacing w:val="-5"/>
                <w:sz w:val="16"/>
              </w:rPr>
              <w:t>n/a</w:t>
            </w:r>
          </w:p>
        </w:tc>
      </w:tr>
      <w:tr>
        <w:trPr>
          <w:trHeight w:val="1166" w:hRule="atLeast"/>
        </w:trPr>
        <w:tc>
          <w:tcPr>
            <w:tcW w:w="709" w:type="dxa"/>
          </w:tcPr>
          <w:p>
            <w:pPr>
              <w:pStyle w:val="TableParagraph"/>
              <w:ind w:left="151"/>
              <w:rPr>
                <w:sz w:val="16"/>
              </w:rPr>
            </w:pPr>
            <w:r>
              <w:rPr>
                <w:spacing w:val="-5"/>
                <w:sz w:val="16"/>
              </w:rPr>
              <w:t>14.</w:t>
            </w:r>
          </w:p>
        </w:tc>
        <w:tc>
          <w:tcPr>
            <w:tcW w:w="6379" w:type="dxa"/>
          </w:tcPr>
          <w:p>
            <w:pPr>
              <w:pStyle w:val="TableParagraph"/>
              <w:ind w:left="108"/>
              <w:rPr>
                <w:sz w:val="16"/>
              </w:rPr>
            </w:pPr>
            <w:r>
              <w:rPr>
                <w:color w:val="0463C1"/>
                <w:sz w:val="16"/>
                <w:u w:val="single" w:color="0463C1"/>
              </w:rPr>
              <w:t>Primary</w:t>
            </w:r>
            <w:r>
              <w:rPr>
                <w:color w:val="0463C1"/>
                <w:spacing w:val="-4"/>
                <w:sz w:val="16"/>
                <w:u w:val="single" w:color="0463C1"/>
              </w:rPr>
              <w:t> </w:t>
            </w:r>
            <w:r>
              <w:rPr>
                <w:color w:val="0463C1"/>
                <w:sz w:val="16"/>
                <w:u w:val="single" w:color="0463C1"/>
              </w:rPr>
              <w:t>care</w:t>
            </w:r>
            <w:r>
              <w:rPr>
                <w:color w:val="0463C1"/>
                <w:spacing w:val="-4"/>
                <w:sz w:val="16"/>
                <w:u w:val="single" w:color="0463C1"/>
              </w:rPr>
              <w:t> </w:t>
            </w:r>
            <w:r>
              <w:rPr>
                <w:color w:val="0463C1"/>
                <w:sz w:val="16"/>
                <w:u w:val="single" w:color="0463C1"/>
              </w:rPr>
              <w:t>workforce</w:t>
            </w:r>
            <w:r>
              <w:rPr>
                <w:color w:val="0463C1"/>
                <w:spacing w:val="-4"/>
                <w:sz w:val="16"/>
                <w:u w:val="single" w:color="0463C1"/>
              </w:rPr>
              <w:t> </w:t>
            </w:r>
            <w:r>
              <w:rPr>
                <w:color w:val="0463C1"/>
                <w:sz w:val="16"/>
                <w:u w:val="single" w:color="0463C1"/>
              </w:rPr>
              <w:t>intelligence</w:t>
            </w:r>
            <w:r>
              <w:rPr>
                <w:color w:val="0463C1"/>
                <w:spacing w:val="-3"/>
                <w:sz w:val="16"/>
                <w:u w:val="single" w:color="0463C1"/>
              </w:rPr>
              <w:t> </w:t>
            </w:r>
            <w:r>
              <w:rPr>
                <w:color w:val="0463C1"/>
                <w:spacing w:val="-2"/>
                <w:sz w:val="16"/>
                <w:u w:val="single" w:color="0463C1"/>
              </w:rPr>
              <w:t>system</w:t>
            </w:r>
          </w:p>
          <w:p>
            <w:pPr>
              <w:pStyle w:val="TableParagraph"/>
              <w:ind w:left="108" w:right="83"/>
              <w:rPr>
                <w:sz w:val="16"/>
              </w:rPr>
            </w:pPr>
            <w:r>
              <w:rPr>
                <w:sz w:val="16"/>
              </w:rPr>
              <w:t>Procure a single system which brings the Performers List, All Wales Pharmacy Database, and the Primary Care Workforce Reporting System within</w:t>
            </w:r>
            <w:r>
              <w:rPr>
                <w:spacing w:val="-5"/>
                <w:sz w:val="16"/>
              </w:rPr>
              <w:t> </w:t>
            </w:r>
            <w:r>
              <w:rPr>
                <w:sz w:val="16"/>
              </w:rPr>
              <w:t>NWSSP</w:t>
            </w:r>
            <w:r>
              <w:rPr>
                <w:spacing w:val="-4"/>
                <w:sz w:val="16"/>
              </w:rPr>
              <w:t> </w:t>
            </w:r>
            <w:r>
              <w:rPr>
                <w:sz w:val="16"/>
              </w:rPr>
              <w:t>Primary</w:t>
            </w:r>
            <w:r>
              <w:rPr>
                <w:spacing w:val="-5"/>
                <w:sz w:val="16"/>
              </w:rPr>
              <w:t> </w:t>
            </w:r>
            <w:r>
              <w:rPr>
                <w:sz w:val="16"/>
              </w:rPr>
              <w:t>Care</w:t>
            </w:r>
            <w:r>
              <w:rPr>
                <w:spacing w:val="-5"/>
                <w:sz w:val="16"/>
              </w:rPr>
              <w:t> </w:t>
            </w:r>
            <w:r>
              <w:rPr>
                <w:sz w:val="16"/>
              </w:rPr>
              <w:t>services</w:t>
            </w:r>
            <w:r>
              <w:rPr>
                <w:spacing w:val="-4"/>
                <w:sz w:val="16"/>
              </w:rPr>
              <w:t> </w:t>
            </w:r>
            <w:r>
              <w:rPr>
                <w:sz w:val="16"/>
              </w:rPr>
              <w:t>and</w:t>
            </w:r>
            <w:r>
              <w:rPr>
                <w:spacing w:val="-4"/>
                <w:sz w:val="16"/>
              </w:rPr>
              <w:t> </w:t>
            </w:r>
            <w:r>
              <w:rPr>
                <w:sz w:val="16"/>
              </w:rPr>
              <w:t>Employment</w:t>
            </w:r>
            <w:r>
              <w:rPr>
                <w:spacing w:val="-4"/>
                <w:sz w:val="16"/>
              </w:rPr>
              <w:t> </w:t>
            </w:r>
            <w:r>
              <w:rPr>
                <w:sz w:val="16"/>
              </w:rPr>
              <w:t>Services</w:t>
            </w:r>
            <w:r>
              <w:rPr>
                <w:spacing w:val="-4"/>
                <w:sz w:val="16"/>
              </w:rPr>
              <w:t> </w:t>
            </w:r>
            <w:r>
              <w:rPr>
                <w:sz w:val="16"/>
              </w:rPr>
              <w:t>together</w:t>
            </w:r>
            <w:r>
              <w:rPr>
                <w:spacing w:val="-5"/>
                <w:sz w:val="16"/>
              </w:rPr>
              <w:t> </w:t>
            </w:r>
            <w:r>
              <w:rPr>
                <w:sz w:val="16"/>
              </w:rPr>
              <w:t>by April 2024.</w:t>
            </w:r>
          </w:p>
          <w:p>
            <w:pPr>
              <w:pStyle w:val="TableParagraph"/>
              <w:spacing w:line="174" w:lineRule="exact"/>
              <w:ind w:left="108"/>
              <w:rPr>
                <w:sz w:val="16"/>
              </w:rPr>
            </w:pPr>
            <w:r>
              <w:rPr>
                <w:sz w:val="16"/>
              </w:rPr>
              <w:t>Contract</w:t>
            </w:r>
            <w:r>
              <w:rPr>
                <w:spacing w:val="-2"/>
                <w:sz w:val="16"/>
              </w:rPr>
              <w:t> </w:t>
            </w:r>
            <w:r>
              <w:rPr>
                <w:sz w:val="16"/>
              </w:rPr>
              <w:t>1</w:t>
            </w:r>
            <w:r>
              <w:rPr>
                <w:position w:val="5"/>
                <w:sz w:val="10"/>
              </w:rPr>
              <w:t>st</w:t>
            </w:r>
            <w:r>
              <w:rPr>
                <w:spacing w:val="19"/>
                <w:position w:val="5"/>
                <w:sz w:val="10"/>
              </w:rPr>
              <w:t> </w:t>
            </w:r>
            <w:r>
              <w:rPr>
                <w:sz w:val="16"/>
              </w:rPr>
              <w:t>April</w:t>
            </w:r>
            <w:r>
              <w:rPr>
                <w:spacing w:val="-2"/>
                <w:sz w:val="16"/>
              </w:rPr>
              <w:t> </w:t>
            </w:r>
            <w:r>
              <w:rPr>
                <w:sz w:val="16"/>
              </w:rPr>
              <w:t>2023</w:t>
            </w:r>
            <w:r>
              <w:rPr>
                <w:spacing w:val="-1"/>
                <w:sz w:val="16"/>
              </w:rPr>
              <w:t> </w:t>
            </w:r>
            <w:r>
              <w:rPr>
                <w:sz w:val="16"/>
              </w:rPr>
              <w:t>–</w:t>
            </w:r>
            <w:r>
              <w:rPr>
                <w:spacing w:val="-1"/>
                <w:sz w:val="16"/>
              </w:rPr>
              <w:t> </w:t>
            </w:r>
            <w:r>
              <w:rPr>
                <w:spacing w:val="-5"/>
                <w:sz w:val="16"/>
              </w:rPr>
              <w:t>3+2</w:t>
            </w:r>
          </w:p>
        </w:tc>
        <w:tc>
          <w:tcPr>
            <w:tcW w:w="1276" w:type="dxa"/>
          </w:tcPr>
          <w:p>
            <w:pPr>
              <w:pStyle w:val="TableParagraph"/>
              <w:ind w:left="107"/>
              <w:rPr>
                <w:sz w:val="16"/>
              </w:rPr>
            </w:pPr>
            <w:r>
              <w:rPr>
                <w:spacing w:val="-2"/>
                <w:sz w:val="16"/>
              </w:rPr>
              <w:t>Briefing</w:t>
            </w:r>
          </w:p>
        </w:tc>
        <w:tc>
          <w:tcPr>
            <w:tcW w:w="1701" w:type="dxa"/>
          </w:tcPr>
          <w:p>
            <w:pPr>
              <w:pStyle w:val="TableParagraph"/>
              <w:ind w:right="95"/>
              <w:jc w:val="right"/>
              <w:rPr>
                <w:sz w:val="16"/>
              </w:rPr>
            </w:pPr>
            <w:r>
              <w:rPr>
                <w:spacing w:val="-2"/>
                <w:sz w:val="16"/>
              </w:rPr>
              <w:t>£960,000</w:t>
            </w:r>
          </w:p>
        </w:tc>
        <w:tc>
          <w:tcPr>
            <w:tcW w:w="1417" w:type="dxa"/>
          </w:tcPr>
          <w:p>
            <w:pPr>
              <w:pStyle w:val="TableParagraph"/>
              <w:ind w:left="108"/>
              <w:rPr>
                <w:sz w:val="16"/>
              </w:rPr>
            </w:pPr>
            <w:r>
              <w:rPr>
                <w:spacing w:val="-2"/>
                <w:sz w:val="16"/>
              </w:rPr>
              <w:t>01/12/2022</w:t>
            </w:r>
          </w:p>
        </w:tc>
        <w:tc>
          <w:tcPr>
            <w:tcW w:w="1574" w:type="dxa"/>
          </w:tcPr>
          <w:p>
            <w:pPr>
              <w:pStyle w:val="TableParagraph"/>
              <w:ind w:left="107" w:right="138"/>
              <w:rPr>
                <w:sz w:val="16"/>
              </w:rPr>
            </w:pPr>
            <w:r>
              <w:rPr>
                <w:sz w:val="16"/>
              </w:rPr>
              <w:t>sent</w:t>
            </w:r>
            <w:r>
              <w:rPr>
                <w:spacing w:val="-15"/>
                <w:sz w:val="16"/>
              </w:rPr>
              <w:t> </w:t>
            </w:r>
            <w:r>
              <w:rPr>
                <w:sz w:val="16"/>
              </w:rPr>
              <w:t>to</w:t>
            </w:r>
            <w:r>
              <w:rPr>
                <w:spacing w:val="-14"/>
                <w:sz w:val="16"/>
              </w:rPr>
              <w:t> </w:t>
            </w:r>
            <w:r>
              <w:rPr>
                <w:sz w:val="16"/>
              </w:rPr>
              <w:t>WG </w:t>
            </w:r>
            <w:r>
              <w:rPr>
                <w:spacing w:val="-2"/>
                <w:sz w:val="16"/>
              </w:rPr>
              <w:t>01/12</w:t>
            </w:r>
          </w:p>
        </w:tc>
        <w:tc>
          <w:tcPr>
            <w:tcW w:w="1396" w:type="dxa"/>
          </w:tcPr>
          <w:p>
            <w:pPr>
              <w:pStyle w:val="TableParagraph"/>
              <w:ind w:left="107"/>
              <w:rPr>
                <w:sz w:val="16"/>
              </w:rPr>
            </w:pPr>
            <w:r>
              <w:rPr>
                <w:spacing w:val="-5"/>
                <w:sz w:val="16"/>
              </w:rPr>
              <w:t>n/a</w:t>
            </w:r>
          </w:p>
        </w:tc>
        <w:tc>
          <w:tcPr>
            <w:tcW w:w="1460" w:type="dxa"/>
          </w:tcPr>
          <w:p>
            <w:pPr>
              <w:pStyle w:val="TableParagraph"/>
              <w:ind w:left="107"/>
              <w:rPr>
                <w:sz w:val="16"/>
              </w:rPr>
            </w:pPr>
            <w:r>
              <w:rPr>
                <w:spacing w:val="-5"/>
                <w:sz w:val="16"/>
              </w:rPr>
              <w:t>n/a</w:t>
            </w:r>
          </w:p>
        </w:tc>
      </w:tr>
      <w:tr>
        <w:trPr>
          <w:trHeight w:val="1750" w:hRule="atLeast"/>
        </w:trPr>
        <w:tc>
          <w:tcPr>
            <w:tcW w:w="709" w:type="dxa"/>
          </w:tcPr>
          <w:p>
            <w:pPr>
              <w:pStyle w:val="TableParagraph"/>
              <w:ind w:left="151"/>
              <w:rPr>
                <w:sz w:val="16"/>
              </w:rPr>
            </w:pPr>
            <w:r>
              <w:rPr>
                <w:spacing w:val="-5"/>
                <w:sz w:val="16"/>
              </w:rPr>
              <w:t>15.</w:t>
            </w:r>
          </w:p>
        </w:tc>
        <w:tc>
          <w:tcPr>
            <w:tcW w:w="6379" w:type="dxa"/>
          </w:tcPr>
          <w:p>
            <w:pPr>
              <w:pStyle w:val="TableParagraph"/>
              <w:ind w:left="108"/>
              <w:rPr>
                <w:sz w:val="16"/>
              </w:rPr>
            </w:pPr>
            <w:r>
              <w:rPr>
                <w:color w:val="0463C1"/>
                <w:sz w:val="16"/>
                <w:u w:val="single" w:color="0463C1"/>
              </w:rPr>
              <w:t>Human</w:t>
            </w:r>
            <w:r>
              <w:rPr>
                <w:color w:val="0463C1"/>
                <w:spacing w:val="-5"/>
                <w:sz w:val="16"/>
                <w:u w:val="single" w:color="0463C1"/>
              </w:rPr>
              <w:t> </w:t>
            </w:r>
            <w:r>
              <w:rPr>
                <w:color w:val="0463C1"/>
                <w:sz w:val="16"/>
                <w:u w:val="single" w:color="0463C1"/>
              </w:rPr>
              <w:t>blood</w:t>
            </w:r>
            <w:r>
              <w:rPr>
                <w:color w:val="0463C1"/>
                <w:spacing w:val="-3"/>
                <w:sz w:val="16"/>
                <w:u w:val="single" w:color="0463C1"/>
              </w:rPr>
              <w:t> </w:t>
            </w:r>
            <w:r>
              <w:rPr>
                <w:color w:val="0463C1"/>
                <w:sz w:val="16"/>
                <w:u w:val="single" w:color="0463C1"/>
              </w:rPr>
              <w:t>derived</w:t>
            </w:r>
            <w:r>
              <w:rPr>
                <w:color w:val="0463C1"/>
                <w:spacing w:val="-3"/>
                <w:sz w:val="16"/>
                <w:u w:val="single" w:color="0463C1"/>
              </w:rPr>
              <w:t> </w:t>
            </w:r>
            <w:r>
              <w:rPr>
                <w:color w:val="0463C1"/>
                <w:spacing w:val="-2"/>
                <w:sz w:val="16"/>
                <w:u w:val="single" w:color="0463C1"/>
              </w:rPr>
              <w:t>products</w:t>
            </w:r>
          </w:p>
          <w:p>
            <w:pPr>
              <w:pStyle w:val="TableParagraph"/>
              <w:ind w:left="108" w:right="104"/>
              <w:rPr>
                <w:sz w:val="16"/>
              </w:rPr>
            </w:pPr>
            <w:r>
              <w:rPr>
                <w:sz w:val="16"/>
              </w:rPr>
              <w:t>Human Blood Derived Products purchased by The Welsh Blood Service. The Welsh Blood Service operate a wholesaling service to All Wales LHB’s/Trusts.</w:t>
            </w:r>
            <w:r>
              <w:rPr>
                <w:spacing w:val="40"/>
                <w:sz w:val="16"/>
              </w:rPr>
              <w:t> </w:t>
            </w:r>
            <w:r>
              <w:rPr>
                <w:sz w:val="16"/>
              </w:rPr>
              <w:t>Due to shortages within this global market, it is necessary to ensure</w:t>
            </w:r>
            <w:r>
              <w:rPr>
                <w:spacing w:val="-4"/>
                <w:sz w:val="16"/>
              </w:rPr>
              <w:t> </w:t>
            </w:r>
            <w:r>
              <w:rPr>
                <w:sz w:val="16"/>
              </w:rPr>
              <w:t>that</w:t>
            </w:r>
            <w:r>
              <w:rPr>
                <w:spacing w:val="-4"/>
                <w:sz w:val="16"/>
              </w:rPr>
              <w:t> </w:t>
            </w:r>
            <w:r>
              <w:rPr>
                <w:sz w:val="16"/>
              </w:rPr>
              <w:t>some</w:t>
            </w:r>
            <w:r>
              <w:rPr>
                <w:spacing w:val="-4"/>
                <w:sz w:val="16"/>
              </w:rPr>
              <w:t> </w:t>
            </w:r>
            <w:r>
              <w:rPr>
                <w:sz w:val="16"/>
              </w:rPr>
              <w:t>of</w:t>
            </w:r>
            <w:r>
              <w:rPr>
                <w:spacing w:val="-4"/>
                <w:sz w:val="16"/>
              </w:rPr>
              <w:t> </w:t>
            </w:r>
            <w:r>
              <w:rPr>
                <w:sz w:val="16"/>
              </w:rPr>
              <w:t>the</w:t>
            </w:r>
            <w:r>
              <w:rPr>
                <w:spacing w:val="-4"/>
                <w:sz w:val="16"/>
              </w:rPr>
              <w:t> </w:t>
            </w:r>
            <w:r>
              <w:rPr>
                <w:sz w:val="16"/>
              </w:rPr>
              <w:t>products</w:t>
            </w:r>
            <w:r>
              <w:rPr>
                <w:spacing w:val="-4"/>
                <w:sz w:val="16"/>
              </w:rPr>
              <w:t> </w:t>
            </w:r>
            <w:r>
              <w:rPr>
                <w:sz w:val="16"/>
              </w:rPr>
              <w:t>i.e.</w:t>
            </w:r>
            <w:r>
              <w:rPr>
                <w:spacing w:val="-3"/>
                <w:sz w:val="16"/>
              </w:rPr>
              <w:t> </w:t>
            </w:r>
            <w:r>
              <w:rPr>
                <w:sz w:val="16"/>
              </w:rPr>
              <w:t>Immunoglobulin’s,</w:t>
            </w:r>
            <w:r>
              <w:rPr>
                <w:spacing w:val="-3"/>
                <w:sz w:val="16"/>
              </w:rPr>
              <w:t> </w:t>
            </w:r>
            <w:r>
              <w:rPr>
                <w:sz w:val="16"/>
              </w:rPr>
              <w:t>have</w:t>
            </w:r>
            <w:r>
              <w:rPr>
                <w:spacing w:val="-4"/>
                <w:sz w:val="16"/>
              </w:rPr>
              <w:t> </w:t>
            </w:r>
            <w:r>
              <w:rPr>
                <w:sz w:val="16"/>
              </w:rPr>
              <w:t>all</w:t>
            </w:r>
            <w:r>
              <w:rPr>
                <w:spacing w:val="-3"/>
                <w:sz w:val="16"/>
              </w:rPr>
              <w:t> </w:t>
            </w:r>
            <w:r>
              <w:rPr>
                <w:sz w:val="16"/>
              </w:rPr>
              <w:t>the</w:t>
            </w:r>
            <w:r>
              <w:rPr>
                <w:spacing w:val="-4"/>
                <w:sz w:val="16"/>
              </w:rPr>
              <w:t> </w:t>
            </w:r>
            <w:r>
              <w:rPr>
                <w:sz w:val="16"/>
              </w:rPr>
              <w:t>brands available</w:t>
            </w:r>
            <w:r>
              <w:rPr>
                <w:spacing w:val="-1"/>
                <w:sz w:val="16"/>
              </w:rPr>
              <w:t> </w:t>
            </w:r>
            <w:r>
              <w:rPr>
                <w:sz w:val="16"/>
              </w:rPr>
              <w:t>on</w:t>
            </w:r>
            <w:r>
              <w:rPr>
                <w:spacing w:val="-2"/>
                <w:sz w:val="16"/>
              </w:rPr>
              <w:t> </w:t>
            </w:r>
            <w:r>
              <w:rPr>
                <w:sz w:val="16"/>
              </w:rPr>
              <w:t>contract.</w:t>
            </w:r>
            <w:r>
              <w:rPr>
                <w:spacing w:val="-1"/>
                <w:sz w:val="16"/>
              </w:rPr>
              <w:t> </w:t>
            </w:r>
            <w:r>
              <w:rPr>
                <w:sz w:val="16"/>
              </w:rPr>
              <w:t>This</w:t>
            </w:r>
            <w:r>
              <w:rPr>
                <w:spacing w:val="-1"/>
                <w:sz w:val="16"/>
              </w:rPr>
              <w:t> </w:t>
            </w:r>
            <w:r>
              <w:rPr>
                <w:sz w:val="16"/>
              </w:rPr>
              <w:t>will</w:t>
            </w:r>
            <w:r>
              <w:rPr>
                <w:spacing w:val="-2"/>
                <w:sz w:val="16"/>
              </w:rPr>
              <w:t> </w:t>
            </w:r>
            <w:r>
              <w:rPr>
                <w:sz w:val="16"/>
              </w:rPr>
              <w:t>ensure</w:t>
            </w:r>
            <w:r>
              <w:rPr>
                <w:spacing w:val="-2"/>
                <w:sz w:val="16"/>
              </w:rPr>
              <w:t> </w:t>
            </w:r>
            <w:r>
              <w:rPr>
                <w:sz w:val="16"/>
              </w:rPr>
              <w:t>continuity</w:t>
            </w:r>
            <w:r>
              <w:rPr>
                <w:spacing w:val="-1"/>
                <w:sz w:val="16"/>
              </w:rPr>
              <w:t> </w:t>
            </w:r>
            <w:r>
              <w:rPr>
                <w:sz w:val="16"/>
              </w:rPr>
              <w:t>of</w:t>
            </w:r>
            <w:r>
              <w:rPr>
                <w:spacing w:val="-2"/>
                <w:sz w:val="16"/>
              </w:rPr>
              <w:t> </w:t>
            </w:r>
            <w:r>
              <w:rPr>
                <w:sz w:val="16"/>
              </w:rPr>
              <w:t>supply</w:t>
            </w:r>
            <w:r>
              <w:rPr>
                <w:spacing w:val="-2"/>
                <w:sz w:val="16"/>
              </w:rPr>
              <w:t> </w:t>
            </w:r>
            <w:r>
              <w:rPr>
                <w:sz w:val="16"/>
              </w:rPr>
              <w:t>and</w:t>
            </w:r>
            <w:r>
              <w:rPr>
                <w:spacing w:val="-1"/>
                <w:sz w:val="16"/>
              </w:rPr>
              <w:t> </w:t>
            </w:r>
            <w:r>
              <w:rPr>
                <w:sz w:val="16"/>
              </w:rPr>
              <w:t>will</w:t>
            </w:r>
            <w:r>
              <w:rPr>
                <w:spacing w:val="-1"/>
                <w:sz w:val="16"/>
              </w:rPr>
              <w:t> </w:t>
            </w:r>
            <w:r>
              <w:rPr>
                <w:sz w:val="16"/>
              </w:rPr>
              <w:t>allow</w:t>
            </w:r>
            <w:r>
              <w:rPr>
                <w:spacing w:val="-1"/>
                <w:sz w:val="16"/>
              </w:rPr>
              <w:t> </w:t>
            </w:r>
            <w:r>
              <w:rPr>
                <w:sz w:val="16"/>
              </w:rPr>
              <w:t>the Welsh</w:t>
            </w:r>
            <w:r>
              <w:rPr>
                <w:spacing w:val="-2"/>
                <w:sz w:val="16"/>
              </w:rPr>
              <w:t> </w:t>
            </w:r>
            <w:r>
              <w:rPr>
                <w:sz w:val="16"/>
              </w:rPr>
              <w:t>Blood</w:t>
            </w:r>
            <w:r>
              <w:rPr>
                <w:spacing w:val="-1"/>
                <w:sz w:val="16"/>
              </w:rPr>
              <w:t> </w:t>
            </w:r>
            <w:r>
              <w:rPr>
                <w:sz w:val="16"/>
              </w:rPr>
              <w:t>Service</w:t>
            </w:r>
            <w:r>
              <w:rPr>
                <w:spacing w:val="-2"/>
                <w:sz w:val="16"/>
              </w:rPr>
              <w:t> </w:t>
            </w:r>
            <w:r>
              <w:rPr>
                <w:sz w:val="16"/>
              </w:rPr>
              <w:t>to</w:t>
            </w:r>
            <w:r>
              <w:rPr>
                <w:spacing w:val="-1"/>
                <w:sz w:val="16"/>
              </w:rPr>
              <w:t> </w:t>
            </w:r>
            <w:r>
              <w:rPr>
                <w:sz w:val="16"/>
              </w:rPr>
              <w:t>stock</w:t>
            </w:r>
            <w:r>
              <w:rPr>
                <w:spacing w:val="-2"/>
                <w:sz w:val="16"/>
              </w:rPr>
              <w:t> </w:t>
            </w:r>
            <w:r>
              <w:rPr>
                <w:sz w:val="16"/>
              </w:rPr>
              <w:t>any</w:t>
            </w:r>
            <w:r>
              <w:rPr>
                <w:spacing w:val="-1"/>
                <w:sz w:val="16"/>
              </w:rPr>
              <w:t> </w:t>
            </w:r>
            <w:r>
              <w:rPr>
                <w:sz w:val="16"/>
              </w:rPr>
              <w:t>product</w:t>
            </w:r>
            <w:r>
              <w:rPr>
                <w:spacing w:val="-1"/>
                <w:sz w:val="16"/>
              </w:rPr>
              <w:t> </w:t>
            </w:r>
            <w:r>
              <w:rPr>
                <w:sz w:val="16"/>
              </w:rPr>
              <w:t>ordered</w:t>
            </w:r>
            <w:r>
              <w:rPr>
                <w:spacing w:val="-2"/>
                <w:sz w:val="16"/>
              </w:rPr>
              <w:t> </w:t>
            </w:r>
            <w:r>
              <w:rPr>
                <w:sz w:val="16"/>
              </w:rPr>
              <w:t>through</w:t>
            </w:r>
            <w:r>
              <w:rPr>
                <w:spacing w:val="-2"/>
                <w:sz w:val="16"/>
              </w:rPr>
              <w:t> </w:t>
            </w:r>
            <w:r>
              <w:rPr>
                <w:sz w:val="16"/>
              </w:rPr>
              <w:t>their</w:t>
            </w:r>
            <w:r>
              <w:rPr>
                <w:spacing w:val="-2"/>
                <w:sz w:val="16"/>
              </w:rPr>
              <w:t> </w:t>
            </w:r>
            <w:r>
              <w:rPr>
                <w:sz w:val="16"/>
              </w:rPr>
              <w:t>wholesaling </w:t>
            </w:r>
            <w:r>
              <w:rPr>
                <w:spacing w:val="-2"/>
                <w:sz w:val="16"/>
              </w:rPr>
              <w:t>service.</w:t>
            </w:r>
          </w:p>
          <w:p>
            <w:pPr>
              <w:pStyle w:val="TableParagraph"/>
              <w:spacing w:line="174" w:lineRule="exact"/>
              <w:ind w:left="108"/>
              <w:rPr>
                <w:sz w:val="16"/>
              </w:rPr>
            </w:pPr>
            <w:r>
              <w:rPr>
                <w:sz w:val="16"/>
              </w:rPr>
              <w:t>Contract:</w:t>
            </w:r>
            <w:r>
              <w:rPr>
                <w:spacing w:val="-2"/>
                <w:sz w:val="16"/>
              </w:rPr>
              <w:t> </w:t>
            </w:r>
            <w:r>
              <w:rPr>
                <w:sz w:val="16"/>
              </w:rPr>
              <w:t>1</w:t>
            </w:r>
            <w:r>
              <w:rPr>
                <w:position w:val="5"/>
                <w:sz w:val="10"/>
              </w:rPr>
              <w:t>st</w:t>
            </w:r>
            <w:r>
              <w:rPr>
                <w:spacing w:val="19"/>
                <w:position w:val="5"/>
                <w:sz w:val="10"/>
              </w:rPr>
              <w:t> </w:t>
            </w:r>
            <w:r>
              <w:rPr>
                <w:sz w:val="16"/>
              </w:rPr>
              <w:t>May</w:t>
            </w:r>
            <w:r>
              <w:rPr>
                <w:spacing w:val="-1"/>
                <w:sz w:val="16"/>
              </w:rPr>
              <w:t> </w:t>
            </w:r>
            <w:r>
              <w:rPr>
                <w:sz w:val="16"/>
              </w:rPr>
              <w:t>2020</w:t>
            </w:r>
            <w:r>
              <w:rPr>
                <w:spacing w:val="-2"/>
                <w:sz w:val="16"/>
              </w:rPr>
              <w:t> </w:t>
            </w:r>
            <w:r>
              <w:rPr>
                <w:sz w:val="16"/>
              </w:rPr>
              <w:t>to</w:t>
            </w:r>
            <w:r>
              <w:rPr>
                <w:spacing w:val="-2"/>
                <w:sz w:val="16"/>
              </w:rPr>
              <w:t> </w:t>
            </w:r>
            <w:r>
              <w:rPr>
                <w:sz w:val="16"/>
              </w:rPr>
              <w:t>30</w:t>
            </w:r>
            <w:r>
              <w:rPr>
                <w:position w:val="5"/>
                <w:sz w:val="10"/>
              </w:rPr>
              <w:t>th</w:t>
            </w:r>
            <w:r>
              <w:rPr>
                <w:spacing w:val="19"/>
                <w:position w:val="5"/>
                <w:sz w:val="10"/>
              </w:rPr>
              <w:t> </w:t>
            </w:r>
            <w:r>
              <w:rPr>
                <w:sz w:val="16"/>
              </w:rPr>
              <w:t>April</w:t>
            </w:r>
            <w:r>
              <w:rPr>
                <w:spacing w:val="-1"/>
                <w:sz w:val="16"/>
              </w:rPr>
              <w:t> </w:t>
            </w:r>
            <w:r>
              <w:rPr>
                <w:spacing w:val="-4"/>
                <w:sz w:val="16"/>
              </w:rPr>
              <w:t>2024</w:t>
            </w:r>
          </w:p>
        </w:tc>
        <w:tc>
          <w:tcPr>
            <w:tcW w:w="1276" w:type="dxa"/>
          </w:tcPr>
          <w:p>
            <w:pPr>
              <w:pStyle w:val="TableParagraph"/>
              <w:ind w:left="107"/>
              <w:rPr>
                <w:sz w:val="16"/>
              </w:rPr>
            </w:pPr>
            <w:r>
              <w:rPr>
                <w:spacing w:val="-2"/>
                <w:sz w:val="16"/>
              </w:rPr>
              <w:t>Extension</w:t>
            </w:r>
          </w:p>
        </w:tc>
        <w:tc>
          <w:tcPr>
            <w:tcW w:w="1701" w:type="dxa"/>
          </w:tcPr>
          <w:p>
            <w:pPr>
              <w:pStyle w:val="TableParagraph"/>
              <w:ind w:right="96"/>
              <w:jc w:val="right"/>
              <w:rPr>
                <w:sz w:val="16"/>
              </w:rPr>
            </w:pPr>
            <w:r>
              <w:rPr>
                <w:spacing w:val="-2"/>
                <w:sz w:val="16"/>
              </w:rPr>
              <w:t>£68,946,178</w:t>
            </w:r>
          </w:p>
        </w:tc>
        <w:tc>
          <w:tcPr>
            <w:tcW w:w="1417" w:type="dxa"/>
          </w:tcPr>
          <w:p>
            <w:pPr>
              <w:pStyle w:val="TableParagraph"/>
              <w:ind w:left="108"/>
              <w:rPr>
                <w:sz w:val="16"/>
              </w:rPr>
            </w:pPr>
            <w:r>
              <w:rPr>
                <w:spacing w:val="-2"/>
                <w:sz w:val="16"/>
              </w:rPr>
              <w:t>05/12/2022</w:t>
            </w:r>
          </w:p>
        </w:tc>
        <w:tc>
          <w:tcPr>
            <w:tcW w:w="1574" w:type="dxa"/>
          </w:tcPr>
          <w:p>
            <w:pPr>
              <w:pStyle w:val="TableParagraph"/>
              <w:ind w:left="107" w:right="106"/>
              <w:rPr>
                <w:sz w:val="16"/>
              </w:rPr>
            </w:pPr>
            <w:r>
              <w:rPr>
                <w:sz w:val="16"/>
              </w:rPr>
              <w:t>original</w:t>
            </w:r>
            <w:r>
              <w:rPr>
                <w:spacing w:val="-15"/>
                <w:sz w:val="16"/>
              </w:rPr>
              <w:t> </w:t>
            </w:r>
            <w:r>
              <w:rPr>
                <w:sz w:val="16"/>
              </w:rPr>
              <w:t>approval applies 25/2/20</w:t>
            </w:r>
          </w:p>
        </w:tc>
        <w:tc>
          <w:tcPr>
            <w:tcW w:w="1396" w:type="dxa"/>
          </w:tcPr>
          <w:p>
            <w:pPr>
              <w:pStyle w:val="TableParagraph"/>
              <w:ind w:left="107"/>
              <w:rPr>
                <w:sz w:val="16"/>
              </w:rPr>
            </w:pPr>
            <w:r>
              <w:rPr>
                <w:spacing w:val="-2"/>
                <w:sz w:val="16"/>
              </w:rPr>
              <w:t>06/12/2022</w:t>
            </w:r>
          </w:p>
        </w:tc>
        <w:tc>
          <w:tcPr>
            <w:tcW w:w="1460" w:type="dxa"/>
          </w:tcPr>
          <w:p>
            <w:pPr>
              <w:pStyle w:val="TableParagraph"/>
              <w:ind w:left="107"/>
              <w:rPr>
                <w:sz w:val="16"/>
              </w:rPr>
            </w:pPr>
            <w:r>
              <w:rPr>
                <w:spacing w:val="-2"/>
                <w:sz w:val="16"/>
              </w:rPr>
              <w:t>12/12/2022</w:t>
            </w:r>
          </w:p>
        </w:tc>
      </w:tr>
      <w:tr>
        <w:trPr>
          <w:trHeight w:val="777" w:hRule="atLeast"/>
        </w:trPr>
        <w:tc>
          <w:tcPr>
            <w:tcW w:w="709" w:type="dxa"/>
          </w:tcPr>
          <w:p>
            <w:pPr>
              <w:pStyle w:val="TableParagraph"/>
              <w:ind w:left="151"/>
              <w:rPr>
                <w:sz w:val="16"/>
              </w:rPr>
            </w:pPr>
            <w:r>
              <w:rPr>
                <w:spacing w:val="-5"/>
                <w:sz w:val="16"/>
              </w:rPr>
              <w:t>16.</w:t>
            </w:r>
          </w:p>
        </w:tc>
        <w:tc>
          <w:tcPr>
            <w:tcW w:w="6379" w:type="dxa"/>
          </w:tcPr>
          <w:p>
            <w:pPr>
              <w:pStyle w:val="TableParagraph"/>
              <w:ind w:left="108" w:right="191"/>
              <w:rPr>
                <w:sz w:val="16"/>
              </w:rPr>
            </w:pPr>
            <w:r>
              <w:rPr>
                <w:color w:val="0463C1"/>
                <w:sz w:val="16"/>
                <w:u w:val="single" w:color="0463C1"/>
              </w:rPr>
              <w:t>All Wales Ophthalmology Consumables Framework Agreement</w:t>
            </w:r>
            <w:r>
              <w:rPr>
                <w:color w:val="0463C1"/>
                <w:sz w:val="16"/>
              </w:rPr>
              <w:t> </w:t>
            </w:r>
            <w:r>
              <w:rPr>
                <w:sz w:val="16"/>
              </w:rPr>
              <w:t>Ophthalmology</w:t>
            </w:r>
            <w:r>
              <w:rPr>
                <w:spacing w:val="-5"/>
                <w:sz w:val="16"/>
              </w:rPr>
              <w:t> </w:t>
            </w:r>
            <w:r>
              <w:rPr>
                <w:sz w:val="16"/>
              </w:rPr>
              <w:t>Consumables</w:t>
            </w:r>
            <w:r>
              <w:rPr>
                <w:spacing w:val="-4"/>
                <w:sz w:val="16"/>
              </w:rPr>
              <w:t> </w:t>
            </w:r>
            <w:r>
              <w:rPr>
                <w:sz w:val="16"/>
              </w:rPr>
              <w:t>are</w:t>
            </w:r>
            <w:r>
              <w:rPr>
                <w:spacing w:val="-5"/>
                <w:sz w:val="16"/>
              </w:rPr>
              <w:t> </w:t>
            </w:r>
            <w:r>
              <w:rPr>
                <w:sz w:val="16"/>
              </w:rPr>
              <w:t>used</w:t>
            </w:r>
            <w:r>
              <w:rPr>
                <w:spacing w:val="-5"/>
                <w:sz w:val="16"/>
              </w:rPr>
              <w:t> </w:t>
            </w:r>
            <w:r>
              <w:rPr>
                <w:sz w:val="16"/>
              </w:rPr>
              <w:t>in</w:t>
            </w:r>
            <w:r>
              <w:rPr>
                <w:spacing w:val="-5"/>
                <w:sz w:val="16"/>
              </w:rPr>
              <w:t> </w:t>
            </w:r>
            <w:r>
              <w:rPr>
                <w:sz w:val="16"/>
              </w:rPr>
              <w:t>both</w:t>
            </w:r>
            <w:r>
              <w:rPr>
                <w:spacing w:val="-4"/>
                <w:sz w:val="16"/>
              </w:rPr>
              <w:t> </w:t>
            </w:r>
            <w:r>
              <w:rPr>
                <w:sz w:val="16"/>
              </w:rPr>
              <w:t>the</w:t>
            </w:r>
            <w:r>
              <w:rPr>
                <w:spacing w:val="-4"/>
                <w:sz w:val="16"/>
              </w:rPr>
              <w:t> </w:t>
            </w:r>
            <w:r>
              <w:rPr>
                <w:sz w:val="16"/>
              </w:rPr>
              <w:t>Surgical</w:t>
            </w:r>
            <w:r>
              <w:rPr>
                <w:spacing w:val="-4"/>
                <w:sz w:val="16"/>
              </w:rPr>
              <w:t> </w:t>
            </w:r>
            <w:r>
              <w:rPr>
                <w:sz w:val="16"/>
              </w:rPr>
              <w:t>and</w:t>
            </w:r>
            <w:r>
              <w:rPr>
                <w:spacing w:val="-4"/>
                <w:sz w:val="16"/>
              </w:rPr>
              <w:t> </w:t>
            </w:r>
            <w:r>
              <w:rPr>
                <w:sz w:val="16"/>
              </w:rPr>
              <w:t>Outpatient settings of Ophthalmology Departments</w:t>
            </w:r>
          </w:p>
          <w:p>
            <w:pPr>
              <w:pStyle w:val="TableParagraph"/>
              <w:spacing w:line="174" w:lineRule="exact"/>
              <w:ind w:left="108"/>
              <w:rPr>
                <w:sz w:val="16"/>
              </w:rPr>
            </w:pPr>
            <w:r>
              <w:rPr>
                <w:sz w:val="16"/>
              </w:rPr>
              <w:t>Contract</w:t>
            </w:r>
            <w:r>
              <w:rPr>
                <w:spacing w:val="-2"/>
                <w:sz w:val="16"/>
              </w:rPr>
              <w:t> </w:t>
            </w:r>
            <w:r>
              <w:rPr>
                <w:sz w:val="16"/>
              </w:rPr>
              <w:t>1</w:t>
            </w:r>
            <w:r>
              <w:rPr>
                <w:position w:val="5"/>
                <w:sz w:val="10"/>
              </w:rPr>
              <w:t>st</w:t>
            </w:r>
            <w:r>
              <w:rPr>
                <w:spacing w:val="19"/>
                <w:position w:val="5"/>
                <w:sz w:val="10"/>
              </w:rPr>
              <w:t> </w:t>
            </w:r>
            <w:r>
              <w:rPr>
                <w:sz w:val="16"/>
              </w:rPr>
              <w:t>June</w:t>
            </w:r>
            <w:r>
              <w:rPr>
                <w:spacing w:val="-2"/>
                <w:sz w:val="16"/>
              </w:rPr>
              <w:t> </w:t>
            </w:r>
            <w:r>
              <w:rPr>
                <w:sz w:val="16"/>
              </w:rPr>
              <w:t>2023</w:t>
            </w:r>
            <w:r>
              <w:rPr>
                <w:spacing w:val="-2"/>
                <w:sz w:val="16"/>
              </w:rPr>
              <w:t> </w:t>
            </w:r>
            <w:r>
              <w:rPr>
                <w:sz w:val="16"/>
              </w:rPr>
              <w:t>–</w:t>
            </w:r>
            <w:r>
              <w:rPr>
                <w:spacing w:val="-1"/>
                <w:sz w:val="16"/>
              </w:rPr>
              <w:t> </w:t>
            </w:r>
            <w:r>
              <w:rPr>
                <w:sz w:val="16"/>
              </w:rPr>
              <w:t>31</w:t>
            </w:r>
            <w:r>
              <w:rPr>
                <w:position w:val="5"/>
                <w:sz w:val="10"/>
              </w:rPr>
              <w:t>st</w:t>
            </w:r>
            <w:r>
              <w:rPr>
                <w:spacing w:val="19"/>
                <w:position w:val="5"/>
                <w:sz w:val="10"/>
              </w:rPr>
              <w:t> </w:t>
            </w:r>
            <w:r>
              <w:rPr>
                <w:sz w:val="16"/>
              </w:rPr>
              <w:t>May</w:t>
            </w:r>
            <w:r>
              <w:rPr>
                <w:spacing w:val="-2"/>
                <w:sz w:val="16"/>
              </w:rPr>
              <w:t> </w:t>
            </w:r>
            <w:r>
              <w:rPr>
                <w:spacing w:val="-4"/>
                <w:sz w:val="16"/>
              </w:rPr>
              <w:t>2027</w:t>
            </w:r>
          </w:p>
        </w:tc>
        <w:tc>
          <w:tcPr>
            <w:tcW w:w="1276" w:type="dxa"/>
          </w:tcPr>
          <w:p>
            <w:pPr>
              <w:pStyle w:val="TableParagraph"/>
              <w:ind w:left="107"/>
              <w:rPr>
                <w:sz w:val="16"/>
              </w:rPr>
            </w:pPr>
            <w:r>
              <w:rPr>
                <w:spacing w:val="-2"/>
                <w:sz w:val="16"/>
              </w:rPr>
              <w:t>Briefing</w:t>
            </w:r>
          </w:p>
        </w:tc>
        <w:tc>
          <w:tcPr>
            <w:tcW w:w="1701" w:type="dxa"/>
          </w:tcPr>
          <w:p>
            <w:pPr>
              <w:pStyle w:val="TableParagraph"/>
              <w:ind w:right="96"/>
              <w:jc w:val="right"/>
              <w:rPr>
                <w:sz w:val="16"/>
              </w:rPr>
            </w:pPr>
            <w:r>
              <w:rPr>
                <w:spacing w:val="-2"/>
                <w:sz w:val="16"/>
              </w:rPr>
              <w:t>£22,705,529</w:t>
            </w:r>
          </w:p>
        </w:tc>
        <w:tc>
          <w:tcPr>
            <w:tcW w:w="1417" w:type="dxa"/>
          </w:tcPr>
          <w:p>
            <w:pPr>
              <w:pStyle w:val="TableParagraph"/>
              <w:ind w:left="108"/>
              <w:rPr>
                <w:sz w:val="16"/>
              </w:rPr>
            </w:pPr>
            <w:r>
              <w:rPr>
                <w:spacing w:val="-2"/>
                <w:sz w:val="16"/>
              </w:rPr>
              <w:t>08/12/2022</w:t>
            </w:r>
          </w:p>
        </w:tc>
        <w:tc>
          <w:tcPr>
            <w:tcW w:w="1574" w:type="dxa"/>
          </w:tcPr>
          <w:p>
            <w:pPr>
              <w:pStyle w:val="TableParagraph"/>
              <w:ind w:left="107"/>
              <w:rPr>
                <w:sz w:val="16"/>
              </w:rPr>
            </w:pPr>
            <w:r>
              <w:rPr>
                <w:sz w:val="16"/>
              </w:rPr>
              <w:t>sent</w:t>
            </w:r>
            <w:r>
              <w:rPr>
                <w:spacing w:val="-2"/>
                <w:sz w:val="16"/>
              </w:rPr>
              <w:t> </w:t>
            </w:r>
            <w:r>
              <w:rPr>
                <w:sz w:val="16"/>
              </w:rPr>
              <w:t>to</w:t>
            </w:r>
            <w:r>
              <w:rPr>
                <w:spacing w:val="-1"/>
                <w:sz w:val="16"/>
              </w:rPr>
              <w:t> </w:t>
            </w:r>
            <w:r>
              <w:rPr>
                <w:sz w:val="16"/>
              </w:rPr>
              <w:t>WG </w:t>
            </w:r>
            <w:r>
              <w:rPr>
                <w:spacing w:val="-4"/>
                <w:sz w:val="16"/>
              </w:rPr>
              <w:t>8/12</w:t>
            </w:r>
          </w:p>
        </w:tc>
        <w:tc>
          <w:tcPr>
            <w:tcW w:w="1396" w:type="dxa"/>
          </w:tcPr>
          <w:p>
            <w:pPr>
              <w:pStyle w:val="TableParagraph"/>
              <w:ind w:left="107"/>
              <w:rPr>
                <w:sz w:val="16"/>
              </w:rPr>
            </w:pPr>
            <w:r>
              <w:rPr>
                <w:spacing w:val="-5"/>
                <w:sz w:val="16"/>
              </w:rPr>
              <w:t>n/a</w:t>
            </w:r>
          </w:p>
        </w:tc>
        <w:tc>
          <w:tcPr>
            <w:tcW w:w="1460" w:type="dxa"/>
          </w:tcPr>
          <w:p>
            <w:pPr>
              <w:pStyle w:val="TableParagraph"/>
              <w:ind w:left="107"/>
              <w:rPr>
                <w:sz w:val="16"/>
              </w:rPr>
            </w:pPr>
            <w:r>
              <w:rPr>
                <w:spacing w:val="-5"/>
                <w:sz w:val="16"/>
              </w:rPr>
              <w:t>n/a</w:t>
            </w:r>
          </w:p>
        </w:tc>
      </w:tr>
      <w:tr>
        <w:trPr>
          <w:trHeight w:val="777" w:hRule="atLeast"/>
        </w:trPr>
        <w:tc>
          <w:tcPr>
            <w:tcW w:w="709" w:type="dxa"/>
          </w:tcPr>
          <w:p>
            <w:pPr>
              <w:pStyle w:val="TableParagraph"/>
              <w:ind w:left="151"/>
              <w:rPr>
                <w:sz w:val="16"/>
              </w:rPr>
            </w:pPr>
            <w:r>
              <w:rPr>
                <w:spacing w:val="-5"/>
                <w:sz w:val="16"/>
              </w:rPr>
              <w:t>17.</w:t>
            </w:r>
          </w:p>
        </w:tc>
        <w:tc>
          <w:tcPr>
            <w:tcW w:w="6379" w:type="dxa"/>
          </w:tcPr>
          <w:p>
            <w:pPr>
              <w:pStyle w:val="TableParagraph"/>
              <w:ind w:left="108"/>
              <w:rPr>
                <w:sz w:val="16"/>
              </w:rPr>
            </w:pPr>
            <w:r>
              <w:rPr>
                <w:color w:val="0463C1"/>
                <w:sz w:val="16"/>
                <w:u w:val="single" w:color="0463C1"/>
              </w:rPr>
              <w:t>Walking</w:t>
            </w:r>
            <w:r>
              <w:rPr>
                <w:color w:val="0463C1"/>
                <w:spacing w:val="-2"/>
                <w:sz w:val="16"/>
                <w:u w:val="single" w:color="0463C1"/>
              </w:rPr>
              <w:t> </w:t>
            </w:r>
            <w:r>
              <w:rPr>
                <w:color w:val="0463C1"/>
                <w:spacing w:val="-4"/>
                <w:sz w:val="16"/>
                <w:u w:val="single" w:color="0463C1"/>
              </w:rPr>
              <w:t>Aids</w:t>
            </w:r>
          </w:p>
          <w:p>
            <w:pPr>
              <w:pStyle w:val="TableParagraph"/>
              <w:ind w:left="108"/>
              <w:rPr>
                <w:sz w:val="16"/>
              </w:rPr>
            </w:pPr>
            <w:r>
              <w:rPr>
                <w:sz w:val="16"/>
              </w:rPr>
              <w:t>The</w:t>
            </w:r>
            <w:r>
              <w:rPr>
                <w:spacing w:val="-5"/>
                <w:sz w:val="16"/>
              </w:rPr>
              <w:t> </w:t>
            </w:r>
            <w:r>
              <w:rPr>
                <w:sz w:val="16"/>
              </w:rPr>
              <w:t>Contract</w:t>
            </w:r>
            <w:r>
              <w:rPr>
                <w:spacing w:val="-5"/>
                <w:sz w:val="16"/>
              </w:rPr>
              <w:t> </w:t>
            </w:r>
            <w:r>
              <w:rPr>
                <w:sz w:val="16"/>
              </w:rPr>
              <w:t>will</w:t>
            </w:r>
            <w:r>
              <w:rPr>
                <w:spacing w:val="-4"/>
                <w:sz w:val="16"/>
              </w:rPr>
              <w:t> </w:t>
            </w:r>
            <w:r>
              <w:rPr>
                <w:sz w:val="16"/>
              </w:rPr>
              <w:t>cover</w:t>
            </w:r>
            <w:r>
              <w:rPr>
                <w:spacing w:val="-5"/>
                <w:sz w:val="16"/>
              </w:rPr>
              <w:t> </w:t>
            </w:r>
            <w:r>
              <w:rPr>
                <w:sz w:val="16"/>
              </w:rPr>
              <w:t>various</w:t>
            </w:r>
            <w:r>
              <w:rPr>
                <w:spacing w:val="-4"/>
                <w:sz w:val="16"/>
              </w:rPr>
              <w:t> </w:t>
            </w:r>
            <w:r>
              <w:rPr>
                <w:sz w:val="16"/>
              </w:rPr>
              <w:t>walking</w:t>
            </w:r>
            <w:r>
              <w:rPr>
                <w:spacing w:val="-5"/>
                <w:sz w:val="16"/>
              </w:rPr>
              <w:t> </w:t>
            </w:r>
            <w:r>
              <w:rPr>
                <w:sz w:val="16"/>
              </w:rPr>
              <w:t>aid</w:t>
            </w:r>
            <w:r>
              <w:rPr>
                <w:spacing w:val="-5"/>
                <w:sz w:val="16"/>
              </w:rPr>
              <w:t> </w:t>
            </w:r>
            <w:r>
              <w:rPr>
                <w:sz w:val="16"/>
              </w:rPr>
              <w:t>products</w:t>
            </w:r>
            <w:r>
              <w:rPr>
                <w:spacing w:val="-5"/>
                <w:sz w:val="16"/>
              </w:rPr>
              <w:t> </w:t>
            </w:r>
            <w:r>
              <w:rPr>
                <w:sz w:val="16"/>
              </w:rPr>
              <w:t>including</w:t>
            </w:r>
            <w:r>
              <w:rPr>
                <w:spacing w:val="-4"/>
                <w:sz w:val="16"/>
              </w:rPr>
              <w:t> </w:t>
            </w:r>
            <w:r>
              <w:rPr>
                <w:sz w:val="16"/>
              </w:rPr>
              <w:t>crutches, walking frames and walking sticks.</w:t>
            </w:r>
          </w:p>
          <w:p>
            <w:pPr>
              <w:pStyle w:val="TableParagraph"/>
              <w:spacing w:line="174" w:lineRule="exact"/>
              <w:ind w:left="108"/>
              <w:rPr>
                <w:sz w:val="16"/>
              </w:rPr>
            </w:pPr>
            <w:r>
              <w:rPr>
                <w:sz w:val="16"/>
              </w:rPr>
              <w:t>Contract:</w:t>
            </w:r>
            <w:r>
              <w:rPr>
                <w:spacing w:val="-3"/>
                <w:sz w:val="16"/>
              </w:rPr>
              <w:t> </w:t>
            </w:r>
            <w:r>
              <w:rPr>
                <w:sz w:val="16"/>
              </w:rPr>
              <w:t>01/01/23</w:t>
            </w:r>
            <w:r>
              <w:rPr>
                <w:spacing w:val="-3"/>
                <w:sz w:val="16"/>
              </w:rPr>
              <w:t> </w:t>
            </w:r>
            <w:r>
              <w:rPr>
                <w:sz w:val="16"/>
              </w:rPr>
              <w:t>–</w:t>
            </w:r>
            <w:r>
              <w:rPr>
                <w:spacing w:val="-2"/>
                <w:sz w:val="16"/>
              </w:rPr>
              <w:t> 31/12/2026</w:t>
            </w:r>
          </w:p>
        </w:tc>
        <w:tc>
          <w:tcPr>
            <w:tcW w:w="1276" w:type="dxa"/>
          </w:tcPr>
          <w:p>
            <w:pPr>
              <w:pStyle w:val="TableParagraph"/>
              <w:ind w:left="107"/>
              <w:rPr>
                <w:sz w:val="16"/>
              </w:rPr>
            </w:pPr>
            <w:r>
              <w:rPr>
                <w:spacing w:val="-2"/>
                <w:sz w:val="16"/>
              </w:rPr>
              <w:t>Ratification</w:t>
            </w:r>
          </w:p>
        </w:tc>
        <w:tc>
          <w:tcPr>
            <w:tcW w:w="1701" w:type="dxa"/>
          </w:tcPr>
          <w:p>
            <w:pPr>
              <w:pStyle w:val="TableParagraph"/>
              <w:ind w:right="95"/>
              <w:jc w:val="right"/>
              <w:rPr>
                <w:sz w:val="16"/>
              </w:rPr>
            </w:pPr>
            <w:r>
              <w:rPr>
                <w:spacing w:val="-2"/>
                <w:sz w:val="16"/>
              </w:rPr>
              <w:t>£3,672,750</w:t>
            </w:r>
          </w:p>
        </w:tc>
        <w:tc>
          <w:tcPr>
            <w:tcW w:w="1417" w:type="dxa"/>
          </w:tcPr>
          <w:p>
            <w:pPr>
              <w:pStyle w:val="TableParagraph"/>
              <w:ind w:left="108"/>
              <w:rPr>
                <w:sz w:val="16"/>
              </w:rPr>
            </w:pPr>
            <w:r>
              <w:rPr>
                <w:spacing w:val="-2"/>
                <w:sz w:val="16"/>
              </w:rPr>
              <w:t>12/12/2022</w:t>
            </w:r>
          </w:p>
        </w:tc>
        <w:tc>
          <w:tcPr>
            <w:tcW w:w="1574" w:type="dxa"/>
          </w:tcPr>
          <w:p>
            <w:pPr>
              <w:pStyle w:val="TableParagraph"/>
              <w:ind w:left="107"/>
              <w:rPr>
                <w:sz w:val="16"/>
              </w:rPr>
            </w:pPr>
            <w:r>
              <w:rPr>
                <w:spacing w:val="-2"/>
                <w:sz w:val="16"/>
              </w:rPr>
              <w:t>19/12/2022</w:t>
            </w:r>
          </w:p>
        </w:tc>
        <w:tc>
          <w:tcPr>
            <w:tcW w:w="1396" w:type="dxa"/>
          </w:tcPr>
          <w:p>
            <w:pPr>
              <w:pStyle w:val="TableParagraph"/>
              <w:ind w:left="107"/>
              <w:rPr>
                <w:sz w:val="16"/>
              </w:rPr>
            </w:pPr>
            <w:r>
              <w:rPr>
                <w:spacing w:val="-2"/>
                <w:sz w:val="16"/>
              </w:rPr>
              <w:t>21/12/2022</w:t>
            </w:r>
          </w:p>
        </w:tc>
        <w:tc>
          <w:tcPr>
            <w:tcW w:w="1460" w:type="dxa"/>
          </w:tcPr>
          <w:p>
            <w:pPr>
              <w:pStyle w:val="TableParagraph"/>
              <w:ind w:left="107"/>
              <w:rPr>
                <w:sz w:val="16"/>
              </w:rPr>
            </w:pPr>
            <w:r>
              <w:rPr>
                <w:spacing w:val="-2"/>
                <w:sz w:val="16"/>
              </w:rPr>
              <w:t>21/12/2022</w:t>
            </w:r>
          </w:p>
        </w:tc>
      </w:tr>
      <w:tr>
        <w:trPr>
          <w:trHeight w:val="2139" w:hRule="atLeast"/>
        </w:trPr>
        <w:tc>
          <w:tcPr>
            <w:tcW w:w="709" w:type="dxa"/>
          </w:tcPr>
          <w:p>
            <w:pPr>
              <w:pStyle w:val="TableParagraph"/>
              <w:ind w:left="151"/>
              <w:rPr>
                <w:sz w:val="16"/>
              </w:rPr>
            </w:pPr>
            <w:r>
              <w:rPr>
                <w:spacing w:val="-5"/>
                <w:sz w:val="16"/>
              </w:rPr>
              <w:t>18.</w:t>
            </w:r>
          </w:p>
        </w:tc>
        <w:tc>
          <w:tcPr>
            <w:tcW w:w="6379" w:type="dxa"/>
          </w:tcPr>
          <w:p>
            <w:pPr>
              <w:pStyle w:val="TableParagraph"/>
              <w:ind w:left="108"/>
              <w:rPr>
                <w:sz w:val="16"/>
              </w:rPr>
            </w:pPr>
            <w:r>
              <w:rPr>
                <w:color w:val="0463C1"/>
                <w:spacing w:val="-2"/>
                <w:sz w:val="16"/>
                <w:u w:val="single" w:color="0463C1"/>
              </w:rPr>
              <w:t>Biologics</w:t>
            </w:r>
          </w:p>
          <w:p>
            <w:pPr>
              <w:pStyle w:val="TableParagraph"/>
              <w:ind w:left="108"/>
              <w:rPr>
                <w:sz w:val="16"/>
              </w:rPr>
            </w:pPr>
            <w:r>
              <w:rPr>
                <w:sz w:val="16"/>
              </w:rPr>
              <w:t>Etanercept</w:t>
            </w:r>
            <w:r>
              <w:rPr>
                <w:spacing w:val="-4"/>
                <w:sz w:val="16"/>
              </w:rPr>
              <w:t> </w:t>
            </w:r>
            <w:r>
              <w:rPr>
                <w:sz w:val="16"/>
              </w:rPr>
              <w:t>is</w:t>
            </w:r>
            <w:r>
              <w:rPr>
                <w:spacing w:val="-4"/>
                <w:sz w:val="16"/>
              </w:rPr>
              <w:t> </w:t>
            </w:r>
            <w:r>
              <w:rPr>
                <w:sz w:val="16"/>
              </w:rPr>
              <w:t>licensed</w:t>
            </w:r>
            <w:r>
              <w:rPr>
                <w:spacing w:val="-3"/>
                <w:sz w:val="16"/>
              </w:rPr>
              <w:t> </w:t>
            </w:r>
            <w:r>
              <w:rPr>
                <w:sz w:val="16"/>
              </w:rPr>
              <w:t>for</w:t>
            </w:r>
            <w:r>
              <w:rPr>
                <w:spacing w:val="-3"/>
                <w:sz w:val="16"/>
              </w:rPr>
              <w:t> </w:t>
            </w:r>
            <w:r>
              <w:rPr>
                <w:sz w:val="16"/>
              </w:rPr>
              <w:t>the</w:t>
            </w:r>
            <w:r>
              <w:rPr>
                <w:spacing w:val="-4"/>
                <w:sz w:val="16"/>
              </w:rPr>
              <w:t> </w:t>
            </w:r>
            <w:r>
              <w:rPr>
                <w:sz w:val="16"/>
              </w:rPr>
              <w:t>treatment</w:t>
            </w:r>
            <w:r>
              <w:rPr>
                <w:spacing w:val="-3"/>
                <w:sz w:val="16"/>
              </w:rPr>
              <w:t> </w:t>
            </w:r>
            <w:r>
              <w:rPr>
                <w:sz w:val="16"/>
              </w:rPr>
              <w:t>of</w:t>
            </w:r>
            <w:r>
              <w:rPr>
                <w:spacing w:val="-4"/>
                <w:sz w:val="16"/>
              </w:rPr>
              <w:t> </w:t>
            </w:r>
            <w:r>
              <w:rPr>
                <w:sz w:val="16"/>
              </w:rPr>
              <w:t>adults</w:t>
            </w:r>
            <w:r>
              <w:rPr>
                <w:spacing w:val="-4"/>
                <w:sz w:val="16"/>
              </w:rPr>
              <w:t> </w:t>
            </w:r>
            <w:r>
              <w:rPr>
                <w:sz w:val="16"/>
              </w:rPr>
              <w:t>with</w:t>
            </w:r>
            <w:r>
              <w:rPr>
                <w:spacing w:val="-4"/>
                <w:sz w:val="16"/>
              </w:rPr>
              <w:t> </w:t>
            </w:r>
            <w:r>
              <w:rPr>
                <w:sz w:val="16"/>
              </w:rPr>
              <w:t>moderate</w:t>
            </w:r>
            <w:r>
              <w:rPr>
                <w:spacing w:val="-4"/>
                <w:sz w:val="16"/>
              </w:rPr>
              <w:t> </w:t>
            </w:r>
            <w:r>
              <w:rPr>
                <w:sz w:val="16"/>
              </w:rPr>
              <w:t>to</w:t>
            </w:r>
            <w:r>
              <w:rPr>
                <w:spacing w:val="-3"/>
                <w:sz w:val="16"/>
              </w:rPr>
              <w:t> </w:t>
            </w:r>
            <w:r>
              <w:rPr>
                <w:sz w:val="16"/>
              </w:rPr>
              <w:t>severe rheumatoid arthritis (RA), psoriatic arthritis, non-radiographic axial spondylarthritis and plaque psoriasis.</w:t>
            </w:r>
            <w:r>
              <w:rPr>
                <w:spacing w:val="40"/>
                <w:sz w:val="16"/>
              </w:rPr>
              <w:t> </w:t>
            </w:r>
            <w:r>
              <w:rPr>
                <w:sz w:val="16"/>
              </w:rPr>
              <w:t>Bevacizumab is licensed for the treatment of several types of cancer. Teriparatide is licensed for the treatment of osteoporosis in post-menopausal women and in men at increased risk of fractures. Adalimumab is licensed for the treatment of moderate to severe rheumatoid arthritis; severe ankylosing spondylitis; Crohn’s disease; ulcerative colitis; hidradenitis suppurativa and uveitis.</w:t>
            </w:r>
          </w:p>
          <w:p>
            <w:pPr>
              <w:pStyle w:val="TableParagraph"/>
              <w:spacing w:line="190" w:lineRule="atLeast"/>
              <w:ind w:left="108"/>
              <w:rPr>
                <w:sz w:val="16"/>
              </w:rPr>
            </w:pPr>
            <w:r>
              <w:rPr>
                <w:sz w:val="16"/>
              </w:rPr>
              <w:t>Infliximab is licensed to treat Crohn’s disease and rheumatoid arthritis. Rituximab</w:t>
            </w:r>
            <w:r>
              <w:rPr>
                <w:spacing w:val="-4"/>
                <w:sz w:val="16"/>
              </w:rPr>
              <w:t> </w:t>
            </w:r>
            <w:r>
              <w:rPr>
                <w:sz w:val="16"/>
              </w:rPr>
              <w:t>is</w:t>
            </w:r>
            <w:r>
              <w:rPr>
                <w:spacing w:val="-5"/>
                <w:sz w:val="16"/>
              </w:rPr>
              <w:t> </w:t>
            </w:r>
            <w:r>
              <w:rPr>
                <w:sz w:val="16"/>
              </w:rPr>
              <w:t>licensed</w:t>
            </w:r>
            <w:r>
              <w:rPr>
                <w:spacing w:val="-5"/>
                <w:sz w:val="16"/>
              </w:rPr>
              <w:t> </w:t>
            </w:r>
            <w:r>
              <w:rPr>
                <w:sz w:val="16"/>
              </w:rPr>
              <w:t>for</w:t>
            </w:r>
            <w:r>
              <w:rPr>
                <w:spacing w:val="-5"/>
                <w:sz w:val="16"/>
              </w:rPr>
              <w:t> </w:t>
            </w:r>
            <w:r>
              <w:rPr>
                <w:sz w:val="16"/>
              </w:rPr>
              <w:t>the</w:t>
            </w:r>
            <w:r>
              <w:rPr>
                <w:spacing w:val="-5"/>
                <w:sz w:val="16"/>
              </w:rPr>
              <w:t> </w:t>
            </w:r>
            <w:r>
              <w:rPr>
                <w:sz w:val="16"/>
              </w:rPr>
              <w:t>treatment</w:t>
            </w:r>
            <w:r>
              <w:rPr>
                <w:spacing w:val="-4"/>
                <w:sz w:val="16"/>
              </w:rPr>
              <w:t> </w:t>
            </w:r>
            <w:r>
              <w:rPr>
                <w:sz w:val="16"/>
              </w:rPr>
              <w:t>of</w:t>
            </w:r>
            <w:r>
              <w:rPr>
                <w:spacing w:val="-5"/>
                <w:sz w:val="16"/>
              </w:rPr>
              <w:t> </w:t>
            </w:r>
            <w:r>
              <w:rPr>
                <w:sz w:val="16"/>
              </w:rPr>
              <w:t>non-Hodgkin's</w:t>
            </w:r>
            <w:r>
              <w:rPr>
                <w:spacing w:val="-4"/>
                <w:sz w:val="16"/>
              </w:rPr>
              <w:t> </w:t>
            </w:r>
            <w:r>
              <w:rPr>
                <w:sz w:val="16"/>
              </w:rPr>
              <w:t>B-cell</w:t>
            </w:r>
            <w:r>
              <w:rPr>
                <w:spacing w:val="-5"/>
                <w:sz w:val="16"/>
              </w:rPr>
              <w:t> </w:t>
            </w:r>
            <w:r>
              <w:rPr>
                <w:sz w:val="16"/>
              </w:rPr>
              <w:t>lymphomas,</w:t>
            </w:r>
          </w:p>
        </w:tc>
        <w:tc>
          <w:tcPr>
            <w:tcW w:w="1276" w:type="dxa"/>
          </w:tcPr>
          <w:p>
            <w:pPr>
              <w:pStyle w:val="TableParagraph"/>
              <w:ind w:left="107"/>
              <w:rPr>
                <w:sz w:val="16"/>
              </w:rPr>
            </w:pPr>
            <w:r>
              <w:rPr>
                <w:spacing w:val="-2"/>
                <w:sz w:val="16"/>
              </w:rPr>
              <w:t>Extension</w:t>
            </w:r>
          </w:p>
        </w:tc>
        <w:tc>
          <w:tcPr>
            <w:tcW w:w="1701" w:type="dxa"/>
          </w:tcPr>
          <w:p>
            <w:pPr>
              <w:pStyle w:val="TableParagraph"/>
              <w:ind w:right="96"/>
              <w:jc w:val="right"/>
              <w:rPr>
                <w:sz w:val="16"/>
              </w:rPr>
            </w:pPr>
            <w:r>
              <w:rPr>
                <w:spacing w:val="-2"/>
                <w:sz w:val="16"/>
              </w:rPr>
              <w:t>£53,751,993</w:t>
            </w:r>
          </w:p>
        </w:tc>
        <w:tc>
          <w:tcPr>
            <w:tcW w:w="1417" w:type="dxa"/>
          </w:tcPr>
          <w:p>
            <w:pPr>
              <w:pStyle w:val="TableParagraph"/>
              <w:ind w:left="108"/>
              <w:rPr>
                <w:sz w:val="16"/>
              </w:rPr>
            </w:pPr>
            <w:r>
              <w:rPr>
                <w:spacing w:val="-2"/>
                <w:sz w:val="16"/>
              </w:rPr>
              <w:t>15/12/2022</w:t>
            </w:r>
          </w:p>
        </w:tc>
        <w:tc>
          <w:tcPr>
            <w:tcW w:w="1574" w:type="dxa"/>
          </w:tcPr>
          <w:p>
            <w:pPr>
              <w:pStyle w:val="TableParagraph"/>
              <w:ind w:left="107" w:right="106"/>
              <w:rPr>
                <w:sz w:val="16"/>
              </w:rPr>
            </w:pPr>
            <w:r>
              <w:rPr>
                <w:sz w:val="16"/>
              </w:rPr>
              <w:t>original</w:t>
            </w:r>
            <w:r>
              <w:rPr>
                <w:spacing w:val="-15"/>
                <w:sz w:val="16"/>
              </w:rPr>
              <w:t> </w:t>
            </w:r>
            <w:r>
              <w:rPr>
                <w:sz w:val="16"/>
              </w:rPr>
              <w:t>approval applies 29/4/21</w:t>
            </w:r>
          </w:p>
        </w:tc>
        <w:tc>
          <w:tcPr>
            <w:tcW w:w="1396" w:type="dxa"/>
          </w:tcPr>
          <w:p>
            <w:pPr>
              <w:pStyle w:val="TableParagraph"/>
              <w:ind w:left="107"/>
              <w:rPr>
                <w:sz w:val="16"/>
              </w:rPr>
            </w:pPr>
            <w:r>
              <w:rPr>
                <w:spacing w:val="-2"/>
                <w:sz w:val="16"/>
              </w:rPr>
              <w:t>15/12/2022</w:t>
            </w:r>
          </w:p>
        </w:tc>
        <w:tc>
          <w:tcPr>
            <w:tcW w:w="1460" w:type="dxa"/>
          </w:tcPr>
          <w:p>
            <w:pPr>
              <w:pStyle w:val="TableParagraph"/>
              <w:ind w:left="107"/>
              <w:rPr>
                <w:sz w:val="16"/>
              </w:rPr>
            </w:pPr>
            <w:r>
              <w:rPr>
                <w:spacing w:val="-2"/>
                <w:sz w:val="16"/>
              </w:rPr>
              <w:t>16/12/2022</w:t>
            </w:r>
          </w:p>
        </w:tc>
      </w:tr>
    </w:tbl>
    <w:p>
      <w:pPr>
        <w:spacing w:after="0"/>
        <w:rPr>
          <w:sz w:val="16"/>
        </w:rPr>
        <w:sectPr>
          <w:footerReference w:type="default" r:id="rId200"/>
          <w:pgSz w:w="16840" w:h="11910" w:orient="landscape"/>
          <w:pgMar w:footer="641" w:header="0" w:top="700" w:bottom="840" w:left="280" w:right="120"/>
        </w:sectPr>
      </w:pPr>
    </w:p>
    <w:tbl>
      <w:tblPr>
        <w:tblW w:w="0" w:type="auto"/>
        <w:jc w:val="left"/>
        <w:tblInd w:w="4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9"/>
        <w:gridCol w:w="6379"/>
        <w:gridCol w:w="1276"/>
        <w:gridCol w:w="1701"/>
        <w:gridCol w:w="1417"/>
        <w:gridCol w:w="1574"/>
        <w:gridCol w:w="1396"/>
        <w:gridCol w:w="1460"/>
      </w:tblGrid>
      <w:tr>
        <w:trPr>
          <w:trHeight w:val="777" w:hRule="atLeast"/>
        </w:trPr>
        <w:tc>
          <w:tcPr>
            <w:tcW w:w="709" w:type="dxa"/>
          </w:tcPr>
          <w:p>
            <w:pPr>
              <w:pStyle w:val="TableParagraph"/>
              <w:rPr>
                <w:rFonts w:ascii="Times New Roman"/>
                <w:sz w:val="16"/>
              </w:rPr>
            </w:pPr>
          </w:p>
        </w:tc>
        <w:tc>
          <w:tcPr>
            <w:tcW w:w="6379" w:type="dxa"/>
          </w:tcPr>
          <w:p>
            <w:pPr>
              <w:pStyle w:val="TableParagraph"/>
              <w:spacing w:line="190" w:lineRule="atLeast"/>
              <w:ind w:left="108"/>
              <w:rPr>
                <w:sz w:val="16"/>
              </w:rPr>
            </w:pPr>
            <w:r>
              <w:rPr>
                <w:sz w:val="16"/>
              </w:rPr>
              <w:t>chronic</w:t>
            </w:r>
            <w:r>
              <w:rPr>
                <w:spacing w:val="-6"/>
                <w:sz w:val="16"/>
              </w:rPr>
              <w:t> </w:t>
            </w:r>
            <w:r>
              <w:rPr>
                <w:sz w:val="16"/>
              </w:rPr>
              <w:t>lymphocytic</w:t>
            </w:r>
            <w:r>
              <w:rPr>
                <w:spacing w:val="-6"/>
                <w:sz w:val="16"/>
              </w:rPr>
              <w:t> </w:t>
            </w:r>
            <w:r>
              <w:rPr>
                <w:sz w:val="16"/>
              </w:rPr>
              <w:t>leukemia,</w:t>
            </w:r>
            <w:r>
              <w:rPr>
                <w:spacing w:val="-6"/>
                <w:sz w:val="16"/>
              </w:rPr>
              <w:t> </w:t>
            </w:r>
            <w:r>
              <w:rPr>
                <w:sz w:val="16"/>
              </w:rPr>
              <w:t>Wegener's</w:t>
            </w:r>
            <w:r>
              <w:rPr>
                <w:spacing w:val="-6"/>
                <w:sz w:val="16"/>
              </w:rPr>
              <w:t> </w:t>
            </w:r>
            <w:r>
              <w:rPr>
                <w:sz w:val="16"/>
              </w:rPr>
              <w:t>granulomatosis,</w:t>
            </w:r>
            <w:r>
              <w:rPr>
                <w:spacing w:val="-6"/>
                <w:sz w:val="16"/>
              </w:rPr>
              <w:t> </w:t>
            </w:r>
            <w:r>
              <w:rPr>
                <w:sz w:val="16"/>
              </w:rPr>
              <w:t>and</w:t>
            </w:r>
            <w:r>
              <w:rPr>
                <w:spacing w:val="-6"/>
                <w:sz w:val="16"/>
              </w:rPr>
              <w:t> </w:t>
            </w:r>
            <w:r>
              <w:rPr>
                <w:sz w:val="16"/>
              </w:rPr>
              <w:t>microscopic polyangiitis.</w:t>
            </w:r>
            <w:r>
              <w:rPr>
                <w:spacing w:val="-4"/>
                <w:sz w:val="16"/>
              </w:rPr>
              <w:t> </w:t>
            </w:r>
            <w:r>
              <w:rPr>
                <w:sz w:val="16"/>
              </w:rPr>
              <w:t>It</w:t>
            </w:r>
            <w:r>
              <w:rPr>
                <w:spacing w:val="-3"/>
                <w:sz w:val="16"/>
              </w:rPr>
              <w:t> </w:t>
            </w:r>
            <w:r>
              <w:rPr>
                <w:sz w:val="16"/>
              </w:rPr>
              <w:t>is</w:t>
            </w:r>
            <w:r>
              <w:rPr>
                <w:spacing w:val="-4"/>
                <w:sz w:val="16"/>
              </w:rPr>
              <w:t> </w:t>
            </w:r>
            <w:r>
              <w:rPr>
                <w:sz w:val="16"/>
              </w:rPr>
              <w:t>also</w:t>
            </w:r>
            <w:r>
              <w:rPr>
                <w:spacing w:val="-4"/>
                <w:sz w:val="16"/>
              </w:rPr>
              <w:t> </w:t>
            </w:r>
            <w:r>
              <w:rPr>
                <w:sz w:val="16"/>
              </w:rPr>
              <w:t>licensed</w:t>
            </w:r>
            <w:r>
              <w:rPr>
                <w:spacing w:val="-3"/>
                <w:sz w:val="16"/>
              </w:rPr>
              <w:t> </w:t>
            </w:r>
            <w:r>
              <w:rPr>
                <w:sz w:val="16"/>
              </w:rPr>
              <w:t>to</w:t>
            </w:r>
            <w:r>
              <w:rPr>
                <w:spacing w:val="-4"/>
                <w:sz w:val="16"/>
              </w:rPr>
              <w:t> </w:t>
            </w:r>
            <w:r>
              <w:rPr>
                <w:sz w:val="16"/>
              </w:rPr>
              <w:t>treat</w:t>
            </w:r>
            <w:r>
              <w:rPr>
                <w:spacing w:val="-3"/>
                <w:sz w:val="16"/>
              </w:rPr>
              <w:t> </w:t>
            </w:r>
            <w:r>
              <w:rPr>
                <w:sz w:val="16"/>
              </w:rPr>
              <w:t>rheumatoid</w:t>
            </w:r>
            <w:r>
              <w:rPr>
                <w:spacing w:val="-3"/>
                <w:sz w:val="16"/>
              </w:rPr>
              <w:t> </w:t>
            </w:r>
            <w:r>
              <w:rPr>
                <w:sz w:val="16"/>
              </w:rPr>
              <w:t>arthritis</w:t>
            </w:r>
            <w:r>
              <w:rPr>
                <w:spacing w:val="-4"/>
                <w:sz w:val="16"/>
              </w:rPr>
              <w:t> </w:t>
            </w:r>
            <w:r>
              <w:rPr>
                <w:sz w:val="16"/>
              </w:rPr>
              <w:t>in</w:t>
            </w:r>
            <w:r>
              <w:rPr>
                <w:spacing w:val="-4"/>
                <w:sz w:val="16"/>
              </w:rPr>
              <w:t> </w:t>
            </w:r>
            <w:r>
              <w:rPr>
                <w:sz w:val="16"/>
              </w:rPr>
              <w:t>patients</w:t>
            </w:r>
            <w:r>
              <w:rPr>
                <w:spacing w:val="-4"/>
                <w:sz w:val="16"/>
              </w:rPr>
              <w:t> </w:t>
            </w:r>
            <w:r>
              <w:rPr>
                <w:sz w:val="16"/>
              </w:rPr>
              <w:t>who have failed other biologic medications, such as Infliximab or Etanercept Contract: 1</w:t>
            </w:r>
            <w:r>
              <w:rPr>
                <w:position w:val="5"/>
                <w:sz w:val="10"/>
              </w:rPr>
              <w:t>st</w:t>
            </w:r>
            <w:r>
              <w:rPr>
                <w:spacing w:val="40"/>
                <w:position w:val="5"/>
                <w:sz w:val="10"/>
              </w:rPr>
              <w:t> </w:t>
            </w:r>
            <w:r>
              <w:rPr>
                <w:sz w:val="16"/>
              </w:rPr>
              <w:t>July 2021 to 30</w:t>
            </w:r>
            <w:r>
              <w:rPr>
                <w:position w:val="5"/>
                <w:sz w:val="10"/>
              </w:rPr>
              <w:t>th</w:t>
            </w:r>
            <w:r>
              <w:rPr>
                <w:spacing w:val="40"/>
                <w:position w:val="5"/>
                <w:sz w:val="10"/>
              </w:rPr>
              <w:t> </w:t>
            </w:r>
            <w:r>
              <w:rPr>
                <w:sz w:val="16"/>
              </w:rPr>
              <w:t>June 2024</w:t>
            </w:r>
          </w:p>
        </w:tc>
        <w:tc>
          <w:tcPr>
            <w:tcW w:w="1276" w:type="dxa"/>
          </w:tcPr>
          <w:p>
            <w:pPr>
              <w:pStyle w:val="TableParagraph"/>
              <w:rPr>
                <w:rFonts w:ascii="Times New Roman"/>
                <w:sz w:val="16"/>
              </w:rPr>
            </w:pPr>
          </w:p>
        </w:tc>
        <w:tc>
          <w:tcPr>
            <w:tcW w:w="1701" w:type="dxa"/>
          </w:tcPr>
          <w:p>
            <w:pPr>
              <w:pStyle w:val="TableParagraph"/>
              <w:rPr>
                <w:rFonts w:ascii="Times New Roman"/>
                <w:sz w:val="16"/>
              </w:rPr>
            </w:pPr>
          </w:p>
        </w:tc>
        <w:tc>
          <w:tcPr>
            <w:tcW w:w="1417" w:type="dxa"/>
          </w:tcPr>
          <w:p>
            <w:pPr>
              <w:pStyle w:val="TableParagraph"/>
              <w:rPr>
                <w:rFonts w:ascii="Times New Roman"/>
                <w:sz w:val="16"/>
              </w:rPr>
            </w:pPr>
          </w:p>
        </w:tc>
        <w:tc>
          <w:tcPr>
            <w:tcW w:w="1574" w:type="dxa"/>
          </w:tcPr>
          <w:p>
            <w:pPr>
              <w:pStyle w:val="TableParagraph"/>
              <w:rPr>
                <w:rFonts w:ascii="Times New Roman"/>
                <w:sz w:val="16"/>
              </w:rPr>
            </w:pPr>
          </w:p>
        </w:tc>
        <w:tc>
          <w:tcPr>
            <w:tcW w:w="1396" w:type="dxa"/>
          </w:tcPr>
          <w:p>
            <w:pPr>
              <w:pStyle w:val="TableParagraph"/>
              <w:rPr>
                <w:rFonts w:ascii="Times New Roman"/>
                <w:sz w:val="16"/>
              </w:rPr>
            </w:pPr>
          </w:p>
        </w:tc>
        <w:tc>
          <w:tcPr>
            <w:tcW w:w="1460" w:type="dxa"/>
          </w:tcPr>
          <w:p>
            <w:pPr>
              <w:pStyle w:val="TableParagraph"/>
              <w:rPr>
                <w:rFonts w:ascii="Times New Roman"/>
                <w:sz w:val="16"/>
              </w:rPr>
            </w:pPr>
          </w:p>
        </w:tc>
      </w:tr>
      <w:tr>
        <w:trPr>
          <w:trHeight w:val="1750" w:hRule="atLeast"/>
        </w:trPr>
        <w:tc>
          <w:tcPr>
            <w:tcW w:w="709" w:type="dxa"/>
          </w:tcPr>
          <w:p>
            <w:pPr>
              <w:pStyle w:val="TableParagraph"/>
              <w:ind w:left="151"/>
              <w:rPr>
                <w:sz w:val="16"/>
              </w:rPr>
            </w:pPr>
            <w:r>
              <w:rPr>
                <w:spacing w:val="-5"/>
                <w:sz w:val="16"/>
              </w:rPr>
              <w:t>19.</w:t>
            </w:r>
          </w:p>
        </w:tc>
        <w:tc>
          <w:tcPr>
            <w:tcW w:w="6379" w:type="dxa"/>
          </w:tcPr>
          <w:p>
            <w:pPr>
              <w:pStyle w:val="TableParagraph"/>
              <w:ind w:left="108"/>
              <w:rPr>
                <w:sz w:val="16"/>
              </w:rPr>
            </w:pPr>
            <w:r>
              <w:rPr>
                <w:color w:val="0463C1"/>
                <w:spacing w:val="-2"/>
                <w:sz w:val="16"/>
                <w:u w:val="single" w:color="0463C1"/>
              </w:rPr>
              <w:t>Trastuzumab</w:t>
            </w:r>
          </w:p>
          <w:p>
            <w:pPr>
              <w:pStyle w:val="TableParagraph"/>
              <w:ind w:left="108" w:right="83"/>
              <w:rPr>
                <w:sz w:val="16"/>
              </w:rPr>
            </w:pPr>
            <w:r>
              <w:rPr>
                <w:sz w:val="16"/>
              </w:rPr>
              <w:t>is approved for the treatment of early-stage breast cancer that is </w:t>
            </w:r>
            <w:r>
              <w:rPr>
                <w:b/>
                <w:sz w:val="16"/>
              </w:rPr>
              <w:t>H</w:t>
            </w:r>
            <w:r>
              <w:rPr>
                <w:sz w:val="16"/>
              </w:rPr>
              <w:t>uman </w:t>
            </w:r>
            <w:r>
              <w:rPr>
                <w:b/>
                <w:sz w:val="16"/>
              </w:rPr>
              <w:t>E</w:t>
            </w:r>
            <w:r>
              <w:rPr>
                <w:sz w:val="16"/>
              </w:rPr>
              <w:t>pidermal</w:t>
            </w:r>
            <w:r>
              <w:rPr>
                <w:spacing w:val="-5"/>
                <w:sz w:val="16"/>
              </w:rPr>
              <w:t> </w:t>
            </w:r>
            <w:r>
              <w:rPr>
                <w:sz w:val="16"/>
              </w:rPr>
              <w:t>growth</w:t>
            </w:r>
            <w:r>
              <w:rPr>
                <w:spacing w:val="-5"/>
                <w:sz w:val="16"/>
              </w:rPr>
              <w:t> </w:t>
            </w:r>
            <w:r>
              <w:rPr>
                <w:sz w:val="16"/>
              </w:rPr>
              <w:t>factor</w:t>
            </w:r>
            <w:r>
              <w:rPr>
                <w:spacing w:val="-5"/>
                <w:sz w:val="16"/>
              </w:rPr>
              <w:t> </w:t>
            </w:r>
            <w:r>
              <w:rPr>
                <w:b/>
                <w:sz w:val="16"/>
              </w:rPr>
              <w:t>R</w:t>
            </w:r>
            <w:r>
              <w:rPr>
                <w:sz w:val="16"/>
              </w:rPr>
              <w:t>eceptor</w:t>
            </w:r>
            <w:r>
              <w:rPr>
                <w:spacing w:val="-5"/>
                <w:sz w:val="16"/>
              </w:rPr>
              <w:t> </w:t>
            </w:r>
            <w:r>
              <w:rPr>
                <w:b/>
                <w:sz w:val="16"/>
              </w:rPr>
              <w:t>2</w:t>
            </w:r>
            <w:r>
              <w:rPr>
                <w:sz w:val="16"/>
              </w:rPr>
              <w:t>-positive</w:t>
            </w:r>
            <w:r>
              <w:rPr>
                <w:spacing w:val="-6"/>
                <w:sz w:val="16"/>
              </w:rPr>
              <w:t> </w:t>
            </w:r>
            <w:r>
              <w:rPr>
                <w:sz w:val="16"/>
              </w:rPr>
              <w:t>(</w:t>
            </w:r>
            <w:r>
              <w:rPr>
                <w:b/>
                <w:sz w:val="16"/>
              </w:rPr>
              <w:t>HER2</w:t>
            </w:r>
            <w:r>
              <w:rPr>
                <w:sz w:val="16"/>
              </w:rPr>
              <w:t>+).</w:t>
            </w:r>
            <w:r>
              <w:rPr>
                <w:spacing w:val="-6"/>
                <w:sz w:val="16"/>
              </w:rPr>
              <w:t> </w:t>
            </w:r>
            <w:r>
              <w:rPr>
                <w:sz w:val="16"/>
              </w:rPr>
              <w:t>Trastuzumab</w:t>
            </w:r>
            <w:r>
              <w:rPr>
                <w:spacing w:val="-5"/>
                <w:sz w:val="16"/>
              </w:rPr>
              <w:t> </w:t>
            </w:r>
            <w:r>
              <w:rPr>
                <w:sz w:val="16"/>
              </w:rPr>
              <w:t>is</w:t>
            </w:r>
            <w:r>
              <w:rPr>
                <w:spacing w:val="-6"/>
                <w:sz w:val="16"/>
              </w:rPr>
              <w:t> </w:t>
            </w:r>
            <w:r>
              <w:rPr>
                <w:sz w:val="16"/>
              </w:rPr>
              <w:t>also approved, in combination with chemotherapy for the treatment of HER2+ metastatic cancer of the stomach or gastroesophageal junction in patients who have not received prior treatment for their metastatic disease. This contract is for the supply of medicines to both hospitals and to patients within their own homes.</w:t>
            </w:r>
          </w:p>
          <w:p>
            <w:pPr>
              <w:pStyle w:val="TableParagraph"/>
              <w:spacing w:line="174" w:lineRule="exact"/>
              <w:ind w:left="108"/>
              <w:rPr>
                <w:sz w:val="16"/>
              </w:rPr>
            </w:pPr>
            <w:r>
              <w:rPr>
                <w:sz w:val="16"/>
              </w:rPr>
              <w:t>Contract:</w:t>
            </w:r>
            <w:r>
              <w:rPr>
                <w:spacing w:val="-2"/>
                <w:sz w:val="16"/>
              </w:rPr>
              <w:t> </w:t>
            </w:r>
            <w:r>
              <w:rPr>
                <w:sz w:val="16"/>
              </w:rPr>
              <w:t>1</w:t>
            </w:r>
            <w:r>
              <w:rPr>
                <w:position w:val="5"/>
                <w:sz w:val="10"/>
              </w:rPr>
              <w:t>st</w:t>
            </w:r>
            <w:r>
              <w:rPr>
                <w:spacing w:val="19"/>
                <w:position w:val="5"/>
                <w:sz w:val="10"/>
              </w:rPr>
              <w:t> </w:t>
            </w:r>
            <w:r>
              <w:rPr>
                <w:sz w:val="16"/>
              </w:rPr>
              <w:t>July</w:t>
            </w:r>
            <w:r>
              <w:rPr>
                <w:spacing w:val="-2"/>
                <w:sz w:val="16"/>
              </w:rPr>
              <w:t> </w:t>
            </w:r>
            <w:r>
              <w:rPr>
                <w:sz w:val="16"/>
              </w:rPr>
              <w:t>2021</w:t>
            </w:r>
            <w:r>
              <w:rPr>
                <w:spacing w:val="-1"/>
                <w:sz w:val="16"/>
              </w:rPr>
              <w:t> </w:t>
            </w:r>
            <w:r>
              <w:rPr>
                <w:sz w:val="16"/>
              </w:rPr>
              <w:t>to</w:t>
            </w:r>
            <w:r>
              <w:rPr>
                <w:spacing w:val="-2"/>
                <w:sz w:val="16"/>
              </w:rPr>
              <w:t> </w:t>
            </w:r>
            <w:r>
              <w:rPr>
                <w:sz w:val="16"/>
              </w:rPr>
              <w:t>30</w:t>
            </w:r>
            <w:r>
              <w:rPr>
                <w:position w:val="5"/>
                <w:sz w:val="10"/>
              </w:rPr>
              <w:t>th</w:t>
            </w:r>
            <w:r>
              <w:rPr>
                <w:spacing w:val="19"/>
                <w:position w:val="5"/>
                <w:sz w:val="10"/>
              </w:rPr>
              <w:t> </w:t>
            </w:r>
            <w:r>
              <w:rPr>
                <w:sz w:val="16"/>
              </w:rPr>
              <w:t>June</w:t>
            </w:r>
            <w:r>
              <w:rPr>
                <w:spacing w:val="-2"/>
                <w:sz w:val="16"/>
              </w:rPr>
              <w:t> </w:t>
            </w:r>
            <w:r>
              <w:rPr>
                <w:spacing w:val="-4"/>
                <w:sz w:val="16"/>
              </w:rPr>
              <w:t>2024</w:t>
            </w:r>
          </w:p>
        </w:tc>
        <w:tc>
          <w:tcPr>
            <w:tcW w:w="1276" w:type="dxa"/>
          </w:tcPr>
          <w:p>
            <w:pPr>
              <w:pStyle w:val="TableParagraph"/>
              <w:ind w:left="107"/>
              <w:rPr>
                <w:sz w:val="16"/>
              </w:rPr>
            </w:pPr>
            <w:r>
              <w:rPr>
                <w:spacing w:val="-2"/>
                <w:sz w:val="16"/>
              </w:rPr>
              <w:t>Extension</w:t>
            </w:r>
          </w:p>
        </w:tc>
        <w:tc>
          <w:tcPr>
            <w:tcW w:w="1701" w:type="dxa"/>
          </w:tcPr>
          <w:p>
            <w:pPr>
              <w:pStyle w:val="TableParagraph"/>
              <w:ind w:right="96"/>
              <w:jc w:val="right"/>
              <w:rPr>
                <w:sz w:val="16"/>
              </w:rPr>
            </w:pPr>
            <w:r>
              <w:rPr>
                <w:spacing w:val="-2"/>
                <w:sz w:val="16"/>
              </w:rPr>
              <w:t>£19,796,274</w:t>
            </w:r>
          </w:p>
        </w:tc>
        <w:tc>
          <w:tcPr>
            <w:tcW w:w="1417" w:type="dxa"/>
          </w:tcPr>
          <w:p>
            <w:pPr>
              <w:pStyle w:val="TableParagraph"/>
              <w:ind w:left="108"/>
              <w:rPr>
                <w:sz w:val="16"/>
              </w:rPr>
            </w:pPr>
            <w:r>
              <w:rPr>
                <w:spacing w:val="-2"/>
                <w:sz w:val="16"/>
              </w:rPr>
              <w:t>15/12/2022</w:t>
            </w:r>
          </w:p>
        </w:tc>
        <w:tc>
          <w:tcPr>
            <w:tcW w:w="1574" w:type="dxa"/>
          </w:tcPr>
          <w:p>
            <w:pPr>
              <w:pStyle w:val="TableParagraph"/>
              <w:ind w:left="107" w:right="106"/>
              <w:rPr>
                <w:sz w:val="16"/>
              </w:rPr>
            </w:pPr>
            <w:r>
              <w:rPr>
                <w:sz w:val="16"/>
              </w:rPr>
              <w:t>original</w:t>
            </w:r>
            <w:r>
              <w:rPr>
                <w:spacing w:val="-15"/>
                <w:sz w:val="16"/>
              </w:rPr>
              <w:t> </w:t>
            </w:r>
            <w:r>
              <w:rPr>
                <w:sz w:val="16"/>
              </w:rPr>
              <w:t>approval applies 29/4/21</w:t>
            </w:r>
          </w:p>
        </w:tc>
        <w:tc>
          <w:tcPr>
            <w:tcW w:w="1396" w:type="dxa"/>
          </w:tcPr>
          <w:p>
            <w:pPr>
              <w:pStyle w:val="TableParagraph"/>
              <w:ind w:left="107"/>
              <w:rPr>
                <w:sz w:val="16"/>
              </w:rPr>
            </w:pPr>
            <w:r>
              <w:rPr>
                <w:spacing w:val="-2"/>
                <w:sz w:val="16"/>
              </w:rPr>
              <w:t>15/12/2022</w:t>
            </w:r>
          </w:p>
        </w:tc>
        <w:tc>
          <w:tcPr>
            <w:tcW w:w="1460" w:type="dxa"/>
          </w:tcPr>
          <w:p>
            <w:pPr>
              <w:pStyle w:val="TableParagraph"/>
              <w:ind w:left="107"/>
              <w:rPr>
                <w:sz w:val="16"/>
              </w:rPr>
            </w:pPr>
            <w:r>
              <w:rPr>
                <w:spacing w:val="-2"/>
                <w:sz w:val="16"/>
              </w:rPr>
              <w:t>16/12/2022</w:t>
            </w:r>
          </w:p>
        </w:tc>
      </w:tr>
      <w:tr>
        <w:trPr>
          <w:trHeight w:val="777" w:hRule="atLeast"/>
        </w:trPr>
        <w:tc>
          <w:tcPr>
            <w:tcW w:w="709" w:type="dxa"/>
          </w:tcPr>
          <w:p>
            <w:pPr>
              <w:pStyle w:val="TableParagraph"/>
              <w:ind w:left="151"/>
              <w:rPr>
                <w:sz w:val="16"/>
              </w:rPr>
            </w:pPr>
            <w:r>
              <w:rPr>
                <w:spacing w:val="-5"/>
                <w:sz w:val="16"/>
              </w:rPr>
              <w:t>20.</w:t>
            </w:r>
          </w:p>
        </w:tc>
        <w:tc>
          <w:tcPr>
            <w:tcW w:w="6379" w:type="dxa"/>
          </w:tcPr>
          <w:p>
            <w:pPr>
              <w:pStyle w:val="TableParagraph"/>
              <w:ind w:left="108"/>
              <w:rPr>
                <w:sz w:val="16"/>
              </w:rPr>
            </w:pPr>
            <w:r>
              <w:rPr>
                <w:color w:val="0463C1"/>
                <w:sz w:val="16"/>
                <w:u w:val="single" w:color="0463C1"/>
              </w:rPr>
              <w:t>Remote</w:t>
            </w:r>
            <w:r>
              <w:rPr>
                <w:color w:val="0463C1"/>
                <w:spacing w:val="-4"/>
                <w:sz w:val="16"/>
                <w:u w:val="single" w:color="0463C1"/>
              </w:rPr>
              <w:t> </w:t>
            </w:r>
            <w:r>
              <w:rPr>
                <w:color w:val="0463C1"/>
                <w:sz w:val="16"/>
                <w:u w:val="single" w:color="0463C1"/>
              </w:rPr>
              <w:t>advice</w:t>
            </w:r>
            <w:r>
              <w:rPr>
                <w:color w:val="0463C1"/>
                <w:spacing w:val="-4"/>
                <w:sz w:val="16"/>
                <w:u w:val="single" w:color="0463C1"/>
              </w:rPr>
              <w:t> </w:t>
            </w:r>
            <w:r>
              <w:rPr>
                <w:color w:val="0463C1"/>
                <w:sz w:val="16"/>
                <w:u w:val="single" w:color="0463C1"/>
              </w:rPr>
              <w:t>and</w:t>
            </w:r>
            <w:r>
              <w:rPr>
                <w:color w:val="0463C1"/>
                <w:spacing w:val="-2"/>
                <w:sz w:val="16"/>
                <w:u w:val="single" w:color="0463C1"/>
              </w:rPr>
              <w:t> guidance</w:t>
            </w:r>
          </w:p>
          <w:p>
            <w:pPr>
              <w:pStyle w:val="TableParagraph"/>
              <w:ind w:left="108" w:right="191"/>
              <w:rPr>
                <w:sz w:val="16"/>
              </w:rPr>
            </w:pPr>
            <w:r>
              <w:rPr>
                <w:sz w:val="16"/>
              </w:rPr>
              <w:t>Provide</w:t>
            </w:r>
            <w:r>
              <w:rPr>
                <w:spacing w:val="-4"/>
                <w:sz w:val="16"/>
              </w:rPr>
              <w:t> </w:t>
            </w:r>
            <w:r>
              <w:rPr>
                <w:sz w:val="16"/>
              </w:rPr>
              <w:t>a</w:t>
            </w:r>
            <w:r>
              <w:rPr>
                <w:spacing w:val="-3"/>
                <w:sz w:val="16"/>
              </w:rPr>
              <w:t> </w:t>
            </w:r>
            <w:r>
              <w:rPr>
                <w:sz w:val="16"/>
              </w:rPr>
              <w:t>tool</w:t>
            </w:r>
            <w:r>
              <w:rPr>
                <w:spacing w:val="-3"/>
                <w:sz w:val="16"/>
              </w:rPr>
              <w:t> </w:t>
            </w:r>
            <w:r>
              <w:rPr>
                <w:sz w:val="16"/>
              </w:rPr>
              <w:t>that</w:t>
            </w:r>
            <w:r>
              <w:rPr>
                <w:spacing w:val="-4"/>
                <w:sz w:val="16"/>
              </w:rPr>
              <w:t> </w:t>
            </w:r>
            <w:r>
              <w:rPr>
                <w:sz w:val="16"/>
              </w:rPr>
              <w:t>can</w:t>
            </w:r>
            <w:r>
              <w:rPr>
                <w:spacing w:val="-4"/>
                <w:sz w:val="16"/>
              </w:rPr>
              <w:t> </w:t>
            </w:r>
            <w:r>
              <w:rPr>
                <w:sz w:val="16"/>
              </w:rPr>
              <w:t>link</w:t>
            </w:r>
            <w:r>
              <w:rPr>
                <w:spacing w:val="-4"/>
                <w:sz w:val="16"/>
              </w:rPr>
              <w:t> </w:t>
            </w:r>
            <w:r>
              <w:rPr>
                <w:sz w:val="16"/>
              </w:rPr>
              <w:t>care</w:t>
            </w:r>
            <w:r>
              <w:rPr>
                <w:spacing w:val="-3"/>
                <w:sz w:val="16"/>
              </w:rPr>
              <w:t> </w:t>
            </w:r>
            <w:r>
              <w:rPr>
                <w:sz w:val="16"/>
              </w:rPr>
              <w:t>providers</w:t>
            </w:r>
            <w:r>
              <w:rPr>
                <w:spacing w:val="-3"/>
                <w:sz w:val="16"/>
              </w:rPr>
              <w:t> </w:t>
            </w:r>
            <w:r>
              <w:rPr>
                <w:sz w:val="16"/>
              </w:rPr>
              <w:t>to</w:t>
            </w:r>
            <w:r>
              <w:rPr>
                <w:spacing w:val="-4"/>
                <w:sz w:val="16"/>
              </w:rPr>
              <w:t> </w:t>
            </w:r>
            <w:r>
              <w:rPr>
                <w:sz w:val="16"/>
              </w:rPr>
              <w:t>expert</w:t>
            </w:r>
            <w:r>
              <w:rPr>
                <w:spacing w:val="-3"/>
                <w:sz w:val="16"/>
              </w:rPr>
              <w:t> </w:t>
            </w:r>
            <w:r>
              <w:rPr>
                <w:sz w:val="16"/>
              </w:rPr>
              <w:t>advice</w:t>
            </w:r>
            <w:r>
              <w:rPr>
                <w:spacing w:val="-3"/>
                <w:sz w:val="16"/>
              </w:rPr>
              <w:t> </w:t>
            </w:r>
            <w:r>
              <w:rPr>
                <w:sz w:val="16"/>
              </w:rPr>
              <w:t>within</w:t>
            </w:r>
            <w:r>
              <w:rPr>
                <w:spacing w:val="-4"/>
                <w:sz w:val="16"/>
              </w:rPr>
              <w:t> </w:t>
            </w:r>
            <w:r>
              <w:rPr>
                <w:sz w:val="16"/>
              </w:rPr>
              <w:t>and across organisational boundaries.</w:t>
            </w:r>
          </w:p>
          <w:p>
            <w:pPr>
              <w:pStyle w:val="TableParagraph"/>
              <w:spacing w:line="174" w:lineRule="exact"/>
              <w:ind w:left="108"/>
              <w:rPr>
                <w:sz w:val="16"/>
              </w:rPr>
            </w:pPr>
            <w:r>
              <w:rPr>
                <w:sz w:val="16"/>
              </w:rPr>
              <w:t>Contract:</w:t>
            </w:r>
            <w:r>
              <w:rPr>
                <w:spacing w:val="-3"/>
                <w:sz w:val="16"/>
              </w:rPr>
              <w:t> </w:t>
            </w:r>
            <w:r>
              <w:rPr>
                <w:sz w:val="16"/>
              </w:rPr>
              <w:t>01/04/23</w:t>
            </w:r>
            <w:r>
              <w:rPr>
                <w:spacing w:val="-3"/>
                <w:sz w:val="16"/>
              </w:rPr>
              <w:t> </w:t>
            </w:r>
            <w:r>
              <w:rPr>
                <w:sz w:val="16"/>
              </w:rPr>
              <w:t>–</w:t>
            </w:r>
            <w:r>
              <w:rPr>
                <w:spacing w:val="-2"/>
                <w:sz w:val="16"/>
              </w:rPr>
              <w:t> 31/03/26+2</w:t>
            </w:r>
          </w:p>
        </w:tc>
        <w:tc>
          <w:tcPr>
            <w:tcW w:w="1276" w:type="dxa"/>
          </w:tcPr>
          <w:p>
            <w:pPr>
              <w:pStyle w:val="TableParagraph"/>
              <w:ind w:left="107"/>
              <w:rPr>
                <w:sz w:val="16"/>
              </w:rPr>
            </w:pPr>
            <w:r>
              <w:rPr>
                <w:spacing w:val="-2"/>
                <w:sz w:val="16"/>
              </w:rPr>
              <w:t>Ratification</w:t>
            </w:r>
          </w:p>
        </w:tc>
        <w:tc>
          <w:tcPr>
            <w:tcW w:w="1701" w:type="dxa"/>
          </w:tcPr>
          <w:p>
            <w:pPr>
              <w:pStyle w:val="TableParagraph"/>
              <w:ind w:right="95"/>
              <w:jc w:val="right"/>
              <w:rPr>
                <w:sz w:val="16"/>
              </w:rPr>
            </w:pPr>
            <w:r>
              <w:rPr>
                <w:spacing w:val="-2"/>
                <w:sz w:val="16"/>
              </w:rPr>
              <w:t>£6,000,000</w:t>
            </w:r>
          </w:p>
        </w:tc>
        <w:tc>
          <w:tcPr>
            <w:tcW w:w="1417" w:type="dxa"/>
          </w:tcPr>
          <w:p>
            <w:pPr>
              <w:pStyle w:val="TableParagraph"/>
              <w:ind w:left="108"/>
              <w:rPr>
                <w:sz w:val="16"/>
              </w:rPr>
            </w:pPr>
            <w:r>
              <w:rPr>
                <w:spacing w:val="-2"/>
                <w:sz w:val="16"/>
              </w:rPr>
              <w:t>19/12/2022</w:t>
            </w:r>
          </w:p>
        </w:tc>
        <w:tc>
          <w:tcPr>
            <w:tcW w:w="1574" w:type="dxa"/>
          </w:tcPr>
          <w:p>
            <w:pPr>
              <w:pStyle w:val="TableParagraph"/>
              <w:ind w:left="107"/>
              <w:rPr>
                <w:sz w:val="16"/>
              </w:rPr>
            </w:pPr>
            <w:r>
              <w:rPr>
                <w:spacing w:val="-2"/>
                <w:sz w:val="16"/>
              </w:rPr>
              <w:t>21/12/2022</w:t>
            </w:r>
          </w:p>
        </w:tc>
        <w:tc>
          <w:tcPr>
            <w:tcW w:w="1396" w:type="dxa"/>
          </w:tcPr>
          <w:p>
            <w:pPr>
              <w:pStyle w:val="TableParagraph"/>
              <w:ind w:left="107"/>
              <w:rPr>
                <w:sz w:val="16"/>
              </w:rPr>
            </w:pPr>
            <w:r>
              <w:rPr>
                <w:spacing w:val="-2"/>
                <w:sz w:val="16"/>
              </w:rPr>
              <w:t>22/12/2022</w:t>
            </w:r>
          </w:p>
        </w:tc>
        <w:tc>
          <w:tcPr>
            <w:tcW w:w="1460" w:type="dxa"/>
          </w:tcPr>
          <w:p>
            <w:pPr>
              <w:pStyle w:val="TableParagraph"/>
              <w:ind w:left="107"/>
              <w:rPr>
                <w:sz w:val="16"/>
              </w:rPr>
            </w:pPr>
            <w:r>
              <w:rPr>
                <w:spacing w:val="-2"/>
                <w:sz w:val="16"/>
              </w:rPr>
              <w:t>22/12/2022</w:t>
            </w:r>
          </w:p>
        </w:tc>
      </w:tr>
      <w:tr>
        <w:trPr>
          <w:trHeight w:val="972" w:hRule="atLeast"/>
        </w:trPr>
        <w:tc>
          <w:tcPr>
            <w:tcW w:w="709" w:type="dxa"/>
          </w:tcPr>
          <w:p>
            <w:pPr>
              <w:pStyle w:val="TableParagraph"/>
              <w:ind w:left="151"/>
              <w:rPr>
                <w:sz w:val="16"/>
              </w:rPr>
            </w:pPr>
            <w:r>
              <w:rPr>
                <w:spacing w:val="-5"/>
                <w:sz w:val="16"/>
              </w:rPr>
              <w:t>21.</w:t>
            </w:r>
          </w:p>
        </w:tc>
        <w:tc>
          <w:tcPr>
            <w:tcW w:w="6379" w:type="dxa"/>
          </w:tcPr>
          <w:p>
            <w:pPr>
              <w:pStyle w:val="TableParagraph"/>
              <w:ind w:left="108"/>
              <w:rPr>
                <w:sz w:val="16"/>
              </w:rPr>
            </w:pPr>
            <w:r>
              <w:rPr>
                <w:color w:val="0463C1"/>
                <w:sz w:val="16"/>
                <w:u w:val="single" w:color="0463C1"/>
              </w:rPr>
              <w:t>Video </w:t>
            </w:r>
            <w:r>
              <w:rPr>
                <w:color w:val="0463C1"/>
                <w:spacing w:val="-2"/>
                <w:sz w:val="16"/>
                <w:u w:val="single" w:color="0463C1"/>
              </w:rPr>
              <w:t>Consultation</w:t>
            </w:r>
          </w:p>
          <w:p>
            <w:pPr>
              <w:pStyle w:val="TableParagraph"/>
              <w:ind w:left="108" w:right="191"/>
              <w:rPr>
                <w:sz w:val="16"/>
              </w:rPr>
            </w:pPr>
            <w:r>
              <w:rPr>
                <w:sz w:val="16"/>
              </w:rPr>
              <w:t>VC</w:t>
            </w:r>
            <w:r>
              <w:rPr>
                <w:spacing w:val="-3"/>
                <w:sz w:val="16"/>
              </w:rPr>
              <w:t> </w:t>
            </w:r>
            <w:r>
              <w:rPr>
                <w:sz w:val="16"/>
              </w:rPr>
              <w:t>now</w:t>
            </w:r>
            <w:r>
              <w:rPr>
                <w:spacing w:val="-3"/>
                <w:sz w:val="16"/>
              </w:rPr>
              <w:t> </w:t>
            </w:r>
            <w:r>
              <w:rPr>
                <w:sz w:val="16"/>
              </w:rPr>
              <w:t>forms</w:t>
            </w:r>
            <w:r>
              <w:rPr>
                <w:spacing w:val="-4"/>
                <w:sz w:val="16"/>
              </w:rPr>
              <w:t> </w:t>
            </w:r>
            <w:r>
              <w:rPr>
                <w:sz w:val="16"/>
              </w:rPr>
              <w:t>part</w:t>
            </w:r>
            <w:r>
              <w:rPr>
                <w:spacing w:val="-4"/>
                <w:sz w:val="16"/>
              </w:rPr>
              <w:t> </w:t>
            </w:r>
            <w:r>
              <w:rPr>
                <w:sz w:val="16"/>
              </w:rPr>
              <w:t>of</w:t>
            </w:r>
            <w:r>
              <w:rPr>
                <w:spacing w:val="-4"/>
                <w:sz w:val="16"/>
              </w:rPr>
              <w:t> </w:t>
            </w:r>
            <w:r>
              <w:rPr>
                <w:sz w:val="16"/>
              </w:rPr>
              <w:t>a</w:t>
            </w:r>
            <w:r>
              <w:rPr>
                <w:spacing w:val="-3"/>
                <w:sz w:val="16"/>
              </w:rPr>
              <w:t> </w:t>
            </w:r>
            <w:r>
              <w:rPr>
                <w:sz w:val="16"/>
              </w:rPr>
              <w:t>safe</w:t>
            </w:r>
            <w:r>
              <w:rPr>
                <w:spacing w:val="-4"/>
                <w:sz w:val="16"/>
              </w:rPr>
              <w:t> </w:t>
            </w:r>
            <w:r>
              <w:rPr>
                <w:sz w:val="16"/>
              </w:rPr>
              <w:t>and</w:t>
            </w:r>
            <w:r>
              <w:rPr>
                <w:spacing w:val="-3"/>
                <w:sz w:val="16"/>
              </w:rPr>
              <w:t> </w:t>
            </w:r>
            <w:r>
              <w:rPr>
                <w:sz w:val="16"/>
              </w:rPr>
              <w:t>assured</w:t>
            </w:r>
            <w:r>
              <w:rPr>
                <w:spacing w:val="-4"/>
                <w:sz w:val="16"/>
              </w:rPr>
              <w:t> </w:t>
            </w:r>
            <w:r>
              <w:rPr>
                <w:sz w:val="16"/>
              </w:rPr>
              <w:t>toolkit</w:t>
            </w:r>
            <w:r>
              <w:rPr>
                <w:spacing w:val="-4"/>
                <w:sz w:val="16"/>
              </w:rPr>
              <w:t> </w:t>
            </w:r>
            <w:r>
              <w:rPr>
                <w:sz w:val="16"/>
              </w:rPr>
              <w:t>for</w:t>
            </w:r>
            <w:r>
              <w:rPr>
                <w:spacing w:val="-3"/>
                <w:sz w:val="16"/>
              </w:rPr>
              <w:t> </w:t>
            </w:r>
            <w:r>
              <w:rPr>
                <w:sz w:val="16"/>
              </w:rPr>
              <w:t>patients</w:t>
            </w:r>
            <w:r>
              <w:rPr>
                <w:spacing w:val="-4"/>
                <w:sz w:val="16"/>
              </w:rPr>
              <w:t> </w:t>
            </w:r>
            <w:r>
              <w:rPr>
                <w:sz w:val="16"/>
              </w:rPr>
              <w:t>and</w:t>
            </w:r>
            <w:r>
              <w:rPr>
                <w:spacing w:val="-3"/>
                <w:sz w:val="16"/>
              </w:rPr>
              <w:t> </w:t>
            </w:r>
            <w:r>
              <w:rPr>
                <w:sz w:val="16"/>
              </w:rPr>
              <w:t>clinicians, enabling a flexible approach for clinicians and patients in the delivery of safe and timely care to the people of Wales.</w:t>
            </w:r>
          </w:p>
          <w:p>
            <w:pPr>
              <w:pStyle w:val="TableParagraph"/>
              <w:spacing w:line="174" w:lineRule="exact"/>
              <w:ind w:left="108"/>
              <w:rPr>
                <w:sz w:val="16"/>
              </w:rPr>
            </w:pPr>
            <w:r>
              <w:rPr>
                <w:sz w:val="16"/>
              </w:rPr>
              <w:t>Contract:</w:t>
            </w:r>
            <w:r>
              <w:rPr>
                <w:spacing w:val="-5"/>
                <w:sz w:val="16"/>
              </w:rPr>
              <w:t> </w:t>
            </w:r>
            <w:r>
              <w:rPr>
                <w:sz w:val="16"/>
              </w:rPr>
              <w:t>01/01/2023</w:t>
            </w:r>
            <w:r>
              <w:rPr>
                <w:spacing w:val="-5"/>
                <w:sz w:val="16"/>
              </w:rPr>
              <w:t> </w:t>
            </w:r>
            <w:r>
              <w:rPr>
                <w:sz w:val="16"/>
              </w:rPr>
              <w:t>-</w:t>
            </w:r>
            <w:r>
              <w:rPr>
                <w:spacing w:val="-2"/>
                <w:sz w:val="16"/>
              </w:rPr>
              <w:t>31/12/2023+1</w:t>
            </w:r>
          </w:p>
        </w:tc>
        <w:tc>
          <w:tcPr>
            <w:tcW w:w="1276" w:type="dxa"/>
          </w:tcPr>
          <w:p>
            <w:pPr>
              <w:pStyle w:val="TableParagraph"/>
              <w:ind w:left="107"/>
              <w:rPr>
                <w:sz w:val="16"/>
              </w:rPr>
            </w:pPr>
            <w:r>
              <w:rPr>
                <w:spacing w:val="-2"/>
                <w:sz w:val="16"/>
              </w:rPr>
              <w:t>Ratification</w:t>
            </w:r>
          </w:p>
        </w:tc>
        <w:tc>
          <w:tcPr>
            <w:tcW w:w="1701" w:type="dxa"/>
          </w:tcPr>
          <w:p>
            <w:pPr>
              <w:pStyle w:val="TableParagraph"/>
              <w:ind w:right="95"/>
              <w:jc w:val="right"/>
              <w:rPr>
                <w:sz w:val="16"/>
              </w:rPr>
            </w:pPr>
            <w:r>
              <w:rPr>
                <w:spacing w:val="-2"/>
                <w:sz w:val="16"/>
              </w:rPr>
              <w:t>£3,912,000</w:t>
            </w:r>
          </w:p>
        </w:tc>
        <w:tc>
          <w:tcPr>
            <w:tcW w:w="1417" w:type="dxa"/>
          </w:tcPr>
          <w:p>
            <w:pPr>
              <w:pStyle w:val="TableParagraph"/>
              <w:ind w:left="108"/>
              <w:rPr>
                <w:sz w:val="16"/>
              </w:rPr>
            </w:pPr>
            <w:r>
              <w:rPr>
                <w:spacing w:val="-2"/>
                <w:sz w:val="16"/>
              </w:rPr>
              <w:t>20/12/2022</w:t>
            </w:r>
          </w:p>
        </w:tc>
        <w:tc>
          <w:tcPr>
            <w:tcW w:w="1574" w:type="dxa"/>
          </w:tcPr>
          <w:p>
            <w:pPr>
              <w:pStyle w:val="TableParagraph"/>
              <w:ind w:left="107"/>
              <w:rPr>
                <w:sz w:val="16"/>
              </w:rPr>
            </w:pPr>
            <w:r>
              <w:rPr>
                <w:spacing w:val="-2"/>
                <w:sz w:val="16"/>
              </w:rPr>
              <w:t>22/12/2022</w:t>
            </w:r>
          </w:p>
        </w:tc>
        <w:tc>
          <w:tcPr>
            <w:tcW w:w="1396" w:type="dxa"/>
          </w:tcPr>
          <w:p>
            <w:pPr>
              <w:pStyle w:val="TableParagraph"/>
              <w:ind w:left="107"/>
              <w:rPr>
                <w:sz w:val="16"/>
              </w:rPr>
            </w:pPr>
            <w:r>
              <w:rPr>
                <w:spacing w:val="-2"/>
                <w:sz w:val="16"/>
              </w:rPr>
              <w:t>22/12/2022</w:t>
            </w:r>
          </w:p>
        </w:tc>
        <w:tc>
          <w:tcPr>
            <w:tcW w:w="1460" w:type="dxa"/>
          </w:tcPr>
          <w:p>
            <w:pPr>
              <w:pStyle w:val="TableParagraph"/>
              <w:ind w:left="107"/>
              <w:rPr>
                <w:sz w:val="16"/>
              </w:rPr>
            </w:pPr>
            <w:r>
              <w:rPr>
                <w:spacing w:val="-2"/>
                <w:sz w:val="16"/>
              </w:rPr>
              <w:t>23/12/2022</w:t>
            </w:r>
          </w:p>
        </w:tc>
      </w:tr>
      <w:tr>
        <w:trPr>
          <w:trHeight w:val="388" w:hRule="atLeast"/>
        </w:trPr>
        <w:tc>
          <w:tcPr>
            <w:tcW w:w="709" w:type="dxa"/>
          </w:tcPr>
          <w:p>
            <w:pPr>
              <w:pStyle w:val="TableParagraph"/>
              <w:ind w:left="151"/>
              <w:rPr>
                <w:sz w:val="16"/>
              </w:rPr>
            </w:pPr>
            <w:r>
              <w:rPr>
                <w:spacing w:val="-5"/>
                <w:sz w:val="16"/>
              </w:rPr>
              <w:t>22.</w:t>
            </w:r>
          </w:p>
        </w:tc>
        <w:tc>
          <w:tcPr>
            <w:tcW w:w="6379" w:type="dxa"/>
          </w:tcPr>
          <w:p>
            <w:pPr>
              <w:pStyle w:val="TableParagraph"/>
              <w:spacing w:line="190" w:lineRule="atLeast"/>
              <w:ind w:left="108" w:right="2433"/>
              <w:rPr>
                <w:sz w:val="16"/>
              </w:rPr>
            </w:pPr>
            <w:r>
              <w:rPr>
                <w:color w:val="0463C1"/>
                <w:sz w:val="16"/>
                <w:u w:val="single" w:color="0463C1"/>
              </w:rPr>
              <w:t>Laryngoscope</w:t>
            </w:r>
            <w:r>
              <w:rPr>
                <w:color w:val="0463C1"/>
                <w:spacing w:val="-13"/>
                <w:sz w:val="16"/>
                <w:u w:val="single" w:color="0463C1"/>
              </w:rPr>
              <w:t> </w:t>
            </w:r>
            <w:r>
              <w:rPr>
                <w:color w:val="0463C1"/>
                <w:sz w:val="16"/>
                <w:u w:val="single" w:color="0463C1"/>
              </w:rPr>
              <w:t>blades</w:t>
            </w:r>
            <w:r>
              <w:rPr>
                <w:color w:val="0463C1"/>
                <w:spacing w:val="-13"/>
                <w:sz w:val="16"/>
                <w:u w:val="single" w:color="0463C1"/>
              </w:rPr>
              <w:t> </w:t>
            </w:r>
            <w:r>
              <w:rPr>
                <w:color w:val="0463C1"/>
                <w:sz w:val="16"/>
                <w:u w:val="single" w:color="0463C1"/>
              </w:rPr>
              <w:t>and</w:t>
            </w:r>
            <w:r>
              <w:rPr>
                <w:color w:val="0463C1"/>
                <w:spacing w:val="-12"/>
                <w:sz w:val="16"/>
                <w:u w:val="single" w:color="0463C1"/>
              </w:rPr>
              <w:t> </w:t>
            </w:r>
            <w:r>
              <w:rPr>
                <w:color w:val="0463C1"/>
                <w:sz w:val="16"/>
                <w:u w:val="single" w:color="0463C1"/>
              </w:rPr>
              <w:t>consumables</w:t>
            </w:r>
            <w:r>
              <w:rPr>
                <w:color w:val="0463C1"/>
                <w:sz w:val="16"/>
              </w:rPr>
              <w:t> </w:t>
            </w:r>
            <w:r>
              <w:rPr>
                <w:sz w:val="16"/>
              </w:rPr>
              <w:t>Contract</w:t>
            </w:r>
            <w:r>
              <w:rPr>
                <w:color w:val="0463C1"/>
                <w:sz w:val="16"/>
                <w:u w:val="single" w:color="0463C1"/>
              </w:rPr>
              <w:t>: </w:t>
            </w:r>
            <w:r>
              <w:rPr>
                <w:sz w:val="16"/>
              </w:rPr>
              <w:t>01/06/2023 – 31/05/2027</w:t>
            </w:r>
          </w:p>
        </w:tc>
        <w:tc>
          <w:tcPr>
            <w:tcW w:w="1276" w:type="dxa"/>
          </w:tcPr>
          <w:p>
            <w:pPr>
              <w:pStyle w:val="TableParagraph"/>
              <w:ind w:left="107"/>
              <w:rPr>
                <w:sz w:val="16"/>
              </w:rPr>
            </w:pPr>
            <w:r>
              <w:rPr>
                <w:spacing w:val="-2"/>
                <w:sz w:val="16"/>
              </w:rPr>
              <w:t>Briefing</w:t>
            </w:r>
          </w:p>
        </w:tc>
        <w:tc>
          <w:tcPr>
            <w:tcW w:w="1701" w:type="dxa"/>
          </w:tcPr>
          <w:p>
            <w:pPr>
              <w:pStyle w:val="TableParagraph"/>
              <w:ind w:right="95"/>
              <w:jc w:val="right"/>
              <w:rPr>
                <w:sz w:val="16"/>
              </w:rPr>
            </w:pPr>
            <w:r>
              <w:rPr>
                <w:spacing w:val="-2"/>
                <w:sz w:val="16"/>
              </w:rPr>
              <w:t>£2,223,192</w:t>
            </w:r>
          </w:p>
        </w:tc>
        <w:tc>
          <w:tcPr>
            <w:tcW w:w="1417" w:type="dxa"/>
          </w:tcPr>
          <w:p>
            <w:pPr>
              <w:pStyle w:val="TableParagraph"/>
              <w:ind w:left="108"/>
              <w:rPr>
                <w:sz w:val="16"/>
              </w:rPr>
            </w:pPr>
            <w:r>
              <w:rPr>
                <w:spacing w:val="-2"/>
                <w:sz w:val="16"/>
              </w:rPr>
              <w:t>21/12/2022</w:t>
            </w:r>
          </w:p>
        </w:tc>
        <w:tc>
          <w:tcPr>
            <w:tcW w:w="1574" w:type="dxa"/>
          </w:tcPr>
          <w:p>
            <w:pPr>
              <w:pStyle w:val="TableParagraph"/>
              <w:spacing w:line="190" w:lineRule="atLeast"/>
              <w:ind w:left="107" w:right="138"/>
              <w:rPr>
                <w:sz w:val="16"/>
              </w:rPr>
            </w:pPr>
            <w:r>
              <w:rPr>
                <w:sz w:val="16"/>
              </w:rPr>
              <w:t>sent</w:t>
            </w:r>
            <w:r>
              <w:rPr>
                <w:spacing w:val="-15"/>
                <w:sz w:val="16"/>
              </w:rPr>
              <w:t> </w:t>
            </w:r>
            <w:r>
              <w:rPr>
                <w:sz w:val="16"/>
              </w:rPr>
              <w:t>to</w:t>
            </w:r>
            <w:r>
              <w:rPr>
                <w:spacing w:val="-14"/>
                <w:sz w:val="16"/>
              </w:rPr>
              <w:t> </w:t>
            </w:r>
            <w:r>
              <w:rPr>
                <w:sz w:val="16"/>
              </w:rPr>
              <w:t>WG </w:t>
            </w:r>
            <w:r>
              <w:rPr>
                <w:spacing w:val="-2"/>
                <w:sz w:val="16"/>
              </w:rPr>
              <w:t>21/12</w:t>
            </w:r>
          </w:p>
        </w:tc>
        <w:tc>
          <w:tcPr>
            <w:tcW w:w="1396" w:type="dxa"/>
          </w:tcPr>
          <w:p>
            <w:pPr>
              <w:pStyle w:val="TableParagraph"/>
              <w:rPr>
                <w:rFonts w:ascii="Times New Roman"/>
                <w:sz w:val="16"/>
              </w:rPr>
            </w:pPr>
          </w:p>
        </w:tc>
        <w:tc>
          <w:tcPr>
            <w:tcW w:w="1460" w:type="dxa"/>
          </w:tcPr>
          <w:p>
            <w:pPr>
              <w:pStyle w:val="TableParagraph"/>
              <w:rPr>
                <w:rFonts w:ascii="Times New Roman"/>
                <w:sz w:val="16"/>
              </w:rPr>
            </w:pP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15"/>
        </w:rPr>
      </w:pPr>
    </w:p>
    <w:p>
      <w:pPr>
        <w:spacing w:before="100"/>
        <w:ind w:left="440" w:right="0" w:firstLine="0"/>
        <w:jc w:val="left"/>
        <w:rPr>
          <w:sz w:val="22"/>
        </w:rPr>
      </w:pPr>
      <w:r>
        <w:rPr>
          <w:sz w:val="22"/>
        </w:rPr>
        <w:t>NWSSP</w:t>
      </w:r>
      <w:r>
        <w:rPr>
          <w:spacing w:val="-4"/>
          <w:sz w:val="22"/>
        </w:rPr>
        <w:t> </w:t>
      </w:r>
      <w:r>
        <w:rPr>
          <w:sz w:val="22"/>
        </w:rPr>
        <w:t>Audit</w:t>
      </w:r>
      <w:r>
        <w:rPr>
          <w:spacing w:val="-2"/>
          <w:sz w:val="22"/>
        </w:rPr>
        <w:t> Committee</w:t>
      </w:r>
    </w:p>
    <w:p>
      <w:pPr>
        <w:tabs>
          <w:tab w:pos="9359" w:val="right" w:leader="none"/>
        </w:tabs>
        <w:spacing w:line="200" w:lineRule="exact" w:before="0"/>
        <w:ind w:left="440" w:right="0" w:firstLine="0"/>
        <w:jc w:val="left"/>
        <w:rPr>
          <w:sz w:val="22"/>
        </w:rPr>
      </w:pPr>
      <w:r>
        <w:rPr>
          <w:sz w:val="22"/>
        </w:rPr>
        <w:t>24</w:t>
      </w:r>
      <w:r>
        <w:rPr>
          <w:spacing w:val="-2"/>
          <w:sz w:val="22"/>
        </w:rPr>
        <w:t> </w:t>
      </w:r>
      <w:r>
        <w:rPr>
          <w:sz w:val="22"/>
        </w:rPr>
        <w:t>Janaury</w:t>
      </w:r>
      <w:r>
        <w:rPr>
          <w:spacing w:val="-2"/>
          <w:sz w:val="22"/>
        </w:rPr>
        <w:t> </w:t>
      </w:r>
      <w:r>
        <w:rPr>
          <w:spacing w:val="-4"/>
          <w:sz w:val="22"/>
        </w:rPr>
        <w:t>2023</w:t>
      </w:r>
      <w:r>
        <w:rPr>
          <w:sz w:val="22"/>
        </w:rPr>
        <w:tab/>
      </w:r>
      <w:r>
        <w:rPr>
          <w:spacing w:val="-5"/>
          <w:sz w:val="22"/>
        </w:rPr>
        <w:t>12</w:t>
      </w:r>
    </w:p>
    <w:p>
      <w:pPr>
        <w:spacing w:after="0" w:line="200" w:lineRule="exact"/>
        <w:jc w:val="left"/>
        <w:rPr>
          <w:sz w:val="22"/>
        </w:rPr>
        <w:sectPr>
          <w:footerReference w:type="default" r:id="rId201"/>
          <w:pgSz w:w="16840" w:h="11910" w:orient="landscape"/>
          <w:pgMar w:footer="173" w:header="0" w:top="700" w:bottom="360" w:left="280" w:right="120"/>
        </w:sectPr>
      </w:pPr>
    </w:p>
    <w:p>
      <w:pPr>
        <w:pStyle w:val="BodyText"/>
        <w:rPr>
          <w:sz w:val="20"/>
        </w:rPr>
      </w:pPr>
      <w:r>
        <w:rPr/>
        <w:drawing>
          <wp:anchor distT="0" distB="0" distL="0" distR="0" allowOverlap="1" layoutInCell="1" locked="0" behindDoc="0" simplePos="0" relativeHeight="15852544">
            <wp:simplePos x="0" y="0"/>
            <wp:positionH relativeFrom="page">
              <wp:posOffset>0</wp:posOffset>
            </wp:positionH>
            <wp:positionV relativeFrom="page">
              <wp:posOffset>83481</wp:posOffset>
            </wp:positionV>
            <wp:extent cx="7560309" cy="1481793"/>
            <wp:effectExtent l="0" t="0" r="0" b="0"/>
            <wp:wrapNone/>
            <wp:docPr id="225" name="image103.png"/>
            <wp:cNvGraphicFramePr>
              <a:graphicFrameLocks noChangeAspect="1"/>
            </wp:cNvGraphicFramePr>
            <a:graphic>
              <a:graphicData uri="http://schemas.openxmlformats.org/drawingml/2006/picture">
                <pic:pic>
                  <pic:nvPicPr>
                    <pic:cNvPr id="226" name="image103.png"/>
                    <pic:cNvPicPr/>
                  </pic:nvPicPr>
                  <pic:blipFill>
                    <a:blip r:embed="rId191" cstate="print"/>
                    <a:stretch>
                      <a:fillRect/>
                    </a:stretch>
                  </pic:blipFill>
                  <pic:spPr>
                    <a:xfrm>
                      <a:off x="0" y="0"/>
                      <a:ext cx="7560309" cy="1481793"/>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5"/>
        </w:rPr>
      </w:pPr>
    </w:p>
    <w:tbl>
      <w:tblPr>
        <w:tblW w:w="0" w:type="auto"/>
        <w:jc w:val="left"/>
        <w:tblInd w:w="11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52"/>
        <w:gridCol w:w="6095"/>
      </w:tblGrid>
      <w:tr>
        <w:trPr>
          <w:trHeight w:val="583" w:hRule="atLeast"/>
        </w:trPr>
        <w:tc>
          <w:tcPr>
            <w:tcW w:w="3652" w:type="dxa"/>
          </w:tcPr>
          <w:p>
            <w:pPr>
              <w:pStyle w:val="TableParagraph"/>
              <w:ind w:left="108"/>
              <w:rPr>
                <w:b/>
                <w:sz w:val="24"/>
              </w:rPr>
            </w:pPr>
            <w:bookmarkStart w:name=" 6.5 Tracking of Audit recommendations r" w:id="70"/>
            <w:bookmarkEnd w:id="70"/>
            <w:r>
              <w:rPr/>
            </w:r>
            <w:r>
              <w:rPr>
                <w:b/>
                <w:spacing w:val="-2"/>
                <w:sz w:val="24"/>
              </w:rPr>
              <w:t>MEETING</w:t>
            </w:r>
          </w:p>
        </w:tc>
        <w:tc>
          <w:tcPr>
            <w:tcW w:w="6095" w:type="dxa"/>
          </w:tcPr>
          <w:p>
            <w:pPr>
              <w:pStyle w:val="TableParagraph"/>
              <w:spacing w:line="290" w:lineRule="atLeast"/>
              <w:ind w:left="430" w:hanging="238"/>
              <w:rPr>
                <w:sz w:val="24"/>
              </w:rPr>
            </w:pPr>
            <w:r>
              <w:rPr>
                <w:sz w:val="24"/>
              </w:rPr>
              <w:t>Velindre</w:t>
            </w:r>
            <w:r>
              <w:rPr>
                <w:spacing w:val="-8"/>
                <w:sz w:val="24"/>
              </w:rPr>
              <w:t> </w:t>
            </w:r>
            <w:r>
              <w:rPr>
                <w:sz w:val="24"/>
              </w:rPr>
              <w:t>University</w:t>
            </w:r>
            <w:r>
              <w:rPr>
                <w:spacing w:val="-8"/>
                <w:sz w:val="24"/>
              </w:rPr>
              <w:t> </w:t>
            </w:r>
            <w:r>
              <w:rPr>
                <w:sz w:val="24"/>
              </w:rPr>
              <w:t>NHS</w:t>
            </w:r>
            <w:r>
              <w:rPr>
                <w:spacing w:val="-8"/>
                <w:sz w:val="24"/>
              </w:rPr>
              <w:t> </w:t>
            </w:r>
            <w:r>
              <w:rPr>
                <w:sz w:val="24"/>
              </w:rPr>
              <w:t>Trust</w:t>
            </w:r>
            <w:r>
              <w:rPr>
                <w:spacing w:val="-8"/>
                <w:sz w:val="24"/>
              </w:rPr>
              <w:t> </w:t>
            </w:r>
            <w:r>
              <w:rPr>
                <w:sz w:val="24"/>
              </w:rPr>
              <w:t>Audit</w:t>
            </w:r>
            <w:r>
              <w:rPr>
                <w:spacing w:val="-7"/>
                <w:sz w:val="24"/>
              </w:rPr>
              <w:t> </w:t>
            </w:r>
            <w:r>
              <w:rPr>
                <w:sz w:val="24"/>
              </w:rPr>
              <w:t>Committee for NHS Wales Shared Services Partnership</w:t>
            </w:r>
          </w:p>
        </w:tc>
      </w:tr>
      <w:tr>
        <w:trPr>
          <w:trHeight w:val="538" w:hRule="atLeast"/>
        </w:trPr>
        <w:tc>
          <w:tcPr>
            <w:tcW w:w="3652" w:type="dxa"/>
          </w:tcPr>
          <w:p>
            <w:pPr>
              <w:pStyle w:val="TableParagraph"/>
              <w:ind w:left="108"/>
              <w:rPr>
                <w:b/>
                <w:sz w:val="24"/>
              </w:rPr>
            </w:pPr>
            <w:r>
              <w:rPr>
                <w:b/>
                <w:spacing w:val="-4"/>
                <w:sz w:val="24"/>
              </w:rPr>
              <w:t>DATE</w:t>
            </w:r>
          </w:p>
        </w:tc>
        <w:tc>
          <w:tcPr>
            <w:tcW w:w="6095" w:type="dxa"/>
          </w:tcPr>
          <w:p>
            <w:pPr>
              <w:pStyle w:val="TableParagraph"/>
              <w:ind w:left="580" w:right="570"/>
              <w:jc w:val="center"/>
              <w:rPr>
                <w:sz w:val="24"/>
              </w:rPr>
            </w:pPr>
            <w:r>
              <w:rPr>
                <w:sz w:val="24"/>
              </w:rPr>
              <w:t>24</w:t>
            </w:r>
            <w:r>
              <w:rPr>
                <w:spacing w:val="-4"/>
                <w:sz w:val="24"/>
              </w:rPr>
              <w:t> </w:t>
            </w:r>
            <w:r>
              <w:rPr>
                <w:sz w:val="24"/>
              </w:rPr>
              <w:t>January</w:t>
            </w:r>
            <w:r>
              <w:rPr>
                <w:spacing w:val="-1"/>
                <w:sz w:val="24"/>
              </w:rPr>
              <w:t> </w:t>
            </w:r>
            <w:r>
              <w:rPr>
                <w:spacing w:val="-4"/>
                <w:sz w:val="24"/>
              </w:rPr>
              <w:t>2023</w:t>
            </w:r>
          </w:p>
        </w:tc>
      </w:tr>
      <w:tr>
        <w:trPr>
          <w:trHeight w:val="296" w:hRule="atLeast"/>
        </w:trPr>
        <w:tc>
          <w:tcPr>
            <w:tcW w:w="3652" w:type="dxa"/>
          </w:tcPr>
          <w:p>
            <w:pPr>
              <w:pStyle w:val="TableParagraph"/>
              <w:spacing w:line="276" w:lineRule="exact"/>
              <w:ind w:left="108"/>
              <w:rPr>
                <w:b/>
                <w:sz w:val="24"/>
              </w:rPr>
            </w:pPr>
            <w:r>
              <w:rPr>
                <w:b/>
                <w:sz w:val="24"/>
              </w:rPr>
              <w:t>PREPARED</w:t>
            </w:r>
            <w:r>
              <w:rPr>
                <w:b/>
                <w:spacing w:val="-3"/>
                <w:sz w:val="24"/>
              </w:rPr>
              <w:t> </w:t>
            </w:r>
            <w:r>
              <w:rPr>
                <w:b/>
                <w:spacing w:val="-5"/>
                <w:sz w:val="24"/>
              </w:rPr>
              <w:t>BY</w:t>
            </w:r>
          </w:p>
        </w:tc>
        <w:tc>
          <w:tcPr>
            <w:tcW w:w="6095" w:type="dxa"/>
          </w:tcPr>
          <w:p>
            <w:pPr>
              <w:pStyle w:val="TableParagraph"/>
              <w:spacing w:line="276" w:lineRule="exact"/>
              <w:ind w:left="579" w:right="571"/>
              <w:jc w:val="center"/>
              <w:rPr>
                <w:sz w:val="24"/>
              </w:rPr>
            </w:pPr>
            <w:r>
              <w:rPr>
                <w:sz w:val="24"/>
              </w:rPr>
              <w:t>Carly</w:t>
            </w:r>
            <w:r>
              <w:rPr>
                <w:spacing w:val="-6"/>
                <w:sz w:val="24"/>
              </w:rPr>
              <w:t> </w:t>
            </w:r>
            <w:r>
              <w:rPr>
                <w:sz w:val="24"/>
              </w:rPr>
              <w:t>Wilce,</w:t>
            </w:r>
            <w:r>
              <w:rPr>
                <w:spacing w:val="-6"/>
                <w:sz w:val="24"/>
              </w:rPr>
              <w:t> </w:t>
            </w:r>
            <w:r>
              <w:rPr>
                <w:sz w:val="24"/>
              </w:rPr>
              <w:t>Corporate</w:t>
            </w:r>
            <w:r>
              <w:rPr>
                <w:spacing w:val="-5"/>
                <w:sz w:val="24"/>
              </w:rPr>
              <w:t> </w:t>
            </w:r>
            <w:r>
              <w:rPr>
                <w:spacing w:val="-2"/>
                <w:sz w:val="24"/>
              </w:rPr>
              <w:t>Services</w:t>
            </w:r>
          </w:p>
        </w:tc>
      </w:tr>
      <w:tr>
        <w:trPr>
          <w:trHeight w:val="583" w:hRule="atLeast"/>
        </w:trPr>
        <w:tc>
          <w:tcPr>
            <w:tcW w:w="3652" w:type="dxa"/>
          </w:tcPr>
          <w:p>
            <w:pPr>
              <w:pStyle w:val="TableParagraph"/>
              <w:ind w:left="108"/>
              <w:rPr>
                <w:b/>
                <w:sz w:val="24"/>
              </w:rPr>
            </w:pPr>
            <w:r>
              <w:rPr>
                <w:b/>
                <w:sz w:val="24"/>
              </w:rPr>
              <w:t>PRESENTED</w:t>
            </w:r>
            <w:r>
              <w:rPr>
                <w:b/>
                <w:spacing w:val="-2"/>
                <w:sz w:val="24"/>
              </w:rPr>
              <w:t> </w:t>
            </w:r>
            <w:r>
              <w:rPr>
                <w:b/>
                <w:spacing w:val="-5"/>
                <w:sz w:val="24"/>
              </w:rPr>
              <w:t>BY</w:t>
            </w:r>
          </w:p>
        </w:tc>
        <w:tc>
          <w:tcPr>
            <w:tcW w:w="6095" w:type="dxa"/>
          </w:tcPr>
          <w:p>
            <w:pPr>
              <w:pStyle w:val="TableParagraph"/>
              <w:spacing w:line="290" w:lineRule="atLeast"/>
              <w:ind w:left="2249" w:hanging="2020"/>
              <w:rPr>
                <w:sz w:val="24"/>
              </w:rPr>
            </w:pPr>
            <w:r>
              <w:rPr>
                <w:sz w:val="24"/>
              </w:rPr>
              <w:t>Peter</w:t>
            </w:r>
            <w:r>
              <w:rPr>
                <w:spacing w:val="-6"/>
                <w:sz w:val="24"/>
              </w:rPr>
              <w:t> </w:t>
            </w:r>
            <w:r>
              <w:rPr>
                <w:sz w:val="24"/>
              </w:rPr>
              <w:t>Stephenson,</w:t>
            </w:r>
            <w:r>
              <w:rPr>
                <w:spacing w:val="-6"/>
                <w:sz w:val="24"/>
              </w:rPr>
              <w:t> </w:t>
            </w:r>
            <w:r>
              <w:rPr>
                <w:sz w:val="24"/>
              </w:rPr>
              <w:t>Head</w:t>
            </w:r>
            <w:r>
              <w:rPr>
                <w:spacing w:val="-6"/>
                <w:sz w:val="24"/>
              </w:rPr>
              <w:t> </w:t>
            </w:r>
            <w:r>
              <w:rPr>
                <w:sz w:val="24"/>
              </w:rPr>
              <w:t>of</w:t>
            </w:r>
            <w:r>
              <w:rPr>
                <w:spacing w:val="-7"/>
                <w:sz w:val="24"/>
              </w:rPr>
              <w:t> </w:t>
            </w:r>
            <w:r>
              <w:rPr>
                <w:sz w:val="24"/>
              </w:rPr>
              <w:t>Finance</w:t>
            </w:r>
            <w:r>
              <w:rPr>
                <w:spacing w:val="-6"/>
                <w:sz w:val="24"/>
              </w:rPr>
              <w:t> </w:t>
            </w:r>
            <w:r>
              <w:rPr>
                <w:sz w:val="24"/>
              </w:rPr>
              <w:t>&amp;</w:t>
            </w:r>
            <w:r>
              <w:rPr>
                <w:spacing w:val="-7"/>
                <w:sz w:val="24"/>
              </w:rPr>
              <w:t> </w:t>
            </w:r>
            <w:r>
              <w:rPr>
                <w:sz w:val="24"/>
              </w:rPr>
              <w:t>Business </w:t>
            </w:r>
            <w:r>
              <w:rPr>
                <w:spacing w:val="-2"/>
                <w:sz w:val="24"/>
              </w:rPr>
              <w:t>Development</w:t>
            </w:r>
          </w:p>
        </w:tc>
      </w:tr>
      <w:tr>
        <w:trPr>
          <w:trHeight w:val="583" w:hRule="atLeast"/>
        </w:trPr>
        <w:tc>
          <w:tcPr>
            <w:tcW w:w="3652" w:type="dxa"/>
          </w:tcPr>
          <w:p>
            <w:pPr>
              <w:pStyle w:val="TableParagraph"/>
              <w:spacing w:line="290" w:lineRule="atLeast"/>
              <w:ind w:left="108" w:right="919"/>
              <w:rPr>
                <w:b/>
                <w:sz w:val="24"/>
              </w:rPr>
            </w:pPr>
            <w:r>
              <w:rPr>
                <w:b/>
                <w:spacing w:val="-2"/>
                <w:sz w:val="24"/>
              </w:rPr>
              <w:t>RESPONSIBLE </w:t>
            </w:r>
            <w:r>
              <w:rPr>
                <w:b/>
                <w:sz w:val="24"/>
              </w:rPr>
              <w:t>HEAD</w:t>
            </w:r>
            <w:r>
              <w:rPr>
                <w:b/>
                <w:spacing w:val="-20"/>
                <w:sz w:val="24"/>
              </w:rPr>
              <w:t> </w:t>
            </w:r>
            <w:r>
              <w:rPr>
                <w:b/>
                <w:sz w:val="24"/>
              </w:rPr>
              <w:t>OF</w:t>
            </w:r>
            <w:r>
              <w:rPr>
                <w:b/>
                <w:spacing w:val="-19"/>
                <w:sz w:val="24"/>
              </w:rPr>
              <w:t> </w:t>
            </w:r>
            <w:r>
              <w:rPr>
                <w:b/>
                <w:sz w:val="24"/>
              </w:rPr>
              <w:t>SERVICE</w:t>
            </w:r>
          </w:p>
        </w:tc>
        <w:tc>
          <w:tcPr>
            <w:tcW w:w="6095" w:type="dxa"/>
          </w:tcPr>
          <w:p>
            <w:pPr>
              <w:pStyle w:val="TableParagraph"/>
              <w:spacing w:line="290" w:lineRule="atLeast"/>
              <w:ind w:left="2542" w:hanging="2334"/>
              <w:rPr>
                <w:sz w:val="24"/>
              </w:rPr>
            </w:pPr>
            <w:r>
              <w:rPr>
                <w:sz w:val="24"/>
              </w:rPr>
              <w:t>Andy</w:t>
            </w:r>
            <w:r>
              <w:rPr>
                <w:spacing w:val="-6"/>
                <w:sz w:val="24"/>
              </w:rPr>
              <w:t> </w:t>
            </w:r>
            <w:r>
              <w:rPr>
                <w:sz w:val="24"/>
              </w:rPr>
              <w:t>Butler,</w:t>
            </w:r>
            <w:r>
              <w:rPr>
                <w:spacing w:val="-6"/>
                <w:sz w:val="24"/>
              </w:rPr>
              <w:t> </w:t>
            </w:r>
            <w:r>
              <w:rPr>
                <w:sz w:val="24"/>
              </w:rPr>
              <w:t>Director</w:t>
            </w:r>
            <w:r>
              <w:rPr>
                <w:spacing w:val="-7"/>
                <w:sz w:val="24"/>
              </w:rPr>
              <w:t> </w:t>
            </w:r>
            <w:r>
              <w:rPr>
                <w:sz w:val="24"/>
              </w:rPr>
              <w:t>of</w:t>
            </w:r>
            <w:r>
              <w:rPr>
                <w:spacing w:val="-7"/>
                <w:sz w:val="24"/>
              </w:rPr>
              <w:t> </w:t>
            </w:r>
            <w:r>
              <w:rPr>
                <w:sz w:val="24"/>
              </w:rPr>
              <w:t>Finance</w:t>
            </w:r>
            <w:r>
              <w:rPr>
                <w:spacing w:val="-7"/>
                <w:sz w:val="24"/>
              </w:rPr>
              <w:t> </w:t>
            </w:r>
            <w:r>
              <w:rPr>
                <w:sz w:val="24"/>
              </w:rPr>
              <w:t>and</w:t>
            </w:r>
            <w:r>
              <w:rPr>
                <w:spacing w:val="-6"/>
                <w:sz w:val="24"/>
              </w:rPr>
              <w:t> </w:t>
            </w:r>
            <w:r>
              <w:rPr>
                <w:sz w:val="24"/>
              </w:rPr>
              <w:t>Corporate </w:t>
            </w:r>
            <w:r>
              <w:rPr>
                <w:spacing w:val="-2"/>
                <w:sz w:val="24"/>
              </w:rPr>
              <w:t>Services</w:t>
            </w:r>
          </w:p>
        </w:tc>
      </w:tr>
      <w:tr>
        <w:trPr>
          <w:trHeight w:val="627" w:hRule="atLeast"/>
        </w:trPr>
        <w:tc>
          <w:tcPr>
            <w:tcW w:w="3652" w:type="dxa"/>
          </w:tcPr>
          <w:p>
            <w:pPr>
              <w:pStyle w:val="TableParagraph"/>
              <w:ind w:left="108"/>
              <w:rPr>
                <w:b/>
                <w:sz w:val="24"/>
              </w:rPr>
            </w:pPr>
            <w:r>
              <w:rPr>
                <w:b/>
                <w:sz w:val="24"/>
              </w:rPr>
              <w:t>TITLE</w:t>
            </w:r>
            <w:r>
              <w:rPr>
                <w:b/>
                <w:spacing w:val="-2"/>
                <w:sz w:val="24"/>
              </w:rPr>
              <w:t> </w:t>
            </w:r>
            <w:r>
              <w:rPr>
                <w:b/>
                <w:sz w:val="24"/>
              </w:rPr>
              <w:t>OF</w:t>
            </w:r>
            <w:r>
              <w:rPr>
                <w:b/>
                <w:spacing w:val="-1"/>
                <w:sz w:val="24"/>
              </w:rPr>
              <w:t> </w:t>
            </w:r>
            <w:r>
              <w:rPr>
                <w:b/>
                <w:spacing w:val="-2"/>
                <w:sz w:val="24"/>
              </w:rPr>
              <w:t>REPORT</w:t>
            </w:r>
          </w:p>
        </w:tc>
        <w:tc>
          <w:tcPr>
            <w:tcW w:w="6095" w:type="dxa"/>
          </w:tcPr>
          <w:p>
            <w:pPr>
              <w:pStyle w:val="TableParagraph"/>
              <w:ind w:left="1938" w:hanging="1261"/>
              <w:rPr>
                <w:sz w:val="24"/>
              </w:rPr>
            </w:pPr>
            <w:r>
              <w:rPr>
                <w:sz w:val="24"/>
              </w:rPr>
              <w:t>Update</w:t>
            </w:r>
            <w:r>
              <w:rPr>
                <w:spacing w:val="-8"/>
                <w:sz w:val="24"/>
              </w:rPr>
              <w:t> </w:t>
            </w:r>
            <w:r>
              <w:rPr>
                <w:sz w:val="24"/>
              </w:rPr>
              <w:t>on</w:t>
            </w:r>
            <w:r>
              <w:rPr>
                <w:spacing w:val="-8"/>
                <w:sz w:val="24"/>
              </w:rPr>
              <w:t> </w:t>
            </w:r>
            <w:r>
              <w:rPr>
                <w:sz w:val="24"/>
              </w:rPr>
              <w:t>the</w:t>
            </w:r>
            <w:r>
              <w:rPr>
                <w:spacing w:val="-8"/>
                <w:sz w:val="24"/>
              </w:rPr>
              <w:t> </w:t>
            </w:r>
            <w:r>
              <w:rPr>
                <w:sz w:val="24"/>
              </w:rPr>
              <w:t>Implementation</w:t>
            </w:r>
            <w:r>
              <w:rPr>
                <w:spacing w:val="-7"/>
                <w:sz w:val="24"/>
              </w:rPr>
              <w:t> </w:t>
            </w:r>
            <w:r>
              <w:rPr>
                <w:sz w:val="24"/>
              </w:rPr>
              <w:t>of</w:t>
            </w:r>
            <w:r>
              <w:rPr>
                <w:spacing w:val="-8"/>
                <w:sz w:val="24"/>
              </w:rPr>
              <w:t> </w:t>
            </w:r>
            <w:r>
              <w:rPr>
                <w:sz w:val="24"/>
              </w:rPr>
              <w:t>Audit </w:t>
            </w:r>
            <w:r>
              <w:rPr>
                <w:spacing w:val="-2"/>
                <w:sz w:val="24"/>
              </w:rPr>
              <w:t>Recommendations</w:t>
            </w:r>
          </w:p>
        </w:tc>
      </w:tr>
      <w:tr>
        <w:trPr>
          <w:trHeight w:val="2045" w:hRule="atLeast"/>
        </w:trPr>
        <w:tc>
          <w:tcPr>
            <w:tcW w:w="9747" w:type="dxa"/>
            <w:gridSpan w:val="2"/>
          </w:tcPr>
          <w:p>
            <w:pPr>
              <w:pStyle w:val="TableParagraph"/>
              <w:ind w:left="108"/>
              <w:rPr>
                <w:b/>
                <w:sz w:val="24"/>
              </w:rPr>
            </w:pPr>
            <w:r>
              <w:rPr>
                <w:b/>
                <w:spacing w:val="-2"/>
                <w:sz w:val="24"/>
              </w:rPr>
              <w:t>PURPOSE</w:t>
            </w:r>
          </w:p>
          <w:p>
            <w:pPr>
              <w:pStyle w:val="TableParagraph"/>
              <w:spacing w:before="12"/>
              <w:rPr>
                <w:sz w:val="23"/>
              </w:rPr>
            </w:pPr>
          </w:p>
          <w:p>
            <w:pPr>
              <w:pStyle w:val="TableParagraph"/>
              <w:ind w:left="108" w:right="93"/>
              <w:jc w:val="both"/>
              <w:rPr>
                <w:sz w:val="24"/>
              </w:rPr>
            </w:pPr>
            <w:r>
              <w:rPr>
                <w:sz w:val="24"/>
              </w:rPr>
              <w:t>This report provides an update to the Audit Committee on the progress of audit recommendations within NWSSP.</w:t>
            </w:r>
            <w:r>
              <w:rPr>
                <w:spacing w:val="40"/>
                <w:sz w:val="24"/>
              </w:rPr>
              <w:t> </w:t>
            </w:r>
            <w:r>
              <w:rPr>
                <w:sz w:val="24"/>
              </w:rPr>
              <w:t>Please note that this report does not include figures and assurance ratings for the audit reports listed on the present Audit Committee agenda.</w:t>
            </w:r>
          </w:p>
        </w:tc>
      </w:tr>
    </w:tbl>
    <w:p>
      <w:pPr>
        <w:pStyle w:val="BodyText"/>
        <w:spacing w:before="11"/>
        <w:rPr>
          <w:sz w:val="22"/>
        </w:rPr>
      </w:pPr>
    </w:p>
    <w:p>
      <w:pPr>
        <w:pStyle w:val="ListParagraph"/>
        <w:numPr>
          <w:ilvl w:val="0"/>
          <w:numId w:val="40"/>
        </w:numPr>
        <w:tabs>
          <w:tab w:pos="1636" w:val="left" w:leader="none"/>
        </w:tabs>
        <w:spacing w:line="240" w:lineRule="auto" w:before="0" w:after="0"/>
        <w:ind w:left="1636" w:right="0" w:hanging="361"/>
        <w:jc w:val="left"/>
        <w:rPr>
          <w:b/>
          <w:sz w:val="22"/>
        </w:rPr>
      </w:pPr>
      <w:r>
        <w:rPr>
          <w:b/>
          <w:spacing w:val="-2"/>
          <w:sz w:val="22"/>
        </w:rPr>
        <w:t>INTRODUCTION</w:t>
      </w:r>
    </w:p>
    <w:p>
      <w:pPr>
        <w:pStyle w:val="BodyText"/>
        <w:rPr>
          <w:b/>
          <w:sz w:val="22"/>
        </w:rPr>
      </w:pPr>
    </w:p>
    <w:p>
      <w:pPr>
        <w:spacing w:before="0"/>
        <w:ind w:left="1275" w:right="1245" w:firstLine="0"/>
        <w:jc w:val="both"/>
        <w:rPr>
          <w:sz w:val="22"/>
        </w:rPr>
      </w:pPr>
      <w:r>
        <w:rPr>
          <w:sz w:val="22"/>
        </w:rPr>
        <w:t>NWSSP records audit recommendations raised by Internal Audit, Audit Wales, and other external bodies, as appropriate.</w:t>
      </w:r>
      <w:r>
        <w:rPr>
          <w:spacing w:val="40"/>
          <w:sz w:val="22"/>
        </w:rPr>
        <w:t> </w:t>
      </w:r>
      <w:r>
        <w:rPr>
          <w:sz w:val="22"/>
        </w:rPr>
        <w:t>It is essential that stakeholder confidence is upheld and maintained; an important way in which to enhance assurance and confidence is to monitor and implement audit recommendations in an effective and efficient way.</w:t>
      </w:r>
    </w:p>
    <w:p>
      <w:pPr>
        <w:pStyle w:val="BodyText"/>
        <w:rPr>
          <w:sz w:val="22"/>
        </w:rPr>
      </w:pPr>
    </w:p>
    <w:p>
      <w:pPr>
        <w:pStyle w:val="ListParagraph"/>
        <w:numPr>
          <w:ilvl w:val="0"/>
          <w:numId w:val="40"/>
        </w:numPr>
        <w:tabs>
          <w:tab w:pos="1636" w:val="left" w:leader="none"/>
        </w:tabs>
        <w:spacing w:line="240" w:lineRule="auto" w:before="0" w:after="0"/>
        <w:ind w:left="1636" w:right="0" w:hanging="361"/>
        <w:jc w:val="left"/>
        <w:rPr>
          <w:b/>
          <w:sz w:val="22"/>
        </w:rPr>
      </w:pPr>
      <w:r>
        <w:rPr>
          <w:b/>
          <w:sz w:val="22"/>
        </w:rPr>
        <w:t>CURRENT</w:t>
      </w:r>
      <w:r>
        <w:rPr>
          <w:b/>
          <w:spacing w:val="-3"/>
          <w:sz w:val="22"/>
        </w:rPr>
        <w:t> </w:t>
      </w:r>
      <w:r>
        <w:rPr>
          <w:b/>
          <w:spacing w:val="-2"/>
          <w:sz w:val="22"/>
        </w:rPr>
        <w:t>POSITION</w:t>
      </w:r>
    </w:p>
    <w:p>
      <w:pPr>
        <w:pStyle w:val="BodyText"/>
        <w:rPr>
          <w:b/>
          <w:sz w:val="22"/>
        </w:rPr>
      </w:pPr>
    </w:p>
    <w:p>
      <w:pPr>
        <w:spacing w:before="0"/>
        <w:ind w:left="1275" w:right="1245" w:firstLine="0"/>
        <w:jc w:val="both"/>
        <w:rPr>
          <w:sz w:val="22"/>
        </w:rPr>
      </w:pPr>
      <w:r>
        <w:rPr>
          <w:sz w:val="22"/>
        </w:rPr>
        <w:t>The detailed recommendations raised in respect of our services have been captured in a database.</w:t>
      </w:r>
      <w:r>
        <w:rPr>
          <w:spacing w:val="40"/>
          <w:sz w:val="22"/>
        </w:rPr>
        <w:t> </w:t>
      </w:r>
      <w:r>
        <w:rPr>
          <w:sz w:val="22"/>
        </w:rPr>
        <w:t>A copy of the summary extract is attached at </w:t>
      </w:r>
      <w:r>
        <w:rPr>
          <w:b/>
          <w:sz w:val="22"/>
        </w:rPr>
        <w:t>Appendix A</w:t>
      </w:r>
      <w:r>
        <w:rPr>
          <w:sz w:val="22"/>
        </w:rPr>
        <w:t>, for </w:t>
      </w:r>
      <w:r>
        <w:rPr>
          <w:spacing w:val="-2"/>
          <w:sz w:val="22"/>
        </w:rPr>
        <w:t>information.</w:t>
      </w:r>
    </w:p>
    <w:p>
      <w:pPr>
        <w:pStyle w:val="BodyText"/>
        <w:rPr>
          <w:sz w:val="22"/>
        </w:rPr>
      </w:pPr>
    </w:p>
    <w:p>
      <w:pPr>
        <w:spacing w:before="0"/>
        <w:ind w:left="1275" w:right="1243" w:firstLine="0"/>
        <w:jc w:val="both"/>
        <w:rPr>
          <w:sz w:val="22"/>
        </w:rPr>
      </w:pPr>
      <w:r>
        <w:rPr>
          <w:sz w:val="22"/>
        </w:rPr>
        <w:t>There are </w:t>
      </w:r>
      <w:r>
        <w:rPr>
          <w:b/>
          <w:sz w:val="22"/>
        </w:rPr>
        <w:t>68 </w:t>
      </w:r>
      <w:r>
        <w:rPr>
          <w:sz w:val="22"/>
        </w:rPr>
        <w:t>reports covered in this review; </w:t>
      </w:r>
      <w:r>
        <w:rPr>
          <w:b/>
          <w:sz w:val="22"/>
        </w:rPr>
        <w:t>17 </w:t>
      </w:r>
      <w:r>
        <w:rPr>
          <w:sz w:val="22"/>
        </w:rPr>
        <w:t>reports have achieved </w:t>
      </w:r>
      <w:r>
        <w:rPr>
          <w:b/>
          <w:sz w:val="22"/>
        </w:rPr>
        <w:t>Substantial </w:t>
      </w:r>
      <w:r>
        <w:rPr>
          <w:sz w:val="22"/>
        </w:rPr>
        <w:t>assurance; </w:t>
      </w:r>
      <w:r>
        <w:rPr>
          <w:b/>
          <w:sz w:val="22"/>
        </w:rPr>
        <w:t>30 </w:t>
      </w:r>
      <w:r>
        <w:rPr>
          <w:sz w:val="22"/>
        </w:rPr>
        <w:t>reports have achieved </w:t>
      </w:r>
      <w:r>
        <w:rPr>
          <w:b/>
          <w:sz w:val="22"/>
        </w:rPr>
        <w:t>Reasonable </w:t>
      </w:r>
      <w:r>
        <w:rPr>
          <w:sz w:val="22"/>
        </w:rPr>
        <w:t>assurance, </w:t>
      </w:r>
      <w:r>
        <w:rPr>
          <w:b/>
          <w:sz w:val="22"/>
        </w:rPr>
        <w:t>1 </w:t>
      </w:r>
      <w:r>
        <w:rPr>
          <w:sz w:val="22"/>
        </w:rPr>
        <w:t>report has</w:t>
      </w:r>
      <w:r>
        <w:rPr>
          <w:spacing w:val="40"/>
          <w:sz w:val="22"/>
        </w:rPr>
        <w:t> </w:t>
      </w:r>
      <w:r>
        <w:rPr>
          <w:sz w:val="22"/>
        </w:rPr>
        <w:t>achieved </w:t>
      </w:r>
      <w:r>
        <w:rPr>
          <w:b/>
          <w:sz w:val="22"/>
        </w:rPr>
        <w:t>Limited </w:t>
      </w:r>
      <w:r>
        <w:rPr>
          <w:sz w:val="22"/>
        </w:rPr>
        <w:t>assurance and no reports have been awarded </w:t>
      </w:r>
      <w:r>
        <w:rPr>
          <w:b/>
          <w:sz w:val="22"/>
        </w:rPr>
        <w:t>No Assurance; </w:t>
      </w:r>
      <w:r>
        <w:rPr>
          <w:sz w:val="22"/>
        </w:rPr>
        <w:t>and </w:t>
      </w:r>
      <w:r>
        <w:rPr>
          <w:b/>
          <w:sz w:val="22"/>
        </w:rPr>
        <w:t>20 </w:t>
      </w:r>
      <w:r>
        <w:rPr>
          <w:sz w:val="22"/>
        </w:rPr>
        <w:t>reports were generated with </w:t>
      </w:r>
      <w:r>
        <w:rPr>
          <w:b/>
          <w:sz w:val="22"/>
        </w:rPr>
        <w:t>Assurance Not Applicable</w:t>
      </w:r>
      <w:r>
        <w:rPr>
          <w:sz w:val="22"/>
        </w:rPr>
        <w:t>.</w:t>
      </w:r>
      <w:r>
        <w:rPr>
          <w:spacing w:val="40"/>
          <w:sz w:val="22"/>
        </w:rPr>
        <w:t> </w:t>
      </w:r>
      <w:r>
        <w:rPr>
          <w:sz w:val="22"/>
        </w:rPr>
        <w:t>The reports include </w:t>
      </w:r>
      <w:r>
        <w:rPr>
          <w:b/>
          <w:sz w:val="22"/>
        </w:rPr>
        <w:t>248 </w:t>
      </w:r>
      <w:r>
        <w:rPr>
          <w:sz w:val="22"/>
        </w:rPr>
        <w:t>recommendations for action.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spacing w:before="100"/>
        <w:ind w:left="612" w:right="5270" w:firstLine="0"/>
        <w:jc w:val="center"/>
        <w:rPr>
          <w:sz w:val="22"/>
        </w:rPr>
      </w:pPr>
      <w:r>
        <w:rPr>
          <w:sz w:val="22"/>
        </w:rPr>
        <w:t>24</w:t>
      </w:r>
      <w:r>
        <w:rPr>
          <w:spacing w:val="-3"/>
          <w:sz w:val="22"/>
        </w:rPr>
        <w:t> </w:t>
      </w:r>
      <w:r>
        <w:rPr>
          <w:sz w:val="22"/>
        </w:rPr>
        <w:t>January</w:t>
      </w:r>
      <w:r>
        <w:rPr>
          <w:spacing w:val="-2"/>
          <w:sz w:val="22"/>
        </w:rPr>
        <w:t> </w:t>
      </w:r>
      <w:r>
        <w:rPr>
          <w:sz w:val="22"/>
        </w:rPr>
        <w:t>2023</w:t>
      </w:r>
      <w:r>
        <w:rPr>
          <w:spacing w:val="-2"/>
          <w:sz w:val="22"/>
        </w:rPr>
        <w:t> </w:t>
      </w:r>
      <w:r>
        <w:rPr>
          <w:sz w:val="22"/>
        </w:rPr>
        <w:t>NWSSP</w:t>
      </w:r>
      <w:r>
        <w:rPr>
          <w:spacing w:val="-1"/>
          <w:sz w:val="22"/>
        </w:rPr>
        <w:t> </w:t>
      </w:r>
      <w:r>
        <w:rPr>
          <w:sz w:val="22"/>
        </w:rPr>
        <w:t>Audit</w:t>
      </w:r>
      <w:r>
        <w:rPr>
          <w:spacing w:val="-1"/>
          <w:sz w:val="22"/>
        </w:rPr>
        <w:t> </w:t>
      </w:r>
      <w:r>
        <w:rPr>
          <w:spacing w:val="-2"/>
          <w:sz w:val="22"/>
        </w:rPr>
        <w:t>Committee</w:t>
      </w:r>
    </w:p>
    <w:p>
      <w:pPr>
        <w:spacing w:before="0"/>
        <w:ind w:left="0" w:right="325" w:firstLine="0"/>
        <w:jc w:val="center"/>
        <w:rPr>
          <w:sz w:val="22"/>
        </w:rPr>
      </w:pPr>
      <w:r>
        <w:rPr>
          <w:sz w:val="22"/>
        </w:rPr>
        <w:t>1</w:t>
      </w:r>
    </w:p>
    <w:p>
      <w:pPr>
        <w:spacing w:after="0"/>
        <w:jc w:val="center"/>
        <w:rPr>
          <w:sz w:val="22"/>
        </w:rPr>
        <w:sectPr>
          <w:footerReference w:type="default" r:id="rId202"/>
          <w:pgSz w:w="11910" w:h="16840"/>
          <w:pgMar w:footer="173" w:header="0" w:top="120" w:bottom="360" w:left="0" w:right="0"/>
        </w:sectPr>
      </w:pPr>
    </w:p>
    <w:p>
      <w:pPr>
        <w:spacing w:before="84"/>
        <w:ind w:left="1275" w:right="0" w:firstLine="0"/>
        <w:jc w:val="left"/>
        <w:rPr>
          <w:b/>
          <w:sz w:val="22"/>
        </w:rPr>
      </w:pPr>
      <w:r>
        <w:rPr>
          <w:b/>
          <w:sz w:val="22"/>
          <w:u w:val="single"/>
        </w:rPr>
        <w:t>Table</w:t>
      </w:r>
      <w:r>
        <w:rPr>
          <w:b/>
          <w:spacing w:val="-2"/>
          <w:sz w:val="22"/>
          <w:u w:val="single"/>
        </w:rPr>
        <w:t> </w:t>
      </w:r>
      <w:r>
        <w:rPr>
          <w:b/>
          <w:sz w:val="22"/>
          <w:u w:val="single"/>
        </w:rPr>
        <w:t>1</w:t>
      </w:r>
      <w:r>
        <w:rPr>
          <w:b/>
          <w:spacing w:val="-2"/>
          <w:sz w:val="22"/>
          <w:u w:val="single"/>
        </w:rPr>
        <w:t> </w:t>
      </w:r>
      <w:r>
        <w:rPr>
          <w:b/>
          <w:sz w:val="22"/>
          <w:u w:val="single"/>
        </w:rPr>
        <w:t>-</w:t>
      </w:r>
      <w:r>
        <w:rPr>
          <w:b/>
          <w:spacing w:val="-2"/>
          <w:sz w:val="22"/>
          <w:u w:val="single"/>
        </w:rPr>
        <w:t> </w:t>
      </w:r>
      <w:r>
        <w:rPr>
          <w:b/>
          <w:sz w:val="22"/>
          <w:u w:val="single"/>
        </w:rPr>
        <w:t>Summary</w:t>
      </w:r>
      <w:r>
        <w:rPr>
          <w:b/>
          <w:spacing w:val="-2"/>
          <w:sz w:val="22"/>
          <w:u w:val="single"/>
        </w:rPr>
        <w:t> </w:t>
      </w:r>
      <w:r>
        <w:rPr>
          <w:b/>
          <w:sz w:val="22"/>
          <w:u w:val="single"/>
        </w:rPr>
        <w:t>of</w:t>
      </w:r>
      <w:r>
        <w:rPr>
          <w:b/>
          <w:spacing w:val="-2"/>
          <w:sz w:val="22"/>
          <w:u w:val="single"/>
        </w:rPr>
        <w:t> </w:t>
      </w:r>
      <w:r>
        <w:rPr>
          <w:b/>
          <w:sz w:val="22"/>
          <w:u w:val="single"/>
        </w:rPr>
        <w:t>Audit</w:t>
      </w:r>
      <w:r>
        <w:rPr>
          <w:b/>
          <w:spacing w:val="-1"/>
          <w:sz w:val="22"/>
          <w:u w:val="single"/>
        </w:rPr>
        <w:t> </w:t>
      </w:r>
      <w:r>
        <w:rPr>
          <w:b/>
          <w:spacing w:val="-2"/>
          <w:sz w:val="22"/>
          <w:u w:val="single"/>
        </w:rPr>
        <w:t>Recommendations</w:t>
      </w:r>
    </w:p>
    <w:p>
      <w:pPr>
        <w:pStyle w:val="BodyText"/>
        <w:rPr>
          <w:b/>
          <w:sz w:val="20"/>
        </w:rPr>
      </w:pPr>
    </w:p>
    <w:p>
      <w:pPr>
        <w:pStyle w:val="BodyText"/>
        <w:rPr>
          <w:b/>
          <w:sz w:val="20"/>
        </w:rPr>
      </w:pPr>
    </w:p>
    <w:p>
      <w:pPr>
        <w:pStyle w:val="BodyText"/>
        <w:spacing w:before="11"/>
        <w:rPr>
          <w:b/>
          <w:sz w:val="23"/>
        </w:rPr>
      </w:pPr>
    </w:p>
    <w:tbl>
      <w:tblPr>
        <w:tblW w:w="0" w:type="auto"/>
        <w:jc w:val="left"/>
        <w:tblInd w:w="5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91"/>
        <w:gridCol w:w="1250"/>
        <w:gridCol w:w="1725"/>
        <w:gridCol w:w="1682"/>
        <w:gridCol w:w="1704"/>
        <w:gridCol w:w="1700"/>
      </w:tblGrid>
      <w:tr>
        <w:trPr>
          <w:trHeight w:val="470" w:hRule="atLeast"/>
        </w:trPr>
        <w:tc>
          <w:tcPr>
            <w:tcW w:w="10952" w:type="dxa"/>
            <w:gridSpan w:val="6"/>
          </w:tcPr>
          <w:p>
            <w:pPr>
              <w:pStyle w:val="TableParagraph"/>
              <w:spacing w:before="97"/>
              <w:ind w:left="4213" w:right="4204"/>
              <w:jc w:val="center"/>
              <w:rPr>
                <w:rFonts w:ascii="Arial"/>
                <w:b/>
                <w:sz w:val="24"/>
              </w:rPr>
            </w:pPr>
            <w:r>
              <w:rPr>
                <w:rFonts w:ascii="Arial"/>
                <w:b/>
                <w:sz w:val="24"/>
              </w:rPr>
              <w:t>As</w:t>
            </w:r>
            <w:r>
              <w:rPr>
                <w:rFonts w:ascii="Arial"/>
                <w:b/>
                <w:spacing w:val="-3"/>
                <w:sz w:val="24"/>
              </w:rPr>
              <w:t> </w:t>
            </w:r>
            <w:r>
              <w:rPr>
                <w:rFonts w:ascii="Arial"/>
                <w:b/>
                <w:sz w:val="24"/>
              </w:rPr>
              <w:t>at</w:t>
            </w:r>
            <w:r>
              <w:rPr>
                <w:rFonts w:ascii="Arial"/>
                <w:b/>
                <w:spacing w:val="-2"/>
                <w:sz w:val="24"/>
              </w:rPr>
              <w:t> </w:t>
            </w:r>
            <w:r>
              <w:rPr>
                <w:rFonts w:ascii="Arial"/>
                <w:b/>
                <w:sz w:val="24"/>
              </w:rPr>
              <w:t>13</w:t>
            </w:r>
            <w:r>
              <w:rPr>
                <w:rFonts w:ascii="Arial"/>
                <w:b/>
                <w:spacing w:val="-1"/>
                <w:sz w:val="24"/>
              </w:rPr>
              <w:t> </w:t>
            </w:r>
            <w:r>
              <w:rPr>
                <w:rFonts w:ascii="Arial"/>
                <w:b/>
                <w:sz w:val="24"/>
              </w:rPr>
              <w:t>January</w:t>
            </w:r>
            <w:r>
              <w:rPr>
                <w:rFonts w:ascii="Arial"/>
                <w:b/>
                <w:spacing w:val="-2"/>
                <w:sz w:val="24"/>
              </w:rPr>
              <w:t> </w:t>
            </w:r>
            <w:r>
              <w:rPr>
                <w:rFonts w:ascii="Arial"/>
                <w:b/>
                <w:spacing w:val="-4"/>
                <w:sz w:val="24"/>
              </w:rPr>
              <w:t>2023</w:t>
            </w:r>
          </w:p>
        </w:tc>
      </w:tr>
      <w:tr>
        <w:trPr>
          <w:trHeight w:val="689" w:hRule="atLeast"/>
        </w:trPr>
        <w:tc>
          <w:tcPr>
            <w:tcW w:w="4141" w:type="dxa"/>
            <w:gridSpan w:val="2"/>
            <w:shd w:val="clear" w:color="auto" w:fill="BFBFBF"/>
          </w:tcPr>
          <w:p>
            <w:pPr>
              <w:pStyle w:val="TableParagraph"/>
              <w:spacing w:before="11"/>
              <w:rPr>
                <w:b/>
                <w:sz w:val="18"/>
              </w:rPr>
            </w:pPr>
          </w:p>
          <w:p>
            <w:pPr>
              <w:pStyle w:val="TableParagraph"/>
              <w:ind w:left="1175"/>
              <w:rPr>
                <w:rFonts w:ascii="Arial"/>
                <w:b/>
                <w:sz w:val="20"/>
              </w:rPr>
            </w:pPr>
            <w:r>
              <w:rPr>
                <w:rFonts w:ascii="Arial"/>
                <w:b/>
                <w:spacing w:val="-2"/>
                <w:sz w:val="20"/>
              </w:rPr>
              <w:t>Recommendations</w:t>
            </w:r>
          </w:p>
        </w:tc>
        <w:tc>
          <w:tcPr>
            <w:tcW w:w="1725" w:type="dxa"/>
            <w:shd w:val="clear" w:color="auto" w:fill="BFBFBF"/>
          </w:tcPr>
          <w:p>
            <w:pPr>
              <w:pStyle w:val="TableParagraph"/>
              <w:spacing w:before="11"/>
              <w:rPr>
                <w:b/>
                <w:sz w:val="18"/>
              </w:rPr>
            </w:pPr>
          </w:p>
          <w:p>
            <w:pPr>
              <w:pStyle w:val="TableParagraph"/>
              <w:ind w:left="236" w:right="226"/>
              <w:jc w:val="center"/>
              <w:rPr>
                <w:rFonts w:ascii="Arial"/>
                <w:b/>
                <w:sz w:val="20"/>
              </w:rPr>
            </w:pPr>
            <w:r>
              <w:rPr>
                <w:rFonts w:ascii="Arial"/>
                <w:b/>
                <w:spacing w:val="-2"/>
                <w:sz w:val="20"/>
              </w:rPr>
              <w:t>Implemented</w:t>
            </w:r>
          </w:p>
        </w:tc>
        <w:tc>
          <w:tcPr>
            <w:tcW w:w="1682" w:type="dxa"/>
            <w:shd w:val="clear" w:color="auto" w:fill="BFBFBF"/>
          </w:tcPr>
          <w:p>
            <w:pPr>
              <w:pStyle w:val="TableParagraph"/>
              <w:spacing w:before="11"/>
              <w:rPr>
                <w:b/>
                <w:sz w:val="18"/>
              </w:rPr>
            </w:pPr>
          </w:p>
          <w:p>
            <w:pPr>
              <w:pStyle w:val="TableParagraph"/>
              <w:ind w:left="263" w:right="254"/>
              <w:jc w:val="center"/>
              <w:rPr>
                <w:rFonts w:ascii="Arial"/>
                <w:b/>
                <w:sz w:val="20"/>
              </w:rPr>
            </w:pPr>
            <w:r>
              <w:rPr>
                <w:rFonts w:ascii="Arial"/>
                <w:b/>
                <w:sz w:val="20"/>
              </w:rPr>
              <w:t>Not</w:t>
            </w:r>
            <w:r>
              <w:rPr>
                <w:rFonts w:ascii="Arial"/>
                <w:b/>
                <w:spacing w:val="-4"/>
                <w:sz w:val="20"/>
              </w:rPr>
              <w:t> </w:t>
            </w:r>
            <w:r>
              <w:rPr>
                <w:rFonts w:ascii="Arial"/>
                <w:b/>
                <w:sz w:val="20"/>
              </w:rPr>
              <w:t>Yet</w:t>
            </w:r>
            <w:r>
              <w:rPr>
                <w:rFonts w:ascii="Arial"/>
                <w:b/>
                <w:spacing w:val="-1"/>
                <w:sz w:val="20"/>
              </w:rPr>
              <w:t> </w:t>
            </w:r>
            <w:r>
              <w:rPr>
                <w:rFonts w:ascii="Arial"/>
                <w:b/>
                <w:spacing w:val="-5"/>
                <w:sz w:val="20"/>
              </w:rPr>
              <w:t>Due</w:t>
            </w:r>
          </w:p>
        </w:tc>
        <w:tc>
          <w:tcPr>
            <w:tcW w:w="1704" w:type="dxa"/>
            <w:shd w:val="clear" w:color="auto" w:fill="BFBFBF"/>
          </w:tcPr>
          <w:p>
            <w:pPr>
              <w:pStyle w:val="TableParagraph"/>
              <w:spacing w:before="11"/>
              <w:rPr>
                <w:b/>
                <w:sz w:val="18"/>
              </w:rPr>
            </w:pPr>
          </w:p>
          <w:p>
            <w:pPr>
              <w:pStyle w:val="TableParagraph"/>
              <w:ind w:left="433" w:right="423"/>
              <w:jc w:val="center"/>
              <w:rPr>
                <w:rFonts w:ascii="Arial"/>
                <w:b/>
                <w:sz w:val="20"/>
              </w:rPr>
            </w:pPr>
            <w:r>
              <w:rPr>
                <w:rFonts w:ascii="Arial"/>
                <w:b/>
                <w:spacing w:val="-2"/>
                <w:sz w:val="20"/>
              </w:rPr>
              <w:t>Overdue</w:t>
            </w:r>
          </w:p>
        </w:tc>
        <w:tc>
          <w:tcPr>
            <w:tcW w:w="1700" w:type="dxa"/>
            <w:shd w:val="clear" w:color="auto" w:fill="BFBFBF"/>
          </w:tcPr>
          <w:p>
            <w:pPr>
              <w:pStyle w:val="TableParagraph"/>
              <w:spacing w:line="230" w:lineRule="atLeast"/>
              <w:ind w:left="183" w:right="171"/>
              <w:jc w:val="center"/>
              <w:rPr>
                <w:rFonts w:ascii="Arial"/>
                <w:b/>
                <w:sz w:val="20"/>
              </w:rPr>
            </w:pPr>
            <w:r>
              <w:rPr>
                <w:rFonts w:ascii="Arial"/>
                <w:b/>
                <w:sz w:val="20"/>
              </w:rPr>
              <w:t>Dependant</w:t>
            </w:r>
            <w:r>
              <w:rPr>
                <w:rFonts w:ascii="Arial"/>
                <w:b/>
                <w:spacing w:val="-14"/>
                <w:sz w:val="20"/>
              </w:rPr>
              <w:t> </w:t>
            </w:r>
            <w:r>
              <w:rPr>
                <w:rFonts w:ascii="Arial"/>
                <w:b/>
                <w:sz w:val="20"/>
              </w:rPr>
              <w:t>on third party </w:t>
            </w:r>
            <w:r>
              <w:rPr>
                <w:rFonts w:ascii="Arial"/>
                <w:b/>
                <w:spacing w:val="-2"/>
                <w:sz w:val="20"/>
              </w:rPr>
              <w:t>organisations</w:t>
            </w:r>
          </w:p>
        </w:tc>
      </w:tr>
      <w:tr>
        <w:trPr>
          <w:trHeight w:val="260" w:hRule="atLeast"/>
        </w:trPr>
        <w:tc>
          <w:tcPr>
            <w:tcW w:w="2891" w:type="dxa"/>
            <w:tcBorders>
              <w:right w:val="dashed" w:sz="4" w:space="0" w:color="000000"/>
            </w:tcBorders>
          </w:tcPr>
          <w:p>
            <w:pPr>
              <w:pStyle w:val="TableParagraph"/>
              <w:spacing w:line="225" w:lineRule="exact" w:before="15"/>
              <w:ind w:left="752" w:right="742"/>
              <w:jc w:val="center"/>
              <w:rPr>
                <w:rFonts w:ascii="Arial"/>
                <w:b/>
                <w:sz w:val="20"/>
              </w:rPr>
            </w:pPr>
            <w:r>
              <w:rPr>
                <w:rFonts w:ascii="Arial"/>
                <w:b/>
                <w:sz w:val="20"/>
              </w:rPr>
              <w:t>Internal </w:t>
            </w:r>
            <w:r>
              <w:rPr>
                <w:rFonts w:ascii="Arial"/>
                <w:b/>
                <w:spacing w:val="-2"/>
                <w:sz w:val="20"/>
              </w:rPr>
              <w:t>Audit</w:t>
            </w:r>
          </w:p>
        </w:tc>
        <w:tc>
          <w:tcPr>
            <w:tcW w:w="1250" w:type="dxa"/>
            <w:tcBorders>
              <w:left w:val="dashed" w:sz="4" w:space="0" w:color="000000"/>
              <w:right w:val="dashed" w:sz="4" w:space="0" w:color="000000"/>
            </w:tcBorders>
          </w:tcPr>
          <w:p>
            <w:pPr>
              <w:pStyle w:val="TableParagraph"/>
              <w:spacing w:line="225" w:lineRule="exact" w:before="15"/>
              <w:ind w:left="445" w:right="436"/>
              <w:jc w:val="center"/>
              <w:rPr>
                <w:rFonts w:ascii="Arial"/>
                <w:b/>
                <w:sz w:val="20"/>
              </w:rPr>
            </w:pPr>
            <w:r>
              <w:rPr>
                <w:rFonts w:ascii="Arial"/>
                <w:b/>
                <w:spacing w:val="-5"/>
                <w:sz w:val="20"/>
              </w:rPr>
              <w:t>202</w:t>
            </w:r>
          </w:p>
        </w:tc>
        <w:tc>
          <w:tcPr>
            <w:tcW w:w="1725" w:type="dxa"/>
            <w:tcBorders>
              <w:left w:val="dashed" w:sz="4" w:space="0" w:color="000000"/>
              <w:right w:val="dashed" w:sz="4" w:space="0" w:color="000000"/>
            </w:tcBorders>
          </w:tcPr>
          <w:p>
            <w:pPr>
              <w:pStyle w:val="TableParagraph"/>
              <w:spacing w:line="225" w:lineRule="exact" w:before="15"/>
              <w:ind w:left="235" w:right="226"/>
              <w:jc w:val="center"/>
              <w:rPr>
                <w:rFonts w:ascii="Arial"/>
                <w:b/>
                <w:sz w:val="20"/>
              </w:rPr>
            </w:pPr>
            <w:r>
              <w:rPr>
                <w:rFonts w:ascii="Arial"/>
                <w:b/>
                <w:spacing w:val="-5"/>
                <w:sz w:val="20"/>
              </w:rPr>
              <w:t>189</w:t>
            </w:r>
          </w:p>
        </w:tc>
        <w:tc>
          <w:tcPr>
            <w:tcW w:w="1682" w:type="dxa"/>
            <w:tcBorders>
              <w:left w:val="dashed" w:sz="4" w:space="0" w:color="000000"/>
              <w:right w:val="dashed" w:sz="4" w:space="0" w:color="000000"/>
            </w:tcBorders>
          </w:tcPr>
          <w:p>
            <w:pPr>
              <w:pStyle w:val="TableParagraph"/>
              <w:spacing w:line="225" w:lineRule="exact" w:before="15"/>
              <w:ind w:left="9"/>
              <w:jc w:val="center"/>
              <w:rPr>
                <w:rFonts w:ascii="Arial"/>
                <w:b/>
                <w:sz w:val="20"/>
              </w:rPr>
            </w:pPr>
            <w:r>
              <w:rPr>
                <w:rFonts w:ascii="Arial"/>
                <w:b/>
                <w:sz w:val="20"/>
              </w:rPr>
              <w:t>5</w:t>
            </w:r>
          </w:p>
        </w:tc>
        <w:tc>
          <w:tcPr>
            <w:tcW w:w="1704" w:type="dxa"/>
            <w:tcBorders>
              <w:left w:val="dashed" w:sz="4" w:space="0" w:color="000000"/>
              <w:right w:val="dashed" w:sz="4" w:space="0" w:color="000000"/>
            </w:tcBorders>
          </w:tcPr>
          <w:p>
            <w:pPr>
              <w:pStyle w:val="TableParagraph"/>
              <w:spacing w:line="225" w:lineRule="exact" w:before="15"/>
              <w:ind w:left="9"/>
              <w:jc w:val="center"/>
              <w:rPr>
                <w:rFonts w:ascii="Arial"/>
                <w:b/>
                <w:sz w:val="20"/>
              </w:rPr>
            </w:pPr>
            <w:r>
              <w:rPr>
                <w:rFonts w:ascii="Arial"/>
                <w:b/>
                <w:sz w:val="20"/>
              </w:rPr>
              <w:t>4</w:t>
            </w:r>
          </w:p>
        </w:tc>
        <w:tc>
          <w:tcPr>
            <w:tcW w:w="1700" w:type="dxa"/>
            <w:tcBorders>
              <w:left w:val="dashed" w:sz="4" w:space="0" w:color="000000"/>
            </w:tcBorders>
          </w:tcPr>
          <w:p>
            <w:pPr>
              <w:pStyle w:val="TableParagraph"/>
              <w:spacing w:line="225" w:lineRule="exact" w:before="15"/>
              <w:ind w:left="9"/>
              <w:jc w:val="center"/>
              <w:rPr>
                <w:rFonts w:ascii="Arial"/>
                <w:b/>
                <w:sz w:val="20"/>
              </w:rPr>
            </w:pPr>
            <w:r>
              <w:rPr>
                <w:rFonts w:ascii="Arial"/>
                <w:b/>
                <w:sz w:val="20"/>
              </w:rPr>
              <w:t>4</w:t>
            </w:r>
          </w:p>
        </w:tc>
      </w:tr>
      <w:tr>
        <w:trPr>
          <w:trHeight w:val="260" w:hRule="atLeast"/>
        </w:trPr>
        <w:tc>
          <w:tcPr>
            <w:tcW w:w="2891" w:type="dxa"/>
            <w:tcBorders>
              <w:right w:val="dashed" w:sz="4" w:space="0" w:color="000000"/>
            </w:tcBorders>
            <w:shd w:val="clear" w:color="auto" w:fill="FF0000"/>
          </w:tcPr>
          <w:p>
            <w:pPr>
              <w:pStyle w:val="TableParagraph"/>
              <w:spacing w:line="225" w:lineRule="exact" w:before="15"/>
              <w:ind w:left="752" w:right="743"/>
              <w:jc w:val="center"/>
              <w:rPr>
                <w:rFonts w:ascii="Arial"/>
                <w:i/>
                <w:sz w:val="20"/>
              </w:rPr>
            </w:pPr>
            <w:r>
              <w:rPr>
                <w:rFonts w:ascii="Arial"/>
                <w:i/>
                <w:spacing w:val="-4"/>
                <w:sz w:val="20"/>
              </w:rPr>
              <w:t>High</w:t>
            </w:r>
          </w:p>
        </w:tc>
        <w:tc>
          <w:tcPr>
            <w:tcW w:w="1250" w:type="dxa"/>
            <w:tcBorders>
              <w:left w:val="dashed" w:sz="4" w:space="0" w:color="000000"/>
              <w:right w:val="dashed" w:sz="4" w:space="0" w:color="000000"/>
            </w:tcBorders>
            <w:shd w:val="clear" w:color="auto" w:fill="FF0000"/>
          </w:tcPr>
          <w:p>
            <w:pPr>
              <w:pStyle w:val="TableParagraph"/>
              <w:spacing w:line="225" w:lineRule="exact" w:before="15"/>
              <w:ind w:left="445" w:right="436"/>
              <w:jc w:val="center"/>
              <w:rPr>
                <w:rFonts w:ascii="Arial"/>
                <w:sz w:val="20"/>
              </w:rPr>
            </w:pPr>
            <w:r>
              <w:rPr>
                <w:rFonts w:ascii="Arial"/>
                <w:spacing w:val="-5"/>
                <w:sz w:val="20"/>
              </w:rPr>
              <w:t>19</w:t>
            </w:r>
          </w:p>
        </w:tc>
        <w:tc>
          <w:tcPr>
            <w:tcW w:w="1725" w:type="dxa"/>
            <w:tcBorders>
              <w:left w:val="dashed" w:sz="4" w:space="0" w:color="000000"/>
              <w:right w:val="dashed" w:sz="4" w:space="0" w:color="000000"/>
            </w:tcBorders>
            <w:shd w:val="clear" w:color="auto" w:fill="FF0000"/>
          </w:tcPr>
          <w:p>
            <w:pPr>
              <w:pStyle w:val="TableParagraph"/>
              <w:spacing w:line="225" w:lineRule="exact" w:before="15"/>
              <w:ind w:left="235" w:right="226"/>
              <w:jc w:val="center"/>
              <w:rPr>
                <w:rFonts w:ascii="Arial"/>
                <w:sz w:val="20"/>
              </w:rPr>
            </w:pPr>
            <w:r>
              <w:rPr>
                <w:rFonts w:ascii="Arial"/>
                <w:spacing w:val="-5"/>
                <w:sz w:val="20"/>
              </w:rPr>
              <w:t>18</w:t>
            </w:r>
          </w:p>
        </w:tc>
        <w:tc>
          <w:tcPr>
            <w:tcW w:w="1682" w:type="dxa"/>
            <w:tcBorders>
              <w:left w:val="dashed" w:sz="4" w:space="0" w:color="000000"/>
              <w:right w:val="dashed" w:sz="4" w:space="0" w:color="000000"/>
            </w:tcBorders>
            <w:shd w:val="clear" w:color="auto" w:fill="FF0000"/>
          </w:tcPr>
          <w:p>
            <w:pPr>
              <w:pStyle w:val="TableParagraph"/>
              <w:spacing w:line="225" w:lineRule="exact" w:before="15"/>
              <w:ind w:left="9"/>
              <w:jc w:val="center"/>
              <w:rPr>
                <w:rFonts w:ascii="Arial"/>
                <w:sz w:val="20"/>
              </w:rPr>
            </w:pPr>
            <w:r>
              <w:rPr>
                <w:rFonts w:ascii="Arial"/>
                <w:sz w:val="20"/>
              </w:rPr>
              <w:t>1</w:t>
            </w:r>
          </w:p>
        </w:tc>
        <w:tc>
          <w:tcPr>
            <w:tcW w:w="1704" w:type="dxa"/>
            <w:tcBorders>
              <w:left w:val="dashed" w:sz="4" w:space="0" w:color="000000"/>
              <w:right w:val="dashed" w:sz="4" w:space="0" w:color="000000"/>
            </w:tcBorders>
            <w:shd w:val="clear" w:color="auto" w:fill="FF0000"/>
          </w:tcPr>
          <w:p>
            <w:pPr>
              <w:pStyle w:val="TableParagraph"/>
              <w:spacing w:line="225" w:lineRule="exact" w:before="15"/>
              <w:ind w:left="9"/>
              <w:jc w:val="center"/>
              <w:rPr>
                <w:rFonts w:ascii="Arial"/>
                <w:sz w:val="20"/>
              </w:rPr>
            </w:pPr>
            <w:r>
              <w:rPr>
                <w:rFonts w:ascii="Arial"/>
                <w:sz w:val="20"/>
              </w:rPr>
              <w:t>0</w:t>
            </w:r>
          </w:p>
        </w:tc>
        <w:tc>
          <w:tcPr>
            <w:tcW w:w="1700" w:type="dxa"/>
            <w:tcBorders>
              <w:left w:val="dashed" w:sz="4" w:space="0" w:color="000000"/>
            </w:tcBorders>
            <w:shd w:val="clear" w:color="auto" w:fill="FF0000"/>
          </w:tcPr>
          <w:p>
            <w:pPr>
              <w:pStyle w:val="TableParagraph"/>
              <w:spacing w:line="225" w:lineRule="exact" w:before="15"/>
              <w:ind w:left="9"/>
              <w:jc w:val="center"/>
              <w:rPr>
                <w:rFonts w:ascii="Arial"/>
                <w:sz w:val="20"/>
              </w:rPr>
            </w:pPr>
            <w:r>
              <w:rPr>
                <w:rFonts w:ascii="Arial"/>
                <w:sz w:val="20"/>
              </w:rPr>
              <w:t>0</w:t>
            </w:r>
          </w:p>
        </w:tc>
      </w:tr>
      <w:tr>
        <w:trPr>
          <w:trHeight w:val="260" w:hRule="atLeast"/>
        </w:trPr>
        <w:tc>
          <w:tcPr>
            <w:tcW w:w="2891" w:type="dxa"/>
            <w:tcBorders>
              <w:right w:val="dashed" w:sz="4" w:space="0" w:color="000000"/>
            </w:tcBorders>
            <w:shd w:val="clear" w:color="auto" w:fill="FFC000"/>
          </w:tcPr>
          <w:p>
            <w:pPr>
              <w:pStyle w:val="TableParagraph"/>
              <w:spacing w:line="225" w:lineRule="exact" w:before="15"/>
              <w:ind w:left="752" w:right="742"/>
              <w:jc w:val="center"/>
              <w:rPr>
                <w:rFonts w:ascii="Arial"/>
                <w:i/>
                <w:sz w:val="20"/>
              </w:rPr>
            </w:pPr>
            <w:r>
              <w:rPr>
                <w:rFonts w:ascii="Arial"/>
                <w:i/>
                <w:spacing w:val="-2"/>
                <w:sz w:val="20"/>
              </w:rPr>
              <w:t>Medium</w:t>
            </w:r>
          </w:p>
        </w:tc>
        <w:tc>
          <w:tcPr>
            <w:tcW w:w="1250" w:type="dxa"/>
            <w:tcBorders>
              <w:left w:val="dashed" w:sz="4" w:space="0" w:color="000000"/>
              <w:right w:val="dashed" w:sz="4" w:space="0" w:color="000000"/>
            </w:tcBorders>
            <w:shd w:val="clear" w:color="auto" w:fill="FFC000"/>
          </w:tcPr>
          <w:p>
            <w:pPr>
              <w:pStyle w:val="TableParagraph"/>
              <w:spacing w:line="225" w:lineRule="exact" w:before="15"/>
              <w:ind w:left="445" w:right="436"/>
              <w:jc w:val="center"/>
              <w:rPr>
                <w:rFonts w:ascii="Arial"/>
                <w:sz w:val="20"/>
              </w:rPr>
            </w:pPr>
            <w:r>
              <w:rPr>
                <w:rFonts w:ascii="Arial"/>
                <w:spacing w:val="-5"/>
                <w:sz w:val="20"/>
              </w:rPr>
              <w:t>98</w:t>
            </w:r>
          </w:p>
        </w:tc>
        <w:tc>
          <w:tcPr>
            <w:tcW w:w="1725" w:type="dxa"/>
            <w:tcBorders>
              <w:left w:val="dashed" w:sz="4" w:space="0" w:color="000000"/>
              <w:right w:val="dashed" w:sz="4" w:space="0" w:color="000000"/>
            </w:tcBorders>
            <w:shd w:val="clear" w:color="auto" w:fill="FFC000"/>
          </w:tcPr>
          <w:p>
            <w:pPr>
              <w:pStyle w:val="TableParagraph"/>
              <w:spacing w:line="225" w:lineRule="exact" w:before="15"/>
              <w:ind w:left="235" w:right="226"/>
              <w:jc w:val="center"/>
              <w:rPr>
                <w:rFonts w:ascii="Arial"/>
                <w:sz w:val="20"/>
              </w:rPr>
            </w:pPr>
            <w:r>
              <w:rPr>
                <w:rFonts w:ascii="Arial"/>
                <w:spacing w:val="-5"/>
                <w:sz w:val="20"/>
              </w:rPr>
              <w:t>92</w:t>
            </w:r>
          </w:p>
        </w:tc>
        <w:tc>
          <w:tcPr>
            <w:tcW w:w="1682" w:type="dxa"/>
            <w:tcBorders>
              <w:left w:val="dashed" w:sz="4" w:space="0" w:color="000000"/>
              <w:right w:val="dashed" w:sz="4" w:space="0" w:color="000000"/>
            </w:tcBorders>
            <w:shd w:val="clear" w:color="auto" w:fill="FFC000"/>
          </w:tcPr>
          <w:p>
            <w:pPr>
              <w:pStyle w:val="TableParagraph"/>
              <w:spacing w:line="225" w:lineRule="exact" w:before="15"/>
              <w:ind w:left="9"/>
              <w:jc w:val="center"/>
              <w:rPr>
                <w:rFonts w:ascii="Arial"/>
                <w:sz w:val="20"/>
              </w:rPr>
            </w:pPr>
            <w:r>
              <w:rPr>
                <w:rFonts w:ascii="Arial"/>
                <w:sz w:val="20"/>
              </w:rPr>
              <w:t>3</w:t>
            </w:r>
          </w:p>
        </w:tc>
        <w:tc>
          <w:tcPr>
            <w:tcW w:w="1704" w:type="dxa"/>
            <w:tcBorders>
              <w:left w:val="dashed" w:sz="4" w:space="0" w:color="000000"/>
              <w:right w:val="dashed" w:sz="4" w:space="0" w:color="000000"/>
            </w:tcBorders>
            <w:shd w:val="clear" w:color="auto" w:fill="FFC000"/>
          </w:tcPr>
          <w:p>
            <w:pPr>
              <w:pStyle w:val="TableParagraph"/>
              <w:spacing w:line="225" w:lineRule="exact" w:before="15"/>
              <w:ind w:left="9"/>
              <w:jc w:val="center"/>
              <w:rPr>
                <w:rFonts w:ascii="Arial"/>
                <w:sz w:val="20"/>
              </w:rPr>
            </w:pPr>
            <w:r>
              <w:rPr>
                <w:rFonts w:ascii="Arial"/>
                <w:sz w:val="20"/>
              </w:rPr>
              <w:t>0</w:t>
            </w:r>
          </w:p>
        </w:tc>
        <w:tc>
          <w:tcPr>
            <w:tcW w:w="1700" w:type="dxa"/>
            <w:tcBorders>
              <w:left w:val="dashed" w:sz="4" w:space="0" w:color="000000"/>
            </w:tcBorders>
            <w:shd w:val="clear" w:color="auto" w:fill="FFC000"/>
          </w:tcPr>
          <w:p>
            <w:pPr>
              <w:pStyle w:val="TableParagraph"/>
              <w:spacing w:line="225" w:lineRule="exact" w:before="15"/>
              <w:ind w:left="9"/>
              <w:jc w:val="center"/>
              <w:rPr>
                <w:rFonts w:ascii="Arial"/>
                <w:sz w:val="20"/>
              </w:rPr>
            </w:pPr>
            <w:r>
              <w:rPr>
                <w:rFonts w:ascii="Arial"/>
                <w:sz w:val="20"/>
              </w:rPr>
              <w:t>3</w:t>
            </w:r>
          </w:p>
        </w:tc>
      </w:tr>
      <w:tr>
        <w:trPr>
          <w:trHeight w:val="260" w:hRule="atLeast"/>
        </w:trPr>
        <w:tc>
          <w:tcPr>
            <w:tcW w:w="2891" w:type="dxa"/>
            <w:tcBorders>
              <w:right w:val="dashed" w:sz="4" w:space="0" w:color="000000"/>
            </w:tcBorders>
            <w:shd w:val="clear" w:color="auto" w:fill="92D050"/>
          </w:tcPr>
          <w:p>
            <w:pPr>
              <w:pStyle w:val="TableParagraph"/>
              <w:spacing w:line="225" w:lineRule="exact" w:before="15"/>
              <w:ind w:left="752" w:right="743"/>
              <w:jc w:val="center"/>
              <w:rPr>
                <w:rFonts w:ascii="Arial"/>
                <w:i/>
                <w:sz w:val="20"/>
              </w:rPr>
            </w:pPr>
            <w:r>
              <w:rPr>
                <w:rFonts w:ascii="Arial"/>
                <w:i/>
                <w:spacing w:val="-5"/>
                <w:sz w:val="20"/>
              </w:rPr>
              <w:t>Low</w:t>
            </w:r>
          </w:p>
        </w:tc>
        <w:tc>
          <w:tcPr>
            <w:tcW w:w="1250" w:type="dxa"/>
            <w:tcBorders>
              <w:left w:val="dashed" w:sz="4" w:space="0" w:color="000000"/>
              <w:right w:val="dashed" w:sz="4" w:space="0" w:color="000000"/>
            </w:tcBorders>
            <w:shd w:val="clear" w:color="auto" w:fill="92D050"/>
          </w:tcPr>
          <w:p>
            <w:pPr>
              <w:pStyle w:val="TableParagraph"/>
              <w:spacing w:line="225" w:lineRule="exact" w:before="15"/>
              <w:ind w:left="445" w:right="436"/>
              <w:jc w:val="center"/>
              <w:rPr>
                <w:rFonts w:ascii="Arial"/>
                <w:sz w:val="20"/>
              </w:rPr>
            </w:pPr>
            <w:r>
              <w:rPr>
                <w:rFonts w:ascii="Arial"/>
                <w:spacing w:val="-5"/>
                <w:sz w:val="20"/>
              </w:rPr>
              <w:t>67</w:t>
            </w:r>
          </w:p>
        </w:tc>
        <w:tc>
          <w:tcPr>
            <w:tcW w:w="1725" w:type="dxa"/>
            <w:tcBorders>
              <w:left w:val="dashed" w:sz="4" w:space="0" w:color="000000"/>
              <w:right w:val="dashed" w:sz="4" w:space="0" w:color="000000"/>
            </w:tcBorders>
            <w:shd w:val="clear" w:color="auto" w:fill="92D050"/>
          </w:tcPr>
          <w:p>
            <w:pPr>
              <w:pStyle w:val="TableParagraph"/>
              <w:spacing w:line="225" w:lineRule="exact" w:before="15"/>
              <w:ind w:left="235" w:right="226"/>
              <w:jc w:val="center"/>
              <w:rPr>
                <w:rFonts w:ascii="Arial"/>
                <w:sz w:val="20"/>
              </w:rPr>
            </w:pPr>
            <w:r>
              <w:rPr>
                <w:rFonts w:ascii="Arial"/>
                <w:spacing w:val="-5"/>
                <w:sz w:val="20"/>
              </w:rPr>
              <w:t>66</w:t>
            </w:r>
          </w:p>
        </w:tc>
        <w:tc>
          <w:tcPr>
            <w:tcW w:w="1682" w:type="dxa"/>
            <w:tcBorders>
              <w:left w:val="dashed" w:sz="4" w:space="0" w:color="000000"/>
              <w:right w:val="dashed" w:sz="4" w:space="0" w:color="000000"/>
            </w:tcBorders>
            <w:shd w:val="clear" w:color="auto" w:fill="92D050"/>
          </w:tcPr>
          <w:p>
            <w:pPr>
              <w:pStyle w:val="TableParagraph"/>
              <w:spacing w:line="225" w:lineRule="exact" w:before="15"/>
              <w:ind w:left="9"/>
              <w:jc w:val="center"/>
              <w:rPr>
                <w:rFonts w:ascii="Arial"/>
                <w:sz w:val="20"/>
              </w:rPr>
            </w:pPr>
            <w:r>
              <w:rPr>
                <w:rFonts w:ascii="Arial"/>
                <w:sz w:val="20"/>
              </w:rPr>
              <w:t>1</w:t>
            </w:r>
          </w:p>
        </w:tc>
        <w:tc>
          <w:tcPr>
            <w:tcW w:w="1704" w:type="dxa"/>
            <w:tcBorders>
              <w:left w:val="dashed" w:sz="4" w:space="0" w:color="000000"/>
              <w:right w:val="dashed" w:sz="4" w:space="0" w:color="000000"/>
            </w:tcBorders>
            <w:shd w:val="clear" w:color="auto" w:fill="92D050"/>
          </w:tcPr>
          <w:p>
            <w:pPr>
              <w:pStyle w:val="TableParagraph"/>
              <w:spacing w:line="225" w:lineRule="exact" w:before="15"/>
              <w:ind w:left="9"/>
              <w:jc w:val="center"/>
              <w:rPr>
                <w:rFonts w:ascii="Arial"/>
                <w:sz w:val="20"/>
              </w:rPr>
            </w:pPr>
            <w:r>
              <w:rPr>
                <w:rFonts w:ascii="Arial"/>
                <w:sz w:val="20"/>
              </w:rPr>
              <w:t>0</w:t>
            </w:r>
          </w:p>
        </w:tc>
        <w:tc>
          <w:tcPr>
            <w:tcW w:w="1700" w:type="dxa"/>
            <w:tcBorders>
              <w:left w:val="dashed" w:sz="4" w:space="0" w:color="000000"/>
            </w:tcBorders>
            <w:shd w:val="clear" w:color="auto" w:fill="92D050"/>
          </w:tcPr>
          <w:p>
            <w:pPr>
              <w:pStyle w:val="TableParagraph"/>
              <w:spacing w:line="225" w:lineRule="exact" w:before="15"/>
              <w:ind w:left="9"/>
              <w:jc w:val="center"/>
              <w:rPr>
                <w:rFonts w:ascii="Arial"/>
                <w:sz w:val="20"/>
              </w:rPr>
            </w:pPr>
            <w:r>
              <w:rPr>
                <w:rFonts w:ascii="Arial"/>
                <w:sz w:val="20"/>
              </w:rPr>
              <w:t>0</w:t>
            </w:r>
          </w:p>
        </w:tc>
      </w:tr>
      <w:tr>
        <w:trPr>
          <w:trHeight w:val="260" w:hRule="atLeast"/>
        </w:trPr>
        <w:tc>
          <w:tcPr>
            <w:tcW w:w="2891" w:type="dxa"/>
            <w:tcBorders>
              <w:right w:val="dashed" w:sz="4" w:space="0" w:color="000000"/>
            </w:tcBorders>
            <w:shd w:val="clear" w:color="auto" w:fill="BDD6EE"/>
          </w:tcPr>
          <w:p>
            <w:pPr>
              <w:pStyle w:val="TableParagraph"/>
              <w:spacing w:line="225" w:lineRule="exact" w:before="15"/>
              <w:ind w:left="752" w:right="742"/>
              <w:jc w:val="center"/>
              <w:rPr>
                <w:rFonts w:ascii="Arial"/>
                <w:i/>
                <w:sz w:val="20"/>
              </w:rPr>
            </w:pPr>
            <w:r>
              <w:rPr>
                <w:rFonts w:ascii="Arial"/>
                <w:i/>
                <w:sz w:val="20"/>
              </w:rPr>
              <w:t>Not</w:t>
            </w:r>
            <w:r>
              <w:rPr>
                <w:rFonts w:ascii="Arial"/>
                <w:i/>
                <w:spacing w:val="-3"/>
                <w:sz w:val="20"/>
              </w:rPr>
              <w:t> </w:t>
            </w:r>
            <w:r>
              <w:rPr>
                <w:rFonts w:ascii="Arial"/>
                <w:i/>
                <w:spacing w:val="-2"/>
                <w:sz w:val="20"/>
              </w:rPr>
              <w:t>Applicable</w:t>
            </w:r>
          </w:p>
        </w:tc>
        <w:tc>
          <w:tcPr>
            <w:tcW w:w="1250" w:type="dxa"/>
            <w:tcBorders>
              <w:left w:val="dashed" w:sz="4" w:space="0" w:color="000000"/>
              <w:right w:val="dashed" w:sz="4" w:space="0" w:color="000000"/>
            </w:tcBorders>
            <w:shd w:val="clear" w:color="auto" w:fill="BDD6EE"/>
          </w:tcPr>
          <w:p>
            <w:pPr>
              <w:pStyle w:val="TableParagraph"/>
              <w:spacing w:line="225" w:lineRule="exact" w:before="15"/>
              <w:ind w:left="445" w:right="436"/>
              <w:jc w:val="center"/>
              <w:rPr>
                <w:rFonts w:ascii="Arial"/>
                <w:sz w:val="20"/>
              </w:rPr>
            </w:pPr>
            <w:r>
              <w:rPr>
                <w:rFonts w:ascii="Arial"/>
                <w:spacing w:val="-5"/>
                <w:sz w:val="20"/>
              </w:rPr>
              <w:t>18</w:t>
            </w:r>
          </w:p>
        </w:tc>
        <w:tc>
          <w:tcPr>
            <w:tcW w:w="1725" w:type="dxa"/>
            <w:tcBorders>
              <w:left w:val="dashed" w:sz="4" w:space="0" w:color="000000"/>
              <w:right w:val="dashed" w:sz="4" w:space="0" w:color="000000"/>
            </w:tcBorders>
            <w:shd w:val="clear" w:color="auto" w:fill="BDD6EE"/>
          </w:tcPr>
          <w:p>
            <w:pPr>
              <w:pStyle w:val="TableParagraph"/>
              <w:spacing w:line="225" w:lineRule="exact" w:before="15"/>
              <w:ind w:left="235" w:right="226"/>
              <w:jc w:val="center"/>
              <w:rPr>
                <w:rFonts w:ascii="Arial"/>
                <w:sz w:val="20"/>
              </w:rPr>
            </w:pPr>
            <w:r>
              <w:rPr>
                <w:rFonts w:ascii="Arial"/>
                <w:spacing w:val="-5"/>
                <w:sz w:val="20"/>
              </w:rPr>
              <w:t>13</w:t>
            </w:r>
          </w:p>
        </w:tc>
        <w:tc>
          <w:tcPr>
            <w:tcW w:w="1682" w:type="dxa"/>
            <w:tcBorders>
              <w:left w:val="dashed" w:sz="4" w:space="0" w:color="000000"/>
              <w:right w:val="dashed" w:sz="4" w:space="0" w:color="000000"/>
            </w:tcBorders>
            <w:shd w:val="clear" w:color="auto" w:fill="BDD6EE"/>
          </w:tcPr>
          <w:p>
            <w:pPr>
              <w:pStyle w:val="TableParagraph"/>
              <w:spacing w:line="225" w:lineRule="exact" w:before="15"/>
              <w:ind w:left="9"/>
              <w:jc w:val="center"/>
              <w:rPr>
                <w:rFonts w:ascii="Arial"/>
                <w:sz w:val="20"/>
              </w:rPr>
            </w:pPr>
            <w:r>
              <w:rPr>
                <w:rFonts w:ascii="Arial"/>
                <w:sz w:val="20"/>
              </w:rPr>
              <w:t>0</w:t>
            </w:r>
          </w:p>
        </w:tc>
        <w:tc>
          <w:tcPr>
            <w:tcW w:w="1704" w:type="dxa"/>
            <w:tcBorders>
              <w:left w:val="dashed" w:sz="4" w:space="0" w:color="000000"/>
              <w:right w:val="dashed" w:sz="4" w:space="0" w:color="000000"/>
            </w:tcBorders>
            <w:shd w:val="clear" w:color="auto" w:fill="BDD6EE"/>
          </w:tcPr>
          <w:p>
            <w:pPr>
              <w:pStyle w:val="TableParagraph"/>
              <w:spacing w:line="225" w:lineRule="exact" w:before="15"/>
              <w:ind w:left="9"/>
              <w:jc w:val="center"/>
              <w:rPr>
                <w:rFonts w:ascii="Arial"/>
                <w:sz w:val="20"/>
              </w:rPr>
            </w:pPr>
            <w:r>
              <w:rPr>
                <w:rFonts w:ascii="Arial"/>
                <w:sz w:val="20"/>
              </w:rPr>
              <w:t>4</w:t>
            </w:r>
          </w:p>
        </w:tc>
        <w:tc>
          <w:tcPr>
            <w:tcW w:w="1700" w:type="dxa"/>
            <w:tcBorders>
              <w:left w:val="dashed" w:sz="4" w:space="0" w:color="000000"/>
            </w:tcBorders>
            <w:shd w:val="clear" w:color="auto" w:fill="BDD6EE"/>
          </w:tcPr>
          <w:p>
            <w:pPr>
              <w:pStyle w:val="TableParagraph"/>
              <w:spacing w:line="225" w:lineRule="exact" w:before="15"/>
              <w:ind w:left="9"/>
              <w:jc w:val="center"/>
              <w:rPr>
                <w:rFonts w:ascii="Arial"/>
                <w:sz w:val="20"/>
              </w:rPr>
            </w:pPr>
            <w:r>
              <w:rPr>
                <w:rFonts w:ascii="Arial"/>
                <w:sz w:val="20"/>
              </w:rPr>
              <w:t>1</w:t>
            </w:r>
          </w:p>
        </w:tc>
      </w:tr>
      <w:tr>
        <w:trPr>
          <w:trHeight w:val="260" w:hRule="atLeast"/>
        </w:trPr>
        <w:tc>
          <w:tcPr>
            <w:tcW w:w="2891" w:type="dxa"/>
            <w:tcBorders>
              <w:right w:val="dashed" w:sz="4" w:space="0" w:color="000000"/>
            </w:tcBorders>
          </w:tcPr>
          <w:p>
            <w:pPr>
              <w:pStyle w:val="TableParagraph"/>
              <w:spacing w:line="225" w:lineRule="exact" w:before="15"/>
              <w:ind w:left="752" w:right="743"/>
              <w:jc w:val="center"/>
              <w:rPr>
                <w:rFonts w:ascii="Arial"/>
                <w:b/>
                <w:sz w:val="20"/>
              </w:rPr>
            </w:pPr>
            <w:r>
              <w:rPr>
                <w:rFonts w:ascii="Arial"/>
                <w:b/>
                <w:sz w:val="20"/>
              </w:rPr>
              <w:t>External </w:t>
            </w:r>
            <w:r>
              <w:rPr>
                <w:rFonts w:ascii="Arial"/>
                <w:b/>
                <w:spacing w:val="-2"/>
                <w:sz w:val="20"/>
              </w:rPr>
              <w:t>Audit</w:t>
            </w:r>
          </w:p>
        </w:tc>
        <w:tc>
          <w:tcPr>
            <w:tcW w:w="1250" w:type="dxa"/>
            <w:tcBorders>
              <w:left w:val="dashed" w:sz="4" w:space="0" w:color="000000"/>
              <w:right w:val="dashed" w:sz="4" w:space="0" w:color="000000"/>
            </w:tcBorders>
          </w:tcPr>
          <w:p>
            <w:pPr>
              <w:pStyle w:val="TableParagraph"/>
              <w:spacing w:line="225" w:lineRule="exact" w:before="15"/>
              <w:ind w:left="445" w:right="436"/>
              <w:jc w:val="center"/>
              <w:rPr>
                <w:rFonts w:ascii="Arial"/>
                <w:b/>
                <w:sz w:val="20"/>
              </w:rPr>
            </w:pPr>
            <w:r>
              <w:rPr>
                <w:rFonts w:ascii="Arial"/>
                <w:b/>
                <w:spacing w:val="-5"/>
                <w:sz w:val="20"/>
              </w:rPr>
              <w:t>18</w:t>
            </w:r>
          </w:p>
        </w:tc>
        <w:tc>
          <w:tcPr>
            <w:tcW w:w="1725" w:type="dxa"/>
            <w:tcBorders>
              <w:left w:val="dashed" w:sz="4" w:space="0" w:color="000000"/>
              <w:right w:val="dashed" w:sz="4" w:space="0" w:color="000000"/>
            </w:tcBorders>
          </w:tcPr>
          <w:p>
            <w:pPr>
              <w:pStyle w:val="TableParagraph"/>
              <w:spacing w:line="225" w:lineRule="exact" w:before="15"/>
              <w:ind w:left="235" w:right="226"/>
              <w:jc w:val="center"/>
              <w:rPr>
                <w:rFonts w:ascii="Arial"/>
                <w:b/>
                <w:sz w:val="20"/>
              </w:rPr>
            </w:pPr>
            <w:r>
              <w:rPr>
                <w:rFonts w:ascii="Arial"/>
                <w:b/>
                <w:spacing w:val="-5"/>
                <w:sz w:val="20"/>
              </w:rPr>
              <w:t>16</w:t>
            </w:r>
          </w:p>
        </w:tc>
        <w:tc>
          <w:tcPr>
            <w:tcW w:w="1682" w:type="dxa"/>
            <w:tcBorders>
              <w:left w:val="dashed" w:sz="4" w:space="0" w:color="000000"/>
              <w:right w:val="dashed" w:sz="4" w:space="0" w:color="000000"/>
            </w:tcBorders>
          </w:tcPr>
          <w:p>
            <w:pPr>
              <w:pStyle w:val="TableParagraph"/>
              <w:spacing w:line="225" w:lineRule="exact" w:before="15"/>
              <w:ind w:left="9"/>
              <w:jc w:val="center"/>
              <w:rPr>
                <w:rFonts w:ascii="Arial"/>
                <w:b/>
                <w:sz w:val="20"/>
              </w:rPr>
            </w:pPr>
            <w:r>
              <w:rPr>
                <w:rFonts w:ascii="Arial"/>
                <w:b/>
                <w:sz w:val="20"/>
              </w:rPr>
              <w:t>0</w:t>
            </w:r>
          </w:p>
        </w:tc>
        <w:tc>
          <w:tcPr>
            <w:tcW w:w="1704" w:type="dxa"/>
            <w:tcBorders>
              <w:left w:val="dashed" w:sz="4" w:space="0" w:color="000000"/>
              <w:right w:val="dashed" w:sz="4" w:space="0" w:color="000000"/>
            </w:tcBorders>
          </w:tcPr>
          <w:p>
            <w:pPr>
              <w:pStyle w:val="TableParagraph"/>
              <w:spacing w:line="225" w:lineRule="exact" w:before="15"/>
              <w:ind w:left="9"/>
              <w:jc w:val="center"/>
              <w:rPr>
                <w:rFonts w:ascii="Arial"/>
                <w:b/>
                <w:sz w:val="20"/>
              </w:rPr>
            </w:pPr>
            <w:r>
              <w:rPr>
                <w:rFonts w:ascii="Arial"/>
                <w:b/>
                <w:sz w:val="20"/>
              </w:rPr>
              <w:t>2</w:t>
            </w:r>
          </w:p>
        </w:tc>
        <w:tc>
          <w:tcPr>
            <w:tcW w:w="1700" w:type="dxa"/>
            <w:tcBorders>
              <w:left w:val="dashed" w:sz="4" w:space="0" w:color="000000"/>
            </w:tcBorders>
          </w:tcPr>
          <w:p>
            <w:pPr>
              <w:pStyle w:val="TableParagraph"/>
              <w:spacing w:line="225" w:lineRule="exact" w:before="15"/>
              <w:ind w:left="9"/>
              <w:jc w:val="center"/>
              <w:rPr>
                <w:rFonts w:ascii="Arial"/>
                <w:b/>
                <w:sz w:val="20"/>
              </w:rPr>
            </w:pPr>
            <w:r>
              <w:rPr>
                <w:rFonts w:ascii="Arial"/>
                <w:b/>
                <w:sz w:val="20"/>
              </w:rPr>
              <w:t>0</w:t>
            </w:r>
          </w:p>
        </w:tc>
      </w:tr>
      <w:tr>
        <w:trPr>
          <w:trHeight w:val="260" w:hRule="atLeast"/>
        </w:trPr>
        <w:tc>
          <w:tcPr>
            <w:tcW w:w="2891" w:type="dxa"/>
            <w:tcBorders>
              <w:right w:val="dashed" w:sz="4" w:space="0" w:color="000000"/>
            </w:tcBorders>
            <w:shd w:val="clear" w:color="auto" w:fill="FF0000"/>
          </w:tcPr>
          <w:p>
            <w:pPr>
              <w:pStyle w:val="TableParagraph"/>
              <w:spacing w:line="225" w:lineRule="exact" w:before="15"/>
              <w:ind w:left="752" w:right="743"/>
              <w:jc w:val="center"/>
              <w:rPr>
                <w:rFonts w:ascii="Arial"/>
                <w:i/>
                <w:sz w:val="20"/>
              </w:rPr>
            </w:pPr>
            <w:r>
              <w:rPr>
                <w:rFonts w:ascii="Arial"/>
                <w:i/>
                <w:spacing w:val="-4"/>
                <w:sz w:val="20"/>
              </w:rPr>
              <w:t>High</w:t>
            </w:r>
          </w:p>
        </w:tc>
        <w:tc>
          <w:tcPr>
            <w:tcW w:w="1250" w:type="dxa"/>
            <w:tcBorders>
              <w:left w:val="dashed" w:sz="4" w:space="0" w:color="000000"/>
              <w:right w:val="dashed" w:sz="4" w:space="0" w:color="000000"/>
            </w:tcBorders>
            <w:shd w:val="clear" w:color="auto" w:fill="FF0000"/>
          </w:tcPr>
          <w:p>
            <w:pPr>
              <w:pStyle w:val="TableParagraph"/>
              <w:spacing w:line="225" w:lineRule="exact" w:before="15"/>
              <w:ind w:left="9"/>
              <w:jc w:val="center"/>
              <w:rPr>
                <w:rFonts w:ascii="Arial"/>
                <w:sz w:val="20"/>
              </w:rPr>
            </w:pPr>
            <w:r>
              <w:rPr>
                <w:rFonts w:ascii="Arial"/>
                <w:sz w:val="20"/>
              </w:rPr>
              <w:t>0</w:t>
            </w:r>
          </w:p>
        </w:tc>
        <w:tc>
          <w:tcPr>
            <w:tcW w:w="1725" w:type="dxa"/>
            <w:tcBorders>
              <w:left w:val="dashed" w:sz="4" w:space="0" w:color="000000"/>
              <w:right w:val="dashed" w:sz="4" w:space="0" w:color="000000"/>
            </w:tcBorders>
            <w:shd w:val="clear" w:color="auto" w:fill="FF0000"/>
          </w:tcPr>
          <w:p>
            <w:pPr>
              <w:pStyle w:val="TableParagraph"/>
              <w:spacing w:line="225" w:lineRule="exact" w:before="15"/>
              <w:ind w:left="9"/>
              <w:jc w:val="center"/>
              <w:rPr>
                <w:rFonts w:ascii="Arial"/>
                <w:sz w:val="20"/>
              </w:rPr>
            </w:pPr>
            <w:r>
              <w:rPr>
                <w:rFonts w:ascii="Arial"/>
                <w:sz w:val="20"/>
              </w:rPr>
              <w:t>0</w:t>
            </w:r>
          </w:p>
        </w:tc>
        <w:tc>
          <w:tcPr>
            <w:tcW w:w="1682" w:type="dxa"/>
            <w:tcBorders>
              <w:left w:val="dashed" w:sz="4" w:space="0" w:color="000000"/>
              <w:right w:val="dashed" w:sz="4" w:space="0" w:color="000000"/>
            </w:tcBorders>
            <w:shd w:val="clear" w:color="auto" w:fill="FF0000"/>
          </w:tcPr>
          <w:p>
            <w:pPr>
              <w:pStyle w:val="TableParagraph"/>
              <w:spacing w:line="225" w:lineRule="exact" w:before="15"/>
              <w:ind w:left="9"/>
              <w:jc w:val="center"/>
              <w:rPr>
                <w:rFonts w:ascii="Arial"/>
                <w:sz w:val="20"/>
              </w:rPr>
            </w:pPr>
            <w:r>
              <w:rPr>
                <w:rFonts w:ascii="Arial"/>
                <w:sz w:val="20"/>
              </w:rPr>
              <w:t>0</w:t>
            </w:r>
          </w:p>
        </w:tc>
        <w:tc>
          <w:tcPr>
            <w:tcW w:w="1704" w:type="dxa"/>
            <w:tcBorders>
              <w:left w:val="dashed" w:sz="4" w:space="0" w:color="000000"/>
              <w:right w:val="dashed" w:sz="4" w:space="0" w:color="000000"/>
            </w:tcBorders>
            <w:shd w:val="clear" w:color="auto" w:fill="FF0000"/>
          </w:tcPr>
          <w:p>
            <w:pPr>
              <w:pStyle w:val="TableParagraph"/>
              <w:spacing w:line="225" w:lineRule="exact" w:before="15"/>
              <w:ind w:left="9"/>
              <w:jc w:val="center"/>
              <w:rPr>
                <w:rFonts w:ascii="Arial"/>
                <w:sz w:val="20"/>
              </w:rPr>
            </w:pPr>
            <w:r>
              <w:rPr>
                <w:rFonts w:ascii="Arial"/>
                <w:sz w:val="20"/>
              </w:rPr>
              <w:t>0</w:t>
            </w:r>
          </w:p>
        </w:tc>
        <w:tc>
          <w:tcPr>
            <w:tcW w:w="1700" w:type="dxa"/>
            <w:tcBorders>
              <w:left w:val="dashed" w:sz="4" w:space="0" w:color="000000"/>
            </w:tcBorders>
            <w:shd w:val="clear" w:color="auto" w:fill="FF0000"/>
          </w:tcPr>
          <w:p>
            <w:pPr>
              <w:pStyle w:val="TableParagraph"/>
              <w:spacing w:line="225" w:lineRule="exact" w:before="15"/>
              <w:ind w:left="9"/>
              <w:jc w:val="center"/>
              <w:rPr>
                <w:rFonts w:ascii="Arial"/>
                <w:sz w:val="20"/>
              </w:rPr>
            </w:pPr>
            <w:r>
              <w:rPr>
                <w:rFonts w:ascii="Arial"/>
                <w:sz w:val="20"/>
              </w:rPr>
              <w:t>0</w:t>
            </w:r>
          </w:p>
        </w:tc>
      </w:tr>
      <w:tr>
        <w:trPr>
          <w:trHeight w:val="260" w:hRule="atLeast"/>
        </w:trPr>
        <w:tc>
          <w:tcPr>
            <w:tcW w:w="2891" w:type="dxa"/>
            <w:tcBorders>
              <w:right w:val="dashed" w:sz="4" w:space="0" w:color="000000"/>
            </w:tcBorders>
            <w:shd w:val="clear" w:color="auto" w:fill="FFC000"/>
          </w:tcPr>
          <w:p>
            <w:pPr>
              <w:pStyle w:val="TableParagraph"/>
              <w:spacing w:line="225" w:lineRule="exact" w:before="15"/>
              <w:ind w:left="752" w:right="742"/>
              <w:jc w:val="center"/>
              <w:rPr>
                <w:rFonts w:ascii="Arial"/>
                <w:i/>
                <w:sz w:val="20"/>
              </w:rPr>
            </w:pPr>
            <w:r>
              <w:rPr>
                <w:rFonts w:ascii="Arial"/>
                <w:i/>
                <w:spacing w:val="-2"/>
                <w:sz w:val="20"/>
              </w:rPr>
              <w:t>Medium</w:t>
            </w:r>
          </w:p>
        </w:tc>
        <w:tc>
          <w:tcPr>
            <w:tcW w:w="1250" w:type="dxa"/>
            <w:tcBorders>
              <w:left w:val="dashed" w:sz="4" w:space="0" w:color="000000"/>
              <w:right w:val="dashed" w:sz="4" w:space="0" w:color="000000"/>
            </w:tcBorders>
            <w:shd w:val="clear" w:color="auto" w:fill="FFC000"/>
          </w:tcPr>
          <w:p>
            <w:pPr>
              <w:pStyle w:val="TableParagraph"/>
              <w:spacing w:line="225" w:lineRule="exact" w:before="15"/>
              <w:ind w:left="445" w:right="436"/>
              <w:jc w:val="center"/>
              <w:rPr>
                <w:rFonts w:ascii="Arial"/>
                <w:sz w:val="20"/>
              </w:rPr>
            </w:pPr>
            <w:r>
              <w:rPr>
                <w:rFonts w:ascii="Arial"/>
                <w:spacing w:val="-5"/>
                <w:sz w:val="20"/>
              </w:rPr>
              <w:t>14</w:t>
            </w:r>
          </w:p>
        </w:tc>
        <w:tc>
          <w:tcPr>
            <w:tcW w:w="1725" w:type="dxa"/>
            <w:tcBorders>
              <w:left w:val="dashed" w:sz="4" w:space="0" w:color="000000"/>
              <w:right w:val="dashed" w:sz="4" w:space="0" w:color="000000"/>
            </w:tcBorders>
            <w:shd w:val="clear" w:color="auto" w:fill="FFC000"/>
          </w:tcPr>
          <w:p>
            <w:pPr>
              <w:pStyle w:val="TableParagraph"/>
              <w:spacing w:line="225" w:lineRule="exact" w:before="15"/>
              <w:ind w:left="235" w:right="226"/>
              <w:jc w:val="center"/>
              <w:rPr>
                <w:rFonts w:ascii="Arial"/>
                <w:sz w:val="20"/>
              </w:rPr>
            </w:pPr>
            <w:r>
              <w:rPr>
                <w:rFonts w:ascii="Arial"/>
                <w:spacing w:val="-5"/>
                <w:sz w:val="20"/>
              </w:rPr>
              <w:t>12</w:t>
            </w:r>
          </w:p>
        </w:tc>
        <w:tc>
          <w:tcPr>
            <w:tcW w:w="1682" w:type="dxa"/>
            <w:tcBorders>
              <w:left w:val="dashed" w:sz="4" w:space="0" w:color="000000"/>
              <w:right w:val="dashed" w:sz="4" w:space="0" w:color="000000"/>
            </w:tcBorders>
            <w:shd w:val="clear" w:color="auto" w:fill="FFC000"/>
          </w:tcPr>
          <w:p>
            <w:pPr>
              <w:pStyle w:val="TableParagraph"/>
              <w:spacing w:line="225" w:lineRule="exact" w:before="15"/>
              <w:ind w:left="9"/>
              <w:jc w:val="center"/>
              <w:rPr>
                <w:rFonts w:ascii="Arial"/>
                <w:sz w:val="20"/>
              </w:rPr>
            </w:pPr>
            <w:r>
              <w:rPr>
                <w:rFonts w:ascii="Arial"/>
                <w:sz w:val="20"/>
              </w:rPr>
              <w:t>0</w:t>
            </w:r>
          </w:p>
        </w:tc>
        <w:tc>
          <w:tcPr>
            <w:tcW w:w="1704" w:type="dxa"/>
            <w:tcBorders>
              <w:left w:val="dashed" w:sz="4" w:space="0" w:color="000000"/>
              <w:right w:val="dashed" w:sz="4" w:space="0" w:color="000000"/>
            </w:tcBorders>
            <w:shd w:val="clear" w:color="auto" w:fill="FFC000"/>
          </w:tcPr>
          <w:p>
            <w:pPr>
              <w:pStyle w:val="TableParagraph"/>
              <w:spacing w:line="225" w:lineRule="exact" w:before="15"/>
              <w:ind w:left="9"/>
              <w:jc w:val="center"/>
              <w:rPr>
                <w:rFonts w:ascii="Arial"/>
                <w:sz w:val="20"/>
              </w:rPr>
            </w:pPr>
            <w:r>
              <w:rPr>
                <w:rFonts w:ascii="Arial"/>
                <w:sz w:val="20"/>
              </w:rPr>
              <w:t>2</w:t>
            </w:r>
          </w:p>
        </w:tc>
        <w:tc>
          <w:tcPr>
            <w:tcW w:w="1700" w:type="dxa"/>
            <w:tcBorders>
              <w:left w:val="dashed" w:sz="4" w:space="0" w:color="000000"/>
            </w:tcBorders>
            <w:shd w:val="clear" w:color="auto" w:fill="FFC000"/>
          </w:tcPr>
          <w:p>
            <w:pPr>
              <w:pStyle w:val="TableParagraph"/>
              <w:spacing w:line="225" w:lineRule="exact" w:before="15"/>
              <w:ind w:left="9"/>
              <w:jc w:val="center"/>
              <w:rPr>
                <w:rFonts w:ascii="Arial"/>
                <w:sz w:val="20"/>
              </w:rPr>
            </w:pPr>
            <w:r>
              <w:rPr>
                <w:rFonts w:ascii="Arial"/>
                <w:sz w:val="20"/>
              </w:rPr>
              <w:t>0</w:t>
            </w:r>
          </w:p>
        </w:tc>
      </w:tr>
      <w:tr>
        <w:trPr>
          <w:trHeight w:val="260" w:hRule="atLeast"/>
        </w:trPr>
        <w:tc>
          <w:tcPr>
            <w:tcW w:w="2891" w:type="dxa"/>
            <w:tcBorders>
              <w:right w:val="dashed" w:sz="4" w:space="0" w:color="000000"/>
            </w:tcBorders>
            <w:shd w:val="clear" w:color="auto" w:fill="92D050"/>
          </w:tcPr>
          <w:p>
            <w:pPr>
              <w:pStyle w:val="TableParagraph"/>
              <w:spacing w:line="225" w:lineRule="exact" w:before="15"/>
              <w:ind w:left="752" w:right="743"/>
              <w:jc w:val="center"/>
              <w:rPr>
                <w:rFonts w:ascii="Arial"/>
                <w:i/>
                <w:sz w:val="20"/>
              </w:rPr>
            </w:pPr>
            <w:r>
              <w:rPr>
                <w:rFonts w:ascii="Arial"/>
                <w:i/>
                <w:spacing w:val="-5"/>
                <w:sz w:val="20"/>
              </w:rPr>
              <w:t>Low</w:t>
            </w:r>
          </w:p>
        </w:tc>
        <w:tc>
          <w:tcPr>
            <w:tcW w:w="1250" w:type="dxa"/>
            <w:tcBorders>
              <w:left w:val="dashed" w:sz="4" w:space="0" w:color="000000"/>
              <w:right w:val="dashed" w:sz="4" w:space="0" w:color="000000"/>
            </w:tcBorders>
            <w:shd w:val="clear" w:color="auto" w:fill="92D050"/>
          </w:tcPr>
          <w:p>
            <w:pPr>
              <w:pStyle w:val="TableParagraph"/>
              <w:spacing w:line="225" w:lineRule="exact" w:before="15"/>
              <w:ind w:left="9"/>
              <w:jc w:val="center"/>
              <w:rPr>
                <w:rFonts w:ascii="Arial"/>
                <w:sz w:val="20"/>
              </w:rPr>
            </w:pPr>
            <w:r>
              <w:rPr>
                <w:rFonts w:ascii="Arial"/>
                <w:sz w:val="20"/>
              </w:rPr>
              <w:t>1</w:t>
            </w:r>
          </w:p>
        </w:tc>
        <w:tc>
          <w:tcPr>
            <w:tcW w:w="1725" w:type="dxa"/>
            <w:tcBorders>
              <w:left w:val="dashed" w:sz="4" w:space="0" w:color="000000"/>
              <w:right w:val="dashed" w:sz="4" w:space="0" w:color="000000"/>
            </w:tcBorders>
            <w:shd w:val="clear" w:color="auto" w:fill="92D050"/>
          </w:tcPr>
          <w:p>
            <w:pPr>
              <w:pStyle w:val="TableParagraph"/>
              <w:spacing w:line="225" w:lineRule="exact" w:before="15"/>
              <w:ind w:left="9"/>
              <w:jc w:val="center"/>
              <w:rPr>
                <w:rFonts w:ascii="Arial"/>
                <w:sz w:val="20"/>
              </w:rPr>
            </w:pPr>
            <w:r>
              <w:rPr>
                <w:rFonts w:ascii="Arial"/>
                <w:sz w:val="20"/>
              </w:rPr>
              <w:t>1</w:t>
            </w:r>
          </w:p>
        </w:tc>
        <w:tc>
          <w:tcPr>
            <w:tcW w:w="1682" w:type="dxa"/>
            <w:tcBorders>
              <w:left w:val="dashed" w:sz="4" w:space="0" w:color="000000"/>
              <w:right w:val="dashed" w:sz="4" w:space="0" w:color="000000"/>
            </w:tcBorders>
            <w:shd w:val="clear" w:color="auto" w:fill="92D050"/>
          </w:tcPr>
          <w:p>
            <w:pPr>
              <w:pStyle w:val="TableParagraph"/>
              <w:spacing w:line="225" w:lineRule="exact" w:before="15"/>
              <w:ind w:left="9"/>
              <w:jc w:val="center"/>
              <w:rPr>
                <w:rFonts w:ascii="Arial"/>
                <w:sz w:val="20"/>
              </w:rPr>
            </w:pPr>
            <w:r>
              <w:rPr>
                <w:rFonts w:ascii="Arial"/>
                <w:sz w:val="20"/>
              </w:rPr>
              <w:t>0</w:t>
            </w:r>
          </w:p>
        </w:tc>
        <w:tc>
          <w:tcPr>
            <w:tcW w:w="1704" w:type="dxa"/>
            <w:tcBorders>
              <w:left w:val="dashed" w:sz="4" w:space="0" w:color="000000"/>
              <w:right w:val="dashed" w:sz="4" w:space="0" w:color="000000"/>
            </w:tcBorders>
            <w:shd w:val="clear" w:color="auto" w:fill="92D050"/>
          </w:tcPr>
          <w:p>
            <w:pPr>
              <w:pStyle w:val="TableParagraph"/>
              <w:spacing w:line="225" w:lineRule="exact" w:before="15"/>
              <w:ind w:left="9"/>
              <w:jc w:val="center"/>
              <w:rPr>
                <w:rFonts w:ascii="Arial"/>
                <w:sz w:val="20"/>
              </w:rPr>
            </w:pPr>
            <w:r>
              <w:rPr>
                <w:rFonts w:ascii="Arial"/>
                <w:sz w:val="20"/>
              </w:rPr>
              <w:t>0</w:t>
            </w:r>
          </w:p>
        </w:tc>
        <w:tc>
          <w:tcPr>
            <w:tcW w:w="1700" w:type="dxa"/>
            <w:tcBorders>
              <w:left w:val="dashed" w:sz="4" w:space="0" w:color="000000"/>
            </w:tcBorders>
            <w:shd w:val="clear" w:color="auto" w:fill="92D050"/>
          </w:tcPr>
          <w:p>
            <w:pPr>
              <w:pStyle w:val="TableParagraph"/>
              <w:spacing w:line="225" w:lineRule="exact" w:before="15"/>
              <w:ind w:left="9"/>
              <w:jc w:val="center"/>
              <w:rPr>
                <w:rFonts w:ascii="Arial"/>
                <w:sz w:val="20"/>
              </w:rPr>
            </w:pPr>
            <w:r>
              <w:rPr>
                <w:rFonts w:ascii="Arial"/>
                <w:sz w:val="20"/>
              </w:rPr>
              <w:t>0</w:t>
            </w:r>
          </w:p>
        </w:tc>
      </w:tr>
      <w:tr>
        <w:trPr>
          <w:trHeight w:val="260" w:hRule="atLeast"/>
        </w:trPr>
        <w:tc>
          <w:tcPr>
            <w:tcW w:w="2891" w:type="dxa"/>
            <w:tcBorders>
              <w:right w:val="dashed" w:sz="4" w:space="0" w:color="000000"/>
            </w:tcBorders>
            <w:shd w:val="clear" w:color="auto" w:fill="BDD6EE"/>
          </w:tcPr>
          <w:p>
            <w:pPr>
              <w:pStyle w:val="TableParagraph"/>
              <w:spacing w:line="225" w:lineRule="exact" w:before="15"/>
              <w:ind w:left="752" w:right="742"/>
              <w:jc w:val="center"/>
              <w:rPr>
                <w:rFonts w:ascii="Arial"/>
                <w:i/>
                <w:sz w:val="20"/>
              </w:rPr>
            </w:pPr>
            <w:r>
              <w:rPr>
                <w:rFonts w:ascii="Arial"/>
                <w:i/>
                <w:sz w:val="20"/>
              </w:rPr>
              <w:t>Not</w:t>
            </w:r>
            <w:r>
              <w:rPr>
                <w:rFonts w:ascii="Arial"/>
                <w:i/>
                <w:spacing w:val="-3"/>
                <w:sz w:val="20"/>
              </w:rPr>
              <w:t> </w:t>
            </w:r>
            <w:r>
              <w:rPr>
                <w:rFonts w:ascii="Arial"/>
                <w:i/>
                <w:spacing w:val="-2"/>
                <w:sz w:val="20"/>
              </w:rPr>
              <w:t>Applicable</w:t>
            </w:r>
          </w:p>
        </w:tc>
        <w:tc>
          <w:tcPr>
            <w:tcW w:w="1250" w:type="dxa"/>
            <w:tcBorders>
              <w:left w:val="dashed" w:sz="4" w:space="0" w:color="000000"/>
              <w:right w:val="dashed" w:sz="4" w:space="0" w:color="000000"/>
            </w:tcBorders>
            <w:shd w:val="clear" w:color="auto" w:fill="BDD6EE"/>
          </w:tcPr>
          <w:p>
            <w:pPr>
              <w:pStyle w:val="TableParagraph"/>
              <w:spacing w:line="225" w:lineRule="exact" w:before="15"/>
              <w:ind w:left="9"/>
              <w:jc w:val="center"/>
              <w:rPr>
                <w:rFonts w:ascii="Arial"/>
                <w:sz w:val="20"/>
              </w:rPr>
            </w:pPr>
            <w:r>
              <w:rPr>
                <w:rFonts w:ascii="Arial"/>
                <w:sz w:val="20"/>
              </w:rPr>
              <w:t>3</w:t>
            </w:r>
          </w:p>
        </w:tc>
        <w:tc>
          <w:tcPr>
            <w:tcW w:w="1725" w:type="dxa"/>
            <w:tcBorders>
              <w:left w:val="dashed" w:sz="4" w:space="0" w:color="000000"/>
              <w:right w:val="dashed" w:sz="4" w:space="0" w:color="000000"/>
            </w:tcBorders>
            <w:shd w:val="clear" w:color="auto" w:fill="BDD6EE"/>
          </w:tcPr>
          <w:p>
            <w:pPr>
              <w:pStyle w:val="TableParagraph"/>
              <w:spacing w:line="225" w:lineRule="exact" w:before="15"/>
              <w:ind w:left="9"/>
              <w:jc w:val="center"/>
              <w:rPr>
                <w:rFonts w:ascii="Arial"/>
                <w:sz w:val="20"/>
              </w:rPr>
            </w:pPr>
            <w:r>
              <w:rPr>
                <w:rFonts w:ascii="Arial"/>
                <w:sz w:val="20"/>
              </w:rPr>
              <w:t>3</w:t>
            </w:r>
          </w:p>
        </w:tc>
        <w:tc>
          <w:tcPr>
            <w:tcW w:w="1682" w:type="dxa"/>
            <w:tcBorders>
              <w:left w:val="dashed" w:sz="4" w:space="0" w:color="000000"/>
              <w:right w:val="dashed" w:sz="4" w:space="0" w:color="000000"/>
            </w:tcBorders>
            <w:shd w:val="clear" w:color="auto" w:fill="BDD6EE"/>
          </w:tcPr>
          <w:p>
            <w:pPr>
              <w:pStyle w:val="TableParagraph"/>
              <w:spacing w:line="225" w:lineRule="exact" w:before="15"/>
              <w:ind w:left="9"/>
              <w:jc w:val="center"/>
              <w:rPr>
                <w:rFonts w:ascii="Arial"/>
                <w:sz w:val="20"/>
              </w:rPr>
            </w:pPr>
            <w:r>
              <w:rPr>
                <w:rFonts w:ascii="Arial"/>
                <w:sz w:val="20"/>
              </w:rPr>
              <w:t>0</w:t>
            </w:r>
          </w:p>
        </w:tc>
        <w:tc>
          <w:tcPr>
            <w:tcW w:w="1704" w:type="dxa"/>
            <w:tcBorders>
              <w:left w:val="dashed" w:sz="4" w:space="0" w:color="000000"/>
              <w:right w:val="dashed" w:sz="4" w:space="0" w:color="000000"/>
            </w:tcBorders>
            <w:shd w:val="clear" w:color="auto" w:fill="BDD6EE"/>
          </w:tcPr>
          <w:p>
            <w:pPr>
              <w:pStyle w:val="TableParagraph"/>
              <w:spacing w:line="225" w:lineRule="exact" w:before="15"/>
              <w:ind w:left="9"/>
              <w:jc w:val="center"/>
              <w:rPr>
                <w:rFonts w:ascii="Arial"/>
                <w:sz w:val="20"/>
              </w:rPr>
            </w:pPr>
            <w:r>
              <w:rPr>
                <w:rFonts w:ascii="Arial"/>
                <w:sz w:val="20"/>
              </w:rPr>
              <w:t>0</w:t>
            </w:r>
          </w:p>
        </w:tc>
        <w:tc>
          <w:tcPr>
            <w:tcW w:w="1700" w:type="dxa"/>
            <w:tcBorders>
              <w:left w:val="dashed" w:sz="4" w:space="0" w:color="000000"/>
            </w:tcBorders>
            <w:shd w:val="clear" w:color="auto" w:fill="BDD6EE"/>
          </w:tcPr>
          <w:p>
            <w:pPr>
              <w:pStyle w:val="TableParagraph"/>
              <w:spacing w:line="225" w:lineRule="exact" w:before="15"/>
              <w:ind w:left="9"/>
              <w:jc w:val="center"/>
              <w:rPr>
                <w:rFonts w:ascii="Arial"/>
                <w:sz w:val="20"/>
              </w:rPr>
            </w:pPr>
            <w:r>
              <w:rPr>
                <w:rFonts w:ascii="Arial"/>
                <w:sz w:val="20"/>
              </w:rPr>
              <w:t>0</w:t>
            </w:r>
          </w:p>
        </w:tc>
      </w:tr>
      <w:tr>
        <w:trPr>
          <w:trHeight w:val="259" w:hRule="atLeast"/>
        </w:trPr>
        <w:tc>
          <w:tcPr>
            <w:tcW w:w="2891" w:type="dxa"/>
            <w:tcBorders>
              <w:right w:val="dashed" w:sz="4" w:space="0" w:color="000000"/>
            </w:tcBorders>
          </w:tcPr>
          <w:p>
            <w:pPr>
              <w:pStyle w:val="TableParagraph"/>
              <w:spacing w:line="225" w:lineRule="exact" w:before="15"/>
              <w:ind w:left="752" w:right="742"/>
              <w:jc w:val="center"/>
              <w:rPr>
                <w:rFonts w:ascii="Arial"/>
                <w:b/>
                <w:sz w:val="20"/>
              </w:rPr>
            </w:pPr>
            <w:r>
              <w:rPr>
                <w:rFonts w:ascii="Arial"/>
                <w:b/>
                <w:sz w:val="20"/>
              </w:rPr>
              <w:t>Other </w:t>
            </w:r>
            <w:r>
              <w:rPr>
                <w:rFonts w:ascii="Arial"/>
                <w:b/>
                <w:spacing w:val="-2"/>
                <w:sz w:val="20"/>
              </w:rPr>
              <w:t>Audit</w:t>
            </w:r>
          </w:p>
        </w:tc>
        <w:tc>
          <w:tcPr>
            <w:tcW w:w="1250" w:type="dxa"/>
            <w:tcBorders>
              <w:left w:val="dashed" w:sz="4" w:space="0" w:color="000000"/>
              <w:right w:val="dashed" w:sz="4" w:space="0" w:color="000000"/>
            </w:tcBorders>
          </w:tcPr>
          <w:p>
            <w:pPr>
              <w:pStyle w:val="TableParagraph"/>
              <w:spacing w:line="225" w:lineRule="exact" w:before="15"/>
              <w:ind w:left="445" w:right="436"/>
              <w:jc w:val="center"/>
              <w:rPr>
                <w:rFonts w:ascii="Arial"/>
                <w:b/>
                <w:sz w:val="20"/>
              </w:rPr>
            </w:pPr>
            <w:r>
              <w:rPr>
                <w:rFonts w:ascii="Arial"/>
                <w:b/>
                <w:spacing w:val="-5"/>
                <w:sz w:val="20"/>
              </w:rPr>
              <w:t>28</w:t>
            </w:r>
          </w:p>
        </w:tc>
        <w:tc>
          <w:tcPr>
            <w:tcW w:w="1725" w:type="dxa"/>
            <w:tcBorders>
              <w:left w:val="dashed" w:sz="4" w:space="0" w:color="000000"/>
              <w:right w:val="dashed" w:sz="4" w:space="0" w:color="000000"/>
            </w:tcBorders>
          </w:tcPr>
          <w:p>
            <w:pPr>
              <w:pStyle w:val="TableParagraph"/>
              <w:spacing w:line="225" w:lineRule="exact" w:before="15"/>
              <w:ind w:left="235" w:right="226"/>
              <w:jc w:val="center"/>
              <w:rPr>
                <w:rFonts w:ascii="Arial"/>
                <w:b/>
                <w:sz w:val="20"/>
              </w:rPr>
            </w:pPr>
            <w:r>
              <w:rPr>
                <w:rFonts w:ascii="Arial"/>
                <w:b/>
                <w:spacing w:val="-5"/>
                <w:sz w:val="20"/>
              </w:rPr>
              <w:t>28</w:t>
            </w:r>
          </w:p>
        </w:tc>
        <w:tc>
          <w:tcPr>
            <w:tcW w:w="1682" w:type="dxa"/>
            <w:tcBorders>
              <w:left w:val="dashed" w:sz="4" w:space="0" w:color="000000"/>
              <w:right w:val="dashed" w:sz="4" w:space="0" w:color="000000"/>
            </w:tcBorders>
          </w:tcPr>
          <w:p>
            <w:pPr>
              <w:pStyle w:val="TableParagraph"/>
              <w:spacing w:line="225" w:lineRule="exact" w:before="15"/>
              <w:ind w:left="9"/>
              <w:jc w:val="center"/>
              <w:rPr>
                <w:rFonts w:ascii="Arial"/>
                <w:b/>
                <w:sz w:val="20"/>
              </w:rPr>
            </w:pPr>
            <w:r>
              <w:rPr>
                <w:rFonts w:ascii="Arial"/>
                <w:b/>
                <w:sz w:val="20"/>
              </w:rPr>
              <w:t>0</w:t>
            </w:r>
          </w:p>
        </w:tc>
        <w:tc>
          <w:tcPr>
            <w:tcW w:w="1704" w:type="dxa"/>
            <w:tcBorders>
              <w:left w:val="dashed" w:sz="4" w:space="0" w:color="000000"/>
              <w:right w:val="dashed" w:sz="4" w:space="0" w:color="000000"/>
            </w:tcBorders>
          </w:tcPr>
          <w:p>
            <w:pPr>
              <w:pStyle w:val="TableParagraph"/>
              <w:spacing w:line="225" w:lineRule="exact" w:before="15"/>
              <w:ind w:left="9"/>
              <w:jc w:val="center"/>
              <w:rPr>
                <w:rFonts w:ascii="Arial"/>
                <w:sz w:val="20"/>
              </w:rPr>
            </w:pPr>
            <w:r>
              <w:rPr>
                <w:rFonts w:ascii="Arial"/>
                <w:sz w:val="20"/>
              </w:rPr>
              <w:t>0</w:t>
            </w:r>
          </w:p>
        </w:tc>
        <w:tc>
          <w:tcPr>
            <w:tcW w:w="1700" w:type="dxa"/>
            <w:tcBorders>
              <w:left w:val="dashed" w:sz="4" w:space="0" w:color="000000"/>
            </w:tcBorders>
          </w:tcPr>
          <w:p>
            <w:pPr>
              <w:pStyle w:val="TableParagraph"/>
              <w:spacing w:line="225" w:lineRule="exact" w:before="15"/>
              <w:ind w:left="9"/>
              <w:jc w:val="center"/>
              <w:rPr>
                <w:rFonts w:ascii="Arial"/>
                <w:sz w:val="20"/>
              </w:rPr>
            </w:pPr>
            <w:r>
              <w:rPr>
                <w:rFonts w:ascii="Arial"/>
                <w:sz w:val="20"/>
              </w:rPr>
              <w:t>0</w:t>
            </w:r>
          </w:p>
        </w:tc>
      </w:tr>
      <w:tr>
        <w:trPr>
          <w:trHeight w:val="260" w:hRule="atLeast"/>
        </w:trPr>
        <w:tc>
          <w:tcPr>
            <w:tcW w:w="2891" w:type="dxa"/>
            <w:tcBorders>
              <w:right w:val="dashed" w:sz="4" w:space="0" w:color="000000"/>
            </w:tcBorders>
            <w:shd w:val="clear" w:color="auto" w:fill="FF0000"/>
          </w:tcPr>
          <w:p>
            <w:pPr>
              <w:pStyle w:val="TableParagraph"/>
              <w:spacing w:line="225" w:lineRule="exact" w:before="15"/>
              <w:ind w:left="752" w:right="743"/>
              <w:jc w:val="center"/>
              <w:rPr>
                <w:rFonts w:ascii="Arial"/>
                <w:i/>
                <w:sz w:val="20"/>
              </w:rPr>
            </w:pPr>
            <w:r>
              <w:rPr>
                <w:rFonts w:ascii="Arial"/>
                <w:i/>
                <w:spacing w:val="-4"/>
                <w:sz w:val="20"/>
              </w:rPr>
              <w:t>High</w:t>
            </w:r>
          </w:p>
        </w:tc>
        <w:tc>
          <w:tcPr>
            <w:tcW w:w="1250" w:type="dxa"/>
            <w:tcBorders>
              <w:left w:val="dashed" w:sz="4" w:space="0" w:color="000000"/>
              <w:right w:val="dashed" w:sz="4" w:space="0" w:color="000000"/>
            </w:tcBorders>
            <w:shd w:val="clear" w:color="auto" w:fill="FF0000"/>
          </w:tcPr>
          <w:p>
            <w:pPr>
              <w:pStyle w:val="TableParagraph"/>
              <w:spacing w:line="225" w:lineRule="exact" w:before="15"/>
              <w:ind w:left="9"/>
              <w:jc w:val="center"/>
              <w:rPr>
                <w:rFonts w:ascii="Arial"/>
                <w:sz w:val="20"/>
              </w:rPr>
            </w:pPr>
            <w:r>
              <w:rPr>
                <w:rFonts w:ascii="Arial"/>
                <w:sz w:val="20"/>
              </w:rPr>
              <w:t>4</w:t>
            </w:r>
          </w:p>
        </w:tc>
        <w:tc>
          <w:tcPr>
            <w:tcW w:w="1725" w:type="dxa"/>
            <w:tcBorders>
              <w:left w:val="dashed" w:sz="4" w:space="0" w:color="000000"/>
              <w:right w:val="dashed" w:sz="4" w:space="0" w:color="000000"/>
            </w:tcBorders>
            <w:shd w:val="clear" w:color="auto" w:fill="FF0000"/>
          </w:tcPr>
          <w:p>
            <w:pPr>
              <w:pStyle w:val="TableParagraph"/>
              <w:spacing w:line="225" w:lineRule="exact" w:before="15"/>
              <w:ind w:left="9"/>
              <w:jc w:val="center"/>
              <w:rPr>
                <w:rFonts w:ascii="Arial"/>
                <w:sz w:val="20"/>
              </w:rPr>
            </w:pPr>
            <w:r>
              <w:rPr>
                <w:rFonts w:ascii="Arial"/>
                <w:sz w:val="20"/>
              </w:rPr>
              <w:t>4</w:t>
            </w:r>
          </w:p>
        </w:tc>
        <w:tc>
          <w:tcPr>
            <w:tcW w:w="1682" w:type="dxa"/>
            <w:tcBorders>
              <w:left w:val="dashed" w:sz="4" w:space="0" w:color="000000"/>
              <w:right w:val="dashed" w:sz="4" w:space="0" w:color="000000"/>
            </w:tcBorders>
            <w:shd w:val="clear" w:color="auto" w:fill="FF0000"/>
          </w:tcPr>
          <w:p>
            <w:pPr>
              <w:pStyle w:val="TableParagraph"/>
              <w:spacing w:line="225" w:lineRule="exact" w:before="15"/>
              <w:ind w:left="9"/>
              <w:jc w:val="center"/>
              <w:rPr>
                <w:rFonts w:ascii="Arial"/>
                <w:sz w:val="20"/>
              </w:rPr>
            </w:pPr>
            <w:r>
              <w:rPr>
                <w:rFonts w:ascii="Arial"/>
                <w:sz w:val="20"/>
              </w:rPr>
              <w:t>0</w:t>
            </w:r>
          </w:p>
        </w:tc>
        <w:tc>
          <w:tcPr>
            <w:tcW w:w="1704" w:type="dxa"/>
            <w:tcBorders>
              <w:left w:val="dashed" w:sz="4" w:space="0" w:color="000000"/>
              <w:right w:val="dashed" w:sz="4" w:space="0" w:color="000000"/>
            </w:tcBorders>
            <w:shd w:val="clear" w:color="auto" w:fill="FF0000"/>
          </w:tcPr>
          <w:p>
            <w:pPr>
              <w:pStyle w:val="TableParagraph"/>
              <w:spacing w:line="225" w:lineRule="exact" w:before="15"/>
              <w:ind w:left="9"/>
              <w:jc w:val="center"/>
              <w:rPr>
                <w:rFonts w:ascii="Arial"/>
                <w:sz w:val="20"/>
              </w:rPr>
            </w:pPr>
            <w:r>
              <w:rPr>
                <w:rFonts w:ascii="Arial"/>
                <w:sz w:val="20"/>
              </w:rPr>
              <w:t>0</w:t>
            </w:r>
          </w:p>
        </w:tc>
        <w:tc>
          <w:tcPr>
            <w:tcW w:w="1700" w:type="dxa"/>
            <w:tcBorders>
              <w:left w:val="dashed" w:sz="4" w:space="0" w:color="000000"/>
            </w:tcBorders>
            <w:shd w:val="clear" w:color="auto" w:fill="FF0000"/>
          </w:tcPr>
          <w:p>
            <w:pPr>
              <w:pStyle w:val="TableParagraph"/>
              <w:spacing w:line="225" w:lineRule="exact" w:before="15"/>
              <w:ind w:left="9"/>
              <w:jc w:val="center"/>
              <w:rPr>
                <w:rFonts w:ascii="Arial"/>
                <w:sz w:val="20"/>
              </w:rPr>
            </w:pPr>
            <w:r>
              <w:rPr>
                <w:rFonts w:ascii="Arial"/>
                <w:sz w:val="20"/>
              </w:rPr>
              <w:t>0</w:t>
            </w:r>
          </w:p>
        </w:tc>
      </w:tr>
      <w:tr>
        <w:trPr>
          <w:trHeight w:val="260" w:hRule="atLeast"/>
        </w:trPr>
        <w:tc>
          <w:tcPr>
            <w:tcW w:w="2891" w:type="dxa"/>
            <w:tcBorders>
              <w:right w:val="dashed" w:sz="4" w:space="0" w:color="000000"/>
            </w:tcBorders>
            <w:shd w:val="clear" w:color="auto" w:fill="FFC000"/>
          </w:tcPr>
          <w:p>
            <w:pPr>
              <w:pStyle w:val="TableParagraph"/>
              <w:spacing w:line="225" w:lineRule="exact" w:before="15"/>
              <w:ind w:left="752" w:right="742"/>
              <w:jc w:val="center"/>
              <w:rPr>
                <w:rFonts w:ascii="Arial"/>
                <w:i/>
                <w:sz w:val="20"/>
              </w:rPr>
            </w:pPr>
            <w:r>
              <w:rPr>
                <w:rFonts w:ascii="Arial"/>
                <w:i/>
                <w:spacing w:val="-2"/>
                <w:sz w:val="20"/>
              </w:rPr>
              <w:t>Medium</w:t>
            </w:r>
          </w:p>
        </w:tc>
        <w:tc>
          <w:tcPr>
            <w:tcW w:w="1250" w:type="dxa"/>
            <w:tcBorders>
              <w:left w:val="dashed" w:sz="4" w:space="0" w:color="000000"/>
              <w:right w:val="dashed" w:sz="4" w:space="0" w:color="000000"/>
            </w:tcBorders>
            <w:shd w:val="clear" w:color="auto" w:fill="FFC000"/>
          </w:tcPr>
          <w:p>
            <w:pPr>
              <w:pStyle w:val="TableParagraph"/>
              <w:spacing w:line="225" w:lineRule="exact" w:before="15"/>
              <w:ind w:left="9"/>
              <w:jc w:val="center"/>
              <w:rPr>
                <w:rFonts w:ascii="Arial"/>
                <w:sz w:val="20"/>
              </w:rPr>
            </w:pPr>
            <w:r>
              <w:rPr>
                <w:rFonts w:ascii="Arial"/>
                <w:sz w:val="20"/>
              </w:rPr>
              <w:t>5</w:t>
            </w:r>
          </w:p>
        </w:tc>
        <w:tc>
          <w:tcPr>
            <w:tcW w:w="1725" w:type="dxa"/>
            <w:tcBorders>
              <w:left w:val="dashed" w:sz="4" w:space="0" w:color="000000"/>
              <w:right w:val="dashed" w:sz="4" w:space="0" w:color="000000"/>
            </w:tcBorders>
            <w:shd w:val="clear" w:color="auto" w:fill="FFC000"/>
          </w:tcPr>
          <w:p>
            <w:pPr>
              <w:pStyle w:val="TableParagraph"/>
              <w:spacing w:line="225" w:lineRule="exact" w:before="15"/>
              <w:ind w:left="9"/>
              <w:jc w:val="center"/>
              <w:rPr>
                <w:rFonts w:ascii="Arial"/>
                <w:sz w:val="20"/>
              </w:rPr>
            </w:pPr>
            <w:r>
              <w:rPr>
                <w:rFonts w:ascii="Arial"/>
                <w:sz w:val="20"/>
              </w:rPr>
              <w:t>5</w:t>
            </w:r>
          </w:p>
        </w:tc>
        <w:tc>
          <w:tcPr>
            <w:tcW w:w="1682" w:type="dxa"/>
            <w:tcBorders>
              <w:left w:val="dashed" w:sz="4" w:space="0" w:color="000000"/>
              <w:right w:val="dashed" w:sz="4" w:space="0" w:color="000000"/>
            </w:tcBorders>
            <w:shd w:val="clear" w:color="auto" w:fill="FFC000"/>
          </w:tcPr>
          <w:p>
            <w:pPr>
              <w:pStyle w:val="TableParagraph"/>
              <w:spacing w:line="225" w:lineRule="exact" w:before="15"/>
              <w:ind w:left="9"/>
              <w:jc w:val="center"/>
              <w:rPr>
                <w:rFonts w:ascii="Arial"/>
                <w:sz w:val="20"/>
              </w:rPr>
            </w:pPr>
            <w:r>
              <w:rPr>
                <w:rFonts w:ascii="Arial"/>
                <w:sz w:val="20"/>
              </w:rPr>
              <w:t>0</w:t>
            </w:r>
          </w:p>
        </w:tc>
        <w:tc>
          <w:tcPr>
            <w:tcW w:w="1704" w:type="dxa"/>
            <w:tcBorders>
              <w:left w:val="dashed" w:sz="4" w:space="0" w:color="000000"/>
              <w:right w:val="dashed" w:sz="4" w:space="0" w:color="000000"/>
            </w:tcBorders>
            <w:shd w:val="clear" w:color="auto" w:fill="FFC000"/>
          </w:tcPr>
          <w:p>
            <w:pPr>
              <w:pStyle w:val="TableParagraph"/>
              <w:spacing w:line="225" w:lineRule="exact" w:before="15"/>
              <w:ind w:left="9"/>
              <w:jc w:val="center"/>
              <w:rPr>
                <w:rFonts w:ascii="Arial"/>
                <w:sz w:val="20"/>
              </w:rPr>
            </w:pPr>
            <w:r>
              <w:rPr>
                <w:rFonts w:ascii="Arial"/>
                <w:sz w:val="20"/>
              </w:rPr>
              <w:t>0</w:t>
            </w:r>
          </w:p>
        </w:tc>
        <w:tc>
          <w:tcPr>
            <w:tcW w:w="1700" w:type="dxa"/>
            <w:tcBorders>
              <w:left w:val="dashed" w:sz="4" w:space="0" w:color="000000"/>
            </w:tcBorders>
            <w:shd w:val="clear" w:color="auto" w:fill="FFC000"/>
          </w:tcPr>
          <w:p>
            <w:pPr>
              <w:pStyle w:val="TableParagraph"/>
              <w:spacing w:line="225" w:lineRule="exact" w:before="15"/>
              <w:ind w:left="9"/>
              <w:jc w:val="center"/>
              <w:rPr>
                <w:rFonts w:ascii="Arial"/>
                <w:sz w:val="20"/>
              </w:rPr>
            </w:pPr>
            <w:r>
              <w:rPr>
                <w:rFonts w:ascii="Arial"/>
                <w:sz w:val="20"/>
              </w:rPr>
              <w:t>0</w:t>
            </w:r>
          </w:p>
        </w:tc>
      </w:tr>
      <w:tr>
        <w:trPr>
          <w:trHeight w:val="260" w:hRule="atLeast"/>
        </w:trPr>
        <w:tc>
          <w:tcPr>
            <w:tcW w:w="2891" w:type="dxa"/>
            <w:tcBorders>
              <w:right w:val="dashed" w:sz="4" w:space="0" w:color="000000"/>
            </w:tcBorders>
            <w:shd w:val="clear" w:color="auto" w:fill="92D050"/>
          </w:tcPr>
          <w:p>
            <w:pPr>
              <w:pStyle w:val="TableParagraph"/>
              <w:spacing w:line="225" w:lineRule="exact" w:before="15"/>
              <w:ind w:left="752" w:right="743"/>
              <w:jc w:val="center"/>
              <w:rPr>
                <w:rFonts w:ascii="Arial"/>
                <w:i/>
                <w:sz w:val="20"/>
              </w:rPr>
            </w:pPr>
            <w:r>
              <w:rPr>
                <w:rFonts w:ascii="Arial"/>
                <w:i/>
                <w:spacing w:val="-5"/>
                <w:sz w:val="20"/>
              </w:rPr>
              <w:t>Low</w:t>
            </w:r>
          </w:p>
        </w:tc>
        <w:tc>
          <w:tcPr>
            <w:tcW w:w="1250" w:type="dxa"/>
            <w:tcBorders>
              <w:left w:val="dashed" w:sz="4" w:space="0" w:color="000000"/>
              <w:right w:val="dashed" w:sz="4" w:space="0" w:color="000000"/>
            </w:tcBorders>
            <w:shd w:val="clear" w:color="auto" w:fill="92D050"/>
          </w:tcPr>
          <w:p>
            <w:pPr>
              <w:pStyle w:val="TableParagraph"/>
              <w:spacing w:line="225" w:lineRule="exact" w:before="15"/>
              <w:ind w:left="445" w:right="436"/>
              <w:jc w:val="center"/>
              <w:rPr>
                <w:rFonts w:ascii="Arial"/>
                <w:sz w:val="20"/>
              </w:rPr>
            </w:pPr>
            <w:r>
              <w:rPr>
                <w:rFonts w:ascii="Arial"/>
                <w:spacing w:val="-5"/>
                <w:sz w:val="20"/>
              </w:rPr>
              <w:t>19</w:t>
            </w:r>
          </w:p>
        </w:tc>
        <w:tc>
          <w:tcPr>
            <w:tcW w:w="1725" w:type="dxa"/>
            <w:tcBorders>
              <w:left w:val="dashed" w:sz="4" w:space="0" w:color="000000"/>
              <w:right w:val="dashed" w:sz="4" w:space="0" w:color="000000"/>
            </w:tcBorders>
            <w:shd w:val="clear" w:color="auto" w:fill="92D050"/>
          </w:tcPr>
          <w:p>
            <w:pPr>
              <w:pStyle w:val="TableParagraph"/>
              <w:spacing w:line="225" w:lineRule="exact" w:before="15"/>
              <w:ind w:left="235" w:right="226"/>
              <w:jc w:val="center"/>
              <w:rPr>
                <w:rFonts w:ascii="Arial"/>
                <w:sz w:val="20"/>
              </w:rPr>
            </w:pPr>
            <w:r>
              <w:rPr>
                <w:rFonts w:ascii="Arial"/>
                <w:spacing w:val="-5"/>
                <w:sz w:val="20"/>
              </w:rPr>
              <w:t>19</w:t>
            </w:r>
          </w:p>
        </w:tc>
        <w:tc>
          <w:tcPr>
            <w:tcW w:w="1682" w:type="dxa"/>
            <w:tcBorders>
              <w:left w:val="dashed" w:sz="4" w:space="0" w:color="000000"/>
              <w:right w:val="dashed" w:sz="4" w:space="0" w:color="000000"/>
            </w:tcBorders>
            <w:shd w:val="clear" w:color="auto" w:fill="92D050"/>
          </w:tcPr>
          <w:p>
            <w:pPr>
              <w:pStyle w:val="TableParagraph"/>
              <w:spacing w:line="225" w:lineRule="exact" w:before="15"/>
              <w:ind w:left="9"/>
              <w:jc w:val="center"/>
              <w:rPr>
                <w:rFonts w:ascii="Arial"/>
                <w:sz w:val="20"/>
              </w:rPr>
            </w:pPr>
            <w:r>
              <w:rPr>
                <w:rFonts w:ascii="Arial"/>
                <w:sz w:val="20"/>
              </w:rPr>
              <w:t>0</w:t>
            </w:r>
          </w:p>
        </w:tc>
        <w:tc>
          <w:tcPr>
            <w:tcW w:w="1704" w:type="dxa"/>
            <w:tcBorders>
              <w:left w:val="dashed" w:sz="4" w:space="0" w:color="000000"/>
              <w:right w:val="dashed" w:sz="4" w:space="0" w:color="000000"/>
            </w:tcBorders>
            <w:shd w:val="clear" w:color="auto" w:fill="92D050"/>
          </w:tcPr>
          <w:p>
            <w:pPr>
              <w:pStyle w:val="TableParagraph"/>
              <w:spacing w:line="225" w:lineRule="exact" w:before="15"/>
              <w:ind w:left="9"/>
              <w:jc w:val="center"/>
              <w:rPr>
                <w:rFonts w:ascii="Arial"/>
                <w:sz w:val="20"/>
              </w:rPr>
            </w:pPr>
            <w:r>
              <w:rPr>
                <w:rFonts w:ascii="Arial"/>
                <w:sz w:val="20"/>
              </w:rPr>
              <w:t>0</w:t>
            </w:r>
          </w:p>
        </w:tc>
        <w:tc>
          <w:tcPr>
            <w:tcW w:w="1700" w:type="dxa"/>
            <w:tcBorders>
              <w:left w:val="dashed" w:sz="4" w:space="0" w:color="000000"/>
            </w:tcBorders>
            <w:shd w:val="clear" w:color="auto" w:fill="92D050"/>
          </w:tcPr>
          <w:p>
            <w:pPr>
              <w:pStyle w:val="TableParagraph"/>
              <w:spacing w:line="225" w:lineRule="exact" w:before="15"/>
              <w:ind w:left="9"/>
              <w:jc w:val="center"/>
              <w:rPr>
                <w:rFonts w:ascii="Arial"/>
                <w:sz w:val="20"/>
              </w:rPr>
            </w:pPr>
            <w:r>
              <w:rPr>
                <w:rFonts w:ascii="Arial"/>
                <w:sz w:val="20"/>
              </w:rPr>
              <w:t>0</w:t>
            </w:r>
          </w:p>
        </w:tc>
      </w:tr>
      <w:tr>
        <w:trPr>
          <w:trHeight w:val="260" w:hRule="atLeast"/>
        </w:trPr>
        <w:tc>
          <w:tcPr>
            <w:tcW w:w="2891" w:type="dxa"/>
            <w:tcBorders>
              <w:right w:val="dashed" w:sz="4" w:space="0" w:color="000000"/>
            </w:tcBorders>
            <w:shd w:val="clear" w:color="auto" w:fill="BDD6EE"/>
          </w:tcPr>
          <w:p>
            <w:pPr>
              <w:pStyle w:val="TableParagraph"/>
              <w:spacing w:line="225" w:lineRule="exact" w:before="15"/>
              <w:ind w:left="752" w:right="742"/>
              <w:jc w:val="center"/>
              <w:rPr>
                <w:rFonts w:ascii="Arial"/>
                <w:i/>
                <w:sz w:val="20"/>
              </w:rPr>
            </w:pPr>
            <w:r>
              <w:rPr>
                <w:rFonts w:ascii="Arial"/>
                <w:i/>
                <w:sz w:val="20"/>
              </w:rPr>
              <w:t>Not</w:t>
            </w:r>
            <w:r>
              <w:rPr>
                <w:rFonts w:ascii="Arial"/>
                <w:i/>
                <w:spacing w:val="-3"/>
                <w:sz w:val="20"/>
              </w:rPr>
              <w:t> </w:t>
            </w:r>
            <w:r>
              <w:rPr>
                <w:rFonts w:ascii="Arial"/>
                <w:i/>
                <w:spacing w:val="-2"/>
                <w:sz w:val="20"/>
              </w:rPr>
              <w:t>Applicable</w:t>
            </w:r>
          </w:p>
        </w:tc>
        <w:tc>
          <w:tcPr>
            <w:tcW w:w="1250" w:type="dxa"/>
            <w:tcBorders>
              <w:left w:val="dashed" w:sz="4" w:space="0" w:color="000000"/>
              <w:right w:val="dashed" w:sz="4" w:space="0" w:color="000000"/>
            </w:tcBorders>
            <w:shd w:val="clear" w:color="auto" w:fill="BDD6EE"/>
          </w:tcPr>
          <w:p>
            <w:pPr>
              <w:pStyle w:val="TableParagraph"/>
              <w:spacing w:line="225" w:lineRule="exact" w:before="15"/>
              <w:ind w:left="9"/>
              <w:jc w:val="center"/>
              <w:rPr>
                <w:rFonts w:ascii="Arial"/>
                <w:sz w:val="20"/>
              </w:rPr>
            </w:pPr>
            <w:r>
              <w:rPr>
                <w:rFonts w:ascii="Arial"/>
                <w:sz w:val="20"/>
              </w:rPr>
              <w:t>0</w:t>
            </w:r>
          </w:p>
        </w:tc>
        <w:tc>
          <w:tcPr>
            <w:tcW w:w="1725" w:type="dxa"/>
            <w:tcBorders>
              <w:left w:val="dashed" w:sz="4" w:space="0" w:color="000000"/>
              <w:right w:val="dashed" w:sz="4" w:space="0" w:color="000000"/>
            </w:tcBorders>
            <w:shd w:val="clear" w:color="auto" w:fill="BDD6EE"/>
          </w:tcPr>
          <w:p>
            <w:pPr>
              <w:pStyle w:val="TableParagraph"/>
              <w:spacing w:line="225" w:lineRule="exact" w:before="15"/>
              <w:ind w:left="9"/>
              <w:jc w:val="center"/>
              <w:rPr>
                <w:rFonts w:ascii="Arial"/>
                <w:sz w:val="20"/>
              </w:rPr>
            </w:pPr>
            <w:r>
              <w:rPr>
                <w:rFonts w:ascii="Arial"/>
                <w:sz w:val="20"/>
              </w:rPr>
              <w:t>0</w:t>
            </w:r>
          </w:p>
        </w:tc>
        <w:tc>
          <w:tcPr>
            <w:tcW w:w="1682" w:type="dxa"/>
            <w:tcBorders>
              <w:left w:val="dashed" w:sz="4" w:space="0" w:color="000000"/>
              <w:right w:val="dashed" w:sz="4" w:space="0" w:color="000000"/>
            </w:tcBorders>
            <w:shd w:val="clear" w:color="auto" w:fill="BDD6EE"/>
          </w:tcPr>
          <w:p>
            <w:pPr>
              <w:pStyle w:val="TableParagraph"/>
              <w:spacing w:line="225" w:lineRule="exact" w:before="15"/>
              <w:ind w:left="9"/>
              <w:jc w:val="center"/>
              <w:rPr>
                <w:rFonts w:ascii="Arial"/>
                <w:sz w:val="20"/>
              </w:rPr>
            </w:pPr>
            <w:r>
              <w:rPr>
                <w:rFonts w:ascii="Arial"/>
                <w:sz w:val="20"/>
              </w:rPr>
              <w:t>0</w:t>
            </w:r>
          </w:p>
        </w:tc>
        <w:tc>
          <w:tcPr>
            <w:tcW w:w="1704" w:type="dxa"/>
            <w:tcBorders>
              <w:left w:val="dashed" w:sz="4" w:space="0" w:color="000000"/>
              <w:right w:val="dashed" w:sz="4" w:space="0" w:color="000000"/>
            </w:tcBorders>
            <w:shd w:val="clear" w:color="auto" w:fill="BDD6EE"/>
          </w:tcPr>
          <w:p>
            <w:pPr>
              <w:pStyle w:val="TableParagraph"/>
              <w:spacing w:line="225" w:lineRule="exact" w:before="15"/>
              <w:ind w:left="9"/>
              <w:jc w:val="center"/>
              <w:rPr>
                <w:rFonts w:ascii="Arial"/>
                <w:sz w:val="20"/>
              </w:rPr>
            </w:pPr>
            <w:r>
              <w:rPr>
                <w:rFonts w:ascii="Arial"/>
                <w:sz w:val="20"/>
              </w:rPr>
              <w:t>0</w:t>
            </w:r>
          </w:p>
        </w:tc>
        <w:tc>
          <w:tcPr>
            <w:tcW w:w="1700" w:type="dxa"/>
            <w:tcBorders>
              <w:left w:val="dashed" w:sz="4" w:space="0" w:color="000000"/>
            </w:tcBorders>
            <w:shd w:val="clear" w:color="auto" w:fill="BDD6EE"/>
          </w:tcPr>
          <w:p>
            <w:pPr>
              <w:pStyle w:val="TableParagraph"/>
              <w:spacing w:line="225" w:lineRule="exact" w:before="15"/>
              <w:ind w:left="9"/>
              <w:jc w:val="center"/>
              <w:rPr>
                <w:rFonts w:ascii="Arial"/>
                <w:sz w:val="20"/>
              </w:rPr>
            </w:pPr>
            <w:r>
              <w:rPr>
                <w:rFonts w:ascii="Arial"/>
                <w:sz w:val="20"/>
              </w:rPr>
              <w:t>0</w:t>
            </w:r>
          </w:p>
        </w:tc>
      </w:tr>
      <w:tr>
        <w:trPr>
          <w:trHeight w:val="510" w:hRule="atLeast"/>
        </w:trPr>
        <w:tc>
          <w:tcPr>
            <w:tcW w:w="2891" w:type="dxa"/>
            <w:shd w:val="clear" w:color="auto" w:fill="BFBFBF"/>
          </w:tcPr>
          <w:p>
            <w:pPr>
              <w:pStyle w:val="TableParagraph"/>
              <w:spacing w:before="140"/>
              <w:ind w:left="752" w:right="742"/>
              <w:jc w:val="center"/>
              <w:rPr>
                <w:rFonts w:ascii="Arial"/>
                <w:b/>
                <w:sz w:val="20"/>
              </w:rPr>
            </w:pPr>
            <w:r>
              <w:rPr>
                <w:rFonts w:ascii="Arial"/>
                <w:b/>
                <w:spacing w:val="-2"/>
                <w:sz w:val="20"/>
              </w:rPr>
              <w:t>TOTALS:</w:t>
            </w:r>
          </w:p>
        </w:tc>
        <w:tc>
          <w:tcPr>
            <w:tcW w:w="1250" w:type="dxa"/>
            <w:shd w:val="clear" w:color="auto" w:fill="BFBFBF"/>
          </w:tcPr>
          <w:p>
            <w:pPr>
              <w:pStyle w:val="TableParagraph"/>
              <w:spacing w:before="140"/>
              <w:ind w:left="445" w:right="436"/>
              <w:jc w:val="center"/>
              <w:rPr>
                <w:rFonts w:ascii="Arial"/>
                <w:b/>
                <w:sz w:val="20"/>
              </w:rPr>
            </w:pPr>
            <w:r>
              <w:rPr>
                <w:rFonts w:ascii="Arial"/>
                <w:b/>
                <w:spacing w:val="-5"/>
                <w:sz w:val="20"/>
              </w:rPr>
              <w:t>248</w:t>
            </w:r>
          </w:p>
        </w:tc>
        <w:tc>
          <w:tcPr>
            <w:tcW w:w="1725" w:type="dxa"/>
            <w:shd w:val="clear" w:color="auto" w:fill="BFBFBF"/>
          </w:tcPr>
          <w:p>
            <w:pPr>
              <w:pStyle w:val="TableParagraph"/>
              <w:spacing w:before="140"/>
              <w:ind w:left="235" w:right="226"/>
              <w:jc w:val="center"/>
              <w:rPr>
                <w:rFonts w:ascii="Arial"/>
                <w:b/>
                <w:sz w:val="20"/>
              </w:rPr>
            </w:pPr>
            <w:r>
              <w:rPr>
                <w:rFonts w:ascii="Arial"/>
                <w:b/>
                <w:spacing w:val="-5"/>
                <w:sz w:val="20"/>
              </w:rPr>
              <w:t>233</w:t>
            </w:r>
          </w:p>
        </w:tc>
        <w:tc>
          <w:tcPr>
            <w:tcW w:w="1682" w:type="dxa"/>
            <w:shd w:val="clear" w:color="auto" w:fill="BFBFBF"/>
          </w:tcPr>
          <w:p>
            <w:pPr>
              <w:pStyle w:val="TableParagraph"/>
              <w:spacing w:before="140"/>
              <w:ind w:left="9"/>
              <w:jc w:val="center"/>
              <w:rPr>
                <w:rFonts w:ascii="Arial"/>
                <w:b/>
                <w:sz w:val="20"/>
              </w:rPr>
            </w:pPr>
            <w:r>
              <w:rPr>
                <w:rFonts w:ascii="Arial"/>
                <w:b/>
                <w:sz w:val="20"/>
              </w:rPr>
              <w:t>5</w:t>
            </w:r>
          </w:p>
        </w:tc>
        <w:tc>
          <w:tcPr>
            <w:tcW w:w="1704" w:type="dxa"/>
            <w:shd w:val="clear" w:color="auto" w:fill="BFBFBF"/>
          </w:tcPr>
          <w:p>
            <w:pPr>
              <w:pStyle w:val="TableParagraph"/>
              <w:spacing w:before="140"/>
              <w:ind w:left="9"/>
              <w:jc w:val="center"/>
              <w:rPr>
                <w:rFonts w:ascii="Arial"/>
                <w:b/>
                <w:sz w:val="20"/>
              </w:rPr>
            </w:pPr>
            <w:r>
              <w:rPr>
                <w:rFonts w:ascii="Arial"/>
                <w:b/>
                <w:sz w:val="20"/>
              </w:rPr>
              <w:t>6</w:t>
            </w:r>
          </w:p>
        </w:tc>
        <w:tc>
          <w:tcPr>
            <w:tcW w:w="1700" w:type="dxa"/>
            <w:shd w:val="clear" w:color="auto" w:fill="BFBFBF"/>
          </w:tcPr>
          <w:p>
            <w:pPr>
              <w:pStyle w:val="TableParagraph"/>
              <w:spacing w:before="140"/>
              <w:ind w:left="9"/>
              <w:jc w:val="center"/>
              <w:rPr>
                <w:rFonts w:ascii="Arial"/>
                <w:b/>
                <w:sz w:val="20"/>
              </w:rPr>
            </w:pPr>
            <w:r>
              <w:rPr>
                <w:rFonts w:ascii="Arial"/>
                <w:b/>
                <w:sz w:val="20"/>
              </w:rPr>
              <w:t>4</w:t>
            </w:r>
          </w:p>
        </w:tc>
      </w:tr>
    </w:tbl>
    <w:p>
      <w:pPr>
        <w:pStyle w:val="BodyText"/>
        <w:rPr>
          <w:b/>
          <w:sz w:val="20"/>
        </w:rPr>
      </w:pPr>
    </w:p>
    <w:p>
      <w:pPr>
        <w:pStyle w:val="BodyText"/>
        <w:spacing w:before="1"/>
        <w:rPr>
          <w:b/>
          <w:sz w:val="16"/>
        </w:rPr>
      </w:pPr>
    </w:p>
    <w:p>
      <w:pPr>
        <w:pStyle w:val="ListParagraph"/>
        <w:numPr>
          <w:ilvl w:val="0"/>
          <w:numId w:val="40"/>
        </w:numPr>
        <w:tabs>
          <w:tab w:pos="1636" w:val="left" w:leader="none"/>
        </w:tabs>
        <w:spacing w:line="240" w:lineRule="auto" w:before="100" w:after="0"/>
        <w:ind w:left="1636" w:right="0" w:hanging="361"/>
        <w:jc w:val="left"/>
        <w:rPr>
          <w:b/>
          <w:sz w:val="22"/>
        </w:rPr>
      </w:pPr>
      <w:r>
        <w:rPr>
          <w:b/>
          <w:sz w:val="22"/>
        </w:rPr>
        <w:t>Overdue</w:t>
      </w:r>
      <w:r>
        <w:rPr>
          <w:b/>
          <w:spacing w:val="-8"/>
          <w:sz w:val="22"/>
        </w:rPr>
        <w:t> </w:t>
      </w:r>
      <w:r>
        <w:rPr>
          <w:b/>
          <w:spacing w:val="-2"/>
          <w:sz w:val="22"/>
        </w:rPr>
        <w:t>Recommendations</w:t>
      </w:r>
    </w:p>
    <w:p>
      <w:pPr>
        <w:pStyle w:val="BodyText"/>
        <w:rPr>
          <w:b/>
          <w:sz w:val="22"/>
        </w:rPr>
      </w:pPr>
    </w:p>
    <w:p>
      <w:pPr>
        <w:tabs>
          <w:tab w:pos="2139" w:val="left" w:leader="none"/>
          <w:tab w:pos="2730" w:val="left" w:leader="none"/>
          <w:tab w:pos="3268" w:val="left" w:leader="none"/>
          <w:tab w:pos="4398" w:val="left" w:leader="none"/>
          <w:tab w:pos="6605" w:val="left" w:leader="none"/>
          <w:tab w:pos="7059" w:val="left" w:leader="none"/>
          <w:tab w:pos="8281" w:val="left" w:leader="none"/>
          <w:tab w:pos="8902" w:val="left" w:leader="none"/>
          <w:tab w:pos="9857" w:val="left" w:leader="none"/>
          <w:tab w:pos="10301" w:val="left" w:leader="none"/>
        </w:tabs>
        <w:spacing w:before="0"/>
        <w:ind w:left="1275" w:right="1245" w:firstLine="0"/>
        <w:jc w:val="left"/>
        <w:rPr>
          <w:sz w:val="22"/>
        </w:rPr>
      </w:pPr>
      <w:r>
        <w:rPr>
          <w:spacing w:val="-2"/>
          <w:sz w:val="22"/>
        </w:rPr>
        <w:t>There</w:t>
      </w:r>
      <w:r>
        <w:rPr>
          <w:sz w:val="22"/>
        </w:rPr>
        <w:tab/>
      </w:r>
      <w:r>
        <w:rPr>
          <w:spacing w:val="-4"/>
          <w:sz w:val="22"/>
        </w:rPr>
        <w:t>are</w:t>
      </w:r>
      <w:r>
        <w:rPr>
          <w:sz w:val="22"/>
        </w:rPr>
        <w:tab/>
      </w:r>
      <w:r>
        <w:rPr>
          <w:spacing w:val="-4"/>
          <w:sz w:val="22"/>
        </w:rPr>
        <w:t>six</w:t>
      </w:r>
      <w:r>
        <w:rPr>
          <w:sz w:val="22"/>
        </w:rPr>
        <w:tab/>
      </w:r>
      <w:r>
        <w:rPr>
          <w:spacing w:val="-2"/>
          <w:sz w:val="22"/>
        </w:rPr>
        <w:t>overdue</w:t>
      </w:r>
      <w:r>
        <w:rPr>
          <w:sz w:val="22"/>
        </w:rPr>
        <w:tab/>
      </w:r>
      <w:r>
        <w:rPr>
          <w:spacing w:val="-2"/>
          <w:sz w:val="22"/>
        </w:rPr>
        <w:t>recommendations</w:t>
      </w:r>
      <w:r>
        <w:rPr>
          <w:sz w:val="22"/>
        </w:rPr>
        <w:tab/>
      </w:r>
      <w:r>
        <w:rPr>
          <w:spacing w:val="-6"/>
          <w:sz w:val="22"/>
        </w:rPr>
        <w:t>to</w:t>
      </w:r>
      <w:r>
        <w:rPr>
          <w:sz w:val="22"/>
        </w:rPr>
        <w:tab/>
      </w:r>
      <w:r>
        <w:rPr>
          <w:spacing w:val="-2"/>
          <w:sz w:val="22"/>
        </w:rPr>
        <w:t>report.</w:t>
      </w:r>
      <w:r>
        <w:rPr>
          <w:sz w:val="22"/>
        </w:rPr>
        <w:tab/>
      </w:r>
      <w:r>
        <w:rPr>
          <w:spacing w:val="-4"/>
          <w:sz w:val="22"/>
        </w:rPr>
        <w:t>Full</w:t>
      </w:r>
      <w:r>
        <w:rPr>
          <w:sz w:val="22"/>
        </w:rPr>
        <w:tab/>
      </w:r>
      <w:r>
        <w:rPr>
          <w:spacing w:val="-2"/>
          <w:sz w:val="22"/>
        </w:rPr>
        <w:t>details</w:t>
      </w:r>
      <w:r>
        <w:rPr>
          <w:sz w:val="22"/>
        </w:rPr>
        <w:tab/>
      </w:r>
      <w:r>
        <w:rPr>
          <w:spacing w:val="-6"/>
          <w:sz w:val="22"/>
        </w:rPr>
        <w:t>of</w:t>
      </w:r>
      <w:r>
        <w:rPr>
          <w:sz w:val="22"/>
        </w:rPr>
        <w:tab/>
      </w:r>
      <w:r>
        <w:rPr>
          <w:spacing w:val="-4"/>
          <w:sz w:val="22"/>
        </w:rPr>
        <w:t>the </w:t>
      </w:r>
      <w:r>
        <w:rPr>
          <w:sz w:val="22"/>
        </w:rPr>
        <w:t>recommendations are set out in Appendix A, but in summary these relate to:</w:t>
      </w:r>
    </w:p>
    <w:p>
      <w:pPr>
        <w:pStyle w:val="BodyText"/>
        <w:rPr>
          <w:sz w:val="22"/>
        </w:rPr>
      </w:pPr>
    </w:p>
    <w:p>
      <w:pPr>
        <w:pStyle w:val="ListParagraph"/>
        <w:numPr>
          <w:ilvl w:val="1"/>
          <w:numId w:val="40"/>
        </w:numPr>
        <w:tabs>
          <w:tab w:pos="1996" w:val="left" w:leader="none"/>
        </w:tabs>
        <w:spacing w:line="240" w:lineRule="auto" w:before="0" w:after="0"/>
        <w:ind w:left="1995" w:right="1243" w:hanging="360"/>
        <w:jc w:val="both"/>
        <w:rPr>
          <w:sz w:val="22"/>
        </w:rPr>
      </w:pPr>
      <w:r>
        <w:rPr>
          <w:b/>
          <w:sz w:val="22"/>
        </w:rPr>
        <w:t>Review of National Hosted NHS IT Systems. Oracle Financial Management System - IT Controls (Ref 1 &amp; 2) </w:t>
      </w:r>
      <w:r>
        <w:rPr>
          <w:sz w:val="22"/>
        </w:rPr>
        <w:t>- This covers two recommendations, but the same action is required to complete both. It relates to the implementation of management standard ISO 27001, where, although good progress has been made, delays have been noted due to supplier availability. Full accreditation should be achieved by the end of April and therefore an extension to the end of April 2023 is requested.</w:t>
      </w:r>
    </w:p>
    <w:p>
      <w:pPr>
        <w:pStyle w:val="BodyText"/>
        <w:spacing w:before="10"/>
        <w:rPr>
          <w:sz w:val="21"/>
        </w:rPr>
      </w:pPr>
    </w:p>
    <w:p>
      <w:pPr>
        <w:pStyle w:val="ListParagraph"/>
        <w:numPr>
          <w:ilvl w:val="1"/>
          <w:numId w:val="40"/>
        </w:numPr>
        <w:tabs>
          <w:tab w:pos="1996" w:val="left" w:leader="none"/>
        </w:tabs>
        <w:spacing w:line="240" w:lineRule="auto" w:before="0" w:after="0"/>
        <w:ind w:left="1995" w:right="1244" w:hanging="360"/>
        <w:jc w:val="both"/>
        <w:rPr>
          <w:sz w:val="22"/>
        </w:rPr>
      </w:pPr>
      <w:r>
        <w:rPr>
          <w:b/>
          <w:sz w:val="22"/>
        </w:rPr>
        <w:t>Review of Decarbonisation (Ref 12 – 15) – </w:t>
      </w:r>
      <w:r>
        <w:rPr>
          <w:sz w:val="22"/>
        </w:rPr>
        <w:t>This covers four separate recommendations but where the action is dependent upon recruitment of programme management resource to progress them. Unfortunately securing the right level of resource continues to be extremally challenging and therefore some actions have taken longer than anticipated.</w:t>
      </w:r>
      <w:r>
        <w:rPr>
          <w:spacing w:val="40"/>
          <w:sz w:val="22"/>
        </w:rPr>
        <w:t> </w:t>
      </w:r>
      <w:r>
        <w:rPr>
          <w:sz w:val="22"/>
        </w:rPr>
        <w:t>A recruitment exercise to recruit a dedicated programme lead and project manager is underway, and each advert will close on 16 January 2023. If both posts are successfully appointed to, candidates could be in post by mid-March. A revised completion date of 30 June 2023 is requested to complete all outstanding recommendations.</w:t>
      </w:r>
    </w:p>
    <w:p>
      <w:pPr>
        <w:spacing w:after="0" w:line="240" w:lineRule="auto"/>
        <w:jc w:val="both"/>
        <w:rPr>
          <w:sz w:val="22"/>
        </w:rPr>
        <w:sectPr>
          <w:footerReference w:type="default" r:id="rId203"/>
          <w:pgSz w:w="11910" w:h="16840"/>
          <w:pgMar w:footer="1044" w:header="0" w:top="1400" w:bottom="1240" w:left="0" w:right="0"/>
        </w:sectPr>
      </w:pPr>
    </w:p>
    <w:p>
      <w:pPr>
        <w:pStyle w:val="ListParagraph"/>
        <w:numPr>
          <w:ilvl w:val="0"/>
          <w:numId w:val="40"/>
        </w:numPr>
        <w:tabs>
          <w:tab w:pos="1588" w:val="left" w:leader="none"/>
        </w:tabs>
        <w:spacing w:line="240" w:lineRule="auto" w:before="75" w:after="0"/>
        <w:ind w:left="1587" w:right="0" w:hanging="313"/>
        <w:jc w:val="left"/>
        <w:rPr>
          <w:b/>
          <w:sz w:val="22"/>
        </w:rPr>
      </w:pPr>
      <w:r>
        <w:rPr>
          <w:b/>
          <w:sz w:val="22"/>
        </w:rPr>
        <w:t>REVISED</w:t>
      </w:r>
      <w:r>
        <w:rPr>
          <w:b/>
          <w:spacing w:val="-6"/>
          <w:sz w:val="22"/>
        </w:rPr>
        <w:t> </w:t>
      </w:r>
      <w:r>
        <w:rPr>
          <w:b/>
          <w:sz w:val="22"/>
        </w:rPr>
        <w:t>DEADLINES</w:t>
      </w:r>
      <w:r>
        <w:rPr>
          <w:b/>
          <w:spacing w:val="-4"/>
          <w:sz w:val="22"/>
        </w:rPr>
        <w:t> </w:t>
      </w:r>
      <w:r>
        <w:rPr>
          <w:b/>
          <w:sz w:val="22"/>
        </w:rPr>
        <w:t>FOR</w:t>
      </w:r>
      <w:r>
        <w:rPr>
          <w:b/>
          <w:spacing w:val="-4"/>
          <w:sz w:val="22"/>
        </w:rPr>
        <w:t> </w:t>
      </w:r>
      <w:r>
        <w:rPr>
          <w:b/>
          <w:spacing w:val="-2"/>
          <w:sz w:val="22"/>
        </w:rPr>
        <w:t>APPROVAL</w:t>
      </w:r>
    </w:p>
    <w:p>
      <w:pPr>
        <w:pStyle w:val="BodyText"/>
        <w:rPr>
          <w:b/>
          <w:sz w:val="22"/>
        </w:rPr>
      </w:pPr>
    </w:p>
    <w:p>
      <w:pPr>
        <w:spacing w:before="0"/>
        <w:ind w:left="1275" w:right="1245" w:firstLine="0"/>
        <w:jc w:val="both"/>
        <w:rPr>
          <w:sz w:val="22"/>
        </w:rPr>
      </w:pPr>
      <w:r>
        <w:rPr>
          <w:sz w:val="22"/>
        </w:rPr>
        <w:t>There are no existing recommendations which have previously had their completion date extended but the six recommendations referred to above will be in this category if approved by the Audit Committee.</w:t>
      </w:r>
    </w:p>
    <w:p>
      <w:pPr>
        <w:pStyle w:val="BodyText"/>
        <w:rPr>
          <w:sz w:val="22"/>
        </w:rPr>
      </w:pPr>
    </w:p>
    <w:p>
      <w:pPr>
        <w:pStyle w:val="ListParagraph"/>
        <w:numPr>
          <w:ilvl w:val="0"/>
          <w:numId w:val="40"/>
        </w:numPr>
        <w:tabs>
          <w:tab w:pos="1636" w:val="left" w:leader="none"/>
        </w:tabs>
        <w:spacing w:line="240" w:lineRule="auto" w:before="0" w:after="0"/>
        <w:ind w:left="1636" w:right="0" w:hanging="361"/>
        <w:jc w:val="left"/>
        <w:rPr>
          <w:b/>
          <w:sz w:val="22"/>
        </w:rPr>
      </w:pPr>
      <w:r>
        <w:rPr>
          <w:b/>
          <w:sz w:val="22"/>
        </w:rPr>
        <w:t>Dependant</w:t>
      </w:r>
      <w:r>
        <w:rPr>
          <w:b/>
          <w:spacing w:val="-5"/>
          <w:sz w:val="22"/>
        </w:rPr>
        <w:t> </w:t>
      </w:r>
      <w:r>
        <w:rPr>
          <w:b/>
          <w:sz w:val="22"/>
        </w:rPr>
        <w:t>on</w:t>
      </w:r>
      <w:r>
        <w:rPr>
          <w:b/>
          <w:spacing w:val="-2"/>
          <w:sz w:val="22"/>
        </w:rPr>
        <w:t> </w:t>
      </w:r>
      <w:r>
        <w:rPr>
          <w:b/>
          <w:sz w:val="22"/>
        </w:rPr>
        <w:t>Third</w:t>
      </w:r>
      <w:r>
        <w:rPr>
          <w:b/>
          <w:spacing w:val="-2"/>
          <w:sz w:val="22"/>
        </w:rPr>
        <w:t> </w:t>
      </w:r>
      <w:r>
        <w:rPr>
          <w:b/>
          <w:sz w:val="22"/>
        </w:rPr>
        <w:t>Party</w:t>
      </w:r>
      <w:r>
        <w:rPr>
          <w:b/>
          <w:spacing w:val="-1"/>
          <w:sz w:val="22"/>
        </w:rPr>
        <w:t> </w:t>
      </w:r>
      <w:r>
        <w:rPr>
          <w:b/>
          <w:spacing w:val="-2"/>
          <w:sz w:val="22"/>
        </w:rPr>
        <w:t>Organisations</w:t>
      </w:r>
    </w:p>
    <w:p>
      <w:pPr>
        <w:pStyle w:val="BodyText"/>
        <w:rPr>
          <w:b/>
          <w:sz w:val="22"/>
        </w:rPr>
      </w:pPr>
    </w:p>
    <w:p>
      <w:pPr>
        <w:spacing w:before="0"/>
        <w:ind w:left="1275" w:right="1243" w:firstLine="0"/>
        <w:jc w:val="both"/>
        <w:rPr>
          <w:sz w:val="22"/>
        </w:rPr>
      </w:pPr>
      <w:r>
        <w:rPr>
          <w:sz w:val="22"/>
        </w:rPr>
        <w:t>For recommendations where NWSSP are reliant on a third-party organisation to action the work needed, in order for NWSSP to fully implement, these should be escalated to the relevant contact and marked ‘dependant on third party organisations’ with the action taken clearly stated in the progress box. These also need to be followed up with the relevant third party and closed out on the tracker once implemented.</w:t>
      </w:r>
      <w:r>
        <w:rPr>
          <w:spacing w:val="40"/>
          <w:sz w:val="22"/>
        </w:rPr>
        <w:t> </w:t>
      </w:r>
      <w:r>
        <w:rPr>
          <w:sz w:val="22"/>
        </w:rPr>
        <w:t>There are four recommendations for NWSSP in this category.</w:t>
      </w:r>
    </w:p>
    <w:p>
      <w:pPr>
        <w:pStyle w:val="BodyText"/>
        <w:rPr>
          <w:sz w:val="22"/>
        </w:rPr>
      </w:pPr>
    </w:p>
    <w:p>
      <w:pPr>
        <w:pStyle w:val="ListParagraph"/>
        <w:numPr>
          <w:ilvl w:val="0"/>
          <w:numId w:val="40"/>
        </w:numPr>
        <w:tabs>
          <w:tab w:pos="1636" w:val="left" w:leader="none"/>
        </w:tabs>
        <w:spacing w:line="240" w:lineRule="auto" w:before="0" w:after="0"/>
        <w:ind w:left="1636" w:right="0" w:hanging="361"/>
        <w:jc w:val="left"/>
        <w:rPr>
          <w:b/>
          <w:sz w:val="22"/>
        </w:rPr>
      </w:pPr>
      <w:r>
        <w:rPr>
          <w:b/>
          <w:spacing w:val="-2"/>
          <w:sz w:val="22"/>
        </w:rPr>
        <w:t>RECOMMENDATIONS</w:t>
      </w:r>
    </w:p>
    <w:p>
      <w:pPr>
        <w:pStyle w:val="BodyText"/>
        <w:rPr>
          <w:b/>
          <w:sz w:val="22"/>
        </w:rPr>
      </w:pPr>
    </w:p>
    <w:p>
      <w:pPr>
        <w:spacing w:before="0"/>
        <w:ind w:left="1275" w:right="0" w:firstLine="0"/>
        <w:jc w:val="both"/>
        <w:rPr>
          <w:sz w:val="22"/>
        </w:rPr>
      </w:pPr>
      <w:r>
        <w:rPr>
          <w:sz w:val="22"/>
        </w:rPr>
        <w:t>The</w:t>
      </w:r>
      <w:r>
        <w:rPr>
          <w:spacing w:val="-5"/>
          <w:sz w:val="22"/>
        </w:rPr>
        <w:t> </w:t>
      </w:r>
      <w:r>
        <w:rPr>
          <w:sz w:val="22"/>
        </w:rPr>
        <w:t>Audit</w:t>
      </w:r>
      <w:r>
        <w:rPr>
          <w:spacing w:val="-2"/>
          <w:sz w:val="22"/>
        </w:rPr>
        <w:t> </w:t>
      </w:r>
      <w:r>
        <w:rPr>
          <w:sz w:val="22"/>
        </w:rPr>
        <w:t>Committee</w:t>
      </w:r>
      <w:r>
        <w:rPr>
          <w:spacing w:val="-2"/>
          <w:sz w:val="22"/>
        </w:rPr>
        <w:t> </w:t>
      </w:r>
      <w:r>
        <w:rPr>
          <w:sz w:val="22"/>
        </w:rPr>
        <w:t>is</w:t>
      </w:r>
      <w:r>
        <w:rPr>
          <w:spacing w:val="-3"/>
          <w:sz w:val="22"/>
        </w:rPr>
        <w:t> </w:t>
      </w:r>
      <w:r>
        <w:rPr>
          <w:sz w:val="22"/>
        </w:rPr>
        <w:t>asked</w:t>
      </w:r>
      <w:r>
        <w:rPr>
          <w:spacing w:val="-2"/>
          <w:sz w:val="22"/>
        </w:rPr>
        <w:t> </w:t>
      </w:r>
      <w:r>
        <w:rPr>
          <w:spacing w:val="-5"/>
          <w:sz w:val="22"/>
        </w:rPr>
        <w:t>to:</w:t>
      </w:r>
    </w:p>
    <w:p>
      <w:pPr>
        <w:pStyle w:val="BodyText"/>
        <w:spacing w:before="2"/>
        <w:rPr>
          <w:sz w:val="22"/>
        </w:rPr>
      </w:pPr>
    </w:p>
    <w:p>
      <w:pPr>
        <w:pStyle w:val="ListParagraph"/>
        <w:numPr>
          <w:ilvl w:val="1"/>
          <w:numId w:val="40"/>
        </w:numPr>
        <w:tabs>
          <w:tab w:pos="1995" w:val="left" w:leader="none"/>
          <w:tab w:pos="1996" w:val="left" w:leader="none"/>
          <w:tab w:pos="2928" w:val="left" w:leader="none"/>
          <w:tab w:pos="3545" w:val="left" w:leader="none"/>
          <w:tab w:pos="4482" w:val="left" w:leader="none"/>
          <w:tab w:pos="5610" w:val="left" w:leader="none"/>
          <w:tab w:pos="6279" w:val="left" w:leader="none"/>
          <w:tab w:pos="7495" w:val="left" w:leader="none"/>
          <w:tab w:pos="8370" w:val="left" w:leader="none"/>
          <w:tab w:pos="8851" w:val="left" w:leader="none"/>
          <w:tab w:pos="9598" w:val="left" w:leader="none"/>
        </w:tabs>
        <w:spacing w:line="237" w:lineRule="auto" w:before="0" w:after="0"/>
        <w:ind w:left="1995" w:right="1242" w:hanging="360"/>
        <w:jc w:val="left"/>
        <w:rPr>
          <w:sz w:val="22"/>
        </w:rPr>
      </w:pPr>
      <w:r>
        <w:rPr>
          <w:b/>
          <w:spacing w:val="-4"/>
          <w:sz w:val="22"/>
        </w:rPr>
        <w:t>NOTE</w:t>
      </w:r>
      <w:r>
        <w:rPr>
          <w:b/>
          <w:sz w:val="22"/>
        </w:rPr>
        <w:tab/>
      </w:r>
      <w:r>
        <w:rPr>
          <w:spacing w:val="-4"/>
          <w:sz w:val="22"/>
        </w:rPr>
        <w:t>the</w:t>
      </w:r>
      <w:r>
        <w:rPr>
          <w:sz w:val="22"/>
        </w:rPr>
        <w:tab/>
      </w:r>
      <w:r>
        <w:rPr>
          <w:spacing w:val="-2"/>
          <w:sz w:val="22"/>
        </w:rPr>
        <w:t>report</w:t>
      </w:r>
      <w:r>
        <w:rPr>
          <w:sz w:val="22"/>
        </w:rPr>
        <w:tab/>
      </w:r>
      <w:r>
        <w:rPr>
          <w:spacing w:val="-2"/>
          <w:sz w:val="22"/>
        </w:rPr>
        <w:t>findings</w:t>
      </w:r>
      <w:r>
        <w:rPr>
          <w:sz w:val="22"/>
        </w:rPr>
        <w:tab/>
      </w:r>
      <w:r>
        <w:rPr>
          <w:spacing w:val="-4"/>
          <w:sz w:val="22"/>
        </w:rPr>
        <w:t>and</w:t>
      </w:r>
      <w:r>
        <w:rPr>
          <w:sz w:val="22"/>
        </w:rPr>
        <w:tab/>
      </w:r>
      <w:r>
        <w:rPr>
          <w:spacing w:val="-2"/>
          <w:sz w:val="22"/>
        </w:rPr>
        <w:t>progress</w:t>
      </w:r>
      <w:r>
        <w:rPr>
          <w:sz w:val="22"/>
        </w:rPr>
        <w:tab/>
      </w:r>
      <w:r>
        <w:rPr>
          <w:spacing w:val="-4"/>
          <w:sz w:val="22"/>
        </w:rPr>
        <w:t>made</w:t>
      </w:r>
      <w:r>
        <w:rPr>
          <w:sz w:val="22"/>
        </w:rPr>
        <w:tab/>
      </w:r>
      <w:r>
        <w:rPr>
          <w:spacing w:val="-6"/>
          <w:sz w:val="22"/>
        </w:rPr>
        <w:t>to</w:t>
      </w:r>
      <w:r>
        <w:rPr>
          <w:sz w:val="22"/>
        </w:rPr>
        <w:tab/>
      </w:r>
      <w:r>
        <w:rPr>
          <w:spacing w:val="-4"/>
          <w:sz w:val="22"/>
        </w:rPr>
        <w:t>date</w:t>
      </w:r>
      <w:r>
        <w:rPr>
          <w:sz w:val="22"/>
        </w:rPr>
        <w:tab/>
      </w:r>
      <w:r>
        <w:rPr>
          <w:spacing w:val="-2"/>
          <w:sz w:val="22"/>
        </w:rPr>
        <w:t>regardin</w:t>
      </w:r>
      <w:r>
        <w:rPr>
          <w:spacing w:val="-2"/>
          <w:sz w:val="22"/>
        </w:rPr>
        <w:t>g</w:t>
      </w:r>
      <w:r>
        <w:rPr>
          <w:spacing w:val="-2"/>
          <w:sz w:val="22"/>
        </w:rPr>
        <w:t> </w:t>
      </w:r>
      <w:r>
        <w:rPr>
          <w:sz w:val="22"/>
        </w:rPr>
        <w:t>implementation of audit recommendations; and</w:t>
      </w:r>
    </w:p>
    <w:p>
      <w:pPr>
        <w:pStyle w:val="ListParagraph"/>
        <w:numPr>
          <w:ilvl w:val="1"/>
          <w:numId w:val="40"/>
        </w:numPr>
        <w:tabs>
          <w:tab w:pos="1995" w:val="left" w:leader="none"/>
          <w:tab w:pos="1996" w:val="left" w:leader="none"/>
          <w:tab w:pos="3245" w:val="left" w:leader="none"/>
          <w:tab w:pos="3844" w:val="left" w:leader="none"/>
          <w:tab w:pos="4982" w:val="left" w:leader="none"/>
          <w:tab w:pos="7199" w:val="left" w:leader="none"/>
          <w:tab w:pos="7850" w:val="left" w:leader="none"/>
          <w:tab w:pos="9260" w:val="left" w:leader="none"/>
          <w:tab w:pos="9860" w:val="left" w:leader="none"/>
        </w:tabs>
        <w:spacing w:line="237" w:lineRule="auto" w:before="3" w:after="0"/>
        <w:ind w:left="1995" w:right="1245" w:hanging="360"/>
        <w:jc w:val="left"/>
        <w:rPr>
          <w:sz w:val="22"/>
        </w:rPr>
      </w:pPr>
      <w:r>
        <w:rPr>
          <w:b/>
          <w:spacing w:val="-2"/>
          <w:sz w:val="22"/>
        </w:rPr>
        <w:t>REVIEW</w:t>
      </w:r>
      <w:r>
        <w:rPr>
          <w:b/>
          <w:sz w:val="22"/>
        </w:rPr>
        <w:tab/>
      </w:r>
      <w:r>
        <w:rPr>
          <w:spacing w:val="-4"/>
          <w:sz w:val="22"/>
        </w:rPr>
        <w:t>the</w:t>
      </w:r>
      <w:r>
        <w:rPr>
          <w:sz w:val="22"/>
        </w:rPr>
        <w:tab/>
      </w:r>
      <w:r>
        <w:rPr>
          <w:spacing w:val="-2"/>
          <w:sz w:val="22"/>
        </w:rPr>
        <w:t>overdue</w:t>
      </w:r>
      <w:r>
        <w:rPr>
          <w:sz w:val="22"/>
        </w:rPr>
        <w:tab/>
      </w:r>
      <w:r>
        <w:rPr>
          <w:spacing w:val="-2"/>
          <w:sz w:val="22"/>
        </w:rPr>
        <w:t>recommendations</w:t>
      </w:r>
      <w:r>
        <w:rPr>
          <w:sz w:val="22"/>
        </w:rPr>
        <w:tab/>
      </w:r>
      <w:r>
        <w:rPr>
          <w:spacing w:val="-4"/>
          <w:sz w:val="22"/>
        </w:rPr>
        <w:t>and</w:t>
      </w:r>
      <w:r>
        <w:rPr>
          <w:sz w:val="22"/>
        </w:rPr>
        <w:tab/>
      </w:r>
      <w:r>
        <w:rPr>
          <w:b/>
          <w:spacing w:val="-2"/>
          <w:sz w:val="22"/>
        </w:rPr>
        <w:t>APPROVE</w:t>
      </w:r>
      <w:r>
        <w:rPr>
          <w:b/>
          <w:sz w:val="22"/>
        </w:rPr>
        <w:tab/>
      </w:r>
      <w:r>
        <w:rPr>
          <w:spacing w:val="-4"/>
          <w:sz w:val="22"/>
        </w:rPr>
        <w:t>the</w:t>
      </w:r>
      <w:r>
        <w:rPr>
          <w:sz w:val="22"/>
        </w:rPr>
        <w:tab/>
      </w:r>
      <w:r>
        <w:rPr>
          <w:spacing w:val="-2"/>
          <w:sz w:val="22"/>
        </w:rPr>
        <w:t>revise</w:t>
      </w:r>
      <w:r>
        <w:rPr>
          <w:spacing w:val="-2"/>
          <w:sz w:val="22"/>
        </w:rPr>
        <w:t>d</w:t>
      </w:r>
      <w:r>
        <w:rPr>
          <w:spacing w:val="-2"/>
          <w:sz w:val="22"/>
        </w:rPr>
        <w:t> </w:t>
      </w:r>
      <w:r>
        <w:rPr>
          <w:sz w:val="22"/>
        </w:rPr>
        <w:t>deadlines, as set out within </w:t>
      </w:r>
      <w:r>
        <w:rPr>
          <w:b/>
          <w:sz w:val="22"/>
        </w:rPr>
        <w:t>Section 3 above and Appendix A</w:t>
      </w:r>
      <w:r>
        <w:rPr>
          <w:sz w:val="22"/>
        </w:rPr>
        <w:t>.</w:t>
      </w:r>
    </w:p>
    <w:p>
      <w:pPr>
        <w:spacing w:after="0" w:line="237" w:lineRule="auto"/>
        <w:jc w:val="left"/>
        <w:rPr>
          <w:sz w:val="22"/>
        </w:rPr>
        <w:sectPr>
          <w:footerReference w:type="default" r:id="rId204"/>
          <w:pgSz w:w="11910" w:h="16840"/>
          <w:pgMar w:footer="1044" w:header="0" w:top="900" w:bottom="1240" w:left="0" w:right="0"/>
        </w:sectPr>
      </w:pPr>
    </w:p>
    <w:p>
      <w:pPr>
        <w:pStyle w:val="BodyText"/>
        <w:rPr>
          <w:sz w:val="27"/>
        </w:rPr>
      </w:pPr>
    </w:p>
    <w:p>
      <w:pPr>
        <w:spacing w:before="101"/>
        <w:ind w:left="6573" w:right="6633" w:firstLine="0"/>
        <w:jc w:val="center"/>
        <w:rPr>
          <w:b/>
          <w:sz w:val="32"/>
        </w:rPr>
      </w:pPr>
      <w:r>
        <w:rPr/>
        <w:drawing>
          <wp:anchor distT="0" distB="0" distL="0" distR="0" allowOverlap="1" layoutInCell="1" locked="0" behindDoc="0" simplePos="0" relativeHeight="15853056">
            <wp:simplePos x="0" y="0"/>
            <wp:positionH relativeFrom="page">
              <wp:posOffset>598716</wp:posOffset>
            </wp:positionH>
            <wp:positionV relativeFrom="paragraph">
              <wp:posOffset>-208649</wp:posOffset>
            </wp:positionV>
            <wp:extent cx="2192182" cy="598715"/>
            <wp:effectExtent l="0" t="0" r="0" b="0"/>
            <wp:wrapNone/>
            <wp:docPr id="227" name="image105.png"/>
            <wp:cNvGraphicFramePr>
              <a:graphicFrameLocks noChangeAspect="1"/>
            </wp:cNvGraphicFramePr>
            <a:graphic>
              <a:graphicData uri="http://schemas.openxmlformats.org/drawingml/2006/picture">
                <pic:pic>
                  <pic:nvPicPr>
                    <pic:cNvPr id="228" name="image105.png"/>
                    <pic:cNvPicPr/>
                  </pic:nvPicPr>
                  <pic:blipFill>
                    <a:blip r:embed="rId206" cstate="print"/>
                    <a:stretch>
                      <a:fillRect/>
                    </a:stretch>
                  </pic:blipFill>
                  <pic:spPr>
                    <a:xfrm>
                      <a:off x="0" y="0"/>
                      <a:ext cx="2192182" cy="598715"/>
                    </a:xfrm>
                    <a:prstGeom prst="rect">
                      <a:avLst/>
                    </a:prstGeom>
                  </pic:spPr>
                </pic:pic>
              </a:graphicData>
            </a:graphic>
          </wp:anchor>
        </w:drawing>
      </w:r>
      <w:bookmarkStart w:name=" 6.5 11012023  Appendix A progress of re" w:id="71"/>
      <w:bookmarkEnd w:id="71"/>
      <w:r>
        <w:rPr/>
      </w:r>
      <w:r>
        <w:rPr>
          <w:b/>
          <w:sz w:val="32"/>
        </w:rPr>
        <w:t>APPENDIX</w:t>
      </w:r>
      <w:r>
        <w:rPr>
          <w:b/>
          <w:spacing w:val="-6"/>
          <w:sz w:val="32"/>
        </w:rPr>
        <w:t> </w:t>
      </w:r>
      <w:r>
        <w:rPr>
          <w:b/>
          <w:sz w:val="32"/>
        </w:rPr>
        <w:t>A</w:t>
      </w:r>
      <w:r>
        <w:rPr>
          <w:b/>
          <w:spacing w:val="-3"/>
          <w:sz w:val="32"/>
        </w:rPr>
        <w:t> </w:t>
      </w:r>
      <w:r>
        <w:rPr>
          <w:b/>
          <w:sz w:val="32"/>
        </w:rPr>
        <w:t>-</w:t>
      </w:r>
      <w:r>
        <w:rPr>
          <w:b/>
          <w:spacing w:val="-3"/>
          <w:sz w:val="32"/>
        </w:rPr>
        <w:t> </w:t>
      </w:r>
      <w:r>
        <w:rPr>
          <w:b/>
          <w:sz w:val="32"/>
        </w:rPr>
        <w:t>PROGRESS</w:t>
      </w:r>
      <w:r>
        <w:rPr>
          <w:b/>
          <w:spacing w:val="-3"/>
          <w:sz w:val="32"/>
        </w:rPr>
        <w:t> </w:t>
      </w:r>
      <w:r>
        <w:rPr>
          <w:b/>
          <w:sz w:val="32"/>
        </w:rPr>
        <w:t>OF</w:t>
      </w:r>
      <w:r>
        <w:rPr>
          <w:b/>
          <w:spacing w:val="-3"/>
          <w:sz w:val="32"/>
        </w:rPr>
        <w:t> </w:t>
      </w:r>
      <w:r>
        <w:rPr>
          <w:b/>
          <w:sz w:val="32"/>
        </w:rPr>
        <w:t>AUDIT</w:t>
      </w:r>
      <w:r>
        <w:rPr>
          <w:b/>
          <w:spacing w:val="-2"/>
          <w:sz w:val="32"/>
        </w:rPr>
        <w:t> RECOMMENDATIONS</w:t>
      </w:r>
    </w:p>
    <w:p>
      <w:pPr>
        <w:pStyle w:val="BodyText"/>
        <w:rPr>
          <w:b/>
          <w:sz w:val="20"/>
        </w:rPr>
      </w:pPr>
    </w:p>
    <w:p>
      <w:pPr>
        <w:pStyle w:val="BodyText"/>
        <w:spacing w:before="4"/>
        <w:rPr>
          <w:b/>
          <w:sz w:val="23"/>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42"/>
        <w:gridCol w:w="1851"/>
        <w:gridCol w:w="571"/>
        <w:gridCol w:w="4393"/>
        <w:gridCol w:w="565"/>
        <w:gridCol w:w="4398"/>
        <w:gridCol w:w="1130"/>
        <w:gridCol w:w="3863"/>
        <w:gridCol w:w="801"/>
        <w:gridCol w:w="1370"/>
        <w:gridCol w:w="3463"/>
      </w:tblGrid>
      <w:tr>
        <w:trPr>
          <w:trHeight w:val="1488" w:hRule="atLeast"/>
        </w:trPr>
        <w:tc>
          <w:tcPr>
            <w:tcW w:w="842" w:type="dxa"/>
            <w:shd w:val="clear" w:color="auto" w:fill="BFBFBF"/>
          </w:tcPr>
          <w:p>
            <w:pPr>
              <w:pStyle w:val="TableParagraph"/>
              <w:ind w:left="108"/>
              <w:rPr>
                <w:b/>
                <w:sz w:val="18"/>
              </w:rPr>
            </w:pPr>
            <w:r>
              <w:rPr>
                <w:b/>
                <w:spacing w:val="-5"/>
                <w:sz w:val="18"/>
              </w:rPr>
              <w:t>ID</w:t>
            </w:r>
          </w:p>
        </w:tc>
        <w:tc>
          <w:tcPr>
            <w:tcW w:w="1851" w:type="dxa"/>
            <w:shd w:val="clear" w:color="auto" w:fill="BFBFBF"/>
          </w:tcPr>
          <w:p>
            <w:pPr>
              <w:pStyle w:val="TableParagraph"/>
              <w:ind w:left="107" w:right="303"/>
              <w:rPr>
                <w:b/>
                <w:sz w:val="18"/>
              </w:rPr>
            </w:pPr>
            <w:r>
              <w:rPr>
                <w:b/>
                <w:sz w:val="18"/>
              </w:rPr>
              <w:t>Internal</w:t>
            </w:r>
            <w:r>
              <w:rPr>
                <w:b/>
                <w:spacing w:val="-16"/>
                <w:sz w:val="18"/>
              </w:rPr>
              <w:t> </w:t>
            </w:r>
            <w:r>
              <w:rPr>
                <w:b/>
                <w:sz w:val="18"/>
              </w:rPr>
              <w:t>Audit Report Ref Rec No / Ref</w:t>
            </w:r>
          </w:p>
          <w:p>
            <w:pPr>
              <w:pStyle w:val="TableParagraph"/>
              <w:ind w:left="107" w:right="184"/>
              <w:rPr>
                <w:b/>
                <w:sz w:val="18"/>
              </w:rPr>
            </w:pPr>
            <w:r>
              <w:rPr>
                <w:b/>
                <w:sz w:val="18"/>
              </w:rPr>
              <w:t>NWSSP</w:t>
            </w:r>
            <w:r>
              <w:rPr>
                <w:b/>
                <w:spacing w:val="-16"/>
                <w:sz w:val="18"/>
              </w:rPr>
              <w:t> </w:t>
            </w:r>
            <w:r>
              <w:rPr>
                <w:b/>
                <w:sz w:val="18"/>
              </w:rPr>
              <w:t>Service Report Title Report Year</w:t>
            </w:r>
          </w:p>
        </w:tc>
        <w:tc>
          <w:tcPr>
            <w:tcW w:w="571" w:type="dxa"/>
            <w:shd w:val="clear" w:color="auto" w:fill="BFBFBF"/>
            <w:textDirection w:val="tbRl"/>
          </w:tcPr>
          <w:p>
            <w:pPr>
              <w:pStyle w:val="TableParagraph"/>
              <w:spacing w:before="98"/>
              <w:ind w:left="113"/>
              <w:rPr>
                <w:b/>
                <w:sz w:val="18"/>
              </w:rPr>
            </w:pPr>
            <w:r>
              <w:rPr>
                <w:b/>
                <w:spacing w:val="-2"/>
                <w:sz w:val="18"/>
              </w:rPr>
              <w:t>Status</w:t>
            </w:r>
          </w:p>
        </w:tc>
        <w:tc>
          <w:tcPr>
            <w:tcW w:w="4393" w:type="dxa"/>
            <w:shd w:val="clear" w:color="auto" w:fill="BFBFBF"/>
          </w:tcPr>
          <w:p>
            <w:pPr>
              <w:pStyle w:val="TableParagraph"/>
              <w:ind w:left="107"/>
              <w:rPr>
                <w:b/>
                <w:sz w:val="18"/>
              </w:rPr>
            </w:pPr>
            <w:r>
              <w:rPr>
                <w:b/>
                <w:sz w:val="18"/>
              </w:rPr>
              <w:t>Issue </w:t>
            </w:r>
            <w:r>
              <w:rPr>
                <w:b/>
                <w:spacing w:val="-2"/>
                <w:sz w:val="18"/>
              </w:rPr>
              <w:t>Identified</w:t>
            </w:r>
          </w:p>
        </w:tc>
        <w:tc>
          <w:tcPr>
            <w:tcW w:w="565" w:type="dxa"/>
            <w:shd w:val="clear" w:color="auto" w:fill="BFBFBF"/>
            <w:textDirection w:val="tbRl"/>
          </w:tcPr>
          <w:p>
            <w:pPr>
              <w:pStyle w:val="TableParagraph"/>
              <w:spacing w:before="98"/>
              <w:ind w:left="113"/>
              <w:rPr>
                <w:b/>
                <w:sz w:val="18"/>
              </w:rPr>
            </w:pPr>
            <w:r>
              <w:rPr>
                <w:b/>
                <w:sz w:val="18"/>
              </w:rPr>
              <w:t>Risk</w:t>
            </w:r>
            <w:r>
              <w:rPr>
                <w:b/>
                <w:spacing w:val="-4"/>
                <w:sz w:val="18"/>
              </w:rPr>
              <w:t> </w:t>
            </w:r>
            <w:r>
              <w:rPr>
                <w:b/>
                <w:spacing w:val="-2"/>
                <w:sz w:val="18"/>
              </w:rPr>
              <w:t>Rating</w:t>
            </w:r>
          </w:p>
        </w:tc>
        <w:tc>
          <w:tcPr>
            <w:tcW w:w="4398" w:type="dxa"/>
            <w:shd w:val="clear" w:color="auto" w:fill="BFBFBF"/>
          </w:tcPr>
          <w:p>
            <w:pPr>
              <w:pStyle w:val="TableParagraph"/>
              <w:ind w:left="108"/>
              <w:rPr>
                <w:b/>
                <w:sz w:val="18"/>
              </w:rPr>
            </w:pPr>
            <w:r>
              <w:rPr>
                <w:b/>
                <w:spacing w:val="-2"/>
                <w:sz w:val="18"/>
              </w:rPr>
              <w:t>Recommendation</w:t>
            </w:r>
          </w:p>
        </w:tc>
        <w:tc>
          <w:tcPr>
            <w:tcW w:w="1130" w:type="dxa"/>
            <w:shd w:val="clear" w:color="auto" w:fill="BFBFBF"/>
            <w:textDirection w:val="tbRl"/>
          </w:tcPr>
          <w:p>
            <w:pPr>
              <w:pStyle w:val="TableParagraph"/>
              <w:spacing w:before="98"/>
              <w:ind w:left="113" w:right="118"/>
              <w:rPr>
                <w:b/>
                <w:sz w:val="18"/>
              </w:rPr>
            </w:pPr>
            <w:r>
              <w:rPr>
                <w:b/>
                <w:spacing w:val="-2"/>
                <w:sz w:val="18"/>
              </w:rPr>
              <w:t>Responsibili </w:t>
            </w:r>
            <w:r>
              <w:rPr>
                <w:b/>
                <w:sz w:val="18"/>
              </w:rPr>
              <w:t>ty</w:t>
            </w:r>
            <w:r>
              <w:rPr>
                <w:b/>
                <w:spacing w:val="-4"/>
                <w:sz w:val="18"/>
              </w:rPr>
              <w:t> </w:t>
            </w:r>
            <w:r>
              <w:rPr>
                <w:b/>
                <w:sz w:val="18"/>
              </w:rPr>
              <w:t>for </w:t>
            </w:r>
            <w:r>
              <w:rPr>
                <w:b/>
                <w:spacing w:val="-2"/>
                <w:sz w:val="18"/>
              </w:rPr>
              <w:t>Action</w:t>
            </w:r>
          </w:p>
        </w:tc>
        <w:tc>
          <w:tcPr>
            <w:tcW w:w="3863" w:type="dxa"/>
            <w:shd w:val="clear" w:color="auto" w:fill="BFBFBF"/>
          </w:tcPr>
          <w:p>
            <w:pPr>
              <w:pStyle w:val="TableParagraph"/>
              <w:ind w:left="108"/>
              <w:rPr>
                <w:b/>
                <w:sz w:val="18"/>
              </w:rPr>
            </w:pPr>
            <w:r>
              <w:rPr>
                <w:b/>
                <w:sz w:val="18"/>
              </w:rPr>
              <w:t>Management</w:t>
            </w:r>
            <w:r>
              <w:rPr>
                <w:b/>
                <w:spacing w:val="-2"/>
                <w:sz w:val="18"/>
              </w:rPr>
              <w:t> Response</w:t>
            </w:r>
          </w:p>
        </w:tc>
        <w:tc>
          <w:tcPr>
            <w:tcW w:w="801" w:type="dxa"/>
            <w:shd w:val="clear" w:color="auto" w:fill="BFBFBF"/>
            <w:textDirection w:val="tbRl"/>
          </w:tcPr>
          <w:p>
            <w:pPr>
              <w:pStyle w:val="TableParagraph"/>
              <w:spacing w:before="98"/>
              <w:ind w:left="113" w:right="485"/>
              <w:rPr>
                <w:b/>
                <w:sz w:val="18"/>
              </w:rPr>
            </w:pPr>
            <w:r>
              <w:rPr>
                <w:b/>
                <w:spacing w:val="-2"/>
                <w:sz w:val="18"/>
              </w:rPr>
              <w:t>Original Deadline</w:t>
            </w:r>
          </w:p>
        </w:tc>
        <w:tc>
          <w:tcPr>
            <w:tcW w:w="1370" w:type="dxa"/>
            <w:shd w:val="clear" w:color="auto" w:fill="BFBFBF"/>
            <w:textDirection w:val="tbRl"/>
          </w:tcPr>
          <w:p>
            <w:pPr>
              <w:pStyle w:val="TableParagraph"/>
              <w:spacing w:before="98"/>
              <w:ind w:left="113" w:right="485"/>
              <w:rPr>
                <w:b/>
                <w:sz w:val="18"/>
              </w:rPr>
            </w:pPr>
            <w:r>
              <w:rPr>
                <w:b/>
                <w:spacing w:val="-2"/>
                <w:sz w:val="18"/>
              </w:rPr>
              <w:t>Updated Deadline</w:t>
            </w:r>
          </w:p>
        </w:tc>
        <w:tc>
          <w:tcPr>
            <w:tcW w:w="3463" w:type="dxa"/>
            <w:shd w:val="clear" w:color="auto" w:fill="BFBFBF"/>
          </w:tcPr>
          <w:p>
            <w:pPr>
              <w:pStyle w:val="TableParagraph"/>
              <w:ind w:left="108"/>
              <w:rPr>
                <w:b/>
                <w:sz w:val="18"/>
              </w:rPr>
            </w:pPr>
            <w:r>
              <w:rPr>
                <w:b/>
                <w:sz w:val="18"/>
              </w:rPr>
              <w:t>Update</w:t>
            </w:r>
            <w:r>
              <w:rPr>
                <w:b/>
                <w:spacing w:val="-1"/>
                <w:sz w:val="18"/>
              </w:rPr>
              <w:t> </w:t>
            </w:r>
            <w:r>
              <w:rPr>
                <w:b/>
                <w:sz w:val="18"/>
              </w:rPr>
              <w:t>On Progress </w:t>
            </w:r>
            <w:r>
              <w:rPr>
                <w:b/>
                <w:spacing w:val="-4"/>
                <w:sz w:val="18"/>
              </w:rPr>
              <w:t>Made</w:t>
            </w:r>
          </w:p>
        </w:tc>
      </w:tr>
      <w:tr>
        <w:trPr>
          <w:trHeight w:val="556" w:hRule="atLeast"/>
        </w:trPr>
        <w:tc>
          <w:tcPr>
            <w:tcW w:w="23247" w:type="dxa"/>
            <w:gridSpan w:val="11"/>
            <w:shd w:val="clear" w:color="auto" w:fill="FBD5B5"/>
          </w:tcPr>
          <w:p>
            <w:pPr>
              <w:pStyle w:val="TableParagraph"/>
              <w:spacing w:before="169"/>
              <w:ind w:left="9671" w:right="9662"/>
              <w:jc w:val="center"/>
              <w:rPr>
                <w:b/>
                <w:sz w:val="18"/>
              </w:rPr>
            </w:pPr>
            <w:r>
              <w:rPr>
                <w:b/>
                <w:sz w:val="18"/>
              </w:rPr>
              <w:t>PROGRESS</w:t>
            </w:r>
            <w:r>
              <w:rPr>
                <w:b/>
                <w:spacing w:val="-2"/>
                <w:sz w:val="18"/>
              </w:rPr>
              <w:t> </w:t>
            </w:r>
            <w:r>
              <w:rPr>
                <w:b/>
                <w:sz w:val="18"/>
              </w:rPr>
              <w:t>WITH</w:t>
            </w:r>
            <w:r>
              <w:rPr>
                <w:b/>
                <w:spacing w:val="-2"/>
                <w:sz w:val="18"/>
              </w:rPr>
              <w:t> RECOMMENDATIONS</w:t>
            </w:r>
          </w:p>
        </w:tc>
      </w:tr>
      <w:tr>
        <w:trPr>
          <w:trHeight w:val="557" w:hRule="atLeast"/>
        </w:trPr>
        <w:tc>
          <w:tcPr>
            <w:tcW w:w="23247" w:type="dxa"/>
            <w:gridSpan w:val="11"/>
            <w:shd w:val="clear" w:color="auto" w:fill="BDD7EE"/>
          </w:tcPr>
          <w:p>
            <w:pPr>
              <w:pStyle w:val="TableParagraph"/>
              <w:ind w:left="108"/>
              <w:rPr>
                <w:b/>
                <w:sz w:val="18"/>
              </w:rPr>
            </w:pPr>
            <w:r>
              <w:rPr>
                <w:b/>
                <w:sz w:val="18"/>
              </w:rPr>
              <w:t>FINANCE</w:t>
            </w:r>
            <w:r>
              <w:rPr>
                <w:b/>
                <w:spacing w:val="-7"/>
                <w:sz w:val="18"/>
              </w:rPr>
              <w:t> </w:t>
            </w:r>
            <w:r>
              <w:rPr>
                <w:b/>
                <w:sz w:val="18"/>
              </w:rPr>
              <w:t>AND</w:t>
            </w:r>
            <w:r>
              <w:rPr>
                <w:b/>
                <w:spacing w:val="-4"/>
                <w:sz w:val="18"/>
              </w:rPr>
              <w:t> </w:t>
            </w:r>
            <w:r>
              <w:rPr>
                <w:b/>
                <w:sz w:val="18"/>
              </w:rPr>
              <w:t>CORPORATE</w:t>
            </w:r>
            <w:r>
              <w:rPr>
                <w:b/>
                <w:spacing w:val="-4"/>
                <w:sz w:val="18"/>
              </w:rPr>
              <w:t> </w:t>
            </w:r>
            <w:r>
              <w:rPr>
                <w:b/>
                <w:spacing w:val="-2"/>
                <w:sz w:val="18"/>
              </w:rPr>
              <w:t>SERVICES</w:t>
            </w:r>
          </w:p>
        </w:tc>
      </w:tr>
      <w:tr>
        <w:trPr>
          <w:trHeight w:val="267" w:hRule="atLeast"/>
        </w:trPr>
        <w:tc>
          <w:tcPr>
            <w:tcW w:w="23247" w:type="dxa"/>
            <w:gridSpan w:val="11"/>
            <w:shd w:val="clear" w:color="auto" w:fill="8DB3E2"/>
          </w:tcPr>
          <w:p>
            <w:pPr>
              <w:pStyle w:val="TableParagraph"/>
              <w:ind w:left="108"/>
              <w:rPr>
                <w:b/>
                <w:sz w:val="18"/>
              </w:rPr>
            </w:pPr>
            <w:r>
              <w:rPr>
                <w:b/>
                <w:sz w:val="18"/>
              </w:rPr>
              <w:t>Cyber </w:t>
            </w:r>
            <w:r>
              <w:rPr>
                <w:b/>
                <w:spacing w:val="-2"/>
                <w:sz w:val="18"/>
              </w:rPr>
              <w:t>Security</w:t>
            </w:r>
          </w:p>
        </w:tc>
      </w:tr>
      <w:tr>
        <w:trPr>
          <w:trHeight w:val="645" w:hRule="atLeast"/>
        </w:trPr>
        <w:tc>
          <w:tcPr>
            <w:tcW w:w="23247" w:type="dxa"/>
            <w:gridSpan w:val="11"/>
            <w:shd w:val="clear" w:color="auto" w:fill="8DB3E2"/>
          </w:tcPr>
          <w:p>
            <w:pPr>
              <w:pStyle w:val="TableParagraph"/>
              <w:ind w:left="108"/>
              <w:rPr>
                <w:b/>
                <w:sz w:val="18"/>
              </w:rPr>
            </w:pPr>
            <w:r>
              <w:rPr>
                <w:b/>
                <w:spacing w:val="-4"/>
                <w:sz w:val="18"/>
              </w:rPr>
              <w:t>CTES</w:t>
            </w:r>
          </w:p>
        </w:tc>
      </w:tr>
      <w:tr>
        <w:trPr>
          <w:trHeight w:val="2745" w:hRule="atLeast"/>
        </w:trPr>
        <w:tc>
          <w:tcPr>
            <w:tcW w:w="842" w:type="dxa"/>
            <w:tcBorders>
              <w:bottom w:val="nil"/>
            </w:tcBorders>
          </w:tcPr>
          <w:p>
            <w:pPr>
              <w:pStyle w:val="TableParagraph"/>
              <w:ind w:left="108"/>
              <w:rPr>
                <w:sz w:val="18"/>
              </w:rPr>
            </w:pPr>
            <w:r>
              <w:rPr>
                <w:spacing w:val="-5"/>
                <w:sz w:val="18"/>
              </w:rPr>
              <w:t>1.</w:t>
            </w:r>
          </w:p>
        </w:tc>
        <w:tc>
          <w:tcPr>
            <w:tcW w:w="1851" w:type="dxa"/>
            <w:tcBorders>
              <w:bottom w:val="nil"/>
            </w:tcBorders>
          </w:tcPr>
          <w:p>
            <w:pPr>
              <w:pStyle w:val="TableParagraph"/>
              <w:ind w:left="107" w:right="184"/>
              <w:rPr>
                <w:sz w:val="18"/>
              </w:rPr>
            </w:pPr>
            <w:r>
              <w:rPr>
                <w:sz w:val="18"/>
              </w:rPr>
              <w:t>Review of National Hosted NHS</w:t>
            </w:r>
            <w:r>
              <w:rPr>
                <w:spacing w:val="-16"/>
                <w:sz w:val="18"/>
              </w:rPr>
              <w:t> </w:t>
            </w:r>
            <w:r>
              <w:rPr>
                <w:sz w:val="18"/>
              </w:rPr>
              <w:t>IT</w:t>
            </w:r>
            <w:r>
              <w:rPr>
                <w:spacing w:val="-16"/>
                <w:sz w:val="18"/>
              </w:rPr>
              <w:t> </w:t>
            </w:r>
            <w:r>
              <w:rPr>
                <w:sz w:val="18"/>
              </w:rPr>
              <w:t>Systems. Oracle Financial </w:t>
            </w:r>
            <w:r>
              <w:rPr>
                <w:spacing w:val="-2"/>
                <w:sz w:val="18"/>
              </w:rPr>
              <w:t>Management </w:t>
            </w:r>
            <w:r>
              <w:rPr>
                <w:sz w:val="18"/>
              </w:rPr>
              <w:t>System - IT </w:t>
            </w:r>
            <w:r>
              <w:rPr>
                <w:spacing w:val="-2"/>
                <w:sz w:val="18"/>
              </w:rPr>
              <w:t>Controls.</w:t>
            </w:r>
          </w:p>
          <w:p>
            <w:pPr>
              <w:pStyle w:val="TableParagraph"/>
              <w:spacing w:before="12"/>
              <w:rPr>
                <w:b/>
                <w:sz w:val="17"/>
              </w:rPr>
            </w:pPr>
          </w:p>
          <w:p>
            <w:pPr>
              <w:pStyle w:val="TableParagraph"/>
              <w:ind w:left="107"/>
              <w:rPr>
                <w:sz w:val="18"/>
              </w:rPr>
            </w:pPr>
            <w:r>
              <w:rPr>
                <w:spacing w:val="-2"/>
                <w:sz w:val="18"/>
              </w:rPr>
              <w:t>AW/2021-</w:t>
            </w:r>
            <w:r>
              <w:rPr>
                <w:spacing w:val="-4"/>
                <w:sz w:val="18"/>
              </w:rPr>
              <w:t>22/2</w:t>
            </w:r>
          </w:p>
        </w:tc>
        <w:tc>
          <w:tcPr>
            <w:tcW w:w="571" w:type="dxa"/>
            <w:vMerge w:val="restart"/>
            <w:shd w:val="clear" w:color="auto" w:fill="FF0000"/>
            <w:textDirection w:val="tbRl"/>
          </w:tcPr>
          <w:p>
            <w:pPr>
              <w:pStyle w:val="TableParagraph"/>
              <w:spacing w:before="98"/>
              <w:ind w:left="113" w:right="1232"/>
              <w:rPr>
                <w:b/>
                <w:sz w:val="18"/>
              </w:rPr>
            </w:pPr>
            <w:r>
              <w:rPr>
                <w:b/>
                <w:sz w:val="18"/>
              </w:rPr>
              <w:t>OVERDUE-</w:t>
            </w:r>
            <w:r>
              <w:rPr>
                <w:b/>
                <w:spacing w:val="-16"/>
                <w:sz w:val="18"/>
              </w:rPr>
              <w:t> </w:t>
            </w:r>
            <w:r>
              <w:rPr>
                <w:b/>
                <w:sz w:val="18"/>
              </w:rPr>
              <w:t>EXTENTION </w:t>
            </w:r>
            <w:r>
              <w:rPr>
                <w:b/>
                <w:spacing w:val="-2"/>
                <w:sz w:val="18"/>
              </w:rPr>
              <w:t>REQUESTED</w:t>
            </w:r>
          </w:p>
        </w:tc>
        <w:tc>
          <w:tcPr>
            <w:tcW w:w="4393" w:type="dxa"/>
            <w:tcBorders>
              <w:bottom w:val="nil"/>
            </w:tcBorders>
          </w:tcPr>
          <w:p>
            <w:pPr>
              <w:pStyle w:val="TableParagraph"/>
              <w:ind w:left="107" w:right="116"/>
              <w:rPr>
                <w:sz w:val="18"/>
              </w:rPr>
            </w:pPr>
            <w:r>
              <w:rPr>
                <w:sz w:val="18"/>
              </w:rPr>
              <w:t>Raised</w:t>
            </w:r>
            <w:r>
              <w:rPr>
                <w:spacing w:val="-4"/>
                <w:sz w:val="18"/>
              </w:rPr>
              <w:t> </w:t>
            </w:r>
            <w:r>
              <w:rPr>
                <w:sz w:val="18"/>
              </w:rPr>
              <w:t>in</w:t>
            </w:r>
            <w:r>
              <w:rPr>
                <w:spacing w:val="-4"/>
                <w:sz w:val="18"/>
              </w:rPr>
              <w:t> </w:t>
            </w:r>
            <w:r>
              <w:rPr>
                <w:sz w:val="18"/>
              </w:rPr>
              <w:t>2020-21</w:t>
            </w:r>
            <w:r>
              <w:rPr>
                <w:spacing w:val="-3"/>
                <w:sz w:val="18"/>
              </w:rPr>
              <w:t> </w:t>
            </w:r>
            <w:r>
              <w:rPr>
                <w:sz w:val="18"/>
              </w:rPr>
              <w:t>CTES</w:t>
            </w:r>
            <w:r>
              <w:rPr>
                <w:spacing w:val="-4"/>
                <w:sz w:val="18"/>
              </w:rPr>
              <w:t> </w:t>
            </w:r>
            <w:r>
              <w:rPr>
                <w:sz w:val="18"/>
              </w:rPr>
              <w:t>has</w:t>
            </w:r>
            <w:r>
              <w:rPr>
                <w:spacing w:val="-4"/>
                <w:sz w:val="18"/>
              </w:rPr>
              <w:t> </w:t>
            </w:r>
            <w:r>
              <w:rPr>
                <w:sz w:val="18"/>
              </w:rPr>
              <w:t>completed</w:t>
            </w:r>
            <w:r>
              <w:rPr>
                <w:spacing w:val="-3"/>
                <w:sz w:val="18"/>
              </w:rPr>
              <w:t> </w:t>
            </w:r>
            <w:r>
              <w:rPr>
                <w:sz w:val="18"/>
              </w:rPr>
              <w:t>and</w:t>
            </w:r>
            <w:r>
              <w:rPr>
                <w:spacing w:val="-3"/>
                <w:sz w:val="18"/>
              </w:rPr>
              <w:t> </w:t>
            </w:r>
            <w:r>
              <w:rPr>
                <w:sz w:val="18"/>
              </w:rPr>
              <w:t>a gap</w:t>
            </w:r>
            <w:r>
              <w:rPr>
                <w:spacing w:val="-6"/>
                <w:sz w:val="18"/>
              </w:rPr>
              <w:t> </w:t>
            </w:r>
            <w:r>
              <w:rPr>
                <w:sz w:val="18"/>
              </w:rPr>
              <w:t>analysis</w:t>
            </w:r>
            <w:r>
              <w:rPr>
                <w:spacing w:val="-6"/>
                <w:sz w:val="18"/>
              </w:rPr>
              <w:t> </w:t>
            </w:r>
            <w:r>
              <w:rPr>
                <w:sz w:val="18"/>
              </w:rPr>
              <w:t>assessment</w:t>
            </w:r>
            <w:r>
              <w:rPr>
                <w:spacing w:val="-5"/>
                <w:sz w:val="18"/>
              </w:rPr>
              <w:t> </w:t>
            </w:r>
            <w:r>
              <w:rPr>
                <w:sz w:val="18"/>
              </w:rPr>
              <w:t>of</w:t>
            </w:r>
            <w:r>
              <w:rPr>
                <w:spacing w:val="-6"/>
                <w:sz w:val="18"/>
              </w:rPr>
              <w:t> </w:t>
            </w:r>
            <w:r>
              <w:rPr>
                <w:sz w:val="18"/>
              </w:rPr>
              <w:t>the</w:t>
            </w:r>
            <w:r>
              <w:rPr>
                <w:spacing w:val="-6"/>
                <w:sz w:val="18"/>
              </w:rPr>
              <w:t> </w:t>
            </w:r>
            <w:r>
              <w:rPr>
                <w:sz w:val="18"/>
              </w:rPr>
              <w:t>Oracle</w:t>
            </w:r>
            <w:r>
              <w:rPr>
                <w:spacing w:val="-5"/>
                <w:sz w:val="18"/>
              </w:rPr>
              <w:t> </w:t>
            </w:r>
            <w:r>
              <w:rPr>
                <w:sz w:val="18"/>
              </w:rPr>
              <w:t>FMS</w:t>
            </w:r>
            <w:r>
              <w:rPr>
                <w:spacing w:val="-6"/>
                <w:sz w:val="18"/>
              </w:rPr>
              <w:t> </w:t>
            </w:r>
            <w:r>
              <w:rPr>
                <w:sz w:val="18"/>
              </w:rPr>
              <w:t>to the Information Security Management Standard (ISO 27001) to identify potential improvement areas.</w:t>
            </w:r>
            <w:r>
              <w:rPr>
                <w:spacing w:val="80"/>
                <w:sz w:val="18"/>
              </w:rPr>
              <w:t> </w:t>
            </w:r>
            <w:r>
              <w:rPr>
                <w:sz w:val="18"/>
              </w:rPr>
              <w:t>The outcome will be a set of recommendations for implementation during 2021-22. It is good security management practice to assess and baseline a comparison to the ISO 27001 standard.</w:t>
            </w:r>
          </w:p>
        </w:tc>
        <w:tc>
          <w:tcPr>
            <w:tcW w:w="565" w:type="dxa"/>
            <w:vMerge w:val="restart"/>
            <w:shd w:val="clear" w:color="auto" w:fill="FFC000"/>
            <w:textDirection w:val="tbRl"/>
          </w:tcPr>
          <w:p>
            <w:pPr>
              <w:pStyle w:val="TableParagraph"/>
              <w:spacing w:before="98"/>
              <w:ind w:left="113"/>
              <w:rPr>
                <w:b/>
                <w:sz w:val="18"/>
              </w:rPr>
            </w:pPr>
            <w:r>
              <w:rPr>
                <w:b/>
                <w:spacing w:val="-2"/>
                <w:sz w:val="18"/>
              </w:rPr>
              <w:t>Medium</w:t>
            </w:r>
          </w:p>
        </w:tc>
        <w:tc>
          <w:tcPr>
            <w:tcW w:w="4398" w:type="dxa"/>
            <w:tcBorders>
              <w:bottom w:val="nil"/>
            </w:tcBorders>
          </w:tcPr>
          <w:p>
            <w:pPr>
              <w:pStyle w:val="TableParagraph"/>
              <w:spacing w:line="276" w:lineRule="auto"/>
              <w:ind w:left="108" w:right="55"/>
              <w:rPr>
                <w:sz w:val="18"/>
              </w:rPr>
            </w:pPr>
            <w:r>
              <w:rPr>
                <w:sz w:val="18"/>
              </w:rPr>
              <w:t>Complete</w:t>
            </w:r>
            <w:r>
              <w:rPr>
                <w:spacing w:val="-9"/>
                <w:sz w:val="18"/>
              </w:rPr>
              <w:t> </w:t>
            </w:r>
            <w:r>
              <w:rPr>
                <w:sz w:val="18"/>
              </w:rPr>
              <w:t>the</w:t>
            </w:r>
            <w:r>
              <w:rPr>
                <w:spacing w:val="-9"/>
                <w:sz w:val="18"/>
              </w:rPr>
              <w:t> </w:t>
            </w:r>
            <w:r>
              <w:rPr>
                <w:sz w:val="18"/>
              </w:rPr>
              <w:t>accreditation</w:t>
            </w:r>
            <w:r>
              <w:rPr>
                <w:spacing w:val="-9"/>
                <w:sz w:val="18"/>
              </w:rPr>
              <w:t> </w:t>
            </w:r>
            <w:r>
              <w:rPr>
                <w:sz w:val="18"/>
              </w:rPr>
              <w:t>to</w:t>
            </w:r>
            <w:r>
              <w:rPr>
                <w:spacing w:val="-8"/>
                <w:sz w:val="18"/>
              </w:rPr>
              <w:t> </w:t>
            </w:r>
            <w:r>
              <w:rPr>
                <w:sz w:val="18"/>
              </w:rPr>
              <w:t>the</w:t>
            </w:r>
            <w:r>
              <w:rPr>
                <w:spacing w:val="-9"/>
                <w:sz w:val="18"/>
              </w:rPr>
              <w:t> </w:t>
            </w:r>
            <w:r>
              <w:rPr>
                <w:sz w:val="18"/>
              </w:rPr>
              <w:t>Information Security Management Standard (ISO 27001) to identify potential improvement areas.</w:t>
            </w:r>
          </w:p>
        </w:tc>
        <w:tc>
          <w:tcPr>
            <w:tcW w:w="1130" w:type="dxa"/>
            <w:vMerge w:val="restart"/>
            <w:textDirection w:val="tbRl"/>
          </w:tcPr>
          <w:p>
            <w:pPr>
              <w:pStyle w:val="TableParagraph"/>
              <w:spacing w:before="98"/>
              <w:rPr>
                <w:sz w:val="18"/>
              </w:rPr>
            </w:pPr>
            <w:r>
              <w:rPr>
                <w:sz w:val="18"/>
              </w:rPr>
              <w:t>Stuart</w:t>
            </w:r>
            <w:r>
              <w:rPr>
                <w:spacing w:val="-2"/>
                <w:sz w:val="18"/>
              </w:rPr>
              <w:t> </w:t>
            </w:r>
            <w:r>
              <w:rPr>
                <w:sz w:val="18"/>
              </w:rPr>
              <w:t>Fraser-</w:t>
            </w:r>
            <w:r>
              <w:rPr>
                <w:spacing w:val="-2"/>
                <w:sz w:val="18"/>
              </w:rPr>
              <w:t> </w:t>
            </w:r>
            <w:r>
              <w:rPr>
                <w:sz w:val="18"/>
              </w:rPr>
              <w:t>Head,</w:t>
            </w:r>
            <w:r>
              <w:rPr>
                <w:spacing w:val="-2"/>
                <w:sz w:val="18"/>
              </w:rPr>
              <w:t> </w:t>
            </w:r>
            <w:r>
              <w:rPr>
                <w:spacing w:val="-4"/>
                <w:sz w:val="18"/>
              </w:rPr>
              <w:t>CTeS</w:t>
            </w:r>
          </w:p>
        </w:tc>
        <w:tc>
          <w:tcPr>
            <w:tcW w:w="3863" w:type="dxa"/>
            <w:tcBorders>
              <w:bottom w:val="nil"/>
            </w:tcBorders>
          </w:tcPr>
          <w:p>
            <w:pPr>
              <w:pStyle w:val="TableParagraph"/>
              <w:ind w:left="108"/>
              <w:rPr>
                <w:sz w:val="18"/>
              </w:rPr>
            </w:pPr>
            <w:r>
              <w:rPr>
                <w:sz w:val="18"/>
              </w:rPr>
              <w:t>It was agreed by the All Wales Oracle (STRAD) Board in</w:t>
            </w:r>
            <w:r>
              <w:rPr>
                <w:spacing w:val="-1"/>
                <w:sz w:val="18"/>
              </w:rPr>
              <w:t> </w:t>
            </w:r>
            <w:r>
              <w:rPr>
                <w:sz w:val="18"/>
              </w:rPr>
              <w:t>2021 that this should be</w:t>
            </w:r>
            <w:r>
              <w:rPr>
                <w:spacing w:val="-7"/>
                <w:sz w:val="18"/>
              </w:rPr>
              <w:t> </w:t>
            </w:r>
            <w:r>
              <w:rPr>
                <w:sz w:val="18"/>
              </w:rPr>
              <w:t>deferred</w:t>
            </w:r>
            <w:r>
              <w:rPr>
                <w:spacing w:val="-7"/>
                <w:sz w:val="18"/>
              </w:rPr>
              <w:t> </w:t>
            </w:r>
            <w:r>
              <w:rPr>
                <w:sz w:val="18"/>
              </w:rPr>
              <w:t>due</w:t>
            </w:r>
            <w:r>
              <w:rPr>
                <w:spacing w:val="-7"/>
                <w:sz w:val="18"/>
              </w:rPr>
              <w:t> </w:t>
            </w:r>
            <w:r>
              <w:rPr>
                <w:sz w:val="18"/>
              </w:rPr>
              <w:t>to</w:t>
            </w:r>
            <w:r>
              <w:rPr>
                <w:spacing w:val="-6"/>
                <w:sz w:val="18"/>
              </w:rPr>
              <w:t> </w:t>
            </w:r>
            <w:r>
              <w:rPr>
                <w:sz w:val="18"/>
              </w:rPr>
              <w:t>high</w:t>
            </w:r>
            <w:r>
              <w:rPr>
                <w:spacing w:val="-6"/>
                <w:sz w:val="18"/>
              </w:rPr>
              <w:t> </w:t>
            </w:r>
            <w:r>
              <w:rPr>
                <w:sz w:val="18"/>
              </w:rPr>
              <w:t>priority</w:t>
            </w:r>
            <w:r>
              <w:rPr>
                <w:spacing w:val="-7"/>
                <w:sz w:val="18"/>
              </w:rPr>
              <w:t> </w:t>
            </w:r>
            <w:r>
              <w:rPr>
                <w:sz w:val="18"/>
              </w:rPr>
              <w:t>projects and in particular the requirement to complete the major Oracle system upgrade and that we will seek to obtain accreditation by 31 December 2022. A dedicated project manager has been appointed to progress this action and good progress is now being made, with gap analysis underway and outcomes </w:t>
            </w:r>
            <w:r>
              <w:rPr>
                <w:spacing w:val="-2"/>
                <w:sz w:val="18"/>
              </w:rPr>
              <w:t>recorded.</w:t>
            </w:r>
          </w:p>
        </w:tc>
        <w:tc>
          <w:tcPr>
            <w:tcW w:w="801" w:type="dxa"/>
            <w:vMerge w:val="restart"/>
            <w:textDirection w:val="tbRl"/>
          </w:tcPr>
          <w:p>
            <w:pPr>
              <w:pStyle w:val="TableParagraph"/>
              <w:spacing w:before="98"/>
              <w:rPr>
                <w:b/>
                <w:sz w:val="18"/>
              </w:rPr>
            </w:pPr>
            <w:r>
              <w:rPr>
                <w:b/>
                <w:spacing w:val="-2"/>
                <w:sz w:val="18"/>
              </w:rPr>
              <w:t>31/12/2022</w:t>
            </w:r>
          </w:p>
        </w:tc>
        <w:tc>
          <w:tcPr>
            <w:tcW w:w="1370" w:type="dxa"/>
            <w:vMerge w:val="restart"/>
            <w:textDirection w:val="tbRl"/>
          </w:tcPr>
          <w:p>
            <w:pPr>
              <w:pStyle w:val="TableParagraph"/>
              <w:spacing w:before="98"/>
              <w:ind w:left="113"/>
              <w:rPr>
                <w:b/>
                <w:sz w:val="18"/>
              </w:rPr>
            </w:pPr>
            <w:r>
              <w:rPr>
                <w:b/>
                <w:spacing w:val="-2"/>
                <w:sz w:val="18"/>
              </w:rPr>
              <w:t>30/04/2023</w:t>
            </w:r>
          </w:p>
        </w:tc>
        <w:tc>
          <w:tcPr>
            <w:tcW w:w="3463" w:type="dxa"/>
            <w:tcBorders>
              <w:bottom w:val="nil"/>
            </w:tcBorders>
          </w:tcPr>
          <w:p>
            <w:pPr>
              <w:pStyle w:val="TableParagraph"/>
              <w:spacing w:line="276" w:lineRule="auto"/>
              <w:ind w:left="108" w:right="81"/>
              <w:rPr>
                <w:sz w:val="18"/>
              </w:rPr>
            </w:pPr>
            <w:r>
              <w:rPr>
                <w:sz w:val="18"/>
              </w:rPr>
              <w:t>Good progress made and Tender awarded to BSI and dates agreed for the various phases, Gap analysis,</w:t>
            </w:r>
            <w:r>
              <w:rPr>
                <w:spacing w:val="-7"/>
                <w:sz w:val="18"/>
              </w:rPr>
              <w:t> </w:t>
            </w:r>
            <w:r>
              <w:rPr>
                <w:sz w:val="18"/>
              </w:rPr>
              <w:t>site</w:t>
            </w:r>
            <w:r>
              <w:rPr>
                <w:spacing w:val="-6"/>
                <w:sz w:val="18"/>
              </w:rPr>
              <w:t> </w:t>
            </w:r>
            <w:r>
              <w:rPr>
                <w:sz w:val="18"/>
              </w:rPr>
              <w:t>visit</w:t>
            </w:r>
            <w:r>
              <w:rPr>
                <w:spacing w:val="-6"/>
                <w:sz w:val="18"/>
              </w:rPr>
              <w:t> </w:t>
            </w:r>
            <w:r>
              <w:rPr>
                <w:sz w:val="18"/>
              </w:rPr>
              <w:t>review.</w:t>
            </w:r>
            <w:r>
              <w:rPr>
                <w:spacing w:val="40"/>
                <w:sz w:val="18"/>
              </w:rPr>
              <w:t> </w:t>
            </w:r>
            <w:r>
              <w:rPr>
                <w:sz w:val="18"/>
              </w:rPr>
              <w:t>Supplier availability is limited in the market for ISO.</w:t>
            </w:r>
            <w:r>
              <w:rPr>
                <w:spacing w:val="40"/>
                <w:sz w:val="18"/>
              </w:rPr>
              <w:t> </w:t>
            </w:r>
            <w:r>
              <w:rPr>
                <w:sz w:val="18"/>
              </w:rPr>
              <w:t>The IMTP has been updated</w:t>
            </w:r>
            <w:r>
              <w:rPr>
                <w:spacing w:val="-8"/>
                <w:sz w:val="18"/>
              </w:rPr>
              <w:t> </w:t>
            </w:r>
            <w:r>
              <w:rPr>
                <w:sz w:val="18"/>
              </w:rPr>
              <w:t>to</w:t>
            </w:r>
            <w:r>
              <w:rPr>
                <w:spacing w:val="-8"/>
                <w:sz w:val="18"/>
              </w:rPr>
              <w:t> </w:t>
            </w:r>
            <w:r>
              <w:rPr>
                <w:sz w:val="18"/>
              </w:rPr>
              <w:t>reflect</w:t>
            </w:r>
            <w:r>
              <w:rPr>
                <w:spacing w:val="-8"/>
                <w:sz w:val="18"/>
              </w:rPr>
              <w:t> </w:t>
            </w:r>
            <w:r>
              <w:rPr>
                <w:sz w:val="18"/>
              </w:rPr>
              <w:t>the</w:t>
            </w:r>
            <w:r>
              <w:rPr>
                <w:spacing w:val="-8"/>
                <w:sz w:val="18"/>
              </w:rPr>
              <w:t> </w:t>
            </w:r>
            <w:r>
              <w:rPr>
                <w:sz w:val="18"/>
              </w:rPr>
              <w:t>situation</w:t>
            </w:r>
            <w:r>
              <w:rPr>
                <w:spacing w:val="-8"/>
                <w:sz w:val="18"/>
              </w:rPr>
              <w:t> </w:t>
            </w:r>
            <w:r>
              <w:rPr>
                <w:sz w:val="18"/>
              </w:rPr>
              <w:t>and to</w:t>
            </w:r>
            <w:r>
              <w:rPr>
                <w:spacing w:val="-5"/>
                <w:sz w:val="18"/>
              </w:rPr>
              <w:t> </w:t>
            </w:r>
            <w:r>
              <w:rPr>
                <w:sz w:val="18"/>
              </w:rPr>
              <w:t>focus</w:t>
            </w:r>
            <w:r>
              <w:rPr>
                <w:spacing w:val="-6"/>
                <w:sz w:val="18"/>
              </w:rPr>
              <w:t> </w:t>
            </w:r>
            <w:r>
              <w:rPr>
                <w:sz w:val="18"/>
              </w:rPr>
              <w:t>on</w:t>
            </w:r>
            <w:r>
              <w:rPr>
                <w:spacing w:val="-5"/>
                <w:sz w:val="18"/>
              </w:rPr>
              <w:t> </w:t>
            </w:r>
            <w:r>
              <w:rPr>
                <w:sz w:val="18"/>
              </w:rPr>
              <w:t>ISO</w:t>
            </w:r>
            <w:r>
              <w:rPr>
                <w:spacing w:val="-5"/>
                <w:sz w:val="18"/>
              </w:rPr>
              <w:t> </w:t>
            </w:r>
            <w:r>
              <w:rPr>
                <w:sz w:val="18"/>
              </w:rPr>
              <w:t>20000</w:t>
            </w:r>
            <w:r>
              <w:rPr>
                <w:spacing w:val="-5"/>
                <w:sz w:val="18"/>
              </w:rPr>
              <w:t> </w:t>
            </w:r>
            <w:r>
              <w:rPr>
                <w:sz w:val="18"/>
              </w:rPr>
              <w:t>and</w:t>
            </w:r>
            <w:r>
              <w:rPr>
                <w:spacing w:val="-5"/>
                <w:sz w:val="18"/>
              </w:rPr>
              <w:t> </w:t>
            </w:r>
            <w:r>
              <w:rPr>
                <w:sz w:val="18"/>
              </w:rPr>
              <w:t>not</w:t>
            </w:r>
            <w:r>
              <w:rPr>
                <w:spacing w:val="-6"/>
                <w:sz w:val="18"/>
              </w:rPr>
              <w:t> </w:t>
            </w:r>
            <w:r>
              <w:rPr>
                <w:sz w:val="18"/>
              </w:rPr>
              <w:t>ISO 27001 until later in the year. Full accreditation of ISO 20000 should</w:t>
            </w:r>
          </w:p>
          <w:p>
            <w:pPr>
              <w:pStyle w:val="TableParagraph"/>
              <w:spacing w:line="210" w:lineRule="exact"/>
              <w:ind w:left="108"/>
              <w:rPr>
                <w:sz w:val="18"/>
              </w:rPr>
            </w:pPr>
            <w:r>
              <w:rPr>
                <w:sz w:val="18"/>
              </w:rPr>
              <w:t>be</w:t>
            </w:r>
            <w:r>
              <w:rPr>
                <w:spacing w:val="-2"/>
                <w:sz w:val="18"/>
              </w:rPr>
              <w:t> </w:t>
            </w:r>
            <w:r>
              <w:rPr>
                <w:sz w:val="18"/>
              </w:rPr>
              <w:t>achieved</w:t>
            </w:r>
            <w:r>
              <w:rPr>
                <w:spacing w:val="-1"/>
                <w:sz w:val="18"/>
              </w:rPr>
              <w:t> </w:t>
            </w:r>
            <w:r>
              <w:rPr>
                <w:sz w:val="18"/>
              </w:rPr>
              <w:t>by</w:t>
            </w:r>
            <w:r>
              <w:rPr>
                <w:spacing w:val="-2"/>
                <w:sz w:val="18"/>
              </w:rPr>
              <w:t> </w:t>
            </w:r>
            <w:r>
              <w:rPr>
                <w:sz w:val="18"/>
              </w:rPr>
              <w:t>April</w:t>
            </w:r>
            <w:r>
              <w:rPr>
                <w:spacing w:val="-1"/>
                <w:sz w:val="18"/>
              </w:rPr>
              <w:t> </w:t>
            </w:r>
            <w:r>
              <w:rPr>
                <w:sz w:val="18"/>
              </w:rPr>
              <w:t>2023. </w:t>
            </w:r>
            <w:r>
              <w:rPr>
                <w:spacing w:val="-2"/>
                <w:sz w:val="18"/>
              </w:rPr>
              <w:t>Audit</w:t>
            </w:r>
          </w:p>
        </w:tc>
      </w:tr>
      <w:tr>
        <w:trPr>
          <w:trHeight w:val="900" w:hRule="atLeast"/>
        </w:trPr>
        <w:tc>
          <w:tcPr>
            <w:tcW w:w="842" w:type="dxa"/>
            <w:tcBorders>
              <w:top w:val="nil"/>
            </w:tcBorders>
          </w:tcPr>
          <w:p>
            <w:pPr>
              <w:pStyle w:val="TableParagraph"/>
              <w:rPr>
                <w:rFonts w:ascii="Times New Roman"/>
                <w:sz w:val="18"/>
              </w:rPr>
            </w:pPr>
          </w:p>
        </w:tc>
        <w:tc>
          <w:tcPr>
            <w:tcW w:w="1851" w:type="dxa"/>
            <w:tcBorders>
              <w:top w:val="nil"/>
            </w:tcBorders>
          </w:tcPr>
          <w:p>
            <w:pPr>
              <w:pStyle w:val="TableParagraph"/>
              <w:rPr>
                <w:rFonts w:ascii="Times New Roman"/>
                <w:sz w:val="18"/>
              </w:rPr>
            </w:pPr>
          </w:p>
        </w:tc>
        <w:tc>
          <w:tcPr>
            <w:tcW w:w="571" w:type="dxa"/>
            <w:vMerge/>
            <w:tcBorders>
              <w:top w:val="nil"/>
            </w:tcBorders>
            <w:shd w:val="clear" w:color="auto" w:fill="FF0000"/>
            <w:textDirection w:val="tbRl"/>
          </w:tcPr>
          <w:p>
            <w:pPr>
              <w:rPr>
                <w:sz w:val="2"/>
                <w:szCs w:val="2"/>
              </w:rPr>
            </w:pPr>
          </w:p>
        </w:tc>
        <w:tc>
          <w:tcPr>
            <w:tcW w:w="4393" w:type="dxa"/>
            <w:tcBorders>
              <w:top w:val="nil"/>
            </w:tcBorders>
          </w:tcPr>
          <w:p>
            <w:pPr>
              <w:pStyle w:val="TableParagraph"/>
              <w:rPr>
                <w:rFonts w:ascii="Times New Roman"/>
                <w:sz w:val="18"/>
              </w:rPr>
            </w:pPr>
          </w:p>
        </w:tc>
        <w:tc>
          <w:tcPr>
            <w:tcW w:w="565" w:type="dxa"/>
            <w:vMerge/>
            <w:tcBorders>
              <w:top w:val="nil"/>
            </w:tcBorders>
            <w:shd w:val="clear" w:color="auto" w:fill="FFC000"/>
            <w:textDirection w:val="tbRl"/>
          </w:tcPr>
          <w:p>
            <w:pPr>
              <w:rPr>
                <w:sz w:val="2"/>
                <w:szCs w:val="2"/>
              </w:rPr>
            </w:pPr>
          </w:p>
        </w:tc>
        <w:tc>
          <w:tcPr>
            <w:tcW w:w="4398" w:type="dxa"/>
            <w:tcBorders>
              <w:top w:val="nil"/>
            </w:tcBorders>
          </w:tcPr>
          <w:p>
            <w:pPr>
              <w:pStyle w:val="TableParagraph"/>
              <w:rPr>
                <w:rFonts w:ascii="Times New Roman"/>
                <w:sz w:val="18"/>
              </w:rPr>
            </w:pPr>
          </w:p>
        </w:tc>
        <w:tc>
          <w:tcPr>
            <w:tcW w:w="1130" w:type="dxa"/>
            <w:vMerge/>
            <w:tcBorders>
              <w:top w:val="nil"/>
            </w:tcBorders>
            <w:textDirection w:val="tbRl"/>
          </w:tcPr>
          <w:p>
            <w:pPr>
              <w:rPr>
                <w:sz w:val="2"/>
                <w:szCs w:val="2"/>
              </w:rPr>
            </w:pPr>
          </w:p>
        </w:tc>
        <w:tc>
          <w:tcPr>
            <w:tcW w:w="3863" w:type="dxa"/>
            <w:tcBorders>
              <w:top w:val="nil"/>
            </w:tcBorders>
          </w:tcPr>
          <w:p>
            <w:pPr>
              <w:pStyle w:val="TableParagraph"/>
              <w:rPr>
                <w:rFonts w:ascii="Times New Roman"/>
                <w:sz w:val="18"/>
              </w:rPr>
            </w:pPr>
          </w:p>
        </w:tc>
        <w:tc>
          <w:tcPr>
            <w:tcW w:w="801" w:type="dxa"/>
            <w:vMerge/>
            <w:tcBorders>
              <w:top w:val="nil"/>
            </w:tcBorders>
            <w:textDirection w:val="tbRl"/>
          </w:tcPr>
          <w:p>
            <w:pPr>
              <w:rPr>
                <w:sz w:val="2"/>
                <w:szCs w:val="2"/>
              </w:rPr>
            </w:pPr>
          </w:p>
        </w:tc>
        <w:tc>
          <w:tcPr>
            <w:tcW w:w="1370" w:type="dxa"/>
            <w:vMerge/>
            <w:tcBorders>
              <w:top w:val="nil"/>
            </w:tcBorders>
            <w:textDirection w:val="tbRl"/>
          </w:tcPr>
          <w:p>
            <w:pPr>
              <w:rPr>
                <w:sz w:val="2"/>
                <w:szCs w:val="2"/>
              </w:rPr>
            </w:pPr>
          </w:p>
        </w:tc>
        <w:tc>
          <w:tcPr>
            <w:tcW w:w="3463" w:type="dxa"/>
            <w:tcBorders>
              <w:top w:val="nil"/>
            </w:tcBorders>
          </w:tcPr>
          <w:p>
            <w:pPr>
              <w:pStyle w:val="TableParagraph"/>
              <w:spacing w:before="11"/>
              <w:ind w:left="108"/>
              <w:rPr>
                <w:sz w:val="18"/>
              </w:rPr>
            </w:pPr>
            <w:r>
              <w:rPr>
                <w:sz w:val="18"/>
              </w:rPr>
              <w:t>scheduled</w:t>
            </w:r>
            <w:r>
              <w:rPr>
                <w:spacing w:val="-2"/>
                <w:sz w:val="18"/>
              </w:rPr>
              <w:t> </w:t>
            </w:r>
            <w:r>
              <w:rPr>
                <w:sz w:val="18"/>
              </w:rPr>
              <w:t>for</w:t>
            </w:r>
            <w:r>
              <w:rPr>
                <w:spacing w:val="-1"/>
                <w:sz w:val="18"/>
              </w:rPr>
              <w:t> </w:t>
            </w:r>
            <w:r>
              <w:rPr>
                <w:sz w:val="18"/>
              </w:rPr>
              <w:t>26</w:t>
            </w:r>
            <w:r>
              <w:rPr>
                <w:spacing w:val="-2"/>
                <w:sz w:val="18"/>
              </w:rPr>
              <w:t> </w:t>
            </w:r>
            <w:r>
              <w:rPr>
                <w:sz w:val="18"/>
              </w:rPr>
              <w:t>April</w:t>
            </w:r>
            <w:r>
              <w:rPr>
                <w:spacing w:val="-2"/>
                <w:sz w:val="18"/>
              </w:rPr>
              <w:t> 2023.</w:t>
            </w:r>
          </w:p>
        </w:tc>
      </w:tr>
      <w:tr>
        <w:trPr>
          <w:trHeight w:val="1734" w:hRule="atLeast"/>
        </w:trPr>
        <w:tc>
          <w:tcPr>
            <w:tcW w:w="842" w:type="dxa"/>
            <w:tcBorders>
              <w:bottom w:val="nil"/>
            </w:tcBorders>
          </w:tcPr>
          <w:p>
            <w:pPr>
              <w:pStyle w:val="TableParagraph"/>
              <w:ind w:left="108"/>
              <w:rPr>
                <w:sz w:val="18"/>
              </w:rPr>
            </w:pPr>
            <w:r>
              <w:rPr>
                <w:spacing w:val="-5"/>
                <w:sz w:val="18"/>
              </w:rPr>
              <w:t>2.</w:t>
            </w:r>
          </w:p>
        </w:tc>
        <w:tc>
          <w:tcPr>
            <w:tcW w:w="1851" w:type="dxa"/>
            <w:tcBorders>
              <w:bottom w:val="nil"/>
            </w:tcBorders>
          </w:tcPr>
          <w:p>
            <w:pPr>
              <w:pStyle w:val="TableParagraph"/>
              <w:ind w:left="107" w:right="184"/>
              <w:rPr>
                <w:sz w:val="18"/>
              </w:rPr>
            </w:pPr>
            <w:r>
              <w:rPr>
                <w:sz w:val="18"/>
              </w:rPr>
              <w:t>Review of National Hosted NHS</w:t>
            </w:r>
            <w:r>
              <w:rPr>
                <w:spacing w:val="-16"/>
                <w:sz w:val="18"/>
              </w:rPr>
              <w:t> </w:t>
            </w:r>
            <w:r>
              <w:rPr>
                <w:sz w:val="18"/>
              </w:rPr>
              <w:t>IT</w:t>
            </w:r>
            <w:r>
              <w:rPr>
                <w:spacing w:val="-16"/>
                <w:sz w:val="18"/>
              </w:rPr>
              <w:t> </w:t>
            </w:r>
            <w:r>
              <w:rPr>
                <w:sz w:val="18"/>
              </w:rPr>
              <w:t>Systems. Oracle Financial </w:t>
            </w:r>
            <w:r>
              <w:rPr>
                <w:spacing w:val="-2"/>
                <w:sz w:val="18"/>
              </w:rPr>
              <w:t>Management </w:t>
            </w:r>
            <w:r>
              <w:rPr>
                <w:sz w:val="18"/>
              </w:rPr>
              <w:t>System - IT </w:t>
            </w:r>
            <w:r>
              <w:rPr>
                <w:spacing w:val="-2"/>
                <w:sz w:val="18"/>
              </w:rPr>
              <w:t>Controls.</w:t>
            </w:r>
          </w:p>
        </w:tc>
        <w:tc>
          <w:tcPr>
            <w:tcW w:w="571" w:type="dxa"/>
            <w:vMerge w:val="restart"/>
            <w:shd w:val="clear" w:color="auto" w:fill="FF0000"/>
            <w:textDirection w:val="tbRl"/>
          </w:tcPr>
          <w:p>
            <w:pPr>
              <w:pStyle w:val="TableParagraph"/>
              <w:spacing w:before="98"/>
              <w:ind w:left="113"/>
              <w:rPr>
                <w:b/>
                <w:sz w:val="18"/>
              </w:rPr>
            </w:pPr>
            <w:r>
              <w:rPr>
                <w:b/>
                <w:sz w:val="18"/>
              </w:rPr>
              <w:t>OVERDUE-</w:t>
            </w:r>
            <w:r>
              <w:rPr>
                <w:b/>
                <w:spacing w:val="-6"/>
                <w:sz w:val="18"/>
              </w:rPr>
              <w:t> </w:t>
            </w:r>
            <w:r>
              <w:rPr>
                <w:b/>
                <w:sz w:val="18"/>
              </w:rPr>
              <w:t>EXTENTION</w:t>
            </w:r>
            <w:r>
              <w:rPr>
                <w:b/>
                <w:spacing w:val="-6"/>
                <w:sz w:val="18"/>
              </w:rPr>
              <w:t> </w:t>
            </w:r>
            <w:r>
              <w:rPr>
                <w:b/>
                <w:spacing w:val="-2"/>
                <w:sz w:val="18"/>
              </w:rPr>
              <w:t>REQUESTED</w:t>
            </w:r>
          </w:p>
        </w:tc>
        <w:tc>
          <w:tcPr>
            <w:tcW w:w="4393" w:type="dxa"/>
            <w:tcBorders>
              <w:bottom w:val="nil"/>
            </w:tcBorders>
          </w:tcPr>
          <w:p>
            <w:pPr>
              <w:pStyle w:val="TableParagraph"/>
              <w:spacing w:line="276" w:lineRule="auto"/>
              <w:ind w:left="107" w:right="190"/>
              <w:rPr>
                <w:sz w:val="18"/>
              </w:rPr>
            </w:pPr>
            <w:r>
              <w:rPr>
                <w:sz w:val="18"/>
              </w:rPr>
              <w:t>Raised in 2020-21 CTES provides FMS services to the consortium of Welsh NHS organisations. It is good practice IT service management</w:t>
            </w:r>
            <w:r>
              <w:rPr>
                <w:spacing w:val="-6"/>
                <w:sz w:val="18"/>
              </w:rPr>
              <w:t> </w:t>
            </w:r>
            <w:r>
              <w:rPr>
                <w:sz w:val="18"/>
              </w:rPr>
              <w:t>to</w:t>
            </w:r>
            <w:r>
              <w:rPr>
                <w:spacing w:val="-6"/>
                <w:sz w:val="18"/>
              </w:rPr>
              <w:t> </w:t>
            </w:r>
            <w:r>
              <w:rPr>
                <w:sz w:val="18"/>
              </w:rPr>
              <w:t>conform</w:t>
            </w:r>
            <w:r>
              <w:rPr>
                <w:spacing w:val="-7"/>
                <w:sz w:val="18"/>
              </w:rPr>
              <w:t> </w:t>
            </w:r>
            <w:r>
              <w:rPr>
                <w:sz w:val="18"/>
              </w:rPr>
              <w:t>or</w:t>
            </w:r>
            <w:r>
              <w:rPr>
                <w:spacing w:val="-7"/>
                <w:sz w:val="18"/>
              </w:rPr>
              <w:t> </w:t>
            </w:r>
            <w:r>
              <w:rPr>
                <w:sz w:val="18"/>
              </w:rPr>
              <w:t>be</w:t>
            </w:r>
            <w:r>
              <w:rPr>
                <w:spacing w:val="-7"/>
                <w:sz w:val="18"/>
              </w:rPr>
              <w:t> </w:t>
            </w:r>
            <w:r>
              <w:rPr>
                <w:sz w:val="18"/>
              </w:rPr>
              <w:t>accredited</w:t>
            </w:r>
            <w:r>
              <w:rPr>
                <w:spacing w:val="-7"/>
                <w:sz w:val="18"/>
              </w:rPr>
              <w:t> </w:t>
            </w:r>
            <w:r>
              <w:rPr>
                <w:sz w:val="18"/>
              </w:rPr>
              <w:t>to the Information Technology Service Management (ISO 20000) standard.</w:t>
            </w:r>
            <w:r>
              <w:rPr>
                <w:spacing w:val="40"/>
                <w:sz w:val="18"/>
              </w:rPr>
              <w:t> </w:t>
            </w:r>
            <w:r>
              <w:rPr>
                <w:sz w:val="18"/>
              </w:rPr>
              <w:t>CTES</w:t>
            </w:r>
          </w:p>
          <w:p>
            <w:pPr>
              <w:pStyle w:val="TableParagraph"/>
              <w:spacing w:line="205" w:lineRule="exact"/>
              <w:ind w:left="107"/>
              <w:rPr>
                <w:sz w:val="18"/>
              </w:rPr>
            </w:pPr>
            <w:r>
              <w:rPr>
                <w:sz w:val="18"/>
              </w:rPr>
              <w:t>have</w:t>
            </w:r>
            <w:r>
              <w:rPr>
                <w:spacing w:val="-2"/>
                <w:sz w:val="18"/>
              </w:rPr>
              <w:t> </w:t>
            </w:r>
            <w:r>
              <w:rPr>
                <w:sz w:val="18"/>
              </w:rPr>
              <w:t>completed</w:t>
            </w:r>
            <w:r>
              <w:rPr>
                <w:spacing w:val="-1"/>
                <w:sz w:val="18"/>
              </w:rPr>
              <w:t> </w:t>
            </w:r>
            <w:r>
              <w:rPr>
                <w:sz w:val="18"/>
              </w:rPr>
              <w:t>the</w:t>
            </w:r>
            <w:r>
              <w:rPr>
                <w:spacing w:val="-1"/>
                <w:sz w:val="18"/>
              </w:rPr>
              <w:t> </w:t>
            </w:r>
            <w:r>
              <w:rPr>
                <w:sz w:val="18"/>
              </w:rPr>
              <w:t>gap</w:t>
            </w:r>
            <w:r>
              <w:rPr>
                <w:spacing w:val="-1"/>
                <w:sz w:val="18"/>
              </w:rPr>
              <w:t> </w:t>
            </w:r>
            <w:r>
              <w:rPr>
                <w:sz w:val="18"/>
              </w:rPr>
              <w:t>analysis</w:t>
            </w:r>
            <w:r>
              <w:rPr>
                <w:spacing w:val="-1"/>
                <w:sz w:val="18"/>
              </w:rPr>
              <w:t> </w:t>
            </w:r>
            <w:r>
              <w:rPr>
                <w:sz w:val="18"/>
              </w:rPr>
              <w:t>and </w:t>
            </w:r>
            <w:r>
              <w:rPr>
                <w:spacing w:val="-5"/>
                <w:sz w:val="18"/>
              </w:rPr>
              <w:t>we</w:t>
            </w:r>
          </w:p>
        </w:tc>
        <w:tc>
          <w:tcPr>
            <w:tcW w:w="565" w:type="dxa"/>
            <w:vMerge w:val="restart"/>
            <w:shd w:val="clear" w:color="auto" w:fill="FFC000"/>
            <w:textDirection w:val="tbRl"/>
          </w:tcPr>
          <w:p>
            <w:pPr>
              <w:pStyle w:val="TableParagraph"/>
              <w:spacing w:before="98"/>
              <w:ind w:left="113"/>
              <w:rPr>
                <w:b/>
                <w:sz w:val="18"/>
              </w:rPr>
            </w:pPr>
            <w:r>
              <w:rPr>
                <w:b/>
                <w:spacing w:val="-2"/>
                <w:sz w:val="18"/>
              </w:rPr>
              <w:t>Medium</w:t>
            </w:r>
          </w:p>
        </w:tc>
        <w:tc>
          <w:tcPr>
            <w:tcW w:w="4398" w:type="dxa"/>
            <w:tcBorders>
              <w:bottom w:val="nil"/>
            </w:tcBorders>
          </w:tcPr>
          <w:p>
            <w:pPr>
              <w:pStyle w:val="TableParagraph"/>
              <w:spacing w:line="276" w:lineRule="auto"/>
              <w:ind w:left="108" w:right="55"/>
              <w:rPr>
                <w:sz w:val="18"/>
              </w:rPr>
            </w:pPr>
            <w:r>
              <w:rPr>
                <w:sz w:val="18"/>
              </w:rPr>
              <w:t>Complete CTES accreditation to the Information</w:t>
            </w:r>
            <w:r>
              <w:rPr>
                <w:spacing w:val="-14"/>
                <w:sz w:val="18"/>
              </w:rPr>
              <w:t> </w:t>
            </w:r>
            <w:r>
              <w:rPr>
                <w:sz w:val="18"/>
              </w:rPr>
              <w:t>Technology</w:t>
            </w:r>
            <w:r>
              <w:rPr>
                <w:spacing w:val="-14"/>
                <w:sz w:val="18"/>
              </w:rPr>
              <w:t> </w:t>
            </w:r>
            <w:r>
              <w:rPr>
                <w:sz w:val="18"/>
              </w:rPr>
              <w:t>Service</w:t>
            </w:r>
            <w:r>
              <w:rPr>
                <w:spacing w:val="-13"/>
                <w:sz w:val="18"/>
              </w:rPr>
              <w:t> </w:t>
            </w:r>
            <w:r>
              <w:rPr>
                <w:sz w:val="18"/>
              </w:rPr>
              <w:t>Management (ISO 20000) standard for service </w:t>
            </w:r>
            <w:r>
              <w:rPr>
                <w:spacing w:val="-2"/>
                <w:sz w:val="18"/>
              </w:rPr>
              <w:t>management.</w:t>
            </w:r>
          </w:p>
        </w:tc>
        <w:tc>
          <w:tcPr>
            <w:tcW w:w="1130" w:type="dxa"/>
            <w:vMerge w:val="restart"/>
            <w:textDirection w:val="tbRl"/>
          </w:tcPr>
          <w:p>
            <w:pPr>
              <w:pStyle w:val="TableParagraph"/>
              <w:spacing w:before="98"/>
              <w:rPr>
                <w:sz w:val="18"/>
              </w:rPr>
            </w:pPr>
            <w:r>
              <w:rPr>
                <w:sz w:val="18"/>
              </w:rPr>
              <w:t>Stuart</w:t>
            </w:r>
            <w:r>
              <w:rPr>
                <w:spacing w:val="-2"/>
                <w:sz w:val="18"/>
              </w:rPr>
              <w:t> </w:t>
            </w:r>
            <w:r>
              <w:rPr>
                <w:sz w:val="18"/>
              </w:rPr>
              <w:t>Fraser-</w:t>
            </w:r>
            <w:r>
              <w:rPr>
                <w:spacing w:val="-2"/>
                <w:sz w:val="18"/>
              </w:rPr>
              <w:t> </w:t>
            </w:r>
            <w:r>
              <w:rPr>
                <w:sz w:val="18"/>
              </w:rPr>
              <w:t>Head,</w:t>
            </w:r>
            <w:r>
              <w:rPr>
                <w:spacing w:val="-2"/>
                <w:sz w:val="18"/>
              </w:rPr>
              <w:t> </w:t>
            </w:r>
            <w:r>
              <w:rPr>
                <w:spacing w:val="-4"/>
                <w:sz w:val="18"/>
              </w:rPr>
              <w:t>CTeS</w:t>
            </w:r>
          </w:p>
        </w:tc>
        <w:tc>
          <w:tcPr>
            <w:tcW w:w="3863" w:type="dxa"/>
            <w:tcBorders>
              <w:bottom w:val="nil"/>
            </w:tcBorders>
          </w:tcPr>
          <w:p>
            <w:pPr>
              <w:pStyle w:val="TableParagraph"/>
              <w:spacing w:line="276" w:lineRule="auto"/>
              <w:ind w:left="108"/>
              <w:rPr>
                <w:sz w:val="18"/>
              </w:rPr>
            </w:pPr>
            <w:r>
              <w:rPr>
                <w:sz w:val="18"/>
              </w:rPr>
              <w:t>Work</w:t>
            </w:r>
            <w:r>
              <w:rPr>
                <w:spacing w:val="-6"/>
                <w:sz w:val="18"/>
              </w:rPr>
              <w:t> </w:t>
            </w:r>
            <w:r>
              <w:rPr>
                <w:sz w:val="18"/>
              </w:rPr>
              <w:t>in</w:t>
            </w:r>
            <w:r>
              <w:rPr>
                <w:spacing w:val="-7"/>
                <w:sz w:val="18"/>
              </w:rPr>
              <w:t> </w:t>
            </w:r>
            <w:r>
              <w:rPr>
                <w:sz w:val="18"/>
              </w:rPr>
              <w:t>progress.</w:t>
            </w:r>
            <w:r>
              <w:rPr>
                <w:spacing w:val="-7"/>
                <w:sz w:val="18"/>
              </w:rPr>
              <w:t> </w:t>
            </w:r>
            <w:r>
              <w:rPr>
                <w:sz w:val="18"/>
              </w:rPr>
              <w:t>As</w:t>
            </w:r>
            <w:r>
              <w:rPr>
                <w:spacing w:val="-6"/>
                <w:sz w:val="18"/>
              </w:rPr>
              <w:t> </w:t>
            </w:r>
            <w:r>
              <w:rPr>
                <w:sz w:val="18"/>
              </w:rPr>
              <w:t>above</w:t>
            </w:r>
            <w:r>
              <w:rPr>
                <w:spacing w:val="-7"/>
                <w:sz w:val="18"/>
              </w:rPr>
              <w:t> </w:t>
            </w:r>
            <w:r>
              <w:rPr>
                <w:sz w:val="18"/>
              </w:rPr>
              <w:t>noted</w:t>
            </w:r>
            <w:r>
              <w:rPr>
                <w:spacing w:val="-6"/>
                <w:sz w:val="18"/>
              </w:rPr>
              <w:t> </w:t>
            </w:r>
            <w:r>
              <w:rPr>
                <w:sz w:val="18"/>
              </w:rPr>
              <w:t>in recommendation 2020-21 – 03.</w:t>
            </w:r>
          </w:p>
        </w:tc>
        <w:tc>
          <w:tcPr>
            <w:tcW w:w="801" w:type="dxa"/>
            <w:vMerge w:val="restart"/>
            <w:textDirection w:val="tbRl"/>
          </w:tcPr>
          <w:p>
            <w:pPr>
              <w:pStyle w:val="TableParagraph"/>
              <w:spacing w:before="98"/>
              <w:rPr>
                <w:b/>
                <w:sz w:val="18"/>
              </w:rPr>
            </w:pPr>
            <w:r>
              <w:rPr>
                <w:b/>
                <w:spacing w:val="-2"/>
                <w:sz w:val="18"/>
              </w:rPr>
              <w:t>31/12/2022</w:t>
            </w:r>
          </w:p>
        </w:tc>
        <w:tc>
          <w:tcPr>
            <w:tcW w:w="1370" w:type="dxa"/>
            <w:vMerge w:val="restart"/>
            <w:textDirection w:val="tbRl"/>
          </w:tcPr>
          <w:p>
            <w:pPr>
              <w:pStyle w:val="TableParagraph"/>
              <w:spacing w:before="98"/>
              <w:ind w:left="113"/>
              <w:rPr>
                <w:b/>
                <w:sz w:val="18"/>
              </w:rPr>
            </w:pPr>
            <w:r>
              <w:rPr>
                <w:b/>
                <w:spacing w:val="-2"/>
                <w:sz w:val="18"/>
              </w:rPr>
              <w:t>30/04/2023</w:t>
            </w:r>
          </w:p>
        </w:tc>
        <w:tc>
          <w:tcPr>
            <w:tcW w:w="3463" w:type="dxa"/>
            <w:tcBorders>
              <w:bottom w:val="nil"/>
            </w:tcBorders>
          </w:tcPr>
          <w:p>
            <w:pPr>
              <w:pStyle w:val="TableParagraph"/>
              <w:ind w:left="108"/>
              <w:rPr>
                <w:sz w:val="18"/>
              </w:rPr>
            </w:pPr>
            <w:r>
              <w:rPr>
                <w:sz w:val="18"/>
              </w:rPr>
              <w:t>As </w:t>
            </w:r>
            <w:r>
              <w:rPr>
                <w:spacing w:val="-2"/>
                <w:sz w:val="18"/>
              </w:rPr>
              <w:t>above</w:t>
            </w:r>
          </w:p>
        </w:tc>
      </w:tr>
      <w:tr>
        <w:trPr>
          <w:trHeight w:val="246" w:hRule="atLeast"/>
        </w:trPr>
        <w:tc>
          <w:tcPr>
            <w:tcW w:w="842" w:type="dxa"/>
            <w:tcBorders>
              <w:top w:val="nil"/>
              <w:bottom w:val="nil"/>
            </w:tcBorders>
          </w:tcPr>
          <w:p>
            <w:pPr>
              <w:pStyle w:val="TableParagraph"/>
              <w:rPr>
                <w:rFonts w:ascii="Times New Roman"/>
                <w:sz w:val="18"/>
              </w:rPr>
            </w:pPr>
          </w:p>
        </w:tc>
        <w:tc>
          <w:tcPr>
            <w:tcW w:w="1851" w:type="dxa"/>
            <w:tcBorders>
              <w:top w:val="nil"/>
              <w:bottom w:val="nil"/>
            </w:tcBorders>
          </w:tcPr>
          <w:p>
            <w:pPr>
              <w:pStyle w:val="TableParagraph"/>
              <w:spacing w:before="6"/>
              <w:ind w:left="107"/>
              <w:rPr>
                <w:sz w:val="18"/>
              </w:rPr>
            </w:pPr>
            <w:r>
              <w:rPr>
                <w:spacing w:val="-2"/>
                <w:sz w:val="18"/>
              </w:rPr>
              <w:t>AW/2021-</w:t>
            </w:r>
            <w:r>
              <w:rPr>
                <w:spacing w:val="-4"/>
                <w:sz w:val="18"/>
              </w:rPr>
              <w:t>22/2</w:t>
            </w:r>
          </w:p>
        </w:tc>
        <w:tc>
          <w:tcPr>
            <w:tcW w:w="571" w:type="dxa"/>
            <w:vMerge/>
            <w:tcBorders>
              <w:top w:val="nil"/>
            </w:tcBorders>
            <w:shd w:val="clear" w:color="auto" w:fill="FF0000"/>
            <w:textDirection w:val="tbRl"/>
          </w:tcPr>
          <w:p>
            <w:pPr>
              <w:rPr>
                <w:sz w:val="2"/>
                <w:szCs w:val="2"/>
              </w:rPr>
            </w:pPr>
          </w:p>
        </w:tc>
        <w:tc>
          <w:tcPr>
            <w:tcW w:w="4393" w:type="dxa"/>
            <w:tcBorders>
              <w:top w:val="nil"/>
              <w:bottom w:val="nil"/>
            </w:tcBorders>
          </w:tcPr>
          <w:p>
            <w:pPr>
              <w:pStyle w:val="TableParagraph"/>
              <w:spacing w:line="210" w:lineRule="exact" w:before="17"/>
              <w:ind w:left="107"/>
              <w:rPr>
                <w:sz w:val="18"/>
              </w:rPr>
            </w:pPr>
            <w:r>
              <w:rPr>
                <w:sz w:val="18"/>
              </w:rPr>
              <w:t>were</w:t>
            </w:r>
            <w:r>
              <w:rPr>
                <w:spacing w:val="-3"/>
                <w:sz w:val="18"/>
              </w:rPr>
              <w:t> </w:t>
            </w:r>
            <w:r>
              <w:rPr>
                <w:sz w:val="18"/>
              </w:rPr>
              <w:t>informed</w:t>
            </w:r>
            <w:r>
              <w:rPr>
                <w:spacing w:val="-1"/>
                <w:sz w:val="18"/>
              </w:rPr>
              <w:t> </w:t>
            </w:r>
            <w:r>
              <w:rPr>
                <w:sz w:val="18"/>
              </w:rPr>
              <w:t>during</w:t>
            </w:r>
            <w:r>
              <w:rPr>
                <w:spacing w:val="-2"/>
                <w:sz w:val="18"/>
              </w:rPr>
              <w:t> </w:t>
            </w:r>
            <w:r>
              <w:rPr>
                <w:sz w:val="18"/>
              </w:rPr>
              <w:t>our</w:t>
            </w:r>
            <w:r>
              <w:rPr>
                <w:spacing w:val="-2"/>
                <w:sz w:val="18"/>
              </w:rPr>
              <w:t> </w:t>
            </w:r>
            <w:r>
              <w:rPr>
                <w:sz w:val="18"/>
              </w:rPr>
              <w:t>fieldwork</w:t>
            </w:r>
            <w:r>
              <w:rPr>
                <w:spacing w:val="-2"/>
                <w:sz w:val="18"/>
              </w:rPr>
              <w:t> </w:t>
            </w:r>
            <w:r>
              <w:rPr>
                <w:sz w:val="18"/>
              </w:rPr>
              <w:t>that</w:t>
            </w:r>
            <w:r>
              <w:rPr>
                <w:spacing w:val="-1"/>
                <w:sz w:val="18"/>
              </w:rPr>
              <w:t> </w:t>
            </w:r>
            <w:r>
              <w:rPr>
                <w:spacing w:val="-4"/>
                <w:sz w:val="18"/>
              </w:rPr>
              <w:t>they</w:t>
            </w:r>
          </w:p>
        </w:tc>
        <w:tc>
          <w:tcPr>
            <w:tcW w:w="565" w:type="dxa"/>
            <w:vMerge/>
            <w:tcBorders>
              <w:top w:val="nil"/>
            </w:tcBorders>
            <w:shd w:val="clear" w:color="auto" w:fill="FFC000"/>
            <w:textDirection w:val="tbRl"/>
          </w:tcPr>
          <w:p>
            <w:pPr>
              <w:rPr>
                <w:sz w:val="2"/>
                <w:szCs w:val="2"/>
              </w:rPr>
            </w:pPr>
          </w:p>
        </w:tc>
        <w:tc>
          <w:tcPr>
            <w:tcW w:w="4398" w:type="dxa"/>
            <w:tcBorders>
              <w:top w:val="nil"/>
              <w:bottom w:val="nil"/>
            </w:tcBorders>
          </w:tcPr>
          <w:p>
            <w:pPr>
              <w:pStyle w:val="TableParagraph"/>
              <w:rPr>
                <w:rFonts w:ascii="Times New Roman"/>
                <w:sz w:val="18"/>
              </w:rPr>
            </w:pPr>
          </w:p>
        </w:tc>
        <w:tc>
          <w:tcPr>
            <w:tcW w:w="1130" w:type="dxa"/>
            <w:vMerge/>
            <w:tcBorders>
              <w:top w:val="nil"/>
            </w:tcBorders>
            <w:textDirection w:val="tbRl"/>
          </w:tcPr>
          <w:p>
            <w:pPr>
              <w:rPr>
                <w:sz w:val="2"/>
                <w:szCs w:val="2"/>
              </w:rPr>
            </w:pPr>
          </w:p>
        </w:tc>
        <w:tc>
          <w:tcPr>
            <w:tcW w:w="3863" w:type="dxa"/>
            <w:tcBorders>
              <w:top w:val="nil"/>
              <w:bottom w:val="nil"/>
            </w:tcBorders>
          </w:tcPr>
          <w:p>
            <w:pPr>
              <w:pStyle w:val="TableParagraph"/>
              <w:rPr>
                <w:rFonts w:ascii="Times New Roman"/>
                <w:sz w:val="18"/>
              </w:rPr>
            </w:pPr>
          </w:p>
        </w:tc>
        <w:tc>
          <w:tcPr>
            <w:tcW w:w="801" w:type="dxa"/>
            <w:vMerge/>
            <w:tcBorders>
              <w:top w:val="nil"/>
            </w:tcBorders>
            <w:textDirection w:val="tbRl"/>
          </w:tcPr>
          <w:p>
            <w:pPr>
              <w:rPr>
                <w:sz w:val="2"/>
                <w:szCs w:val="2"/>
              </w:rPr>
            </w:pPr>
          </w:p>
        </w:tc>
        <w:tc>
          <w:tcPr>
            <w:tcW w:w="1370" w:type="dxa"/>
            <w:vMerge/>
            <w:tcBorders>
              <w:top w:val="nil"/>
            </w:tcBorders>
            <w:textDirection w:val="tbRl"/>
          </w:tcPr>
          <w:p>
            <w:pPr>
              <w:rPr>
                <w:sz w:val="2"/>
                <w:szCs w:val="2"/>
              </w:rPr>
            </w:pPr>
          </w:p>
        </w:tc>
        <w:tc>
          <w:tcPr>
            <w:tcW w:w="3463" w:type="dxa"/>
            <w:tcBorders>
              <w:top w:val="nil"/>
              <w:bottom w:val="nil"/>
            </w:tcBorders>
          </w:tcPr>
          <w:p>
            <w:pPr>
              <w:pStyle w:val="TableParagraph"/>
              <w:rPr>
                <w:rFonts w:ascii="Times New Roman"/>
                <w:sz w:val="18"/>
              </w:rPr>
            </w:pPr>
          </w:p>
        </w:tc>
      </w:tr>
      <w:tr>
        <w:trPr>
          <w:trHeight w:val="241" w:hRule="atLeast"/>
        </w:trPr>
        <w:tc>
          <w:tcPr>
            <w:tcW w:w="842" w:type="dxa"/>
            <w:tcBorders>
              <w:top w:val="nil"/>
              <w:bottom w:val="nil"/>
            </w:tcBorders>
          </w:tcPr>
          <w:p>
            <w:pPr>
              <w:pStyle w:val="TableParagraph"/>
              <w:rPr>
                <w:rFonts w:ascii="Times New Roman"/>
                <w:sz w:val="16"/>
              </w:rPr>
            </w:pPr>
          </w:p>
        </w:tc>
        <w:tc>
          <w:tcPr>
            <w:tcW w:w="1851" w:type="dxa"/>
            <w:tcBorders>
              <w:top w:val="nil"/>
              <w:bottom w:val="nil"/>
            </w:tcBorders>
          </w:tcPr>
          <w:p>
            <w:pPr>
              <w:pStyle w:val="TableParagraph"/>
              <w:rPr>
                <w:rFonts w:ascii="Times New Roman"/>
                <w:sz w:val="16"/>
              </w:rPr>
            </w:pPr>
          </w:p>
        </w:tc>
        <w:tc>
          <w:tcPr>
            <w:tcW w:w="571" w:type="dxa"/>
            <w:vMerge/>
            <w:tcBorders>
              <w:top w:val="nil"/>
            </w:tcBorders>
            <w:shd w:val="clear" w:color="auto" w:fill="FF0000"/>
            <w:textDirection w:val="tbRl"/>
          </w:tcPr>
          <w:p>
            <w:pPr>
              <w:rPr>
                <w:sz w:val="2"/>
                <w:szCs w:val="2"/>
              </w:rPr>
            </w:pPr>
          </w:p>
        </w:tc>
        <w:tc>
          <w:tcPr>
            <w:tcW w:w="4393" w:type="dxa"/>
            <w:tcBorders>
              <w:top w:val="nil"/>
              <w:bottom w:val="nil"/>
            </w:tcBorders>
          </w:tcPr>
          <w:p>
            <w:pPr>
              <w:pStyle w:val="TableParagraph"/>
              <w:spacing w:line="210" w:lineRule="exact" w:before="11"/>
              <w:ind w:left="107"/>
              <w:rPr>
                <w:sz w:val="18"/>
              </w:rPr>
            </w:pPr>
            <w:r>
              <w:rPr>
                <w:sz w:val="18"/>
              </w:rPr>
              <w:t>aim</w:t>
            </w:r>
            <w:r>
              <w:rPr>
                <w:spacing w:val="-1"/>
                <w:sz w:val="18"/>
              </w:rPr>
              <w:t> </w:t>
            </w:r>
            <w:r>
              <w:rPr>
                <w:sz w:val="18"/>
              </w:rPr>
              <w:t>to</w:t>
            </w:r>
            <w:r>
              <w:rPr>
                <w:spacing w:val="-1"/>
                <w:sz w:val="18"/>
              </w:rPr>
              <w:t> </w:t>
            </w:r>
            <w:r>
              <w:rPr>
                <w:sz w:val="18"/>
              </w:rPr>
              <w:t>complete</w:t>
            </w:r>
            <w:r>
              <w:rPr>
                <w:spacing w:val="-2"/>
                <w:sz w:val="18"/>
              </w:rPr>
              <w:t> </w:t>
            </w:r>
            <w:r>
              <w:rPr>
                <w:sz w:val="18"/>
              </w:rPr>
              <w:t>accreditation</w:t>
            </w:r>
            <w:r>
              <w:rPr>
                <w:spacing w:val="-1"/>
                <w:sz w:val="18"/>
              </w:rPr>
              <w:t> </w:t>
            </w:r>
            <w:r>
              <w:rPr>
                <w:sz w:val="18"/>
              </w:rPr>
              <w:t>during</w:t>
            </w:r>
            <w:r>
              <w:rPr>
                <w:spacing w:val="-1"/>
                <w:sz w:val="18"/>
              </w:rPr>
              <w:t> </w:t>
            </w:r>
            <w:r>
              <w:rPr>
                <w:spacing w:val="-2"/>
                <w:sz w:val="18"/>
              </w:rPr>
              <w:t>202122</w:t>
            </w:r>
          </w:p>
        </w:tc>
        <w:tc>
          <w:tcPr>
            <w:tcW w:w="565" w:type="dxa"/>
            <w:vMerge/>
            <w:tcBorders>
              <w:top w:val="nil"/>
            </w:tcBorders>
            <w:shd w:val="clear" w:color="auto" w:fill="FFC000"/>
            <w:textDirection w:val="tbRl"/>
          </w:tcPr>
          <w:p>
            <w:pPr>
              <w:rPr>
                <w:sz w:val="2"/>
                <w:szCs w:val="2"/>
              </w:rPr>
            </w:pPr>
          </w:p>
        </w:tc>
        <w:tc>
          <w:tcPr>
            <w:tcW w:w="4398" w:type="dxa"/>
            <w:tcBorders>
              <w:top w:val="nil"/>
              <w:bottom w:val="nil"/>
            </w:tcBorders>
          </w:tcPr>
          <w:p>
            <w:pPr>
              <w:pStyle w:val="TableParagraph"/>
              <w:rPr>
                <w:rFonts w:ascii="Times New Roman"/>
                <w:sz w:val="16"/>
              </w:rPr>
            </w:pPr>
          </w:p>
        </w:tc>
        <w:tc>
          <w:tcPr>
            <w:tcW w:w="1130" w:type="dxa"/>
            <w:vMerge/>
            <w:tcBorders>
              <w:top w:val="nil"/>
            </w:tcBorders>
            <w:textDirection w:val="tbRl"/>
          </w:tcPr>
          <w:p>
            <w:pPr>
              <w:rPr>
                <w:sz w:val="2"/>
                <w:szCs w:val="2"/>
              </w:rPr>
            </w:pPr>
          </w:p>
        </w:tc>
        <w:tc>
          <w:tcPr>
            <w:tcW w:w="3863" w:type="dxa"/>
            <w:tcBorders>
              <w:top w:val="nil"/>
              <w:bottom w:val="nil"/>
            </w:tcBorders>
          </w:tcPr>
          <w:p>
            <w:pPr>
              <w:pStyle w:val="TableParagraph"/>
              <w:rPr>
                <w:rFonts w:ascii="Times New Roman"/>
                <w:sz w:val="16"/>
              </w:rPr>
            </w:pPr>
          </w:p>
        </w:tc>
        <w:tc>
          <w:tcPr>
            <w:tcW w:w="801" w:type="dxa"/>
            <w:vMerge/>
            <w:tcBorders>
              <w:top w:val="nil"/>
            </w:tcBorders>
            <w:textDirection w:val="tbRl"/>
          </w:tcPr>
          <w:p>
            <w:pPr>
              <w:rPr>
                <w:sz w:val="2"/>
                <w:szCs w:val="2"/>
              </w:rPr>
            </w:pPr>
          </w:p>
        </w:tc>
        <w:tc>
          <w:tcPr>
            <w:tcW w:w="1370" w:type="dxa"/>
            <w:vMerge/>
            <w:tcBorders>
              <w:top w:val="nil"/>
            </w:tcBorders>
            <w:textDirection w:val="tbRl"/>
          </w:tcPr>
          <w:p>
            <w:pPr>
              <w:rPr>
                <w:sz w:val="2"/>
                <w:szCs w:val="2"/>
              </w:rPr>
            </w:pPr>
          </w:p>
        </w:tc>
        <w:tc>
          <w:tcPr>
            <w:tcW w:w="3463" w:type="dxa"/>
            <w:tcBorders>
              <w:top w:val="nil"/>
              <w:bottom w:val="nil"/>
            </w:tcBorders>
          </w:tcPr>
          <w:p>
            <w:pPr>
              <w:pStyle w:val="TableParagraph"/>
              <w:rPr>
                <w:rFonts w:ascii="Times New Roman"/>
                <w:sz w:val="16"/>
              </w:rPr>
            </w:pPr>
          </w:p>
        </w:tc>
      </w:tr>
      <w:tr>
        <w:trPr>
          <w:trHeight w:val="341" w:hRule="atLeast"/>
        </w:trPr>
        <w:tc>
          <w:tcPr>
            <w:tcW w:w="842" w:type="dxa"/>
            <w:tcBorders>
              <w:top w:val="nil"/>
              <w:bottom w:val="nil"/>
            </w:tcBorders>
          </w:tcPr>
          <w:p>
            <w:pPr>
              <w:pStyle w:val="TableParagraph"/>
              <w:rPr>
                <w:rFonts w:ascii="Times New Roman"/>
                <w:sz w:val="18"/>
              </w:rPr>
            </w:pPr>
          </w:p>
        </w:tc>
        <w:tc>
          <w:tcPr>
            <w:tcW w:w="1851" w:type="dxa"/>
            <w:tcBorders>
              <w:top w:val="nil"/>
              <w:bottom w:val="nil"/>
            </w:tcBorders>
          </w:tcPr>
          <w:p>
            <w:pPr>
              <w:pStyle w:val="TableParagraph"/>
              <w:rPr>
                <w:rFonts w:ascii="Times New Roman"/>
                <w:sz w:val="18"/>
              </w:rPr>
            </w:pPr>
          </w:p>
        </w:tc>
        <w:tc>
          <w:tcPr>
            <w:tcW w:w="571" w:type="dxa"/>
            <w:vMerge/>
            <w:tcBorders>
              <w:top w:val="nil"/>
            </w:tcBorders>
            <w:shd w:val="clear" w:color="auto" w:fill="FF0000"/>
            <w:textDirection w:val="tbRl"/>
          </w:tcPr>
          <w:p>
            <w:pPr>
              <w:rPr>
                <w:sz w:val="2"/>
                <w:szCs w:val="2"/>
              </w:rPr>
            </w:pPr>
          </w:p>
        </w:tc>
        <w:tc>
          <w:tcPr>
            <w:tcW w:w="4393" w:type="dxa"/>
            <w:tcBorders>
              <w:top w:val="nil"/>
              <w:bottom w:val="nil"/>
            </w:tcBorders>
          </w:tcPr>
          <w:p>
            <w:pPr>
              <w:pStyle w:val="TableParagraph"/>
              <w:spacing w:before="11"/>
              <w:ind w:left="107"/>
              <w:rPr>
                <w:sz w:val="18"/>
              </w:rPr>
            </w:pPr>
            <w:r>
              <w:rPr>
                <w:spacing w:val="-2"/>
                <w:sz w:val="18"/>
              </w:rPr>
              <w:t>cycle.</w:t>
            </w:r>
          </w:p>
        </w:tc>
        <w:tc>
          <w:tcPr>
            <w:tcW w:w="565" w:type="dxa"/>
            <w:vMerge/>
            <w:tcBorders>
              <w:top w:val="nil"/>
            </w:tcBorders>
            <w:shd w:val="clear" w:color="auto" w:fill="FFC000"/>
            <w:textDirection w:val="tbRl"/>
          </w:tcPr>
          <w:p>
            <w:pPr>
              <w:rPr>
                <w:sz w:val="2"/>
                <w:szCs w:val="2"/>
              </w:rPr>
            </w:pPr>
          </w:p>
        </w:tc>
        <w:tc>
          <w:tcPr>
            <w:tcW w:w="4398" w:type="dxa"/>
            <w:tcBorders>
              <w:top w:val="nil"/>
              <w:bottom w:val="nil"/>
            </w:tcBorders>
          </w:tcPr>
          <w:p>
            <w:pPr>
              <w:pStyle w:val="TableParagraph"/>
              <w:rPr>
                <w:rFonts w:ascii="Times New Roman"/>
                <w:sz w:val="18"/>
              </w:rPr>
            </w:pPr>
          </w:p>
        </w:tc>
        <w:tc>
          <w:tcPr>
            <w:tcW w:w="1130" w:type="dxa"/>
            <w:vMerge/>
            <w:tcBorders>
              <w:top w:val="nil"/>
            </w:tcBorders>
            <w:textDirection w:val="tbRl"/>
          </w:tcPr>
          <w:p>
            <w:pPr>
              <w:rPr>
                <w:sz w:val="2"/>
                <w:szCs w:val="2"/>
              </w:rPr>
            </w:pPr>
          </w:p>
        </w:tc>
        <w:tc>
          <w:tcPr>
            <w:tcW w:w="3863" w:type="dxa"/>
            <w:tcBorders>
              <w:top w:val="nil"/>
              <w:bottom w:val="nil"/>
            </w:tcBorders>
          </w:tcPr>
          <w:p>
            <w:pPr>
              <w:pStyle w:val="TableParagraph"/>
              <w:rPr>
                <w:rFonts w:ascii="Times New Roman"/>
                <w:sz w:val="18"/>
              </w:rPr>
            </w:pPr>
          </w:p>
        </w:tc>
        <w:tc>
          <w:tcPr>
            <w:tcW w:w="801" w:type="dxa"/>
            <w:vMerge/>
            <w:tcBorders>
              <w:top w:val="nil"/>
            </w:tcBorders>
            <w:textDirection w:val="tbRl"/>
          </w:tcPr>
          <w:p>
            <w:pPr>
              <w:rPr>
                <w:sz w:val="2"/>
                <w:szCs w:val="2"/>
              </w:rPr>
            </w:pPr>
          </w:p>
        </w:tc>
        <w:tc>
          <w:tcPr>
            <w:tcW w:w="1370" w:type="dxa"/>
            <w:vMerge/>
            <w:tcBorders>
              <w:top w:val="nil"/>
            </w:tcBorders>
            <w:textDirection w:val="tbRl"/>
          </w:tcPr>
          <w:p>
            <w:pPr>
              <w:rPr>
                <w:sz w:val="2"/>
                <w:szCs w:val="2"/>
              </w:rPr>
            </w:pPr>
          </w:p>
        </w:tc>
        <w:tc>
          <w:tcPr>
            <w:tcW w:w="3463" w:type="dxa"/>
            <w:tcBorders>
              <w:top w:val="nil"/>
              <w:bottom w:val="nil"/>
            </w:tcBorders>
          </w:tcPr>
          <w:p>
            <w:pPr>
              <w:pStyle w:val="TableParagraph"/>
              <w:rPr>
                <w:rFonts w:ascii="Times New Roman"/>
                <w:sz w:val="18"/>
              </w:rPr>
            </w:pPr>
          </w:p>
        </w:tc>
      </w:tr>
      <w:tr>
        <w:trPr>
          <w:trHeight w:val="341" w:hRule="atLeast"/>
        </w:trPr>
        <w:tc>
          <w:tcPr>
            <w:tcW w:w="842" w:type="dxa"/>
            <w:tcBorders>
              <w:top w:val="nil"/>
              <w:bottom w:val="nil"/>
            </w:tcBorders>
          </w:tcPr>
          <w:p>
            <w:pPr>
              <w:pStyle w:val="TableParagraph"/>
              <w:rPr>
                <w:rFonts w:ascii="Times New Roman"/>
                <w:sz w:val="18"/>
              </w:rPr>
            </w:pPr>
          </w:p>
        </w:tc>
        <w:tc>
          <w:tcPr>
            <w:tcW w:w="1851" w:type="dxa"/>
            <w:tcBorders>
              <w:top w:val="nil"/>
              <w:bottom w:val="nil"/>
            </w:tcBorders>
          </w:tcPr>
          <w:p>
            <w:pPr>
              <w:pStyle w:val="TableParagraph"/>
              <w:rPr>
                <w:rFonts w:ascii="Times New Roman"/>
                <w:sz w:val="18"/>
              </w:rPr>
            </w:pPr>
          </w:p>
        </w:tc>
        <w:tc>
          <w:tcPr>
            <w:tcW w:w="571" w:type="dxa"/>
            <w:vMerge/>
            <w:tcBorders>
              <w:top w:val="nil"/>
            </w:tcBorders>
            <w:shd w:val="clear" w:color="auto" w:fill="FF0000"/>
            <w:textDirection w:val="tbRl"/>
          </w:tcPr>
          <w:p>
            <w:pPr>
              <w:rPr>
                <w:sz w:val="2"/>
                <w:szCs w:val="2"/>
              </w:rPr>
            </w:pPr>
          </w:p>
        </w:tc>
        <w:tc>
          <w:tcPr>
            <w:tcW w:w="4393" w:type="dxa"/>
            <w:tcBorders>
              <w:top w:val="nil"/>
              <w:bottom w:val="nil"/>
            </w:tcBorders>
          </w:tcPr>
          <w:p>
            <w:pPr>
              <w:pStyle w:val="TableParagraph"/>
              <w:spacing w:line="210" w:lineRule="exact" w:before="111"/>
              <w:ind w:left="107"/>
              <w:rPr>
                <w:sz w:val="18"/>
              </w:rPr>
            </w:pPr>
            <w:r>
              <w:rPr>
                <w:sz w:val="18"/>
              </w:rPr>
              <w:t>CTES</w:t>
            </w:r>
            <w:r>
              <w:rPr>
                <w:spacing w:val="-4"/>
                <w:sz w:val="18"/>
              </w:rPr>
              <w:t> </w:t>
            </w:r>
            <w:r>
              <w:rPr>
                <w:sz w:val="18"/>
              </w:rPr>
              <w:t>consider</w:t>
            </w:r>
            <w:r>
              <w:rPr>
                <w:spacing w:val="-2"/>
                <w:sz w:val="18"/>
              </w:rPr>
              <w:t> </w:t>
            </w:r>
            <w:r>
              <w:rPr>
                <w:sz w:val="18"/>
              </w:rPr>
              <w:t>there</w:t>
            </w:r>
            <w:r>
              <w:rPr>
                <w:spacing w:val="-1"/>
                <w:sz w:val="18"/>
              </w:rPr>
              <w:t> </w:t>
            </w:r>
            <w:r>
              <w:rPr>
                <w:sz w:val="18"/>
              </w:rPr>
              <w:t>are</w:t>
            </w:r>
            <w:r>
              <w:rPr>
                <w:spacing w:val="-2"/>
                <w:sz w:val="18"/>
              </w:rPr>
              <w:t> </w:t>
            </w:r>
            <w:r>
              <w:rPr>
                <w:sz w:val="18"/>
              </w:rPr>
              <w:t>benefits</w:t>
            </w:r>
            <w:r>
              <w:rPr>
                <w:spacing w:val="-2"/>
                <w:sz w:val="18"/>
              </w:rPr>
              <w:t> </w:t>
            </w:r>
            <w:r>
              <w:rPr>
                <w:sz w:val="18"/>
              </w:rPr>
              <w:t>to</w:t>
            </w:r>
            <w:r>
              <w:rPr>
                <w:spacing w:val="-1"/>
                <w:sz w:val="18"/>
              </w:rPr>
              <w:t> </w:t>
            </w:r>
            <w:r>
              <w:rPr>
                <w:spacing w:val="-2"/>
                <w:sz w:val="18"/>
              </w:rPr>
              <w:t>complete</w:t>
            </w:r>
          </w:p>
        </w:tc>
        <w:tc>
          <w:tcPr>
            <w:tcW w:w="565" w:type="dxa"/>
            <w:vMerge/>
            <w:tcBorders>
              <w:top w:val="nil"/>
            </w:tcBorders>
            <w:shd w:val="clear" w:color="auto" w:fill="FFC000"/>
            <w:textDirection w:val="tbRl"/>
          </w:tcPr>
          <w:p>
            <w:pPr>
              <w:rPr>
                <w:sz w:val="2"/>
                <w:szCs w:val="2"/>
              </w:rPr>
            </w:pPr>
          </w:p>
        </w:tc>
        <w:tc>
          <w:tcPr>
            <w:tcW w:w="4398" w:type="dxa"/>
            <w:tcBorders>
              <w:top w:val="nil"/>
              <w:bottom w:val="nil"/>
            </w:tcBorders>
          </w:tcPr>
          <w:p>
            <w:pPr>
              <w:pStyle w:val="TableParagraph"/>
              <w:rPr>
                <w:rFonts w:ascii="Times New Roman"/>
                <w:sz w:val="18"/>
              </w:rPr>
            </w:pPr>
          </w:p>
        </w:tc>
        <w:tc>
          <w:tcPr>
            <w:tcW w:w="1130" w:type="dxa"/>
            <w:vMerge/>
            <w:tcBorders>
              <w:top w:val="nil"/>
            </w:tcBorders>
            <w:textDirection w:val="tbRl"/>
          </w:tcPr>
          <w:p>
            <w:pPr>
              <w:rPr>
                <w:sz w:val="2"/>
                <w:szCs w:val="2"/>
              </w:rPr>
            </w:pPr>
          </w:p>
        </w:tc>
        <w:tc>
          <w:tcPr>
            <w:tcW w:w="3863" w:type="dxa"/>
            <w:tcBorders>
              <w:top w:val="nil"/>
              <w:bottom w:val="nil"/>
            </w:tcBorders>
          </w:tcPr>
          <w:p>
            <w:pPr>
              <w:pStyle w:val="TableParagraph"/>
              <w:rPr>
                <w:rFonts w:ascii="Times New Roman"/>
                <w:sz w:val="18"/>
              </w:rPr>
            </w:pPr>
          </w:p>
        </w:tc>
        <w:tc>
          <w:tcPr>
            <w:tcW w:w="801" w:type="dxa"/>
            <w:vMerge/>
            <w:tcBorders>
              <w:top w:val="nil"/>
            </w:tcBorders>
            <w:textDirection w:val="tbRl"/>
          </w:tcPr>
          <w:p>
            <w:pPr>
              <w:rPr>
                <w:sz w:val="2"/>
                <w:szCs w:val="2"/>
              </w:rPr>
            </w:pPr>
          </w:p>
        </w:tc>
        <w:tc>
          <w:tcPr>
            <w:tcW w:w="1370" w:type="dxa"/>
            <w:vMerge/>
            <w:tcBorders>
              <w:top w:val="nil"/>
            </w:tcBorders>
            <w:textDirection w:val="tbRl"/>
          </w:tcPr>
          <w:p>
            <w:pPr>
              <w:rPr>
                <w:sz w:val="2"/>
                <w:szCs w:val="2"/>
              </w:rPr>
            </w:pPr>
          </w:p>
        </w:tc>
        <w:tc>
          <w:tcPr>
            <w:tcW w:w="3463" w:type="dxa"/>
            <w:tcBorders>
              <w:top w:val="nil"/>
              <w:bottom w:val="nil"/>
            </w:tcBorders>
          </w:tcPr>
          <w:p>
            <w:pPr>
              <w:pStyle w:val="TableParagraph"/>
              <w:rPr>
                <w:rFonts w:ascii="Times New Roman"/>
                <w:sz w:val="18"/>
              </w:rPr>
            </w:pPr>
          </w:p>
        </w:tc>
      </w:tr>
      <w:tr>
        <w:trPr>
          <w:trHeight w:val="241" w:hRule="atLeast"/>
        </w:trPr>
        <w:tc>
          <w:tcPr>
            <w:tcW w:w="842" w:type="dxa"/>
            <w:tcBorders>
              <w:top w:val="nil"/>
              <w:bottom w:val="nil"/>
            </w:tcBorders>
          </w:tcPr>
          <w:p>
            <w:pPr>
              <w:pStyle w:val="TableParagraph"/>
              <w:rPr>
                <w:rFonts w:ascii="Times New Roman"/>
                <w:sz w:val="16"/>
              </w:rPr>
            </w:pPr>
          </w:p>
        </w:tc>
        <w:tc>
          <w:tcPr>
            <w:tcW w:w="1851" w:type="dxa"/>
            <w:tcBorders>
              <w:top w:val="nil"/>
              <w:bottom w:val="nil"/>
            </w:tcBorders>
          </w:tcPr>
          <w:p>
            <w:pPr>
              <w:pStyle w:val="TableParagraph"/>
              <w:rPr>
                <w:rFonts w:ascii="Times New Roman"/>
                <w:sz w:val="16"/>
              </w:rPr>
            </w:pPr>
          </w:p>
        </w:tc>
        <w:tc>
          <w:tcPr>
            <w:tcW w:w="571" w:type="dxa"/>
            <w:vMerge/>
            <w:tcBorders>
              <w:top w:val="nil"/>
            </w:tcBorders>
            <w:shd w:val="clear" w:color="auto" w:fill="FF0000"/>
            <w:textDirection w:val="tbRl"/>
          </w:tcPr>
          <w:p>
            <w:pPr>
              <w:rPr>
                <w:sz w:val="2"/>
                <w:szCs w:val="2"/>
              </w:rPr>
            </w:pPr>
          </w:p>
        </w:tc>
        <w:tc>
          <w:tcPr>
            <w:tcW w:w="4393" w:type="dxa"/>
            <w:tcBorders>
              <w:top w:val="nil"/>
              <w:bottom w:val="nil"/>
            </w:tcBorders>
          </w:tcPr>
          <w:p>
            <w:pPr>
              <w:pStyle w:val="TableParagraph"/>
              <w:spacing w:line="210" w:lineRule="exact" w:before="11"/>
              <w:ind w:left="107"/>
              <w:rPr>
                <w:sz w:val="18"/>
              </w:rPr>
            </w:pPr>
            <w:r>
              <w:rPr>
                <w:sz w:val="18"/>
              </w:rPr>
              <w:t>accreditation</w:t>
            </w:r>
            <w:r>
              <w:rPr>
                <w:spacing w:val="-3"/>
                <w:sz w:val="18"/>
              </w:rPr>
              <w:t> </w:t>
            </w:r>
            <w:r>
              <w:rPr>
                <w:sz w:val="18"/>
              </w:rPr>
              <w:t>to</w:t>
            </w:r>
            <w:r>
              <w:rPr>
                <w:spacing w:val="-3"/>
                <w:sz w:val="18"/>
              </w:rPr>
              <w:t> </w:t>
            </w:r>
            <w:r>
              <w:rPr>
                <w:sz w:val="18"/>
              </w:rPr>
              <w:t>the</w:t>
            </w:r>
            <w:r>
              <w:rPr>
                <w:spacing w:val="-2"/>
                <w:sz w:val="18"/>
              </w:rPr>
              <w:t> </w:t>
            </w:r>
            <w:r>
              <w:rPr>
                <w:sz w:val="18"/>
              </w:rPr>
              <w:t>Information</w:t>
            </w:r>
            <w:r>
              <w:rPr>
                <w:spacing w:val="-1"/>
                <w:sz w:val="18"/>
              </w:rPr>
              <w:t> </w:t>
            </w:r>
            <w:r>
              <w:rPr>
                <w:spacing w:val="-2"/>
                <w:sz w:val="18"/>
              </w:rPr>
              <w:t>Technology</w:t>
            </w:r>
          </w:p>
        </w:tc>
        <w:tc>
          <w:tcPr>
            <w:tcW w:w="565" w:type="dxa"/>
            <w:vMerge/>
            <w:tcBorders>
              <w:top w:val="nil"/>
            </w:tcBorders>
            <w:shd w:val="clear" w:color="auto" w:fill="FFC000"/>
            <w:textDirection w:val="tbRl"/>
          </w:tcPr>
          <w:p>
            <w:pPr>
              <w:rPr>
                <w:sz w:val="2"/>
                <w:szCs w:val="2"/>
              </w:rPr>
            </w:pPr>
          </w:p>
        </w:tc>
        <w:tc>
          <w:tcPr>
            <w:tcW w:w="4398" w:type="dxa"/>
            <w:tcBorders>
              <w:top w:val="nil"/>
              <w:bottom w:val="nil"/>
            </w:tcBorders>
          </w:tcPr>
          <w:p>
            <w:pPr>
              <w:pStyle w:val="TableParagraph"/>
              <w:rPr>
                <w:rFonts w:ascii="Times New Roman"/>
                <w:sz w:val="16"/>
              </w:rPr>
            </w:pPr>
          </w:p>
        </w:tc>
        <w:tc>
          <w:tcPr>
            <w:tcW w:w="1130" w:type="dxa"/>
            <w:vMerge/>
            <w:tcBorders>
              <w:top w:val="nil"/>
            </w:tcBorders>
            <w:textDirection w:val="tbRl"/>
          </w:tcPr>
          <w:p>
            <w:pPr>
              <w:rPr>
                <w:sz w:val="2"/>
                <w:szCs w:val="2"/>
              </w:rPr>
            </w:pPr>
          </w:p>
        </w:tc>
        <w:tc>
          <w:tcPr>
            <w:tcW w:w="3863" w:type="dxa"/>
            <w:tcBorders>
              <w:top w:val="nil"/>
              <w:bottom w:val="nil"/>
            </w:tcBorders>
          </w:tcPr>
          <w:p>
            <w:pPr>
              <w:pStyle w:val="TableParagraph"/>
              <w:rPr>
                <w:rFonts w:ascii="Times New Roman"/>
                <w:sz w:val="16"/>
              </w:rPr>
            </w:pPr>
          </w:p>
        </w:tc>
        <w:tc>
          <w:tcPr>
            <w:tcW w:w="801" w:type="dxa"/>
            <w:vMerge/>
            <w:tcBorders>
              <w:top w:val="nil"/>
            </w:tcBorders>
            <w:textDirection w:val="tbRl"/>
          </w:tcPr>
          <w:p>
            <w:pPr>
              <w:rPr>
                <w:sz w:val="2"/>
                <w:szCs w:val="2"/>
              </w:rPr>
            </w:pPr>
          </w:p>
        </w:tc>
        <w:tc>
          <w:tcPr>
            <w:tcW w:w="1370" w:type="dxa"/>
            <w:vMerge/>
            <w:tcBorders>
              <w:top w:val="nil"/>
            </w:tcBorders>
            <w:textDirection w:val="tbRl"/>
          </w:tcPr>
          <w:p>
            <w:pPr>
              <w:rPr>
                <w:sz w:val="2"/>
                <w:szCs w:val="2"/>
              </w:rPr>
            </w:pPr>
          </w:p>
        </w:tc>
        <w:tc>
          <w:tcPr>
            <w:tcW w:w="3463" w:type="dxa"/>
            <w:tcBorders>
              <w:top w:val="nil"/>
              <w:bottom w:val="nil"/>
            </w:tcBorders>
          </w:tcPr>
          <w:p>
            <w:pPr>
              <w:pStyle w:val="TableParagraph"/>
              <w:rPr>
                <w:rFonts w:ascii="Times New Roman"/>
                <w:sz w:val="16"/>
              </w:rPr>
            </w:pPr>
          </w:p>
        </w:tc>
      </w:tr>
      <w:tr>
        <w:trPr>
          <w:trHeight w:val="241" w:hRule="atLeast"/>
        </w:trPr>
        <w:tc>
          <w:tcPr>
            <w:tcW w:w="842" w:type="dxa"/>
            <w:tcBorders>
              <w:top w:val="nil"/>
              <w:bottom w:val="nil"/>
            </w:tcBorders>
          </w:tcPr>
          <w:p>
            <w:pPr>
              <w:pStyle w:val="TableParagraph"/>
              <w:rPr>
                <w:rFonts w:ascii="Times New Roman"/>
                <w:sz w:val="16"/>
              </w:rPr>
            </w:pPr>
          </w:p>
        </w:tc>
        <w:tc>
          <w:tcPr>
            <w:tcW w:w="1851" w:type="dxa"/>
            <w:tcBorders>
              <w:top w:val="nil"/>
              <w:bottom w:val="nil"/>
            </w:tcBorders>
          </w:tcPr>
          <w:p>
            <w:pPr>
              <w:pStyle w:val="TableParagraph"/>
              <w:rPr>
                <w:rFonts w:ascii="Times New Roman"/>
                <w:sz w:val="16"/>
              </w:rPr>
            </w:pPr>
          </w:p>
        </w:tc>
        <w:tc>
          <w:tcPr>
            <w:tcW w:w="571" w:type="dxa"/>
            <w:vMerge/>
            <w:tcBorders>
              <w:top w:val="nil"/>
            </w:tcBorders>
            <w:shd w:val="clear" w:color="auto" w:fill="FF0000"/>
            <w:textDirection w:val="tbRl"/>
          </w:tcPr>
          <w:p>
            <w:pPr>
              <w:rPr>
                <w:sz w:val="2"/>
                <w:szCs w:val="2"/>
              </w:rPr>
            </w:pPr>
          </w:p>
        </w:tc>
        <w:tc>
          <w:tcPr>
            <w:tcW w:w="4393" w:type="dxa"/>
            <w:tcBorders>
              <w:top w:val="nil"/>
              <w:bottom w:val="nil"/>
            </w:tcBorders>
          </w:tcPr>
          <w:p>
            <w:pPr>
              <w:pStyle w:val="TableParagraph"/>
              <w:spacing w:line="210" w:lineRule="exact" w:before="11"/>
              <w:ind w:left="107"/>
              <w:rPr>
                <w:sz w:val="18"/>
              </w:rPr>
            </w:pPr>
            <w:r>
              <w:rPr>
                <w:sz w:val="18"/>
              </w:rPr>
              <w:t>Service</w:t>
            </w:r>
            <w:r>
              <w:rPr>
                <w:spacing w:val="-2"/>
                <w:sz w:val="18"/>
              </w:rPr>
              <w:t> </w:t>
            </w:r>
            <w:r>
              <w:rPr>
                <w:sz w:val="18"/>
              </w:rPr>
              <w:t>Management</w:t>
            </w:r>
            <w:r>
              <w:rPr>
                <w:spacing w:val="-2"/>
                <w:sz w:val="18"/>
              </w:rPr>
              <w:t> </w:t>
            </w:r>
            <w:r>
              <w:rPr>
                <w:sz w:val="18"/>
              </w:rPr>
              <w:t>(ISO</w:t>
            </w:r>
            <w:r>
              <w:rPr>
                <w:spacing w:val="-2"/>
                <w:sz w:val="18"/>
              </w:rPr>
              <w:t> </w:t>
            </w:r>
            <w:r>
              <w:rPr>
                <w:sz w:val="18"/>
              </w:rPr>
              <w:t>20000)</w:t>
            </w:r>
            <w:r>
              <w:rPr>
                <w:spacing w:val="-2"/>
                <w:sz w:val="18"/>
              </w:rPr>
              <w:t> standard</w:t>
            </w:r>
          </w:p>
        </w:tc>
        <w:tc>
          <w:tcPr>
            <w:tcW w:w="565" w:type="dxa"/>
            <w:vMerge/>
            <w:tcBorders>
              <w:top w:val="nil"/>
            </w:tcBorders>
            <w:shd w:val="clear" w:color="auto" w:fill="FFC000"/>
            <w:textDirection w:val="tbRl"/>
          </w:tcPr>
          <w:p>
            <w:pPr>
              <w:rPr>
                <w:sz w:val="2"/>
                <w:szCs w:val="2"/>
              </w:rPr>
            </w:pPr>
          </w:p>
        </w:tc>
        <w:tc>
          <w:tcPr>
            <w:tcW w:w="4398" w:type="dxa"/>
            <w:tcBorders>
              <w:top w:val="nil"/>
              <w:bottom w:val="nil"/>
            </w:tcBorders>
          </w:tcPr>
          <w:p>
            <w:pPr>
              <w:pStyle w:val="TableParagraph"/>
              <w:rPr>
                <w:rFonts w:ascii="Times New Roman"/>
                <w:sz w:val="16"/>
              </w:rPr>
            </w:pPr>
          </w:p>
        </w:tc>
        <w:tc>
          <w:tcPr>
            <w:tcW w:w="1130" w:type="dxa"/>
            <w:vMerge/>
            <w:tcBorders>
              <w:top w:val="nil"/>
            </w:tcBorders>
            <w:textDirection w:val="tbRl"/>
          </w:tcPr>
          <w:p>
            <w:pPr>
              <w:rPr>
                <w:sz w:val="2"/>
                <w:szCs w:val="2"/>
              </w:rPr>
            </w:pPr>
          </w:p>
        </w:tc>
        <w:tc>
          <w:tcPr>
            <w:tcW w:w="3863" w:type="dxa"/>
            <w:tcBorders>
              <w:top w:val="nil"/>
              <w:bottom w:val="nil"/>
            </w:tcBorders>
          </w:tcPr>
          <w:p>
            <w:pPr>
              <w:pStyle w:val="TableParagraph"/>
              <w:rPr>
                <w:rFonts w:ascii="Times New Roman"/>
                <w:sz w:val="16"/>
              </w:rPr>
            </w:pPr>
          </w:p>
        </w:tc>
        <w:tc>
          <w:tcPr>
            <w:tcW w:w="801" w:type="dxa"/>
            <w:vMerge/>
            <w:tcBorders>
              <w:top w:val="nil"/>
            </w:tcBorders>
            <w:textDirection w:val="tbRl"/>
          </w:tcPr>
          <w:p>
            <w:pPr>
              <w:rPr>
                <w:sz w:val="2"/>
                <w:szCs w:val="2"/>
              </w:rPr>
            </w:pPr>
          </w:p>
        </w:tc>
        <w:tc>
          <w:tcPr>
            <w:tcW w:w="1370" w:type="dxa"/>
            <w:vMerge/>
            <w:tcBorders>
              <w:top w:val="nil"/>
            </w:tcBorders>
            <w:textDirection w:val="tbRl"/>
          </w:tcPr>
          <w:p>
            <w:pPr>
              <w:rPr>
                <w:sz w:val="2"/>
                <w:szCs w:val="2"/>
              </w:rPr>
            </w:pPr>
          </w:p>
        </w:tc>
        <w:tc>
          <w:tcPr>
            <w:tcW w:w="3463" w:type="dxa"/>
            <w:tcBorders>
              <w:top w:val="nil"/>
              <w:bottom w:val="nil"/>
            </w:tcBorders>
          </w:tcPr>
          <w:p>
            <w:pPr>
              <w:pStyle w:val="TableParagraph"/>
              <w:rPr>
                <w:rFonts w:ascii="Times New Roman"/>
                <w:sz w:val="16"/>
              </w:rPr>
            </w:pPr>
          </w:p>
        </w:tc>
      </w:tr>
      <w:tr>
        <w:trPr>
          <w:trHeight w:val="462" w:hRule="atLeast"/>
        </w:trPr>
        <w:tc>
          <w:tcPr>
            <w:tcW w:w="842" w:type="dxa"/>
            <w:tcBorders>
              <w:top w:val="nil"/>
            </w:tcBorders>
          </w:tcPr>
          <w:p>
            <w:pPr>
              <w:pStyle w:val="TableParagraph"/>
              <w:rPr>
                <w:rFonts w:ascii="Times New Roman"/>
                <w:sz w:val="18"/>
              </w:rPr>
            </w:pPr>
          </w:p>
        </w:tc>
        <w:tc>
          <w:tcPr>
            <w:tcW w:w="1851" w:type="dxa"/>
            <w:tcBorders>
              <w:top w:val="nil"/>
            </w:tcBorders>
          </w:tcPr>
          <w:p>
            <w:pPr>
              <w:pStyle w:val="TableParagraph"/>
              <w:rPr>
                <w:rFonts w:ascii="Times New Roman"/>
                <w:sz w:val="18"/>
              </w:rPr>
            </w:pPr>
          </w:p>
        </w:tc>
        <w:tc>
          <w:tcPr>
            <w:tcW w:w="571" w:type="dxa"/>
            <w:vMerge/>
            <w:tcBorders>
              <w:top w:val="nil"/>
            </w:tcBorders>
            <w:shd w:val="clear" w:color="auto" w:fill="FF0000"/>
            <w:textDirection w:val="tbRl"/>
          </w:tcPr>
          <w:p>
            <w:pPr>
              <w:rPr>
                <w:sz w:val="2"/>
                <w:szCs w:val="2"/>
              </w:rPr>
            </w:pPr>
          </w:p>
        </w:tc>
        <w:tc>
          <w:tcPr>
            <w:tcW w:w="4393" w:type="dxa"/>
            <w:tcBorders>
              <w:top w:val="nil"/>
            </w:tcBorders>
          </w:tcPr>
          <w:p>
            <w:pPr>
              <w:pStyle w:val="TableParagraph"/>
              <w:spacing w:before="11"/>
              <w:ind w:left="107"/>
              <w:rPr>
                <w:sz w:val="18"/>
              </w:rPr>
            </w:pPr>
            <w:r>
              <w:rPr>
                <w:sz w:val="18"/>
              </w:rPr>
              <w:t>for</w:t>
            </w:r>
            <w:r>
              <w:rPr>
                <w:spacing w:val="-1"/>
                <w:sz w:val="18"/>
              </w:rPr>
              <w:t> </w:t>
            </w:r>
            <w:r>
              <w:rPr>
                <w:sz w:val="18"/>
              </w:rPr>
              <w:t>service</w:t>
            </w:r>
            <w:r>
              <w:rPr>
                <w:spacing w:val="-1"/>
                <w:sz w:val="18"/>
              </w:rPr>
              <w:t> </w:t>
            </w:r>
            <w:r>
              <w:rPr>
                <w:spacing w:val="-2"/>
                <w:sz w:val="18"/>
              </w:rPr>
              <w:t>management.</w:t>
            </w:r>
          </w:p>
        </w:tc>
        <w:tc>
          <w:tcPr>
            <w:tcW w:w="565" w:type="dxa"/>
            <w:vMerge/>
            <w:tcBorders>
              <w:top w:val="nil"/>
            </w:tcBorders>
            <w:shd w:val="clear" w:color="auto" w:fill="FFC000"/>
            <w:textDirection w:val="tbRl"/>
          </w:tcPr>
          <w:p>
            <w:pPr>
              <w:rPr>
                <w:sz w:val="2"/>
                <w:szCs w:val="2"/>
              </w:rPr>
            </w:pPr>
          </w:p>
        </w:tc>
        <w:tc>
          <w:tcPr>
            <w:tcW w:w="4398" w:type="dxa"/>
            <w:tcBorders>
              <w:top w:val="nil"/>
            </w:tcBorders>
          </w:tcPr>
          <w:p>
            <w:pPr>
              <w:pStyle w:val="TableParagraph"/>
              <w:rPr>
                <w:rFonts w:ascii="Times New Roman"/>
                <w:sz w:val="18"/>
              </w:rPr>
            </w:pPr>
          </w:p>
        </w:tc>
        <w:tc>
          <w:tcPr>
            <w:tcW w:w="1130" w:type="dxa"/>
            <w:vMerge/>
            <w:tcBorders>
              <w:top w:val="nil"/>
            </w:tcBorders>
            <w:textDirection w:val="tbRl"/>
          </w:tcPr>
          <w:p>
            <w:pPr>
              <w:rPr>
                <w:sz w:val="2"/>
                <w:szCs w:val="2"/>
              </w:rPr>
            </w:pPr>
          </w:p>
        </w:tc>
        <w:tc>
          <w:tcPr>
            <w:tcW w:w="3863" w:type="dxa"/>
            <w:tcBorders>
              <w:top w:val="nil"/>
            </w:tcBorders>
          </w:tcPr>
          <w:p>
            <w:pPr>
              <w:pStyle w:val="TableParagraph"/>
              <w:rPr>
                <w:rFonts w:ascii="Times New Roman"/>
                <w:sz w:val="18"/>
              </w:rPr>
            </w:pPr>
          </w:p>
        </w:tc>
        <w:tc>
          <w:tcPr>
            <w:tcW w:w="801" w:type="dxa"/>
            <w:vMerge/>
            <w:tcBorders>
              <w:top w:val="nil"/>
            </w:tcBorders>
            <w:textDirection w:val="tbRl"/>
          </w:tcPr>
          <w:p>
            <w:pPr>
              <w:rPr>
                <w:sz w:val="2"/>
                <w:szCs w:val="2"/>
              </w:rPr>
            </w:pPr>
          </w:p>
        </w:tc>
        <w:tc>
          <w:tcPr>
            <w:tcW w:w="1370" w:type="dxa"/>
            <w:vMerge/>
            <w:tcBorders>
              <w:top w:val="nil"/>
            </w:tcBorders>
            <w:textDirection w:val="tbRl"/>
          </w:tcPr>
          <w:p>
            <w:pPr>
              <w:rPr>
                <w:sz w:val="2"/>
                <w:szCs w:val="2"/>
              </w:rPr>
            </w:pPr>
          </w:p>
        </w:tc>
        <w:tc>
          <w:tcPr>
            <w:tcW w:w="3463" w:type="dxa"/>
            <w:tcBorders>
              <w:top w:val="nil"/>
            </w:tcBorders>
          </w:tcPr>
          <w:p>
            <w:pPr>
              <w:pStyle w:val="TableParagraph"/>
              <w:rPr>
                <w:rFonts w:ascii="Times New Roman"/>
                <w:sz w:val="18"/>
              </w:rPr>
            </w:pPr>
          </w:p>
        </w:tc>
      </w:tr>
      <w:tr>
        <w:trPr>
          <w:trHeight w:val="556" w:hRule="atLeast"/>
        </w:trPr>
        <w:tc>
          <w:tcPr>
            <w:tcW w:w="23247" w:type="dxa"/>
            <w:gridSpan w:val="11"/>
            <w:shd w:val="clear" w:color="auto" w:fill="BDD7EE"/>
          </w:tcPr>
          <w:p>
            <w:pPr>
              <w:pStyle w:val="TableParagraph"/>
              <w:ind w:left="108"/>
              <w:rPr>
                <w:b/>
                <w:sz w:val="18"/>
              </w:rPr>
            </w:pPr>
            <w:r>
              <w:rPr>
                <w:b/>
                <w:sz w:val="18"/>
              </w:rPr>
              <w:t>EMPLOYMENT</w:t>
            </w:r>
            <w:r>
              <w:rPr>
                <w:b/>
                <w:spacing w:val="-9"/>
                <w:sz w:val="18"/>
              </w:rPr>
              <w:t> </w:t>
            </w:r>
            <w:r>
              <w:rPr>
                <w:b/>
                <w:spacing w:val="-2"/>
                <w:sz w:val="18"/>
              </w:rPr>
              <w:t>SERVICES</w:t>
            </w:r>
          </w:p>
        </w:tc>
      </w:tr>
    </w:tbl>
    <w:p>
      <w:pPr>
        <w:spacing w:after="0"/>
        <w:rPr>
          <w:sz w:val="18"/>
        </w:rPr>
        <w:sectPr>
          <w:footerReference w:type="default" r:id="rId205"/>
          <w:pgSz w:w="23820" w:h="16840" w:orient="landscape"/>
          <w:pgMar w:footer="204" w:header="0" w:top="260" w:bottom="400" w:left="200" w:right="140"/>
        </w:sectPr>
      </w:pPr>
    </w:p>
    <w:p>
      <w:pPr>
        <w:pStyle w:val="BodyText"/>
        <w:rPr>
          <w:b/>
          <w:sz w:val="27"/>
        </w:rPr>
      </w:pPr>
      <w:r>
        <w:rPr/>
        <w:pict>
          <v:rect style="position:absolute;margin-left:1084.847046pt;margin-top:171.057007pt;width:3.274002pt;height:10.938004pt;mso-position-horizontal-relative:page;mso-position-vertical-relative:page;z-index:-24066048" id="docshape685" filled="true" fillcolor="#ffff00" stroked="false">
            <v:fill type="solid"/>
            <w10:wrap type="none"/>
          </v:rect>
        </w:pict>
      </w:r>
    </w:p>
    <w:p>
      <w:pPr>
        <w:spacing w:before="101"/>
        <w:ind w:left="6573" w:right="6633" w:firstLine="0"/>
        <w:jc w:val="center"/>
        <w:rPr>
          <w:b/>
          <w:sz w:val="32"/>
        </w:rPr>
      </w:pPr>
      <w:r>
        <w:rPr/>
        <w:drawing>
          <wp:anchor distT="0" distB="0" distL="0" distR="0" allowOverlap="1" layoutInCell="1" locked="0" behindDoc="0" simplePos="0" relativeHeight="15853568">
            <wp:simplePos x="0" y="0"/>
            <wp:positionH relativeFrom="page">
              <wp:posOffset>598716</wp:posOffset>
            </wp:positionH>
            <wp:positionV relativeFrom="paragraph">
              <wp:posOffset>-208649</wp:posOffset>
            </wp:positionV>
            <wp:extent cx="2192182" cy="598715"/>
            <wp:effectExtent l="0" t="0" r="0" b="0"/>
            <wp:wrapNone/>
            <wp:docPr id="229" name="image105.png"/>
            <wp:cNvGraphicFramePr>
              <a:graphicFrameLocks noChangeAspect="1"/>
            </wp:cNvGraphicFramePr>
            <a:graphic>
              <a:graphicData uri="http://schemas.openxmlformats.org/drawingml/2006/picture">
                <pic:pic>
                  <pic:nvPicPr>
                    <pic:cNvPr id="230" name="image105.png"/>
                    <pic:cNvPicPr/>
                  </pic:nvPicPr>
                  <pic:blipFill>
                    <a:blip r:embed="rId206" cstate="print"/>
                    <a:stretch>
                      <a:fillRect/>
                    </a:stretch>
                  </pic:blipFill>
                  <pic:spPr>
                    <a:xfrm>
                      <a:off x="0" y="0"/>
                      <a:ext cx="2192182" cy="598715"/>
                    </a:xfrm>
                    <a:prstGeom prst="rect">
                      <a:avLst/>
                    </a:prstGeom>
                  </pic:spPr>
                </pic:pic>
              </a:graphicData>
            </a:graphic>
          </wp:anchor>
        </w:drawing>
      </w:r>
      <w:r>
        <w:rPr>
          <w:b/>
          <w:sz w:val="32"/>
        </w:rPr>
        <w:t>APPENDIX</w:t>
      </w:r>
      <w:r>
        <w:rPr>
          <w:b/>
          <w:spacing w:val="-6"/>
          <w:sz w:val="32"/>
        </w:rPr>
        <w:t> </w:t>
      </w:r>
      <w:r>
        <w:rPr>
          <w:b/>
          <w:sz w:val="32"/>
        </w:rPr>
        <w:t>A</w:t>
      </w:r>
      <w:r>
        <w:rPr>
          <w:b/>
          <w:spacing w:val="-3"/>
          <w:sz w:val="32"/>
        </w:rPr>
        <w:t> </w:t>
      </w:r>
      <w:r>
        <w:rPr>
          <w:b/>
          <w:sz w:val="32"/>
        </w:rPr>
        <w:t>-</w:t>
      </w:r>
      <w:r>
        <w:rPr>
          <w:b/>
          <w:spacing w:val="-3"/>
          <w:sz w:val="32"/>
        </w:rPr>
        <w:t> </w:t>
      </w:r>
      <w:r>
        <w:rPr>
          <w:b/>
          <w:sz w:val="32"/>
        </w:rPr>
        <w:t>PROGRESS</w:t>
      </w:r>
      <w:r>
        <w:rPr>
          <w:b/>
          <w:spacing w:val="-3"/>
          <w:sz w:val="32"/>
        </w:rPr>
        <w:t> </w:t>
      </w:r>
      <w:r>
        <w:rPr>
          <w:b/>
          <w:sz w:val="32"/>
        </w:rPr>
        <w:t>OF</w:t>
      </w:r>
      <w:r>
        <w:rPr>
          <w:b/>
          <w:spacing w:val="-3"/>
          <w:sz w:val="32"/>
        </w:rPr>
        <w:t> </w:t>
      </w:r>
      <w:r>
        <w:rPr>
          <w:b/>
          <w:sz w:val="32"/>
        </w:rPr>
        <w:t>AUDIT</w:t>
      </w:r>
      <w:r>
        <w:rPr>
          <w:b/>
          <w:spacing w:val="-2"/>
          <w:sz w:val="32"/>
        </w:rPr>
        <w:t> RECOMMENDATIONS</w:t>
      </w:r>
    </w:p>
    <w:p>
      <w:pPr>
        <w:pStyle w:val="BodyText"/>
        <w:rPr>
          <w:b/>
          <w:sz w:val="20"/>
        </w:rPr>
      </w:pPr>
    </w:p>
    <w:p>
      <w:pPr>
        <w:pStyle w:val="BodyText"/>
        <w:spacing w:before="4"/>
        <w:rPr>
          <w:b/>
          <w:sz w:val="23"/>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6"/>
        <w:gridCol w:w="1987"/>
        <w:gridCol w:w="571"/>
        <w:gridCol w:w="4411"/>
        <w:gridCol w:w="547"/>
        <w:gridCol w:w="4439"/>
        <w:gridCol w:w="990"/>
        <w:gridCol w:w="3968"/>
        <w:gridCol w:w="809"/>
        <w:gridCol w:w="1276"/>
        <w:gridCol w:w="3543"/>
      </w:tblGrid>
      <w:tr>
        <w:trPr>
          <w:trHeight w:val="267" w:hRule="atLeast"/>
        </w:trPr>
        <w:tc>
          <w:tcPr>
            <w:tcW w:w="23247" w:type="dxa"/>
            <w:gridSpan w:val="11"/>
            <w:shd w:val="clear" w:color="auto" w:fill="8DB3E2"/>
          </w:tcPr>
          <w:p>
            <w:pPr>
              <w:pStyle w:val="TableParagraph"/>
              <w:ind w:left="108"/>
              <w:rPr>
                <w:b/>
                <w:sz w:val="18"/>
              </w:rPr>
            </w:pPr>
            <w:r>
              <w:rPr>
                <w:b/>
                <w:spacing w:val="-2"/>
                <w:sz w:val="18"/>
              </w:rPr>
              <w:t>Payroll</w:t>
            </w:r>
          </w:p>
        </w:tc>
      </w:tr>
      <w:tr>
        <w:trPr>
          <w:trHeight w:val="4812" w:hRule="atLeast"/>
        </w:trPr>
        <w:tc>
          <w:tcPr>
            <w:tcW w:w="706" w:type="dxa"/>
          </w:tcPr>
          <w:p>
            <w:pPr>
              <w:pStyle w:val="TableParagraph"/>
              <w:ind w:left="108"/>
              <w:rPr>
                <w:sz w:val="18"/>
              </w:rPr>
            </w:pPr>
            <w:r>
              <w:rPr>
                <w:spacing w:val="-5"/>
                <w:sz w:val="18"/>
              </w:rPr>
              <w:t>3.</w:t>
            </w:r>
          </w:p>
        </w:tc>
        <w:tc>
          <w:tcPr>
            <w:tcW w:w="1987" w:type="dxa"/>
          </w:tcPr>
          <w:p>
            <w:pPr>
              <w:pStyle w:val="TableParagraph"/>
              <w:spacing w:line="276" w:lineRule="auto"/>
              <w:ind w:left="107" w:right="292"/>
              <w:rPr>
                <w:sz w:val="18"/>
              </w:rPr>
            </w:pPr>
            <w:r>
              <w:rPr>
                <w:sz w:val="18"/>
              </w:rPr>
              <w:t>Payroll</w:t>
            </w:r>
            <w:r>
              <w:rPr>
                <w:spacing w:val="-16"/>
                <w:sz w:val="18"/>
              </w:rPr>
              <w:t> </w:t>
            </w:r>
            <w:r>
              <w:rPr>
                <w:sz w:val="18"/>
              </w:rPr>
              <w:t>Services</w:t>
            </w:r>
            <w:r>
              <w:rPr>
                <w:spacing w:val="-16"/>
                <w:sz w:val="18"/>
              </w:rPr>
              <w:t> </w:t>
            </w:r>
            <w:r>
              <w:rPr>
                <w:sz w:val="18"/>
              </w:rPr>
              <w:t>- </w:t>
            </w:r>
            <w:r>
              <w:rPr>
                <w:spacing w:val="-2"/>
                <w:sz w:val="18"/>
              </w:rPr>
              <w:t>2021-22</w:t>
            </w:r>
          </w:p>
          <w:p>
            <w:pPr>
              <w:pStyle w:val="TableParagraph"/>
              <w:spacing w:before="5"/>
              <w:rPr>
                <w:b/>
                <w:sz w:val="16"/>
              </w:rPr>
            </w:pPr>
          </w:p>
          <w:p>
            <w:pPr>
              <w:pStyle w:val="TableParagraph"/>
              <w:ind w:left="107"/>
              <w:rPr>
                <w:sz w:val="18"/>
              </w:rPr>
            </w:pPr>
            <w:r>
              <w:rPr>
                <w:spacing w:val="-2"/>
                <w:sz w:val="18"/>
              </w:rPr>
              <w:t>NWSSP-2122-</w:t>
            </w:r>
            <w:r>
              <w:rPr>
                <w:spacing w:val="-5"/>
                <w:sz w:val="18"/>
              </w:rPr>
              <w:t>14</w:t>
            </w:r>
          </w:p>
        </w:tc>
        <w:tc>
          <w:tcPr>
            <w:tcW w:w="571" w:type="dxa"/>
            <w:shd w:val="clear" w:color="auto" w:fill="00B0EF"/>
            <w:textDirection w:val="tbRl"/>
          </w:tcPr>
          <w:p>
            <w:pPr>
              <w:pStyle w:val="TableParagraph"/>
              <w:spacing w:before="98"/>
              <w:ind w:left="113"/>
              <w:rPr>
                <w:b/>
                <w:sz w:val="18"/>
              </w:rPr>
            </w:pPr>
            <w:r>
              <w:rPr>
                <w:b/>
                <w:sz w:val="18"/>
              </w:rPr>
              <w:t>DEPENDANT</w:t>
            </w:r>
            <w:r>
              <w:rPr>
                <w:b/>
                <w:spacing w:val="-13"/>
                <w:sz w:val="18"/>
              </w:rPr>
              <w:t> </w:t>
            </w:r>
            <w:r>
              <w:rPr>
                <w:b/>
                <w:sz w:val="18"/>
              </w:rPr>
              <w:t>ON</w:t>
            </w:r>
            <w:r>
              <w:rPr>
                <w:b/>
                <w:spacing w:val="-13"/>
                <w:sz w:val="18"/>
              </w:rPr>
              <w:t> </w:t>
            </w:r>
            <w:r>
              <w:rPr>
                <w:b/>
                <w:sz w:val="18"/>
              </w:rPr>
              <w:t>THIRD</w:t>
            </w:r>
            <w:r>
              <w:rPr>
                <w:b/>
                <w:spacing w:val="-13"/>
                <w:sz w:val="18"/>
              </w:rPr>
              <w:t> </w:t>
            </w:r>
            <w:r>
              <w:rPr>
                <w:b/>
                <w:sz w:val="18"/>
              </w:rPr>
              <w:t>PARTY </w:t>
            </w:r>
            <w:r>
              <w:rPr>
                <w:b/>
                <w:spacing w:val="-2"/>
                <w:sz w:val="18"/>
              </w:rPr>
              <w:t>ORGANISATIONS</w:t>
            </w:r>
          </w:p>
        </w:tc>
        <w:tc>
          <w:tcPr>
            <w:tcW w:w="4411" w:type="dxa"/>
          </w:tcPr>
          <w:p>
            <w:pPr>
              <w:pStyle w:val="TableParagraph"/>
              <w:ind w:left="107" w:right="173"/>
              <w:rPr>
                <w:sz w:val="18"/>
              </w:rPr>
            </w:pPr>
            <w:r>
              <w:rPr>
                <w:sz w:val="18"/>
              </w:rPr>
              <w:t>The previous Payroll audit report (NWSSP- 2021-08) highlighted an inconsistent approach across NHS Wales organisations and Payroll teams. An all-Wales Overpayments Policy has been drafted but has not yet been approved. Overpayment registers are maintained for each health body.</w:t>
            </w:r>
            <w:r>
              <w:rPr>
                <w:spacing w:val="-7"/>
                <w:sz w:val="18"/>
              </w:rPr>
              <w:t> </w:t>
            </w:r>
            <w:r>
              <w:rPr>
                <w:sz w:val="18"/>
              </w:rPr>
              <w:t>Sample</w:t>
            </w:r>
            <w:r>
              <w:rPr>
                <w:spacing w:val="-6"/>
                <w:sz w:val="18"/>
              </w:rPr>
              <w:t> </w:t>
            </w:r>
            <w:r>
              <w:rPr>
                <w:sz w:val="18"/>
              </w:rPr>
              <w:t>testing</w:t>
            </w:r>
            <w:r>
              <w:rPr>
                <w:spacing w:val="-7"/>
                <w:sz w:val="18"/>
              </w:rPr>
              <w:t> </w:t>
            </w:r>
            <w:r>
              <w:rPr>
                <w:sz w:val="18"/>
              </w:rPr>
              <w:t>of</w:t>
            </w:r>
            <w:r>
              <w:rPr>
                <w:spacing w:val="-7"/>
                <w:sz w:val="18"/>
              </w:rPr>
              <w:t> </w:t>
            </w:r>
            <w:r>
              <w:rPr>
                <w:sz w:val="18"/>
              </w:rPr>
              <w:t>60</w:t>
            </w:r>
            <w:r>
              <w:rPr>
                <w:spacing w:val="-6"/>
                <w:sz w:val="18"/>
              </w:rPr>
              <w:t> </w:t>
            </w:r>
            <w:r>
              <w:rPr>
                <w:sz w:val="18"/>
              </w:rPr>
              <w:t>overpayments</w:t>
            </w:r>
            <w:r>
              <w:rPr>
                <w:spacing w:val="-6"/>
                <w:sz w:val="18"/>
              </w:rPr>
              <w:t> </w:t>
            </w:r>
            <w:r>
              <w:rPr>
                <w:sz w:val="18"/>
              </w:rPr>
              <w:t>for the period February 2021 to January 2022 noted that all had evidence on file to demonstrate</w:t>
            </w:r>
            <w:r>
              <w:rPr>
                <w:spacing w:val="-2"/>
                <w:sz w:val="18"/>
              </w:rPr>
              <w:t> </w:t>
            </w:r>
            <w:r>
              <w:rPr>
                <w:sz w:val="18"/>
              </w:rPr>
              <w:t>action</w:t>
            </w:r>
            <w:r>
              <w:rPr>
                <w:spacing w:val="-2"/>
                <w:sz w:val="18"/>
              </w:rPr>
              <w:t> </w:t>
            </w:r>
            <w:r>
              <w:rPr>
                <w:sz w:val="18"/>
              </w:rPr>
              <w:t>taken</w:t>
            </w:r>
            <w:r>
              <w:rPr>
                <w:spacing w:val="-1"/>
                <w:sz w:val="18"/>
              </w:rPr>
              <w:t> </w:t>
            </w:r>
            <w:r>
              <w:rPr>
                <w:sz w:val="18"/>
              </w:rPr>
              <w:t>to</w:t>
            </w:r>
            <w:r>
              <w:rPr>
                <w:spacing w:val="-2"/>
                <w:sz w:val="18"/>
              </w:rPr>
              <w:t> </w:t>
            </w:r>
            <w:r>
              <w:rPr>
                <w:sz w:val="18"/>
              </w:rPr>
              <w:t>recover</w:t>
            </w:r>
            <w:r>
              <w:rPr>
                <w:spacing w:val="-1"/>
                <w:sz w:val="18"/>
              </w:rPr>
              <w:t> </w:t>
            </w:r>
            <w:r>
              <w:rPr>
                <w:sz w:val="18"/>
              </w:rPr>
              <w:t>monies. However, we identified 27 instances where there were delays of more than five weeks between identification of the overpayment and initiating action to recover.</w:t>
            </w:r>
          </w:p>
        </w:tc>
        <w:tc>
          <w:tcPr>
            <w:tcW w:w="547" w:type="dxa"/>
            <w:shd w:val="clear" w:color="auto" w:fill="FFC000"/>
            <w:textDirection w:val="tbRl"/>
          </w:tcPr>
          <w:p>
            <w:pPr>
              <w:pStyle w:val="TableParagraph"/>
              <w:spacing w:before="98"/>
              <w:ind w:left="113"/>
              <w:rPr>
                <w:b/>
                <w:sz w:val="18"/>
              </w:rPr>
            </w:pPr>
            <w:r>
              <w:rPr>
                <w:b/>
                <w:spacing w:val="-2"/>
                <w:sz w:val="18"/>
              </w:rPr>
              <w:t>Medium</w:t>
            </w:r>
          </w:p>
        </w:tc>
        <w:tc>
          <w:tcPr>
            <w:tcW w:w="4439" w:type="dxa"/>
          </w:tcPr>
          <w:p>
            <w:pPr>
              <w:pStyle w:val="TableParagraph"/>
              <w:spacing w:line="276" w:lineRule="auto"/>
              <w:ind w:left="108" w:right="196"/>
              <w:rPr>
                <w:sz w:val="18"/>
              </w:rPr>
            </w:pPr>
            <w:r>
              <w:rPr>
                <w:sz w:val="18"/>
              </w:rPr>
              <w:t>2.2</w:t>
            </w:r>
            <w:r>
              <w:rPr>
                <w:spacing w:val="-8"/>
                <w:sz w:val="18"/>
              </w:rPr>
              <w:t> </w:t>
            </w:r>
            <w:r>
              <w:rPr>
                <w:sz w:val="18"/>
              </w:rPr>
              <w:t>Management</w:t>
            </w:r>
            <w:r>
              <w:rPr>
                <w:spacing w:val="-7"/>
                <w:sz w:val="18"/>
              </w:rPr>
              <w:t> </w:t>
            </w:r>
            <w:r>
              <w:rPr>
                <w:sz w:val="18"/>
              </w:rPr>
              <w:t>should</w:t>
            </w:r>
            <w:r>
              <w:rPr>
                <w:spacing w:val="-7"/>
                <w:sz w:val="18"/>
              </w:rPr>
              <w:t> </w:t>
            </w:r>
            <w:r>
              <w:rPr>
                <w:sz w:val="18"/>
              </w:rPr>
              <w:t>progress</w:t>
            </w:r>
            <w:r>
              <w:rPr>
                <w:spacing w:val="-8"/>
                <w:sz w:val="18"/>
              </w:rPr>
              <w:t> </w:t>
            </w:r>
            <w:r>
              <w:rPr>
                <w:sz w:val="18"/>
              </w:rPr>
              <w:t>in</w:t>
            </w:r>
            <w:r>
              <w:rPr>
                <w:spacing w:val="-8"/>
                <w:sz w:val="18"/>
              </w:rPr>
              <w:t> </w:t>
            </w:r>
            <w:r>
              <w:rPr>
                <w:sz w:val="18"/>
              </w:rPr>
              <w:t>agreeing and approving the drafted all-Wales Overpayments Policy to ensure a consistent approach is implemented across all Payroll </w:t>
            </w:r>
            <w:r>
              <w:rPr>
                <w:spacing w:val="-2"/>
                <w:sz w:val="18"/>
              </w:rPr>
              <w:t>Teams.</w:t>
            </w:r>
          </w:p>
        </w:tc>
        <w:tc>
          <w:tcPr>
            <w:tcW w:w="990" w:type="dxa"/>
            <w:textDirection w:val="tbRl"/>
          </w:tcPr>
          <w:p>
            <w:pPr>
              <w:pStyle w:val="TableParagraph"/>
              <w:spacing w:before="98"/>
              <w:rPr>
                <w:sz w:val="18"/>
              </w:rPr>
            </w:pPr>
            <w:r>
              <w:rPr>
                <w:sz w:val="18"/>
              </w:rPr>
              <w:t>Head</w:t>
            </w:r>
            <w:r>
              <w:rPr>
                <w:spacing w:val="-3"/>
                <w:sz w:val="18"/>
              </w:rPr>
              <w:t> </w:t>
            </w:r>
            <w:r>
              <w:rPr>
                <w:sz w:val="18"/>
              </w:rPr>
              <w:t>of</w:t>
            </w:r>
            <w:r>
              <w:rPr>
                <w:spacing w:val="-2"/>
                <w:sz w:val="18"/>
              </w:rPr>
              <w:t> modernisation</w:t>
            </w:r>
          </w:p>
        </w:tc>
        <w:tc>
          <w:tcPr>
            <w:tcW w:w="3968" w:type="dxa"/>
          </w:tcPr>
          <w:p>
            <w:pPr>
              <w:pStyle w:val="TableParagraph"/>
              <w:spacing w:line="276" w:lineRule="auto"/>
              <w:ind w:left="107" w:right="155"/>
              <w:rPr>
                <w:sz w:val="18"/>
              </w:rPr>
            </w:pPr>
            <w:r>
              <w:rPr>
                <w:sz w:val="18"/>
              </w:rPr>
              <w:t>2.2 We acknowledge the finding of the audit report, the All-Wales Overpayments Procedure has been completed, it has been out for consultation</w:t>
            </w:r>
            <w:r>
              <w:rPr>
                <w:spacing w:val="-9"/>
                <w:sz w:val="18"/>
              </w:rPr>
              <w:t> </w:t>
            </w:r>
            <w:r>
              <w:rPr>
                <w:sz w:val="18"/>
              </w:rPr>
              <w:t>with</w:t>
            </w:r>
            <w:r>
              <w:rPr>
                <w:spacing w:val="-9"/>
                <w:sz w:val="18"/>
              </w:rPr>
              <w:t> </w:t>
            </w:r>
            <w:r>
              <w:rPr>
                <w:sz w:val="18"/>
              </w:rPr>
              <w:t>the</w:t>
            </w:r>
            <w:r>
              <w:rPr>
                <w:spacing w:val="-8"/>
                <w:sz w:val="18"/>
              </w:rPr>
              <w:t> </w:t>
            </w:r>
            <w:r>
              <w:rPr>
                <w:sz w:val="18"/>
              </w:rPr>
              <w:t>Finance</w:t>
            </w:r>
            <w:r>
              <w:rPr>
                <w:spacing w:val="-9"/>
                <w:sz w:val="18"/>
              </w:rPr>
              <w:t> </w:t>
            </w:r>
            <w:r>
              <w:rPr>
                <w:sz w:val="18"/>
              </w:rPr>
              <w:t>Colleagues and</w:t>
            </w:r>
            <w:r>
              <w:rPr>
                <w:spacing w:val="-5"/>
                <w:sz w:val="18"/>
              </w:rPr>
              <w:t> </w:t>
            </w:r>
            <w:r>
              <w:rPr>
                <w:sz w:val="18"/>
              </w:rPr>
              <w:t>Counter</w:t>
            </w:r>
            <w:r>
              <w:rPr>
                <w:spacing w:val="-6"/>
                <w:sz w:val="18"/>
              </w:rPr>
              <w:t> </w:t>
            </w:r>
            <w:r>
              <w:rPr>
                <w:sz w:val="18"/>
              </w:rPr>
              <w:t>Fraud</w:t>
            </w:r>
            <w:r>
              <w:rPr>
                <w:spacing w:val="-5"/>
                <w:sz w:val="18"/>
              </w:rPr>
              <w:t> </w:t>
            </w:r>
            <w:r>
              <w:rPr>
                <w:sz w:val="18"/>
              </w:rPr>
              <w:t>and</w:t>
            </w:r>
            <w:r>
              <w:rPr>
                <w:spacing w:val="-5"/>
                <w:sz w:val="18"/>
              </w:rPr>
              <w:t> </w:t>
            </w:r>
            <w:r>
              <w:rPr>
                <w:sz w:val="18"/>
              </w:rPr>
              <w:t>the</w:t>
            </w:r>
            <w:r>
              <w:rPr>
                <w:spacing w:val="-6"/>
                <w:sz w:val="18"/>
              </w:rPr>
              <w:t> </w:t>
            </w:r>
            <w:r>
              <w:rPr>
                <w:sz w:val="18"/>
              </w:rPr>
              <w:t>details</w:t>
            </w:r>
            <w:r>
              <w:rPr>
                <w:spacing w:val="-6"/>
                <w:sz w:val="18"/>
              </w:rPr>
              <w:t> </w:t>
            </w:r>
            <w:r>
              <w:rPr>
                <w:sz w:val="18"/>
              </w:rPr>
              <w:t>of</w:t>
            </w:r>
            <w:r>
              <w:rPr>
                <w:spacing w:val="-6"/>
                <w:sz w:val="18"/>
              </w:rPr>
              <w:t> </w:t>
            </w:r>
            <w:r>
              <w:rPr>
                <w:sz w:val="18"/>
              </w:rPr>
              <w:t>the responses will be discussed on how to progress this.</w:t>
            </w:r>
          </w:p>
        </w:tc>
        <w:tc>
          <w:tcPr>
            <w:tcW w:w="809" w:type="dxa"/>
            <w:textDirection w:val="tbRl"/>
          </w:tcPr>
          <w:p>
            <w:pPr>
              <w:pStyle w:val="TableParagraph"/>
              <w:spacing w:before="98"/>
              <w:rPr>
                <w:b/>
                <w:sz w:val="18"/>
              </w:rPr>
            </w:pPr>
            <w:r>
              <w:rPr>
                <w:b/>
                <w:spacing w:val="-2"/>
                <w:sz w:val="18"/>
              </w:rPr>
              <w:t>30/06/2022</w:t>
            </w:r>
          </w:p>
        </w:tc>
        <w:tc>
          <w:tcPr>
            <w:tcW w:w="1276" w:type="dxa"/>
          </w:tcPr>
          <w:p>
            <w:pPr>
              <w:pStyle w:val="TableParagraph"/>
              <w:rPr>
                <w:rFonts w:ascii="Times New Roman"/>
                <w:sz w:val="18"/>
              </w:rPr>
            </w:pPr>
          </w:p>
        </w:tc>
        <w:tc>
          <w:tcPr>
            <w:tcW w:w="3543" w:type="dxa"/>
          </w:tcPr>
          <w:p>
            <w:pPr>
              <w:pStyle w:val="TableParagraph"/>
              <w:spacing w:line="276" w:lineRule="auto"/>
              <w:ind w:left="108" w:right="109"/>
              <w:rPr>
                <w:sz w:val="18"/>
              </w:rPr>
            </w:pPr>
            <w:r>
              <w:rPr>
                <w:sz w:val="18"/>
              </w:rPr>
              <w:t>This was considered at the November</w:t>
            </w:r>
            <w:r>
              <w:rPr>
                <w:spacing w:val="-10"/>
                <w:sz w:val="18"/>
              </w:rPr>
              <w:t> </w:t>
            </w:r>
            <w:r>
              <w:rPr>
                <w:sz w:val="18"/>
              </w:rPr>
              <w:t>2022</w:t>
            </w:r>
            <w:r>
              <w:rPr>
                <w:spacing w:val="-10"/>
                <w:sz w:val="18"/>
              </w:rPr>
              <w:t> </w:t>
            </w:r>
            <w:r>
              <w:rPr>
                <w:sz w:val="18"/>
              </w:rPr>
              <w:t>Deputy</w:t>
            </w:r>
            <w:r>
              <w:rPr>
                <w:spacing w:val="-10"/>
                <w:sz w:val="18"/>
              </w:rPr>
              <w:t> </w:t>
            </w:r>
            <w:r>
              <w:rPr>
                <w:sz w:val="18"/>
              </w:rPr>
              <w:t>Directors</w:t>
            </w:r>
            <w:r>
              <w:rPr>
                <w:spacing w:val="-10"/>
                <w:sz w:val="18"/>
              </w:rPr>
              <w:t> </w:t>
            </w:r>
            <w:r>
              <w:rPr>
                <w:sz w:val="18"/>
              </w:rPr>
              <w:t>of Finance meeting and views were expressed as to whether the policy was needed and if it was, whether this should be taken forward by the Finance Academy.</w:t>
            </w:r>
          </w:p>
        </w:tc>
      </w:tr>
      <w:tr>
        <w:trPr>
          <w:trHeight w:val="451" w:hRule="atLeast"/>
        </w:trPr>
        <w:tc>
          <w:tcPr>
            <w:tcW w:w="23247" w:type="dxa"/>
            <w:gridSpan w:val="11"/>
            <w:shd w:val="clear" w:color="auto" w:fill="8DB3E2"/>
          </w:tcPr>
          <w:p>
            <w:pPr>
              <w:pStyle w:val="TableParagraph"/>
              <w:ind w:left="108"/>
              <w:rPr>
                <w:b/>
                <w:sz w:val="18"/>
              </w:rPr>
            </w:pPr>
            <w:r>
              <w:rPr>
                <w:b/>
                <w:sz w:val="18"/>
              </w:rPr>
              <w:t>Recruitment</w:t>
            </w:r>
            <w:r>
              <w:rPr>
                <w:b/>
                <w:spacing w:val="-10"/>
                <w:sz w:val="18"/>
              </w:rPr>
              <w:t> </w:t>
            </w:r>
            <w:r>
              <w:rPr>
                <w:b/>
                <w:spacing w:val="-2"/>
                <w:sz w:val="18"/>
              </w:rPr>
              <w:t>Services</w:t>
            </w:r>
          </w:p>
        </w:tc>
      </w:tr>
      <w:tr>
        <w:trPr>
          <w:trHeight w:val="4812" w:hRule="atLeast"/>
        </w:trPr>
        <w:tc>
          <w:tcPr>
            <w:tcW w:w="706" w:type="dxa"/>
          </w:tcPr>
          <w:p>
            <w:pPr>
              <w:pStyle w:val="TableParagraph"/>
              <w:ind w:left="108"/>
              <w:rPr>
                <w:sz w:val="18"/>
              </w:rPr>
            </w:pPr>
            <w:r>
              <w:rPr>
                <w:spacing w:val="-5"/>
                <w:sz w:val="18"/>
              </w:rPr>
              <w:t>4.</w:t>
            </w:r>
          </w:p>
        </w:tc>
        <w:tc>
          <w:tcPr>
            <w:tcW w:w="1987" w:type="dxa"/>
          </w:tcPr>
          <w:p>
            <w:pPr>
              <w:pStyle w:val="TableParagraph"/>
              <w:spacing w:line="276" w:lineRule="auto"/>
              <w:ind w:left="107" w:right="292"/>
              <w:rPr>
                <w:sz w:val="18"/>
              </w:rPr>
            </w:pPr>
            <w:r>
              <w:rPr>
                <w:spacing w:val="-2"/>
                <w:sz w:val="18"/>
              </w:rPr>
              <w:t>Recruitment Services</w:t>
            </w:r>
          </w:p>
          <w:p>
            <w:pPr>
              <w:pStyle w:val="TableParagraph"/>
              <w:spacing w:before="5"/>
              <w:rPr>
                <w:b/>
                <w:sz w:val="16"/>
              </w:rPr>
            </w:pPr>
          </w:p>
          <w:p>
            <w:pPr>
              <w:pStyle w:val="TableParagraph"/>
              <w:ind w:left="107"/>
              <w:rPr>
                <w:sz w:val="18"/>
              </w:rPr>
            </w:pPr>
            <w:r>
              <w:rPr>
                <w:spacing w:val="-2"/>
                <w:sz w:val="18"/>
              </w:rPr>
              <w:t>NWSSP-2223-</w:t>
            </w:r>
            <w:r>
              <w:rPr>
                <w:spacing w:val="-5"/>
                <w:sz w:val="18"/>
              </w:rPr>
              <w:t>02</w:t>
            </w:r>
          </w:p>
        </w:tc>
        <w:tc>
          <w:tcPr>
            <w:tcW w:w="571" w:type="dxa"/>
            <w:shd w:val="clear" w:color="auto" w:fill="92D050"/>
            <w:textDirection w:val="tbRl"/>
          </w:tcPr>
          <w:p>
            <w:pPr>
              <w:pStyle w:val="TableParagraph"/>
              <w:spacing w:before="98"/>
              <w:ind w:left="113"/>
              <w:rPr>
                <w:b/>
                <w:sz w:val="18"/>
              </w:rPr>
            </w:pPr>
            <w:r>
              <w:rPr>
                <w:b/>
                <w:spacing w:val="-5"/>
                <w:sz w:val="18"/>
              </w:rPr>
              <w:t>NYD</w:t>
            </w:r>
          </w:p>
        </w:tc>
        <w:tc>
          <w:tcPr>
            <w:tcW w:w="4411" w:type="dxa"/>
          </w:tcPr>
          <w:p>
            <w:pPr>
              <w:pStyle w:val="TableParagraph"/>
              <w:ind w:left="107" w:right="173"/>
              <w:rPr>
                <w:sz w:val="18"/>
              </w:rPr>
            </w:pPr>
            <w:r>
              <w:rPr>
                <w:sz w:val="18"/>
              </w:rPr>
              <w:t>We were informed that due to recent work pressures, a review of customer satisfaction surveys</w:t>
            </w:r>
            <w:r>
              <w:rPr>
                <w:spacing w:val="-6"/>
                <w:sz w:val="18"/>
              </w:rPr>
              <w:t> </w:t>
            </w:r>
            <w:r>
              <w:rPr>
                <w:sz w:val="18"/>
              </w:rPr>
              <w:t>have</w:t>
            </w:r>
            <w:r>
              <w:rPr>
                <w:spacing w:val="-7"/>
                <w:sz w:val="18"/>
              </w:rPr>
              <w:t> </w:t>
            </w:r>
            <w:r>
              <w:rPr>
                <w:sz w:val="18"/>
              </w:rPr>
              <w:t>not</w:t>
            </w:r>
            <w:r>
              <w:rPr>
                <w:spacing w:val="-7"/>
                <w:sz w:val="18"/>
              </w:rPr>
              <w:t> </w:t>
            </w:r>
            <w:r>
              <w:rPr>
                <w:sz w:val="18"/>
              </w:rPr>
              <w:t>taken</w:t>
            </w:r>
            <w:r>
              <w:rPr>
                <w:spacing w:val="-6"/>
                <w:sz w:val="18"/>
              </w:rPr>
              <w:t> </w:t>
            </w:r>
            <w:r>
              <w:rPr>
                <w:sz w:val="18"/>
              </w:rPr>
              <w:t>place</w:t>
            </w:r>
            <w:r>
              <w:rPr>
                <w:spacing w:val="-7"/>
                <w:sz w:val="18"/>
              </w:rPr>
              <w:t> </w:t>
            </w:r>
            <w:r>
              <w:rPr>
                <w:sz w:val="18"/>
              </w:rPr>
              <w:t>since</w:t>
            </w:r>
            <w:r>
              <w:rPr>
                <w:spacing w:val="-7"/>
                <w:sz w:val="18"/>
              </w:rPr>
              <w:t> </w:t>
            </w:r>
            <w:r>
              <w:rPr>
                <w:sz w:val="18"/>
              </w:rPr>
              <w:t>February </w:t>
            </w:r>
            <w:r>
              <w:rPr>
                <w:spacing w:val="-2"/>
                <w:sz w:val="18"/>
              </w:rPr>
              <w:t>2022.</w:t>
            </w:r>
          </w:p>
        </w:tc>
        <w:tc>
          <w:tcPr>
            <w:tcW w:w="547" w:type="dxa"/>
            <w:shd w:val="clear" w:color="auto" w:fill="FFC000"/>
            <w:textDirection w:val="tbRl"/>
          </w:tcPr>
          <w:p>
            <w:pPr>
              <w:pStyle w:val="TableParagraph"/>
              <w:spacing w:before="98"/>
              <w:ind w:left="113"/>
              <w:rPr>
                <w:b/>
                <w:sz w:val="18"/>
              </w:rPr>
            </w:pPr>
            <w:r>
              <w:rPr>
                <w:b/>
                <w:spacing w:val="-2"/>
                <w:sz w:val="18"/>
              </w:rPr>
              <w:t>Medium</w:t>
            </w:r>
          </w:p>
        </w:tc>
        <w:tc>
          <w:tcPr>
            <w:tcW w:w="4439" w:type="dxa"/>
          </w:tcPr>
          <w:p>
            <w:pPr>
              <w:pStyle w:val="TableParagraph"/>
              <w:spacing w:line="276" w:lineRule="auto"/>
              <w:ind w:left="108" w:right="196"/>
              <w:rPr>
                <w:sz w:val="18"/>
              </w:rPr>
            </w:pPr>
            <w:r>
              <w:rPr>
                <w:sz w:val="18"/>
              </w:rPr>
              <w:t>Feedback received via the customer satisfaction</w:t>
            </w:r>
            <w:r>
              <w:rPr>
                <w:spacing w:val="-8"/>
                <w:sz w:val="18"/>
              </w:rPr>
              <w:t> </w:t>
            </w:r>
            <w:r>
              <w:rPr>
                <w:sz w:val="18"/>
              </w:rPr>
              <w:t>surveys</w:t>
            </w:r>
            <w:r>
              <w:rPr>
                <w:spacing w:val="-8"/>
                <w:sz w:val="18"/>
              </w:rPr>
              <w:t> </w:t>
            </w:r>
            <w:r>
              <w:rPr>
                <w:sz w:val="18"/>
              </w:rPr>
              <w:t>should</w:t>
            </w:r>
            <w:r>
              <w:rPr>
                <w:spacing w:val="-7"/>
                <w:sz w:val="18"/>
              </w:rPr>
              <w:t> </w:t>
            </w:r>
            <w:r>
              <w:rPr>
                <w:sz w:val="18"/>
              </w:rPr>
              <w:t>be</w:t>
            </w:r>
            <w:r>
              <w:rPr>
                <w:spacing w:val="-8"/>
                <w:sz w:val="18"/>
              </w:rPr>
              <w:t> </w:t>
            </w:r>
            <w:r>
              <w:rPr>
                <w:sz w:val="18"/>
              </w:rPr>
              <w:t>reviewed</w:t>
            </w:r>
            <w:r>
              <w:rPr>
                <w:spacing w:val="-7"/>
                <w:sz w:val="18"/>
              </w:rPr>
              <w:t> </w:t>
            </w:r>
            <w:r>
              <w:rPr>
                <w:sz w:val="18"/>
              </w:rPr>
              <w:t>and analysed on a regular basis to identify and address areas requiring improvement.</w:t>
            </w:r>
          </w:p>
        </w:tc>
        <w:tc>
          <w:tcPr>
            <w:tcW w:w="990" w:type="dxa"/>
            <w:textDirection w:val="tbRl"/>
          </w:tcPr>
          <w:p>
            <w:pPr>
              <w:pStyle w:val="TableParagraph"/>
              <w:spacing w:before="98"/>
              <w:rPr>
                <w:sz w:val="18"/>
              </w:rPr>
            </w:pPr>
            <w:r>
              <w:rPr>
                <w:sz w:val="18"/>
              </w:rPr>
              <w:t>Assistant</w:t>
            </w:r>
            <w:r>
              <w:rPr>
                <w:spacing w:val="-3"/>
                <w:sz w:val="18"/>
              </w:rPr>
              <w:t> </w:t>
            </w:r>
            <w:r>
              <w:rPr>
                <w:sz w:val="18"/>
              </w:rPr>
              <w:t>Director</w:t>
            </w:r>
            <w:r>
              <w:rPr>
                <w:spacing w:val="-2"/>
                <w:sz w:val="18"/>
              </w:rPr>
              <w:t> </w:t>
            </w:r>
            <w:r>
              <w:rPr>
                <w:sz w:val="18"/>
              </w:rPr>
              <w:t>of</w:t>
            </w:r>
            <w:r>
              <w:rPr>
                <w:spacing w:val="-3"/>
                <w:sz w:val="18"/>
              </w:rPr>
              <w:t> </w:t>
            </w:r>
            <w:r>
              <w:rPr>
                <w:sz w:val="18"/>
              </w:rPr>
              <w:t>Employment</w:t>
            </w:r>
            <w:r>
              <w:rPr>
                <w:spacing w:val="-2"/>
                <w:sz w:val="18"/>
              </w:rPr>
              <w:t> Services</w:t>
            </w:r>
          </w:p>
        </w:tc>
        <w:tc>
          <w:tcPr>
            <w:tcW w:w="3968" w:type="dxa"/>
          </w:tcPr>
          <w:p>
            <w:pPr>
              <w:pStyle w:val="TableParagraph"/>
              <w:spacing w:line="276" w:lineRule="auto"/>
              <w:ind w:left="107" w:right="128"/>
              <w:rPr>
                <w:sz w:val="18"/>
              </w:rPr>
            </w:pPr>
            <w:r>
              <w:rPr>
                <w:sz w:val="18"/>
              </w:rPr>
              <w:t>Due to service pressures and significant change programmes running in the department the survey analysis has not been</w:t>
            </w:r>
            <w:r>
              <w:rPr>
                <w:spacing w:val="-8"/>
                <w:sz w:val="18"/>
              </w:rPr>
              <w:t> </w:t>
            </w:r>
            <w:r>
              <w:rPr>
                <w:sz w:val="18"/>
              </w:rPr>
              <w:t>completed</w:t>
            </w:r>
            <w:r>
              <w:rPr>
                <w:spacing w:val="-8"/>
                <w:sz w:val="18"/>
              </w:rPr>
              <w:t> </w:t>
            </w:r>
            <w:r>
              <w:rPr>
                <w:sz w:val="18"/>
              </w:rPr>
              <w:t>as</w:t>
            </w:r>
            <w:r>
              <w:rPr>
                <w:spacing w:val="-8"/>
                <w:sz w:val="18"/>
              </w:rPr>
              <w:t> </w:t>
            </w:r>
            <w:r>
              <w:rPr>
                <w:sz w:val="18"/>
              </w:rPr>
              <w:t>regularly</w:t>
            </w:r>
            <w:r>
              <w:rPr>
                <w:spacing w:val="-8"/>
                <w:sz w:val="18"/>
              </w:rPr>
              <w:t> </w:t>
            </w:r>
            <w:r>
              <w:rPr>
                <w:sz w:val="18"/>
              </w:rPr>
              <w:t>as</w:t>
            </w:r>
            <w:r>
              <w:rPr>
                <w:spacing w:val="-8"/>
                <w:sz w:val="18"/>
              </w:rPr>
              <w:t> </w:t>
            </w:r>
            <w:r>
              <w:rPr>
                <w:sz w:val="18"/>
              </w:rPr>
              <w:t>required. Once the Recruitment Modernisation process changes are implemented for all Health Bodies, and the Trust ID system is embedded across Wales, the Recruitment Service will analyse survey responses quarterly.</w:t>
            </w:r>
          </w:p>
        </w:tc>
        <w:tc>
          <w:tcPr>
            <w:tcW w:w="809" w:type="dxa"/>
            <w:textDirection w:val="tbRl"/>
          </w:tcPr>
          <w:p>
            <w:pPr>
              <w:pStyle w:val="TableParagraph"/>
              <w:spacing w:before="98"/>
              <w:rPr>
                <w:b/>
                <w:sz w:val="18"/>
              </w:rPr>
            </w:pPr>
            <w:r>
              <w:rPr>
                <w:b/>
                <w:spacing w:val="-2"/>
                <w:sz w:val="18"/>
              </w:rPr>
              <w:t>31/01/2023</w:t>
            </w:r>
          </w:p>
        </w:tc>
        <w:tc>
          <w:tcPr>
            <w:tcW w:w="1276" w:type="dxa"/>
          </w:tcPr>
          <w:p>
            <w:pPr>
              <w:pStyle w:val="TableParagraph"/>
              <w:rPr>
                <w:rFonts w:ascii="Times New Roman"/>
                <w:sz w:val="18"/>
              </w:rPr>
            </w:pPr>
          </w:p>
        </w:tc>
        <w:tc>
          <w:tcPr>
            <w:tcW w:w="3543" w:type="dxa"/>
          </w:tcPr>
          <w:p>
            <w:pPr>
              <w:pStyle w:val="TableParagraph"/>
              <w:spacing w:line="276" w:lineRule="auto"/>
              <w:ind w:left="108" w:right="109"/>
              <w:rPr>
                <w:sz w:val="18"/>
              </w:rPr>
            </w:pPr>
            <w:r>
              <w:rPr>
                <w:sz w:val="18"/>
              </w:rPr>
              <w:t>Management have confirmed that a meeting</w:t>
            </w:r>
            <w:r>
              <w:rPr>
                <w:spacing w:val="-8"/>
                <w:sz w:val="18"/>
              </w:rPr>
              <w:t> </w:t>
            </w:r>
            <w:r>
              <w:rPr>
                <w:sz w:val="18"/>
              </w:rPr>
              <w:t>has</w:t>
            </w:r>
            <w:r>
              <w:rPr>
                <w:spacing w:val="-8"/>
                <w:sz w:val="18"/>
              </w:rPr>
              <w:t> </w:t>
            </w:r>
            <w:r>
              <w:rPr>
                <w:sz w:val="18"/>
              </w:rPr>
              <w:t>been</w:t>
            </w:r>
            <w:r>
              <w:rPr>
                <w:spacing w:val="-8"/>
                <w:sz w:val="18"/>
              </w:rPr>
              <w:t> </w:t>
            </w:r>
            <w:r>
              <w:rPr>
                <w:sz w:val="18"/>
              </w:rPr>
              <w:t>scheduled</w:t>
            </w:r>
            <w:r>
              <w:rPr>
                <w:spacing w:val="-8"/>
                <w:sz w:val="18"/>
              </w:rPr>
              <w:t> </w:t>
            </w:r>
            <w:r>
              <w:rPr>
                <w:sz w:val="18"/>
              </w:rPr>
              <w:t>for</w:t>
            </w:r>
            <w:r>
              <w:rPr>
                <w:spacing w:val="-8"/>
                <w:sz w:val="18"/>
              </w:rPr>
              <w:t> </w:t>
            </w:r>
            <w:r>
              <w:rPr>
                <w:sz w:val="18"/>
              </w:rPr>
              <w:t>25</w:t>
            </w:r>
            <w:r>
              <w:rPr>
                <w:position w:val="5"/>
                <w:sz w:val="12"/>
              </w:rPr>
              <w:t>th </w:t>
            </w:r>
            <w:r>
              <w:rPr>
                <w:sz w:val="18"/>
              </w:rPr>
              <w:t>January 2023 to review feedback and survey data. An update would be sought following the meeting.</w:t>
            </w:r>
          </w:p>
        </w:tc>
      </w:tr>
      <w:tr>
        <w:trPr>
          <w:trHeight w:val="518" w:hRule="atLeast"/>
        </w:trPr>
        <w:tc>
          <w:tcPr>
            <w:tcW w:w="23247" w:type="dxa"/>
            <w:gridSpan w:val="11"/>
            <w:shd w:val="clear" w:color="auto" w:fill="8DB3E2"/>
          </w:tcPr>
          <w:p>
            <w:pPr>
              <w:pStyle w:val="TableParagraph"/>
              <w:ind w:left="108"/>
              <w:rPr>
                <w:b/>
                <w:sz w:val="18"/>
              </w:rPr>
            </w:pPr>
            <w:r>
              <w:rPr>
                <w:b/>
                <w:sz w:val="18"/>
              </w:rPr>
              <w:t>Planning</w:t>
            </w:r>
            <w:r>
              <w:rPr>
                <w:b/>
                <w:spacing w:val="-1"/>
                <w:sz w:val="18"/>
              </w:rPr>
              <w:t> </w:t>
            </w:r>
            <w:r>
              <w:rPr>
                <w:b/>
                <w:sz w:val="18"/>
              </w:rPr>
              <w:t>Performance</w:t>
            </w:r>
            <w:r>
              <w:rPr>
                <w:b/>
                <w:spacing w:val="-1"/>
                <w:sz w:val="18"/>
              </w:rPr>
              <w:t> </w:t>
            </w:r>
            <w:r>
              <w:rPr>
                <w:b/>
                <w:sz w:val="18"/>
              </w:rPr>
              <w:t>&amp;</w:t>
            </w:r>
            <w:r>
              <w:rPr>
                <w:b/>
                <w:spacing w:val="-1"/>
                <w:sz w:val="18"/>
              </w:rPr>
              <w:t> </w:t>
            </w:r>
            <w:r>
              <w:rPr>
                <w:b/>
                <w:spacing w:val="-2"/>
                <w:sz w:val="18"/>
              </w:rPr>
              <w:t>Informatics</w:t>
            </w:r>
          </w:p>
        </w:tc>
      </w:tr>
    </w:tbl>
    <w:p>
      <w:pPr>
        <w:spacing w:after="0"/>
        <w:rPr>
          <w:sz w:val="18"/>
        </w:rPr>
        <w:sectPr>
          <w:footerReference w:type="default" r:id="rId207"/>
          <w:pgSz w:w="23820" w:h="16840" w:orient="landscape"/>
          <w:pgMar w:footer="204" w:header="0" w:top="260" w:bottom="400" w:left="200" w:right="140"/>
          <w:pgNumType w:start="2"/>
        </w:sectPr>
      </w:pPr>
    </w:p>
    <w:p>
      <w:pPr>
        <w:pStyle w:val="BodyText"/>
        <w:rPr>
          <w:b/>
          <w:sz w:val="27"/>
        </w:rPr>
      </w:pPr>
    </w:p>
    <w:p>
      <w:pPr>
        <w:spacing w:before="101"/>
        <w:ind w:left="6573" w:right="6633" w:firstLine="0"/>
        <w:jc w:val="center"/>
        <w:rPr>
          <w:b/>
          <w:sz w:val="32"/>
        </w:rPr>
      </w:pPr>
      <w:r>
        <w:rPr/>
        <w:drawing>
          <wp:anchor distT="0" distB="0" distL="0" distR="0" allowOverlap="1" layoutInCell="1" locked="0" behindDoc="0" simplePos="0" relativeHeight="15854592">
            <wp:simplePos x="0" y="0"/>
            <wp:positionH relativeFrom="page">
              <wp:posOffset>598716</wp:posOffset>
            </wp:positionH>
            <wp:positionV relativeFrom="paragraph">
              <wp:posOffset>-208649</wp:posOffset>
            </wp:positionV>
            <wp:extent cx="2192182" cy="598715"/>
            <wp:effectExtent l="0" t="0" r="0" b="0"/>
            <wp:wrapNone/>
            <wp:docPr id="231" name="image105.png"/>
            <wp:cNvGraphicFramePr>
              <a:graphicFrameLocks noChangeAspect="1"/>
            </wp:cNvGraphicFramePr>
            <a:graphic>
              <a:graphicData uri="http://schemas.openxmlformats.org/drawingml/2006/picture">
                <pic:pic>
                  <pic:nvPicPr>
                    <pic:cNvPr id="232" name="image105.png"/>
                    <pic:cNvPicPr/>
                  </pic:nvPicPr>
                  <pic:blipFill>
                    <a:blip r:embed="rId206" cstate="print"/>
                    <a:stretch>
                      <a:fillRect/>
                    </a:stretch>
                  </pic:blipFill>
                  <pic:spPr>
                    <a:xfrm>
                      <a:off x="0" y="0"/>
                      <a:ext cx="2192182" cy="598715"/>
                    </a:xfrm>
                    <a:prstGeom prst="rect">
                      <a:avLst/>
                    </a:prstGeom>
                  </pic:spPr>
                </pic:pic>
              </a:graphicData>
            </a:graphic>
          </wp:anchor>
        </w:drawing>
      </w:r>
      <w:r>
        <w:rPr>
          <w:b/>
          <w:sz w:val="32"/>
        </w:rPr>
        <w:t>APPENDIX</w:t>
      </w:r>
      <w:r>
        <w:rPr>
          <w:b/>
          <w:spacing w:val="-6"/>
          <w:sz w:val="32"/>
        </w:rPr>
        <w:t> </w:t>
      </w:r>
      <w:r>
        <w:rPr>
          <w:b/>
          <w:sz w:val="32"/>
        </w:rPr>
        <w:t>A</w:t>
      </w:r>
      <w:r>
        <w:rPr>
          <w:b/>
          <w:spacing w:val="-3"/>
          <w:sz w:val="32"/>
        </w:rPr>
        <w:t> </w:t>
      </w:r>
      <w:r>
        <w:rPr>
          <w:b/>
          <w:sz w:val="32"/>
        </w:rPr>
        <w:t>-</w:t>
      </w:r>
      <w:r>
        <w:rPr>
          <w:b/>
          <w:spacing w:val="-3"/>
          <w:sz w:val="32"/>
        </w:rPr>
        <w:t> </w:t>
      </w:r>
      <w:r>
        <w:rPr>
          <w:b/>
          <w:sz w:val="32"/>
        </w:rPr>
        <w:t>PROGRESS</w:t>
      </w:r>
      <w:r>
        <w:rPr>
          <w:b/>
          <w:spacing w:val="-3"/>
          <w:sz w:val="32"/>
        </w:rPr>
        <w:t> </w:t>
      </w:r>
      <w:r>
        <w:rPr>
          <w:b/>
          <w:sz w:val="32"/>
        </w:rPr>
        <w:t>OF</w:t>
      </w:r>
      <w:r>
        <w:rPr>
          <w:b/>
          <w:spacing w:val="-3"/>
          <w:sz w:val="32"/>
        </w:rPr>
        <w:t> </w:t>
      </w:r>
      <w:r>
        <w:rPr>
          <w:b/>
          <w:sz w:val="32"/>
        </w:rPr>
        <w:t>AUDIT</w:t>
      </w:r>
      <w:r>
        <w:rPr>
          <w:b/>
          <w:spacing w:val="-2"/>
          <w:sz w:val="32"/>
        </w:rPr>
        <w:t> RECOMMENDATIONS</w:t>
      </w:r>
    </w:p>
    <w:p>
      <w:pPr>
        <w:pStyle w:val="BodyText"/>
        <w:rPr>
          <w:b/>
          <w:sz w:val="20"/>
        </w:rPr>
      </w:pPr>
    </w:p>
    <w:p>
      <w:pPr>
        <w:pStyle w:val="BodyText"/>
        <w:spacing w:before="4"/>
        <w:rPr>
          <w:b/>
          <w:sz w:val="23"/>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6"/>
        <w:gridCol w:w="1987"/>
        <w:gridCol w:w="571"/>
        <w:gridCol w:w="4411"/>
        <w:gridCol w:w="547"/>
        <w:gridCol w:w="4439"/>
        <w:gridCol w:w="990"/>
        <w:gridCol w:w="3968"/>
        <w:gridCol w:w="809"/>
        <w:gridCol w:w="1276"/>
        <w:gridCol w:w="3543"/>
      </w:tblGrid>
      <w:tr>
        <w:trPr>
          <w:trHeight w:val="4824" w:hRule="atLeast"/>
        </w:trPr>
        <w:tc>
          <w:tcPr>
            <w:tcW w:w="706" w:type="dxa"/>
          </w:tcPr>
          <w:p>
            <w:pPr>
              <w:pStyle w:val="TableParagraph"/>
              <w:ind w:left="108"/>
              <w:rPr>
                <w:sz w:val="18"/>
              </w:rPr>
            </w:pPr>
            <w:r>
              <w:rPr>
                <w:spacing w:val="-5"/>
                <w:sz w:val="18"/>
              </w:rPr>
              <w:t>5.</w:t>
            </w:r>
          </w:p>
        </w:tc>
        <w:tc>
          <w:tcPr>
            <w:tcW w:w="1987" w:type="dxa"/>
          </w:tcPr>
          <w:p>
            <w:pPr>
              <w:pStyle w:val="TableParagraph"/>
              <w:ind w:left="107"/>
              <w:rPr>
                <w:sz w:val="18"/>
              </w:rPr>
            </w:pPr>
            <w:r>
              <w:rPr>
                <w:spacing w:val="-2"/>
                <w:sz w:val="18"/>
              </w:rPr>
              <w:t>NWSSP</w:t>
            </w:r>
          </w:p>
          <w:p>
            <w:pPr>
              <w:pStyle w:val="TableParagraph"/>
              <w:spacing w:line="276" w:lineRule="auto" w:before="32"/>
              <w:ind w:left="107" w:right="443"/>
              <w:rPr>
                <w:sz w:val="18"/>
              </w:rPr>
            </w:pPr>
            <w:r>
              <w:rPr>
                <w:sz w:val="18"/>
              </w:rPr>
              <w:t>Operational</w:t>
            </w:r>
            <w:r>
              <w:rPr>
                <w:spacing w:val="-16"/>
                <w:sz w:val="18"/>
              </w:rPr>
              <w:t> </w:t>
            </w:r>
            <w:r>
              <w:rPr>
                <w:sz w:val="18"/>
              </w:rPr>
              <w:t>ICT </w:t>
            </w:r>
            <w:r>
              <w:rPr>
                <w:spacing w:val="-2"/>
                <w:sz w:val="18"/>
              </w:rPr>
              <w:t>infrastructure</w:t>
            </w:r>
          </w:p>
          <w:p>
            <w:pPr>
              <w:pStyle w:val="TableParagraph"/>
              <w:spacing w:before="6"/>
              <w:rPr>
                <w:b/>
                <w:sz w:val="16"/>
              </w:rPr>
            </w:pPr>
          </w:p>
          <w:p>
            <w:pPr>
              <w:pStyle w:val="TableParagraph"/>
              <w:ind w:left="107"/>
              <w:rPr>
                <w:sz w:val="18"/>
              </w:rPr>
            </w:pPr>
            <w:r>
              <w:rPr>
                <w:spacing w:val="-2"/>
                <w:sz w:val="18"/>
              </w:rPr>
              <w:t>NWSSP-2122-</w:t>
            </w:r>
            <w:r>
              <w:rPr>
                <w:spacing w:val="-5"/>
                <w:sz w:val="18"/>
              </w:rPr>
              <w:t>16</w:t>
            </w:r>
          </w:p>
        </w:tc>
        <w:tc>
          <w:tcPr>
            <w:tcW w:w="571" w:type="dxa"/>
            <w:shd w:val="clear" w:color="auto" w:fill="00B0EF"/>
            <w:textDirection w:val="tbRl"/>
          </w:tcPr>
          <w:p>
            <w:pPr>
              <w:pStyle w:val="TableParagraph"/>
              <w:spacing w:before="98"/>
              <w:ind w:left="113"/>
              <w:rPr>
                <w:b/>
                <w:sz w:val="18"/>
              </w:rPr>
            </w:pPr>
            <w:r>
              <w:rPr>
                <w:b/>
                <w:sz w:val="18"/>
              </w:rPr>
              <w:t>DEPENDANT</w:t>
            </w:r>
            <w:r>
              <w:rPr>
                <w:b/>
                <w:spacing w:val="-13"/>
                <w:sz w:val="18"/>
              </w:rPr>
              <w:t> </w:t>
            </w:r>
            <w:r>
              <w:rPr>
                <w:b/>
                <w:sz w:val="18"/>
              </w:rPr>
              <w:t>ON</w:t>
            </w:r>
            <w:r>
              <w:rPr>
                <w:b/>
                <w:spacing w:val="-13"/>
                <w:sz w:val="18"/>
              </w:rPr>
              <w:t> </w:t>
            </w:r>
            <w:r>
              <w:rPr>
                <w:b/>
                <w:sz w:val="18"/>
              </w:rPr>
              <w:t>THIRD</w:t>
            </w:r>
            <w:r>
              <w:rPr>
                <w:b/>
                <w:spacing w:val="-13"/>
                <w:sz w:val="18"/>
              </w:rPr>
              <w:t> </w:t>
            </w:r>
            <w:r>
              <w:rPr>
                <w:b/>
                <w:sz w:val="18"/>
              </w:rPr>
              <w:t>PARTY </w:t>
            </w:r>
            <w:r>
              <w:rPr>
                <w:b/>
                <w:spacing w:val="-2"/>
                <w:sz w:val="18"/>
              </w:rPr>
              <w:t>ORGANISATIONS</w:t>
            </w:r>
          </w:p>
        </w:tc>
        <w:tc>
          <w:tcPr>
            <w:tcW w:w="4411" w:type="dxa"/>
          </w:tcPr>
          <w:p>
            <w:pPr>
              <w:pStyle w:val="TableParagraph"/>
              <w:spacing w:before="60"/>
              <w:ind w:left="107" w:right="95"/>
              <w:jc w:val="both"/>
              <w:rPr>
                <w:sz w:val="18"/>
              </w:rPr>
            </w:pPr>
            <w:r>
              <w:rPr>
                <w:sz w:val="18"/>
              </w:rPr>
              <w:t>Performance against service standards is reported by DHCW, however there is no reporting on the detail of the performance of the functions within the SLA. e.g. there is no reporting on how servers are supported and managed that would show the success of this service. Without this NWSSP has no visibility of the status of this service. We note that DHCW have developed internal performance reporting on some aspects of these.</w:t>
            </w:r>
          </w:p>
        </w:tc>
        <w:tc>
          <w:tcPr>
            <w:tcW w:w="547" w:type="dxa"/>
            <w:shd w:val="clear" w:color="auto" w:fill="FFC000"/>
            <w:textDirection w:val="tbRl"/>
          </w:tcPr>
          <w:p>
            <w:pPr>
              <w:pStyle w:val="TableParagraph"/>
              <w:spacing w:before="98"/>
              <w:ind w:left="113"/>
              <w:rPr>
                <w:b/>
                <w:sz w:val="18"/>
              </w:rPr>
            </w:pPr>
            <w:r>
              <w:rPr>
                <w:b/>
                <w:spacing w:val="-2"/>
                <w:sz w:val="18"/>
              </w:rPr>
              <w:t>Medium</w:t>
            </w:r>
          </w:p>
        </w:tc>
        <w:tc>
          <w:tcPr>
            <w:tcW w:w="4439" w:type="dxa"/>
          </w:tcPr>
          <w:p>
            <w:pPr>
              <w:pStyle w:val="TableParagraph"/>
              <w:ind w:left="108" w:right="95"/>
              <w:jc w:val="both"/>
              <w:rPr>
                <w:sz w:val="18"/>
              </w:rPr>
            </w:pPr>
            <w:r>
              <w:rPr>
                <w:sz w:val="18"/>
              </w:rPr>
              <w:t>NWSSP should formally request that DHCW provide performance reports that show the successful</w:t>
            </w:r>
            <w:r>
              <w:rPr>
                <w:spacing w:val="-5"/>
                <w:sz w:val="18"/>
              </w:rPr>
              <w:t> </w:t>
            </w:r>
            <w:r>
              <w:rPr>
                <w:sz w:val="18"/>
              </w:rPr>
              <w:t>delivery</w:t>
            </w:r>
            <w:r>
              <w:rPr>
                <w:spacing w:val="-5"/>
                <w:sz w:val="18"/>
              </w:rPr>
              <w:t> </w:t>
            </w:r>
            <w:r>
              <w:rPr>
                <w:sz w:val="18"/>
              </w:rPr>
              <w:t>of</w:t>
            </w:r>
            <w:r>
              <w:rPr>
                <w:spacing w:val="-5"/>
                <w:sz w:val="18"/>
              </w:rPr>
              <w:t> </w:t>
            </w:r>
            <w:r>
              <w:rPr>
                <w:sz w:val="18"/>
              </w:rPr>
              <w:t>the</w:t>
            </w:r>
            <w:r>
              <w:rPr>
                <w:spacing w:val="-5"/>
                <w:sz w:val="18"/>
              </w:rPr>
              <w:t> </w:t>
            </w:r>
            <w:r>
              <w:rPr>
                <w:sz w:val="18"/>
              </w:rPr>
              <w:t>functional</w:t>
            </w:r>
            <w:r>
              <w:rPr>
                <w:spacing w:val="-5"/>
                <w:sz w:val="18"/>
              </w:rPr>
              <w:t> </w:t>
            </w:r>
            <w:r>
              <w:rPr>
                <w:sz w:val="18"/>
              </w:rPr>
              <w:t>aspects</w:t>
            </w:r>
            <w:r>
              <w:rPr>
                <w:spacing w:val="-5"/>
                <w:sz w:val="18"/>
              </w:rPr>
              <w:t> </w:t>
            </w:r>
            <w:r>
              <w:rPr>
                <w:sz w:val="18"/>
              </w:rPr>
              <w:t>of the service, covering items such as:</w:t>
            </w:r>
          </w:p>
          <w:p>
            <w:pPr>
              <w:pStyle w:val="TableParagraph"/>
              <w:numPr>
                <w:ilvl w:val="0"/>
                <w:numId w:val="41"/>
              </w:numPr>
              <w:tabs>
                <w:tab w:pos="254" w:val="left" w:leader="none"/>
              </w:tabs>
              <w:spacing w:line="240" w:lineRule="auto" w:before="120" w:after="0"/>
              <w:ind w:left="253" w:right="0" w:hanging="146"/>
              <w:jc w:val="both"/>
              <w:rPr>
                <w:sz w:val="18"/>
              </w:rPr>
            </w:pPr>
            <w:r>
              <w:rPr>
                <w:sz w:val="18"/>
              </w:rPr>
              <w:t>patch</w:t>
            </w:r>
            <w:r>
              <w:rPr>
                <w:spacing w:val="-3"/>
                <w:sz w:val="18"/>
              </w:rPr>
              <w:t> </w:t>
            </w:r>
            <w:r>
              <w:rPr>
                <w:spacing w:val="-2"/>
                <w:sz w:val="18"/>
              </w:rPr>
              <w:t>compliance;</w:t>
            </w:r>
          </w:p>
          <w:p>
            <w:pPr>
              <w:pStyle w:val="TableParagraph"/>
              <w:numPr>
                <w:ilvl w:val="0"/>
                <w:numId w:val="41"/>
              </w:numPr>
              <w:tabs>
                <w:tab w:pos="254" w:val="left" w:leader="none"/>
              </w:tabs>
              <w:spacing w:line="240" w:lineRule="auto" w:before="120" w:after="0"/>
              <w:ind w:left="253" w:right="0" w:hanging="146"/>
              <w:jc w:val="both"/>
              <w:rPr>
                <w:sz w:val="18"/>
              </w:rPr>
            </w:pPr>
            <w:r>
              <w:rPr>
                <w:sz w:val="18"/>
              </w:rPr>
              <w:t>nodes</w:t>
            </w:r>
            <w:r>
              <w:rPr>
                <w:spacing w:val="-2"/>
                <w:sz w:val="18"/>
              </w:rPr>
              <w:t> </w:t>
            </w:r>
            <w:r>
              <w:rPr>
                <w:sz w:val="18"/>
              </w:rPr>
              <w:t>with</w:t>
            </w:r>
            <w:r>
              <w:rPr>
                <w:spacing w:val="-3"/>
                <w:sz w:val="18"/>
              </w:rPr>
              <w:t> </w:t>
            </w:r>
            <w:r>
              <w:rPr>
                <w:sz w:val="18"/>
              </w:rPr>
              <w:t>alerts</w:t>
            </w:r>
            <w:r>
              <w:rPr>
                <w:spacing w:val="-2"/>
                <w:sz w:val="18"/>
              </w:rPr>
              <w:t> </w:t>
            </w:r>
            <w:r>
              <w:rPr>
                <w:sz w:val="18"/>
              </w:rPr>
              <w:t>resolved</w:t>
            </w:r>
            <w:r>
              <w:rPr>
                <w:spacing w:val="-2"/>
                <w:sz w:val="18"/>
              </w:rPr>
              <w:t> </w:t>
            </w:r>
            <w:r>
              <w:rPr>
                <w:sz w:val="18"/>
              </w:rPr>
              <w:t>/</w:t>
            </w:r>
            <w:r>
              <w:rPr>
                <w:spacing w:val="-2"/>
                <w:sz w:val="18"/>
              </w:rPr>
              <w:t> unresolved;</w:t>
            </w:r>
          </w:p>
          <w:p>
            <w:pPr>
              <w:pStyle w:val="TableParagraph"/>
              <w:numPr>
                <w:ilvl w:val="0"/>
                <w:numId w:val="41"/>
              </w:numPr>
              <w:tabs>
                <w:tab w:pos="254" w:val="left" w:leader="none"/>
              </w:tabs>
              <w:spacing w:line="240" w:lineRule="auto" w:before="120" w:after="0"/>
              <w:ind w:left="253" w:right="0" w:hanging="146"/>
              <w:jc w:val="both"/>
              <w:rPr>
                <w:sz w:val="18"/>
              </w:rPr>
            </w:pPr>
            <w:r>
              <w:rPr>
                <w:sz w:val="18"/>
              </w:rPr>
              <w:t>server</w:t>
            </w:r>
            <w:r>
              <w:rPr>
                <w:spacing w:val="-5"/>
                <w:sz w:val="18"/>
              </w:rPr>
              <w:t> </w:t>
            </w:r>
            <w:r>
              <w:rPr>
                <w:sz w:val="18"/>
              </w:rPr>
              <w:t>alerts</w:t>
            </w:r>
            <w:r>
              <w:rPr>
                <w:spacing w:val="-2"/>
                <w:sz w:val="18"/>
              </w:rPr>
              <w:t> </w:t>
            </w:r>
            <w:r>
              <w:rPr>
                <w:sz w:val="18"/>
              </w:rPr>
              <w:t>outstanding</w:t>
            </w:r>
            <w:r>
              <w:rPr>
                <w:spacing w:val="-1"/>
                <w:sz w:val="18"/>
              </w:rPr>
              <w:t> </w:t>
            </w:r>
            <w:r>
              <w:rPr>
                <w:sz w:val="18"/>
              </w:rPr>
              <w:t>/</w:t>
            </w:r>
            <w:r>
              <w:rPr>
                <w:spacing w:val="-2"/>
                <w:sz w:val="18"/>
              </w:rPr>
              <w:t> </w:t>
            </w:r>
            <w:r>
              <w:rPr>
                <w:sz w:val="18"/>
              </w:rPr>
              <w:t>dealt</w:t>
            </w:r>
            <w:r>
              <w:rPr>
                <w:spacing w:val="-2"/>
                <w:sz w:val="18"/>
              </w:rPr>
              <w:t> </w:t>
            </w:r>
            <w:r>
              <w:rPr>
                <w:sz w:val="18"/>
              </w:rPr>
              <w:t>with;</w:t>
            </w:r>
            <w:r>
              <w:rPr>
                <w:spacing w:val="-2"/>
                <w:sz w:val="18"/>
              </w:rPr>
              <w:t> </w:t>
            </w:r>
            <w:r>
              <w:rPr>
                <w:spacing w:val="-5"/>
                <w:sz w:val="18"/>
              </w:rPr>
              <w:t>and</w:t>
            </w:r>
          </w:p>
          <w:p>
            <w:pPr>
              <w:pStyle w:val="TableParagraph"/>
              <w:numPr>
                <w:ilvl w:val="0"/>
                <w:numId w:val="41"/>
              </w:numPr>
              <w:tabs>
                <w:tab w:pos="254" w:val="left" w:leader="none"/>
              </w:tabs>
              <w:spacing w:line="240" w:lineRule="auto" w:before="120" w:after="0"/>
              <w:ind w:left="253" w:right="0" w:hanging="146"/>
              <w:jc w:val="both"/>
              <w:rPr>
                <w:sz w:val="18"/>
              </w:rPr>
            </w:pPr>
            <w:r>
              <w:rPr>
                <w:sz w:val="18"/>
              </w:rPr>
              <w:t>proactive</w:t>
            </w:r>
            <w:r>
              <w:rPr>
                <w:spacing w:val="-2"/>
                <w:sz w:val="18"/>
              </w:rPr>
              <w:t> </w:t>
            </w:r>
            <w:r>
              <w:rPr>
                <w:sz w:val="18"/>
              </w:rPr>
              <w:t>monitoring </w:t>
            </w:r>
            <w:r>
              <w:rPr>
                <w:spacing w:val="-2"/>
                <w:sz w:val="18"/>
              </w:rPr>
              <w:t>reports.</w:t>
            </w:r>
          </w:p>
        </w:tc>
        <w:tc>
          <w:tcPr>
            <w:tcW w:w="990" w:type="dxa"/>
            <w:textDirection w:val="tbRl"/>
          </w:tcPr>
          <w:p>
            <w:pPr>
              <w:pStyle w:val="TableParagraph"/>
              <w:spacing w:before="98"/>
              <w:rPr>
                <w:sz w:val="18"/>
              </w:rPr>
            </w:pPr>
            <w:r>
              <w:rPr>
                <w:sz w:val="18"/>
              </w:rPr>
              <w:t>Chief</w:t>
            </w:r>
            <w:r>
              <w:rPr>
                <w:spacing w:val="-4"/>
                <w:sz w:val="18"/>
              </w:rPr>
              <w:t> </w:t>
            </w:r>
            <w:r>
              <w:rPr>
                <w:sz w:val="18"/>
              </w:rPr>
              <w:t>Digital</w:t>
            </w:r>
            <w:r>
              <w:rPr>
                <w:spacing w:val="-2"/>
                <w:sz w:val="18"/>
              </w:rPr>
              <w:t> Officer</w:t>
            </w:r>
          </w:p>
        </w:tc>
        <w:tc>
          <w:tcPr>
            <w:tcW w:w="3968" w:type="dxa"/>
          </w:tcPr>
          <w:p>
            <w:pPr>
              <w:pStyle w:val="TableParagraph"/>
              <w:spacing w:before="60"/>
              <w:ind w:left="107" w:right="95"/>
              <w:jc w:val="both"/>
              <w:rPr>
                <w:sz w:val="18"/>
              </w:rPr>
            </w:pPr>
            <w:r>
              <w:rPr>
                <w:sz w:val="18"/>
              </w:rPr>
              <w:t>The format and content of our performance and monitoring reports is constantly evolving and will be continue to be reviewed.</w:t>
            </w:r>
          </w:p>
        </w:tc>
        <w:tc>
          <w:tcPr>
            <w:tcW w:w="809" w:type="dxa"/>
            <w:textDirection w:val="tbRl"/>
          </w:tcPr>
          <w:p>
            <w:pPr>
              <w:pStyle w:val="TableParagraph"/>
              <w:spacing w:before="98"/>
              <w:rPr>
                <w:b/>
                <w:sz w:val="18"/>
              </w:rPr>
            </w:pPr>
            <w:r>
              <w:rPr>
                <w:b/>
                <w:spacing w:val="-2"/>
                <w:sz w:val="18"/>
              </w:rPr>
              <w:t>31/07/2022</w:t>
            </w:r>
          </w:p>
        </w:tc>
        <w:tc>
          <w:tcPr>
            <w:tcW w:w="1276" w:type="dxa"/>
          </w:tcPr>
          <w:p>
            <w:pPr>
              <w:pStyle w:val="TableParagraph"/>
              <w:rPr>
                <w:rFonts w:ascii="Times New Roman"/>
                <w:sz w:val="18"/>
              </w:rPr>
            </w:pPr>
          </w:p>
        </w:tc>
        <w:tc>
          <w:tcPr>
            <w:tcW w:w="3543" w:type="dxa"/>
          </w:tcPr>
          <w:p>
            <w:pPr>
              <w:pStyle w:val="TableParagraph"/>
              <w:spacing w:line="276" w:lineRule="auto"/>
              <w:ind w:left="108" w:right="176"/>
              <w:rPr>
                <w:sz w:val="18"/>
              </w:rPr>
            </w:pPr>
            <w:r>
              <w:rPr>
                <w:sz w:val="18"/>
              </w:rPr>
              <w:t>Matter Arising 4 - DHCW have delivered the desktop on-demand dashboard, but delivery of the server</w:t>
            </w:r>
            <w:r>
              <w:rPr>
                <w:spacing w:val="-11"/>
                <w:sz w:val="18"/>
              </w:rPr>
              <w:t> </w:t>
            </w:r>
            <w:r>
              <w:rPr>
                <w:sz w:val="18"/>
              </w:rPr>
              <w:t>dashboard</w:t>
            </w:r>
            <w:r>
              <w:rPr>
                <w:spacing w:val="-10"/>
                <w:sz w:val="18"/>
              </w:rPr>
              <w:t> </w:t>
            </w:r>
            <w:r>
              <w:rPr>
                <w:sz w:val="18"/>
              </w:rPr>
              <w:t>has</w:t>
            </w:r>
            <w:r>
              <w:rPr>
                <w:spacing w:val="-10"/>
                <w:sz w:val="18"/>
              </w:rPr>
              <w:t> </w:t>
            </w:r>
            <w:r>
              <w:rPr>
                <w:sz w:val="18"/>
              </w:rPr>
              <w:t>been</w:t>
            </w:r>
            <w:r>
              <w:rPr>
                <w:spacing w:val="-10"/>
                <w:sz w:val="18"/>
              </w:rPr>
              <w:t> </w:t>
            </w:r>
            <w:r>
              <w:rPr>
                <w:sz w:val="18"/>
              </w:rPr>
              <w:t>delayed due to resource issues. No estimated delivery timescale is currently available.</w:t>
            </w:r>
          </w:p>
          <w:p>
            <w:pPr>
              <w:pStyle w:val="TableParagraph"/>
              <w:spacing w:before="5"/>
              <w:rPr>
                <w:b/>
                <w:sz w:val="16"/>
              </w:rPr>
            </w:pPr>
          </w:p>
          <w:p>
            <w:pPr>
              <w:pStyle w:val="TableParagraph"/>
              <w:spacing w:line="276" w:lineRule="auto"/>
              <w:ind w:left="108" w:right="176"/>
              <w:rPr>
                <w:sz w:val="18"/>
              </w:rPr>
            </w:pPr>
            <w:r>
              <w:rPr>
                <w:sz w:val="18"/>
              </w:rPr>
              <w:t>Dependant</w:t>
            </w:r>
            <w:r>
              <w:rPr>
                <w:spacing w:val="-5"/>
                <w:sz w:val="18"/>
              </w:rPr>
              <w:t> </w:t>
            </w:r>
            <w:r>
              <w:rPr>
                <w:sz w:val="18"/>
              </w:rPr>
              <w:t>on</w:t>
            </w:r>
            <w:r>
              <w:rPr>
                <w:spacing w:val="-6"/>
                <w:sz w:val="18"/>
              </w:rPr>
              <w:t> </w:t>
            </w:r>
            <w:r>
              <w:rPr>
                <w:sz w:val="18"/>
              </w:rPr>
              <w:t>DCHW</w:t>
            </w:r>
            <w:r>
              <w:rPr>
                <w:spacing w:val="-5"/>
                <w:sz w:val="18"/>
              </w:rPr>
              <w:t> </w:t>
            </w:r>
            <w:r>
              <w:rPr>
                <w:sz w:val="18"/>
              </w:rPr>
              <w:t>to</w:t>
            </w:r>
            <w:r>
              <w:rPr>
                <w:spacing w:val="-6"/>
                <w:sz w:val="18"/>
              </w:rPr>
              <w:t> </w:t>
            </w:r>
            <w:r>
              <w:rPr>
                <w:sz w:val="18"/>
              </w:rPr>
              <w:t>action</w:t>
            </w:r>
            <w:r>
              <w:rPr>
                <w:spacing w:val="-5"/>
                <w:sz w:val="18"/>
              </w:rPr>
              <w:t> </w:t>
            </w:r>
            <w:r>
              <w:rPr>
                <w:sz w:val="18"/>
              </w:rPr>
              <w:t>the work</w:t>
            </w:r>
            <w:r>
              <w:rPr>
                <w:spacing w:val="-9"/>
                <w:sz w:val="18"/>
              </w:rPr>
              <w:t> </w:t>
            </w:r>
            <w:r>
              <w:rPr>
                <w:sz w:val="18"/>
              </w:rPr>
              <w:t>needed</w:t>
            </w:r>
            <w:r>
              <w:rPr>
                <w:spacing w:val="-8"/>
                <w:sz w:val="18"/>
              </w:rPr>
              <w:t> </w:t>
            </w:r>
            <w:r>
              <w:rPr>
                <w:sz w:val="18"/>
              </w:rPr>
              <w:t>in</w:t>
            </w:r>
            <w:r>
              <w:rPr>
                <w:spacing w:val="-9"/>
                <w:sz w:val="18"/>
              </w:rPr>
              <w:t> </w:t>
            </w:r>
            <w:r>
              <w:rPr>
                <w:sz w:val="18"/>
              </w:rPr>
              <w:t>order</w:t>
            </w:r>
            <w:r>
              <w:rPr>
                <w:spacing w:val="-8"/>
                <w:sz w:val="18"/>
              </w:rPr>
              <w:t> </w:t>
            </w:r>
            <w:r>
              <w:rPr>
                <w:sz w:val="18"/>
              </w:rPr>
              <w:t>to</w:t>
            </w:r>
            <w:r>
              <w:rPr>
                <w:spacing w:val="-9"/>
                <w:sz w:val="18"/>
              </w:rPr>
              <w:t> </w:t>
            </w:r>
            <w:r>
              <w:rPr>
                <w:sz w:val="18"/>
              </w:rPr>
              <w:t>complete. NWSSP are fully engaged with DCHW on the requirements and discussions are taking place to identify a revised timeframe to achieve the work.</w:t>
            </w:r>
          </w:p>
        </w:tc>
      </w:tr>
      <w:tr>
        <w:trPr>
          <w:trHeight w:val="4813" w:hRule="atLeast"/>
        </w:trPr>
        <w:tc>
          <w:tcPr>
            <w:tcW w:w="706" w:type="dxa"/>
          </w:tcPr>
          <w:p>
            <w:pPr>
              <w:pStyle w:val="TableParagraph"/>
              <w:ind w:left="108"/>
              <w:rPr>
                <w:sz w:val="18"/>
              </w:rPr>
            </w:pPr>
            <w:r>
              <w:rPr>
                <w:spacing w:val="-5"/>
                <w:sz w:val="18"/>
              </w:rPr>
              <w:t>6.</w:t>
            </w:r>
          </w:p>
        </w:tc>
        <w:tc>
          <w:tcPr>
            <w:tcW w:w="1987" w:type="dxa"/>
          </w:tcPr>
          <w:p>
            <w:pPr>
              <w:pStyle w:val="TableParagraph"/>
              <w:ind w:left="107"/>
              <w:rPr>
                <w:sz w:val="18"/>
              </w:rPr>
            </w:pPr>
            <w:r>
              <w:rPr>
                <w:spacing w:val="-2"/>
                <w:sz w:val="18"/>
              </w:rPr>
              <w:t>NWSSP</w:t>
            </w:r>
          </w:p>
          <w:p>
            <w:pPr>
              <w:pStyle w:val="TableParagraph"/>
              <w:spacing w:line="276" w:lineRule="auto" w:before="32"/>
              <w:ind w:left="107" w:right="443"/>
              <w:rPr>
                <w:sz w:val="18"/>
              </w:rPr>
            </w:pPr>
            <w:r>
              <w:rPr>
                <w:sz w:val="18"/>
              </w:rPr>
              <w:t>Operational</w:t>
            </w:r>
            <w:r>
              <w:rPr>
                <w:spacing w:val="-16"/>
                <w:sz w:val="18"/>
              </w:rPr>
              <w:t> </w:t>
            </w:r>
            <w:r>
              <w:rPr>
                <w:sz w:val="18"/>
              </w:rPr>
              <w:t>ICT </w:t>
            </w:r>
            <w:r>
              <w:rPr>
                <w:spacing w:val="-2"/>
                <w:sz w:val="18"/>
              </w:rPr>
              <w:t>infrastructure</w:t>
            </w:r>
          </w:p>
          <w:p>
            <w:pPr>
              <w:pStyle w:val="TableParagraph"/>
              <w:spacing w:before="6"/>
              <w:rPr>
                <w:b/>
                <w:sz w:val="16"/>
              </w:rPr>
            </w:pPr>
          </w:p>
          <w:p>
            <w:pPr>
              <w:pStyle w:val="TableParagraph"/>
              <w:ind w:left="171"/>
              <w:rPr>
                <w:sz w:val="18"/>
              </w:rPr>
            </w:pPr>
            <w:r>
              <w:rPr>
                <w:spacing w:val="-2"/>
                <w:sz w:val="18"/>
              </w:rPr>
              <w:t>NWSSP-2122-</w:t>
            </w:r>
            <w:r>
              <w:rPr>
                <w:spacing w:val="-5"/>
                <w:sz w:val="18"/>
              </w:rPr>
              <w:t>16</w:t>
            </w:r>
          </w:p>
        </w:tc>
        <w:tc>
          <w:tcPr>
            <w:tcW w:w="571" w:type="dxa"/>
            <w:shd w:val="clear" w:color="auto" w:fill="00B0EF"/>
            <w:textDirection w:val="tbRl"/>
          </w:tcPr>
          <w:p>
            <w:pPr>
              <w:pStyle w:val="TableParagraph"/>
              <w:spacing w:before="98"/>
              <w:ind w:left="113"/>
              <w:rPr>
                <w:b/>
                <w:sz w:val="18"/>
              </w:rPr>
            </w:pPr>
            <w:r>
              <w:rPr>
                <w:b/>
                <w:sz w:val="18"/>
              </w:rPr>
              <w:t>DEPENDANT</w:t>
            </w:r>
            <w:r>
              <w:rPr>
                <w:b/>
                <w:spacing w:val="-13"/>
                <w:sz w:val="18"/>
              </w:rPr>
              <w:t> </w:t>
            </w:r>
            <w:r>
              <w:rPr>
                <w:b/>
                <w:sz w:val="18"/>
              </w:rPr>
              <w:t>ON</w:t>
            </w:r>
            <w:r>
              <w:rPr>
                <w:b/>
                <w:spacing w:val="-13"/>
                <w:sz w:val="18"/>
              </w:rPr>
              <w:t> </w:t>
            </w:r>
            <w:r>
              <w:rPr>
                <w:b/>
                <w:sz w:val="18"/>
              </w:rPr>
              <w:t>THIRD</w:t>
            </w:r>
            <w:r>
              <w:rPr>
                <w:b/>
                <w:spacing w:val="-12"/>
                <w:sz w:val="18"/>
              </w:rPr>
              <w:t> </w:t>
            </w:r>
            <w:r>
              <w:rPr>
                <w:b/>
                <w:sz w:val="18"/>
              </w:rPr>
              <w:t>PARTY </w:t>
            </w:r>
            <w:r>
              <w:rPr>
                <w:b/>
                <w:spacing w:val="-2"/>
                <w:sz w:val="18"/>
              </w:rPr>
              <w:t>ORGANISATIONS</w:t>
            </w:r>
          </w:p>
        </w:tc>
        <w:tc>
          <w:tcPr>
            <w:tcW w:w="4411" w:type="dxa"/>
          </w:tcPr>
          <w:p>
            <w:pPr>
              <w:pStyle w:val="TableParagraph"/>
              <w:spacing w:line="276" w:lineRule="auto"/>
              <w:ind w:left="107" w:right="131"/>
              <w:rPr>
                <w:sz w:val="18"/>
              </w:rPr>
            </w:pPr>
            <w:r>
              <w:rPr>
                <w:sz w:val="18"/>
              </w:rPr>
              <w:t>An Asset management system is included as</w:t>
            </w:r>
            <w:r>
              <w:rPr>
                <w:spacing w:val="40"/>
                <w:sz w:val="18"/>
              </w:rPr>
              <w:t> </w:t>
            </w:r>
            <w:r>
              <w:rPr>
                <w:sz w:val="18"/>
              </w:rPr>
              <w:t>a charge within the SLA with DHCW. This as defined as Asset Studio, which we note has been replaced by Snow Asset Management. The service statement for Asset Studio / Snow states that it provides in depth information on the hardware assets to</w:t>
            </w:r>
            <w:r>
              <w:rPr>
                <w:spacing w:val="40"/>
                <w:sz w:val="18"/>
              </w:rPr>
              <w:t> </w:t>
            </w:r>
            <w:r>
              <w:rPr>
                <w:sz w:val="18"/>
              </w:rPr>
              <w:t>provide a fully rounded view of the IT environment. However servers and switches were</w:t>
            </w:r>
            <w:r>
              <w:rPr>
                <w:spacing w:val="-6"/>
                <w:sz w:val="18"/>
              </w:rPr>
              <w:t> </w:t>
            </w:r>
            <w:r>
              <w:rPr>
                <w:sz w:val="18"/>
              </w:rPr>
              <w:t>never</w:t>
            </w:r>
            <w:r>
              <w:rPr>
                <w:spacing w:val="-5"/>
                <w:sz w:val="18"/>
              </w:rPr>
              <w:t> </w:t>
            </w:r>
            <w:r>
              <w:rPr>
                <w:sz w:val="18"/>
              </w:rPr>
              <w:t>included</w:t>
            </w:r>
            <w:r>
              <w:rPr>
                <w:spacing w:val="-6"/>
                <w:sz w:val="18"/>
              </w:rPr>
              <w:t> </w:t>
            </w:r>
            <w:r>
              <w:rPr>
                <w:sz w:val="18"/>
              </w:rPr>
              <w:t>in</w:t>
            </w:r>
            <w:r>
              <w:rPr>
                <w:spacing w:val="-6"/>
                <w:sz w:val="18"/>
              </w:rPr>
              <w:t> </w:t>
            </w:r>
            <w:r>
              <w:rPr>
                <w:sz w:val="18"/>
              </w:rPr>
              <w:t>Asset</w:t>
            </w:r>
            <w:r>
              <w:rPr>
                <w:spacing w:val="-5"/>
                <w:sz w:val="18"/>
              </w:rPr>
              <w:t> </w:t>
            </w:r>
            <w:r>
              <w:rPr>
                <w:sz w:val="18"/>
              </w:rPr>
              <w:t>Studio,</w:t>
            </w:r>
            <w:r>
              <w:rPr>
                <w:spacing w:val="-6"/>
                <w:sz w:val="18"/>
              </w:rPr>
              <w:t> </w:t>
            </w:r>
            <w:r>
              <w:rPr>
                <w:sz w:val="18"/>
              </w:rPr>
              <w:t>and</w:t>
            </w:r>
            <w:r>
              <w:rPr>
                <w:spacing w:val="-5"/>
                <w:sz w:val="18"/>
              </w:rPr>
              <w:t> </w:t>
            </w:r>
            <w:r>
              <w:rPr>
                <w:sz w:val="18"/>
              </w:rPr>
              <w:t>they are not currently within Snow. As NWSSP do not have access into the CMDB, SCCM or Dell OpenManage this means that there is no full record</w:t>
            </w:r>
            <w:r>
              <w:rPr>
                <w:spacing w:val="-1"/>
                <w:sz w:val="18"/>
              </w:rPr>
              <w:t> </w:t>
            </w:r>
            <w:r>
              <w:rPr>
                <w:sz w:val="18"/>
              </w:rPr>
              <w:t>held</w:t>
            </w:r>
            <w:r>
              <w:rPr>
                <w:spacing w:val="-2"/>
                <w:sz w:val="18"/>
              </w:rPr>
              <w:t> </w:t>
            </w:r>
            <w:r>
              <w:rPr>
                <w:sz w:val="18"/>
              </w:rPr>
              <w:t>by</w:t>
            </w:r>
            <w:r>
              <w:rPr>
                <w:spacing w:val="-1"/>
                <w:sz w:val="18"/>
              </w:rPr>
              <w:t> </w:t>
            </w:r>
            <w:r>
              <w:rPr>
                <w:sz w:val="18"/>
              </w:rPr>
              <w:t>NWSSP</w:t>
            </w:r>
            <w:r>
              <w:rPr>
                <w:spacing w:val="-1"/>
                <w:sz w:val="18"/>
              </w:rPr>
              <w:t> </w:t>
            </w:r>
            <w:r>
              <w:rPr>
                <w:sz w:val="18"/>
              </w:rPr>
              <w:t>IT</w:t>
            </w:r>
            <w:r>
              <w:rPr>
                <w:spacing w:val="-1"/>
                <w:sz w:val="18"/>
              </w:rPr>
              <w:t> </w:t>
            </w:r>
            <w:r>
              <w:rPr>
                <w:sz w:val="18"/>
              </w:rPr>
              <w:t>of</w:t>
            </w:r>
            <w:r>
              <w:rPr>
                <w:spacing w:val="-2"/>
                <w:sz w:val="18"/>
              </w:rPr>
              <w:t> </w:t>
            </w:r>
            <w:r>
              <w:rPr>
                <w:sz w:val="18"/>
              </w:rPr>
              <w:t>what</w:t>
            </w:r>
            <w:r>
              <w:rPr>
                <w:spacing w:val="-2"/>
                <w:sz w:val="18"/>
              </w:rPr>
              <w:t> </w:t>
            </w:r>
            <w:r>
              <w:rPr>
                <w:sz w:val="18"/>
              </w:rPr>
              <w:t>hardware</w:t>
            </w:r>
            <w:r>
              <w:rPr>
                <w:spacing w:val="-2"/>
                <w:sz w:val="18"/>
              </w:rPr>
              <w:t> </w:t>
            </w:r>
            <w:r>
              <w:rPr>
                <w:sz w:val="18"/>
              </w:rPr>
              <w:t>is owned by NWWSP and there is very little visibility on the state of the infrastructure for NWSSP IT and the service as per the SLA</w:t>
            </w:r>
            <w:r>
              <w:rPr>
                <w:spacing w:val="40"/>
                <w:sz w:val="18"/>
              </w:rPr>
              <w:t> </w:t>
            </w:r>
            <w:r>
              <w:rPr>
                <w:sz w:val="18"/>
              </w:rPr>
              <w:t>may not be being completely delivered.</w:t>
            </w:r>
          </w:p>
        </w:tc>
        <w:tc>
          <w:tcPr>
            <w:tcW w:w="547" w:type="dxa"/>
            <w:shd w:val="clear" w:color="auto" w:fill="FFC000"/>
            <w:textDirection w:val="tbRl"/>
          </w:tcPr>
          <w:p>
            <w:pPr>
              <w:pStyle w:val="TableParagraph"/>
              <w:spacing w:before="98"/>
              <w:ind w:left="113"/>
              <w:rPr>
                <w:b/>
                <w:sz w:val="18"/>
              </w:rPr>
            </w:pPr>
            <w:r>
              <w:rPr>
                <w:b/>
                <w:spacing w:val="-2"/>
                <w:sz w:val="18"/>
              </w:rPr>
              <w:t>Medium</w:t>
            </w:r>
          </w:p>
        </w:tc>
        <w:tc>
          <w:tcPr>
            <w:tcW w:w="4439" w:type="dxa"/>
          </w:tcPr>
          <w:p>
            <w:pPr>
              <w:pStyle w:val="TableParagraph"/>
              <w:spacing w:line="276" w:lineRule="auto"/>
              <w:ind w:left="108" w:right="196"/>
              <w:rPr>
                <w:sz w:val="18"/>
              </w:rPr>
            </w:pPr>
            <w:r>
              <w:rPr>
                <w:sz w:val="18"/>
              </w:rPr>
              <w:t>NWSSP should have further discussions with DHCW</w:t>
            </w:r>
            <w:r>
              <w:rPr>
                <w:spacing w:val="-6"/>
                <w:sz w:val="18"/>
              </w:rPr>
              <w:t> </w:t>
            </w:r>
            <w:r>
              <w:rPr>
                <w:sz w:val="18"/>
              </w:rPr>
              <w:t>regarding</w:t>
            </w:r>
            <w:r>
              <w:rPr>
                <w:spacing w:val="-7"/>
                <w:sz w:val="18"/>
              </w:rPr>
              <w:t> </w:t>
            </w:r>
            <w:r>
              <w:rPr>
                <w:sz w:val="18"/>
              </w:rPr>
              <w:t>the</w:t>
            </w:r>
            <w:r>
              <w:rPr>
                <w:spacing w:val="-7"/>
                <w:sz w:val="18"/>
              </w:rPr>
              <w:t> </w:t>
            </w:r>
            <w:r>
              <w:rPr>
                <w:sz w:val="18"/>
              </w:rPr>
              <w:t>possibility</w:t>
            </w:r>
            <w:r>
              <w:rPr>
                <w:spacing w:val="-7"/>
                <w:sz w:val="18"/>
              </w:rPr>
              <w:t> </w:t>
            </w:r>
            <w:r>
              <w:rPr>
                <w:sz w:val="18"/>
              </w:rPr>
              <w:t>of</w:t>
            </w:r>
            <w:r>
              <w:rPr>
                <w:spacing w:val="-6"/>
                <w:sz w:val="18"/>
              </w:rPr>
              <w:t> </w:t>
            </w:r>
            <w:r>
              <w:rPr>
                <w:sz w:val="18"/>
              </w:rPr>
              <w:t>adding</w:t>
            </w:r>
            <w:r>
              <w:rPr>
                <w:spacing w:val="-6"/>
                <w:sz w:val="18"/>
              </w:rPr>
              <w:t> </w:t>
            </w:r>
            <w:r>
              <w:rPr>
                <w:sz w:val="18"/>
              </w:rPr>
              <w:t>the servers should added to Snow to enable visibility of the whole infrastructure. In the interim, access should be granted to Dell OpenManage for NWSSP IT staff.</w:t>
            </w:r>
          </w:p>
        </w:tc>
        <w:tc>
          <w:tcPr>
            <w:tcW w:w="990" w:type="dxa"/>
            <w:textDirection w:val="tbRl"/>
          </w:tcPr>
          <w:p>
            <w:pPr>
              <w:pStyle w:val="TableParagraph"/>
              <w:spacing w:before="98"/>
              <w:rPr>
                <w:sz w:val="18"/>
              </w:rPr>
            </w:pPr>
            <w:r>
              <w:rPr>
                <w:sz w:val="18"/>
              </w:rPr>
              <w:t>Chief</w:t>
            </w:r>
            <w:r>
              <w:rPr>
                <w:spacing w:val="-4"/>
                <w:sz w:val="18"/>
              </w:rPr>
              <w:t> </w:t>
            </w:r>
            <w:r>
              <w:rPr>
                <w:sz w:val="18"/>
              </w:rPr>
              <w:t>Digital</w:t>
            </w:r>
            <w:r>
              <w:rPr>
                <w:spacing w:val="-2"/>
                <w:sz w:val="18"/>
              </w:rPr>
              <w:t> Officer</w:t>
            </w:r>
          </w:p>
        </w:tc>
        <w:tc>
          <w:tcPr>
            <w:tcW w:w="3968" w:type="dxa"/>
          </w:tcPr>
          <w:p>
            <w:pPr>
              <w:pStyle w:val="TableParagraph"/>
              <w:numPr>
                <w:ilvl w:val="0"/>
                <w:numId w:val="42"/>
              </w:numPr>
              <w:tabs>
                <w:tab w:pos="469" w:val="left" w:leader="none"/>
              </w:tabs>
              <w:spacing w:line="259" w:lineRule="auto" w:before="0" w:after="0"/>
              <w:ind w:left="467" w:right="97" w:hanging="360"/>
              <w:jc w:val="both"/>
              <w:rPr>
                <w:sz w:val="18"/>
              </w:rPr>
            </w:pPr>
            <w:r>
              <w:rPr>
                <w:sz w:val="18"/>
              </w:rPr>
              <w:t>This</w:t>
            </w:r>
            <w:r>
              <w:rPr>
                <w:spacing w:val="-16"/>
                <w:sz w:val="18"/>
              </w:rPr>
              <w:t> </w:t>
            </w:r>
            <w:r>
              <w:rPr>
                <w:sz w:val="18"/>
              </w:rPr>
              <w:t>issue</w:t>
            </w:r>
            <w:r>
              <w:rPr>
                <w:spacing w:val="-16"/>
                <w:sz w:val="18"/>
              </w:rPr>
              <w:t> </w:t>
            </w:r>
            <w:r>
              <w:rPr>
                <w:sz w:val="18"/>
              </w:rPr>
              <w:t>has</w:t>
            </w:r>
            <w:r>
              <w:rPr>
                <w:spacing w:val="-16"/>
                <w:sz w:val="18"/>
              </w:rPr>
              <w:t> </w:t>
            </w:r>
            <w:r>
              <w:rPr>
                <w:sz w:val="18"/>
              </w:rPr>
              <w:t>been</w:t>
            </w:r>
            <w:r>
              <w:rPr>
                <w:spacing w:val="-16"/>
                <w:sz w:val="18"/>
              </w:rPr>
              <w:t> </w:t>
            </w:r>
            <w:r>
              <w:rPr>
                <w:sz w:val="18"/>
              </w:rPr>
              <w:t>raised</w:t>
            </w:r>
            <w:r>
              <w:rPr>
                <w:spacing w:val="-16"/>
                <w:sz w:val="18"/>
              </w:rPr>
              <w:t> </w:t>
            </w:r>
            <w:r>
              <w:rPr>
                <w:sz w:val="18"/>
              </w:rPr>
              <w:t>with</w:t>
            </w:r>
            <w:r>
              <w:rPr>
                <w:spacing w:val="-15"/>
                <w:sz w:val="18"/>
              </w:rPr>
              <w:t> </w:t>
            </w:r>
            <w:r>
              <w:rPr>
                <w:sz w:val="18"/>
              </w:rPr>
              <w:t>DHCW whose</w:t>
            </w:r>
            <w:r>
              <w:rPr>
                <w:spacing w:val="-7"/>
                <w:sz w:val="18"/>
              </w:rPr>
              <w:t> </w:t>
            </w:r>
            <w:r>
              <w:rPr>
                <w:sz w:val="18"/>
              </w:rPr>
              <w:t>policy</w:t>
            </w:r>
            <w:r>
              <w:rPr>
                <w:spacing w:val="-7"/>
                <w:sz w:val="18"/>
              </w:rPr>
              <w:t> </w:t>
            </w:r>
            <w:r>
              <w:rPr>
                <w:sz w:val="18"/>
              </w:rPr>
              <w:t>is</w:t>
            </w:r>
            <w:r>
              <w:rPr>
                <w:spacing w:val="-6"/>
                <w:sz w:val="18"/>
              </w:rPr>
              <w:t> </w:t>
            </w:r>
            <w:r>
              <w:rPr>
                <w:sz w:val="18"/>
              </w:rPr>
              <w:t>not</w:t>
            </w:r>
            <w:r>
              <w:rPr>
                <w:spacing w:val="-6"/>
                <w:sz w:val="18"/>
              </w:rPr>
              <w:t> </w:t>
            </w:r>
            <w:r>
              <w:rPr>
                <w:sz w:val="18"/>
              </w:rPr>
              <w:t>to</w:t>
            </w:r>
            <w:r>
              <w:rPr>
                <w:spacing w:val="-6"/>
                <w:sz w:val="18"/>
              </w:rPr>
              <w:t> </w:t>
            </w:r>
            <w:r>
              <w:rPr>
                <w:sz w:val="18"/>
              </w:rPr>
              <w:t>include</w:t>
            </w:r>
            <w:r>
              <w:rPr>
                <w:spacing w:val="-7"/>
                <w:sz w:val="18"/>
              </w:rPr>
              <w:t> </w:t>
            </w:r>
            <w:r>
              <w:rPr>
                <w:sz w:val="18"/>
              </w:rPr>
              <w:t>servers on Snow.</w:t>
            </w:r>
          </w:p>
          <w:p>
            <w:pPr>
              <w:pStyle w:val="TableParagraph"/>
              <w:numPr>
                <w:ilvl w:val="0"/>
                <w:numId w:val="42"/>
              </w:numPr>
              <w:tabs>
                <w:tab w:pos="469" w:val="left" w:leader="none"/>
                <w:tab w:pos="2089" w:val="left" w:leader="none"/>
                <w:tab w:pos="3566" w:val="left" w:leader="none"/>
              </w:tabs>
              <w:spacing w:line="259" w:lineRule="auto" w:before="0" w:after="0"/>
              <w:ind w:left="467" w:right="95" w:hanging="360"/>
              <w:jc w:val="both"/>
              <w:rPr>
                <w:sz w:val="18"/>
              </w:rPr>
            </w:pPr>
            <w:r>
              <w:rPr>
                <w:sz w:val="18"/>
              </w:rPr>
              <w:t>We have previously raised this issue regarding Dell OpenManage with DHCW, and the current challenge is understood</w:t>
            </w:r>
            <w:r>
              <w:rPr>
                <w:spacing w:val="-5"/>
                <w:sz w:val="18"/>
              </w:rPr>
              <w:t> </w:t>
            </w:r>
            <w:r>
              <w:rPr>
                <w:sz w:val="18"/>
              </w:rPr>
              <w:t>to</w:t>
            </w:r>
            <w:r>
              <w:rPr>
                <w:spacing w:val="-5"/>
                <w:sz w:val="18"/>
              </w:rPr>
              <w:t> </w:t>
            </w:r>
            <w:r>
              <w:rPr>
                <w:sz w:val="18"/>
              </w:rPr>
              <w:t>be</w:t>
            </w:r>
            <w:r>
              <w:rPr>
                <w:spacing w:val="-5"/>
                <w:sz w:val="18"/>
              </w:rPr>
              <w:t> </w:t>
            </w:r>
            <w:r>
              <w:rPr>
                <w:sz w:val="18"/>
              </w:rPr>
              <w:t>that</w:t>
            </w:r>
            <w:r>
              <w:rPr>
                <w:spacing w:val="-5"/>
                <w:sz w:val="18"/>
              </w:rPr>
              <w:t> </w:t>
            </w:r>
            <w:r>
              <w:rPr>
                <w:sz w:val="18"/>
              </w:rPr>
              <w:t>NWSSP</w:t>
            </w:r>
            <w:r>
              <w:rPr>
                <w:spacing w:val="-5"/>
                <w:sz w:val="18"/>
              </w:rPr>
              <w:t> </w:t>
            </w:r>
            <w:r>
              <w:rPr>
                <w:sz w:val="18"/>
              </w:rPr>
              <w:t>cannot be given access to solely the NWSSP information within the system. We would</w:t>
            </w:r>
            <w:r>
              <w:rPr>
                <w:spacing w:val="-2"/>
                <w:sz w:val="18"/>
              </w:rPr>
              <w:t> </w:t>
            </w:r>
            <w:r>
              <w:rPr>
                <w:sz w:val="18"/>
              </w:rPr>
              <w:t>need</w:t>
            </w:r>
            <w:r>
              <w:rPr>
                <w:spacing w:val="-2"/>
                <w:sz w:val="18"/>
              </w:rPr>
              <w:t> </w:t>
            </w:r>
            <w:r>
              <w:rPr>
                <w:sz w:val="18"/>
              </w:rPr>
              <w:t>to</w:t>
            </w:r>
            <w:r>
              <w:rPr>
                <w:spacing w:val="-2"/>
                <w:sz w:val="18"/>
              </w:rPr>
              <w:t> </w:t>
            </w:r>
            <w:r>
              <w:rPr>
                <w:sz w:val="18"/>
              </w:rPr>
              <w:t>be</w:t>
            </w:r>
            <w:r>
              <w:rPr>
                <w:spacing w:val="-2"/>
                <w:sz w:val="18"/>
              </w:rPr>
              <w:t> </w:t>
            </w:r>
            <w:r>
              <w:rPr>
                <w:sz w:val="18"/>
              </w:rPr>
              <w:t>given</w:t>
            </w:r>
            <w:r>
              <w:rPr>
                <w:spacing w:val="-2"/>
                <w:sz w:val="18"/>
              </w:rPr>
              <w:t> </w:t>
            </w:r>
            <w:r>
              <w:rPr>
                <w:sz w:val="18"/>
              </w:rPr>
              <w:t>access</w:t>
            </w:r>
            <w:r>
              <w:rPr>
                <w:spacing w:val="-2"/>
                <w:sz w:val="18"/>
              </w:rPr>
              <w:t> </w:t>
            </w:r>
            <w:r>
              <w:rPr>
                <w:sz w:val="18"/>
              </w:rPr>
              <w:t>to</w:t>
            </w:r>
            <w:r>
              <w:rPr>
                <w:spacing w:val="-2"/>
                <w:sz w:val="18"/>
              </w:rPr>
              <w:t> </w:t>
            </w:r>
            <w:r>
              <w:rPr>
                <w:sz w:val="18"/>
              </w:rPr>
              <w:t>the whole system, as it is currently </w:t>
            </w:r>
            <w:r>
              <w:rPr>
                <w:spacing w:val="-2"/>
                <w:sz w:val="18"/>
              </w:rPr>
              <w:t>configured</w:t>
            </w:r>
            <w:r>
              <w:rPr>
                <w:sz w:val="18"/>
              </w:rPr>
              <w:tab/>
            </w:r>
            <w:r>
              <w:rPr>
                <w:spacing w:val="-2"/>
                <w:sz w:val="18"/>
              </w:rPr>
              <w:t>including</w:t>
            </w:r>
            <w:r>
              <w:rPr>
                <w:sz w:val="18"/>
              </w:rPr>
              <w:tab/>
            </w:r>
            <w:r>
              <w:rPr>
                <w:spacing w:val="-4"/>
                <w:sz w:val="18"/>
              </w:rPr>
              <w:t>th</w:t>
            </w:r>
            <w:r>
              <w:rPr>
                <w:spacing w:val="-4"/>
                <w:sz w:val="18"/>
              </w:rPr>
              <w:t>e</w:t>
            </w:r>
            <w:r>
              <w:rPr>
                <w:spacing w:val="-4"/>
                <w:sz w:val="18"/>
              </w:rPr>
              <w:t> </w:t>
            </w:r>
            <w:r>
              <w:rPr>
                <w:sz w:val="18"/>
              </w:rPr>
              <w:t>infrastructure information of others, and this would not be appropriate. However</w:t>
            </w:r>
            <w:r>
              <w:rPr>
                <w:spacing w:val="-6"/>
                <w:sz w:val="18"/>
              </w:rPr>
              <w:t> </w:t>
            </w:r>
            <w:r>
              <w:rPr>
                <w:sz w:val="18"/>
              </w:rPr>
              <w:t>with</w:t>
            </w:r>
            <w:r>
              <w:rPr>
                <w:spacing w:val="-7"/>
                <w:sz w:val="18"/>
              </w:rPr>
              <w:t> </w:t>
            </w:r>
            <w:r>
              <w:rPr>
                <w:sz w:val="18"/>
              </w:rPr>
              <w:t>the</w:t>
            </w:r>
            <w:r>
              <w:rPr>
                <w:spacing w:val="-7"/>
                <w:sz w:val="18"/>
              </w:rPr>
              <w:t> </w:t>
            </w:r>
            <w:r>
              <w:rPr>
                <w:sz w:val="18"/>
              </w:rPr>
              <w:t>appointment</w:t>
            </w:r>
            <w:r>
              <w:rPr>
                <w:spacing w:val="-7"/>
                <w:sz w:val="18"/>
              </w:rPr>
              <w:t> </w:t>
            </w:r>
            <w:r>
              <w:rPr>
                <w:sz w:val="18"/>
              </w:rPr>
              <w:t>of</w:t>
            </w:r>
            <w:r>
              <w:rPr>
                <w:spacing w:val="-6"/>
                <w:sz w:val="18"/>
              </w:rPr>
              <w:t> </w:t>
            </w:r>
            <w:r>
              <w:rPr>
                <w:sz w:val="18"/>
              </w:rPr>
              <w:t>the new Chief Digital Officer we will continue to investigate with DHCW any alternative solutions to address this problem.</w:t>
            </w:r>
          </w:p>
        </w:tc>
        <w:tc>
          <w:tcPr>
            <w:tcW w:w="809" w:type="dxa"/>
            <w:textDirection w:val="tbRl"/>
          </w:tcPr>
          <w:p>
            <w:pPr>
              <w:pStyle w:val="TableParagraph"/>
              <w:spacing w:before="98"/>
              <w:rPr>
                <w:b/>
                <w:sz w:val="18"/>
              </w:rPr>
            </w:pPr>
            <w:r>
              <w:rPr>
                <w:b/>
                <w:spacing w:val="-2"/>
                <w:sz w:val="18"/>
              </w:rPr>
              <w:t>31/07/2022</w:t>
            </w:r>
          </w:p>
        </w:tc>
        <w:tc>
          <w:tcPr>
            <w:tcW w:w="1276" w:type="dxa"/>
          </w:tcPr>
          <w:p>
            <w:pPr>
              <w:pStyle w:val="TableParagraph"/>
              <w:rPr>
                <w:rFonts w:ascii="Times New Roman"/>
                <w:sz w:val="18"/>
              </w:rPr>
            </w:pPr>
          </w:p>
        </w:tc>
        <w:tc>
          <w:tcPr>
            <w:tcW w:w="3543" w:type="dxa"/>
          </w:tcPr>
          <w:p>
            <w:pPr>
              <w:pStyle w:val="TableParagraph"/>
              <w:spacing w:line="276" w:lineRule="auto"/>
              <w:ind w:left="108" w:right="109"/>
              <w:rPr>
                <w:sz w:val="18"/>
              </w:rPr>
            </w:pPr>
            <w:r>
              <w:rPr>
                <w:sz w:val="18"/>
              </w:rPr>
              <w:t>Service</w:t>
            </w:r>
            <w:r>
              <w:rPr>
                <w:spacing w:val="-7"/>
                <w:sz w:val="18"/>
              </w:rPr>
              <w:t> </w:t>
            </w:r>
            <w:r>
              <w:rPr>
                <w:sz w:val="18"/>
              </w:rPr>
              <w:t>Design</w:t>
            </w:r>
            <w:r>
              <w:rPr>
                <w:spacing w:val="-7"/>
                <w:sz w:val="18"/>
              </w:rPr>
              <w:t> </w:t>
            </w:r>
            <w:r>
              <w:rPr>
                <w:sz w:val="18"/>
              </w:rPr>
              <w:t>is</w:t>
            </w:r>
            <w:r>
              <w:rPr>
                <w:spacing w:val="-8"/>
                <w:sz w:val="18"/>
              </w:rPr>
              <w:t> </w:t>
            </w:r>
            <w:r>
              <w:rPr>
                <w:sz w:val="18"/>
              </w:rPr>
              <w:t>in</w:t>
            </w:r>
            <w:r>
              <w:rPr>
                <w:spacing w:val="-8"/>
                <w:sz w:val="18"/>
              </w:rPr>
              <w:t> </w:t>
            </w:r>
            <w:r>
              <w:rPr>
                <w:sz w:val="18"/>
              </w:rPr>
              <w:t>progress.</w:t>
            </w:r>
            <w:r>
              <w:rPr>
                <w:spacing w:val="-8"/>
                <w:sz w:val="18"/>
              </w:rPr>
              <w:t> </w:t>
            </w:r>
            <w:r>
              <w:rPr>
                <w:sz w:val="18"/>
              </w:rPr>
              <w:t>Data exchange</w:t>
            </w:r>
            <w:r>
              <w:rPr>
                <w:spacing w:val="-2"/>
                <w:sz w:val="18"/>
              </w:rPr>
              <w:t> </w:t>
            </w:r>
            <w:r>
              <w:rPr>
                <w:sz w:val="18"/>
              </w:rPr>
              <w:t>has</w:t>
            </w:r>
            <w:r>
              <w:rPr>
                <w:spacing w:val="-2"/>
                <w:sz w:val="18"/>
              </w:rPr>
              <w:t> </w:t>
            </w:r>
            <w:r>
              <w:rPr>
                <w:sz w:val="18"/>
              </w:rPr>
              <w:t>commenced.</w:t>
            </w:r>
            <w:r>
              <w:rPr>
                <w:spacing w:val="-2"/>
                <w:sz w:val="18"/>
              </w:rPr>
              <w:t> </w:t>
            </w:r>
            <w:r>
              <w:rPr>
                <w:sz w:val="18"/>
              </w:rPr>
              <w:t>Plan</w:t>
            </w:r>
            <w:r>
              <w:rPr>
                <w:spacing w:val="-2"/>
                <w:sz w:val="18"/>
              </w:rPr>
              <w:t> </w:t>
            </w:r>
            <w:r>
              <w:rPr>
                <w:sz w:val="18"/>
              </w:rPr>
              <w:t>to achieve a baseline position by January 2023.</w:t>
            </w:r>
          </w:p>
        </w:tc>
      </w:tr>
      <w:tr>
        <w:trPr>
          <w:trHeight w:val="497" w:hRule="atLeast"/>
        </w:trPr>
        <w:tc>
          <w:tcPr>
            <w:tcW w:w="23247" w:type="dxa"/>
            <w:gridSpan w:val="11"/>
            <w:shd w:val="clear" w:color="auto" w:fill="8DB3E2"/>
          </w:tcPr>
          <w:p>
            <w:pPr>
              <w:pStyle w:val="TableParagraph"/>
              <w:ind w:left="171"/>
              <w:rPr>
                <w:b/>
                <w:sz w:val="18"/>
              </w:rPr>
            </w:pPr>
            <w:r>
              <w:rPr>
                <w:b/>
                <w:spacing w:val="-2"/>
                <w:sz w:val="18"/>
              </w:rPr>
              <w:t>Procurement</w:t>
            </w:r>
          </w:p>
        </w:tc>
      </w:tr>
    </w:tbl>
    <w:p>
      <w:pPr>
        <w:spacing w:after="0"/>
        <w:rPr>
          <w:sz w:val="18"/>
        </w:rPr>
        <w:sectPr>
          <w:pgSz w:w="23820" w:h="16840" w:orient="landscape"/>
          <w:pgMar w:header="0" w:footer="204" w:top="260" w:bottom="400" w:left="200" w:right="140"/>
        </w:sectPr>
      </w:pPr>
    </w:p>
    <w:p>
      <w:pPr>
        <w:pStyle w:val="BodyText"/>
        <w:rPr>
          <w:b/>
          <w:sz w:val="27"/>
        </w:rPr>
      </w:pPr>
    </w:p>
    <w:p>
      <w:pPr>
        <w:spacing w:before="101"/>
        <w:ind w:left="6573" w:right="6633" w:firstLine="0"/>
        <w:jc w:val="center"/>
        <w:rPr>
          <w:b/>
          <w:sz w:val="32"/>
        </w:rPr>
      </w:pPr>
      <w:r>
        <w:rPr/>
        <w:drawing>
          <wp:anchor distT="0" distB="0" distL="0" distR="0" allowOverlap="1" layoutInCell="1" locked="0" behindDoc="0" simplePos="0" relativeHeight="15855104">
            <wp:simplePos x="0" y="0"/>
            <wp:positionH relativeFrom="page">
              <wp:posOffset>598716</wp:posOffset>
            </wp:positionH>
            <wp:positionV relativeFrom="paragraph">
              <wp:posOffset>-208649</wp:posOffset>
            </wp:positionV>
            <wp:extent cx="2192182" cy="598715"/>
            <wp:effectExtent l="0" t="0" r="0" b="0"/>
            <wp:wrapNone/>
            <wp:docPr id="233" name="image105.png"/>
            <wp:cNvGraphicFramePr>
              <a:graphicFrameLocks noChangeAspect="1"/>
            </wp:cNvGraphicFramePr>
            <a:graphic>
              <a:graphicData uri="http://schemas.openxmlformats.org/drawingml/2006/picture">
                <pic:pic>
                  <pic:nvPicPr>
                    <pic:cNvPr id="234" name="image105.png"/>
                    <pic:cNvPicPr/>
                  </pic:nvPicPr>
                  <pic:blipFill>
                    <a:blip r:embed="rId206" cstate="print"/>
                    <a:stretch>
                      <a:fillRect/>
                    </a:stretch>
                  </pic:blipFill>
                  <pic:spPr>
                    <a:xfrm>
                      <a:off x="0" y="0"/>
                      <a:ext cx="2192182" cy="598715"/>
                    </a:xfrm>
                    <a:prstGeom prst="rect">
                      <a:avLst/>
                    </a:prstGeom>
                  </pic:spPr>
                </pic:pic>
              </a:graphicData>
            </a:graphic>
          </wp:anchor>
        </w:drawing>
      </w:r>
      <w:r>
        <w:rPr>
          <w:b/>
          <w:sz w:val="32"/>
        </w:rPr>
        <w:t>APPENDIX</w:t>
      </w:r>
      <w:r>
        <w:rPr>
          <w:b/>
          <w:spacing w:val="-6"/>
          <w:sz w:val="32"/>
        </w:rPr>
        <w:t> </w:t>
      </w:r>
      <w:r>
        <w:rPr>
          <w:b/>
          <w:sz w:val="32"/>
        </w:rPr>
        <w:t>A</w:t>
      </w:r>
      <w:r>
        <w:rPr>
          <w:b/>
          <w:spacing w:val="-3"/>
          <w:sz w:val="32"/>
        </w:rPr>
        <w:t> </w:t>
      </w:r>
      <w:r>
        <w:rPr>
          <w:b/>
          <w:sz w:val="32"/>
        </w:rPr>
        <w:t>-</w:t>
      </w:r>
      <w:r>
        <w:rPr>
          <w:b/>
          <w:spacing w:val="-3"/>
          <w:sz w:val="32"/>
        </w:rPr>
        <w:t> </w:t>
      </w:r>
      <w:r>
        <w:rPr>
          <w:b/>
          <w:sz w:val="32"/>
        </w:rPr>
        <w:t>PROGRESS</w:t>
      </w:r>
      <w:r>
        <w:rPr>
          <w:b/>
          <w:spacing w:val="-3"/>
          <w:sz w:val="32"/>
        </w:rPr>
        <w:t> </w:t>
      </w:r>
      <w:r>
        <w:rPr>
          <w:b/>
          <w:sz w:val="32"/>
        </w:rPr>
        <w:t>OF</w:t>
      </w:r>
      <w:r>
        <w:rPr>
          <w:b/>
          <w:spacing w:val="-3"/>
          <w:sz w:val="32"/>
        </w:rPr>
        <w:t> </w:t>
      </w:r>
      <w:r>
        <w:rPr>
          <w:b/>
          <w:sz w:val="32"/>
        </w:rPr>
        <w:t>AUDIT</w:t>
      </w:r>
      <w:r>
        <w:rPr>
          <w:b/>
          <w:spacing w:val="-2"/>
          <w:sz w:val="32"/>
        </w:rPr>
        <w:t> RECOMMENDATIONS</w:t>
      </w:r>
    </w:p>
    <w:p>
      <w:pPr>
        <w:pStyle w:val="BodyText"/>
        <w:rPr>
          <w:b/>
          <w:sz w:val="20"/>
        </w:rPr>
      </w:pPr>
    </w:p>
    <w:p>
      <w:pPr>
        <w:pStyle w:val="BodyText"/>
        <w:spacing w:before="4"/>
        <w:rPr>
          <w:b/>
          <w:sz w:val="23"/>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6"/>
        <w:gridCol w:w="1987"/>
        <w:gridCol w:w="571"/>
        <w:gridCol w:w="4411"/>
        <w:gridCol w:w="547"/>
        <w:gridCol w:w="4439"/>
        <w:gridCol w:w="990"/>
        <w:gridCol w:w="3968"/>
        <w:gridCol w:w="809"/>
        <w:gridCol w:w="1276"/>
        <w:gridCol w:w="3543"/>
      </w:tblGrid>
      <w:tr>
        <w:trPr>
          <w:trHeight w:val="7243" w:hRule="atLeast"/>
        </w:trPr>
        <w:tc>
          <w:tcPr>
            <w:tcW w:w="706" w:type="dxa"/>
          </w:tcPr>
          <w:p>
            <w:pPr>
              <w:pStyle w:val="TableParagraph"/>
              <w:ind w:left="108"/>
              <w:rPr>
                <w:sz w:val="18"/>
              </w:rPr>
            </w:pPr>
            <w:r>
              <w:rPr>
                <w:spacing w:val="-5"/>
                <w:sz w:val="18"/>
              </w:rPr>
              <w:t>7.</w:t>
            </w:r>
          </w:p>
        </w:tc>
        <w:tc>
          <w:tcPr>
            <w:tcW w:w="1987" w:type="dxa"/>
          </w:tcPr>
          <w:p>
            <w:pPr>
              <w:pStyle w:val="TableParagraph"/>
              <w:spacing w:line="276" w:lineRule="auto"/>
              <w:ind w:left="107"/>
              <w:rPr>
                <w:sz w:val="18"/>
              </w:rPr>
            </w:pPr>
            <w:r>
              <w:rPr>
                <w:sz w:val="18"/>
              </w:rPr>
              <w:t>Review</w:t>
            </w:r>
            <w:r>
              <w:rPr>
                <w:spacing w:val="-16"/>
                <w:sz w:val="18"/>
              </w:rPr>
              <w:t> </w:t>
            </w:r>
            <w:r>
              <w:rPr>
                <w:sz w:val="18"/>
              </w:rPr>
              <w:t>of</w:t>
            </w:r>
            <w:r>
              <w:rPr>
                <w:spacing w:val="-16"/>
                <w:sz w:val="18"/>
              </w:rPr>
              <w:t> </w:t>
            </w:r>
            <w:r>
              <w:rPr>
                <w:sz w:val="18"/>
              </w:rPr>
              <w:t>Laundry </w:t>
            </w:r>
            <w:r>
              <w:rPr>
                <w:spacing w:val="-2"/>
                <w:sz w:val="18"/>
              </w:rPr>
              <w:t>Services</w:t>
            </w:r>
          </w:p>
          <w:p>
            <w:pPr>
              <w:pStyle w:val="TableParagraph"/>
              <w:spacing w:before="5"/>
              <w:rPr>
                <w:b/>
                <w:sz w:val="16"/>
              </w:rPr>
            </w:pPr>
          </w:p>
          <w:p>
            <w:pPr>
              <w:pStyle w:val="TableParagraph"/>
              <w:spacing w:line="494" w:lineRule="auto"/>
              <w:ind w:left="107" w:right="355"/>
              <w:rPr>
                <w:sz w:val="18"/>
              </w:rPr>
            </w:pPr>
            <w:r>
              <w:rPr>
                <w:spacing w:val="-2"/>
                <w:sz w:val="18"/>
              </w:rPr>
              <w:t>NWSSP-2223-1a PROC/22-23/2</w:t>
            </w:r>
          </w:p>
        </w:tc>
        <w:tc>
          <w:tcPr>
            <w:tcW w:w="571" w:type="dxa"/>
            <w:shd w:val="clear" w:color="auto" w:fill="92D050"/>
            <w:textDirection w:val="tbRl"/>
          </w:tcPr>
          <w:p>
            <w:pPr>
              <w:pStyle w:val="TableParagraph"/>
              <w:spacing w:before="98"/>
              <w:ind w:left="113"/>
              <w:rPr>
                <w:b/>
                <w:sz w:val="18"/>
              </w:rPr>
            </w:pPr>
            <w:r>
              <w:rPr>
                <w:b/>
                <w:spacing w:val="-5"/>
                <w:sz w:val="18"/>
              </w:rPr>
              <w:t>NYD</w:t>
            </w:r>
          </w:p>
        </w:tc>
        <w:tc>
          <w:tcPr>
            <w:tcW w:w="4411" w:type="dxa"/>
          </w:tcPr>
          <w:p>
            <w:pPr>
              <w:pStyle w:val="TableParagraph"/>
              <w:spacing w:line="276" w:lineRule="auto"/>
              <w:ind w:left="107" w:right="173"/>
              <w:rPr>
                <w:sz w:val="18"/>
              </w:rPr>
            </w:pPr>
            <w:r>
              <w:rPr>
                <w:sz w:val="18"/>
              </w:rPr>
              <w:t>Current prices are based on 2019/20 prices plus 2% inflation and vary across Wales due to legacy arrangements. Furthermore, the cost of missing linen stock is currently absorbed by the Laundry in terms of replacement</w:t>
            </w:r>
            <w:r>
              <w:rPr>
                <w:spacing w:val="-8"/>
                <w:sz w:val="18"/>
              </w:rPr>
              <w:t> </w:t>
            </w:r>
            <w:r>
              <w:rPr>
                <w:sz w:val="18"/>
              </w:rPr>
              <w:t>costs.</w:t>
            </w:r>
            <w:r>
              <w:rPr>
                <w:spacing w:val="40"/>
                <w:sz w:val="18"/>
              </w:rPr>
              <w:t> </w:t>
            </w:r>
            <w:r>
              <w:rPr>
                <w:sz w:val="18"/>
              </w:rPr>
              <w:t>Health</w:t>
            </w:r>
            <w:r>
              <w:rPr>
                <w:spacing w:val="-9"/>
                <w:sz w:val="18"/>
              </w:rPr>
              <w:t> </w:t>
            </w:r>
            <w:r>
              <w:rPr>
                <w:sz w:val="18"/>
              </w:rPr>
              <w:t>Boards/Trusts</w:t>
            </w:r>
            <w:r>
              <w:rPr>
                <w:spacing w:val="-8"/>
                <w:sz w:val="18"/>
              </w:rPr>
              <w:t> </w:t>
            </w:r>
            <w:r>
              <w:rPr>
                <w:sz w:val="18"/>
              </w:rPr>
              <w:t>are invoiced based on the number of items issued, with the exception of one Health Board which is on a fixed rate agreement paying £290k each quarter based on agreed annual activity. Review of the Benchmarker activity for April – June 2022 identified that the costs for quarter 1 were in excess of</w:t>
            </w:r>
          </w:p>
          <w:p>
            <w:pPr>
              <w:pStyle w:val="TableParagraph"/>
              <w:spacing w:line="276" w:lineRule="auto"/>
              <w:ind w:left="107" w:right="100"/>
              <w:rPr>
                <w:sz w:val="18"/>
              </w:rPr>
            </w:pPr>
            <w:r>
              <w:rPr>
                <w:sz w:val="18"/>
              </w:rPr>
              <w:t>£500k. We were advised that agreed annual activity is compared to actual activity at the end of the year with a debit or credit adjustment for variances beyond the 6% tolerance.</w:t>
            </w:r>
            <w:r>
              <w:rPr>
                <w:spacing w:val="40"/>
                <w:sz w:val="18"/>
              </w:rPr>
              <w:t> </w:t>
            </w:r>
            <w:r>
              <w:rPr>
                <w:sz w:val="18"/>
              </w:rPr>
              <w:t>Green</w:t>
            </w:r>
            <w:r>
              <w:rPr>
                <w:spacing w:val="-6"/>
                <w:sz w:val="18"/>
              </w:rPr>
              <w:t> </w:t>
            </w:r>
            <w:r>
              <w:rPr>
                <w:sz w:val="18"/>
              </w:rPr>
              <w:t>Vale</w:t>
            </w:r>
            <w:r>
              <w:rPr>
                <w:spacing w:val="-6"/>
                <w:sz w:val="18"/>
              </w:rPr>
              <w:t> </w:t>
            </w:r>
            <w:r>
              <w:rPr>
                <w:sz w:val="18"/>
              </w:rPr>
              <w:t>also</w:t>
            </w:r>
            <w:r>
              <w:rPr>
                <w:spacing w:val="-7"/>
                <w:sz w:val="18"/>
              </w:rPr>
              <w:t> </w:t>
            </w:r>
            <w:r>
              <w:rPr>
                <w:sz w:val="18"/>
              </w:rPr>
              <w:t>processes</w:t>
            </w:r>
            <w:r>
              <w:rPr>
                <w:spacing w:val="-6"/>
                <w:sz w:val="18"/>
              </w:rPr>
              <w:t> </w:t>
            </w:r>
            <w:r>
              <w:rPr>
                <w:sz w:val="18"/>
              </w:rPr>
              <w:t>laundry for two private sector organisations Prices charged reflect legacy arrangements and are inflated annually. However, they have not been subject to review to establish whether represent value for money. We were advised that a standard pricing model will be implemented following completion of the All- Wales Laundry Transformational Programme which will incorporate all operating costs including replacement linen stock.</w:t>
            </w:r>
          </w:p>
        </w:tc>
        <w:tc>
          <w:tcPr>
            <w:tcW w:w="547" w:type="dxa"/>
            <w:shd w:val="clear" w:color="auto" w:fill="FFC000"/>
            <w:textDirection w:val="tbRl"/>
          </w:tcPr>
          <w:p>
            <w:pPr>
              <w:pStyle w:val="TableParagraph"/>
              <w:spacing w:before="98"/>
              <w:ind w:left="113"/>
              <w:rPr>
                <w:b/>
                <w:sz w:val="18"/>
              </w:rPr>
            </w:pPr>
            <w:r>
              <w:rPr>
                <w:b/>
                <w:spacing w:val="-2"/>
                <w:sz w:val="18"/>
              </w:rPr>
              <w:t>Medium</w:t>
            </w:r>
          </w:p>
        </w:tc>
        <w:tc>
          <w:tcPr>
            <w:tcW w:w="4439" w:type="dxa"/>
          </w:tcPr>
          <w:p>
            <w:pPr>
              <w:pStyle w:val="TableParagraph"/>
              <w:spacing w:line="276" w:lineRule="auto"/>
              <w:ind w:left="108" w:right="196"/>
              <w:rPr>
                <w:sz w:val="18"/>
              </w:rPr>
            </w:pPr>
            <w:r>
              <w:rPr>
                <w:sz w:val="18"/>
              </w:rPr>
              <w:t>Reiterated</w:t>
            </w:r>
            <w:r>
              <w:rPr>
                <w:spacing w:val="-8"/>
                <w:sz w:val="18"/>
              </w:rPr>
              <w:t> </w:t>
            </w:r>
            <w:r>
              <w:rPr>
                <w:sz w:val="18"/>
              </w:rPr>
              <w:t>from</w:t>
            </w:r>
            <w:r>
              <w:rPr>
                <w:spacing w:val="-9"/>
                <w:sz w:val="18"/>
              </w:rPr>
              <w:t> </w:t>
            </w:r>
            <w:r>
              <w:rPr>
                <w:sz w:val="18"/>
              </w:rPr>
              <w:t>the</w:t>
            </w:r>
            <w:r>
              <w:rPr>
                <w:spacing w:val="-9"/>
                <w:sz w:val="18"/>
              </w:rPr>
              <w:t> </w:t>
            </w:r>
            <w:r>
              <w:rPr>
                <w:sz w:val="18"/>
              </w:rPr>
              <w:t>2021/22</w:t>
            </w:r>
            <w:r>
              <w:rPr>
                <w:spacing w:val="-8"/>
                <w:sz w:val="18"/>
              </w:rPr>
              <w:t> </w:t>
            </w:r>
            <w:r>
              <w:rPr>
                <w:sz w:val="18"/>
              </w:rPr>
              <w:t>audit</w:t>
            </w:r>
            <w:r>
              <w:rPr>
                <w:spacing w:val="-8"/>
                <w:sz w:val="18"/>
              </w:rPr>
              <w:t> </w:t>
            </w:r>
            <w:r>
              <w:rPr>
                <w:sz w:val="18"/>
              </w:rPr>
              <w:t>of Llansamlet Laundry:</w:t>
            </w:r>
          </w:p>
          <w:p>
            <w:pPr>
              <w:pStyle w:val="TableParagraph"/>
              <w:spacing w:before="5"/>
              <w:rPr>
                <w:b/>
                <w:sz w:val="16"/>
              </w:rPr>
            </w:pPr>
          </w:p>
          <w:p>
            <w:pPr>
              <w:pStyle w:val="TableParagraph"/>
              <w:spacing w:line="276" w:lineRule="auto"/>
              <w:ind w:left="108" w:right="196"/>
              <w:rPr>
                <w:sz w:val="18"/>
              </w:rPr>
            </w:pPr>
            <w:r>
              <w:rPr>
                <w:sz w:val="18"/>
              </w:rPr>
              <w:t>3.1</w:t>
            </w:r>
            <w:r>
              <w:rPr>
                <w:spacing w:val="-6"/>
                <w:sz w:val="18"/>
              </w:rPr>
              <w:t> </w:t>
            </w:r>
            <w:r>
              <w:rPr>
                <w:sz w:val="18"/>
              </w:rPr>
              <w:t>We</w:t>
            </w:r>
            <w:r>
              <w:rPr>
                <w:spacing w:val="-6"/>
                <w:sz w:val="18"/>
              </w:rPr>
              <w:t> </w:t>
            </w:r>
            <w:r>
              <w:rPr>
                <w:sz w:val="18"/>
              </w:rPr>
              <w:t>concur</w:t>
            </w:r>
            <w:r>
              <w:rPr>
                <w:spacing w:val="-5"/>
                <w:sz w:val="18"/>
              </w:rPr>
              <w:t> </w:t>
            </w:r>
            <w:r>
              <w:rPr>
                <w:sz w:val="18"/>
              </w:rPr>
              <w:t>with</w:t>
            </w:r>
            <w:r>
              <w:rPr>
                <w:spacing w:val="-6"/>
                <w:sz w:val="18"/>
              </w:rPr>
              <w:t> </w:t>
            </w:r>
            <w:r>
              <w:rPr>
                <w:sz w:val="18"/>
              </w:rPr>
              <w:t>the</w:t>
            </w:r>
            <w:r>
              <w:rPr>
                <w:spacing w:val="-6"/>
                <w:sz w:val="18"/>
              </w:rPr>
              <w:t> </w:t>
            </w:r>
            <w:r>
              <w:rPr>
                <w:sz w:val="18"/>
              </w:rPr>
              <w:t>plans</w:t>
            </w:r>
            <w:r>
              <w:rPr>
                <w:spacing w:val="-6"/>
                <w:sz w:val="18"/>
              </w:rPr>
              <w:t> </w:t>
            </w:r>
            <w:r>
              <w:rPr>
                <w:sz w:val="18"/>
              </w:rPr>
              <w:t>to</w:t>
            </w:r>
            <w:r>
              <w:rPr>
                <w:spacing w:val="-5"/>
                <w:sz w:val="18"/>
              </w:rPr>
              <w:t> </w:t>
            </w:r>
            <w:r>
              <w:rPr>
                <w:sz w:val="18"/>
              </w:rPr>
              <w:t>implement</w:t>
            </w:r>
            <w:r>
              <w:rPr>
                <w:spacing w:val="-5"/>
                <w:sz w:val="18"/>
              </w:rPr>
              <w:t> </w:t>
            </w:r>
            <w:r>
              <w:rPr>
                <w:sz w:val="18"/>
              </w:rPr>
              <w:t>a standard pricing model following completion of the All-Wales Laundry Transformational Programme. This should incorporate all operating costs including linen stock purchases to ensure that the service is not operating at a loss.</w:t>
            </w:r>
          </w:p>
        </w:tc>
        <w:tc>
          <w:tcPr>
            <w:tcW w:w="990" w:type="dxa"/>
            <w:textDirection w:val="tbRl"/>
          </w:tcPr>
          <w:p>
            <w:pPr>
              <w:pStyle w:val="TableParagraph"/>
              <w:spacing w:before="98"/>
              <w:rPr>
                <w:sz w:val="18"/>
              </w:rPr>
            </w:pPr>
            <w:r>
              <w:rPr>
                <w:sz w:val="18"/>
              </w:rPr>
              <w:t>Anthony</w:t>
            </w:r>
            <w:r>
              <w:rPr>
                <w:spacing w:val="-5"/>
                <w:sz w:val="18"/>
              </w:rPr>
              <w:t> </w:t>
            </w:r>
            <w:r>
              <w:rPr>
                <w:sz w:val="18"/>
              </w:rPr>
              <w:t>Hayward,</w:t>
            </w:r>
            <w:r>
              <w:rPr>
                <w:spacing w:val="-2"/>
                <w:sz w:val="18"/>
              </w:rPr>
              <w:t> </w:t>
            </w:r>
            <w:r>
              <w:rPr>
                <w:sz w:val="18"/>
              </w:rPr>
              <w:t>Assistant</w:t>
            </w:r>
            <w:r>
              <w:rPr>
                <w:spacing w:val="-2"/>
                <w:sz w:val="18"/>
              </w:rPr>
              <w:t> </w:t>
            </w:r>
            <w:r>
              <w:rPr>
                <w:sz w:val="18"/>
              </w:rPr>
              <w:t>Director</w:t>
            </w:r>
            <w:r>
              <w:rPr>
                <w:spacing w:val="-2"/>
                <w:sz w:val="18"/>
              </w:rPr>
              <w:t> </w:t>
            </w:r>
            <w:r>
              <w:rPr>
                <w:sz w:val="18"/>
              </w:rPr>
              <w:t>of</w:t>
            </w:r>
            <w:r>
              <w:rPr>
                <w:spacing w:val="-2"/>
                <w:sz w:val="18"/>
              </w:rPr>
              <w:t> </w:t>
            </w:r>
            <w:r>
              <w:rPr>
                <w:sz w:val="18"/>
              </w:rPr>
              <w:t>Laundry</w:t>
            </w:r>
            <w:r>
              <w:rPr>
                <w:spacing w:val="-2"/>
                <w:sz w:val="18"/>
              </w:rPr>
              <w:t> Operations</w:t>
            </w:r>
          </w:p>
        </w:tc>
        <w:tc>
          <w:tcPr>
            <w:tcW w:w="3968" w:type="dxa"/>
          </w:tcPr>
          <w:p>
            <w:pPr>
              <w:pStyle w:val="TableParagraph"/>
              <w:spacing w:line="276" w:lineRule="auto"/>
              <w:ind w:left="107" w:right="155"/>
              <w:rPr>
                <w:sz w:val="18"/>
              </w:rPr>
            </w:pPr>
            <w:r>
              <w:rPr>
                <w:sz w:val="18"/>
              </w:rPr>
              <w:t>3.1 Management accept the recommendation</w:t>
            </w:r>
            <w:r>
              <w:rPr>
                <w:spacing w:val="-10"/>
                <w:sz w:val="18"/>
              </w:rPr>
              <w:t> </w:t>
            </w:r>
            <w:r>
              <w:rPr>
                <w:sz w:val="18"/>
              </w:rPr>
              <w:t>and</w:t>
            </w:r>
            <w:r>
              <w:rPr>
                <w:spacing w:val="-10"/>
                <w:sz w:val="18"/>
              </w:rPr>
              <w:t> </w:t>
            </w:r>
            <w:r>
              <w:rPr>
                <w:sz w:val="18"/>
              </w:rPr>
              <w:t>acknowledge</w:t>
            </w:r>
            <w:r>
              <w:rPr>
                <w:spacing w:val="-10"/>
                <w:sz w:val="18"/>
              </w:rPr>
              <w:t> </w:t>
            </w:r>
            <w:r>
              <w:rPr>
                <w:sz w:val="18"/>
              </w:rPr>
              <w:t>it</w:t>
            </w:r>
            <w:r>
              <w:rPr>
                <w:spacing w:val="-10"/>
                <w:sz w:val="18"/>
              </w:rPr>
              <w:t> </w:t>
            </w:r>
            <w:r>
              <w:rPr>
                <w:sz w:val="18"/>
              </w:rPr>
              <w:t>is dependent on the transformational </w:t>
            </w:r>
            <w:r>
              <w:rPr>
                <w:spacing w:val="-2"/>
                <w:sz w:val="18"/>
              </w:rPr>
              <w:t>programme</w:t>
            </w:r>
          </w:p>
        </w:tc>
        <w:tc>
          <w:tcPr>
            <w:tcW w:w="809" w:type="dxa"/>
            <w:textDirection w:val="tbRl"/>
          </w:tcPr>
          <w:p>
            <w:pPr>
              <w:pStyle w:val="TableParagraph"/>
              <w:spacing w:before="98"/>
              <w:rPr>
                <w:b/>
                <w:sz w:val="18"/>
              </w:rPr>
            </w:pPr>
            <w:r>
              <w:rPr>
                <w:b/>
                <w:spacing w:val="-2"/>
                <w:sz w:val="18"/>
              </w:rPr>
              <w:t>01/04/2024</w:t>
            </w:r>
          </w:p>
        </w:tc>
        <w:tc>
          <w:tcPr>
            <w:tcW w:w="1276" w:type="dxa"/>
          </w:tcPr>
          <w:p>
            <w:pPr>
              <w:pStyle w:val="TableParagraph"/>
              <w:rPr>
                <w:rFonts w:ascii="Times New Roman"/>
                <w:sz w:val="18"/>
              </w:rPr>
            </w:pPr>
          </w:p>
        </w:tc>
        <w:tc>
          <w:tcPr>
            <w:tcW w:w="3543" w:type="dxa"/>
          </w:tcPr>
          <w:p>
            <w:pPr>
              <w:pStyle w:val="TableParagraph"/>
              <w:ind w:left="171" w:right="109"/>
              <w:rPr>
                <w:sz w:val="18"/>
              </w:rPr>
            </w:pPr>
            <w:r>
              <w:rPr>
                <w:sz w:val="18"/>
              </w:rPr>
              <w:t>This recommendation cannot be actioned for some time as the pricing model is fixed until the completion</w:t>
            </w:r>
            <w:r>
              <w:rPr>
                <w:spacing w:val="-13"/>
                <w:sz w:val="18"/>
              </w:rPr>
              <w:t> </w:t>
            </w:r>
            <w:r>
              <w:rPr>
                <w:sz w:val="18"/>
              </w:rPr>
              <w:t>of</w:t>
            </w:r>
            <w:r>
              <w:rPr>
                <w:spacing w:val="-13"/>
                <w:sz w:val="18"/>
              </w:rPr>
              <w:t> </w:t>
            </w:r>
            <w:r>
              <w:rPr>
                <w:sz w:val="18"/>
              </w:rPr>
              <w:t>the</w:t>
            </w:r>
            <w:r>
              <w:rPr>
                <w:spacing w:val="-13"/>
                <w:sz w:val="18"/>
              </w:rPr>
              <w:t> </w:t>
            </w:r>
            <w:r>
              <w:rPr>
                <w:sz w:val="18"/>
              </w:rPr>
              <w:t>transformational programme. No further update to </w:t>
            </w:r>
            <w:r>
              <w:rPr>
                <w:spacing w:val="-2"/>
                <w:sz w:val="18"/>
              </w:rPr>
              <w:t>report.</w:t>
            </w:r>
          </w:p>
        </w:tc>
      </w:tr>
      <w:tr>
        <w:trPr>
          <w:trHeight w:val="2715" w:hRule="atLeast"/>
        </w:trPr>
        <w:tc>
          <w:tcPr>
            <w:tcW w:w="706" w:type="dxa"/>
          </w:tcPr>
          <w:p>
            <w:pPr>
              <w:pStyle w:val="TableParagraph"/>
              <w:ind w:left="108"/>
              <w:rPr>
                <w:sz w:val="18"/>
              </w:rPr>
            </w:pPr>
            <w:r>
              <w:rPr>
                <w:spacing w:val="-5"/>
                <w:sz w:val="18"/>
              </w:rPr>
              <w:t>8.</w:t>
            </w:r>
          </w:p>
        </w:tc>
        <w:tc>
          <w:tcPr>
            <w:tcW w:w="1987" w:type="dxa"/>
          </w:tcPr>
          <w:p>
            <w:pPr>
              <w:pStyle w:val="TableParagraph"/>
              <w:spacing w:line="276" w:lineRule="auto"/>
              <w:ind w:left="107"/>
              <w:rPr>
                <w:sz w:val="18"/>
              </w:rPr>
            </w:pPr>
            <w:r>
              <w:rPr>
                <w:sz w:val="18"/>
              </w:rPr>
              <w:t>Laundry</w:t>
            </w:r>
            <w:r>
              <w:rPr>
                <w:spacing w:val="-16"/>
                <w:sz w:val="18"/>
              </w:rPr>
              <w:t> </w:t>
            </w:r>
            <w:r>
              <w:rPr>
                <w:sz w:val="18"/>
              </w:rPr>
              <w:t>Service</w:t>
            </w:r>
            <w:r>
              <w:rPr>
                <w:spacing w:val="-16"/>
                <w:sz w:val="18"/>
              </w:rPr>
              <w:t> </w:t>
            </w:r>
            <w:r>
              <w:rPr>
                <w:sz w:val="18"/>
              </w:rPr>
              <w:t>- Glan Clwyd</w:t>
            </w:r>
          </w:p>
          <w:p>
            <w:pPr>
              <w:pStyle w:val="TableParagraph"/>
              <w:spacing w:before="5"/>
              <w:rPr>
                <w:b/>
                <w:sz w:val="16"/>
              </w:rPr>
            </w:pPr>
          </w:p>
          <w:p>
            <w:pPr>
              <w:pStyle w:val="TableParagraph"/>
              <w:spacing w:line="494" w:lineRule="auto"/>
              <w:ind w:left="107" w:right="237"/>
              <w:rPr>
                <w:sz w:val="18"/>
              </w:rPr>
            </w:pPr>
            <w:r>
              <w:rPr>
                <w:spacing w:val="-2"/>
                <w:sz w:val="18"/>
              </w:rPr>
              <w:t>NWSSP-2223-05b PROC/22-23/3</w:t>
            </w:r>
          </w:p>
        </w:tc>
        <w:tc>
          <w:tcPr>
            <w:tcW w:w="571" w:type="dxa"/>
            <w:shd w:val="clear" w:color="auto" w:fill="92D050"/>
            <w:textDirection w:val="tbRl"/>
          </w:tcPr>
          <w:p>
            <w:pPr>
              <w:pStyle w:val="TableParagraph"/>
              <w:spacing w:before="98"/>
              <w:ind w:left="113"/>
              <w:rPr>
                <w:b/>
                <w:sz w:val="18"/>
              </w:rPr>
            </w:pPr>
            <w:r>
              <w:rPr>
                <w:b/>
                <w:spacing w:val="-5"/>
                <w:sz w:val="18"/>
              </w:rPr>
              <w:t>NYD</w:t>
            </w:r>
          </w:p>
        </w:tc>
        <w:tc>
          <w:tcPr>
            <w:tcW w:w="4411" w:type="dxa"/>
          </w:tcPr>
          <w:p>
            <w:pPr>
              <w:pStyle w:val="TableParagraph"/>
              <w:spacing w:line="276" w:lineRule="auto"/>
              <w:ind w:left="107" w:right="100"/>
              <w:rPr>
                <w:sz w:val="18"/>
              </w:rPr>
            </w:pPr>
            <w:r>
              <w:rPr>
                <w:sz w:val="18"/>
              </w:rPr>
              <w:t>During a site visit at the Glan Clwyd Laundry we noted that the building is in a poor state</w:t>
            </w:r>
            <w:r>
              <w:rPr>
                <w:spacing w:val="40"/>
                <w:sz w:val="18"/>
              </w:rPr>
              <w:t> </w:t>
            </w:r>
            <w:r>
              <w:rPr>
                <w:sz w:val="18"/>
              </w:rPr>
              <w:t>of repair with fire exit doors in poor condition providing opportunity for unauthorised</w:t>
            </w:r>
            <w:r>
              <w:rPr>
                <w:spacing w:val="40"/>
                <w:sz w:val="18"/>
              </w:rPr>
              <w:t> </w:t>
            </w:r>
            <w:r>
              <w:rPr>
                <w:sz w:val="18"/>
              </w:rPr>
              <w:t>access. Unlike Llansamlet and Green Vale Laundries,</w:t>
            </w:r>
            <w:r>
              <w:rPr>
                <w:spacing w:val="-16"/>
                <w:sz w:val="18"/>
              </w:rPr>
              <w:t> </w:t>
            </w:r>
            <w:r>
              <w:rPr>
                <w:sz w:val="18"/>
              </w:rPr>
              <w:t>there</w:t>
            </w:r>
            <w:r>
              <w:rPr>
                <w:spacing w:val="-16"/>
                <w:sz w:val="18"/>
              </w:rPr>
              <w:t> </w:t>
            </w:r>
            <w:r>
              <w:rPr>
                <w:sz w:val="18"/>
              </w:rPr>
              <w:t>is</w:t>
            </w:r>
            <w:r>
              <w:rPr>
                <w:spacing w:val="-16"/>
                <w:sz w:val="18"/>
              </w:rPr>
              <w:t> </w:t>
            </w:r>
            <w:r>
              <w:rPr>
                <w:sz w:val="18"/>
              </w:rPr>
              <w:t>no</w:t>
            </w:r>
            <w:r>
              <w:rPr>
                <w:spacing w:val="-16"/>
                <w:sz w:val="18"/>
              </w:rPr>
              <w:t> </w:t>
            </w:r>
            <w:r>
              <w:rPr>
                <w:sz w:val="18"/>
              </w:rPr>
              <w:t>alarm</w:t>
            </w:r>
            <w:r>
              <w:rPr>
                <w:spacing w:val="-16"/>
                <w:sz w:val="18"/>
              </w:rPr>
              <w:t> </w:t>
            </w:r>
            <w:r>
              <w:rPr>
                <w:sz w:val="18"/>
              </w:rPr>
              <w:t>system</w:t>
            </w:r>
            <w:r>
              <w:rPr>
                <w:spacing w:val="-15"/>
                <w:sz w:val="18"/>
              </w:rPr>
              <w:t> </w:t>
            </w:r>
            <w:r>
              <w:rPr>
                <w:sz w:val="18"/>
              </w:rPr>
              <w:t>or</w:t>
            </w:r>
            <w:r>
              <w:rPr>
                <w:spacing w:val="-16"/>
                <w:sz w:val="18"/>
              </w:rPr>
              <w:t> </w:t>
            </w:r>
            <w:r>
              <w:rPr>
                <w:sz w:val="18"/>
              </w:rPr>
              <w:t>CCTV</w:t>
            </w:r>
            <w:r>
              <w:rPr>
                <w:spacing w:val="-16"/>
                <w:sz w:val="18"/>
              </w:rPr>
              <w:t> </w:t>
            </w:r>
            <w:r>
              <w:rPr>
                <w:sz w:val="18"/>
              </w:rPr>
              <w:t>in place, no perimeter fencing and a record of building key holders is not maintained. We also observed fire exit doors propped open to allow ventilation.</w:t>
            </w:r>
          </w:p>
        </w:tc>
        <w:tc>
          <w:tcPr>
            <w:tcW w:w="547" w:type="dxa"/>
            <w:shd w:val="clear" w:color="auto" w:fill="FF0000"/>
            <w:textDirection w:val="tbRl"/>
          </w:tcPr>
          <w:p>
            <w:pPr>
              <w:pStyle w:val="TableParagraph"/>
              <w:spacing w:before="98"/>
              <w:ind w:left="113"/>
              <w:rPr>
                <w:b/>
                <w:sz w:val="18"/>
              </w:rPr>
            </w:pPr>
            <w:r>
              <w:rPr>
                <w:b/>
                <w:spacing w:val="-4"/>
                <w:sz w:val="18"/>
              </w:rPr>
              <w:t>High</w:t>
            </w:r>
          </w:p>
        </w:tc>
        <w:tc>
          <w:tcPr>
            <w:tcW w:w="4439" w:type="dxa"/>
          </w:tcPr>
          <w:p>
            <w:pPr>
              <w:pStyle w:val="TableParagraph"/>
              <w:spacing w:line="276" w:lineRule="auto"/>
              <w:ind w:left="108" w:right="105"/>
              <w:rPr>
                <w:sz w:val="18"/>
              </w:rPr>
            </w:pPr>
            <w:r>
              <w:rPr>
                <w:sz w:val="18"/>
              </w:rPr>
              <w:t>1.1 Perform a risk assessment of the existing site to identify and prioritise any significant issues</w:t>
            </w:r>
            <w:r>
              <w:rPr>
                <w:spacing w:val="-9"/>
                <w:sz w:val="18"/>
              </w:rPr>
              <w:t> </w:t>
            </w:r>
            <w:r>
              <w:rPr>
                <w:sz w:val="18"/>
              </w:rPr>
              <w:t>with</w:t>
            </w:r>
            <w:r>
              <w:rPr>
                <w:spacing w:val="-9"/>
                <w:sz w:val="18"/>
              </w:rPr>
              <w:t> </w:t>
            </w:r>
            <w:r>
              <w:rPr>
                <w:sz w:val="18"/>
              </w:rPr>
              <w:t>the</w:t>
            </w:r>
            <w:r>
              <w:rPr>
                <w:spacing w:val="-9"/>
                <w:sz w:val="18"/>
              </w:rPr>
              <w:t> </w:t>
            </w:r>
            <w:r>
              <w:rPr>
                <w:sz w:val="18"/>
              </w:rPr>
              <w:t>physical</w:t>
            </w:r>
            <w:r>
              <w:rPr>
                <w:spacing w:val="-8"/>
                <w:sz w:val="18"/>
              </w:rPr>
              <w:t> </w:t>
            </w:r>
            <w:r>
              <w:rPr>
                <w:sz w:val="18"/>
              </w:rPr>
              <w:t>site</w:t>
            </w:r>
            <w:r>
              <w:rPr>
                <w:spacing w:val="-9"/>
                <w:sz w:val="18"/>
              </w:rPr>
              <w:t> </w:t>
            </w:r>
            <w:r>
              <w:rPr>
                <w:sz w:val="18"/>
              </w:rPr>
              <w:t>condition/security that need to be addressed in the interim period until the facility is moved to a new site as part of the transformation programme.</w:t>
            </w:r>
          </w:p>
        </w:tc>
        <w:tc>
          <w:tcPr>
            <w:tcW w:w="990" w:type="dxa"/>
            <w:textDirection w:val="tbRl"/>
          </w:tcPr>
          <w:p>
            <w:pPr>
              <w:pStyle w:val="TableParagraph"/>
              <w:spacing w:line="276" w:lineRule="auto" w:before="98"/>
              <w:rPr>
                <w:sz w:val="18"/>
              </w:rPr>
            </w:pPr>
            <w:r>
              <w:rPr>
                <w:spacing w:val="-2"/>
                <w:sz w:val="18"/>
              </w:rPr>
              <w:t>Peter</w:t>
            </w:r>
            <w:r>
              <w:rPr>
                <w:spacing w:val="-14"/>
                <w:sz w:val="18"/>
              </w:rPr>
              <w:t> </w:t>
            </w:r>
            <w:r>
              <w:rPr>
                <w:spacing w:val="-2"/>
                <w:sz w:val="18"/>
              </w:rPr>
              <w:t>White,</w:t>
            </w:r>
            <w:r>
              <w:rPr>
                <w:spacing w:val="-14"/>
                <w:sz w:val="18"/>
              </w:rPr>
              <w:t> </w:t>
            </w:r>
            <w:r>
              <w:rPr>
                <w:spacing w:val="-2"/>
                <w:sz w:val="18"/>
              </w:rPr>
              <w:t>Laundry </w:t>
            </w:r>
            <w:r>
              <w:rPr>
                <w:sz w:val="18"/>
              </w:rPr>
              <w:t>Operations Manager</w:t>
            </w:r>
          </w:p>
        </w:tc>
        <w:tc>
          <w:tcPr>
            <w:tcW w:w="3968" w:type="dxa"/>
          </w:tcPr>
          <w:p>
            <w:pPr>
              <w:pStyle w:val="TableParagraph"/>
              <w:spacing w:line="276" w:lineRule="auto"/>
              <w:ind w:left="107" w:right="128"/>
              <w:rPr>
                <w:sz w:val="18"/>
              </w:rPr>
            </w:pPr>
            <w:r>
              <w:rPr>
                <w:sz w:val="18"/>
              </w:rPr>
              <w:t>1.1 Management accept the recommendation and will conduct a security review, the recommendations will</w:t>
            </w:r>
            <w:r>
              <w:rPr>
                <w:spacing w:val="-13"/>
                <w:sz w:val="18"/>
              </w:rPr>
              <w:t> </w:t>
            </w:r>
            <w:r>
              <w:rPr>
                <w:sz w:val="18"/>
              </w:rPr>
              <w:t>then</w:t>
            </w:r>
            <w:r>
              <w:rPr>
                <w:spacing w:val="-13"/>
                <w:sz w:val="18"/>
              </w:rPr>
              <w:t> </w:t>
            </w:r>
            <w:r>
              <w:rPr>
                <w:sz w:val="18"/>
              </w:rPr>
              <w:t>be</w:t>
            </w:r>
            <w:r>
              <w:rPr>
                <w:spacing w:val="-14"/>
                <w:sz w:val="18"/>
              </w:rPr>
              <w:t> </w:t>
            </w:r>
            <w:r>
              <w:rPr>
                <w:sz w:val="18"/>
              </w:rPr>
              <w:t>implemented</w:t>
            </w:r>
            <w:r>
              <w:rPr>
                <w:spacing w:val="-12"/>
                <w:sz w:val="18"/>
              </w:rPr>
              <w:t> </w:t>
            </w:r>
            <w:r>
              <w:rPr>
                <w:sz w:val="18"/>
              </w:rPr>
              <w:t>in</w:t>
            </w:r>
            <w:r>
              <w:rPr>
                <w:spacing w:val="-12"/>
                <w:sz w:val="18"/>
              </w:rPr>
              <w:t> </w:t>
            </w:r>
            <w:r>
              <w:rPr>
                <w:sz w:val="18"/>
              </w:rPr>
              <w:t>collaboration with BCUHB who own and maintain the </w:t>
            </w:r>
            <w:r>
              <w:rPr>
                <w:spacing w:val="-2"/>
                <w:sz w:val="18"/>
              </w:rPr>
              <w:t>building.</w:t>
            </w:r>
          </w:p>
        </w:tc>
        <w:tc>
          <w:tcPr>
            <w:tcW w:w="809" w:type="dxa"/>
            <w:textDirection w:val="tbRl"/>
          </w:tcPr>
          <w:p>
            <w:pPr>
              <w:pStyle w:val="TableParagraph"/>
              <w:spacing w:before="98"/>
              <w:rPr>
                <w:b/>
                <w:sz w:val="18"/>
              </w:rPr>
            </w:pPr>
            <w:r>
              <w:rPr>
                <w:b/>
                <w:spacing w:val="-2"/>
                <w:sz w:val="18"/>
              </w:rPr>
              <w:t>31/03/2023</w:t>
            </w:r>
          </w:p>
        </w:tc>
        <w:tc>
          <w:tcPr>
            <w:tcW w:w="1276" w:type="dxa"/>
          </w:tcPr>
          <w:p>
            <w:pPr>
              <w:pStyle w:val="TableParagraph"/>
              <w:rPr>
                <w:rFonts w:ascii="Times New Roman"/>
                <w:sz w:val="18"/>
              </w:rPr>
            </w:pPr>
          </w:p>
        </w:tc>
        <w:tc>
          <w:tcPr>
            <w:tcW w:w="3543" w:type="dxa"/>
          </w:tcPr>
          <w:p>
            <w:pPr>
              <w:pStyle w:val="TableParagraph"/>
              <w:rPr>
                <w:rFonts w:ascii="Times New Roman"/>
                <w:sz w:val="18"/>
              </w:rPr>
            </w:pPr>
          </w:p>
        </w:tc>
      </w:tr>
      <w:tr>
        <w:trPr>
          <w:trHeight w:val="2509" w:hRule="atLeast"/>
        </w:trPr>
        <w:tc>
          <w:tcPr>
            <w:tcW w:w="706" w:type="dxa"/>
          </w:tcPr>
          <w:p>
            <w:pPr>
              <w:pStyle w:val="TableParagraph"/>
              <w:ind w:left="108"/>
              <w:rPr>
                <w:sz w:val="18"/>
              </w:rPr>
            </w:pPr>
            <w:r>
              <w:rPr>
                <w:spacing w:val="-5"/>
                <w:sz w:val="18"/>
              </w:rPr>
              <w:t>9.</w:t>
            </w:r>
          </w:p>
        </w:tc>
        <w:tc>
          <w:tcPr>
            <w:tcW w:w="1987" w:type="dxa"/>
          </w:tcPr>
          <w:p>
            <w:pPr>
              <w:pStyle w:val="TableParagraph"/>
              <w:spacing w:line="276" w:lineRule="auto"/>
              <w:ind w:left="107"/>
              <w:rPr>
                <w:sz w:val="18"/>
              </w:rPr>
            </w:pPr>
            <w:r>
              <w:rPr>
                <w:sz w:val="18"/>
              </w:rPr>
              <w:t>Laundry</w:t>
            </w:r>
            <w:r>
              <w:rPr>
                <w:spacing w:val="-16"/>
                <w:sz w:val="18"/>
              </w:rPr>
              <w:t> </w:t>
            </w:r>
            <w:r>
              <w:rPr>
                <w:sz w:val="18"/>
              </w:rPr>
              <w:t>Service</w:t>
            </w:r>
            <w:r>
              <w:rPr>
                <w:spacing w:val="-16"/>
                <w:sz w:val="18"/>
              </w:rPr>
              <w:t> </w:t>
            </w:r>
            <w:r>
              <w:rPr>
                <w:sz w:val="18"/>
              </w:rPr>
              <w:t>- Glan Clwyd</w:t>
            </w:r>
          </w:p>
          <w:p>
            <w:pPr>
              <w:pStyle w:val="TableParagraph"/>
              <w:spacing w:before="5"/>
              <w:rPr>
                <w:b/>
                <w:sz w:val="16"/>
              </w:rPr>
            </w:pPr>
          </w:p>
          <w:p>
            <w:pPr>
              <w:pStyle w:val="TableParagraph"/>
              <w:spacing w:line="494" w:lineRule="auto"/>
              <w:ind w:left="107" w:right="237"/>
              <w:rPr>
                <w:sz w:val="18"/>
              </w:rPr>
            </w:pPr>
            <w:r>
              <w:rPr>
                <w:spacing w:val="-2"/>
                <w:sz w:val="18"/>
              </w:rPr>
              <w:t>NWSSP-2223-05b PROC/22-23/3</w:t>
            </w:r>
          </w:p>
        </w:tc>
        <w:tc>
          <w:tcPr>
            <w:tcW w:w="571" w:type="dxa"/>
            <w:shd w:val="clear" w:color="auto" w:fill="92D050"/>
            <w:textDirection w:val="tbRl"/>
          </w:tcPr>
          <w:p>
            <w:pPr>
              <w:pStyle w:val="TableParagraph"/>
              <w:spacing w:before="98"/>
              <w:ind w:left="113"/>
              <w:rPr>
                <w:b/>
                <w:sz w:val="18"/>
              </w:rPr>
            </w:pPr>
            <w:r>
              <w:rPr>
                <w:b/>
                <w:spacing w:val="-5"/>
                <w:sz w:val="18"/>
              </w:rPr>
              <w:t>NYD</w:t>
            </w:r>
          </w:p>
        </w:tc>
        <w:tc>
          <w:tcPr>
            <w:tcW w:w="4411" w:type="dxa"/>
          </w:tcPr>
          <w:p>
            <w:pPr>
              <w:pStyle w:val="TableParagraph"/>
              <w:ind w:left="107"/>
              <w:rPr>
                <w:sz w:val="18"/>
              </w:rPr>
            </w:pPr>
            <w:r>
              <w:rPr>
                <w:sz w:val="18"/>
              </w:rPr>
              <w:t>A</w:t>
            </w:r>
            <w:r>
              <w:rPr>
                <w:spacing w:val="-6"/>
                <w:sz w:val="18"/>
              </w:rPr>
              <w:t> </w:t>
            </w:r>
            <w:r>
              <w:rPr>
                <w:sz w:val="18"/>
              </w:rPr>
              <w:t>record</w:t>
            </w:r>
            <w:r>
              <w:rPr>
                <w:spacing w:val="-2"/>
                <w:sz w:val="18"/>
              </w:rPr>
              <w:t> </w:t>
            </w:r>
            <w:r>
              <w:rPr>
                <w:sz w:val="18"/>
              </w:rPr>
              <w:t>of</w:t>
            </w:r>
            <w:r>
              <w:rPr>
                <w:spacing w:val="-5"/>
                <w:sz w:val="18"/>
              </w:rPr>
              <w:t> </w:t>
            </w:r>
            <w:r>
              <w:rPr>
                <w:sz w:val="18"/>
              </w:rPr>
              <w:t>ICT</w:t>
            </w:r>
            <w:r>
              <w:rPr>
                <w:spacing w:val="-4"/>
                <w:sz w:val="18"/>
              </w:rPr>
              <w:t> </w:t>
            </w:r>
            <w:r>
              <w:rPr>
                <w:sz w:val="18"/>
              </w:rPr>
              <w:t>assets</w:t>
            </w:r>
            <w:r>
              <w:rPr>
                <w:spacing w:val="-6"/>
                <w:sz w:val="18"/>
              </w:rPr>
              <w:t> </w:t>
            </w:r>
            <w:r>
              <w:rPr>
                <w:sz w:val="18"/>
              </w:rPr>
              <w:t>is</w:t>
            </w:r>
            <w:r>
              <w:rPr>
                <w:spacing w:val="-6"/>
                <w:sz w:val="18"/>
              </w:rPr>
              <w:t> </w:t>
            </w:r>
            <w:r>
              <w:rPr>
                <w:sz w:val="18"/>
              </w:rPr>
              <w:t>not</w:t>
            </w:r>
            <w:r>
              <w:rPr>
                <w:spacing w:val="-4"/>
                <w:sz w:val="18"/>
              </w:rPr>
              <w:t> </w:t>
            </w:r>
            <w:r>
              <w:rPr>
                <w:spacing w:val="-2"/>
                <w:sz w:val="18"/>
              </w:rPr>
              <w:t>maintained.</w:t>
            </w:r>
          </w:p>
        </w:tc>
        <w:tc>
          <w:tcPr>
            <w:tcW w:w="547" w:type="dxa"/>
            <w:shd w:val="clear" w:color="auto" w:fill="FFC000"/>
            <w:textDirection w:val="tbRl"/>
          </w:tcPr>
          <w:p>
            <w:pPr>
              <w:pStyle w:val="TableParagraph"/>
              <w:spacing w:before="98"/>
              <w:ind w:left="113"/>
              <w:rPr>
                <w:b/>
                <w:sz w:val="18"/>
              </w:rPr>
            </w:pPr>
            <w:r>
              <w:rPr>
                <w:b/>
                <w:spacing w:val="-2"/>
                <w:sz w:val="18"/>
              </w:rPr>
              <w:t>Medium</w:t>
            </w:r>
          </w:p>
        </w:tc>
        <w:tc>
          <w:tcPr>
            <w:tcW w:w="4439" w:type="dxa"/>
          </w:tcPr>
          <w:p>
            <w:pPr>
              <w:pStyle w:val="TableParagraph"/>
              <w:spacing w:line="276" w:lineRule="auto"/>
              <w:ind w:left="108" w:right="196"/>
              <w:rPr>
                <w:sz w:val="18"/>
              </w:rPr>
            </w:pPr>
            <w:r>
              <w:rPr>
                <w:sz w:val="18"/>
              </w:rPr>
              <w:t>2.1</w:t>
            </w:r>
            <w:r>
              <w:rPr>
                <w:spacing w:val="-16"/>
                <w:sz w:val="18"/>
              </w:rPr>
              <w:t> </w:t>
            </w:r>
            <w:r>
              <w:rPr>
                <w:sz w:val="18"/>
              </w:rPr>
              <w:t>Management</w:t>
            </w:r>
            <w:r>
              <w:rPr>
                <w:spacing w:val="-16"/>
                <w:sz w:val="18"/>
              </w:rPr>
              <w:t> </w:t>
            </w:r>
            <w:r>
              <w:rPr>
                <w:sz w:val="18"/>
              </w:rPr>
              <w:t>should</w:t>
            </w:r>
            <w:r>
              <w:rPr>
                <w:spacing w:val="-16"/>
                <w:sz w:val="18"/>
              </w:rPr>
              <w:t> </w:t>
            </w:r>
            <w:r>
              <w:rPr>
                <w:sz w:val="18"/>
              </w:rPr>
              <w:t>maintain</w:t>
            </w:r>
            <w:r>
              <w:rPr>
                <w:spacing w:val="-15"/>
                <w:sz w:val="18"/>
              </w:rPr>
              <w:t> </w:t>
            </w:r>
            <w:r>
              <w:rPr>
                <w:sz w:val="18"/>
              </w:rPr>
              <w:t>a</w:t>
            </w:r>
            <w:r>
              <w:rPr>
                <w:spacing w:val="-15"/>
                <w:sz w:val="18"/>
              </w:rPr>
              <w:t> </w:t>
            </w:r>
            <w:r>
              <w:rPr>
                <w:sz w:val="18"/>
              </w:rPr>
              <w:t>record</w:t>
            </w:r>
            <w:r>
              <w:rPr>
                <w:spacing w:val="-15"/>
                <w:sz w:val="18"/>
              </w:rPr>
              <w:t> </w:t>
            </w:r>
            <w:r>
              <w:rPr>
                <w:sz w:val="18"/>
              </w:rPr>
              <w:t>of ICT assets identifying the make/model, serial/asset numbers and location.</w:t>
            </w:r>
          </w:p>
        </w:tc>
        <w:tc>
          <w:tcPr>
            <w:tcW w:w="990" w:type="dxa"/>
            <w:textDirection w:val="tbRl"/>
          </w:tcPr>
          <w:p>
            <w:pPr>
              <w:pStyle w:val="TableParagraph"/>
              <w:spacing w:line="276" w:lineRule="auto" w:before="98"/>
              <w:rPr>
                <w:sz w:val="18"/>
              </w:rPr>
            </w:pPr>
            <w:r>
              <w:rPr>
                <w:spacing w:val="-2"/>
                <w:sz w:val="18"/>
              </w:rPr>
              <w:t>Peter</w:t>
            </w:r>
            <w:r>
              <w:rPr>
                <w:spacing w:val="-14"/>
                <w:sz w:val="18"/>
              </w:rPr>
              <w:t> </w:t>
            </w:r>
            <w:r>
              <w:rPr>
                <w:spacing w:val="-2"/>
                <w:sz w:val="18"/>
              </w:rPr>
              <w:t>White,</w:t>
            </w:r>
            <w:r>
              <w:rPr>
                <w:spacing w:val="-14"/>
                <w:sz w:val="18"/>
              </w:rPr>
              <w:t> </w:t>
            </w:r>
            <w:r>
              <w:rPr>
                <w:spacing w:val="-2"/>
                <w:sz w:val="18"/>
              </w:rPr>
              <w:t>Laundry </w:t>
            </w:r>
            <w:r>
              <w:rPr>
                <w:sz w:val="18"/>
              </w:rPr>
              <w:t>Operations Manager</w:t>
            </w:r>
          </w:p>
        </w:tc>
        <w:tc>
          <w:tcPr>
            <w:tcW w:w="3968" w:type="dxa"/>
          </w:tcPr>
          <w:p>
            <w:pPr>
              <w:pStyle w:val="TableParagraph"/>
              <w:spacing w:line="276" w:lineRule="auto"/>
              <w:ind w:left="107" w:right="155"/>
              <w:rPr>
                <w:sz w:val="18"/>
              </w:rPr>
            </w:pPr>
            <w:r>
              <w:rPr>
                <w:sz w:val="18"/>
              </w:rPr>
              <w:t>2.1</w:t>
            </w:r>
            <w:r>
              <w:rPr>
                <w:spacing w:val="28"/>
                <w:sz w:val="18"/>
              </w:rPr>
              <w:t> </w:t>
            </w:r>
            <w:r>
              <w:rPr>
                <w:sz w:val="18"/>
              </w:rPr>
              <w:t>Management</w:t>
            </w:r>
            <w:r>
              <w:rPr>
                <w:spacing w:val="-11"/>
                <w:sz w:val="18"/>
              </w:rPr>
              <w:t> </w:t>
            </w:r>
            <w:r>
              <w:rPr>
                <w:sz w:val="18"/>
              </w:rPr>
              <w:t>agree</w:t>
            </w:r>
            <w:r>
              <w:rPr>
                <w:spacing w:val="-11"/>
                <w:sz w:val="18"/>
              </w:rPr>
              <w:t> </w:t>
            </w:r>
            <w:r>
              <w:rPr>
                <w:sz w:val="18"/>
              </w:rPr>
              <w:t>and</w:t>
            </w:r>
            <w:r>
              <w:rPr>
                <w:spacing w:val="-11"/>
                <w:sz w:val="18"/>
              </w:rPr>
              <w:t> </w:t>
            </w:r>
            <w:r>
              <w:rPr>
                <w:sz w:val="18"/>
              </w:rPr>
              <w:t>will</w:t>
            </w:r>
            <w:r>
              <w:rPr>
                <w:spacing w:val="-11"/>
                <w:sz w:val="18"/>
              </w:rPr>
              <w:t> </w:t>
            </w:r>
            <w:r>
              <w:rPr>
                <w:sz w:val="18"/>
              </w:rPr>
              <w:t>develop an asset register containing all ICT assets including the make/model, serial/asset numbers and location.</w:t>
            </w:r>
          </w:p>
        </w:tc>
        <w:tc>
          <w:tcPr>
            <w:tcW w:w="809" w:type="dxa"/>
            <w:textDirection w:val="tbRl"/>
          </w:tcPr>
          <w:p>
            <w:pPr>
              <w:pStyle w:val="TableParagraph"/>
              <w:spacing w:before="98"/>
              <w:rPr>
                <w:b/>
                <w:sz w:val="18"/>
              </w:rPr>
            </w:pPr>
            <w:r>
              <w:rPr>
                <w:b/>
                <w:spacing w:val="-2"/>
                <w:sz w:val="18"/>
              </w:rPr>
              <w:t>2/02/2023</w:t>
            </w:r>
          </w:p>
        </w:tc>
        <w:tc>
          <w:tcPr>
            <w:tcW w:w="1276" w:type="dxa"/>
          </w:tcPr>
          <w:p>
            <w:pPr>
              <w:pStyle w:val="TableParagraph"/>
              <w:rPr>
                <w:rFonts w:ascii="Times New Roman"/>
                <w:sz w:val="18"/>
              </w:rPr>
            </w:pPr>
          </w:p>
        </w:tc>
        <w:tc>
          <w:tcPr>
            <w:tcW w:w="3543" w:type="dxa"/>
          </w:tcPr>
          <w:p>
            <w:pPr>
              <w:pStyle w:val="TableParagraph"/>
              <w:rPr>
                <w:rFonts w:ascii="Times New Roman"/>
                <w:sz w:val="18"/>
              </w:rPr>
            </w:pPr>
          </w:p>
        </w:tc>
      </w:tr>
    </w:tbl>
    <w:p>
      <w:pPr>
        <w:spacing w:after="0"/>
        <w:rPr>
          <w:rFonts w:ascii="Times New Roman"/>
          <w:sz w:val="18"/>
        </w:rPr>
        <w:sectPr>
          <w:pgSz w:w="23820" w:h="16840" w:orient="landscape"/>
          <w:pgMar w:header="0" w:footer="204" w:top="260" w:bottom="400" w:left="200" w:right="140"/>
        </w:sectPr>
      </w:pPr>
    </w:p>
    <w:p>
      <w:pPr>
        <w:pStyle w:val="BodyText"/>
        <w:rPr>
          <w:b/>
          <w:sz w:val="27"/>
        </w:rPr>
      </w:pPr>
    </w:p>
    <w:p>
      <w:pPr>
        <w:spacing w:before="101"/>
        <w:ind w:left="6573" w:right="6633" w:firstLine="0"/>
        <w:jc w:val="center"/>
        <w:rPr>
          <w:b/>
          <w:sz w:val="32"/>
        </w:rPr>
      </w:pPr>
      <w:r>
        <w:rPr/>
        <w:drawing>
          <wp:anchor distT="0" distB="0" distL="0" distR="0" allowOverlap="1" layoutInCell="1" locked="0" behindDoc="0" simplePos="0" relativeHeight="15855616">
            <wp:simplePos x="0" y="0"/>
            <wp:positionH relativeFrom="page">
              <wp:posOffset>598716</wp:posOffset>
            </wp:positionH>
            <wp:positionV relativeFrom="paragraph">
              <wp:posOffset>-208649</wp:posOffset>
            </wp:positionV>
            <wp:extent cx="2192182" cy="598715"/>
            <wp:effectExtent l="0" t="0" r="0" b="0"/>
            <wp:wrapNone/>
            <wp:docPr id="235" name="image105.png"/>
            <wp:cNvGraphicFramePr>
              <a:graphicFrameLocks noChangeAspect="1"/>
            </wp:cNvGraphicFramePr>
            <a:graphic>
              <a:graphicData uri="http://schemas.openxmlformats.org/drawingml/2006/picture">
                <pic:pic>
                  <pic:nvPicPr>
                    <pic:cNvPr id="236" name="image105.png"/>
                    <pic:cNvPicPr/>
                  </pic:nvPicPr>
                  <pic:blipFill>
                    <a:blip r:embed="rId206" cstate="print"/>
                    <a:stretch>
                      <a:fillRect/>
                    </a:stretch>
                  </pic:blipFill>
                  <pic:spPr>
                    <a:xfrm>
                      <a:off x="0" y="0"/>
                      <a:ext cx="2192182" cy="598715"/>
                    </a:xfrm>
                    <a:prstGeom prst="rect">
                      <a:avLst/>
                    </a:prstGeom>
                  </pic:spPr>
                </pic:pic>
              </a:graphicData>
            </a:graphic>
          </wp:anchor>
        </w:drawing>
      </w:r>
      <w:r>
        <w:rPr>
          <w:b/>
          <w:sz w:val="32"/>
        </w:rPr>
        <w:t>APPENDIX</w:t>
      </w:r>
      <w:r>
        <w:rPr>
          <w:b/>
          <w:spacing w:val="-6"/>
          <w:sz w:val="32"/>
        </w:rPr>
        <w:t> </w:t>
      </w:r>
      <w:r>
        <w:rPr>
          <w:b/>
          <w:sz w:val="32"/>
        </w:rPr>
        <w:t>A</w:t>
      </w:r>
      <w:r>
        <w:rPr>
          <w:b/>
          <w:spacing w:val="-3"/>
          <w:sz w:val="32"/>
        </w:rPr>
        <w:t> </w:t>
      </w:r>
      <w:r>
        <w:rPr>
          <w:b/>
          <w:sz w:val="32"/>
        </w:rPr>
        <w:t>-</w:t>
      </w:r>
      <w:r>
        <w:rPr>
          <w:b/>
          <w:spacing w:val="-3"/>
          <w:sz w:val="32"/>
        </w:rPr>
        <w:t> </w:t>
      </w:r>
      <w:r>
        <w:rPr>
          <w:b/>
          <w:sz w:val="32"/>
        </w:rPr>
        <w:t>PROGRESS</w:t>
      </w:r>
      <w:r>
        <w:rPr>
          <w:b/>
          <w:spacing w:val="-3"/>
          <w:sz w:val="32"/>
        </w:rPr>
        <w:t> </w:t>
      </w:r>
      <w:r>
        <w:rPr>
          <w:b/>
          <w:sz w:val="32"/>
        </w:rPr>
        <w:t>OF</w:t>
      </w:r>
      <w:r>
        <w:rPr>
          <w:b/>
          <w:spacing w:val="-3"/>
          <w:sz w:val="32"/>
        </w:rPr>
        <w:t> </w:t>
      </w:r>
      <w:r>
        <w:rPr>
          <w:b/>
          <w:sz w:val="32"/>
        </w:rPr>
        <w:t>AUDIT</w:t>
      </w:r>
      <w:r>
        <w:rPr>
          <w:b/>
          <w:spacing w:val="-2"/>
          <w:sz w:val="32"/>
        </w:rPr>
        <w:t> RECOMMENDATIONS</w:t>
      </w:r>
    </w:p>
    <w:p>
      <w:pPr>
        <w:pStyle w:val="BodyText"/>
        <w:rPr>
          <w:b/>
          <w:sz w:val="20"/>
        </w:rPr>
      </w:pPr>
    </w:p>
    <w:p>
      <w:pPr>
        <w:pStyle w:val="BodyText"/>
        <w:spacing w:before="4"/>
        <w:rPr>
          <w:b/>
          <w:sz w:val="23"/>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6"/>
        <w:gridCol w:w="1987"/>
        <w:gridCol w:w="571"/>
        <w:gridCol w:w="4411"/>
        <w:gridCol w:w="547"/>
        <w:gridCol w:w="4439"/>
        <w:gridCol w:w="990"/>
        <w:gridCol w:w="3968"/>
        <w:gridCol w:w="809"/>
        <w:gridCol w:w="1276"/>
        <w:gridCol w:w="3543"/>
      </w:tblGrid>
      <w:tr>
        <w:trPr>
          <w:trHeight w:val="2967" w:hRule="atLeast"/>
        </w:trPr>
        <w:tc>
          <w:tcPr>
            <w:tcW w:w="706" w:type="dxa"/>
          </w:tcPr>
          <w:p>
            <w:pPr>
              <w:pStyle w:val="TableParagraph"/>
              <w:ind w:left="108"/>
              <w:rPr>
                <w:sz w:val="18"/>
              </w:rPr>
            </w:pPr>
            <w:r>
              <w:rPr>
                <w:spacing w:val="-5"/>
                <w:sz w:val="18"/>
              </w:rPr>
              <w:t>10.</w:t>
            </w:r>
          </w:p>
        </w:tc>
        <w:tc>
          <w:tcPr>
            <w:tcW w:w="1987" w:type="dxa"/>
          </w:tcPr>
          <w:p>
            <w:pPr>
              <w:pStyle w:val="TableParagraph"/>
              <w:spacing w:line="276" w:lineRule="auto"/>
              <w:ind w:left="107"/>
              <w:rPr>
                <w:sz w:val="18"/>
              </w:rPr>
            </w:pPr>
            <w:r>
              <w:rPr>
                <w:sz w:val="18"/>
              </w:rPr>
              <w:t>Laundry</w:t>
            </w:r>
            <w:r>
              <w:rPr>
                <w:spacing w:val="-16"/>
                <w:sz w:val="18"/>
              </w:rPr>
              <w:t> </w:t>
            </w:r>
            <w:r>
              <w:rPr>
                <w:sz w:val="18"/>
              </w:rPr>
              <w:t>Service</w:t>
            </w:r>
            <w:r>
              <w:rPr>
                <w:spacing w:val="-16"/>
                <w:sz w:val="18"/>
              </w:rPr>
              <w:t> </w:t>
            </w:r>
            <w:r>
              <w:rPr>
                <w:sz w:val="18"/>
              </w:rPr>
              <w:t>- Glan Clwyd</w:t>
            </w:r>
          </w:p>
          <w:p>
            <w:pPr>
              <w:pStyle w:val="TableParagraph"/>
              <w:spacing w:before="5"/>
              <w:rPr>
                <w:b/>
                <w:sz w:val="16"/>
              </w:rPr>
            </w:pPr>
          </w:p>
          <w:p>
            <w:pPr>
              <w:pStyle w:val="TableParagraph"/>
              <w:spacing w:line="494" w:lineRule="auto"/>
              <w:ind w:left="107" w:right="237"/>
              <w:rPr>
                <w:sz w:val="18"/>
              </w:rPr>
            </w:pPr>
            <w:r>
              <w:rPr>
                <w:spacing w:val="-2"/>
                <w:sz w:val="18"/>
              </w:rPr>
              <w:t>NWSSP-2223-05b PROC/22-23/3</w:t>
            </w:r>
          </w:p>
        </w:tc>
        <w:tc>
          <w:tcPr>
            <w:tcW w:w="571" w:type="dxa"/>
            <w:shd w:val="clear" w:color="auto" w:fill="92D050"/>
            <w:textDirection w:val="tbRl"/>
          </w:tcPr>
          <w:p>
            <w:pPr>
              <w:pStyle w:val="TableParagraph"/>
              <w:spacing w:before="98"/>
              <w:ind w:left="113"/>
              <w:rPr>
                <w:b/>
                <w:sz w:val="18"/>
              </w:rPr>
            </w:pPr>
            <w:r>
              <w:rPr>
                <w:b/>
                <w:spacing w:val="-5"/>
                <w:sz w:val="18"/>
              </w:rPr>
              <w:t>NYD</w:t>
            </w:r>
          </w:p>
        </w:tc>
        <w:tc>
          <w:tcPr>
            <w:tcW w:w="4411" w:type="dxa"/>
          </w:tcPr>
          <w:p>
            <w:pPr>
              <w:pStyle w:val="TableParagraph"/>
              <w:spacing w:line="276" w:lineRule="auto"/>
              <w:ind w:left="107" w:right="173"/>
              <w:rPr>
                <w:sz w:val="18"/>
              </w:rPr>
            </w:pPr>
            <w:r>
              <w:rPr>
                <w:sz w:val="18"/>
              </w:rPr>
              <w:t>Items processed and issued are manually recorded on a</w:t>
            </w:r>
            <w:r>
              <w:rPr>
                <w:spacing w:val="-1"/>
                <w:sz w:val="18"/>
              </w:rPr>
              <w:t> </w:t>
            </w:r>
            <w:r>
              <w:rPr>
                <w:sz w:val="18"/>
              </w:rPr>
              <w:t>spreadsheet for each site</w:t>
            </w:r>
            <w:r>
              <w:rPr>
                <w:spacing w:val="-1"/>
                <w:sz w:val="18"/>
              </w:rPr>
              <w:t> </w:t>
            </w:r>
            <w:r>
              <w:rPr>
                <w:sz w:val="18"/>
              </w:rPr>
              <w:t>and total activity for the laundry is manually calculated and entered onto the Laundry Services Weekly Production Dashboard. For other</w:t>
            </w:r>
            <w:r>
              <w:rPr>
                <w:spacing w:val="-5"/>
                <w:sz w:val="18"/>
              </w:rPr>
              <w:t> </w:t>
            </w:r>
            <w:r>
              <w:rPr>
                <w:sz w:val="18"/>
              </w:rPr>
              <w:t>sites</w:t>
            </w:r>
            <w:r>
              <w:rPr>
                <w:spacing w:val="-6"/>
                <w:sz w:val="18"/>
              </w:rPr>
              <w:t> </w:t>
            </w:r>
            <w:r>
              <w:rPr>
                <w:sz w:val="18"/>
              </w:rPr>
              <w:t>this</w:t>
            </w:r>
            <w:r>
              <w:rPr>
                <w:spacing w:val="-6"/>
                <w:sz w:val="18"/>
              </w:rPr>
              <w:t> </w:t>
            </w:r>
            <w:r>
              <w:rPr>
                <w:sz w:val="18"/>
              </w:rPr>
              <w:t>information</w:t>
            </w:r>
            <w:r>
              <w:rPr>
                <w:spacing w:val="-5"/>
                <w:sz w:val="18"/>
              </w:rPr>
              <w:t> </w:t>
            </w:r>
            <w:r>
              <w:rPr>
                <w:sz w:val="18"/>
              </w:rPr>
              <w:t>can</w:t>
            </w:r>
            <w:r>
              <w:rPr>
                <w:spacing w:val="-5"/>
                <w:sz w:val="18"/>
              </w:rPr>
              <w:t> </w:t>
            </w:r>
            <w:r>
              <w:rPr>
                <w:sz w:val="18"/>
              </w:rPr>
              <w:t>be</w:t>
            </w:r>
            <w:r>
              <w:rPr>
                <w:spacing w:val="-6"/>
                <w:sz w:val="18"/>
              </w:rPr>
              <w:t> </w:t>
            </w:r>
            <w:r>
              <w:rPr>
                <w:sz w:val="18"/>
              </w:rPr>
              <w:t>extracted from the Benchmarker system.</w:t>
            </w:r>
            <w:r>
              <w:rPr>
                <w:spacing w:val="40"/>
                <w:sz w:val="18"/>
              </w:rPr>
              <w:t> </w:t>
            </w:r>
            <w:r>
              <w:rPr>
                <w:sz w:val="18"/>
              </w:rPr>
              <w:t>We understand that the Benchmarker system used</w:t>
            </w:r>
            <w:r>
              <w:rPr>
                <w:spacing w:val="-7"/>
                <w:sz w:val="18"/>
              </w:rPr>
              <w:t> </w:t>
            </w:r>
            <w:r>
              <w:rPr>
                <w:sz w:val="18"/>
              </w:rPr>
              <w:t>in</w:t>
            </w:r>
            <w:r>
              <w:rPr>
                <w:spacing w:val="-7"/>
                <w:sz w:val="18"/>
              </w:rPr>
              <w:t> </w:t>
            </w:r>
            <w:r>
              <w:rPr>
                <w:sz w:val="18"/>
              </w:rPr>
              <w:t>Green</w:t>
            </w:r>
            <w:r>
              <w:rPr>
                <w:spacing w:val="-6"/>
                <w:sz w:val="18"/>
              </w:rPr>
              <w:t> </w:t>
            </w:r>
            <w:r>
              <w:rPr>
                <w:sz w:val="18"/>
              </w:rPr>
              <w:t>Vale</w:t>
            </w:r>
            <w:r>
              <w:rPr>
                <w:spacing w:val="-6"/>
                <w:sz w:val="18"/>
              </w:rPr>
              <w:t> </w:t>
            </w:r>
            <w:r>
              <w:rPr>
                <w:sz w:val="18"/>
              </w:rPr>
              <w:t>and</w:t>
            </w:r>
            <w:r>
              <w:rPr>
                <w:spacing w:val="-6"/>
                <w:sz w:val="18"/>
              </w:rPr>
              <w:t> </w:t>
            </w:r>
            <w:r>
              <w:rPr>
                <w:sz w:val="18"/>
              </w:rPr>
              <w:t>Llansamlet</w:t>
            </w:r>
            <w:r>
              <w:rPr>
                <w:spacing w:val="-6"/>
                <w:sz w:val="18"/>
              </w:rPr>
              <w:t> </w:t>
            </w:r>
            <w:r>
              <w:rPr>
                <w:sz w:val="18"/>
              </w:rPr>
              <w:t>laundries is</w:t>
            </w:r>
            <w:r>
              <w:rPr>
                <w:spacing w:val="-6"/>
                <w:sz w:val="18"/>
              </w:rPr>
              <w:t> </w:t>
            </w:r>
            <w:r>
              <w:rPr>
                <w:sz w:val="18"/>
              </w:rPr>
              <w:t>due</w:t>
            </w:r>
            <w:r>
              <w:rPr>
                <w:spacing w:val="-6"/>
                <w:sz w:val="18"/>
              </w:rPr>
              <w:t> </w:t>
            </w:r>
            <w:r>
              <w:rPr>
                <w:sz w:val="18"/>
              </w:rPr>
              <w:t>to</w:t>
            </w:r>
            <w:r>
              <w:rPr>
                <w:spacing w:val="-5"/>
                <w:sz w:val="18"/>
              </w:rPr>
              <w:t> </w:t>
            </w:r>
            <w:r>
              <w:rPr>
                <w:sz w:val="18"/>
              </w:rPr>
              <w:t>be</w:t>
            </w:r>
            <w:r>
              <w:rPr>
                <w:spacing w:val="-6"/>
                <w:sz w:val="18"/>
              </w:rPr>
              <w:t> </w:t>
            </w:r>
            <w:r>
              <w:rPr>
                <w:sz w:val="18"/>
              </w:rPr>
              <w:t>implemented</w:t>
            </w:r>
            <w:r>
              <w:rPr>
                <w:spacing w:val="-5"/>
                <w:sz w:val="18"/>
              </w:rPr>
              <w:t> </w:t>
            </w:r>
            <w:r>
              <w:rPr>
                <w:sz w:val="18"/>
              </w:rPr>
              <w:t>but</w:t>
            </w:r>
            <w:r>
              <w:rPr>
                <w:spacing w:val="-6"/>
                <w:sz w:val="18"/>
              </w:rPr>
              <w:t> </w:t>
            </w:r>
            <w:r>
              <w:rPr>
                <w:sz w:val="18"/>
              </w:rPr>
              <w:t>the</w:t>
            </w:r>
            <w:r>
              <w:rPr>
                <w:spacing w:val="-6"/>
                <w:sz w:val="18"/>
              </w:rPr>
              <w:t> </w:t>
            </w:r>
            <w:r>
              <w:rPr>
                <w:sz w:val="18"/>
              </w:rPr>
              <w:t>timescales for this are not clear.</w:t>
            </w:r>
          </w:p>
        </w:tc>
        <w:tc>
          <w:tcPr>
            <w:tcW w:w="547" w:type="dxa"/>
            <w:shd w:val="clear" w:color="auto" w:fill="92D050"/>
            <w:textDirection w:val="tbRl"/>
          </w:tcPr>
          <w:p>
            <w:pPr>
              <w:pStyle w:val="TableParagraph"/>
              <w:spacing w:before="98"/>
              <w:ind w:left="113"/>
              <w:rPr>
                <w:b/>
                <w:sz w:val="18"/>
              </w:rPr>
            </w:pPr>
            <w:r>
              <w:rPr>
                <w:b/>
                <w:spacing w:val="-5"/>
                <w:sz w:val="18"/>
              </w:rPr>
              <w:t>Low</w:t>
            </w:r>
          </w:p>
        </w:tc>
        <w:tc>
          <w:tcPr>
            <w:tcW w:w="4439" w:type="dxa"/>
          </w:tcPr>
          <w:p>
            <w:pPr>
              <w:pStyle w:val="TableParagraph"/>
              <w:spacing w:line="276" w:lineRule="auto"/>
              <w:ind w:left="108" w:right="133"/>
              <w:rPr>
                <w:sz w:val="18"/>
              </w:rPr>
            </w:pPr>
            <w:r>
              <w:rPr>
                <w:sz w:val="18"/>
              </w:rPr>
              <w:t>3.1 We concur with the plans to implement the Benchmarker system at Glan Clwyd Laundry</w:t>
            </w:r>
            <w:r>
              <w:rPr>
                <w:spacing w:val="-12"/>
                <w:sz w:val="18"/>
              </w:rPr>
              <w:t> </w:t>
            </w:r>
            <w:r>
              <w:rPr>
                <w:sz w:val="18"/>
              </w:rPr>
              <w:t>and</w:t>
            </w:r>
            <w:r>
              <w:rPr>
                <w:spacing w:val="-6"/>
                <w:sz w:val="18"/>
              </w:rPr>
              <w:t> </w:t>
            </w:r>
            <w:r>
              <w:rPr>
                <w:sz w:val="18"/>
              </w:rPr>
              <w:t>a</w:t>
            </w:r>
            <w:r>
              <w:rPr>
                <w:spacing w:val="-6"/>
                <w:sz w:val="18"/>
              </w:rPr>
              <w:t> </w:t>
            </w:r>
            <w:r>
              <w:rPr>
                <w:sz w:val="18"/>
              </w:rPr>
              <w:t>timescale</w:t>
            </w:r>
            <w:r>
              <w:rPr>
                <w:spacing w:val="-6"/>
                <w:sz w:val="18"/>
              </w:rPr>
              <w:t> </w:t>
            </w:r>
            <w:r>
              <w:rPr>
                <w:sz w:val="18"/>
              </w:rPr>
              <w:t>for</w:t>
            </w:r>
            <w:r>
              <w:rPr>
                <w:spacing w:val="-16"/>
                <w:sz w:val="18"/>
              </w:rPr>
              <w:t> </w:t>
            </w:r>
            <w:r>
              <w:rPr>
                <w:sz w:val="18"/>
              </w:rPr>
              <w:t>completion</w:t>
            </w:r>
            <w:r>
              <w:rPr>
                <w:spacing w:val="-16"/>
                <w:sz w:val="18"/>
              </w:rPr>
              <w:t> </w:t>
            </w:r>
            <w:r>
              <w:rPr>
                <w:sz w:val="18"/>
              </w:rPr>
              <w:t>of</w:t>
            </w:r>
            <w:r>
              <w:rPr>
                <w:spacing w:val="-16"/>
                <w:sz w:val="18"/>
              </w:rPr>
              <w:t> </w:t>
            </w:r>
            <w:r>
              <w:rPr>
                <w:sz w:val="18"/>
              </w:rPr>
              <w:t>this should be determined. This will achieve consistency across the service, improve efficiency and reduce the risk of human error by reducing manual intervention, and also provide</w:t>
            </w:r>
            <w:r>
              <w:rPr>
                <w:spacing w:val="-14"/>
                <w:sz w:val="18"/>
              </w:rPr>
              <w:t> </w:t>
            </w:r>
            <w:r>
              <w:rPr>
                <w:sz w:val="18"/>
              </w:rPr>
              <w:t>a</w:t>
            </w:r>
            <w:r>
              <w:rPr>
                <w:spacing w:val="-12"/>
                <w:sz w:val="18"/>
              </w:rPr>
              <w:t> </w:t>
            </w:r>
            <w:r>
              <w:rPr>
                <w:sz w:val="18"/>
              </w:rPr>
              <w:t>more</w:t>
            </w:r>
            <w:r>
              <w:rPr>
                <w:spacing w:val="-14"/>
                <w:sz w:val="18"/>
              </w:rPr>
              <w:t> </w:t>
            </w:r>
            <w:r>
              <w:rPr>
                <w:sz w:val="18"/>
              </w:rPr>
              <w:t>robust</w:t>
            </w:r>
            <w:r>
              <w:rPr>
                <w:spacing w:val="-14"/>
                <w:sz w:val="18"/>
              </w:rPr>
              <w:t> </w:t>
            </w:r>
            <w:r>
              <w:rPr>
                <w:sz w:val="18"/>
              </w:rPr>
              <w:t>audit</w:t>
            </w:r>
            <w:r>
              <w:rPr>
                <w:spacing w:val="-15"/>
                <w:sz w:val="18"/>
              </w:rPr>
              <w:t> </w:t>
            </w:r>
            <w:r>
              <w:rPr>
                <w:sz w:val="18"/>
              </w:rPr>
              <w:t>trail</w:t>
            </w:r>
            <w:r>
              <w:rPr>
                <w:spacing w:val="-5"/>
                <w:sz w:val="18"/>
              </w:rPr>
              <w:t> </w:t>
            </w:r>
            <w:r>
              <w:rPr>
                <w:sz w:val="18"/>
              </w:rPr>
              <w:t>of</w:t>
            </w:r>
            <w:r>
              <w:rPr>
                <w:spacing w:val="-5"/>
                <w:sz w:val="18"/>
              </w:rPr>
              <w:t> </w:t>
            </w:r>
            <w:r>
              <w:rPr>
                <w:sz w:val="18"/>
              </w:rPr>
              <w:t>production </w:t>
            </w:r>
            <w:r>
              <w:rPr>
                <w:spacing w:val="-2"/>
                <w:sz w:val="18"/>
              </w:rPr>
              <w:t>activity.</w:t>
            </w:r>
          </w:p>
        </w:tc>
        <w:tc>
          <w:tcPr>
            <w:tcW w:w="990" w:type="dxa"/>
            <w:textDirection w:val="tbRl"/>
          </w:tcPr>
          <w:p>
            <w:pPr>
              <w:pStyle w:val="TableParagraph"/>
              <w:spacing w:before="98"/>
              <w:rPr>
                <w:sz w:val="18"/>
              </w:rPr>
            </w:pPr>
            <w:r>
              <w:rPr>
                <w:sz w:val="18"/>
              </w:rPr>
              <w:t>Ollie</w:t>
            </w:r>
            <w:r>
              <w:rPr>
                <w:spacing w:val="-11"/>
                <w:sz w:val="18"/>
              </w:rPr>
              <w:t> </w:t>
            </w:r>
            <w:r>
              <w:rPr>
                <w:sz w:val="18"/>
              </w:rPr>
              <w:t>Rix,</w:t>
            </w:r>
            <w:r>
              <w:rPr>
                <w:spacing w:val="-10"/>
                <w:sz w:val="18"/>
              </w:rPr>
              <w:t> </w:t>
            </w:r>
            <w:r>
              <w:rPr>
                <w:sz w:val="18"/>
              </w:rPr>
              <w:t>Business</w:t>
            </w:r>
            <w:r>
              <w:rPr>
                <w:spacing w:val="-8"/>
                <w:sz w:val="18"/>
              </w:rPr>
              <w:t> </w:t>
            </w:r>
            <w:r>
              <w:rPr>
                <w:spacing w:val="-2"/>
                <w:sz w:val="18"/>
              </w:rPr>
              <w:t>Manager</w:t>
            </w:r>
          </w:p>
        </w:tc>
        <w:tc>
          <w:tcPr>
            <w:tcW w:w="3968" w:type="dxa"/>
          </w:tcPr>
          <w:p>
            <w:pPr>
              <w:pStyle w:val="TableParagraph"/>
              <w:spacing w:line="276" w:lineRule="auto"/>
              <w:ind w:left="107" w:right="155"/>
              <w:rPr>
                <w:sz w:val="18"/>
              </w:rPr>
            </w:pPr>
            <w:r>
              <w:rPr>
                <w:sz w:val="18"/>
              </w:rPr>
              <w:t>3.1</w:t>
            </w:r>
            <w:r>
              <w:rPr>
                <w:spacing w:val="39"/>
                <w:sz w:val="18"/>
              </w:rPr>
              <w:t> </w:t>
            </w:r>
            <w:r>
              <w:rPr>
                <w:sz w:val="18"/>
              </w:rPr>
              <w:t>The</w:t>
            </w:r>
            <w:r>
              <w:rPr>
                <w:spacing w:val="-6"/>
                <w:sz w:val="18"/>
              </w:rPr>
              <w:t> </w:t>
            </w:r>
            <w:r>
              <w:rPr>
                <w:sz w:val="18"/>
              </w:rPr>
              <w:t>North</w:t>
            </w:r>
            <w:r>
              <w:rPr>
                <w:spacing w:val="-2"/>
                <w:sz w:val="18"/>
              </w:rPr>
              <w:t> </w:t>
            </w:r>
            <w:r>
              <w:rPr>
                <w:sz w:val="18"/>
              </w:rPr>
              <w:t>Wales</w:t>
            </w:r>
            <w:r>
              <w:rPr>
                <w:spacing w:val="-5"/>
                <w:sz w:val="18"/>
              </w:rPr>
              <w:t> </w:t>
            </w:r>
            <w:r>
              <w:rPr>
                <w:sz w:val="18"/>
              </w:rPr>
              <w:t>LPU</w:t>
            </w:r>
            <w:r>
              <w:rPr>
                <w:spacing w:val="-4"/>
                <w:sz w:val="18"/>
              </w:rPr>
              <w:t> </w:t>
            </w:r>
            <w:r>
              <w:rPr>
                <w:sz w:val="18"/>
              </w:rPr>
              <w:t>is</w:t>
            </w:r>
            <w:r>
              <w:rPr>
                <w:spacing w:val="-6"/>
                <w:sz w:val="18"/>
              </w:rPr>
              <w:t> </w:t>
            </w:r>
            <w:r>
              <w:rPr>
                <w:sz w:val="18"/>
              </w:rPr>
              <w:t>included</w:t>
            </w:r>
            <w:r>
              <w:rPr>
                <w:spacing w:val="-3"/>
                <w:sz w:val="18"/>
              </w:rPr>
              <w:t> </w:t>
            </w:r>
            <w:r>
              <w:rPr>
                <w:sz w:val="18"/>
              </w:rPr>
              <w:t>in the Benchmarker rollout programme achieving</w:t>
            </w:r>
            <w:r>
              <w:rPr>
                <w:spacing w:val="-10"/>
                <w:sz w:val="18"/>
              </w:rPr>
              <w:t> </w:t>
            </w:r>
            <w:r>
              <w:rPr>
                <w:sz w:val="18"/>
              </w:rPr>
              <w:t>consistency</w:t>
            </w:r>
            <w:r>
              <w:rPr>
                <w:spacing w:val="-10"/>
                <w:sz w:val="18"/>
              </w:rPr>
              <w:t> </w:t>
            </w:r>
            <w:r>
              <w:rPr>
                <w:sz w:val="18"/>
              </w:rPr>
              <w:t>in</w:t>
            </w:r>
            <w:r>
              <w:rPr>
                <w:spacing w:val="-10"/>
                <w:sz w:val="18"/>
              </w:rPr>
              <w:t> </w:t>
            </w:r>
            <w:r>
              <w:rPr>
                <w:sz w:val="18"/>
              </w:rPr>
              <w:t>data</w:t>
            </w:r>
            <w:r>
              <w:rPr>
                <w:spacing w:val="-10"/>
                <w:sz w:val="18"/>
              </w:rPr>
              <w:t> </w:t>
            </w:r>
            <w:r>
              <w:rPr>
                <w:sz w:val="18"/>
              </w:rPr>
              <w:t>collection for the group.</w:t>
            </w:r>
          </w:p>
        </w:tc>
        <w:tc>
          <w:tcPr>
            <w:tcW w:w="809" w:type="dxa"/>
            <w:textDirection w:val="tbRl"/>
          </w:tcPr>
          <w:p>
            <w:pPr>
              <w:pStyle w:val="TableParagraph"/>
              <w:spacing w:before="98"/>
              <w:rPr>
                <w:b/>
                <w:sz w:val="18"/>
              </w:rPr>
            </w:pPr>
            <w:r>
              <w:rPr>
                <w:b/>
                <w:spacing w:val="-2"/>
                <w:sz w:val="18"/>
              </w:rPr>
              <w:t>31/03/2023</w:t>
            </w:r>
          </w:p>
        </w:tc>
        <w:tc>
          <w:tcPr>
            <w:tcW w:w="1276" w:type="dxa"/>
          </w:tcPr>
          <w:p>
            <w:pPr>
              <w:pStyle w:val="TableParagraph"/>
              <w:rPr>
                <w:rFonts w:ascii="Times New Roman"/>
                <w:sz w:val="18"/>
              </w:rPr>
            </w:pPr>
          </w:p>
        </w:tc>
        <w:tc>
          <w:tcPr>
            <w:tcW w:w="3543" w:type="dxa"/>
          </w:tcPr>
          <w:p>
            <w:pPr>
              <w:pStyle w:val="TableParagraph"/>
              <w:rPr>
                <w:rFonts w:ascii="Times New Roman"/>
                <w:sz w:val="18"/>
              </w:rPr>
            </w:pPr>
          </w:p>
        </w:tc>
      </w:tr>
      <w:tr>
        <w:trPr>
          <w:trHeight w:val="375" w:hRule="atLeast"/>
        </w:trPr>
        <w:tc>
          <w:tcPr>
            <w:tcW w:w="23247" w:type="dxa"/>
            <w:gridSpan w:val="11"/>
            <w:shd w:val="clear" w:color="auto" w:fill="8DB3E2"/>
          </w:tcPr>
          <w:p>
            <w:pPr>
              <w:pStyle w:val="TableParagraph"/>
              <w:ind w:left="171"/>
              <w:rPr>
                <w:sz w:val="18"/>
              </w:rPr>
            </w:pPr>
            <w:r>
              <w:rPr>
                <w:sz w:val="18"/>
              </w:rPr>
              <w:t>Specialist</w:t>
            </w:r>
            <w:r>
              <w:rPr>
                <w:spacing w:val="-6"/>
                <w:sz w:val="18"/>
              </w:rPr>
              <w:t> </w:t>
            </w:r>
            <w:r>
              <w:rPr>
                <w:sz w:val="18"/>
              </w:rPr>
              <w:t>Estates</w:t>
            </w:r>
            <w:r>
              <w:rPr>
                <w:spacing w:val="-5"/>
                <w:sz w:val="18"/>
              </w:rPr>
              <w:t> </w:t>
            </w:r>
            <w:r>
              <w:rPr>
                <w:spacing w:val="-2"/>
                <w:sz w:val="18"/>
              </w:rPr>
              <w:t>Services</w:t>
            </w:r>
          </w:p>
        </w:tc>
      </w:tr>
      <w:tr>
        <w:trPr>
          <w:trHeight w:val="3689" w:hRule="atLeast"/>
        </w:trPr>
        <w:tc>
          <w:tcPr>
            <w:tcW w:w="706" w:type="dxa"/>
          </w:tcPr>
          <w:p>
            <w:pPr>
              <w:pStyle w:val="TableParagraph"/>
              <w:ind w:left="108"/>
              <w:rPr>
                <w:sz w:val="18"/>
              </w:rPr>
            </w:pPr>
            <w:r>
              <w:rPr>
                <w:spacing w:val="-5"/>
                <w:sz w:val="18"/>
              </w:rPr>
              <w:t>11.</w:t>
            </w:r>
          </w:p>
        </w:tc>
        <w:tc>
          <w:tcPr>
            <w:tcW w:w="1987" w:type="dxa"/>
          </w:tcPr>
          <w:p>
            <w:pPr>
              <w:pStyle w:val="TableParagraph"/>
              <w:spacing w:line="276" w:lineRule="auto"/>
              <w:ind w:left="107" w:right="286"/>
              <w:rPr>
                <w:sz w:val="18"/>
              </w:rPr>
            </w:pPr>
            <w:r>
              <w:rPr>
                <w:sz w:val="18"/>
              </w:rPr>
              <w:t>Specialist</w:t>
            </w:r>
            <w:r>
              <w:rPr>
                <w:spacing w:val="-16"/>
                <w:sz w:val="18"/>
              </w:rPr>
              <w:t> </w:t>
            </w:r>
            <w:r>
              <w:rPr>
                <w:sz w:val="18"/>
              </w:rPr>
              <w:t>Estates </w:t>
            </w:r>
            <w:r>
              <w:rPr>
                <w:spacing w:val="-2"/>
                <w:sz w:val="18"/>
              </w:rPr>
              <w:t>Services</w:t>
            </w:r>
          </w:p>
          <w:p>
            <w:pPr>
              <w:pStyle w:val="TableParagraph"/>
              <w:spacing w:before="5"/>
              <w:rPr>
                <w:b/>
                <w:sz w:val="16"/>
              </w:rPr>
            </w:pPr>
          </w:p>
          <w:p>
            <w:pPr>
              <w:pStyle w:val="TableParagraph"/>
              <w:spacing w:line="494" w:lineRule="auto"/>
              <w:ind w:left="107" w:right="326"/>
              <w:rPr>
                <w:sz w:val="18"/>
              </w:rPr>
            </w:pPr>
            <w:r>
              <w:rPr>
                <w:spacing w:val="-2"/>
                <w:sz w:val="18"/>
              </w:rPr>
              <w:t>Decarbonisation </w:t>
            </w:r>
            <w:r>
              <w:rPr>
                <w:sz w:val="18"/>
              </w:rPr>
              <w:t>SES/2022-23/1</w:t>
            </w:r>
            <w:r>
              <w:rPr>
                <w:spacing w:val="-2"/>
                <w:sz w:val="18"/>
              </w:rPr>
              <w:t> </w:t>
            </w:r>
            <w:r>
              <w:rPr>
                <w:spacing w:val="-10"/>
                <w:sz w:val="18"/>
              </w:rPr>
              <w:t>t</w:t>
            </w:r>
          </w:p>
        </w:tc>
        <w:tc>
          <w:tcPr>
            <w:tcW w:w="571" w:type="dxa"/>
            <w:shd w:val="clear" w:color="auto" w:fill="00B0EF"/>
            <w:textDirection w:val="tbRl"/>
          </w:tcPr>
          <w:p>
            <w:pPr>
              <w:pStyle w:val="TableParagraph"/>
              <w:spacing w:before="98"/>
              <w:ind w:left="113"/>
              <w:rPr>
                <w:b/>
                <w:sz w:val="18"/>
              </w:rPr>
            </w:pPr>
            <w:r>
              <w:rPr>
                <w:b/>
                <w:sz w:val="18"/>
              </w:rPr>
              <w:t>DEPENDANT</w:t>
            </w:r>
            <w:r>
              <w:rPr>
                <w:b/>
                <w:spacing w:val="-13"/>
                <w:sz w:val="18"/>
              </w:rPr>
              <w:t> </w:t>
            </w:r>
            <w:r>
              <w:rPr>
                <w:b/>
                <w:sz w:val="18"/>
              </w:rPr>
              <w:t>ON</w:t>
            </w:r>
            <w:r>
              <w:rPr>
                <w:b/>
                <w:spacing w:val="-13"/>
                <w:sz w:val="18"/>
              </w:rPr>
              <w:t> </w:t>
            </w:r>
            <w:r>
              <w:rPr>
                <w:b/>
                <w:sz w:val="18"/>
              </w:rPr>
              <w:t>THIRD</w:t>
            </w:r>
            <w:r>
              <w:rPr>
                <w:b/>
                <w:spacing w:val="-12"/>
                <w:sz w:val="18"/>
              </w:rPr>
              <w:t> </w:t>
            </w:r>
            <w:r>
              <w:rPr>
                <w:b/>
                <w:sz w:val="18"/>
              </w:rPr>
              <w:t>PARTY </w:t>
            </w:r>
            <w:r>
              <w:rPr>
                <w:b/>
                <w:spacing w:val="-2"/>
                <w:sz w:val="18"/>
              </w:rPr>
              <w:t>ORGANISATIONS</w:t>
            </w:r>
          </w:p>
        </w:tc>
        <w:tc>
          <w:tcPr>
            <w:tcW w:w="4411" w:type="dxa"/>
          </w:tcPr>
          <w:p>
            <w:pPr>
              <w:pStyle w:val="TableParagraph"/>
              <w:spacing w:line="276" w:lineRule="auto"/>
              <w:ind w:left="107" w:right="173"/>
              <w:rPr>
                <w:sz w:val="18"/>
              </w:rPr>
            </w:pPr>
            <w:r>
              <w:rPr>
                <w:sz w:val="18"/>
              </w:rPr>
              <w:t>The Welsh Government is party to international agreements to reduce carbon emissions and control climate change.</w:t>
            </w:r>
            <w:r>
              <w:rPr>
                <w:spacing w:val="40"/>
                <w:sz w:val="18"/>
              </w:rPr>
              <w:t> </w:t>
            </w:r>
            <w:r>
              <w:rPr>
                <w:sz w:val="18"/>
              </w:rPr>
              <w:t>In October</w:t>
            </w:r>
            <w:r>
              <w:rPr>
                <w:spacing w:val="-7"/>
                <w:sz w:val="18"/>
              </w:rPr>
              <w:t> </w:t>
            </w:r>
            <w:r>
              <w:rPr>
                <w:sz w:val="18"/>
              </w:rPr>
              <w:t>2021</w:t>
            </w:r>
            <w:r>
              <w:rPr>
                <w:spacing w:val="-6"/>
                <w:sz w:val="18"/>
              </w:rPr>
              <w:t> </w:t>
            </w:r>
            <w:r>
              <w:rPr>
                <w:sz w:val="18"/>
              </w:rPr>
              <w:t>the</w:t>
            </w:r>
            <w:r>
              <w:rPr>
                <w:spacing w:val="-7"/>
                <w:sz w:val="18"/>
              </w:rPr>
              <w:t> </w:t>
            </w:r>
            <w:r>
              <w:rPr>
                <w:sz w:val="18"/>
              </w:rPr>
              <w:t>Welsh</w:t>
            </w:r>
            <w:r>
              <w:rPr>
                <w:spacing w:val="-7"/>
                <w:sz w:val="18"/>
              </w:rPr>
              <w:t> </w:t>
            </w:r>
            <w:r>
              <w:rPr>
                <w:sz w:val="18"/>
              </w:rPr>
              <w:t>Government</w:t>
            </w:r>
            <w:r>
              <w:rPr>
                <w:spacing w:val="-6"/>
                <w:sz w:val="18"/>
              </w:rPr>
              <w:t> </w:t>
            </w:r>
            <w:r>
              <w:rPr>
                <w:sz w:val="18"/>
              </w:rPr>
              <w:t>set</w:t>
            </w:r>
            <w:r>
              <w:rPr>
                <w:spacing w:val="-7"/>
                <w:sz w:val="18"/>
              </w:rPr>
              <w:t> </w:t>
            </w:r>
            <w:r>
              <w:rPr>
                <w:sz w:val="18"/>
              </w:rPr>
              <w:t>out its second carbon budget, Net Zero Wales, which</w:t>
            </w:r>
            <w:r>
              <w:rPr>
                <w:spacing w:val="-1"/>
                <w:sz w:val="18"/>
              </w:rPr>
              <w:t> </w:t>
            </w:r>
            <w:r>
              <w:rPr>
                <w:sz w:val="18"/>
              </w:rPr>
              <w:t>confirmed that</w:t>
            </w:r>
            <w:r>
              <w:rPr>
                <w:spacing w:val="-1"/>
                <w:sz w:val="18"/>
              </w:rPr>
              <w:t> </w:t>
            </w:r>
            <w:r>
              <w:rPr>
                <w:sz w:val="18"/>
              </w:rPr>
              <w:t>Our ambition</w:t>
            </w:r>
            <w:r>
              <w:rPr>
                <w:spacing w:val="-1"/>
                <w:sz w:val="18"/>
              </w:rPr>
              <w:t> </w:t>
            </w:r>
            <w:r>
              <w:rPr>
                <w:sz w:val="18"/>
              </w:rPr>
              <w:t>is</w:t>
            </w:r>
            <w:r>
              <w:rPr>
                <w:spacing w:val="-1"/>
                <w:sz w:val="18"/>
              </w:rPr>
              <w:t> </w:t>
            </w:r>
            <w:r>
              <w:rPr>
                <w:sz w:val="18"/>
              </w:rPr>
              <w:t>for</w:t>
            </w:r>
            <w:r>
              <w:rPr>
                <w:spacing w:val="-1"/>
                <w:sz w:val="18"/>
              </w:rPr>
              <w:t> </w:t>
            </w:r>
            <w:r>
              <w:rPr>
                <w:sz w:val="18"/>
              </w:rPr>
              <w:t>the public sector to be collectively net zero by </w:t>
            </w:r>
            <w:r>
              <w:rPr>
                <w:spacing w:val="-2"/>
                <w:sz w:val="18"/>
              </w:rPr>
              <w:t>2030.</w:t>
            </w:r>
          </w:p>
        </w:tc>
        <w:tc>
          <w:tcPr>
            <w:tcW w:w="547" w:type="dxa"/>
            <w:shd w:val="clear" w:color="auto" w:fill="C6D9EF"/>
            <w:textDirection w:val="tbRl"/>
          </w:tcPr>
          <w:p>
            <w:pPr>
              <w:pStyle w:val="TableParagraph"/>
              <w:spacing w:before="98"/>
              <w:ind w:left="113"/>
              <w:rPr>
                <w:b/>
                <w:sz w:val="18"/>
              </w:rPr>
            </w:pPr>
            <w:r>
              <w:rPr>
                <w:b/>
                <w:spacing w:val="-2"/>
                <w:sz w:val="18"/>
              </w:rPr>
              <w:t>Advisory</w:t>
            </w:r>
          </w:p>
        </w:tc>
        <w:tc>
          <w:tcPr>
            <w:tcW w:w="4439" w:type="dxa"/>
          </w:tcPr>
          <w:p>
            <w:pPr>
              <w:pStyle w:val="TableParagraph"/>
              <w:spacing w:line="276" w:lineRule="auto"/>
              <w:ind w:left="108" w:right="196"/>
              <w:rPr>
                <w:sz w:val="18"/>
              </w:rPr>
            </w:pPr>
            <w:r>
              <w:rPr>
                <w:sz w:val="18"/>
              </w:rPr>
              <w:t>The</w:t>
            </w:r>
            <w:r>
              <w:rPr>
                <w:spacing w:val="-7"/>
                <w:sz w:val="18"/>
              </w:rPr>
              <w:t> </w:t>
            </w:r>
            <w:r>
              <w:rPr>
                <w:sz w:val="18"/>
              </w:rPr>
              <w:t>Project</w:t>
            </w:r>
            <w:r>
              <w:rPr>
                <w:spacing w:val="-6"/>
                <w:sz w:val="18"/>
              </w:rPr>
              <w:t> </w:t>
            </w:r>
            <w:r>
              <w:rPr>
                <w:sz w:val="18"/>
              </w:rPr>
              <w:t>Execution</w:t>
            </w:r>
            <w:r>
              <w:rPr>
                <w:spacing w:val="-7"/>
                <w:sz w:val="18"/>
              </w:rPr>
              <w:t> </w:t>
            </w:r>
            <w:r>
              <w:rPr>
                <w:sz w:val="18"/>
              </w:rPr>
              <w:t>Plan</w:t>
            </w:r>
            <w:r>
              <w:rPr>
                <w:spacing w:val="-7"/>
                <w:sz w:val="18"/>
              </w:rPr>
              <w:t> </w:t>
            </w:r>
            <w:r>
              <w:rPr>
                <w:sz w:val="18"/>
              </w:rPr>
              <w:t>should</w:t>
            </w:r>
            <w:r>
              <w:rPr>
                <w:spacing w:val="-6"/>
                <w:sz w:val="18"/>
              </w:rPr>
              <w:t> </w:t>
            </w:r>
            <w:r>
              <w:rPr>
                <w:sz w:val="18"/>
              </w:rPr>
              <w:t>be</w:t>
            </w:r>
            <w:r>
              <w:rPr>
                <w:spacing w:val="-7"/>
                <w:sz w:val="18"/>
              </w:rPr>
              <w:t> </w:t>
            </w:r>
            <w:r>
              <w:rPr>
                <w:sz w:val="18"/>
              </w:rPr>
              <w:t>revised to reflect the implementation phase, and ensure accountabilities are known and </w:t>
            </w:r>
            <w:r>
              <w:rPr>
                <w:spacing w:val="-2"/>
                <w:sz w:val="18"/>
              </w:rPr>
              <w:t>embedded.</w:t>
            </w:r>
          </w:p>
        </w:tc>
        <w:tc>
          <w:tcPr>
            <w:tcW w:w="990" w:type="dxa"/>
            <w:textDirection w:val="tbRl"/>
          </w:tcPr>
          <w:p>
            <w:pPr>
              <w:pStyle w:val="TableParagraph"/>
              <w:spacing w:before="98"/>
              <w:rPr>
                <w:sz w:val="18"/>
              </w:rPr>
            </w:pPr>
            <w:r>
              <w:rPr>
                <w:sz w:val="18"/>
              </w:rPr>
              <w:t>Neil</w:t>
            </w:r>
            <w:r>
              <w:rPr>
                <w:spacing w:val="-1"/>
                <w:sz w:val="18"/>
              </w:rPr>
              <w:t> </w:t>
            </w:r>
            <w:r>
              <w:rPr>
                <w:sz w:val="18"/>
              </w:rPr>
              <w:t>Davies,</w:t>
            </w:r>
            <w:r>
              <w:rPr>
                <w:spacing w:val="-1"/>
                <w:sz w:val="18"/>
              </w:rPr>
              <w:t> </w:t>
            </w:r>
            <w:r>
              <w:rPr>
                <w:sz w:val="18"/>
              </w:rPr>
              <w:t>Director of</w:t>
            </w:r>
            <w:r>
              <w:rPr>
                <w:spacing w:val="-1"/>
                <w:sz w:val="18"/>
              </w:rPr>
              <w:t> </w:t>
            </w:r>
            <w:r>
              <w:rPr>
                <w:spacing w:val="-5"/>
                <w:sz w:val="18"/>
              </w:rPr>
              <w:t>SES</w:t>
            </w:r>
          </w:p>
        </w:tc>
        <w:tc>
          <w:tcPr>
            <w:tcW w:w="3968" w:type="dxa"/>
          </w:tcPr>
          <w:p>
            <w:pPr>
              <w:pStyle w:val="TableParagraph"/>
              <w:spacing w:line="276" w:lineRule="auto"/>
              <w:ind w:left="107" w:right="139"/>
              <w:rPr>
                <w:sz w:val="18"/>
              </w:rPr>
            </w:pPr>
            <w:r>
              <w:rPr>
                <w:sz w:val="18"/>
              </w:rPr>
              <w:t>The</w:t>
            </w:r>
            <w:r>
              <w:rPr>
                <w:spacing w:val="-8"/>
                <w:sz w:val="18"/>
              </w:rPr>
              <w:t> </w:t>
            </w:r>
            <w:r>
              <w:rPr>
                <w:sz w:val="18"/>
              </w:rPr>
              <w:t>Project</w:t>
            </w:r>
            <w:r>
              <w:rPr>
                <w:spacing w:val="-7"/>
                <w:sz w:val="18"/>
              </w:rPr>
              <w:t> </w:t>
            </w:r>
            <w:r>
              <w:rPr>
                <w:sz w:val="18"/>
              </w:rPr>
              <w:t>Execution</w:t>
            </w:r>
            <w:r>
              <w:rPr>
                <w:spacing w:val="-8"/>
                <w:sz w:val="18"/>
              </w:rPr>
              <w:t> </w:t>
            </w:r>
            <w:r>
              <w:rPr>
                <w:sz w:val="18"/>
              </w:rPr>
              <w:t>Plan</w:t>
            </w:r>
            <w:r>
              <w:rPr>
                <w:spacing w:val="-8"/>
                <w:sz w:val="18"/>
              </w:rPr>
              <w:t> </w:t>
            </w:r>
            <w:r>
              <w:rPr>
                <w:sz w:val="18"/>
              </w:rPr>
              <w:t>was</w:t>
            </w:r>
            <w:r>
              <w:rPr>
                <w:spacing w:val="-7"/>
                <w:sz w:val="18"/>
              </w:rPr>
              <w:t> </w:t>
            </w:r>
            <w:r>
              <w:rPr>
                <w:sz w:val="18"/>
              </w:rPr>
              <w:t>originally developed to deliver the DAP but is now being amended and updated to reflect a broader remit including NWSSP’s national initiatives.</w:t>
            </w:r>
          </w:p>
        </w:tc>
        <w:tc>
          <w:tcPr>
            <w:tcW w:w="809" w:type="dxa"/>
            <w:textDirection w:val="tbRl"/>
          </w:tcPr>
          <w:p>
            <w:pPr>
              <w:pStyle w:val="TableParagraph"/>
              <w:spacing w:before="98"/>
              <w:rPr>
                <w:b/>
                <w:sz w:val="18"/>
              </w:rPr>
            </w:pPr>
            <w:r>
              <w:rPr>
                <w:b/>
                <w:spacing w:val="-2"/>
                <w:sz w:val="18"/>
              </w:rPr>
              <w:t>01/12/2022</w:t>
            </w:r>
          </w:p>
        </w:tc>
        <w:tc>
          <w:tcPr>
            <w:tcW w:w="1276" w:type="dxa"/>
          </w:tcPr>
          <w:p>
            <w:pPr>
              <w:pStyle w:val="TableParagraph"/>
              <w:rPr>
                <w:rFonts w:ascii="Times New Roman"/>
                <w:sz w:val="18"/>
              </w:rPr>
            </w:pPr>
          </w:p>
        </w:tc>
        <w:tc>
          <w:tcPr>
            <w:tcW w:w="3543" w:type="dxa"/>
          </w:tcPr>
          <w:p>
            <w:pPr>
              <w:pStyle w:val="TableParagraph"/>
              <w:spacing w:line="276" w:lineRule="auto"/>
              <w:ind w:left="108" w:right="118"/>
              <w:rPr>
                <w:sz w:val="18"/>
              </w:rPr>
            </w:pPr>
            <w:r>
              <w:rPr>
                <w:sz w:val="18"/>
              </w:rPr>
              <w:t>The overall remit of the Decarbonisation Programme Board is still being explored through review with the Welsh Government. Key</w:t>
            </w:r>
            <w:r>
              <w:rPr>
                <w:spacing w:val="-8"/>
                <w:sz w:val="18"/>
              </w:rPr>
              <w:t> </w:t>
            </w:r>
            <w:r>
              <w:rPr>
                <w:sz w:val="18"/>
              </w:rPr>
              <w:t>aspects</w:t>
            </w:r>
            <w:r>
              <w:rPr>
                <w:spacing w:val="-8"/>
                <w:sz w:val="18"/>
              </w:rPr>
              <w:t> </w:t>
            </w:r>
            <w:r>
              <w:rPr>
                <w:sz w:val="18"/>
              </w:rPr>
              <w:t>of</w:t>
            </w:r>
            <w:r>
              <w:rPr>
                <w:spacing w:val="-8"/>
                <w:sz w:val="18"/>
              </w:rPr>
              <w:t> </w:t>
            </w:r>
            <w:r>
              <w:rPr>
                <w:sz w:val="18"/>
              </w:rPr>
              <w:t>the</w:t>
            </w:r>
            <w:r>
              <w:rPr>
                <w:spacing w:val="-8"/>
                <w:sz w:val="18"/>
              </w:rPr>
              <w:t> </w:t>
            </w:r>
            <w:r>
              <w:rPr>
                <w:sz w:val="18"/>
              </w:rPr>
              <w:t>Project</w:t>
            </w:r>
            <w:r>
              <w:rPr>
                <w:spacing w:val="-8"/>
                <w:sz w:val="18"/>
              </w:rPr>
              <w:t> </w:t>
            </w:r>
            <w:r>
              <w:rPr>
                <w:sz w:val="18"/>
              </w:rPr>
              <w:t>Execution Plan will be presented to the Decarbonisation Programme Board for approval on 12/12/2022, to include a broader range of programme management activities across all NHS Wales Decarbonisation Strategic Delivery Plan initiatives.</w:t>
            </w:r>
          </w:p>
        </w:tc>
      </w:tr>
      <w:tr>
        <w:trPr>
          <w:trHeight w:val="2715" w:hRule="atLeast"/>
        </w:trPr>
        <w:tc>
          <w:tcPr>
            <w:tcW w:w="706" w:type="dxa"/>
          </w:tcPr>
          <w:p>
            <w:pPr>
              <w:pStyle w:val="TableParagraph"/>
              <w:ind w:left="108"/>
              <w:rPr>
                <w:sz w:val="18"/>
              </w:rPr>
            </w:pPr>
            <w:r>
              <w:rPr>
                <w:spacing w:val="-5"/>
                <w:sz w:val="18"/>
              </w:rPr>
              <w:t>12.</w:t>
            </w:r>
          </w:p>
        </w:tc>
        <w:tc>
          <w:tcPr>
            <w:tcW w:w="1987" w:type="dxa"/>
          </w:tcPr>
          <w:p>
            <w:pPr>
              <w:pStyle w:val="TableParagraph"/>
              <w:spacing w:line="276" w:lineRule="auto"/>
              <w:ind w:left="107" w:right="286"/>
              <w:rPr>
                <w:sz w:val="18"/>
              </w:rPr>
            </w:pPr>
            <w:r>
              <w:rPr>
                <w:sz w:val="18"/>
              </w:rPr>
              <w:t>Specialist</w:t>
            </w:r>
            <w:r>
              <w:rPr>
                <w:spacing w:val="-16"/>
                <w:sz w:val="18"/>
              </w:rPr>
              <w:t> </w:t>
            </w:r>
            <w:r>
              <w:rPr>
                <w:sz w:val="18"/>
              </w:rPr>
              <w:t>Estates </w:t>
            </w:r>
            <w:r>
              <w:rPr>
                <w:spacing w:val="-2"/>
                <w:sz w:val="18"/>
              </w:rPr>
              <w:t>Services</w:t>
            </w:r>
          </w:p>
          <w:p>
            <w:pPr>
              <w:pStyle w:val="TableParagraph"/>
              <w:spacing w:before="5"/>
              <w:rPr>
                <w:b/>
                <w:sz w:val="16"/>
              </w:rPr>
            </w:pPr>
          </w:p>
          <w:p>
            <w:pPr>
              <w:pStyle w:val="TableParagraph"/>
              <w:spacing w:line="494" w:lineRule="auto"/>
              <w:ind w:left="107" w:right="412"/>
              <w:rPr>
                <w:sz w:val="18"/>
              </w:rPr>
            </w:pPr>
            <w:r>
              <w:rPr>
                <w:spacing w:val="-2"/>
                <w:sz w:val="18"/>
              </w:rPr>
              <w:t>Decarbonisation SES/2022-23/1</w:t>
            </w:r>
          </w:p>
        </w:tc>
        <w:tc>
          <w:tcPr>
            <w:tcW w:w="571" w:type="dxa"/>
            <w:shd w:val="clear" w:color="auto" w:fill="FF0000"/>
            <w:textDirection w:val="tbRl"/>
          </w:tcPr>
          <w:p>
            <w:pPr>
              <w:pStyle w:val="TableParagraph"/>
              <w:spacing w:before="98"/>
              <w:ind w:left="113" w:right="292"/>
              <w:rPr>
                <w:b/>
                <w:sz w:val="18"/>
              </w:rPr>
            </w:pPr>
            <w:r>
              <w:rPr>
                <w:b/>
                <w:sz w:val="18"/>
              </w:rPr>
              <w:t>OVERDUE-</w:t>
            </w:r>
            <w:r>
              <w:rPr>
                <w:b/>
                <w:spacing w:val="-16"/>
                <w:sz w:val="18"/>
              </w:rPr>
              <w:t> </w:t>
            </w:r>
            <w:r>
              <w:rPr>
                <w:b/>
                <w:sz w:val="18"/>
              </w:rPr>
              <w:t>EXTENTION </w:t>
            </w:r>
            <w:r>
              <w:rPr>
                <w:b/>
                <w:spacing w:val="-2"/>
                <w:sz w:val="18"/>
              </w:rPr>
              <w:t>REQUESTED</w:t>
            </w:r>
          </w:p>
        </w:tc>
        <w:tc>
          <w:tcPr>
            <w:tcW w:w="4411" w:type="dxa"/>
          </w:tcPr>
          <w:p>
            <w:pPr>
              <w:pStyle w:val="TableParagraph"/>
              <w:spacing w:line="276" w:lineRule="auto"/>
              <w:ind w:left="107" w:right="173"/>
              <w:rPr>
                <w:sz w:val="18"/>
              </w:rPr>
            </w:pPr>
            <w:r>
              <w:rPr>
                <w:sz w:val="18"/>
              </w:rPr>
              <w:t>The Welsh Government is party to international agreements to reduce carbon emissions and control climate change.</w:t>
            </w:r>
            <w:r>
              <w:rPr>
                <w:spacing w:val="40"/>
                <w:sz w:val="18"/>
              </w:rPr>
              <w:t> </w:t>
            </w:r>
            <w:r>
              <w:rPr>
                <w:sz w:val="18"/>
              </w:rPr>
              <w:t>In October</w:t>
            </w:r>
            <w:r>
              <w:rPr>
                <w:spacing w:val="-7"/>
                <w:sz w:val="18"/>
              </w:rPr>
              <w:t> </w:t>
            </w:r>
            <w:r>
              <w:rPr>
                <w:sz w:val="18"/>
              </w:rPr>
              <w:t>2021</w:t>
            </w:r>
            <w:r>
              <w:rPr>
                <w:spacing w:val="-6"/>
                <w:sz w:val="18"/>
              </w:rPr>
              <w:t> </w:t>
            </w:r>
            <w:r>
              <w:rPr>
                <w:sz w:val="18"/>
              </w:rPr>
              <w:t>the</w:t>
            </w:r>
            <w:r>
              <w:rPr>
                <w:spacing w:val="-7"/>
                <w:sz w:val="18"/>
              </w:rPr>
              <w:t> </w:t>
            </w:r>
            <w:r>
              <w:rPr>
                <w:sz w:val="18"/>
              </w:rPr>
              <w:t>Welsh</w:t>
            </w:r>
            <w:r>
              <w:rPr>
                <w:spacing w:val="-7"/>
                <w:sz w:val="18"/>
              </w:rPr>
              <w:t> </w:t>
            </w:r>
            <w:r>
              <w:rPr>
                <w:sz w:val="18"/>
              </w:rPr>
              <w:t>Government</w:t>
            </w:r>
            <w:r>
              <w:rPr>
                <w:spacing w:val="-6"/>
                <w:sz w:val="18"/>
              </w:rPr>
              <w:t> </w:t>
            </w:r>
            <w:r>
              <w:rPr>
                <w:sz w:val="18"/>
              </w:rPr>
              <w:t>set</w:t>
            </w:r>
            <w:r>
              <w:rPr>
                <w:spacing w:val="-7"/>
                <w:sz w:val="18"/>
              </w:rPr>
              <w:t> </w:t>
            </w:r>
            <w:r>
              <w:rPr>
                <w:sz w:val="18"/>
              </w:rPr>
              <w:t>out its second carbon budget, Net Zero Wales, which</w:t>
            </w:r>
            <w:r>
              <w:rPr>
                <w:spacing w:val="-1"/>
                <w:sz w:val="18"/>
              </w:rPr>
              <w:t> </w:t>
            </w:r>
            <w:r>
              <w:rPr>
                <w:sz w:val="18"/>
              </w:rPr>
              <w:t>confirmed that</w:t>
            </w:r>
            <w:r>
              <w:rPr>
                <w:spacing w:val="-1"/>
                <w:sz w:val="18"/>
              </w:rPr>
              <w:t> </w:t>
            </w:r>
            <w:r>
              <w:rPr>
                <w:sz w:val="18"/>
              </w:rPr>
              <w:t>Our ambition</w:t>
            </w:r>
            <w:r>
              <w:rPr>
                <w:spacing w:val="-1"/>
                <w:sz w:val="18"/>
              </w:rPr>
              <w:t> </w:t>
            </w:r>
            <w:r>
              <w:rPr>
                <w:sz w:val="18"/>
              </w:rPr>
              <w:t>is</w:t>
            </w:r>
            <w:r>
              <w:rPr>
                <w:spacing w:val="-1"/>
                <w:sz w:val="18"/>
              </w:rPr>
              <w:t> </w:t>
            </w:r>
            <w:r>
              <w:rPr>
                <w:sz w:val="18"/>
              </w:rPr>
              <w:t>for</w:t>
            </w:r>
            <w:r>
              <w:rPr>
                <w:spacing w:val="-1"/>
                <w:sz w:val="18"/>
              </w:rPr>
              <w:t> </w:t>
            </w:r>
            <w:r>
              <w:rPr>
                <w:sz w:val="18"/>
              </w:rPr>
              <w:t>the public sector to be collectively net zero by </w:t>
            </w:r>
            <w:r>
              <w:rPr>
                <w:spacing w:val="-2"/>
                <w:sz w:val="18"/>
              </w:rPr>
              <w:t>2030.</w:t>
            </w:r>
          </w:p>
        </w:tc>
        <w:tc>
          <w:tcPr>
            <w:tcW w:w="547" w:type="dxa"/>
            <w:shd w:val="clear" w:color="auto" w:fill="C6D9EF"/>
            <w:textDirection w:val="tbRl"/>
          </w:tcPr>
          <w:p>
            <w:pPr>
              <w:pStyle w:val="TableParagraph"/>
              <w:spacing w:before="98"/>
              <w:ind w:left="113"/>
              <w:rPr>
                <w:b/>
                <w:sz w:val="18"/>
              </w:rPr>
            </w:pPr>
            <w:r>
              <w:rPr>
                <w:b/>
                <w:spacing w:val="-2"/>
                <w:sz w:val="18"/>
              </w:rPr>
              <w:t>Advisory</w:t>
            </w:r>
          </w:p>
        </w:tc>
        <w:tc>
          <w:tcPr>
            <w:tcW w:w="4439" w:type="dxa"/>
          </w:tcPr>
          <w:p>
            <w:pPr>
              <w:pStyle w:val="TableParagraph"/>
              <w:spacing w:line="276" w:lineRule="auto"/>
              <w:ind w:left="108" w:right="196"/>
              <w:rPr>
                <w:sz w:val="18"/>
              </w:rPr>
            </w:pPr>
            <w:r>
              <w:rPr>
                <w:sz w:val="18"/>
              </w:rPr>
              <w:t>Management</w:t>
            </w:r>
            <w:r>
              <w:rPr>
                <w:spacing w:val="-10"/>
                <w:sz w:val="18"/>
              </w:rPr>
              <w:t> </w:t>
            </w:r>
            <w:r>
              <w:rPr>
                <w:sz w:val="18"/>
              </w:rPr>
              <w:t>should</w:t>
            </w:r>
            <w:r>
              <w:rPr>
                <w:spacing w:val="-10"/>
                <w:sz w:val="18"/>
              </w:rPr>
              <w:t> </w:t>
            </w:r>
            <w:r>
              <w:rPr>
                <w:sz w:val="18"/>
              </w:rPr>
              <w:t>consider</w:t>
            </w:r>
            <w:r>
              <w:rPr>
                <w:spacing w:val="-11"/>
                <w:sz w:val="18"/>
              </w:rPr>
              <w:t> </w:t>
            </w:r>
            <w:r>
              <w:rPr>
                <w:sz w:val="18"/>
              </w:rPr>
              <w:t>establishing</w:t>
            </w:r>
            <w:r>
              <w:rPr>
                <w:spacing w:val="-10"/>
                <w:sz w:val="18"/>
              </w:rPr>
              <w:t> </w:t>
            </w:r>
            <w:r>
              <w:rPr>
                <w:sz w:val="18"/>
              </w:rPr>
              <w:t>a risk</w:t>
            </w:r>
            <w:r>
              <w:rPr>
                <w:spacing w:val="-5"/>
                <w:sz w:val="18"/>
              </w:rPr>
              <w:t> </w:t>
            </w:r>
            <w:r>
              <w:rPr>
                <w:sz w:val="18"/>
              </w:rPr>
              <w:t>management</w:t>
            </w:r>
            <w:r>
              <w:rPr>
                <w:spacing w:val="-5"/>
                <w:sz w:val="18"/>
              </w:rPr>
              <w:t> </w:t>
            </w:r>
            <w:r>
              <w:rPr>
                <w:sz w:val="18"/>
              </w:rPr>
              <w:t>tool</w:t>
            </w:r>
            <w:r>
              <w:rPr>
                <w:spacing w:val="-5"/>
                <w:sz w:val="18"/>
              </w:rPr>
              <w:t> </w:t>
            </w:r>
            <w:r>
              <w:rPr>
                <w:sz w:val="18"/>
              </w:rPr>
              <w:t>to</w:t>
            </w:r>
            <w:r>
              <w:rPr>
                <w:spacing w:val="-6"/>
                <w:sz w:val="18"/>
              </w:rPr>
              <w:t> </w:t>
            </w:r>
            <w:r>
              <w:rPr>
                <w:sz w:val="18"/>
              </w:rPr>
              <w:t>bring</w:t>
            </w:r>
            <w:r>
              <w:rPr>
                <w:spacing w:val="-5"/>
                <w:sz w:val="18"/>
              </w:rPr>
              <w:t> </w:t>
            </w:r>
            <w:r>
              <w:rPr>
                <w:sz w:val="18"/>
              </w:rPr>
              <w:t>together</w:t>
            </w:r>
            <w:r>
              <w:rPr>
                <w:spacing w:val="-5"/>
                <w:sz w:val="18"/>
              </w:rPr>
              <w:t> </w:t>
            </w:r>
            <w:r>
              <w:rPr>
                <w:sz w:val="18"/>
              </w:rPr>
              <w:t>the various risks associated with the implementation of the decarbonisation </w:t>
            </w:r>
            <w:r>
              <w:rPr>
                <w:spacing w:val="-2"/>
                <w:sz w:val="18"/>
              </w:rPr>
              <w:t>agenda.</w:t>
            </w:r>
          </w:p>
        </w:tc>
        <w:tc>
          <w:tcPr>
            <w:tcW w:w="990" w:type="dxa"/>
            <w:textDirection w:val="tbRl"/>
          </w:tcPr>
          <w:p>
            <w:pPr>
              <w:pStyle w:val="TableParagraph"/>
              <w:spacing w:before="98"/>
              <w:rPr>
                <w:sz w:val="18"/>
              </w:rPr>
            </w:pPr>
            <w:r>
              <w:rPr>
                <w:sz w:val="18"/>
              </w:rPr>
              <w:t>Neil</w:t>
            </w:r>
            <w:r>
              <w:rPr>
                <w:spacing w:val="-1"/>
                <w:sz w:val="18"/>
              </w:rPr>
              <w:t> </w:t>
            </w:r>
            <w:r>
              <w:rPr>
                <w:sz w:val="18"/>
              </w:rPr>
              <w:t>Davies,</w:t>
            </w:r>
            <w:r>
              <w:rPr>
                <w:spacing w:val="-1"/>
                <w:sz w:val="18"/>
              </w:rPr>
              <w:t> </w:t>
            </w:r>
            <w:r>
              <w:rPr>
                <w:sz w:val="18"/>
              </w:rPr>
              <w:t>Director of</w:t>
            </w:r>
            <w:r>
              <w:rPr>
                <w:spacing w:val="-1"/>
                <w:sz w:val="18"/>
              </w:rPr>
              <w:t> </w:t>
            </w:r>
            <w:r>
              <w:rPr>
                <w:spacing w:val="-5"/>
                <w:sz w:val="18"/>
              </w:rPr>
              <w:t>SES</w:t>
            </w:r>
          </w:p>
        </w:tc>
        <w:tc>
          <w:tcPr>
            <w:tcW w:w="3968" w:type="dxa"/>
          </w:tcPr>
          <w:p>
            <w:pPr>
              <w:pStyle w:val="TableParagraph"/>
              <w:spacing w:line="276" w:lineRule="auto"/>
              <w:ind w:left="107" w:right="133"/>
              <w:rPr>
                <w:sz w:val="18"/>
              </w:rPr>
            </w:pPr>
            <w:r>
              <w:rPr>
                <w:sz w:val="18"/>
              </w:rPr>
              <w:t>Establishing a risk management tool is an integral part of the programme management approach adopted by NWSSP’s Project Management Office (PMO).</w:t>
            </w:r>
            <w:r>
              <w:rPr>
                <w:spacing w:val="-7"/>
                <w:sz w:val="18"/>
              </w:rPr>
              <w:t> </w:t>
            </w:r>
            <w:r>
              <w:rPr>
                <w:sz w:val="18"/>
              </w:rPr>
              <w:t>The</w:t>
            </w:r>
            <w:r>
              <w:rPr>
                <w:spacing w:val="-6"/>
                <w:sz w:val="18"/>
              </w:rPr>
              <w:t> </w:t>
            </w:r>
            <w:r>
              <w:rPr>
                <w:sz w:val="18"/>
              </w:rPr>
              <w:t>risk</w:t>
            </w:r>
            <w:r>
              <w:rPr>
                <w:spacing w:val="-7"/>
                <w:sz w:val="18"/>
              </w:rPr>
              <w:t> </w:t>
            </w:r>
            <w:r>
              <w:rPr>
                <w:sz w:val="18"/>
              </w:rPr>
              <w:t>management</w:t>
            </w:r>
            <w:r>
              <w:rPr>
                <w:spacing w:val="-6"/>
                <w:sz w:val="18"/>
              </w:rPr>
              <w:t> </w:t>
            </w:r>
            <w:r>
              <w:rPr>
                <w:sz w:val="18"/>
              </w:rPr>
              <w:t>tool</w:t>
            </w:r>
            <w:r>
              <w:rPr>
                <w:spacing w:val="-6"/>
                <w:sz w:val="18"/>
              </w:rPr>
              <w:t> </w:t>
            </w:r>
            <w:r>
              <w:rPr>
                <w:sz w:val="18"/>
              </w:rPr>
              <w:t>will</w:t>
            </w:r>
            <w:r>
              <w:rPr>
                <w:spacing w:val="-7"/>
                <w:sz w:val="18"/>
              </w:rPr>
              <w:t> </w:t>
            </w:r>
            <w:r>
              <w:rPr>
                <w:sz w:val="18"/>
              </w:rPr>
              <w:t>be developed when the programme management resources are secured.</w:t>
            </w:r>
          </w:p>
          <w:p>
            <w:pPr>
              <w:pStyle w:val="TableParagraph"/>
              <w:spacing w:line="276" w:lineRule="auto"/>
              <w:ind w:left="107" w:right="155"/>
              <w:rPr>
                <w:sz w:val="18"/>
              </w:rPr>
            </w:pPr>
            <w:r>
              <w:rPr>
                <w:sz w:val="18"/>
              </w:rPr>
              <w:t>These resources are anticipated to become</w:t>
            </w:r>
            <w:r>
              <w:rPr>
                <w:spacing w:val="-9"/>
                <w:sz w:val="18"/>
              </w:rPr>
              <w:t> </w:t>
            </w:r>
            <w:r>
              <w:rPr>
                <w:sz w:val="18"/>
              </w:rPr>
              <w:t>available</w:t>
            </w:r>
            <w:r>
              <w:rPr>
                <w:spacing w:val="-9"/>
                <w:sz w:val="18"/>
              </w:rPr>
              <w:t> </w:t>
            </w:r>
            <w:r>
              <w:rPr>
                <w:sz w:val="18"/>
              </w:rPr>
              <w:t>during</w:t>
            </w:r>
            <w:r>
              <w:rPr>
                <w:spacing w:val="-10"/>
                <w:sz w:val="18"/>
              </w:rPr>
              <w:t> </w:t>
            </w:r>
            <w:r>
              <w:rPr>
                <w:sz w:val="18"/>
              </w:rPr>
              <w:t>October</w:t>
            </w:r>
            <w:r>
              <w:rPr>
                <w:spacing w:val="-10"/>
                <w:sz w:val="18"/>
              </w:rPr>
              <w:t> </w:t>
            </w:r>
            <w:r>
              <w:rPr>
                <w:sz w:val="18"/>
              </w:rPr>
              <w:t>to December 2022.</w:t>
            </w:r>
          </w:p>
        </w:tc>
        <w:tc>
          <w:tcPr>
            <w:tcW w:w="809" w:type="dxa"/>
            <w:textDirection w:val="tbRl"/>
          </w:tcPr>
          <w:p>
            <w:pPr>
              <w:pStyle w:val="TableParagraph"/>
              <w:spacing w:before="98"/>
              <w:rPr>
                <w:b/>
                <w:sz w:val="18"/>
              </w:rPr>
            </w:pPr>
            <w:r>
              <w:rPr>
                <w:b/>
                <w:spacing w:val="-2"/>
                <w:sz w:val="18"/>
              </w:rPr>
              <w:t>01/01/2023</w:t>
            </w:r>
          </w:p>
        </w:tc>
        <w:tc>
          <w:tcPr>
            <w:tcW w:w="1276" w:type="dxa"/>
            <w:textDirection w:val="tbRl"/>
          </w:tcPr>
          <w:p>
            <w:pPr>
              <w:pStyle w:val="TableParagraph"/>
              <w:spacing w:before="98"/>
              <w:ind w:left="113"/>
              <w:rPr>
                <w:b/>
                <w:sz w:val="18"/>
              </w:rPr>
            </w:pPr>
            <w:r>
              <w:rPr>
                <w:b/>
                <w:spacing w:val="-2"/>
                <w:sz w:val="18"/>
              </w:rPr>
              <w:t>30/06/2023</w:t>
            </w:r>
          </w:p>
        </w:tc>
        <w:tc>
          <w:tcPr>
            <w:tcW w:w="3543" w:type="dxa"/>
          </w:tcPr>
          <w:p>
            <w:pPr>
              <w:pStyle w:val="TableParagraph"/>
              <w:ind w:left="171" w:right="176"/>
              <w:rPr>
                <w:sz w:val="18"/>
              </w:rPr>
            </w:pPr>
            <w:r>
              <w:rPr>
                <w:sz w:val="18"/>
              </w:rPr>
              <w:t>Partially Complete: Securing the right level of programme management</w:t>
            </w:r>
            <w:r>
              <w:rPr>
                <w:spacing w:val="-16"/>
                <w:sz w:val="18"/>
              </w:rPr>
              <w:t> </w:t>
            </w:r>
            <w:r>
              <w:rPr>
                <w:sz w:val="18"/>
              </w:rPr>
              <w:t>resources</w:t>
            </w:r>
            <w:r>
              <w:rPr>
                <w:spacing w:val="-16"/>
                <w:sz w:val="18"/>
              </w:rPr>
              <w:t> </w:t>
            </w:r>
            <w:r>
              <w:rPr>
                <w:sz w:val="18"/>
              </w:rPr>
              <w:t>continues to be extremely challenging.</w:t>
            </w:r>
          </w:p>
          <w:p>
            <w:pPr>
              <w:pStyle w:val="TableParagraph"/>
              <w:ind w:left="171" w:right="109"/>
              <w:rPr>
                <w:sz w:val="18"/>
              </w:rPr>
            </w:pPr>
            <w:r>
              <w:rPr>
                <w:sz w:val="18"/>
              </w:rPr>
              <w:t>Notwithstanding</w:t>
            </w:r>
            <w:r>
              <w:rPr>
                <w:spacing w:val="-5"/>
                <w:sz w:val="18"/>
              </w:rPr>
              <w:t> </w:t>
            </w:r>
            <w:r>
              <w:rPr>
                <w:sz w:val="18"/>
              </w:rPr>
              <w:t>these</w:t>
            </w:r>
            <w:r>
              <w:rPr>
                <w:spacing w:val="-6"/>
                <w:sz w:val="18"/>
              </w:rPr>
              <w:t> </w:t>
            </w:r>
            <w:r>
              <w:rPr>
                <w:sz w:val="18"/>
              </w:rPr>
              <w:t>challenges</w:t>
            </w:r>
            <w:r>
              <w:rPr>
                <w:spacing w:val="-5"/>
                <w:sz w:val="18"/>
              </w:rPr>
              <w:t> </w:t>
            </w:r>
            <w:r>
              <w:rPr>
                <w:sz w:val="18"/>
              </w:rPr>
              <w:t>a risk plan has been established as part</w:t>
            </w:r>
            <w:r>
              <w:rPr>
                <w:spacing w:val="-8"/>
                <w:sz w:val="18"/>
              </w:rPr>
              <w:t> </w:t>
            </w:r>
            <w:r>
              <w:rPr>
                <w:sz w:val="18"/>
              </w:rPr>
              <w:t>of</w:t>
            </w:r>
            <w:r>
              <w:rPr>
                <w:spacing w:val="-8"/>
                <w:sz w:val="18"/>
              </w:rPr>
              <w:t> </w:t>
            </w:r>
            <w:r>
              <w:rPr>
                <w:sz w:val="18"/>
              </w:rPr>
              <w:t>the</w:t>
            </w:r>
            <w:r>
              <w:rPr>
                <w:spacing w:val="-8"/>
                <w:sz w:val="18"/>
              </w:rPr>
              <w:t> </w:t>
            </w:r>
            <w:r>
              <w:rPr>
                <w:sz w:val="18"/>
              </w:rPr>
              <w:t>PMO</w:t>
            </w:r>
            <w:r>
              <w:rPr>
                <w:spacing w:val="-8"/>
                <w:sz w:val="18"/>
              </w:rPr>
              <w:t> </w:t>
            </w:r>
            <w:r>
              <w:rPr>
                <w:sz w:val="18"/>
              </w:rPr>
              <w:t>documentation</w:t>
            </w:r>
            <w:r>
              <w:rPr>
                <w:spacing w:val="-8"/>
                <w:sz w:val="18"/>
              </w:rPr>
              <w:t> </w:t>
            </w:r>
            <w:r>
              <w:rPr>
                <w:sz w:val="18"/>
              </w:rPr>
              <w:t>and is being updated with the relevant stakeholders at NWSSP. The risk document was presented to Decarbonisation Programme Board on 12/12/2022.</w:t>
            </w:r>
          </w:p>
        </w:tc>
      </w:tr>
      <w:tr>
        <w:trPr>
          <w:trHeight w:val="2715" w:hRule="atLeast"/>
        </w:trPr>
        <w:tc>
          <w:tcPr>
            <w:tcW w:w="706" w:type="dxa"/>
          </w:tcPr>
          <w:p>
            <w:pPr>
              <w:pStyle w:val="TableParagraph"/>
              <w:ind w:left="108"/>
              <w:rPr>
                <w:sz w:val="18"/>
              </w:rPr>
            </w:pPr>
            <w:r>
              <w:rPr>
                <w:spacing w:val="-5"/>
                <w:sz w:val="18"/>
              </w:rPr>
              <w:t>13.</w:t>
            </w:r>
          </w:p>
        </w:tc>
        <w:tc>
          <w:tcPr>
            <w:tcW w:w="1987" w:type="dxa"/>
          </w:tcPr>
          <w:p>
            <w:pPr>
              <w:pStyle w:val="TableParagraph"/>
              <w:spacing w:line="276" w:lineRule="auto"/>
              <w:ind w:left="107" w:right="286"/>
              <w:rPr>
                <w:sz w:val="18"/>
              </w:rPr>
            </w:pPr>
            <w:r>
              <w:rPr>
                <w:sz w:val="18"/>
              </w:rPr>
              <w:t>Specialist</w:t>
            </w:r>
            <w:r>
              <w:rPr>
                <w:spacing w:val="-16"/>
                <w:sz w:val="18"/>
              </w:rPr>
              <w:t> </w:t>
            </w:r>
            <w:r>
              <w:rPr>
                <w:sz w:val="18"/>
              </w:rPr>
              <w:t>Estates </w:t>
            </w:r>
            <w:r>
              <w:rPr>
                <w:spacing w:val="-2"/>
                <w:sz w:val="18"/>
              </w:rPr>
              <w:t>Services</w:t>
            </w:r>
          </w:p>
          <w:p>
            <w:pPr>
              <w:pStyle w:val="TableParagraph"/>
              <w:spacing w:before="5"/>
              <w:rPr>
                <w:b/>
                <w:sz w:val="16"/>
              </w:rPr>
            </w:pPr>
          </w:p>
          <w:p>
            <w:pPr>
              <w:pStyle w:val="TableParagraph"/>
              <w:spacing w:line="494" w:lineRule="auto"/>
              <w:ind w:left="107" w:right="412"/>
              <w:rPr>
                <w:sz w:val="18"/>
              </w:rPr>
            </w:pPr>
            <w:r>
              <w:rPr>
                <w:spacing w:val="-2"/>
                <w:sz w:val="18"/>
              </w:rPr>
              <w:t>Decarbonisation SES/2022-23/1</w:t>
            </w:r>
          </w:p>
        </w:tc>
        <w:tc>
          <w:tcPr>
            <w:tcW w:w="571" w:type="dxa"/>
            <w:shd w:val="clear" w:color="auto" w:fill="FF0000"/>
            <w:textDirection w:val="tbRl"/>
          </w:tcPr>
          <w:p>
            <w:pPr>
              <w:pStyle w:val="TableParagraph"/>
              <w:spacing w:before="98"/>
              <w:ind w:left="113" w:right="292"/>
              <w:rPr>
                <w:b/>
                <w:sz w:val="18"/>
              </w:rPr>
            </w:pPr>
            <w:r>
              <w:rPr>
                <w:b/>
                <w:sz w:val="18"/>
              </w:rPr>
              <w:t>OVERDUE-</w:t>
            </w:r>
            <w:r>
              <w:rPr>
                <w:b/>
                <w:spacing w:val="-16"/>
                <w:sz w:val="18"/>
              </w:rPr>
              <w:t> </w:t>
            </w:r>
            <w:r>
              <w:rPr>
                <w:b/>
                <w:sz w:val="18"/>
              </w:rPr>
              <w:t>EXTENTION </w:t>
            </w:r>
            <w:r>
              <w:rPr>
                <w:b/>
                <w:spacing w:val="-2"/>
                <w:sz w:val="18"/>
              </w:rPr>
              <w:t>REQUESTED</w:t>
            </w:r>
          </w:p>
        </w:tc>
        <w:tc>
          <w:tcPr>
            <w:tcW w:w="4411" w:type="dxa"/>
          </w:tcPr>
          <w:p>
            <w:pPr>
              <w:pStyle w:val="TableParagraph"/>
              <w:spacing w:line="276" w:lineRule="auto"/>
              <w:ind w:left="107" w:right="173"/>
              <w:rPr>
                <w:sz w:val="18"/>
              </w:rPr>
            </w:pPr>
            <w:r>
              <w:rPr>
                <w:sz w:val="18"/>
              </w:rPr>
              <w:t>The Welsh Government is party to international agreements to reduce carbon emissions and control climate change.</w:t>
            </w:r>
            <w:r>
              <w:rPr>
                <w:spacing w:val="40"/>
                <w:sz w:val="18"/>
              </w:rPr>
              <w:t> </w:t>
            </w:r>
            <w:r>
              <w:rPr>
                <w:sz w:val="18"/>
              </w:rPr>
              <w:t>In October</w:t>
            </w:r>
            <w:r>
              <w:rPr>
                <w:spacing w:val="-7"/>
                <w:sz w:val="18"/>
              </w:rPr>
              <w:t> </w:t>
            </w:r>
            <w:r>
              <w:rPr>
                <w:sz w:val="18"/>
              </w:rPr>
              <w:t>2021</w:t>
            </w:r>
            <w:r>
              <w:rPr>
                <w:spacing w:val="-6"/>
                <w:sz w:val="18"/>
              </w:rPr>
              <w:t> </w:t>
            </w:r>
            <w:r>
              <w:rPr>
                <w:sz w:val="18"/>
              </w:rPr>
              <w:t>the</w:t>
            </w:r>
            <w:r>
              <w:rPr>
                <w:spacing w:val="-7"/>
                <w:sz w:val="18"/>
              </w:rPr>
              <w:t> </w:t>
            </w:r>
            <w:r>
              <w:rPr>
                <w:sz w:val="18"/>
              </w:rPr>
              <w:t>Welsh</w:t>
            </w:r>
            <w:r>
              <w:rPr>
                <w:spacing w:val="-7"/>
                <w:sz w:val="18"/>
              </w:rPr>
              <w:t> </w:t>
            </w:r>
            <w:r>
              <w:rPr>
                <w:sz w:val="18"/>
              </w:rPr>
              <w:t>Government</w:t>
            </w:r>
            <w:r>
              <w:rPr>
                <w:spacing w:val="-6"/>
                <w:sz w:val="18"/>
              </w:rPr>
              <w:t> </w:t>
            </w:r>
            <w:r>
              <w:rPr>
                <w:sz w:val="18"/>
              </w:rPr>
              <w:t>set</w:t>
            </w:r>
            <w:r>
              <w:rPr>
                <w:spacing w:val="-7"/>
                <w:sz w:val="18"/>
              </w:rPr>
              <w:t> </w:t>
            </w:r>
            <w:r>
              <w:rPr>
                <w:sz w:val="18"/>
              </w:rPr>
              <w:t>out its second carbon budget, Net Zero Wales, which</w:t>
            </w:r>
            <w:r>
              <w:rPr>
                <w:spacing w:val="-1"/>
                <w:sz w:val="18"/>
              </w:rPr>
              <w:t> </w:t>
            </w:r>
            <w:r>
              <w:rPr>
                <w:sz w:val="18"/>
              </w:rPr>
              <w:t>confirmed that</w:t>
            </w:r>
            <w:r>
              <w:rPr>
                <w:spacing w:val="-1"/>
                <w:sz w:val="18"/>
              </w:rPr>
              <w:t> </w:t>
            </w:r>
            <w:r>
              <w:rPr>
                <w:sz w:val="18"/>
              </w:rPr>
              <w:t>Our ambition</w:t>
            </w:r>
            <w:r>
              <w:rPr>
                <w:spacing w:val="-1"/>
                <w:sz w:val="18"/>
              </w:rPr>
              <w:t> </w:t>
            </w:r>
            <w:r>
              <w:rPr>
                <w:sz w:val="18"/>
              </w:rPr>
              <w:t>is</w:t>
            </w:r>
            <w:r>
              <w:rPr>
                <w:spacing w:val="-1"/>
                <w:sz w:val="18"/>
              </w:rPr>
              <w:t> </w:t>
            </w:r>
            <w:r>
              <w:rPr>
                <w:sz w:val="18"/>
              </w:rPr>
              <w:t>for</w:t>
            </w:r>
            <w:r>
              <w:rPr>
                <w:spacing w:val="-1"/>
                <w:sz w:val="18"/>
              </w:rPr>
              <w:t> </w:t>
            </w:r>
            <w:r>
              <w:rPr>
                <w:sz w:val="18"/>
              </w:rPr>
              <w:t>the public sector to be collectively net zero by </w:t>
            </w:r>
            <w:r>
              <w:rPr>
                <w:spacing w:val="-2"/>
                <w:sz w:val="18"/>
              </w:rPr>
              <w:t>2030.</w:t>
            </w:r>
          </w:p>
        </w:tc>
        <w:tc>
          <w:tcPr>
            <w:tcW w:w="547" w:type="dxa"/>
            <w:shd w:val="clear" w:color="auto" w:fill="C6D9EF"/>
            <w:textDirection w:val="tbRl"/>
          </w:tcPr>
          <w:p>
            <w:pPr>
              <w:pStyle w:val="TableParagraph"/>
              <w:spacing w:before="98"/>
              <w:ind w:left="113"/>
              <w:rPr>
                <w:b/>
                <w:sz w:val="18"/>
              </w:rPr>
            </w:pPr>
            <w:r>
              <w:rPr>
                <w:b/>
                <w:spacing w:val="-2"/>
                <w:sz w:val="18"/>
              </w:rPr>
              <w:t>Advisory</w:t>
            </w:r>
          </w:p>
        </w:tc>
        <w:tc>
          <w:tcPr>
            <w:tcW w:w="4439" w:type="dxa"/>
          </w:tcPr>
          <w:p>
            <w:pPr>
              <w:pStyle w:val="TableParagraph"/>
              <w:spacing w:line="276" w:lineRule="auto"/>
              <w:ind w:left="108" w:right="105"/>
              <w:rPr>
                <w:sz w:val="18"/>
              </w:rPr>
            </w:pPr>
            <w:r>
              <w:rPr>
                <w:sz w:val="18"/>
              </w:rPr>
              <w:t>A</w:t>
            </w:r>
            <w:r>
              <w:rPr>
                <w:spacing w:val="-6"/>
                <w:sz w:val="18"/>
              </w:rPr>
              <w:t> </w:t>
            </w:r>
            <w:r>
              <w:rPr>
                <w:sz w:val="18"/>
              </w:rPr>
              <w:t>mechanism</w:t>
            </w:r>
            <w:r>
              <w:rPr>
                <w:spacing w:val="-7"/>
                <w:sz w:val="18"/>
              </w:rPr>
              <w:t> </w:t>
            </w:r>
            <w:r>
              <w:rPr>
                <w:sz w:val="18"/>
              </w:rPr>
              <w:t>should</w:t>
            </w:r>
            <w:r>
              <w:rPr>
                <w:spacing w:val="-6"/>
                <w:sz w:val="18"/>
              </w:rPr>
              <w:t> </w:t>
            </w:r>
            <w:r>
              <w:rPr>
                <w:sz w:val="18"/>
              </w:rPr>
              <w:t>be</w:t>
            </w:r>
            <w:r>
              <w:rPr>
                <w:spacing w:val="-7"/>
                <w:sz w:val="18"/>
              </w:rPr>
              <w:t> </w:t>
            </w:r>
            <w:r>
              <w:rPr>
                <w:sz w:val="18"/>
              </w:rPr>
              <w:t>established</w:t>
            </w:r>
            <w:r>
              <w:rPr>
                <w:spacing w:val="-6"/>
                <w:sz w:val="18"/>
              </w:rPr>
              <w:t> </w:t>
            </w:r>
            <w:r>
              <w:rPr>
                <w:sz w:val="18"/>
              </w:rPr>
              <w:t>to</w:t>
            </w:r>
            <w:r>
              <w:rPr>
                <w:spacing w:val="-7"/>
                <w:sz w:val="18"/>
              </w:rPr>
              <w:t> </w:t>
            </w:r>
            <w:r>
              <w:rPr>
                <w:sz w:val="18"/>
              </w:rPr>
              <w:t>ensure greater</w:t>
            </w:r>
            <w:r>
              <w:rPr>
                <w:spacing w:val="-6"/>
                <w:sz w:val="18"/>
              </w:rPr>
              <w:t> </w:t>
            </w:r>
            <w:r>
              <w:rPr>
                <w:sz w:val="18"/>
              </w:rPr>
              <w:t>visibility</w:t>
            </w:r>
            <w:r>
              <w:rPr>
                <w:spacing w:val="-6"/>
                <w:sz w:val="18"/>
              </w:rPr>
              <w:t> </w:t>
            </w:r>
            <w:r>
              <w:rPr>
                <w:sz w:val="18"/>
              </w:rPr>
              <w:t>with</w:t>
            </w:r>
            <w:r>
              <w:rPr>
                <w:spacing w:val="-6"/>
                <w:sz w:val="18"/>
              </w:rPr>
              <w:t> </w:t>
            </w:r>
            <w:r>
              <w:rPr>
                <w:sz w:val="18"/>
              </w:rPr>
              <w:t>other</w:t>
            </w:r>
            <w:r>
              <w:rPr>
                <w:spacing w:val="-5"/>
                <w:sz w:val="18"/>
              </w:rPr>
              <w:t> </w:t>
            </w:r>
            <w:r>
              <w:rPr>
                <w:sz w:val="18"/>
              </w:rPr>
              <w:t>NHS</w:t>
            </w:r>
            <w:r>
              <w:rPr>
                <w:spacing w:val="-5"/>
                <w:sz w:val="18"/>
              </w:rPr>
              <w:t> </w:t>
            </w:r>
            <w:r>
              <w:rPr>
                <w:sz w:val="18"/>
              </w:rPr>
              <w:t>Wales</w:t>
            </w:r>
            <w:r>
              <w:rPr>
                <w:spacing w:val="-5"/>
                <w:sz w:val="18"/>
              </w:rPr>
              <w:t> </w:t>
            </w:r>
            <w:r>
              <w:rPr>
                <w:sz w:val="18"/>
              </w:rPr>
              <w:t>bodies surrounding the implementation of assigned element of the NHS Wales Strategic Delivery </w:t>
            </w:r>
            <w:r>
              <w:rPr>
                <w:spacing w:val="-2"/>
                <w:sz w:val="18"/>
              </w:rPr>
              <w:t>Plan.</w:t>
            </w:r>
          </w:p>
        </w:tc>
        <w:tc>
          <w:tcPr>
            <w:tcW w:w="990" w:type="dxa"/>
            <w:textDirection w:val="tbRl"/>
          </w:tcPr>
          <w:p>
            <w:pPr>
              <w:pStyle w:val="TableParagraph"/>
              <w:spacing w:before="98"/>
              <w:rPr>
                <w:sz w:val="18"/>
              </w:rPr>
            </w:pPr>
            <w:r>
              <w:rPr>
                <w:sz w:val="18"/>
              </w:rPr>
              <w:t>Neil</w:t>
            </w:r>
            <w:r>
              <w:rPr>
                <w:spacing w:val="-1"/>
                <w:sz w:val="18"/>
              </w:rPr>
              <w:t> </w:t>
            </w:r>
            <w:r>
              <w:rPr>
                <w:sz w:val="18"/>
              </w:rPr>
              <w:t>Davies,</w:t>
            </w:r>
            <w:r>
              <w:rPr>
                <w:spacing w:val="-1"/>
                <w:sz w:val="18"/>
              </w:rPr>
              <w:t> </w:t>
            </w:r>
            <w:r>
              <w:rPr>
                <w:sz w:val="18"/>
              </w:rPr>
              <w:t>Director of</w:t>
            </w:r>
            <w:r>
              <w:rPr>
                <w:spacing w:val="-1"/>
                <w:sz w:val="18"/>
              </w:rPr>
              <w:t> </w:t>
            </w:r>
            <w:r>
              <w:rPr>
                <w:spacing w:val="-5"/>
                <w:sz w:val="18"/>
              </w:rPr>
              <w:t>SES</w:t>
            </w:r>
          </w:p>
        </w:tc>
        <w:tc>
          <w:tcPr>
            <w:tcW w:w="3968" w:type="dxa"/>
          </w:tcPr>
          <w:p>
            <w:pPr>
              <w:pStyle w:val="TableParagraph"/>
              <w:spacing w:line="276" w:lineRule="auto"/>
              <w:ind w:left="107" w:right="155"/>
              <w:rPr>
                <w:sz w:val="18"/>
              </w:rPr>
            </w:pPr>
            <w:r>
              <w:rPr>
                <w:sz w:val="18"/>
              </w:rPr>
              <w:t>A communication strategy will be implemented to ensure visibility of NWSSP’s</w:t>
            </w:r>
            <w:r>
              <w:rPr>
                <w:spacing w:val="-12"/>
                <w:sz w:val="18"/>
              </w:rPr>
              <w:t> </w:t>
            </w:r>
            <w:r>
              <w:rPr>
                <w:sz w:val="18"/>
              </w:rPr>
              <w:t>decarbonisation</w:t>
            </w:r>
            <w:r>
              <w:rPr>
                <w:spacing w:val="-12"/>
                <w:sz w:val="18"/>
              </w:rPr>
              <w:t> </w:t>
            </w:r>
            <w:r>
              <w:rPr>
                <w:sz w:val="18"/>
              </w:rPr>
              <w:t>activities</w:t>
            </w:r>
            <w:r>
              <w:rPr>
                <w:spacing w:val="-12"/>
                <w:sz w:val="18"/>
              </w:rPr>
              <w:t> </w:t>
            </w:r>
            <w:r>
              <w:rPr>
                <w:sz w:val="18"/>
              </w:rPr>
              <w:t>to other NHS Wales bodies. The communication strategy will be developed when the programme management resources are secured. These resources are anticipated to become available during October to December 2022.</w:t>
            </w:r>
          </w:p>
        </w:tc>
        <w:tc>
          <w:tcPr>
            <w:tcW w:w="809" w:type="dxa"/>
            <w:textDirection w:val="tbRl"/>
          </w:tcPr>
          <w:p>
            <w:pPr>
              <w:pStyle w:val="TableParagraph"/>
              <w:spacing w:before="98"/>
              <w:rPr>
                <w:b/>
                <w:sz w:val="18"/>
              </w:rPr>
            </w:pPr>
            <w:r>
              <w:rPr>
                <w:b/>
                <w:spacing w:val="-2"/>
                <w:sz w:val="18"/>
              </w:rPr>
              <w:t>01/01/2023</w:t>
            </w:r>
          </w:p>
        </w:tc>
        <w:tc>
          <w:tcPr>
            <w:tcW w:w="1276" w:type="dxa"/>
            <w:textDirection w:val="tbRl"/>
          </w:tcPr>
          <w:p>
            <w:pPr>
              <w:pStyle w:val="TableParagraph"/>
              <w:spacing w:before="98"/>
              <w:ind w:left="113"/>
              <w:rPr>
                <w:b/>
                <w:sz w:val="18"/>
              </w:rPr>
            </w:pPr>
            <w:r>
              <w:rPr>
                <w:b/>
                <w:spacing w:val="-2"/>
                <w:sz w:val="18"/>
              </w:rPr>
              <w:t>30/06/2023</w:t>
            </w:r>
          </w:p>
        </w:tc>
        <w:tc>
          <w:tcPr>
            <w:tcW w:w="3543" w:type="dxa"/>
          </w:tcPr>
          <w:p>
            <w:pPr>
              <w:pStyle w:val="TableParagraph"/>
              <w:ind w:left="171" w:right="176"/>
              <w:rPr>
                <w:sz w:val="18"/>
              </w:rPr>
            </w:pPr>
            <w:r>
              <w:rPr>
                <w:sz w:val="18"/>
              </w:rPr>
              <w:t>Partially Complete: Securing the right level of programme management</w:t>
            </w:r>
            <w:r>
              <w:rPr>
                <w:spacing w:val="-16"/>
                <w:sz w:val="18"/>
              </w:rPr>
              <w:t> </w:t>
            </w:r>
            <w:r>
              <w:rPr>
                <w:sz w:val="18"/>
              </w:rPr>
              <w:t>resources</w:t>
            </w:r>
            <w:r>
              <w:rPr>
                <w:spacing w:val="-16"/>
                <w:sz w:val="18"/>
              </w:rPr>
              <w:t> </w:t>
            </w:r>
            <w:r>
              <w:rPr>
                <w:sz w:val="18"/>
              </w:rPr>
              <w:t>continues to be extremely challenging.</w:t>
            </w:r>
          </w:p>
          <w:p>
            <w:pPr>
              <w:pStyle w:val="TableParagraph"/>
              <w:ind w:left="171" w:right="135"/>
              <w:rPr>
                <w:sz w:val="18"/>
              </w:rPr>
            </w:pPr>
            <w:r>
              <w:rPr>
                <w:sz w:val="18"/>
              </w:rPr>
              <w:t>Notwithstanding</w:t>
            </w:r>
            <w:r>
              <w:rPr>
                <w:spacing w:val="-13"/>
                <w:sz w:val="18"/>
              </w:rPr>
              <w:t> </w:t>
            </w:r>
            <w:r>
              <w:rPr>
                <w:sz w:val="18"/>
              </w:rPr>
              <w:t>these</w:t>
            </w:r>
            <w:r>
              <w:rPr>
                <w:spacing w:val="-14"/>
                <w:sz w:val="18"/>
              </w:rPr>
              <w:t> </w:t>
            </w:r>
            <w:r>
              <w:rPr>
                <w:sz w:val="18"/>
              </w:rPr>
              <w:t>challenges</w:t>
            </w:r>
            <w:r>
              <w:rPr>
                <w:spacing w:val="-13"/>
                <w:sz w:val="18"/>
              </w:rPr>
              <w:t> </w:t>
            </w:r>
            <w:r>
              <w:rPr>
                <w:sz w:val="18"/>
              </w:rPr>
              <w:t>a communication plan has been established as part of the PMO documentation and is being updated to reflect the emerging strategy. This plan will be further developed when the full team is established post Q2 2023.</w:t>
            </w:r>
          </w:p>
        </w:tc>
      </w:tr>
    </w:tbl>
    <w:p>
      <w:pPr>
        <w:spacing w:after="0"/>
        <w:rPr>
          <w:sz w:val="18"/>
        </w:rPr>
        <w:sectPr>
          <w:pgSz w:w="23820" w:h="16840" w:orient="landscape"/>
          <w:pgMar w:header="0" w:footer="204" w:top="260" w:bottom="400" w:left="200" w:right="140"/>
        </w:sectPr>
      </w:pPr>
    </w:p>
    <w:p>
      <w:pPr>
        <w:pStyle w:val="BodyText"/>
        <w:rPr>
          <w:b/>
          <w:sz w:val="27"/>
        </w:rPr>
      </w:pPr>
    </w:p>
    <w:p>
      <w:pPr>
        <w:spacing w:before="101"/>
        <w:ind w:left="6573" w:right="6633" w:firstLine="0"/>
        <w:jc w:val="center"/>
        <w:rPr>
          <w:b/>
          <w:sz w:val="32"/>
        </w:rPr>
      </w:pPr>
      <w:r>
        <w:rPr/>
        <w:drawing>
          <wp:anchor distT="0" distB="0" distL="0" distR="0" allowOverlap="1" layoutInCell="1" locked="0" behindDoc="0" simplePos="0" relativeHeight="15856128">
            <wp:simplePos x="0" y="0"/>
            <wp:positionH relativeFrom="page">
              <wp:posOffset>598716</wp:posOffset>
            </wp:positionH>
            <wp:positionV relativeFrom="paragraph">
              <wp:posOffset>-208649</wp:posOffset>
            </wp:positionV>
            <wp:extent cx="2192182" cy="598715"/>
            <wp:effectExtent l="0" t="0" r="0" b="0"/>
            <wp:wrapNone/>
            <wp:docPr id="237" name="image105.png"/>
            <wp:cNvGraphicFramePr>
              <a:graphicFrameLocks noChangeAspect="1"/>
            </wp:cNvGraphicFramePr>
            <a:graphic>
              <a:graphicData uri="http://schemas.openxmlformats.org/drawingml/2006/picture">
                <pic:pic>
                  <pic:nvPicPr>
                    <pic:cNvPr id="238" name="image105.png"/>
                    <pic:cNvPicPr/>
                  </pic:nvPicPr>
                  <pic:blipFill>
                    <a:blip r:embed="rId206" cstate="print"/>
                    <a:stretch>
                      <a:fillRect/>
                    </a:stretch>
                  </pic:blipFill>
                  <pic:spPr>
                    <a:xfrm>
                      <a:off x="0" y="0"/>
                      <a:ext cx="2192182" cy="598715"/>
                    </a:xfrm>
                    <a:prstGeom prst="rect">
                      <a:avLst/>
                    </a:prstGeom>
                  </pic:spPr>
                </pic:pic>
              </a:graphicData>
            </a:graphic>
          </wp:anchor>
        </w:drawing>
      </w:r>
      <w:r>
        <w:rPr>
          <w:b/>
          <w:sz w:val="32"/>
        </w:rPr>
        <w:t>APPENDIX</w:t>
      </w:r>
      <w:r>
        <w:rPr>
          <w:b/>
          <w:spacing w:val="-6"/>
          <w:sz w:val="32"/>
        </w:rPr>
        <w:t> </w:t>
      </w:r>
      <w:r>
        <w:rPr>
          <w:b/>
          <w:sz w:val="32"/>
        </w:rPr>
        <w:t>A</w:t>
      </w:r>
      <w:r>
        <w:rPr>
          <w:b/>
          <w:spacing w:val="-3"/>
          <w:sz w:val="32"/>
        </w:rPr>
        <w:t> </w:t>
      </w:r>
      <w:r>
        <w:rPr>
          <w:b/>
          <w:sz w:val="32"/>
        </w:rPr>
        <w:t>-</w:t>
      </w:r>
      <w:r>
        <w:rPr>
          <w:b/>
          <w:spacing w:val="-3"/>
          <w:sz w:val="32"/>
        </w:rPr>
        <w:t> </w:t>
      </w:r>
      <w:r>
        <w:rPr>
          <w:b/>
          <w:sz w:val="32"/>
        </w:rPr>
        <w:t>PROGRESS</w:t>
      </w:r>
      <w:r>
        <w:rPr>
          <w:b/>
          <w:spacing w:val="-3"/>
          <w:sz w:val="32"/>
        </w:rPr>
        <w:t> </w:t>
      </w:r>
      <w:r>
        <w:rPr>
          <w:b/>
          <w:sz w:val="32"/>
        </w:rPr>
        <w:t>OF</w:t>
      </w:r>
      <w:r>
        <w:rPr>
          <w:b/>
          <w:spacing w:val="-3"/>
          <w:sz w:val="32"/>
        </w:rPr>
        <w:t> </w:t>
      </w:r>
      <w:r>
        <w:rPr>
          <w:b/>
          <w:sz w:val="32"/>
        </w:rPr>
        <w:t>AUDIT</w:t>
      </w:r>
      <w:r>
        <w:rPr>
          <w:b/>
          <w:spacing w:val="-2"/>
          <w:sz w:val="32"/>
        </w:rPr>
        <w:t> RECOMMENDATIONS</w:t>
      </w:r>
    </w:p>
    <w:p>
      <w:pPr>
        <w:pStyle w:val="BodyText"/>
        <w:rPr>
          <w:b/>
          <w:sz w:val="20"/>
        </w:rPr>
      </w:pPr>
    </w:p>
    <w:p>
      <w:pPr>
        <w:pStyle w:val="BodyText"/>
        <w:spacing w:before="4"/>
        <w:rPr>
          <w:b/>
          <w:sz w:val="23"/>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6"/>
        <w:gridCol w:w="1987"/>
        <w:gridCol w:w="571"/>
        <w:gridCol w:w="4411"/>
        <w:gridCol w:w="547"/>
        <w:gridCol w:w="4439"/>
        <w:gridCol w:w="990"/>
        <w:gridCol w:w="3968"/>
        <w:gridCol w:w="809"/>
        <w:gridCol w:w="1276"/>
        <w:gridCol w:w="3543"/>
      </w:tblGrid>
      <w:tr>
        <w:trPr>
          <w:trHeight w:val="3218" w:hRule="atLeast"/>
        </w:trPr>
        <w:tc>
          <w:tcPr>
            <w:tcW w:w="706" w:type="dxa"/>
          </w:tcPr>
          <w:p>
            <w:pPr>
              <w:pStyle w:val="TableParagraph"/>
              <w:ind w:left="108"/>
              <w:rPr>
                <w:sz w:val="18"/>
              </w:rPr>
            </w:pPr>
            <w:r>
              <w:rPr>
                <w:spacing w:val="-5"/>
                <w:sz w:val="18"/>
              </w:rPr>
              <w:t>14.</w:t>
            </w:r>
          </w:p>
        </w:tc>
        <w:tc>
          <w:tcPr>
            <w:tcW w:w="1987" w:type="dxa"/>
          </w:tcPr>
          <w:p>
            <w:pPr>
              <w:pStyle w:val="TableParagraph"/>
              <w:spacing w:line="276" w:lineRule="auto"/>
              <w:ind w:left="107" w:right="286"/>
              <w:rPr>
                <w:sz w:val="18"/>
              </w:rPr>
            </w:pPr>
            <w:r>
              <w:rPr>
                <w:sz w:val="18"/>
              </w:rPr>
              <w:t>Specialist</w:t>
            </w:r>
            <w:r>
              <w:rPr>
                <w:spacing w:val="-16"/>
                <w:sz w:val="18"/>
              </w:rPr>
              <w:t> </w:t>
            </w:r>
            <w:r>
              <w:rPr>
                <w:sz w:val="18"/>
              </w:rPr>
              <w:t>Estates </w:t>
            </w:r>
            <w:r>
              <w:rPr>
                <w:spacing w:val="-2"/>
                <w:sz w:val="18"/>
              </w:rPr>
              <w:t>Services</w:t>
            </w:r>
          </w:p>
          <w:p>
            <w:pPr>
              <w:pStyle w:val="TableParagraph"/>
              <w:spacing w:before="5"/>
              <w:rPr>
                <w:b/>
                <w:sz w:val="16"/>
              </w:rPr>
            </w:pPr>
          </w:p>
          <w:p>
            <w:pPr>
              <w:pStyle w:val="TableParagraph"/>
              <w:spacing w:line="494" w:lineRule="auto"/>
              <w:ind w:left="107" w:right="412"/>
              <w:rPr>
                <w:sz w:val="18"/>
              </w:rPr>
            </w:pPr>
            <w:r>
              <w:rPr>
                <w:spacing w:val="-2"/>
                <w:sz w:val="18"/>
              </w:rPr>
              <w:t>Decarbonisation SES/2022-23/1</w:t>
            </w:r>
          </w:p>
        </w:tc>
        <w:tc>
          <w:tcPr>
            <w:tcW w:w="571" w:type="dxa"/>
            <w:shd w:val="clear" w:color="auto" w:fill="FF0000"/>
            <w:textDirection w:val="tbRl"/>
          </w:tcPr>
          <w:p>
            <w:pPr>
              <w:pStyle w:val="TableParagraph"/>
              <w:spacing w:before="98"/>
              <w:ind w:left="113" w:right="795"/>
              <w:rPr>
                <w:b/>
                <w:sz w:val="18"/>
              </w:rPr>
            </w:pPr>
            <w:r>
              <w:rPr>
                <w:b/>
                <w:sz w:val="18"/>
              </w:rPr>
              <w:t>OVERDUE-</w:t>
            </w:r>
            <w:r>
              <w:rPr>
                <w:b/>
                <w:spacing w:val="-16"/>
                <w:sz w:val="18"/>
              </w:rPr>
              <w:t> </w:t>
            </w:r>
            <w:r>
              <w:rPr>
                <w:b/>
                <w:sz w:val="18"/>
              </w:rPr>
              <w:t>EXTENTION </w:t>
            </w:r>
            <w:r>
              <w:rPr>
                <w:b/>
                <w:spacing w:val="-2"/>
                <w:sz w:val="18"/>
              </w:rPr>
              <w:t>REQUESTED</w:t>
            </w:r>
          </w:p>
        </w:tc>
        <w:tc>
          <w:tcPr>
            <w:tcW w:w="4411" w:type="dxa"/>
          </w:tcPr>
          <w:p>
            <w:pPr>
              <w:pStyle w:val="TableParagraph"/>
              <w:spacing w:line="276" w:lineRule="auto"/>
              <w:ind w:left="107" w:right="173"/>
              <w:rPr>
                <w:sz w:val="18"/>
              </w:rPr>
            </w:pPr>
            <w:r>
              <w:rPr>
                <w:sz w:val="18"/>
              </w:rPr>
              <w:t>The Welsh Government is party to international agreements to reduce carbon emissions and control climate change.</w:t>
            </w:r>
            <w:r>
              <w:rPr>
                <w:spacing w:val="40"/>
                <w:sz w:val="18"/>
              </w:rPr>
              <w:t> </w:t>
            </w:r>
            <w:r>
              <w:rPr>
                <w:sz w:val="18"/>
              </w:rPr>
              <w:t>In October</w:t>
            </w:r>
            <w:r>
              <w:rPr>
                <w:spacing w:val="-7"/>
                <w:sz w:val="18"/>
              </w:rPr>
              <w:t> </w:t>
            </w:r>
            <w:r>
              <w:rPr>
                <w:sz w:val="18"/>
              </w:rPr>
              <w:t>2021</w:t>
            </w:r>
            <w:r>
              <w:rPr>
                <w:spacing w:val="-6"/>
                <w:sz w:val="18"/>
              </w:rPr>
              <w:t> </w:t>
            </w:r>
            <w:r>
              <w:rPr>
                <w:sz w:val="18"/>
              </w:rPr>
              <w:t>the</w:t>
            </w:r>
            <w:r>
              <w:rPr>
                <w:spacing w:val="-7"/>
                <w:sz w:val="18"/>
              </w:rPr>
              <w:t> </w:t>
            </w:r>
            <w:r>
              <w:rPr>
                <w:sz w:val="18"/>
              </w:rPr>
              <w:t>Welsh</w:t>
            </w:r>
            <w:r>
              <w:rPr>
                <w:spacing w:val="-7"/>
                <w:sz w:val="18"/>
              </w:rPr>
              <w:t> </w:t>
            </w:r>
            <w:r>
              <w:rPr>
                <w:sz w:val="18"/>
              </w:rPr>
              <w:t>Government</w:t>
            </w:r>
            <w:r>
              <w:rPr>
                <w:spacing w:val="-6"/>
                <w:sz w:val="18"/>
              </w:rPr>
              <w:t> </w:t>
            </w:r>
            <w:r>
              <w:rPr>
                <w:sz w:val="18"/>
              </w:rPr>
              <w:t>set</w:t>
            </w:r>
            <w:r>
              <w:rPr>
                <w:spacing w:val="-7"/>
                <w:sz w:val="18"/>
              </w:rPr>
              <w:t> </w:t>
            </w:r>
            <w:r>
              <w:rPr>
                <w:sz w:val="18"/>
              </w:rPr>
              <w:t>out its second carbon budget, Net Zero Wales, which</w:t>
            </w:r>
            <w:r>
              <w:rPr>
                <w:spacing w:val="-1"/>
                <w:sz w:val="18"/>
              </w:rPr>
              <w:t> </w:t>
            </w:r>
            <w:r>
              <w:rPr>
                <w:sz w:val="18"/>
              </w:rPr>
              <w:t>confirmed that</w:t>
            </w:r>
            <w:r>
              <w:rPr>
                <w:spacing w:val="-1"/>
                <w:sz w:val="18"/>
              </w:rPr>
              <w:t> </w:t>
            </w:r>
            <w:r>
              <w:rPr>
                <w:sz w:val="18"/>
              </w:rPr>
              <w:t>Our ambition</w:t>
            </w:r>
            <w:r>
              <w:rPr>
                <w:spacing w:val="-1"/>
                <w:sz w:val="18"/>
              </w:rPr>
              <w:t> </w:t>
            </w:r>
            <w:r>
              <w:rPr>
                <w:sz w:val="18"/>
              </w:rPr>
              <w:t>is</w:t>
            </w:r>
            <w:r>
              <w:rPr>
                <w:spacing w:val="-1"/>
                <w:sz w:val="18"/>
              </w:rPr>
              <w:t> </w:t>
            </w:r>
            <w:r>
              <w:rPr>
                <w:sz w:val="18"/>
              </w:rPr>
              <w:t>for</w:t>
            </w:r>
            <w:r>
              <w:rPr>
                <w:spacing w:val="-1"/>
                <w:sz w:val="18"/>
              </w:rPr>
              <w:t> </w:t>
            </w:r>
            <w:r>
              <w:rPr>
                <w:sz w:val="18"/>
              </w:rPr>
              <w:t>the public sector to be collectively net zero by </w:t>
            </w:r>
            <w:r>
              <w:rPr>
                <w:spacing w:val="-2"/>
                <w:sz w:val="18"/>
              </w:rPr>
              <w:t>2030.</w:t>
            </w:r>
          </w:p>
        </w:tc>
        <w:tc>
          <w:tcPr>
            <w:tcW w:w="547" w:type="dxa"/>
            <w:shd w:val="clear" w:color="auto" w:fill="C6D9EF"/>
            <w:textDirection w:val="tbRl"/>
          </w:tcPr>
          <w:p>
            <w:pPr>
              <w:pStyle w:val="TableParagraph"/>
              <w:spacing w:before="98"/>
              <w:ind w:left="113"/>
              <w:rPr>
                <w:b/>
                <w:sz w:val="18"/>
              </w:rPr>
            </w:pPr>
            <w:r>
              <w:rPr>
                <w:b/>
                <w:spacing w:val="-2"/>
                <w:sz w:val="18"/>
              </w:rPr>
              <w:t>Advisory</w:t>
            </w:r>
          </w:p>
        </w:tc>
        <w:tc>
          <w:tcPr>
            <w:tcW w:w="4439" w:type="dxa"/>
          </w:tcPr>
          <w:p>
            <w:pPr>
              <w:pStyle w:val="TableParagraph"/>
              <w:spacing w:line="276" w:lineRule="auto"/>
              <w:ind w:left="108" w:right="105"/>
              <w:rPr>
                <w:sz w:val="18"/>
              </w:rPr>
            </w:pPr>
            <w:r>
              <w:rPr>
                <w:sz w:val="18"/>
              </w:rPr>
              <w:t>Monitoring</w:t>
            </w:r>
            <w:r>
              <w:rPr>
                <w:spacing w:val="-10"/>
                <w:sz w:val="18"/>
              </w:rPr>
              <w:t> </w:t>
            </w:r>
            <w:r>
              <w:rPr>
                <w:sz w:val="18"/>
              </w:rPr>
              <w:t>and</w:t>
            </w:r>
            <w:r>
              <w:rPr>
                <w:spacing w:val="-9"/>
                <w:sz w:val="18"/>
              </w:rPr>
              <w:t> </w:t>
            </w:r>
            <w:r>
              <w:rPr>
                <w:sz w:val="18"/>
              </w:rPr>
              <w:t>reporting</w:t>
            </w:r>
            <w:r>
              <w:rPr>
                <w:spacing w:val="-9"/>
                <w:sz w:val="18"/>
              </w:rPr>
              <w:t> </w:t>
            </w:r>
            <w:r>
              <w:rPr>
                <w:sz w:val="18"/>
              </w:rPr>
              <w:t>arrangements</w:t>
            </w:r>
            <w:r>
              <w:rPr>
                <w:spacing w:val="-9"/>
                <w:sz w:val="18"/>
              </w:rPr>
              <w:t> </w:t>
            </w:r>
            <w:r>
              <w:rPr>
                <w:sz w:val="18"/>
              </w:rPr>
              <w:t>within Delivery Team require development, with Specific Measurable Agreed Realistic Timely objectives being embedded (specifically).</w:t>
            </w:r>
          </w:p>
          <w:p>
            <w:pPr>
              <w:pStyle w:val="TableParagraph"/>
              <w:spacing w:line="276" w:lineRule="auto"/>
              <w:ind w:left="108" w:right="196"/>
              <w:rPr>
                <w:sz w:val="18"/>
              </w:rPr>
            </w:pPr>
            <w:r>
              <w:rPr>
                <w:sz w:val="18"/>
              </w:rPr>
              <w:t>Agreed – Ownership of action need established</w:t>
            </w:r>
            <w:r>
              <w:rPr>
                <w:spacing w:val="-8"/>
                <w:sz w:val="18"/>
              </w:rPr>
              <w:t> </w:t>
            </w:r>
            <w:r>
              <w:rPr>
                <w:sz w:val="18"/>
              </w:rPr>
              <w:t>and</w:t>
            </w:r>
            <w:r>
              <w:rPr>
                <w:spacing w:val="-8"/>
                <w:sz w:val="18"/>
              </w:rPr>
              <w:t> </w:t>
            </w:r>
            <w:r>
              <w:rPr>
                <w:sz w:val="18"/>
              </w:rPr>
              <w:t>refined.</w:t>
            </w:r>
            <w:r>
              <w:rPr>
                <w:spacing w:val="-8"/>
                <w:sz w:val="18"/>
              </w:rPr>
              <w:t> </w:t>
            </w:r>
            <w:r>
              <w:rPr>
                <w:sz w:val="18"/>
              </w:rPr>
              <w:t>Realistic</w:t>
            </w:r>
            <w:r>
              <w:rPr>
                <w:spacing w:val="-8"/>
                <w:sz w:val="18"/>
              </w:rPr>
              <w:t> </w:t>
            </w:r>
            <w:r>
              <w:rPr>
                <w:sz w:val="18"/>
              </w:rPr>
              <w:t>–</w:t>
            </w:r>
            <w:r>
              <w:rPr>
                <w:spacing w:val="-8"/>
                <w:sz w:val="18"/>
              </w:rPr>
              <w:t> </w:t>
            </w:r>
            <w:r>
              <w:rPr>
                <w:sz w:val="18"/>
              </w:rPr>
              <w:t>financial implication of the actions need understood and sources of finance identified.</w:t>
            </w:r>
          </w:p>
        </w:tc>
        <w:tc>
          <w:tcPr>
            <w:tcW w:w="990" w:type="dxa"/>
            <w:textDirection w:val="tbRl"/>
          </w:tcPr>
          <w:p>
            <w:pPr>
              <w:pStyle w:val="TableParagraph"/>
              <w:spacing w:before="98"/>
              <w:rPr>
                <w:sz w:val="18"/>
              </w:rPr>
            </w:pPr>
            <w:r>
              <w:rPr>
                <w:sz w:val="18"/>
              </w:rPr>
              <w:t>Neil</w:t>
            </w:r>
            <w:r>
              <w:rPr>
                <w:spacing w:val="-1"/>
                <w:sz w:val="18"/>
              </w:rPr>
              <w:t> </w:t>
            </w:r>
            <w:r>
              <w:rPr>
                <w:sz w:val="18"/>
              </w:rPr>
              <w:t>Davies,</w:t>
            </w:r>
            <w:r>
              <w:rPr>
                <w:spacing w:val="-1"/>
                <w:sz w:val="18"/>
              </w:rPr>
              <w:t> </w:t>
            </w:r>
            <w:r>
              <w:rPr>
                <w:sz w:val="18"/>
              </w:rPr>
              <w:t>Director of</w:t>
            </w:r>
            <w:r>
              <w:rPr>
                <w:spacing w:val="-1"/>
                <w:sz w:val="18"/>
              </w:rPr>
              <w:t> </w:t>
            </w:r>
            <w:r>
              <w:rPr>
                <w:spacing w:val="-5"/>
                <w:sz w:val="18"/>
              </w:rPr>
              <w:t>SES</w:t>
            </w:r>
          </w:p>
        </w:tc>
        <w:tc>
          <w:tcPr>
            <w:tcW w:w="3968" w:type="dxa"/>
          </w:tcPr>
          <w:p>
            <w:pPr>
              <w:pStyle w:val="TableParagraph"/>
              <w:spacing w:line="276" w:lineRule="auto"/>
              <w:ind w:left="107" w:right="128"/>
              <w:rPr>
                <w:sz w:val="18"/>
              </w:rPr>
            </w:pPr>
            <w:r>
              <w:rPr>
                <w:sz w:val="18"/>
              </w:rPr>
              <w:t>The use of SMART objectives is strongly supported by NWSSP. Monitoring and reporting arrangements are an integral part of the programme management approach</w:t>
            </w:r>
            <w:r>
              <w:rPr>
                <w:spacing w:val="-8"/>
                <w:sz w:val="18"/>
              </w:rPr>
              <w:t> </w:t>
            </w:r>
            <w:r>
              <w:rPr>
                <w:sz w:val="18"/>
              </w:rPr>
              <w:t>adopted</w:t>
            </w:r>
            <w:r>
              <w:rPr>
                <w:spacing w:val="-7"/>
                <w:sz w:val="18"/>
              </w:rPr>
              <w:t> </w:t>
            </w:r>
            <w:r>
              <w:rPr>
                <w:sz w:val="18"/>
              </w:rPr>
              <w:t>by</w:t>
            </w:r>
            <w:r>
              <w:rPr>
                <w:spacing w:val="-7"/>
                <w:sz w:val="18"/>
              </w:rPr>
              <w:t> </w:t>
            </w:r>
            <w:r>
              <w:rPr>
                <w:sz w:val="18"/>
              </w:rPr>
              <w:t>NWSSP’s</w:t>
            </w:r>
            <w:r>
              <w:rPr>
                <w:spacing w:val="-7"/>
                <w:sz w:val="18"/>
              </w:rPr>
              <w:t> </w:t>
            </w:r>
            <w:r>
              <w:rPr>
                <w:sz w:val="18"/>
              </w:rPr>
              <w:t>PMO.</w:t>
            </w:r>
            <w:r>
              <w:rPr>
                <w:spacing w:val="-8"/>
                <w:sz w:val="18"/>
              </w:rPr>
              <w:t> </w:t>
            </w:r>
            <w:r>
              <w:rPr>
                <w:sz w:val="18"/>
              </w:rPr>
              <w:t>The monitoring and reporting arrangements and use of SMART objectives will be developed when the programme management resources are secured.</w:t>
            </w:r>
          </w:p>
          <w:p>
            <w:pPr>
              <w:pStyle w:val="TableParagraph"/>
              <w:spacing w:line="276" w:lineRule="auto"/>
              <w:ind w:left="107" w:right="155"/>
              <w:rPr>
                <w:sz w:val="18"/>
              </w:rPr>
            </w:pPr>
            <w:r>
              <w:rPr>
                <w:sz w:val="18"/>
              </w:rPr>
              <w:t>These resources are anticipated to become</w:t>
            </w:r>
            <w:r>
              <w:rPr>
                <w:spacing w:val="-9"/>
                <w:sz w:val="18"/>
              </w:rPr>
              <w:t> </w:t>
            </w:r>
            <w:r>
              <w:rPr>
                <w:sz w:val="18"/>
              </w:rPr>
              <w:t>available</w:t>
            </w:r>
            <w:r>
              <w:rPr>
                <w:spacing w:val="-9"/>
                <w:sz w:val="18"/>
              </w:rPr>
              <w:t> </w:t>
            </w:r>
            <w:r>
              <w:rPr>
                <w:sz w:val="18"/>
              </w:rPr>
              <w:t>during</w:t>
            </w:r>
            <w:r>
              <w:rPr>
                <w:spacing w:val="-10"/>
                <w:sz w:val="18"/>
              </w:rPr>
              <w:t> </w:t>
            </w:r>
            <w:r>
              <w:rPr>
                <w:sz w:val="18"/>
              </w:rPr>
              <w:t>October</w:t>
            </w:r>
            <w:r>
              <w:rPr>
                <w:spacing w:val="-10"/>
                <w:sz w:val="18"/>
              </w:rPr>
              <w:t> </w:t>
            </w:r>
            <w:r>
              <w:rPr>
                <w:sz w:val="18"/>
              </w:rPr>
              <w:t>to December 2022.</w:t>
            </w:r>
          </w:p>
        </w:tc>
        <w:tc>
          <w:tcPr>
            <w:tcW w:w="809" w:type="dxa"/>
            <w:textDirection w:val="tbRl"/>
          </w:tcPr>
          <w:p>
            <w:pPr>
              <w:pStyle w:val="TableParagraph"/>
              <w:spacing w:before="98"/>
              <w:rPr>
                <w:b/>
                <w:sz w:val="18"/>
              </w:rPr>
            </w:pPr>
            <w:r>
              <w:rPr>
                <w:b/>
                <w:spacing w:val="-2"/>
                <w:sz w:val="18"/>
              </w:rPr>
              <w:t>01/01/2023</w:t>
            </w:r>
          </w:p>
        </w:tc>
        <w:tc>
          <w:tcPr>
            <w:tcW w:w="1276" w:type="dxa"/>
            <w:textDirection w:val="tbRl"/>
          </w:tcPr>
          <w:p>
            <w:pPr>
              <w:pStyle w:val="TableParagraph"/>
              <w:spacing w:before="98"/>
              <w:ind w:left="113"/>
              <w:rPr>
                <w:b/>
                <w:sz w:val="18"/>
              </w:rPr>
            </w:pPr>
            <w:r>
              <w:rPr>
                <w:b/>
                <w:spacing w:val="-2"/>
                <w:sz w:val="18"/>
              </w:rPr>
              <w:t>30/06/2023</w:t>
            </w:r>
          </w:p>
        </w:tc>
        <w:tc>
          <w:tcPr>
            <w:tcW w:w="3543" w:type="dxa"/>
          </w:tcPr>
          <w:p>
            <w:pPr>
              <w:pStyle w:val="TableParagraph"/>
              <w:ind w:left="171" w:right="109"/>
              <w:rPr>
                <w:sz w:val="18"/>
              </w:rPr>
            </w:pPr>
            <w:r>
              <w:rPr>
                <w:sz w:val="18"/>
              </w:rPr>
              <w:t>Not Complete: Securing the right level of programme management resources is key to developing SMART objectives. Whilst it is recognised</w:t>
            </w:r>
            <w:r>
              <w:rPr>
                <w:spacing w:val="-13"/>
                <w:sz w:val="18"/>
              </w:rPr>
              <w:t> </w:t>
            </w:r>
            <w:r>
              <w:rPr>
                <w:sz w:val="18"/>
              </w:rPr>
              <w:t>that</w:t>
            </w:r>
            <w:r>
              <w:rPr>
                <w:spacing w:val="-13"/>
                <w:sz w:val="18"/>
              </w:rPr>
              <w:t> </w:t>
            </w:r>
            <w:r>
              <w:rPr>
                <w:sz w:val="18"/>
              </w:rPr>
              <w:t>key</w:t>
            </w:r>
            <w:r>
              <w:rPr>
                <w:spacing w:val="-14"/>
                <w:sz w:val="18"/>
              </w:rPr>
              <w:t> </w:t>
            </w:r>
            <w:r>
              <w:rPr>
                <w:sz w:val="18"/>
              </w:rPr>
              <w:t>measurements must reflect the carbon savings identified in the Strategic Delivery Plan further work is necessary to test these original targets before incorporating into reporting </w:t>
            </w:r>
            <w:r>
              <w:rPr>
                <w:spacing w:val="-2"/>
                <w:sz w:val="18"/>
              </w:rPr>
              <w:t>structures.</w:t>
            </w:r>
          </w:p>
        </w:tc>
      </w:tr>
      <w:tr>
        <w:trPr>
          <w:trHeight w:val="3500" w:hRule="atLeast"/>
        </w:trPr>
        <w:tc>
          <w:tcPr>
            <w:tcW w:w="706" w:type="dxa"/>
          </w:tcPr>
          <w:p>
            <w:pPr>
              <w:pStyle w:val="TableParagraph"/>
              <w:ind w:left="108"/>
              <w:rPr>
                <w:sz w:val="18"/>
              </w:rPr>
            </w:pPr>
            <w:r>
              <w:rPr>
                <w:spacing w:val="-5"/>
                <w:sz w:val="18"/>
              </w:rPr>
              <w:t>15.</w:t>
            </w:r>
          </w:p>
        </w:tc>
        <w:tc>
          <w:tcPr>
            <w:tcW w:w="1987" w:type="dxa"/>
          </w:tcPr>
          <w:p>
            <w:pPr>
              <w:pStyle w:val="TableParagraph"/>
              <w:spacing w:line="276" w:lineRule="auto"/>
              <w:ind w:left="107" w:right="286"/>
              <w:rPr>
                <w:sz w:val="18"/>
              </w:rPr>
            </w:pPr>
            <w:r>
              <w:rPr>
                <w:sz w:val="18"/>
              </w:rPr>
              <w:t>Specialist</w:t>
            </w:r>
            <w:r>
              <w:rPr>
                <w:spacing w:val="-16"/>
                <w:sz w:val="18"/>
              </w:rPr>
              <w:t> </w:t>
            </w:r>
            <w:r>
              <w:rPr>
                <w:sz w:val="18"/>
              </w:rPr>
              <w:t>Estates </w:t>
            </w:r>
            <w:r>
              <w:rPr>
                <w:spacing w:val="-2"/>
                <w:sz w:val="18"/>
              </w:rPr>
              <w:t>Services</w:t>
            </w:r>
          </w:p>
          <w:p>
            <w:pPr>
              <w:pStyle w:val="TableParagraph"/>
              <w:spacing w:before="5"/>
              <w:rPr>
                <w:b/>
                <w:sz w:val="16"/>
              </w:rPr>
            </w:pPr>
          </w:p>
          <w:p>
            <w:pPr>
              <w:pStyle w:val="TableParagraph"/>
              <w:spacing w:line="276" w:lineRule="auto"/>
              <w:ind w:left="107" w:right="292"/>
              <w:rPr>
                <w:sz w:val="18"/>
              </w:rPr>
            </w:pPr>
            <w:r>
              <w:rPr>
                <w:spacing w:val="-2"/>
                <w:sz w:val="18"/>
              </w:rPr>
              <w:t>Decarbonisation Report</w:t>
            </w:r>
          </w:p>
          <w:p>
            <w:pPr>
              <w:pStyle w:val="TableParagraph"/>
              <w:spacing w:before="6"/>
              <w:rPr>
                <w:b/>
                <w:sz w:val="16"/>
              </w:rPr>
            </w:pPr>
          </w:p>
          <w:p>
            <w:pPr>
              <w:pStyle w:val="TableParagraph"/>
              <w:ind w:left="107"/>
              <w:rPr>
                <w:sz w:val="18"/>
              </w:rPr>
            </w:pPr>
            <w:r>
              <w:rPr>
                <w:spacing w:val="-2"/>
                <w:sz w:val="18"/>
              </w:rPr>
              <w:t>SES/2022-</w:t>
            </w:r>
            <w:r>
              <w:rPr>
                <w:spacing w:val="-4"/>
                <w:sz w:val="18"/>
              </w:rPr>
              <w:t>23/1</w:t>
            </w:r>
          </w:p>
        </w:tc>
        <w:tc>
          <w:tcPr>
            <w:tcW w:w="571" w:type="dxa"/>
            <w:shd w:val="clear" w:color="auto" w:fill="FF0000"/>
            <w:textDirection w:val="tbRl"/>
          </w:tcPr>
          <w:p>
            <w:pPr>
              <w:pStyle w:val="TableParagraph"/>
              <w:spacing w:before="98"/>
              <w:ind w:left="113" w:right="1077"/>
              <w:rPr>
                <w:b/>
                <w:sz w:val="18"/>
              </w:rPr>
            </w:pPr>
            <w:r>
              <w:rPr>
                <w:b/>
                <w:sz w:val="18"/>
              </w:rPr>
              <w:t>OVERDUE-</w:t>
            </w:r>
            <w:r>
              <w:rPr>
                <w:b/>
                <w:spacing w:val="-16"/>
                <w:sz w:val="18"/>
              </w:rPr>
              <w:t> </w:t>
            </w:r>
            <w:r>
              <w:rPr>
                <w:b/>
                <w:sz w:val="18"/>
              </w:rPr>
              <w:t>EXTENTION </w:t>
            </w:r>
            <w:r>
              <w:rPr>
                <w:b/>
                <w:spacing w:val="-2"/>
                <w:sz w:val="18"/>
              </w:rPr>
              <w:t>REQUESTED</w:t>
            </w:r>
          </w:p>
        </w:tc>
        <w:tc>
          <w:tcPr>
            <w:tcW w:w="4411" w:type="dxa"/>
          </w:tcPr>
          <w:p>
            <w:pPr>
              <w:pStyle w:val="TableParagraph"/>
              <w:spacing w:line="276" w:lineRule="auto"/>
              <w:ind w:left="107" w:right="173"/>
              <w:rPr>
                <w:sz w:val="18"/>
              </w:rPr>
            </w:pPr>
            <w:r>
              <w:rPr>
                <w:sz w:val="18"/>
              </w:rPr>
              <w:t>The Welsh Government is party to international agreements to reduce carbon emissions and control climate change.</w:t>
            </w:r>
            <w:r>
              <w:rPr>
                <w:spacing w:val="40"/>
                <w:sz w:val="18"/>
              </w:rPr>
              <w:t> </w:t>
            </w:r>
            <w:r>
              <w:rPr>
                <w:sz w:val="18"/>
              </w:rPr>
              <w:t>In October</w:t>
            </w:r>
            <w:r>
              <w:rPr>
                <w:spacing w:val="-7"/>
                <w:sz w:val="18"/>
              </w:rPr>
              <w:t> </w:t>
            </w:r>
            <w:r>
              <w:rPr>
                <w:sz w:val="18"/>
              </w:rPr>
              <w:t>2021</w:t>
            </w:r>
            <w:r>
              <w:rPr>
                <w:spacing w:val="-6"/>
                <w:sz w:val="18"/>
              </w:rPr>
              <w:t> </w:t>
            </w:r>
            <w:r>
              <w:rPr>
                <w:sz w:val="18"/>
              </w:rPr>
              <w:t>the</w:t>
            </w:r>
            <w:r>
              <w:rPr>
                <w:spacing w:val="-7"/>
                <w:sz w:val="18"/>
              </w:rPr>
              <w:t> </w:t>
            </w:r>
            <w:r>
              <w:rPr>
                <w:sz w:val="18"/>
              </w:rPr>
              <w:t>Welsh</w:t>
            </w:r>
            <w:r>
              <w:rPr>
                <w:spacing w:val="-7"/>
                <w:sz w:val="18"/>
              </w:rPr>
              <w:t> </w:t>
            </w:r>
            <w:r>
              <w:rPr>
                <w:sz w:val="18"/>
              </w:rPr>
              <w:t>Government</w:t>
            </w:r>
            <w:r>
              <w:rPr>
                <w:spacing w:val="-6"/>
                <w:sz w:val="18"/>
              </w:rPr>
              <w:t> </w:t>
            </w:r>
            <w:r>
              <w:rPr>
                <w:sz w:val="18"/>
              </w:rPr>
              <w:t>set</w:t>
            </w:r>
            <w:r>
              <w:rPr>
                <w:spacing w:val="-7"/>
                <w:sz w:val="18"/>
              </w:rPr>
              <w:t> </w:t>
            </w:r>
            <w:r>
              <w:rPr>
                <w:sz w:val="18"/>
              </w:rPr>
              <w:t>out its second carbon budget, Net Zero Wales, which</w:t>
            </w:r>
            <w:r>
              <w:rPr>
                <w:spacing w:val="-1"/>
                <w:sz w:val="18"/>
              </w:rPr>
              <w:t> </w:t>
            </w:r>
            <w:r>
              <w:rPr>
                <w:sz w:val="18"/>
              </w:rPr>
              <w:t>confirmed that</w:t>
            </w:r>
            <w:r>
              <w:rPr>
                <w:spacing w:val="-1"/>
                <w:sz w:val="18"/>
              </w:rPr>
              <w:t> </w:t>
            </w:r>
            <w:r>
              <w:rPr>
                <w:sz w:val="18"/>
              </w:rPr>
              <w:t>Our ambition</w:t>
            </w:r>
            <w:r>
              <w:rPr>
                <w:spacing w:val="-1"/>
                <w:sz w:val="18"/>
              </w:rPr>
              <w:t> </w:t>
            </w:r>
            <w:r>
              <w:rPr>
                <w:sz w:val="18"/>
              </w:rPr>
              <w:t>is</w:t>
            </w:r>
            <w:r>
              <w:rPr>
                <w:spacing w:val="-1"/>
                <w:sz w:val="18"/>
              </w:rPr>
              <w:t> </w:t>
            </w:r>
            <w:r>
              <w:rPr>
                <w:sz w:val="18"/>
              </w:rPr>
              <w:t>for</w:t>
            </w:r>
            <w:r>
              <w:rPr>
                <w:spacing w:val="-1"/>
                <w:sz w:val="18"/>
              </w:rPr>
              <w:t> </w:t>
            </w:r>
            <w:r>
              <w:rPr>
                <w:sz w:val="18"/>
              </w:rPr>
              <w:t>the public sector to be collectively net zero by </w:t>
            </w:r>
            <w:r>
              <w:rPr>
                <w:spacing w:val="-2"/>
                <w:sz w:val="18"/>
              </w:rPr>
              <w:t>2030.</w:t>
            </w:r>
          </w:p>
        </w:tc>
        <w:tc>
          <w:tcPr>
            <w:tcW w:w="547" w:type="dxa"/>
            <w:shd w:val="clear" w:color="auto" w:fill="C6D9EF"/>
            <w:textDirection w:val="tbRl"/>
          </w:tcPr>
          <w:p>
            <w:pPr>
              <w:pStyle w:val="TableParagraph"/>
              <w:spacing w:before="98"/>
              <w:ind w:left="113"/>
              <w:rPr>
                <w:b/>
                <w:sz w:val="18"/>
              </w:rPr>
            </w:pPr>
            <w:r>
              <w:rPr>
                <w:b/>
                <w:spacing w:val="-2"/>
                <w:sz w:val="18"/>
              </w:rPr>
              <w:t>Advisory</w:t>
            </w:r>
          </w:p>
        </w:tc>
        <w:tc>
          <w:tcPr>
            <w:tcW w:w="4439" w:type="dxa"/>
          </w:tcPr>
          <w:p>
            <w:pPr>
              <w:pStyle w:val="TableParagraph"/>
              <w:spacing w:line="276" w:lineRule="auto"/>
              <w:ind w:left="108" w:right="196"/>
              <w:rPr>
                <w:sz w:val="18"/>
              </w:rPr>
            </w:pPr>
            <w:r>
              <w:rPr>
                <w:sz w:val="18"/>
              </w:rPr>
              <w:t>Timely</w:t>
            </w:r>
            <w:r>
              <w:rPr>
                <w:spacing w:val="-7"/>
                <w:sz w:val="18"/>
              </w:rPr>
              <w:t> </w:t>
            </w:r>
            <w:r>
              <w:rPr>
                <w:sz w:val="18"/>
              </w:rPr>
              <w:t>–</w:t>
            </w:r>
            <w:r>
              <w:rPr>
                <w:spacing w:val="-7"/>
                <w:sz w:val="18"/>
              </w:rPr>
              <w:t> </w:t>
            </w:r>
            <w:r>
              <w:rPr>
                <w:sz w:val="18"/>
              </w:rPr>
              <w:t>Start</w:t>
            </w:r>
            <w:r>
              <w:rPr>
                <w:spacing w:val="-7"/>
                <w:sz w:val="18"/>
              </w:rPr>
              <w:t> </w:t>
            </w:r>
            <w:r>
              <w:rPr>
                <w:sz w:val="18"/>
              </w:rPr>
              <w:t>dates</w:t>
            </w:r>
            <w:r>
              <w:rPr>
                <w:spacing w:val="-7"/>
                <w:sz w:val="18"/>
              </w:rPr>
              <w:t> </w:t>
            </w:r>
            <w:r>
              <w:rPr>
                <w:sz w:val="18"/>
              </w:rPr>
              <w:t>and</w:t>
            </w:r>
            <w:r>
              <w:rPr>
                <w:spacing w:val="-7"/>
                <w:sz w:val="18"/>
              </w:rPr>
              <w:t> </w:t>
            </w:r>
            <w:r>
              <w:rPr>
                <w:sz w:val="18"/>
              </w:rPr>
              <w:t>completion</w:t>
            </w:r>
            <w:r>
              <w:rPr>
                <w:spacing w:val="-7"/>
                <w:sz w:val="18"/>
              </w:rPr>
              <w:t> </w:t>
            </w:r>
            <w:r>
              <w:rPr>
                <w:sz w:val="18"/>
              </w:rPr>
              <w:t>targets needs established and resource</w:t>
            </w:r>
            <w:r>
              <w:rPr>
                <w:spacing w:val="-1"/>
                <w:sz w:val="18"/>
              </w:rPr>
              <w:t> </w:t>
            </w:r>
            <w:r>
              <w:rPr>
                <w:sz w:val="18"/>
              </w:rPr>
              <w:t>available</w:t>
            </w:r>
            <w:r>
              <w:rPr>
                <w:spacing w:val="-1"/>
                <w:sz w:val="18"/>
              </w:rPr>
              <w:t> </w:t>
            </w:r>
            <w:r>
              <w:rPr>
                <w:sz w:val="18"/>
              </w:rPr>
              <w:t>to effectively implement the assigned actions. Standardised</w:t>
            </w:r>
            <w:r>
              <w:rPr>
                <w:spacing w:val="-3"/>
                <w:sz w:val="18"/>
              </w:rPr>
              <w:t> </w:t>
            </w:r>
            <w:r>
              <w:rPr>
                <w:sz w:val="18"/>
              </w:rPr>
              <w:t>approaches</w:t>
            </w:r>
            <w:r>
              <w:rPr>
                <w:spacing w:val="-3"/>
                <w:sz w:val="18"/>
              </w:rPr>
              <w:t> </w:t>
            </w:r>
            <w:r>
              <w:rPr>
                <w:sz w:val="18"/>
              </w:rPr>
              <w:t>to</w:t>
            </w:r>
            <w:r>
              <w:rPr>
                <w:spacing w:val="-2"/>
                <w:sz w:val="18"/>
              </w:rPr>
              <w:t> </w:t>
            </w:r>
            <w:r>
              <w:rPr>
                <w:sz w:val="18"/>
              </w:rPr>
              <w:t>monitoring</w:t>
            </w:r>
            <w:r>
              <w:rPr>
                <w:spacing w:val="-3"/>
                <w:sz w:val="18"/>
              </w:rPr>
              <w:t> </w:t>
            </w:r>
            <w:r>
              <w:rPr>
                <w:sz w:val="18"/>
              </w:rPr>
              <w:t>and reporting activities should be established.</w:t>
            </w:r>
          </w:p>
          <w:p>
            <w:pPr>
              <w:pStyle w:val="TableParagraph"/>
              <w:spacing w:line="276" w:lineRule="auto"/>
              <w:ind w:left="108" w:right="196"/>
              <w:rPr>
                <w:sz w:val="18"/>
              </w:rPr>
            </w:pPr>
            <w:r>
              <w:rPr>
                <w:sz w:val="18"/>
              </w:rPr>
              <w:t>Where</w:t>
            </w:r>
            <w:r>
              <w:rPr>
                <w:spacing w:val="-8"/>
                <w:sz w:val="18"/>
              </w:rPr>
              <w:t> </w:t>
            </w:r>
            <w:r>
              <w:rPr>
                <w:sz w:val="18"/>
              </w:rPr>
              <w:t>appropriate,</w:t>
            </w:r>
            <w:r>
              <w:rPr>
                <w:spacing w:val="-7"/>
                <w:sz w:val="18"/>
              </w:rPr>
              <w:t> </w:t>
            </w:r>
            <w:r>
              <w:rPr>
                <w:sz w:val="18"/>
              </w:rPr>
              <w:t>reporting</w:t>
            </w:r>
            <w:r>
              <w:rPr>
                <w:spacing w:val="-7"/>
                <w:sz w:val="18"/>
              </w:rPr>
              <w:t> </w:t>
            </w:r>
            <w:r>
              <w:rPr>
                <w:sz w:val="18"/>
              </w:rPr>
              <w:t>should</w:t>
            </w:r>
            <w:r>
              <w:rPr>
                <w:spacing w:val="-8"/>
                <w:sz w:val="18"/>
              </w:rPr>
              <w:t> </w:t>
            </w:r>
            <w:r>
              <w:rPr>
                <w:sz w:val="18"/>
              </w:rPr>
              <w:t>be</w:t>
            </w:r>
            <w:r>
              <w:rPr>
                <w:spacing w:val="-7"/>
                <w:sz w:val="18"/>
              </w:rPr>
              <w:t> </w:t>
            </w:r>
            <w:r>
              <w:rPr>
                <w:sz w:val="18"/>
              </w:rPr>
              <w:t>from a single repository of information.</w:t>
            </w:r>
          </w:p>
        </w:tc>
        <w:tc>
          <w:tcPr>
            <w:tcW w:w="990" w:type="dxa"/>
            <w:textDirection w:val="tbRl"/>
          </w:tcPr>
          <w:p>
            <w:pPr>
              <w:pStyle w:val="TableParagraph"/>
              <w:spacing w:before="98"/>
              <w:rPr>
                <w:sz w:val="18"/>
              </w:rPr>
            </w:pPr>
            <w:r>
              <w:rPr>
                <w:sz w:val="18"/>
              </w:rPr>
              <w:t>Neil</w:t>
            </w:r>
            <w:r>
              <w:rPr>
                <w:spacing w:val="-1"/>
                <w:sz w:val="18"/>
              </w:rPr>
              <w:t> </w:t>
            </w:r>
            <w:r>
              <w:rPr>
                <w:sz w:val="18"/>
              </w:rPr>
              <w:t>Davies,</w:t>
            </w:r>
            <w:r>
              <w:rPr>
                <w:spacing w:val="-1"/>
                <w:sz w:val="18"/>
              </w:rPr>
              <w:t> </w:t>
            </w:r>
            <w:r>
              <w:rPr>
                <w:sz w:val="18"/>
              </w:rPr>
              <w:t>Director of</w:t>
            </w:r>
            <w:r>
              <w:rPr>
                <w:spacing w:val="-1"/>
                <w:sz w:val="18"/>
              </w:rPr>
              <w:t> </w:t>
            </w:r>
            <w:r>
              <w:rPr>
                <w:spacing w:val="-5"/>
                <w:sz w:val="18"/>
              </w:rPr>
              <w:t>SES</w:t>
            </w:r>
          </w:p>
        </w:tc>
        <w:tc>
          <w:tcPr>
            <w:tcW w:w="3968" w:type="dxa"/>
          </w:tcPr>
          <w:p>
            <w:pPr>
              <w:pStyle w:val="TableParagraph"/>
              <w:spacing w:line="276" w:lineRule="auto"/>
              <w:ind w:left="107" w:right="128"/>
              <w:rPr>
                <w:sz w:val="18"/>
              </w:rPr>
            </w:pPr>
            <w:r>
              <w:rPr>
                <w:sz w:val="18"/>
              </w:rPr>
              <w:t>Standardised monitoring and reporting arrangements are an integral part of</w:t>
            </w:r>
            <w:r>
              <w:rPr>
                <w:spacing w:val="-1"/>
                <w:sz w:val="18"/>
              </w:rPr>
              <w:t> </w:t>
            </w:r>
            <w:r>
              <w:rPr>
                <w:sz w:val="18"/>
              </w:rPr>
              <w:t>the programme management approach adopted by NWSSP’s PMO and will be adopted when the decarbonisation programme management resources are secured.</w:t>
            </w:r>
            <w:r>
              <w:rPr>
                <w:spacing w:val="-9"/>
                <w:sz w:val="18"/>
              </w:rPr>
              <w:t> </w:t>
            </w:r>
            <w:r>
              <w:rPr>
                <w:sz w:val="18"/>
              </w:rPr>
              <w:t>These</w:t>
            </w:r>
            <w:r>
              <w:rPr>
                <w:spacing w:val="-9"/>
                <w:sz w:val="18"/>
              </w:rPr>
              <w:t> </w:t>
            </w:r>
            <w:r>
              <w:rPr>
                <w:sz w:val="18"/>
              </w:rPr>
              <w:t>resources</w:t>
            </w:r>
            <w:r>
              <w:rPr>
                <w:spacing w:val="-9"/>
                <w:sz w:val="18"/>
              </w:rPr>
              <w:t> </w:t>
            </w:r>
            <w:r>
              <w:rPr>
                <w:sz w:val="18"/>
              </w:rPr>
              <w:t>are</w:t>
            </w:r>
            <w:r>
              <w:rPr>
                <w:spacing w:val="-10"/>
                <w:sz w:val="18"/>
              </w:rPr>
              <w:t> </w:t>
            </w:r>
            <w:r>
              <w:rPr>
                <w:sz w:val="18"/>
              </w:rPr>
              <w:t>anticipated to become available during October to December 2022.</w:t>
            </w:r>
            <w:r>
              <w:rPr>
                <w:spacing w:val="40"/>
                <w:sz w:val="18"/>
              </w:rPr>
              <w:t> </w:t>
            </w:r>
            <w:r>
              <w:rPr>
                <w:sz w:val="18"/>
              </w:rPr>
              <w:t>A single repository of information will be established.</w:t>
            </w:r>
          </w:p>
        </w:tc>
        <w:tc>
          <w:tcPr>
            <w:tcW w:w="809" w:type="dxa"/>
            <w:textDirection w:val="tbRl"/>
          </w:tcPr>
          <w:p>
            <w:pPr>
              <w:pStyle w:val="TableParagraph"/>
              <w:spacing w:before="98"/>
              <w:rPr>
                <w:b/>
                <w:sz w:val="18"/>
              </w:rPr>
            </w:pPr>
            <w:r>
              <w:rPr>
                <w:b/>
                <w:spacing w:val="-2"/>
                <w:sz w:val="18"/>
              </w:rPr>
              <w:t>01/01/2023</w:t>
            </w:r>
          </w:p>
        </w:tc>
        <w:tc>
          <w:tcPr>
            <w:tcW w:w="1276" w:type="dxa"/>
            <w:textDirection w:val="tbRl"/>
          </w:tcPr>
          <w:p>
            <w:pPr>
              <w:pStyle w:val="TableParagraph"/>
              <w:spacing w:before="98"/>
              <w:ind w:left="113"/>
              <w:rPr>
                <w:b/>
                <w:sz w:val="18"/>
              </w:rPr>
            </w:pPr>
            <w:r>
              <w:rPr>
                <w:b/>
                <w:spacing w:val="-2"/>
                <w:sz w:val="18"/>
              </w:rPr>
              <w:t>30/06/2023</w:t>
            </w:r>
          </w:p>
        </w:tc>
        <w:tc>
          <w:tcPr>
            <w:tcW w:w="3543" w:type="dxa"/>
          </w:tcPr>
          <w:p>
            <w:pPr>
              <w:pStyle w:val="TableParagraph"/>
              <w:ind w:left="171" w:right="176"/>
              <w:rPr>
                <w:sz w:val="18"/>
              </w:rPr>
            </w:pPr>
            <w:r>
              <w:rPr>
                <w:sz w:val="18"/>
              </w:rPr>
              <w:t>Partially Complete: Securing the right level of programme management</w:t>
            </w:r>
            <w:r>
              <w:rPr>
                <w:spacing w:val="-16"/>
                <w:sz w:val="18"/>
              </w:rPr>
              <w:t> </w:t>
            </w:r>
            <w:r>
              <w:rPr>
                <w:sz w:val="18"/>
              </w:rPr>
              <w:t>resources</w:t>
            </w:r>
            <w:r>
              <w:rPr>
                <w:spacing w:val="-16"/>
                <w:sz w:val="18"/>
              </w:rPr>
              <w:t> </w:t>
            </w:r>
            <w:r>
              <w:rPr>
                <w:sz w:val="18"/>
              </w:rPr>
              <w:t>continues to be extremely challenging.</w:t>
            </w:r>
          </w:p>
          <w:p>
            <w:pPr>
              <w:pStyle w:val="TableParagraph"/>
              <w:spacing w:line="220" w:lineRule="atLeast"/>
              <w:ind w:left="171" w:right="150"/>
              <w:rPr>
                <w:sz w:val="18"/>
              </w:rPr>
            </w:pPr>
            <w:r>
              <w:rPr>
                <w:sz w:val="18"/>
              </w:rPr>
              <w:t>Notwithstanding these challenges </w:t>
            </w:r>
            <w:r>
              <w:rPr>
                <w:spacing w:val="-2"/>
                <w:sz w:val="18"/>
              </w:rPr>
              <w:t>Risk/Opportunities/Issues/Decision </w:t>
            </w:r>
            <w:r>
              <w:rPr>
                <w:sz w:val="18"/>
              </w:rPr>
              <w:t>s</w:t>
            </w:r>
            <w:r>
              <w:rPr>
                <w:spacing w:val="-4"/>
                <w:sz w:val="18"/>
              </w:rPr>
              <w:t> </w:t>
            </w:r>
            <w:r>
              <w:rPr>
                <w:sz w:val="18"/>
              </w:rPr>
              <w:t>(ROID)</w:t>
            </w:r>
            <w:r>
              <w:rPr>
                <w:spacing w:val="-4"/>
                <w:sz w:val="18"/>
              </w:rPr>
              <w:t> </w:t>
            </w:r>
            <w:r>
              <w:rPr>
                <w:sz w:val="18"/>
              </w:rPr>
              <w:t>logs</w:t>
            </w:r>
            <w:r>
              <w:rPr>
                <w:spacing w:val="-5"/>
                <w:sz w:val="18"/>
              </w:rPr>
              <w:t> </w:t>
            </w:r>
            <w:r>
              <w:rPr>
                <w:sz w:val="18"/>
              </w:rPr>
              <w:t>has</w:t>
            </w:r>
            <w:r>
              <w:rPr>
                <w:spacing w:val="-5"/>
                <w:sz w:val="18"/>
              </w:rPr>
              <w:t> </w:t>
            </w:r>
            <w:r>
              <w:rPr>
                <w:sz w:val="18"/>
              </w:rPr>
              <w:t>been</w:t>
            </w:r>
            <w:r>
              <w:rPr>
                <w:spacing w:val="-5"/>
                <w:sz w:val="18"/>
              </w:rPr>
              <w:t> </w:t>
            </w:r>
            <w:r>
              <w:rPr>
                <w:sz w:val="18"/>
              </w:rPr>
              <w:t>established as part of the PMO documentation and are being updated with the relevant</w:t>
            </w:r>
            <w:r>
              <w:rPr>
                <w:spacing w:val="-10"/>
                <w:sz w:val="18"/>
              </w:rPr>
              <w:t> </w:t>
            </w:r>
            <w:r>
              <w:rPr>
                <w:sz w:val="18"/>
              </w:rPr>
              <w:t>stakeholders</w:t>
            </w:r>
            <w:r>
              <w:rPr>
                <w:spacing w:val="-10"/>
                <w:sz w:val="18"/>
              </w:rPr>
              <w:t> </w:t>
            </w:r>
            <w:r>
              <w:rPr>
                <w:sz w:val="18"/>
              </w:rPr>
              <w:t>at</w:t>
            </w:r>
            <w:r>
              <w:rPr>
                <w:spacing w:val="-10"/>
                <w:sz w:val="18"/>
              </w:rPr>
              <w:t> </w:t>
            </w:r>
            <w:r>
              <w:rPr>
                <w:sz w:val="18"/>
              </w:rPr>
              <w:t>NWSSP</w:t>
            </w:r>
            <w:r>
              <w:rPr>
                <w:spacing w:val="-10"/>
                <w:sz w:val="18"/>
              </w:rPr>
              <w:t> </w:t>
            </w:r>
            <w:r>
              <w:rPr>
                <w:sz w:val="18"/>
              </w:rPr>
              <w:t>on an ongoing basis. This suite of documents was presented to the Decarbonisation Programme Board on 12/12/2022 and will be further developed when the full team is established post Q2 2023.</w:t>
            </w:r>
          </w:p>
        </w:tc>
      </w:tr>
    </w:tbl>
    <w:p>
      <w:pPr>
        <w:spacing w:after="0" w:line="220" w:lineRule="atLeast"/>
        <w:rPr>
          <w:sz w:val="18"/>
        </w:rPr>
        <w:sectPr>
          <w:pgSz w:w="23820" w:h="16840" w:orient="landscape"/>
          <w:pgMar w:header="0" w:footer="204" w:top="260" w:bottom="400" w:left="200" w:right="140"/>
        </w:sectPr>
      </w:pPr>
    </w:p>
    <w:p>
      <w:pPr>
        <w:pStyle w:val="BodyText"/>
        <w:ind w:left="517"/>
        <w:rPr>
          <w:sz w:val="20"/>
        </w:rPr>
      </w:pPr>
      <w:bookmarkStart w:name=" 7.1 NWSSP Year 1 plan on a page .pdf" w:id="72"/>
      <w:bookmarkEnd w:id="72"/>
      <w:r>
        <w:rPr/>
      </w:r>
      <w:r>
        <w:rPr>
          <w:sz w:val="20"/>
        </w:rPr>
        <w:pict>
          <v:group style="width:540pt;height:684pt;mso-position-horizontal-relative:char;mso-position-vertical-relative:line" id="docshapegroup688" coordorigin="0,0" coordsize="10800,13680">
            <v:rect style="position:absolute;left:7;top:7;width:10785;height:13665" id="docshape689" filled="false" stroked="true" strokeweight=".75pt" strokecolor="#000000">
              <v:stroke dashstyle="solid"/>
            </v:rect>
            <v:shape style="position:absolute;left:158;top:86;width:10483;height:13507" type="#_x0000_t75" id="docshape690" stroked="false">
              <v:imagedata r:id="rId209" o:title=""/>
            </v:shape>
          </v:group>
        </w:pict>
      </w:r>
      <w:r>
        <w:rPr>
          <w:sz w:val="20"/>
        </w:rPr>
      </w:r>
    </w:p>
    <w:p>
      <w:pPr>
        <w:spacing w:after="0"/>
        <w:rPr>
          <w:sz w:val="20"/>
        </w:rPr>
        <w:sectPr>
          <w:footerReference w:type="default" r:id="rId208"/>
          <w:pgSz w:w="11910" w:h="16840"/>
          <w:pgMar w:footer="173" w:header="0" w:top="1420" w:bottom="360" w:left="0" w:right="0"/>
          <w:pgNumType w:start="146"/>
        </w:sectPr>
      </w:pPr>
    </w:p>
    <w:p>
      <w:pPr>
        <w:pStyle w:val="BodyText"/>
        <w:ind w:left="1440"/>
        <w:rPr>
          <w:sz w:val="20"/>
        </w:rPr>
      </w:pPr>
      <w:r>
        <w:rPr>
          <w:sz w:val="20"/>
        </w:rPr>
        <w:drawing>
          <wp:inline distT="0" distB="0" distL="0" distR="0">
            <wp:extent cx="2922939" cy="800480"/>
            <wp:effectExtent l="0" t="0" r="0" b="0"/>
            <wp:docPr id="239" name="image107.jpeg"/>
            <wp:cNvGraphicFramePr>
              <a:graphicFrameLocks noChangeAspect="1"/>
            </wp:cNvGraphicFramePr>
            <a:graphic>
              <a:graphicData uri="http://schemas.openxmlformats.org/drawingml/2006/picture">
                <pic:pic>
                  <pic:nvPicPr>
                    <pic:cNvPr id="240" name="image107.jpeg"/>
                    <pic:cNvPicPr/>
                  </pic:nvPicPr>
                  <pic:blipFill>
                    <a:blip r:embed="rId210" cstate="print"/>
                    <a:stretch>
                      <a:fillRect/>
                    </a:stretch>
                  </pic:blipFill>
                  <pic:spPr>
                    <a:xfrm>
                      <a:off x="0" y="0"/>
                      <a:ext cx="2922939" cy="800480"/>
                    </a:xfrm>
                    <a:prstGeom prst="rect">
                      <a:avLst/>
                    </a:prstGeom>
                  </pic:spPr>
                </pic:pic>
              </a:graphicData>
            </a:graphic>
          </wp:inline>
        </w:drawing>
      </w:r>
      <w:r>
        <w:rPr>
          <w:sz w:val="20"/>
        </w:rPr>
      </w:r>
    </w:p>
    <w:p>
      <w:pPr>
        <w:pStyle w:val="BodyText"/>
        <w:rPr>
          <w:b/>
          <w:sz w:val="20"/>
        </w:rPr>
      </w:pPr>
    </w:p>
    <w:p>
      <w:pPr>
        <w:pStyle w:val="BodyText"/>
        <w:spacing w:before="1"/>
        <w:rPr>
          <w:b/>
          <w:sz w:val="29"/>
        </w:rPr>
      </w:pPr>
    </w:p>
    <w:p>
      <w:pPr>
        <w:pStyle w:val="Heading5"/>
        <w:spacing w:before="35"/>
      </w:pPr>
      <w:bookmarkStart w:name=" 7.2 .FINAL Welsh Language Performance R" w:id="73"/>
      <w:bookmarkEnd w:id="73"/>
      <w:r>
        <w:rPr>
          <w:b w:val="0"/>
        </w:rPr>
      </w:r>
      <w:r>
        <w:rPr>
          <w:color w:val="1F3764"/>
        </w:rPr>
        <w:t>NHS</w:t>
      </w:r>
      <w:r>
        <w:rPr>
          <w:color w:val="1F3764"/>
          <w:spacing w:val="-4"/>
        </w:rPr>
        <w:t> </w:t>
      </w:r>
      <w:r>
        <w:rPr>
          <w:color w:val="1F3764"/>
        </w:rPr>
        <w:t>Wales</w:t>
      </w:r>
      <w:r>
        <w:rPr>
          <w:color w:val="1F3764"/>
          <w:spacing w:val="-4"/>
        </w:rPr>
        <w:t> </w:t>
      </w:r>
      <w:r>
        <w:rPr>
          <w:color w:val="1F3764"/>
        </w:rPr>
        <w:t>Shared</w:t>
      </w:r>
      <w:r>
        <w:rPr>
          <w:color w:val="1F3764"/>
          <w:spacing w:val="-4"/>
        </w:rPr>
        <w:t> </w:t>
      </w:r>
      <w:r>
        <w:rPr>
          <w:color w:val="1F3764"/>
        </w:rPr>
        <w:t>Services</w:t>
      </w:r>
      <w:r>
        <w:rPr>
          <w:color w:val="1F3764"/>
          <w:spacing w:val="-2"/>
        </w:rPr>
        <w:t> Partnership</w:t>
      </w:r>
    </w:p>
    <w:p>
      <w:pPr>
        <w:spacing w:before="191"/>
        <w:ind w:left="1440" w:right="0" w:firstLine="0"/>
        <w:jc w:val="left"/>
        <w:rPr>
          <w:rFonts w:ascii="Calibri"/>
          <w:b/>
          <w:sz w:val="32"/>
        </w:rPr>
      </w:pPr>
      <w:r>
        <w:rPr>
          <w:rFonts w:ascii="Calibri"/>
          <w:b/>
          <w:color w:val="1F3764"/>
          <w:sz w:val="32"/>
        </w:rPr>
        <w:t>Welsh</w:t>
      </w:r>
      <w:r>
        <w:rPr>
          <w:rFonts w:ascii="Calibri"/>
          <w:b/>
          <w:color w:val="1F3764"/>
          <w:spacing w:val="-3"/>
          <w:sz w:val="32"/>
        </w:rPr>
        <w:t> </w:t>
      </w:r>
      <w:r>
        <w:rPr>
          <w:rFonts w:ascii="Calibri"/>
          <w:b/>
          <w:color w:val="1F3764"/>
          <w:sz w:val="32"/>
        </w:rPr>
        <w:t>Language</w:t>
      </w:r>
      <w:r>
        <w:rPr>
          <w:rFonts w:ascii="Calibri"/>
          <w:b/>
          <w:color w:val="1F3764"/>
          <w:spacing w:val="-4"/>
          <w:sz w:val="32"/>
        </w:rPr>
        <w:t> </w:t>
      </w:r>
      <w:r>
        <w:rPr>
          <w:rFonts w:ascii="Calibri"/>
          <w:b/>
          <w:color w:val="1F3764"/>
          <w:sz w:val="32"/>
        </w:rPr>
        <w:t>Annual</w:t>
      </w:r>
      <w:r>
        <w:rPr>
          <w:rFonts w:ascii="Calibri"/>
          <w:b/>
          <w:color w:val="1F3764"/>
          <w:spacing w:val="-2"/>
          <w:sz w:val="32"/>
        </w:rPr>
        <w:t> </w:t>
      </w:r>
      <w:r>
        <w:rPr>
          <w:rFonts w:ascii="Calibri"/>
          <w:b/>
          <w:color w:val="1F3764"/>
          <w:sz w:val="32"/>
        </w:rPr>
        <w:t>Performance</w:t>
      </w:r>
      <w:r>
        <w:rPr>
          <w:rFonts w:ascii="Calibri"/>
          <w:b/>
          <w:color w:val="1F3764"/>
          <w:spacing w:val="-4"/>
          <w:sz w:val="32"/>
        </w:rPr>
        <w:t> </w:t>
      </w:r>
      <w:r>
        <w:rPr>
          <w:rFonts w:ascii="Calibri"/>
          <w:b/>
          <w:color w:val="1F3764"/>
          <w:sz w:val="32"/>
        </w:rPr>
        <w:t>Report</w:t>
      </w:r>
      <w:r>
        <w:rPr>
          <w:rFonts w:ascii="Calibri"/>
          <w:b/>
          <w:color w:val="1F3764"/>
          <w:spacing w:val="-2"/>
          <w:sz w:val="32"/>
        </w:rPr>
        <w:t> </w:t>
      </w:r>
      <w:r>
        <w:rPr>
          <w:rFonts w:ascii="Calibri"/>
          <w:b/>
          <w:color w:val="1F3764"/>
          <w:sz w:val="32"/>
        </w:rPr>
        <w:t>2021-</w:t>
      </w:r>
      <w:r>
        <w:rPr>
          <w:rFonts w:ascii="Calibri"/>
          <w:b/>
          <w:color w:val="1F3764"/>
          <w:spacing w:val="-4"/>
          <w:sz w:val="32"/>
        </w:rPr>
        <w:t>2022</w:t>
      </w:r>
    </w:p>
    <w:p>
      <w:pPr>
        <w:spacing w:after="0"/>
        <w:jc w:val="left"/>
        <w:rPr>
          <w:rFonts w:ascii="Calibri"/>
          <w:sz w:val="32"/>
        </w:rPr>
        <w:sectPr>
          <w:pgSz w:w="11910" w:h="16840"/>
          <w:pgMar w:header="0" w:footer="173" w:top="1460" w:bottom="360" w:left="0" w:right="0"/>
        </w:sectPr>
      </w:pPr>
    </w:p>
    <w:p>
      <w:pPr>
        <w:pStyle w:val="Heading7"/>
        <w:spacing w:before="22"/>
      </w:pPr>
      <w:r>
        <w:rPr>
          <w:spacing w:val="-2"/>
        </w:rPr>
        <w:t>Contents:</w:t>
      </w:r>
    </w:p>
    <w:sdt>
      <w:sdtPr>
        <w:docPartObj>
          <w:docPartGallery w:val="Table of Contents"/>
          <w:docPartUnique/>
        </w:docPartObj>
      </w:sdtPr>
      <w:sdtEndPr/>
      <w:sdtContent>
        <w:p>
          <w:pPr>
            <w:pStyle w:val="TOC1"/>
            <w:numPr>
              <w:ilvl w:val="0"/>
              <w:numId w:val="43"/>
            </w:numPr>
            <w:tabs>
              <w:tab w:pos="2159" w:val="left" w:leader="none"/>
              <w:tab w:pos="2160" w:val="left" w:leader="none"/>
              <w:tab w:pos="9471" w:val="right" w:leader="none"/>
            </w:tabs>
            <w:spacing w:line="240" w:lineRule="auto" w:before="0" w:after="0"/>
            <w:ind w:left="2159" w:right="0" w:hanging="360"/>
            <w:jc w:val="left"/>
          </w:pPr>
          <w:hyperlink w:history="true" w:anchor="_TOC_250005">
            <w:r>
              <w:rPr>
                <w:spacing w:val="-2"/>
              </w:rPr>
              <w:t>Introduction</w:t>
            </w:r>
            <w:r>
              <w:rPr/>
              <w:tab/>
            </w:r>
            <w:r>
              <w:rPr>
                <w:spacing w:val="-10"/>
              </w:rPr>
              <w:t>3</w:t>
            </w:r>
          </w:hyperlink>
        </w:p>
        <w:p>
          <w:pPr>
            <w:pStyle w:val="TOC1"/>
            <w:numPr>
              <w:ilvl w:val="0"/>
              <w:numId w:val="43"/>
            </w:numPr>
            <w:tabs>
              <w:tab w:pos="2159" w:val="left" w:leader="none"/>
              <w:tab w:pos="2160" w:val="left" w:leader="none"/>
              <w:tab w:pos="9471" w:val="right" w:leader="none"/>
            </w:tabs>
            <w:spacing w:line="240" w:lineRule="auto" w:before="0" w:after="0"/>
            <w:ind w:left="2159" w:right="0" w:hanging="360"/>
            <w:jc w:val="left"/>
          </w:pPr>
          <w:r>
            <w:rPr>
              <w:spacing w:val="-2"/>
            </w:rPr>
            <w:t>Background</w:t>
          </w:r>
          <w:r>
            <w:rPr/>
            <w:tab/>
          </w:r>
          <w:r>
            <w:rPr>
              <w:spacing w:val="-10"/>
            </w:rPr>
            <w:t>4</w:t>
          </w:r>
        </w:p>
        <w:p>
          <w:pPr>
            <w:pStyle w:val="TOC1"/>
            <w:numPr>
              <w:ilvl w:val="0"/>
              <w:numId w:val="43"/>
            </w:numPr>
            <w:tabs>
              <w:tab w:pos="2159" w:val="left" w:leader="none"/>
              <w:tab w:pos="2160" w:val="left" w:leader="none"/>
              <w:tab w:pos="9471" w:val="right" w:leader="none"/>
            </w:tabs>
            <w:spacing w:line="240" w:lineRule="auto" w:before="0" w:after="0"/>
            <w:ind w:left="2159" w:right="0" w:hanging="360"/>
            <w:jc w:val="left"/>
          </w:pPr>
          <w:hyperlink w:history="true" w:anchor="_TOC_250004">
            <w:r>
              <w:rPr/>
              <w:t>Accountability</w:t>
            </w:r>
            <w:r>
              <w:rPr>
                <w:spacing w:val="-2"/>
              </w:rPr>
              <w:t> </w:t>
            </w:r>
            <w:r>
              <w:rPr/>
              <w:t>and</w:t>
            </w:r>
            <w:r>
              <w:rPr>
                <w:spacing w:val="-1"/>
              </w:rPr>
              <w:t> </w:t>
            </w:r>
            <w:r>
              <w:rPr>
                <w:spacing w:val="-2"/>
              </w:rPr>
              <w:t>Support</w:t>
            </w:r>
            <w:r>
              <w:rPr/>
              <w:tab/>
            </w:r>
            <w:r>
              <w:rPr>
                <w:spacing w:val="-10"/>
              </w:rPr>
              <w:t>4</w:t>
            </w:r>
          </w:hyperlink>
        </w:p>
        <w:p>
          <w:pPr>
            <w:pStyle w:val="TOC1"/>
            <w:numPr>
              <w:ilvl w:val="0"/>
              <w:numId w:val="43"/>
            </w:numPr>
            <w:tabs>
              <w:tab w:pos="2159" w:val="left" w:leader="none"/>
              <w:tab w:pos="2160" w:val="left" w:leader="none"/>
              <w:tab w:pos="9470" w:val="right" w:leader="none"/>
            </w:tabs>
            <w:spacing w:line="240" w:lineRule="auto" w:before="0" w:after="0"/>
            <w:ind w:left="2159" w:right="0" w:hanging="360"/>
            <w:jc w:val="left"/>
          </w:pPr>
          <w:hyperlink w:history="true" w:anchor="_TOC_250003">
            <w:r>
              <w:rPr/>
              <w:t>Service</w:t>
            </w:r>
            <w:r>
              <w:rPr>
                <w:spacing w:val="-4"/>
              </w:rPr>
              <w:t> </w:t>
            </w:r>
            <w:r>
              <w:rPr/>
              <w:t>Delivery</w:t>
            </w:r>
            <w:r>
              <w:rPr>
                <w:spacing w:val="-3"/>
              </w:rPr>
              <w:t> </w:t>
            </w:r>
            <w:r>
              <w:rPr>
                <w:spacing w:val="-2"/>
              </w:rPr>
              <w:t>Standards</w:t>
            </w:r>
            <w:r>
              <w:rPr/>
              <w:tab/>
            </w:r>
            <w:r>
              <w:rPr>
                <w:spacing w:val="-10"/>
              </w:rPr>
              <w:t>5</w:t>
            </w:r>
          </w:hyperlink>
        </w:p>
        <w:p>
          <w:pPr>
            <w:pStyle w:val="TOC1"/>
            <w:numPr>
              <w:ilvl w:val="0"/>
              <w:numId w:val="43"/>
            </w:numPr>
            <w:tabs>
              <w:tab w:pos="2159" w:val="left" w:leader="none"/>
              <w:tab w:pos="2160" w:val="left" w:leader="none"/>
              <w:tab w:pos="9471" w:val="right" w:leader="none"/>
            </w:tabs>
            <w:spacing w:line="240" w:lineRule="auto" w:before="0" w:after="0"/>
            <w:ind w:left="2159" w:right="0" w:hanging="360"/>
            <w:jc w:val="left"/>
          </w:pPr>
          <w:hyperlink w:history="true" w:anchor="_TOC_250002">
            <w:r>
              <w:rPr/>
              <w:t>Policy</w:t>
            </w:r>
            <w:r>
              <w:rPr>
                <w:spacing w:val="-3"/>
              </w:rPr>
              <w:t> </w:t>
            </w:r>
            <w:r>
              <w:rPr/>
              <w:t>Making</w:t>
            </w:r>
            <w:r>
              <w:rPr>
                <w:spacing w:val="-3"/>
              </w:rPr>
              <w:t> </w:t>
            </w:r>
            <w:r>
              <w:rPr>
                <w:spacing w:val="-2"/>
              </w:rPr>
              <w:t>Standards</w:t>
            </w:r>
            <w:r>
              <w:rPr/>
              <w:tab/>
            </w:r>
            <w:r>
              <w:rPr>
                <w:spacing w:val="-10"/>
              </w:rPr>
              <w:t>6</w:t>
            </w:r>
          </w:hyperlink>
        </w:p>
        <w:p>
          <w:pPr>
            <w:pStyle w:val="TOC1"/>
            <w:numPr>
              <w:ilvl w:val="0"/>
              <w:numId w:val="43"/>
            </w:numPr>
            <w:tabs>
              <w:tab w:pos="2159" w:val="left" w:leader="none"/>
              <w:tab w:pos="2160" w:val="left" w:leader="none"/>
              <w:tab w:pos="9471" w:val="right" w:leader="none"/>
            </w:tabs>
            <w:spacing w:line="240" w:lineRule="auto" w:before="0" w:after="0"/>
            <w:ind w:left="2159" w:right="0" w:hanging="360"/>
            <w:jc w:val="left"/>
          </w:pPr>
          <w:hyperlink w:history="true" w:anchor="_TOC_250001">
            <w:r>
              <w:rPr/>
              <w:t>Operational</w:t>
            </w:r>
            <w:r>
              <w:rPr>
                <w:spacing w:val="-5"/>
              </w:rPr>
              <w:t> </w:t>
            </w:r>
            <w:r>
              <w:rPr>
                <w:spacing w:val="-2"/>
              </w:rPr>
              <w:t>Standards</w:t>
            </w:r>
            <w:r>
              <w:rPr/>
              <w:tab/>
            </w:r>
            <w:r>
              <w:rPr>
                <w:spacing w:val="-10"/>
              </w:rPr>
              <w:t>6</w:t>
            </w:r>
          </w:hyperlink>
        </w:p>
        <w:p>
          <w:pPr>
            <w:pStyle w:val="TOC1"/>
            <w:numPr>
              <w:ilvl w:val="0"/>
              <w:numId w:val="43"/>
            </w:numPr>
            <w:tabs>
              <w:tab w:pos="2159" w:val="left" w:leader="none"/>
              <w:tab w:pos="2160" w:val="left" w:leader="none"/>
              <w:tab w:pos="9470" w:val="right" w:leader="none"/>
            </w:tabs>
            <w:spacing w:line="240" w:lineRule="auto" w:before="0" w:after="0"/>
            <w:ind w:left="2159" w:right="0" w:hanging="360"/>
            <w:jc w:val="left"/>
          </w:pPr>
          <w:hyperlink w:history="true" w:anchor="_TOC_250000">
            <w:r>
              <w:rPr/>
              <w:t>Record</w:t>
            </w:r>
            <w:r>
              <w:rPr>
                <w:spacing w:val="-2"/>
              </w:rPr>
              <w:t> </w:t>
            </w:r>
            <w:r>
              <w:rPr/>
              <w:t>Keeping</w:t>
            </w:r>
            <w:r>
              <w:rPr>
                <w:spacing w:val="-1"/>
              </w:rPr>
              <w:t> </w:t>
            </w:r>
            <w:r>
              <w:rPr>
                <w:spacing w:val="-2"/>
              </w:rPr>
              <w:t>Standards</w:t>
            </w:r>
            <w:r>
              <w:rPr/>
              <w:tab/>
            </w:r>
            <w:r>
              <w:rPr>
                <w:spacing w:val="-10"/>
              </w:rPr>
              <w:t>8</w:t>
            </w:r>
          </w:hyperlink>
        </w:p>
        <w:p>
          <w:pPr>
            <w:pStyle w:val="TOC1"/>
            <w:numPr>
              <w:ilvl w:val="0"/>
              <w:numId w:val="43"/>
            </w:numPr>
            <w:tabs>
              <w:tab w:pos="2159" w:val="left" w:leader="none"/>
              <w:tab w:pos="2160" w:val="left" w:leader="none"/>
              <w:tab w:pos="9584" w:val="right" w:leader="none"/>
            </w:tabs>
            <w:spacing w:line="240" w:lineRule="auto" w:before="0" w:after="0"/>
            <w:ind w:left="2159" w:right="0" w:hanging="360"/>
            <w:jc w:val="left"/>
          </w:pPr>
          <w:r>
            <w:rPr/>
            <w:t>Projects</w:t>
          </w:r>
          <w:r>
            <w:rPr>
              <w:spacing w:val="-2"/>
            </w:rPr>
            <w:t> </w:t>
          </w:r>
          <w:r>
            <w:rPr/>
            <w:t>&amp;</w:t>
          </w:r>
          <w:r>
            <w:rPr>
              <w:spacing w:val="-3"/>
            </w:rPr>
            <w:t> </w:t>
          </w:r>
          <w:r>
            <w:rPr/>
            <w:t>Translation</w:t>
          </w:r>
          <w:r>
            <w:rPr>
              <w:spacing w:val="-2"/>
            </w:rPr>
            <w:t> Services</w:t>
          </w:r>
          <w:r>
            <w:rPr/>
            <w:tab/>
          </w:r>
          <w:r>
            <w:rPr>
              <w:spacing w:val="-5"/>
            </w:rPr>
            <w:t>12</w:t>
          </w:r>
        </w:p>
        <w:p>
          <w:pPr>
            <w:pStyle w:val="TOC1"/>
            <w:numPr>
              <w:ilvl w:val="0"/>
              <w:numId w:val="43"/>
            </w:numPr>
            <w:tabs>
              <w:tab w:pos="2159" w:val="left" w:leader="none"/>
              <w:tab w:pos="2160" w:val="left" w:leader="none"/>
              <w:tab w:pos="9583" w:val="right" w:leader="none"/>
            </w:tabs>
            <w:spacing w:line="240" w:lineRule="auto" w:before="0" w:after="0"/>
            <w:ind w:left="2159" w:right="0" w:hanging="360"/>
            <w:jc w:val="left"/>
          </w:pPr>
          <w:r>
            <w:rPr/>
            <w:t>Priorities</w:t>
          </w:r>
          <w:r>
            <w:rPr>
              <w:spacing w:val="-2"/>
            </w:rPr>
            <w:t> </w:t>
          </w:r>
          <w:r>
            <w:rPr/>
            <w:t>for</w:t>
          </w:r>
          <w:r>
            <w:rPr>
              <w:spacing w:val="-1"/>
            </w:rPr>
            <w:t> </w:t>
          </w:r>
          <w:r>
            <w:rPr>
              <w:spacing w:val="-2"/>
            </w:rPr>
            <w:t>2022/23</w:t>
          </w:r>
          <w:r>
            <w:rPr/>
            <w:tab/>
          </w:r>
          <w:r>
            <w:rPr>
              <w:spacing w:val="-5"/>
            </w:rPr>
            <w:t>14</w:t>
          </w:r>
        </w:p>
      </w:sdtContent>
    </w:sdt>
    <w:p>
      <w:pPr>
        <w:spacing w:after="0" w:line="240" w:lineRule="auto"/>
        <w:jc w:val="left"/>
        <w:sectPr>
          <w:footerReference w:type="default" r:id="rId211"/>
          <w:pgSz w:w="11910" w:h="16840"/>
          <w:pgMar w:footer="173" w:header="0" w:top="1400" w:bottom="360" w:left="0" w:right="0"/>
        </w:sectPr>
      </w:pPr>
    </w:p>
    <w:p>
      <w:pPr>
        <w:spacing w:before="22"/>
        <w:ind w:left="1440" w:right="0" w:firstLine="0"/>
        <w:jc w:val="left"/>
        <w:rPr>
          <w:rFonts w:ascii="Calibri"/>
          <w:b/>
          <w:sz w:val="28"/>
        </w:rPr>
      </w:pPr>
      <w:r>
        <w:rPr>
          <w:rFonts w:ascii="Calibri"/>
          <w:b/>
          <w:spacing w:val="-2"/>
          <w:sz w:val="28"/>
        </w:rPr>
        <w:t>Introduction</w:t>
      </w:r>
    </w:p>
    <w:p>
      <w:pPr>
        <w:pStyle w:val="BodyText"/>
        <w:spacing w:before="9"/>
        <w:rPr>
          <w:rFonts w:ascii="Calibri"/>
          <w:b/>
          <w:sz w:val="23"/>
        </w:rPr>
      </w:pPr>
    </w:p>
    <w:p>
      <w:pPr>
        <w:spacing w:line="259" w:lineRule="auto" w:before="0"/>
        <w:ind w:left="1440" w:right="1405" w:firstLine="0"/>
        <w:jc w:val="left"/>
        <w:rPr>
          <w:rFonts w:ascii="Calibri" w:hAnsi="Calibri"/>
          <w:sz w:val="22"/>
        </w:rPr>
      </w:pPr>
      <w:r>
        <w:rPr>
          <w:rFonts w:ascii="Calibri" w:hAnsi="Calibri"/>
          <w:sz w:val="22"/>
        </w:rPr>
        <w:t>This</w:t>
      </w:r>
      <w:r>
        <w:rPr>
          <w:rFonts w:ascii="Calibri" w:hAnsi="Calibri"/>
          <w:spacing w:val="-4"/>
          <w:sz w:val="22"/>
        </w:rPr>
        <w:t> </w:t>
      </w:r>
      <w:r>
        <w:rPr>
          <w:rFonts w:ascii="Calibri" w:hAnsi="Calibri"/>
          <w:sz w:val="22"/>
        </w:rPr>
        <w:t>report</w:t>
      </w:r>
      <w:r>
        <w:rPr>
          <w:rFonts w:ascii="Calibri" w:hAnsi="Calibri"/>
          <w:spacing w:val="-3"/>
          <w:sz w:val="22"/>
        </w:rPr>
        <w:t> </w:t>
      </w:r>
      <w:r>
        <w:rPr>
          <w:rFonts w:ascii="Calibri" w:hAnsi="Calibri"/>
          <w:sz w:val="22"/>
        </w:rPr>
        <w:t>is</w:t>
      </w:r>
      <w:r>
        <w:rPr>
          <w:rFonts w:ascii="Calibri" w:hAnsi="Calibri"/>
          <w:spacing w:val="-3"/>
          <w:sz w:val="22"/>
        </w:rPr>
        <w:t> </w:t>
      </w:r>
      <w:r>
        <w:rPr>
          <w:rFonts w:ascii="Calibri" w:hAnsi="Calibri"/>
          <w:sz w:val="22"/>
        </w:rPr>
        <w:t>NHS</w:t>
      </w:r>
      <w:r>
        <w:rPr>
          <w:rFonts w:ascii="Calibri" w:hAnsi="Calibri"/>
          <w:spacing w:val="-3"/>
          <w:sz w:val="22"/>
        </w:rPr>
        <w:t> </w:t>
      </w:r>
      <w:r>
        <w:rPr>
          <w:rFonts w:ascii="Calibri" w:hAnsi="Calibri"/>
          <w:sz w:val="22"/>
        </w:rPr>
        <w:t>Wales</w:t>
      </w:r>
      <w:r>
        <w:rPr>
          <w:rFonts w:ascii="Calibri" w:hAnsi="Calibri"/>
          <w:spacing w:val="-3"/>
          <w:sz w:val="22"/>
        </w:rPr>
        <w:t> </w:t>
      </w:r>
      <w:r>
        <w:rPr>
          <w:rFonts w:ascii="Calibri" w:hAnsi="Calibri"/>
          <w:sz w:val="22"/>
        </w:rPr>
        <w:t>Shared</w:t>
      </w:r>
      <w:r>
        <w:rPr>
          <w:rFonts w:ascii="Calibri" w:hAnsi="Calibri"/>
          <w:spacing w:val="-3"/>
          <w:sz w:val="22"/>
        </w:rPr>
        <w:t> </w:t>
      </w:r>
      <w:r>
        <w:rPr>
          <w:rFonts w:ascii="Calibri" w:hAnsi="Calibri"/>
          <w:sz w:val="22"/>
        </w:rPr>
        <w:t>Services</w:t>
      </w:r>
      <w:r>
        <w:rPr>
          <w:rFonts w:ascii="Calibri" w:hAnsi="Calibri"/>
          <w:spacing w:val="-3"/>
          <w:sz w:val="22"/>
        </w:rPr>
        <w:t> </w:t>
      </w:r>
      <w:r>
        <w:rPr>
          <w:rFonts w:ascii="Calibri" w:hAnsi="Calibri"/>
          <w:sz w:val="22"/>
        </w:rPr>
        <w:t>Partnership’s</w:t>
      </w:r>
      <w:r>
        <w:rPr>
          <w:rFonts w:ascii="Calibri" w:hAnsi="Calibri"/>
          <w:spacing w:val="-3"/>
          <w:sz w:val="22"/>
        </w:rPr>
        <w:t> </w:t>
      </w:r>
      <w:r>
        <w:rPr>
          <w:rFonts w:ascii="Calibri" w:hAnsi="Calibri"/>
          <w:sz w:val="22"/>
        </w:rPr>
        <w:t>(NWSSP)</w:t>
      </w:r>
      <w:r>
        <w:rPr>
          <w:rFonts w:ascii="Calibri" w:hAnsi="Calibri"/>
          <w:spacing w:val="-3"/>
          <w:sz w:val="22"/>
        </w:rPr>
        <w:t> </w:t>
      </w:r>
      <w:r>
        <w:rPr>
          <w:rFonts w:ascii="Calibri" w:hAnsi="Calibri"/>
          <w:sz w:val="22"/>
        </w:rPr>
        <w:t>third</w:t>
      </w:r>
      <w:r>
        <w:rPr>
          <w:rFonts w:ascii="Calibri" w:hAnsi="Calibri"/>
          <w:spacing w:val="-3"/>
          <w:sz w:val="22"/>
        </w:rPr>
        <w:t> </w:t>
      </w:r>
      <w:r>
        <w:rPr>
          <w:rFonts w:ascii="Calibri" w:hAnsi="Calibri"/>
          <w:sz w:val="22"/>
        </w:rPr>
        <w:t>Welsh</w:t>
      </w:r>
      <w:r>
        <w:rPr>
          <w:rFonts w:ascii="Calibri" w:hAnsi="Calibri"/>
          <w:spacing w:val="-4"/>
          <w:sz w:val="22"/>
        </w:rPr>
        <w:t> </w:t>
      </w:r>
      <w:r>
        <w:rPr>
          <w:rFonts w:ascii="Calibri" w:hAnsi="Calibri"/>
          <w:sz w:val="22"/>
        </w:rPr>
        <w:t>Language</w:t>
      </w:r>
      <w:r>
        <w:rPr>
          <w:rFonts w:ascii="Calibri" w:hAnsi="Calibri"/>
          <w:spacing w:val="-4"/>
          <w:sz w:val="22"/>
        </w:rPr>
        <w:t> </w:t>
      </w:r>
      <w:r>
        <w:rPr>
          <w:rFonts w:ascii="Calibri" w:hAnsi="Calibri"/>
          <w:sz w:val="22"/>
        </w:rPr>
        <w:t>Annual Performance Report, reporting on the period from 1</w:t>
      </w:r>
      <w:r>
        <w:rPr>
          <w:rFonts w:ascii="Calibri" w:hAnsi="Calibri"/>
          <w:sz w:val="22"/>
          <w:vertAlign w:val="superscript"/>
        </w:rPr>
        <w:t>st</w:t>
      </w:r>
      <w:r>
        <w:rPr>
          <w:rFonts w:ascii="Calibri" w:hAnsi="Calibri"/>
          <w:sz w:val="22"/>
          <w:vertAlign w:val="baseline"/>
        </w:rPr>
        <w:t> of April 2021 to 31</w:t>
      </w:r>
      <w:r>
        <w:rPr>
          <w:rFonts w:ascii="Calibri" w:hAnsi="Calibri"/>
          <w:sz w:val="22"/>
          <w:vertAlign w:val="superscript"/>
        </w:rPr>
        <w:t>st</w:t>
      </w:r>
      <w:r>
        <w:rPr>
          <w:rFonts w:ascii="Calibri" w:hAnsi="Calibri"/>
          <w:sz w:val="22"/>
          <w:vertAlign w:val="baseline"/>
        </w:rPr>
        <w:t> March 2022.</w:t>
      </w:r>
    </w:p>
    <w:p>
      <w:pPr>
        <w:pStyle w:val="BodyText"/>
        <w:spacing w:before="8"/>
        <w:rPr>
          <w:rFonts w:ascii="Calibri"/>
          <w:sz w:val="23"/>
        </w:rPr>
      </w:pPr>
    </w:p>
    <w:p>
      <w:pPr>
        <w:spacing w:line="259" w:lineRule="auto" w:before="0"/>
        <w:ind w:left="1440" w:right="1547" w:firstLine="0"/>
        <w:jc w:val="left"/>
        <w:rPr>
          <w:rFonts w:ascii="Calibri"/>
          <w:sz w:val="22"/>
        </w:rPr>
      </w:pPr>
      <w:r>
        <w:rPr>
          <w:rFonts w:ascii="Calibri"/>
          <w:sz w:val="22"/>
        </w:rPr>
        <w:t>NHS</w:t>
      </w:r>
      <w:r>
        <w:rPr>
          <w:rFonts w:ascii="Calibri"/>
          <w:spacing w:val="-3"/>
          <w:sz w:val="22"/>
        </w:rPr>
        <w:t> </w:t>
      </w:r>
      <w:r>
        <w:rPr>
          <w:rFonts w:ascii="Calibri"/>
          <w:sz w:val="22"/>
        </w:rPr>
        <w:t>Wales</w:t>
      </w:r>
      <w:r>
        <w:rPr>
          <w:rFonts w:ascii="Calibri"/>
          <w:spacing w:val="-3"/>
          <w:sz w:val="22"/>
        </w:rPr>
        <w:t> </w:t>
      </w:r>
      <w:r>
        <w:rPr>
          <w:rFonts w:ascii="Calibri"/>
          <w:sz w:val="22"/>
        </w:rPr>
        <w:t>Shared</w:t>
      </w:r>
      <w:r>
        <w:rPr>
          <w:rFonts w:ascii="Calibri"/>
          <w:spacing w:val="-3"/>
          <w:sz w:val="22"/>
        </w:rPr>
        <w:t> </w:t>
      </w:r>
      <w:r>
        <w:rPr>
          <w:rFonts w:ascii="Calibri"/>
          <w:sz w:val="22"/>
        </w:rPr>
        <w:t>Services</w:t>
      </w:r>
      <w:r>
        <w:rPr>
          <w:rFonts w:ascii="Calibri"/>
          <w:spacing w:val="-3"/>
          <w:sz w:val="22"/>
        </w:rPr>
        <w:t> </w:t>
      </w:r>
      <w:r>
        <w:rPr>
          <w:rFonts w:ascii="Calibri"/>
          <w:sz w:val="22"/>
        </w:rPr>
        <w:t>continues</w:t>
      </w:r>
      <w:r>
        <w:rPr>
          <w:rFonts w:ascii="Calibri"/>
          <w:spacing w:val="-3"/>
          <w:sz w:val="22"/>
        </w:rPr>
        <w:t> </w:t>
      </w:r>
      <w:r>
        <w:rPr>
          <w:rFonts w:ascii="Calibri"/>
          <w:sz w:val="22"/>
        </w:rPr>
        <w:t>in</w:t>
      </w:r>
      <w:r>
        <w:rPr>
          <w:rFonts w:ascii="Calibri"/>
          <w:spacing w:val="-3"/>
          <w:sz w:val="22"/>
        </w:rPr>
        <w:t> </w:t>
      </w:r>
      <w:r>
        <w:rPr>
          <w:rFonts w:ascii="Calibri"/>
          <w:sz w:val="22"/>
        </w:rPr>
        <w:t>its</w:t>
      </w:r>
      <w:r>
        <w:rPr>
          <w:rFonts w:ascii="Calibri"/>
          <w:spacing w:val="-3"/>
          <w:sz w:val="22"/>
        </w:rPr>
        <w:t> </w:t>
      </w:r>
      <w:r>
        <w:rPr>
          <w:rFonts w:ascii="Calibri"/>
          <w:sz w:val="22"/>
        </w:rPr>
        <w:t>commitment</w:t>
      </w:r>
      <w:r>
        <w:rPr>
          <w:rFonts w:ascii="Calibri"/>
          <w:spacing w:val="-3"/>
          <w:sz w:val="22"/>
        </w:rPr>
        <w:t> </w:t>
      </w:r>
      <w:r>
        <w:rPr>
          <w:rFonts w:ascii="Calibri"/>
          <w:sz w:val="22"/>
        </w:rPr>
        <w:t>to</w:t>
      </w:r>
      <w:r>
        <w:rPr>
          <w:rFonts w:ascii="Calibri"/>
          <w:spacing w:val="-3"/>
          <w:sz w:val="22"/>
        </w:rPr>
        <w:t> </w:t>
      </w:r>
      <w:r>
        <w:rPr>
          <w:rFonts w:ascii="Calibri"/>
          <w:sz w:val="22"/>
        </w:rPr>
        <w:t>deliver</w:t>
      </w:r>
      <w:r>
        <w:rPr>
          <w:rFonts w:ascii="Calibri"/>
          <w:spacing w:val="-3"/>
          <w:sz w:val="22"/>
        </w:rPr>
        <w:t> </w:t>
      </w:r>
      <w:r>
        <w:rPr>
          <w:rFonts w:ascii="Calibri"/>
          <w:sz w:val="22"/>
        </w:rPr>
        <w:t>our</w:t>
      </w:r>
      <w:r>
        <w:rPr>
          <w:rFonts w:ascii="Calibri"/>
          <w:spacing w:val="-3"/>
          <w:sz w:val="22"/>
        </w:rPr>
        <w:t> </w:t>
      </w:r>
      <w:r>
        <w:rPr>
          <w:rFonts w:ascii="Calibri"/>
          <w:sz w:val="22"/>
        </w:rPr>
        <w:t>services</w:t>
      </w:r>
      <w:r>
        <w:rPr>
          <w:rFonts w:ascii="Calibri"/>
          <w:spacing w:val="-3"/>
          <w:sz w:val="22"/>
        </w:rPr>
        <w:t> </w:t>
      </w:r>
      <w:r>
        <w:rPr>
          <w:rFonts w:ascii="Calibri"/>
          <w:sz w:val="22"/>
        </w:rPr>
        <w:t>in</w:t>
      </w:r>
      <w:r>
        <w:rPr>
          <w:rFonts w:ascii="Calibri"/>
          <w:spacing w:val="-3"/>
          <w:sz w:val="22"/>
        </w:rPr>
        <w:t> </w:t>
      </w:r>
      <w:r>
        <w:rPr>
          <w:rFonts w:ascii="Calibri"/>
          <w:sz w:val="22"/>
        </w:rPr>
        <w:t>both</w:t>
      </w:r>
      <w:r>
        <w:rPr>
          <w:rFonts w:ascii="Calibri"/>
          <w:spacing w:val="-3"/>
          <w:sz w:val="22"/>
        </w:rPr>
        <w:t> </w:t>
      </w:r>
      <w:r>
        <w:rPr>
          <w:rFonts w:ascii="Calibri"/>
          <w:sz w:val="22"/>
        </w:rPr>
        <w:t>languages and</w:t>
      </w:r>
      <w:r>
        <w:rPr>
          <w:rFonts w:ascii="Calibri"/>
          <w:spacing w:val="-1"/>
          <w:sz w:val="22"/>
        </w:rPr>
        <w:t> </w:t>
      </w:r>
      <w:r>
        <w:rPr>
          <w:rFonts w:ascii="Calibri"/>
          <w:sz w:val="22"/>
        </w:rPr>
        <w:t>also</w:t>
      </w:r>
      <w:r>
        <w:rPr>
          <w:rFonts w:ascii="Calibri"/>
          <w:spacing w:val="-2"/>
          <w:sz w:val="22"/>
        </w:rPr>
        <w:t> </w:t>
      </w:r>
      <w:r>
        <w:rPr>
          <w:rFonts w:ascii="Calibri"/>
          <w:sz w:val="22"/>
        </w:rPr>
        <w:t>to</w:t>
      </w:r>
      <w:r>
        <w:rPr>
          <w:rFonts w:ascii="Calibri"/>
          <w:spacing w:val="-1"/>
          <w:sz w:val="22"/>
        </w:rPr>
        <w:t> </w:t>
      </w:r>
      <w:r>
        <w:rPr>
          <w:rFonts w:ascii="Calibri"/>
          <w:sz w:val="22"/>
        </w:rPr>
        <w:t>encourage</w:t>
      </w:r>
      <w:r>
        <w:rPr>
          <w:rFonts w:ascii="Calibri"/>
          <w:spacing w:val="-2"/>
          <w:sz w:val="22"/>
        </w:rPr>
        <w:t> </w:t>
      </w:r>
      <w:r>
        <w:rPr>
          <w:rFonts w:ascii="Calibri"/>
          <w:sz w:val="22"/>
        </w:rPr>
        <w:t>confidence</w:t>
      </w:r>
      <w:r>
        <w:rPr>
          <w:rFonts w:ascii="Calibri"/>
          <w:spacing w:val="-1"/>
          <w:sz w:val="22"/>
        </w:rPr>
        <w:t> </w:t>
      </w:r>
      <w:r>
        <w:rPr>
          <w:rFonts w:ascii="Calibri"/>
          <w:sz w:val="22"/>
        </w:rPr>
        <w:t>in</w:t>
      </w:r>
      <w:r>
        <w:rPr>
          <w:rFonts w:ascii="Calibri"/>
          <w:spacing w:val="-1"/>
          <w:sz w:val="22"/>
        </w:rPr>
        <w:t> </w:t>
      </w:r>
      <w:r>
        <w:rPr>
          <w:rFonts w:ascii="Calibri"/>
          <w:sz w:val="22"/>
        </w:rPr>
        <w:t>the</w:t>
      </w:r>
      <w:r>
        <w:rPr>
          <w:rFonts w:ascii="Calibri"/>
          <w:spacing w:val="-1"/>
          <w:sz w:val="22"/>
        </w:rPr>
        <w:t> </w:t>
      </w:r>
      <w:r>
        <w:rPr>
          <w:rFonts w:ascii="Calibri"/>
          <w:sz w:val="22"/>
        </w:rPr>
        <w:t>use</w:t>
      </w:r>
      <w:r>
        <w:rPr>
          <w:rFonts w:ascii="Calibri"/>
          <w:spacing w:val="-2"/>
          <w:sz w:val="22"/>
        </w:rPr>
        <w:t> </w:t>
      </w:r>
      <w:r>
        <w:rPr>
          <w:rFonts w:ascii="Calibri"/>
          <w:sz w:val="22"/>
        </w:rPr>
        <w:t>of</w:t>
      </w:r>
      <w:r>
        <w:rPr>
          <w:rFonts w:ascii="Calibri"/>
          <w:spacing w:val="-1"/>
          <w:sz w:val="22"/>
        </w:rPr>
        <w:t> </w:t>
      </w:r>
      <w:r>
        <w:rPr>
          <w:rFonts w:ascii="Calibri"/>
          <w:sz w:val="22"/>
        </w:rPr>
        <w:t>the Welsh</w:t>
      </w:r>
      <w:r>
        <w:rPr>
          <w:rFonts w:ascii="Calibri"/>
          <w:spacing w:val="-2"/>
          <w:sz w:val="22"/>
        </w:rPr>
        <w:t> </w:t>
      </w:r>
      <w:r>
        <w:rPr>
          <w:rFonts w:ascii="Calibri"/>
          <w:sz w:val="22"/>
        </w:rPr>
        <w:t>language</w:t>
      </w:r>
      <w:r>
        <w:rPr>
          <w:rFonts w:ascii="Calibri"/>
          <w:spacing w:val="-2"/>
          <w:sz w:val="22"/>
        </w:rPr>
        <w:t> </w:t>
      </w:r>
      <w:r>
        <w:rPr>
          <w:rFonts w:ascii="Calibri"/>
          <w:sz w:val="22"/>
        </w:rPr>
        <w:t>day</w:t>
      </w:r>
      <w:r>
        <w:rPr>
          <w:rFonts w:ascii="Calibri"/>
          <w:spacing w:val="-2"/>
          <w:sz w:val="22"/>
        </w:rPr>
        <w:t> </w:t>
      </w:r>
      <w:r>
        <w:rPr>
          <w:rFonts w:ascii="Calibri"/>
          <w:sz w:val="22"/>
        </w:rPr>
        <w:t>to day</w:t>
      </w:r>
      <w:r>
        <w:rPr>
          <w:rFonts w:ascii="Calibri"/>
          <w:spacing w:val="-2"/>
          <w:sz w:val="22"/>
        </w:rPr>
        <w:t> </w:t>
      </w:r>
      <w:r>
        <w:rPr>
          <w:rFonts w:ascii="Calibri"/>
          <w:sz w:val="22"/>
        </w:rPr>
        <w:t>at</w:t>
      </w:r>
      <w:r>
        <w:rPr>
          <w:rFonts w:ascii="Calibri"/>
          <w:spacing w:val="-2"/>
          <w:sz w:val="22"/>
        </w:rPr>
        <w:t> </w:t>
      </w:r>
      <w:r>
        <w:rPr>
          <w:rFonts w:ascii="Calibri"/>
          <w:sz w:val="22"/>
        </w:rPr>
        <w:t>work</w:t>
      </w:r>
      <w:r>
        <w:rPr>
          <w:rFonts w:ascii="Calibri"/>
          <w:spacing w:val="-1"/>
          <w:sz w:val="22"/>
        </w:rPr>
        <w:t> </w:t>
      </w:r>
      <w:r>
        <w:rPr>
          <w:rFonts w:ascii="Calibri"/>
          <w:sz w:val="22"/>
        </w:rPr>
        <w:t>in</w:t>
      </w:r>
      <w:r>
        <w:rPr>
          <w:rFonts w:ascii="Calibri"/>
          <w:spacing w:val="-1"/>
          <w:sz w:val="22"/>
        </w:rPr>
        <w:t> </w:t>
      </w:r>
      <w:r>
        <w:rPr>
          <w:rFonts w:ascii="Calibri"/>
          <w:spacing w:val="-2"/>
          <w:sz w:val="22"/>
        </w:rPr>
        <w:t>NWSSP.</w:t>
      </w:r>
    </w:p>
    <w:p>
      <w:pPr>
        <w:pStyle w:val="BodyText"/>
        <w:spacing w:before="9"/>
        <w:rPr>
          <w:rFonts w:ascii="Calibri"/>
          <w:sz w:val="23"/>
        </w:rPr>
      </w:pPr>
    </w:p>
    <w:p>
      <w:pPr>
        <w:spacing w:line="259" w:lineRule="auto" w:before="0"/>
        <w:ind w:left="1440" w:right="1405" w:firstLine="0"/>
        <w:jc w:val="left"/>
        <w:rPr>
          <w:rFonts w:ascii="Calibri"/>
          <w:sz w:val="22"/>
        </w:rPr>
      </w:pPr>
      <w:r>
        <w:rPr>
          <w:rFonts w:ascii="Calibri"/>
          <w:sz w:val="22"/>
        </w:rPr>
        <w:t>Circumstances</w:t>
      </w:r>
      <w:r>
        <w:rPr>
          <w:rFonts w:ascii="Calibri"/>
          <w:spacing w:val="-4"/>
          <w:sz w:val="22"/>
        </w:rPr>
        <w:t> </w:t>
      </w:r>
      <w:r>
        <w:rPr>
          <w:rFonts w:ascii="Calibri"/>
          <w:sz w:val="22"/>
        </w:rPr>
        <w:t>remained</w:t>
      </w:r>
      <w:r>
        <w:rPr>
          <w:rFonts w:ascii="Calibri"/>
          <w:spacing w:val="-4"/>
          <w:sz w:val="22"/>
        </w:rPr>
        <w:t> </w:t>
      </w:r>
      <w:r>
        <w:rPr>
          <w:rFonts w:ascii="Calibri"/>
          <w:sz w:val="22"/>
        </w:rPr>
        <w:t>challenging</w:t>
      </w:r>
      <w:r>
        <w:rPr>
          <w:rFonts w:ascii="Calibri"/>
          <w:spacing w:val="-4"/>
          <w:sz w:val="22"/>
        </w:rPr>
        <w:t> </w:t>
      </w:r>
      <w:r>
        <w:rPr>
          <w:rFonts w:ascii="Calibri"/>
          <w:sz w:val="22"/>
        </w:rPr>
        <w:t>for</w:t>
      </w:r>
      <w:r>
        <w:rPr>
          <w:rFonts w:ascii="Calibri"/>
          <w:spacing w:val="-4"/>
          <w:sz w:val="22"/>
        </w:rPr>
        <w:t> </w:t>
      </w:r>
      <w:r>
        <w:rPr>
          <w:rFonts w:ascii="Calibri"/>
          <w:sz w:val="22"/>
        </w:rPr>
        <w:t>us</w:t>
      </w:r>
      <w:r>
        <w:rPr>
          <w:rFonts w:ascii="Calibri"/>
          <w:spacing w:val="-4"/>
          <w:sz w:val="22"/>
        </w:rPr>
        <w:t> </w:t>
      </w:r>
      <w:r>
        <w:rPr>
          <w:rFonts w:ascii="Calibri"/>
          <w:sz w:val="22"/>
        </w:rPr>
        <w:t>as</w:t>
      </w:r>
      <w:r>
        <w:rPr>
          <w:rFonts w:ascii="Calibri"/>
          <w:spacing w:val="-4"/>
          <w:sz w:val="22"/>
        </w:rPr>
        <w:t> </w:t>
      </w:r>
      <w:r>
        <w:rPr>
          <w:rFonts w:ascii="Calibri"/>
          <w:sz w:val="22"/>
        </w:rPr>
        <w:t>an</w:t>
      </w:r>
      <w:r>
        <w:rPr>
          <w:rFonts w:ascii="Calibri"/>
          <w:spacing w:val="-4"/>
          <w:sz w:val="22"/>
        </w:rPr>
        <w:t> </w:t>
      </w:r>
      <w:r>
        <w:rPr>
          <w:rFonts w:ascii="Calibri"/>
          <w:sz w:val="22"/>
        </w:rPr>
        <w:t>organisation</w:t>
      </w:r>
      <w:r>
        <w:rPr>
          <w:rFonts w:ascii="Calibri"/>
          <w:spacing w:val="-4"/>
          <w:sz w:val="22"/>
        </w:rPr>
        <w:t> </w:t>
      </w:r>
      <w:r>
        <w:rPr>
          <w:rFonts w:ascii="Calibri"/>
          <w:sz w:val="22"/>
        </w:rPr>
        <w:t>during</w:t>
      </w:r>
      <w:r>
        <w:rPr>
          <w:rFonts w:ascii="Calibri"/>
          <w:spacing w:val="-3"/>
          <w:sz w:val="22"/>
        </w:rPr>
        <w:t> </w:t>
      </w:r>
      <w:r>
        <w:rPr>
          <w:rFonts w:ascii="Calibri"/>
          <w:sz w:val="22"/>
        </w:rPr>
        <w:t>2021/22</w:t>
      </w:r>
      <w:r>
        <w:rPr>
          <w:rFonts w:ascii="Calibri"/>
          <w:spacing w:val="-3"/>
          <w:sz w:val="22"/>
        </w:rPr>
        <w:t> </w:t>
      </w:r>
      <w:r>
        <w:rPr>
          <w:rFonts w:ascii="Calibri"/>
          <w:sz w:val="22"/>
        </w:rPr>
        <w:t>where</w:t>
      </w:r>
      <w:r>
        <w:rPr>
          <w:rFonts w:ascii="Calibri"/>
          <w:spacing w:val="-3"/>
          <w:sz w:val="22"/>
        </w:rPr>
        <w:t> </w:t>
      </w:r>
      <w:r>
        <w:rPr>
          <w:rFonts w:ascii="Calibri"/>
          <w:sz w:val="22"/>
        </w:rPr>
        <w:t>staff</w:t>
      </w:r>
      <w:r>
        <w:rPr>
          <w:rFonts w:ascii="Calibri"/>
          <w:spacing w:val="-3"/>
          <w:sz w:val="22"/>
        </w:rPr>
        <w:t> </w:t>
      </w:r>
      <w:r>
        <w:rPr>
          <w:rFonts w:ascii="Calibri"/>
          <w:sz w:val="22"/>
        </w:rPr>
        <w:t>have</w:t>
      </w:r>
      <w:r>
        <w:rPr>
          <w:rFonts w:ascii="Calibri"/>
          <w:spacing w:val="-4"/>
          <w:sz w:val="22"/>
        </w:rPr>
        <w:t> </w:t>
      </w:r>
      <w:r>
        <w:rPr>
          <w:rFonts w:ascii="Calibri"/>
          <w:sz w:val="22"/>
        </w:rPr>
        <w:t>been working to achieve the delivery of its goals in the context of the COVID19 pandemic, whilst catching up with operations, project and plans that were put on hold during the previous year.</w:t>
      </w:r>
      <w:r>
        <w:rPr>
          <w:rFonts w:ascii="Calibri"/>
          <w:spacing w:val="80"/>
          <w:sz w:val="22"/>
        </w:rPr>
        <w:t> </w:t>
      </w:r>
      <w:r>
        <w:rPr>
          <w:rFonts w:ascii="Calibri"/>
          <w:sz w:val="22"/>
        </w:rPr>
        <w:t>We continue to have to review our priorities to address, respond and support other NHS organisations during the </w:t>
      </w:r>
      <w:r>
        <w:rPr>
          <w:rFonts w:ascii="Calibri"/>
          <w:spacing w:val="-2"/>
          <w:sz w:val="22"/>
        </w:rPr>
        <w:t>pandemic.</w:t>
      </w:r>
    </w:p>
    <w:p>
      <w:pPr>
        <w:pStyle w:val="BodyText"/>
        <w:spacing w:before="8"/>
        <w:rPr>
          <w:rFonts w:ascii="Calibri"/>
          <w:sz w:val="23"/>
        </w:rPr>
      </w:pPr>
    </w:p>
    <w:p>
      <w:pPr>
        <w:spacing w:line="259" w:lineRule="auto" w:before="0"/>
        <w:ind w:left="1440" w:right="1405" w:firstLine="0"/>
        <w:jc w:val="left"/>
        <w:rPr>
          <w:rFonts w:ascii="Calibri"/>
          <w:sz w:val="22"/>
        </w:rPr>
      </w:pPr>
      <w:r>
        <w:rPr>
          <w:rFonts w:ascii="Calibri"/>
          <w:sz w:val="22"/>
        </w:rPr>
        <w:t>NWSSP continued to work during difficult and challenging times during 2021/22, where plans were made,</w:t>
      </w:r>
      <w:r>
        <w:rPr>
          <w:rFonts w:ascii="Calibri"/>
          <w:spacing w:val="-4"/>
          <w:sz w:val="22"/>
        </w:rPr>
        <w:t> </w:t>
      </w:r>
      <w:r>
        <w:rPr>
          <w:rFonts w:ascii="Calibri"/>
          <w:sz w:val="22"/>
        </w:rPr>
        <w:t>were</w:t>
      </w:r>
      <w:r>
        <w:rPr>
          <w:rFonts w:ascii="Calibri"/>
          <w:spacing w:val="-3"/>
          <w:sz w:val="22"/>
        </w:rPr>
        <w:t> </w:t>
      </w:r>
      <w:r>
        <w:rPr>
          <w:rFonts w:ascii="Calibri"/>
          <w:sz w:val="22"/>
        </w:rPr>
        <w:t>rapidly</w:t>
      </w:r>
      <w:r>
        <w:rPr>
          <w:rFonts w:ascii="Calibri"/>
          <w:spacing w:val="-4"/>
          <w:sz w:val="22"/>
        </w:rPr>
        <w:t> </w:t>
      </w:r>
      <w:r>
        <w:rPr>
          <w:rFonts w:ascii="Calibri"/>
          <w:sz w:val="22"/>
        </w:rPr>
        <w:t>implemented,</w:t>
      </w:r>
      <w:r>
        <w:rPr>
          <w:rFonts w:ascii="Calibri"/>
          <w:spacing w:val="-4"/>
          <w:sz w:val="22"/>
        </w:rPr>
        <w:t> </w:t>
      </w:r>
      <w:r>
        <w:rPr>
          <w:rFonts w:ascii="Calibri"/>
          <w:sz w:val="22"/>
        </w:rPr>
        <w:t>and</w:t>
      </w:r>
      <w:r>
        <w:rPr>
          <w:rFonts w:ascii="Calibri"/>
          <w:spacing w:val="-4"/>
          <w:sz w:val="22"/>
        </w:rPr>
        <w:t> </w:t>
      </w:r>
      <w:r>
        <w:rPr>
          <w:rFonts w:ascii="Calibri"/>
          <w:sz w:val="22"/>
        </w:rPr>
        <w:t>are</w:t>
      </w:r>
      <w:r>
        <w:rPr>
          <w:rFonts w:ascii="Calibri"/>
          <w:spacing w:val="-4"/>
          <w:sz w:val="22"/>
        </w:rPr>
        <w:t> </w:t>
      </w:r>
      <w:r>
        <w:rPr>
          <w:rFonts w:ascii="Calibri"/>
          <w:sz w:val="22"/>
        </w:rPr>
        <w:t>reassessed</w:t>
      </w:r>
      <w:r>
        <w:rPr>
          <w:rFonts w:ascii="Calibri"/>
          <w:spacing w:val="-3"/>
          <w:sz w:val="22"/>
        </w:rPr>
        <w:t> </w:t>
      </w:r>
      <w:r>
        <w:rPr>
          <w:rFonts w:ascii="Calibri"/>
          <w:sz w:val="22"/>
        </w:rPr>
        <w:t>daily</w:t>
      </w:r>
      <w:r>
        <w:rPr>
          <w:rFonts w:ascii="Calibri"/>
          <w:spacing w:val="-4"/>
          <w:sz w:val="22"/>
        </w:rPr>
        <w:t> </w:t>
      </w:r>
      <w:r>
        <w:rPr>
          <w:rFonts w:ascii="Calibri"/>
          <w:sz w:val="22"/>
        </w:rPr>
        <w:t>to</w:t>
      </w:r>
      <w:r>
        <w:rPr>
          <w:rFonts w:ascii="Calibri"/>
          <w:spacing w:val="-3"/>
          <w:sz w:val="22"/>
        </w:rPr>
        <w:t> </w:t>
      </w:r>
      <w:r>
        <w:rPr>
          <w:rFonts w:ascii="Calibri"/>
          <w:sz w:val="22"/>
        </w:rPr>
        <w:t>meet</w:t>
      </w:r>
      <w:r>
        <w:rPr>
          <w:rFonts w:ascii="Calibri"/>
          <w:spacing w:val="-3"/>
          <w:sz w:val="22"/>
        </w:rPr>
        <w:t> </w:t>
      </w:r>
      <w:r>
        <w:rPr>
          <w:rFonts w:ascii="Calibri"/>
          <w:sz w:val="22"/>
        </w:rPr>
        <w:t>shifting</w:t>
      </w:r>
      <w:r>
        <w:rPr>
          <w:rFonts w:ascii="Calibri"/>
          <w:spacing w:val="-4"/>
          <w:sz w:val="22"/>
        </w:rPr>
        <w:t> </w:t>
      </w:r>
      <w:r>
        <w:rPr>
          <w:rFonts w:ascii="Calibri"/>
          <w:sz w:val="22"/>
        </w:rPr>
        <w:t>and</w:t>
      </w:r>
      <w:r>
        <w:rPr>
          <w:rFonts w:ascii="Calibri"/>
          <w:spacing w:val="-3"/>
          <w:sz w:val="22"/>
        </w:rPr>
        <w:t> </w:t>
      </w:r>
      <w:r>
        <w:rPr>
          <w:rFonts w:ascii="Calibri"/>
          <w:sz w:val="22"/>
        </w:rPr>
        <w:t>changing</w:t>
      </w:r>
      <w:r>
        <w:rPr>
          <w:rFonts w:ascii="Calibri"/>
          <w:spacing w:val="-4"/>
          <w:sz w:val="22"/>
        </w:rPr>
        <w:t> </w:t>
      </w:r>
      <w:r>
        <w:rPr>
          <w:rFonts w:ascii="Calibri"/>
          <w:sz w:val="22"/>
        </w:rPr>
        <w:t>demands. Staff</w:t>
      </w:r>
      <w:r>
        <w:rPr>
          <w:rFonts w:ascii="Calibri"/>
          <w:spacing w:val="-1"/>
          <w:sz w:val="22"/>
        </w:rPr>
        <w:t> </w:t>
      </w:r>
      <w:r>
        <w:rPr>
          <w:rFonts w:ascii="Calibri"/>
          <w:sz w:val="22"/>
        </w:rPr>
        <w:t>have</w:t>
      </w:r>
      <w:r>
        <w:rPr>
          <w:rFonts w:ascii="Calibri"/>
          <w:spacing w:val="-1"/>
          <w:sz w:val="22"/>
        </w:rPr>
        <w:t> </w:t>
      </w:r>
      <w:r>
        <w:rPr>
          <w:rFonts w:ascii="Calibri"/>
          <w:sz w:val="22"/>
        </w:rPr>
        <w:t>demonstrated,</w:t>
      </w:r>
      <w:r>
        <w:rPr>
          <w:rFonts w:ascii="Calibri"/>
          <w:spacing w:val="-1"/>
          <w:sz w:val="22"/>
        </w:rPr>
        <w:t> </w:t>
      </w:r>
      <w:r>
        <w:rPr>
          <w:rFonts w:ascii="Calibri"/>
          <w:sz w:val="22"/>
        </w:rPr>
        <w:t>and</w:t>
      </w:r>
      <w:r>
        <w:rPr>
          <w:rFonts w:ascii="Calibri"/>
          <w:spacing w:val="-1"/>
          <w:sz w:val="22"/>
        </w:rPr>
        <w:t> </w:t>
      </w:r>
      <w:r>
        <w:rPr>
          <w:rFonts w:ascii="Calibri"/>
          <w:sz w:val="22"/>
        </w:rPr>
        <w:t>are</w:t>
      </w:r>
      <w:r>
        <w:rPr>
          <w:rFonts w:ascii="Calibri"/>
          <w:spacing w:val="-1"/>
          <w:sz w:val="22"/>
        </w:rPr>
        <w:t> </w:t>
      </w:r>
      <w:r>
        <w:rPr>
          <w:rFonts w:ascii="Calibri"/>
          <w:sz w:val="22"/>
        </w:rPr>
        <w:t>still</w:t>
      </w:r>
      <w:r>
        <w:rPr>
          <w:rFonts w:ascii="Calibri"/>
          <w:spacing w:val="-1"/>
          <w:sz w:val="22"/>
        </w:rPr>
        <w:t> </w:t>
      </w:r>
      <w:r>
        <w:rPr>
          <w:rFonts w:ascii="Calibri"/>
          <w:sz w:val="22"/>
        </w:rPr>
        <w:t>demonstrating,</w:t>
      </w:r>
      <w:r>
        <w:rPr>
          <w:rFonts w:ascii="Calibri"/>
          <w:spacing w:val="-1"/>
          <w:sz w:val="22"/>
        </w:rPr>
        <w:t> </w:t>
      </w:r>
      <w:r>
        <w:rPr>
          <w:rFonts w:ascii="Calibri"/>
          <w:sz w:val="22"/>
        </w:rPr>
        <w:t>dedication and</w:t>
      </w:r>
      <w:r>
        <w:rPr>
          <w:rFonts w:ascii="Calibri"/>
          <w:spacing w:val="-1"/>
          <w:sz w:val="22"/>
        </w:rPr>
        <w:t> </w:t>
      </w:r>
      <w:r>
        <w:rPr>
          <w:rFonts w:ascii="Calibri"/>
          <w:sz w:val="22"/>
        </w:rPr>
        <w:t>commitment to ensuring that our service-users receive their service in their language of choice and that a bilingual service is </w:t>
      </w:r>
      <w:r>
        <w:rPr>
          <w:rFonts w:ascii="Calibri"/>
          <w:spacing w:val="-2"/>
          <w:sz w:val="22"/>
        </w:rPr>
        <w:t>provided.</w:t>
      </w:r>
    </w:p>
    <w:p>
      <w:pPr>
        <w:spacing w:after="0" w:line="259" w:lineRule="auto"/>
        <w:jc w:val="left"/>
        <w:rPr>
          <w:rFonts w:ascii="Calibri"/>
          <w:sz w:val="22"/>
        </w:rPr>
        <w:sectPr>
          <w:footerReference w:type="default" r:id="rId212"/>
          <w:pgSz w:w="11910" w:h="16840"/>
          <w:pgMar w:footer="173" w:header="0" w:top="1400" w:bottom="360" w:left="0" w:right="0"/>
          <w:pgNumType w:start="3"/>
        </w:sectPr>
      </w:pPr>
    </w:p>
    <w:p>
      <w:pPr>
        <w:pStyle w:val="Heading7"/>
        <w:spacing w:before="22"/>
        <w:jc w:val="both"/>
      </w:pPr>
      <w:r>
        <w:rPr/>
        <w:t>Background</w:t>
      </w:r>
      <w:r>
        <w:rPr>
          <w:spacing w:val="-4"/>
        </w:rPr>
        <w:t> </w:t>
      </w:r>
      <w:r>
        <w:rPr/>
        <w:t>–</w:t>
      </w:r>
      <w:r>
        <w:rPr>
          <w:spacing w:val="-3"/>
        </w:rPr>
        <w:t> </w:t>
      </w:r>
      <w:r>
        <w:rPr/>
        <w:t>The</w:t>
      </w:r>
      <w:r>
        <w:rPr>
          <w:spacing w:val="-3"/>
        </w:rPr>
        <w:t> </w:t>
      </w:r>
      <w:r>
        <w:rPr/>
        <w:t>Duty</w:t>
      </w:r>
      <w:r>
        <w:rPr>
          <w:spacing w:val="-2"/>
        </w:rPr>
        <w:t> </w:t>
      </w:r>
      <w:r>
        <w:rPr/>
        <w:t>of</w:t>
      </w:r>
      <w:r>
        <w:rPr>
          <w:spacing w:val="-2"/>
        </w:rPr>
        <w:t> </w:t>
      </w:r>
      <w:r>
        <w:rPr/>
        <w:t>the</w:t>
      </w:r>
      <w:r>
        <w:rPr>
          <w:spacing w:val="-2"/>
        </w:rPr>
        <w:t> </w:t>
      </w:r>
      <w:r>
        <w:rPr/>
        <w:t>Welsh</w:t>
      </w:r>
      <w:r>
        <w:rPr>
          <w:spacing w:val="-3"/>
        </w:rPr>
        <w:t> </w:t>
      </w:r>
      <w:r>
        <w:rPr/>
        <w:t>Language</w:t>
      </w:r>
      <w:r>
        <w:rPr>
          <w:spacing w:val="-2"/>
        </w:rPr>
        <w:t> Standards</w:t>
      </w:r>
    </w:p>
    <w:p>
      <w:pPr>
        <w:spacing w:before="27"/>
        <w:ind w:left="1440" w:right="1514" w:firstLine="0"/>
        <w:jc w:val="both"/>
        <w:rPr>
          <w:rFonts w:ascii="Calibri"/>
          <w:sz w:val="22"/>
        </w:rPr>
      </w:pPr>
      <w:r>
        <w:rPr>
          <w:rFonts w:ascii="Calibri"/>
          <w:sz w:val="22"/>
        </w:rPr>
        <w:t>The</w:t>
      </w:r>
      <w:r>
        <w:rPr>
          <w:rFonts w:ascii="Calibri"/>
          <w:spacing w:val="-3"/>
          <w:sz w:val="22"/>
        </w:rPr>
        <w:t> </w:t>
      </w:r>
      <w:r>
        <w:rPr>
          <w:rFonts w:ascii="Calibri"/>
          <w:sz w:val="22"/>
        </w:rPr>
        <w:t>Welsh</w:t>
      </w:r>
      <w:r>
        <w:rPr>
          <w:rFonts w:ascii="Calibri"/>
          <w:spacing w:val="-2"/>
          <w:sz w:val="22"/>
        </w:rPr>
        <w:t> </w:t>
      </w:r>
      <w:r>
        <w:rPr>
          <w:rFonts w:ascii="Calibri"/>
          <w:sz w:val="22"/>
        </w:rPr>
        <w:t>Language</w:t>
      </w:r>
      <w:r>
        <w:rPr>
          <w:rFonts w:ascii="Calibri"/>
          <w:spacing w:val="-2"/>
          <w:sz w:val="22"/>
        </w:rPr>
        <w:t> </w:t>
      </w:r>
      <w:r>
        <w:rPr>
          <w:rFonts w:ascii="Calibri"/>
          <w:sz w:val="22"/>
        </w:rPr>
        <w:t>(Wales)</w:t>
      </w:r>
      <w:r>
        <w:rPr>
          <w:rFonts w:ascii="Calibri"/>
          <w:spacing w:val="-3"/>
          <w:sz w:val="22"/>
        </w:rPr>
        <w:t> </w:t>
      </w:r>
      <w:r>
        <w:rPr>
          <w:rFonts w:ascii="Calibri"/>
          <w:sz w:val="22"/>
        </w:rPr>
        <w:t>Measure</w:t>
      </w:r>
      <w:r>
        <w:rPr>
          <w:rFonts w:ascii="Calibri"/>
          <w:spacing w:val="-2"/>
          <w:sz w:val="22"/>
        </w:rPr>
        <w:t> </w:t>
      </w:r>
      <w:r>
        <w:rPr>
          <w:rFonts w:ascii="Calibri"/>
          <w:sz w:val="22"/>
        </w:rPr>
        <w:t>2011</w:t>
      </w:r>
      <w:r>
        <w:rPr>
          <w:rFonts w:ascii="Calibri"/>
          <w:spacing w:val="-2"/>
          <w:sz w:val="22"/>
        </w:rPr>
        <w:t> </w:t>
      </w:r>
      <w:r>
        <w:rPr>
          <w:rFonts w:ascii="Calibri"/>
          <w:sz w:val="22"/>
        </w:rPr>
        <w:t>establishes</w:t>
      </w:r>
      <w:r>
        <w:rPr>
          <w:rFonts w:ascii="Calibri"/>
          <w:spacing w:val="-3"/>
          <w:sz w:val="22"/>
        </w:rPr>
        <w:t> </w:t>
      </w:r>
      <w:r>
        <w:rPr>
          <w:rFonts w:ascii="Calibri"/>
          <w:sz w:val="22"/>
        </w:rPr>
        <w:t>a</w:t>
      </w:r>
      <w:r>
        <w:rPr>
          <w:rFonts w:ascii="Calibri"/>
          <w:spacing w:val="-3"/>
          <w:sz w:val="22"/>
        </w:rPr>
        <w:t> </w:t>
      </w:r>
      <w:r>
        <w:rPr>
          <w:rFonts w:ascii="Calibri"/>
          <w:sz w:val="22"/>
        </w:rPr>
        <w:t>legal</w:t>
      </w:r>
      <w:r>
        <w:rPr>
          <w:rFonts w:ascii="Calibri"/>
          <w:spacing w:val="-2"/>
          <w:sz w:val="22"/>
        </w:rPr>
        <w:t> </w:t>
      </w:r>
      <w:r>
        <w:rPr>
          <w:rFonts w:ascii="Calibri"/>
          <w:sz w:val="22"/>
        </w:rPr>
        <w:t>framework</w:t>
      </w:r>
      <w:r>
        <w:rPr>
          <w:rFonts w:ascii="Calibri"/>
          <w:spacing w:val="-2"/>
          <w:sz w:val="22"/>
        </w:rPr>
        <w:t> </w:t>
      </w:r>
      <w:r>
        <w:rPr>
          <w:rFonts w:ascii="Calibri"/>
          <w:sz w:val="22"/>
        </w:rPr>
        <w:t>that</w:t>
      </w:r>
      <w:r>
        <w:rPr>
          <w:rFonts w:ascii="Calibri"/>
          <w:spacing w:val="-2"/>
          <w:sz w:val="22"/>
        </w:rPr>
        <w:t> </w:t>
      </w:r>
      <w:r>
        <w:rPr>
          <w:rFonts w:ascii="Calibri"/>
          <w:sz w:val="22"/>
        </w:rPr>
        <w:t>places</w:t>
      </w:r>
      <w:r>
        <w:rPr>
          <w:rFonts w:ascii="Calibri"/>
          <w:spacing w:val="-3"/>
          <w:sz w:val="22"/>
        </w:rPr>
        <w:t> </w:t>
      </w:r>
      <w:r>
        <w:rPr>
          <w:rFonts w:ascii="Calibri"/>
          <w:sz w:val="22"/>
        </w:rPr>
        <w:t>a</w:t>
      </w:r>
      <w:r>
        <w:rPr>
          <w:rFonts w:ascii="Calibri"/>
          <w:spacing w:val="-2"/>
          <w:sz w:val="22"/>
        </w:rPr>
        <w:t> </w:t>
      </w:r>
      <w:r>
        <w:rPr>
          <w:rFonts w:ascii="Calibri"/>
          <w:sz w:val="22"/>
        </w:rPr>
        <w:t>duty</w:t>
      </w:r>
      <w:r>
        <w:rPr>
          <w:rFonts w:ascii="Calibri"/>
          <w:spacing w:val="-3"/>
          <w:sz w:val="22"/>
        </w:rPr>
        <w:t> </w:t>
      </w:r>
      <w:r>
        <w:rPr>
          <w:rFonts w:ascii="Calibri"/>
          <w:sz w:val="22"/>
        </w:rPr>
        <w:t>on</w:t>
      </w:r>
      <w:r>
        <w:rPr>
          <w:rFonts w:ascii="Calibri"/>
          <w:spacing w:val="-2"/>
          <w:sz w:val="22"/>
        </w:rPr>
        <w:t> </w:t>
      </w:r>
      <w:r>
        <w:rPr>
          <w:rFonts w:ascii="Calibri"/>
          <w:sz w:val="22"/>
        </w:rPr>
        <w:t>NHS Wales Shared Services Partnership (NWSSP) to comply with the Welsh Language Standards (no.7) in relation to the Welsh language.</w:t>
      </w:r>
    </w:p>
    <w:p>
      <w:pPr>
        <w:pStyle w:val="BodyText"/>
        <w:rPr>
          <w:rFonts w:ascii="Calibri"/>
          <w:sz w:val="22"/>
        </w:rPr>
      </w:pPr>
    </w:p>
    <w:p>
      <w:pPr>
        <w:spacing w:before="0"/>
        <w:ind w:left="1440" w:right="0" w:firstLine="0"/>
        <w:jc w:val="both"/>
        <w:rPr>
          <w:rFonts w:ascii="Calibri"/>
          <w:sz w:val="22"/>
        </w:rPr>
      </w:pPr>
      <w:r>
        <w:rPr>
          <w:rFonts w:ascii="Calibri"/>
          <w:sz w:val="22"/>
        </w:rPr>
        <w:t>The</w:t>
      </w:r>
      <w:r>
        <w:rPr>
          <w:rFonts w:ascii="Calibri"/>
          <w:spacing w:val="-6"/>
          <w:sz w:val="22"/>
        </w:rPr>
        <w:t> </w:t>
      </w:r>
      <w:r>
        <w:rPr>
          <w:rFonts w:ascii="Calibri"/>
          <w:sz w:val="22"/>
        </w:rPr>
        <w:t>individual</w:t>
      </w:r>
      <w:r>
        <w:rPr>
          <w:rFonts w:ascii="Calibri"/>
          <w:spacing w:val="-3"/>
          <w:sz w:val="22"/>
        </w:rPr>
        <w:t> </w:t>
      </w:r>
      <w:r>
        <w:rPr>
          <w:rFonts w:ascii="Calibri"/>
          <w:sz w:val="22"/>
        </w:rPr>
        <w:t>standards</w:t>
      </w:r>
      <w:r>
        <w:rPr>
          <w:rFonts w:ascii="Calibri"/>
          <w:spacing w:val="-4"/>
          <w:sz w:val="22"/>
        </w:rPr>
        <w:t> </w:t>
      </w:r>
      <w:r>
        <w:rPr>
          <w:rFonts w:ascii="Calibri"/>
          <w:sz w:val="22"/>
        </w:rPr>
        <w:t>explain</w:t>
      </w:r>
      <w:r>
        <w:rPr>
          <w:rFonts w:ascii="Calibri"/>
          <w:spacing w:val="-3"/>
          <w:sz w:val="22"/>
        </w:rPr>
        <w:t> </w:t>
      </w:r>
      <w:r>
        <w:rPr>
          <w:rFonts w:ascii="Calibri"/>
          <w:sz w:val="22"/>
        </w:rPr>
        <w:t>how</w:t>
      </w:r>
      <w:r>
        <w:rPr>
          <w:rFonts w:ascii="Calibri"/>
          <w:spacing w:val="-4"/>
          <w:sz w:val="22"/>
        </w:rPr>
        <w:t> </w:t>
      </w:r>
      <w:r>
        <w:rPr>
          <w:rFonts w:ascii="Calibri"/>
          <w:sz w:val="22"/>
        </w:rPr>
        <w:t>we</w:t>
      </w:r>
      <w:r>
        <w:rPr>
          <w:rFonts w:ascii="Calibri"/>
          <w:spacing w:val="-4"/>
          <w:sz w:val="22"/>
        </w:rPr>
        <w:t> </w:t>
      </w:r>
      <w:r>
        <w:rPr>
          <w:rFonts w:ascii="Calibri"/>
          <w:sz w:val="22"/>
        </w:rPr>
        <w:t>are</w:t>
      </w:r>
      <w:r>
        <w:rPr>
          <w:rFonts w:ascii="Calibri"/>
          <w:spacing w:val="-4"/>
          <w:sz w:val="22"/>
        </w:rPr>
        <w:t> </w:t>
      </w:r>
      <w:r>
        <w:rPr>
          <w:rFonts w:ascii="Calibri"/>
          <w:sz w:val="22"/>
        </w:rPr>
        <w:t>expected</w:t>
      </w:r>
      <w:r>
        <w:rPr>
          <w:rFonts w:ascii="Calibri"/>
          <w:spacing w:val="-2"/>
          <w:sz w:val="22"/>
        </w:rPr>
        <w:t> </w:t>
      </w:r>
      <w:r>
        <w:rPr>
          <w:rFonts w:ascii="Calibri"/>
          <w:spacing w:val="-5"/>
          <w:sz w:val="22"/>
        </w:rPr>
        <w:t>to:</w:t>
      </w:r>
    </w:p>
    <w:p>
      <w:pPr>
        <w:pStyle w:val="ListParagraph"/>
        <w:numPr>
          <w:ilvl w:val="0"/>
          <w:numId w:val="44"/>
        </w:numPr>
        <w:tabs>
          <w:tab w:pos="2204" w:val="left" w:leader="none"/>
          <w:tab w:pos="2205" w:val="left" w:leader="none"/>
        </w:tabs>
        <w:spacing w:line="240" w:lineRule="auto" w:before="0" w:after="0"/>
        <w:ind w:left="2204" w:right="0" w:hanging="360"/>
        <w:jc w:val="left"/>
        <w:rPr>
          <w:rFonts w:ascii="Calibri" w:hAnsi="Calibri"/>
          <w:sz w:val="22"/>
        </w:rPr>
      </w:pPr>
      <w:r>
        <w:rPr>
          <w:rFonts w:ascii="Calibri" w:hAnsi="Calibri"/>
          <w:sz w:val="22"/>
        </w:rPr>
        <w:t>Develop</w:t>
      </w:r>
      <w:r>
        <w:rPr>
          <w:rFonts w:ascii="Calibri" w:hAnsi="Calibri"/>
          <w:spacing w:val="-4"/>
          <w:sz w:val="22"/>
        </w:rPr>
        <w:t> </w:t>
      </w:r>
      <w:r>
        <w:rPr>
          <w:rFonts w:ascii="Calibri" w:hAnsi="Calibri"/>
          <w:sz w:val="22"/>
        </w:rPr>
        <w:t>and</w:t>
      </w:r>
      <w:r>
        <w:rPr>
          <w:rFonts w:ascii="Calibri" w:hAnsi="Calibri"/>
          <w:spacing w:val="-2"/>
          <w:sz w:val="22"/>
        </w:rPr>
        <w:t> </w:t>
      </w:r>
      <w:r>
        <w:rPr>
          <w:rFonts w:ascii="Calibri" w:hAnsi="Calibri"/>
          <w:sz w:val="22"/>
        </w:rPr>
        <w:t>deliver</w:t>
      </w:r>
      <w:r>
        <w:rPr>
          <w:rFonts w:ascii="Calibri" w:hAnsi="Calibri"/>
          <w:spacing w:val="-2"/>
          <w:sz w:val="22"/>
        </w:rPr>
        <w:t> </w:t>
      </w:r>
      <w:r>
        <w:rPr>
          <w:rFonts w:ascii="Calibri" w:hAnsi="Calibri"/>
          <w:sz w:val="22"/>
        </w:rPr>
        <w:t>our</w:t>
      </w:r>
      <w:r>
        <w:rPr>
          <w:rFonts w:ascii="Calibri" w:hAnsi="Calibri"/>
          <w:spacing w:val="-2"/>
          <w:sz w:val="22"/>
        </w:rPr>
        <w:t> </w:t>
      </w:r>
      <w:r>
        <w:rPr>
          <w:rFonts w:ascii="Calibri" w:hAnsi="Calibri"/>
          <w:sz w:val="22"/>
        </w:rPr>
        <w:t>services</w:t>
      </w:r>
      <w:r>
        <w:rPr>
          <w:rFonts w:ascii="Calibri" w:hAnsi="Calibri"/>
          <w:spacing w:val="-2"/>
          <w:sz w:val="22"/>
        </w:rPr>
        <w:t> </w:t>
      </w:r>
      <w:r>
        <w:rPr>
          <w:rFonts w:ascii="Calibri" w:hAnsi="Calibri"/>
          <w:sz w:val="22"/>
        </w:rPr>
        <w:t>through</w:t>
      </w:r>
      <w:r>
        <w:rPr>
          <w:rFonts w:ascii="Calibri" w:hAnsi="Calibri"/>
          <w:spacing w:val="-2"/>
          <w:sz w:val="22"/>
        </w:rPr>
        <w:t> </w:t>
      </w:r>
      <w:r>
        <w:rPr>
          <w:rFonts w:ascii="Calibri" w:hAnsi="Calibri"/>
          <w:sz w:val="22"/>
        </w:rPr>
        <w:t>the</w:t>
      </w:r>
      <w:r>
        <w:rPr>
          <w:rFonts w:ascii="Calibri" w:hAnsi="Calibri"/>
          <w:spacing w:val="-1"/>
          <w:sz w:val="22"/>
        </w:rPr>
        <w:t> </w:t>
      </w:r>
      <w:r>
        <w:rPr>
          <w:rFonts w:ascii="Calibri" w:hAnsi="Calibri"/>
          <w:sz w:val="22"/>
        </w:rPr>
        <w:t>medium</w:t>
      </w:r>
      <w:r>
        <w:rPr>
          <w:rFonts w:ascii="Calibri" w:hAnsi="Calibri"/>
          <w:spacing w:val="-2"/>
          <w:sz w:val="22"/>
        </w:rPr>
        <w:t> </w:t>
      </w:r>
      <w:r>
        <w:rPr>
          <w:rFonts w:ascii="Calibri" w:hAnsi="Calibri"/>
          <w:sz w:val="22"/>
        </w:rPr>
        <w:t>of</w:t>
      </w:r>
      <w:r>
        <w:rPr>
          <w:rFonts w:ascii="Calibri" w:hAnsi="Calibri"/>
          <w:spacing w:val="-2"/>
          <w:sz w:val="22"/>
        </w:rPr>
        <w:t> Welsh.</w:t>
      </w:r>
    </w:p>
    <w:p>
      <w:pPr>
        <w:pStyle w:val="ListParagraph"/>
        <w:numPr>
          <w:ilvl w:val="0"/>
          <w:numId w:val="44"/>
        </w:numPr>
        <w:tabs>
          <w:tab w:pos="2204" w:val="left" w:leader="none"/>
          <w:tab w:pos="2205" w:val="left" w:leader="none"/>
        </w:tabs>
        <w:spacing w:line="240" w:lineRule="auto" w:before="0" w:after="0"/>
        <w:ind w:left="2204" w:right="0" w:hanging="360"/>
        <w:jc w:val="left"/>
        <w:rPr>
          <w:rFonts w:ascii="Calibri" w:hAnsi="Calibri"/>
          <w:sz w:val="22"/>
        </w:rPr>
      </w:pPr>
      <w:r>
        <w:rPr>
          <w:rFonts w:ascii="Calibri" w:hAnsi="Calibri"/>
          <w:sz w:val="22"/>
        </w:rPr>
        <w:t>Develop</w:t>
      </w:r>
      <w:r>
        <w:rPr>
          <w:rFonts w:ascii="Calibri" w:hAnsi="Calibri"/>
          <w:spacing w:val="-4"/>
          <w:sz w:val="22"/>
        </w:rPr>
        <w:t> </w:t>
      </w:r>
      <w:r>
        <w:rPr>
          <w:rFonts w:ascii="Calibri" w:hAnsi="Calibri"/>
          <w:sz w:val="22"/>
        </w:rPr>
        <w:t>and</w:t>
      </w:r>
      <w:r>
        <w:rPr>
          <w:rFonts w:ascii="Calibri" w:hAnsi="Calibri"/>
          <w:spacing w:val="-2"/>
          <w:sz w:val="22"/>
        </w:rPr>
        <w:t> </w:t>
      </w:r>
      <w:r>
        <w:rPr>
          <w:rFonts w:ascii="Calibri" w:hAnsi="Calibri"/>
          <w:sz w:val="22"/>
        </w:rPr>
        <w:t>implement</w:t>
      </w:r>
      <w:r>
        <w:rPr>
          <w:rFonts w:ascii="Calibri" w:hAnsi="Calibri"/>
          <w:spacing w:val="-2"/>
          <w:sz w:val="22"/>
        </w:rPr>
        <w:t> </w:t>
      </w:r>
      <w:r>
        <w:rPr>
          <w:rFonts w:ascii="Calibri" w:hAnsi="Calibri"/>
          <w:sz w:val="22"/>
        </w:rPr>
        <w:t>policies</w:t>
      </w:r>
      <w:r>
        <w:rPr>
          <w:rFonts w:ascii="Calibri" w:hAnsi="Calibri"/>
          <w:spacing w:val="-2"/>
          <w:sz w:val="22"/>
        </w:rPr>
        <w:t> </w:t>
      </w:r>
      <w:r>
        <w:rPr>
          <w:rFonts w:ascii="Calibri" w:hAnsi="Calibri"/>
          <w:sz w:val="22"/>
        </w:rPr>
        <w:t>and</w:t>
      </w:r>
      <w:r>
        <w:rPr>
          <w:rFonts w:ascii="Calibri" w:hAnsi="Calibri"/>
          <w:spacing w:val="-1"/>
          <w:sz w:val="22"/>
        </w:rPr>
        <w:t> </w:t>
      </w:r>
      <w:r>
        <w:rPr>
          <w:rFonts w:ascii="Calibri" w:hAnsi="Calibri"/>
          <w:sz w:val="22"/>
        </w:rPr>
        <w:t>protocols</w:t>
      </w:r>
      <w:r>
        <w:rPr>
          <w:rFonts w:ascii="Calibri" w:hAnsi="Calibri"/>
          <w:spacing w:val="-3"/>
          <w:sz w:val="22"/>
        </w:rPr>
        <w:t> </w:t>
      </w:r>
      <w:r>
        <w:rPr>
          <w:rFonts w:ascii="Calibri" w:hAnsi="Calibri"/>
          <w:sz w:val="22"/>
        </w:rPr>
        <w:t>that</w:t>
      </w:r>
      <w:r>
        <w:rPr>
          <w:rFonts w:ascii="Calibri" w:hAnsi="Calibri"/>
          <w:spacing w:val="-3"/>
          <w:sz w:val="22"/>
        </w:rPr>
        <w:t> </w:t>
      </w:r>
      <w:r>
        <w:rPr>
          <w:rFonts w:ascii="Calibri" w:hAnsi="Calibri"/>
          <w:sz w:val="22"/>
        </w:rPr>
        <w:t>support</w:t>
      </w:r>
      <w:r>
        <w:rPr>
          <w:rFonts w:ascii="Calibri" w:hAnsi="Calibri"/>
          <w:spacing w:val="-3"/>
          <w:sz w:val="22"/>
        </w:rPr>
        <w:t> </w:t>
      </w:r>
      <w:r>
        <w:rPr>
          <w:rFonts w:ascii="Calibri" w:hAnsi="Calibri"/>
          <w:sz w:val="22"/>
        </w:rPr>
        <w:t>the</w:t>
      </w:r>
      <w:r>
        <w:rPr>
          <w:rFonts w:ascii="Calibri" w:hAnsi="Calibri"/>
          <w:spacing w:val="-1"/>
          <w:sz w:val="22"/>
        </w:rPr>
        <w:t> </w:t>
      </w:r>
      <w:r>
        <w:rPr>
          <w:rFonts w:ascii="Calibri" w:hAnsi="Calibri"/>
          <w:sz w:val="22"/>
        </w:rPr>
        <w:t>use</w:t>
      </w:r>
      <w:r>
        <w:rPr>
          <w:rFonts w:ascii="Calibri" w:hAnsi="Calibri"/>
          <w:spacing w:val="-3"/>
          <w:sz w:val="22"/>
        </w:rPr>
        <w:t> </w:t>
      </w:r>
      <w:r>
        <w:rPr>
          <w:rFonts w:ascii="Calibri" w:hAnsi="Calibri"/>
          <w:sz w:val="22"/>
        </w:rPr>
        <w:t>of</w:t>
      </w:r>
      <w:r>
        <w:rPr>
          <w:rFonts w:ascii="Calibri" w:hAnsi="Calibri"/>
          <w:spacing w:val="-3"/>
          <w:sz w:val="22"/>
        </w:rPr>
        <w:t> </w:t>
      </w:r>
      <w:r>
        <w:rPr>
          <w:rFonts w:ascii="Calibri" w:hAnsi="Calibri"/>
          <w:sz w:val="22"/>
        </w:rPr>
        <w:t>the</w:t>
      </w:r>
      <w:r>
        <w:rPr>
          <w:rFonts w:ascii="Calibri" w:hAnsi="Calibri"/>
          <w:spacing w:val="-2"/>
          <w:sz w:val="22"/>
        </w:rPr>
        <w:t> </w:t>
      </w:r>
      <w:r>
        <w:rPr>
          <w:rFonts w:ascii="Calibri" w:hAnsi="Calibri"/>
          <w:sz w:val="22"/>
        </w:rPr>
        <w:t>Welsh</w:t>
      </w:r>
      <w:r>
        <w:rPr>
          <w:rFonts w:ascii="Calibri" w:hAnsi="Calibri"/>
          <w:spacing w:val="-2"/>
          <w:sz w:val="22"/>
        </w:rPr>
        <w:t> language.</w:t>
      </w:r>
    </w:p>
    <w:p>
      <w:pPr>
        <w:pStyle w:val="ListParagraph"/>
        <w:numPr>
          <w:ilvl w:val="0"/>
          <w:numId w:val="44"/>
        </w:numPr>
        <w:tabs>
          <w:tab w:pos="2204" w:val="left" w:leader="none"/>
          <w:tab w:pos="2205" w:val="left" w:leader="none"/>
        </w:tabs>
        <w:spacing w:line="240" w:lineRule="auto" w:before="0" w:after="0"/>
        <w:ind w:left="2204" w:right="0" w:hanging="360"/>
        <w:jc w:val="left"/>
        <w:rPr>
          <w:rFonts w:ascii="Calibri" w:hAnsi="Calibri"/>
          <w:sz w:val="22"/>
        </w:rPr>
      </w:pPr>
      <w:r>
        <w:rPr>
          <w:rFonts w:ascii="Calibri" w:hAnsi="Calibri"/>
          <w:sz w:val="22"/>
        </w:rPr>
        <w:t>Ensure</w:t>
      </w:r>
      <w:r>
        <w:rPr>
          <w:rFonts w:ascii="Calibri" w:hAnsi="Calibri"/>
          <w:spacing w:val="-5"/>
          <w:sz w:val="22"/>
        </w:rPr>
        <w:t> </w:t>
      </w:r>
      <w:r>
        <w:rPr>
          <w:rFonts w:ascii="Calibri" w:hAnsi="Calibri"/>
          <w:sz w:val="22"/>
        </w:rPr>
        <w:t>that</w:t>
      </w:r>
      <w:r>
        <w:rPr>
          <w:rFonts w:ascii="Calibri" w:hAnsi="Calibri"/>
          <w:spacing w:val="-2"/>
          <w:sz w:val="22"/>
        </w:rPr>
        <w:t> </w:t>
      </w:r>
      <w:r>
        <w:rPr>
          <w:rFonts w:ascii="Calibri" w:hAnsi="Calibri"/>
          <w:sz w:val="22"/>
        </w:rPr>
        <w:t>the</w:t>
      </w:r>
      <w:r>
        <w:rPr>
          <w:rFonts w:ascii="Calibri" w:hAnsi="Calibri"/>
          <w:spacing w:val="-3"/>
          <w:sz w:val="22"/>
        </w:rPr>
        <w:t> </w:t>
      </w:r>
      <w:r>
        <w:rPr>
          <w:rFonts w:ascii="Calibri" w:hAnsi="Calibri"/>
          <w:sz w:val="22"/>
        </w:rPr>
        <w:t>Welsh</w:t>
      </w:r>
      <w:r>
        <w:rPr>
          <w:rFonts w:ascii="Calibri" w:hAnsi="Calibri"/>
          <w:spacing w:val="-3"/>
          <w:sz w:val="22"/>
        </w:rPr>
        <w:t> </w:t>
      </w:r>
      <w:r>
        <w:rPr>
          <w:rFonts w:ascii="Calibri" w:hAnsi="Calibri"/>
          <w:sz w:val="22"/>
        </w:rPr>
        <w:t>language</w:t>
      </w:r>
      <w:r>
        <w:rPr>
          <w:rFonts w:ascii="Calibri" w:hAnsi="Calibri"/>
          <w:spacing w:val="-3"/>
          <w:sz w:val="22"/>
        </w:rPr>
        <w:t> </w:t>
      </w:r>
      <w:r>
        <w:rPr>
          <w:rFonts w:ascii="Calibri" w:hAnsi="Calibri"/>
          <w:sz w:val="22"/>
        </w:rPr>
        <w:t>is</w:t>
      </w:r>
      <w:r>
        <w:rPr>
          <w:rFonts w:ascii="Calibri" w:hAnsi="Calibri"/>
          <w:spacing w:val="-3"/>
          <w:sz w:val="22"/>
        </w:rPr>
        <w:t> </w:t>
      </w:r>
      <w:r>
        <w:rPr>
          <w:rFonts w:ascii="Calibri" w:hAnsi="Calibri"/>
          <w:sz w:val="22"/>
        </w:rPr>
        <w:t>considered</w:t>
      </w:r>
      <w:r>
        <w:rPr>
          <w:rFonts w:ascii="Calibri" w:hAnsi="Calibri"/>
          <w:spacing w:val="-3"/>
          <w:sz w:val="22"/>
        </w:rPr>
        <w:t> </w:t>
      </w:r>
      <w:r>
        <w:rPr>
          <w:rFonts w:ascii="Calibri" w:hAnsi="Calibri"/>
          <w:sz w:val="22"/>
        </w:rPr>
        <w:t>and</w:t>
      </w:r>
      <w:r>
        <w:rPr>
          <w:rFonts w:ascii="Calibri" w:hAnsi="Calibri"/>
          <w:spacing w:val="-3"/>
          <w:sz w:val="22"/>
        </w:rPr>
        <w:t> </w:t>
      </w:r>
      <w:r>
        <w:rPr>
          <w:rFonts w:ascii="Calibri" w:hAnsi="Calibri"/>
          <w:sz w:val="22"/>
        </w:rPr>
        <w:t>incorporated</w:t>
      </w:r>
      <w:r>
        <w:rPr>
          <w:rFonts w:ascii="Calibri" w:hAnsi="Calibri"/>
          <w:spacing w:val="-3"/>
          <w:sz w:val="22"/>
        </w:rPr>
        <w:t> </w:t>
      </w:r>
      <w:r>
        <w:rPr>
          <w:rFonts w:ascii="Calibri" w:hAnsi="Calibri"/>
          <w:sz w:val="22"/>
        </w:rPr>
        <w:t>into</w:t>
      </w:r>
      <w:r>
        <w:rPr>
          <w:rFonts w:ascii="Calibri" w:hAnsi="Calibri"/>
          <w:spacing w:val="-2"/>
          <w:sz w:val="22"/>
        </w:rPr>
        <w:t> </w:t>
      </w:r>
      <w:r>
        <w:rPr>
          <w:rFonts w:ascii="Calibri" w:hAnsi="Calibri"/>
          <w:sz w:val="22"/>
        </w:rPr>
        <w:t>our</w:t>
      </w:r>
      <w:r>
        <w:rPr>
          <w:rFonts w:ascii="Calibri" w:hAnsi="Calibri"/>
          <w:spacing w:val="-3"/>
          <w:sz w:val="22"/>
        </w:rPr>
        <w:t> </w:t>
      </w:r>
      <w:r>
        <w:rPr>
          <w:rFonts w:ascii="Calibri" w:hAnsi="Calibri"/>
          <w:sz w:val="22"/>
        </w:rPr>
        <w:t>operational</w:t>
      </w:r>
      <w:r>
        <w:rPr>
          <w:rFonts w:ascii="Calibri" w:hAnsi="Calibri"/>
          <w:spacing w:val="-2"/>
          <w:sz w:val="22"/>
        </w:rPr>
        <w:t> plans.</w:t>
      </w:r>
    </w:p>
    <w:p>
      <w:pPr>
        <w:pStyle w:val="ListParagraph"/>
        <w:numPr>
          <w:ilvl w:val="0"/>
          <w:numId w:val="44"/>
        </w:numPr>
        <w:tabs>
          <w:tab w:pos="2204" w:val="left" w:leader="none"/>
          <w:tab w:pos="2205" w:val="left" w:leader="none"/>
        </w:tabs>
        <w:spacing w:line="240" w:lineRule="auto" w:before="0" w:after="0"/>
        <w:ind w:left="2204" w:right="0" w:hanging="360"/>
        <w:jc w:val="left"/>
        <w:rPr>
          <w:rFonts w:ascii="Calibri" w:hAnsi="Calibri"/>
          <w:sz w:val="22"/>
        </w:rPr>
      </w:pPr>
      <w:r>
        <w:rPr>
          <w:rFonts w:ascii="Calibri" w:hAnsi="Calibri"/>
          <w:sz w:val="22"/>
        </w:rPr>
        <w:t>Report</w:t>
      </w:r>
      <w:r>
        <w:rPr>
          <w:rFonts w:ascii="Calibri" w:hAnsi="Calibri"/>
          <w:spacing w:val="-2"/>
          <w:sz w:val="22"/>
        </w:rPr>
        <w:t> </w:t>
      </w:r>
      <w:r>
        <w:rPr>
          <w:rFonts w:ascii="Calibri" w:hAnsi="Calibri"/>
          <w:sz w:val="22"/>
        </w:rPr>
        <w:t>on</w:t>
      </w:r>
      <w:r>
        <w:rPr>
          <w:rFonts w:ascii="Calibri" w:hAnsi="Calibri"/>
          <w:spacing w:val="-2"/>
          <w:sz w:val="22"/>
        </w:rPr>
        <w:t> </w:t>
      </w:r>
      <w:r>
        <w:rPr>
          <w:rFonts w:ascii="Calibri" w:hAnsi="Calibri"/>
          <w:sz w:val="22"/>
        </w:rPr>
        <w:t>our</w:t>
      </w:r>
      <w:r>
        <w:rPr>
          <w:rFonts w:ascii="Calibri" w:hAnsi="Calibri"/>
          <w:spacing w:val="-2"/>
          <w:sz w:val="22"/>
        </w:rPr>
        <w:t> </w:t>
      </w:r>
      <w:r>
        <w:rPr>
          <w:rFonts w:ascii="Calibri" w:hAnsi="Calibri"/>
          <w:sz w:val="22"/>
        </w:rPr>
        <w:t>performance</w:t>
      </w:r>
      <w:r>
        <w:rPr>
          <w:rFonts w:ascii="Calibri" w:hAnsi="Calibri"/>
          <w:spacing w:val="-1"/>
          <w:sz w:val="22"/>
        </w:rPr>
        <w:t> </w:t>
      </w:r>
      <w:r>
        <w:rPr>
          <w:rFonts w:ascii="Calibri" w:hAnsi="Calibri"/>
          <w:spacing w:val="-2"/>
          <w:sz w:val="22"/>
        </w:rPr>
        <w:t>annually.</w:t>
      </w:r>
    </w:p>
    <w:p>
      <w:pPr>
        <w:pStyle w:val="BodyText"/>
        <w:rPr>
          <w:rFonts w:ascii="Calibri"/>
          <w:sz w:val="22"/>
        </w:rPr>
      </w:pPr>
    </w:p>
    <w:p>
      <w:pPr>
        <w:spacing w:before="0"/>
        <w:ind w:left="1440" w:right="0" w:firstLine="0"/>
        <w:jc w:val="both"/>
        <w:rPr>
          <w:rFonts w:ascii="Calibri"/>
          <w:sz w:val="22"/>
        </w:rPr>
      </w:pPr>
      <w:r>
        <w:rPr>
          <w:rFonts w:ascii="Calibri"/>
          <w:sz w:val="22"/>
        </w:rPr>
        <w:t>The</w:t>
      </w:r>
      <w:r>
        <w:rPr>
          <w:rFonts w:ascii="Calibri"/>
          <w:spacing w:val="-6"/>
          <w:sz w:val="22"/>
        </w:rPr>
        <w:t> </w:t>
      </w:r>
      <w:r>
        <w:rPr>
          <w:rFonts w:ascii="Calibri"/>
          <w:sz w:val="22"/>
        </w:rPr>
        <w:t>Language</w:t>
      </w:r>
      <w:r>
        <w:rPr>
          <w:rFonts w:ascii="Calibri"/>
          <w:spacing w:val="-3"/>
          <w:sz w:val="22"/>
        </w:rPr>
        <w:t> </w:t>
      </w:r>
      <w:r>
        <w:rPr>
          <w:rFonts w:ascii="Calibri"/>
          <w:sz w:val="22"/>
        </w:rPr>
        <w:t>Standards</w:t>
      </w:r>
      <w:r>
        <w:rPr>
          <w:rFonts w:ascii="Calibri"/>
          <w:spacing w:val="-3"/>
          <w:sz w:val="22"/>
        </w:rPr>
        <w:t> </w:t>
      </w:r>
      <w:r>
        <w:rPr>
          <w:rFonts w:ascii="Calibri"/>
          <w:sz w:val="22"/>
        </w:rPr>
        <w:t>are</w:t>
      </w:r>
      <w:r>
        <w:rPr>
          <w:rFonts w:ascii="Calibri"/>
          <w:spacing w:val="-3"/>
          <w:sz w:val="22"/>
        </w:rPr>
        <w:t> </w:t>
      </w:r>
      <w:r>
        <w:rPr>
          <w:rFonts w:ascii="Calibri"/>
          <w:sz w:val="22"/>
        </w:rPr>
        <w:t>divided</w:t>
      </w:r>
      <w:r>
        <w:rPr>
          <w:rFonts w:ascii="Calibri"/>
          <w:spacing w:val="-2"/>
          <w:sz w:val="22"/>
        </w:rPr>
        <w:t> </w:t>
      </w:r>
      <w:r>
        <w:rPr>
          <w:rFonts w:ascii="Calibri"/>
          <w:sz w:val="22"/>
        </w:rPr>
        <w:t>into</w:t>
      </w:r>
      <w:r>
        <w:rPr>
          <w:rFonts w:ascii="Calibri"/>
          <w:spacing w:val="-2"/>
          <w:sz w:val="22"/>
        </w:rPr>
        <w:t> </w:t>
      </w:r>
      <w:r>
        <w:rPr>
          <w:rFonts w:ascii="Calibri"/>
          <w:sz w:val="22"/>
        </w:rPr>
        <w:t>five</w:t>
      </w:r>
      <w:r>
        <w:rPr>
          <w:rFonts w:ascii="Calibri"/>
          <w:spacing w:val="-2"/>
          <w:sz w:val="22"/>
        </w:rPr>
        <w:t> </w:t>
      </w:r>
      <w:r>
        <w:rPr>
          <w:rFonts w:ascii="Calibri"/>
          <w:sz w:val="22"/>
        </w:rPr>
        <w:t>specific</w:t>
      </w:r>
      <w:r>
        <w:rPr>
          <w:rFonts w:ascii="Calibri"/>
          <w:spacing w:val="-3"/>
          <w:sz w:val="22"/>
        </w:rPr>
        <w:t> </w:t>
      </w:r>
      <w:r>
        <w:rPr>
          <w:rFonts w:ascii="Calibri"/>
          <w:spacing w:val="-2"/>
          <w:sz w:val="22"/>
        </w:rPr>
        <w:t>areas:</w:t>
      </w:r>
    </w:p>
    <w:p>
      <w:pPr>
        <w:pStyle w:val="ListParagraph"/>
        <w:numPr>
          <w:ilvl w:val="0"/>
          <w:numId w:val="44"/>
        </w:numPr>
        <w:tabs>
          <w:tab w:pos="2159" w:val="left" w:leader="none"/>
          <w:tab w:pos="2160" w:val="left" w:leader="none"/>
        </w:tabs>
        <w:spacing w:line="240" w:lineRule="auto" w:before="0" w:after="0"/>
        <w:ind w:left="2159" w:right="0" w:hanging="360"/>
        <w:jc w:val="left"/>
        <w:rPr>
          <w:rFonts w:ascii="Calibri" w:hAnsi="Calibri"/>
          <w:sz w:val="22"/>
        </w:rPr>
      </w:pPr>
      <w:r>
        <w:rPr>
          <w:rFonts w:ascii="Calibri" w:hAnsi="Calibri"/>
          <w:sz w:val="22"/>
        </w:rPr>
        <w:t>service</w:t>
      </w:r>
      <w:r>
        <w:rPr>
          <w:rFonts w:ascii="Calibri" w:hAnsi="Calibri"/>
          <w:spacing w:val="-5"/>
          <w:sz w:val="22"/>
        </w:rPr>
        <w:t> </w:t>
      </w:r>
      <w:r>
        <w:rPr>
          <w:rFonts w:ascii="Calibri" w:hAnsi="Calibri"/>
          <w:spacing w:val="-2"/>
          <w:sz w:val="22"/>
        </w:rPr>
        <w:t>delivery</w:t>
      </w:r>
    </w:p>
    <w:p>
      <w:pPr>
        <w:pStyle w:val="ListParagraph"/>
        <w:numPr>
          <w:ilvl w:val="0"/>
          <w:numId w:val="44"/>
        </w:numPr>
        <w:tabs>
          <w:tab w:pos="2159" w:val="left" w:leader="none"/>
          <w:tab w:pos="2160" w:val="left" w:leader="none"/>
        </w:tabs>
        <w:spacing w:line="240" w:lineRule="auto" w:before="0" w:after="0"/>
        <w:ind w:left="2159" w:right="0" w:hanging="360"/>
        <w:jc w:val="left"/>
        <w:rPr>
          <w:rFonts w:ascii="Calibri" w:hAnsi="Calibri"/>
          <w:sz w:val="22"/>
        </w:rPr>
      </w:pPr>
      <w:r>
        <w:rPr>
          <w:rFonts w:ascii="Calibri" w:hAnsi="Calibri"/>
          <w:sz w:val="22"/>
        </w:rPr>
        <w:t>policy</w:t>
      </w:r>
      <w:r>
        <w:rPr>
          <w:rFonts w:ascii="Calibri" w:hAnsi="Calibri"/>
          <w:spacing w:val="-4"/>
          <w:sz w:val="22"/>
        </w:rPr>
        <w:t> </w:t>
      </w:r>
      <w:r>
        <w:rPr>
          <w:rFonts w:ascii="Calibri" w:hAnsi="Calibri"/>
          <w:spacing w:val="-2"/>
          <w:sz w:val="22"/>
        </w:rPr>
        <w:t>making</w:t>
      </w:r>
    </w:p>
    <w:p>
      <w:pPr>
        <w:pStyle w:val="ListParagraph"/>
        <w:numPr>
          <w:ilvl w:val="0"/>
          <w:numId w:val="44"/>
        </w:numPr>
        <w:tabs>
          <w:tab w:pos="2159" w:val="left" w:leader="none"/>
          <w:tab w:pos="2160" w:val="left" w:leader="none"/>
        </w:tabs>
        <w:spacing w:line="240" w:lineRule="auto" w:before="0" w:after="0"/>
        <w:ind w:left="2159" w:right="0" w:hanging="360"/>
        <w:jc w:val="left"/>
        <w:rPr>
          <w:rFonts w:ascii="Calibri" w:hAnsi="Calibri"/>
          <w:sz w:val="22"/>
        </w:rPr>
      </w:pPr>
      <w:r>
        <w:rPr>
          <w:rFonts w:ascii="Calibri" w:hAnsi="Calibri"/>
          <w:sz w:val="22"/>
        </w:rPr>
        <w:t>operational</w:t>
      </w:r>
      <w:r>
        <w:rPr>
          <w:rFonts w:ascii="Calibri" w:hAnsi="Calibri"/>
          <w:spacing w:val="-6"/>
          <w:sz w:val="22"/>
        </w:rPr>
        <w:t> </w:t>
      </w:r>
      <w:r>
        <w:rPr>
          <w:rFonts w:ascii="Calibri" w:hAnsi="Calibri"/>
          <w:spacing w:val="-2"/>
          <w:sz w:val="22"/>
        </w:rPr>
        <w:t>standards</w:t>
      </w:r>
    </w:p>
    <w:p>
      <w:pPr>
        <w:pStyle w:val="ListParagraph"/>
        <w:numPr>
          <w:ilvl w:val="0"/>
          <w:numId w:val="44"/>
        </w:numPr>
        <w:tabs>
          <w:tab w:pos="2159" w:val="left" w:leader="none"/>
          <w:tab w:pos="2160" w:val="left" w:leader="none"/>
        </w:tabs>
        <w:spacing w:line="240" w:lineRule="auto" w:before="0" w:after="0"/>
        <w:ind w:left="2159" w:right="0" w:hanging="360"/>
        <w:jc w:val="left"/>
        <w:rPr>
          <w:rFonts w:ascii="Calibri" w:hAnsi="Calibri"/>
          <w:sz w:val="22"/>
        </w:rPr>
      </w:pPr>
      <w:r>
        <w:rPr>
          <w:rFonts w:ascii="Calibri" w:hAnsi="Calibri"/>
          <w:sz w:val="22"/>
        </w:rPr>
        <w:t>record</w:t>
      </w:r>
      <w:r>
        <w:rPr>
          <w:rFonts w:ascii="Calibri" w:hAnsi="Calibri"/>
          <w:spacing w:val="-2"/>
          <w:sz w:val="22"/>
        </w:rPr>
        <w:t> keeping</w:t>
      </w:r>
    </w:p>
    <w:p>
      <w:pPr>
        <w:pStyle w:val="BodyText"/>
        <w:rPr>
          <w:rFonts w:ascii="Calibri"/>
          <w:sz w:val="22"/>
        </w:rPr>
      </w:pPr>
    </w:p>
    <w:p>
      <w:pPr>
        <w:spacing w:before="0"/>
        <w:ind w:left="1440" w:right="1405" w:firstLine="0"/>
        <w:jc w:val="left"/>
        <w:rPr>
          <w:rFonts w:ascii="Calibri"/>
          <w:sz w:val="22"/>
        </w:rPr>
      </w:pPr>
      <w:r>
        <w:rPr>
          <w:rFonts w:ascii="Calibri"/>
          <w:sz w:val="22"/>
        </w:rPr>
        <w:t>As</w:t>
      </w:r>
      <w:r>
        <w:rPr>
          <w:rFonts w:ascii="Calibri"/>
          <w:spacing w:val="-2"/>
          <w:sz w:val="22"/>
        </w:rPr>
        <w:t> </w:t>
      </w:r>
      <w:r>
        <w:rPr>
          <w:rFonts w:ascii="Calibri"/>
          <w:sz w:val="22"/>
        </w:rPr>
        <w:t>a</w:t>
      </w:r>
      <w:r>
        <w:rPr>
          <w:rFonts w:ascii="Calibri"/>
          <w:spacing w:val="-3"/>
          <w:sz w:val="22"/>
        </w:rPr>
        <w:t> </w:t>
      </w:r>
      <w:r>
        <w:rPr>
          <w:rFonts w:ascii="Calibri"/>
          <w:sz w:val="22"/>
        </w:rPr>
        <w:t>hosted</w:t>
      </w:r>
      <w:r>
        <w:rPr>
          <w:rFonts w:ascii="Calibri"/>
          <w:spacing w:val="-2"/>
          <w:sz w:val="22"/>
        </w:rPr>
        <w:t> </w:t>
      </w:r>
      <w:r>
        <w:rPr>
          <w:rFonts w:ascii="Calibri"/>
          <w:sz w:val="22"/>
        </w:rPr>
        <w:t>organisation</w:t>
      </w:r>
      <w:r>
        <w:rPr>
          <w:rFonts w:ascii="Calibri"/>
          <w:spacing w:val="-2"/>
          <w:sz w:val="22"/>
        </w:rPr>
        <w:t> </w:t>
      </w:r>
      <w:r>
        <w:rPr>
          <w:rFonts w:ascii="Calibri"/>
          <w:sz w:val="22"/>
        </w:rPr>
        <w:t>of</w:t>
      </w:r>
      <w:r>
        <w:rPr>
          <w:rFonts w:ascii="Calibri"/>
          <w:spacing w:val="-3"/>
          <w:sz w:val="22"/>
        </w:rPr>
        <w:t> </w:t>
      </w:r>
      <w:r>
        <w:rPr>
          <w:rFonts w:ascii="Calibri"/>
          <w:sz w:val="22"/>
        </w:rPr>
        <w:t>Velindre</w:t>
      </w:r>
      <w:r>
        <w:rPr>
          <w:rFonts w:ascii="Calibri"/>
          <w:spacing w:val="-3"/>
          <w:sz w:val="22"/>
        </w:rPr>
        <w:t> </w:t>
      </w:r>
      <w:r>
        <w:rPr>
          <w:rFonts w:ascii="Calibri"/>
          <w:sz w:val="22"/>
        </w:rPr>
        <w:t>NHS</w:t>
      </w:r>
      <w:r>
        <w:rPr>
          <w:rFonts w:ascii="Calibri"/>
          <w:spacing w:val="-2"/>
          <w:sz w:val="22"/>
        </w:rPr>
        <w:t> </w:t>
      </w:r>
      <w:r>
        <w:rPr>
          <w:rFonts w:ascii="Calibri"/>
          <w:sz w:val="22"/>
        </w:rPr>
        <w:t>Trust,</w:t>
      </w:r>
      <w:r>
        <w:rPr>
          <w:rFonts w:ascii="Calibri"/>
          <w:spacing w:val="-3"/>
          <w:sz w:val="22"/>
        </w:rPr>
        <w:t> </w:t>
      </w:r>
      <w:r>
        <w:rPr>
          <w:rFonts w:ascii="Calibri"/>
          <w:sz w:val="22"/>
        </w:rPr>
        <w:t>NWSSP</w:t>
      </w:r>
      <w:r>
        <w:rPr>
          <w:rFonts w:ascii="Calibri"/>
          <w:spacing w:val="-3"/>
          <w:sz w:val="22"/>
        </w:rPr>
        <w:t> </w:t>
      </w:r>
      <w:r>
        <w:rPr>
          <w:rFonts w:ascii="Calibri"/>
          <w:sz w:val="22"/>
        </w:rPr>
        <w:t>received</w:t>
      </w:r>
      <w:r>
        <w:rPr>
          <w:rFonts w:ascii="Calibri"/>
          <w:spacing w:val="-2"/>
          <w:sz w:val="22"/>
        </w:rPr>
        <w:t> </w:t>
      </w:r>
      <w:r>
        <w:rPr>
          <w:rFonts w:ascii="Calibri"/>
          <w:sz w:val="22"/>
        </w:rPr>
        <w:t>a</w:t>
      </w:r>
      <w:r>
        <w:rPr>
          <w:rFonts w:ascii="Calibri"/>
          <w:spacing w:val="-3"/>
          <w:sz w:val="22"/>
        </w:rPr>
        <w:t> </w:t>
      </w:r>
      <w:r>
        <w:rPr>
          <w:rFonts w:ascii="Calibri"/>
          <w:sz w:val="22"/>
        </w:rPr>
        <w:t>compliance</w:t>
      </w:r>
      <w:r>
        <w:rPr>
          <w:rFonts w:ascii="Calibri"/>
          <w:spacing w:val="-3"/>
          <w:sz w:val="22"/>
        </w:rPr>
        <w:t> </w:t>
      </w:r>
      <w:r>
        <w:rPr>
          <w:rFonts w:ascii="Calibri"/>
          <w:sz w:val="22"/>
        </w:rPr>
        <w:t>notice</w:t>
      </w:r>
      <w:r>
        <w:rPr>
          <w:rFonts w:ascii="Calibri"/>
          <w:spacing w:val="-3"/>
          <w:sz w:val="22"/>
        </w:rPr>
        <w:t> </w:t>
      </w:r>
      <w:r>
        <w:rPr>
          <w:rFonts w:ascii="Calibri"/>
          <w:sz w:val="22"/>
        </w:rPr>
        <w:t>from</w:t>
      </w:r>
      <w:r>
        <w:rPr>
          <w:rFonts w:ascii="Calibri"/>
          <w:spacing w:val="-3"/>
          <w:sz w:val="22"/>
        </w:rPr>
        <w:t> </w:t>
      </w:r>
      <w:r>
        <w:rPr>
          <w:rFonts w:ascii="Calibri"/>
          <w:sz w:val="22"/>
        </w:rPr>
        <w:t>the</w:t>
      </w:r>
      <w:r>
        <w:rPr>
          <w:rFonts w:ascii="Calibri"/>
          <w:spacing w:val="-3"/>
          <w:sz w:val="22"/>
        </w:rPr>
        <w:t> </w:t>
      </w:r>
      <w:r>
        <w:rPr>
          <w:rFonts w:ascii="Calibri"/>
          <w:sz w:val="22"/>
        </w:rPr>
        <w:t>Welsh Language Commissioner under Section 4 of the Welsh Language (Wales) Measure 2011, on 30 May 2019. This notice specifies the precise standards the NWSSP is required to comply with.</w:t>
      </w:r>
    </w:p>
    <w:p>
      <w:pPr>
        <w:pStyle w:val="BodyText"/>
        <w:spacing w:before="9"/>
        <w:rPr>
          <w:rFonts w:ascii="Calibri"/>
          <w:sz w:val="23"/>
        </w:rPr>
      </w:pPr>
    </w:p>
    <w:p>
      <w:pPr>
        <w:spacing w:before="0"/>
        <w:ind w:left="1440" w:right="0" w:firstLine="0"/>
        <w:jc w:val="left"/>
        <w:rPr>
          <w:rFonts w:ascii="Calibri"/>
          <w:sz w:val="22"/>
        </w:rPr>
      </w:pPr>
      <w:r>
        <w:rPr>
          <w:rFonts w:ascii="Calibri"/>
          <w:sz w:val="22"/>
        </w:rPr>
        <w:t>This</w:t>
      </w:r>
      <w:r>
        <w:rPr>
          <w:rFonts w:ascii="Calibri"/>
          <w:spacing w:val="-5"/>
          <w:sz w:val="22"/>
        </w:rPr>
        <w:t> </w:t>
      </w:r>
      <w:r>
        <w:rPr>
          <w:rFonts w:ascii="Calibri"/>
          <w:sz w:val="22"/>
        </w:rPr>
        <w:t>is</w:t>
      </w:r>
      <w:r>
        <w:rPr>
          <w:rFonts w:ascii="Calibri"/>
          <w:spacing w:val="-2"/>
          <w:sz w:val="22"/>
        </w:rPr>
        <w:t> </w:t>
      </w:r>
      <w:r>
        <w:rPr>
          <w:rFonts w:ascii="Calibri"/>
          <w:sz w:val="22"/>
        </w:rPr>
        <w:t>the</w:t>
      </w:r>
      <w:r>
        <w:rPr>
          <w:rFonts w:ascii="Calibri"/>
          <w:spacing w:val="-1"/>
          <w:sz w:val="22"/>
        </w:rPr>
        <w:t> </w:t>
      </w:r>
      <w:r>
        <w:rPr>
          <w:rFonts w:ascii="Calibri"/>
          <w:sz w:val="22"/>
        </w:rPr>
        <w:t>third</w:t>
      </w:r>
      <w:r>
        <w:rPr>
          <w:rFonts w:ascii="Calibri"/>
          <w:spacing w:val="-2"/>
          <w:sz w:val="22"/>
        </w:rPr>
        <w:t> </w:t>
      </w:r>
      <w:r>
        <w:rPr>
          <w:rFonts w:ascii="Calibri"/>
          <w:sz w:val="22"/>
        </w:rPr>
        <w:t>Welsh</w:t>
      </w:r>
      <w:r>
        <w:rPr>
          <w:rFonts w:ascii="Calibri"/>
          <w:spacing w:val="-2"/>
          <w:sz w:val="22"/>
        </w:rPr>
        <w:t> </w:t>
      </w:r>
      <w:r>
        <w:rPr>
          <w:rFonts w:ascii="Calibri"/>
          <w:sz w:val="22"/>
        </w:rPr>
        <w:t>Language</w:t>
      </w:r>
      <w:r>
        <w:rPr>
          <w:rFonts w:ascii="Calibri"/>
          <w:spacing w:val="-2"/>
          <w:sz w:val="22"/>
        </w:rPr>
        <w:t> </w:t>
      </w:r>
      <w:r>
        <w:rPr>
          <w:rFonts w:ascii="Calibri"/>
          <w:sz w:val="22"/>
        </w:rPr>
        <w:t>Standards</w:t>
      </w:r>
      <w:r>
        <w:rPr>
          <w:rFonts w:ascii="Calibri"/>
          <w:spacing w:val="-3"/>
          <w:sz w:val="22"/>
        </w:rPr>
        <w:t> </w:t>
      </w:r>
      <w:r>
        <w:rPr>
          <w:rFonts w:ascii="Calibri"/>
          <w:sz w:val="22"/>
        </w:rPr>
        <w:t>Annual</w:t>
      </w:r>
      <w:r>
        <w:rPr>
          <w:rFonts w:ascii="Calibri"/>
          <w:spacing w:val="-2"/>
          <w:sz w:val="22"/>
        </w:rPr>
        <w:t> </w:t>
      </w:r>
      <w:r>
        <w:rPr>
          <w:rFonts w:ascii="Calibri"/>
          <w:sz w:val="22"/>
        </w:rPr>
        <w:t>Report</w:t>
      </w:r>
      <w:r>
        <w:rPr>
          <w:rFonts w:ascii="Calibri"/>
          <w:spacing w:val="-1"/>
          <w:sz w:val="22"/>
        </w:rPr>
        <w:t> </w:t>
      </w:r>
      <w:r>
        <w:rPr>
          <w:rFonts w:ascii="Calibri"/>
          <w:sz w:val="22"/>
        </w:rPr>
        <w:t>to</w:t>
      </w:r>
      <w:r>
        <w:rPr>
          <w:rFonts w:ascii="Calibri"/>
          <w:spacing w:val="-2"/>
          <w:sz w:val="22"/>
        </w:rPr>
        <w:t> </w:t>
      </w:r>
      <w:r>
        <w:rPr>
          <w:rFonts w:ascii="Calibri"/>
          <w:sz w:val="22"/>
        </w:rPr>
        <w:t>be</w:t>
      </w:r>
      <w:r>
        <w:rPr>
          <w:rFonts w:ascii="Calibri"/>
          <w:spacing w:val="-2"/>
          <w:sz w:val="22"/>
        </w:rPr>
        <w:t> </w:t>
      </w:r>
      <w:r>
        <w:rPr>
          <w:rFonts w:ascii="Calibri"/>
          <w:sz w:val="22"/>
        </w:rPr>
        <w:t>published</w:t>
      </w:r>
      <w:r>
        <w:rPr>
          <w:rFonts w:ascii="Calibri"/>
          <w:spacing w:val="-2"/>
          <w:sz w:val="22"/>
        </w:rPr>
        <w:t> </w:t>
      </w:r>
      <w:r>
        <w:rPr>
          <w:rFonts w:ascii="Calibri"/>
          <w:sz w:val="22"/>
        </w:rPr>
        <w:t>by</w:t>
      </w:r>
      <w:r>
        <w:rPr>
          <w:rFonts w:ascii="Calibri"/>
          <w:spacing w:val="-1"/>
          <w:sz w:val="22"/>
        </w:rPr>
        <w:t> </w:t>
      </w:r>
      <w:r>
        <w:rPr>
          <w:rFonts w:ascii="Calibri"/>
          <w:spacing w:val="-2"/>
          <w:sz w:val="22"/>
        </w:rPr>
        <w:t>NWSSP.</w:t>
      </w:r>
    </w:p>
    <w:p>
      <w:pPr>
        <w:pStyle w:val="BodyText"/>
        <w:spacing w:before="6"/>
        <w:rPr>
          <w:rFonts w:ascii="Calibri"/>
          <w:sz w:val="25"/>
        </w:rPr>
      </w:pPr>
    </w:p>
    <w:p>
      <w:pPr>
        <w:spacing w:line="259" w:lineRule="auto" w:before="0"/>
        <w:ind w:left="1440" w:right="1547" w:firstLine="0"/>
        <w:jc w:val="left"/>
        <w:rPr>
          <w:rFonts w:ascii="Calibri" w:hAnsi="Calibri"/>
          <w:sz w:val="22"/>
        </w:rPr>
      </w:pPr>
      <w:r>
        <w:rPr>
          <w:rFonts w:ascii="Calibri" w:hAnsi="Calibri"/>
          <w:sz w:val="22"/>
        </w:rPr>
        <w:t>We</w:t>
      </w:r>
      <w:r>
        <w:rPr>
          <w:rFonts w:ascii="Calibri" w:hAnsi="Calibri"/>
          <w:spacing w:val="-3"/>
          <w:sz w:val="22"/>
        </w:rPr>
        <w:t> </w:t>
      </w:r>
      <w:r>
        <w:rPr>
          <w:rFonts w:ascii="Calibri" w:hAnsi="Calibri"/>
          <w:sz w:val="22"/>
        </w:rPr>
        <w:t>are</w:t>
      </w:r>
      <w:r>
        <w:rPr>
          <w:rFonts w:ascii="Calibri" w:hAnsi="Calibri"/>
          <w:spacing w:val="-3"/>
          <w:sz w:val="22"/>
        </w:rPr>
        <w:t> </w:t>
      </w:r>
      <w:r>
        <w:rPr>
          <w:rFonts w:ascii="Calibri" w:hAnsi="Calibri"/>
          <w:sz w:val="22"/>
        </w:rPr>
        <w:t>immensely</w:t>
      </w:r>
      <w:r>
        <w:rPr>
          <w:rFonts w:ascii="Calibri" w:hAnsi="Calibri"/>
          <w:spacing w:val="-2"/>
          <w:sz w:val="22"/>
        </w:rPr>
        <w:t> </w:t>
      </w:r>
      <w:r>
        <w:rPr>
          <w:rFonts w:ascii="Calibri" w:hAnsi="Calibri"/>
          <w:sz w:val="22"/>
        </w:rPr>
        <w:t>proud</w:t>
      </w:r>
      <w:r>
        <w:rPr>
          <w:rFonts w:ascii="Calibri" w:hAnsi="Calibri"/>
          <w:spacing w:val="-2"/>
          <w:sz w:val="22"/>
        </w:rPr>
        <w:t> </w:t>
      </w:r>
      <w:r>
        <w:rPr>
          <w:rFonts w:ascii="Calibri" w:hAnsi="Calibri"/>
          <w:sz w:val="22"/>
        </w:rPr>
        <w:t>of</w:t>
      </w:r>
      <w:r>
        <w:rPr>
          <w:rFonts w:ascii="Calibri" w:hAnsi="Calibri"/>
          <w:spacing w:val="-3"/>
          <w:sz w:val="22"/>
        </w:rPr>
        <w:t> </w:t>
      </w:r>
      <w:r>
        <w:rPr>
          <w:rFonts w:ascii="Calibri" w:hAnsi="Calibri"/>
          <w:sz w:val="22"/>
        </w:rPr>
        <w:t>our</w:t>
      </w:r>
      <w:r>
        <w:rPr>
          <w:rFonts w:ascii="Calibri" w:hAnsi="Calibri"/>
          <w:spacing w:val="-3"/>
          <w:sz w:val="22"/>
        </w:rPr>
        <w:t> </w:t>
      </w:r>
      <w:r>
        <w:rPr>
          <w:rFonts w:ascii="Calibri" w:hAnsi="Calibri"/>
          <w:sz w:val="22"/>
        </w:rPr>
        <w:t>achievements</w:t>
      </w:r>
      <w:r>
        <w:rPr>
          <w:rFonts w:ascii="Calibri" w:hAnsi="Calibri"/>
          <w:spacing w:val="-2"/>
          <w:sz w:val="22"/>
        </w:rPr>
        <w:t> </w:t>
      </w:r>
      <w:r>
        <w:rPr>
          <w:rFonts w:ascii="Calibri" w:hAnsi="Calibri"/>
          <w:sz w:val="22"/>
        </w:rPr>
        <w:t>during</w:t>
      </w:r>
      <w:r>
        <w:rPr>
          <w:rFonts w:ascii="Calibri" w:hAnsi="Calibri"/>
          <w:spacing w:val="-3"/>
          <w:sz w:val="22"/>
        </w:rPr>
        <w:t> </w:t>
      </w:r>
      <w:r>
        <w:rPr>
          <w:rFonts w:ascii="Calibri" w:hAnsi="Calibri"/>
          <w:sz w:val="22"/>
        </w:rPr>
        <w:t>2021/22,</w:t>
      </w:r>
      <w:r>
        <w:rPr>
          <w:rFonts w:ascii="Calibri" w:hAnsi="Calibri"/>
          <w:spacing w:val="-3"/>
          <w:sz w:val="22"/>
        </w:rPr>
        <w:t> </w:t>
      </w:r>
      <w:r>
        <w:rPr>
          <w:rFonts w:ascii="Calibri" w:hAnsi="Calibri"/>
          <w:sz w:val="22"/>
        </w:rPr>
        <w:t>where</w:t>
      </w:r>
      <w:r>
        <w:rPr>
          <w:rFonts w:ascii="Calibri" w:hAnsi="Calibri"/>
          <w:spacing w:val="-3"/>
          <w:sz w:val="22"/>
        </w:rPr>
        <w:t> </w:t>
      </w:r>
      <w:r>
        <w:rPr>
          <w:rFonts w:ascii="Calibri" w:hAnsi="Calibri"/>
          <w:sz w:val="22"/>
        </w:rPr>
        <w:t>we’ve</w:t>
      </w:r>
      <w:r>
        <w:rPr>
          <w:rFonts w:ascii="Calibri" w:hAnsi="Calibri"/>
          <w:spacing w:val="-2"/>
          <w:sz w:val="22"/>
        </w:rPr>
        <w:t> </w:t>
      </w:r>
      <w:r>
        <w:rPr>
          <w:rFonts w:ascii="Calibri" w:hAnsi="Calibri"/>
          <w:sz w:val="22"/>
        </w:rPr>
        <w:t>been</w:t>
      </w:r>
      <w:r>
        <w:rPr>
          <w:rFonts w:ascii="Calibri" w:hAnsi="Calibri"/>
          <w:spacing w:val="-2"/>
          <w:sz w:val="22"/>
        </w:rPr>
        <w:t> </w:t>
      </w:r>
      <w:r>
        <w:rPr>
          <w:rFonts w:ascii="Calibri" w:hAnsi="Calibri"/>
          <w:sz w:val="22"/>
        </w:rPr>
        <w:t>able</w:t>
      </w:r>
      <w:r>
        <w:rPr>
          <w:rFonts w:ascii="Calibri" w:hAnsi="Calibri"/>
          <w:spacing w:val="-3"/>
          <w:sz w:val="22"/>
        </w:rPr>
        <w:t> </w:t>
      </w:r>
      <w:r>
        <w:rPr>
          <w:rFonts w:ascii="Calibri" w:hAnsi="Calibri"/>
          <w:sz w:val="22"/>
        </w:rPr>
        <w:t>to</w:t>
      </w:r>
      <w:r>
        <w:rPr>
          <w:rFonts w:ascii="Calibri" w:hAnsi="Calibri"/>
          <w:spacing w:val="-2"/>
          <w:sz w:val="22"/>
        </w:rPr>
        <w:t> </w:t>
      </w:r>
      <w:r>
        <w:rPr>
          <w:rFonts w:ascii="Calibri" w:hAnsi="Calibri"/>
          <w:sz w:val="22"/>
        </w:rPr>
        <w:t>adapt</w:t>
      </w:r>
      <w:r>
        <w:rPr>
          <w:rFonts w:ascii="Calibri" w:hAnsi="Calibri"/>
          <w:spacing w:val="-3"/>
          <w:sz w:val="22"/>
        </w:rPr>
        <w:t> </w:t>
      </w:r>
      <w:r>
        <w:rPr>
          <w:rFonts w:ascii="Calibri" w:hAnsi="Calibri"/>
          <w:sz w:val="22"/>
        </w:rPr>
        <w:t>our plans to meet the ever-changing circumstances we’ve found ourselves during the Covid 19 pandemic.</w:t>
      </w:r>
      <w:r>
        <w:rPr>
          <w:rFonts w:ascii="Calibri" w:hAnsi="Calibri"/>
          <w:spacing w:val="40"/>
          <w:sz w:val="22"/>
        </w:rPr>
        <w:t> </w:t>
      </w:r>
      <w:r>
        <w:rPr>
          <w:rFonts w:ascii="Calibri" w:hAnsi="Calibri"/>
          <w:sz w:val="22"/>
        </w:rPr>
        <w:t>The majority of our services continued to be delivered through the medium of Welsh, despite</w:t>
      </w:r>
      <w:r>
        <w:rPr>
          <w:rFonts w:ascii="Calibri" w:hAnsi="Calibri"/>
          <w:spacing w:val="-1"/>
          <w:sz w:val="22"/>
        </w:rPr>
        <w:t> </w:t>
      </w:r>
      <w:r>
        <w:rPr>
          <w:rFonts w:ascii="Calibri" w:hAnsi="Calibri"/>
          <w:sz w:val="22"/>
        </w:rPr>
        <w:t>staff</w:t>
      </w:r>
      <w:r>
        <w:rPr>
          <w:rFonts w:ascii="Calibri" w:hAnsi="Calibri"/>
          <w:spacing w:val="-2"/>
          <w:sz w:val="22"/>
        </w:rPr>
        <w:t> </w:t>
      </w:r>
      <w:r>
        <w:rPr>
          <w:rFonts w:ascii="Calibri" w:hAnsi="Calibri"/>
          <w:sz w:val="22"/>
        </w:rPr>
        <w:t>working</w:t>
      </w:r>
      <w:r>
        <w:rPr>
          <w:rFonts w:ascii="Calibri" w:hAnsi="Calibri"/>
          <w:spacing w:val="-1"/>
          <w:sz w:val="22"/>
        </w:rPr>
        <w:t> </w:t>
      </w:r>
      <w:r>
        <w:rPr>
          <w:rFonts w:ascii="Calibri" w:hAnsi="Calibri"/>
          <w:sz w:val="22"/>
        </w:rPr>
        <w:t>from</w:t>
      </w:r>
      <w:r>
        <w:rPr>
          <w:rFonts w:ascii="Calibri" w:hAnsi="Calibri"/>
          <w:spacing w:val="-2"/>
          <w:sz w:val="22"/>
        </w:rPr>
        <w:t> </w:t>
      </w:r>
      <w:r>
        <w:rPr>
          <w:rFonts w:ascii="Calibri" w:hAnsi="Calibri"/>
          <w:sz w:val="22"/>
        </w:rPr>
        <w:t>home,</w:t>
      </w:r>
      <w:r>
        <w:rPr>
          <w:rFonts w:ascii="Calibri" w:hAnsi="Calibri"/>
          <w:spacing w:val="-1"/>
          <w:sz w:val="22"/>
        </w:rPr>
        <w:t> </w:t>
      </w:r>
      <w:r>
        <w:rPr>
          <w:rFonts w:ascii="Calibri" w:hAnsi="Calibri"/>
          <w:sz w:val="22"/>
        </w:rPr>
        <w:t>and</w:t>
      </w:r>
      <w:r>
        <w:rPr>
          <w:rFonts w:ascii="Calibri" w:hAnsi="Calibri"/>
          <w:spacing w:val="-1"/>
          <w:sz w:val="22"/>
        </w:rPr>
        <w:t> </w:t>
      </w:r>
      <w:r>
        <w:rPr>
          <w:rFonts w:ascii="Calibri" w:hAnsi="Calibri"/>
          <w:sz w:val="22"/>
        </w:rPr>
        <w:t>having</w:t>
      </w:r>
      <w:r>
        <w:rPr>
          <w:rFonts w:ascii="Calibri" w:hAnsi="Calibri"/>
          <w:spacing w:val="-1"/>
          <w:sz w:val="22"/>
        </w:rPr>
        <w:t> </w:t>
      </w:r>
      <w:r>
        <w:rPr>
          <w:rFonts w:ascii="Calibri" w:hAnsi="Calibri"/>
          <w:sz w:val="22"/>
        </w:rPr>
        <w:t>to</w:t>
      </w:r>
      <w:r>
        <w:rPr>
          <w:rFonts w:ascii="Calibri" w:hAnsi="Calibri"/>
          <w:spacing w:val="-1"/>
          <w:sz w:val="22"/>
        </w:rPr>
        <w:t> </w:t>
      </w:r>
      <w:r>
        <w:rPr>
          <w:rFonts w:ascii="Calibri" w:hAnsi="Calibri"/>
          <w:sz w:val="22"/>
        </w:rPr>
        <w:t>prioritise</w:t>
      </w:r>
      <w:r>
        <w:rPr>
          <w:rFonts w:ascii="Calibri" w:hAnsi="Calibri"/>
          <w:spacing w:val="-2"/>
          <w:sz w:val="22"/>
        </w:rPr>
        <w:t> </w:t>
      </w:r>
      <w:r>
        <w:rPr>
          <w:rFonts w:ascii="Calibri" w:hAnsi="Calibri"/>
          <w:sz w:val="22"/>
        </w:rPr>
        <w:t>and</w:t>
      </w:r>
      <w:r>
        <w:rPr>
          <w:rFonts w:ascii="Calibri" w:hAnsi="Calibri"/>
          <w:spacing w:val="-2"/>
          <w:sz w:val="22"/>
        </w:rPr>
        <w:t> </w:t>
      </w:r>
      <w:r>
        <w:rPr>
          <w:rFonts w:ascii="Calibri" w:hAnsi="Calibri"/>
          <w:sz w:val="22"/>
        </w:rPr>
        <w:t>re-focussing</w:t>
      </w:r>
      <w:r>
        <w:rPr>
          <w:rFonts w:ascii="Calibri" w:hAnsi="Calibri"/>
          <w:spacing w:val="-2"/>
          <w:sz w:val="22"/>
        </w:rPr>
        <w:t> </w:t>
      </w:r>
      <w:r>
        <w:rPr>
          <w:rFonts w:ascii="Calibri" w:hAnsi="Calibri"/>
          <w:sz w:val="22"/>
        </w:rPr>
        <w:t>our</w:t>
      </w:r>
      <w:r>
        <w:rPr>
          <w:rFonts w:ascii="Calibri" w:hAnsi="Calibri"/>
          <w:spacing w:val="-1"/>
          <w:sz w:val="22"/>
        </w:rPr>
        <w:t> </w:t>
      </w:r>
      <w:r>
        <w:rPr>
          <w:rFonts w:ascii="Calibri" w:hAnsi="Calibri"/>
          <w:sz w:val="22"/>
        </w:rPr>
        <w:t>resources</w:t>
      </w:r>
      <w:r>
        <w:rPr>
          <w:rFonts w:ascii="Calibri" w:hAnsi="Calibri"/>
          <w:spacing w:val="-1"/>
          <w:sz w:val="22"/>
        </w:rPr>
        <w:t> </w:t>
      </w:r>
      <w:r>
        <w:rPr>
          <w:rFonts w:ascii="Calibri" w:hAnsi="Calibri"/>
          <w:sz w:val="22"/>
        </w:rPr>
        <w:t>to</w:t>
      </w:r>
      <w:r>
        <w:rPr>
          <w:rFonts w:ascii="Calibri" w:hAnsi="Calibri"/>
          <w:spacing w:val="-1"/>
          <w:sz w:val="22"/>
        </w:rPr>
        <w:t> </w:t>
      </w:r>
      <w:r>
        <w:rPr>
          <w:rFonts w:ascii="Calibri" w:hAnsi="Calibri"/>
          <w:sz w:val="22"/>
        </w:rPr>
        <w:t>address the challenges the pandemic presented to us as an organisation and the wider NHS in Wales.</w:t>
      </w:r>
      <w:r>
        <w:rPr>
          <w:rFonts w:ascii="Calibri" w:hAnsi="Calibri"/>
          <w:spacing w:val="40"/>
          <w:sz w:val="22"/>
        </w:rPr>
        <w:t> </w:t>
      </w:r>
      <w:r>
        <w:rPr>
          <w:rFonts w:ascii="Calibri" w:hAnsi="Calibri"/>
          <w:sz w:val="22"/>
        </w:rPr>
        <w:t>The year ahead still remains uncertain and undoubtedly will present further challenges.</w:t>
      </w:r>
      <w:r>
        <w:rPr>
          <w:rFonts w:ascii="Calibri" w:hAnsi="Calibri"/>
          <w:spacing w:val="40"/>
          <w:sz w:val="22"/>
        </w:rPr>
        <w:t> </w:t>
      </w:r>
      <w:r>
        <w:rPr>
          <w:rFonts w:ascii="Calibri" w:hAnsi="Calibri"/>
          <w:sz w:val="22"/>
        </w:rPr>
        <w:t>We intend to retain an agile working model as part of our plans for the future and the Welsh language is at the heart of our future plans.</w:t>
      </w:r>
    </w:p>
    <w:p>
      <w:pPr>
        <w:pStyle w:val="BodyText"/>
        <w:spacing w:before="10"/>
        <w:rPr>
          <w:rFonts w:ascii="Calibri"/>
          <w:sz w:val="27"/>
        </w:rPr>
      </w:pPr>
    </w:p>
    <w:p>
      <w:pPr>
        <w:pStyle w:val="Heading7"/>
      </w:pPr>
      <w:bookmarkStart w:name="_TOC_250004" w:id="74"/>
      <w:r>
        <w:rPr/>
        <w:t>Accountability</w:t>
      </w:r>
      <w:r>
        <w:rPr>
          <w:spacing w:val="-3"/>
        </w:rPr>
        <w:t> </w:t>
      </w:r>
      <w:r>
        <w:rPr/>
        <w:t>and</w:t>
      </w:r>
      <w:bookmarkEnd w:id="74"/>
      <w:r>
        <w:rPr>
          <w:spacing w:val="-2"/>
        </w:rPr>
        <w:t> Support</w:t>
      </w:r>
    </w:p>
    <w:p>
      <w:pPr>
        <w:spacing w:line="259" w:lineRule="auto" w:before="27"/>
        <w:ind w:left="1440" w:right="1405" w:firstLine="0"/>
        <w:jc w:val="left"/>
        <w:rPr>
          <w:rFonts w:ascii="Calibri"/>
          <w:sz w:val="22"/>
        </w:rPr>
      </w:pPr>
      <w:r>
        <w:rPr>
          <w:rFonts w:ascii="Calibri"/>
          <w:sz w:val="22"/>
        </w:rPr>
        <w:t>Alongside</w:t>
      </w:r>
      <w:r>
        <w:rPr>
          <w:rFonts w:ascii="Calibri"/>
          <w:spacing w:val="-4"/>
          <w:sz w:val="22"/>
        </w:rPr>
        <w:t> </w:t>
      </w:r>
      <w:r>
        <w:rPr>
          <w:rFonts w:ascii="Calibri"/>
          <w:sz w:val="22"/>
        </w:rPr>
        <w:t>the</w:t>
      </w:r>
      <w:r>
        <w:rPr>
          <w:rFonts w:ascii="Calibri"/>
          <w:spacing w:val="-4"/>
          <w:sz w:val="22"/>
        </w:rPr>
        <w:t> </w:t>
      </w:r>
      <w:r>
        <w:rPr>
          <w:rFonts w:ascii="Calibri"/>
          <w:sz w:val="22"/>
        </w:rPr>
        <w:t>Welsh</w:t>
      </w:r>
      <w:r>
        <w:rPr>
          <w:rFonts w:ascii="Calibri"/>
          <w:spacing w:val="-4"/>
          <w:sz w:val="22"/>
        </w:rPr>
        <w:t> </w:t>
      </w:r>
      <w:r>
        <w:rPr>
          <w:rFonts w:ascii="Calibri"/>
          <w:sz w:val="22"/>
        </w:rPr>
        <w:t>Language</w:t>
      </w:r>
      <w:r>
        <w:rPr>
          <w:rFonts w:ascii="Calibri"/>
          <w:spacing w:val="-4"/>
          <w:sz w:val="22"/>
        </w:rPr>
        <w:t> </w:t>
      </w:r>
      <w:r>
        <w:rPr>
          <w:rFonts w:ascii="Calibri"/>
          <w:sz w:val="22"/>
        </w:rPr>
        <w:t>Services</w:t>
      </w:r>
      <w:r>
        <w:rPr>
          <w:rFonts w:ascii="Calibri"/>
          <w:spacing w:val="-3"/>
          <w:sz w:val="22"/>
        </w:rPr>
        <w:t> </w:t>
      </w:r>
      <w:r>
        <w:rPr>
          <w:rFonts w:ascii="Calibri"/>
          <w:sz w:val="22"/>
        </w:rPr>
        <w:t>Manager,</w:t>
      </w:r>
      <w:r>
        <w:rPr>
          <w:rFonts w:ascii="Calibri"/>
          <w:spacing w:val="-3"/>
          <w:sz w:val="22"/>
        </w:rPr>
        <w:t> </w:t>
      </w:r>
      <w:r>
        <w:rPr>
          <w:rFonts w:ascii="Calibri"/>
          <w:sz w:val="22"/>
        </w:rPr>
        <w:t>the</w:t>
      </w:r>
      <w:r>
        <w:rPr>
          <w:rFonts w:ascii="Calibri"/>
          <w:spacing w:val="-3"/>
          <w:sz w:val="22"/>
        </w:rPr>
        <w:t> </w:t>
      </w:r>
      <w:r>
        <w:rPr>
          <w:rFonts w:ascii="Calibri"/>
          <w:sz w:val="22"/>
        </w:rPr>
        <w:t>Director</w:t>
      </w:r>
      <w:r>
        <w:rPr>
          <w:rFonts w:ascii="Calibri"/>
          <w:spacing w:val="-3"/>
          <w:sz w:val="22"/>
        </w:rPr>
        <w:t> </w:t>
      </w:r>
      <w:r>
        <w:rPr>
          <w:rFonts w:ascii="Calibri"/>
          <w:sz w:val="22"/>
        </w:rPr>
        <w:t>of</w:t>
      </w:r>
      <w:r>
        <w:rPr>
          <w:rFonts w:ascii="Calibri"/>
          <w:spacing w:val="-3"/>
          <w:sz w:val="22"/>
        </w:rPr>
        <w:t> </w:t>
      </w:r>
      <w:r>
        <w:rPr>
          <w:rFonts w:ascii="Calibri"/>
          <w:sz w:val="22"/>
        </w:rPr>
        <w:t>People</w:t>
      </w:r>
      <w:r>
        <w:rPr>
          <w:rFonts w:ascii="Calibri"/>
          <w:spacing w:val="-3"/>
          <w:sz w:val="22"/>
        </w:rPr>
        <w:t> </w:t>
      </w:r>
      <w:r>
        <w:rPr>
          <w:rFonts w:ascii="Calibri"/>
          <w:sz w:val="22"/>
        </w:rPr>
        <w:t>and</w:t>
      </w:r>
      <w:r>
        <w:rPr>
          <w:rFonts w:ascii="Calibri"/>
          <w:spacing w:val="-4"/>
          <w:sz w:val="22"/>
        </w:rPr>
        <w:t> </w:t>
      </w:r>
      <w:r>
        <w:rPr>
          <w:rFonts w:ascii="Calibri"/>
          <w:sz w:val="22"/>
        </w:rPr>
        <w:t>Organisational Development is the executive lead for the Welsh language in NWSSP.</w:t>
      </w:r>
    </w:p>
    <w:p>
      <w:pPr>
        <w:pStyle w:val="BodyText"/>
        <w:spacing w:before="9"/>
        <w:rPr>
          <w:rFonts w:ascii="Calibri"/>
          <w:sz w:val="23"/>
        </w:rPr>
      </w:pPr>
    </w:p>
    <w:p>
      <w:pPr>
        <w:spacing w:line="259" w:lineRule="auto" w:before="0"/>
        <w:ind w:left="1440" w:right="1471" w:firstLine="0"/>
        <w:jc w:val="left"/>
        <w:rPr>
          <w:rFonts w:ascii="Calibri"/>
          <w:sz w:val="22"/>
        </w:rPr>
      </w:pPr>
      <w:r>
        <w:rPr>
          <w:rFonts w:ascii="Calibri"/>
          <w:sz w:val="22"/>
        </w:rPr>
        <w:t>There is a network of Welsh Language Co-ordinators in each division who work closely with the Welsh</w:t>
      </w:r>
      <w:r>
        <w:rPr>
          <w:rFonts w:ascii="Calibri"/>
          <w:spacing w:val="-4"/>
          <w:sz w:val="22"/>
        </w:rPr>
        <w:t> </w:t>
      </w:r>
      <w:r>
        <w:rPr>
          <w:rFonts w:ascii="Calibri"/>
          <w:sz w:val="22"/>
        </w:rPr>
        <w:t>Language</w:t>
      </w:r>
      <w:r>
        <w:rPr>
          <w:rFonts w:ascii="Calibri"/>
          <w:spacing w:val="-4"/>
          <w:sz w:val="22"/>
        </w:rPr>
        <w:t> </w:t>
      </w:r>
      <w:r>
        <w:rPr>
          <w:rFonts w:ascii="Calibri"/>
          <w:sz w:val="22"/>
        </w:rPr>
        <w:t>Unit</w:t>
      </w:r>
      <w:r>
        <w:rPr>
          <w:rFonts w:ascii="Calibri"/>
          <w:spacing w:val="-4"/>
          <w:sz w:val="22"/>
        </w:rPr>
        <w:t> </w:t>
      </w:r>
      <w:r>
        <w:rPr>
          <w:rFonts w:ascii="Calibri"/>
          <w:sz w:val="22"/>
        </w:rPr>
        <w:t>and</w:t>
      </w:r>
      <w:r>
        <w:rPr>
          <w:rFonts w:ascii="Calibri"/>
          <w:spacing w:val="-3"/>
          <w:sz w:val="22"/>
        </w:rPr>
        <w:t> </w:t>
      </w:r>
      <w:r>
        <w:rPr>
          <w:rFonts w:ascii="Calibri"/>
          <w:sz w:val="22"/>
        </w:rPr>
        <w:t>the</w:t>
      </w:r>
      <w:r>
        <w:rPr>
          <w:rFonts w:ascii="Calibri"/>
          <w:spacing w:val="-3"/>
          <w:sz w:val="22"/>
        </w:rPr>
        <w:t> </w:t>
      </w:r>
      <w:r>
        <w:rPr>
          <w:rFonts w:ascii="Calibri"/>
          <w:sz w:val="22"/>
        </w:rPr>
        <w:t>Translation</w:t>
      </w:r>
      <w:r>
        <w:rPr>
          <w:rFonts w:ascii="Calibri"/>
          <w:spacing w:val="-4"/>
          <w:sz w:val="22"/>
        </w:rPr>
        <w:t> </w:t>
      </w:r>
      <w:r>
        <w:rPr>
          <w:rFonts w:ascii="Calibri"/>
          <w:sz w:val="22"/>
        </w:rPr>
        <w:t>Team</w:t>
      </w:r>
      <w:r>
        <w:rPr>
          <w:rFonts w:ascii="Calibri"/>
          <w:spacing w:val="-4"/>
          <w:sz w:val="22"/>
        </w:rPr>
        <w:t> </w:t>
      </w:r>
      <w:r>
        <w:rPr>
          <w:rFonts w:ascii="Calibri"/>
          <w:sz w:val="22"/>
        </w:rPr>
        <w:t>in</w:t>
      </w:r>
      <w:r>
        <w:rPr>
          <w:rFonts w:ascii="Calibri"/>
          <w:spacing w:val="-3"/>
          <w:sz w:val="22"/>
        </w:rPr>
        <w:t> </w:t>
      </w:r>
      <w:r>
        <w:rPr>
          <w:rFonts w:ascii="Calibri"/>
          <w:sz w:val="22"/>
        </w:rPr>
        <w:t>providing</w:t>
      </w:r>
      <w:r>
        <w:rPr>
          <w:rFonts w:ascii="Calibri"/>
          <w:spacing w:val="-3"/>
          <w:sz w:val="22"/>
        </w:rPr>
        <w:t> </w:t>
      </w:r>
      <w:r>
        <w:rPr>
          <w:rFonts w:ascii="Calibri"/>
          <w:sz w:val="22"/>
        </w:rPr>
        <w:t>advice,</w:t>
      </w:r>
      <w:r>
        <w:rPr>
          <w:rFonts w:ascii="Calibri"/>
          <w:spacing w:val="-4"/>
          <w:sz w:val="22"/>
        </w:rPr>
        <w:t> </w:t>
      </w:r>
      <w:r>
        <w:rPr>
          <w:rFonts w:ascii="Calibri"/>
          <w:sz w:val="22"/>
        </w:rPr>
        <w:t>guidance</w:t>
      </w:r>
      <w:r>
        <w:rPr>
          <w:rFonts w:ascii="Calibri"/>
          <w:spacing w:val="-4"/>
          <w:sz w:val="22"/>
        </w:rPr>
        <w:t> </w:t>
      </w:r>
      <w:r>
        <w:rPr>
          <w:rFonts w:ascii="Calibri"/>
          <w:sz w:val="22"/>
        </w:rPr>
        <w:t>and</w:t>
      </w:r>
      <w:r>
        <w:rPr>
          <w:rFonts w:ascii="Calibri"/>
          <w:spacing w:val="-3"/>
          <w:sz w:val="22"/>
        </w:rPr>
        <w:t> </w:t>
      </w:r>
      <w:r>
        <w:rPr>
          <w:rFonts w:ascii="Calibri"/>
          <w:sz w:val="22"/>
        </w:rPr>
        <w:t>support</w:t>
      </w:r>
      <w:r>
        <w:rPr>
          <w:rFonts w:ascii="Calibri"/>
          <w:spacing w:val="-3"/>
          <w:sz w:val="22"/>
        </w:rPr>
        <w:t> </w:t>
      </w:r>
      <w:r>
        <w:rPr>
          <w:rFonts w:ascii="Calibri"/>
          <w:sz w:val="22"/>
        </w:rPr>
        <w:t>regarding the Welsh Language Standards and promoting the use of the Welsh language internally.</w:t>
      </w:r>
    </w:p>
    <w:p>
      <w:pPr>
        <w:pStyle w:val="BodyText"/>
        <w:spacing w:before="8"/>
        <w:rPr>
          <w:rFonts w:ascii="Calibri"/>
          <w:sz w:val="23"/>
        </w:rPr>
      </w:pPr>
    </w:p>
    <w:p>
      <w:pPr>
        <w:spacing w:line="259" w:lineRule="auto" w:before="0"/>
        <w:ind w:left="1440" w:right="1405" w:firstLine="0"/>
        <w:jc w:val="left"/>
        <w:rPr>
          <w:rFonts w:ascii="Calibri" w:hAnsi="Calibri"/>
          <w:sz w:val="22"/>
        </w:rPr>
      </w:pPr>
      <w:r>
        <w:rPr>
          <w:rFonts w:ascii="Calibri" w:hAnsi="Calibri"/>
          <w:sz w:val="22"/>
        </w:rPr>
        <w:t>We</w:t>
      </w:r>
      <w:r>
        <w:rPr>
          <w:rFonts w:ascii="Calibri" w:hAnsi="Calibri"/>
          <w:spacing w:val="-3"/>
          <w:sz w:val="22"/>
        </w:rPr>
        <w:t> </w:t>
      </w:r>
      <w:r>
        <w:rPr>
          <w:rFonts w:ascii="Calibri" w:hAnsi="Calibri"/>
          <w:sz w:val="22"/>
        </w:rPr>
        <w:t>also</w:t>
      </w:r>
      <w:r>
        <w:rPr>
          <w:rFonts w:ascii="Calibri" w:hAnsi="Calibri"/>
          <w:spacing w:val="-3"/>
          <w:sz w:val="22"/>
        </w:rPr>
        <w:t> </w:t>
      </w:r>
      <w:r>
        <w:rPr>
          <w:rFonts w:ascii="Calibri" w:hAnsi="Calibri"/>
          <w:sz w:val="22"/>
        </w:rPr>
        <w:t>have</w:t>
      </w:r>
      <w:r>
        <w:rPr>
          <w:rFonts w:ascii="Calibri" w:hAnsi="Calibri"/>
          <w:spacing w:val="-2"/>
          <w:sz w:val="22"/>
        </w:rPr>
        <w:t> </w:t>
      </w:r>
      <w:r>
        <w:rPr>
          <w:rFonts w:ascii="Calibri" w:hAnsi="Calibri"/>
          <w:sz w:val="22"/>
        </w:rPr>
        <w:t>a</w:t>
      </w:r>
      <w:r>
        <w:rPr>
          <w:rFonts w:ascii="Calibri" w:hAnsi="Calibri"/>
          <w:spacing w:val="-3"/>
          <w:sz w:val="22"/>
        </w:rPr>
        <w:t> </w:t>
      </w:r>
      <w:r>
        <w:rPr>
          <w:rFonts w:ascii="Calibri" w:hAnsi="Calibri"/>
          <w:sz w:val="22"/>
        </w:rPr>
        <w:t>team</w:t>
      </w:r>
      <w:r>
        <w:rPr>
          <w:rFonts w:ascii="Calibri" w:hAnsi="Calibri"/>
          <w:spacing w:val="-2"/>
          <w:sz w:val="22"/>
        </w:rPr>
        <w:t> </w:t>
      </w:r>
      <w:r>
        <w:rPr>
          <w:rFonts w:ascii="Calibri" w:hAnsi="Calibri"/>
          <w:sz w:val="22"/>
        </w:rPr>
        <w:t>of</w:t>
      </w:r>
      <w:r>
        <w:rPr>
          <w:rFonts w:ascii="Calibri" w:hAnsi="Calibri"/>
          <w:spacing w:val="-3"/>
          <w:sz w:val="22"/>
        </w:rPr>
        <w:t> </w:t>
      </w:r>
      <w:r>
        <w:rPr>
          <w:rFonts w:ascii="Calibri" w:hAnsi="Calibri"/>
          <w:sz w:val="22"/>
        </w:rPr>
        <w:t>Translators</w:t>
      </w:r>
      <w:r>
        <w:rPr>
          <w:rFonts w:ascii="Calibri" w:hAnsi="Calibri"/>
          <w:spacing w:val="-3"/>
          <w:sz w:val="22"/>
        </w:rPr>
        <w:t> </w:t>
      </w:r>
      <w:r>
        <w:rPr>
          <w:rFonts w:ascii="Calibri" w:hAnsi="Calibri"/>
          <w:sz w:val="22"/>
        </w:rPr>
        <w:t>at</w:t>
      </w:r>
      <w:r>
        <w:rPr>
          <w:rFonts w:ascii="Calibri" w:hAnsi="Calibri"/>
          <w:spacing w:val="-3"/>
          <w:sz w:val="22"/>
        </w:rPr>
        <w:t> </w:t>
      </w:r>
      <w:r>
        <w:rPr>
          <w:rFonts w:ascii="Calibri" w:hAnsi="Calibri"/>
          <w:sz w:val="22"/>
        </w:rPr>
        <w:t>NWSSP</w:t>
      </w:r>
      <w:r>
        <w:rPr>
          <w:rFonts w:ascii="Calibri" w:hAnsi="Calibri"/>
          <w:spacing w:val="-2"/>
          <w:sz w:val="22"/>
        </w:rPr>
        <w:t> </w:t>
      </w:r>
      <w:r>
        <w:rPr>
          <w:rFonts w:ascii="Calibri" w:hAnsi="Calibri"/>
          <w:sz w:val="22"/>
        </w:rPr>
        <w:t>to</w:t>
      </w:r>
      <w:r>
        <w:rPr>
          <w:rFonts w:ascii="Calibri" w:hAnsi="Calibri"/>
          <w:spacing w:val="-2"/>
          <w:sz w:val="22"/>
        </w:rPr>
        <w:t> </w:t>
      </w:r>
      <w:r>
        <w:rPr>
          <w:rFonts w:ascii="Calibri" w:hAnsi="Calibri"/>
          <w:sz w:val="22"/>
        </w:rPr>
        <w:t>support</w:t>
      </w:r>
      <w:r>
        <w:rPr>
          <w:rFonts w:ascii="Calibri" w:hAnsi="Calibri"/>
          <w:spacing w:val="-3"/>
          <w:sz w:val="22"/>
        </w:rPr>
        <w:t> </w:t>
      </w:r>
      <w:r>
        <w:rPr>
          <w:rFonts w:ascii="Calibri" w:hAnsi="Calibri"/>
          <w:sz w:val="22"/>
        </w:rPr>
        <w:t>us</w:t>
      </w:r>
      <w:r>
        <w:rPr>
          <w:rFonts w:ascii="Calibri" w:hAnsi="Calibri"/>
          <w:spacing w:val="-3"/>
          <w:sz w:val="22"/>
        </w:rPr>
        <w:t> </w:t>
      </w:r>
      <w:r>
        <w:rPr>
          <w:rFonts w:ascii="Calibri" w:hAnsi="Calibri"/>
          <w:sz w:val="22"/>
        </w:rPr>
        <w:t>as</w:t>
      </w:r>
      <w:r>
        <w:rPr>
          <w:rFonts w:ascii="Calibri" w:hAnsi="Calibri"/>
          <w:spacing w:val="-2"/>
          <w:sz w:val="22"/>
        </w:rPr>
        <w:t> </w:t>
      </w:r>
      <w:r>
        <w:rPr>
          <w:rFonts w:ascii="Calibri" w:hAnsi="Calibri"/>
          <w:sz w:val="22"/>
        </w:rPr>
        <w:t>an</w:t>
      </w:r>
      <w:r>
        <w:rPr>
          <w:rFonts w:ascii="Calibri" w:hAnsi="Calibri"/>
          <w:spacing w:val="-3"/>
          <w:sz w:val="22"/>
        </w:rPr>
        <w:t> </w:t>
      </w:r>
      <w:r>
        <w:rPr>
          <w:rFonts w:ascii="Calibri" w:hAnsi="Calibri"/>
          <w:sz w:val="22"/>
        </w:rPr>
        <w:t>organisation</w:t>
      </w:r>
      <w:r>
        <w:rPr>
          <w:rFonts w:ascii="Calibri" w:hAnsi="Calibri"/>
          <w:spacing w:val="-3"/>
          <w:sz w:val="22"/>
        </w:rPr>
        <w:t> </w:t>
      </w:r>
      <w:r>
        <w:rPr>
          <w:rFonts w:ascii="Calibri" w:hAnsi="Calibri"/>
          <w:sz w:val="22"/>
        </w:rPr>
        <w:t>in</w:t>
      </w:r>
      <w:r>
        <w:rPr>
          <w:rFonts w:ascii="Calibri" w:hAnsi="Calibri"/>
          <w:spacing w:val="-3"/>
          <w:sz w:val="22"/>
        </w:rPr>
        <w:t> </w:t>
      </w:r>
      <w:r>
        <w:rPr>
          <w:rFonts w:ascii="Calibri" w:hAnsi="Calibri"/>
          <w:sz w:val="22"/>
        </w:rPr>
        <w:t>delivering</w:t>
      </w:r>
      <w:r>
        <w:rPr>
          <w:rFonts w:ascii="Calibri" w:hAnsi="Calibri"/>
          <w:spacing w:val="-2"/>
          <w:sz w:val="22"/>
        </w:rPr>
        <w:t> </w:t>
      </w:r>
      <w:r>
        <w:rPr>
          <w:rFonts w:ascii="Calibri" w:hAnsi="Calibri"/>
          <w:sz w:val="22"/>
        </w:rPr>
        <w:t>Welsh language services as well as supporting other NHS organisations.</w:t>
      </w:r>
      <w:r>
        <w:rPr>
          <w:rFonts w:ascii="Calibri" w:hAnsi="Calibri"/>
          <w:spacing w:val="40"/>
          <w:sz w:val="22"/>
        </w:rPr>
        <w:t> </w:t>
      </w:r>
      <w:r>
        <w:rPr>
          <w:rFonts w:ascii="Calibri" w:hAnsi="Calibri"/>
          <w:sz w:val="22"/>
        </w:rPr>
        <w:t>During this year, we’ve also established a bank of translators in order to deliver our translation services to a wider client base within NHS Wales</w:t>
      </w:r>
    </w:p>
    <w:p>
      <w:pPr>
        <w:spacing w:after="0" w:line="259" w:lineRule="auto"/>
        <w:jc w:val="left"/>
        <w:rPr>
          <w:rFonts w:ascii="Calibri" w:hAnsi="Calibri"/>
          <w:sz w:val="22"/>
        </w:rPr>
        <w:sectPr>
          <w:pgSz w:w="11910" w:h="16840"/>
          <w:pgMar w:header="0" w:footer="173" w:top="1400" w:bottom="360" w:left="0" w:right="0"/>
        </w:sectPr>
      </w:pPr>
    </w:p>
    <w:p>
      <w:pPr>
        <w:pStyle w:val="Heading7"/>
        <w:spacing w:before="22"/>
      </w:pPr>
      <w:bookmarkStart w:name="_TOC_250003" w:id="75"/>
      <w:r>
        <w:rPr/>
        <w:t>Service</w:t>
      </w:r>
      <w:r>
        <w:rPr>
          <w:spacing w:val="-5"/>
        </w:rPr>
        <w:t> </w:t>
      </w:r>
      <w:r>
        <w:rPr/>
        <w:t>Delivery</w:t>
      </w:r>
      <w:r>
        <w:rPr>
          <w:spacing w:val="-4"/>
        </w:rPr>
        <w:t> </w:t>
      </w:r>
      <w:bookmarkEnd w:id="75"/>
      <w:r>
        <w:rPr>
          <w:spacing w:val="-2"/>
        </w:rPr>
        <w:t>Standards</w:t>
      </w:r>
    </w:p>
    <w:p>
      <w:pPr>
        <w:spacing w:line="259" w:lineRule="auto" w:before="27"/>
        <w:ind w:left="1440" w:right="1405" w:firstLine="0"/>
        <w:jc w:val="left"/>
        <w:rPr>
          <w:rFonts w:ascii="Calibri"/>
          <w:sz w:val="22"/>
        </w:rPr>
      </w:pPr>
      <w:r>
        <w:rPr>
          <w:rFonts w:ascii="Calibri"/>
          <w:sz w:val="22"/>
        </w:rPr>
        <w:t>We</w:t>
      </w:r>
      <w:r>
        <w:rPr>
          <w:rFonts w:ascii="Calibri"/>
          <w:spacing w:val="-3"/>
          <w:sz w:val="22"/>
        </w:rPr>
        <w:t> </w:t>
      </w:r>
      <w:r>
        <w:rPr>
          <w:rFonts w:ascii="Calibri"/>
          <w:sz w:val="22"/>
        </w:rPr>
        <w:t>have</w:t>
      </w:r>
      <w:r>
        <w:rPr>
          <w:rFonts w:ascii="Calibri"/>
          <w:spacing w:val="-3"/>
          <w:sz w:val="22"/>
        </w:rPr>
        <w:t> </w:t>
      </w:r>
      <w:r>
        <w:rPr>
          <w:rFonts w:ascii="Calibri"/>
          <w:sz w:val="22"/>
        </w:rPr>
        <w:t>continued</w:t>
      </w:r>
      <w:r>
        <w:rPr>
          <w:rFonts w:ascii="Calibri"/>
          <w:spacing w:val="-3"/>
          <w:sz w:val="22"/>
        </w:rPr>
        <w:t> </w:t>
      </w:r>
      <w:r>
        <w:rPr>
          <w:rFonts w:ascii="Calibri"/>
          <w:sz w:val="22"/>
        </w:rPr>
        <w:t>to</w:t>
      </w:r>
      <w:r>
        <w:rPr>
          <w:rFonts w:ascii="Calibri"/>
          <w:spacing w:val="-3"/>
          <w:sz w:val="22"/>
        </w:rPr>
        <w:t> </w:t>
      </w:r>
      <w:r>
        <w:rPr>
          <w:rFonts w:ascii="Calibri"/>
          <w:sz w:val="22"/>
        </w:rPr>
        <w:t>comply</w:t>
      </w:r>
      <w:r>
        <w:rPr>
          <w:rFonts w:ascii="Calibri"/>
          <w:spacing w:val="-3"/>
          <w:sz w:val="22"/>
        </w:rPr>
        <w:t> </w:t>
      </w:r>
      <w:r>
        <w:rPr>
          <w:rFonts w:ascii="Calibri"/>
          <w:sz w:val="22"/>
        </w:rPr>
        <w:t>with</w:t>
      </w:r>
      <w:r>
        <w:rPr>
          <w:rFonts w:ascii="Calibri"/>
          <w:spacing w:val="-3"/>
          <w:sz w:val="22"/>
        </w:rPr>
        <w:t> </w:t>
      </w:r>
      <w:r>
        <w:rPr>
          <w:rFonts w:ascii="Calibri"/>
          <w:sz w:val="22"/>
        </w:rPr>
        <w:t>the</w:t>
      </w:r>
      <w:r>
        <w:rPr>
          <w:rFonts w:ascii="Calibri"/>
          <w:spacing w:val="-3"/>
          <w:sz w:val="22"/>
        </w:rPr>
        <w:t> </w:t>
      </w:r>
      <w:r>
        <w:rPr>
          <w:rFonts w:ascii="Calibri"/>
          <w:sz w:val="22"/>
        </w:rPr>
        <w:t>service</w:t>
      </w:r>
      <w:r>
        <w:rPr>
          <w:rFonts w:ascii="Calibri"/>
          <w:spacing w:val="-3"/>
          <w:sz w:val="22"/>
        </w:rPr>
        <w:t> </w:t>
      </w:r>
      <w:r>
        <w:rPr>
          <w:rFonts w:ascii="Calibri"/>
          <w:sz w:val="22"/>
        </w:rPr>
        <w:t>delivery</w:t>
      </w:r>
      <w:r>
        <w:rPr>
          <w:rFonts w:ascii="Calibri"/>
          <w:spacing w:val="-3"/>
          <w:sz w:val="22"/>
        </w:rPr>
        <w:t> </w:t>
      </w:r>
      <w:r>
        <w:rPr>
          <w:rFonts w:ascii="Calibri"/>
          <w:sz w:val="22"/>
        </w:rPr>
        <w:t>standards</w:t>
      </w:r>
      <w:r>
        <w:rPr>
          <w:rFonts w:ascii="Calibri"/>
          <w:spacing w:val="-3"/>
          <w:sz w:val="22"/>
        </w:rPr>
        <w:t> </w:t>
      </w:r>
      <w:r>
        <w:rPr>
          <w:rFonts w:ascii="Calibri"/>
          <w:sz w:val="22"/>
        </w:rPr>
        <w:t>during</w:t>
      </w:r>
      <w:r>
        <w:rPr>
          <w:rFonts w:ascii="Calibri"/>
          <w:spacing w:val="-3"/>
          <w:sz w:val="22"/>
        </w:rPr>
        <w:t> </w:t>
      </w:r>
      <w:r>
        <w:rPr>
          <w:rFonts w:ascii="Calibri"/>
          <w:sz w:val="22"/>
        </w:rPr>
        <w:t>the</w:t>
      </w:r>
      <w:r>
        <w:rPr>
          <w:rFonts w:ascii="Calibri"/>
          <w:spacing w:val="-3"/>
          <w:sz w:val="22"/>
        </w:rPr>
        <w:t> </w:t>
      </w:r>
      <w:r>
        <w:rPr>
          <w:rFonts w:ascii="Calibri"/>
          <w:sz w:val="22"/>
        </w:rPr>
        <w:t>year</w:t>
      </w:r>
      <w:r>
        <w:rPr>
          <w:rFonts w:ascii="Calibri"/>
          <w:spacing w:val="-3"/>
          <w:sz w:val="22"/>
        </w:rPr>
        <w:t> </w:t>
      </w:r>
      <w:r>
        <w:rPr>
          <w:rFonts w:ascii="Calibri"/>
          <w:sz w:val="22"/>
        </w:rPr>
        <w:t>under</w:t>
      </w:r>
      <w:r>
        <w:rPr>
          <w:rFonts w:ascii="Calibri"/>
          <w:spacing w:val="-3"/>
          <w:sz w:val="22"/>
        </w:rPr>
        <w:t> </w:t>
      </w:r>
      <w:r>
        <w:rPr>
          <w:rFonts w:ascii="Calibri"/>
          <w:sz w:val="22"/>
        </w:rPr>
        <w:t>the challenges of the pandemic.</w:t>
      </w:r>
    </w:p>
    <w:p>
      <w:pPr>
        <w:pStyle w:val="BodyText"/>
        <w:spacing w:before="8"/>
        <w:rPr>
          <w:rFonts w:ascii="Calibri"/>
          <w:sz w:val="23"/>
        </w:rPr>
      </w:pPr>
    </w:p>
    <w:p>
      <w:pPr>
        <w:pStyle w:val="ListParagraph"/>
        <w:numPr>
          <w:ilvl w:val="0"/>
          <w:numId w:val="44"/>
        </w:numPr>
        <w:tabs>
          <w:tab w:pos="2159" w:val="left" w:leader="none"/>
          <w:tab w:pos="2160" w:val="left" w:leader="none"/>
        </w:tabs>
        <w:spacing w:line="240" w:lineRule="auto" w:before="0" w:after="0"/>
        <w:ind w:left="2159" w:right="0" w:hanging="360"/>
        <w:jc w:val="left"/>
        <w:rPr>
          <w:rFonts w:ascii="Calibri" w:hAnsi="Calibri"/>
          <w:sz w:val="22"/>
        </w:rPr>
      </w:pPr>
      <w:r>
        <w:rPr>
          <w:rFonts w:ascii="Calibri" w:hAnsi="Calibri"/>
          <w:sz w:val="22"/>
        </w:rPr>
        <w:t>Written</w:t>
      </w:r>
      <w:r>
        <w:rPr>
          <w:rFonts w:ascii="Calibri" w:hAnsi="Calibri"/>
          <w:spacing w:val="-4"/>
          <w:sz w:val="22"/>
        </w:rPr>
        <w:t> </w:t>
      </w:r>
      <w:r>
        <w:rPr>
          <w:rFonts w:ascii="Calibri" w:hAnsi="Calibri"/>
          <w:sz w:val="22"/>
        </w:rPr>
        <w:t>Correspondence</w:t>
      </w:r>
      <w:r>
        <w:rPr>
          <w:rFonts w:ascii="Calibri" w:hAnsi="Calibri"/>
          <w:spacing w:val="-4"/>
          <w:sz w:val="22"/>
        </w:rPr>
        <w:t> </w:t>
      </w:r>
      <w:r>
        <w:rPr>
          <w:rFonts w:ascii="Calibri" w:hAnsi="Calibri"/>
          <w:sz w:val="22"/>
        </w:rPr>
        <w:t>(Standards</w:t>
      </w:r>
      <w:r>
        <w:rPr>
          <w:rFonts w:ascii="Calibri" w:hAnsi="Calibri"/>
          <w:spacing w:val="-5"/>
          <w:sz w:val="22"/>
        </w:rPr>
        <w:t> </w:t>
      </w:r>
      <w:r>
        <w:rPr>
          <w:rFonts w:ascii="Calibri" w:hAnsi="Calibri"/>
          <w:sz w:val="22"/>
        </w:rPr>
        <w:t>1</w:t>
      </w:r>
      <w:r>
        <w:rPr>
          <w:rFonts w:ascii="Calibri" w:hAnsi="Calibri"/>
          <w:spacing w:val="-3"/>
          <w:sz w:val="22"/>
        </w:rPr>
        <w:t> </w:t>
      </w:r>
      <w:r>
        <w:rPr>
          <w:rFonts w:ascii="Calibri" w:hAnsi="Calibri"/>
          <w:sz w:val="22"/>
        </w:rPr>
        <w:t>–</w:t>
      </w:r>
      <w:r>
        <w:rPr>
          <w:rFonts w:ascii="Calibri" w:hAnsi="Calibri"/>
          <w:spacing w:val="-4"/>
          <w:sz w:val="22"/>
        </w:rPr>
        <w:t> </w:t>
      </w:r>
      <w:r>
        <w:rPr>
          <w:rFonts w:ascii="Calibri" w:hAnsi="Calibri"/>
          <w:spacing w:val="-5"/>
          <w:sz w:val="22"/>
        </w:rPr>
        <w:t>7)</w:t>
      </w:r>
    </w:p>
    <w:p>
      <w:pPr>
        <w:pStyle w:val="ListParagraph"/>
        <w:numPr>
          <w:ilvl w:val="0"/>
          <w:numId w:val="44"/>
        </w:numPr>
        <w:tabs>
          <w:tab w:pos="2159" w:val="left" w:leader="none"/>
          <w:tab w:pos="2160" w:val="left" w:leader="none"/>
        </w:tabs>
        <w:spacing w:line="240" w:lineRule="auto" w:before="22" w:after="0"/>
        <w:ind w:left="2159" w:right="0" w:hanging="360"/>
        <w:jc w:val="left"/>
        <w:rPr>
          <w:rFonts w:ascii="Calibri" w:hAnsi="Calibri"/>
          <w:sz w:val="22"/>
        </w:rPr>
      </w:pPr>
      <w:r>
        <w:rPr>
          <w:rFonts w:ascii="Calibri" w:hAnsi="Calibri"/>
          <w:sz w:val="22"/>
        </w:rPr>
        <w:t>Telephone</w:t>
      </w:r>
      <w:r>
        <w:rPr>
          <w:rFonts w:ascii="Calibri" w:hAnsi="Calibri"/>
          <w:spacing w:val="-3"/>
          <w:sz w:val="22"/>
        </w:rPr>
        <w:t> </w:t>
      </w:r>
      <w:r>
        <w:rPr>
          <w:rFonts w:ascii="Calibri" w:hAnsi="Calibri"/>
          <w:sz w:val="22"/>
        </w:rPr>
        <w:t>Services</w:t>
      </w:r>
      <w:r>
        <w:rPr>
          <w:rFonts w:ascii="Calibri" w:hAnsi="Calibri"/>
          <w:spacing w:val="-1"/>
          <w:sz w:val="22"/>
        </w:rPr>
        <w:t> </w:t>
      </w:r>
      <w:r>
        <w:rPr>
          <w:rFonts w:ascii="Calibri" w:hAnsi="Calibri"/>
          <w:sz w:val="22"/>
        </w:rPr>
        <w:t>(Standards</w:t>
      </w:r>
      <w:r>
        <w:rPr>
          <w:rFonts w:ascii="Calibri" w:hAnsi="Calibri"/>
          <w:spacing w:val="-1"/>
          <w:sz w:val="22"/>
        </w:rPr>
        <w:t> </w:t>
      </w:r>
      <w:r>
        <w:rPr>
          <w:rFonts w:ascii="Calibri" w:hAnsi="Calibri"/>
          <w:sz w:val="22"/>
        </w:rPr>
        <w:t>8</w:t>
      </w:r>
      <w:r>
        <w:rPr>
          <w:rFonts w:ascii="Calibri" w:hAnsi="Calibri"/>
          <w:spacing w:val="-2"/>
          <w:sz w:val="22"/>
        </w:rPr>
        <w:t> </w:t>
      </w:r>
      <w:r>
        <w:rPr>
          <w:rFonts w:ascii="Calibri" w:hAnsi="Calibri"/>
          <w:sz w:val="22"/>
        </w:rPr>
        <w:t>–</w:t>
      </w:r>
      <w:r>
        <w:rPr>
          <w:rFonts w:ascii="Calibri" w:hAnsi="Calibri"/>
          <w:spacing w:val="-1"/>
          <w:sz w:val="22"/>
        </w:rPr>
        <w:t> </w:t>
      </w:r>
      <w:r>
        <w:rPr>
          <w:rFonts w:ascii="Calibri" w:hAnsi="Calibri"/>
          <w:spacing w:val="-5"/>
          <w:sz w:val="22"/>
        </w:rPr>
        <w:t>20)</w:t>
      </w:r>
    </w:p>
    <w:p>
      <w:pPr>
        <w:pStyle w:val="ListParagraph"/>
        <w:numPr>
          <w:ilvl w:val="0"/>
          <w:numId w:val="44"/>
        </w:numPr>
        <w:tabs>
          <w:tab w:pos="2159" w:val="left" w:leader="none"/>
          <w:tab w:pos="2160" w:val="left" w:leader="none"/>
        </w:tabs>
        <w:spacing w:line="240" w:lineRule="auto" w:before="21" w:after="0"/>
        <w:ind w:left="2159" w:right="0" w:hanging="360"/>
        <w:jc w:val="left"/>
        <w:rPr>
          <w:rFonts w:ascii="Calibri" w:hAnsi="Calibri"/>
          <w:sz w:val="22"/>
        </w:rPr>
      </w:pPr>
      <w:r>
        <w:rPr>
          <w:rFonts w:ascii="Calibri" w:hAnsi="Calibri"/>
          <w:sz w:val="22"/>
        </w:rPr>
        <w:t>Meetings</w:t>
      </w:r>
      <w:r>
        <w:rPr>
          <w:rFonts w:ascii="Calibri" w:hAnsi="Calibri"/>
          <w:spacing w:val="-5"/>
          <w:sz w:val="22"/>
        </w:rPr>
        <w:t> </w:t>
      </w:r>
      <w:r>
        <w:rPr>
          <w:rFonts w:ascii="Calibri" w:hAnsi="Calibri"/>
          <w:sz w:val="22"/>
        </w:rPr>
        <w:t>and</w:t>
      </w:r>
      <w:r>
        <w:rPr>
          <w:rFonts w:ascii="Calibri" w:hAnsi="Calibri"/>
          <w:spacing w:val="-3"/>
          <w:sz w:val="22"/>
        </w:rPr>
        <w:t> </w:t>
      </w:r>
      <w:r>
        <w:rPr>
          <w:rFonts w:ascii="Calibri" w:hAnsi="Calibri"/>
          <w:sz w:val="22"/>
        </w:rPr>
        <w:t>events</w:t>
      </w:r>
      <w:r>
        <w:rPr>
          <w:rFonts w:ascii="Calibri" w:hAnsi="Calibri"/>
          <w:spacing w:val="-2"/>
          <w:sz w:val="22"/>
        </w:rPr>
        <w:t> </w:t>
      </w:r>
      <w:r>
        <w:rPr>
          <w:rFonts w:ascii="Calibri" w:hAnsi="Calibri"/>
          <w:sz w:val="22"/>
        </w:rPr>
        <w:t>(Standards</w:t>
      </w:r>
      <w:r>
        <w:rPr>
          <w:rFonts w:ascii="Calibri" w:hAnsi="Calibri"/>
          <w:spacing w:val="-3"/>
          <w:sz w:val="22"/>
        </w:rPr>
        <w:t> </w:t>
      </w:r>
      <w:r>
        <w:rPr>
          <w:rFonts w:ascii="Calibri" w:hAnsi="Calibri"/>
          <w:sz w:val="22"/>
        </w:rPr>
        <w:t>21</w:t>
      </w:r>
      <w:r>
        <w:rPr>
          <w:rFonts w:ascii="Calibri" w:hAnsi="Calibri"/>
          <w:spacing w:val="-2"/>
          <w:sz w:val="22"/>
        </w:rPr>
        <w:t> </w:t>
      </w:r>
      <w:r>
        <w:rPr>
          <w:rFonts w:ascii="Calibri" w:hAnsi="Calibri"/>
          <w:sz w:val="22"/>
        </w:rPr>
        <w:t>–</w:t>
      </w:r>
      <w:r>
        <w:rPr>
          <w:rFonts w:ascii="Calibri" w:hAnsi="Calibri"/>
          <w:spacing w:val="-2"/>
          <w:sz w:val="22"/>
        </w:rPr>
        <w:t> </w:t>
      </w:r>
      <w:r>
        <w:rPr>
          <w:rFonts w:ascii="Calibri" w:hAnsi="Calibri"/>
          <w:spacing w:val="-5"/>
          <w:sz w:val="22"/>
        </w:rPr>
        <w:t>33)</w:t>
      </w:r>
    </w:p>
    <w:p>
      <w:pPr>
        <w:pStyle w:val="ListParagraph"/>
        <w:numPr>
          <w:ilvl w:val="0"/>
          <w:numId w:val="44"/>
        </w:numPr>
        <w:tabs>
          <w:tab w:pos="2159" w:val="left" w:leader="none"/>
          <w:tab w:pos="2160" w:val="left" w:leader="none"/>
        </w:tabs>
        <w:spacing w:line="240" w:lineRule="auto" w:before="21" w:after="0"/>
        <w:ind w:left="2159" w:right="0" w:hanging="360"/>
        <w:jc w:val="left"/>
        <w:rPr>
          <w:rFonts w:ascii="Calibri" w:hAnsi="Calibri"/>
          <w:sz w:val="22"/>
        </w:rPr>
      </w:pPr>
      <w:r>
        <w:rPr>
          <w:rFonts w:ascii="Calibri" w:hAnsi="Calibri"/>
          <w:sz w:val="22"/>
        </w:rPr>
        <w:t>Producing</w:t>
      </w:r>
      <w:r>
        <w:rPr>
          <w:rFonts w:ascii="Calibri" w:hAnsi="Calibri"/>
          <w:spacing w:val="-3"/>
          <w:sz w:val="22"/>
        </w:rPr>
        <w:t> </w:t>
      </w:r>
      <w:r>
        <w:rPr>
          <w:rFonts w:ascii="Calibri" w:hAnsi="Calibri"/>
          <w:sz w:val="22"/>
        </w:rPr>
        <w:t>and</w:t>
      </w:r>
      <w:r>
        <w:rPr>
          <w:rFonts w:ascii="Calibri" w:hAnsi="Calibri"/>
          <w:spacing w:val="-3"/>
          <w:sz w:val="22"/>
        </w:rPr>
        <w:t> </w:t>
      </w:r>
      <w:r>
        <w:rPr>
          <w:rFonts w:ascii="Calibri" w:hAnsi="Calibri"/>
          <w:sz w:val="22"/>
        </w:rPr>
        <w:t>Publishing</w:t>
      </w:r>
      <w:r>
        <w:rPr>
          <w:rFonts w:ascii="Calibri" w:hAnsi="Calibri"/>
          <w:spacing w:val="-3"/>
          <w:sz w:val="22"/>
        </w:rPr>
        <w:t> </w:t>
      </w:r>
      <w:r>
        <w:rPr>
          <w:rFonts w:ascii="Calibri" w:hAnsi="Calibri"/>
          <w:sz w:val="22"/>
        </w:rPr>
        <w:t>Documents</w:t>
      </w:r>
      <w:r>
        <w:rPr>
          <w:rFonts w:ascii="Calibri" w:hAnsi="Calibri"/>
          <w:spacing w:val="-2"/>
          <w:sz w:val="22"/>
        </w:rPr>
        <w:t> </w:t>
      </w:r>
      <w:r>
        <w:rPr>
          <w:rFonts w:ascii="Calibri" w:hAnsi="Calibri"/>
          <w:sz w:val="22"/>
        </w:rPr>
        <w:t>(Standards</w:t>
      </w:r>
      <w:r>
        <w:rPr>
          <w:rFonts w:ascii="Calibri" w:hAnsi="Calibri"/>
          <w:spacing w:val="-3"/>
          <w:sz w:val="22"/>
        </w:rPr>
        <w:t> </w:t>
      </w:r>
      <w:r>
        <w:rPr>
          <w:rFonts w:ascii="Calibri" w:hAnsi="Calibri"/>
          <w:sz w:val="22"/>
        </w:rPr>
        <w:t>34</w:t>
      </w:r>
      <w:r>
        <w:rPr>
          <w:rFonts w:ascii="Calibri" w:hAnsi="Calibri"/>
          <w:spacing w:val="-2"/>
          <w:sz w:val="22"/>
        </w:rPr>
        <w:t> </w:t>
      </w:r>
      <w:r>
        <w:rPr>
          <w:rFonts w:ascii="Calibri" w:hAnsi="Calibri"/>
          <w:sz w:val="22"/>
        </w:rPr>
        <w:t>–</w:t>
      </w:r>
      <w:r>
        <w:rPr>
          <w:rFonts w:ascii="Calibri" w:hAnsi="Calibri"/>
          <w:spacing w:val="-3"/>
          <w:sz w:val="22"/>
        </w:rPr>
        <w:t> </w:t>
      </w:r>
      <w:r>
        <w:rPr>
          <w:rFonts w:ascii="Calibri" w:hAnsi="Calibri"/>
          <w:spacing w:val="-5"/>
          <w:sz w:val="22"/>
        </w:rPr>
        <w:t>38)</w:t>
      </w:r>
    </w:p>
    <w:p>
      <w:pPr>
        <w:pStyle w:val="ListParagraph"/>
        <w:numPr>
          <w:ilvl w:val="0"/>
          <w:numId w:val="44"/>
        </w:numPr>
        <w:tabs>
          <w:tab w:pos="2159" w:val="left" w:leader="none"/>
          <w:tab w:pos="2160" w:val="left" w:leader="none"/>
        </w:tabs>
        <w:spacing w:line="240" w:lineRule="auto" w:before="21" w:after="0"/>
        <w:ind w:left="2159" w:right="0" w:hanging="360"/>
        <w:jc w:val="left"/>
        <w:rPr>
          <w:rFonts w:ascii="Calibri" w:hAnsi="Calibri"/>
          <w:sz w:val="22"/>
        </w:rPr>
      </w:pPr>
      <w:r>
        <w:rPr>
          <w:rFonts w:ascii="Calibri" w:hAnsi="Calibri"/>
          <w:sz w:val="22"/>
        </w:rPr>
        <w:t>Website,</w:t>
      </w:r>
      <w:r>
        <w:rPr>
          <w:rFonts w:ascii="Calibri" w:hAnsi="Calibri"/>
          <w:spacing w:val="-3"/>
          <w:sz w:val="22"/>
        </w:rPr>
        <w:t> </w:t>
      </w:r>
      <w:r>
        <w:rPr>
          <w:rFonts w:ascii="Calibri" w:hAnsi="Calibri"/>
          <w:sz w:val="22"/>
        </w:rPr>
        <w:t>social</w:t>
      </w:r>
      <w:r>
        <w:rPr>
          <w:rFonts w:ascii="Calibri" w:hAnsi="Calibri"/>
          <w:spacing w:val="-3"/>
          <w:sz w:val="22"/>
        </w:rPr>
        <w:t> </w:t>
      </w:r>
      <w:r>
        <w:rPr>
          <w:rFonts w:ascii="Calibri" w:hAnsi="Calibri"/>
          <w:sz w:val="22"/>
        </w:rPr>
        <w:t>media,</w:t>
      </w:r>
      <w:r>
        <w:rPr>
          <w:rFonts w:ascii="Calibri" w:hAnsi="Calibri"/>
          <w:spacing w:val="-3"/>
          <w:sz w:val="22"/>
        </w:rPr>
        <w:t> </w:t>
      </w:r>
      <w:r>
        <w:rPr>
          <w:rFonts w:ascii="Calibri" w:hAnsi="Calibri"/>
          <w:sz w:val="22"/>
        </w:rPr>
        <w:t>Apps</w:t>
      </w:r>
      <w:r>
        <w:rPr>
          <w:rFonts w:ascii="Calibri" w:hAnsi="Calibri"/>
          <w:spacing w:val="-2"/>
          <w:sz w:val="22"/>
        </w:rPr>
        <w:t> </w:t>
      </w:r>
      <w:r>
        <w:rPr>
          <w:rFonts w:ascii="Calibri" w:hAnsi="Calibri"/>
          <w:sz w:val="22"/>
        </w:rPr>
        <w:t>(Standards</w:t>
      </w:r>
      <w:r>
        <w:rPr>
          <w:rFonts w:ascii="Calibri" w:hAnsi="Calibri"/>
          <w:spacing w:val="-3"/>
          <w:sz w:val="22"/>
        </w:rPr>
        <w:t> </w:t>
      </w:r>
      <w:r>
        <w:rPr>
          <w:rFonts w:ascii="Calibri" w:hAnsi="Calibri"/>
          <w:sz w:val="22"/>
        </w:rPr>
        <w:t>39</w:t>
      </w:r>
      <w:r>
        <w:rPr>
          <w:rFonts w:ascii="Calibri" w:hAnsi="Calibri"/>
          <w:spacing w:val="-2"/>
          <w:sz w:val="22"/>
        </w:rPr>
        <w:t> </w:t>
      </w:r>
      <w:r>
        <w:rPr>
          <w:rFonts w:ascii="Calibri" w:hAnsi="Calibri"/>
          <w:sz w:val="22"/>
        </w:rPr>
        <w:t>–</w:t>
      </w:r>
      <w:r>
        <w:rPr>
          <w:rFonts w:ascii="Calibri" w:hAnsi="Calibri"/>
          <w:spacing w:val="-3"/>
          <w:sz w:val="22"/>
        </w:rPr>
        <w:t> </w:t>
      </w:r>
      <w:r>
        <w:rPr>
          <w:rFonts w:ascii="Calibri" w:hAnsi="Calibri"/>
          <w:spacing w:val="-5"/>
          <w:sz w:val="22"/>
        </w:rPr>
        <w:t>46)</w:t>
      </w:r>
    </w:p>
    <w:p>
      <w:pPr>
        <w:pStyle w:val="ListParagraph"/>
        <w:numPr>
          <w:ilvl w:val="0"/>
          <w:numId w:val="44"/>
        </w:numPr>
        <w:tabs>
          <w:tab w:pos="2159" w:val="left" w:leader="none"/>
          <w:tab w:pos="2160" w:val="left" w:leader="none"/>
        </w:tabs>
        <w:spacing w:line="240" w:lineRule="auto" w:before="22" w:after="0"/>
        <w:ind w:left="2159" w:right="0" w:hanging="360"/>
        <w:jc w:val="left"/>
        <w:rPr>
          <w:rFonts w:ascii="Calibri" w:hAnsi="Calibri"/>
          <w:sz w:val="22"/>
        </w:rPr>
      </w:pPr>
      <w:r>
        <w:rPr>
          <w:rFonts w:ascii="Calibri" w:hAnsi="Calibri"/>
          <w:sz w:val="22"/>
        </w:rPr>
        <w:t>Signage</w:t>
      </w:r>
      <w:r>
        <w:rPr>
          <w:rFonts w:ascii="Calibri" w:hAnsi="Calibri"/>
          <w:spacing w:val="-5"/>
          <w:sz w:val="22"/>
        </w:rPr>
        <w:t> </w:t>
      </w:r>
      <w:r>
        <w:rPr>
          <w:rFonts w:ascii="Calibri" w:hAnsi="Calibri"/>
          <w:sz w:val="22"/>
        </w:rPr>
        <w:t>(Standards</w:t>
      </w:r>
      <w:r>
        <w:rPr>
          <w:rFonts w:ascii="Calibri" w:hAnsi="Calibri"/>
          <w:spacing w:val="-5"/>
          <w:sz w:val="22"/>
        </w:rPr>
        <w:t> </w:t>
      </w:r>
      <w:r>
        <w:rPr>
          <w:rFonts w:ascii="Calibri" w:hAnsi="Calibri"/>
          <w:sz w:val="22"/>
        </w:rPr>
        <w:t>47-</w:t>
      </w:r>
      <w:r>
        <w:rPr>
          <w:rFonts w:ascii="Calibri" w:hAnsi="Calibri"/>
          <w:spacing w:val="-3"/>
          <w:sz w:val="22"/>
        </w:rPr>
        <w:t> </w:t>
      </w:r>
      <w:r>
        <w:rPr>
          <w:rFonts w:ascii="Calibri" w:hAnsi="Calibri"/>
          <w:spacing w:val="-5"/>
          <w:sz w:val="22"/>
        </w:rPr>
        <w:t>49)</w:t>
      </w:r>
    </w:p>
    <w:p>
      <w:pPr>
        <w:pStyle w:val="ListParagraph"/>
        <w:numPr>
          <w:ilvl w:val="0"/>
          <w:numId w:val="44"/>
        </w:numPr>
        <w:tabs>
          <w:tab w:pos="2159" w:val="left" w:leader="none"/>
          <w:tab w:pos="2160" w:val="left" w:leader="none"/>
        </w:tabs>
        <w:spacing w:line="240" w:lineRule="auto" w:before="21" w:after="0"/>
        <w:ind w:left="2159" w:right="0" w:hanging="360"/>
        <w:jc w:val="left"/>
        <w:rPr>
          <w:rFonts w:ascii="Calibri" w:hAnsi="Calibri"/>
          <w:sz w:val="22"/>
        </w:rPr>
      </w:pPr>
      <w:r>
        <w:rPr>
          <w:rFonts w:ascii="Calibri" w:hAnsi="Calibri"/>
          <w:sz w:val="22"/>
        </w:rPr>
        <w:t>Reception</w:t>
      </w:r>
      <w:r>
        <w:rPr>
          <w:rFonts w:ascii="Calibri" w:hAnsi="Calibri"/>
          <w:spacing w:val="-3"/>
          <w:sz w:val="22"/>
        </w:rPr>
        <w:t> </w:t>
      </w:r>
      <w:r>
        <w:rPr>
          <w:rFonts w:ascii="Calibri" w:hAnsi="Calibri"/>
          <w:sz w:val="22"/>
        </w:rPr>
        <w:t>Services</w:t>
      </w:r>
      <w:r>
        <w:rPr>
          <w:rFonts w:ascii="Calibri" w:hAnsi="Calibri"/>
          <w:spacing w:val="-4"/>
          <w:sz w:val="22"/>
        </w:rPr>
        <w:t> </w:t>
      </w:r>
      <w:r>
        <w:rPr>
          <w:rFonts w:ascii="Calibri" w:hAnsi="Calibri"/>
          <w:sz w:val="22"/>
        </w:rPr>
        <w:t>(Standards</w:t>
      </w:r>
      <w:r>
        <w:rPr>
          <w:rFonts w:ascii="Calibri" w:hAnsi="Calibri"/>
          <w:spacing w:val="-3"/>
          <w:sz w:val="22"/>
        </w:rPr>
        <w:t> </w:t>
      </w:r>
      <w:r>
        <w:rPr>
          <w:rFonts w:ascii="Calibri" w:hAnsi="Calibri"/>
          <w:sz w:val="22"/>
        </w:rPr>
        <w:t>50</w:t>
      </w:r>
      <w:r>
        <w:rPr>
          <w:rFonts w:ascii="Calibri" w:hAnsi="Calibri"/>
          <w:spacing w:val="-3"/>
          <w:sz w:val="22"/>
        </w:rPr>
        <w:t> </w:t>
      </w:r>
      <w:r>
        <w:rPr>
          <w:rFonts w:ascii="Calibri" w:hAnsi="Calibri"/>
          <w:sz w:val="22"/>
        </w:rPr>
        <w:t>–</w:t>
      </w:r>
      <w:r>
        <w:rPr>
          <w:rFonts w:ascii="Calibri" w:hAnsi="Calibri"/>
          <w:spacing w:val="-3"/>
          <w:sz w:val="22"/>
        </w:rPr>
        <w:t> </w:t>
      </w:r>
      <w:r>
        <w:rPr>
          <w:rFonts w:ascii="Calibri" w:hAnsi="Calibri"/>
          <w:spacing w:val="-5"/>
          <w:sz w:val="22"/>
        </w:rPr>
        <w:t>53)</w:t>
      </w:r>
    </w:p>
    <w:p>
      <w:pPr>
        <w:pStyle w:val="ListParagraph"/>
        <w:numPr>
          <w:ilvl w:val="0"/>
          <w:numId w:val="44"/>
        </w:numPr>
        <w:tabs>
          <w:tab w:pos="2159" w:val="left" w:leader="none"/>
          <w:tab w:pos="2160" w:val="left" w:leader="none"/>
        </w:tabs>
        <w:spacing w:line="240" w:lineRule="auto" w:before="21" w:after="0"/>
        <w:ind w:left="2159" w:right="0" w:hanging="360"/>
        <w:jc w:val="left"/>
        <w:rPr>
          <w:rFonts w:ascii="Calibri" w:hAnsi="Calibri"/>
          <w:sz w:val="22"/>
        </w:rPr>
      </w:pPr>
      <w:r>
        <w:rPr>
          <w:rFonts w:ascii="Calibri" w:hAnsi="Calibri"/>
          <w:sz w:val="22"/>
        </w:rPr>
        <w:t>Procurement</w:t>
      </w:r>
      <w:r>
        <w:rPr>
          <w:rFonts w:ascii="Calibri" w:hAnsi="Calibri"/>
          <w:spacing w:val="-3"/>
          <w:sz w:val="22"/>
        </w:rPr>
        <w:t> </w:t>
      </w:r>
      <w:r>
        <w:rPr>
          <w:rFonts w:ascii="Calibri" w:hAnsi="Calibri"/>
          <w:sz w:val="22"/>
        </w:rPr>
        <w:t>and</w:t>
      </w:r>
      <w:r>
        <w:rPr>
          <w:rFonts w:ascii="Calibri" w:hAnsi="Calibri"/>
          <w:spacing w:val="-3"/>
          <w:sz w:val="22"/>
        </w:rPr>
        <w:t> </w:t>
      </w:r>
      <w:r>
        <w:rPr>
          <w:rFonts w:ascii="Calibri" w:hAnsi="Calibri"/>
          <w:sz w:val="22"/>
        </w:rPr>
        <w:t>Contracts</w:t>
      </w:r>
      <w:r>
        <w:rPr>
          <w:rFonts w:ascii="Calibri" w:hAnsi="Calibri"/>
          <w:spacing w:val="-3"/>
          <w:sz w:val="22"/>
        </w:rPr>
        <w:t> </w:t>
      </w:r>
      <w:r>
        <w:rPr>
          <w:rFonts w:ascii="Calibri" w:hAnsi="Calibri"/>
          <w:sz w:val="22"/>
        </w:rPr>
        <w:t>(Standards</w:t>
      </w:r>
      <w:r>
        <w:rPr>
          <w:rFonts w:ascii="Calibri" w:hAnsi="Calibri"/>
          <w:spacing w:val="-3"/>
          <w:sz w:val="22"/>
        </w:rPr>
        <w:t> </w:t>
      </w:r>
      <w:r>
        <w:rPr>
          <w:rFonts w:ascii="Calibri" w:hAnsi="Calibri"/>
          <w:sz w:val="22"/>
        </w:rPr>
        <w:t>57</w:t>
      </w:r>
      <w:r>
        <w:rPr>
          <w:rFonts w:ascii="Calibri" w:hAnsi="Calibri"/>
          <w:spacing w:val="-3"/>
          <w:sz w:val="22"/>
        </w:rPr>
        <w:t> </w:t>
      </w:r>
      <w:r>
        <w:rPr>
          <w:rFonts w:ascii="Calibri" w:hAnsi="Calibri"/>
          <w:sz w:val="22"/>
        </w:rPr>
        <w:t>–</w:t>
      </w:r>
      <w:r>
        <w:rPr>
          <w:rFonts w:ascii="Calibri" w:hAnsi="Calibri"/>
          <w:spacing w:val="-3"/>
          <w:sz w:val="22"/>
        </w:rPr>
        <w:t> </w:t>
      </w:r>
      <w:r>
        <w:rPr>
          <w:rFonts w:ascii="Calibri" w:hAnsi="Calibri"/>
          <w:spacing w:val="-5"/>
          <w:sz w:val="22"/>
        </w:rPr>
        <w:t>59)</w:t>
      </w:r>
    </w:p>
    <w:p>
      <w:pPr>
        <w:pStyle w:val="ListParagraph"/>
        <w:numPr>
          <w:ilvl w:val="0"/>
          <w:numId w:val="44"/>
        </w:numPr>
        <w:tabs>
          <w:tab w:pos="2159" w:val="left" w:leader="none"/>
          <w:tab w:pos="2160" w:val="left" w:leader="none"/>
        </w:tabs>
        <w:spacing w:line="240" w:lineRule="auto" w:before="21" w:after="0"/>
        <w:ind w:left="2159" w:right="0" w:hanging="360"/>
        <w:jc w:val="left"/>
        <w:rPr>
          <w:rFonts w:ascii="Calibri" w:hAnsi="Calibri"/>
          <w:sz w:val="22"/>
        </w:rPr>
      </w:pPr>
      <w:r>
        <w:rPr>
          <w:rFonts w:ascii="Calibri" w:hAnsi="Calibri"/>
          <w:sz w:val="22"/>
        </w:rPr>
        <w:t>Communications</w:t>
      </w:r>
      <w:r>
        <w:rPr>
          <w:rFonts w:ascii="Calibri" w:hAnsi="Calibri"/>
          <w:spacing w:val="-7"/>
          <w:sz w:val="22"/>
        </w:rPr>
        <w:t> </w:t>
      </w:r>
      <w:r>
        <w:rPr>
          <w:rFonts w:ascii="Calibri" w:hAnsi="Calibri"/>
          <w:sz w:val="22"/>
        </w:rPr>
        <w:t>and</w:t>
      </w:r>
      <w:r>
        <w:rPr>
          <w:rFonts w:ascii="Calibri" w:hAnsi="Calibri"/>
          <w:spacing w:val="-3"/>
          <w:sz w:val="22"/>
        </w:rPr>
        <w:t> </w:t>
      </w:r>
      <w:r>
        <w:rPr>
          <w:rFonts w:ascii="Calibri" w:hAnsi="Calibri"/>
          <w:sz w:val="22"/>
        </w:rPr>
        <w:t>Corporate</w:t>
      </w:r>
      <w:r>
        <w:rPr>
          <w:rFonts w:ascii="Calibri" w:hAnsi="Calibri"/>
          <w:spacing w:val="-4"/>
          <w:sz w:val="22"/>
        </w:rPr>
        <w:t> </w:t>
      </w:r>
      <w:r>
        <w:rPr>
          <w:rFonts w:ascii="Calibri" w:hAnsi="Calibri"/>
          <w:sz w:val="22"/>
        </w:rPr>
        <w:t>Identity</w:t>
      </w:r>
      <w:r>
        <w:rPr>
          <w:rFonts w:ascii="Calibri" w:hAnsi="Calibri"/>
          <w:spacing w:val="-3"/>
          <w:sz w:val="22"/>
        </w:rPr>
        <w:t> </w:t>
      </w:r>
      <w:r>
        <w:rPr>
          <w:rFonts w:ascii="Calibri" w:hAnsi="Calibri"/>
          <w:sz w:val="22"/>
        </w:rPr>
        <w:t>(Standards</w:t>
      </w:r>
      <w:r>
        <w:rPr>
          <w:rFonts w:ascii="Calibri" w:hAnsi="Calibri"/>
          <w:spacing w:val="-4"/>
          <w:sz w:val="22"/>
        </w:rPr>
        <w:t> </w:t>
      </w:r>
      <w:r>
        <w:rPr>
          <w:rFonts w:ascii="Calibri" w:hAnsi="Calibri"/>
          <w:sz w:val="22"/>
        </w:rPr>
        <w:t>60</w:t>
      </w:r>
      <w:r>
        <w:rPr>
          <w:rFonts w:ascii="Calibri" w:hAnsi="Calibri"/>
          <w:spacing w:val="-3"/>
          <w:sz w:val="22"/>
        </w:rPr>
        <w:t> </w:t>
      </w:r>
      <w:r>
        <w:rPr>
          <w:rFonts w:ascii="Calibri" w:hAnsi="Calibri"/>
          <w:sz w:val="22"/>
        </w:rPr>
        <w:t>–</w:t>
      </w:r>
      <w:r>
        <w:rPr>
          <w:rFonts w:ascii="Calibri" w:hAnsi="Calibri"/>
          <w:spacing w:val="-4"/>
          <w:sz w:val="22"/>
        </w:rPr>
        <w:t> </w:t>
      </w:r>
      <w:r>
        <w:rPr>
          <w:rFonts w:ascii="Calibri" w:hAnsi="Calibri"/>
          <w:spacing w:val="-5"/>
          <w:sz w:val="22"/>
        </w:rPr>
        <w:t>62)</w:t>
      </w:r>
    </w:p>
    <w:p>
      <w:pPr>
        <w:pStyle w:val="ListParagraph"/>
        <w:numPr>
          <w:ilvl w:val="0"/>
          <w:numId w:val="44"/>
        </w:numPr>
        <w:tabs>
          <w:tab w:pos="2159" w:val="left" w:leader="none"/>
          <w:tab w:pos="2160" w:val="left" w:leader="none"/>
        </w:tabs>
        <w:spacing w:line="240" w:lineRule="auto" w:before="22" w:after="0"/>
        <w:ind w:left="2159" w:right="0" w:hanging="360"/>
        <w:jc w:val="left"/>
        <w:rPr>
          <w:rFonts w:ascii="Calibri" w:hAnsi="Calibri"/>
          <w:sz w:val="22"/>
        </w:rPr>
      </w:pPr>
      <w:r>
        <w:rPr>
          <w:rFonts w:ascii="Calibri" w:hAnsi="Calibri"/>
          <w:sz w:val="22"/>
        </w:rPr>
        <w:t>Public</w:t>
      </w:r>
      <w:r>
        <w:rPr>
          <w:rFonts w:ascii="Calibri" w:hAnsi="Calibri"/>
          <w:spacing w:val="-3"/>
          <w:sz w:val="22"/>
        </w:rPr>
        <w:t> </w:t>
      </w:r>
      <w:r>
        <w:rPr>
          <w:rFonts w:ascii="Calibri" w:hAnsi="Calibri"/>
          <w:sz w:val="22"/>
        </w:rPr>
        <w:t>Address</w:t>
      </w:r>
      <w:r>
        <w:rPr>
          <w:rFonts w:ascii="Calibri" w:hAnsi="Calibri"/>
          <w:spacing w:val="-3"/>
          <w:sz w:val="22"/>
        </w:rPr>
        <w:t> </w:t>
      </w:r>
      <w:r>
        <w:rPr>
          <w:rFonts w:ascii="Calibri" w:hAnsi="Calibri"/>
          <w:sz w:val="22"/>
        </w:rPr>
        <w:t>systems</w:t>
      </w:r>
      <w:r>
        <w:rPr>
          <w:rFonts w:ascii="Calibri" w:hAnsi="Calibri"/>
          <w:spacing w:val="-4"/>
          <w:sz w:val="22"/>
        </w:rPr>
        <w:t> </w:t>
      </w:r>
      <w:r>
        <w:rPr>
          <w:rFonts w:ascii="Calibri" w:hAnsi="Calibri"/>
          <w:sz w:val="22"/>
        </w:rPr>
        <w:t>–</w:t>
      </w:r>
      <w:r>
        <w:rPr>
          <w:rFonts w:ascii="Calibri" w:hAnsi="Calibri"/>
          <w:spacing w:val="-4"/>
          <w:sz w:val="22"/>
        </w:rPr>
        <w:t> </w:t>
      </w:r>
      <w:r>
        <w:rPr>
          <w:rFonts w:ascii="Calibri" w:hAnsi="Calibri"/>
          <w:sz w:val="22"/>
        </w:rPr>
        <w:t>(Standard</w:t>
      </w:r>
      <w:r>
        <w:rPr>
          <w:rFonts w:ascii="Calibri" w:hAnsi="Calibri"/>
          <w:spacing w:val="-2"/>
          <w:sz w:val="22"/>
        </w:rPr>
        <w:t> </w:t>
      </w:r>
      <w:r>
        <w:rPr>
          <w:rFonts w:ascii="Calibri" w:hAnsi="Calibri"/>
          <w:spacing w:val="-5"/>
          <w:sz w:val="22"/>
        </w:rPr>
        <w:t>64)</w:t>
      </w:r>
    </w:p>
    <w:p>
      <w:pPr>
        <w:pStyle w:val="BodyText"/>
        <w:spacing w:before="5"/>
        <w:rPr>
          <w:rFonts w:ascii="Calibri"/>
          <w:sz w:val="25"/>
        </w:rPr>
      </w:pPr>
    </w:p>
    <w:p>
      <w:pPr>
        <w:spacing w:line="259" w:lineRule="auto" w:before="1"/>
        <w:ind w:left="1440" w:right="1459" w:firstLine="0"/>
        <w:jc w:val="left"/>
        <w:rPr>
          <w:rFonts w:ascii="Calibri"/>
          <w:sz w:val="22"/>
        </w:rPr>
      </w:pPr>
      <w:r>
        <w:rPr>
          <w:rFonts w:ascii="Calibri"/>
          <w:sz w:val="22"/>
        </w:rPr>
        <w:t>Several guidelines have been published and reviewed/updated for staff outlining the requirements</w:t>
      </w:r>
      <w:r>
        <w:rPr>
          <w:rFonts w:ascii="Calibri"/>
          <w:spacing w:val="40"/>
          <w:sz w:val="22"/>
        </w:rPr>
        <w:t> </w:t>
      </w:r>
      <w:r>
        <w:rPr>
          <w:rFonts w:ascii="Calibri"/>
          <w:sz w:val="22"/>
        </w:rPr>
        <w:t>in</w:t>
      </w:r>
      <w:r>
        <w:rPr>
          <w:rFonts w:ascii="Calibri"/>
          <w:spacing w:val="-2"/>
          <w:sz w:val="22"/>
        </w:rPr>
        <w:t> </w:t>
      </w:r>
      <w:r>
        <w:rPr>
          <w:rFonts w:ascii="Calibri"/>
          <w:sz w:val="22"/>
        </w:rPr>
        <w:t>relation</w:t>
      </w:r>
      <w:r>
        <w:rPr>
          <w:rFonts w:ascii="Calibri"/>
          <w:spacing w:val="-2"/>
          <w:sz w:val="22"/>
        </w:rPr>
        <w:t> </w:t>
      </w:r>
      <w:r>
        <w:rPr>
          <w:rFonts w:ascii="Calibri"/>
          <w:sz w:val="22"/>
        </w:rPr>
        <w:t>to</w:t>
      </w:r>
      <w:r>
        <w:rPr>
          <w:rFonts w:ascii="Calibri"/>
          <w:spacing w:val="-2"/>
          <w:sz w:val="22"/>
        </w:rPr>
        <w:t> </w:t>
      </w:r>
      <w:r>
        <w:rPr>
          <w:rFonts w:ascii="Calibri"/>
          <w:sz w:val="22"/>
        </w:rPr>
        <w:t>compliance</w:t>
      </w:r>
      <w:r>
        <w:rPr>
          <w:rFonts w:ascii="Calibri"/>
          <w:spacing w:val="-3"/>
          <w:sz w:val="22"/>
        </w:rPr>
        <w:t> </w:t>
      </w:r>
      <w:r>
        <w:rPr>
          <w:rFonts w:ascii="Calibri"/>
          <w:sz w:val="22"/>
        </w:rPr>
        <w:t>with</w:t>
      </w:r>
      <w:r>
        <w:rPr>
          <w:rFonts w:ascii="Calibri"/>
          <w:spacing w:val="-2"/>
          <w:sz w:val="22"/>
        </w:rPr>
        <w:t> </w:t>
      </w:r>
      <w:r>
        <w:rPr>
          <w:rFonts w:ascii="Calibri"/>
          <w:sz w:val="22"/>
        </w:rPr>
        <w:t>the</w:t>
      </w:r>
      <w:r>
        <w:rPr>
          <w:rFonts w:ascii="Calibri"/>
          <w:spacing w:val="-3"/>
          <w:sz w:val="22"/>
        </w:rPr>
        <w:t> </w:t>
      </w:r>
      <w:r>
        <w:rPr>
          <w:rFonts w:ascii="Calibri"/>
          <w:sz w:val="22"/>
        </w:rPr>
        <w:t>Standards.</w:t>
      </w:r>
      <w:r>
        <w:rPr>
          <w:rFonts w:ascii="Calibri"/>
          <w:spacing w:val="-3"/>
          <w:sz w:val="22"/>
        </w:rPr>
        <w:t> </w:t>
      </w:r>
      <w:r>
        <w:rPr>
          <w:rFonts w:ascii="Calibri"/>
          <w:sz w:val="22"/>
        </w:rPr>
        <w:t>The</w:t>
      </w:r>
      <w:r>
        <w:rPr>
          <w:rFonts w:ascii="Calibri"/>
          <w:spacing w:val="-3"/>
          <w:sz w:val="22"/>
        </w:rPr>
        <w:t> </w:t>
      </w:r>
      <w:r>
        <w:rPr>
          <w:rFonts w:ascii="Calibri"/>
          <w:sz w:val="22"/>
        </w:rPr>
        <w:t>guidelines</w:t>
      </w:r>
      <w:r>
        <w:rPr>
          <w:rFonts w:ascii="Calibri"/>
          <w:spacing w:val="-3"/>
          <w:sz w:val="22"/>
        </w:rPr>
        <w:t> </w:t>
      </w:r>
      <w:r>
        <w:rPr>
          <w:rFonts w:ascii="Calibri"/>
          <w:sz w:val="22"/>
        </w:rPr>
        <w:t>are</w:t>
      </w:r>
      <w:r>
        <w:rPr>
          <w:rFonts w:ascii="Calibri"/>
          <w:spacing w:val="-3"/>
          <w:sz w:val="22"/>
        </w:rPr>
        <w:t> </w:t>
      </w:r>
      <w:r>
        <w:rPr>
          <w:rFonts w:ascii="Calibri"/>
          <w:sz w:val="22"/>
        </w:rPr>
        <w:t>available</w:t>
      </w:r>
      <w:r>
        <w:rPr>
          <w:rFonts w:ascii="Calibri"/>
          <w:spacing w:val="-3"/>
          <w:sz w:val="22"/>
        </w:rPr>
        <w:t> </w:t>
      </w:r>
      <w:r>
        <w:rPr>
          <w:rFonts w:ascii="Calibri"/>
          <w:sz w:val="22"/>
        </w:rPr>
        <w:t>on</w:t>
      </w:r>
      <w:r>
        <w:rPr>
          <w:rFonts w:ascii="Calibri"/>
          <w:spacing w:val="-2"/>
          <w:sz w:val="22"/>
        </w:rPr>
        <w:t> </w:t>
      </w:r>
      <w:r>
        <w:rPr>
          <w:rFonts w:ascii="Calibri"/>
          <w:sz w:val="22"/>
        </w:rPr>
        <w:t>our</w:t>
      </w:r>
      <w:r>
        <w:rPr>
          <w:rFonts w:ascii="Calibri"/>
          <w:spacing w:val="-3"/>
          <w:sz w:val="22"/>
        </w:rPr>
        <w:t> </w:t>
      </w:r>
      <w:r>
        <w:rPr>
          <w:rFonts w:ascii="Calibri"/>
          <w:sz w:val="22"/>
        </w:rPr>
        <w:t>Welsh</w:t>
      </w:r>
      <w:r>
        <w:rPr>
          <w:rFonts w:ascii="Calibri"/>
          <w:spacing w:val="-3"/>
          <w:sz w:val="22"/>
        </w:rPr>
        <w:t> </w:t>
      </w:r>
      <w:r>
        <w:rPr>
          <w:rFonts w:ascii="Calibri"/>
          <w:sz w:val="22"/>
        </w:rPr>
        <w:t>support</w:t>
      </w:r>
      <w:r>
        <w:rPr>
          <w:rFonts w:ascii="Calibri"/>
          <w:spacing w:val="-3"/>
          <w:sz w:val="22"/>
        </w:rPr>
        <w:t> </w:t>
      </w:r>
      <w:r>
        <w:rPr>
          <w:rFonts w:ascii="Calibri"/>
          <w:sz w:val="22"/>
        </w:rPr>
        <w:t>page on</w:t>
      </w:r>
      <w:r>
        <w:rPr>
          <w:rFonts w:ascii="Calibri"/>
          <w:spacing w:val="-2"/>
          <w:sz w:val="22"/>
        </w:rPr>
        <w:t> </w:t>
      </w:r>
      <w:r>
        <w:rPr>
          <w:rFonts w:ascii="Calibri"/>
          <w:sz w:val="22"/>
        </w:rPr>
        <w:t>the</w:t>
      </w:r>
      <w:r>
        <w:rPr>
          <w:rFonts w:ascii="Calibri"/>
          <w:spacing w:val="-2"/>
          <w:sz w:val="22"/>
        </w:rPr>
        <w:t> </w:t>
      </w:r>
      <w:r>
        <w:rPr>
          <w:rFonts w:ascii="Calibri"/>
          <w:sz w:val="22"/>
        </w:rPr>
        <w:t>intranet.</w:t>
      </w:r>
      <w:r>
        <w:rPr>
          <w:rFonts w:ascii="Calibri"/>
          <w:spacing w:val="40"/>
          <w:sz w:val="22"/>
        </w:rPr>
        <w:t> </w:t>
      </w:r>
      <w:r>
        <w:rPr>
          <w:rFonts w:ascii="Calibri"/>
          <w:sz w:val="22"/>
        </w:rPr>
        <w:t>Managers</w:t>
      </w:r>
      <w:r>
        <w:rPr>
          <w:rFonts w:ascii="Calibri"/>
          <w:spacing w:val="-2"/>
          <w:sz w:val="22"/>
        </w:rPr>
        <w:t> </w:t>
      </w:r>
      <w:r>
        <w:rPr>
          <w:rFonts w:ascii="Calibri"/>
          <w:sz w:val="22"/>
        </w:rPr>
        <w:t>are</w:t>
      </w:r>
      <w:r>
        <w:rPr>
          <w:rFonts w:ascii="Calibri"/>
          <w:spacing w:val="-3"/>
          <w:sz w:val="22"/>
        </w:rPr>
        <w:t> </w:t>
      </w:r>
      <w:r>
        <w:rPr>
          <w:rFonts w:ascii="Calibri"/>
          <w:sz w:val="22"/>
        </w:rPr>
        <w:t>aware</w:t>
      </w:r>
      <w:r>
        <w:rPr>
          <w:rFonts w:ascii="Calibri"/>
          <w:spacing w:val="-3"/>
          <w:sz w:val="22"/>
        </w:rPr>
        <w:t> </w:t>
      </w:r>
      <w:r>
        <w:rPr>
          <w:rFonts w:ascii="Calibri"/>
          <w:sz w:val="22"/>
        </w:rPr>
        <w:t>of</w:t>
      </w:r>
      <w:r>
        <w:rPr>
          <w:rFonts w:ascii="Calibri"/>
          <w:spacing w:val="-3"/>
          <w:sz w:val="22"/>
        </w:rPr>
        <w:t> </w:t>
      </w:r>
      <w:r>
        <w:rPr>
          <w:rFonts w:ascii="Calibri"/>
          <w:sz w:val="22"/>
        </w:rPr>
        <w:t>the</w:t>
      </w:r>
      <w:r>
        <w:rPr>
          <w:rFonts w:ascii="Calibri"/>
          <w:spacing w:val="-3"/>
          <w:sz w:val="22"/>
        </w:rPr>
        <w:t> </w:t>
      </w:r>
      <w:r>
        <w:rPr>
          <w:rFonts w:ascii="Calibri"/>
          <w:sz w:val="22"/>
        </w:rPr>
        <w:t>availability</w:t>
      </w:r>
      <w:r>
        <w:rPr>
          <w:rFonts w:ascii="Calibri"/>
          <w:spacing w:val="-3"/>
          <w:sz w:val="22"/>
        </w:rPr>
        <w:t> </w:t>
      </w:r>
      <w:r>
        <w:rPr>
          <w:rFonts w:ascii="Calibri"/>
          <w:sz w:val="22"/>
        </w:rPr>
        <w:t>of</w:t>
      </w:r>
      <w:r>
        <w:rPr>
          <w:rFonts w:ascii="Calibri"/>
          <w:spacing w:val="-3"/>
          <w:sz w:val="22"/>
        </w:rPr>
        <w:t> </w:t>
      </w:r>
      <w:r>
        <w:rPr>
          <w:rFonts w:ascii="Calibri"/>
          <w:sz w:val="22"/>
        </w:rPr>
        <w:t>the</w:t>
      </w:r>
      <w:r>
        <w:rPr>
          <w:rFonts w:ascii="Calibri"/>
          <w:spacing w:val="-2"/>
          <w:sz w:val="22"/>
        </w:rPr>
        <w:t> </w:t>
      </w:r>
      <w:r>
        <w:rPr>
          <w:rFonts w:ascii="Calibri"/>
          <w:sz w:val="22"/>
        </w:rPr>
        <w:t>guidelines</w:t>
      </w:r>
      <w:r>
        <w:rPr>
          <w:rFonts w:ascii="Calibri"/>
          <w:spacing w:val="-3"/>
          <w:sz w:val="22"/>
        </w:rPr>
        <w:t> </w:t>
      </w:r>
      <w:r>
        <w:rPr>
          <w:rFonts w:ascii="Calibri"/>
          <w:sz w:val="22"/>
        </w:rPr>
        <w:t>and</w:t>
      </w:r>
      <w:r>
        <w:rPr>
          <w:rFonts w:ascii="Calibri"/>
          <w:spacing w:val="-2"/>
          <w:sz w:val="22"/>
        </w:rPr>
        <w:t> </w:t>
      </w:r>
      <w:r>
        <w:rPr>
          <w:rFonts w:ascii="Calibri"/>
          <w:sz w:val="22"/>
        </w:rPr>
        <w:t>continue</w:t>
      </w:r>
      <w:r>
        <w:rPr>
          <w:rFonts w:ascii="Calibri"/>
          <w:spacing w:val="-3"/>
          <w:sz w:val="22"/>
        </w:rPr>
        <w:t> </w:t>
      </w:r>
      <w:r>
        <w:rPr>
          <w:rFonts w:ascii="Calibri"/>
          <w:sz w:val="22"/>
        </w:rPr>
        <w:t>to</w:t>
      </w:r>
      <w:r>
        <w:rPr>
          <w:rFonts w:ascii="Calibri"/>
          <w:spacing w:val="-2"/>
          <w:sz w:val="22"/>
        </w:rPr>
        <w:t> </w:t>
      </w:r>
      <w:r>
        <w:rPr>
          <w:rFonts w:ascii="Calibri"/>
          <w:sz w:val="22"/>
        </w:rPr>
        <w:t>advise</w:t>
      </w:r>
      <w:r>
        <w:rPr>
          <w:rFonts w:ascii="Calibri"/>
          <w:spacing w:val="-2"/>
          <w:sz w:val="22"/>
        </w:rPr>
        <w:t> </w:t>
      </w:r>
      <w:r>
        <w:rPr>
          <w:rFonts w:ascii="Calibri"/>
          <w:sz w:val="22"/>
        </w:rPr>
        <w:t>their teams to familiarise themselves with the information and guidance made available to them.</w:t>
      </w:r>
      <w:r>
        <w:rPr>
          <w:rFonts w:ascii="Calibri"/>
          <w:spacing w:val="40"/>
          <w:sz w:val="22"/>
        </w:rPr>
        <w:t> </w:t>
      </w:r>
      <w:r>
        <w:rPr>
          <w:rFonts w:ascii="Calibri"/>
          <w:sz w:val="22"/>
        </w:rPr>
        <w:t>The Guidelines include:</w:t>
      </w:r>
    </w:p>
    <w:p>
      <w:pPr>
        <w:pStyle w:val="ListParagraph"/>
        <w:numPr>
          <w:ilvl w:val="0"/>
          <w:numId w:val="44"/>
        </w:numPr>
        <w:tabs>
          <w:tab w:pos="2204" w:val="left" w:leader="none"/>
          <w:tab w:pos="2205" w:val="left" w:leader="none"/>
        </w:tabs>
        <w:spacing w:line="279" w:lineRule="exact" w:before="0" w:after="0"/>
        <w:ind w:left="2204" w:right="0" w:hanging="360"/>
        <w:jc w:val="left"/>
        <w:rPr>
          <w:rFonts w:ascii="Calibri" w:hAnsi="Calibri"/>
          <w:sz w:val="22"/>
        </w:rPr>
      </w:pPr>
      <w:r>
        <w:rPr>
          <w:rFonts w:ascii="Calibri" w:hAnsi="Calibri"/>
          <w:sz w:val="22"/>
        </w:rPr>
        <w:t>Protocol</w:t>
      </w:r>
      <w:r>
        <w:rPr>
          <w:rFonts w:ascii="Calibri" w:hAnsi="Calibri"/>
          <w:spacing w:val="-1"/>
          <w:sz w:val="22"/>
        </w:rPr>
        <w:t> </w:t>
      </w:r>
      <w:r>
        <w:rPr>
          <w:rFonts w:ascii="Calibri" w:hAnsi="Calibri"/>
          <w:sz w:val="22"/>
        </w:rPr>
        <w:t>on</w:t>
      </w:r>
      <w:r>
        <w:rPr>
          <w:rFonts w:ascii="Calibri" w:hAnsi="Calibri"/>
          <w:spacing w:val="-1"/>
          <w:sz w:val="22"/>
        </w:rPr>
        <w:t> </w:t>
      </w:r>
      <w:r>
        <w:rPr>
          <w:rFonts w:ascii="Calibri" w:hAnsi="Calibri"/>
          <w:sz w:val="22"/>
        </w:rPr>
        <w:t>written</w:t>
      </w:r>
      <w:r>
        <w:rPr>
          <w:rFonts w:ascii="Calibri" w:hAnsi="Calibri"/>
          <w:spacing w:val="-1"/>
          <w:sz w:val="22"/>
        </w:rPr>
        <w:t> </w:t>
      </w:r>
      <w:r>
        <w:rPr>
          <w:rFonts w:ascii="Calibri" w:hAnsi="Calibri"/>
          <w:spacing w:val="-2"/>
          <w:sz w:val="22"/>
        </w:rPr>
        <w:t>correspondence</w:t>
      </w:r>
    </w:p>
    <w:p>
      <w:pPr>
        <w:pStyle w:val="ListParagraph"/>
        <w:numPr>
          <w:ilvl w:val="0"/>
          <w:numId w:val="44"/>
        </w:numPr>
        <w:tabs>
          <w:tab w:pos="2204" w:val="left" w:leader="none"/>
          <w:tab w:pos="2205" w:val="left" w:leader="none"/>
        </w:tabs>
        <w:spacing w:line="240" w:lineRule="auto" w:before="21" w:after="0"/>
        <w:ind w:left="2204" w:right="0" w:hanging="360"/>
        <w:jc w:val="left"/>
        <w:rPr>
          <w:rFonts w:ascii="Calibri" w:hAnsi="Calibri"/>
          <w:sz w:val="22"/>
        </w:rPr>
      </w:pPr>
      <w:r>
        <w:rPr>
          <w:rFonts w:ascii="Calibri" w:hAnsi="Calibri"/>
          <w:sz w:val="22"/>
        </w:rPr>
        <w:t>Protocol</w:t>
      </w:r>
      <w:r>
        <w:rPr>
          <w:rFonts w:ascii="Calibri" w:hAnsi="Calibri"/>
          <w:spacing w:val="-4"/>
          <w:sz w:val="22"/>
        </w:rPr>
        <w:t> </w:t>
      </w:r>
      <w:r>
        <w:rPr>
          <w:rFonts w:ascii="Calibri" w:hAnsi="Calibri"/>
          <w:sz w:val="22"/>
        </w:rPr>
        <w:t>for</w:t>
      </w:r>
      <w:r>
        <w:rPr>
          <w:rFonts w:ascii="Calibri" w:hAnsi="Calibri"/>
          <w:spacing w:val="-3"/>
          <w:sz w:val="22"/>
        </w:rPr>
        <w:t> </w:t>
      </w:r>
      <w:r>
        <w:rPr>
          <w:rFonts w:ascii="Calibri" w:hAnsi="Calibri"/>
          <w:sz w:val="22"/>
        </w:rPr>
        <w:t>answering</w:t>
      </w:r>
      <w:r>
        <w:rPr>
          <w:rFonts w:ascii="Calibri" w:hAnsi="Calibri"/>
          <w:spacing w:val="-3"/>
          <w:sz w:val="22"/>
        </w:rPr>
        <w:t> </w:t>
      </w:r>
      <w:r>
        <w:rPr>
          <w:rFonts w:ascii="Calibri" w:hAnsi="Calibri"/>
          <w:sz w:val="22"/>
        </w:rPr>
        <w:t>and</w:t>
      </w:r>
      <w:r>
        <w:rPr>
          <w:rFonts w:ascii="Calibri" w:hAnsi="Calibri"/>
          <w:spacing w:val="-2"/>
          <w:sz w:val="22"/>
        </w:rPr>
        <w:t> </w:t>
      </w:r>
      <w:r>
        <w:rPr>
          <w:rFonts w:ascii="Calibri" w:hAnsi="Calibri"/>
          <w:sz w:val="22"/>
        </w:rPr>
        <w:t>phone</w:t>
      </w:r>
      <w:r>
        <w:rPr>
          <w:rFonts w:ascii="Calibri" w:hAnsi="Calibri"/>
          <w:spacing w:val="-2"/>
          <w:sz w:val="22"/>
        </w:rPr>
        <w:t> </w:t>
      </w:r>
      <w:r>
        <w:rPr>
          <w:rFonts w:ascii="Calibri" w:hAnsi="Calibri"/>
          <w:sz w:val="22"/>
        </w:rPr>
        <w:t>bilingually</w:t>
      </w:r>
      <w:r>
        <w:rPr>
          <w:rFonts w:ascii="Calibri" w:hAnsi="Calibri"/>
          <w:spacing w:val="-2"/>
          <w:sz w:val="22"/>
        </w:rPr>
        <w:t> </w:t>
      </w:r>
      <w:r>
        <w:rPr>
          <w:rFonts w:ascii="Calibri" w:hAnsi="Calibri"/>
          <w:sz w:val="22"/>
        </w:rPr>
        <w:t>and</w:t>
      </w:r>
      <w:r>
        <w:rPr>
          <w:rFonts w:ascii="Calibri" w:hAnsi="Calibri"/>
          <w:spacing w:val="-1"/>
          <w:sz w:val="22"/>
        </w:rPr>
        <w:t> </w:t>
      </w:r>
      <w:r>
        <w:rPr>
          <w:rFonts w:ascii="Calibri" w:hAnsi="Calibri"/>
          <w:sz w:val="22"/>
        </w:rPr>
        <w:t>handling</w:t>
      </w:r>
      <w:r>
        <w:rPr>
          <w:rFonts w:ascii="Calibri" w:hAnsi="Calibri"/>
          <w:spacing w:val="-3"/>
          <w:sz w:val="22"/>
        </w:rPr>
        <w:t> </w:t>
      </w:r>
      <w:r>
        <w:rPr>
          <w:rFonts w:ascii="Calibri" w:hAnsi="Calibri"/>
          <w:sz w:val="22"/>
        </w:rPr>
        <w:t>Welsh</w:t>
      </w:r>
      <w:r>
        <w:rPr>
          <w:rFonts w:ascii="Calibri" w:hAnsi="Calibri"/>
          <w:spacing w:val="-3"/>
          <w:sz w:val="22"/>
        </w:rPr>
        <w:t> </w:t>
      </w:r>
      <w:r>
        <w:rPr>
          <w:rFonts w:ascii="Calibri" w:hAnsi="Calibri"/>
          <w:sz w:val="22"/>
        </w:rPr>
        <w:t>calls</w:t>
      </w:r>
      <w:r>
        <w:rPr>
          <w:rFonts w:ascii="Calibri" w:hAnsi="Calibri"/>
          <w:spacing w:val="-2"/>
          <w:sz w:val="22"/>
        </w:rPr>
        <w:t> received</w:t>
      </w:r>
    </w:p>
    <w:p>
      <w:pPr>
        <w:pStyle w:val="ListParagraph"/>
        <w:numPr>
          <w:ilvl w:val="0"/>
          <w:numId w:val="44"/>
        </w:numPr>
        <w:tabs>
          <w:tab w:pos="2204" w:val="left" w:leader="none"/>
          <w:tab w:pos="2205" w:val="left" w:leader="none"/>
        </w:tabs>
        <w:spacing w:line="240" w:lineRule="auto" w:before="21" w:after="0"/>
        <w:ind w:left="2204" w:right="0" w:hanging="360"/>
        <w:jc w:val="left"/>
        <w:rPr>
          <w:rFonts w:ascii="Calibri" w:hAnsi="Calibri"/>
          <w:sz w:val="22"/>
        </w:rPr>
      </w:pPr>
      <w:r>
        <w:rPr>
          <w:rFonts w:ascii="Calibri" w:hAnsi="Calibri"/>
          <w:sz w:val="22"/>
        </w:rPr>
        <w:t>A</w:t>
      </w:r>
      <w:r>
        <w:rPr>
          <w:rFonts w:ascii="Calibri" w:hAnsi="Calibri"/>
          <w:spacing w:val="-5"/>
          <w:sz w:val="22"/>
        </w:rPr>
        <w:t> </w:t>
      </w:r>
      <w:r>
        <w:rPr>
          <w:rFonts w:ascii="Calibri" w:hAnsi="Calibri"/>
          <w:sz w:val="22"/>
        </w:rPr>
        <w:t>guide</w:t>
      </w:r>
      <w:r>
        <w:rPr>
          <w:rFonts w:ascii="Calibri" w:hAnsi="Calibri"/>
          <w:spacing w:val="-3"/>
          <w:sz w:val="22"/>
        </w:rPr>
        <w:t> </w:t>
      </w:r>
      <w:r>
        <w:rPr>
          <w:rFonts w:ascii="Calibri" w:hAnsi="Calibri"/>
          <w:sz w:val="22"/>
        </w:rPr>
        <w:t>for</w:t>
      </w:r>
      <w:r>
        <w:rPr>
          <w:rFonts w:ascii="Calibri" w:hAnsi="Calibri"/>
          <w:spacing w:val="-3"/>
          <w:sz w:val="22"/>
        </w:rPr>
        <w:t> </w:t>
      </w:r>
      <w:r>
        <w:rPr>
          <w:rFonts w:ascii="Calibri" w:hAnsi="Calibri"/>
          <w:sz w:val="22"/>
        </w:rPr>
        <w:t>reception</w:t>
      </w:r>
      <w:r>
        <w:rPr>
          <w:rFonts w:ascii="Calibri" w:hAnsi="Calibri"/>
          <w:spacing w:val="-3"/>
          <w:sz w:val="22"/>
        </w:rPr>
        <w:t> </w:t>
      </w:r>
      <w:r>
        <w:rPr>
          <w:rFonts w:ascii="Calibri" w:hAnsi="Calibri"/>
          <w:sz w:val="22"/>
        </w:rPr>
        <w:t>staff</w:t>
      </w:r>
      <w:r>
        <w:rPr>
          <w:rFonts w:ascii="Calibri" w:hAnsi="Calibri"/>
          <w:spacing w:val="-4"/>
          <w:sz w:val="22"/>
        </w:rPr>
        <w:t> </w:t>
      </w:r>
      <w:r>
        <w:rPr>
          <w:rFonts w:ascii="Calibri" w:hAnsi="Calibri"/>
          <w:sz w:val="22"/>
        </w:rPr>
        <w:t>in</w:t>
      </w:r>
      <w:r>
        <w:rPr>
          <w:rFonts w:ascii="Calibri" w:hAnsi="Calibri"/>
          <w:spacing w:val="-2"/>
          <w:sz w:val="22"/>
        </w:rPr>
        <w:t> </w:t>
      </w:r>
      <w:r>
        <w:rPr>
          <w:rFonts w:ascii="Calibri" w:hAnsi="Calibri"/>
          <w:sz w:val="22"/>
        </w:rPr>
        <w:t>welcoming</w:t>
      </w:r>
      <w:r>
        <w:rPr>
          <w:rFonts w:ascii="Calibri" w:hAnsi="Calibri"/>
          <w:spacing w:val="-3"/>
          <w:sz w:val="22"/>
        </w:rPr>
        <w:t> </w:t>
      </w:r>
      <w:r>
        <w:rPr>
          <w:rFonts w:ascii="Calibri" w:hAnsi="Calibri"/>
          <w:sz w:val="22"/>
        </w:rPr>
        <w:t>visitors</w:t>
      </w:r>
      <w:r>
        <w:rPr>
          <w:rFonts w:ascii="Calibri" w:hAnsi="Calibri"/>
          <w:spacing w:val="-3"/>
          <w:sz w:val="22"/>
        </w:rPr>
        <w:t> </w:t>
      </w:r>
      <w:r>
        <w:rPr>
          <w:rFonts w:ascii="Calibri" w:hAnsi="Calibri"/>
          <w:sz w:val="22"/>
        </w:rPr>
        <w:t>to</w:t>
      </w:r>
      <w:r>
        <w:rPr>
          <w:rFonts w:ascii="Calibri" w:hAnsi="Calibri"/>
          <w:spacing w:val="-3"/>
          <w:sz w:val="22"/>
        </w:rPr>
        <w:t> </w:t>
      </w:r>
      <w:r>
        <w:rPr>
          <w:rFonts w:ascii="Calibri" w:hAnsi="Calibri"/>
          <w:sz w:val="22"/>
        </w:rPr>
        <w:t>our</w:t>
      </w:r>
      <w:r>
        <w:rPr>
          <w:rFonts w:ascii="Calibri" w:hAnsi="Calibri"/>
          <w:spacing w:val="-3"/>
          <w:sz w:val="22"/>
        </w:rPr>
        <w:t> </w:t>
      </w:r>
      <w:r>
        <w:rPr>
          <w:rFonts w:ascii="Calibri" w:hAnsi="Calibri"/>
          <w:sz w:val="22"/>
        </w:rPr>
        <w:t>buildings/offices</w:t>
      </w:r>
      <w:r>
        <w:rPr>
          <w:rFonts w:ascii="Calibri" w:hAnsi="Calibri"/>
          <w:spacing w:val="-3"/>
          <w:sz w:val="22"/>
        </w:rPr>
        <w:t> </w:t>
      </w:r>
      <w:r>
        <w:rPr>
          <w:rFonts w:ascii="Calibri" w:hAnsi="Calibri"/>
          <w:sz w:val="22"/>
        </w:rPr>
        <w:t>across</w:t>
      </w:r>
      <w:r>
        <w:rPr>
          <w:rFonts w:ascii="Calibri" w:hAnsi="Calibri"/>
          <w:spacing w:val="-3"/>
          <w:sz w:val="22"/>
        </w:rPr>
        <w:t> </w:t>
      </w:r>
      <w:r>
        <w:rPr>
          <w:rFonts w:ascii="Calibri" w:hAnsi="Calibri"/>
          <w:spacing w:val="-2"/>
          <w:sz w:val="22"/>
        </w:rPr>
        <w:t>Wales</w:t>
      </w:r>
    </w:p>
    <w:p>
      <w:pPr>
        <w:pStyle w:val="ListParagraph"/>
        <w:numPr>
          <w:ilvl w:val="0"/>
          <w:numId w:val="44"/>
        </w:numPr>
        <w:tabs>
          <w:tab w:pos="2204" w:val="left" w:leader="none"/>
          <w:tab w:pos="2205" w:val="left" w:leader="none"/>
        </w:tabs>
        <w:spacing w:line="240" w:lineRule="auto" w:before="21" w:after="0"/>
        <w:ind w:left="2204" w:right="0" w:hanging="360"/>
        <w:jc w:val="left"/>
        <w:rPr>
          <w:rFonts w:ascii="Calibri" w:hAnsi="Calibri"/>
          <w:sz w:val="22"/>
        </w:rPr>
      </w:pPr>
      <w:r>
        <w:rPr>
          <w:rFonts w:ascii="Calibri" w:hAnsi="Calibri"/>
          <w:sz w:val="22"/>
        </w:rPr>
        <w:t>A</w:t>
      </w:r>
      <w:r>
        <w:rPr>
          <w:rFonts w:ascii="Calibri" w:hAnsi="Calibri"/>
          <w:spacing w:val="-4"/>
          <w:sz w:val="22"/>
        </w:rPr>
        <w:t> </w:t>
      </w:r>
      <w:r>
        <w:rPr>
          <w:rFonts w:ascii="Calibri" w:hAnsi="Calibri"/>
          <w:sz w:val="22"/>
        </w:rPr>
        <w:t>Protocol</w:t>
      </w:r>
      <w:r>
        <w:rPr>
          <w:rFonts w:ascii="Calibri" w:hAnsi="Calibri"/>
          <w:spacing w:val="-1"/>
          <w:sz w:val="22"/>
        </w:rPr>
        <w:t> </w:t>
      </w:r>
      <w:r>
        <w:rPr>
          <w:rFonts w:ascii="Calibri" w:hAnsi="Calibri"/>
          <w:sz w:val="22"/>
        </w:rPr>
        <w:t>on</w:t>
      </w:r>
      <w:r>
        <w:rPr>
          <w:rFonts w:ascii="Calibri" w:hAnsi="Calibri"/>
          <w:spacing w:val="-1"/>
          <w:sz w:val="22"/>
        </w:rPr>
        <w:t> </w:t>
      </w:r>
      <w:r>
        <w:rPr>
          <w:rFonts w:ascii="Calibri" w:hAnsi="Calibri"/>
          <w:sz w:val="22"/>
        </w:rPr>
        <w:t>arranging</w:t>
      </w:r>
      <w:r>
        <w:rPr>
          <w:rFonts w:ascii="Calibri" w:hAnsi="Calibri"/>
          <w:spacing w:val="-2"/>
          <w:sz w:val="22"/>
        </w:rPr>
        <w:t> </w:t>
      </w:r>
      <w:r>
        <w:rPr>
          <w:rFonts w:ascii="Calibri" w:hAnsi="Calibri"/>
          <w:sz w:val="22"/>
        </w:rPr>
        <w:t>and</w:t>
      </w:r>
      <w:r>
        <w:rPr>
          <w:rFonts w:ascii="Calibri" w:hAnsi="Calibri"/>
          <w:spacing w:val="-2"/>
          <w:sz w:val="22"/>
        </w:rPr>
        <w:t> </w:t>
      </w:r>
      <w:r>
        <w:rPr>
          <w:rFonts w:ascii="Calibri" w:hAnsi="Calibri"/>
          <w:sz w:val="22"/>
        </w:rPr>
        <w:t>conducting</w:t>
      </w:r>
      <w:r>
        <w:rPr>
          <w:rFonts w:ascii="Calibri" w:hAnsi="Calibri"/>
          <w:spacing w:val="-2"/>
          <w:sz w:val="22"/>
        </w:rPr>
        <w:t> </w:t>
      </w:r>
      <w:r>
        <w:rPr>
          <w:rFonts w:ascii="Calibri" w:hAnsi="Calibri"/>
          <w:sz w:val="22"/>
        </w:rPr>
        <w:t>meetings</w:t>
      </w:r>
      <w:r>
        <w:rPr>
          <w:rFonts w:ascii="Calibri" w:hAnsi="Calibri"/>
          <w:spacing w:val="-3"/>
          <w:sz w:val="22"/>
        </w:rPr>
        <w:t> </w:t>
      </w:r>
      <w:r>
        <w:rPr>
          <w:rFonts w:ascii="Calibri" w:hAnsi="Calibri"/>
          <w:sz w:val="22"/>
        </w:rPr>
        <w:t>and</w:t>
      </w:r>
      <w:r>
        <w:rPr>
          <w:rFonts w:ascii="Calibri" w:hAnsi="Calibri"/>
          <w:spacing w:val="-1"/>
          <w:sz w:val="22"/>
        </w:rPr>
        <w:t> </w:t>
      </w:r>
      <w:r>
        <w:rPr>
          <w:rFonts w:ascii="Calibri" w:hAnsi="Calibri"/>
          <w:sz w:val="22"/>
        </w:rPr>
        <w:t>public</w:t>
      </w:r>
      <w:r>
        <w:rPr>
          <w:rFonts w:ascii="Calibri" w:hAnsi="Calibri"/>
          <w:spacing w:val="-2"/>
          <w:sz w:val="22"/>
        </w:rPr>
        <w:t> </w:t>
      </w:r>
      <w:r>
        <w:rPr>
          <w:rFonts w:ascii="Calibri" w:hAnsi="Calibri"/>
          <w:sz w:val="22"/>
        </w:rPr>
        <w:t>meetings</w:t>
      </w:r>
      <w:r>
        <w:rPr>
          <w:rFonts w:ascii="Calibri" w:hAnsi="Calibri"/>
          <w:spacing w:val="-1"/>
          <w:sz w:val="22"/>
        </w:rPr>
        <w:t> </w:t>
      </w:r>
      <w:r>
        <w:rPr>
          <w:rFonts w:ascii="Calibri" w:hAnsi="Calibri"/>
          <w:spacing w:val="-2"/>
          <w:sz w:val="22"/>
        </w:rPr>
        <w:t>bilingually</w:t>
      </w:r>
    </w:p>
    <w:p>
      <w:pPr>
        <w:pStyle w:val="ListParagraph"/>
        <w:numPr>
          <w:ilvl w:val="0"/>
          <w:numId w:val="44"/>
        </w:numPr>
        <w:tabs>
          <w:tab w:pos="2204" w:val="left" w:leader="none"/>
          <w:tab w:pos="2205" w:val="left" w:leader="none"/>
        </w:tabs>
        <w:spacing w:line="240" w:lineRule="auto" w:before="22" w:after="0"/>
        <w:ind w:left="2204" w:right="0" w:hanging="360"/>
        <w:jc w:val="left"/>
        <w:rPr>
          <w:rFonts w:ascii="Calibri" w:hAnsi="Calibri"/>
          <w:sz w:val="22"/>
        </w:rPr>
      </w:pPr>
      <w:r>
        <w:rPr>
          <w:rFonts w:ascii="Calibri" w:hAnsi="Calibri"/>
          <w:sz w:val="22"/>
        </w:rPr>
        <w:t>Writing</w:t>
      </w:r>
      <w:r>
        <w:rPr>
          <w:rFonts w:ascii="Calibri" w:hAnsi="Calibri"/>
          <w:spacing w:val="-2"/>
          <w:sz w:val="22"/>
        </w:rPr>
        <w:t> </w:t>
      </w:r>
      <w:r>
        <w:rPr>
          <w:rFonts w:ascii="Calibri" w:hAnsi="Calibri"/>
          <w:sz w:val="22"/>
        </w:rPr>
        <w:t>in</w:t>
      </w:r>
      <w:r>
        <w:rPr>
          <w:rFonts w:ascii="Calibri" w:hAnsi="Calibri"/>
          <w:spacing w:val="-1"/>
          <w:sz w:val="22"/>
        </w:rPr>
        <w:t> </w:t>
      </w:r>
      <w:r>
        <w:rPr>
          <w:rFonts w:ascii="Calibri" w:hAnsi="Calibri"/>
          <w:sz w:val="22"/>
        </w:rPr>
        <w:t>Welsh</w:t>
      </w:r>
      <w:r>
        <w:rPr>
          <w:rFonts w:ascii="Calibri" w:hAnsi="Calibri"/>
          <w:spacing w:val="-2"/>
          <w:sz w:val="22"/>
        </w:rPr>
        <w:t> </w:t>
      </w:r>
      <w:r>
        <w:rPr>
          <w:rFonts w:ascii="Calibri" w:hAnsi="Calibri"/>
          <w:sz w:val="22"/>
        </w:rPr>
        <w:t>–</w:t>
      </w:r>
      <w:r>
        <w:rPr>
          <w:rFonts w:ascii="Calibri" w:hAnsi="Calibri"/>
          <w:spacing w:val="-2"/>
          <w:sz w:val="22"/>
        </w:rPr>
        <w:t> </w:t>
      </w:r>
      <w:r>
        <w:rPr>
          <w:rFonts w:ascii="Calibri" w:hAnsi="Calibri"/>
          <w:sz w:val="22"/>
        </w:rPr>
        <w:t>handy</w:t>
      </w:r>
      <w:r>
        <w:rPr>
          <w:rFonts w:ascii="Calibri" w:hAnsi="Calibri"/>
          <w:spacing w:val="-1"/>
          <w:sz w:val="22"/>
        </w:rPr>
        <w:t> </w:t>
      </w:r>
      <w:r>
        <w:rPr>
          <w:rFonts w:ascii="Calibri" w:hAnsi="Calibri"/>
          <w:spacing w:val="-2"/>
          <w:sz w:val="22"/>
        </w:rPr>
        <w:t>phrases</w:t>
      </w:r>
    </w:p>
    <w:p>
      <w:pPr>
        <w:pStyle w:val="ListParagraph"/>
        <w:numPr>
          <w:ilvl w:val="0"/>
          <w:numId w:val="44"/>
        </w:numPr>
        <w:tabs>
          <w:tab w:pos="2204" w:val="left" w:leader="none"/>
          <w:tab w:pos="2205" w:val="left" w:leader="none"/>
        </w:tabs>
        <w:spacing w:line="240" w:lineRule="auto" w:before="21" w:after="0"/>
        <w:ind w:left="2204" w:right="0" w:hanging="360"/>
        <w:jc w:val="left"/>
        <w:rPr>
          <w:rFonts w:ascii="Calibri" w:hAnsi="Calibri"/>
          <w:sz w:val="22"/>
        </w:rPr>
      </w:pPr>
      <w:r>
        <w:rPr>
          <w:rFonts w:ascii="Calibri" w:hAnsi="Calibri"/>
          <w:sz w:val="22"/>
        </w:rPr>
        <w:t>Templates</w:t>
      </w:r>
      <w:r>
        <w:rPr>
          <w:rFonts w:ascii="Calibri" w:hAnsi="Calibri"/>
          <w:spacing w:val="-3"/>
          <w:sz w:val="22"/>
        </w:rPr>
        <w:t> </w:t>
      </w:r>
      <w:r>
        <w:rPr>
          <w:rFonts w:ascii="Calibri" w:hAnsi="Calibri"/>
          <w:sz w:val="22"/>
        </w:rPr>
        <w:t>–</w:t>
      </w:r>
      <w:r>
        <w:rPr>
          <w:rFonts w:ascii="Calibri" w:hAnsi="Calibri"/>
          <w:spacing w:val="-2"/>
          <w:sz w:val="22"/>
        </w:rPr>
        <w:t> </w:t>
      </w:r>
      <w:r>
        <w:rPr>
          <w:rFonts w:ascii="Calibri" w:hAnsi="Calibri"/>
          <w:sz w:val="22"/>
        </w:rPr>
        <w:t>signs,</w:t>
      </w:r>
      <w:r>
        <w:rPr>
          <w:rFonts w:ascii="Calibri" w:hAnsi="Calibri"/>
          <w:spacing w:val="-3"/>
          <w:sz w:val="22"/>
        </w:rPr>
        <w:t> </w:t>
      </w:r>
      <w:r>
        <w:rPr>
          <w:rFonts w:ascii="Calibri" w:hAnsi="Calibri"/>
          <w:sz w:val="22"/>
        </w:rPr>
        <w:t>forms</w:t>
      </w:r>
      <w:r>
        <w:rPr>
          <w:rFonts w:ascii="Calibri" w:hAnsi="Calibri"/>
          <w:spacing w:val="-2"/>
          <w:sz w:val="22"/>
        </w:rPr>
        <w:t> </w:t>
      </w:r>
      <w:r>
        <w:rPr>
          <w:rFonts w:ascii="Calibri" w:hAnsi="Calibri"/>
          <w:spacing w:val="-5"/>
          <w:sz w:val="22"/>
        </w:rPr>
        <w:t>etc</w:t>
      </w:r>
    </w:p>
    <w:p>
      <w:pPr>
        <w:pStyle w:val="ListParagraph"/>
        <w:numPr>
          <w:ilvl w:val="0"/>
          <w:numId w:val="44"/>
        </w:numPr>
        <w:tabs>
          <w:tab w:pos="2204" w:val="left" w:leader="none"/>
          <w:tab w:pos="2205" w:val="left" w:leader="none"/>
        </w:tabs>
        <w:spacing w:line="240" w:lineRule="auto" w:before="21" w:after="0"/>
        <w:ind w:left="2204" w:right="0" w:hanging="360"/>
        <w:jc w:val="left"/>
        <w:rPr>
          <w:rFonts w:ascii="Calibri" w:hAnsi="Calibri"/>
          <w:sz w:val="22"/>
        </w:rPr>
      </w:pPr>
      <w:r>
        <w:rPr>
          <w:rFonts w:ascii="Calibri" w:hAnsi="Calibri"/>
          <w:sz w:val="22"/>
        </w:rPr>
        <w:t>Guidance</w:t>
      </w:r>
      <w:r>
        <w:rPr>
          <w:rFonts w:ascii="Calibri" w:hAnsi="Calibri"/>
          <w:spacing w:val="-3"/>
          <w:sz w:val="22"/>
        </w:rPr>
        <w:t> </w:t>
      </w:r>
      <w:r>
        <w:rPr>
          <w:rFonts w:ascii="Calibri" w:hAnsi="Calibri"/>
          <w:sz w:val="22"/>
        </w:rPr>
        <w:t>for</w:t>
      </w:r>
      <w:r>
        <w:rPr>
          <w:rFonts w:ascii="Calibri" w:hAnsi="Calibri"/>
          <w:spacing w:val="-3"/>
          <w:sz w:val="22"/>
        </w:rPr>
        <w:t> </w:t>
      </w:r>
      <w:r>
        <w:rPr>
          <w:rFonts w:ascii="Calibri" w:hAnsi="Calibri"/>
          <w:sz w:val="22"/>
        </w:rPr>
        <w:t>web</w:t>
      </w:r>
      <w:r>
        <w:rPr>
          <w:rFonts w:ascii="Calibri" w:hAnsi="Calibri"/>
          <w:spacing w:val="-2"/>
          <w:sz w:val="22"/>
        </w:rPr>
        <w:t> </w:t>
      </w:r>
      <w:r>
        <w:rPr>
          <w:rFonts w:ascii="Calibri" w:hAnsi="Calibri"/>
          <w:sz w:val="22"/>
        </w:rPr>
        <w:t>authoring</w:t>
      </w:r>
      <w:r>
        <w:rPr>
          <w:rFonts w:ascii="Calibri" w:hAnsi="Calibri"/>
          <w:spacing w:val="-3"/>
          <w:sz w:val="22"/>
        </w:rPr>
        <w:t> </w:t>
      </w:r>
      <w:r>
        <w:rPr>
          <w:rFonts w:ascii="Calibri" w:hAnsi="Calibri"/>
          <w:sz w:val="22"/>
        </w:rPr>
        <w:t>and</w:t>
      </w:r>
      <w:r>
        <w:rPr>
          <w:rFonts w:ascii="Calibri" w:hAnsi="Calibri"/>
          <w:spacing w:val="-1"/>
          <w:sz w:val="22"/>
        </w:rPr>
        <w:t> </w:t>
      </w:r>
      <w:r>
        <w:rPr>
          <w:rFonts w:ascii="Calibri" w:hAnsi="Calibri"/>
          <w:sz w:val="22"/>
        </w:rPr>
        <w:t>the</w:t>
      </w:r>
      <w:r>
        <w:rPr>
          <w:rFonts w:ascii="Calibri" w:hAnsi="Calibri"/>
          <w:spacing w:val="-2"/>
          <w:sz w:val="22"/>
        </w:rPr>
        <w:t> </w:t>
      </w:r>
      <w:r>
        <w:rPr>
          <w:rFonts w:ascii="Calibri" w:hAnsi="Calibri"/>
          <w:sz w:val="22"/>
        </w:rPr>
        <w:t>use</w:t>
      </w:r>
      <w:r>
        <w:rPr>
          <w:rFonts w:ascii="Calibri" w:hAnsi="Calibri"/>
          <w:spacing w:val="-3"/>
          <w:sz w:val="22"/>
        </w:rPr>
        <w:t> </w:t>
      </w:r>
      <w:r>
        <w:rPr>
          <w:rFonts w:ascii="Calibri" w:hAnsi="Calibri"/>
          <w:sz w:val="22"/>
        </w:rPr>
        <w:t>of</w:t>
      </w:r>
      <w:r>
        <w:rPr>
          <w:rFonts w:ascii="Calibri" w:hAnsi="Calibri"/>
          <w:spacing w:val="-2"/>
          <w:sz w:val="22"/>
        </w:rPr>
        <w:t> </w:t>
      </w:r>
      <w:r>
        <w:rPr>
          <w:rFonts w:ascii="Calibri" w:hAnsi="Calibri"/>
          <w:sz w:val="22"/>
        </w:rPr>
        <w:t>social</w:t>
      </w:r>
      <w:r>
        <w:rPr>
          <w:rFonts w:ascii="Calibri" w:hAnsi="Calibri"/>
          <w:spacing w:val="-1"/>
          <w:sz w:val="22"/>
        </w:rPr>
        <w:t> </w:t>
      </w:r>
      <w:r>
        <w:rPr>
          <w:rFonts w:ascii="Calibri" w:hAnsi="Calibri"/>
          <w:spacing w:val="-4"/>
          <w:sz w:val="22"/>
        </w:rPr>
        <w:t>media</w:t>
      </w:r>
    </w:p>
    <w:p>
      <w:pPr>
        <w:pStyle w:val="ListParagraph"/>
        <w:numPr>
          <w:ilvl w:val="0"/>
          <w:numId w:val="44"/>
        </w:numPr>
        <w:tabs>
          <w:tab w:pos="2204" w:val="left" w:leader="none"/>
          <w:tab w:pos="2205" w:val="left" w:leader="none"/>
        </w:tabs>
        <w:spacing w:line="240" w:lineRule="auto" w:before="21" w:after="0"/>
        <w:ind w:left="2204" w:right="0" w:hanging="360"/>
        <w:jc w:val="left"/>
        <w:rPr>
          <w:rFonts w:ascii="Calibri" w:hAnsi="Calibri"/>
          <w:sz w:val="22"/>
        </w:rPr>
      </w:pPr>
      <w:r>
        <w:rPr>
          <w:rFonts w:ascii="Calibri" w:hAnsi="Calibri"/>
          <w:sz w:val="22"/>
        </w:rPr>
        <w:t>Guidance</w:t>
      </w:r>
      <w:r>
        <w:rPr>
          <w:rFonts w:ascii="Calibri" w:hAnsi="Calibri"/>
          <w:spacing w:val="-4"/>
          <w:sz w:val="22"/>
        </w:rPr>
        <w:t> </w:t>
      </w:r>
      <w:r>
        <w:rPr>
          <w:rFonts w:ascii="Calibri" w:hAnsi="Calibri"/>
          <w:sz w:val="22"/>
        </w:rPr>
        <w:t>on</w:t>
      </w:r>
      <w:r>
        <w:rPr>
          <w:rFonts w:ascii="Calibri" w:hAnsi="Calibri"/>
          <w:spacing w:val="-3"/>
          <w:sz w:val="22"/>
        </w:rPr>
        <w:t> </w:t>
      </w:r>
      <w:r>
        <w:rPr>
          <w:rFonts w:ascii="Calibri" w:hAnsi="Calibri"/>
          <w:sz w:val="22"/>
        </w:rPr>
        <w:t>signage</w:t>
      </w:r>
      <w:r>
        <w:rPr>
          <w:rFonts w:ascii="Calibri" w:hAnsi="Calibri"/>
          <w:spacing w:val="-3"/>
          <w:sz w:val="22"/>
        </w:rPr>
        <w:t> </w:t>
      </w:r>
      <w:r>
        <w:rPr>
          <w:rFonts w:ascii="Calibri" w:hAnsi="Calibri"/>
          <w:sz w:val="22"/>
        </w:rPr>
        <w:t>and</w:t>
      </w:r>
      <w:r>
        <w:rPr>
          <w:rFonts w:ascii="Calibri" w:hAnsi="Calibri"/>
          <w:spacing w:val="-3"/>
          <w:sz w:val="22"/>
        </w:rPr>
        <w:t> </w:t>
      </w:r>
      <w:r>
        <w:rPr>
          <w:rFonts w:ascii="Calibri" w:hAnsi="Calibri"/>
          <w:sz w:val="22"/>
        </w:rPr>
        <w:t>public</w:t>
      </w:r>
      <w:r>
        <w:rPr>
          <w:rFonts w:ascii="Calibri" w:hAnsi="Calibri"/>
          <w:spacing w:val="-3"/>
          <w:sz w:val="22"/>
        </w:rPr>
        <w:t> </w:t>
      </w:r>
      <w:r>
        <w:rPr>
          <w:rFonts w:ascii="Calibri" w:hAnsi="Calibri"/>
          <w:sz w:val="22"/>
        </w:rPr>
        <w:t>address</w:t>
      </w:r>
      <w:r>
        <w:rPr>
          <w:rFonts w:ascii="Calibri" w:hAnsi="Calibri"/>
          <w:spacing w:val="-2"/>
          <w:sz w:val="22"/>
        </w:rPr>
        <w:t> systems</w:t>
      </w:r>
    </w:p>
    <w:p>
      <w:pPr>
        <w:pStyle w:val="ListParagraph"/>
        <w:numPr>
          <w:ilvl w:val="0"/>
          <w:numId w:val="44"/>
        </w:numPr>
        <w:tabs>
          <w:tab w:pos="2204" w:val="left" w:leader="none"/>
          <w:tab w:pos="2205" w:val="left" w:leader="none"/>
        </w:tabs>
        <w:spacing w:line="240" w:lineRule="auto" w:before="22" w:after="0"/>
        <w:ind w:left="2204" w:right="0" w:hanging="360"/>
        <w:jc w:val="left"/>
        <w:rPr>
          <w:rFonts w:ascii="Calibri" w:hAnsi="Calibri"/>
          <w:sz w:val="22"/>
        </w:rPr>
      </w:pPr>
      <w:r>
        <w:rPr>
          <w:rFonts w:ascii="Calibri" w:hAnsi="Calibri"/>
          <w:sz w:val="22"/>
        </w:rPr>
        <w:t>Communications</w:t>
      </w:r>
      <w:r>
        <w:rPr>
          <w:rFonts w:ascii="Calibri" w:hAnsi="Calibri"/>
          <w:spacing w:val="-3"/>
          <w:sz w:val="22"/>
        </w:rPr>
        <w:t> </w:t>
      </w:r>
      <w:r>
        <w:rPr>
          <w:rFonts w:ascii="Calibri" w:hAnsi="Calibri"/>
          <w:sz w:val="22"/>
        </w:rPr>
        <w:t>and</w:t>
      </w:r>
      <w:r>
        <w:rPr>
          <w:rFonts w:ascii="Calibri" w:hAnsi="Calibri"/>
          <w:spacing w:val="-3"/>
          <w:sz w:val="22"/>
        </w:rPr>
        <w:t> </w:t>
      </w:r>
      <w:r>
        <w:rPr>
          <w:rFonts w:ascii="Calibri" w:hAnsi="Calibri"/>
          <w:sz w:val="22"/>
        </w:rPr>
        <w:t>corporate</w:t>
      </w:r>
      <w:r>
        <w:rPr>
          <w:rFonts w:ascii="Calibri" w:hAnsi="Calibri"/>
          <w:spacing w:val="-2"/>
          <w:sz w:val="22"/>
        </w:rPr>
        <w:t> identity</w:t>
      </w:r>
    </w:p>
    <w:p>
      <w:pPr>
        <w:pStyle w:val="ListParagraph"/>
        <w:numPr>
          <w:ilvl w:val="0"/>
          <w:numId w:val="44"/>
        </w:numPr>
        <w:tabs>
          <w:tab w:pos="2204" w:val="left" w:leader="none"/>
          <w:tab w:pos="2205" w:val="left" w:leader="none"/>
        </w:tabs>
        <w:spacing w:line="259" w:lineRule="auto" w:before="21" w:after="0"/>
        <w:ind w:left="2205" w:right="1497" w:hanging="360"/>
        <w:jc w:val="left"/>
        <w:rPr>
          <w:rFonts w:ascii="Calibri" w:hAnsi="Calibri"/>
          <w:sz w:val="22"/>
        </w:rPr>
      </w:pPr>
      <w:r>
        <w:rPr>
          <w:rFonts w:ascii="Calibri" w:hAnsi="Calibri"/>
          <w:sz w:val="22"/>
        </w:rPr>
        <w:t>Welsh language considerations in the publication of procurement documents and specification</w:t>
      </w:r>
      <w:r>
        <w:rPr>
          <w:rFonts w:ascii="Calibri" w:hAnsi="Calibri"/>
          <w:spacing w:val="-5"/>
          <w:sz w:val="22"/>
        </w:rPr>
        <w:t> </w:t>
      </w:r>
      <w:r>
        <w:rPr>
          <w:rFonts w:ascii="Calibri" w:hAnsi="Calibri"/>
          <w:sz w:val="22"/>
        </w:rPr>
        <w:t>of</w:t>
      </w:r>
      <w:r>
        <w:rPr>
          <w:rFonts w:ascii="Calibri" w:hAnsi="Calibri"/>
          <w:spacing w:val="-5"/>
          <w:sz w:val="22"/>
        </w:rPr>
        <w:t> </w:t>
      </w:r>
      <w:r>
        <w:rPr>
          <w:rFonts w:ascii="Calibri" w:hAnsi="Calibri"/>
          <w:sz w:val="22"/>
        </w:rPr>
        <w:t>tenders</w:t>
      </w:r>
      <w:r>
        <w:rPr>
          <w:rFonts w:ascii="Calibri" w:hAnsi="Calibri"/>
          <w:spacing w:val="-5"/>
          <w:sz w:val="22"/>
        </w:rPr>
        <w:t> </w:t>
      </w:r>
      <w:r>
        <w:rPr>
          <w:rFonts w:ascii="Calibri" w:hAnsi="Calibri"/>
          <w:sz w:val="22"/>
        </w:rPr>
        <w:t>detailing</w:t>
      </w:r>
      <w:r>
        <w:rPr>
          <w:rFonts w:ascii="Calibri" w:hAnsi="Calibri"/>
          <w:spacing w:val="-5"/>
          <w:sz w:val="22"/>
        </w:rPr>
        <w:t> </w:t>
      </w:r>
      <w:r>
        <w:rPr>
          <w:rFonts w:ascii="Calibri" w:hAnsi="Calibri"/>
          <w:sz w:val="22"/>
        </w:rPr>
        <w:t>contractual</w:t>
      </w:r>
      <w:r>
        <w:rPr>
          <w:rFonts w:ascii="Calibri" w:hAnsi="Calibri"/>
          <w:spacing w:val="-5"/>
          <w:sz w:val="22"/>
        </w:rPr>
        <w:t> </w:t>
      </w:r>
      <w:r>
        <w:rPr>
          <w:rFonts w:ascii="Calibri" w:hAnsi="Calibri"/>
          <w:sz w:val="22"/>
        </w:rPr>
        <w:t>obligations</w:t>
      </w:r>
      <w:r>
        <w:rPr>
          <w:rFonts w:ascii="Calibri" w:hAnsi="Calibri"/>
          <w:spacing w:val="-5"/>
          <w:sz w:val="22"/>
        </w:rPr>
        <w:t> </w:t>
      </w:r>
      <w:r>
        <w:rPr>
          <w:rFonts w:ascii="Calibri" w:hAnsi="Calibri"/>
          <w:sz w:val="22"/>
        </w:rPr>
        <w:t>on</w:t>
      </w:r>
      <w:r>
        <w:rPr>
          <w:rFonts w:ascii="Calibri" w:hAnsi="Calibri"/>
          <w:spacing w:val="-5"/>
          <w:sz w:val="22"/>
        </w:rPr>
        <w:t> </w:t>
      </w:r>
      <w:r>
        <w:rPr>
          <w:rFonts w:ascii="Calibri" w:hAnsi="Calibri"/>
          <w:sz w:val="22"/>
        </w:rPr>
        <w:t>the</w:t>
      </w:r>
      <w:r>
        <w:rPr>
          <w:rFonts w:ascii="Calibri" w:hAnsi="Calibri"/>
          <w:spacing w:val="-5"/>
          <w:sz w:val="22"/>
        </w:rPr>
        <w:t> </w:t>
      </w:r>
      <w:r>
        <w:rPr>
          <w:rFonts w:ascii="Calibri" w:hAnsi="Calibri"/>
          <w:sz w:val="22"/>
        </w:rPr>
        <w:t>contracting/sub-contracting of services on behalf of NHS Wales.</w:t>
      </w:r>
    </w:p>
    <w:p>
      <w:pPr>
        <w:pStyle w:val="BodyText"/>
        <w:spacing w:before="8"/>
        <w:rPr>
          <w:rFonts w:ascii="Calibri"/>
          <w:sz w:val="23"/>
        </w:rPr>
      </w:pPr>
    </w:p>
    <w:p>
      <w:pPr>
        <w:spacing w:line="259" w:lineRule="auto" w:before="0"/>
        <w:ind w:left="1440" w:right="1405" w:firstLine="0"/>
        <w:jc w:val="left"/>
        <w:rPr>
          <w:rFonts w:ascii="Calibri" w:hAnsi="Calibri"/>
          <w:sz w:val="22"/>
        </w:rPr>
      </w:pPr>
      <w:r>
        <w:rPr>
          <w:rFonts w:ascii="Calibri" w:hAnsi="Calibri"/>
          <w:sz w:val="22"/>
        </w:rPr>
        <w:t>Regular communication is distributed to staff across the organisation about the Welsh language standards,</w:t>
      </w:r>
      <w:r>
        <w:rPr>
          <w:rFonts w:ascii="Calibri" w:hAnsi="Calibri"/>
          <w:spacing w:val="-4"/>
          <w:sz w:val="22"/>
        </w:rPr>
        <w:t> </w:t>
      </w:r>
      <w:r>
        <w:rPr>
          <w:rFonts w:ascii="Calibri" w:hAnsi="Calibri"/>
          <w:sz w:val="22"/>
        </w:rPr>
        <w:t>the</w:t>
      </w:r>
      <w:r>
        <w:rPr>
          <w:rFonts w:ascii="Calibri" w:hAnsi="Calibri"/>
          <w:spacing w:val="-3"/>
          <w:sz w:val="22"/>
        </w:rPr>
        <w:t> </w:t>
      </w:r>
      <w:r>
        <w:rPr>
          <w:rFonts w:ascii="Calibri" w:hAnsi="Calibri"/>
          <w:sz w:val="22"/>
        </w:rPr>
        <w:t>importance</w:t>
      </w:r>
      <w:r>
        <w:rPr>
          <w:rFonts w:ascii="Calibri" w:hAnsi="Calibri"/>
          <w:spacing w:val="-4"/>
          <w:sz w:val="22"/>
        </w:rPr>
        <w:t> </w:t>
      </w:r>
      <w:r>
        <w:rPr>
          <w:rFonts w:ascii="Calibri" w:hAnsi="Calibri"/>
          <w:sz w:val="22"/>
        </w:rPr>
        <w:t>of</w:t>
      </w:r>
      <w:r>
        <w:rPr>
          <w:rFonts w:ascii="Calibri" w:hAnsi="Calibri"/>
          <w:spacing w:val="-4"/>
          <w:sz w:val="22"/>
        </w:rPr>
        <w:t> </w:t>
      </w:r>
      <w:r>
        <w:rPr>
          <w:rFonts w:ascii="Calibri" w:hAnsi="Calibri"/>
          <w:sz w:val="22"/>
        </w:rPr>
        <w:t>offering</w:t>
      </w:r>
      <w:r>
        <w:rPr>
          <w:rFonts w:ascii="Calibri" w:hAnsi="Calibri"/>
          <w:spacing w:val="-4"/>
          <w:sz w:val="22"/>
        </w:rPr>
        <w:t> </w:t>
      </w:r>
      <w:r>
        <w:rPr>
          <w:rFonts w:ascii="Calibri" w:hAnsi="Calibri"/>
          <w:sz w:val="22"/>
        </w:rPr>
        <w:t>a</w:t>
      </w:r>
      <w:r>
        <w:rPr>
          <w:rFonts w:ascii="Calibri" w:hAnsi="Calibri"/>
          <w:spacing w:val="-4"/>
          <w:sz w:val="22"/>
        </w:rPr>
        <w:t> </w:t>
      </w:r>
      <w:r>
        <w:rPr>
          <w:rFonts w:ascii="Calibri" w:hAnsi="Calibri"/>
          <w:sz w:val="22"/>
        </w:rPr>
        <w:t>Welsh</w:t>
      </w:r>
      <w:r>
        <w:rPr>
          <w:rFonts w:ascii="Calibri" w:hAnsi="Calibri"/>
          <w:spacing w:val="-3"/>
          <w:sz w:val="22"/>
        </w:rPr>
        <w:t> </w:t>
      </w:r>
      <w:r>
        <w:rPr>
          <w:rFonts w:ascii="Calibri" w:hAnsi="Calibri"/>
          <w:sz w:val="22"/>
        </w:rPr>
        <w:t>language</w:t>
      </w:r>
      <w:r>
        <w:rPr>
          <w:rFonts w:ascii="Calibri" w:hAnsi="Calibri"/>
          <w:spacing w:val="-3"/>
          <w:sz w:val="22"/>
        </w:rPr>
        <w:t> </w:t>
      </w:r>
      <w:r>
        <w:rPr>
          <w:rFonts w:ascii="Calibri" w:hAnsi="Calibri"/>
          <w:sz w:val="22"/>
        </w:rPr>
        <w:t>service,</w:t>
      </w:r>
      <w:r>
        <w:rPr>
          <w:rFonts w:ascii="Calibri" w:hAnsi="Calibri"/>
          <w:spacing w:val="-3"/>
          <w:sz w:val="22"/>
        </w:rPr>
        <w:t> </w:t>
      </w:r>
      <w:r>
        <w:rPr>
          <w:rFonts w:ascii="Calibri" w:hAnsi="Calibri"/>
          <w:sz w:val="22"/>
        </w:rPr>
        <w:t>respecting</w:t>
      </w:r>
      <w:r>
        <w:rPr>
          <w:rFonts w:ascii="Calibri" w:hAnsi="Calibri"/>
          <w:spacing w:val="-3"/>
          <w:sz w:val="22"/>
        </w:rPr>
        <w:t> </w:t>
      </w:r>
      <w:r>
        <w:rPr>
          <w:rFonts w:ascii="Calibri" w:hAnsi="Calibri"/>
          <w:sz w:val="22"/>
        </w:rPr>
        <w:t>the</w:t>
      </w:r>
      <w:r>
        <w:rPr>
          <w:rFonts w:ascii="Calibri" w:hAnsi="Calibri"/>
          <w:spacing w:val="-4"/>
          <w:sz w:val="22"/>
        </w:rPr>
        <w:t> </w:t>
      </w:r>
      <w:r>
        <w:rPr>
          <w:rFonts w:ascii="Calibri" w:hAnsi="Calibri"/>
          <w:sz w:val="22"/>
        </w:rPr>
        <w:t>customer’s</w:t>
      </w:r>
      <w:r>
        <w:rPr>
          <w:rFonts w:ascii="Calibri" w:hAnsi="Calibri"/>
          <w:spacing w:val="-3"/>
          <w:sz w:val="22"/>
        </w:rPr>
        <w:t> </w:t>
      </w:r>
      <w:r>
        <w:rPr>
          <w:rFonts w:ascii="Calibri" w:hAnsi="Calibri"/>
          <w:sz w:val="22"/>
        </w:rPr>
        <w:t>choice. Staff are referred to the intranet Welsh language support page for this information.</w:t>
      </w:r>
    </w:p>
    <w:p>
      <w:pPr>
        <w:spacing w:line="259" w:lineRule="auto" w:before="0"/>
        <w:ind w:left="1440" w:right="1405" w:firstLine="0"/>
        <w:jc w:val="left"/>
        <w:rPr>
          <w:rFonts w:ascii="Calibri"/>
          <w:sz w:val="22"/>
        </w:rPr>
      </w:pPr>
      <w:r>
        <w:rPr>
          <w:rFonts w:ascii="Calibri"/>
          <w:sz w:val="22"/>
        </w:rPr>
        <w:t>Since</w:t>
      </w:r>
      <w:r>
        <w:rPr>
          <w:rFonts w:ascii="Calibri"/>
          <w:spacing w:val="-4"/>
          <w:sz w:val="22"/>
        </w:rPr>
        <w:t> </w:t>
      </w:r>
      <w:r>
        <w:rPr>
          <w:rFonts w:ascii="Calibri"/>
          <w:sz w:val="22"/>
        </w:rPr>
        <w:t>the</w:t>
      </w:r>
      <w:r>
        <w:rPr>
          <w:rFonts w:ascii="Calibri"/>
          <w:spacing w:val="-3"/>
          <w:sz w:val="22"/>
        </w:rPr>
        <w:t> </w:t>
      </w:r>
      <w:r>
        <w:rPr>
          <w:rFonts w:ascii="Calibri"/>
          <w:sz w:val="22"/>
        </w:rPr>
        <w:t>implementation</w:t>
      </w:r>
      <w:r>
        <w:rPr>
          <w:rFonts w:ascii="Calibri"/>
          <w:spacing w:val="-3"/>
          <w:sz w:val="22"/>
        </w:rPr>
        <w:t> </w:t>
      </w:r>
      <w:r>
        <w:rPr>
          <w:rFonts w:ascii="Calibri"/>
          <w:sz w:val="22"/>
        </w:rPr>
        <w:t>of</w:t>
      </w:r>
      <w:r>
        <w:rPr>
          <w:rFonts w:ascii="Calibri"/>
          <w:spacing w:val="-4"/>
          <w:sz w:val="22"/>
        </w:rPr>
        <w:t> </w:t>
      </w:r>
      <w:r>
        <w:rPr>
          <w:rFonts w:ascii="Calibri"/>
          <w:sz w:val="22"/>
        </w:rPr>
        <w:t>the</w:t>
      </w:r>
      <w:r>
        <w:rPr>
          <w:rFonts w:ascii="Calibri"/>
          <w:spacing w:val="-4"/>
          <w:sz w:val="22"/>
        </w:rPr>
        <w:t> </w:t>
      </w:r>
      <w:r>
        <w:rPr>
          <w:rFonts w:ascii="Calibri"/>
          <w:sz w:val="22"/>
        </w:rPr>
        <w:t>Welsh</w:t>
      </w:r>
      <w:r>
        <w:rPr>
          <w:rFonts w:ascii="Calibri"/>
          <w:spacing w:val="-3"/>
          <w:sz w:val="22"/>
        </w:rPr>
        <w:t> </w:t>
      </w:r>
      <w:r>
        <w:rPr>
          <w:rFonts w:ascii="Calibri"/>
          <w:sz w:val="22"/>
        </w:rPr>
        <w:t>language</w:t>
      </w:r>
      <w:r>
        <w:rPr>
          <w:rFonts w:ascii="Calibri"/>
          <w:spacing w:val="-3"/>
          <w:sz w:val="22"/>
        </w:rPr>
        <w:t> </w:t>
      </w:r>
      <w:r>
        <w:rPr>
          <w:rFonts w:ascii="Calibri"/>
          <w:sz w:val="22"/>
        </w:rPr>
        <w:t>standards,</w:t>
      </w:r>
      <w:r>
        <w:rPr>
          <w:rFonts w:ascii="Calibri"/>
          <w:spacing w:val="-4"/>
          <w:sz w:val="22"/>
        </w:rPr>
        <w:t> </w:t>
      </w:r>
      <w:r>
        <w:rPr>
          <w:rFonts w:ascii="Calibri"/>
          <w:sz w:val="22"/>
        </w:rPr>
        <w:t>the</w:t>
      </w:r>
      <w:r>
        <w:rPr>
          <w:rFonts w:ascii="Calibri"/>
          <w:spacing w:val="-3"/>
          <w:sz w:val="22"/>
        </w:rPr>
        <w:t> </w:t>
      </w:r>
      <w:r>
        <w:rPr>
          <w:rFonts w:ascii="Calibri"/>
          <w:sz w:val="22"/>
        </w:rPr>
        <w:t>demand</w:t>
      </w:r>
      <w:r>
        <w:rPr>
          <w:rFonts w:ascii="Calibri"/>
          <w:spacing w:val="-4"/>
          <w:sz w:val="22"/>
        </w:rPr>
        <w:t> </w:t>
      </w:r>
      <w:r>
        <w:rPr>
          <w:rFonts w:ascii="Calibri"/>
          <w:sz w:val="22"/>
        </w:rPr>
        <w:t>on</w:t>
      </w:r>
      <w:r>
        <w:rPr>
          <w:rFonts w:ascii="Calibri"/>
          <w:spacing w:val="-4"/>
          <w:sz w:val="22"/>
        </w:rPr>
        <w:t> </w:t>
      </w:r>
      <w:r>
        <w:rPr>
          <w:rFonts w:ascii="Calibri"/>
          <w:sz w:val="22"/>
        </w:rPr>
        <w:t>our</w:t>
      </w:r>
      <w:r>
        <w:rPr>
          <w:rFonts w:ascii="Calibri"/>
          <w:spacing w:val="-4"/>
          <w:sz w:val="22"/>
        </w:rPr>
        <w:t> </w:t>
      </w:r>
      <w:r>
        <w:rPr>
          <w:rFonts w:ascii="Calibri"/>
          <w:sz w:val="22"/>
        </w:rPr>
        <w:t>Welsh</w:t>
      </w:r>
      <w:r>
        <w:rPr>
          <w:rFonts w:ascii="Calibri"/>
          <w:spacing w:val="-3"/>
          <w:sz w:val="22"/>
        </w:rPr>
        <w:t> </w:t>
      </w:r>
      <w:r>
        <w:rPr>
          <w:rFonts w:ascii="Calibri"/>
          <w:sz w:val="22"/>
        </w:rPr>
        <w:t>language translation team has continued to increase, and 2020/21 has been no exception.</w:t>
      </w:r>
    </w:p>
    <w:p>
      <w:pPr>
        <w:pStyle w:val="BodyText"/>
        <w:spacing w:before="8"/>
        <w:rPr>
          <w:rFonts w:ascii="Calibri"/>
          <w:sz w:val="23"/>
        </w:rPr>
      </w:pPr>
    </w:p>
    <w:p>
      <w:pPr>
        <w:spacing w:line="259" w:lineRule="auto" w:before="0"/>
        <w:ind w:left="1440" w:right="1405" w:firstLine="0"/>
        <w:jc w:val="left"/>
        <w:rPr>
          <w:rFonts w:ascii="Calibri"/>
          <w:sz w:val="22"/>
        </w:rPr>
      </w:pPr>
      <w:r>
        <w:rPr>
          <w:rFonts w:ascii="Calibri"/>
          <w:sz w:val="22"/>
        </w:rPr>
        <w:t>The demand for our translation services are increasing to unprecedented levels, and have been greater than ever ensuring that communication directly associated with the pandemic has been available</w:t>
      </w:r>
      <w:r>
        <w:rPr>
          <w:rFonts w:ascii="Calibri"/>
          <w:spacing w:val="-4"/>
          <w:sz w:val="22"/>
        </w:rPr>
        <w:t> </w:t>
      </w:r>
      <w:r>
        <w:rPr>
          <w:rFonts w:ascii="Calibri"/>
          <w:sz w:val="22"/>
        </w:rPr>
        <w:t>from</w:t>
      </w:r>
      <w:r>
        <w:rPr>
          <w:rFonts w:ascii="Calibri"/>
          <w:spacing w:val="-4"/>
          <w:sz w:val="22"/>
        </w:rPr>
        <w:t> </w:t>
      </w:r>
      <w:r>
        <w:rPr>
          <w:rFonts w:ascii="Calibri"/>
          <w:sz w:val="22"/>
        </w:rPr>
        <w:t>NWSSP.</w:t>
      </w:r>
      <w:r>
        <w:rPr>
          <w:rFonts w:ascii="Calibri"/>
          <w:spacing w:val="40"/>
          <w:sz w:val="22"/>
        </w:rPr>
        <w:t> </w:t>
      </w:r>
      <w:r>
        <w:rPr>
          <w:rFonts w:ascii="Calibri"/>
          <w:sz w:val="22"/>
        </w:rPr>
        <w:t>We</w:t>
      </w:r>
      <w:r>
        <w:rPr>
          <w:rFonts w:ascii="Calibri"/>
          <w:spacing w:val="-3"/>
          <w:sz w:val="22"/>
        </w:rPr>
        <w:t> </w:t>
      </w:r>
      <w:r>
        <w:rPr>
          <w:rFonts w:ascii="Calibri"/>
          <w:sz w:val="22"/>
        </w:rPr>
        <w:t>have</w:t>
      </w:r>
      <w:r>
        <w:rPr>
          <w:rFonts w:ascii="Calibri"/>
          <w:spacing w:val="-4"/>
          <w:sz w:val="22"/>
        </w:rPr>
        <w:t> </w:t>
      </w:r>
      <w:r>
        <w:rPr>
          <w:rFonts w:ascii="Calibri"/>
          <w:sz w:val="22"/>
        </w:rPr>
        <w:t>also</w:t>
      </w:r>
      <w:r>
        <w:rPr>
          <w:rFonts w:ascii="Calibri"/>
          <w:spacing w:val="-3"/>
          <w:sz w:val="22"/>
        </w:rPr>
        <w:t> </w:t>
      </w:r>
      <w:r>
        <w:rPr>
          <w:rFonts w:ascii="Calibri"/>
          <w:sz w:val="22"/>
        </w:rPr>
        <w:t>been</w:t>
      </w:r>
      <w:r>
        <w:rPr>
          <w:rFonts w:ascii="Calibri"/>
          <w:spacing w:val="-3"/>
          <w:sz w:val="22"/>
        </w:rPr>
        <w:t> </w:t>
      </w:r>
      <w:r>
        <w:rPr>
          <w:rFonts w:ascii="Calibri"/>
          <w:sz w:val="22"/>
        </w:rPr>
        <w:t>supporting</w:t>
      </w:r>
      <w:r>
        <w:rPr>
          <w:rFonts w:ascii="Calibri"/>
          <w:spacing w:val="-3"/>
          <w:sz w:val="22"/>
        </w:rPr>
        <w:t> </w:t>
      </w:r>
      <w:r>
        <w:rPr>
          <w:rFonts w:ascii="Calibri"/>
          <w:sz w:val="22"/>
        </w:rPr>
        <w:t>other</w:t>
      </w:r>
      <w:r>
        <w:rPr>
          <w:rFonts w:ascii="Calibri"/>
          <w:spacing w:val="-4"/>
          <w:sz w:val="22"/>
        </w:rPr>
        <w:t> </w:t>
      </w:r>
      <w:r>
        <w:rPr>
          <w:rFonts w:ascii="Calibri"/>
          <w:sz w:val="22"/>
        </w:rPr>
        <w:t>NHS</w:t>
      </w:r>
      <w:r>
        <w:rPr>
          <w:rFonts w:ascii="Calibri"/>
          <w:spacing w:val="-3"/>
          <w:sz w:val="22"/>
        </w:rPr>
        <w:t> </w:t>
      </w:r>
      <w:r>
        <w:rPr>
          <w:rFonts w:ascii="Calibri"/>
          <w:sz w:val="22"/>
        </w:rPr>
        <w:t>organisations</w:t>
      </w:r>
      <w:r>
        <w:rPr>
          <w:rFonts w:ascii="Calibri"/>
          <w:spacing w:val="-4"/>
          <w:sz w:val="22"/>
        </w:rPr>
        <w:t> </w:t>
      </w:r>
      <w:r>
        <w:rPr>
          <w:rFonts w:ascii="Calibri"/>
          <w:sz w:val="22"/>
        </w:rPr>
        <w:t>in</w:t>
      </w:r>
      <w:r>
        <w:rPr>
          <w:rFonts w:ascii="Calibri"/>
          <w:spacing w:val="-3"/>
          <w:sz w:val="22"/>
        </w:rPr>
        <w:t> </w:t>
      </w:r>
      <w:r>
        <w:rPr>
          <w:rFonts w:ascii="Calibri"/>
          <w:sz w:val="22"/>
        </w:rPr>
        <w:t>communicating effectively with the public, and patients directly about Covid-19 through the medium of Welsh.</w:t>
      </w:r>
    </w:p>
    <w:p>
      <w:pPr>
        <w:pStyle w:val="BodyText"/>
        <w:spacing w:before="2"/>
        <w:rPr>
          <w:rFonts w:ascii="Calibri"/>
          <w:sz w:val="30"/>
        </w:rPr>
      </w:pPr>
    </w:p>
    <w:p>
      <w:pPr>
        <w:pStyle w:val="Heading7"/>
      </w:pPr>
      <w:r>
        <w:rPr/>
        <w:t>Complaints/Concerns</w:t>
      </w:r>
      <w:r>
        <w:rPr>
          <w:spacing w:val="-10"/>
        </w:rPr>
        <w:t> </w:t>
      </w:r>
      <w:r>
        <w:rPr/>
        <w:t>received</w:t>
      </w:r>
      <w:r>
        <w:rPr>
          <w:spacing w:val="-7"/>
        </w:rPr>
        <w:t> </w:t>
      </w:r>
      <w:r>
        <w:rPr/>
        <w:t>regarding</w:t>
      </w:r>
      <w:r>
        <w:rPr>
          <w:spacing w:val="-7"/>
        </w:rPr>
        <w:t> </w:t>
      </w:r>
      <w:r>
        <w:rPr>
          <w:spacing w:val="-2"/>
        </w:rPr>
        <w:t>services:</w:t>
      </w:r>
    </w:p>
    <w:p>
      <w:pPr>
        <w:spacing w:line="259" w:lineRule="auto" w:before="27"/>
        <w:ind w:left="1440" w:right="1547" w:firstLine="0"/>
        <w:jc w:val="left"/>
        <w:rPr>
          <w:rFonts w:ascii="Calibri" w:hAnsi="Calibri"/>
          <w:sz w:val="22"/>
        </w:rPr>
      </w:pPr>
      <w:r>
        <w:rPr>
          <w:rFonts w:ascii="Calibri" w:hAnsi="Calibri"/>
          <w:sz w:val="22"/>
        </w:rPr>
        <w:t>A</w:t>
      </w:r>
      <w:r>
        <w:rPr>
          <w:rFonts w:ascii="Calibri" w:hAnsi="Calibri"/>
          <w:spacing w:val="-3"/>
          <w:sz w:val="22"/>
        </w:rPr>
        <w:t> </w:t>
      </w:r>
      <w:r>
        <w:rPr>
          <w:rFonts w:ascii="Calibri" w:hAnsi="Calibri"/>
          <w:sz w:val="22"/>
        </w:rPr>
        <w:t>complaint</w:t>
      </w:r>
      <w:r>
        <w:rPr>
          <w:rFonts w:ascii="Calibri" w:hAnsi="Calibri"/>
          <w:spacing w:val="-3"/>
          <w:sz w:val="22"/>
        </w:rPr>
        <w:t> </w:t>
      </w:r>
      <w:r>
        <w:rPr>
          <w:rFonts w:ascii="Calibri" w:hAnsi="Calibri"/>
          <w:sz w:val="22"/>
        </w:rPr>
        <w:t>was</w:t>
      </w:r>
      <w:r>
        <w:rPr>
          <w:rFonts w:ascii="Calibri" w:hAnsi="Calibri"/>
          <w:spacing w:val="-3"/>
          <w:sz w:val="22"/>
        </w:rPr>
        <w:t> </w:t>
      </w:r>
      <w:r>
        <w:rPr>
          <w:rFonts w:ascii="Calibri" w:hAnsi="Calibri"/>
          <w:sz w:val="22"/>
        </w:rPr>
        <w:t>received</w:t>
      </w:r>
      <w:r>
        <w:rPr>
          <w:rFonts w:ascii="Calibri" w:hAnsi="Calibri"/>
          <w:spacing w:val="-3"/>
          <w:sz w:val="22"/>
        </w:rPr>
        <w:t> </w:t>
      </w:r>
      <w:r>
        <w:rPr>
          <w:rFonts w:ascii="Calibri" w:hAnsi="Calibri"/>
          <w:sz w:val="22"/>
        </w:rPr>
        <w:t>through</w:t>
      </w:r>
      <w:r>
        <w:rPr>
          <w:rFonts w:ascii="Calibri" w:hAnsi="Calibri"/>
          <w:spacing w:val="-4"/>
          <w:sz w:val="22"/>
        </w:rPr>
        <w:t> </w:t>
      </w:r>
      <w:r>
        <w:rPr>
          <w:rFonts w:ascii="Calibri" w:hAnsi="Calibri"/>
          <w:sz w:val="22"/>
        </w:rPr>
        <w:t>the</w:t>
      </w:r>
      <w:r>
        <w:rPr>
          <w:rFonts w:ascii="Calibri" w:hAnsi="Calibri"/>
          <w:spacing w:val="-4"/>
          <w:sz w:val="22"/>
        </w:rPr>
        <w:t> </w:t>
      </w:r>
      <w:r>
        <w:rPr>
          <w:rFonts w:ascii="Calibri" w:hAnsi="Calibri"/>
          <w:sz w:val="22"/>
        </w:rPr>
        <w:t>Welsh</w:t>
      </w:r>
      <w:r>
        <w:rPr>
          <w:rFonts w:ascii="Calibri" w:hAnsi="Calibri"/>
          <w:spacing w:val="-3"/>
          <w:sz w:val="22"/>
        </w:rPr>
        <w:t> </w:t>
      </w:r>
      <w:r>
        <w:rPr>
          <w:rFonts w:ascii="Calibri" w:hAnsi="Calibri"/>
          <w:sz w:val="22"/>
        </w:rPr>
        <w:t>Language</w:t>
      </w:r>
      <w:r>
        <w:rPr>
          <w:rFonts w:ascii="Calibri" w:hAnsi="Calibri"/>
          <w:spacing w:val="-3"/>
          <w:sz w:val="22"/>
        </w:rPr>
        <w:t> </w:t>
      </w:r>
      <w:r>
        <w:rPr>
          <w:rFonts w:ascii="Calibri" w:hAnsi="Calibri"/>
          <w:sz w:val="22"/>
        </w:rPr>
        <w:t>Commissioner’s</w:t>
      </w:r>
      <w:r>
        <w:rPr>
          <w:rFonts w:ascii="Calibri" w:hAnsi="Calibri"/>
          <w:spacing w:val="-3"/>
          <w:sz w:val="22"/>
        </w:rPr>
        <w:t> </w:t>
      </w:r>
      <w:r>
        <w:rPr>
          <w:rFonts w:ascii="Calibri" w:hAnsi="Calibri"/>
          <w:sz w:val="22"/>
        </w:rPr>
        <w:t>office</w:t>
      </w:r>
      <w:r>
        <w:rPr>
          <w:rFonts w:ascii="Calibri" w:hAnsi="Calibri"/>
          <w:spacing w:val="-4"/>
          <w:sz w:val="22"/>
        </w:rPr>
        <w:t> </w:t>
      </w:r>
      <w:r>
        <w:rPr>
          <w:rFonts w:ascii="Calibri" w:hAnsi="Calibri"/>
          <w:sz w:val="22"/>
        </w:rPr>
        <w:t>in</w:t>
      </w:r>
      <w:r>
        <w:rPr>
          <w:rFonts w:ascii="Calibri" w:hAnsi="Calibri"/>
          <w:spacing w:val="-3"/>
          <w:sz w:val="22"/>
        </w:rPr>
        <w:t> </w:t>
      </w:r>
      <w:r>
        <w:rPr>
          <w:rFonts w:ascii="Calibri" w:hAnsi="Calibri"/>
          <w:sz w:val="22"/>
        </w:rPr>
        <w:t>April</w:t>
      </w:r>
      <w:r>
        <w:rPr>
          <w:rFonts w:ascii="Calibri" w:hAnsi="Calibri"/>
          <w:spacing w:val="-4"/>
          <w:sz w:val="22"/>
        </w:rPr>
        <w:t> </w:t>
      </w:r>
      <w:r>
        <w:rPr>
          <w:rFonts w:ascii="Calibri" w:hAnsi="Calibri"/>
          <w:sz w:val="22"/>
        </w:rPr>
        <w:t>2021,</w:t>
      </w:r>
      <w:r>
        <w:rPr>
          <w:rFonts w:ascii="Calibri" w:hAnsi="Calibri"/>
          <w:spacing w:val="-4"/>
          <w:sz w:val="22"/>
        </w:rPr>
        <w:t> </w:t>
      </w:r>
      <w:r>
        <w:rPr>
          <w:rFonts w:ascii="Calibri" w:hAnsi="Calibri"/>
          <w:sz w:val="22"/>
        </w:rPr>
        <w:t>about the lack of Welsh language services in our payroll division.</w:t>
      </w:r>
    </w:p>
    <w:p>
      <w:pPr>
        <w:spacing w:after="0" w:line="259" w:lineRule="auto"/>
        <w:jc w:val="left"/>
        <w:rPr>
          <w:rFonts w:ascii="Calibri" w:hAnsi="Calibri"/>
          <w:sz w:val="22"/>
        </w:rPr>
        <w:sectPr>
          <w:pgSz w:w="11910" w:h="16840"/>
          <w:pgMar w:header="0" w:footer="173" w:top="1400" w:bottom="360" w:left="0" w:right="0"/>
        </w:sectPr>
      </w:pPr>
    </w:p>
    <w:p>
      <w:pPr>
        <w:spacing w:line="259" w:lineRule="auto" w:before="42"/>
        <w:ind w:left="1440" w:right="1405" w:firstLine="0"/>
        <w:jc w:val="left"/>
        <w:rPr>
          <w:rFonts w:ascii="Calibri"/>
          <w:sz w:val="22"/>
        </w:rPr>
      </w:pPr>
      <w:r>
        <w:rPr>
          <w:rFonts w:ascii="Calibri"/>
          <w:sz w:val="22"/>
        </w:rPr>
        <w:t>Following</w:t>
      </w:r>
      <w:r>
        <w:rPr>
          <w:rFonts w:ascii="Calibri"/>
          <w:spacing w:val="-2"/>
          <w:sz w:val="22"/>
        </w:rPr>
        <w:t> </w:t>
      </w:r>
      <w:r>
        <w:rPr>
          <w:rFonts w:ascii="Calibri"/>
          <w:sz w:val="22"/>
        </w:rPr>
        <w:t>an</w:t>
      </w:r>
      <w:r>
        <w:rPr>
          <w:rFonts w:ascii="Calibri"/>
          <w:spacing w:val="-3"/>
          <w:sz w:val="22"/>
        </w:rPr>
        <w:t> </w:t>
      </w:r>
      <w:r>
        <w:rPr>
          <w:rFonts w:ascii="Calibri"/>
          <w:sz w:val="22"/>
        </w:rPr>
        <w:t>internal</w:t>
      </w:r>
      <w:r>
        <w:rPr>
          <w:rFonts w:ascii="Calibri"/>
          <w:spacing w:val="-3"/>
          <w:sz w:val="22"/>
        </w:rPr>
        <w:t> </w:t>
      </w:r>
      <w:r>
        <w:rPr>
          <w:rFonts w:ascii="Calibri"/>
          <w:sz w:val="22"/>
        </w:rPr>
        <w:t>investigation,</w:t>
      </w:r>
      <w:r>
        <w:rPr>
          <w:rFonts w:ascii="Calibri"/>
          <w:spacing w:val="-3"/>
          <w:sz w:val="22"/>
        </w:rPr>
        <w:t> </w:t>
      </w:r>
      <w:r>
        <w:rPr>
          <w:rFonts w:ascii="Calibri"/>
          <w:sz w:val="22"/>
        </w:rPr>
        <w:t>we</w:t>
      </w:r>
      <w:r>
        <w:rPr>
          <w:rFonts w:ascii="Calibri"/>
          <w:spacing w:val="-2"/>
          <w:sz w:val="22"/>
        </w:rPr>
        <w:t> </w:t>
      </w:r>
      <w:r>
        <w:rPr>
          <w:rFonts w:ascii="Calibri"/>
          <w:sz w:val="22"/>
        </w:rPr>
        <w:t>ensured</w:t>
      </w:r>
      <w:r>
        <w:rPr>
          <w:rFonts w:ascii="Calibri"/>
          <w:spacing w:val="-2"/>
          <w:sz w:val="22"/>
        </w:rPr>
        <w:t> </w:t>
      </w:r>
      <w:r>
        <w:rPr>
          <w:rFonts w:ascii="Calibri"/>
          <w:sz w:val="22"/>
        </w:rPr>
        <w:t>that</w:t>
      </w:r>
      <w:r>
        <w:rPr>
          <w:rFonts w:ascii="Calibri"/>
          <w:spacing w:val="-2"/>
          <w:sz w:val="22"/>
        </w:rPr>
        <w:t> </w:t>
      </w:r>
      <w:r>
        <w:rPr>
          <w:rFonts w:ascii="Calibri"/>
          <w:sz w:val="22"/>
        </w:rPr>
        <w:t>all</w:t>
      </w:r>
      <w:r>
        <w:rPr>
          <w:rFonts w:ascii="Calibri"/>
          <w:spacing w:val="-3"/>
          <w:sz w:val="22"/>
        </w:rPr>
        <w:t> </w:t>
      </w:r>
      <w:r>
        <w:rPr>
          <w:rFonts w:ascii="Calibri"/>
          <w:sz w:val="22"/>
        </w:rPr>
        <w:t>staff</w:t>
      </w:r>
      <w:r>
        <w:rPr>
          <w:rFonts w:ascii="Calibri"/>
          <w:spacing w:val="-3"/>
          <w:sz w:val="22"/>
        </w:rPr>
        <w:t> </w:t>
      </w:r>
      <w:r>
        <w:rPr>
          <w:rFonts w:ascii="Calibri"/>
          <w:sz w:val="22"/>
        </w:rPr>
        <w:t>were</w:t>
      </w:r>
      <w:r>
        <w:rPr>
          <w:rFonts w:ascii="Calibri"/>
          <w:spacing w:val="-2"/>
          <w:sz w:val="22"/>
        </w:rPr>
        <w:t> </w:t>
      </w:r>
      <w:r>
        <w:rPr>
          <w:rFonts w:ascii="Calibri"/>
          <w:sz w:val="22"/>
        </w:rPr>
        <w:t>aware</w:t>
      </w:r>
      <w:r>
        <w:rPr>
          <w:rFonts w:ascii="Calibri"/>
          <w:spacing w:val="-3"/>
          <w:sz w:val="22"/>
        </w:rPr>
        <w:t> </w:t>
      </w:r>
      <w:r>
        <w:rPr>
          <w:rFonts w:ascii="Calibri"/>
          <w:sz w:val="22"/>
        </w:rPr>
        <w:t>that</w:t>
      </w:r>
      <w:r>
        <w:rPr>
          <w:rFonts w:ascii="Calibri"/>
          <w:spacing w:val="-2"/>
          <w:sz w:val="22"/>
        </w:rPr>
        <w:t> </w:t>
      </w:r>
      <w:r>
        <w:rPr>
          <w:rFonts w:ascii="Calibri"/>
          <w:sz w:val="22"/>
        </w:rPr>
        <w:t>a</w:t>
      </w:r>
      <w:r>
        <w:rPr>
          <w:rFonts w:ascii="Calibri"/>
          <w:spacing w:val="-3"/>
          <w:sz w:val="22"/>
        </w:rPr>
        <w:t> </w:t>
      </w:r>
      <w:r>
        <w:rPr>
          <w:rFonts w:ascii="Calibri"/>
          <w:sz w:val="22"/>
        </w:rPr>
        <w:t>protocol</w:t>
      </w:r>
      <w:r>
        <w:rPr>
          <w:rFonts w:ascii="Calibri"/>
          <w:spacing w:val="-2"/>
          <w:sz w:val="22"/>
        </w:rPr>
        <w:t> </w:t>
      </w:r>
      <w:r>
        <w:rPr>
          <w:rFonts w:ascii="Calibri"/>
          <w:sz w:val="22"/>
        </w:rPr>
        <w:t>is</w:t>
      </w:r>
      <w:r>
        <w:rPr>
          <w:rFonts w:ascii="Calibri"/>
          <w:spacing w:val="-3"/>
          <w:sz w:val="22"/>
        </w:rPr>
        <w:t> </w:t>
      </w:r>
      <w:r>
        <w:rPr>
          <w:rFonts w:ascii="Calibri"/>
          <w:sz w:val="22"/>
        </w:rPr>
        <w:t>in</w:t>
      </w:r>
      <w:r>
        <w:rPr>
          <w:rFonts w:ascii="Calibri"/>
          <w:spacing w:val="-3"/>
          <w:sz w:val="22"/>
        </w:rPr>
        <w:t> </w:t>
      </w:r>
      <w:r>
        <w:rPr>
          <w:rFonts w:ascii="Calibri"/>
          <w:sz w:val="22"/>
        </w:rPr>
        <w:t>place</w:t>
      </w:r>
      <w:r>
        <w:rPr>
          <w:rFonts w:ascii="Calibri"/>
          <w:spacing w:val="-3"/>
          <w:sz w:val="22"/>
        </w:rPr>
        <w:t> </w:t>
      </w:r>
      <w:r>
        <w:rPr>
          <w:rFonts w:ascii="Calibri"/>
          <w:sz w:val="22"/>
        </w:rPr>
        <w:t>to respond to enquiries received through the medium of Welsh and all members of staff must follow that protocol.</w:t>
      </w:r>
    </w:p>
    <w:p>
      <w:pPr>
        <w:pStyle w:val="BodyText"/>
        <w:spacing w:before="8"/>
        <w:rPr>
          <w:rFonts w:ascii="Calibri"/>
          <w:sz w:val="23"/>
        </w:rPr>
      </w:pPr>
    </w:p>
    <w:p>
      <w:pPr>
        <w:spacing w:line="259" w:lineRule="auto" w:before="0"/>
        <w:ind w:left="1440" w:right="1405" w:firstLine="0"/>
        <w:jc w:val="left"/>
        <w:rPr>
          <w:rFonts w:ascii="Calibri"/>
          <w:sz w:val="22"/>
        </w:rPr>
      </w:pPr>
      <w:r>
        <w:rPr>
          <w:rFonts w:ascii="Calibri"/>
          <w:sz w:val="22"/>
        </w:rPr>
        <w:t>Additional</w:t>
      </w:r>
      <w:r>
        <w:rPr>
          <w:rFonts w:ascii="Calibri"/>
          <w:spacing w:val="-2"/>
          <w:sz w:val="22"/>
        </w:rPr>
        <w:t> </w:t>
      </w:r>
      <w:r>
        <w:rPr>
          <w:rFonts w:ascii="Calibri"/>
          <w:sz w:val="22"/>
        </w:rPr>
        <w:t>training</w:t>
      </w:r>
      <w:r>
        <w:rPr>
          <w:rFonts w:ascii="Calibri"/>
          <w:spacing w:val="-3"/>
          <w:sz w:val="22"/>
        </w:rPr>
        <w:t> </w:t>
      </w:r>
      <w:r>
        <w:rPr>
          <w:rFonts w:ascii="Calibri"/>
          <w:sz w:val="22"/>
        </w:rPr>
        <w:t>was</w:t>
      </w:r>
      <w:r>
        <w:rPr>
          <w:rFonts w:ascii="Calibri"/>
          <w:spacing w:val="-2"/>
          <w:sz w:val="22"/>
        </w:rPr>
        <w:t> </w:t>
      </w:r>
      <w:r>
        <w:rPr>
          <w:rFonts w:ascii="Calibri"/>
          <w:sz w:val="22"/>
        </w:rPr>
        <w:t>given</w:t>
      </w:r>
      <w:r>
        <w:rPr>
          <w:rFonts w:ascii="Calibri"/>
          <w:spacing w:val="-2"/>
          <w:sz w:val="22"/>
        </w:rPr>
        <w:t> </w:t>
      </w:r>
      <w:r>
        <w:rPr>
          <w:rFonts w:ascii="Calibri"/>
          <w:sz w:val="22"/>
        </w:rPr>
        <w:t>to</w:t>
      </w:r>
      <w:r>
        <w:rPr>
          <w:rFonts w:ascii="Calibri"/>
          <w:spacing w:val="-2"/>
          <w:sz w:val="22"/>
        </w:rPr>
        <w:t> </w:t>
      </w:r>
      <w:r>
        <w:rPr>
          <w:rFonts w:ascii="Calibri"/>
          <w:sz w:val="22"/>
        </w:rPr>
        <w:t>all</w:t>
      </w:r>
      <w:r>
        <w:rPr>
          <w:rFonts w:ascii="Calibri"/>
          <w:spacing w:val="-3"/>
          <w:sz w:val="22"/>
        </w:rPr>
        <w:t> </w:t>
      </w:r>
      <w:r>
        <w:rPr>
          <w:rFonts w:ascii="Calibri"/>
          <w:sz w:val="22"/>
        </w:rPr>
        <w:t>Payroll</w:t>
      </w:r>
      <w:r>
        <w:rPr>
          <w:rFonts w:ascii="Calibri"/>
          <w:spacing w:val="-3"/>
          <w:sz w:val="22"/>
        </w:rPr>
        <w:t> </w:t>
      </w:r>
      <w:r>
        <w:rPr>
          <w:rFonts w:ascii="Calibri"/>
          <w:sz w:val="22"/>
        </w:rPr>
        <w:t>staff</w:t>
      </w:r>
      <w:r>
        <w:rPr>
          <w:rFonts w:ascii="Calibri"/>
          <w:spacing w:val="-3"/>
          <w:sz w:val="22"/>
        </w:rPr>
        <w:t> </w:t>
      </w:r>
      <w:r>
        <w:rPr>
          <w:rFonts w:ascii="Calibri"/>
          <w:sz w:val="22"/>
        </w:rPr>
        <w:t>across</w:t>
      </w:r>
      <w:r>
        <w:rPr>
          <w:rFonts w:ascii="Calibri"/>
          <w:spacing w:val="-3"/>
          <w:sz w:val="22"/>
        </w:rPr>
        <w:t> </w:t>
      </w:r>
      <w:r>
        <w:rPr>
          <w:rFonts w:ascii="Calibri"/>
          <w:sz w:val="22"/>
        </w:rPr>
        <w:t>our</w:t>
      </w:r>
      <w:r>
        <w:rPr>
          <w:rFonts w:ascii="Calibri"/>
          <w:spacing w:val="-3"/>
          <w:sz w:val="22"/>
        </w:rPr>
        <w:t> </w:t>
      </w:r>
      <w:r>
        <w:rPr>
          <w:rFonts w:ascii="Calibri"/>
          <w:sz w:val="22"/>
        </w:rPr>
        <w:t>offices</w:t>
      </w:r>
      <w:r>
        <w:rPr>
          <w:rFonts w:ascii="Calibri"/>
          <w:spacing w:val="-2"/>
          <w:sz w:val="22"/>
        </w:rPr>
        <w:t> </w:t>
      </w:r>
      <w:r>
        <w:rPr>
          <w:rFonts w:ascii="Calibri"/>
          <w:sz w:val="22"/>
        </w:rPr>
        <w:t>in</w:t>
      </w:r>
      <w:r>
        <w:rPr>
          <w:rFonts w:ascii="Calibri"/>
          <w:spacing w:val="-3"/>
          <w:sz w:val="22"/>
        </w:rPr>
        <w:t> </w:t>
      </w:r>
      <w:r>
        <w:rPr>
          <w:rFonts w:ascii="Calibri"/>
          <w:sz w:val="22"/>
        </w:rPr>
        <w:t>north,</w:t>
      </w:r>
      <w:r>
        <w:rPr>
          <w:rFonts w:ascii="Calibri"/>
          <w:spacing w:val="-3"/>
          <w:sz w:val="22"/>
        </w:rPr>
        <w:t> </w:t>
      </w:r>
      <w:r>
        <w:rPr>
          <w:rFonts w:ascii="Calibri"/>
          <w:sz w:val="22"/>
        </w:rPr>
        <w:t>south</w:t>
      </w:r>
      <w:r>
        <w:rPr>
          <w:rFonts w:ascii="Calibri"/>
          <w:spacing w:val="-2"/>
          <w:sz w:val="22"/>
        </w:rPr>
        <w:t> </w:t>
      </w:r>
      <w:r>
        <w:rPr>
          <w:rFonts w:ascii="Calibri"/>
          <w:sz w:val="22"/>
        </w:rPr>
        <w:t>east</w:t>
      </w:r>
      <w:r>
        <w:rPr>
          <w:rFonts w:ascii="Calibri"/>
          <w:spacing w:val="-2"/>
          <w:sz w:val="22"/>
        </w:rPr>
        <w:t> </w:t>
      </w:r>
      <w:r>
        <w:rPr>
          <w:rFonts w:ascii="Calibri"/>
          <w:sz w:val="22"/>
        </w:rPr>
        <w:t>and</w:t>
      </w:r>
      <w:r>
        <w:rPr>
          <w:rFonts w:ascii="Calibri"/>
          <w:spacing w:val="-2"/>
          <w:sz w:val="22"/>
        </w:rPr>
        <w:t> </w:t>
      </w:r>
      <w:r>
        <w:rPr>
          <w:rFonts w:ascii="Calibri"/>
          <w:sz w:val="22"/>
        </w:rPr>
        <w:t>south</w:t>
      </w:r>
      <w:r>
        <w:rPr>
          <w:rFonts w:ascii="Calibri"/>
          <w:spacing w:val="-2"/>
          <w:sz w:val="22"/>
        </w:rPr>
        <w:t> </w:t>
      </w:r>
      <w:r>
        <w:rPr>
          <w:rFonts w:ascii="Calibri"/>
          <w:sz w:val="22"/>
        </w:rPr>
        <w:t>west </w:t>
      </w:r>
      <w:r>
        <w:rPr>
          <w:rFonts w:ascii="Calibri"/>
          <w:spacing w:val="-2"/>
          <w:sz w:val="22"/>
        </w:rPr>
        <w:t>Wales.</w:t>
      </w:r>
    </w:p>
    <w:p>
      <w:pPr>
        <w:pStyle w:val="BodyText"/>
        <w:spacing w:before="9"/>
        <w:rPr>
          <w:rFonts w:ascii="Calibri"/>
          <w:sz w:val="23"/>
        </w:rPr>
      </w:pPr>
    </w:p>
    <w:p>
      <w:pPr>
        <w:spacing w:line="259" w:lineRule="auto" w:before="0"/>
        <w:ind w:left="1440" w:right="1405" w:firstLine="0"/>
        <w:jc w:val="left"/>
        <w:rPr>
          <w:rFonts w:ascii="Calibri" w:hAnsi="Calibri"/>
          <w:sz w:val="22"/>
        </w:rPr>
      </w:pPr>
      <w:r>
        <w:rPr>
          <w:rFonts w:ascii="Calibri" w:hAnsi="Calibri"/>
          <w:sz w:val="22"/>
        </w:rPr>
        <w:t>We</w:t>
      </w:r>
      <w:r>
        <w:rPr>
          <w:rFonts w:ascii="Calibri" w:hAnsi="Calibri"/>
          <w:spacing w:val="-3"/>
          <w:sz w:val="22"/>
        </w:rPr>
        <w:t> </w:t>
      </w:r>
      <w:r>
        <w:rPr>
          <w:rFonts w:ascii="Calibri" w:hAnsi="Calibri"/>
          <w:sz w:val="22"/>
        </w:rPr>
        <w:t>reported</w:t>
      </w:r>
      <w:r>
        <w:rPr>
          <w:rFonts w:ascii="Calibri" w:hAnsi="Calibri"/>
          <w:spacing w:val="-2"/>
          <w:sz w:val="22"/>
        </w:rPr>
        <w:t> </w:t>
      </w:r>
      <w:r>
        <w:rPr>
          <w:rFonts w:ascii="Calibri" w:hAnsi="Calibri"/>
          <w:sz w:val="22"/>
        </w:rPr>
        <w:t>to</w:t>
      </w:r>
      <w:r>
        <w:rPr>
          <w:rFonts w:ascii="Calibri" w:hAnsi="Calibri"/>
          <w:spacing w:val="-2"/>
          <w:sz w:val="22"/>
        </w:rPr>
        <w:t> </w:t>
      </w:r>
      <w:r>
        <w:rPr>
          <w:rFonts w:ascii="Calibri" w:hAnsi="Calibri"/>
          <w:sz w:val="22"/>
        </w:rPr>
        <w:t>the</w:t>
      </w:r>
      <w:r>
        <w:rPr>
          <w:rFonts w:ascii="Calibri" w:hAnsi="Calibri"/>
          <w:spacing w:val="-3"/>
          <w:sz w:val="22"/>
        </w:rPr>
        <w:t> </w:t>
      </w:r>
      <w:r>
        <w:rPr>
          <w:rFonts w:ascii="Calibri" w:hAnsi="Calibri"/>
          <w:sz w:val="22"/>
        </w:rPr>
        <w:t>Commissioner’s</w:t>
      </w:r>
      <w:r>
        <w:rPr>
          <w:rFonts w:ascii="Calibri" w:hAnsi="Calibri"/>
          <w:spacing w:val="-3"/>
          <w:sz w:val="22"/>
        </w:rPr>
        <w:t> </w:t>
      </w:r>
      <w:r>
        <w:rPr>
          <w:rFonts w:ascii="Calibri" w:hAnsi="Calibri"/>
          <w:sz w:val="22"/>
        </w:rPr>
        <w:t>Office</w:t>
      </w:r>
      <w:r>
        <w:rPr>
          <w:rFonts w:ascii="Calibri" w:hAnsi="Calibri"/>
          <w:spacing w:val="-3"/>
          <w:sz w:val="22"/>
        </w:rPr>
        <w:t> </w:t>
      </w:r>
      <w:r>
        <w:rPr>
          <w:rFonts w:ascii="Calibri" w:hAnsi="Calibri"/>
          <w:sz w:val="22"/>
        </w:rPr>
        <w:t>on</w:t>
      </w:r>
      <w:r>
        <w:rPr>
          <w:rFonts w:ascii="Calibri" w:hAnsi="Calibri"/>
          <w:spacing w:val="-2"/>
          <w:sz w:val="22"/>
        </w:rPr>
        <w:t> </w:t>
      </w:r>
      <w:r>
        <w:rPr>
          <w:rFonts w:ascii="Calibri" w:hAnsi="Calibri"/>
          <w:sz w:val="22"/>
        </w:rPr>
        <w:t>the</w:t>
      </w:r>
      <w:r>
        <w:rPr>
          <w:rFonts w:ascii="Calibri" w:hAnsi="Calibri"/>
          <w:spacing w:val="-2"/>
          <w:sz w:val="22"/>
        </w:rPr>
        <w:t> </w:t>
      </w:r>
      <w:r>
        <w:rPr>
          <w:rFonts w:ascii="Calibri" w:hAnsi="Calibri"/>
          <w:sz w:val="22"/>
        </w:rPr>
        <w:t>steps</w:t>
      </w:r>
      <w:r>
        <w:rPr>
          <w:rFonts w:ascii="Calibri" w:hAnsi="Calibri"/>
          <w:spacing w:val="-3"/>
          <w:sz w:val="22"/>
        </w:rPr>
        <w:t> </w:t>
      </w:r>
      <w:r>
        <w:rPr>
          <w:rFonts w:ascii="Calibri" w:hAnsi="Calibri"/>
          <w:sz w:val="22"/>
        </w:rPr>
        <w:t>we</w:t>
      </w:r>
      <w:r>
        <w:rPr>
          <w:rFonts w:ascii="Calibri" w:hAnsi="Calibri"/>
          <w:spacing w:val="-3"/>
          <w:sz w:val="22"/>
        </w:rPr>
        <w:t> </w:t>
      </w:r>
      <w:r>
        <w:rPr>
          <w:rFonts w:ascii="Calibri" w:hAnsi="Calibri"/>
          <w:sz w:val="22"/>
        </w:rPr>
        <w:t>were</w:t>
      </w:r>
      <w:r>
        <w:rPr>
          <w:rFonts w:ascii="Calibri" w:hAnsi="Calibri"/>
          <w:spacing w:val="-2"/>
          <w:sz w:val="22"/>
        </w:rPr>
        <w:t> </w:t>
      </w:r>
      <w:r>
        <w:rPr>
          <w:rFonts w:ascii="Calibri" w:hAnsi="Calibri"/>
          <w:sz w:val="22"/>
        </w:rPr>
        <w:t>taking</w:t>
      </w:r>
      <w:r>
        <w:rPr>
          <w:rFonts w:ascii="Calibri" w:hAnsi="Calibri"/>
          <w:spacing w:val="-2"/>
          <w:sz w:val="22"/>
        </w:rPr>
        <w:t> </w:t>
      </w:r>
      <w:r>
        <w:rPr>
          <w:rFonts w:ascii="Calibri" w:hAnsi="Calibri"/>
          <w:sz w:val="22"/>
        </w:rPr>
        <w:t>to</w:t>
      </w:r>
      <w:r>
        <w:rPr>
          <w:rFonts w:ascii="Calibri" w:hAnsi="Calibri"/>
          <w:spacing w:val="-2"/>
          <w:sz w:val="22"/>
        </w:rPr>
        <w:t> </w:t>
      </w:r>
      <w:r>
        <w:rPr>
          <w:rFonts w:ascii="Calibri" w:hAnsi="Calibri"/>
          <w:sz w:val="22"/>
        </w:rPr>
        <w:t>address</w:t>
      </w:r>
      <w:r>
        <w:rPr>
          <w:rFonts w:ascii="Calibri" w:hAnsi="Calibri"/>
          <w:spacing w:val="-3"/>
          <w:sz w:val="22"/>
        </w:rPr>
        <w:t> </w:t>
      </w:r>
      <w:r>
        <w:rPr>
          <w:rFonts w:ascii="Calibri" w:hAnsi="Calibri"/>
          <w:sz w:val="22"/>
        </w:rPr>
        <w:t>the</w:t>
      </w:r>
      <w:r>
        <w:rPr>
          <w:rFonts w:ascii="Calibri" w:hAnsi="Calibri"/>
          <w:spacing w:val="-2"/>
          <w:sz w:val="22"/>
        </w:rPr>
        <w:t> </w:t>
      </w:r>
      <w:r>
        <w:rPr>
          <w:rFonts w:ascii="Calibri" w:hAnsi="Calibri"/>
          <w:sz w:val="22"/>
        </w:rPr>
        <w:t>complaint</w:t>
      </w:r>
      <w:r>
        <w:rPr>
          <w:rFonts w:ascii="Calibri" w:hAnsi="Calibri"/>
          <w:spacing w:val="-2"/>
          <w:sz w:val="22"/>
        </w:rPr>
        <w:t> </w:t>
      </w:r>
      <w:r>
        <w:rPr>
          <w:rFonts w:ascii="Calibri" w:hAnsi="Calibri"/>
          <w:sz w:val="22"/>
        </w:rPr>
        <w:t>and no further investigation was required by the Commissioner’s Office at that time.</w:t>
      </w:r>
    </w:p>
    <w:p>
      <w:pPr>
        <w:pStyle w:val="BodyText"/>
        <w:spacing w:before="8"/>
        <w:rPr>
          <w:rFonts w:ascii="Calibri"/>
          <w:sz w:val="23"/>
        </w:rPr>
      </w:pPr>
    </w:p>
    <w:p>
      <w:pPr>
        <w:pStyle w:val="Heading7"/>
      </w:pPr>
      <w:bookmarkStart w:name="_TOC_250002" w:id="76"/>
      <w:r>
        <w:rPr/>
        <w:t>Policy</w:t>
      </w:r>
      <w:r>
        <w:rPr>
          <w:spacing w:val="-2"/>
        </w:rPr>
        <w:t> </w:t>
      </w:r>
      <w:r>
        <w:rPr/>
        <w:t>Making</w:t>
      </w:r>
      <w:bookmarkEnd w:id="76"/>
      <w:r>
        <w:rPr>
          <w:spacing w:val="-2"/>
        </w:rPr>
        <w:t> Standards</w:t>
      </w:r>
    </w:p>
    <w:p>
      <w:pPr>
        <w:spacing w:before="27"/>
        <w:ind w:left="1440" w:right="0" w:firstLine="0"/>
        <w:jc w:val="left"/>
        <w:rPr>
          <w:rFonts w:ascii="Calibri"/>
          <w:sz w:val="22"/>
        </w:rPr>
      </w:pPr>
      <w:r>
        <w:rPr>
          <w:rFonts w:ascii="Calibri"/>
          <w:sz w:val="22"/>
        </w:rPr>
        <w:t>All</w:t>
      </w:r>
      <w:r>
        <w:rPr>
          <w:rFonts w:ascii="Calibri"/>
          <w:spacing w:val="-5"/>
          <w:sz w:val="22"/>
        </w:rPr>
        <w:t> </w:t>
      </w:r>
      <w:r>
        <w:rPr>
          <w:rFonts w:ascii="Calibri"/>
          <w:sz w:val="22"/>
        </w:rPr>
        <w:t>NWSSP</w:t>
      </w:r>
      <w:r>
        <w:rPr>
          <w:rFonts w:ascii="Calibri"/>
          <w:spacing w:val="-3"/>
          <w:sz w:val="22"/>
        </w:rPr>
        <w:t> </w:t>
      </w:r>
      <w:r>
        <w:rPr>
          <w:rFonts w:ascii="Calibri"/>
          <w:sz w:val="22"/>
        </w:rPr>
        <w:t>policies</w:t>
      </w:r>
      <w:r>
        <w:rPr>
          <w:rFonts w:ascii="Calibri"/>
          <w:spacing w:val="-3"/>
          <w:sz w:val="22"/>
        </w:rPr>
        <w:t> </w:t>
      </w:r>
      <w:r>
        <w:rPr>
          <w:rFonts w:ascii="Calibri"/>
          <w:sz w:val="22"/>
        </w:rPr>
        <w:t>are</w:t>
      </w:r>
      <w:r>
        <w:rPr>
          <w:rFonts w:ascii="Calibri"/>
          <w:spacing w:val="-4"/>
          <w:sz w:val="22"/>
        </w:rPr>
        <w:t> </w:t>
      </w:r>
      <w:r>
        <w:rPr>
          <w:rFonts w:ascii="Calibri"/>
          <w:sz w:val="22"/>
        </w:rPr>
        <w:t>provided</w:t>
      </w:r>
      <w:r>
        <w:rPr>
          <w:rFonts w:ascii="Calibri"/>
          <w:spacing w:val="-3"/>
          <w:sz w:val="22"/>
        </w:rPr>
        <w:t> </w:t>
      </w:r>
      <w:r>
        <w:rPr>
          <w:rFonts w:ascii="Calibri"/>
          <w:sz w:val="22"/>
        </w:rPr>
        <w:t>by</w:t>
      </w:r>
      <w:r>
        <w:rPr>
          <w:rFonts w:ascii="Calibri"/>
          <w:spacing w:val="-3"/>
          <w:sz w:val="22"/>
        </w:rPr>
        <w:t> </w:t>
      </w:r>
      <w:r>
        <w:rPr>
          <w:rFonts w:ascii="Calibri"/>
          <w:sz w:val="22"/>
        </w:rPr>
        <w:t>Velindre</w:t>
      </w:r>
      <w:r>
        <w:rPr>
          <w:rFonts w:ascii="Calibri"/>
          <w:spacing w:val="-4"/>
          <w:sz w:val="22"/>
        </w:rPr>
        <w:t> </w:t>
      </w:r>
      <w:r>
        <w:rPr>
          <w:rFonts w:ascii="Calibri"/>
          <w:sz w:val="22"/>
        </w:rPr>
        <w:t>NHS</w:t>
      </w:r>
      <w:r>
        <w:rPr>
          <w:rFonts w:ascii="Calibri"/>
          <w:spacing w:val="-2"/>
          <w:sz w:val="22"/>
        </w:rPr>
        <w:t> Trust.</w:t>
      </w:r>
    </w:p>
    <w:p>
      <w:pPr>
        <w:pStyle w:val="BodyText"/>
        <w:spacing w:before="6"/>
        <w:rPr>
          <w:rFonts w:ascii="Calibri"/>
          <w:sz w:val="25"/>
        </w:rPr>
      </w:pPr>
    </w:p>
    <w:p>
      <w:pPr>
        <w:spacing w:line="259" w:lineRule="auto" w:before="0"/>
        <w:ind w:left="1440" w:right="1405" w:firstLine="0"/>
        <w:jc w:val="left"/>
        <w:rPr>
          <w:rFonts w:ascii="Calibri" w:hAnsi="Calibri"/>
          <w:sz w:val="22"/>
        </w:rPr>
      </w:pPr>
      <w:r>
        <w:rPr>
          <w:rFonts w:ascii="Calibri" w:hAnsi="Calibri"/>
          <w:sz w:val="22"/>
        </w:rPr>
        <w:t>Any protocols that we develop locally are required to undergo a comprehensive equality impact assessment.</w:t>
      </w:r>
      <w:r>
        <w:rPr>
          <w:rFonts w:ascii="Calibri" w:hAnsi="Calibri"/>
          <w:spacing w:val="40"/>
          <w:sz w:val="22"/>
        </w:rPr>
        <w:t> </w:t>
      </w:r>
      <w:r>
        <w:rPr>
          <w:rFonts w:ascii="Calibri" w:hAnsi="Calibri"/>
          <w:sz w:val="22"/>
        </w:rPr>
        <w:t>This provides the opportunity to give specific reference to the Welsh language, where the protocol would influence the use of the Welsh language as part of the organisations service delivery.</w:t>
      </w:r>
      <w:r>
        <w:rPr>
          <w:rFonts w:ascii="Calibri" w:hAnsi="Calibri"/>
          <w:spacing w:val="-3"/>
          <w:sz w:val="22"/>
        </w:rPr>
        <w:t> </w:t>
      </w:r>
      <w:r>
        <w:rPr>
          <w:rFonts w:ascii="Calibri" w:hAnsi="Calibri"/>
          <w:sz w:val="22"/>
        </w:rPr>
        <w:t>The</w:t>
      </w:r>
      <w:r>
        <w:rPr>
          <w:rFonts w:ascii="Calibri" w:hAnsi="Calibri"/>
          <w:spacing w:val="-4"/>
          <w:sz w:val="22"/>
        </w:rPr>
        <w:t> </w:t>
      </w:r>
      <w:r>
        <w:rPr>
          <w:rFonts w:ascii="Calibri" w:hAnsi="Calibri"/>
          <w:sz w:val="22"/>
        </w:rPr>
        <w:t>Welsh</w:t>
      </w:r>
      <w:r>
        <w:rPr>
          <w:rFonts w:ascii="Calibri" w:hAnsi="Calibri"/>
          <w:spacing w:val="-3"/>
          <w:sz w:val="22"/>
        </w:rPr>
        <w:t> </w:t>
      </w:r>
      <w:r>
        <w:rPr>
          <w:rFonts w:ascii="Calibri" w:hAnsi="Calibri"/>
          <w:sz w:val="22"/>
        </w:rPr>
        <w:t>language</w:t>
      </w:r>
      <w:r>
        <w:rPr>
          <w:rFonts w:ascii="Calibri" w:hAnsi="Calibri"/>
          <w:spacing w:val="-3"/>
          <w:sz w:val="22"/>
        </w:rPr>
        <w:t> </w:t>
      </w:r>
      <w:r>
        <w:rPr>
          <w:rFonts w:ascii="Calibri" w:hAnsi="Calibri"/>
          <w:sz w:val="22"/>
        </w:rPr>
        <w:t>is</w:t>
      </w:r>
      <w:r>
        <w:rPr>
          <w:rFonts w:ascii="Calibri" w:hAnsi="Calibri"/>
          <w:spacing w:val="-3"/>
          <w:sz w:val="22"/>
        </w:rPr>
        <w:t> </w:t>
      </w:r>
      <w:r>
        <w:rPr>
          <w:rFonts w:ascii="Calibri" w:hAnsi="Calibri"/>
          <w:sz w:val="22"/>
        </w:rPr>
        <w:t>embedded</w:t>
      </w:r>
      <w:r>
        <w:rPr>
          <w:rFonts w:ascii="Calibri" w:hAnsi="Calibri"/>
          <w:spacing w:val="-3"/>
          <w:sz w:val="22"/>
        </w:rPr>
        <w:t> </w:t>
      </w:r>
      <w:r>
        <w:rPr>
          <w:rFonts w:ascii="Calibri" w:hAnsi="Calibri"/>
          <w:sz w:val="22"/>
        </w:rPr>
        <w:t>in</w:t>
      </w:r>
      <w:r>
        <w:rPr>
          <w:rFonts w:ascii="Calibri" w:hAnsi="Calibri"/>
          <w:spacing w:val="-3"/>
          <w:sz w:val="22"/>
        </w:rPr>
        <w:t> </w:t>
      </w:r>
      <w:r>
        <w:rPr>
          <w:rFonts w:ascii="Calibri" w:hAnsi="Calibri"/>
          <w:sz w:val="22"/>
        </w:rPr>
        <w:t>the</w:t>
      </w:r>
      <w:r>
        <w:rPr>
          <w:rFonts w:ascii="Calibri" w:hAnsi="Calibri"/>
          <w:spacing w:val="-3"/>
          <w:sz w:val="22"/>
        </w:rPr>
        <w:t> </w:t>
      </w:r>
      <w:r>
        <w:rPr>
          <w:rFonts w:ascii="Calibri" w:hAnsi="Calibri"/>
          <w:sz w:val="22"/>
        </w:rPr>
        <w:t>decision-making</w:t>
      </w:r>
      <w:r>
        <w:rPr>
          <w:rFonts w:ascii="Calibri" w:hAnsi="Calibri"/>
          <w:spacing w:val="-4"/>
          <w:sz w:val="22"/>
        </w:rPr>
        <w:t> </w:t>
      </w:r>
      <w:r>
        <w:rPr>
          <w:rFonts w:ascii="Calibri" w:hAnsi="Calibri"/>
          <w:sz w:val="22"/>
        </w:rPr>
        <w:t>processes</w:t>
      </w:r>
      <w:r>
        <w:rPr>
          <w:rFonts w:ascii="Calibri" w:hAnsi="Calibri"/>
          <w:spacing w:val="-4"/>
          <w:sz w:val="22"/>
        </w:rPr>
        <w:t> </w:t>
      </w:r>
      <w:r>
        <w:rPr>
          <w:rFonts w:ascii="Calibri" w:hAnsi="Calibri"/>
          <w:sz w:val="22"/>
        </w:rPr>
        <w:t>across</w:t>
      </w:r>
      <w:r>
        <w:rPr>
          <w:rFonts w:ascii="Calibri" w:hAnsi="Calibri"/>
          <w:spacing w:val="-3"/>
          <w:sz w:val="22"/>
        </w:rPr>
        <w:t> </w:t>
      </w:r>
      <w:r>
        <w:rPr>
          <w:rFonts w:ascii="Calibri" w:hAnsi="Calibri"/>
          <w:sz w:val="22"/>
        </w:rPr>
        <w:t>the</w:t>
      </w:r>
      <w:r>
        <w:rPr>
          <w:rFonts w:ascii="Calibri" w:hAnsi="Calibri"/>
          <w:spacing w:val="-3"/>
          <w:sz w:val="22"/>
        </w:rPr>
        <w:t> </w:t>
      </w:r>
      <w:r>
        <w:rPr>
          <w:rFonts w:ascii="Calibri" w:hAnsi="Calibri"/>
          <w:sz w:val="22"/>
        </w:rPr>
        <w:t>organisation. The Welsh Language Services liaises with the Corporate Services Manager with regards to protocols and EQIA’s for service development proposals.</w:t>
      </w:r>
    </w:p>
    <w:p>
      <w:pPr>
        <w:pStyle w:val="BodyText"/>
        <w:spacing w:before="8"/>
        <w:rPr>
          <w:rFonts w:ascii="Calibri"/>
          <w:sz w:val="23"/>
        </w:rPr>
      </w:pPr>
    </w:p>
    <w:p>
      <w:pPr>
        <w:spacing w:line="259" w:lineRule="auto" w:before="0"/>
        <w:ind w:left="1440" w:right="1405" w:firstLine="0"/>
        <w:jc w:val="left"/>
        <w:rPr>
          <w:rFonts w:ascii="Calibri"/>
          <w:sz w:val="22"/>
        </w:rPr>
      </w:pPr>
      <w:r>
        <w:rPr>
          <w:rFonts w:ascii="Calibri"/>
          <w:sz w:val="22"/>
        </w:rPr>
        <w:t>We have ensured that all relevant documents related to employment are available through the medium</w:t>
      </w:r>
      <w:r>
        <w:rPr>
          <w:rFonts w:ascii="Calibri"/>
          <w:spacing w:val="-2"/>
          <w:sz w:val="22"/>
        </w:rPr>
        <w:t> </w:t>
      </w:r>
      <w:r>
        <w:rPr>
          <w:rFonts w:ascii="Calibri"/>
          <w:sz w:val="22"/>
        </w:rPr>
        <w:t>of</w:t>
      </w:r>
      <w:r>
        <w:rPr>
          <w:rFonts w:ascii="Calibri"/>
          <w:spacing w:val="-3"/>
          <w:sz w:val="22"/>
        </w:rPr>
        <w:t> </w:t>
      </w:r>
      <w:r>
        <w:rPr>
          <w:rFonts w:ascii="Calibri"/>
          <w:sz w:val="22"/>
        </w:rPr>
        <w:t>Welsh.</w:t>
      </w:r>
      <w:r>
        <w:rPr>
          <w:rFonts w:ascii="Calibri"/>
          <w:spacing w:val="40"/>
          <w:sz w:val="22"/>
        </w:rPr>
        <w:t> </w:t>
      </w:r>
      <w:r>
        <w:rPr>
          <w:rFonts w:ascii="Calibri"/>
          <w:sz w:val="22"/>
        </w:rPr>
        <w:t>Contracts</w:t>
      </w:r>
      <w:r>
        <w:rPr>
          <w:rFonts w:ascii="Calibri"/>
          <w:spacing w:val="-2"/>
          <w:sz w:val="22"/>
        </w:rPr>
        <w:t> </w:t>
      </w:r>
      <w:r>
        <w:rPr>
          <w:rFonts w:ascii="Calibri"/>
          <w:sz w:val="22"/>
        </w:rPr>
        <w:t>of</w:t>
      </w:r>
      <w:r>
        <w:rPr>
          <w:rFonts w:ascii="Calibri"/>
          <w:spacing w:val="-3"/>
          <w:sz w:val="22"/>
        </w:rPr>
        <w:t> </w:t>
      </w:r>
      <w:r>
        <w:rPr>
          <w:rFonts w:ascii="Calibri"/>
          <w:sz w:val="22"/>
        </w:rPr>
        <w:t>employment</w:t>
      </w:r>
      <w:r>
        <w:rPr>
          <w:rFonts w:ascii="Calibri"/>
          <w:spacing w:val="-2"/>
          <w:sz w:val="22"/>
        </w:rPr>
        <w:t> </w:t>
      </w:r>
      <w:r>
        <w:rPr>
          <w:rFonts w:ascii="Calibri"/>
          <w:sz w:val="22"/>
        </w:rPr>
        <w:t>are</w:t>
      </w:r>
      <w:r>
        <w:rPr>
          <w:rFonts w:ascii="Calibri"/>
          <w:spacing w:val="-3"/>
          <w:sz w:val="22"/>
        </w:rPr>
        <w:t> </w:t>
      </w:r>
      <w:r>
        <w:rPr>
          <w:rFonts w:ascii="Calibri"/>
          <w:sz w:val="22"/>
        </w:rPr>
        <w:t>sent</w:t>
      </w:r>
      <w:r>
        <w:rPr>
          <w:rFonts w:ascii="Calibri"/>
          <w:spacing w:val="-2"/>
          <w:sz w:val="22"/>
        </w:rPr>
        <w:t> </w:t>
      </w:r>
      <w:r>
        <w:rPr>
          <w:rFonts w:ascii="Calibri"/>
          <w:sz w:val="22"/>
        </w:rPr>
        <w:t>to</w:t>
      </w:r>
      <w:r>
        <w:rPr>
          <w:rFonts w:ascii="Calibri"/>
          <w:spacing w:val="-2"/>
          <w:sz w:val="22"/>
        </w:rPr>
        <w:t> </w:t>
      </w:r>
      <w:r>
        <w:rPr>
          <w:rFonts w:ascii="Calibri"/>
          <w:sz w:val="22"/>
        </w:rPr>
        <w:t>staff</w:t>
      </w:r>
      <w:r>
        <w:rPr>
          <w:rFonts w:ascii="Calibri"/>
          <w:spacing w:val="-2"/>
          <w:sz w:val="22"/>
        </w:rPr>
        <w:t> </w:t>
      </w:r>
      <w:r>
        <w:rPr>
          <w:rFonts w:ascii="Calibri"/>
          <w:sz w:val="22"/>
        </w:rPr>
        <w:t>in</w:t>
      </w:r>
      <w:r>
        <w:rPr>
          <w:rFonts w:ascii="Calibri"/>
          <w:spacing w:val="-3"/>
          <w:sz w:val="22"/>
        </w:rPr>
        <w:t> </w:t>
      </w:r>
      <w:r>
        <w:rPr>
          <w:rFonts w:ascii="Calibri"/>
          <w:sz w:val="22"/>
        </w:rPr>
        <w:t>both</w:t>
      </w:r>
      <w:r>
        <w:rPr>
          <w:rFonts w:ascii="Calibri"/>
          <w:spacing w:val="-2"/>
          <w:sz w:val="22"/>
        </w:rPr>
        <w:t> </w:t>
      </w:r>
      <w:r>
        <w:rPr>
          <w:rFonts w:ascii="Calibri"/>
          <w:sz w:val="22"/>
        </w:rPr>
        <w:t>Welsh</w:t>
      </w:r>
      <w:r>
        <w:rPr>
          <w:rFonts w:ascii="Calibri"/>
          <w:spacing w:val="-3"/>
          <w:sz w:val="22"/>
        </w:rPr>
        <w:t> </w:t>
      </w:r>
      <w:r>
        <w:rPr>
          <w:rFonts w:ascii="Calibri"/>
          <w:sz w:val="22"/>
        </w:rPr>
        <w:t>and</w:t>
      </w:r>
      <w:r>
        <w:rPr>
          <w:rFonts w:ascii="Calibri"/>
          <w:spacing w:val="-2"/>
          <w:sz w:val="22"/>
        </w:rPr>
        <w:t> </w:t>
      </w:r>
      <w:r>
        <w:rPr>
          <w:rFonts w:ascii="Calibri"/>
          <w:sz w:val="22"/>
        </w:rPr>
        <w:t>English.</w:t>
      </w:r>
      <w:r>
        <w:rPr>
          <w:rFonts w:ascii="Calibri"/>
          <w:spacing w:val="40"/>
          <w:sz w:val="22"/>
        </w:rPr>
        <w:t> </w:t>
      </w:r>
      <w:r>
        <w:rPr>
          <w:rFonts w:ascii="Calibri"/>
          <w:sz w:val="22"/>
        </w:rPr>
        <w:t>A</w:t>
      </w:r>
      <w:r>
        <w:rPr>
          <w:rFonts w:ascii="Calibri"/>
          <w:spacing w:val="-2"/>
          <w:sz w:val="22"/>
        </w:rPr>
        <w:t> </w:t>
      </w:r>
      <w:r>
        <w:rPr>
          <w:rFonts w:ascii="Calibri"/>
          <w:sz w:val="22"/>
        </w:rPr>
        <w:t>review</w:t>
      </w:r>
      <w:r>
        <w:rPr>
          <w:rFonts w:ascii="Calibri"/>
          <w:spacing w:val="-2"/>
          <w:sz w:val="22"/>
        </w:rPr>
        <w:t> </w:t>
      </w:r>
      <w:r>
        <w:rPr>
          <w:rFonts w:ascii="Calibri"/>
          <w:sz w:val="22"/>
        </w:rPr>
        <w:t>of all People &amp; OD documents has been undertaken during 2021-22, and all documents are complaint with the requirements of the Welsh language standards.</w:t>
      </w:r>
    </w:p>
    <w:p>
      <w:pPr>
        <w:pStyle w:val="BodyText"/>
        <w:spacing w:before="8"/>
        <w:rPr>
          <w:rFonts w:ascii="Calibri"/>
          <w:sz w:val="23"/>
        </w:rPr>
      </w:pPr>
    </w:p>
    <w:p>
      <w:pPr>
        <w:pStyle w:val="Heading7"/>
      </w:pPr>
      <w:bookmarkStart w:name="_TOC_250001" w:id="77"/>
      <w:r>
        <w:rPr/>
        <w:t>Operational</w:t>
      </w:r>
      <w:r>
        <w:rPr>
          <w:spacing w:val="-6"/>
        </w:rPr>
        <w:t> </w:t>
      </w:r>
      <w:bookmarkEnd w:id="77"/>
      <w:r>
        <w:rPr>
          <w:spacing w:val="-2"/>
        </w:rPr>
        <w:t>Standards:</w:t>
      </w:r>
    </w:p>
    <w:p>
      <w:pPr>
        <w:spacing w:before="27"/>
        <w:ind w:left="1440" w:right="0" w:firstLine="0"/>
        <w:jc w:val="left"/>
        <w:rPr>
          <w:rFonts w:ascii="Calibri" w:hAnsi="Calibri"/>
          <w:sz w:val="22"/>
        </w:rPr>
      </w:pPr>
      <w:r>
        <w:rPr>
          <w:rFonts w:ascii="Calibri" w:hAnsi="Calibri"/>
          <w:sz w:val="22"/>
        </w:rPr>
        <w:t>Internal</w:t>
      </w:r>
      <w:r>
        <w:rPr>
          <w:rFonts w:ascii="Calibri" w:hAnsi="Calibri"/>
          <w:spacing w:val="-4"/>
          <w:sz w:val="22"/>
        </w:rPr>
        <w:t> </w:t>
      </w:r>
      <w:r>
        <w:rPr>
          <w:rFonts w:ascii="Calibri" w:hAnsi="Calibri"/>
          <w:sz w:val="22"/>
        </w:rPr>
        <w:t>Administration</w:t>
      </w:r>
      <w:r>
        <w:rPr>
          <w:rFonts w:ascii="Calibri" w:hAnsi="Calibri"/>
          <w:spacing w:val="-3"/>
          <w:sz w:val="22"/>
        </w:rPr>
        <w:t> </w:t>
      </w:r>
      <w:r>
        <w:rPr>
          <w:rFonts w:ascii="Calibri" w:hAnsi="Calibri"/>
          <w:sz w:val="22"/>
        </w:rPr>
        <w:t>(Standards</w:t>
      </w:r>
      <w:r>
        <w:rPr>
          <w:rFonts w:ascii="Calibri" w:hAnsi="Calibri"/>
          <w:spacing w:val="-4"/>
          <w:sz w:val="22"/>
        </w:rPr>
        <w:t> </w:t>
      </w:r>
      <w:r>
        <w:rPr>
          <w:rFonts w:ascii="Calibri" w:hAnsi="Calibri"/>
          <w:sz w:val="22"/>
        </w:rPr>
        <w:t>79</w:t>
      </w:r>
      <w:r>
        <w:rPr>
          <w:rFonts w:ascii="Calibri" w:hAnsi="Calibri"/>
          <w:spacing w:val="-3"/>
          <w:sz w:val="22"/>
        </w:rPr>
        <w:t> </w:t>
      </w:r>
      <w:r>
        <w:rPr>
          <w:rFonts w:ascii="Calibri" w:hAnsi="Calibri"/>
          <w:sz w:val="22"/>
        </w:rPr>
        <w:t>–</w:t>
      </w:r>
      <w:r>
        <w:rPr>
          <w:rFonts w:ascii="Calibri" w:hAnsi="Calibri"/>
          <w:spacing w:val="-3"/>
          <w:sz w:val="22"/>
        </w:rPr>
        <w:t> </w:t>
      </w:r>
      <w:r>
        <w:rPr>
          <w:rFonts w:ascii="Calibri" w:hAnsi="Calibri"/>
          <w:spacing w:val="-5"/>
          <w:sz w:val="22"/>
        </w:rPr>
        <w:t>82)</w:t>
      </w:r>
    </w:p>
    <w:p>
      <w:pPr>
        <w:spacing w:before="22"/>
        <w:ind w:left="1440" w:right="0" w:firstLine="0"/>
        <w:jc w:val="left"/>
        <w:rPr>
          <w:rFonts w:ascii="Calibri" w:hAnsi="Calibri"/>
          <w:sz w:val="22"/>
        </w:rPr>
      </w:pPr>
      <w:r>
        <w:rPr>
          <w:rFonts w:ascii="Calibri" w:hAnsi="Calibri"/>
          <w:sz w:val="22"/>
        </w:rPr>
        <w:t>Complaints</w:t>
      </w:r>
      <w:r>
        <w:rPr>
          <w:rFonts w:ascii="Calibri" w:hAnsi="Calibri"/>
          <w:spacing w:val="-3"/>
          <w:sz w:val="22"/>
        </w:rPr>
        <w:t> </w:t>
      </w:r>
      <w:r>
        <w:rPr>
          <w:rFonts w:ascii="Calibri" w:hAnsi="Calibri"/>
          <w:sz w:val="22"/>
        </w:rPr>
        <w:t>(Standards</w:t>
      </w:r>
      <w:r>
        <w:rPr>
          <w:rFonts w:ascii="Calibri" w:hAnsi="Calibri"/>
          <w:spacing w:val="-3"/>
          <w:sz w:val="22"/>
        </w:rPr>
        <w:t> </w:t>
      </w:r>
      <w:r>
        <w:rPr>
          <w:rFonts w:ascii="Calibri" w:hAnsi="Calibri"/>
          <w:sz w:val="22"/>
        </w:rPr>
        <w:t>83</w:t>
      </w:r>
      <w:r>
        <w:rPr>
          <w:rFonts w:ascii="Calibri" w:hAnsi="Calibri"/>
          <w:spacing w:val="-3"/>
          <w:sz w:val="22"/>
        </w:rPr>
        <w:t> </w:t>
      </w:r>
      <w:r>
        <w:rPr>
          <w:rFonts w:ascii="Calibri" w:hAnsi="Calibri"/>
          <w:sz w:val="22"/>
        </w:rPr>
        <w:t>–</w:t>
      </w:r>
      <w:r>
        <w:rPr>
          <w:rFonts w:ascii="Calibri" w:hAnsi="Calibri"/>
          <w:spacing w:val="-2"/>
          <w:sz w:val="22"/>
        </w:rPr>
        <w:t> </w:t>
      </w:r>
      <w:r>
        <w:rPr>
          <w:rFonts w:ascii="Calibri" w:hAnsi="Calibri"/>
          <w:spacing w:val="-5"/>
          <w:sz w:val="22"/>
        </w:rPr>
        <w:t>85)</w:t>
      </w:r>
    </w:p>
    <w:p>
      <w:pPr>
        <w:spacing w:before="21"/>
        <w:ind w:left="1440" w:right="0" w:firstLine="0"/>
        <w:jc w:val="left"/>
        <w:rPr>
          <w:rFonts w:ascii="Calibri" w:hAnsi="Calibri"/>
          <w:sz w:val="22"/>
        </w:rPr>
      </w:pPr>
      <w:r>
        <w:rPr>
          <w:rFonts w:ascii="Calibri" w:hAnsi="Calibri"/>
          <w:sz w:val="22"/>
        </w:rPr>
        <w:t>Disciplinary</w:t>
      </w:r>
      <w:r>
        <w:rPr>
          <w:rFonts w:ascii="Calibri" w:hAnsi="Calibri"/>
          <w:spacing w:val="-7"/>
          <w:sz w:val="22"/>
        </w:rPr>
        <w:t> </w:t>
      </w:r>
      <w:r>
        <w:rPr>
          <w:rFonts w:ascii="Calibri" w:hAnsi="Calibri"/>
          <w:sz w:val="22"/>
        </w:rPr>
        <w:t>Cases</w:t>
      </w:r>
      <w:r>
        <w:rPr>
          <w:rFonts w:ascii="Calibri" w:hAnsi="Calibri"/>
          <w:spacing w:val="-4"/>
          <w:sz w:val="22"/>
        </w:rPr>
        <w:t> </w:t>
      </w:r>
      <w:r>
        <w:rPr>
          <w:rFonts w:ascii="Calibri" w:hAnsi="Calibri"/>
          <w:sz w:val="22"/>
        </w:rPr>
        <w:t>(Standards</w:t>
      </w:r>
      <w:r>
        <w:rPr>
          <w:rFonts w:ascii="Calibri" w:hAnsi="Calibri"/>
          <w:spacing w:val="-4"/>
          <w:sz w:val="22"/>
        </w:rPr>
        <w:t> </w:t>
      </w:r>
      <w:r>
        <w:rPr>
          <w:rFonts w:ascii="Calibri" w:hAnsi="Calibri"/>
          <w:sz w:val="22"/>
        </w:rPr>
        <w:t>86</w:t>
      </w:r>
      <w:r>
        <w:rPr>
          <w:rFonts w:ascii="Calibri" w:hAnsi="Calibri"/>
          <w:spacing w:val="-3"/>
          <w:sz w:val="22"/>
        </w:rPr>
        <w:t> </w:t>
      </w:r>
      <w:r>
        <w:rPr>
          <w:rFonts w:ascii="Calibri" w:hAnsi="Calibri"/>
          <w:sz w:val="22"/>
        </w:rPr>
        <w:t>–</w:t>
      </w:r>
      <w:r>
        <w:rPr>
          <w:rFonts w:ascii="Calibri" w:hAnsi="Calibri"/>
          <w:spacing w:val="-4"/>
          <w:sz w:val="22"/>
        </w:rPr>
        <w:t> </w:t>
      </w:r>
      <w:r>
        <w:rPr>
          <w:rFonts w:ascii="Calibri" w:hAnsi="Calibri"/>
          <w:spacing w:val="-5"/>
          <w:sz w:val="22"/>
        </w:rPr>
        <w:t>88)</w:t>
      </w:r>
    </w:p>
    <w:p>
      <w:pPr>
        <w:spacing w:line="259" w:lineRule="auto" w:before="21"/>
        <w:ind w:left="1440" w:right="5182" w:firstLine="0"/>
        <w:jc w:val="left"/>
        <w:rPr>
          <w:rFonts w:ascii="Calibri" w:hAnsi="Calibri"/>
          <w:sz w:val="22"/>
        </w:rPr>
      </w:pPr>
      <w:r>
        <w:rPr>
          <w:rFonts w:ascii="Calibri" w:hAnsi="Calibri"/>
          <w:sz w:val="22"/>
        </w:rPr>
        <w:t>Information</w:t>
      </w:r>
      <w:r>
        <w:rPr>
          <w:rFonts w:ascii="Calibri" w:hAnsi="Calibri"/>
          <w:spacing w:val="-4"/>
          <w:sz w:val="22"/>
        </w:rPr>
        <w:t> </w:t>
      </w:r>
      <w:r>
        <w:rPr>
          <w:rFonts w:ascii="Calibri" w:hAnsi="Calibri"/>
          <w:sz w:val="22"/>
        </w:rPr>
        <w:t>Technology,</w:t>
      </w:r>
      <w:r>
        <w:rPr>
          <w:rFonts w:ascii="Calibri" w:hAnsi="Calibri"/>
          <w:spacing w:val="-5"/>
          <w:sz w:val="22"/>
        </w:rPr>
        <w:t> </w:t>
      </w:r>
      <w:r>
        <w:rPr>
          <w:rFonts w:ascii="Calibri" w:hAnsi="Calibri"/>
          <w:sz w:val="22"/>
        </w:rPr>
        <w:t>the</w:t>
      </w:r>
      <w:r>
        <w:rPr>
          <w:rFonts w:ascii="Calibri" w:hAnsi="Calibri"/>
          <w:spacing w:val="-5"/>
          <w:sz w:val="22"/>
        </w:rPr>
        <w:t> </w:t>
      </w:r>
      <w:r>
        <w:rPr>
          <w:rFonts w:ascii="Calibri" w:hAnsi="Calibri"/>
          <w:sz w:val="22"/>
        </w:rPr>
        <w:t>intranet</w:t>
      </w:r>
      <w:r>
        <w:rPr>
          <w:rFonts w:ascii="Calibri" w:hAnsi="Calibri"/>
          <w:spacing w:val="-5"/>
          <w:sz w:val="22"/>
        </w:rPr>
        <w:t> </w:t>
      </w:r>
      <w:r>
        <w:rPr>
          <w:rFonts w:ascii="Calibri" w:hAnsi="Calibri"/>
          <w:sz w:val="22"/>
        </w:rPr>
        <w:t>and</w:t>
      </w:r>
      <w:r>
        <w:rPr>
          <w:rFonts w:ascii="Calibri" w:hAnsi="Calibri"/>
          <w:spacing w:val="-4"/>
          <w:sz w:val="22"/>
        </w:rPr>
        <w:t> </w:t>
      </w:r>
      <w:r>
        <w:rPr>
          <w:rFonts w:ascii="Calibri" w:hAnsi="Calibri"/>
          <w:sz w:val="22"/>
        </w:rPr>
        <w:t>apps</w:t>
      </w:r>
      <w:r>
        <w:rPr>
          <w:rFonts w:ascii="Calibri" w:hAnsi="Calibri"/>
          <w:spacing w:val="-4"/>
          <w:sz w:val="22"/>
        </w:rPr>
        <w:t> </w:t>
      </w:r>
      <w:r>
        <w:rPr>
          <w:rFonts w:ascii="Calibri" w:hAnsi="Calibri"/>
          <w:sz w:val="22"/>
        </w:rPr>
        <w:t>(89</w:t>
      </w:r>
      <w:r>
        <w:rPr>
          <w:rFonts w:ascii="Calibri" w:hAnsi="Calibri"/>
          <w:spacing w:val="-5"/>
          <w:sz w:val="22"/>
        </w:rPr>
        <w:t> </w:t>
      </w:r>
      <w:r>
        <w:rPr>
          <w:rFonts w:ascii="Calibri" w:hAnsi="Calibri"/>
          <w:sz w:val="22"/>
        </w:rPr>
        <w:t>–</w:t>
      </w:r>
      <w:r>
        <w:rPr>
          <w:rFonts w:ascii="Calibri" w:hAnsi="Calibri"/>
          <w:spacing w:val="-5"/>
          <w:sz w:val="22"/>
        </w:rPr>
        <w:t> </w:t>
      </w:r>
      <w:r>
        <w:rPr>
          <w:rFonts w:ascii="Calibri" w:hAnsi="Calibri"/>
          <w:sz w:val="22"/>
        </w:rPr>
        <w:t>95) Developing Welsh language skills (Standards 96 – 105) Recruiting and appointing (Standards 106 – 109)</w:t>
      </w:r>
    </w:p>
    <w:p>
      <w:pPr>
        <w:spacing w:line="268" w:lineRule="exact" w:before="0"/>
        <w:ind w:left="1440" w:right="0" w:firstLine="0"/>
        <w:jc w:val="left"/>
        <w:rPr>
          <w:rFonts w:ascii="Calibri" w:hAnsi="Calibri"/>
          <w:sz w:val="22"/>
        </w:rPr>
      </w:pPr>
      <w:r>
        <w:rPr>
          <w:rFonts w:ascii="Calibri" w:hAnsi="Calibri"/>
          <w:sz w:val="22"/>
        </w:rPr>
        <w:t>Signage</w:t>
      </w:r>
      <w:r>
        <w:rPr>
          <w:rFonts w:ascii="Calibri" w:hAnsi="Calibri"/>
          <w:spacing w:val="-2"/>
          <w:sz w:val="22"/>
        </w:rPr>
        <w:t> </w:t>
      </w:r>
      <w:r>
        <w:rPr>
          <w:rFonts w:ascii="Calibri" w:hAnsi="Calibri"/>
          <w:sz w:val="22"/>
        </w:rPr>
        <w:t>and</w:t>
      </w:r>
      <w:r>
        <w:rPr>
          <w:rFonts w:ascii="Calibri" w:hAnsi="Calibri"/>
          <w:spacing w:val="-2"/>
          <w:sz w:val="22"/>
        </w:rPr>
        <w:t> </w:t>
      </w:r>
      <w:r>
        <w:rPr>
          <w:rFonts w:ascii="Calibri" w:hAnsi="Calibri"/>
          <w:sz w:val="22"/>
        </w:rPr>
        <w:t>notices in</w:t>
      </w:r>
      <w:r>
        <w:rPr>
          <w:rFonts w:ascii="Calibri" w:hAnsi="Calibri"/>
          <w:spacing w:val="-2"/>
          <w:sz w:val="22"/>
        </w:rPr>
        <w:t> </w:t>
      </w:r>
      <w:r>
        <w:rPr>
          <w:rFonts w:ascii="Calibri" w:hAnsi="Calibri"/>
          <w:sz w:val="22"/>
        </w:rPr>
        <w:t>the</w:t>
      </w:r>
      <w:r>
        <w:rPr>
          <w:rFonts w:ascii="Calibri" w:hAnsi="Calibri"/>
          <w:spacing w:val="-2"/>
          <w:sz w:val="22"/>
        </w:rPr>
        <w:t> </w:t>
      </w:r>
      <w:r>
        <w:rPr>
          <w:rFonts w:ascii="Calibri" w:hAnsi="Calibri"/>
          <w:sz w:val="22"/>
        </w:rPr>
        <w:t>workplace (Standards</w:t>
      </w:r>
      <w:r>
        <w:rPr>
          <w:rFonts w:ascii="Calibri" w:hAnsi="Calibri"/>
          <w:spacing w:val="-1"/>
          <w:sz w:val="22"/>
        </w:rPr>
        <w:t> </w:t>
      </w:r>
      <w:r>
        <w:rPr>
          <w:rFonts w:ascii="Calibri" w:hAnsi="Calibri"/>
          <w:sz w:val="22"/>
        </w:rPr>
        <w:t>111</w:t>
      </w:r>
      <w:r>
        <w:rPr>
          <w:rFonts w:ascii="Calibri" w:hAnsi="Calibri"/>
          <w:spacing w:val="-1"/>
          <w:sz w:val="22"/>
        </w:rPr>
        <w:t> </w:t>
      </w:r>
      <w:r>
        <w:rPr>
          <w:rFonts w:ascii="Calibri" w:hAnsi="Calibri"/>
          <w:sz w:val="22"/>
        </w:rPr>
        <w:t>–</w:t>
      </w:r>
      <w:r>
        <w:rPr>
          <w:rFonts w:ascii="Calibri" w:hAnsi="Calibri"/>
          <w:spacing w:val="-1"/>
          <w:sz w:val="22"/>
        </w:rPr>
        <w:t> </w:t>
      </w:r>
      <w:r>
        <w:rPr>
          <w:rFonts w:ascii="Calibri" w:hAnsi="Calibri"/>
          <w:spacing w:val="-4"/>
          <w:sz w:val="22"/>
        </w:rPr>
        <w:t>113)</w:t>
      </w:r>
    </w:p>
    <w:p>
      <w:pPr>
        <w:pStyle w:val="BodyText"/>
        <w:spacing w:before="6"/>
        <w:rPr>
          <w:rFonts w:ascii="Calibri"/>
          <w:sz w:val="25"/>
        </w:rPr>
      </w:pPr>
    </w:p>
    <w:p>
      <w:pPr>
        <w:pStyle w:val="Heading7"/>
      </w:pPr>
      <w:r>
        <w:rPr/>
        <w:t>Internal</w:t>
      </w:r>
      <w:r>
        <w:rPr>
          <w:spacing w:val="-2"/>
        </w:rPr>
        <w:t> Administration:</w:t>
      </w:r>
    </w:p>
    <w:p>
      <w:pPr>
        <w:spacing w:line="259" w:lineRule="auto" w:before="27"/>
        <w:ind w:left="1440" w:right="1899" w:firstLine="0"/>
        <w:jc w:val="both"/>
        <w:rPr>
          <w:rFonts w:ascii="Calibri" w:hAnsi="Calibri"/>
          <w:sz w:val="22"/>
        </w:rPr>
      </w:pPr>
      <w:r>
        <w:rPr>
          <w:rFonts w:ascii="Calibri" w:hAnsi="Calibri"/>
          <w:sz w:val="22"/>
        </w:rPr>
        <w:t>As</w:t>
      </w:r>
      <w:r>
        <w:rPr>
          <w:rFonts w:ascii="Calibri" w:hAnsi="Calibri"/>
          <w:spacing w:val="-3"/>
          <w:sz w:val="22"/>
        </w:rPr>
        <w:t> </w:t>
      </w:r>
      <w:r>
        <w:rPr>
          <w:rFonts w:ascii="Calibri" w:hAnsi="Calibri"/>
          <w:sz w:val="22"/>
        </w:rPr>
        <w:t>previously</w:t>
      </w:r>
      <w:r>
        <w:rPr>
          <w:rFonts w:ascii="Calibri" w:hAnsi="Calibri"/>
          <w:spacing w:val="-3"/>
          <w:sz w:val="22"/>
        </w:rPr>
        <w:t> </w:t>
      </w:r>
      <w:r>
        <w:rPr>
          <w:rFonts w:ascii="Calibri" w:hAnsi="Calibri"/>
          <w:sz w:val="22"/>
        </w:rPr>
        <w:t>mentioned,</w:t>
      </w:r>
      <w:r>
        <w:rPr>
          <w:rFonts w:ascii="Calibri" w:hAnsi="Calibri"/>
          <w:spacing w:val="-4"/>
          <w:sz w:val="22"/>
        </w:rPr>
        <w:t> </w:t>
      </w:r>
      <w:r>
        <w:rPr>
          <w:rFonts w:ascii="Calibri" w:hAnsi="Calibri"/>
          <w:sz w:val="22"/>
        </w:rPr>
        <w:t>there</w:t>
      </w:r>
      <w:r>
        <w:rPr>
          <w:rFonts w:ascii="Calibri" w:hAnsi="Calibri"/>
          <w:spacing w:val="-4"/>
          <w:sz w:val="22"/>
        </w:rPr>
        <w:t> </w:t>
      </w:r>
      <w:r>
        <w:rPr>
          <w:rFonts w:ascii="Calibri" w:hAnsi="Calibri"/>
          <w:sz w:val="22"/>
        </w:rPr>
        <w:t>are</w:t>
      </w:r>
      <w:r>
        <w:rPr>
          <w:rFonts w:ascii="Calibri" w:hAnsi="Calibri"/>
          <w:spacing w:val="-4"/>
          <w:sz w:val="22"/>
        </w:rPr>
        <w:t> </w:t>
      </w:r>
      <w:r>
        <w:rPr>
          <w:rFonts w:ascii="Calibri" w:hAnsi="Calibri"/>
          <w:sz w:val="22"/>
        </w:rPr>
        <w:t>designated</w:t>
      </w:r>
      <w:r>
        <w:rPr>
          <w:rFonts w:ascii="Calibri" w:hAnsi="Calibri"/>
          <w:spacing w:val="-4"/>
          <w:sz w:val="22"/>
        </w:rPr>
        <w:t> </w:t>
      </w:r>
      <w:r>
        <w:rPr>
          <w:rFonts w:ascii="Calibri" w:hAnsi="Calibri"/>
          <w:sz w:val="22"/>
        </w:rPr>
        <w:t>pages</w:t>
      </w:r>
      <w:r>
        <w:rPr>
          <w:rFonts w:ascii="Calibri" w:hAnsi="Calibri"/>
          <w:spacing w:val="-3"/>
          <w:sz w:val="22"/>
        </w:rPr>
        <w:t> </w:t>
      </w:r>
      <w:r>
        <w:rPr>
          <w:rFonts w:ascii="Calibri" w:hAnsi="Calibri"/>
          <w:sz w:val="22"/>
        </w:rPr>
        <w:t>on</w:t>
      </w:r>
      <w:r>
        <w:rPr>
          <w:rFonts w:ascii="Calibri" w:hAnsi="Calibri"/>
          <w:spacing w:val="-3"/>
          <w:sz w:val="22"/>
        </w:rPr>
        <w:t> </w:t>
      </w:r>
      <w:r>
        <w:rPr>
          <w:rFonts w:ascii="Calibri" w:hAnsi="Calibri"/>
          <w:sz w:val="22"/>
        </w:rPr>
        <w:t>the</w:t>
      </w:r>
      <w:r>
        <w:rPr>
          <w:rFonts w:ascii="Calibri" w:hAnsi="Calibri"/>
          <w:spacing w:val="-3"/>
          <w:sz w:val="22"/>
        </w:rPr>
        <w:t> </w:t>
      </w:r>
      <w:r>
        <w:rPr>
          <w:rFonts w:ascii="Calibri" w:hAnsi="Calibri"/>
          <w:sz w:val="22"/>
        </w:rPr>
        <w:t>organisation’s</w:t>
      </w:r>
      <w:r>
        <w:rPr>
          <w:rFonts w:ascii="Calibri" w:hAnsi="Calibri"/>
          <w:spacing w:val="-4"/>
          <w:sz w:val="22"/>
        </w:rPr>
        <w:t> </w:t>
      </w:r>
      <w:r>
        <w:rPr>
          <w:rFonts w:ascii="Calibri" w:hAnsi="Calibri"/>
          <w:sz w:val="22"/>
        </w:rPr>
        <w:t>intranet</w:t>
      </w:r>
      <w:r>
        <w:rPr>
          <w:rFonts w:ascii="Calibri" w:hAnsi="Calibri"/>
          <w:spacing w:val="-4"/>
          <w:sz w:val="22"/>
        </w:rPr>
        <w:t> </w:t>
      </w:r>
      <w:r>
        <w:rPr>
          <w:rFonts w:ascii="Calibri" w:hAnsi="Calibri"/>
          <w:sz w:val="22"/>
        </w:rPr>
        <w:t>page</w:t>
      </w:r>
      <w:r>
        <w:rPr>
          <w:rFonts w:ascii="Calibri" w:hAnsi="Calibri"/>
          <w:spacing w:val="-4"/>
          <w:sz w:val="22"/>
        </w:rPr>
        <w:t> </w:t>
      </w:r>
      <w:r>
        <w:rPr>
          <w:rFonts w:ascii="Calibri" w:hAnsi="Calibri"/>
          <w:sz w:val="22"/>
        </w:rPr>
        <w:t>on</w:t>
      </w:r>
      <w:r>
        <w:rPr>
          <w:rFonts w:ascii="Calibri" w:hAnsi="Calibri"/>
          <w:spacing w:val="-4"/>
          <w:sz w:val="22"/>
        </w:rPr>
        <w:t> </w:t>
      </w:r>
      <w:r>
        <w:rPr>
          <w:rFonts w:ascii="Calibri" w:hAnsi="Calibri"/>
          <w:sz w:val="22"/>
        </w:rPr>
        <w:t>the internal use of the Welsh language that staff can access to promote and increase the use of the Welsh language at work.</w:t>
      </w:r>
    </w:p>
    <w:p>
      <w:pPr>
        <w:pStyle w:val="BodyText"/>
        <w:spacing w:before="8"/>
        <w:rPr>
          <w:rFonts w:ascii="Calibri"/>
          <w:sz w:val="23"/>
        </w:rPr>
      </w:pPr>
    </w:p>
    <w:p>
      <w:pPr>
        <w:spacing w:line="259" w:lineRule="auto" w:before="0"/>
        <w:ind w:left="1440" w:right="1471" w:firstLine="0"/>
        <w:jc w:val="left"/>
        <w:rPr>
          <w:rFonts w:ascii="Calibri"/>
          <w:sz w:val="22"/>
        </w:rPr>
      </w:pPr>
      <w:r>
        <w:rPr>
          <w:rFonts w:ascii="Calibri"/>
          <w:sz w:val="22"/>
        </w:rPr>
        <w:t>Documentation relating to staff employment as well as documentation such as performance objective setting, and career planning documents are available bilingually. All Wales policies such as Behaviour in the workplace, Absence from work and Health and well-being at work are available in both</w:t>
      </w:r>
      <w:r>
        <w:rPr>
          <w:rFonts w:ascii="Calibri"/>
          <w:spacing w:val="-2"/>
          <w:sz w:val="22"/>
        </w:rPr>
        <w:t> </w:t>
      </w:r>
      <w:r>
        <w:rPr>
          <w:rFonts w:ascii="Calibri"/>
          <w:sz w:val="22"/>
        </w:rPr>
        <w:t>Welsh</w:t>
      </w:r>
      <w:r>
        <w:rPr>
          <w:rFonts w:ascii="Calibri"/>
          <w:spacing w:val="-3"/>
          <w:sz w:val="22"/>
        </w:rPr>
        <w:t> </w:t>
      </w:r>
      <w:r>
        <w:rPr>
          <w:rFonts w:ascii="Calibri"/>
          <w:sz w:val="22"/>
        </w:rPr>
        <w:t>and</w:t>
      </w:r>
      <w:r>
        <w:rPr>
          <w:rFonts w:ascii="Calibri"/>
          <w:spacing w:val="-3"/>
          <w:sz w:val="22"/>
        </w:rPr>
        <w:t> </w:t>
      </w:r>
      <w:r>
        <w:rPr>
          <w:rFonts w:ascii="Calibri"/>
          <w:sz w:val="22"/>
        </w:rPr>
        <w:t>English</w:t>
      </w:r>
      <w:r>
        <w:rPr>
          <w:rFonts w:ascii="Calibri"/>
          <w:spacing w:val="-3"/>
          <w:sz w:val="22"/>
        </w:rPr>
        <w:t> </w:t>
      </w:r>
      <w:r>
        <w:rPr>
          <w:rFonts w:ascii="Calibri"/>
          <w:sz w:val="22"/>
        </w:rPr>
        <w:t>and</w:t>
      </w:r>
      <w:r>
        <w:rPr>
          <w:rFonts w:ascii="Calibri"/>
          <w:spacing w:val="-3"/>
          <w:sz w:val="22"/>
        </w:rPr>
        <w:t> </w:t>
      </w:r>
      <w:r>
        <w:rPr>
          <w:rFonts w:ascii="Calibri"/>
          <w:sz w:val="22"/>
        </w:rPr>
        <w:t>published</w:t>
      </w:r>
      <w:r>
        <w:rPr>
          <w:rFonts w:ascii="Calibri"/>
          <w:spacing w:val="-2"/>
          <w:sz w:val="22"/>
        </w:rPr>
        <w:t> </w:t>
      </w:r>
      <w:r>
        <w:rPr>
          <w:rFonts w:ascii="Calibri"/>
          <w:sz w:val="22"/>
        </w:rPr>
        <w:t>on</w:t>
      </w:r>
      <w:r>
        <w:rPr>
          <w:rFonts w:ascii="Calibri"/>
          <w:spacing w:val="-2"/>
          <w:sz w:val="22"/>
        </w:rPr>
        <w:t> </w:t>
      </w:r>
      <w:r>
        <w:rPr>
          <w:rFonts w:ascii="Calibri"/>
          <w:sz w:val="22"/>
        </w:rPr>
        <w:t>intranet.</w:t>
      </w:r>
      <w:r>
        <w:rPr>
          <w:rFonts w:ascii="Calibri"/>
          <w:spacing w:val="80"/>
          <w:sz w:val="22"/>
        </w:rPr>
        <w:t> </w:t>
      </w:r>
      <w:r>
        <w:rPr>
          <w:rFonts w:ascii="Calibri"/>
          <w:sz w:val="22"/>
        </w:rPr>
        <w:t>The</w:t>
      </w:r>
      <w:r>
        <w:rPr>
          <w:rFonts w:ascii="Calibri"/>
          <w:spacing w:val="-3"/>
          <w:sz w:val="22"/>
        </w:rPr>
        <w:t> </w:t>
      </w:r>
      <w:r>
        <w:rPr>
          <w:rFonts w:ascii="Calibri"/>
          <w:sz w:val="22"/>
        </w:rPr>
        <w:t>Welsh</w:t>
      </w:r>
      <w:r>
        <w:rPr>
          <w:rFonts w:ascii="Calibri"/>
          <w:spacing w:val="-3"/>
          <w:sz w:val="22"/>
        </w:rPr>
        <w:t> </w:t>
      </w:r>
      <w:r>
        <w:rPr>
          <w:rFonts w:ascii="Calibri"/>
          <w:sz w:val="22"/>
        </w:rPr>
        <w:t>Language</w:t>
      </w:r>
      <w:r>
        <w:rPr>
          <w:rFonts w:ascii="Calibri"/>
          <w:spacing w:val="-3"/>
          <w:sz w:val="22"/>
        </w:rPr>
        <w:t> </w:t>
      </w:r>
      <w:r>
        <w:rPr>
          <w:rFonts w:ascii="Calibri"/>
          <w:sz w:val="22"/>
        </w:rPr>
        <w:t>Services</w:t>
      </w:r>
      <w:r>
        <w:rPr>
          <w:rFonts w:ascii="Calibri"/>
          <w:spacing w:val="-2"/>
          <w:sz w:val="22"/>
        </w:rPr>
        <w:t> </w:t>
      </w:r>
      <w:r>
        <w:rPr>
          <w:rFonts w:ascii="Calibri"/>
          <w:sz w:val="22"/>
        </w:rPr>
        <w:t>Manager</w:t>
      </w:r>
      <w:r>
        <w:rPr>
          <w:rFonts w:ascii="Calibri"/>
          <w:spacing w:val="-3"/>
          <w:sz w:val="22"/>
        </w:rPr>
        <w:t> </w:t>
      </w:r>
      <w:r>
        <w:rPr>
          <w:rFonts w:ascii="Calibri"/>
          <w:sz w:val="22"/>
        </w:rPr>
        <w:t>has</w:t>
      </w:r>
      <w:r>
        <w:rPr>
          <w:rFonts w:ascii="Calibri"/>
          <w:spacing w:val="-3"/>
          <w:sz w:val="22"/>
        </w:rPr>
        <w:t> </w:t>
      </w:r>
      <w:r>
        <w:rPr>
          <w:rFonts w:ascii="Calibri"/>
          <w:sz w:val="22"/>
        </w:rPr>
        <w:t>been supporting NHS Employers Wales on bilingual matters and translation support for all Wales policies.</w:t>
      </w:r>
    </w:p>
    <w:p>
      <w:pPr>
        <w:spacing w:after="0" w:line="259" w:lineRule="auto"/>
        <w:jc w:val="left"/>
        <w:rPr>
          <w:rFonts w:ascii="Calibri"/>
          <w:sz w:val="22"/>
        </w:rPr>
        <w:sectPr>
          <w:pgSz w:w="11910" w:h="16840"/>
          <w:pgMar w:header="0" w:footer="173" w:top="1380" w:bottom="360" w:left="0" w:right="0"/>
        </w:sectPr>
      </w:pPr>
    </w:p>
    <w:p>
      <w:pPr>
        <w:pStyle w:val="Heading7"/>
        <w:spacing w:before="22"/>
      </w:pPr>
      <w:r>
        <w:rPr/>
        <w:t>Technology,</w:t>
      </w:r>
      <w:r>
        <w:rPr>
          <w:spacing w:val="-3"/>
        </w:rPr>
        <w:t> </w:t>
      </w:r>
      <w:r>
        <w:rPr/>
        <w:t>Intranet</w:t>
      </w:r>
      <w:r>
        <w:rPr>
          <w:spacing w:val="-3"/>
        </w:rPr>
        <w:t> </w:t>
      </w:r>
      <w:r>
        <w:rPr/>
        <w:t>and</w:t>
      </w:r>
      <w:r>
        <w:rPr>
          <w:spacing w:val="-3"/>
        </w:rPr>
        <w:t> </w:t>
      </w:r>
      <w:r>
        <w:rPr>
          <w:spacing w:val="-2"/>
        </w:rPr>
        <w:t>Apps.</w:t>
      </w:r>
    </w:p>
    <w:p>
      <w:pPr>
        <w:spacing w:line="259" w:lineRule="auto" w:before="27"/>
        <w:ind w:left="1440" w:right="3184" w:firstLine="0"/>
        <w:jc w:val="left"/>
        <w:rPr>
          <w:rFonts w:ascii="Calibri"/>
          <w:sz w:val="22"/>
        </w:rPr>
      </w:pPr>
      <w:r>
        <w:rPr>
          <w:rFonts w:ascii="Calibri"/>
          <w:sz w:val="22"/>
        </w:rPr>
        <w:t>The intranet pages outlined in our compliance notice are available in Welsh. There</w:t>
      </w:r>
      <w:r>
        <w:rPr>
          <w:rFonts w:ascii="Calibri"/>
          <w:spacing w:val="-3"/>
          <w:sz w:val="22"/>
        </w:rPr>
        <w:t> </w:t>
      </w:r>
      <w:r>
        <w:rPr>
          <w:rFonts w:ascii="Calibri"/>
          <w:sz w:val="22"/>
        </w:rPr>
        <w:t>is</w:t>
      </w:r>
      <w:r>
        <w:rPr>
          <w:rFonts w:ascii="Calibri"/>
          <w:spacing w:val="-4"/>
          <w:sz w:val="22"/>
        </w:rPr>
        <w:t> </w:t>
      </w:r>
      <w:r>
        <w:rPr>
          <w:rFonts w:ascii="Calibri"/>
          <w:sz w:val="22"/>
        </w:rPr>
        <w:t>a</w:t>
      </w:r>
      <w:r>
        <w:rPr>
          <w:rFonts w:ascii="Calibri"/>
          <w:spacing w:val="-4"/>
          <w:sz w:val="22"/>
        </w:rPr>
        <w:t> </w:t>
      </w:r>
      <w:r>
        <w:rPr>
          <w:rFonts w:ascii="Calibri"/>
          <w:sz w:val="22"/>
        </w:rPr>
        <w:t>Welsh</w:t>
      </w:r>
      <w:r>
        <w:rPr>
          <w:rFonts w:ascii="Calibri"/>
          <w:spacing w:val="-3"/>
          <w:sz w:val="22"/>
        </w:rPr>
        <w:t> </w:t>
      </w:r>
      <w:r>
        <w:rPr>
          <w:rFonts w:ascii="Calibri"/>
          <w:sz w:val="22"/>
        </w:rPr>
        <w:t>language</w:t>
      </w:r>
      <w:r>
        <w:rPr>
          <w:rFonts w:ascii="Calibri"/>
          <w:spacing w:val="-3"/>
          <w:sz w:val="22"/>
        </w:rPr>
        <w:t> </w:t>
      </w:r>
      <w:r>
        <w:rPr>
          <w:rFonts w:ascii="Calibri"/>
          <w:sz w:val="22"/>
        </w:rPr>
        <w:t>support</w:t>
      </w:r>
      <w:r>
        <w:rPr>
          <w:rFonts w:ascii="Calibri"/>
          <w:spacing w:val="-3"/>
          <w:sz w:val="22"/>
        </w:rPr>
        <w:t> </w:t>
      </w:r>
      <w:r>
        <w:rPr>
          <w:rFonts w:ascii="Calibri"/>
          <w:sz w:val="22"/>
        </w:rPr>
        <w:t>page</w:t>
      </w:r>
      <w:r>
        <w:rPr>
          <w:rFonts w:ascii="Calibri"/>
          <w:spacing w:val="-3"/>
          <w:sz w:val="22"/>
        </w:rPr>
        <w:t> </w:t>
      </w:r>
      <w:r>
        <w:rPr>
          <w:rFonts w:ascii="Calibri"/>
          <w:sz w:val="22"/>
        </w:rPr>
        <w:t>for</w:t>
      </w:r>
      <w:r>
        <w:rPr>
          <w:rFonts w:ascii="Calibri"/>
          <w:spacing w:val="-4"/>
          <w:sz w:val="22"/>
        </w:rPr>
        <w:t> </w:t>
      </w:r>
      <w:r>
        <w:rPr>
          <w:rFonts w:ascii="Calibri"/>
          <w:sz w:val="22"/>
        </w:rPr>
        <w:t>staff</w:t>
      </w:r>
      <w:r>
        <w:rPr>
          <w:rFonts w:ascii="Calibri"/>
          <w:spacing w:val="-4"/>
          <w:sz w:val="22"/>
        </w:rPr>
        <w:t> </w:t>
      </w:r>
      <w:r>
        <w:rPr>
          <w:rFonts w:ascii="Calibri"/>
          <w:sz w:val="22"/>
        </w:rPr>
        <w:t>to</w:t>
      </w:r>
      <w:r>
        <w:rPr>
          <w:rFonts w:ascii="Calibri"/>
          <w:spacing w:val="-3"/>
          <w:sz w:val="22"/>
        </w:rPr>
        <w:t> </w:t>
      </w:r>
      <w:r>
        <w:rPr>
          <w:rFonts w:ascii="Calibri"/>
          <w:sz w:val="22"/>
        </w:rPr>
        <w:t>access</w:t>
      </w:r>
      <w:r>
        <w:rPr>
          <w:rFonts w:ascii="Calibri"/>
          <w:spacing w:val="-4"/>
          <w:sz w:val="22"/>
        </w:rPr>
        <w:t> </w:t>
      </w:r>
      <w:r>
        <w:rPr>
          <w:rFonts w:ascii="Calibri"/>
          <w:sz w:val="22"/>
        </w:rPr>
        <w:t>on</w:t>
      </w:r>
      <w:r>
        <w:rPr>
          <w:rFonts w:ascii="Calibri"/>
          <w:spacing w:val="-3"/>
          <w:sz w:val="22"/>
        </w:rPr>
        <w:t> </w:t>
      </w:r>
      <w:r>
        <w:rPr>
          <w:rFonts w:ascii="Calibri"/>
          <w:sz w:val="22"/>
        </w:rPr>
        <w:t>our</w:t>
      </w:r>
      <w:r>
        <w:rPr>
          <w:rFonts w:ascii="Calibri"/>
          <w:spacing w:val="-4"/>
          <w:sz w:val="22"/>
        </w:rPr>
        <w:t> </w:t>
      </w:r>
      <w:r>
        <w:rPr>
          <w:rFonts w:ascii="Calibri"/>
          <w:sz w:val="22"/>
        </w:rPr>
        <w:t>intranet</w:t>
      </w:r>
      <w:r>
        <w:rPr>
          <w:rFonts w:ascii="Calibri"/>
          <w:spacing w:val="-3"/>
          <w:sz w:val="22"/>
        </w:rPr>
        <w:t> </w:t>
      </w:r>
      <w:r>
        <w:rPr>
          <w:rFonts w:ascii="Calibri"/>
          <w:sz w:val="22"/>
        </w:rPr>
        <w:t>site.</w:t>
      </w:r>
    </w:p>
    <w:p>
      <w:pPr>
        <w:spacing w:line="259" w:lineRule="auto" w:before="0"/>
        <w:ind w:left="1440" w:right="1405" w:firstLine="0"/>
        <w:jc w:val="left"/>
        <w:rPr>
          <w:rFonts w:ascii="Calibri"/>
          <w:sz w:val="22"/>
        </w:rPr>
      </w:pPr>
      <w:r>
        <w:rPr>
          <w:rFonts w:ascii="Calibri"/>
          <w:sz w:val="22"/>
        </w:rPr>
        <w:t>A</w:t>
      </w:r>
      <w:r>
        <w:rPr>
          <w:rFonts w:ascii="Calibri"/>
          <w:spacing w:val="-2"/>
          <w:sz w:val="22"/>
        </w:rPr>
        <w:t> </w:t>
      </w:r>
      <w:r>
        <w:rPr>
          <w:rFonts w:ascii="Calibri"/>
          <w:sz w:val="22"/>
        </w:rPr>
        <w:t>review</w:t>
      </w:r>
      <w:r>
        <w:rPr>
          <w:rFonts w:ascii="Calibri"/>
          <w:spacing w:val="-2"/>
          <w:sz w:val="22"/>
        </w:rPr>
        <w:t> </w:t>
      </w:r>
      <w:r>
        <w:rPr>
          <w:rFonts w:ascii="Calibri"/>
          <w:sz w:val="22"/>
        </w:rPr>
        <w:t>of</w:t>
      </w:r>
      <w:r>
        <w:rPr>
          <w:rFonts w:ascii="Calibri"/>
          <w:spacing w:val="-3"/>
          <w:sz w:val="22"/>
        </w:rPr>
        <w:t> </w:t>
      </w:r>
      <w:r>
        <w:rPr>
          <w:rFonts w:ascii="Calibri"/>
          <w:sz w:val="22"/>
        </w:rPr>
        <w:t>the</w:t>
      </w:r>
      <w:r>
        <w:rPr>
          <w:rFonts w:ascii="Calibri"/>
          <w:spacing w:val="-3"/>
          <w:sz w:val="22"/>
        </w:rPr>
        <w:t> </w:t>
      </w:r>
      <w:r>
        <w:rPr>
          <w:rFonts w:ascii="Calibri"/>
          <w:sz w:val="22"/>
        </w:rPr>
        <w:t>People</w:t>
      </w:r>
      <w:r>
        <w:rPr>
          <w:rFonts w:ascii="Calibri"/>
          <w:spacing w:val="-3"/>
          <w:sz w:val="22"/>
        </w:rPr>
        <w:t> </w:t>
      </w:r>
      <w:r>
        <w:rPr>
          <w:rFonts w:ascii="Calibri"/>
          <w:sz w:val="22"/>
        </w:rPr>
        <w:t>and</w:t>
      </w:r>
      <w:r>
        <w:rPr>
          <w:rFonts w:ascii="Calibri"/>
          <w:spacing w:val="-3"/>
          <w:sz w:val="22"/>
        </w:rPr>
        <w:t> </w:t>
      </w:r>
      <w:r>
        <w:rPr>
          <w:rFonts w:ascii="Calibri"/>
          <w:sz w:val="22"/>
        </w:rPr>
        <w:t>Organisational</w:t>
      </w:r>
      <w:r>
        <w:rPr>
          <w:rFonts w:ascii="Calibri"/>
          <w:spacing w:val="-3"/>
          <w:sz w:val="22"/>
        </w:rPr>
        <w:t> </w:t>
      </w:r>
      <w:r>
        <w:rPr>
          <w:rFonts w:ascii="Calibri"/>
          <w:sz w:val="22"/>
        </w:rPr>
        <w:t>Development</w:t>
      </w:r>
      <w:r>
        <w:rPr>
          <w:rFonts w:ascii="Calibri"/>
          <w:spacing w:val="-2"/>
          <w:sz w:val="22"/>
        </w:rPr>
        <w:t> </w:t>
      </w:r>
      <w:r>
        <w:rPr>
          <w:rFonts w:ascii="Calibri"/>
          <w:sz w:val="22"/>
        </w:rPr>
        <w:t>pages</w:t>
      </w:r>
      <w:r>
        <w:rPr>
          <w:rFonts w:ascii="Calibri"/>
          <w:spacing w:val="-2"/>
          <w:sz w:val="22"/>
        </w:rPr>
        <w:t> </w:t>
      </w:r>
      <w:r>
        <w:rPr>
          <w:rFonts w:ascii="Calibri"/>
          <w:sz w:val="22"/>
        </w:rPr>
        <w:t>will</w:t>
      </w:r>
      <w:r>
        <w:rPr>
          <w:rFonts w:ascii="Calibri"/>
          <w:spacing w:val="-2"/>
          <w:sz w:val="22"/>
        </w:rPr>
        <w:t> </w:t>
      </w:r>
      <w:r>
        <w:rPr>
          <w:rFonts w:ascii="Calibri"/>
          <w:sz w:val="22"/>
        </w:rPr>
        <w:t>be</w:t>
      </w:r>
      <w:r>
        <w:rPr>
          <w:rFonts w:ascii="Calibri"/>
          <w:spacing w:val="-3"/>
          <w:sz w:val="22"/>
        </w:rPr>
        <w:t> </w:t>
      </w:r>
      <w:r>
        <w:rPr>
          <w:rFonts w:ascii="Calibri"/>
          <w:sz w:val="22"/>
        </w:rPr>
        <w:t>undertaken</w:t>
      </w:r>
      <w:r>
        <w:rPr>
          <w:rFonts w:ascii="Calibri"/>
          <w:spacing w:val="-2"/>
          <w:sz w:val="22"/>
        </w:rPr>
        <w:t> </w:t>
      </w:r>
      <w:r>
        <w:rPr>
          <w:rFonts w:ascii="Calibri"/>
          <w:sz w:val="22"/>
        </w:rPr>
        <w:t>in</w:t>
      </w:r>
      <w:r>
        <w:rPr>
          <w:rFonts w:ascii="Calibri"/>
          <w:spacing w:val="-2"/>
          <w:sz w:val="22"/>
        </w:rPr>
        <w:t> </w:t>
      </w:r>
      <w:r>
        <w:rPr>
          <w:rFonts w:ascii="Calibri"/>
          <w:sz w:val="22"/>
        </w:rPr>
        <w:t>2022/23</w:t>
      </w:r>
      <w:r>
        <w:rPr>
          <w:rFonts w:ascii="Calibri"/>
          <w:spacing w:val="-2"/>
          <w:sz w:val="22"/>
        </w:rPr>
        <w:t> </w:t>
      </w:r>
      <w:r>
        <w:rPr>
          <w:rFonts w:ascii="Calibri"/>
          <w:sz w:val="22"/>
        </w:rPr>
        <w:t>to ensure that any new policies/reviewed policies are available through the medium of Welsh.</w:t>
      </w:r>
    </w:p>
    <w:p>
      <w:pPr>
        <w:pStyle w:val="BodyText"/>
        <w:spacing w:before="8"/>
        <w:rPr>
          <w:rFonts w:ascii="Calibri"/>
          <w:sz w:val="23"/>
        </w:rPr>
      </w:pPr>
    </w:p>
    <w:p>
      <w:pPr>
        <w:spacing w:line="259" w:lineRule="auto" w:before="0"/>
        <w:ind w:left="1440" w:right="1405" w:firstLine="0"/>
        <w:jc w:val="left"/>
        <w:rPr>
          <w:rFonts w:ascii="Calibri"/>
          <w:sz w:val="22"/>
        </w:rPr>
      </w:pPr>
      <w:r>
        <w:rPr>
          <w:rFonts w:ascii="Calibri"/>
          <w:sz w:val="22"/>
        </w:rPr>
        <w:t>Cysgliad</w:t>
      </w:r>
      <w:r>
        <w:rPr>
          <w:rFonts w:ascii="Calibri"/>
          <w:spacing w:val="-3"/>
          <w:sz w:val="22"/>
        </w:rPr>
        <w:t> </w:t>
      </w:r>
      <w:r>
        <w:rPr>
          <w:rFonts w:ascii="Calibri"/>
          <w:sz w:val="22"/>
        </w:rPr>
        <w:t>is</w:t>
      </w:r>
      <w:r>
        <w:rPr>
          <w:rFonts w:ascii="Calibri"/>
          <w:spacing w:val="-3"/>
          <w:sz w:val="22"/>
        </w:rPr>
        <w:t> </w:t>
      </w:r>
      <w:r>
        <w:rPr>
          <w:rFonts w:ascii="Calibri"/>
          <w:sz w:val="22"/>
        </w:rPr>
        <w:t>available</w:t>
      </w:r>
      <w:r>
        <w:rPr>
          <w:rFonts w:ascii="Calibri"/>
          <w:spacing w:val="-3"/>
          <w:sz w:val="22"/>
        </w:rPr>
        <w:t> </w:t>
      </w:r>
      <w:r>
        <w:rPr>
          <w:rFonts w:ascii="Calibri"/>
          <w:sz w:val="22"/>
        </w:rPr>
        <w:t>to</w:t>
      </w:r>
      <w:r>
        <w:rPr>
          <w:rFonts w:ascii="Calibri"/>
          <w:spacing w:val="-2"/>
          <w:sz w:val="22"/>
        </w:rPr>
        <w:t> </w:t>
      </w:r>
      <w:r>
        <w:rPr>
          <w:rFonts w:ascii="Calibri"/>
          <w:sz w:val="22"/>
        </w:rPr>
        <w:t>all</w:t>
      </w:r>
      <w:r>
        <w:rPr>
          <w:rFonts w:ascii="Calibri"/>
          <w:spacing w:val="-3"/>
          <w:sz w:val="22"/>
        </w:rPr>
        <w:t> </w:t>
      </w:r>
      <w:r>
        <w:rPr>
          <w:rFonts w:ascii="Calibri"/>
          <w:sz w:val="22"/>
        </w:rPr>
        <w:t>staff</w:t>
      </w:r>
      <w:r>
        <w:rPr>
          <w:rFonts w:ascii="Calibri"/>
          <w:spacing w:val="-2"/>
          <w:sz w:val="22"/>
        </w:rPr>
        <w:t> </w:t>
      </w:r>
      <w:r>
        <w:rPr>
          <w:rFonts w:ascii="Calibri"/>
          <w:sz w:val="22"/>
        </w:rPr>
        <w:t>to</w:t>
      </w:r>
      <w:r>
        <w:rPr>
          <w:rFonts w:ascii="Calibri"/>
          <w:spacing w:val="-2"/>
          <w:sz w:val="22"/>
        </w:rPr>
        <w:t> </w:t>
      </w:r>
      <w:r>
        <w:rPr>
          <w:rFonts w:ascii="Calibri"/>
          <w:sz w:val="22"/>
        </w:rPr>
        <w:t>download</w:t>
      </w:r>
      <w:r>
        <w:rPr>
          <w:rFonts w:ascii="Calibri"/>
          <w:spacing w:val="-2"/>
          <w:sz w:val="22"/>
        </w:rPr>
        <w:t> </w:t>
      </w:r>
      <w:r>
        <w:rPr>
          <w:rFonts w:ascii="Calibri"/>
          <w:sz w:val="22"/>
        </w:rPr>
        <w:t>to</w:t>
      </w:r>
      <w:r>
        <w:rPr>
          <w:rFonts w:ascii="Calibri"/>
          <w:spacing w:val="-2"/>
          <w:sz w:val="22"/>
        </w:rPr>
        <w:t> </w:t>
      </w:r>
      <w:r>
        <w:rPr>
          <w:rFonts w:ascii="Calibri"/>
          <w:sz w:val="22"/>
        </w:rPr>
        <w:t>their</w:t>
      </w:r>
      <w:r>
        <w:rPr>
          <w:rFonts w:ascii="Calibri"/>
          <w:spacing w:val="-2"/>
          <w:sz w:val="22"/>
        </w:rPr>
        <w:t> </w:t>
      </w:r>
      <w:r>
        <w:rPr>
          <w:rFonts w:ascii="Calibri"/>
          <w:sz w:val="22"/>
        </w:rPr>
        <w:t>computers/laptops</w:t>
      </w:r>
      <w:r>
        <w:rPr>
          <w:rFonts w:ascii="Calibri"/>
          <w:spacing w:val="-3"/>
          <w:sz w:val="22"/>
        </w:rPr>
        <w:t> </w:t>
      </w:r>
      <w:r>
        <w:rPr>
          <w:rFonts w:ascii="Calibri"/>
          <w:sz w:val="22"/>
        </w:rPr>
        <w:t>and</w:t>
      </w:r>
      <w:r>
        <w:rPr>
          <w:rFonts w:ascii="Calibri"/>
          <w:spacing w:val="-3"/>
          <w:sz w:val="22"/>
        </w:rPr>
        <w:t> </w:t>
      </w:r>
      <w:r>
        <w:rPr>
          <w:rFonts w:ascii="Calibri"/>
          <w:sz w:val="22"/>
        </w:rPr>
        <w:t>the</w:t>
      </w:r>
      <w:r>
        <w:rPr>
          <w:rFonts w:ascii="Calibri"/>
          <w:spacing w:val="-2"/>
          <w:sz w:val="22"/>
        </w:rPr>
        <w:t> </w:t>
      </w:r>
      <w:r>
        <w:rPr>
          <w:rFonts w:ascii="Calibri"/>
          <w:sz w:val="22"/>
        </w:rPr>
        <w:t>use</w:t>
      </w:r>
      <w:r>
        <w:rPr>
          <w:rFonts w:ascii="Calibri"/>
          <w:spacing w:val="-3"/>
          <w:sz w:val="22"/>
        </w:rPr>
        <w:t> </w:t>
      </w:r>
      <w:r>
        <w:rPr>
          <w:rFonts w:ascii="Calibri"/>
          <w:sz w:val="22"/>
        </w:rPr>
        <w:t>of</w:t>
      </w:r>
      <w:r>
        <w:rPr>
          <w:rFonts w:ascii="Calibri"/>
          <w:spacing w:val="-3"/>
          <w:sz w:val="22"/>
        </w:rPr>
        <w:t> </w:t>
      </w:r>
      <w:r>
        <w:rPr>
          <w:rFonts w:ascii="Calibri"/>
          <w:sz w:val="22"/>
        </w:rPr>
        <w:t>Cysgliad</w:t>
      </w:r>
      <w:r>
        <w:rPr>
          <w:rFonts w:ascii="Calibri"/>
          <w:spacing w:val="-3"/>
          <w:sz w:val="22"/>
        </w:rPr>
        <w:t> </w:t>
      </w:r>
      <w:r>
        <w:rPr>
          <w:rFonts w:ascii="Calibri"/>
          <w:sz w:val="22"/>
        </w:rPr>
        <w:t>by Welsh learners or those members of staff who are less confident in using the language.</w:t>
      </w:r>
    </w:p>
    <w:p>
      <w:pPr>
        <w:pStyle w:val="BodyText"/>
        <w:spacing w:before="8"/>
        <w:rPr>
          <w:rFonts w:ascii="Calibri"/>
          <w:sz w:val="23"/>
        </w:rPr>
      </w:pPr>
    </w:p>
    <w:p>
      <w:pPr>
        <w:spacing w:line="259" w:lineRule="auto" w:before="1"/>
        <w:ind w:left="1440" w:right="1405" w:firstLine="0"/>
        <w:jc w:val="left"/>
        <w:rPr>
          <w:rFonts w:ascii="Calibri"/>
          <w:sz w:val="22"/>
        </w:rPr>
      </w:pPr>
      <w:r>
        <w:rPr>
          <w:rFonts w:ascii="Calibri"/>
          <w:sz w:val="22"/>
        </w:rPr>
        <w:t>We</w:t>
      </w:r>
      <w:r>
        <w:rPr>
          <w:rFonts w:ascii="Calibri"/>
          <w:spacing w:val="-3"/>
          <w:sz w:val="22"/>
        </w:rPr>
        <w:t> </w:t>
      </w:r>
      <w:r>
        <w:rPr>
          <w:rFonts w:ascii="Calibri"/>
          <w:sz w:val="22"/>
        </w:rPr>
        <w:t>continuously</w:t>
      </w:r>
      <w:r>
        <w:rPr>
          <w:rFonts w:ascii="Calibri"/>
          <w:spacing w:val="-3"/>
          <w:sz w:val="22"/>
        </w:rPr>
        <w:t> </w:t>
      </w:r>
      <w:r>
        <w:rPr>
          <w:rFonts w:ascii="Calibri"/>
          <w:sz w:val="22"/>
        </w:rPr>
        <w:t>update</w:t>
      </w:r>
      <w:r>
        <w:rPr>
          <w:rFonts w:ascii="Calibri"/>
          <w:spacing w:val="-3"/>
          <w:sz w:val="22"/>
        </w:rPr>
        <w:t> </w:t>
      </w:r>
      <w:r>
        <w:rPr>
          <w:rFonts w:ascii="Calibri"/>
          <w:sz w:val="22"/>
        </w:rPr>
        <w:t>staff</w:t>
      </w:r>
      <w:r>
        <w:rPr>
          <w:rFonts w:ascii="Calibri"/>
          <w:spacing w:val="-2"/>
          <w:sz w:val="22"/>
        </w:rPr>
        <w:t> </w:t>
      </w:r>
      <w:r>
        <w:rPr>
          <w:rFonts w:ascii="Calibri"/>
          <w:sz w:val="22"/>
        </w:rPr>
        <w:t>of</w:t>
      </w:r>
      <w:r>
        <w:rPr>
          <w:rFonts w:ascii="Calibri"/>
          <w:spacing w:val="-3"/>
          <w:sz w:val="22"/>
        </w:rPr>
        <w:t> </w:t>
      </w:r>
      <w:r>
        <w:rPr>
          <w:rFonts w:ascii="Calibri"/>
          <w:sz w:val="22"/>
        </w:rPr>
        <w:t>any</w:t>
      </w:r>
      <w:r>
        <w:rPr>
          <w:rFonts w:ascii="Calibri"/>
          <w:spacing w:val="-3"/>
          <w:sz w:val="22"/>
        </w:rPr>
        <w:t> </w:t>
      </w:r>
      <w:r>
        <w:rPr>
          <w:rFonts w:ascii="Calibri"/>
          <w:sz w:val="22"/>
        </w:rPr>
        <w:t>apps</w:t>
      </w:r>
      <w:r>
        <w:rPr>
          <w:rFonts w:ascii="Calibri"/>
          <w:spacing w:val="-3"/>
          <w:sz w:val="22"/>
        </w:rPr>
        <w:t> </w:t>
      </w:r>
      <w:r>
        <w:rPr>
          <w:rFonts w:ascii="Calibri"/>
          <w:sz w:val="22"/>
        </w:rPr>
        <w:t>that</w:t>
      </w:r>
      <w:r>
        <w:rPr>
          <w:rFonts w:ascii="Calibri"/>
          <w:spacing w:val="-3"/>
          <w:sz w:val="22"/>
        </w:rPr>
        <w:t> </w:t>
      </w:r>
      <w:r>
        <w:rPr>
          <w:rFonts w:ascii="Calibri"/>
          <w:sz w:val="22"/>
        </w:rPr>
        <w:t>are</w:t>
      </w:r>
      <w:r>
        <w:rPr>
          <w:rFonts w:ascii="Calibri"/>
          <w:spacing w:val="-2"/>
          <w:sz w:val="22"/>
        </w:rPr>
        <w:t> </w:t>
      </w:r>
      <w:r>
        <w:rPr>
          <w:rFonts w:ascii="Calibri"/>
          <w:sz w:val="22"/>
        </w:rPr>
        <w:t>available</w:t>
      </w:r>
      <w:r>
        <w:rPr>
          <w:rFonts w:ascii="Calibri"/>
          <w:spacing w:val="-3"/>
          <w:sz w:val="22"/>
        </w:rPr>
        <w:t> </w:t>
      </w:r>
      <w:r>
        <w:rPr>
          <w:rFonts w:ascii="Calibri"/>
          <w:sz w:val="22"/>
        </w:rPr>
        <w:t>to</w:t>
      </w:r>
      <w:r>
        <w:rPr>
          <w:rFonts w:ascii="Calibri"/>
          <w:spacing w:val="-2"/>
          <w:sz w:val="22"/>
        </w:rPr>
        <w:t> </w:t>
      </w:r>
      <w:r>
        <w:rPr>
          <w:rFonts w:ascii="Calibri"/>
          <w:sz w:val="22"/>
        </w:rPr>
        <w:t>them</w:t>
      </w:r>
      <w:r>
        <w:rPr>
          <w:rFonts w:ascii="Calibri"/>
          <w:spacing w:val="-2"/>
          <w:sz w:val="22"/>
        </w:rPr>
        <w:t> </w:t>
      </w:r>
      <w:r>
        <w:rPr>
          <w:rFonts w:ascii="Calibri"/>
          <w:sz w:val="22"/>
        </w:rPr>
        <w:t>to</w:t>
      </w:r>
      <w:r>
        <w:rPr>
          <w:rFonts w:ascii="Calibri"/>
          <w:spacing w:val="-2"/>
          <w:sz w:val="22"/>
        </w:rPr>
        <w:t> </w:t>
      </w:r>
      <w:r>
        <w:rPr>
          <w:rFonts w:ascii="Calibri"/>
          <w:sz w:val="22"/>
        </w:rPr>
        <w:t>support</w:t>
      </w:r>
      <w:r>
        <w:rPr>
          <w:rFonts w:ascii="Calibri"/>
          <w:spacing w:val="-3"/>
          <w:sz w:val="22"/>
        </w:rPr>
        <w:t> </w:t>
      </w:r>
      <w:r>
        <w:rPr>
          <w:rFonts w:ascii="Calibri"/>
          <w:sz w:val="22"/>
        </w:rPr>
        <w:t>them</w:t>
      </w:r>
      <w:r>
        <w:rPr>
          <w:rFonts w:ascii="Calibri"/>
          <w:spacing w:val="-2"/>
          <w:sz w:val="22"/>
        </w:rPr>
        <w:t> </w:t>
      </w:r>
      <w:r>
        <w:rPr>
          <w:rFonts w:ascii="Calibri"/>
          <w:sz w:val="22"/>
        </w:rPr>
        <w:t>in</w:t>
      </w:r>
      <w:r>
        <w:rPr>
          <w:rFonts w:ascii="Calibri"/>
          <w:spacing w:val="-2"/>
          <w:sz w:val="22"/>
        </w:rPr>
        <w:t> </w:t>
      </w:r>
      <w:r>
        <w:rPr>
          <w:rFonts w:ascii="Calibri"/>
          <w:sz w:val="22"/>
        </w:rPr>
        <w:t>using</w:t>
      </w:r>
      <w:r>
        <w:rPr>
          <w:rFonts w:ascii="Calibri"/>
          <w:spacing w:val="-3"/>
          <w:sz w:val="22"/>
        </w:rPr>
        <w:t> </w:t>
      </w:r>
      <w:r>
        <w:rPr>
          <w:rFonts w:ascii="Calibri"/>
          <w:sz w:val="22"/>
        </w:rPr>
        <w:t>the Welsh language at work on a daily basis.</w:t>
      </w:r>
    </w:p>
    <w:p>
      <w:pPr>
        <w:pStyle w:val="BodyText"/>
        <w:spacing w:before="8"/>
        <w:rPr>
          <w:rFonts w:ascii="Calibri"/>
          <w:sz w:val="23"/>
        </w:rPr>
      </w:pPr>
    </w:p>
    <w:p>
      <w:pPr>
        <w:pStyle w:val="Heading7"/>
      </w:pPr>
      <w:r>
        <w:rPr/>
        <w:t>TRAC/NHS</w:t>
      </w:r>
      <w:r>
        <w:rPr>
          <w:spacing w:val="-6"/>
        </w:rPr>
        <w:t> </w:t>
      </w:r>
      <w:r>
        <w:rPr/>
        <w:t>Jobs</w:t>
      </w:r>
      <w:r>
        <w:rPr>
          <w:spacing w:val="-6"/>
        </w:rPr>
        <w:t> </w:t>
      </w:r>
      <w:r>
        <w:rPr>
          <w:spacing w:val="-10"/>
        </w:rPr>
        <w:t>3</w:t>
      </w:r>
    </w:p>
    <w:p>
      <w:pPr>
        <w:spacing w:line="259" w:lineRule="auto" w:before="27"/>
        <w:ind w:left="1440" w:right="1405" w:firstLine="0"/>
        <w:jc w:val="left"/>
        <w:rPr>
          <w:rFonts w:ascii="Calibri"/>
          <w:sz w:val="22"/>
        </w:rPr>
      </w:pPr>
      <w:r>
        <w:rPr>
          <w:rFonts w:ascii="Calibri"/>
          <w:sz w:val="22"/>
        </w:rPr>
        <w:t>We</w:t>
      </w:r>
      <w:r>
        <w:rPr>
          <w:rFonts w:ascii="Calibri"/>
          <w:spacing w:val="-4"/>
          <w:sz w:val="22"/>
        </w:rPr>
        <w:t> </w:t>
      </w:r>
      <w:r>
        <w:rPr>
          <w:rFonts w:ascii="Calibri"/>
          <w:sz w:val="22"/>
        </w:rPr>
        <w:t>continue</w:t>
      </w:r>
      <w:r>
        <w:rPr>
          <w:rFonts w:ascii="Calibri"/>
          <w:spacing w:val="-4"/>
          <w:sz w:val="22"/>
        </w:rPr>
        <w:t> </w:t>
      </w:r>
      <w:r>
        <w:rPr>
          <w:rFonts w:ascii="Calibri"/>
          <w:sz w:val="22"/>
        </w:rPr>
        <w:t>to</w:t>
      </w:r>
      <w:r>
        <w:rPr>
          <w:rFonts w:ascii="Calibri"/>
          <w:spacing w:val="-3"/>
          <w:sz w:val="22"/>
        </w:rPr>
        <w:t> </w:t>
      </w:r>
      <w:r>
        <w:rPr>
          <w:rFonts w:ascii="Calibri"/>
          <w:sz w:val="22"/>
        </w:rPr>
        <w:t>update</w:t>
      </w:r>
      <w:r>
        <w:rPr>
          <w:rFonts w:ascii="Calibri"/>
          <w:spacing w:val="-4"/>
          <w:sz w:val="22"/>
        </w:rPr>
        <w:t> </w:t>
      </w:r>
      <w:r>
        <w:rPr>
          <w:rFonts w:ascii="Calibri"/>
          <w:sz w:val="22"/>
        </w:rPr>
        <w:t>the</w:t>
      </w:r>
      <w:r>
        <w:rPr>
          <w:rFonts w:ascii="Calibri"/>
          <w:spacing w:val="-3"/>
          <w:sz w:val="22"/>
        </w:rPr>
        <w:t> </w:t>
      </w:r>
      <w:r>
        <w:rPr>
          <w:rFonts w:ascii="Calibri"/>
          <w:sz w:val="22"/>
        </w:rPr>
        <w:t>interfaces,</w:t>
      </w:r>
      <w:r>
        <w:rPr>
          <w:rFonts w:ascii="Calibri"/>
          <w:spacing w:val="-4"/>
          <w:sz w:val="22"/>
        </w:rPr>
        <w:t> </w:t>
      </w:r>
      <w:r>
        <w:rPr>
          <w:rFonts w:ascii="Calibri"/>
          <w:sz w:val="22"/>
        </w:rPr>
        <w:t>documents,</w:t>
      </w:r>
      <w:r>
        <w:rPr>
          <w:rFonts w:ascii="Calibri"/>
          <w:spacing w:val="-4"/>
          <w:sz w:val="22"/>
        </w:rPr>
        <w:t> </w:t>
      </w:r>
      <w:r>
        <w:rPr>
          <w:rFonts w:ascii="Calibri"/>
          <w:sz w:val="22"/>
        </w:rPr>
        <w:t>notifications</w:t>
      </w:r>
      <w:r>
        <w:rPr>
          <w:rFonts w:ascii="Calibri"/>
          <w:spacing w:val="-4"/>
          <w:sz w:val="22"/>
        </w:rPr>
        <w:t> </w:t>
      </w:r>
      <w:r>
        <w:rPr>
          <w:rFonts w:ascii="Calibri"/>
          <w:sz w:val="22"/>
        </w:rPr>
        <w:t>and</w:t>
      </w:r>
      <w:r>
        <w:rPr>
          <w:rFonts w:ascii="Calibri"/>
          <w:spacing w:val="-3"/>
          <w:sz w:val="22"/>
        </w:rPr>
        <w:t> </w:t>
      </w:r>
      <w:r>
        <w:rPr>
          <w:rFonts w:ascii="Calibri"/>
          <w:sz w:val="22"/>
        </w:rPr>
        <w:t>forms</w:t>
      </w:r>
      <w:r>
        <w:rPr>
          <w:rFonts w:ascii="Calibri"/>
          <w:spacing w:val="-4"/>
          <w:sz w:val="22"/>
        </w:rPr>
        <w:t> </w:t>
      </w:r>
      <w:r>
        <w:rPr>
          <w:rFonts w:ascii="Calibri"/>
          <w:sz w:val="22"/>
        </w:rPr>
        <w:t>on</w:t>
      </w:r>
      <w:r>
        <w:rPr>
          <w:rFonts w:ascii="Calibri"/>
          <w:spacing w:val="-3"/>
          <w:sz w:val="22"/>
        </w:rPr>
        <w:t> </w:t>
      </w:r>
      <w:r>
        <w:rPr>
          <w:rFonts w:ascii="Calibri"/>
          <w:sz w:val="22"/>
        </w:rPr>
        <w:t>the</w:t>
      </w:r>
      <w:r>
        <w:rPr>
          <w:rFonts w:ascii="Calibri"/>
          <w:spacing w:val="-3"/>
          <w:sz w:val="22"/>
        </w:rPr>
        <w:t> </w:t>
      </w:r>
      <w:r>
        <w:rPr>
          <w:rFonts w:ascii="Calibri"/>
          <w:sz w:val="22"/>
        </w:rPr>
        <w:t>TRAC</w:t>
      </w:r>
      <w:r>
        <w:rPr>
          <w:rFonts w:ascii="Calibri"/>
          <w:spacing w:val="-4"/>
          <w:sz w:val="22"/>
        </w:rPr>
        <w:t> </w:t>
      </w:r>
      <w:r>
        <w:rPr>
          <w:rFonts w:ascii="Calibri"/>
          <w:sz w:val="22"/>
        </w:rPr>
        <w:t>recruitment system, the Student Awards System, the Student Streamlining System and the GP Wales System.</w:t>
      </w:r>
    </w:p>
    <w:p>
      <w:pPr>
        <w:spacing w:line="259" w:lineRule="auto" w:before="0"/>
        <w:ind w:left="1440" w:right="1547" w:firstLine="0"/>
        <w:jc w:val="left"/>
        <w:rPr>
          <w:rFonts w:ascii="Calibri"/>
          <w:sz w:val="22"/>
        </w:rPr>
      </w:pPr>
      <w:r>
        <w:rPr>
          <w:rFonts w:ascii="Calibri"/>
          <w:sz w:val="22"/>
        </w:rPr>
        <w:t>NHS</w:t>
      </w:r>
      <w:r>
        <w:rPr>
          <w:rFonts w:ascii="Calibri"/>
          <w:spacing w:val="-3"/>
          <w:sz w:val="22"/>
        </w:rPr>
        <w:t> </w:t>
      </w:r>
      <w:r>
        <w:rPr>
          <w:rFonts w:ascii="Calibri"/>
          <w:sz w:val="22"/>
        </w:rPr>
        <w:t>Jobs3</w:t>
      </w:r>
      <w:r>
        <w:rPr>
          <w:rFonts w:ascii="Calibri"/>
          <w:spacing w:val="-3"/>
          <w:sz w:val="22"/>
        </w:rPr>
        <w:t> </w:t>
      </w:r>
      <w:r>
        <w:rPr>
          <w:rFonts w:ascii="Calibri"/>
          <w:sz w:val="22"/>
        </w:rPr>
        <w:t>was</w:t>
      </w:r>
      <w:r>
        <w:rPr>
          <w:rFonts w:ascii="Calibri"/>
          <w:spacing w:val="-3"/>
          <w:sz w:val="22"/>
        </w:rPr>
        <w:t> </w:t>
      </w:r>
      <w:r>
        <w:rPr>
          <w:rFonts w:ascii="Calibri"/>
          <w:sz w:val="22"/>
        </w:rPr>
        <w:t>launched</w:t>
      </w:r>
      <w:r>
        <w:rPr>
          <w:rFonts w:ascii="Calibri"/>
          <w:spacing w:val="-3"/>
          <w:sz w:val="22"/>
        </w:rPr>
        <w:t> </w:t>
      </w:r>
      <w:r>
        <w:rPr>
          <w:rFonts w:ascii="Calibri"/>
          <w:sz w:val="22"/>
        </w:rPr>
        <w:t>during</w:t>
      </w:r>
      <w:r>
        <w:rPr>
          <w:rFonts w:ascii="Calibri"/>
          <w:spacing w:val="-3"/>
          <w:sz w:val="22"/>
        </w:rPr>
        <w:t> </w:t>
      </w:r>
      <w:r>
        <w:rPr>
          <w:rFonts w:ascii="Calibri"/>
          <w:sz w:val="22"/>
        </w:rPr>
        <w:t>2021/22</w:t>
      </w:r>
      <w:r>
        <w:rPr>
          <w:rFonts w:ascii="Calibri"/>
          <w:spacing w:val="-3"/>
          <w:sz w:val="22"/>
        </w:rPr>
        <w:t> </w:t>
      </w:r>
      <w:r>
        <w:rPr>
          <w:rFonts w:ascii="Calibri"/>
          <w:sz w:val="22"/>
        </w:rPr>
        <w:t>and</w:t>
      </w:r>
      <w:r>
        <w:rPr>
          <w:rFonts w:ascii="Calibri"/>
          <w:spacing w:val="-3"/>
          <w:sz w:val="22"/>
        </w:rPr>
        <w:t> </w:t>
      </w:r>
      <w:r>
        <w:rPr>
          <w:rFonts w:ascii="Calibri"/>
          <w:sz w:val="22"/>
        </w:rPr>
        <w:t>this</w:t>
      </w:r>
      <w:r>
        <w:rPr>
          <w:rFonts w:ascii="Calibri"/>
          <w:spacing w:val="-3"/>
          <w:sz w:val="22"/>
        </w:rPr>
        <w:t> </w:t>
      </w:r>
      <w:r>
        <w:rPr>
          <w:rFonts w:ascii="Calibri"/>
          <w:sz w:val="22"/>
        </w:rPr>
        <w:t>launched</w:t>
      </w:r>
      <w:r>
        <w:rPr>
          <w:rFonts w:ascii="Calibri"/>
          <w:spacing w:val="-3"/>
          <w:sz w:val="22"/>
        </w:rPr>
        <w:t> </w:t>
      </w:r>
      <w:r>
        <w:rPr>
          <w:rFonts w:ascii="Calibri"/>
          <w:sz w:val="22"/>
        </w:rPr>
        <w:t>successfully</w:t>
      </w:r>
      <w:r>
        <w:rPr>
          <w:rFonts w:ascii="Calibri"/>
          <w:spacing w:val="-3"/>
          <w:sz w:val="22"/>
        </w:rPr>
        <w:t> </w:t>
      </w:r>
      <w:r>
        <w:rPr>
          <w:rFonts w:ascii="Calibri"/>
          <w:sz w:val="22"/>
        </w:rPr>
        <w:t>in</w:t>
      </w:r>
      <w:r>
        <w:rPr>
          <w:rFonts w:ascii="Calibri"/>
          <w:spacing w:val="-3"/>
          <w:sz w:val="22"/>
        </w:rPr>
        <w:t> </w:t>
      </w:r>
      <w:r>
        <w:rPr>
          <w:rFonts w:ascii="Calibri"/>
          <w:sz w:val="22"/>
        </w:rPr>
        <w:t>both</w:t>
      </w:r>
      <w:r>
        <w:rPr>
          <w:rFonts w:ascii="Calibri"/>
          <w:spacing w:val="-3"/>
          <w:sz w:val="22"/>
        </w:rPr>
        <w:t> </w:t>
      </w:r>
      <w:r>
        <w:rPr>
          <w:rFonts w:ascii="Calibri"/>
          <w:sz w:val="22"/>
        </w:rPr>
        <w:t>languages</w:t>
      </w:r>
      <w:r>
        <w:rPr>
          <w:rFonts w:ascii="Calibri"/>
          <w:spacing w:val="-3"/>
          <w:sz w:val="22"/>
        </w:rPr>
        <w:t> </w:t>
      </w:r>
      <w:r>
        <w:rPr>
          <w:rFonts w:ascii="Calibri"/>
          <w:sz w:val="22"/>
        </w:rPr>
        <w:t>at</w:t>
      </w:r>
      <w:r>
        <w:rPr>
          <w:rFonts w:ascii="Calibri"/>
          <w:spacing w:val="-3"/>
          <w:sz w:val="22"/>
        </w:rPr>
        <w:t> </w:t>
      </w:r>
      <w:r>
        <w:rPr>
          <w:rFonts w:ascii="Calibri"/>
          <w:sz w:val="22"/>
        </w:rPr>
        <w:t>the same time.</w:t>
      </w:r>
    </w:p>
    <w:p>
      <w:pPr>
        <w:pStyle w:val="BodyText"/>
        <w:spacing w:before="8"/>
        <w:rPr>
          <w:rFonts w:ascii="Calibri"/>
          <w:sz w:val="23"/>
        </w:rPr>
      </w:pPr>
    </w:p>
    <w:p>
      <w:pPr>
        <w:pStyle w:val="Heading7"/>
      </w:pPr>
      <w:r>
        <w:rPr/>
        <w:t>ESR</w:t>
      </w:r>
      <w:r>
        <w:rPr>
          <w:spacing w:val="-2"/>
        </w:rPr>
        <w:t> </w:t>
      </w:r>
      <w:r>
        <w:rPr/>
        <w:t>–</w:t>
      </w:r>
      <w:r>
        <w:rPr>
          <w:spacing w:val="-1"/>
        </w:rPr>
        <w:t> </w:t>
      </w:r>
      <w:r>
        <w:rPr/>
        <w:t>Electronic</w:t>
      </w:r>
      <w:r>
        <w:rPr>
          <w:spacing w:val="-1"/>
        </w:rPr>
        <w:t> </w:t>
      </w:r>
      <w:r>
        <w:rPr/>
        <w:t>Staff</w:t>
      </w:r>
      <w:r>
        <w:rPr>
          <w:spacing w:val="-2"/>
        </w:rPr>
        <w:t> Record</w:t>
      </w:r>
    </w:p>
    <w:p>
      <w:pPr>
        <w:spacing w:line="259" w:lineRule="auto" w:before="27"/>
        <w:ind w:left="1440" w:right="1455" w:firstLine="0"/>
        <w:jc w:val="left"/>
        <w:rPr>
          <w:rFonts w:ascii="Calibri"/>
          <w:sz w:val="22"/>
        </w:rPr>
      </w:pPr>
      <w:r>
        <w:rPr>
          <w:rFonts w:ascii="Calibri"/>
          <w:sz w:val="22"/>
        </w:rPr>
        <w:t>ESR</w:t>
      </w:r>
      <w:r>
        <w:rPr>
          <w:rFonts w:ascii="Calibri"/>
          <w:spacing w:val="-2"/>
          <w:sz w:val="22"/>
        </w:rPr>
        <w:t> </w:t>
      </w:r>
      <w:r>
        <w:rPr>
          <w:rFonts w:ascii="Calibri"/>
          <w:sz w:val="22"/>
        </w:rPr>
        <w:t>is</w:t>
      </w:r>
      <w:r>
        <w:rPr>
          <w:rFonts w:ascii="Calibri"/>
          <w:spacing w:val="-3"/>
          <w:sz w:val="22"/>
        </w:rPr>
        <w:t> </w:t>
      </w:r>
      <w:r>
        <w:rPr>
          <w:rFonts w:ascii="Calibri"/>
          <w:sz w:val="22"/>
        </w:rPr>
        <w:t>the</w:t>
      </w:r>
      <w:r>
        <w:rPr>
          <w:rFonts w:ascii="Calibri"/>
          <w:spacing w:val="-2"/>
          <w:sz w:val="22"/>
        </w:rPr>
        <w:t> </w:t>
      </w:r>
      <w:r>
        <w:rPr>
          <w:rFonts w:ascii="Calibri"/>
          <w:sz w:val="22"/>
        </w:rPr>
        <w:t>Electronic</w:t>
      </w:r>
      <w:r>
        <w:rPr>
          <w:rFonts w:ascii="Calibri"/>
          <w:spacing w:val="-3"/>
          <w:sz w:val="22"/>
        </w:rPr>
        <w:t> </w:t>
      </w:r>
      <w:r>
        <w:rPr>
          <w:rFonts w:ascii="Calibri"/>
          <w:sz w:val="22"/>
        </w:rPr>
        <w:t>Staff</w:t>
      </w:r>
      <w:r>
        <w:rPr>
          <w:rFonts w:ascii="Calibri"/>
          <w:spacing w:val="-2"/>
          <w:sz w:val="22"/>
        </w:rPr>
        <w:t> </w:t>
      </w:r>
      <w:r>
        <w:rPr>
          <w:rFonts w:ascii="Calibri"/>
          <w:sz w:val="22"/>
        </w:rPr>
        <w:t>Record</w:t>
      </w:r>
      <w:r>
        <w:rPr>
          <w:rFonts w:ascii="Calibri"/>
          <w:spacing w:val="-2"/>
          <w:sz w:val="22"/>
        </w:rPr>
        <w:t> </w:t>
      </w:r>
      <w:r>
        <w:rPr>
          <w:rFonts w:ascii="Calibri"/>
          <w:sz w:val="22"/>
        </w:rPr>
        <w:t>that</w:t>
      </w:r>
      <w:r>
        <w:rPr>
          <w:rFonts w:ascii="Calibri"/>
          <w:spacing w:val="-3"/>
          <w:sz w:val="22"/>
        </w:rPr>
        <w:t> </w:t>
      </w:r>
      <w:r>
        <w:rPr>
          <w:rFonts w:ascii="Calibri"/>
          <w:sz w:val="22"/>
        </w:rPr>
        <w:t>manages</w:t>
      </w:r>
      <w:r>
        <w:rPr>
          <w:rFonts w:ascii="Calibri"/>
          <w:spacing w:val="-2"/>
          <w:sz w:val="22"/>
        </w:rPr>
        <w:t> </w:t>
      </w:r>
      <w:r>
        <w:rPr>
          <w:rFonts w:ascii="Calibri"/>
          <w:sz w:val="22"/>
        </w:rPr>
        <w:t>staff</w:t>
      </w:r>
      <w:r>
        <w:rPr>
          <w:rFonts w:ascii="Calibri"/>
          <w:spacing w:val="-3"/>
          <w:sz w:val="22"/>
        </w:rPr>
        <w:t> </w:t>
      </w:r>
      <w:r>
        <w:rPr>
          <w:rFonts w:ascii="Calibri"/>
          <w:sz w:val="22"/>
        </w:rPr>
        <w:t>annual</w:t>
      </w:r>
      <w:r>
        <w:rPr>
          <w:rFonts w:ascii="Calibri"/>
          <w:spacing w:val="-2"/>
          <w:sz w:val="22"/>
        </w:rPr>
        <w:t> </w:t>
      </w:r>
      <w:r>
        <w:rPr>
          <w:rFonts w:ascii="Calibri"/>
          <w:sz w:val="22"/>
        </w:rPr>
        <w:t>leave,</w:t>
      </w:r>
      <w:r>
        <w:rPr>
          <w:rFonts w:ascii="Calibri"/>
          <w:spacing w:val="-3"/>
          <w:sz w:val="22"/>
        </w:rPr>
        <w:t> </w:t>
      </w:r>
      <w:r>
        <w:rPr>
          <w:rFonts w:ascii="Calibri"/>
          <w:sz w:val="22"/>
        </w:rPr>
        <w:t>pay,</w:t>
      </w:r>
      <w:r>
        <w:rPr>
          <w:rFonts w:ascii="Calibri"/>
          <w:spacing w:val="-2"/>
          <w:sz w:val="22"/>
        </w:rPr>
        <w:t> </w:t>
      </w:r>
      <w:r>
        <w:rPr>
          <w:rFonts w:ascii="Calibri"/>
          <w:sz w:val="22"/>
        </w:rPr>
        <w:t>sickness</w:t>
      </w:r>
      <w:r>
        <w:rPr>
          <w:rFonts w:ascii="Calibri"/>
          <w:spacing w:val="-3"/>
          <w:sz w:val="22"/>
        </w:rPr>
        <w:t> </w:t>
      </w:r>
      <w:r>
        <w:rPr>
          <w:rFonts w:ascii="Calibri"/>
          <w:sz w:val="22"/>
        </w:rPr>
        <w:t>absence</w:t>
      </w:r>
      <w:r>
        <w:rPr>
          <w:rFonts w:ascii="Calibri"/>
          <w:spacing w:val="-3"/>
          <w:sz w:val="22"/>
        </w:rPr>
        <w:t> </w:t>
      </w:r>
      <w:r>
        <w:rPr>
          <w:rFonts w:ascii="Calibri"/>
          <w:sz w:val="22"/>
        </w:rPr>
        <w:t>and</w:t>
      </w:r>
      <w:r>
        <w:rPr>
          <w:rFonts w:ascii="Calibri"/>
          <w:spacing w:val="-3"/>
          <w:sz w:val="22"/>
        </w:rPr>
        <w:t> </w:t>
      </w:r>
      <w:r>
        <w:rPr>
          <w:rFonts w:ascii="Calibri"/>
          <w:sz w:val="22"/>
        </w:rPr>
        <w:t>training across the NHS in Wales.</w:t>
      </w:r>
      <w:r>
        <w:rPr>
          <w:rFonts w:ascii="Calibri"/>
          <w:spacing w:val="40"/>
          <w:sz w:val="22"/>
        </w:rPr>
        <w:t> </w:t>
      </w:r>
      <w:r>
        <w:rPr>
          <w:rFonts w:ascii="Calibri"/>
          <w:sz w:val="22"/>
        </w:rPr>
        <w:t>NHS Wales has a 6% share in ESR across the UK, and the current ESR system, which was originally developed to manage payroll payments, has been extended on to such a point where it is technologically challenging to translate the whole system.</w:t>
      </w:r>
    </w:p>
    <w:p>
      <w:pPr>
        <w:spacing w:line="259" w:lineRule="auto" w:before="0"/>
        <w:ind w:left="1440" w:right="1405" w:firstLine="0"/>
        <w:jc w:val="left"/>
        <w:rPr>
          <w:rFonts w:ascii="Calibri" w:hAnsi="Calibri"/>
          <w:sz w:val="22"/>
        </w:rPr>
      </w:pPr>
      <w:r>
        <w:rPr>
          <w:rFonts w:ascii="Calibri" w:hAnsi="Calibri"/>
          <w:sz w:val="22"/>
        </w:rPr>
        <w:t>However,</w:t>
      </w:r>
      <w:r>
        <w:rPr>
          <w:rFonts w:ascii="Calibri" w:hAnsi="Calibri"/>
          <w:spacing w:val="-4"/>
          <w:sz w:val="22"/>
        </w:rPr>
        <w:t> </w:t>
      </w:r>
      <w:r>
        <w:rPr>
          <w:rFonts w:ascii="Calibri" w:hAnsi="Calibri"/>
          <w:sz w:val="22"/>
        </w:rPr>
        <w:t>in</w:t>
      </w:r>
      <w:r>
        <w:rPr>
          <w:rFonts w:ascii="Calibri" w:hAnsi="Calibri"/>
          <w:spacing w:val="-4"/>
          <w:sz w:val="22"/>
        </w:rPr>
        <w:t> </w:t>
      </w:r>
      <w:r>
        <w:rPr>
          <w:rFonts w:ascii="Calibri" w:hAnsi="Calibri"/>
          <w:sz w:val="22"/>
        </w:rPr>
        <w:t>the</w:t>
      </w:r>
      <w:r>
        <w:rPr>
          <w:rFonts w:ascii="Calibri" w:hAnsi="Calibri"/>
          <w:spacing w:val="-4"/>
          <w:sz w:val="22"/>
        </w:rPr>
        <w:t> </w:t>
      </w:r>
      <w:r>
        <w:rPr>
          <w:rFonts w:ascii="Calibri" w:hAnsi="Calibri"/>
          <w:sz w:val="22"/>
        </w:rPr>
        <w:t>autumn</w:t>
      </w:r>
      <w:r>
        <w:rPr>
          <w:rFonts w:ascii="Calibri" w:hAnsi="Calibri"/>
          <w:spacing w:val="-3"/>
          <w:sz w:val="22"/>
        </w:rPr>
        <w:t> </w:t>
      </w:r>
      <w:r>
        <w:rPr>
          <w:rFonts w:ascii="Calibri" w:hAnsi="Calibri"/>
          <w:sz w:val="22"/>
        </w:rPr>
        <w:t>of</w:t>
      </w:r>
      <w:r>
        <w:rPr>
          <w:rFonts w:ascii="Calibri" w:hAnsi="Calibri"/>
          <w:spacing w:val="-4"/>
          <w:sz w:val="22"/>
        </w:rPr>
        <w:t> </w:t>
      </w:r>
      <w:r>
        <w:rPr>
          <w:rFonts w:ascii="Calibri" w:hAnsi="Calibri"/>
          <w:sz w:val="22"/>
        </w:rPr>
        <w:t>2021,</w:t>
      </w:r>
      <w:r>
        <w:rPr>
          <w:rFonts w:ascii="Calibri" w:hAnsi="Calibri"/>
          <w:spacing w:val="-3"/>
          <w:sz w:val="22"/>
        </w:rPr>
        <w:t> </w:t>
      </w:r>
      <w:r>
        <w:rPr>
          <w:rFonts w:ascii="Calibri" w:hAnsi="Calibri"/>
          <w:sz w:val="22"/>
        </w:rPr>
        <w:t>NWSSP’s</w:t>
      </w:r>
      <w:r>
        <w:rPr>
          <w:rFonts w:ascii="Calibri" w:hAnsi="Calibri"/>
          <w:spacing w:val="-4"/>
          <w:sz w:val="22"/>
        </w:rPr>
        <w:t> </w:t>
      </w:r>
      <w:r>
        <w:rPr>
          <w:rFonts w:ascii="Calibri" w:hAnsi="Calibri"/>
          <w:sz w:val="22"/>
        </w:rPr>
        <w:t>Workforce</w:t>
      </w:r>
      <w:r>
        <w:rPr>
          <w:rFonts w:ascii="Calibri" w:hAnsi="Calibri"/>
          <w:spacing w:val="-4"/>
          <w:sz w:val="22"/>
        </w:rPr>
        <w:t> </w:t>
      </w:r>
      <w:r>
        <w:rPr>
          <w:rFonts w:ascii="Calibri" w:hAnsi="Calibri"/>
          <w:sz w:val="22"/>
        </w:rPr>
        <w:t>Information</w:t>
      </w:r>
      <w:r>
        <w:rPr>
          <w:rFonts w:ascii="Calibri" w:hAnsi="Calibri"/>
          <w:spacing w:val="-3"/>
          <w:sz w:val="22"/>
        </w:rPr>
        <w:t> </w:t>
      </w:r>
      <w:r>
        <w:rPr>
          <w:rFonts w:ascii="Calibri" w:hAnsi="Calibri"/>
          <w:sz w:val="22"/>
        </w:rPr>
        <w:t>Systems</w:t>
      </w:r>
      <w:r>
        <w:rPr>
          <w:rFonts w:ascii="Calibri" w:hAnsi="Calibri"/>
          <w:spacing w:val="-3"/>
          <w:sz w:val="22"/>
        </w:rPr>
        <w:t> </w:t>
      </w:r>
      <w:r>
        <w:rPr>
          <w:rFonts w:ascii="Calibri" w:hAnsi="Calibri"/>
          <w:sz w:val="22"/>
        </w:rPr>
        <w:t>and</w:t>
      </w:r>
      <w:r>
        <w:rPr>
          <w:rFonts w:ascii="Calibri" w:hAnsi="Calibri"/>
          <w:spacing w:val="-3"/>
          <w:sz w:val="22"/>
        </w:rPr>
        <w:t> </w:t>
      </w:r>
      <w:r>
        <w:rPr>
          <w:rFonts w:ascii="Calibri" w:hAnsi="Calibri"/>
          <w:sz w:val="22"/>
        </w:rPr>
        <w:t>the</w:t>
      </w:r>
      <w:r>
        <w:rPr>
          <w:rFonts w:ascii="Calibri" w:hAnsi="Calibri"/>
          <w:spacing w:val="-3"/>
          <w:sz w:val="22"/>
        </w:rPr>
        <w:t> </w:t>
      </w:r>
      <w:r>
        <w:rPr>
          <w:rFonts w:ascii="Calibri" w:hAnsi="Calibri"/>
          <w:sz w:val="22"/>
        </w:rPr>
        <w:t>Welsh</w:t>
      </w:r>
      <w:r>
        <w:rPr>
          <w:rFonts w:ascii="Calibri" w:hAnsi="Calibri"/>
          <w:spacing w:val="-3"/>
          <w:sz w:val="22"/>
        </w:rPr>
        <w:t> </w:t>
      </w:r>
      <w:r>
        <w:rPr>
          <w:rFonts w:ascii="Calibri" w:hAnsi="Calibri"/>
          <w:sz w:val="22"/>
        </w:rPr>
        <w:t>Language Unit worked in collaboration with the NHS Business Authority and IBM to translate the portlets on ESR, by creating a skin over the existing portlets.</w:t>
      </w:r>
      <w:r>
        <w:rPr>
          <w:rFonts w:ascii="Calibri" w:hAnsi="Calibri"/>
          <w:spacing w:val="40"/>
          <w:sz w:val="22"/>
        </w:rPr>
        <w:t> </w:t>
      </w:r>
      <w:r>
        <w:rPr>
          <w:rFonts w:ascii="Calibri" w:hAnsi="Calibri"/>
          <w:sz w:val="22"/>
        </w:rPr>
        <w:t>We are pleased to report that Health Boards and Trusts have welcomed this development.</w:t>
      </w:r>
    </w:p>
    <w:p>
      <w:pPr>
        <w:pStyle w:val="BodyText"/>
        <w:spacing w:before="8"/>
        <w:rPr>
          <w:rFonts w:ascii="Calibri"/>
          <w:sz w:val="23"/>
        </w:rPr>
      </w:pPr>
    </w:p>
    <w:p>
      <w:pPr>
        <w:pStyle w:val="Heading7"/>
      </w:pPr>
      <w:r>
        <w:rPr/>
        <w:t>Training</w:t>
      </w:r>
      <w:r>
        <w:rPr>
          <w:spacing w:val="-2"/>
        </w:rPr>
        <w:t> </w:t>
      </w:r>
      <w:r>
        <w:rPr/>
        <w:t>and</w:t>
      </w:r>
      <w:r>
        <w:rPr>
          <w:spacing w:val="-2"/>
        </w:rPr>
        <w:t> </w:t>
      </w:r>
      <w:r>
        <w:rPr/>
        <w:t>Learning</w:t>
      </w:r>
      <w:r>
        <w:rPr>
          <w:spacing w:val="-1"/>
        </w:rPr>
        <w:t> </w:t>
      </w:r>
      <w:r>
        <w:rPr/>
        <w:t>Welsh</w:t>
      </w:r>
      <w:r>
        <w:rPr>
          <w:spacing w:val="-2"/>
        </w:rPr>
        <w:t> </w:t>
      </w:r>
      <w:r>
        <w:rPr/>
        <w:t>at</w:t>
      </w:r>
      <w:r>
        <w:rPr>
          <w:spacing w:val="-1"/>
        </w:rPr>
        <w:t> </w:t>
      </w:r>
      <w:r>
        <w:rPr>
          <w:spacing w:val="-2"/>
        </w:rPr>
        <w:t>Work:</w:t>
      </w:r>
    </w:p>
    <w:p>
      <w:pPr>
        <w:spacing w:line="259" w:lineRule="auto" w:before="27"/>
        <w:ind w:left="1440" w:right="1645" w:firstLine="0"/>
        <w:jc w:val="both"/>
        <w:rPr>
          <w:rFonts w:ascii="Calibri"/>
          <w:sz w:val="22"/>
        </w:rPr>
      </w:pPr>
      <w:r>
        <w:rPr>
          <w:rFonts w:ascii="Calibri"/>
          <w:sz w:val="22"/>
        </w:rPr>
        <w:t>During</w:t>
      </w:r>
      <w:r>
        <w:rPr>
          <w:rFonts w:ascii="Calibri"/>
          <w:spacing w:val="-3"/>
          <w:sz w:val="22"/>
        </w:rPr>
        <w:t> </w:t>
      </w:r>
      <w:r>
        <w:rPr>
          <w:rFonts w:ascii="Calibri"/>
          <w:sz w:val="22"/>
        </w:rPr>
        <w:t>2021/2021,</w:t>
      </w:r>
      <w:r>
        <w:rPr>
          <w:rFonts w:ascii="Calibri"/>
          <w:spacing w:val="-3"/>
          <w:sz w:val="22"/>
        </w:rPr>
        <w:t> </w:t>
      </w:r>
      <w:r>
        <w:rPr>
          <w:rFonts w:ascii="Calibri"/>
          <w:sz w:val="22"/>
        </w:rPr>
        <w:t>we</w:t>
      </w:r>
      <w:r>
        <w:rPr>
          <w:rFonts w:ascii="Calibri"/>
          <w:spacing w:val="-2"/>
          <w:sz w:val="22"/>
        </w:rPr>
        <w:t> </w:t>
      </w:r>
      <w:r>
        <w:rPr>
          <w:rFonts w:ascii="Calibri"/>
          <w:sz w:val="22"/>
        </w:rPr>
        <w:t>recruited</w:t>
      </w:r>
      <w:r>
        <w:rPr>
          <w:rFonts w:ascii="Calibri"/>
          <w:spacing w:val="-2"/>
          <w:sz w:val="22"/>
        </w:rPr>
        <w:t> </w:t>
      </w:r>
      <w:r>
        <w:rPr>
          <w:rFonts w:ascii="Calibri"/>
          <w:sz w:val="22"/>
        </w:rPr>
        <w:t>110</w:t>
      </w:r>
      <w:r>
        <w:rPr>
          <w:rFonts w:ascii="Calibri"/>
          <w:spacing w:val="-2"/>
          <w:sz w:val="22"/>
        </w:rPr>
        <w:t> </w:t>
      </w:r>
      <w:r>
        <w:rPr>
          <w:rFonts w:ascii="Calibri"/>
          <w:sz w:val="22"/>
        </w:rPr>
        <w:t>staff</w:t>
      </w:r>
      <w:r>
        <w:rPr>
          <w:rFonts w:ascii="Calibri"/>
          <w:spacing w:val="-2"/>
          <w:sz w:val="22"/>
        </w:rPr>
        <w:t> </w:t>
      </w:r>
      <w:r>
        <w:rPr>
          <w:rFonts w:ascii="Calibri"/>
          <w:sz w:val="22"/>
        </w:rPr>
        <w:t>into</w:t>
      </w:r>
      <w:r>
        <w:rPr>
          <w:rFonts w:ascii="Calibri"/>
          <w:spacing w:val="-2"/>
          <w:sz w:val="22"/>
        </w:rPr>
        <w:t> </w:t>
      </w:r>
      <w:r>
        <w:rPr>
          <w:rFonts w:ascii="Calibri"/>
          <w:sz w:val="22"/>
        </w:rPr>
        <w:t>vacancies</w:t>
      </w:r>
      <w:r>
        <w:rPr>
          <w:rFonts w:ascii="Calibri"/>
          <w:spacing w:val="-2"/>
          <w:sz w:val="22"/>
        </w:rPr>
        <w:t> </w:t>
      </w:r>
      <w:r>
        <w:rPr>
          <w:rFonts w:ascii="Calibri"/>
          <w:sz w:val="22"/>
        </w:rPr>
        <w:t>at</w:t>
      </w:r>
      <w:r>
        <w:rPr>
          <w:rFonts w:ascii="Calibri"/>
          <w:spacing w:val="-3"/>
          <w:sz w:val="22"/>
        </w:rPr>
        <w:t> </w:t>
      </w:r>
      <w:r>
        <w:rPr>
          <w:rFonts w:ascii="Calibri"/>
          <w:sz w:val="22"/>
        </w:rPr>
        <w:t>NWSSP.</w:t>
      </w:r>
      <w:r>
        <w:rPr>
          <w:rFonts w:ascii="Calibri"/>
          <w:spacing w:val="40"/>
          <w:sz w:val="22"/>
        </w:rPr>
        <w:t> </w:t>
      </w:r>
      <w:r>
        <w:rPr>
          <w:rFonts w:ascii="Calibri"/>
          <w:sz w:val="22"/>
        </w:rPr>
        <w:t>All</w:t>
      </w:r>
      <w:r>
        <w:rPr>
          <w:rFonts w:ascii="Calibri"/>
          <w:spacing w:val="-2"/>
          <w:sz w:val="22"/>
        </w:rPr>
        <w:t> </w:t>
      </w:r>
      <w:r>
        <w:rPr>
          <w:rFonts w:ascii="Calibri"/>
          <w:sz w:val="22"/>
        </w:rPr>
        <w:t>new</w:t>
      </w:r>
      <w:r>
        <w:rPr>
          <w:rFonts w:ascii="Calibri"/>
          <w:spacing w:val="-3"/>
          <w:sz w:val="22"/>
        </w:rPr>
        <w:t> </w:t>
      </w:r>
      <w:r>
        <w:rPr>
          <w:rFonts w:ascii="Calibri"/>
          <w:sz w:val="22"/>
        </w:rPr>
        <w:t>members</w:t>
      </w:r>
      <w:r>
        <w:rPr>
          <w:rFonts w:ascii="Calibri"/>
          <w:spacing w:val="-2"/>
          <w:sz w:val="22"/>
        </w:rPr>
        <w:t> </w:t>
      </w:r>
      <w:r>
        <w:rPr>
          <w:rFonts w:ascii="Calibri"/>
          <w:sz w:val="22"/>
        </w:rPr>
        <w:t>of</w:t>
      </w:r>
      <w:r>
        <w:rPr>
          <w:rFonts w:ascii="Calibri"/>
          <w:spacing w:val="-2"/>
          <w:sz w:val="22"/>
        </w:rPr>
        <w:t> </w:t>
      </w:r>
      <w:r>
        <w:rPr>
          <w:rFonts w:ascii="Calibri"/>
          <w:sz w:val="22"/>
        </w:rPr>
        <w:t>staff</w:t>
      </w:r>
      <w:r>
        <w:rPr>
          <w:rFonts w:ascii="Calibri"/>
          <w:spacing w:val="-3"/>
          <w:sz w:val="22"/>
        </w:rPr>
        <w:t> </w:t>
      </w:r>
      <w:r>
        <w:rPr>
          <w:rFonts w:ascii="Calibri"/>
          <w:sz w:val="22"/>
        </w:rPr>
        <w:t>have received</w:t>
      </w:r>
      <w:r>
        <w:rPr>
          <w:rFonts w:ascii="Calibri"/>
          <w:spacing w:val="-1"/>
          <w:sz w:val="22"/>
        </w:rPr>
        <w:t> </w:t>
      </w:r>
      <w:r>
        <w:rPr>
          <w:rFonts w:ascii="Calibri"/>
          <w:sz w:val="22"/>
        </w:rPr>
        <w:t>Corporate</w:t>
      </w:r>
      <w:r>
        <w:rPr>
          <w:rFonts w:ascii="Calibri"/>
          <w:spacing w:val="-2"/>
          <w:sz w:val="22"/>
        </w:rPr>
        <w:t> </w:t>
      </w:r>
      <w:r>
        <w:rPr>
          <w:rFonts w:ascii="Calibri"/>
          <w:sz w:val="22"/>
        </w:rPr>
        <w:t>Induction,</w:t>
      </w:r>
      <w:r>
        <w:rPr>
          <w:rFonts w:ascii="Calibri"/>
          <w:spacing w:val="-2"/>
          <w:sz w:val="22"/>
        </w:rPr>
        <w:t> </w:t>
      </w:r>
      <w:r>
        <w:rPr>
          <w:rFonts w:ascii="Calibri"/>
          <w:sz w:val="22"/>
        </w:rPr>
        <w:t>which</w:t>
      </w:r>
      <w:r>
        <w:rPr>
          <w:rFonts w:ascii="Calibri"/>
          <w:spacing w:val="-1"/>
          <w:sz w:val="22"/>
        </w:rPr>
        <w:t> </w:t>
      </w:r>
      <w:r>
        <w:rPr>
          <w:rFonts w:ascii="Calibri"/>
          <w:sz w:val="22"/>
        </w:rPr>
        <w:t>includes</w:t>
      </w:r>
      <w:r>
        <w:rPr>
          <w:rFonts w:ascii="Calibri"/>
          <w:spacing w:val="-1"/>
          <w:sz w:val="22"/>
        </w:rPr>
        <w:t> </w:t>
      </w:r>
      <w:r>
        <w:rPr>
          <w:rFonts w:ascii="Calibri"/>
          <w:sz w:val="22"/>
        </w:rPr>
        <w:t>Welsh</w:t>
      </w:r>
      <w:r>
        <w:rPr>
          <w:rFonts w:ascii="Calibri"/>
          <w:spacing w:val="-1"/>
          <w:sz w:val="22"/>
        </w:rPr>
        <w:t> </w:t>
      </w:r>
      <w:r>
        <w:rPr>
          <w:rFonts w:ascii="Calibri"/>
          <w:sz w:val="22"/>
        </w:rPr>
        <w:t>Language</w:t>
      </w:r>
      <w:r>
        <w:rPr>
          <w:rFonts w:ascii="Calibri"/>
          <w:spacing w:val="-1"/>
          <w:sz w:val="22"/>
        </w:rPr>
        <w:t> </w:t>
      </w:r>
      <w:r>
        <w:rPr>
          <w:rFonts w:ascii="Calibri"/>
          <w:sz w:val="22"/>
        </w:rPr>
        <w:t>awareness</w:t>
      </w:r>
      <w:r>
        <w:rPr>
          <w:rFonts w:ascii="Calibri"/>
          <w:spacing w:val="-2"/>
          <w:sz w:val="22"/>
        </w:rPr>
        <w:t> </w:t>
      </w:r>
      <w:r>
        <w:rPr>
          <w:rFonts w:ascii="Calibri"/>
          <w:sz w:val="22"/>
        </w:rPr>
        <w:t>training.</w:t>
      </w:r>
      <w:r>
        <w:rPr>
          <w:rFonts w:ascii="Calibri"/>
          <w:spacing w:val="40"/>
          <w:sz w:val="22"/>
        </w:rPr>
        <w:t> </w:t>
      </w:r>
      <w:r>
        <w:rPr>
          <w:rFonts w:ascii="Calibri"/>
          <w:sz w:val="22"/>
        </w:rPr>
        <w:t>Training</w:t>
      </w:r>
      <w:r>
        <w:rPr>
          <w:rFonts w:ascii="Calibri"/>
          <w:spacing w:val="-1"/>
          <w:sz w:val="22"/>
        </w:rPr>
        <w:t> </w:t>
      </w:r>
      <w:r>
        <w:rPr>
          <w:rFonts w:ascii="Calibri"/>
          <w:sz w:val="22"/>
        </w:rPr>
        <w:t>is</w:t>
      </w:r>
      <w:r>
        <w:rPr>
          <w:rFonts w:ascii="Calibri"/>
          <w:spacing w:val="-2"/>
          <w:sz w:val="22"/>
        </w:rPr>
        <w:t> </w:t>
      </w:r>
      <w:r>
        <w:rPr>
          <w:rFonts w:ascii="Calibri"/>
          <w:sz w:val="22"/>
        </w:rPr>
        <w:t>now provided on two platforms, TEAMS or Zoom.</w:t>
      </w:r>
    </w:p>
    <w:p>
      <w:pPr>
        <w:pStyle w:val="BodyText"/>
        <w:spacing w:before="8"/>
        <w:rPr>
          <w:rFonts w:ascii="Calibri"/>
          <w:sz w:val="23"/>
        </w:rPr>
      </w:pPr>
    </w:p>
    <w:p>
      <w:pPr>
        <w:spacing w:line="259" w:lineRule="auto" w:before="0"/>
        <w:ind w:left="1440" w:right="1455" w:firstLine="0"/>
        <w:jc w:val="left"/>
        <w:rPr>
          <w:rFonts w:ascii="Calibri"/>
          <w:sz w:val="22"/>
        </w:rPr>
      </w:pPr>
      <w:r>
        <w:rPr>
          <w:rFonts w:ascii="Calibri"/>
          <w:sz w:val="22"/>
        </w:rPr>
        <w:t>Microsoft TEAMS has been the platform used for training and learning Welsh at work.</w:t>
      </w:r>
      <w:r>
        <w:rPr>
          <w:rFonts w:ascii="Calibri"/>
          <w:spacing w:val="40"/>
          <w:sz w:val="22"/>
        </w:rPr>
        <w:t> </w:t>
      </w:r>
      <w:r>
        <w:rPr>
          <w:rFonts w:ascii="Calibri"/>
          <w:sz w:val="22"/>
        </w:rPr>
        <w:t>This platform has made learning Welsh and enabling staff to commit to completing the course much easier.</w:t>
      </w:r>
      <w:r>
        <w:rPr>
          <w:rFonts w:ascii="Calibri"/>
          <w:spacing w:val="40"/>
          <w:sz w:val="22"/>
        </w:rPr>
        <w:t> </w:t>
      </w:r>
      <w:r>
        <w:rPr>
          <w:rFonts w:ascii="Calibri"/>
          <w:sz w:val="22"/>
        </w:rPr>
        <w:t>It has also</w:t>
      </w:r>
      <w:r>
        <w:rPr>
          <w:rFonts w:ascii="Calibri"/>
          <w:spacing w:val="-3"/>
          <w:sz w:val="22"/>
        </w:rPr>
        <w:t> </w:t>
      </w:r>
      <w:r>
        <w:rPr>
          <w:rFonts w:ascii="Calibri"/>
          <w:sz w:val="22"/>
        </w:rPr>
        <w:t>enabled</w:t>
      </w:r>
      <w:r>
        <w:rPr>
          <w:rFonts w:ascii="Calibri"/>
          <w:spacing w:val="-2"/>
          <w:sz w:val="22"/>
        </w:rPr>
        <w:t> </w:t>
      </w:r>
      <w:r>
        <w:rPr>
          <w:rFonts w:ascii="Calibri"/>
          <w:sz w:val="22"/>
        </w:rPr>
        <w:t>tutors</w:t>
      </w:r>
      <w:r>
        <w:rPr>
          <w:rFonts w:ascii="Calibri"/>
          <w:spacing w:val="-3"/>
          <w:sz w:val="22"/>
        </w:rPr>
        <w:t> </w:t>
      </w:r>
      <w:r>
        <w:rPr>
          <w:rFonts w:ascii="Calibri"/>
          <w:sz w:val="22"/>
        </w:rPr>
        <w:t>to</w:t>
      </w:r>
      <w:r>
        <w:rPr>
          <w:rFonts w:ascii="Calibri"/>
          <w:spacing w:val="-2"/>
          <w:sz w:val="22"/>
        </w:rPr>
        <w:t> </w:t>
      </w:r>
      <w:r>
        <w:rPr>
          <w:rFonts w:ascii="Calibri"/>
          <w:sz w:val="22"/>
        </w:rPr>
        <w:t>record</w:t>
      </w:r>
      <w:r>
        <w:rPr>
          <w:rFonts w:ascii="Calibri"/>
          <w:spacing w:val="-2"/>
          <w:sz w:val="22"/>
        </w:rPr>
        <w:t> </w:t>
      </w:r>
      <w:r>
        <w:rPr>
          <w:rFonts w:ascii="Calibri"/>
          <w:sz w:val="22"/>
        </w:rPr>
        <w:t>sessions</w:t>
      </w:r>
      <w:r>
        <w:rPr>
          <w:rFonts w:ascii="Calibri"/>
          <w:spacing w:val="-2"/>
          <w:sz w:val="22"/>
        </w:rPr>
        <w:t> </w:t>
      </w:r>
      <w:r>
        <w:rPr>
          <w:rFonts w:ascii="Calibri"/>
          <w:sz w:val="22"/>
        </w:rPr>
        <w:t>so</w:t>
      </w:r>
      <w:r>
        <w:rPr>
          <w:rFonts w:ascii="Calibri"/>
          <w:spacing w:val="-3"/>
          <w:sz w:val="22"/>
        </w:rPr>
        <w:t> </w:t>
      </w:r>
      <w:r>
        <w:rPr>
          <w:rFonts w:ascii="Calibri"/>
          <w:sz w:val="22"/>
        </w:rPr>
        <w:t>that</w:t>
      </w:r>
      <w:r>
        <w:rPr>
          <w:rFonts w:ascii="Calibri"/>
          <w:spacing w:val="-3"/>
          <w:sz w:val="22"/>
        </w:rPr>
        <w:t> </w:t>
      </w:r>
      <w:r>
        <w:rPr>
          <w:rFonts w:ascii="Calibri"/>
          <w:sz w:val="22"/>
        </w:rPr>
        <w:t>staff</w:t>
      </w:r>
      <w:r>
        <w:rPr>
          <w:rFonts w:ascii="Calibri"/>
          <w:spacing w:val="-3"/>
          <w:sz w:val="22"/>
        </w:rPr>
        <w:t> </w:t>
      </w:r>
      <w:r>
        <w:rPr>
          <w:rFonts w:ascii="Calibri"/>
          <w:sz w:val="22"/>
        </w:rPr>
        <w:t>can</w:t>
      </w:r>
      <w:r>
        <w:rPr>
          <w:rFonts w:ascii="Calibri"/>
          <w:spacing w:val="-2"/>
          <w:sz w:val="22"/>
        </w:rPr>
        <w:t> </w:t>
      </w:r>
      <w:r>
        <w:rPr>
          <w:rFonts w:ascii="Calibri"/>
          <w:sz w:val="22"/>
        </w:rPr>
        <w:t>re-visit</w:t>
      </w:r>
      <w:r>
        <w:rPr>
          <w:rFonts w:ascii="Calibri"/>
          <w:spacing w:val="-2"/>
          <w:sz w:val="22"/>
        </w:rPr>
        <w:t> </w:t>
      </w:r>
      <w:r>
        <w:rPr>
          <w:rFonts w:ascii="Calibri"/>
          <w:sz w:val="22"/>
        </w:rPr>
        <w:t>the</w:t>
      </w:r>
      <w:r>
        <w:rPr>
          <w:rFonts w:ascii="Calibri"/>
          <w:spacing w:val="-2"/>
          <w:sz w:val="22"/>
        </w:rPr>
        <w:t> </w:t>
      </w:r>
      <w:r>
        <w:rPr>
          <w:rFonts w:ascii="Calibri"/>
          <w:sz w:val="22"/>
        </w:rPr>
        <w:t>learning</w:t>
      </w:r>
      <w:r>
        <w:rPr>
          <w:rFonts w:ascii="Calibri"/>
          <w:spacing w:val="-3"/>
          <w:sz w:val="22"/>
        </w:rPr>
        <w:t> </w:t>
      </w:r>
      <w:r>
        <w:rPr>
          <w:rFonts w:ascii="Calibri"/>
          <w:sz w:val="22"/>
        </w:rPr>
        <w:t>and</w:t>
      </w:r>
      <w:r>
        <w:rPr>
          <w:rFonts w:ascii="Calibri"/>
          <w:spacing w:val="-3"/>
          <w:sz w:val="22"/>
        </w:rPr>
        <w:t> </w:t>
      </w:r>
      <w:r>
        <w:rPr>
          <w:rFonts w:ascii="Calibri"/>
          <w:sz w:val="22"/>
        </w:rPr>
        <w:t>classes</w:t>
      </w:r>
      <w:r>
        <w:rPr>
          <w:rFonts w:ascii="Calibri"/>
          <w:spacing w:val="-2"/>
          <w:sz w:val="22"/>
        </w:rPr>
        <w:t> </w:t>
      </w:r>
      <w:r>
        <w:rPr>
          <w:rFonts w:ascii="Calibri"/>
          <w:sz w:val="22"/>
        </w:rPr>
        <w:t>that</w:t>
      </w:r>
      <w:r>
        <w:rPr>
          <w:rFonts w:ascii="Calibri"/>
          <w:spacing w:val="-2"/>
          <w:sz w:val="22"/>
        </w:rPr>
        <w:t> </w:t>
      </w:r>
      <w:r>
        <w:rPr>
          <w:rFonts w:ascii="Calibri"/>
          <w:sz w:val="22"/>
        </w:rPr>
        <w:t>they</w:t>
      </w:r>
      <w:r>
        <w:rPr>
          <w:rFonts w:ascii="Calibri"/>
          <w:spacing w:val="-2"/>
          <w:sz w:val="22"/>
        </w:rPr>
        <w:t> </w:t>
      </w:r>
      <w:r>
        <w:rPr>
          <w:rFonts w:ascii="Calibri"/>
          <w:sz w:val="22"/>
        </w:rPr>
        <w:t>may have missed.</w:t>
      </w:r>
      <w:r>
        <w:rPr>
          <w:rFonts w:ascii="Calibri"/>
          <w:spacing w:val="80"/>
          <w:sz w:val="22"/>
        </w:rPr>
        <w:t> </w:t>
      </w:r>
      <w:r>
        <w:rPr>
          <w:rFonts w:ascii="Calibri"/>
          <w:sz w:val="22"/>
        </w:rPr>
        <w:t>Staff attendance and retention rates have improved, due to the courses being available online.</w:t>
      </w:r>
      <w:r>
        <w:rPr>
          <w:rFonts w:ascii="Calibri"/>
          <w:spacing w:val="40"/>
          <w:sz w:val="22"/>
        </w:rPr>
        <w:t> </w:t>
      </w:r>
      <w:r>
        <w:rPr>
          <w:rFonts w:ascii="Calibri"/>
          <w:sz w:val="22"/>
        </w:rPr>
        <w:t>However, prioritising workload remains challenging to managers and staff.</w:t>
      </w:r>
    </w:p>
    <w:p>
      <w:pPr>
        <w:spacing w:line="267" w:lineRule="exact" w:before="0"/>
        <w:ind w:left="1440" w:right="0" w:firstLine="0"/>
        <w:jc w:val="left"/>
        <w:rPr>
          <w:rFonts w:ascii="Calibri"/>
          <w:sz w:val="22"/>
        </w:rPr>
      </w:pPr>
      <w:r>
        <w:rPr>
          <w:rFonts w:ascii="Calibri"/>
          <w:sz w:val="22"/>
        </w:rPr>
        <w:t>The</w:t>
      </w:r>
      <w:r>
        <w:rPr>
          <w:rFonts w:ascii="Calibri"/>
          <w:spacing w:val="-6"/>
          <w:sz w:val="22"/>
        </w:rPr>
        <w:t> </w:t>
      </w:r>
      <w:r>
        <w:rPr>
          <w:rFonts w:ascii="Calibri"/>
          <w:sz w:val="22"/>
        </w:rPr>
        <w:t>following</w:t>
      </w:r>
      <w:r>
        <w:rPr>
          <w:rFonts w:ascii="Calibri"/>
          <w:spacing w:val="-3"/>
          <w:sz w:val="22"/>
        </w:rPr>
        <w:t> </w:t>
      </w:r>
      <w:r>
        <w:rPr>
          <w:rFonts w:ascii="Calibri"/>
          <w:sz w:val="22"/>
        </w:rPr>
        <w:t>courses</w:t>
      </w:r>
      <w:r>
        <w:rPr>
          <w:rFonts w:ascii="Calibri"/>
          <w:spacing w:val="-3"/>
          <w:sz w:val="22"/>
        </w:rPr>
        <w:t> </w:t>
      </w:r>
      <w:r>
        <w:rPr>
          <w:rFonts w:ascii="Calibri"/>
          <w:sz w:val="22"/>
        </w:rPr>
        <w:t>were</w:t>
      </w:r>
      <w:r>
        <w:rPr>
          <w:rFonts w:ascii="Calibri"/>
          <w:spacing w:val="-2"/>
          <w:sz w:val="22"/>
        </w:rPr>
        <w:t> </w:t>
      </w:r>
      <w:r>
        <w:rPr>
          <w:rFonts w:ascii="Calibri"/>
          <w:sz w:val="22"/>
        </w:rPr>
        <w:t>offered</w:t>
      </w:r>
      <w:r>
        <w:rPr>
          <w:rFonts w:ascii="Calibri"/>
          <w:spacing w:val="-2"/>
          <w:sz w:val="22"/>
        </w:rPr>
        <w:t> </w:t>
      </w:r>
      <w:r>
        <w:rPr>
          <w:rFonts w:ascii="Calibri"/>
          <w:sz w:val="22"/>
        </w:rPr>
        <w:t>to</w:t>
      </w:r>
      <w:r>
        <w:rPr>
          <w:rFonts w:ascii="Calibri"/>
          <w:spacing w:val="-3"/>
          <w:sz w:val="22"/>
        </w:rPr>
        <w:t> </w:t>
      </w:r>
      <w:r>
        <w:rPr>
          <w:rFonts w:ascii="Calibri"/>
          <w:sz w:val="22"/>
        </w:rPr>
        <w:t>staff</w:t>
      </w:r>
      <w:r>
        <w:rPr>
          <w:rFonts w:ascii="Calibri"/>
          <w:spacing w:val="-3"/>
          <w:sz w:val="22"/>
        </w:rPr>
        <w:t> </w:t>
      </w:r>
      <w:r>
        <w:rPr>
          <w:rFonts w:ascii="Calibri"/>
          <w:sz w:val="22"/>
        </w:rPr>
        <w:t>during</w:t>
      </w:r>
      <w:r>
        <w:rPr>
          <w:rFonts w:ascii="Calibri"/>
          <w:spacing w:val="-3"/>
          <w:sz w:val="22"/>
        </w:rPr>
        <w:t> </w:t>
      </w:r>
      <w:r>
        <w:rPr>
          <w:rFonts w:ascii="Calibri"/>
          <w:spacing w:val="-2"/>
          <w:sz w:val="22"/>
        </w:rPr>
        <w:t>2021/22:</w:t>
      </w:r>
    </w:p>
    <w:p>
      <w:pPr>
        <w:pStyle w:val="ListParagraph"/>
        <w:numPr>
          <w:ilvl w:val="0"/>
          <w:numId w:val="44"/>
        </w:numPr>
        <w:tabs>
          <w:tab w:pos="2159" w:val="left" w:leader="none"/>
          <w:tab w:pos="2160" w:val="left" w:leader="none"/>
        </w:tabs>
        <w:spacing w:line="240" w:lineRule="auto" w:before="21" w:after="0"/>
        <w:ind w:left="2159" w:right="0" w:hanging="360"/>
        <w:jc w:val="left"/>
        <w:rPr>
          <w:rFonts w:ascii="Calibri" w:hAnsi="Calibri"/>
          <w:sz w:val="22"/>
        </w:rPr>
      </w:pPr>
      <w:r>
        <w:rPr>
          <w:rFonts w:ascii="Calibri" w:hAnsi="Calibri"/>
          <w:sz w:val="22"/>
        </w:rPr>
        <w:t>Entry</w:t>
      </w:r>
      <w:r>
        <w:rPr>
          <w:rFonts w:ascii="Calibri" w:hAnsi="Calibri"/>
          <w:spacing w:val="-3"/>
          <w:sz w:val="22"/>
        </w:rPr>
        <w:t> </w:t>
      </w:r>
      <w:r>
        <w:rPr>
          <w:rFonts w:ascii="Calibri" w:hAnsi="Calibri"/>
          <w:sz w:val="22"/>
        </w:rPr>
        <w:t>Level</w:t>
      </w:r>
      <w:r>
        <w:rPr>
          <w:rFonts w:ascii="Calibri" w:hAnsi="Calibri"/>
          <w:spacing w:val="-1"/>
          <w:sz w:val="22"/>
        </w:rPr>
        <w:t> </w:t>
      </w:r>
      <w:r>
        <w:rPr>
          <w:rFonts w:ascii="Calibri" w:hAnsi="Calibri"/>
          <w:sz w:val="22"/>
        </w:rPr>
        <w:t>1,</w:t>
      </w:r>
      <w:r>
        <w:rPr>
          <w:rFonts w:ascii="Calibri" w:hAnsi="Calibri"/>
          <w:spacing w:val="-1"/>
          <w:sz w:val="22"/>
        </w:rPr>
        <w:t> </w:t>
      </w:r>
      <w:r>
        <w:rPr>
          <w:rFonts w:ascii="Calibri" w:hAnsi="Calibri"/>
          <w:sz w:val="22"/>
        </w:rPr>
        <w:t>2</w:t>
      </w:r>
      <w:r>
        <w:rPr>
          <w:rFonts w:ascii="Calibri" w:hAnsi="Calibri"/>
          <w:spacing w:val="-2"/>
          <w:sz w:val="22"/>
        </w:rPr>
        <w:t> </w:t>
      </w:r>
      <w:r>
        <w:rPr>
          <w:rFonts w:ascii="Calibri" w:hAnsi="Calibri"/>
          <w:sz w:val="22"/>
        </w:rPr>
        <w:t>x</w:t>
      </w:r>
      <w:r>
        <w:rPr>
          <w:rFonts w:ascii="Calibri" w:hAnsi="Calibri"/>
          <w:spacing w:val="-1"/>
          <w:sz w:val="22"/>
        </w:rPr>
        <w:t> </w:t>
      </w:r>
      <w:r>
        <w:rPr>
          <w:rFonts w:ascii="Calibri" w:hAnsi="Calibri"/>
          <w:sz w:val="22"/>
        </w:rPr>
        <w:t>30-week</w:t>
      </w:r>
      <w:r>
        <w:rPr>
          <w:rFonts w:ascii="Calibri" w:hAnsi="Calibri"/>
          <w:spacing w:val="-1"/>
          <w:sz w:val="22"/>
        </w:rPr>
        <w:t> </w:t>
      </w:r>
      <w:r>
        <w:rPr>
          <w:rFonts w:ascii="Calibri" w:hAnsi="Calibri"/>
          <w:sz w:val="22"/>
        </w:rPr>
        <w:t>courses.</w:t>
      </w:r>
      <w:r>
        <w:rPr>
          <w:rFonts w:ascii="Calibri" w:hAnsi="Calibri"/>
          <w:spacing w:val="71"/>
          <w:w w:val="150"/>
          <w:sz w:val="22"/>
        </w:rPr>
        <w:t> </w:t>
      </w:r>
      <w:r>
        <w:rPr>
          <w:rFonts w:ascii="Calibri" w:hAnsi="Calibri"/>
          <w:sz w:val="22"/>
        </w:rPr>
        <w:t>32</w:t>
      </w:r>
      <w:r>
        <w:rPr>
          <w:rFonts w:ascii="Calibri" w:hAnsi="Calibri"/>
          <w:spacing w:val="-2"/>
          <w:sz w:val="22"/>
        </w:rPr>
        <w:t> </w:t>
      </w:r>
      <w:r>
        <w:rPr>
          <w:rFonts w:ascii="Calibri" w:hAnsi="Calibri"/>
          <w:sz w:val="22"/>
        </w:rPr>
        <w:t>members</w:t>
      </w:r>
      <w:r>
        <w:rPr>
          <w:rFonts w:ascii="Calibri" w:hAnsi="Calibri"/>
          <w:spacing w:val="-3"/>
          <w:sz w:val="22"/>
        </w:rPr>
        <w:t> </w:t>
      </w:r>
      <w:r>
        <w:rPr>
          <w:rFonts w:ascii="Calibri" w:hAnsi="Calibri"/>
          <w:sz w:val="22"/>
        </w:rPr>
        <w:t>of</w:t>
      </w:r>
      <w:r>
        <w:rPr>
          <w:rFonts w:ascii="Calibri" w:hAnsi="Calibri"/>
          <w:spacing w:val="-2"/>
          <w:sz w:val="22"/>
        </w:rPr>
        <w:t> </w:t>
      </w:r>
      <w:r>
        <w:rPr>
          <w:rFonts w:ascii="Calibri" w:hAnsi="Calibri"/>
          <w:sz w:val="22"/>
        </w:rPr>
        <w:t>staff</w:t>
      </w:r>
      <w:r>
        <w:rPr>
          <w:rFonts w:ascii="Calibri" w:hAnsi="Calibri"/>
          <w:spacing w:val="-1"/>
          <w:sz w:val="22"/>
        </w:rPr>
        <w:t> </w:t>
      </w:r>
      <w:r>
        <w:rPr>
          <w:rFonts w:ascii="Calibri" w:hAnsi="Calibri"/>
          <w:spacing w:val="-2"/>
          <w:sz w:val="22"/>
        </w:rPr>
        <w:t>attending</w:t>
      </w:r>
    </w:p>
    <w:p>
      <w:pPr>
        <w:pStyle w:val="ListParagraph"/>
        <w:numPr>
          <w:ilvl w:val="0"/>
          <w:numId w:val="44"/>
        </w:numPr>
        <w:tabs>
          <w:tab w:pos="2159" w:val="left" w:leader="none"/>
          <w:tab w:pos="2160" w:val="left" w:leader="none"/>
        </w:tabs>
        <w:spacing w:line="240" w:lineRule="auto" w:before="22" w:after="0"/>
        <w:ind w:left="2159" w:right="0" w:hanging="360"/>
        <w:jc w:val="left"/>
        <w:rPr>
          <w:rFonts w:ascii="Calibri" w:hAnsi="Calibri"/>
          <w:sz w:val="22"/>
        </w:rPr>
      </w:pPr>
      <w:r>
        <w:rPr>
          <w:rFonts w:ascii="Calibri" w:hAnsi="Calibri"/>
          <w:sz w:val="22"/>
        </w:rPr>
        <w:t>Entry</w:t>
      </w:r>
      <w:r>
        <w:rPr>
          <w:rFonts w:ascii="Calibri" w:hAnsi="Calibri"/>
          <w:spacing w:val="-3"/>
          <w:sz w:val="22"/>
        </w:rPr>
        <w:t> </w:t>
      </w:r>
      <w:r>
        <w:rPr>
          <w:rFonts w:ascii="Calibri" w:hAnsi="Calibri"/>
          <w:sz w:val="22"/>
        </w:rPr>
        <w:t>Level</w:t>
      </w:r>
      <w:r>
        <w:rPr>
          <w:rFonts w:ascii="Calibri" w:hAnsi="Calibri"/>
          <w:spacing w:val="-1"/>
          <w:sz w:val="22"/>
        </w:rPr>
        <w:t> </w:t>
      </w:r>
      <w:r>
        <w:rPr>
          <w:rFonts w:ascii="Calibri" w:hAnsi="Calibri"/>
          <w:sz w:val="22"/>
        </w:rPr>
        <w:t>2,</w:t>
      </w:r>
      <w:r>
        <w:rPr>
          <w:rFonts w:ascii="Calibri" w:hAnsi="Calibri"/>
          <w:spacing w:val="-1"/>
          <w:sz w:val="22"/>
        </w:rPr>
        <w:t> </w:t>
      </w:r>
      <w:r>
        <w:rPr>
          <w:rFonts w:ascii="Calibri" w:hAnsi="Calibri"/>
          <w:sz w:val="22"/>
        </w:rPr>
        <w:t>1</w:t>
      </w:r>
      <w:r>
        <w:rPr>
          <w:rFonts w:ascii="Calibri" w:hAnsi="Calibri"/>
          <w:spacing w:val="-3"/>
          <w:sz w:val="22"/>
        </w:rPr>
        <w:t> </w:t>
      </w:r>
      <w:r>
        <w:rPr>
          <w:rFonts w:ascii="Calibri" w:hAnsi="Calibri"/>
          <w:sz w:val="22"/>
        </w:rPr>
        <w:t>x</w:t>
      </w:r>
      <w:r>
        <w:rPr>
          <w:rFonts w:ascii="Calibri" w:hAnsi="Calibri"/>
          <w:spacing w:val="-1"/>
          <w:sz w:val="22"/>
        </w:rPr>
        <w:t> </w:t>
      </w:r>
      <w:r>
        <w:rPr>
          <w:rFonts w:ascii="Calibri" w:hAnsi="Calibri"/>
          <w:sz w:val="22"/>
        </w:rPr>
        <w:t>30-week</w:t>
      </w:r>
      <w:r>
        <w:rPr>
          <w:rFonts w:ascii="Calibri" w:hAnsi="Calibri"/>
          <w:spacing w:val="-1"/>
          <w:sz w:val="22"/>
        </w:rPr>
        <w:t> </w:t>
      </w:r>
      <w:r>
        <w:rPr>
          <w:rFonts w:ascii="Calibri" w:hAnsi="Calibri"/>
          <w:sz w:val="22"/>
        </w:rPr>
        <w:t>course.</w:t>
      </w:r>
      <w:r>
        <w:rPr>
          <w:rFonts w:ascii="Calibri" w:hAnsi="Calibri"/>
          <w:spacing w:val="47"/>
          <w:sz w:val="22"/>
        </w:rPr>
        <w:t> </w:t>
      </w:r>
      <w:r>
        <w:rPr>
          <w:rFonts w:ascii="Calibri" w:hAnsi="Calibri"/>
          <w:sz w:val="22"/>
        </w:rPr>
        <w:t>6</w:t>
      </w:r>
      <w:r>
        <w:rPr>
          <w:rFonts w:ascii="Calibri" w:hAnsi="Calibri"/>
          <w:spacing w:val="-2"/>
          <w:sz w:val="22"/>
        </w:rPr>
        <w:t> </w:t>
      </w:r>
      <w:r>
        <w:rPr>
          <w:rFonts w:ascii="Calibri" w:hAnsi="Calibri"/>
          <w:sz w:val="22"/>
        </w:rPr>
        <w:t>members</w:t>
      </w:r>
      <w:r>
        <w:rPr>
          <w:rFonts w:ascii="Calibri" w:hAnsi="Calibri"/>
          <w:spacing w:val="-1"/>
          <w:sz w:val="22"/>
        </w:rPr>
        <w:t> </w:t>
      </w:r>
      <w:r>
        <w:rPr>
          <w:rFonts w:ascii="Calibri" w:hAnsi="Calibri"/>
          <w:sz w:val="22"/>
        </w:rPr>
        <w:t>of</w:t>
      </w:r>
      <w:r>
        <w:rPr>
          <w:rFonts w:ascii="Calibri" w:hAnsi="Calibri"/>
          <w:spacing w:val="-2"/>
          <w:sz w:val="22"/>
        </w:rPr>
        <w:t> </w:t>
      </w:r>
      <w:r>
        <w:rPr>
          <w:rFonts w:ascii="Calibri" w:hAnsi="Calibri"/>
          <w:sz w:val="22"/>
        </w:rPr>
        <w:t>staff</w:t>
      </w:r>
      <w:r>
        <w:rPr>
          <w:rFonts w:ascii="Calibri" w:hAnsi="Calibri"/>
          <w:spacing w:val="-2"/>
          <w:sz w:val="22"/>
        </w:rPr>
        <w:t> attending</w:t>
      </w:r>
    </w:p>
    <w:p>
      <w:pPr>
        <w:pStyle w:val="ListParagraph"/>
        <w:numPr>
          <w:ilvl w:val="0"/>
          <w:numId w:val="44"/>
        </w:numPr>
        <w:tabs>
          <w:tab w:pos="2159" w:val="left" w:leader="none"/>
          <w:tab w:pos="2160" w:val="left" w:leader="none"/>
        </w:tabs>
        <w:spacing w:line="240" w:lineRule="auto" w:before="21" w:after="0"/>
        <w:ind w:left="2159" w:right="0" w:hanging="360"/>
        <w:jc w:val="left"/>
        <w:rPr>
          <w:rFonts w:ascii="Calibri" w:hAnsi="Calibri"/>
          <w:sz w:val="22"/>
        </w:rPr>
      </w:pPr>
      <w:r>
        <w:rPr>
          <w:rFonts w:ascii="Calibri" w:hAnsi="Calibri"/>
          <w:sz w:val="22"/>
        </w:rPr>
        <w:t>Foundation</w:t>
      </w:r>
      <w:r>
        <w:rPr>
          <w:rFonts w:ascii="Calibri" w:hAnsi="Calibri"/>
          <w:spacing w:val="-2"/>
          <w:sz w:val="22"/>
        </w:rPr>
        <w:t> </w:t>
      </w:r>
      <w:r>
        <w:rPr>
          <w:rFonts w:ascii="Calibri" w:hAnsi="Calibri"/>
          <w:sz w:val="22"/>
        </w:rPr>
        <w:t>Level</w:t>
      </w:r>
      <w:r>
        <w:rPr>
          <w:rFonts w:ascii="Calibri" w:hAnsi="Calibri"/>
          <w:spacing w:val="-1"/>
          <w:sz w:val="22"/>
        </w:rPr>
        <w:t> </w:t>
      </w:r>
      <w:r>
        <w:rPr>
          <w:rFonts w:ascii="Calibri" w:hAnsi="Calibri"/>
          <w:sz w:val="22"/>
        </w:rPr>
        <w:t>2,</w:t>
      </w:r>
      <w:r>
        <w:rPr>
          <w:rFonts w:ascii="Calibri" w:hAnsi="Calibri"/>
          <w:spacing w:val="-2"/>
          <w:sz w:val="22"/>
        </w:rPr>
        <w:t> </w:t>
      </w:r>
      <w:r>
        <w:rPr>
          <w:rFonts w:ascii="Calibri" w:hAnsi="Calibri"/>
          <w:sz w:val="22"/>
        </w:rPr>
        <w:t>1</w:t>
      </w:r>
      <w:r>
        <w:rPr>
          <w:rFonts w:ascii="Calibri" w:hAnsi="Calibri"/>
          <w:spacing w:val="-1"/>
          <w:sz w:val="22"/>
        </w:rPr>
        <w:t> </w:t>
      </w:r>
      <w:r>
        <w:rPr>
          <w:rFonts w:ascii="Calibri" w:hAnsi="Calibri"/>
          <w:sz w:val="22"/>
        </w:rPr>
        <w:t>x</w:t>
      </w:r>
      <w:r>
        <w:rPr>
          <w:rFonts w:ascii="Calibri" w:hAnsi="Calibri"/>
          <w:spacing w:val="-2"/>
          <w:sz w:val="22"/>
        </w:rPr>
        <w:t> </w:t>
      </w:r>
      <w:r>
        <w:rPr>
          <w:rFonts w:ascii="Calibri" w:hAnsi="Calibri"/>
          <w:sz w:val="22"/>
        </w:rPr>
        <w:t>2</w:t>
      </w:r>
      <w:r>
        <w:rPr>
          <w:rFonts w:ascii="Calibri" w:hAnsi="Calibri"/>
          <w:spacing w:val="-2"/>
          <w:sz w:val="22"/>
        </w:rPr>
        <w:t> </w:t>
      </w:r>
      <w:r>
        <w:rPr>
          <w:rFonts w:ascii="Calibri" w:hAnsi="Calibri"/>
          <w:sz w:val="22"/>
        </w:rPr>
        <w:t>30-week</w:t>
      </w:r>
      <w:r>
        <w:rPr>
          <w:rFonts w:ascii="Calibri" w:hAnsi="Calibri"/>
          <w:spacing w:val="-2"/>
          <w:sz w:val="22"/>
        </w:rPr>
        <w:t> </w:t>
      </w:r>
      <w:r>
        <w:rPr>
          <w:rFonts w:ascii="Calibri" w:hAnsi="Calibri"/>
          <w:sz w:val="22"/>
        </w:rPr>
        <w:t>course.</w:t>
      </w:r>
      <w:r>
        <w:rPr>
          <w:rFonts w:ascii="Calibri" w:hAnsi="Calibri"/>
          <w:spacing w:val="47"/>
          <w:sz w:val="22"/>
        </w:rPr>
        <w:t> </w:t>
      </w:r>
      <w:r>
        <w:rPr>
          <w:rFonts w:ascii="Calibri" w:hAnsi="Calibri"/>
          <w:sz w:val="22"/>
        </w:rPr>
        <w:t>6</w:t>
      </w:r>
      <w:r>
        <w:rPr>
          <w:rFonts w:ascii="Calibri" w:hAnsi="Calibri"/>
          <w:spacing w:val="-2"/>
          <w:sz w:val="22"/>
        </w:rPr>
        <w:t> </w:t>
      </w:r>
      <w:r>
        <w:rPr>
          <w:rFonts w:ascii="Calibri" w:hAnsi="Calibri"/>
          <w:sz w:val="22"/>
        </w:rPr>
        <w:t>members</w:t>
      </w:r>
      <w:r>
        <w:rPr>
          <w:rFonts w:ascii="Calibri" w:hAnsi="Calibri"/>
          <w:spacing w:val="-1"/>
          <w:sz w:val="22"/>
        </w:rPr>
        <w:t> </w:t>
      </w:r>
      <w:r>
        <w:rPr>
          <w:rFonts w:ascii="Calibri" w:hAnsi="Calibri"/>
          <w:sz w:val="22"/>
        </w:rPr>
        <w:t>of</w:t>
      </w:r>
      <w:r>
        <w:rPr>
          <w:rFonts w:ascii="Calibri" w:hAnsi="Calibri"/>
          <w:spacing w:val="-2"/>
          <w:sz w:val="22"/>
        </w:rPr>
        <w:t> </w:t>
      </w:r>
      <w:r>
        <w:rPr>
          <w:rFonts w:ascii="Calibri" w:hAnsi="Calibri"/>
          <w:sz w:val="22"/>
        </w:rPr>
        <w:t>staff</w:t>
      </w:r>
      <w:r>
        <w:rPr>
          <w:rFonts w:ascii="Calibri" w:hAnsi="Calibri"/>
          <w:spacing w:val="-3"/>
          <w:sz w:val="22"/>
        </w:rPr>
        <w:t> </w:t>
      </w:r>
      <w:r>
        <w:rPr>
          <w:rFonts w:ascii="Calibri" w:hAnsi="Calibri"/>
          <w:spacing w:val="-2"/>
          <w:sz w:val="22"/>
        </w:rPr>
        <w:t>attending</w:t>
      </w:r>
    </w:p>
    <w:p>
      <w:pPr>
        <w:pStyle w:val="ListParagraph"/>
        <w:numPr>
          <w:ilvl w:val="0"/>
          <w:numId w:val="44"/>
        </w:numPr>
        <w:tabs>
          <w:tab w:pos="2159" w:val="left" w:leader="none"/>
          <w:tab w:pos="2160" w:val="left" w:leader="none"/>
        </w:tabs>
        <w:spacing w:line="240" w:lineRule="auto" w:before="21" w:after="0"/>
        <w:ind w:left="2159" w:right="0" w:hanging="360"/>
        <w:jc w:val="left"/>
        <w:rPr>
          <w:rFonts w:ascii="Calibri" w:hAnsi="Calibri"/>
          <w:sz w:val="22"/>
        </w:rPr>
      </w:pPr>
      <w:r>
        <w:rPr>
          <w:rFonts w:ascii="Calibri" w:hAnsi="Calibri"/>
          <w:sz w:val="22"/>
        </w:rPr>
        <w:t>Intermediate</w:t>
      </w:r>
      <w:r>
        <w:rPr>
          <w:rFonts w:ascii="Calibri" w:hAnsi="Calibri"/>
          <w:spacing w:val="-3"/>
          <w:sz w:val="22"/>
        </w:rPr>
        <w:t> </w:t>
      </w:r>
      <w:r>
        <w:rPr>
          <w:rFonts w:ascii="Calibri" w:hAnsi="Calibri"/>
          <w:sz w:val="22"/>
        </w:rPr>
        <w:t>Level</w:t>
      </w:r>
      <w:r>
        <w:rPr>
          <w:rFonts w:ascii="Calibri" w:hAnsi="Calibri"/>
          <w:spacing w:val="-1"/>
          <w:sz w:val="22"/>
        </w:rPr>
        <w:t> </w:t>
      </w:r>
      <w:r>
        <w:rPr>
          <w:rFonts w:ascii="Calibri" w:hAnsi="Calibri"/>
          <w:sz w:val="22"/>
        </w:rPr>
        <w:t>30-week</w:t>
      </w:r>
      <w:r>
        <w:rPr>
          <w:rFonts w:ascii="Calibri" w:hAnsi="Calibri"/>
          <w:spacing w:val="-2"/>
          <w:sz w:val="22"/>
        </w:rPr>
        <w:t> </w:t>
      </w:r>
      <w:r>
        <w:rPr>
          <w:rFonts w:ascii="Calibri" w:hAnsi="Calibri"/>
          <w:sz w:val="22"/>
        </w:rPr>
        <w:t>course.</w:t>
      </w:r>
      <w:r>
        <w:rPr>
          <w:rFonts w:ascii="Calibri" w:hAnsi="Calibri"/>
          <w:spacing w:val="47"/>
          <w:sz w:val="22"/>
        </w:rPr>
        <w:t> </w:t>
      </w:r>
      <w:r>
        <w:rPr>
          <w:rFonts w:ascii="Calibri" w:hAnsi="Calibri"/>
          <w:sz w:val="22"/>
        </w:rPr>
        <w:t>10</w:t>
      </w:r>
      <w:r>
        <w:rPr>
          <w:rFonts w:ascii="Calibri" w:hAnsi="Calibri"/>
          <w:spacing w:val="-1"/>
          <w:sz w:val="22"/>
        </w:rPr>
        <w:t> </w:t>
      </w:r>
      <w:r>
        <w:rPr>
          <w:rFonts w:ascii="Calibri" w:hAnsi="Calibri"/>
          <w:sz w:val="22"/>
        </w:rPr>
        <w:t>members</w:t>
      </w:r>
      <w:r>
        <w:rPr>
          <w:rFonts w:ascii="Calibri" w:hAnsi="Calibri"/>
          <w:spacing w:val="-1"/>
          <w:sz w:val="22"/>
        </w:rPr>
        <w:t> </w:t>
      </w:r>
      <w:r>
        <w:rPr>
          <w:rFonts w:ascii="Calibri" w:hAnsi="Calibri"/>
          <w:sz w:val="22"/>
        </w:rPr>
        <w:t>of</w:t>
      </w:r>
      <w:r>
        <w:rPr>
          <w:rFonts w:ascii="Calibri" w:hAnsi="Calibri"/>
          <w:spacing w:val="-3"/>
          <w:sz w:val="22"/>
        </w:rPr>
        <w:t> </w:t>
      </w:r>
      <w:r>
        <w:rPr>
          <w:rFonts w:ascii="Calibri" w:hAnsi="Calibri"/>
          <w:spacing w:val="-2"/>
          <w:sz w:val="22"/>
        </w:rPr>
        <w:t>staff</w:t>
      </w:r>
    </w:p>
    <w:p>
      <w:pPr>
        <w:pStyle w:val="ListParagraph"/>
        <w:numPr>
          <w:ilvl w:val="0"/>
          <w:numId w:val="44"/>
        </w:numPr>
        <w:tabs>
          <w:tab w:pos="2159" w:val="left" w:leader="none"/>
          <w:tab w:pos="2160" w:val="left" w:leader="none"/>
        </w:tabs>
        <w:spacing w:line="240" w:lineRule="auto" w:before="21" w:after="0"/>
        <w:ind w:left="2159" w:right="0" w:hanging="360"/>
        <w:jc w:val="left"/>
        <w:rPr>
          <w:rFonts w:ascii="Calibri" w:hAnsi="Calibri"/>
          <w:sz w:val="22"/>
        </w:rPr>
      </w:pPr>
      <w:r>
        <w:rPr>
          <w:rFonts w:ascii="Calibri" w:hAnsi="Calibri"/>
          <w:sz w:val="22"/>
        </w:rPr>
        <w:t>Higher</w:t>
      </w:r>
      <w:r>
        <w:rPr>
          <w:rFonts w:ascii="Calibri" w:hAnsi="Calibri"/>
          <w:spacing w:val="-3"/>
          <w:sz w:val="22"/>
        </w:rPr>
        <w:t> </w:t>
      </w:r>
      <w:r>
        <w:rPr>
          <w:rFonts w:ascii="Calibri" w:hAnsi="Calibri"/>
          <w:sz w:val="22"/>
        </w:rPr>
        <w:t>Level</w:t>
      </w:r>
      <w:r>
        <w:rPr>
          <w:rFonts w:ascii="Calibri" w:hAnsi="Calibri"/>
          <w:spacing w:val="-1"/>
          <w:sz w:val="22"/>
        </w:rPr>
        <w:t> </w:t>
      </w:r>
      <w:r>
        <w:rPr>
          <w:rFonts w:ascii="Calibri" w:hAnsi="Calibri"/>
          <w:sz w:val="22"/>
        </w:rPr>
        <w:t>30-week</w:t>
      </w:r>
      <w:r>
        <w:rPr>
          <w:rFonts w:ascii="Calibri" w:hAnsi="Calibri"/>
          <w:spacing w:val="-3"/>
          <w:sz w:val="22"/>
        </w:rPr>
        <w:t> </w:t>
      </w:r>
      <w:r>
        <w:rPr>
          <w:rFonts w:ascii="Calibri" w:hAnsi="Calibri"/>
          <w:sz w:val="22"/>
        </w:rPr>
        <w:t>course.</w:t>
      </w:r>
      <w:r>
        <w:rPr>
          <w:rFonts w:ascii="Calibri" w:hAnsi="Calibri"/>
          <w:spacing w:val="47"/>
          <w:sz w:val="22"/>
        </w:rPr>
        <w:t> </w:t>
      </w:r>
      <w:r>
        <w:rPr>
          <w:rFonts w:ascii="Calibri" w:hAnsi="Calibri"/>
          <w:sz w:val="22"/>
        </w:rPr>
        <w:t>8</w:t>
      </w:r>
      <w:r>
        <w:rPr>
          <w:rFonts w:ascii="Calibri" w:hAnsi="Calibri"/>
          <w:spacing w:val="-1"/>
          <w:sz w:val="22"/>
        </w:rPr>
        <w:t> </w:t>
      </w:r>
      <w:r>
        <w:rPr>
          <w:rFonts w:ascii="Calibri" w:hAnsi="Calibri"/>
          <w:sz w:val="22"/>
        </w:rPr>
        <w:t>members</w:t>
      </w:r>
      <w:r>
        <w:rPr>
          <w:rFonts w:ascii="Calibri" w:hAnsi="Calibri"/>
          <w:spacing w:val="-1"/>
          <w:sz w:val="22"/>
        </w:rPr>
        <w:t> </w:t>
      </w:r>
      <w:r>
        <w:rPr>
          <w:rFonts w:ascii="Calibri" w:hAnsi="Calibri"/>
          <w:sz w:val="22"/>
        </w:rPr>
        <w:t>of</w:t>
      </w:r>
      <w:r>
        <w:rPr>
          <w:rFonts w:ascii="Calibri" w:hAnsi="Calibri"/>
          <w:spacing w:val="-2"/>
          <w:sz w:val="22"/>
        </w:rPr>
        <w:t> staff.</w:t>
      </w:r>
    </w:p>
    <w:p>
      <w:pPr>
        <w:pStyle w:val="BodyText"/>
        <w:spacing w:before="6"/>
        <w:rPr>
          <w:rFonts w:ascii="Calibri"/>
          <w:sz w:val="25"/>
        </w:rPr>
      </w:pPr>
    </w:p>
    <w:p>
      <w:pPr>
        <w:spacing w:line="259" w:lineRule="auto" w:before="0"/>
        <w:ind w:left="1440" w:right="1613" w:firstLine="0"/>
        <w:jc w:val="both"/>
        <w:rPr>
          <w:rFonts w:ascii="Calibri" w:hAnsi="Calibri"/>
          <w:sz w:val="22"/>
        </w:rPr>
      </w:pPr>
      <w:r>
        <w:rPr>
          <w:rFonts w:ascii="Calibri" w:hAnsi="Calibri"/>
          <w:sz w:val="22"/>
        </w:rPr>
        <w:t>In</w:t>
      </w:r>
      <w:r>
        <w:rPr>
          <w:rFonts w:ascii="Calibri" w:hAnsi="Calibri"/>
          <w:spacing w:val="-2"/>
          <w:sz w:val="22"/>
        </w:rPr>
        <w:t> </w:t>
      </w:r>
      <w:r>
        <w:rPr>
          <w:rFonts w:ascii="Calibri" w:hAnsi="Calibri"/>
          <w:sz w:val="22"/>
        </w:rPr>
        <w:t>addition</w:t>
      </w:r>
      <w:r>
        <w:rPr>
          <w:rFonts w:ascii="Calibri" w:hAnsi="Calibri"/>
          <w:spacing w:val="-3"/>
          <w:sz w:val="22"/>
        </w:rPr>
        <w:t> </w:t>
      </w:r>
      <w:r>
        <w:rPr>
          <w:rFonts w:ascii="Calibri" w:hAnsi="Calibri"/>
          <w:sz w:val="22"/>
        </w:rPr>
        <w:t>to</w:t>
      </w:r>
      <w:r>
        <w:rPr>
          <w:rFonts w:ascii="Calibri" w:hAnsi="Calibri"/>
          <w:spacing w:val="-2"/>
          <w:sz w:val="22"/>
        </w:rPr>
        <w:t> </w:t>
      </w:r>
      <w:r>
        <w:rPr>
          <w:rFonts w:ascii="Calibri" w:hAnsi="Calibri"/>
          <w:sz w:val="22"/>
        </w:rPr>
        <w:t>these</w:t>
      </w:r>
      <w:r>
        <w:rPr>
          <w:rFonts w:ascii="Calibri" w:hAnsi="Calibri"/>
          <w:spacing w:val="-3"/>
          <w:sz w:val="22"/>
        </w:rPr>
        <w:t> </w:t>
      </w:r>
      <w:r>
        <w:rPr>
          <w:rFonts w:ascii="Calibri" w:hAnsi="Calibri"/>
          <w:sz w:val="22"/>
        </w:rPr>
        <w:t>mainstream</w:t>
      </w:r>
      <w:r>
        <w:rPr>
          <w:rFonts w:ascii="Calibri" w:hAnsi="Calibri"/>
          <w:spacing w:val="-2"/>
          <w:sz w:val="22"/>
        </w:rPr>
        <w:t> </w:t>
      </w:r>
      <w:r>
        <w:rPr>
          <w:rFonts w:ascii="Calibri" w:hAnsi="Calibri"/>
          <w:sz w:val="22"/>
        </w:rPr>
        <w:t>courses,</w:t>
      </w:r>
      <w:r>
        <w:rPr>
          <w:rFonts w:ascii="Calibri" w:hAnsi="Calibri"/>
          <w:spacing w:val="-2"/>
          <w:sz w:val="22"/>
        </w:rPr>
        <w:t> </w:t>
      </w:r>
      <w:r>
        <w:rPr>
          <w:rFonts w:ascii="Calibri" w:hAnsi="Calibri"/>
          <w:sz w:val="22"/>
        </w:rPr>
        <w:t>we’ve</w:t>
      </w:r>
      <w:r>
        <w:rPr>
          <w:rFonts w:ascii="Calibri" w:hAnsi="Calibri"/>
          <w:spacing w:val="-2"/>
          <w:sz w:val="22"/>
        </w:rPr>
        <w:t> </w:t>
      </w:r>
      <w:r>
        <w:rPr>
          <w:rFonts w:ascii="Calibri" w:hAnsi="Calibri"/>
          <w:sz w:val="22"/>
        </w:rPr>
        <w:t>offered</w:t>
      </w:r>
      <w:r>
        <w:rPr>
          <w:rFonts w:ascii="Calibri" w:hAnsi="Calibri"/>
          <w:spacing w:val="-2"/>
          <w:sz w:val="22"/>
        </w:rPr>
        <w:t> </w:t>
      </w:r>
      <w:r>
        <w:rPr>
          <w:rFonts w:ascii="Calibri" w:hAnsi="Calibri"/>
          <w:sz w:val="22"/>
        </w:rPr>
        <w:t>staff</w:t>
      </w:r>
      <w:r>
        <w:rPr>
          <w:rFonts w:ascii="Calibri" w:hAnsi="Calibri"/>
          <w:spacing w:val="-3"/>
          <w:sz w:val="22"/>
        </w:rPr>
        <w:t> </w:t>
      </w:r>
      <w:r>
        <w:rPr>
          <w:rFonts w:ascii="Calibri" w:hAnsi="Calibri"/>
          <w:sz w:val="22"/>
        </w:rPr>
        <w:t>the</w:t>
      </w:r>
      <w:r>
        <w:rPr>
          <w:rFonts w:ascii="Calibri" w:hAnsi="Calibri"/>
          <w:spacing w:val="-3"/>
          <w:sz w:val="22"/>
        </w:rPr>
        <w:t> </w:t>
      </w:r>
      <w:r>
        <w:rPr>
          <w:rFonts w:ascii="Calibri" w:hAnsi="Calibri"/>
          <w:sz w:val="22"/>
        </w:rPr>
        <w:t>opportunity</w:t>
      </w:r>
      <w:r>
        <w:rPr>
          <w:rFonts w:ascii="Calibri" w:hAnsi="Calibri"/>
          <w:spacing w:val="-2"/>
          <w:sz w:val="22"/>
        </w:rPr>
        <w:t> </w:t>
      </w:r>
      <w:r>
        <w:rPr>
          <w:rFonts w:ascii="Calibri" w:hAnsi="Calibri"/>
          <w:sz w:val="22"/>
        </w:rPr>
        <w:t>to</w:t>
      </w:r>
      <w:r>
        <w:rPr>
          <w:rFonts w:ascii="Calibri" w:hAnsi="Calibri"/>
          <w:spacing w:val="-2"/>
          <w:sz w:val="22"/>
        </w:rPr>
        <w:t> </w:t>
      </w:r>
      <w:r>
        <w:rPr>
          <w:rFonts w:ascii="Calibri" w:hAnsi="Calibri"/>
          <w:sz w:val="22"/>
        </w:rPr>
        <w:t>meet</w:t>
      </w:r>
      <w:r>
        <w:rPr>
          <w:rFonts w:ascii="Calibri" w:hAnsi="Calibri"/>
          <w:spacing w:val="-2"/>
          <w:sz w:val="22"/>
        </w:rPr>
        <w:t> </w:t>
      </w:r>
      <w:r>
        <w:rPr>
          <w:rFonts w:ascii="Calibri" w:hAnsi="Calibri"/>
          <w:sz w:val="22"/>
        </w:rPr>
        <w:t>and</w:t>
      </w:r>
      <w:r>
        <w:rPr>
          <w:rFonts w:ascii="Calibri" w:hAnsi="Calibri"/>
          <w:spacing w:val="-3"/>
          <w:sz w:val="22"/>
        </w:rPr>
        <w:t> </w:t>
      </w:r>
      <w:r>
        <w:rPr>
          <w:rFonts w:ascii="Calibri" w:hAnsi="Calibri"/>
          <w:sz w:val="22"/>
        </w:rPr>
        <w:t>use</w:t>
      </w:r>
      <w:r>
        <w:rPr>
          <w:rFonts w:ascii="Calibri" w:hAnsi="Calibri"/>
          <w:spacing w:val="-3"/>
          <w:sz w:val="22"/>
        </w:rPr>
        <w:t> </w:t>
      </w:r>
      <w:r>
        <w:rPr>
          <w:rFonts w:ascii="Calibri" w:hAnsi="Calibri"/>
          <w:sz w:val="22"/>
        </w:rPr>
        <w:t>their Welsh</w:t>
      </w:r>
      <w:r>
        <w:rPr>
          <w:rFonts w:ascii="Calibri" w:hAnsi="Calibri"/>
          <w:spacing w:val="-5"/>
          <w:sz w:val="22"/>
        </w:rPr>
        <w:t> </w:t>
      </w:r>
      <w:r>
        <w:rPr>
          <w:rFonts w:ascii="Calibri" w:hAnsi="Calibri"/>
          <w:sz w:val="22"/>
        </w:rPr>
        <w:t>language</w:t>
      </w:r>
      <w:r>
        <w:rPr>
          <w:rFonts w:ascii="Calibri" w:hAnsi="Calibri"/>
          <w:spacing w:val="-2"/>
          <w:sz w:val="22"/>
        </w:rPr>
        <w:t> </w:t>
      </w:r>
      <w:r>
        <w:rPr>
          <w:rFonts w:ascii="Calibri" w:hAnsi="Calibri"/>
          <w:sz w:val="22"/>
        </w:rPr>
        <w:t>skills</w:t>
      </w:r>
      <w:r>
        <w:rPr>
          <w:rFonts w:ascii="Calibri" w:hAnsi="Calibri"/>
          <w:spacing w:val="-2"/>
          <w:sz w:val="22"/>
        </w:rPr>
        <w:t> </w:t>
      </w:r>
      <w:r>
        <w:rPr>
          <w:rFonts w:ascii="Calibri" w:hAnsi="Calibri"/>
          <w:sz w:val="22"/>
        </w:rPr>
        <w:t>in</w:t>
      </w:r>
      <w:r>
        <w:rPr>
          <w:rFonts w:ascii="Calibri" w:hAnsi="Calibri"/>
          <w:spacing w:val="-1"/>
          <w:sz w:val="22"/>
        </w:rPr>
        <w:t> </w:t>
      </w:r>
      <w:r>
        <w:rPr>
          <w:rFonts w:ascii="Calibri" w:hAnsi="Calibri"/>
          <w:sz w:val="22"/>
        </w:rPr>
        <w:t>‘Clybiau</w:t>
      </w:r>
      <w:r>
        <w:rPr>
          <w:rFonts w:ascii="Calibri" w:hAnsi="Calibri"/>
          <w:spacing w:val="-3"/>
          <w:sz w:val="22"/>
        </w:rPr>
        <w:t> </w:t>
      </w:r>
      <w:r>
        <w:rPr>
          <w:rFonts w:ascii="Calibri" w:hAnsi="Calibri"/>
          <w:sz w:val="22"/>
        </w:rPr>
        <w:t>Clonc’</w:t>
      </w:r>
      <w:r>
        <w:rPr>
          <w:rFonts w:ascii="Calibri" w:hAnsi="Calibri"/>
          <w:spacing w:val="-1"/>
          <w:sz w:val="22"/>
        </w:rPr>
        <w:t> </w:t>
      </w:r>
      <w:r>
        <w:rPr>
          <w:rFonts w:ascii="Calibri" w:hAnsi="Calibri"/>
          <w:sz w:val="22"/>
        </w:rPr>
        <w:t>to</w:t>
      </w:r>
      <w:r>
        <w:rPr>
          <w:rFonts w:ascii="Calibri" w:hAnsi="Calibri"/>
          <w:spacing w:val="-1"/>
          <w:sz w:val="22"/>
        </w:rPr>
        <w:t> </w:t>
      </w:r>
      <w:r>
        <w:rPr>
          <w:rFonts w:ascii="Calibri" w:hAnsi="Calibri"/>
          <w:sz w:val="22"/>
        </w:rPr>
        <w:t>practice</w:t>
      </w:r>
      <w:r>
        <w:rPr>
          <w:rFonts w:ascii="Calibri" w:hAnsi="Calibri"/>
          <w:spacing w:val="-2"/>
          <w:sz w:val="22"/>
        </w:rPr>
        <w:t> </w:t>
      </w:r>
      <w:r>
        <w:rPr>
          <w:rFonts w:ascii="Calibri" w:hAnsi="Calibri"/>
          <w:sz w:val="22"/>
        </w:rPr>
        <w:t>their</w:t>
      </w:r>
      <w:r>
        <w:rPr>
          <w:rFonts w:ascii="Calibri" w:hAnsi="Calibri"/>
          <w:spacing w:val="-3"/>
          <w:sz w:val="22"/>
        </w:rPr>
        <w:t> </w:t>
      </w:r>
      <w:r>
        <w:rPr>
          <w:rFonts w:ascii="Calibri" w:hAnsi="Calibri"/>
          <w:sz w:val="22"/>
        </w:rPr>
        <w:t>Welsh</w:t>
      </w:r>
      <w:r>
        <w:rPr>
          <w:rFonts w:ascii="Calibri" w:hAnsi="Calibri"/>
          <w:spacing w:val="-1"/>
          <w:sz w:val="22"/>
        </w:rPr>
        <w:t> </w:t>
      </w:r>
      <w:r>
        <w:rPr>
          <w:rFonts w:ascii="Calibri" w:hAnsi="Calibri"/>
          <w:sz w:val="22"/>
        </w:rPr>
        <w:t>in</w:t>
      </w:r>
      <w:r>
        <w:rPr>
          <w:rFonts w:ascii="Calibri" w:hAnsi="Calibri"/>
          <w:spacing w:val="-1"/>
          <w:sz w:val="22"/>
        </w:rPr>
        <w:t> </w:t>
      </w:r>
      <w:r>
        <w:rPr>
          <w:rFonts w:ascii="Calibri" w:hAnsi="Calibri"/>
          <w:sz w:val="22"/>
        </w:rPr>
        <w:t>those</w:t>
      </w:r>
      <w:r>
        <w:rPr>
          <w:rFonts w:ascii="Calibri" w:hAnsi="Calibri"/>
          <w:spacing w:val="-1"/>
          <w:sz w:val="22"/>
        </w:rPr>
        <w:t> </w:t>
      </w:r>
      <w:r>
        <w:rPr>
          <w:rFonts w:ascii="Calibri" w:hAnsi="Calibri"/>
          <w:sz w:val="22"/>
        </w:rPr>
        <w:t>sessions</w:t>
      </w:r>
      <w:r>
        <w:rPr>
          <w:rFonts w:ascii="Calibri" w:hAnsi="Calibri"/>
          <w:spacing w:val="-3"/>
          <w:sz w:val="22"/>
        </w:rPr>
        <w:t> </w:t>
      </w:r>
      <w:r>
        <w:rPr>
          <w:rFonts w:ascii="Calibri" w:hAnsi="Calibri"/>
          <w:sz w:val="22"/>
        </w:rPr>
        <w:t>in</w:t>
      </w:r>
      <w:r>
        <w:rPr>
          <w:rFonts w:ascii="Calibri" w:hAnsi="Calibri"/>
          <w:spacing w:val="-2"/>
          <w:sz w:val="22"/>
        </w:rPr>
        <w:t> </w:t>
      </w:r>
      <w:r>
        <w:rPr>
          <w:rFonts w:ascii="Calibri" w:hAnsi="Calibri"/>
          <w:sz w:val="22"/>
        </w:rPr>
        <w:t>order</w:t>
      </w:r>
      <w:r>
        <w:rPr>
          <w:rFonts w:ascii="Calibri" w:hAnsi="Calibri"/>
          <w:spacing w:val="-1"/>
          <w:sz w:val="22"/>
        </w:rPr>
        <w:t> </w:t>
      </w:r>
      <w:r>
        <w:rPr>
          <w:rFonts w:ascii="Calibri" w:hAnsi="Calibri"/>
          <w:sz w:val="22"/>
        </w:rPr>
        <w:t>to</w:t>
      </w:r>
      <w:r>
        <w:rPr>
          <w:rFonts w:ascii="Calibri" w:hAnsi="Calibri"/>
          <w:spacing w:val="-1"/>
          <w:sz w:val="22"/>
        </w:rPr>
        <w:t> </w:t>
      </w:r>
      <w:r>
        <w:rPr>
          <w:rFonts w:ascii="Calibri" w:hAnsi="Calibri"/>
          <w:spacing w:val="-2"/>
          <w:sz w:val="22"/>
        </w:rPr>
        <w:t>support</w:t>
      </w:r>
    </w:p>
    <w:p>
      <w:pPr>
        <w:spacing w:after="0" w:line="259" w:lineRule="auto"/>
        <w:jc w:val="both"/>
        <w:rPr>
          <w:rFonts w:ascii="Calibri" w:hAnsi="Calibri"/>
          <w:sz w:val="22"/>
        </w:rPr>
        <w:sectPr>
          <w:pgSz w:w="11910" w:h="16840"/>
          <w:pgMar w:header="0" w:footer="173" w:top="1400" w:bottom="360" w:left="0" w:right="0"/>
        </w:sectPr>
      </w:pPr>
    </w:p>
    <w:p>
      <w:pPr>
        <w:spacing w:line="259" w:lineRule="auto" w:before="42"/>
        <w:ind w:left="1440" w:right="1405" w:firstLine="0"/>
        <w:jc w:val="left"/>
        <w:rPr>
          <w:rFonts w:ascii="Calibri" w:hAnsi="Calibri"/>
          <w:sz w:val="22"/>
        </w:rPr>
      </w:pPr>
      <w:r>
        <w:rPr>
          <w:rFonts w:ascii="Calibri" w:hAnsi="Calibri"/>
          <w:sz w:val="22"/>
        </w:rPr>
        <w:t>staff who are learning Welsh or staff wanting to increase confidence in using their Welsh.</w:t>
      </w:r>
      <w:r>
        <w:rPr>
          <w:rFonts w:ascii="Calibri" w:hAnsi="Calibri"/>
          <w:spacing w:val="40"/>
          <w:sz w:val="22"/>
        </w:rPr>
        <w:t> </w:t>
      </w:r>
      <w:r>
        <w:rPr>
          <w:rFonts w:ascii="Calibri" w:hAnsi="Calibri"/>
          <w:sz w:val="22"/>
        </w:rPr>
        <w:t>We’ve hosted</w:t>
      </w:r>
      <w:r>
        <w:rPr>
          <w:rFonts w:ascii="Calibri" w:hAnsi="Calibri"/>
          <w:spacing w:val="-2"/>
          <w:sz w:val="22"/>
        </w:rPr>
        <w:t> </w:t>
      </w:r>
      <w:r>
        <w:rPr>
          <w:rFonts w:ascii="Calibri" w:hAnsi="Calibri"/>
          <w:sz w:val="22"/>
        </w:rPr>
        <w:t>a</w:t>
      </w:r>
      <w:r>
        <w:rPr>
          <w:rFonts w:ascii="Calibri" w:hAnsi="Calibri"/>
          <w:spacing w:val="-3"/>
          <w:sz w:val="22"/>
        </w:rPr>
        <w:t> </w:t>
      </w:r>
      <w:r>
        <w:rPr>
          <w:rFonts w:ascii="Calibri" w:hAnsi="Calibri"/>
          <w:sz w:val="22"/>
        </w:rPr>
        <w:t>number</w:t>
      </w:r>
      <w:r>
        <w:rPr>
          <w:rFonts w:ascii="Calibri" w:hAnsi="Calibri"/>
          <w:spacing w:val="-2"/>
          <w:sz w:val="22"/>
        </w:rPr>
        <w:t> </w:t>
      </w:r>
      <w:r>
        <w:rPr>
          <w:rFonts w:ascii="Calibri" w:hAnsi="Calibri"/>
          <w:sz w:val="22"/>
        </w:rPr>
        <w:t>of</w:t>
      </w:r>
      <w:r>
        <w:rPr>
          <w:rFonts w:ascii="Calibri" w:hAnsi="Calibri"/>
          <w:spacing w:val="-3"/>
          <w:sz w:val="22"/>
        </w:rPr>
        <w:t> </w:t>
      </w:r>
      <w:r>
        <w:rPr>
          <w:rFonts w:ascii="Calibri" w:hAnsi="Calibri"/>
          <w:sz w:val="22"/>
        </w:rPr>
        <w:t>those</w:t>
      </w:r>
      <w:r>
        <w:rPr>
          <w:rFonts w:ascii="Calibri" w:hAnsi="Calibri"/>
          <w:spacing w:val="-3"/>
          <w:sz w:val="22"/>
        </w:rPr>
        <w:t> </w:t>
      </w:r>
      <w:r>
        <w:rPr>
          <w:rFonts w:ascii="Calibri" w:hAnsi="Calibri"/>
          <w:sz w:val="22"/>
        </w:rPr>
        <w:t>sessions</w:t>
      </w:r>
      <w:r>
        <w:rPr>
          <w:rFonts w:ascii="Calibri" w:hAnsi="Calibri"/>
          <w:spacing w:val="-2"/>
          <w:sz w:val="22"/>
        </w:rPr>
        <w:t> </w:t>
      </w:r>
      <w:r>
        <w:rPr>
          <w:rFonts w:ascii="Calibri" w:hAnsi="Calibri"/>
          <w:sz w:val="22"/>
        </w:rPr>
        <w:t>for</w:t>
      </w:r>
      <w:r>
        <w:rPr>
          <w:rFonts w:ascii="Calibri" w:hAnsi="Calibri"/>
          <w:spacing w:val="-3"/>
          <w:sz w:val="22"/>
        </w:rPr>
        <w:t> </w:t>
      </w:r>
      <w:r>
        <w:rPr>
          <w:rFonts w:ascii="Calibri" w:hAnsi="Calibri"/>
          <w:sz w:val="22"/>
        </w:rPr>
        <w:t>each</w:t>
      </w:r>
      <w:r>
        <w:rPr>
          <w:rFonts w:ascii="Calibri" w:hAnsi="Calibri"/>
          <w:spacing w:val="-2"/>
          <w:sz w:val="22"/>
        </w:rPr>
        <w:t> </w:t>
      </w:r>
      <w:r>
        <w:rPr>
          <w:rFonts w:ascii="Calibri" w:hAnsi="Calibri"/>
          <w:sz w:val="22"/>
        </w:rPr>
        <w:t>level</w:t>
      </w:r>
      <w:r>
        <w:rPr>
          <w:rFonts w:ascii="Calibri" w:hAnsi="Calibri"/>
          <w:spacing w:val="-2"/>
          <w:sz w:val="22"/>
        </w:rPr>
        <w:t> </w:t>
      </w:r>
      <w:r>
        <w:rPr>
          <w:rFonts w:ascii="Calibri" w:hAnsi="Calibri"/>
          <w:sz w:val="22"/>
        </w:rPr>
        <w:t>during</w:t>
      </w:r>
      <w:r>
        <w:rPr>
          <w:rFonts w:ascii="Calibri" w:hAnsi="Calibri"/>
          <w:spacing w:val="-3"/>
          <w:sz w:val="22"/>
        </w:rPr>
        <w:t> </w:t>
      </w:r>
      <w:r>
        <w:rPr>
          <w:rFonts w:ascii="Calibri" w:hAnsi="Calibri"/>
          <w:sz w:val="22"/>
        </w:rPr>
        <w:t>the</w:t>
      </w:r>
      <w:r>
        <w:rPr>
          <w:rFonts w:ascii="Calibri" w:hAnsi="Calibri"/>
          <w:spacing w:val="-2"/>
          <w:sz w:val="22"/>
        </w:rPr>
        <w:t> </w:t>
      </w:r>
      <w:r>
        <w:rPr>
          <w:rFonts w:ascii="Calibri" w:hAnsi="Calibri"/>
          <w:sz w:val="22"/>
        </w:rPr>
        <w:t>year,</w:t>
      </w:r>
      <w:r>
        <w:rPr>
          <w:rFonts w:ascii="Calibri" w:hAnsi="Calibri"/>
          <w:spacing w:val="-3"/>
          <w:sz w:val="22"/>
        </w:rPr>
        <w:t> </w:t>
      </w:r>
      <w:r>
        <w:rPr>
          <w:rFonts w:ascii="Calibri" w:hAnsi="Calibri"/>
          <w:sz w:val="22"/>
        </w:rPr>
        <w:t>resulting</w:t>
      </w:r>
      <w:r>
        <w:rPr>
          <w:rFonts w:ascii="Calibri" w:hAnsi="Calibri"/>
          <w:spacing w:val="-3"/>
          <w:sz w:val="22"/>
        </w:rPr>
        <w:t> </w:t>
      </w:r>
      <w:r>
        <w:rPr>
          <w:rFonts w:ascii="Calibri" w:hAnsi="Calibri"/>
          <w:sz w:val="22"/>
        </w:rPr>
        <w:t>in</w:t>
      </w:r>
      <w:r>
        <w:rPr>
          <w:rFonts w:ascii="Calibri" w:hAnsi="Calibri"/>
          <w:spacing w:val="-2"/>
          <w:sz w:val="22"/>
        </w:rPr>
        <w:t> </w:t>
      </w:r>
      <w:r>
        <w:rPr>
          <w:rFonts w:ascii="Calibri" w:hAnsi="Calibri"/>
          <w:sz w:val="22"/>
        </w:rPr>
        <w:t>52</w:t>
      </w:r>
      <w:r>
        <w:rPr>
          <w:rFonts w:ascii="Calibri" w:hAnsi="Calibri"/>
          <w:spacing w:val="-2"/>
          <w:sz w:val="22"/>
        </w:rPr>
        <w:t> </w:t>
      </w:r>
      <w:r>
        <w:rPr>
          <w:rFonts w:ascii="Calibri" w:hAnsi="Calibri"/>
          <w:sz w:val="22"/>
        </w:rPr>
        <w:t>members</w:t>
      </w:r>
      <w:r>
        <w:rPr>
          <w:rFonts w:ascii="Calibri" w:hAnsi="Calibri"/>
          <w:spacing w:val="-2"/>
          <w:sz w:val="22"/>
        </w:rPr>
        <w:t> </w:t>
      </w:r>
      <w:r>
        <w:rPr>
          <w:rFonts w:ascii="Calibri" w:hAnsi="Calibri"/>
          <w:sz w:val="22"/>
        </w:rPr>
        <w:t>of</w:t>
      </w:r>
      <w:r>
        <w:rPr>
          <w:rFonts w:ascii="Calibri" w:hAnsi="Calibri"/>
          <w:spacing w:val="-3"/>
          <w:sz w:val="22"/>
        </w:rPr>
        <w:t> </w:t>
      </w:r>
      <w:r>
        <w:rPr>
          <w:rFonts w:ascii="Calibri" w:hAnsi="Calibri"/>
          <w:sz w:val="22"/>
        </w:rPr>
        <w:t>staff attending those sessions.</w:t>
      </w:r>
    </w:p>
    <w:p>
      <w:pPr>
        <w:pStyle w:val="BodyText"/>
        <w:spacing w:before="8"/>
        <w:rPr>
          <w:rFonts w:ascii="Calibri"/>
          <w:sz w:val="23"/>
        </w:rPr>
      </w:pPr>
    </w:p>
    <w:p>
      <w:pPr>
        <w:spacing w:line="259" w:lineRule="auto" w:before="0"/>
        <w:ind w:left="1440" w:right="1471" w:firstLine="0"/>
        <w:jc w:val="left"/>
        <w:rPr>
          <w:rFonts w:ascii="Calibri"/>
          <w:sz w:val="22"/>
        </w:rPr>
      </w:pPr>
      <w:r>
        <w:rPr>
          <w:rFonts w:ascii="Calibri"/>
          <w:sz w:val="22"/>
        </w:rPr>
        <w:t>We have also responded and supported staff wishing to learn Welsh in their own time, enabling them</w:t>
      </w:r>
      <w:r>
        <w:rPr>
          <w:rFonts w:ascii="Calibri"/>
          <w:spacing w:val="-2"/>
          <w:sz w:val="22"/>
        </w:rPr>
        <w:t> </w:t>
      </w:r>
      <w:r>
        <w:rPr>
          <w:rFonts w:ascii="Calibri"/>
          <w:sz w:val="22"/>
        </w:rPr>
        <w:t>to</w:t>
      </w:r>
      <w:r>
        <w:rPr>
          <w:rFonts w:ascii="Calibri"/>
          <w:spacing w:val="-2"/>
          <w:sz w:val="22"/>
        </w:rPr>
        <w:t> </w:t>
      </w:r>
      <w:r>
        <w:rPr>
          <w:rFonts w:ascii="Calibri"/>
          <w:sz w:val="22"/>
        </w:rPr>
        <w:t>attend</w:t>
      </w:r>
      <w:r>
        <w:rPr>
          <w:rFonts w:ascii="Calibri"/>
          <w:spacing w:val="-2"/>
          <w:sz w:val="22"/>
        </w:rPr>
        <w:t> </w:t>
      </w:r>
      <w:r>
        <w:rPr>
          <w:rFonts w:ascii="Calibri"/>
          <w:sz w:val="22"/>
        </w:rPr>
        <w:t>Welsh</w:t>
      </w:r>
      <w:r>
        <w:rPr>
          <w:rFonts w:ascii="Calibri"/>
          <w:spacing w:val="-2"/>
          <w:sz w:val="22"/>
        </w:rPr>
        <w:t> </w:t>
      </w:r>
      <w:r>
        <w:rPr>
          <w:rFonts w:ascii="Calibri"/>
          <w:sz w:val="22"/>
        </w:rPr>
        <w:t>courses</w:t>
      </w:r>
      <w:r>
        <w:rPr>
          <w:rFonts w:ascii="Calibri"/>
          <w:spacing w:val="-2"/>
          <w:sz w:val="22"/>
        </w:rPr>
        <w:t> </w:t>
      </w:r>
      <w:r>
        <w:rPr>
          <w:rFonts w:ascii="Calibri"/>
          <w:sz w:val="22"/>
        </w:rPr>
        <w:t>in</w:t>
      </w:r>
      <w:r>
        <w:rPr>
          <w:rFonts w:ascii="Calibri"/>
          <w:spacing w:val="-2"/>
          <w:sz w:val="22"/>
        </w:rPr>
        <w:t> </w:t>
      </w:r>
      <w:r>
        <w:rPr>
          <w:rFonts w:ascii="Calibri"/>
          <w:sz w:val="22"/>
        </w:rPr>
        <w:t>the</w:t>
      </w:r>
      <w:r>
        <w:rPr>
          <w:rFonts w:ascii="Calibri"/>
          <w:spacing w:val="-2"/>
          <w:sz w:val="22"/>
        </w:rPr>
        <w:t> </w:t>
      </w:r>
      <w:r>
        <w:rPr>
          <w:rFonts w:ascii="Calibri"/>
          <w:sz w:val="22"/>
        </w:rPr>
        <w:t>community</w:t>
      </w:r>
      <w:r>
        <w:rPr>
          <w:rFonts w:ascii="Calibri"/>
          <w:spacing w:val="-3"/>
          <w:sz w:val="22"/>
        </w:rPr>
        <w:t> </w:t>
      </w:r>
      <w:r>
        <w:rPr>
          <w:rFonts w:ascii="Calibri"/>
          <w:sz w:val="22"/>
        </w:rPr>
        <w:t>outside</w:t>
      </w:r>
      <w:r>
        <w:rPr>
          <w:rFonts w:ascii="Calibri"/>
          <w:spacing w:val="-3"/>
          <w:sz w:val="22"/>
        </w:rPr>
        <w:t> </w:t>
      </w:r>
      <w:r>
        <w:rPr>
          <w:rFonts w:ascii="Calibri"/>
          <w:sz w:val="22"/>
        </w:rPr>
        <w:t>of</w:t>
      </w:r>
      <w:r>
        <w:rPr>
          <w:rFonts w:ascii="Calibri"/>
          <w:spacing w:val="-2"/>
          <w:sz w:val="22"/>
        </w:rPr>
        <w:t> </w:t>
      </w:r>
      <w:r>
        <w:rPr>
          <w:rFonts w:ascii="Calibri"/>
          <w:sz w:val="22"/>
        </w:rPr>
        <w:t>work</w:t>
      </w:r>
      <w:r>
        <w:rPr>
          <w:rFonts w:ascii="Calibri"/>
          <w:spacing w:val="-3"/>
          <w:sz w:val="22"/>
        </w:rPr>
        <w:t> </w:t>
      </w:r>
      <w:r>
        <w:rPr>
          <w:rFonts w:ascii="Calibri"/>
          <w:sz w:val="22"/>
        </w:rPr>
        <w:t>hours,</w:t>
      </w:r>
      <w:r>
        <w:rPr>
          <w:rFonts w:ascii="Calibri"/>
          <w:spacing w:val="-3"/>
          <w:sz w:val="22"/>
        </w:rPr>
        <w:t> </w:t>
      </w:r>
      <w:r>
        <w:rPr>
          <w:rFonts w:ascii="Calibri"/>
          <w:sz w:val="22"/>
        </w:rPr>
        <w:t>as</w:t>
      </w:r>
      <w:r>
        <w:rPr>
          <w:rFonts w:ascii="Calibri"/>
          <w:spacing w:val="-3"/>
          <w:sz w:val="22"/>
        </w:rPr>
        <w:t> </w:t>
      </w:r>
      <w:r>
        <w:rPr>
          <w:rFonts w:ascii="Calibri"/>
          <w:sz w:val="22"/>
        </w:rPr>
        <w:t>this</w:t>
      </w:r>
      <w:r>
        <w:rPr>
          <w:rFonts w:ascii="Calibri"/>
          <w:spacing w:val="-3"/>
          <w:sz w:val="22"/>
        </w:rPr>
        <w:t> </w:t>
      </w:r>
      <w:r>
        <w:rPr>
          <w:rFonts w:ascii="Calibri"/>
          <w:sz w:val="22"/>
        </w:rPr>
        <w:t>arrangement</w:t>
      </w:r>
      <w:r>
        <w:rPr>
          <w:rFonts w:ascii="Calibri"/>
          <w:spacing w:val="-2"/>
          <w:sz w:val="22"/>
        </w:rPr>
        <w:t> </w:t>
      </w:r>
      <w:r>
        <w:rPr>
          <w:rFonts w:ascii="Calibri"/>
          <w:sz w:val="22"/>
        </w:rPr>
        <w:t>suits these members of staff better than learning Welsh during working hours.</w:t>
      </w:r>
    </w:p>
    <w:p>
      <w:pPr>
        <w:spacing w:line="259" w:lineRule="auto" w:before="0"/>
        <w:ind w:left="1440" w:right="1471" w:firstLine="0"/>
        <w:jc w:val="left"/>
        <w:rPr>
          <w:rFonts w:ascii="Calibri" w:hAnsi="Calibri"/>
          <w:sz w:val="22"/>
        </w:rPr>
      </w:pPr>
      <w:r>
        <w:rPr>
          <w:rFonts w:ascii="Calibri" w:hAnsi="Calibri"/>
          <w:sz w:val="22"/>
        </w:rPr>
        <w:t>We</w:t>
      </w:r>
      <w:r>
        <w:rPr>
          <w:rFonts w:ascii="Calibri" w:hAnsi="Calibri"/>
          <w:spacing w:val="-3"/>
          <w:sz w:val="22"/>
        </w:rPr>
        <w:t> </w:t>
      </w:r>
      <w:r>
        <w:rPr>
          <w:rFonts w:ascii="Calibri" w:hAnsi="Calibri"/>
          <w:sz w:val="22"/>
        </w:rPr>
        <w:t>recognise</w:t>
      </w:r>
      <w:r>
        <w:rPr>
          <w:rFonts w:ascii="Calibri" w:hAnsi="Calibri"/>
          <w:spacing w:val="-3"/>
          <w:sz w:val="22"/>
        </w:rPr>
        <w:t> </w:t>
      </w:r>
      <w:r>
        <w:rPr>
          <w:rFonts w:ascii="Calibri" w:hAnsi="Calibri"/>
          <w:sz w:val="22"/>
        </w:rPr>
        <w:t>the</w:t>
      </w:r>
      <w:r>
        <w:rPr>
          <w:rFonts w:ascii="Calibri" w:hAnsi="Calibri"/>
          <w:spacing w:val="-2"/>
          <w:sz w:val="22"/>
        </w:rPr>
        <w:t> </w:t>
      </w:r>
      <w:r>
        <w:rPr>
          <w:rFonts w:ascii="Calibri" w:hAnsi="Calibri"/>
          <w:sz w:val="22"/>
        </w:rPr>
        <w:t>importance</w:t>
      </w:r>
      <w:r>
        <w:rPr>
          <w:rFonts w:ascii="Calibri" w:hAnsi="Calibri"/>
          <w:spacing w:val="-3"/>
          <w:sz w:val="22"/>
        </w:rPr>
        <w:t> </w:t>
      </w:r>
      <w:r>
        <w:rPr>
          <w:rFonts w:ascii="Calibri" w:hAnsi="Calibri"/>
          <w:sz w:val="22"/>
        </w:rPr>
        <w:t>to</w:t>
      </w:r>
      <w:r>
        <w:rPr>
          <w:rFonts w:ascii="Calibri" w:hAnsi="Calibri"/>
          <w:spacing w:val="-2"/>
          <w:sz w:val="22"/>
        </w:rPr>
        <w:t> </w:t>
      </w:r>
      <w:r>
        <w:rPr>
          <w:rFonts w:ascii="Calibri" w:hAnsi="Calibri"/>
          <w:sz w:val="22"/>
        </w:rPr>
        <w:t>offer</w:t>
      </w:r>
      <w:r>
        <w:rPr>
          <w:rFonts w:ascii="Calibri" w:hAnsi="Calibri"/>
          <w:spacing w:val="-2"/>
          <w:sz w:val="22"/>
        </w:rPr>
        <w:t> </w:t>
      </w:r>
      <w:r>
        <w:rPr>
          <w:rFonts w:ascii="Calibri" w:hAnsi="Calibri"/>
          <w:sz w:val="22"/>
        </w:rPr>
        <w:t>flexibility</w:t>
      </w:r>
      <w:r>
        <w:rPr>
          <w:rFonts w:ascii="Calibri" w:hAnsi="Calibri"/>
          <w:spacing w:val="-3"/>
          <w:sz w:val="22"/>
        </w:rPr>
        <w:t> </w:t>
      </w:r>
      <w:r>
        <w:rPr>
          <w:rFonts w:ascii="Calibri" w:hAnsi="Calibri"/>
          <w:sz w:val="22"/>
        </w:rPr>
        <w:t>to</w:t>
      </w:r>
      <w:r>
        <w:rPr>
          <w:rFonts w:ascii="Calibri" w:hAnsi="Calibri"/>
          <w:spacing w:val="-2"/>
          <w:sz w:val="22"/>
        </w:rPr>
        <w:t> </w:t>
      </w:r>
      <w:r>
        <w:rPr>
          <w:rFonts w:ascii="Calibri" w:hAnsi="Calibri"/>
          <w:sz w:val="22"/>
        </w:rPr>
        <w:t>our</w:t>
      </w:r>
      <w:r>
        <w:rPr>
          <w:rFonts w:ascii="Calibri" w:hAnsi="Calibri"/>
          <w:spacing w:val="-3"/>
          <w:sz w:val="22"/>
        </w:rPr>
        <w:t> </w:t>
      </w:r>
      <w:r>
        <w:rPr>
          <w:rFonts w:ascii="Calibri" w:hAnsi="Calibri"/>
          <w:sz w:val="22"/>
        </w:rPr>
        <w:t>staff</w:t>
      </w:r>
      <w:r>
        <w:rPr>
          <w:rFonts w:ascii="Calibri" w:hAnsi="Calibri"/>
          <w:spacing w:val="-2"/>
          <w:sz w:val="22"/>
        </w:rPr>
        <w:t> </w:t>
      </w:r>
      <w:r>
        <w:rPr>
          <w:rFonts w:ascii="Calibri" w:hAnsi="Calibri"/>
          <w:sz w:val="22"/>
        </w:rPr>
        <w:t>to</w:t>
      </w:r>
      <w:r>
        <w:rPr>
          <w:rFonts w:ascii="Calibri" w:hAnsi="Calibri"/>
          <w:spacing w:val="-2"/>
          <w:sz w:val="22"/>
        </w:rPr>
        <w:t> </w:t>
      </w:r>
      <w:r>
        <w:rPr>
          <w:rFonts w:ascii="Calibri" w:hAnsi="Calibri"/>
          <w:sz w:val="22"/>
        </w:rPr>
        <w:t>learn</w:t>
      </w:r>
      <w:r>
        <w:rPr>
          <w:rFonts w:ascii="Calibri" w:hAnsi="Calibri"/>
          <w:spacing w:val="-3"/>
          <w:sz w:val="22"/>
        </w:rPr>
        <w:t> </w:t>
      </w:r>
      <w:r>
        <w:rPr>
          <w:rFonts w:ascii="Calibri" w:hAnsi="Calibri"/>
          <w:sz w:val="22"/>
        </w:rPr>
        <w:t>Welsh</w:t>
      </w:r>
      <w:r>
        <w:rPr>
          <w:rFonts w:ascii="Calibri" w:hAnsi="Calibri"/>
          <w:spacing w:val="-3"/>
          <w:sz w:val="22"/>
        </w:rPr>
        <w:t> </w:t>
      </w:r>
      <w:r>
        <w:rPr>
          <w:rFonts w:ascii="Calibri" w:hAnsi="Calibri"/>
          <w:sz w:val="22"/>
        </w:rPr>
        <w:t>and</w:t>
      </w:r>
      <w:r>
        <w:rPr>
          <w:rFonts w:ascii="Calibri" w:hAnsi="Calibri"/>
          <w:spacing w:val="-3"/>
          <w:sz w:val="22"/>
        </w:rPr>
        <w:t> </w:t>
      </w:r>
      <w:r>
        <w:rPr>
          <w:rFonts w:ascii="Calibri" w:hAnsi="Calibri"/>
          <w:sz w:val="22"/>
        </w:rPr>
        <w:t>to</w:t>
      </w:r>
      <w:r>
        <w:rPr>
          <w:rFonts w:ascii="Calibri" w:hAnsi="Calibri"/>
          <w:spacing w:val="-2"/>
          <w:sz w:val="22"/>
        </w:rPr>
        <w:t> </w:t>
      </w:r>
      <w:r>
        <w:rPr>
          <w:rFonts w:ascii="Calibri" w:hAnsi="Calibri"/>
          <w:sz w:val="22"/>
        </w:rPr>
        <w:t>make</w:t>
      </w:r>
      <w:r>
        <w:rPr>
          <w:rFonts w:ascii="Calibri" w:hAnsi="Calibri"/>
          <w:spacing w:val="-2"/>
          <w:sz w:val="22"/>
        </w:rPr>
        <w:t> </w:t>
      </w:r>
      <w:r>
        <w:rPr>
          <w:rFonts w:ascii="Calibri" w:hAnsi="Calibri"/>
          <w:sz w:val="22"/>
        </w:rPr>
        <w:t>the</w:t>
      </w:r>
      <w:r>
        <w:rPr>
          <w:rFonts w:ascii="Calibri" w:hAnsi="Calibri"/>
          <w:spacing w:val="-2"/>
          <w:sz w:val="22"/>
        </w:rPr>
        <w:t> </w:t>
      </w:r>
      <w:r>
        <w:rPr>
          <w:rFonts w:ascii="Calibri" w:hAnsi="Calibri"/>
          <w:sz w:val="22"/>
        </w:rPr>
        <w:t>learning of the language accessible and easy to reach.</w:t>
      </w:r>
      <w:r>
        <w:rPr>
          <w:rFonts w:ascii="Calibri" w:hAnsi="Calibri"/>
          <w:spacing w:val="40"/>
          <w:sz w:val="22"/>
        </w:rPr>
        <w:t> </w:t>
      </w:r>
      <w:r>
        <w:rPr>
          <w:rFonts w:ascii="Calibri" w:hAnsi="Calibri"/>
          <w:sz w:val="22"/>
        </w:rPr>
        <w:t>We have a number of staff who wish to learn some basic practical phrases, and we’ve tailored some sessions to cover the following areas and provided learning opportunities to a number of staff by providing these:</w:t>
      </w:r>
    </w:p>
    <w:p>
      <w:pPr>
        <w:pStyle w:val="BodyText"/>
        <w:spacing w:before="7"/>
        <w:rPr>
          <w:rFonts w:ascii="Calibri"/>
          <w:sz w:val="23"/>
        </w:rPr>
      </w:pPr>
    </w:p>
    <w:p>
      <w:pPr>
        <w:pStyle w:val="ListParagraph"/>
        <w:numPr>
          <w:ilvl w:val="0"/>
          <w:numId w:val="44"/>
        </w:numPr>
        <w:tabs>
          <w:tab w:pos="2159" w:val="left" w:leader="none"/>
          <w:tab w:pos="2160" w:val="left" w:leader="none"/>
        </w:tabs>
        <w:spacing w:line="259" w:lineRule="auto" w:before="1" w:after="0"/>
        <w:ind w:left="2160" w:right="1561" w:hanging="360"/>
        <w:jc w:val="left"/>
        <w:rPr>
          <w:rFonts w:ascii="Calibri" w:hAnsi="Calibri"/>
          <w:sz w:val="22"/>
        </w:rPr>
      </w:pPr>
      <w:r>
        <w:rPr>
          <w:rFonts w:ascii="Calibri" w:hAnsi="Calibri"/>
          <w:sz w:val="22"/>
        </w:rPr>
        <w:t>10</w:t>
      </w:r>
      <w:r>
        <w:rPr>
          <w:rFonts w:ascii="Calibri" w:hAnsi="Calibri"/>
          <w:spacing w:val="-2"/>
          <w:sz w:val="22"/>
        </w:rPr>
        <w:t> </w:t>
      </w:r>
      <w:r>
        <w:rPr>
          <w:rFonts w:ascii="Calibri" w:hAnsi="Calibri"/>
          <w:sz w:val="22"/>
        </w:rPr>
        <w:t>Welsh</w:t>
      </w:r>
      <w:r>
        <w:rPr>
          <w:rFonts w:ascii="Calibri" w:hAnsi="Calibri"/>
          <w:spacing w:val="-3"/>
          <w:sz w:val="22"/>
        </w:rPr>
        <w:t> </w:t>
      </w:r>
      <w:r>
        <w:rPr>
          <w:rFonts w:ascii="Calibri" w:hAnsi="Calibri"/>
          <w:sz w:val="22"/>
        </w:rPr>
        <w:t>Language</w:t>
      </w:r>
      <w:r>
        <w:rPr>
          <w:rFonts w:ascii="Calibri" w:hAnsi="Calibri"/>
          <w:spacing w:val="-3"/>
          <w:sz w:val="22"/>
        </w:rPr>
        <w:t> </w:t>
      </w:r>
      <w:r>
        <w:rPr>
          <w:rFonts w:ascii="Calibri" w:hAnsi="Calibri"/>
          <w:sz w:val="22"/>
        </w:rPr>
        <w:t>Taster</w:t>
      </w:r>
      <w:r>
        <w:rPr>
          <w:rFonts w:ascii="Calibri" w:hAnsi="Calibri"/>
          <w:spacing w:val="-3"/>
          <w:sz w:val="22"/>
        </w:rPr>
        <w:t> </w:t>
      </w:r>
      <w:r>
        <w:rPr>
          <w:rFonts w:ascii="Calibri" w:hAnsi="Calibri"/>
          <w:sz w:val="22"/>
        </w:rPr>
        <w:t>courses</w:t>
      </w:r>
      <w:r>
        <w:rPr>
          <w:rFonts w:ascii="Calibri" w:hAnsi="Calibri"/>
          <w:spacing w:val="-3"/>
          <w:sz w:val="22"/>
        </w:rPr>
        <w:t> </w:t>
      </w:r>
      <w:r>
        <w:rPr>
          <w:rFonts w:ascii="Calibri" w:hAnsi="Calibri"/>
          <w:sz w:val="22"/>
        </w:rPr>
        <w:t>during</w:t>
      </w:r>
      <w:r>
        <w:rPr>
          <w:rFonts w:ascii="Calibri" w:hAnsi="Calibri"/>
          <w:spacing w:val="-3"/>
          <w:sz w:val="22"/>
        </w:rPr>
        <w:t> </w:t>
      </w:r>
      <w:r>
        <w:rPr>
          <w:rFonts w:ascii="Calibri" w:hAnsi="Calibri"/>
          <w:sz w:val="22"/>
        </w:rPr>
        <w:t>year</w:t>
      </w:r>
      <w:r>
        <w:rPr>
          <w:rFonts w:ascii="Calibri" w:hAnsi="Calibri"/>
          <w:spacing w:val="-3"/>
          <w:sz w:val="22"/>
        </w:rPr>
        <w:t> </w:t>
      </w:r>
      <w:r>
        <w:rPr>
          <w:rFonts w:ascii="Calibri" w:hAnsi="Calibri"/>
          <w:sz w:val="22"/>
        </w:rPr>
        <w:t>(one</w:t>
      </w:r>
      <w:r>
        <w:rPr>
          <w:rFonts w:ascii="Calibri" w:hAnsi="Calibri"/>
          <w:spacing w:val="-3"/>
          <w:sz w:val="22"/>
        </w:rPr>
        <w:t> </w:t>
      </w:r>
      <w:r>
        <w:rPr>
          <w:rFonts w:ascii="Calibri" w:hAnsi="Calibri"/>
          <w:sz w:val="22"/>
        </w:rPr>
        <w:t>off</w:t>
      </w:r>
      <w:r>
        <w:rPr>
          <w:rFonts w:ascii="Calibri" w:hAnsi="Calibri"/>
          <w:spacing w:val="-3"/>
          <w:sz w:val="22"/>
        </w:rPr>
        <w:t> </w:t>
      </w:r>
      <w:r>
        <w:rPr>
          <w:rFonts w:ascii="Calibri" w:hAnsi="Calibri"/>
          <w:sz w:val="22"/>
        </w:rPr>
        <w:t>2</w:t>
      </w:r>
      <w:r>
        <w:rPr>
          <w:rFonts w:ascii="Calibri" w:hAnsi="Calibri"/>
          <w:spacing w:val="-2"/>
          <w:sz w:val="22"/>
        </w:rPr>
        <w:t> </w:t>
      </w:r>
      <w:r>
        <w:rPr>
          <w:rFonts w:ascii="Calibri" w:hAnsi="Calibri"/>
          <w:sz w:val="22"/>
        </w:rPr>
        <w:t>hour</w:t>
      </w:r>
      <w:r>
        <w:rPr>
          <w:rFonts w:ascii="Calibri" w:hAnsi="Calibri"/>
          <w:spacing w:val="-2"/>
          <w:sz w:val="22"/>
        </w:rPr>
        <w:t> </w:t>
      </w:r>
      <w:r>
        <w:rPr>
          <w:rFonts w:ascii="Calibri" w:hAnsi="Calibri"/>
          <w:sz w:val="22"/>
        </w:rPr>
        <w:t>courses)</w:t>
      </w:r>
      <w:r>
        <w:rPr>
          <w:rFonts w:ascii="Calibri" w:hAnsi="Calibri"/>
          <w:spacing w:val="-3"/>
          <w:sz w:val="22"/>
        </w:rPr>
        <w:t> </w:t>
      </w:r>
      <w:r>
        <w:rPr>
          <w:rFonts w:ascii="Calibri" w:hAnsi="Calibri"/>
          <w:sz w:val="22"/>
        </w:rPr>
        <w:t>37</w:t>
      </w:r>
      <w:r>
        <w:rPr>
          <w:rFonts w:ascii="Calibri" w:hAnsi="Calibri"/>
          <w:spacing w:val="-2"/>
          <w:sz w:val="22"/>
        </w:rPr>
        <w:t> </w:t>
      </w:r>
      <w:r>
        <w:rPr>
          <w:rFonts w:ascii="Calibri" w:hAnsi="Calibri"/>
          <w:sz w:val="22"/>
        </w:rPr>
        <w:t>members</w:t>
      </w:r>
      <w:r>
        <w:rPr>
          <w:rFonts w:ascii="Calibri" w:hAnsi="Calibri"/>
          <w:spacing w:val="-2"/>
          <w:sz w:val="22"/>
        </w:rPr>
        <w:t> </w:t>
      </w:r>
      <w:r>
        <w:rPr>
          <w:rFonts w:ascii="Calibri" w:hAnsi="Calibri"/>
          <w:sz w:val="22"/>
        </w:rPr>
        <w:t>of</w:t>
      </w:r>
      <w:r>
        <w:rPr>
          <w:rFonts w:ascii="Calibri" w:hAnsi="Calibri"/>
          <w:spacing w:val="-3"/>
          <w:sz w:val="22"/>
        </w:rPr>
        <w:t> </w:t>
      </w:r>
      <w:r>
        <w:rPr>
          <w:rFonts w:ascii="Calibri" w:hAnsi="Calibri"/>
          <w:sz w:val="22"/>
        </w:rPr>
        <w:t>staff </w:t>
      </w:r>
      <w:r>
        <w:rPr>
          <w:rFonts w:ascii="Calibri" w:hAnsi="Calibri"/>
          <w:spacing w:val="-2"/>
          <w:sz w:val="22"/>
        </w:rPr>
        <w:t>attended.</w:t>
      </w:r>
    </w:p>
    <w:p>
      <w:pPr>
        <w:pStyle w:val="ListParagraph"/>
        <w:numPr>
          <w:ilvl w:val="0"/>
          <w:numId w:val="44"/>
        </w:numPr>
        <w:tabs>
          <w:tab w:pos="2159" w:val="left" w:leader="none"/>
          <w:tab w:pos="2160" w:val="left" w:leader="none"/>
        </w:tabs>
        <w:spacing w:line="259" w:lineRule="auto" w:before="0" w:after="0"/>
        <w:ind w:left="2160" w:right="1561" w:hanging="360"/>
        <w:jc w:val="left"/>
        <w:rPr>
          <w:rFonts w:ascii="Calibri" w:hAnsi="Calibri"/>
          <w:sz w:val="22"/>
        </w:rPr>
      </w:pPr>
      <w:r>
        <w:rPr>
          <w:rFonts w:ascii="Calibri" w:hAnsi="Calibri"/>
          <w:sz w:val="22"/>
        </w:rPr>
        <w:t>6</w:t>
      </w:r>
      <w:r>
        <w:rPr>
          <w:rFonts w:ascii="Calibri" w:hAnsi="Calibri"/>
          <w:spacing w:val="-3"/>
          <w:sz w:val="22"/>
        </w:rPr>
        <w:t> </w:t>
      </w:r>
      <w:r>
        <w:rPr>
          <w:rFonts w:ascii="Calibri" w:hAnsi="Calibri"/>
          <w:sz w:val="22"/>
        </w:rPr>
        <w:t>Welsh</w:t>
      </w:r>
      <w:r>
        <w:rPr>
          <w:rFonts w:ascii="Calibri" w:hAnsi="Calibri"/>
          <w:spacing w:val="-3"/>
          <w:sz w:val="22"/>
        </w:rPr>
        <w:t> </w:t>
      </w:r>
      <w:r>
        <w:rPr>
          <w:rFonts w:ascii="Calibri" w:hAnsi="Calibri"/>
          <w:sz w:val="22"/>
        </w:rPr>
        <w:t>Language</w:t>
      </w:r>
      <w:r>
        <w:rPr>
          <w:rFonts w:ascii="Calibri" w:hAnsi="Calibri"/>
          <w:spacing w:val="-4"/>
          <w:sz w:val="22"/>
        </w:rPr>
        <w:t> </w:t>
      </w:r>
      <w:r>
        <w:rPr>
          <w:rFonts w:ascii="Calibri" w:hAnsi="Calibri"/>
          <w:sz w:val="22"/>
        </w:rPr>
        <w:t>Opening/Closing</w:t>
      </w:r>
      <w:r>
        <w:rPr>
          <w:rFonts w:ascii="Calibri" w:hAnsi="Calibri"/>
          <w:spacing w:val="-4"/>
          <w:sz w:val="22"/>
        </w:rPr>
        <w:t> </w:t>
      </w:r>
      <w:r>
        <w:rPr>
          <w:rFonts w:ascii="Calibri" w:hAnsi="Calibri"/>
          <w:sz w:val="22"/>
        </w:rPr>
        <w:t>and</w:t>
      </w:r>
      <w:r>
        <w:rPr>
          <w:rFonts w:ascii="Calibri" w:hAnsi="Calibri"/>
          <w:spacing w:val="-3"/>
          <w:sz w:val="22"/>
        </w:rPr>
        <w:t> </w:t>
      </w:r>
      <w:r>
        <w:rPr>
          <w:rFonts w:ascii="Calibri" w:hAnsi="Calibri"/>
          <w:sz w:val="22"/>
        </w:rPr>
        <w:t>chairing</w:t>
      </w:r>
      <w:r>
        <w:rPr>
          <w:rFonts w:ascii="Calibri" w:hAnsi="Calibri"/>
          <w:spacing w:val="-4"/>
          <w:sz w:val="22"/>
        </w:rPr>
        <w:t> </w:t>
      </w:r>
      <w:r>
        <w:rPr>
          <w:rFonts w:ascii="Calibri" w:hAnsi="Calibri"/>
          <w:sz w:val="22"/>
        </w:rPr>
        <w:t>meetings</w:t>
      </w:r>
      <w:r>
        <w:rPr>
          <w:rFonts w:ascii="Calibri" w:hAnsi="Calibri"/>
          <w:spacing w:val="-3"/>
          <w:sz w:val="22"/>
        </w:rPr>
        <w:t> </w:t>
      </w:r>
      <w:r>
        <w:rPr>
          <w:rFonts w:ascii="Calibri" w:hAnsi="Calibri"/>
          <w:sz w:val="22"/>
        </w:rPr>
        <w:t>in</w:t>
      </w:r>
      <w:r>
        <w:rPr>
          <w:rFonts w:ascii="Calibri" w:hAnsi="Calibri"/>
          <w:spacing w:val="-3"/>
          <w:sz w:val="22"/>
        </w:rPr>
        <w:t> </w:t>
      </w:r>
      <w:r>
        <w:rPr>
          <w:rFonts w:ascii="Calibri" w:hAnsi="Calibri"/>
          <w:sz w:val="22"/>
        </w:rPr>
        <w:t>Welsh</w:t>
      </w:r>
      <w:r>
        <w:rPr>
          <w:rFonts w:ascii="Calibri" w:hAnsi="Calibri"/>
          <w:spacing w:val="-3"/>
          <w:sz w:val="22"/>
        </w:rPr>
        <w:t> </w:t>
      </w:r>
      <w:r>
        <w:rPr>
          <w:rFonts w:ascii="Calibri" w:hAnsi="Calibri"/>
          <w:sz w:val="22"/>
        </w:rPr>
        <w:t>(one</w:t>
      </w:r>
      <w:r>
        <w:rPr>
          <w:rFonts w:ascii="Calibri" w:hAnsi="Calibri"/>
          <w:spacing w:val="-3"/>
          <w:sz w:val="22"/>
        </w:rPr>
        <w:t> </w:t>
      </w:r>
      <w:r>
        <w:rPr>
          <w:rFonts w:ascii="Calibri" w:hAnsi="Calibri"/>
          <w:sz w:val="22"/>
        </w:rPr>
        <w:t>off</w:t>
      </w:r>
      <w:r>
        <w:rPr>
          <w:rFonts w:ascii="Calibri" w:hAnsi="Calibri"/>
          <w:spacing w:val="-4"/>
          <w:sz w:val="22"/>
        </w:rPr>
        <w:t> </w:t>
      </w:r>
      <w:r>
        <w:rPr>
          <w:rFonts w:ascii="Calibri" w:hAnsi="Calibri"/>
          <w:sz w:val="22"/>
        </w:rPr>
        <w:t>2</w:t>
      </w:r>
      <w:r>
        <w:rPr>
          <w:rFonts w:ascii="Calibri" w:hAnsi="Calibri"/>
          <w:spacing w:val="-3"/>
          <w:sz w:val="22"/>
        </w:rPr>
        <w:t> </w:t>
      </w:r>
      <w:r>
        <w:rPr>
          <w:rFonts w:ascii="Calibri" w:hAnsi="Calibri"/>
          <w:sz w:val="22"/>
        </w:rPr>
        <w:t>hour</w:t>
      </w:r>
      <w:r>
        <w:rPr>
          <w:rFonts w:ascii="Calibri" w:hAnsi="Calibri"/>
          <w:spacing w:val="-4"/>
          <w:sz w:val="22"/>
        </w:rPr>
        <w:t> </w:t>
      </w:r>
      <w:r>
        <w:rPr>
          <w:rFonts w:ascii="Calibri" w:hAnsi="Calibri"/>
          <w:sz w:val="22"/>
        </w:rPr>
        <w:t>courses) 42 members of staff attended.</w:t>
      </w:r>
    </w:p>
    <w:p>
      <w:pPr>
        <w:pStyle w:val="ListParagraph"/>
        <w:numPr>
          <w:ilvl w:val="0"/>
          <w:numId w:val="44"/>
        </w:numPr>
        <w:tabs>
          <w:tab w:pos="2159" w:val="left" w:leader="none"/>
          <w:tab w:pos="2160" w:val="left" w:leader="none"/>
        </w:tabs>
        <w:spacing w:line="280" w:lineRule="exact" w:before="0" w:after="0"/>
        <w:ind w:left="2159" w:right="0" w:hanging="360"/>
        <w:jc w:val="left"/>
        <w:rPr>
          <w:rFonts w:ascii="Calibri" w:hAnsi="Calibri"/>
          <w:sz w:val="22"/>
        </w:rPr>
      </w:pPr>
      <w:r>
        <w:rPr>
          <w:rFonts w:ascii="Calibri" w:hAnsi="Calibri"/>
          <w:sz w:val="22"/>
        </w:rPr>
        <w:t>6</w:t>
      </w:r>
      <w:r>
        <w:rPr>
          <w:rFonts w:ascii="Calibri" w:hAnsi="Calibri"/>
          <w:spacing w:val="-1"/>
          <w:sz w:val="22"/>
        </w:rPr>
        <w:t> </w:t>
      </w:r>
      <w:r>
        <w:rPr>
          <w:rFonts w:ascii="Calibri" w:hAnsi="Calibri"/>
          <w:sz w:val="22"/>
        </w:rPr>
        <w:t>Greeting</w:t>
      </w:r>
      <w:r>
        <w:rPr>
          <w:rFonts w:ascii="Calibri" w:hAnsi="Calibri"/>
          <w:spacing w:val="-1"/>
          <w:sz w:val="22"/>
        </w:rPr>
        <w:t> </w:t>
      </w:r>
      <w:r>
        <w:rPr>
          <w:rFonts w:ascii="Calibri" w:hAnsi="Calibri"/>
          <w:sz w:val="22"/>
        </w:rPr>
        <w:t>and</w:t>
      </w:r>
      <w:r>
        <w:rPr>
          <w:rFonts w:ascii="Calibri" w:hAnsi="Calibri"/>
          <w:spacing w:val="-2"/>
          <w:sz w:val="22"/>
        </w:rPr>
        <w:t> </w:t>
      </w:r>
      <w:r>
        <w:rPr>
          <w:rFonts w:ascii="Calibri" w:hAnsi="Calibri"/>
          <w:sz w:val="22"/>
        </w:rPr>
        <w:t>welcoming</w:t>
      </w:r>
      <w:r>
        <w:rPr>
          <w:rFonts w:ascii="Calibri" w:hAnsi="Calibri"/>
          <w:spacing w:val="-2"/>
          <w:sz w:val="22"/>
        </w:rPr>
        <w:t> </w:t>
      </w:r>
      <w:r>
        <w:rPr>
          <w:rFonts w:ascii="Calibri" w:hAnsi="Calibri"/>
          <w:sz w:val="22"/>
        </w:rPr>
        <w:t>(on</w:t>
      </w:r>
      <w:r>
        <w:rPr>
          <w:rFonts w:ascii="Calibri" w:hAnsi="Calibri"/>
          <w:spacing w:val="-1"/>
          <w:sz w:val="22"/>
        </w:rPr>
        <w:t> </w:t>
      </w:r>
      <w:r>
        <w:rPr>
          <w:rFonts w:ascii="Calibri" w:hAnsi="Calibri"/>
          <w:sz w:val="22"/>
        </w:rPr>
        <w:t>off</w:t>
      </w:r>
      <w:r>
        <w:rPr>
          <w:rFonts w:ascii="Calibri" w:hAnsi="Calibri"/>
          <w:spacing w:val="-2"/>
          <w:sz w:val="22"/>
        </w:rPr>
        <w:t> </w:t>
      </w:r>
      <w:r>
        <w:rPr>
          <w:rFonts w:ascii="Calibri" w:hAnsi="Calibri"/>
          <w:sz w:val="22"/>
        </w:rPr>
        <w:t>2</w:t>
      </w:r>
      <w:r>
        <w:rPr>
          <w:rFonts w:ascii="Calibri" w:hAnsi="Calibri"/>
          <w:spacing w:val="-1"/>
          <w:sz w:val="22"/>
        </w:rPr>
        <w:t> </w:t>
      </w:r>
      <w:r>
        <w:rPr>
          <w:rFonts w:ascii="Calibri" w:hAnsi="Calibri"/>
          <w:sz w:val="22"/>
        </w:rPr>
        <w:t>hour</w:t>
      </w:r>
      <w:r>
        <w:rPr>
          <w:rFonts w:ascii="Calibri" w:hAnsi="Calibri"/>
          <w:spacing w:val="-2"/>
          <w:sz w:val="22"/>
        </w:rPr>
        <w:t> </w:t>
      </w:r>
      <w:r>
        <w:rPr>
          <w:rFonts w:ascii="Calibri" w:hAnsi="Calibri"/>
          <w:sz w:val="22"/>
        </w:rPr>
        <w:t>courses) to</w:t>
      </w:r>
      <w:r>
        <w:rPr>
          <w:rFonts w:ascii="Calibri" w:hAnsi="Calibri"/>
          <w:spacing w:val="-1"/>
          <w:sz w:val="22"/>
        </w:rPr>
        <w:t> </w:t>
      </w:r>
      <w:r>
        <w:rPr>
          <w:rFonts w:ascii="Calibri" w:hAnsi="Calibri"/>
          <w:sz w:val="22"/>
        </w:rPr>
        <w:t>22</w:t>
      </w:r>
      <w:r>
        <w:rPr>
          <w:rFonts w:ascii="Calibri" w:hAnsi="Calibri"/>
          <w:spacing w:val="-1"/>
          <w:sz w:val="22"/>
        </w:rPr>
        <w:t> </w:t>
      </w:r>
      <w:r>
        <w:rPr>
          <w:rFonts w:ascii="Calibri" w:hAnsi="Calibri"/>
          <w:sz w:val="22"/>
        </w:rPr>
        <w:t>members</w:t>
      </w:r>
      <w:r>
        <w:rPr>
          <w:rFonts w:ascii="Calibri" w:hAnsi="Calibri"/>
          <w:spacing w:val="-1"/>
          <w:sz w:val="22"/>
        </w:rPr>
        <w:t> </w:t>
      </w:r>
      <w:r>
        <w:rPr>
          <w:rFonts w:ascii="Calibri" w:hAnsi="Calibri"/>
          <w:sz w:val="22"/>
        </w:rPr>
        <w:t>of </w:t>
      </w:r>
      <w:r>
        <w:rPr>
          <w:rFonts w:ascii="Calibri" w:hAnsi="Calibri"/>
          <w:spacing w:val="-2"/>
          <w:sz w:val="22"/>
        </w:rPr>
        <w:t>staff</w:t>
      </w:r>
    </w:p>
    <w:p>
      <w:pPr>
        <w:pStyle w:val="BodyText"/>
        <w:rPr>
          <w:rFonts w:ascii="Calibri"/>
          <w:sz w:val="28"/>
        </w:rPr>
      </w:pPr>
    </w:p>
    <w:p>
      <w:pPr>
        <w:pStyle w:val="BodyText"/>
        <w:spacing w:before="2"/>
        <w:rPr>
          <w:rFonts w:ascii="Calibri"/>
          <w:sz w:val="21"/>
        </w:rPr>
      </w:pPr>
    </w:p>
    <w:p>
      <w:pPr>
        <w:spacing w:before="0"/>
        <w:ind w:left="1440" w:right="0" w:firstLine="0"/>
        <w:jc w:val="left"/>
        <w:rPr>
          <w:rFonts w:ascii="Calibri"/>
          <w:sz w:val="22"/>
        </w:rPr>
      </w:pPr>
      <w:r>
        <w:rPr>
          <w:rFonts w:ascii="Calibri"/>
          <w:sz w:val="22"/>
        </w:rPr>
        <w:t>We</w:t>
      </w:r>
      <w:r>
        <w:rPr>
          <w:rFonts w:ascii="Calibri"/>
          <w:spacing w:val="-6"/>
          <w:sz w:val="22"/>
        </w:rPr>
        <w:t> </w:t>
      </w:r>
      <w:r>
        <w:rPr>
          <w:rFonts w:ascii="Calibri"/>
          <w:sz w:val="22"/>
        </w:rPr>
        <w:t>regularly</w:t>
      </w:r>
      <w:r>
        <w:rPr>
          <w:rFonts w:ascii="Calibri"/>
          <w:spacing w:val="-3"/>
          <w:sz w:val="22"/>
        </w:rPr>
        <w:t> </w:t>
      </w:r>
      <w:r>
        <w:rPr>
          <w:rFonts w:ascii="Calibri"/>
          <w:sz w:val="22"/>
        </w:rPr>
        <w:t>promote</w:t>
      </w:r>
      <w:r>
        <w:rPr>
          <w:rFonts w:ascii="Calibri"/>
          <w:spacing w:val="-3"/>
          <w:sz w:val="22"/>
        </w:rPr>
        <w:t> </w:t>
      </w:r>
      <w:r>
        <w:rPr>
          <w:rFonts w:ascii="Calibri"/>
          <w:sz w:val="22"/>
        </w:rPr>
        <w:t>the</w:t>
      </w:r>
      <w:r>
        <w:rPr>
          <w:rFonts w:ascii="Calibri"/>
          <w:spacing w:val="-2"/>
          <w:sz w:val="22"/>
        </w:rPr>
        <w:t> </w:t>
      </w:r>
      <w:r>
        <w:rPr>
          <w:rFonts w:ascii="Calibri"/>
          <w:sz w:val="22"/>
        </w:rPr>
        <w:t>opportunities</w:t>
      </w:r>
      <w:r>
        <w:rPr>
          <w:rFonts w:ascii="Calibri"/>
          <w:spacing w:val="-2"/>
          <w:sz w:val="22"/>
        </w:rPr>
        <w:t> </w:t>
      </w:r>
      <w:r>
        <w:rPr>
          <w:rFonts w:ascii="Calibri"/>
          <w:sz w:val="22"/>
        </w:rPr>
        <w:t>to</w:t>
      </w:r>
      <w:r>
        <w:rPr>
          <w:rFonts w:ascii="Calibri"/>
          <w:spacing w:val="-2"/>
          <w:sz w:val="22"/>
        </w:rPr>
        <w:t> </w:t>
      </w:r>
      <w:r>
        <w:rPr>
          <w:rFonts w:ascii="Calibri"/>
          <w:sz w:val="22"/>
        </w:rPr>
        <w:t>learn</w:t>
      </w:r>
      <w:r>
        <w:rPr>
          <w:rFonts w:ascii="Calibri"/>
          <w:spacing w:val="-3"/>
          <w:sz w:val="22"/>
        </w:rPr>
        <w:t> </w:t>
      </w:r>
      <w:r>
        <w:rPr>
          <w:rFonts w:ascii="Calibri"/>
          <w:sz w:val="22"/>
        </w:rPr>
        <w:t>Welsh</w:t>
      </w:r>
      <w:r>
        <w:rPr>
          <w:rFonts w:ascii="Calibri"/>
          <w:spacing w:val="-3"/>
          <w:sz w:val="22"/>
        </w:rPr>
        <w:t> </w:t>
      </w:r>
      <w:r>
        <w:rPr>
          <w:rFonts w:ascii="Calibri"/>
          <w:sz w:val="22"/>
        </w:rPr>
        <w:t>to</w:t>
      </w:r>
      <w:r>
        <w:rPr>
          <w:rFonts w:ascii="Calibri"/>
          <w:spacing w:val="-2"/>
          <w:sz w:val="22"/>
        </w:rPr>
        <w:t> </w:t>
      </w:r>
      <w:r>
        <w:rPr>
          <w:rFonts w:ascii="Calibri"/>
          <w:sz w:val="22"/>
        </w:rPr>
        <w:t>all</w:t>
      </w:r>
      <w:r>
        <w:rPr>
          <w:rFonts w:ascii="Calibri"/>
          <w:spacing w:val="-2"/>
          <w:sz w:val="22"/>
        </w:rPr>
        <w:t> </w:t>
      </w:r>
      <w:r>
        <w:rPr>
          <w:rFonts w:ascii="Calibri"/>
          <w:sz w:val="22"/>
        </w:rPr>
        <w:t>our</w:t>
      </w:r>
      <w:r>
        <w:rPr>
          <w:rFonts w:ascii="Calibri"/>
          <w:spacing w:val="-3"/>
          <w:sz w:val="22"/>
        </w:rPr>
        <w:t> </w:t>
      </w:r>
      <w:r>
        <w:rPr>
          <w:rFonts w:ascii="Calibri"/>
          <w:sz w:val="22"/>
        </w:rPr>
        <w:t>staff</w:t>
      </w:r>
      <w:r>
        <w:rPr>
          <w:rFonts w:ascii="Calibri"/>
          <w:spacing w:val="-3"/>
          <w:sz w:val="22"/>
        </w:rPr>
        <w:t> </w:t>
      </w:r>
      <w:r>
        <w:rPr>
          <w:rFonts w:ascii="Calibri"/>
          <w:sz w:val="22"/>
        </w:rPr>
        <w:t>across</w:t>
      </w:r>
      <w:r>
        <w:rPr>
          <w:rFonts w:ascii="Calibri"/>
          <w:spacing w:val="-3"/>
          <w:sz w:val="22"/>
        </w:rPr>
        <w:t> </w:t>
      </w:r>
      <w:r>
        <w:rPr>
          <w:rFonts w:ascii="Calibri"/>
          <w:sz w:val="22"/>
        </w:rPr>
        <w:t>all</w:t>
      </w:r>
      <w:r>
        <w:rPr>
          <w:rFonts w:ascii="Calibri"/>
          <w:spacing w:val="-3"/>
          <w:sz w:val="22"/>
        </w:rPr>
        <w:t> </w:t>
      </w:r>
      <w:r>
        <w:rPr>
          <w:rFonts w:ascii="Calibri"/>
          <w:sz w:val="22"/>
        </w:rPr>
        <w:t>our</w:t>
      </w:r>
      <w:r>
        <w:rPr>
          <w:rFonts w:ascii="Calibri"/>
          <w:spacing w:val="-3"/>
          <w:sz w:val="22"/>
        </w:rPr>
        <w:t> </w:t>
      </w:r>
      <w:r>
        <w:rPr>
          <w:rFonts w:ascii="Calibri"/>
          <w:spacing w:val="-2"/>
          <w:sz w:val="22"/>
        </w:rPr>
        <w:t>sites.</w:t>
      </w:r>
    </w:p>
    <w:p>
      <w:pPr>
        <w:spacing w:line="259" w:lineRule="auto" w:before="21"/>
        <w:ind w:left="1440" w:right="1405" w:firstLine="0"/>
        <w:jc w:val="left"/>
        <w:rPr>
          <w:rFonts w:ascii="Calibri"/>
          <w:sz w:val="22"/>
        </w:rPr>
      </w:pPr>
      <w:r>
        <w:rPr>
          <w:rFonts w:ascii="Calibri"/>
          <w:sz w:val="22"/>
        </w:rPr>
        <w:t>We</w:t>
      </w:r>
      <w:r>
        <w:rPr>
          <w:rFonts w:ascii="Calibri"/>
          <w:spacing w:val="-3"/>
          <w:sz w:val="22"/>
        </w:rPr>
        <w:t> </w:t>
      </w:r>
      <w:r>
        <w:rPr>
          <w:rFonts w:ascii="Calibri"/>
          <w:sz w:val="22"/>
        </w:rPr>
        <w:t>also</w:t>
      </w:r>
      <w:r>
        <w:rPr>
          <w:rFonts w:ascii="Calibri"/>
          <w:spacing w:val="-3"/>
          <w:sz w:val="22"/>
        </w:rPr>
        <w:t> </w:t>
      </w:r>
      <w:r>
        <w:rPr>
          <w:rFonts w:ascii="Calibri"/>
          <w:sz w:val="22"/>
        </w:rPr>
        <w:t>regularly</w:t>
      </w:r>
      <w:r>
        <w:rPr>
          <w:rFonts w:ascii="Calibri"/>
          <w:spacing w:val="-3"/>
          <w:sz w:val="22"/>
        </w:rPr>
        <w:t> </w:t>
      </w:r>
      <w:r>
        <w:rPr>
          <w:rFonts w:ascii="Calibri"/>
          <w:sz w:val="22"/>
        </w:rPr>
        <w:t>promote</w:t>
      </w:r>
      <w:r>
        <w:rPr>
          <w:rFonts w:ascii="Calibri"/>
          <w:spacing w:val="-3"/>
          <w:sz w:val="22"/>
        </w:rPr>
        <w:t> </w:t>
      </w:r>
      <w:r>
        <w:rPr>
          <w:rFonts w:ascii="Calibri"/>
          <w:sz w:val="22"/>
        </w:rPr>
        <w:t>opportunities</w:t>
      </w:r>
      <w:r>
        <w:rPr>
          <w:rFonts w:ascii="Calibri"/>
          <w:spacing w:val="-2"/>
          <w:sz w:val="22"/>
        </w:rPr>
        <w:t> </w:t>
      </w:r>
      <w:r>
        <w:rPr>
          <w:rFonts w:ascii="Calibri"/>
          <w:sz w:val="22"/>
        </w:rPr>
        <w:t>to</w:t>
      </w:r>
      <w:r>
        <w:rPr>
          <w:rFonts w:ascii="Calibri"/>
          <w:spacing w:val="-2"/>
          <w:sz w:val="22"/>
        </w:rPr>
        <w:t> </w:t>
      </w:r>
      <w:r>
        <w:rPr>
          <w:rFonts w:ascii="Calibri"/>
          <w:sz w:val="22"/>
        </w:rPr>
        <w:t>use</w:t>
      </w:r>
      <w:r>
        <w:rPr>
          <w:rFonts w:ascii="Calibri"/>
          <w:spacing w:val="-3"/>
          <w:sz w:val="22"/>
        </w:rPr>
        <w:t> </w:t>
      </w:r>
      <w:r>
        <w:rPr>
          <w:rFonts w:ascii="Calibri"/>
          <w:sz w:val="22"/>
        </w:rPr>
        <w:t>the</w:t>
      </w:r>
      <w:r>
        <w:rPr>
          <w:rFonts w:ascii="Calibri"/>
          <w:spacing w:val="-3"/>
          <w:sz w:val="22"/>
        </w:rPr>
        <w:t> </w:t>
      </w:r>
      <w:r>
        <w:rPr>
          <w:rFonts w:ascii="Calibri"/>
          <w:sz w:val="22"/>
        </w:rPr>
        <w:t>Welsh</w:t>
      </w:r>
      <w:r>
        <w:rPr>
          <w:rFonts w:ascii="Calibri"/>
          <w:spacing w:val="-3"/>
          <w:sz w:val="22"/>
        </w:rPr>
        <w:t> </w:t>
      </w:r>
      <w:r>
        <w:rPr>
          <w:rFonts w:ascii="Calibri"/>
          <w:sz w:val="22"/>
        </w:rPr>
        <w:t>language</w:t>
      </w:r>
      <w:r>
        <w:rPr>
          <w:rFonts w:ascii="Calibri"/>
          <w:spacing w:val="-3"/>
          <w:sz w:val="22"/>
        </w:rPr>
        <w:t> </w:t>
      </w:r>
      <w:r>
        <w:rPr>
          <w:rFonts w:ascii="Calibri"/>
          <w:sz w:val="22"/>
        </w:rPr>
        <w:t>at</w:t>
      </w:r>
      <w:r>
        <w:rPr>
          <w:rFonts w:ascii="Calibri"/>
          <w:spacing w:val="-3"/>
          <w:sz w:val="22"/>
        </w:rPr>
        <w:t> </w:t>
      </w:r>
      <w:r>
        <w:rPr>
          <w:rFonts w:ascii="Calibri"/>
          <w:sz w:val="22"/>
        </w:rPr>
        <w:t>work</w:t>
      </w:r>
      <w:r>
        <w:rPr>
          <w:rFonts w:ascii="Calibri"/>
          <w:spacing w:val="-3"/>
          <w:sz w:val="22"/>
        </w:rPr>
        <w:t> </w:t>
      </w:r>
      <w:r>
        <w:rPr>
          <w:rFonts w:ascii="Calibri"/>
          <w:sz w:val="22"/>
        </w:rPr>
        <w:t>and</w:t>
      </w:r>
      <w:r>
        <w:rPr>
          <w:rFonts w:ascii="Calibri"/>
          <w:spacing w:val="-3"/>
          <w:sz w:val="22"/>
        </w:rPr>
        <w:t> </w:t>
      </w:r>
      <w:r>
        <w:rPr>
          <w:rFonts w:ascii="Calibri"/>
          <w:sz w:val="22"/>
        </w:rPr>
        <w:t>socially</w:t>
      </w:r>
      <w:r>
        <w:rPr>
          <w:rFonts w:ascii="Calibri"/>
          <w:spacing w:val="-3"/>
          <w:sz w:val="22"/>
        </w:rPr>
        <w:t> </w:t>
      </w:r>
      <w:r>
        <w:rPr>
          <w:rFonts w:ascii="Calibri"/>
          <w:sz w:val="22"/>
        </w:rPr>
        <w:t>in</w:t>
      </w:r>
      <w:r>
        <w:rPr>
          <w:rFonts w:ascii="Calibri"/>
          <w:spacing w:val="-2"/>
          <w:sz w:val="22"/>
        </w:rPr>
        <w:t> </w:t>
      </w:r>
      <w:r>
        <w:rPr>
          <w:rFonts w:ascii="Calibri"/>
          <w:sz w:val="22"/>
        </w:rPr>
        <w:t>local </w:t>
      </w:r>
      <w:r>
        <w:rPr>
          <w:rFonts w:ascii="Calibri"/>
          <w:spacing w:val="-2"/>
          <w:sz w:val="22"/>
        </w:rPr>
        <w:t>communities.</w:t>
      </w:r>
    </w:p>
    <w:p>
      <w:pPr>
        <w:pStyle w:val="BodyText"/>
        <w:spacing w:before="9"/>
        <w:rPr>
          <w:rFonts w:ascii="Calibri"/>
          <w:sz w:val="23"/>
        </w:rPr>
      </w:pPr>
    </w:p>
    <w:p>
      <w:pPr>
        <w:pStyle w:val="Heading7"/>
      </w:pPr>
      <w:r>
        <w:rPr/>
        <w:t>Recruiting</w:t>
      </w:r>
      <w:r>
        <w:rPr>
          <w:spacing w:val="-4"/>
        </w:rPr>
        <w:t> </w:t>
      </w:r>
      <w:r>
        <w:rPr/>
        <w:t>and</w:t>
      </w:r>
      <w:r>
        <w:rPr>
          <w:spacing w:val="-3"/>
        </w:rPr>
        <w:t> </w:t>
      </w:r>
      <w:r>
        <w:rPr/>
        <w:t>appointing</w:t>
      </w:r>
      <w:r>
        <w:rPr>
          <w:spacing w:val="-4"/>
        </w:rPr>
        <w:t> </w:t>
      </w:r>
      <w:r>
        <w:rPr>
          <w:spacing w:val="-2"/>
        </w:rPr>
        <w:t>staff</w:t>
      </w:r>
    </w:p>
    <w:p>
      <w:pPr>
        <w:spacing w:line="259" w:lineRule="auto" w:before="27"/>
        <w:ind w:left="1440" w:right="1405" w:firstLine="0"/>
        <w:jc w:val="left"/>
        <w:rPr>
          <w:rFonts w:ascii="Calibri" w:hAnsi="Calibri"/>
          <w:sz w:val="22"/>
        </w:rPr>
      </w:pPr>
      <w:r>
        <w:rPr>
          <w:rFonts w:ascii="Calibri" w:hAnsi="Calibri"/>
          <w:sz w:val="22"/>
        </w:rPr>
        <w:t>In</w:t>
      </w:r>
      <w:r>
        <w:rPr>
          <w:rFonts w:ascii="Calibri" w:hAnsi="Calibri"/>
          <w:spacing w:val="-2"/>
          <w:sz w:val="22"/>
        </w:rPr>
        <w:t> </w:t>
      </w:r>
      <w:r>
        <w:rPr>
          <w:rFonts w:ascii="Calibri" w:hAnsi="Calibri"/>
          <w:sz w:val="22"/>
        </w:rPr>
        <w:t>the</w:t>
      </w:r>
      <w:r>
        <w:rPr>
          <w:rFonts w:ascii="Calibri" w:hAnsi="Calibri"/>
          <w:spacing w:val="-3"/>
          <w:sz w:val="22"/>
        </w:rPr>
        <w:t> </w:t>
      </w:r>
      <w:r>
        <w:rPr>
          <w:rFonts w:ascii="Calibri" w:hAnsi="Calibri"/>
          <w:sz w:val="22"/>
        </w:rPr>
        <w:t>later</w:t>
      </w:r>
      <w:r>
        <w:rPr>
          <w:rFonts w:ascii="Calibri" w:hAnsi="Calibri"/>
          <w:spacing w:val="-2"/>
          <w:sz w:val="22"/>
        </w:rPr>
        <w:t> </w:t>
      </w:r>
      <w:r>
        <w:rPr>
          <w:rFonts w:ascii="Calibri" w:hAnsi="Calibri"/>
          <w:sz w:val="22"/>
        </w:rPr>
        <w:t>part</w:t>
      </w:r>
      <w:r>
        <w:rPr>
          <w:rFonts w:ascii="Calibri" w:hAnsi="Calibri"/>
          <w:spacing w:val="-2"/>
          <w:sz w:val="22"/>
        </w:rPr>
        <w:t> </w:t>
      </w:r>
      <w:r>
        <w:rPr>
          <w:rFonts w:ascii="Calibri" w:hAnsi="Calibri"/>
          <w:sz w:val="22"/>
        </w:rPr>
        <w:t>of</w:t>
      </w:r>
      <w:r>
        <w:rPr>
          <w:rFonts w:ascii="Calibri" w:hAnsi="Calibri"/>
          <w:spacing w:val="-3"/>
          <w:sz w:val="22"/>
        </w:rPr>
        <w:t> </w:t>
      </w:r>
      <w:r>
        <w:rPr>
          <w:rFonts w:ascii="Calibri" w:hAnsi="Calibri"/>
          <w:sz w:val="22"/>
        </w:rPr>
        <w:t>2021/22</w:t>
      </w:r>
      <w:r>
        <w:rPr>
          <w:rFonts w:ascii="Calibri" w:hAnsi="Calibri"/>
          <w:spacing w:val="-2"/>
          <w:sz w:val="22"/>
        </w:rPr>
        <w:t> </w:t>
      </w:r>
      <w:r>
        <w:rPr>
          <w:rFonts w:ascii="Calibri" w:hAnsi="Calibri"/>
          <w:sz w:val="22"/>
        </w:rPr>
        <w:t>we’ve</w:t>
      </w:r>
      <w:r>
        <w:rPr>
          <w:rFonts w:ascii="Calibri" w:hAnsi="Calibri"/>
          <w:spacing w:val="-3"/>
          <w:sz w:val="22"/>
        </w:rPr>
        <w:t> </w:t>
      </w:r>
      <w:r>
        <w:rPr>
          <w:rFonts w:ascii="Calibri" w:hAnsi="Calibri"/>
          <w:sz w:val="22"/>
        </w:rPr>
        <w:t>undertaken</w:t>
      </w:r>
      <w:r>
        <w:rPr>
          <w:rFonts w:ascii="Calibri" w:hAnsi="Calibri"/>
          <w:spacing w:val="-2"/>
          <w:sz w:val="22"/>
        </w:rPr>
        <w:t> </w:t>
      </w:r>
      <w:r>
        <w:rPr>
          <w:rFonts w:ascii="Calibri" w:hAnsi="Calibri"/>
          <w:sz w:val="22"/>
        </w:rPr>
        <w:t>a</w:t>
      </w:r>
      <w:r>
        <w:rPr>
          <w:rFonts w:ascii="Calibri" w:hAnsi="Calibri"/>
          <w:spacing w:val="-2"/>
          <w:sz w:val="22"/>
        </w:rPr>
        <w:t> </w:t>
      </w:r>
      <w:r>
        <w:rPr>
          <w:rFonts w:ascii="Calibri" w:hAnsi="Calibri"/>
          <w:sz w:val="22"/>
        </w:rPr>
        <w:t>consultation</w:t>
      </w:r>
      <w:r>
        <w:rPr>
          <w:rFonts w:ascii="Calibri" w:hAnsi="Calibri"/>
          <w:spacing w:val="-3"/>
          <w:sz w:val="22"/>
        </w:rPr>
        <w:t> </w:t>
      </w:r>
      <w:r>
        <w:rPr>
          <w:rFonts w:ascii="Calibri" w:hAnsi="Calibri"/>
          <w:sz w:val="22"/>
        </w:rPr>
        <w:t>on</w:t>
      </w:r>
      <w:r>
        <w:rPr>
          <w:rFonts w:ascii="Calibri" w:hAnsi="Calibri"/>
          <w:spacing w:val="-3"/>
          <w:sz w:val="22"/>
        </w:rPr>
        <w:t> </w:t>
      </w:r>
      <w:r>
        <w:rPr>
          <w:rFonts w:ascii="Calibri" w:hAnsi="Calibri"/>
          <w:sz w:val="22"/>
        </w:rPr>
        <w:t>a</w:t>
      </w:r>
      <w:r>
        <w:rPr>
          <w:rFonts w:ascii="Calibri" w:hAnsi="Calibri"/>
          <w:spacing w:val="-3"/>
          <w:sz w:val="22"/>
        </w:rPr>
        <w:t> </w:t>
      </w:r>
      <w:r>
        <w:rPr>
          <w:rFonts w:ascii="Calibri" w:hAnsi="Calibri"/>
          <w:sz w:val="22"/>
        </w:rPr>
        <w:t>local</w:t>
      </w:r>
      <w:r>
        <w:rPr>
          <w:rFonts w:ascii="Calibri" w:hAnsi="Calibri"/>
          <w:spacing w:val="-2"/>
          <w:sz w:val="22"/>
        </w:rPr>
        <w:t> </w:t>
      </w:r>
      <w:r>
        <w:rPr>
          <w:rFonts w:ascii="Calibri" w:hAnsi="Calibri"/>
          <w:sz w:val="22"/>
        </w:rPr>
        <w:t>protocol</w:t>
      </w:r>
      <w:r>
        <w:rPr>
          <w:rFonts w:ascii="Calibri" w:hAnsi="Calibri"/>
          <w:spacing w:val="-2"/>
          <w:sz w:val="22"/>
        </w:rPr>
        <w:t> </w:t>
      </w:r>
      <w:r>
        <w:rPr>
          <w:rFonts w:ascii="Calibri" w:hAnsi="Calibri"/>
          <w:sz w:val="22"/>
        </w:rPr>
        <w:t>on</w:t>
      </w:r>
      <w:r>
        <w:rPr>
          <w:rFonts w:ascii="Calibri" w:hAnsi="Calibri"/>
          <w:spacing w:val="-2"/>
          <w:sz w:val="22"/>
        </w:rPr>
        <w:t> </w:t>
      </w:r>
      <w:r>
        <w:rPr>
          <w:rFonts w:ascii="Calibri" w:hAnsi="Calibri"/>
          <w:sz w:val="22"/>
        </w:rPr>
        <w:t>the</w:t>
      </w:r>
      <w:r>
        <w:rPr>
          <w:rFonts w:ascii="Calibri" w:hAnsi="Calibri"/>
          <w:spacing w:val="-2"/>
          <w:sz w:val="22"/>
        </w:rPr>
        <w:t> </w:t>
      </w:r>
      <w:r>
        <w:rPr>
          <w:rFonts w:ascii="Calibri" w:hAnsi="Calibri"/>
          <w:sz w:val="22"/>
        </w:rPr>
        <w:t>advertising, recruiting and appointing staff.</w:t>
      </w:r>
      <w:r>
        <w:rPr>
          <w:rFonts w:ascii="Calibri" w:hAnsi="Calibri"/>
          <w:spacing w:val="40"/>
          <w:sz w:val="22"/>
        </w:rPr>
        <w:t> </w:t>
      </w:r>
      <w:r>
        <w:rPr>
          <w:rFonts w:ascii="Calibri" w:hAnsi="Calibri"/>
          <w:sz w:val="22"/>
        </w:rPr>
        <w:t>This piece of work has been considerable, with stakeholders from People and OD, Employment Services and the NWSSP Welsh Language Unit.</w:t>
      </w:r>
    </w:p>
    <w:p>
      <w:pPr>
        <w:pStyle w:val="BodyText"/>
        <w:spacing w:before="8"/>
        <w:rPr>
          <w:rFonts w:ascii="Calibri"/>
          <w:sz w:val="23"/>
        </w:rPr>
      </w:pPr>
    </w:p>
    <w:p>
      <w:pPr>
        <w:spacing w:line="259" w:lineRule="auto" w:before="0"/>
        <w:ind w:left="1440" w:right="1405" w:firstLine="0"/>
        <w:jc w:val="left"/>
        <w:rPr>
          <w:rFonts w:ascii="Calibri"/>
          <w:sz w:val="22"/>
        </w:rPr>
      </w:pPr>
      <w:r>
        <w:rPr>
          <w:rFonts w:ascii="Calibri"/>
          <w:sz w:val="22"/>
        </w:rPr>
        <w:t>The protocol will be launched in the 1</w:t>
      </w:r>
      <w:r>
        <w:rPr>
          <w:rFonts w:ascii="Calibri"/>
          <w:sz w:val="22"/>
          <w:vertAlign w:val="superscript"/>
        </w:rPr>
        <w:t>st</w:t>
      </w:r>
      <w:r>
        <w:rPr>
          <w:rFonts w:ascii="Calibri"/>
          <w:sz w:val="22"/>
          <w:vertAlign w:val="baseline"/>
        </w:rPr>
        <w:t> quarter of 2022/23, where all NWSSP vacancies will be advertised</w:t>
      </w:r>
      <w:r>
        <w:rPr>
          <w:rFonts w:ascii="Calibri"/>
          <w:spacing w:val="-2"/>
          <w:sz w:val="22"/>
          <w:vertAlign w:val="baseline"/>
        </w:rPr>
        <w:t> </w:t>
      </w:r>
      <w:r>
        <w:rPr>
          <w:rFonts w:ascii="Calibri"/>
          <w:sz w:val="22"/>
          <w:vertAlign w:val="baseline"/>
        </w:rPr>
        <w:t>bilingually.</w:t>
      </w:r>
      <w:r>
        <w:rPr>
          <w:rFonts w:ascii="Calibri"/>
          <w:spacing w:val="80"/>
          <w:sz w:val="22"/>
          <w:vertAlign w:val="baseline"/>
        </w:rPr>
        <w:t> </w:t>
      </w:r>
      <w:r>
        <w:rPr>
          <w:rFonts w:ascii="Calibri"/>
          <w:sz w:val="22"/>
          <w:vertAlign w:val="baseline"/>
        </w:rPr>
        <w:t>This</w:t>
      </w:r>
      <w:r>
        <w:rPr>
          <w:rFonts w:ascii="Calibri"/>
          <w:spacing w:val="-3"/>
          <w:sz w:val="22"/>
          <w:vertAlign w:val="baseline"/>
        </w:rPr>
        <w:t> </w:t>
      </w:r>
      <w:r>
        <w:rPr>
          <w:rFonts w:ascii="Calibri"/>
          <w:sz w:val="22"/>
          <w:vertAlign w:val="baseline"/>
        </w:rPr>
        <w:t>will</w:t>
      </w:r>
      <w:r>
        <w:rPr>
          <w:rFonts w:ascii="Calibri"/>
          <w:spacing w:val="-3"/>
          <w:sz w:val="22"/>
          <w:vertAlign w:val="baseline"/>
        </w:rPr>
        <w:t> </w:t>
      </w:r>
      <w:r>
        <w:rPr>
          <w:rFonts w:ascii="Calibri"/>
          <w:sz w:val="22"/>
          <w:vertAlign w:val="baseline"/>
        </w:rPr>
        <w:t>enable</w:t>
      </w:r>
      <w:r>
        <w:rPr>
          <w:rFonts w:ascii="Calibri"/>
          <w:spacing w:val="-3"/>
          <w:sz w:val="22"/>
          <w:vertAlign w:val="baseline"/>
        </w:rPr>
        <w:t> </w:t>
      </w:r>
      <w:r>
        <w:rPr>
          <w:rFonts w:ascii="Calibri"/>
          <w:sz w:val="22"/>
          <w:vertAlign w:val="baseline"/>
        </w:rPr>
        <w:t>us</w:t>
      </w:r>
      <w:r>
        <w:rPr>
          <w:rFonts w:ascii="Calibri"/>
          <w:spacing w:val="-3"/>
          <w:sz w:val="22"/>
          <w:vertAlign w:val="baseline"/>
        </w:rPr>
        <w:t> </w:t>
      </w:r>
      <w:r>
        <w:rPr>
          <w:rFonts w:ascii="Calibri"/>
          <w:sz w:val="22"/>
          <w:vertAlign w:val="baseline"/>
        </w:rPr>
        <w:t>to</w:t>
      </w:r>
      <w:r>
        <w:rPr>
          <w:rFonts w:ascii="Calibri"/>
          <w:spacing w:val="-2"/>
          <w:sz w:val="22"/>
          <w:vertAlign w:val="baseline"/>
        </w:rPr>
        <w:t> </w:t>
      </w:r>
      <w:r>
        <w:rPr>
          <w:rFonts w:ascii="Calibri"/>
          <w:sz w:val="22"/>
          <w:vertAlign w:val="baseline"/>
        </w:rPr>
        <w:t>be</w:t>
      </w:r>
      <w:r>
        <w:rPr>
          <w:rFonts w:ascii="Calibri"/>
          <w:spacing w:val="-3"/>
          <w:sz w:val="22"/>
          <w:vertAlign w:val="baseline"/>
        </w:rPr>
        <w:t> </w:t>
      </w:r>
      <w:r>
        <w:rPr>
          <w:rFonts w:ascii="Calibri"/>
          <w:sz w:val="22"/>
          <w:vertAlign w:val="baseline"/>
        </w:rPr>
        <w:t>compliant</w:t>
      </w:r>
      <w:r>
        <w:rPr>
          <w:rFonts w:ascii="Calibri"/>
          <w:spacing w:val="-2"/>
          <w:sz w:val="22"/>
          <w:vertAlign w:val="baseline"/>
        </w:rPr>
        <w:t> </w:t>
      </w:r>
      <w:r>
        <w:rPr>
          <w:rFonts w:ascii="Calibri"/>
          <w:sz w:val="22"/>
          <w:vertAlign w:val="baseline"/>
        </w:rPr>
        <w:t>with</w:t>
      </w:r>
      <w:r>
        <w:rPr>
          <w:rFonts w:ascii="Calibri"/>
          <w:spacing w:val="-2"/>
          <w:sz w:val="22"/>
          <w:vertAlign w:val="baseline"/>
        </w:rPr>
        <w:t> </w:t>
      </w:r>
      <w:r>
        <w:rPr>
          <w:rFonts w:ascii="Calibri"/>
          <w:sz w:val="22"/>
          <w:vertAlign w:val="baseline"/>
        </w:rPr>
        <w:t>Standards</w:t>
      </w:r>
      <w:r>
        <w:rPr>
          <w:rFonts w:ascii="Calibri"/>
          <w:spacing w:val="-3"/>
          <w:sz w:val="22"/>
          <w:vertAlign w:val="baseline"/>
        </w:rPr>
        <w:t> </w:t>
      </w:r>
      <w:r>
        <w:rPr>
          <w:rFonts w:ascii="Calibri"/>
          <w:sz w:val="22"/>
          <w:vertAlign w:val="baseline"/>
        </w:rPr>
        <w:t>106,</w:t>
      </w:r>
      <w:r>
        <w:rPr>
          <w:rFonts w:ascii="Calibri"/>
          <w:spacing w:val="-2"/>
          <w:sz w:val="22"/>
          <w:vertAlign w:val="baseline"/>
        </w:rPr>
        <w:t> </w:t>
      </w:r>
      <w:r>
        <w:rPr>
          <w:rFonts w:ascii="Calibri"/>
          <w:sz w:val="22"/>
          <w:vertAlign w:val="baseline"/>
        </w:rPr>
        <w:t>106A,</w:t>
      </w:r>
      <w:r>
        <w:rPr>
          <w:rFonts w:ascii="Calibri"/>
          <w:spacing w:val="-2"/>
          <w:sz w:val="22"/>
          <w:vertAlign w:val="baseline"/>
        </w:rPr>
        <w:t> </w:t>
      </w:r>
      <w:r>
        <w:rPr>
          <w:rFonts w:ascii="Calibri"/>
          <w:sz w:val="22"/>
          <w:vertAlign w:val="baseline"/>
        </w:rPr>
        <w:t>107,</w:t>
      </w:r>
      <w:r>
        <w:rPr>
          <w:rFonts w:ascii="Calibri"/>
          <w:spacing w:val="-2"/>
          <w:sz w:val="22"/>
          <w:vertAlign w:val="baseline"/>
        </w:rPr>
        <w:t> </w:t>
      </w:r>
      <w:r>
        <w:rPr>
          <w:rFonts w:ascii="Calibri"/>
          <w:sz w:val="22"/>
          <w:vertAlign w:val="baseline"/>
        </w:rPr>
        <w:t>107A.</w:t>
      </w:r>
    </w:p>
    <w:p>
      <w:pPr>
        <w:pStyle w:val="BodyText"/>
        <w:rPr>
          <w:rFonts w:ascii="Calibri"/>
          <w:sz w:val="22"/>
        </w:rPr>
      </w:pPr>
    </w:p>
    <w:p>
      <w:pPr>
        <w:pStyle w:val="BodyText"/>
        <w:spacing w:before="5"/>
        <w:rPr>
          <w:rFonts w:ascii="Calibri"/>
          <w:sz w:val="25"/>
        </w:rPr>
      </w:pPr>
    </w:p>
    <w:p>
      <w:pPr>
        <w:pStyle w:val="Heading5"/>
        <w:spacing w:before="1"/>
      </w:pPr>
      <w:bookmarkStart w:name="_TOC_250000" w:id="78"/>
      <w:r>
        <w:rPr/>
        <w:t>Record</w:t>
      </w:r>
      <w:r>
        <w:rPr>
          <w:spacing w:val="-1"/>
        </w:rPr>
        <w:t> </w:t>
      </w:r>
      <w:r>
        <w:rPr/>
        <w:t>Keeping</w:t>
      </w:r>
      <w:bookmarkEnd w:id="78"/>
      <w:r>
        <w:rPr>
          <w:spacing w:val="-2"/>
        </w:rPr>
        <w:t> Standards:</w:t>
      </w:r>
    </w:p>
    <w:p>
      <w:pPr>
        <w:pStyle w:val="Heading7"/>
        <w:spacing w:before="191"/>
      </w:pPr>
      <w:r>
        <w:rPr/>
        <w:t>Welsh</w:t>
      </w:r>
      <w:r>
        <w:rPr>
          <w:spacing w:val="-3"/>
        </w:rPr>
        <w:t> </w:t>
      </w:r>
      <w:r>
        <w:rPr/>
        <w:t>Language</w:t>
      </w:r>
      <w:r>
        <w:rPr>
          <w:spacing w:val="-2"/>
        </w:rPr>
        <w:t> </w:t>
      </w:r>
      <w:r>
        <w:rPr/>
        <w:t>Skills</w:t>
      </w:r>
      <w:r>
        <w:rPr>
          <w:spacing w:val="-2"/>
        </w:rPr>
        <w:t> </w:t>
      </w:r>
      <w:r>
        <w:rPr/>
        <w:t>Across</w:t>
      </w:r>
      <w:r>
        <w:rPr>
          <w:spacing w:val="-3"/>
        </w:rPr>
        <w:t> </w:t>
      </w:r>
      <w:r>
        <w:rPr/>
        <w:t>the</w:t>
      </w:r>
      <w:r>
        <w:rPr>
          <w:spacing w:val="-2"/>
        </w:rPr>
        <w:t> Workforce:</w:t>
      </w:r>
    </w:p>
    <w:p>
      <w:pPr>
        <w:spacing w:line="259" w:lineRule="auto" w:before="27"/>
        <w:ind w:left="1440" w:right="1405" w:firstLine="0"/>
        <w:jc w:val="left"/>
        <w:rPr>
          <w:rFonts w:ascii="Calibri"/>
          <w:sz w:val="22"/>
        </w:rPr>
      </w:pPr>
      <w:r>
        <w:rPr>
          <w:rFonts w:ascii="Calibri"/>
          <w:sz w:val="22"/>
        </w:rPr>
        <w:t>All</w:t>
      </w:r>
      <w:r>
        <w:rPr>
          <w:rFonts w:ascii="Calibri"/>
          <w:spacing w:val="-2"/>
          <w:sz w:val="22"/>
        </w:rPr>
        <w:t> </w:t>
      </w:r>
      <w:r>
        <w:rPr>
          <w:rFonts w:ascii="Calibri"/>
          <w:sz w:val="22"/>
        </w:rPr>
        <w:t>members</w:t>
      </w:r>
      <w:r>
        <w:rPr>
          <w:rFonts w:ascii="Calibri"/>
          <w:spacing w:val="-2"/>
          <w:sz w:val="22"/>
        </w:rPr>
        <w:t> </w:t>
      </w:r>
      <w:r>
        <w:rPr>
          <w:rFonts w:ascii="Calibri"/>
          <w:sz w:val="22"/>
        </w:rPr>
        <w:t>of</w:t>
      </w:r>
      <w:r>
        <w:rPr>
          <w:rFonts w:ascii="Calibri"/>
          <w:spacing w:val="-3"/>
          <w:sz w:val="22"/>
        </w:rPr>
        <w:t> </w:t>
      </w:r>
      <w:r>
        <w:rPr>
          <w:rFonts w:ascii="Calibri"/>
          <w:sz w:val="22"/>
        </w:rPr>
        <w:t>staff</w:t>
      </w:r>
      <w:r>
        <w:rPr>
          <w:rFonts w:ascii="Calibri"/>
          <w:spacing w:val="-3"/>
          <w:sz w:val="22"/>
        </w:rPr>
        <w:t> </w:t>
      </w:r>
      <w:r>
        <w:rPr>
          <w:rFonts w:ascii="Calibri"/>
          <w:sz w:val="22"/>
        </w:rPr>
        <w:t>are</w:t>
      </w:r>
      <w:r>
        <w:rPr>
          <w:rFonts w:ascii="Calibri"/>
          <w:spacing w:val="-3"/>
          <w:sz w:val="22"/>
        </w:rPr>
        <w:t> </w:t>
      </w:r>
      <w:r>
        <w:rPr>
          <w:rFonts w:ascii="Calibri"/>
          <w:sz w:val="22"/>
        </w:rPr>
        <w:t>required</w:t>
      </w:r>
      <w:r>
        <w:rPr>
          <w:rFonts w:ascii="Calibri"/>
          <w:spacing w:val="-2"/>
          <w:sz w:val="22"/>
        </w:rPr>
        <w:t> </w:t>
      </w:r>
      <w:r>
        <w:rPr>
          <w:rFonts w:ascii="Calibri"/>
          <w:sz w:val="22"/>
        </w:rPr>
        <w:t>to</w:t>
      </w:r>
      <w:r>
        <w:rPr>
          <w:rFonts w:ascii="Calibri"/>
          <w:spacing w:val="-2"/>
          <w:sz w:val="22"/>
        </w:rPr>
        <w:t> </w:t>
      </w:r>
      <w:r>
        <w:rPr>
          <w:rFonts w:ascii="Calibri"/>
          <w:sz w:val="22"/>
        </w:rPr>
        <w:t>complete</w:t>
      </w:r>
      <w:r>
        <w:rPr>
          <w:rFonts w:ascii="Calibri"/>
          <w:spacing w:val="-2"/>
          <w:sz w:val="22"/>
        </w:rPr>
        <w:t> </w:t>
      </w:r>
      <w:r>
        <w:rPr>
          <w:rFonts w:ascii="Calibri"/>
          <w:sz w:val="22"/>
        </w:rPr>
        <w:t>a</w:t>
      </w:r>
      <w:r>
        <w:rPr>
          <w:rFonts w:ascii="Calibri"/>
          <w:spacing w:val="-3"/>
          <w:sz w:val="22"/>
        </w:rPr>
        <w:t> </w:t>
      </w:r>
      <w:r>
        <w:rPr>
          <w:rFonts w:ascii="Calibri"/>
          <w:sz w:val="22"/>
        </w:rPr>
        <w:t>Welsh</w:t>
      </w:r>
      <w:r>
        <w:rPr>
          <w:rFonts w:ascii="Calibri"/>
          <w:spacing w:val="-3"/>
          <w:sz w:val="22"/>
        </w:rPr>
        <w:t> </w:t>
      </w:r>
      <w:r>
        <w:rPr>
          <w:rFonts w:ascii="Calibri"/>
          <w:sz w:val="22"/>
        </w:rPr>
        <w:t>language</w:t>
      </w:r>
      <w:r>
        <w:rPr>
          <w:rFonts w:ascii="Calibri"/>
          <w:spacing w:val="-3"/>
          <w:sz w:val="22"/>
        </w:rPr>
        <w:t> </w:t>
      </w:r>
      <w:r>
        <w:rPr>
          <w:rFonts w:ascii="Calibri"/>
          <w:sz w:val="22"/>
        </w:rPr>
        <w:t>skills</w:t>
      </w:r>
      <w:r>
        <w:rPr>
          <w:rFonts w:ascii="Calibri"/>
          <w:spacing w:val="-3"/>
          <w:sz w:val="22"/>
        </w:rPr>
        <w:t> </w:t>
      </w:r>
      <w:r>
        <w:rPr>
          <w:rFonts w:ascii="Calibri"/>
          <w:sz w:val="22"/>
        </w:rPr>
        <w:t>assessment</w:t>
      </w:r>
      <w:r>
        <w:rPr>
          <w:rFonts w:ascii="Calibri"/>
          <w:spacing w:val="-2"/>
          <w:sz w:val="22"/>
        </w:rPr>
        <w:t> </w:t>
      </w:r>
      <w:r>
        <w:rPr>
          <w:rFonts w:ascii="Calibri"/>
          <w:sz w:val="22"/>
        </w:rPr>
        <w:t>on</w:t>
      </w:r>
      <w:r>
        <w:rPr>
          <w:rFonts w:ascii="Calibri"/>
          <w:spacing w:val="-2"/>
          <w:sz w:val="22"/>
        </w:rPr>
        <w:t> </w:t>
      </w:r>
      <w:r>
        <w:rPr>
          <w:rFonts w:ascii="Calibri"/>
          <w:sz w:val="22"/>
        </w:rPr>
        <w:t>the</w:t>
      </w:r>
      <w:r>
        <w:rPr>
          <w:rFonts w:ascii="Calibri"/>
          <w:spacing w:val="-2"/>
          <w:sz w:val="22"/>
        </w:rPr>
        <w:t> </w:t>
      </w:r>
      <w:r>
        <w:rPr>
          <w:rFonts w:ascii="Calibri"/>
          <w:sz w:val="22"/>
        </w:rPr>
        <w:t>electronic staff record platform.</w:t>
      </w:r>
      <w:r>
        <w:rPr>
          <w:rFonts w:ascii="Calibri"/>
          <w:spacing w:val="40"/>
          <w:sz w:val="22"/>
        </w:rPr>
        <w:t> </w:t>
      </w:r>
      <w:r>
        <w:rPr>
          <w:rFonts w:ascii="Calibri"/>
          <w:sz w:val="22"/>
        </w:rPr>
        <w:t>During 2020/21 we saw a drop in the number of staff recording their skills during the year, this was in most part due to the pandemic, and staff working from home and the establishment of the single lead employer programme.</w:t>
      </w:r>
    </w:p>
    <w:p>
      <w:pPr>
        <w:spacing w:before="159"/>
        <w:ind w:left="1440" w:right="0" w:firstLine="0"/>
        <w:jc w:val="left"/>
        <w:rPr>
          <w:rFonts w:ascii="Calibri"/>
          <w:sz w:val="22"/>
        </w:rPr>
      </w:pPr>
      <w:r>
        <w:rPr>
          <w:rFonts w:ascii="Calibri"/>
          <w:sz w:val="22"/>
        </w:rPr>
        <w:t>We</w:t>
      </w:r>
      <w:r>
        <w:rPr>
          <w:rFonts w:ascii="Calibri"/>
          <w:spacing w:val="-5"/>
          <w:sz w:val="22"/>
        </w:rPr>
        <w:t> </w:t>
      </w:r>
      <w:r>
        <w:rPr>
          <w:rFonts w:ascii="Calibri"/>
          <w:sz w:val="22"/>
        </w:rPr>
        <w:t>have</w:t>
      </w:r>
      <w:r>
        <w:rPr>
          <w:rFonts w:ascii="Calibri"/>
          <w:spacing w:val="-1"/>
          <w:sz w:val="22"/>
        </w:rPr>
        <w:t> </w:t>
      </w:r>
      <w:r>
        <w:rPr>
          <w:rFonts w:ascii="Calibri"/>
          <w:sz w:val="22"/>
        </w:rPr>
        <w:t>been</w:t>
      </w:r>
      <w:r>
        <w:rPr>
          <w:rFonts w:ascii="Calibri"/>
          <w:spacing w:val="-3"/>
          <w:sz w:val="22"/>
        </w:rPr>
        <w:t> </w:t>
      </w:r>
      <w:r>
        <w:rPr>
          <w:rFonts w:ascii="Calibri"/>
          <w:sz w:val="22"/>
        </w:rPr>
        <w:t>addressing</w:t>
      </w:r>
      <w:r>
        <w:rPr>
          <w:rFonts w:ascii="Calibri"/>
          <w:spacing w:val="-2"/>
          <w:sz w:val="22"/>
        </w:rPr>
        <w:t> </w:t>
      </w:r>
      <w:r>
        <w:rPr>
          <w:rFonts w:ascii="Calibri"/>
          <w:sz w:val="22"/>
        </w:rPr>
        <w:t>this</w:t>
      </w:r>
      <w:r>
        <w:rPr>
          <w:rFonts w:ascii="Calibri"/>
          <w:spacing w:val="-2"/>
          <w:sz w:val="22"/>
        </w:rPr>
        <w:t> </w:t>
      </w:r>
      <w:r>
        <w:rPr>
          <w:rFonts w:ascii="Calibri"/>
          <w:sz w:val="22"/>
        </w:rPr>
        <w:t>by</w:t>
      </w:r>
      <w:r>
        <w:rPr>
          <w:rFonts w:ascii="Calibri"/>
          <w:spacing w:val="-3"/>
          <w:sz w:val="22"/>
        </w:rPr>
        <w:t> </w:t>
      </w:r>
      <w:r>
        <w:rPr>
          <w:rFonts w:ascii="Calibri"/>
          <w:sz w:val="22"/>
        </w:rPr>
        <w:t>taking</w:t>
      </w:r>
      <w:r>
        <w:rPr>
          <w:rFonts w:ascii="Calibri"/>
          <w:spacing w:val="-2"/>
          <w:sz w:val="22"/>
        </w:rPr>
        <w:t> </w:t>
      </w:r>
      <w:r>
        <w:rPr>
          <w:rFonts w:ascii="Calibri"/>
          <w:sz w:val="22"/>
        </w:rPr>
        <w:t>the</w:t>
      </w:r>
      <w:r>
        <w:rPr>
          <w:rFonts w:ascii="Calibri"/>
          <w:spacing w:val="-3"/>
          <w:sz w:val="22"/>
        </w:rPr>
        <w:t> </w:t>
      </w:r>
      <w:r>
        <w:rPr>
          <w:rFonts w:ascii="Calibri"/>
          <w:sz w:val="22"/>
        </w:rPr>
        <w:t>following</w:t>
      </w:r>
      <w:r>
        <w:rPr>
          <w:rFonts w:ascii="Calibri"/>
          <w:spacing w:val="-2"/>
          <w:sz w:val="22"/>
        </w:rPr>
        <w:t> </w:t>
      </w:r>
      <w:r>
        <w:rPr>
          <w:rFonts w:ascii="Calibri"/>
          <w:sz w:val="22"/>
        </w:rPr>
        <w:t>steps</w:t>
      </w:r>
      <w:r>
        <w:rPr>
          <w:rFonts w:ascii="Calibri"/>
          <w:spacing w:val="-2"/>
          <w:sz w:val="22"/>
        </w:rPr>
        <w:t> </w:t>
      </w:r>
      <w:r>
        <w:rPr>
          <w:rFonts w:ascii="Calibri"/>
          <w:sz w:val="22"/>
        </w:rPr>
        <w:t>to</w:t>
      </w:r>
      <w:r>
        <w:rPr>
          <w:rFonts w:ascii="Calibri"/>
          <w:spacing w:val="-2"/>
          <w:sz w:val="22"/>
        </w:rPr>
        <w:t> </w:t>
      </w:r>
      <w:r>
        <w:rPr>
          <w:rFonts w:ascii="Calibri"/>
          <w:sz w:val="22"/>
        </w:rPr>
        <w:t>improve</w:t>
      </w:r>
      <w:r>
        <w:rPr>
          <w:rFonts w:ascii="Calibri"/>
          <w:spacing w:val="-2"/>
          <w:sz w:val="22"/>
        </w:rPr>
        <w:t> </w:t>
      </w:r>
      <w:r>
        <w:rPr>
          <w:rFonts w:ascii="Calibri"/>
          <w:sz w:val="22"/>
        </w:rPr>
        <w:t>skills</w:t>
      </w:r>
      <w:r>
        <w:rPr>
          <w:rFonts w:ascii="Calibri"/>
          <w:spacing w:val="-2"/>
          <w:sz w:val="22"/>
        </w:rPr>
        <w:t> recording:</w:t>
      </w:r>
    </w:p>
    <w:p>
      <w:pPr>
        <w:pStyle w:val="ListParagraph"/>
        <w:numPr>
          <w:ilvl w:val="0"/>
          <w:numId w:val="45"/>
        </w:numPr>
        <w:tabs>
          <w:tab w:pos="2160" w:val="left" w:leader="none"/>
        </w:tabs>
        <w:spacing w:line="259" w:lineRule="auto" w:before="181" w:after="0"/>
        <w:ind w:left="2160" w:right="1460" w:hanging="360"/>
        <w:jc w:val="left"/>
        <w:rPr>
          <w:rFonts w:ascii="Calibri" w:hAnsi="Calibri"/>
          <w:sz w:val="22"/>
        </w:rPr>
      </w:pPr>
      <w:r>
        <w:rPr>
          <w:rFonts w:ascii="Calibri" w:hAnsi="Calibri"/>
          <w:sz w:val="22"/>
        </w:rPr>
        <w:t>Reduce the number of staff not recorded on ESR – deteriorating position due to Covid-19 mass</w:t>
      </w:r>
      <w:r>
        <w:rPr>
          <w:rFonts w:ascii="Calibri" w:hAnsi="Calibri"/>
          <w:spacing w:val="-3"/>
          <w:sz w:val="22"/>
        </w:rPr>
        <w:t> </w:t>
      </w:r>
      <w:r>
        <w:rPr>
          <w:rFonts w:ascii="Calibri" w:hAnsi="Calibri"/>
          <w:sz w:val="22"/>
        </w:rPr>
        <w:t>recruitment.</w:t>
      </w:r>
      <w:r>
        <w:rPr>
          <w:rFonts w:ascii="Calibri" w:hAnsi="Calibri"/>
          <w:spacing w:val="-3"/>
          <w:sz w:val="22"/>
        </w:rPr>
        <w:t> </w:t>
      </w:r>
      <w:r>
        <w:rPr>
          <w:rFonts w:ascii="Calibri" w:hAnsi="Calibri"/>
          <w:sz w:val="22"/>
        </w:rPr>
        <w:t>The</w:t>
      </w:r>
      <w:r>
        <w:rPr>
          <w:rFonts w:ascii="Calibri" w:hAnsi="Calibri"/>
          <w:spacing w:val="-4"/>
          <w:sz w:val="22"/>
        </w:rPr>
        <w:t> </w:t>
      </w:r>
      <w:r>
        <w:rPr>
          <w:rFonts w:ascii="Calibri" w:hAnsi="Calibri"/>
          <w:sz w:val="22"/>
        </w:rPr>
        <w:t>Welsh</w:t>
      </w:r>
      <w:r>
        <w:rPr>
          <w:rFonts w:ascii="Calibri" w:hAnsi="Calibri"/>
          <w:spacing w:val="-3"/>
          <w:sz w:val="22"/>
        </w:rPr>
        <w:t> </w:t>
      </w:r>
      <w:r>
        <w:rPr>
          <w:rFonts w:ascii="Calibri" w:hAnsi="Calibri"/>
          <w:sz w:val="22"/>
        </w:rPr>
        <w:t>Language</w:t>
      </w:r>
      <w:r>
        <w:rPr>
          <w:rFonts w:ascii="Calibri" w:hAnsi="Calibri"/>
          <w:spacing w:val="-3"/>
          <w:sz w:val="22"/>
        </w:rPr>
        <w:t> </w:t>
      </w:r>
      <w:r>
        <w:rPr>
          <w:rFonts w:ascii="Calibri" w:hAnsi="Calibri"/>
          <w:sz w:val="22"/>
        </w:rPr>
        <w:t>Services</w:t>
      </w:r>
      <w:r>
        <w:rPr>
          <w:rFonts w:ascii="Calibri" w:hAnsi="Calibri"/>
          <w:spacing w:val="-4"/>
          <w:sz w:val="22"/>
        </w:rPr>
        <w:t> </w:t>
      </w:r>
      <w:r>
        <w:rPr>
          <w:rFonts w:ascii="Calibri" w:hAnsi="Calibri"/>
          <w:sz w:val="22"/>
        </w:rPr>
        <w:t>Manager</w:t>
      </w:r>
      <w:r>
        <w:rPr>
          <w:rFonts w:ascii="Calibri" w:hAnsi="Calibri"/>
          <w:spacing w:val="-3"/>
          <w:sz w:val="22"/>
        </w:rPr>
        <w:t> </w:t>
      </w:r>
      <w:r>
        <w:rPr>
          <w:rFonts w:ascii="Calibri" w:hAnsi="Calibri"/>
          <w:sz w:val="22"/>
        </w:rPr>
        <w:t>and</w:t>
      </w:r>
      <w:r>
        <w:rPr>
          <w:rFonts w:ascii="Calibri" w:hAnsi="Calibri"/>
          <w:spacing w:val="-3"/>
          <w:sz w:val="22"/>
        </w:rPr>
        <w:t> </w:t>
      </w:r>
      <w:r>
        <w:rPr>
          <w:rFonts w:ascii="Calibri" w:hAnsi="Calibri"/>
          <w:sz w:val="22"/>
        </w:rPr>
        <w:t>the</w:t>
      </w:r>
      <w:r>
        <w:rPr>
          <w:rFonts w:ascii="Calibri" w:hAnsi="Calibri"/>
          <w:spacing w:val="-3"/>
          <w:sz w:val="22"/>
        </w:rPr>
        <w:t> </w:t>
      </w:r>
      <w:r>
        <w:rPr>
          <w:rFonts w:ascii="Calibri" w:hAnsi="Calibri"/>
          <w:sz w:val="22"/>
        </w:rPr>
        <w:t>People</w:t>
      </w:r>
      <w:r>
        <w:rPr>
          <w:rFonts w:ascii="Calibri" w:hAnsi="Calibri"/>
          <w:spacing w:val="-4"/>
          <w:sz w:val="22"/>
        </w:rPr>
        <w:t> </w:t>
      </w:r>
      <w:r>
        <w:rPr>
          <w:rFonts w:ascii="Calibri" w:hAnsi="Calibri"/>
          <w:sz w:val="22"/>
        </w:rPr>
        <w:t>and</w:t>
      </w:r>
      <w:r>
        <w:rPr>
          <w:rFonts w:ascii="Calibri" w:hAnsi="Calibri"/>
          <w:spacing w:val="-3"/>
          <w:sz w:val="22"/>
        </w:rPr>
        <w:t> </w:t>
      </w:r>
      <w:r>
        <w:rPr>
          <w:rFonts w:ascii="Calibri" w:hAnsi="Calibri"/>
          <w:sz w:val="22"/>
        </w:rPr>
        <w:t>Organisational Development</w:t>
      </w:r>
      <w:r>
        <w:rPr>
          <w:rFonts w:ascii="Calibri" w:hAnsi="Calibri"/>
          <w:spacing w:val="-3"/>
          <w:sz w:val="22"/>
        </w:rPr>
        <w:t> </w:t>
      </w:r>
      <w:r>
        <w:rPr>
          <w:rFonts w:ascii="Calibri" w:hAnsi="Calibri"/>
          <w:sz w:val="22"/>
        </w:rPr>
        <w:t>team</w:t>
      </w:r>
      <w:r>
        <w:rPr>
          <w:rFonts w:ascii="Calibri" w:hAnsi="Calibri"/>
          <w:spacing w:val="-3"/>
          <w:sz w:val="22"/>
        </w:rPr>
        <w:t> </w:t>
      </w:r>
      <w:r>
        <w:rPr>
          <w:rFonts w:ascii="Calibri" w:hAnsi="Calibri"/>
          <w:sz w:val="22"/>
        </w:rPr>
        <w:t>intend</w:t>
      </w:r>
      <w:r>
        <w:rPr>
          <w:rFonts w:ascii="Calibri" w:hAnsi="Calibri"/>
          <w:spacing w:val="-3"/>
          <w:sz w:val="22"/>
        </w:rPr>
        <w:t> </w:t>
      </w:r>
      <w:r>
        <w:rPr>
          <w:rFonts w:ascii="Calibri" w:hAnsi="Calibri"/>
          <w:sz w:val="22"/>
        </w:rPr>
        <w:t>to</w:t>
      </w:r>
      <w:r>
        <w:rPr>
          <w:rFonts w:ascii="Calibri" w:hAnsi="Calibri"/>
          <w:spacing w:val="-3"/>
          <w:sz w:val="22"/>
        </w:rPr>
        <w:t> </w:t>
      </w:r>
      <w:r>
        <w:rPr>
          <w:rFonts w:ascii="Calibri" w:hAnsi="Calibri"/>
          <w:sz w:val="22"/>
        </w:rPr>
        <w:t>identify</w:t>
      </w:r>
      <w:r>
        <w:rPr>
          <w:rFonts w:ascii="Calibri" w:hAnsi="Calibri"/>
          <w:spacing w:val="-3"/>
          <w:sz w:val="22"/>
        </w:rPr>
        <w:t> </w:t>
      </w:r>
      <w:r>
        <w:rPr>
          <w:rFonts w:ascii="Calibri" w:hAnsi="Calibri"/>
          <w:sz w:val="22"/>
        </w:rPr>
        <w:t>any</w:t>
      </w:r>
      <w:r>
        <w:rPr>
          <w:rFonts w:ascii="Calibri" w:hAnsi="Calibri"/>
          <w:spacing w:val="-4"/>
          <w:sz w:val="22"/>
        </w:rPr>
        <w:t> </w:t>
      </w:r>
      <w:r>
        <w:rPr>
          <w:rFonts w:ascii="Calibri" w:hAnsi="Calibri"/>
          <w:sz w:val="22"/>
        </w:rPr>
        <w:t>gaps</w:t>
      </w:r>
      <w:r>
        <w:rPr>
          <w:rFonts w:ascii="Calibri" w:hAnsi="Calibri"/>
          <w:spacing w:val="-3"/>
          <w:sz w:val="22"/>
        </w:rPr>
        <w:t> </w:t>
      </w:r>
      <w:r>
        <w:rPr>
          <w:rFonts w:ascii="Calibri" w:hAnsi="Calibri"/>
          <w:sz w:val="22"/>
        </w:rPr>
        <w:t>and</w:t>
      </w:r>
      <w:r>
        <w:rPr>
          <w:rFonts w:ascii="Calibri" w:hAnsi="Calibri"/>
          <w:spacing w:val="-3"/>
          <w:sz w:val="22"/>
        </w:rPr>
        <w:t> </w:t>
      </w:r>
      <w:r>
        <w:rPr>
          <w:rFonts w:ascii="Calibri" w:hAnsi="Calibri"/>
          <w:sz w:val="22"/>
        </w:rPr>
        <w:t>reach</w:t>
      </w:r>
      <w:r>
        <w:rPr>
          <w:rFonts w:ascii="Calibri" w:hAnsi="Calibri"/>
          <w:spacing w:val="-3"/>
          <w:sz w:val="22"/>
        </w:rPr>
        <w:t> </w:t>
      </w:r>
      <w:r>
        <w:rPr>
          <w:rFonts w:ascii="Calibri" w:hAnsi="Calibri"/>
          <w:sz w:val="22"/>
        </w:rPr>
        <w:t>out</w:t>
      </w:r>
      <w:r>
        <w:rPr>
          <w:rFonts w:ascii="Calibri" w:hAnsi="Calibri"/>
          <w:spacing w:val="-3"/>
          <w:sz w:val="22"/>
        </w:rPr>
        <w:t> </w:t>
      </w:r>
      <w:r>
        <w:rPr>
          <w:rFonts w:ascii="Calibri" w:hAnsi="Calibri"/>
          <w:sz w:val="22"/>
        </w:rPr>
        <w:t>to</w:t>
      </w:r>
      <w:r>
        <w:rPr>
          <w:rFonts w:ascii="Calibri" w:hAnsi="Calibri"/>
          <w:spacing w:val="-3"/>
          <w:sz w:val="22"/>
        </w:rPr>
        <w:t> </w:t>
      </w:r>
      <w:r>
        <w:rPr>
          <w:rFonts w:ascii="Calibri" w:hAnsi="Calibri"/>
          <w:sz w:val="22"/>
        </w:rPr>
        <w:t>managers</w:t>
      </w:r>
      <w:r>
        <w:rPr>
          <w:rFonts w:ascii="Calibri" w:hAnsi="Calibri"/>
          <w:spacing w:val="-3"/>
          <w:sz w:val="22"/>
        </w:rPr>
        <w:t> </w:t>
      </w:r>
      <w:r>
        <w:rPr>
          <w:rFonts w:ascii="Calibri" w:hAnsi="Calibri"/>
          <w:sz w:val="22"/>
        </w:rPr>
        <w:t>and</w:t>
      </w:r>
      <w:r>
        <w:rPr>
          <w:rFonts w:ascii="Calibri" w:hAnsi="Calibri"/>
          <w:spacing w:val="-3"/>
          <w:sz w:val="22"/>
        </w:rPr>
        <w:t> </w:t>
      </w:r>
      <w:r>
        <w:rPr>
          <w:rFonts w:ascii="Calibri" w:hAnsi="Calibri"/>
          <w:sz w:val="22"/>
        </w:rPr>
        <w:t>supervisors</w:t>
      </w:r>
      <w:r>
        <w:rPr>
          <w:rFonts w:ascii="Calibri" w:hAnsi="Calibri"/>
          <w:spacing w:val="-3"/>
          <w:sz w:val="22"/>
        </w:rPr>
        <w:t> </w:t>
      </w:r>
      <w:r>
        <w:rPr>
          <w:rFonts w:ascii="Calibri" w:hAnsi="Calibri"/>
          <w:sz w:val="22"/>
        </w:rPr>
        <w:t>in order to capture the missing data.</w:t>
      </w:r>
    </w:p>
    <w:p>
      <w:pPr>
        <w:pStyle w:val="ListParagraph"/>
        <w:numPr>
          <w:ilvl w:val="0"/>
          <w:numId w:val="45"/>
        </w:numPr>
        <w:tabs>
          <w:tab w:pos="2160" w:val="left" w:leader="none"/>
        </w:tabs>
        <w:spacing w:line="259" w:lineRule="auto" w:before="0" w:after="0"/>
        <w:ind w:left="2160" w:right="1568" w:hanging="360"/>
        <w:jc w:val="left"/>
        <w:rPr>
          <w:rFonts w:ascii="Calibri" w:hAnsi="Calibri"/>
          <w:sz w:val="22"/>
        </w:rPr>
      </w:pPr>
      <w:r>
        <w:rPr>
          <w:rFonts w:ascii="Calibri" w:hAnsi="Calibri"/>
          <w:sz w:val="22"/>
        </w:rPr>
        <w:t>Identify</w:t>
      </w:r>
      <w:r>
        <w:rPr>
          <w:rFonts w:ascii="Calibri" w:hAnsi="Calibri"/>
          <w:spacing w:val="-3"/>
          <w:sz w:val="22"/>
        </w:rPr>
        <w:t> </w:t>
      </w:r>
      <w:r>
        <w:rPr>
          <w:rFonts w:ascii="Calibri" w:hAnsi="Calibri"/>
          <w:sz w:val="22"/>
        </w:rPr>
        <w:t>members</w:t>
      </w:r>
      <w:r>
        <w:rPr>
          <w:rFonts w:ascii="Calibri" w:hAnsi="Calibri"/>
          <w:spacing w:val="-3"/>
          <w:sz w:val="22"/>
        </w:rPr>
        <w:t> </w:t>
      </w:r>
      <w:r>
        <w:rPr>
          <w:rFonts w:ascii="Calibri" w:hAnsi="Calibri"/>
          <w:sz w:val="22"/>
        </w:rPr>
        <w:t>of</w:t>
      </w:r>
      <w:r>
        <w:rPr>
          <w:rFonts w:ascii="Calibri" w:hAnsi="Calibri"/>
          <w:spacing w:val="-3"/>
          <w:sz w:val="22"/>
        </w:rPr>
        <w:t> </w:t>
      </w:r>
      <w:r>
        <w:rPr>
          <w:rFonts w:ascii="Calibri" w:hAnsi="Calibri"/>
          <w:sz w:val="22"/>
        </w:rPr>
        <w:t>staff</w:t>
      </w:r>
      <w:r>
        <w:rPr>
          <w:rFonts w:ascii="Calibri" w:hAnsi="Calibri"/>
          <w:spacing w:val="-4"/>
          <w:sz w:val="22"/>
        </w:rPr>
        <w:t> </w:t>
      </w:r>
      <w:r>
        <w:rPr>
          <w:rFonts w:ascii="Calibri" w:hAnsi="Calibri"/>
          <w:sz w:val="22"/>
        </w:rPr>
        <w:t>who</w:t>
      </w:r>
      <w:r>
        <w:rPr>
          <w:rFonts w:ascii="Calibri" w:hAnsi="Calibri"/>
          <w:spacing w:val="-4"/>
          <w:sz w:val="22"/>
        </w:rPr>
        <w:t> </w:t>
      </w:r>
      <w:r>
        <w:rPr>
          <w:rFonts w:ascii="Calibri" w:hAnsi="Calibri"/>
          <w:sz w:val="22"/>
        </w:rPr>
        <w:t>have</w:t>
      </w:r>
      <w:r>
        <w:rPr>
          <w:rFonts w:ascii="Calibri" w:hAnsi="Calibri"/>
          <w:spacing w:val="-4"/>
          <w:sz w:val="22"/>
        </w:rPr>
        <w:t> </w:t>
      </w:r>
      <w:r>
        <w:rPr>
          <w:rFonts w:ascii="Calibri" w:hAnsi="Calibri"/>
          <w:sz w:val="22"/>
        </w:rPr>
        <w:t>not</w:t>
      </w:r>
      <w:r>
        <w:rPr>
          <w:rFonts w:ascii="Calibri" w:hAnsi="Calibri"/>
          <w:spacing w:val="-4"/>
          <w:sz w:val="22"/>
        </w:rPr>
        <w:t> </w:t>
      </w:r>
      <w:r>
        <w:rPr>
          <w:rFonts w:ascii="Calibri" w:hAnsi="Calibri"/>
          <w:sz w:val="22"/>
        </w:rPr>
        <w:t>recorded</w:t>
      </w:r>
      <w:r>
        <w:rPr>
          <w:rFonts w:ascii="Calibri" w:hAnsi="Calibri"/>
          <w:spacing w:val="-3"/>
          <w:sz w:val="22"/>
        </w:rPr>
        <w:t> </w:t>
      </w:r>
      <w:r>
        <w:rPr>
          <w:rFonts w:ascii="Calibri" w:hAnsi="Calibri"/>
          <w:sz w:val="22"/>
        </w:rPr>
        <w:t>their</w:t>
      </w:r>
      <w:r>
        <w:rPr>
          <w:rFonts w:ascii="Calibri" w:hAnsi="Calibri"/>
          <w:spacing w:val="-3"/>
          <w:sz w:val="22"/>
        </w:rPr>
        <w:t> </w:t>
      </w:r>
      <w:r>
        <w:rPr>
          <w:rFonts w:ascii="Calibri" w:hAnsi="Calibri"/>
          <w:sz w:val="22"/>
        </w:rPr>
        <w:t>skills</w:t>
      </w:r>
      <w:r>
        <w:rPr>
          <w:rFonts w:ascii="Calibri" w:hAnsi="Calibri"/>
          <w:spacing w:val="-4"/>
          <w:sz w:val="22"/>
        </w:rPr>
        <w:t> </w:t>
      </w:r>
      <w:r>
        <w:rPr>
          <w:rFonts w:ascii="Calibri" w:hAnsi="Calibri"/>
          <w:sz w:val="22"/>
        </w:rPr>
        <w:t>and</w:t>
      </w:r>
      <w:r>
        <w:rPr>
          <w:rFonts w:ascii="Calibri" w:hAnsi="Calibri"/>
          <w:spacing w:val="-4"/>
          <w:sz w:val="22"/>
        </w:rPr>
        <w:t> </w:t>
      </w:r>
      <w:r>
        <w:rPr>
          <w:rFonts w:ascii="Calibri" w:hAnsi="Calibri"/>
          <w:sz w:val="22"/>
        </w:rPr>
        <w:t>communicate</w:t>
      </w:r>
      <w:r>
        <w:rPr>
          <w:rFonts w:ascii="Calibri" w:hAnsi="Calibri"/>
          <w:spacing w:val="-4"/>
          <w:sz w:val="22"/>
        </w:rPr>
        <w:t> </w:t>
      </w:r>
      <w:r>
        <w:rPr>
          <w:rFonts w:ascii="Calibri" w:hAnsi="Calibri"/>
          <w:sz w:val="22"/>
        </w:rPr>
        <w:t>directly</w:t>
      </w:r>
      <w:r>
        <w:rPr>
          <w:rFonts w:ascii="Calibri" w:hAnsi="Calibri"/>
          <w:spacing w:val="-3"/>
          <w:sz w:val="22"/>
        </w:rPr>
        <w:t> </w:t>
      </w:r>
      <w:r>
        <w:rPr>
          <w:rFonts w:ascii="Calibri" w:hAnsi="Calibri"/>
          <w:sz w:val="22"/>
        </w:rPr>
        <w:t>with those members of staff with a ‘how to’ guide to record their skills on ESR.</w:t>
      </w:r>
    </w:p>
    <w:p>
      <w:pPr>
        <w:pStyle w:val="ListParagraph"/>
        <w:numPr>
          <w:ilvl w:val="0"/>
          <w:numId w:val="45"/>
        </w:numPr>
        <w:tabs>
          <w:tab w:pos="2160" w:val="left" w:leader="none"/>
        </w:tabs>
        <w:spacing w:line="268" w:lineRule="exact" w:before="0" w:after="0"/>
        <w:ind w:left="2160" w:right="0" w:hanging="360"/>
        <w:jc w:val="left"/>
        <w:rPr>
          <w:rFonts w:ascii="Calibri"/>
          <w:sz w:val="22"/>
        </w:rPr>
      </w:pPr>
      <w:r>
        <w:rPr>
          <w:rFonts w:ascii="Calibri"/>
          <w:sz w:val="22"/>
        </w:rPr>
        <w:t>To</w:t>
      </w:r>
      <w:r>
        <w:rPr>
          <w:rFonts w:ascii="Calibri"/>
          <w:spacing w:val="-2"/>
          <w:sz w:val="22"/>
        </w:rPr>
        <w:t> </w:t>
      </w:r>
      <w:r>
        <w:rPr>
          <w:rFonts w:ascii="Calibri"/>
          <w:sz w:val="22"/>
        </w:rPr>
        <w:t>put</w:t>
      </w:r>
      <w:r>
        <w:rPr>
          <w:rFonts w:ascii="Calibri"/>
          <w:spacing w:val="-2"/>
          <w:sz w:val="22"/>
        </w:rPr>
        <w:t> </w:t>
      </w:r>
      <w:r>
        <w:rPr>
          <w:rFonts w:ascii="Calibri"/>
          <w:sz w:val="22"/>
        </w:rPr>
        <w:t>in</w:t>
      </w:r>
      <w:r>
        <w:rPr>
          <w:rFonts w:ascii="Calibri"/>
          <w:spacing w:val="-1"/>
          <w:sz w:val="22"/>
        </w:rPr>
        <w:t> </w:t>
      </w:r>
      <w:r>
        <w:rPr>
          <w:rFonts w:ascii="Calibri"/>
          <w:sz w:val="22"/>
        </w:rPr>
        <w:t>place</w:t>
      </w:r>
      <w:r>
        <w:rPr>
          <w:rFonts w:ascii="Calibri"/>
          <w:spacing w:val="-2"/>
          <w:sz w:val="22"/>
        </w:rPr>
        <w:t> </w:t>
      </w:r>
      <w:r>
        <w:rPr>
          <w:rFonts w:ascii="Calibri"/>
          <w:sz w:val="22"/>
        </w:rPr>
        <w:t>a</w:t>
      </w:r>
      <w:r>
        <w:rPr>
          <w:rFonts w:ascii="Calibri"/>
          <w:spacing w:val="-2"/>
          <w:sz w:val="22"/>
        </w:rPr>
        <w:t> </w:t>
      </w:r>
      <w:r>
        <w:rPr>
          <w:rFonts w:ascii="Calibri"/>
          <w:sz w:val="22"/>
        </w:rPr>
        <w:t>strategy</w:t>
      </w:r>
      <w:r>
        <w:rPr>
          <w:rFonts w:ascii="Calibri"/>
          <w:spacing w:val="-1"/>
          <w:sz w:val="22"/>
        </w:rPr>
        <w:t> </w:t>
      </w:r>
      <w:r>
        <w:rPr>
          <w:rFonts w:ascii="Calibri"/>
          <w:sz w:val="22"/>
        </w:rPr>
        <w:t>to</w:t>
      </w:r>
      <w:r>
        <w:rPr>
          <w:rFonts w:ascii="Calibri"/>
          <w:spacing w:val="-1"/>
          <w:sz w:val="22"/>
        </w:rPr>
        <w:t> </w:t>
      </w:r>
      <w:r>
        <w:rPr>
          <w:rFonts w:ascii="Calibri"/>
          <w:sz w:val="22"/>
        </w:rPr>
        <w:t>encourage those</w:t>
      </w:r>
      <w:r>
        <w:rPr>
          <w:rFonts w:ascii="Calibri"/>
          <w:spacing w:val="-2"/>
          <w:sz w:val="22"/>
        </w:rPr>
        <w:t> </w:t>
      </w:r>
      <w:r>
        <w:rPr>
          <w:rFonts w:ascii="Calibri"/>
          <w:sz w:val="22"/>
        </w:rPr>
        <w:t>on</w:t>
      </w:r>
      <w:r>
        <w:rPr>
          <w:rFonts w:ascii="Calibri"/>
          <w:spacing w:val="-2"/>
          <w:sz w:val="22"/>
        </w:rPr>
        <w:t> </w:t>
      </w:r>
      <w:r>
        <w:rPr>
          <w:rFonts w:ascii="Calibri"/>
          <w:sz w:val="22"/>
        </w:rPr>
        <w:t>level</w:t>
      </w:r>
      <w:r>
        <w:rPr>
          <w:rFonts w:ascii="Calibri"/>
          <w:spacing w:val="-1"/>
          <w:sz w:val="22"/>
        </w:rPr>
        <w:t> </w:t>
      </w:r>
      <w:r>
        <w:rPr>
          <w:rFonts w:ascii="Calibri"/>
          <w:sz w:val="22"/>
        </w:rPr>
        <w:t>0</w:t>
      </w:r>
      <w:r>
        <w:rPr>
          <w:rFonts w:ascii="Calibri"/>
          <w:spacing w:val="-1"/>
          <w:sz w:val="22"/>
        </w:rPr>
        <w:t> </w:t>
      </w:r>
      <w:r>
        <w:rPr>
          <w:rFonts w:ascii="Calibri"/>
          <w:sz w:val="22"/>
        </w:rPr>
        <w:t>to</w:t>
      </w:r>
      <w:r>
        <w:rPr>
          <w:rFonts w:ascii="Calibri"/>
          <w:spacing w:val="-1"/>
          <w:sz w:val="22"/>
        </w:rPr>
        <w:t> </w:t>
      </w:r>
      <w:r>
        <w:rPr>
          <w:rFonts w:ascii="Calibri"/>
          <w:sz w:val="22"/>
        </w:rPr>
        <w:t>move</w:t>
      </w:r>
      <w:r>
        <w:rPr>
          <w:rFonts w:ascii="Calibri"/>
          <w:spacing w:val="-1"/>
          <w:sz w:val="22"/>
        </w:rPr>
        <w:t> </w:t>
      </w:r>
      <w:r>
        <w:rPr>
          <w:rFonts w:ascii="Calibri"/>
          <w:sz w:val="22"/>
        </w:rPr>
        <w:t>to</w:t>
      </w:r>
      <w:r>
        <w:rPr>
          <w:rFonts w:ascii="Calibri"/>
          <w:spacing w:val="-1"/>
          <w:sz w:val="22"/>
        </w:rPr>
        <w:t> </w:t>
      </w:r>
      <w:r>
        <w:rPr>
          <w:rFonts w:ascii="Calibri"/>
          <w:sz w:val="22"/>
        </w:rPr>
        <w:t>level </w:t>
      </w:r>
      <w:r>
        <w:rPr>
          <w:rFonts w:ascii="Calibri"/>
          <w:spacing w:val="-5"/>
          <w:sz w:val="22"/>
        </w:rPr>
        <w:t>1.</w:t>
      </w:r>
    </w:p>
    <w:p>
      <w:pPr>
        <w:spacing w:after="0" w:line="268" w:lineRule="exact"/>
        <w:jc w:val="left"/>
        <w:rPr>
          <w:rFonts w:ascii="Calibri"/>
          <w:sz w:val="22"/>
        </w:rPr>
        <w:sectPr>
          <w:pgSz w:w="11910" w:h="16840"/>
          <w:pgMar w:header="0" w:footer="173" w:top="1380" w:bottom="360" w:left="0" w:right="0"/>
        </w:sectPr>
      </w:pPr>
    </w:p>
    <w:p>
      <w:pPr>
        <w:spacing w:line="259" w:lineRule="auto" w:before="42"/>
        <w:ind w:left="2160" w:right="1405" w:firstLine="0"/>
        <w:jc w:val="left"/>
        <w:rPr>
          <w:rFonts w:ascii="Calibri"/>
          <w:sz w:val="22"/>
        </w:rPr>
      </w:pPr>
      <w:r>
        <w:rPr>
          <w:rFonts w:ascii="Calibri"/>
          <w:sz w:val="22"/>
        </w:rPr>
        <w:t>We</w:t>
      </w:r>
      <w:r>
        <w:rPr>
          <w:rFonts w:ascii="Calibri"/>
          <w:spacing w:val="-3"/>
          <w:sz w:val="22"/>
        </w:rPr>
        <w:t> </w:t>
      </w:r>
      <w:r>
        <w:rPr>
          <w:rFonts w:ascii="Calibri"/>
          <w:sz w:val="22"/>
        </w:rPr>
        <w:t>have</w:t>
      </w:r>
      <w:r>
        <w:rPr>
          <w:rFonts w:ascii="Calibri"/>
          <w:spacing w:val="-2"/>
          <w:sz w:val="22"/>
        </w:rPr>
        <w:t> </w:t>
      </w:r>
      <w:r>
        <w:rPr>
          <w:rFonts w:ascii="Calibri"/>
          <w:sz w:val="22"/>
        </w:rPr>
        <w:t>publicised</w:t>
      </w:r>
      <w:r>
        <w:rPr>
          <w:rFonts w:ascii="Calibri"/>
          <w:spacing w:val="-2"/>
          <w:sz w:val="22"/>
        </w:rPr>
        <w:t> </w:t>
      </w:r>
      <w:r>
        <w:rPr>
          <w:rFonts w:ascii="Calibri"/>
          <w:sz w:val="22"/>
        </w:rPr>
        <w:t>the</w:t>
      </w:r>
      <w:r>
        <w:rPr>
          <w:rFonts w:ascii="Calibri"/>
          <w:spacing w:val="-2"/>
          <w:sz w:val="22"/>
        </w:rPr>
        <w:t> </w:t>
      </w:r>
      <w:r>
        <w:rPr>
          <w:rFonts w:ascii="Calibri"/>
          <w:sz w:val="22"/>
        </w:rPr>
        <w:t>online</w:t>
      </w:r>
      <w:r>
        <w:rPr>
          <w:rFonts w:ascii="Calibri"/>
          <w:spacing w:val="-3"/>
          <w:sz w:val="22"/>
        </w:rPr>
        <w:t> </w:t>
      </w:r>
      <w:r>
        <w:rPr>
          <w:rFonts w:ascii="Calibri"/>
          <w:sz w:val="22"/>
        </w:rPr>
        <w:t>taster</w:t>
      </w:r>
      <w:r>
        <w:rPr>
          <w:rFonts w:ascii="Calibri"/>
          <w:spacing w:val="-2"/>
          <w:sz w:val="22"/>
        </w:rPr>
        <w:t> </w:t>
      </w:r>
      <w:r>
        <w:rPr>
          <w:rFonts w:ascii="Calibri"/>
          <w:sz w:val="22"/>
        </w:rPr>
        <w:t>sessions</w:t>
      </w:r>
      <w:r>
        <w:rPr>
          <w:rFonts w:ascii="Calibri"/>
          <w:spacing w:val="-3"/>
          <w:sz w:val="22"/>
        </w:rPr>
        <w:t> </w:t>
      </w:r>
      <w:r>
        <w:rPr>
          <w:rFonts w:ascii="Calibri"/>
          <w:sz w:val="22"/>
        </w:rPr>
        <w:t>and</w:t>
      </w:r>
      <w:r>
        <w:rPr>
          <w:rFonts w:ascii="Calibri"/>
          <w:spacing w:val="-2"/>
          <w:sz w:val="22"/>
        </w:rPr>
        <w:t> </w:t>
      </w:r>
      <w:r>
        <w:rPr>
          <w:rFonts w:ascii="Calibri"/>
          <w:sz w:val="22"/>
        </w:rPr>
        <w:t>have</w:t>
      </w:r>
      <w:r>
        <w:rPr>
          <w:rFonts w:ascii="Calibri"/>
          <w:spacing w:val="-3"/>
          <w:sz w:val="22"/>
        </w:rPr>
        <w:t> </w:t>
      </w:r>
      <w:r>
        <w:rPr>
          <w:rFonts w:ascii="Calibri"/>
          <w:sz w:val="22"/>
        </w:rPr>
        <w:t>put</w:t>
      </w:r>
      <w:r>
        <w:rPr>
          <w:rFonts w:ascii="Calibri"/>
          <w:spacing w:val="-2"/>
          <w:sz w:val="22"/>
        </w:rPr>
        <w:t> </w:t>
      </w:r>
      <w:r>
        <w:rPr>
          <w:rFonts w:ascii="Calibri"/>
          <w:sz w:val="22"/>
        </w:rPr>
        <w:t>on</w:t>
      </w:r>
      <w:r>
        <w:rPr>
          <w:rFonts w:ascii="Calibri"/>
          <w:spacing w:val="-3"/>
          <w:sz w:val="22"/>
        </w:rPr>
        <w:t> </w:t>
      </w:r>
      <w:r>
        <w:rPr>
          <w:rFonts w:ascii="Calibri"/>
          <w:sz w:val="22"/>
        </w:rPr>
        <w:t>taster</w:t>
      </w:r>
      <w:r>
        <w:rPr>
          <w:rFonts w:ascii="Calibri"/>
          <w:spacing w:val="-2"/>
          <w:sz w:val="22"/>
        </w:rPr>
        <w:t> </w:t>
      </w:r>
      <w:r>
        <w:rPr>
          <w:rFonts w:ascii="Calibri"/>
          <w:sz w:val="22"/>
        </w:rPr>
        <w:t>sessions</w:t>
      </w:r>
      <w:r>
        <w:rPr>
          <w:rFonts w:ascii="Calibri"/>
          <w:spacing w:val="-3"/>
          <w:sz w:val="22"/>
        </w:rPr>
        <w:t> </w:t>
      </w:r>
      <w:r>
        <w:rPr>
          <w:rFonts w:ascii="Calibri"/>
          <w:sz w:val="22"/>
        </w:rPr>
        <w:t>for</w:t>
      </w:r>
      <w:r>
        <w:rPr>
          <w:rFonts w:ascii="Calibri"/>
          <w:spacing w:val="-3"/>
          <w:sz w:val="22"/>
        </w:rPr>
        <w:t> </w:t>
      </w:r>
      <w:r>
        <w:rPr>
          <w:rFonts w:ascii="Calibri"/>
          <w:sz w:val="22"/>
        </w:rPr>
        <w:t>staff</w:t>
      </w:r>
      <w:r>
        <w:rPr>
          <w:rFonts w:ascii="Calibri"/>
          <w:spacing w:val="-3"/>
          <w:sz w:val="22"/>
        </w:rPr>
        <w:t> </w:t>
      </w:r>
      <w:r>
        <w:rPr>
          <w:rFonts w:ascii="Calibri"/>
          <w:sz w:val="22"/>
        </w:rPr>
        <w:t>during the year to enable them to record their speaking level as Level 1.</w:t>
      </w:r>
    </w:p>
    <w:p>
      <w:pPr>
        <w:pStyle w:val="ListParagraph"/>
        <w:numPr>
          <w:ilvl w:val="0"/>
          <w:numId w:val="45"/>
        </w:numPr>
        <w:tabs>
          <w:tab w:pos="2160" w:val="left" w:leader="none"/>
        </w:tabs>
        <w:spacing w:line="268" w:lineRule="exact" w:before="0" w:after="0"/>
        <w:ind w:left="2160" w:right="0" w:hanging="360"/>
        <w:jc w:val="left"/>
        <w:rPr>
          <w:rFonts w:ascii="Calibri"/>
          <w:sz w:val="22"/>
        </w:rPr>
      </w:pPr>
      <w:r>
        <w:rPr>
          <w:rFonts w:ascii="Calibri"/>
          <w:sz w:val="22"/>
        </w:rPr>
        <w:t>To</w:t>
      </w:r>
      <w:r>
        <w:rPr>
          <w:rFonts w:ascii="Calibri"/>
          <w:spacing w:val="-2"/>
          <w:sz w:val="22"/>
        </w:rPr>
        <w:t> </w:t>
      </w:r>
      <w:r>
        <w:rPr>
          <w:rFonts w:ascii="Calibri"/>
          <w:sz w:val="22"/>
        </w:rPr>
        <w:t>put</w:t>
      </w:r>
      <w:r>
        <w:rPr>
          <w:rFonts w:ascii="Calibri"/>
          <w:spacing w:val="-2"/>
          <w:sz w:val="22"/>
        </w:rPr>
        <w:t> </w:t>
      </w:r>
      <w:r>
        <w:rPr>
          <w:rFonts w:ascii="Calibri"/>
          <w:sz w:val="22"/>
        </w:rPr>
        <w:t>in</w:t>
      </w:r>
      <w:r>
        <w:rPr>
          <w:rFonts w:ascii="Calibri"/>
          <w:spacing w:val="-1"/>
          <w:sz w:val="22"/>
        </w:rPr>
        <w:t> </w:t>
      </w:r>
      <w:r>
        <w:rPr>
          <w:rFonts w:ascii="Calibri"/>
          <w:sz w:val="22"/>
        </w:rPr>
        <w:t>place</w:t>
      </w:r>
      <w:r>
        <w:rPr>
          <w:rFonts w:ascii="Calibri"/>
          <w:spacing w:val="-2"/>
          <w:sz w:val="22"/>
        </w:rPr>
        <w:t> </w:t>
      </w:r>
      <w:r>
        <w:rPr>
          <w:rFonts w:ascii="Calibri"/>
          <w:sz w:val="22"/>
        </w:rPr>
        <w:t>a</w:t>
      </w:r>
      <w:r>
        <w:rPr>
          <w:rFonts w:ascii="Calibri"/>
          <w:spacing w:val="-2"/>
          <w:sz w:val="22"/>
        </w:rPr>
        <w:t> </w:t>
      </w:r>
      <w:r>
        <w:rPr>
          <w:rFonts w:ascii="Calibri"/>
          <w:sz w:val="22"/>
        </w:rPr>
        <w:t>strategy</w:t>
      </w:r>
      <w:r>
        <w:rPr>
          <w:rFonts w:ascii="Calibri"/>
          <w:spacing w:val="-1"/>
          <w:sz w:val="22"/>
        </w:rPr>
        <w:t> </w:t>
      </w:r>
      <w:r>
        <w:rPr>
          <w:rFonts w:ascii="Calibri"/>
          <w:sz w:val="22"/>
        </w:rPr>
        <w:t>to</w:t>
      </w:r>
      <w:r>
        <w:rPr>
          <w:rFonts w:ascii="Calibri"/>
          <w:spacing w:val="-1"/>
          <w:sz w:val="22"/>
        </w:rPr>
        <w:t> </w:t>
      </w:r>
      <w:r>
        <w:rPr>
          <w:rFonts w:ascii="Calibri"/>
          <w:sz w:val="22"/>
        </w:rPr>
        <w:t>encourage those</w:t>
      </w:r>
      <w:r>
        <w:rPr>
          <w:rFonts w:ascii="Calibri"/>
          <w:spacing w:val="-2"/>
          <w:sz w:val="22"/>
        </w:rPr>
        <w:t> </w:t>
      </w:r>
      <w:r>
        <w:rPr>
          <w:rFonts w:ascii="Calibri"/>
          <w:sz w:val="22"/>
        </w:rPr>
        <w:t>on</w:t>
      </w:r>
      <w:r>
        <w:rPr>
          <w:rFonts w:ascii="Calibri"/>
          <w:spacing w:val="-2"/>
          <w:sz w:val="22"/>
        </w:rPr>
        <w:t> </w:t>
      </w:r>
      <w:r>
        <w:rPr>
          <w:rFonts w:ascii="Calibri"/>
          <w:sz w:val="22"/>
        </w:rPr>
        <w:t>level</w:t>
      </w:r>
      <w:r>
        <w:rPr>
          <w:rFonts w:ascii="Calibri"/>
          <w:spacing w:val="-1"/>
          <w:sz w:val="22"/>
        </w:rPr>
        <w:t> </w:t>
      </w:r>
      <w:r>
        <w:rPr>
          <w:rFonts w:ascii="Calibri"/>
          <w:sz w:val="22"/>
        </w:rPr>
        <w:t>1</w:t>
      </w:r>
      <w:r>
        <w:rPr>
          <w:rFonts w:ascii="Calibri"/>
          <w:spacing w:val="-1"/>
          <w:sz w:val="22"/>
        </w:rPr>
        <w:t> </w:t>
      </w:r>
      <w:r>
        <w:rPr>
          <w:rFonts w:ascii="Calibri"/>
          <w:sz w:val="22"/>
        </w:rPr>
        <w:t>to</w:t>
      </w:r>
      <w:r>
        <w:rPr>
          <w:rFonts w:ascii="Calibri"/>
          <w:spacing w:val="-1"/>
          <w:sz w:val="22"/>
        </w:rPr>
        <w:t> </w:t>
      </w:r>
      <w:r>
        <w:rPr>
          <w:rFonts w:ascii="Calibri"/>
          <w:sz w:val="22"/>
        </w:rPr>
        <w:t>move</w:t>
      </w:r>
      <w:r>
        <w:rPr>
          <w:rFonts w:ascii="Calibri"/>
          <w:spacing w:val="-1"/>
          <w:sz w:val="22"/>
        </w:rPr>
        <w:t> </w:t>
      </w:r>
      <w:r>
        <w:rPr>
          <w:rFonts w:ascii="Calibri"/>
          <w:sz w:val="22"/>
        </w:rPr>
        <w:t>to</w:t>
      </w:r>
      <w:r>
        <w:rPr>
          <w:rFonts w:ascii="Calibri"/>
          <w:spacing w:val="-1"/>
          <w:sz w:val="22"/>
        </w:rPr>
        <w:t> </w:t>
      </w:r>
      <w:r>
        <w:rPr>
          <w:rFonts w:ascii="Calibri"/>
          <w:sz w:val="22"/>
        </w:rPr>
        <w:t>level </w:t>
      </w:r>
      <w:r>
        <w:rPr>
          <w:rFonts w:ascii="Calibri"/>
          <w:spacing w:val="-5"/>
          <w:sz w:val="22"/>
        </w:rPr>
        <w:t>2.</w:t>
      </w:r>
    </w:p>
    <w:p>
      <w:pPr>
        <w:pStyle w:val="ListParagraph"/>
        <w:numPr>
          <w:ilvl w:val="0"/>
          <w:numId w:val="45"/>
        </w:numPr>
        <w:tabs>
          <w:tab w:pos="2160" w:val="left" w:leader="none"/>
        </w:tabs>
        <w:spacing w:line="240" w:lineRule="auto" w:before="21" w:after="0"/>
        <w:ind w:left="2160" w:right="0" w:hanging="360"/>
        <w:jc w:val="left"/>
        <w:rPr>
          <w:rFonts w:ascii="Calibri"/>
          <w:sz w:val="22"/>
        </w:rPr>
      </w:pPr>
      <w:r>
        <w:rPr>
          <w:rFonts w:ascii="Calibri"/>
          <w:sz w:val="22"/>
        </w:rPr>
        <w:t>To</w:t>
      </w:r>
      <w:r>
        <w:rPr>
          <w:rFonts w:ascii="Calibri"/>
          <w:spacing w:val="-2"/>
          <w:sz w:val="22"/>
        </w:rPr>
        <w:t> </w:t>
      </w:r>
      <w:r>
        <w:rPr>
          <w:rFonts w:ascii="Calibri"/>
          <w:sz w:val="22"/>
        </w:rPr>
        <w:t>put</w:t>
      </w:r>
      <w:r>
        <w:rPr>
          <w:rFonts w:ascii="Calibri"/>
          <w:spacing w:val="-2"/>
          <w:sz w:val="22"/>
        </w:rPr>
        <w:t> </w:t>
      </w:r>
      <w:r>
        <w:rPr>
          <w:rFonts w:ascii="Calibri"/>
          <w:sz w:val="22"/>
        </w:rPr>
        <w:t>in</w:t>
      </w:r>
      <w:r>
        <w:rPr>
          <w:rFonts w:ascii="Calibri"/>
          <w:spacing w:val="-1"/>
          <w:sz w:val="22"/>
        </w:rPr>
        <w:t> </w:t>
      </w:r>
      <w:r>
        <w:rPr>
          <w:rFonts w:ascii="Calibri"/>
          <w:sz w:val="22"/>
        </w:rPr>
        <w:t>place</w:t>
      </w:r>
      <w:r>
        <w:rPr>
          <w:rFonts w:ascii="Calibri"/>
          <w:spacing w:val="-2"/>
          <w:sz w:val="22"/>
        </w:rPr>
        <w:t> </w:t>
      </w:r>
      <w:r>
        <w:rPr>
          <w:rFonts w:ascii="Calibri"/>
          <w:sz w:val="22"/>
        </w:rPr>
        <w:t>a</w:t>
      </w:r>
      <w:r>
        <w:rPr>
          <w:rFonts w:ascii="Calibri"/>
          <w:spacing w:val="-2"/>
          <w:sz w:val="22"/>
        </w:rPr>
        <w:t> </w:t>
      </w:r>
      <w:r>
        <w:rPr>
          <w:rFonts w:ascii="Calibri"/>
          <w:sz w:val="22"/>
        </w:rPr>
        <w:t>strategy</w:t>
      </w:r>
      <w:r>
        <w:rPr>
          <w:rFonts w:ascii="Calibri"/>
          <w:spacing w:val="-1"/>
          <w:sz w:val="22"/>
        </w:rPr>
        <w:t> </w:t>
      </w:r>
      <w:r>
        <w:rPr>
          <w:rFonts w:ascii="Calibri"/>
          <w:sz w:val="22"/>
        </w:rPr>
        <w:t>to</w:t>
      </w:r>
      <w:r>
        <w:rPr>
          <w:rFonts w:ascii="Calibri"/>
          <w:spacing w:val="-1"/>
          <w:sz w:val="22"/>
        </w:rPr>
        <w:t> </w:t>
      </w:r>
      <w:r>
        <w:rPr>
          <w:rFonts w:ascii="Calibri"/>
          <w:sz w:val="22"/>
        </w:rPr>
        <w:t>encourage those</w:t>
      </w:r>
      <w:r>
        <w:rPr>
          <w:rFonts w:ascii="Calibri"/>
          <w:spacing w:val="-2"/>
          <w:sz w:val="22"/>
        </w:rPr>
        <w:t> </w:t>
      </w:r>
      <w:r>
        <w:rPr>
          <w:rFonts w:ascii="Calibri"/>
          <w:sz w:val="22"/>
        </w:rPr>
        <w:t>on</w:t>
      </w:r>
      <w:r>
        <w:rPr>
          <w:rFonts w:ascii="Calibri"/>
          <w:spacing w:val="-2"/>
          <w:sz w:val="22"/>
        </w:rPr>
        <w:t> </w:t>
      </w:r>
      <w:r>
        <w:rPr>
          <w:rFonts w:ascii="Calibri"/>
          <w:sz w:val="22"/>
        </w:rPr>
        <w:t>level</w:t>
      </w:r>
      <w:r>
        <w:rPr>
          <w:rFonts w:ascii="Calibri"/>
          <w:spacing w:val="-1"/>
          <w:sz w:val="22"/>
        </w:rPr>
        <w:t> </w:t>
      </w:r>
      <w:r>
        <w:rPr>
          <w:rFonts w:ascii="Calibri"/>
          <w:sz w:val="22"/>
        </w:rPr>
        <w:t>2</w:t>
      </w:r>
      <w:r>
        <w:rPr>
          <w:rFonts w:ascii="Calibri"/>
          <w:spacing w:val="-1"/>
          <w:sz w:val="22"/>
        </w:rPr>
        <w:t> </w:t>
      </w:r>
      <w:r>
        <w:rPr>
          <w:rFonts w:ascii="Calibri"/>
          <w:sz w:val="22"/>
        </w:rPr>
        <w:t>to</w:t>
      </w:r>
      <w:r>
        <w:rPr>
          <w:rFonts w:ascii="Calibri"/>
          <w:spacing w:val="-1"/>
          <w:sz w:val="22"/>
        </w:rPr>
        <w:t> </w:t>
      </w:r>
      <w:r>
        <w:rPr>
          <w:rFonts w:ascii="Calibri"/>
          <w:sz w:val="22"/>
        </w:rPr>
        <w:t>move</w:t>
      </w:r>
      <w:r>
        <w:rPr>
          <w:rFonts w:ascii="Calibri"/>
          <w:spacing w:val="-1"/>
          <w:sz w:val="22"/>
        </w:rPr>
        <w:t> </w:t>
      </w:r>
      <w:r>
        <w:rPr>
          <w:rFonts w:ascii="Calibri"/>
          <w:sz w:val="22"/>
        </w:rPr>
        <w:t>to</w:t>
      </w:r>
      <w:r>
        <w:rPr>
          <w:rFonts w:ascii="Calibri"/>
          <w:spacing w:val="-1"/>
          <w:sz w:val="22"/>
        </w:rPr>
        <w:t> </w:t>
      </w:r>
      <w:r>
        <w:rPr>
          <w:rFonts w:ascii="Calibri"/>
          <w:sz w:val="22"/>
        </w:rPr>
        <w:t>level </w:t>
      </w:r>
      <w:r>
        <w:rPr>
          <w:rFonts w:ascii="Calibri"/>
          <w:spacing w:val="-5"/>
          <w:sz w:val="22"/>
        </w:rPr>
        <w:t>3.</w:t>
      </w:r>
    </w:p>
    <w:p>
      <w:pPr>
        <w:spacing w:line="259" w:lineRule="auto" w:before="181"/>
        <w:ind w:left="1800" w:right="1405" w:firstLine="0"/>
        <w:jc w:val="left"/>
        <w:rPr>
          <w:rFonts w:ascii="Calibri" w:hAnsi="Calibri"/>
          <w:sz w:val="22"/>
        </w:rPr>
      </w:pPr>
      <w:r>
        <w:rPr>
          <w:rFonts w:ascii="Calibri" w:hAnsi="Calibri"/>
          <w:sz w:val="22"/>
        </w:rPr>
        <w:t>We</w:t>
      </w:r>
      <w:r>
        <w:rPr>
          <w:rFonts w:ascii="Calibri" w:hAnsi="Calibri"/>
          <w:spacing w:val="-3"/>
          <w:sz w:val="22"/>
        </w:rPr>
        <w:t> </w:t>
      </w:r>
      <w:r>
        <w:rPr>
          <w:rFonts w:ascii="Calibri" w:hAnsi="Calibri"/>
          <w:sz w:val="22"/>
        </w:rPr>
        <w:t>have</w:t>
      </w:r>
      <w:r>
        <w:rPr>
          <w:rFonts w:ascii="Calibri" w:hAnsi="Calibri"/>
          <w:spacing w:val="-2"/>
          <w:sz w:val="22"/>
        </w:rPr>
        <w:t> </w:t>
      </w:r>
      <w:r>
        <w:rPr>
          <w:rFonts w:ascii="Calibri" w:hAnsi="Calibri"/>
          <w:sz w:val="22"/>
        </w:rPr>
        <w:t>produced</w:t>
      </w:r>
      <w:r>
        <w:rPr>
          <w:rFonts w:ascii="Calibri" w:hAnsi="Calibri"/>
          <w:spacing w:val="-3"/>
          <w:sz w:val="22"/>
        </w:rPr>
        <w:t> </w:t>
      </w:r>
      <w:r>
        <w:rPr>
          <w:rFonts w:ascii="Calibri" w:hAnsi="Calibri"/>
          <w:sz w:val="22"/>
        </w:rPr>
        <w:t>an</w:t>
      </w:r>
      <w:r>
        <w:rPr>
          <w:rFonts w:ascii="Calibri" w:hAnsi="Calibri"/>
          <w:spacing w:val="-3"/>
          <w:sz w:val="22"/>
        </w:rPr>
        <w:t> </w:t>
      </w:r>
      <w:r>
        <w:rPr>
          <w:rFonts w:ascii="Calibri" w:hAnsi="Calibri"/>
          <w:sz w:val="22"/>
        </w:rPr>
        <w:t>animation</w:t>
      </w:r>
      <w:r>
        <w:rPr>
          <w:rFonts w:ascii="Calibri" w:hAnsi="Calibri"/>
          <w:spacing w:val="-3"/>
          <w:sz w:val="22"/>
        </w:rPr>
        <w:t> </w:t>
      </w:r>
      <w:r>
        <w:rPr>
          <w:rFonts w:ascii="Calibri" w:hAnsi="Calibri"/>
          <w:sz w:val="22"/>
        </w:rPr>
        <w:t>in</w:t>
      </w:r>
      <w:r>
        <w:rPr>
          <w:rFonts w:ascii="Calibri" w:hAnsi="Calibri"/>
          <w:spacing w:val="-3"/>
          <w:sz w:val="22"/>
        </w:rPr>
        <w:t> </w:t>
      </w:r>
      <w:r>
        <w:rPr>
          <w:rFonts w:ascii="Calibri" w:hAnsi="Calibri"/>
          <w:sz w:val="22"/>
        </w:rPr>
        <w:t>both</w:t>
      </w:r>
      <w:r>
        <w:rPr>
          <w:rFonts w:ascii="Calibri" w:hAnsi="Calibri"/>
          <w:spacing w:val="-2"/>
          <w:sz w:val="22"/>
        </w:rPr>
        <w:t> </w:t>
      </w:r>
      <w:r>
        <w:rPr>
          <w:rFonts w:ascii="Calibri" w:hAnsi="Calibri"/>
          <w:sz w:val="22"/>
        </w:rPr>
        <w:t>Welsh</w:t>
      </w:r>
      <w:r>
        <w:rPr>
          <w:rFonts w:ascii="Calibri" w:hAnsi="Calibri"/>
          <w:spacing w:val="-2"/>
          <w:sz w:val="22"/>
        </w:rPr>
        <w:t> </w:t>
      </w:r>
      <w:r>
        <w:rPr>
          <w:rFonts w:ascii="Calibri" w:hAnsi="Calibri"/>
          <w:sz w:val="22"/>
        </w:rPr>
        <w:t>and</w:t>
      </w:r>
      <w:r>
        <w:rPr>
          <w:rFonts w:ascii="Calibri" w:hAnsi="Calibri"/>
          <w:spacing w:val="-2"/>
          <w:sz w:val="22"/>
        </w:rPr>
        <w:t> </w:t>
      </w:r>
      <w:r>
        <w:rPr>
          <w:rFonts w:ascii="Calibri" w:hAnsi="Calibri"/>
          <w:sz w:val="22"/>
        </w:rPr>
        <w:t>English</w:t>
      </w:r>
      <w:r>
        <w:rPr>
          <w:rFonts w:ascii="Calibri" w:hAnsi="Calibri"/>
          <w:spacing w:val="-2"/>
          <w:sz w:val="22"/>
        </w:rPr>
        <w:t> </w:t>
      </w:r>
      <w:r>
        <w:rPr>
          <w:rFonts w:ascii="Calibri" w:hAnsi="Calibri"/>
          <w:sz w:val="22"/>
        </w:rPr>
        <w:t>to</w:t>
      </w:r>
      <w:r>
        <w:rPr>
          <w:rFonts w:ascii="Calibri" w:hAnsi="Calibri"/>
          <w:spacing w:val="-2"/>
          <w:sz w:val="22"/>
        </w:rPr>
        <w:t> </w:t>
      </w:r>
      <w:r>
        <w:rPr>
          <w:rFonts w:ascii="Calibri" w:hAnsi="Calibri"/>
          <w:sz w:val="22"/>
        </w:rPr>
        <w:t>enable</w:t>
      </w:r>
      <w:r>
        <w:rPr>
          <w:rFonts w:ascii="Calibri" w:hAnsi="Calibri"/>
          <w:spacing w:val="-2"/>
          <w:sz w:val="22"/>
        </w:rPr>
        <w:t> </w:t>
      </w:r>
      <w:r>
        <w:rPr>
          <w:rFonts w:ascii="Calibri" w:hAnsi="Calibri"/>
          <w:sz w:val="22"/>
        </w:rPr>
        <w:t>staff</w:t>
      </w:r>
      <w:r>
        <w:rPr>
          <w:rFonts w:ascii="Calibri" w:hAnsi="Calibri"/>
          <w:spacing w:val="-3"/>
          <w:sz w:val="22"/>
        </w:rPr>
        <w:t> </w:t>
      </w:r>
      <w:r>
        <w:rPr>
          <w:rFonts w:ascii="Calibri" w:hAnsi="Calibri"/>
          <w:sz w:val="22"/>
        </w:rPr>
        <w:t>to</w:t>
      </w:r>
      <w:r>
        <w:rPr>
          <w:rFonts w:ascii="Calibri" w:hAnsi="Calibri"/>
          <w:spacing w:val="-2"/>
          <w:sz w:val="22"/>
        </w:rPr>
        <w:t> </w:t>
      </w:r>
      <w:r>
        <w:rPr>
          <w:rFonts w:ascii="Calibri" w:hAnsi="Calibri"/>
          <w:sz w:val="22"/>
        </w:rPr>
        <w:t>identify</w:t>
      </w:r>
      <w:r>
        <w:rPr>
          <w:rFonts w:ascii="Calibri" w:hAnsi="Calibri"/>
          <w:spacing w:val="-3"/>
          <w:sz w:val="22"/>
        </w:rPr>
        <w:t> </w:t>
      </w:r>
      <w:r>
        <w:rPr>
          <w:rFonts w:ascii="Calibri" w:hAnsi="Calibri"/>
          <w:sz w:val="22"/>
        </w:rPr>
        <w:t>the</w:t>
      </w:r>
      <w:r>
        <w:rPr>
          <w:rFonts w:ascii="Calibri" w:hAnsi="Calibri"/>
          <w:spacing w:val="-2"/>
          <w:sz w:val="22"/>
        </w:rPr>
        <w:t> </w:t>
      </w:r>
      <w:r>
        <w:rPr>
          <w:rFonts w:ascii="Calibri" w:hAnsi="Calibri"/>
          <w:sz w:val="22"/>
        </w:rPr>
        <w:t>correct level to record on ESR.</w:t>
      </w:r>
      <w:r>
        <w:rPr>
          <w:rFonts w:ascii="Calibri" w:hAnsi="Calibri"/>
          <w:spacing w:val="40"/>
          <w:sz w:val="22"/>
        </w:rPr>
        <w:t> </w:t>
      </w:r>
      <w:r>
        <w:rPr>
          <w:rFonts w:ascii="Calibri" w:hAnsi="Calibri"/>
          <w:sz w:val="22"/>
        </w:rPr>
        <w:t>We’ve also produced a guide to help staff find where to record Welsh language skills on ESR.</w:t>
      </w:r>
      <w:r>
        <w:rPr>
          <w:rFonts w:ascii="Calibri" w:hAnsi="Calibri"/>
          <w:spacing w:val="40"/>
          <w:sz w:val="22"/>
        </w:rPr>
        <w:t> </w:t>
      </w:r>
      <w:r>
        <w:rPr>
          <w:rFonts w:ascii="Calibri" w:hAnsi="Calibri"/>
          <w:sz w:val="22"/>
        </w:rPr>
        <w:t>We’ve identified that the majority of staff do have level 1 speaking skills, but they have a confidence issue in terms of using the Welsh language skills that they have.</w:t>
      </w:r>
    </w:p>
    <w:p>
      <w:pPr>
        <w:pStyle w:val="BodyText"/>
        <w:spacing w:before="5"/>
        <w:rPr>
          <w:rFonts w:ascii="Calibri"/>
          <w:sz w:val="10"/>
        </w:rPr>
      </w:pPr>
      <w:r>
        <w:rPr/>
        <w:pict>
          <v:group style="position:absolute;margin-left:72pt;margin-top:7.578516pt;width:477.05pt;height:327.85pt;mso-position-horizontal-relative:page;mso-position-vertical-relative:paragraph;z-index:-15600128;mso-wrap-distance-left:0;mso-wrap-distance-right:0" id="docshapegroup695" coordorigin="1440,152" coordsize="9541,6557">
            <v:line style="position:absolute" from="1440,6701" to="10980,6701" stroked="true" strokeweight=".719727pt" strokecolor="#5a5a5a">
              <v:stroke dashstyle="solid"/>
            </v:line>
            <v:rect style="position:absolute;left:1500;top:159;width:9474;height:6484" id="docshape696" filled="false" stroked="true" strokeweight=".75pt" strokecolor="#d8d8d8">
              <v:stroke dashstyle="solid"/>
            </v:rect>
            <v:shape style="position:absolute;left:6236;top:1843;width:2;height:1652" id="docshape697" coordorigin="6237,1844" coordsize="0,1652" path="m6237,3496l6237,1844,6237,3496xe" filled="true" fillcolor="#1f3969" stroked="false">
              <v:path arrowok="t"/>
              <v:fill type="solid"/>
            </v:shape>
            <v:shape style="position:absolute;left:5614;top:1864;width:623;height:2319" id="docshape698" coordorigin="5614,1864" coordsize="623,2319" path="m6237,4182l5614,2551,5614,1864,6237,3496,6237,4182xe" filled="true" fillcolor="#182f56" stroked="false">
              <v:path arrowok="t"/>
              <v:fill type="solid"/>
            </v:shape>
            <v:shape style="position:absolute;left:5614;top:1864;width:623;height:2319" id="docshape699" coordorigin="5614,1864" coordsize="623,2319" path="m5614,1864l6237,3496,6237,4182,5614,2551,5614,1864xe" filled="false" stroked="true" strokeweight=".735118pt" strokecolor="#ffffff">
              <v:path arrowok="t"/>
              <v:stroke dashstyle="solid"/>
            </v:shape>
            <v:shape style="position:absolute;left:5614;top:1864;width:623;height:2319" id="docshape700" coordorigin="5614,1864" coordsize="623,2319" path="m6237,4182l5614,2551,5614,1864,6237,3496,6237,4182xe" filled="true" fillcolor="#62983d" stroked="false">
              <v:path arrowok="t"/>
              <v:fill type="solid"/>
            </v:shape>
            <v:shape style="position:absolute;left:5614;top:1864;width:623;height:2319" id="docshape701" coordorigin="5614,1864" coordsize="623,2319" path="m5614,1864l6237,3496,6237,4182,5614,2551,5614,1864xe" filled="false" stroked="true" strokeweight=".735118pt" strokecolor="#ffffff">
              <v:path arrowok="t"/>
              <v:stroke dashstyle="solid"/>
            </v:shape>
            <v:shape style="position:absolute;left:5407;top:1880;width:830;height:2303" id="docshape702" coordorigin="5407,1880" coordsize="830,2303" path="m6237,4182l5407,2567,5407,1880,6237,3496,6237,4182xe" filled="true" fillcolor="#507e31" stroked="false">
              <v:path arrowok="t"/>
              <v:fill type="solid"/>
            </v:shape>
            <v:shape style="position:absolute;left:5407;top:1880;width:830;height:2303" id="docshape703" coordorigin="5407,1880" coordsize="830,2303" path="m5407,1880l6237,3496,6237,4182,5407,2567,5407,1880xe" filled="false" stroked="true" strokeweight=".735118pt" strokecolor="#ffffff">
              <v:path arrowok="t"/>
              <v:stroke dashstyle="solid"/>
            </v:shape>
            <v:shape style="position:absolute;left:5407;top:1880;width:830;height:2303" id="docshape704" coordorigin="5407,1880" coordsize="830,2303" path="m6237,4182l5407,2567,5407,1880,6237,3496,6237,4182xe" filled="true" fillcolor="#4f88bb" stroked="false">
              <v:path arrowok="t"/>
              <v:fill type="solid"/>
            </v:shape>
            <v:shape style="position:absolute;left:5407;top:1880;width:830;height:2303" id="docshape705" coordorigin="5407,1880" coordsize="830,2303" path="m5407,1880l6237,3496,6237,4182,5407,2567,5407,1880xe" filled="false" stroked="true" strokeweight=".735118pt" strokecolor="#ffffff">
              <v:path arrowok="t"/>
              <v:stroke dashstyle="solid"/>
            </v:shape>
            <v:shape style="position:absolute;left:4994;top:1926;width:1243;height:2256" id="docshape706" coordorigin="4995,1927" coordsize="1243,2256" path="m6237,4182l4995,2614,4995,1927,6237,3496,6237,4182xe" filled="true" fillcolor="#41719c" stroked="false">
              <v:path arrowok="t"/>
              <v:fill type="solid"/>
            </v:shape>
            <v:shape style="position:absolute;left:4994;top:1926;width:1243;height:2256" id="docshape707" coordorigin="4995,1927" coordsize="1243,2256" path="m4995,1927l6237,3496,6237,4182,4995,2614,4995,1927xe" filled="false" stroked="true" strokeweight=".735118pt" strokecolor="#ffffff">
              <v:path arrowok="t"/>
              <v:stroke dashstyle="solid"/>
            </v:shape>
            <v:shape style="position:absolute;left:4994;top:1926;width:1243;height:2256" id="docshape708" coordorigin="4995,1927" coordsize="1243,2256" path="m6237,4182l4995,2614,4995,1927,6237,3496,6237,4182xe" filled="true" fillcolor="#e1a900" stroked="false">
              <v:path arrowok="t"/>
              <v:fill type="solid"/>
            </v:shape>
            <v:shape style="position:absolute;left:4994;top:1926;width:1243;height:2256" id="docshape709" coordorigin="4995,1927" coordsize="1243,2256" path="m4995,1927l6237,3496,6237,4182,4995,2614,4995,1927xe" filled="false" stroked="true" strokeweight=".735118pt" strokecolor="#ffffff">
              <v:path arrowok="t"/>
              <v:stroke dashstyle="solid"/>
            </v:shape>
            <v:shape style="position:absolute;left:4585;top:1993;width:1652;height:2189" id="docshape710" coordorigin="4586,1994" coordsize="1652,2189" path="m6237,4182l4586,2680,4586,1994,6237,3496,6237,4182xe" filled="true" fillcolor="#bc8c00" stroked="false">
              <v:path arrowok="t"/>
              <v:fill type="solid"/>
            </v:shape>
            <v:shape style="position:absolute;left:4585;top:1993;width:1652;height:2189" id="docshape711" coordorigin="4586,1994" coordsize="1652,2189" path="m4586,1994l6237,3496,6237,4182,4586,2680,4586,1994xe" filled="false" stroked="true" strokeweight=".735118pt" strokecolor="#ffffff">
              <v:path arrowok="t"/>
              <v:stroke dashstyle="solid"/>
            </v:shape>
            <v:shape style="position:absolute;left:4585;top:1993;width:1652;height:2189" id="docshape712" coordorigin="4586,1994" coordsize="1652,2189" path="m6237,4182l4586,2680,4586,1994,6237,3496,6237,4182xe" filled="true" fillcolor="#919191" stroked="false">
              <v:path arrowok="t"/>
              <v:fill type="solid"/>
            </v:shape>
            <v:shape style="position:absolute;left:4585;top:1993;width:1652;height:2189" id="docshape713" coordorigin="4586,1994" coordsize="1652,2189" path="m4586,1994l6237,3496,6237,4182,4586,2680,4586,1994xe" filled="false" stroked="true" strokeweight=".735118pt" strokecolor="#ffffff">
              <v:path arrowok="t"/>
              <v:stroke dashstyle="solid"/>
            </v:shape>
            <v:shape style="position:absolute;left:3605;top:2259;width:2632;height:1923" id="docshape714" coordorigin="3605,2260" coordsize="2632,1923" path="m6237,4182l3605,2947,3605,2260,6237,3496,6237,4182xe" filled="true" fillcolor="#787878" stroked="false">
              <v:path arrowok="t"/>
              <v:fill type="solid"/>
            </v:shape>
            <v:shape style="position:absolute;left:3605;top:2259;width:2632;height:1923" id="docshape715" coordorigin="3605,2260" coordsize="2632,1923" path="m3605,2260l6237,3496,6237,4182,3605,2947,3605,2260xe" filled="false" stroked="true" strokeweight=".735118pt" strokecolor="#ffffff">
              <v:path arrowok="t"/>
              <v:stroke dashstyle="solid"/>
            </v:shape>
            <v:shape style="position:absolute;left:3605;top:2259;width:2632;height:1923" id="docshape716" coordorigin="3605,2260" coordsize="2632,1923" path="m6237,4182l3605,2947,3605,2260,6237,3496,6237,4182xe" filled="true" fillcolor="#d16c2a" stroked="false">
              <v:path arrowok="t"/>
              <v:fill type="solid"/>
            </v:shape>
            <v:shape style="position:absolute;left:2271;top:2259;width:3965;height:1923" id="docshape717" coordorigin="2272,2260" coordsize="3965,1923" path="m3605,2260l6237,3496,6237,4182,3605,2947,3605,2260xm2272,3496l6237,3496,6237,4182,2272,4182,2272,3496xe" filled="false" stroked="true" strokeweight=".735118pt" strokecolor="#ffffff">
              <v:path arrowok="t"/>
              <v:stroke dashstyle="solid"/>
            </v:shape>
            <v:rect style="position:absolute;left:2271;top:3495;width:3965;height:687" id="docshape718" filled="true" fillcolor="#d16c2a" stroked="false">
              <v:fill type="solid"/>
            </v:rect>
            <v:rect style="position:absolute;left:2271;top:3495;width:3965;height:687" id="docshape719" filled="false" stroked="true" strokeweight=".735118pt" strokecolor="#ffffff">
              <v:stroke dashstyle="solid"/>
            </v:rect>
            <v:shape style="position:absolute;left:6236;top:4182;width:2;height:1983" id="docshape720" coordorigin="6237,4182" coordsize="0,1983" path="m6237,6165l6237,4182,6237,6165xe" filled="true" fillcolor="#ae5a21" stroked="false">
              <v:path arrowok="t"/>
              <v:fill type="solid"/>
            </v:shape>
            <v:shape style="position:absolute;left:6236;top:3495;width:2;height:2670" id="docshape721" coordorigin="6237,3496" coordsize="0,2670" path="m6237,5478l6237,3496,6237,4182,6237,6165,6237,5478xe" filled="false" stroked="true" strokeweight=".735118pt" strokecolor="#ffffff">
              <v:path arrowok="t"/>
              <v:stroke dashstyle="solid"/>
            </v:shape>
            <v:shape style="position:absolute;left:6236;top:1843;width:2;height:1652" id="docshape722" coordorigin="6237,1844" coordsize="0,1652" path="m6237,3496l6237,1844,6237,3496xe" filled="true" fillcolor="#2f528f" stroked="false">
              <v:path arrowok="t"/>
              <v:fill type="solid"/>
            </v:shape>
            <v:shape style="position:absolute;left:6236;top:1843;width:3965;height:2339" id="docshape723" coordorigin="6237,1844" coordsize="3965,2339" path="m6237,1844l6237,3496,6237,4182,6237,2530,6237,1844xm10201,3496l6237,3496,6237,4182,10201,4182,10201,3496xe" filled="false" stroked="true" strokeweight=".735118pt" strokecolor="#ffffff">
              <v:path arrowok="t"/>
              <v:stroke dashstyle="solid"/>
            </v:shape>
            <v:rect style="position:absolute;left:6236;top:3495;width:3965;height:687" id="docshape724" filled="true" fillcolor="#2f528f" stroked="false">
              <v:fill type="solid"/>
            </v:rect>
            <v:rect style="position:absolute;left:6236;top:3495;width:3965;height:687" id="docshape725" filled="false" stroked="true" strokeweight=".735118pt" strokecolor="#ffffff">
              <v:stroke dashstyle="solid"/>
            </v:rect>
            <v:shape style="position:absolute;left:6236;top:3495;width:2714;height:2132" id="docshape726" coordorigin="6237,3496" coordsize="2714,2132" path="m8951,5628l6237,4182,6237,3496,8951,4941,8951,5628xe" filled="true" fillcolor="#3b64ac" stroked="false">
              <v:path arrowok="t"/>
              <v:fill type="solid"/>
            </v:shape>
            <v:shape style="position:absolute;left:6236;top:3495;width:2714;height:2132" id="docshape727" coordorigin="6237,3496" coordsize="2714,2132" path="m8951,4941l6237,3496,6237,4182,8951,5628,8951,4941xe" filled="false" stroked="true" strokeweight=".735118pt" strokecolor="#ffffff">
              <v:path arrowok="t"/>
              <v:stroke dashstyle="solid"/>
            </v:shape>
            <v:shape style="position:absolute;left:6236;top:3495;width:2714;height:2132" id="docshape728" coordorigin="6237,3496" coordsize="2714,2132" path="m8951,5628l6237,4182,6237,3496,8951,4941,8951,5628xe" filled="true" fillcolor="#ae5a21" stroked="false">
              <v:path arrowok="t"/>
              <v:fill type="solid"/>
            </v:shape>
            <v:shape style="position:absolute;left:6236;top:3495;width:2714;height:2132" id="docshape729" coordorigin="6237,3496" coordsize="2714,2132" path="m8951,4941l6237,3496,6237,4182,8951,5628,8951,4941xe" filled="false" stroked="true" strokeweight=".735118pt" strokecolor="#ffffff">
              <v:path arrowok="t"/>
              <v:stroke dashstyle="solid"/>
            </v:shape>
            <v:shape style="position:absolute;left:6236;top:3495;width:2;height:2670" id="docshape730" coordorigin="6237,3496" coordsize="0,2670" path="m6237,6165l6237,5478,6237,3496,6237,6165xe" filled="true" fillcolor="#d16c2a" stroked="false">
              <v:path arrowok="t"/>
              <v:fill type="solid"/>
            </v:shape>
            <v:shape style="position:absolute;left:6236;top:3495;width:2;height:2670" id="docshape731" coordorigin="6237,3496" coordsize="0,2670" path="m6237,5478l6237,3496,6237,4182,6237,6165,6237,5478xe" filled="false" stroked="true" strokeweight=".735118pt" strokecolor="#ffffff">
              <v:path arrowok="t"/>
              <v:stroke dashstyle="solid"/>
            </v:shape>
            <v:shape style="position:absolute;left:8950;top:3495;width:1251;height:2132" type="#_x0000_t75" id="docshape732" stroked="false">
              <v:imagedata r:id="rId213" o:title=""/>
            </v:shape>
            <v:shape style="position:absolute;left:8950;top:3495;width:1251;height:2132" id="docshape733" coordorigin="8951,3496" coordsize="1251,2132" path="m10201,3496l10200,3556,10194,3617,10185,3677,10172,3737,10156,3796,10136,3856,10112,3914,10085,3973,10054,4030,10020,4088,9983,4144,9942,4200,9898,4256,9851,4310,9801,4364,9747,4417,9690,4470,9629,4521,9566,4572,9500,4622,9430,4670,9358,4718,9282,4765,9204,4811,9122,4855,9038,4899,8951,4941,8951,5628,9038,5585,9122,5542,9204,5497,9282,5452,9358,5405,9430,5357,9500,5308,9566,5259,9629,5208,9690,5156,9747,5104,9801,5051,9851,4997,9898,4942,9942,4887,9983,4831,10020,4774,10054,4717,10085,4659,10112,4601,10136,4542,10156,4483,10172,4424,10185,4364,10194,4304,10200,4243,10201,4182,10201,3496xe" filled="false" stroked="true" strokeweight=".735118pt" strokecolor="#ffffff">
              <v:path arrowok="t"/>
              <v:stroke dashstyle="solid"/>
            </v:shape>
            <v:shape style="position:absolute;left:6236;top:1843;width:3965;height:3098" id="docshape734" coordorigin="6237,1844" coordsize="3965,3098" path="m8951,4941l6237,3496,6237,1844,6402,1845,6566,1849,6730,1857,6893,1866,7055,1879,7215,1895,7373,1913,7530,1934,7685,1958,7762,1971,7869,1990,7974,2011,8077,2032,8178,2055,8277,2079,8375,2105,8470,2131,8563,2158,8654,2187,8743,2216,8830,2246,8914,2278,8996,2310,9076,2343,9153,2377,9228,2412,9301,2448,9371,2485,9438,2522,9503,2560,9565,2599,9625,2639,9682,2679,9736,2720,9788,2762,9836,2804,9882,2847,9925,2890,10002,2979,10067,3069,10119,3162,10159,3255,10186,3351,10200,3447,10201,3496,10200,3556,10194,3617,10185,3677,10172,3737,10156,3796,10136,3856,10112,3914,10085,3973,10054,4030,10020,4088,9983,4144,9942,4200,9898,4256,9851,4310,9801,4364,9747,4417,9690,4470,9629,4521,9566,4572,9500,4622,9430,4670,9358,4718,9282,4765,9204,4811,9122,4855,9038,4899,8951,4941xe" filled="true" fillcolor="#4472c4" stroked="false">
              <v:path arrowok="t"/>
              <v:fill type="solid"/>
            </v:shape>
            <v:shape style="position:absolute;left:6236;top:1843;width:3965;height:3098" id="docshape735" coordorigin="6237,1844" coordsize="3965,3098" path="m6237,1844l6319,1844,6402,1845,6484,1847,6566,1849,6648,1853,6730,1857,6812,1861,6893,1866,6974,1872,7055,1879,7135,1887,7215,1895,7294,1904,7373,1913,7452,1923,7530,1934,7608,1946,7685,1958,7762,1971,7869,1990,7974,2011,8077,2032,8178,2055,8277,2079,8375,2105,8470,2131,8563,2158,8654,2187,8743,2216,8830,2246,8914,2278,8996,2310,9076,2343,9153,2377,9228,2412,9301,2448,9371,2485,9438,2522,9503,2560,9565,2599,9625,2639,9682,2679,9736,2720,9788,2762,9836,2804,9882,2847,9925,2890,10002,2979,10067,3069,10119,3162,10159,3255,10186,3351,10200,3447,10201,3496,10200,3556,10194,3617,10185,3677,10172,3737,10156,3796,10136,3856,10112,3914,10085,3973,10054,4030,10020,4088,9983,4144,9942,4200,9898,4256,9851,4310,9801,4364,9747,4417,9690,4470,9629,4521,9566,4572,9500,4622,9430,4670,9358,4718,9282,4765,9204,4811,9122,4855,9038,4899,8951,4941,6237,3496,6237,1844xe" filled="false" stroked="true" strokeweight=".735118pt" strokecolor="#ffffff">
              <v:path arrowok="t"/>
              <v:stroke dashstyle="solid"/>
            </v:shape>
            <v:shape style="position:absolute;left:2271;top:3495;width:6679;height:2670" type="#_x0000_t75" id="docshape736" stroked="false">
              <v:imagedata r:id="rId214" o:title=""/>
            </v:shape>
            <v:shape style="position:absolute;left:2271;top:3495;width:6679;height:2670" id="docshape737" coordorigin="2272,3496" coordsize="6679,2670" path="m8951,4941l8887,4970,8823,4998,8757,5026,8691,5053,8623,5079,8554,5104,8485,5129,8414,5152,8342,5175,8270,5198,8196,5219,8122,5240,8047,5259,7971,5278,7894,5297,7816,5314,7738,5330,7659,5346,7579,5361,7499,5375,7417,5388,7336,5400,7254,5412,7171,5422,7087,5432,7004,5441,6919,5448,6834,5455,6753,5461,6672,5466,6591,5470,6510,5473,6428,5476,6347,5477,6265,5478,6184,5478,6102,5477,6021,5475,5940,5472,5859,5469,5778,5465,5697,5460,5616,5454,5536,5447,5455,5439,5375,5431,5296,5421,5217,5411,5125,5398,5033,5385,4943,5370,4854,5354,4765,5336,4678,5318,4591,5299,4506,5279,4422,5258,4338,5236,4256,5213,4175,5189,4096,5164,4017,5138,3940,5111,3864,5084,3789,5055,3716,5026,3644,4995,3574,4964,3505,4932,3437,4899,3371,4866,3307,4831,3244,4796,3183,4760,3124,4723,3066,4686,3010,4647,2955,4608,2903,4569,2852,4528,2783,4469,2718,4409,2658,4349,2601,4287,2549,4224,2502,4161,2459,4097,2420,4032,2385,3966,2355,3900,2330,3834,2309,3767,2293,3700,2281,3632,2274,3564,2272,3496,2272,4182,2273,4238,2286,4350,2311,4460,2348,4569,2397,4676,2426,4729,2457,4781,2492,4833,2529,4884,2569,4934,2612,4984,2657,5034,2705,5083,2756,5131,2809,5178,2865,5224,2923,5270,2984,5315,3047,5359,3113,5402,3181,5445,3251,5486,3324,5527,3399,5566,3476,5605,3555,5642,3637,5679,3721,5714,3806,5749,3894,5782,3984,5814,4076,5845,4170,5874,4266,5903,4364,5930,4464,5955,4539,5974,4615,5991,4692,6008,4769,6024,4847,6039,4926,6053,5005,6067,5084,6079,5164,6091,5245,6102,5326,6112,5407,6121,5489,6129,5571,6137,5653,6143,5736,6149,5819,6154,5902,6158,5985,6161,6069,6163,6153,6164,6237,6165,6321,6164,6404,6163,6488,6161,6571,6158,6654,6154,6737,6149,6820,6143,6902,6137,6985,6129,7066,6121,7148,6112,7229,6102,7309,6091,7389,6079,7469,6067,7548,6053,7626,6039,7704,6024,7782,6008,7858,5991,7934,5974,8010,5955,8095,5933,8179,5910,8262,5886,8344,5862,8425,5836,8504,5809,8582,5781,8659,5752,8734,5722,8807,5692,8880,5660,8951,5628,8951,4941xe" filled="false" stroked="true" strokeweight=".735118pt" strokecolor="#ffffff">
              <v:path arrowok="t"/>
              <v:stroke dashstyle="solid"/>
            </v:shape>
            <v:shape style="position:absolute;left:2271;top:2259;width:6679;height:3219" id="docshape738" coordorigin="2272,2260" coordsize="6679,3219" path="m6237,5478l6153,5478,6069,5476,5985,5474,5902,5471,5819,5467,5736,5462,5653,5456,5571,5450,5489,5442,5407,5434,5326,5425,5245,5415,5164,5404,5084,5392,5005,5380,4926,5367,4847,5352,4769,5337,4692,5321,4615,5305,4539,5287,4464,5269,4364,5243,4266,5216,4170,5188,4076,5158,3984,5127,3894,5095,3806,5062,3721,5028,3637,4992,3555,4956,3476,4918,3399,4880,3324,4840,3251,4800,3181,4758,3113,4716,3047,4672,2984,4628,2923,4583,2865,4538,2809,4491,2756,4444,2705,4396,2657,4347,2612,4298,2569,4248,2529,4197,2492,4146,2457,4094,2426,4042,2397,3989,2348,3882,2311,3773,2286,3663,2273,3552,2272,3496,2274,3439,2293,3327,2329,3216,2354,3161,2383,3107,2417,3053,2455,3000,2497,2947,2543,2895,2594,2844,2649,2793,2707,2743,2770,2694,2836,2646,2907,2599,2981,2553,3059,2508,3141,2463,3227,2420,3316,2378,3409,2338,3505,2298,3605,2260,6237,3496,8951,4941,8887,4970,8823,4998,8757,5026,8691,5053,8623,5079,8554,5104,8485,5129,8414,5152,8342,5175,8270,5198,8196,5219,8122,5240,8047,5259,7971,5278,7894,5297,7816,5314,7738,5330,7659,5346,7579,5361,7499,5375,7417,5388,7336,5400,7254,5412,7171,5422,7087,5432,7004,5441,6919,5448,6834,5455,6750,5461,6664,5466,6579,5471,6494,5474,6408,5476,6322,5478,6237,5478xe" filled="true" fillcolor="#ed7d31" stroked="false">
              <v:path arrowok="t"/>
              <v:fill type="solid"/>
            </v:shape>
            <v:shape style="position:absolute;left:2271;top:2259;width:6679;height:3219" id="docshape739" coordorigin="2272,2260" coordsize="6679,3219" path="m8951,4941l8887,4970,8823,4998,8757,5026,8691,5053,8623,5079,8554,5104,8485,5129,8414,5152,8342,5175,8270,5198,8196,5219,8122,5240,8047,5259,7971,5278,7894,5297,7816,5314,7738,5330,7659,5346,7579,5361,7499,5375,7417,5388,7336,5400,7254,5412,7171,5422,7087,5432,7004,5441,6919,5448,6834,5455,6750,5461,6664,5466,6579,5471,6494,5474,6408,5476,6322,5478,6237,5478,6153,5478,6069,5476,5985,5474,5902,5471,5819,5467,5736,5462,5653,5456,5571,5450,5489,5442,5407,5434,5326,5425,5245,5415,5164,5404,5084,5392,5005,5380,4926,5367,4847,5352,4769,5337,4692,5321,4615,5305,4539,5287,4464,5269,4364,5243,4266,5216,4170,5188,4076,5158,3984,5127,3894,5095,3806,5062,3721,5028,3637,4992,3555,4956,3476,4918,3399,4880,3324,4840,3251,4800,3181,4758,3113,4716,3047,4672,2984,4628,2923,4583,2865,4538,2809,4491,2756,4444,2705,4396,2657,4347,2612,4298,2569,4248,2529,4197,2492,4146,2457,4094,2426,4042,2397,3989,2348,3882,2311,3773,2286,3663,2273,3552,2272,3496,2274,3439,2293,3327,2329,3216,2354,3161,2383,3107,2417,3053,2455,3000,2497,2947,2543,2895,2594,2844,2649,2793,2707,2743,2770,2694,2836,2646,2907,2599,2981,2553,3059,2508,3141,2463,3227,2420,3316,2378,3409,2338,3505,2298,3605,2260,6237,3496,8951,4941xe" filled="false" stroked="true" strokeweight=".735118pt" strokecolor="#ffffff">
              <v:path arrowok="t"/>
              <v:stroke dashstyle="solid"/>
            </v:shape>
            <v:shape style="position:absolute;left:3605;top:1993;width:2632;height:1502" id="docshape740" coordorigin="3605,1994" coordsize="2632,1502" path="m6237,3496l3605,2260,3674,2235,3743,2211,3814,2188,3886,2165,3960,2143,4034,2122,4110,2102,4186,2082,4264,2063,4343,2044,4423,2027,4504,2010,4586,1994,6237,3496xe" filled="true" fillcolor="#a5a5a5" stroked="false">
              <v:path arrowok="t"/>
              <v:fill type="solid"/>
            </v:shape>
            <v:shape style="position:absolute;left:3605;top:1993;width:2632;height:1502" id="docshape741" coordorigin="3605,1994" coordsize="2632,1502" path="m3605,2260l3674,2235,3743,2211,3814,2188,3886,2165,3960,2143,4034,2122,4110,2102,4186,2082,4264,2063,4343,2044,4423,2027,4504,2010,4586,1994,6237,3496,3605,2260xe" filled="false" stroked="true" strokeweight=".735118pt" strokecolor="#ffffff">
              <v:path arrowok="t"/>
              <v:stroke dashstyle="solid"/>
            </v:shape>
            <v:shape style="position:absolute;left:4585;top:1926;width:1652;height:1569" id="docshape742" coordorigin="4586,1927" coordsize="1652,1569" path="m6237,3496l4586,1994,4666,1979,4747,1965,4829,1951,4911,1939,4995,1927,6237,3496xe" filled="true" fillcolor="#ffc000" stroked="false">
              <v:path arrowok="t"/>
              <v:fill type="solid"/>
            </v:shape>
            <v:shape style="position:absolute;left:4585;top:1926;width:1652;height:1569" id="docshape743" coordorigin="4586,1927" coordsize="1652,1569" path="m4586,1994l4666,1979,4747,1965,4829,1951,4911,1939,4995,1927,6237,3496,4586,1994xe" filled="false" stroked="true" strokeweight=".735118pt" strokecolor="#ffffff">
              <v:path arrowok="t"/>
              <v:stroke dashstyle="solid"/>
            </v:shape>
            <v:shape style="position:absolute;left:4994;top:1880;width:1243;height:1616" id="docshape744" coordorigin="4995,1880" coordsize="1243,1616" path="m6237,3496l4995,1927,5076,1916,5241,1897,5407,1880,6237,3496xe" filled="true" fillcolor="#5b9bd5" stroked="false">
              <v:path arrowok="t"/>
              <v:fill type="solid"/>
            </v:shape>
            <v:shape style="position:absolute;left:4994;top:1880;width:1243;height:1616" id="docshape745" coordorigin="4995,1880" coordsize="1243,1616" path="m4995,1927l5076,1916,5158,1906,5241,1897,5324,1888,5407,1880,6237,3496,4995,1927xe" filled="false" stroked="true" strokeweight=".735118pt" strokecolor="#ffffff">
              <v:path arrowok="t"/>
              <v:stroke dashstyle="solid"/>
            </v:shape>
            <v:shape style="position:absolute;left:5407;top:1864;width:830;height:1632" id="docshape746" coordorigin="5407,1864" coordsize="830,1632" path="m6237,3496l5407,1880,5459,1876,5614,1864,6237,3496xe" filled="true" fillcolor="#70ad47" stroked="false">
              <v:path arrowok="t"/>
              <v:fill type="solid"/>
            </v:shape>
            <v:shape style="position:absolute;left:5407;top:1864;width:830;height:1632" id="docshape747" coordorigin="5407,1864" coordsize="830,1632" path="m5407,1880l5459,1876,5510,1872,5562,1868,5614,1864,6237,3496,5407,1880xe" filled="false" stroked="true" strokeweight=".735118pt" strokecolor="#ffffff">
              <v:path arrowok="t"/>
              <v:stroke dashstyle="solid"/>
            </v:shape>
            <v:shape style="position:absolute;left:5614;top:1843;width:623;height:1652" id="docshape748" coordorigin="5614,1844" coordsize="623,1652" path="m6237,3496l5614,1864,5769,1855,5925,1849,6080,1845,6237,1844,6237,3496xe" filled="true" fillcolor="#254378" stroked="false">
              <v:path arrowok="t"/>
              <v:fill type="solid"/>
            </v:shape>
            <v:shape style="position:absolute;left:5614;top:1843;width:623;height:1652" id="docshape749" coordorigin="5614,1844" coordsize="623,1652" path="m5614,1864l5692,1859,5769,1855,5847,1852,5925,1849,6002,1847,6080,1845,6159,1844,6237,1844,6237,3496,5614,1864xe" filled="false" stroked="true" strokeweight=".735118pt" strokecolor="#ffffff">
              <v:path arrowok="t"/>
              <v:stroke dashstyle="solid"/>
            </v:shape>
            <v:line style="position:absolute" from="6560,1759" to="6056,1946" stroked="true" strokeweight=".5pt" strokecolor="#4472c4">
              <v:stroke dashstyle="solid"/>
            </v:line>
            <v:line style="position:absolute" from="6231,1372" to="5985,1746" stroked="true" strokeweight=".5pt" strokecolor="#4472c4">
              <v:stroke dashstyle="solid"/>
            </v:line>
            <v:line style="position:absolute" from="3586,1928" to="3973,2101" stroked="true" strokeweight=".5pt" strokecolor="#000000">
              <v:stroke dashstyle="solid"/>
            </v:line>
            <v:line style="position:absolute" from="4253,1526" to="4933,1846" stroked="true" strokeweight=".5pt" strokecolor="#4472c4">
              <v:stroke dashstyle="solid"/>
            </v:line>
            <v:line style="position:absolute" from="4787,1154" to="5400,1887" stroked="true" strokeweight=".5pt" strokecolor="#4472c4">
              <v:stroke dashstyle="solid"/>
            </v:line>
            <v:line style="position:absolute" from="5439,1008" to="5626,1847" stroked="true" strokeweight=".5pt" strokecolor="#4472c4">
              <v:stroke dashstyle="solid"/>
            </v:line>
            <v:shape style="position:absolute;left:1507;top:166;width:9459;height:6477" type="#_x0000_t202" id="docshape750" filled="false" stroked="false">
              <v:textbox inset="0,0,0,0">
                <w:txbxContent>
                  <w:p>
                    <w:pPr>
                      <w:spacing w:before="39"/>
                      <w:ind w:left="2001" w:right="0" w:firstLine="0"/>
                      <w:jc w:val="left"/>
                      <w:rPr>
                        <w:rFonts w:ascii="Calibri"/>
                        <w:b/>
                        <w:sz w:val="32"/>
                      </w:rPr>
                    </w:pPr>
                    <w:r>
                      <w:rPr>
                        <w:rFonts w:ascii="Calibri"/>
                        <w:b/>
                        <w:color w:val="1E4E79"/>
                        <w:sz w:val="32"/>
                      </w:rPr>
                      <w:t>Welsh</w:t>
                    </w:r>
                    <w:r>
                      <w:rPr>
                        <w:rFonts w:ascii="Calibri"/>
                        <w:b/>
                        <w:color w:val="1E4E79"/>
                        <w:spacing w:val="-4"/>
                        <w:sz w:val="32"/>
                      </w:rPr>
                      <w:t> </w:t>
                    </w:r>
                    <w:r>
                      <w:rPr>
                        <w:rFonts w:ascii="Calibri"/>
                        <w:b/>
                        <w:color w:val="1E4E79"/>
                        <w:sz w:val="32"/>
                      </w:rPr>
                      <w:t>Language</w:t>
                    </w:r>
                    <w:r>
                      <w:rPr>
                        <w:rFonts w:ascii="Calibri"/>
                        <w:b/>
                        <w:color w:val="1E4E79"/>
                        <w:spacing w:val="-2"/>
                        <w:sz w:val="32"/>
                      </w:rPr>
                      <w:t> </w:t>
                    </w:r>
                    <w:r>
                      <w:rPr>
                        <w:rFonts w:ascii="Calibri"/>
                        <w:b/>
                        <w:color w:val="1E4E79"/>
                        <w:sz w:val="32"/>
                      </w:rPr>
                      <w:t>Skills</w:t>
                    </w:r>
                    <w:r>
                      <w:rPr>
                        <w:rFonts w:ascii="Calibri"/>
                        <w:b/>
                        <w:color w:val="1E4E79"/>
                        <w:spacing w:val="-1"/>
                        <w:sz w:val="32"/>
                      </w:rPr>
                      <w:t> </w:t>
                    </w:r>
                    <w:r>
                      <w:rPr>
                        <w:rFonts w:ascii="Calibri"/>
                        <w:b/>
                        <w:color w:val="1E4E79"/>
                        <w:sz w:val="32"/>
                      </w:rPr>
                      <w:t>-</w:t>
                    </w:r>
                    <w:r>
                      <w:rPr>
                        <w:rFonts w:ascii="Calibri"/>
                        <w:b/>
                        <w:color w:val="1E4E79"/>
                        <w:spacing w:val="-2"/>
                        <w:sz w:val="32"/>
                      </w:rPr>
                      <w:t> </w:t>
                    </w:r>
                    <w:r>
                      <w:rPr>
                        <w:rFonts w:ascii="Calibri"/>
                        <w:b/>
                        <w:color w:val="1E4E79"/>
                        <w:sz w:val="32"/>
                      </w:rPr>
                      <w:t>Speaking</w:t>
                    </w:r>
                    <w:r>
                      <w:rPr>
                        <w:rFonts w:ascii="Calibri"/>
                        <w:b/>
                        <w:color w:val="1E4E79"/>
                        <w:spacing w:val="-2"/>
                        <w:sz w:val="32"/>
                      </w:rPr>
                      <w:t> </w:t>
                    </w:r>
                    <w:r>
                      <w:rPr>
                        <w:rFonts w:ascii="Calibri"/>
                        <w:b/>
                        <w:color w:val="1E4E79"/>
                        <w:sz w:val="32"/>
                      </w:rPr>
                      <w:t>&amp;</w:t>
                    </w:r>
                    <w:r>
                      <w:rPr>
                        <w:rFonts w:ascii="Calibri"/>
                        <w:b/>
                        <w:color w:val="1E4E79"/>
                        <w:spacing w:val="-1"/>
                        <w:sz w:val="32"/>
                      </w:rPr>
                      <w:t> </w:t>
                    </w:r>
                    <w:r>
                      <w:rPr>
                        <w:rFonts w:ascii="Calibri"/>
                        <w:b/>
                        <w:color w:val="1E4E79"/>
                        <w:spacing w:val="-2"/>
                        <w:sz w:val="32"/>
                      </w:rPr>
                      <w:t>Understanding</w:t>
                    </w:r>
                  </w:p>
                  <w:p>
                    <w:pPr>
                      <w:spacing w:line="214" w:lineRule="exact" w:before="128"/>
                      <w:ind w:left="817" w:right="956" w:firstLine="0"/>
                      <w:jc w:val="center"/>
                      <w:rPr>
                        <w:rFonts w:ascii="Calibri"/>
                        <w:b/>
                        <w:sz w:val="22"/>
                      </w:rPr>
                    </w:pPr>
                    <w:r>
                      <w:rPr>
                        <w:rFonts w:ascii="Calibri"/>
                        <w:b/>
                        <w:sz w:val="22"/>
                      </w:rPr>
                      <w:t>1%</w:t>
                    </w:r>
                    <w:r>
                      <w:rPr>
                        <w:rFonts w:ascii="Calibri"/>
                        <w:b/>
                        <w:spacing w:val="-3"/>
                        <w:sz w:val="22"/>
                      </w:rPr>
                      <w:t> </w:t>
                    </w:r>
                    <w:r>
                      <w:rPr>
                        <w:rFonts w:ascii="Calibri"/>
                        <w:b/>
                        <w:sz w:val="22"/>
                      </w:rPr>
                      <w:t>recorded</w:t>
                    </w:r>
                    <w:r>
                      <w:rPr>
                        <w:rFonts w:ascii="Calibri"/>
                        <w:b/>
                        <w:spacing w:val="-3"/>
                        <w:sz w:val="22"/>
                      </w:rPr>
                      <w:t> </w:t>
                    </w:r>
                    <w:r>
                      <w:rPr>
                        <w:rFonts w:ascii="Calibri"/>
                        <w:b/>
                        <w:sz w:val="22"/>
                      </w:rPr>
                      <w:t>Level</w:t>
                    </w:r>
                    <w:r>
                      <w:rPr>
                        <w:rFonts w:ascii="Calibri"/>
                        <w:b/>
                        <w:spacing w:val="-3"/>
                        <w:sz w:val="22"/>
                      </w:rPr>
                      <w:t> </w:t>
                    </w:r>
                    <w:r>
                      <w:rPr>
                        <w:rFonts w:ascii="Calibri"/>
                        <w:b/>
                        <w:spacing w:val="-10"/>
                        <w:sz w:val="22"/>
                      </w:rPr>
                      <w:t>4</w:t>
                    </w:r>
                  </w:p>
                  <w:p>
                    <w:pPr>
                      <w:spacing w:line="198" w:lineRule="exact" w:before="0"/>
                      <w:ind w:left="817" w:right="5431" w:firstLine="0"/>
                      <w:jc w:val="center"/>
                      <w:rPr>
                        <w:rFonts w:ascii="Calibri"/>
                        <w:b/>
                        <w:sz w:val="22"/>
                      </w:rPr>
                    </w:pPr>
                    <w:r>
                      <w:rPr>
                        <w:rFonts w:ascii="Calibri"/>
                        <w:b/>
                        <w:sz w:val="22"/>
                      </w:rPr>
                      <w:t>2%</w:t>
                    </w:r>
                    <w:r>
                      <w:rPr>
                        <w:rFonts w:ascii="Calibri"/>
                        <w:b/>
                        <w:spacing w:val="-3"/>
                        <w:sz w:val="22"/>
                      </w:rPr>
                      <w:t> </w:t>
                    </w:r>
                    <w:r>
                      <w:rPr>
                        <w:rFonts w:ascii="Calibri"/>
                        <w:b/>
                        <w:sz w:val="22"/>
                      </w:rPr>
                      <w:t>recorded</w:t>
                    </w:r>
                    <w:r>
                      <w:rPr>
                        <w:rFonts w:ascii="Calibri"/>
                        <w:b/>
                        <w:spacing w:val="-3"/>
                        <w:sz w:val="22"/>
                      </w:rPr>
                      <w:t> </w:t>
                    </w:r>
                    <w:r>
                      <w:rPr>
                        <w:rFonts w:ascii="Calibri"/>
                        <w:b/>
                        <w:sz w:val="22"/>
                      </w:rPr>
                      <w:t>Level</w:t>
                    </w:r>
                    <w:r>
                      <w:rPr>
                        <w:rFonts w:ascii="Calibri"/>
                        <w:b/>
                        <w:spacing w:val="-3"/>
                        <w:sz w:val="22"/>
                      </w:rPr>
                      <w:t> </w:t>
                    </w:r>
                    <w:r>
                      <w:rPr>
                        <w:rFonts w:ascii="Calibri"/>
                        <w:b/>
                        <w:spacing w:val="-10"/>
                        <w:sz w:val="22"/>
                      </w:rPr>
                      <w:t>2</w:t>
                    </w:r>
                  </w:p>
                  <w:p>
                    <w:pPr>
                      <w:spacing w:line="226" w:lineRule="exact" w:before="0"/>
                      <w:ind w:left="4606" w:right="1922" w:firstLine="0"/>
                      <w:jc w:val="center"/>
                      <w:rPr>
                        <w:rFonts w:ascii="Calibri"/>
                        <w:b/>
                        <w:sz w:val="22"/>
                      </w:rPr>
                    </w:pPr>
                    <w:r>
                      <w:rPr>
                        <w:rFonts w:ascii="Calibri"/>
                        <w:b/>
                        <w:sz w:val="22"/>
                      </w:rPr>
                      <w:t>3</w:t>
                    </w:r>
                    <w:r>
                      <w:rPr>
                        <w:rFonts w:ascii="Calibri"/>
                        <w:b/>
                        <w:spacing w:val="-2"/>
                        <w:sz w:val="22"/>
                      </w:rPr>
                      <w:t> </w:t>
                    </w:r>
                    <w:r>
                      <w:rPr>
                        <w:rFonts w:ascii="Calibri"/>
                        <w:b/>
                        <w:sz w:val="22"/>
                      </w:rPr>
                      <w:t>%</w:t>
                    </w:r>
                    <w:r>
                      <w:rPr>
                        <w:rFonts w:ascii="Calibri"/>
                        <w:b/>
                        <w:spacing w:val="-1"/>
                        <w:sz w:val="22"/>
                      </w:rPr>
                      <w:t> </w:t>
                    </w:r>
                    <w:r>
                      <w:rPr>
                        <w:rFonts w:ascii="Calibri"/>
                        <w:b/>
                        <w:sz w:val="22"/>
                      </w:rPr>
                      <w:t>of</w:t>
                    </w:r>
                    <w:r>
                      <w:rPr>
                        <w:rFonts w:ascii="Calibri"/>
                        <w:b/>
                        <w:spacing w:val="-2"/>
                        <w:sz w:val="22"/>
                      </w:rPr>
                      <w:t> </w:t>
                    </w:r>
                    <w:r>
                      <w:rPr>
                        <w:rFonts w:ascii="Calibri"/>
                        <w:b/>
                        <w:sz w:val="22"/>
                      </w:rPr>
                      <w:t>staff</w:t>
                    </w:r>
                    <w:r>
                      <w:rPr>
                        <w:rFonts w:ascii="Calibri"/>
                        <w:b/>
                        <w:spacing w:val="-2"/>
                        <w:sz w:val="22"/>
                      </w:rPr>
                      <w:t> </w:t>
                    </w:r>
                    <w:r>
                      <w:rPr>
                        <w:rFonts w:ascii="Calibri"/>
                        <w:b/>
                        <w:sz w:val="22"/>
                      </w:rPr>
                      <w:t>recorded</w:t>
                    </w:r>
                    <w:r>
                      <w:rPr>
                        <w:rFonts w:ascii="Calibri"/>
                        <w:b/>
                        <w:spacing w:val="-1"/>
                        <w:sz w:val="22"/>
                      </w:rPr>
                      <w:t> </w:t>
                    </w:r>
                    <w:r>
                      <w:rPr>
                        <w:rFonts w:ascii="Calibri"/>
                        <w:b/>
                        <w:sz w:val="22"/>
                      </w:rPr>
                      <w:t>Level</w:t>
                    </w:r>
                    <w:r>
                      <w:rPr>
                        <w:rFonts w:ascii="Calibri"/>
                        <w:b/>
                        <w:spacing w:val="-2"/>
                        <w:sz w:val="22"/>
                      </w:rPr>
                      <w:t> </w:t>
                    </w:r>
                    <w:r>
                      <w:rPr>
                        <w:rFonts w:ascii="Calibri"/>
                        <w:b/>
                        <w:spacing w:val="-10"/>
                        <w:sz w:val="22"/>
                      </w:rPr>
                      <w:t>5</w:t>
                    </w:r>
                  </w:p>
                  <w:p>
                    <w:pPr>
                      <w:spacing w:line="242" w:lineRule="exact" w:before="0"/>
                      <w:ind w:left="137" w:right="6111" w:firstLine="0"/>
                      <w:jc w:val="center"/>
                      <w:rPr>
                        <w:rFonts w:ascii="Calibri"/>
                        <w:b/>
                        <w:sz w:val="22"/>
                      </w:rPr>
                    </w:pPr>
                    <w:r>
                      <w:rPr>
                        <w:rFonts w:ascii="Calibri"/>
                        <w:b/>
                        <w:sz w:val="22"/>
                      </w:rPr>
                      <w:t>2%</w:t>
                    </w:r>
                    <w:r>
                      <w:rPr>
                        <w:rFonts w:ascii="Calibri"/>
                        <w:b/>
                        <w:spacing w:val="-3"/>
                        <w:sz w:val="22"/>
                      </w:rPr>
                      <w:t> </w:t>
                    </w:r>
                    <w:r>
                      <w:rPr>
                        <w:rFonts w:ascii="Calibri"/>
                        <w:b/>
                        <w:sz w:val="22"/>
                      </w:rPr>
                      <w:t>recorded</w:t>
                    </w:r>
                    <w:r>
                      <w:rPr>
                        <w:rFonts w:ascii="Calibri"/>
                        <w:b/>
                        <w:spacing w:val="-3"/>
                        <w:sz w:val="22"/>
                      </w:rPr>
                      <w:t> </w:t>
                    </w:r>
                    <w:r>
                      <w:rPr>
                        <w:rFonts w:ascii="Calibri"/>
                        <w:b/>
                        <w:sz w:val="22"/>
                      </w:rPr>
                      <w:t>Level</w:t>
                    </w:r>
                    <w:r>
                      <w:rPr>
                        <w:rFonts w:ascii="Calibri"/>
                        <w:b/>
                        <w:spacing w:val="-3"/>
                        <w:sz w:val="22"/>
                      </w:rPr>
                      <w:t> </w:t>
                    </w:r>
                    <w:r>
                      <w:rPr>
                        <w:rFonts w:ascii="Calibri"/>
                        <w:b/>
                        <w:spacing w:val="-10"/>
                        <w:sz w:val="22"/>
                      </w:rPr>
                      <w:t>2</w:t>
                    </w:r>
                  </w:p>
                  <w:p>
                    <w:pPr>
                      <w:spacing w:before="187"/>
                      <w:ind w:left="136" w:right="0" w:firstLine="0"/>
                      <w:jc w:val="left"/>
                      <w:rPr>
                        <w:rFonts w:ascii="Calibri"/>
                        <w:b/>
                        <w:sz w:val="22"/>
                      </w:rPr>
                    </w:pPr>
                    <w:r>
                      <w:rPr>
                        <w:rFonts w:ascii="Calibri"/>
                        <w:b/>
                        <w:sz w:val="22"/>
                      </w:rPr>
                      <w:t>7%</w:t>
                    </w:r>
                    <w:r>
                      <w:rPr>
                        <w:rFonts w:ascii="Calibri"/>
                        <w:b/>
                        <w:spacing w:val="-3"/>
                        <w:sz w:val="22"/>
                      </w:rPr>
                      <w:t> </w:t>
                    </w:r>
                    <w:r>
                      <w:rPr>
                        <w:rFonts w:ascii="Calibri"/>
                        <w:b/>
                        <w:sz w:val="22"/>
                      </w:rPr>
                      <w:t>recorded</w:t>
                    </w:r>
                    <w:r>
                      <w:rPr>
                        <w:rFonts w:ascii="Calibri"/>
                        <w:b/>
                        <w:spacing w:val="-3"/>
                        <w:sz w:val="22"/>
                      </w:rPr>
                      <w:t> </w:t>
                    </w:r>
                    <w:r>
                      <w:rPr>
                        <w:rFonts w:ascii="Calibri"/>
                        <w:b/>
                        <w:sz w:val="22"/>
                      </w:rPr>
                      <w:t>Level</w:t>
                    </w:r>
                    <w:r>
                      <w:rPr>
                        <w:rFonts w:ascii="Calibri"/>
                        <w:b/>
                        <w:spacing w:val="-3"/>
                        <w:sz w:val="22"/>
                      </w:rPr>
                      <w:t> </w:t>
                    </w:r>
                    <w:r>
                      <w:rPr>
                        <w:rFonts w:ascii="Calibri"/>
                        <w:b/>
                        <w:spacing w:val="-10"/>
                        <w:sz w:val="22"/>
                      </w:rPr>
                      <w:t>1</w:t>
                    </w:r>
                  </w:p>
                  <w:p>
                    <w:pPr>
                      <w:spacing w:line="240" w:lineRule="auto" w:before="0"/>
                      <w:rPr>
                        <w:rFonts w:ascii="Calibri"/>
                        <w:b/>
                        <w:sz w:val="22"/>
                      </w:rPr>
                    </w:pPr>
                  </w:p>
                  <w:p>
                    <w:pPr>
                      <w:spacing w:line="240" w:lineRule="auto" w:before="3"/>
                      <w:rPr>
                        <w:rFonts w:ascii="Calibri"/>
                        <w:b/>
                        <w:sz w:val="16"/>
                      </w:rPr>
                    </w:pPr>
                  </w:p>
                  <w:p>
                    <w:pPr>
                      <w:spacing w:before="0"/>
                      <w:ind w:left="5140" w:right="1578" w:firstLine="0"/>
                      <w:jc w:val="left"/>
                      <w:rPr>
                        <w:rFonts w:ascii="Calibri"/>
                        <w:b/>
                        <w:sz w:val="22"/>
                      </w:rPr>
                    </w:pPr>
                    <w:r>
                      <w:rPr>
                        <w:rFonts w:ascii="Calibri"/>
                        <w:b/>
                        <w:color w:val="FFFFFF"/>
                        <w:sz w:val="22"/>
                      </w:rPr>
                      <w:t>37% of staff have not recorded</w:t>
                    </w:r>
                    <w:r>
                      <w:rPr>
                        <w:rFonts w:ascii="Calibri"/>
                        <w:b/>
                        <w:color w:val="FFFFFF"/>
                        <w:spacing w:val="-13"/>
                        <w:sz w:val="22"/>
                      </w:rPr>
                      <w:t> </w:t>
                    </w:r>
                    <w:r>
                      <w:rPr>
                        <w:rFonts w:ascii="Calibri"/>
                        <w:b/>
                        <w:color w:val="FFFFFF"/>
                        <w:sz w:val="22"/>
                      </w:rPr>
                      <w:t>skills</w:t>
                    </w:r>
                    <w:r>
                      <w:rPr>
                        <w:rFonts w:ascii="Calibri"/>
                        <w:b/>
                        <w:color w:val="FFFFFF"/>
                        <w:spacing w:val="-12"/>
                        <w:sz w:val="22"/>
                      </w:rPr>
                      <w:t> </w:t>
                    </w:r>
                    <w:r>
                      <w:rPr>
                        <w:rFonts w:ascii="Calibri"/>
                        <w:b/>
                        <w:color w:val="FFFFFF"/>
                        <w:sz w:val="22"/>
                      </w:rPr>
                      <w:t>on</w:t>
                    </w:r>
                    <w:r>
                      <w:rPr>
                        <w:rFonts w:ascii="Calibri"/>
                        <w:b/>
                        <w:color w:val="FFFFFF"/>
                        <w:spacing w:val="-13"/>
                        <w:sz w:val="22"/>
                      </w:rPr>
                      <w:t> </w:t>
                    </w:r>
                    <w:r>
                      <w:rPr>
                        <w:rFonts w:ascii="Calibri"/>
                        <w:b/>
                        <w:color w:val="FFFFFF"/>
                        <w:sz w:val="22"/>
                      </w:rPr>
                      <w:t>ESR.</w:t>
                    </w:r>
                  </w:p>
                  <w:p>
                    <w:pPr>
                      <w:spacing w:line="240" w:lineRule="auto" w:before="0"/>
                      <w:rPr>
                        <w:rFonts w:ascii="Calibri"/>
                        <w:b/>
                        <w:sz w:val="22"/>
                      </w:rPr>
                    </w:pPr>
                  </w:p>
                  <w:p>
                    <w:pPr>
                      <w:spacing w:line="240" w:lineRule="auto" w:before="0"/>
                      <w:rPr>
                        <w:rFonts w:ascii="Calibri"/>
                        <w:b/>
                        <w:sz w:val="22"/>
                      </w:rPr>
                    </w:pPr>
                  </w:p>
                  <w:p>
                    <w:pPr>
                      <w:spacing w:line="240" w:lineRule="auto" w:before="5"/>
                      <w:rPr>
                        <w:rFonts w:ascii="Calibri"/>
                        <w:b/>
                        <w:sz w:val="27"/>
                      </w:rPr>
                    </w:pPr>
                  </w:p>
                  <w:p>
                    <w:pPr>
                      <w:spacing w:before="1"/>
                      <w:ind w:left="2386" w:right="3847" w:firstLine="0"/>
                      <w:jc w:val="left"/>
                      <w:rPr>
                        <w:rFonts w:ascii="Calibri"/>
                        <w:b/>
                        <w:sz w:val="22"/>
                      </w:rPr>
                    </w:pPr>
                    <w:r>
                      <w:rPr>
                        <w:rFonts w:ascii="Calibri"/>
                        <w:b/>
                        <w:color w:val="FFFFFF"/>
                        <w:sz w:val="22"/>
                      </w:rPr>
                      <w:t>48%</w:t>
                    </w:r>
                    <w:r>
                      <w:rPr>
                        <w:rFonts w:ascii="Calibri"/>
                        <w:b/>
                        <w:color w:val="FFFFFF"/>
                        <w:spacing w:val="-8"/>
                        <w:sz w:val="22"/>
                      </w:rPr>
                      <w:t> </w:t>
                    </w:r>
                    <w:r>
                      <w:rPr>
                        <w:rFonts w:ascii="Calibri"/>
                        <w:b/>
                        <w:color w:val="FFFFFF"/>
                        <w:sz w:val="22"/>
                      </w:rPr>
                      <w:t>of</w:t>
                    </w:r>
                    <w:r>
                      <w:rPr>
                        <w:rFonts w:ascii="Calibri"/>
                        <w:b/>
                        <w:color w:val="FFFFFF"/>
                        <w:spacing w:val="-8"/>
                        <w:sz w:val="22"/>
                      </w:rPr>
                      <w:t> </w:t>
                    </w:r>
                    <w:r>
                      <w:rPr>
                        <w:rFonts w:ascii="Calibri"/>
                        <w:b/>
                        <w:color w:val="FFFFFF"/>
                        <w:sz w:val="22"/>
                      </w:rPr>
                      <w:t>staff</w:t>
                    </w:r>
                    <w:r>
                      <w:rPr>
                        <w:rFonts w:ascii="Calibri"/>
                        <w:b/>
                        <w:color w:val="FFFFFF"/>
                        <w:spacing w:val="-8"/>
                        <w:sz w:val="22"/>
                      </w:rPr>
                      <w:t> </w:t>
                    </w:r>
                    <w:r>
                      <w:rPr>
                        <w:rFonts w:ascii="Calibri"/>
                        <w:b/>
                        <w:color w:val="FFFFFF"/>
                        <w:sz w:val="22"/>
                      </w:rPr>
                      <w:t>recorded</w:t>
                    </w:r>
                    <w:r>
                      <w:rPr>
                        <w:rFonts w:ascii="Calibri"/>
                        <w:b/>
                        <w:color w:val="FFFFFF"/>
                        <w:spacing w:val="-9"/>
                        <w:sz w:val="22"/>
                      </w:rPr>
                      <w:t> </w:t>
                    </w:r>
                    <w:r>
                      <w:rPr>
                        <w:rFonts w:ascii="Calibri"/>
                        <w:b/>
                        <w:color w:val="FFFFFF"/>
                        <w:sz w:val="22"/>
                      </w:rPr>
                      <w:t>that</w:t>
                    </w:r>
                    <w:r>
                      <w:rPr>
                        <w:rFonts w:ascii="Calibri"/>
                        <w:b/>
                        <w:color w:val="FFFFFF"/>
                        <w:spacing w:val="-8"/>
                        <w:sz w:val="22"/>
                      </w:rPr>
                      <w:t> </w:t>
                    </w:r>
                    <w:r>
                      <w:rPr>
                        <w:rFonts w:ascii="Calibri"/>
                        <w:b/>
                        <w:color w:val="FFFFFF"/>
                        <w:sz w:val="22"/>
                      </w:rPr>
                      <w:t>they have no understanding of the</w:t>
                    </w:r>
                  </w:p>
                </w:txbxContent>
              </v:textbox>
              <w10:wrap type="none"/>
            </v:shape>
            <w10:wrap type="topAndBottom"/>
          </v:group>
        </w:pict>
      </w:r>
    </w:p>
    <w:p>
      <w:pPr>
        <w:spacing w:after="0"/>
        <w:rPr>
          <w:rFonts w:ascii="Calibri"/>
          <w:sz w:val="10"/>
        </w:rPr>
        <w:sectPr>
          <w:pgSz w:w="11910" w:h="16840"/>
          <w:pgMar w:header="0" w:footer="173" w:top="1380" w:bottom="360" w:left="0" w:right="0"/>
        </w:sectPr>
      </w:pPr>
    </w:p>
    <w:p>
      <w:pPr>
        <w:pStyle w:val="BodyText"/>
        <w:ind w:left="1432"/>
        <w:rPr>
          <w:rFonts w:ascii="Calibri"/>
          <w:sz w:val="20"/>
        </w:rPr>
      </w:pPr>
      <w:r>
        <w:rPr>
          <w:rFonts w:ascii="Calibri"/>
          <w:sz w:val="20"/>
        </w:rPr>
        <w:pict>
          <v:group style="width:469.5pt;height:396.85pt;mso-position-horizontal-relative:char;mso-position-vertical-relative:line" id="docshapegroup751" coordorigin="0,0" coordsize="9390,7937">
            <v:line style="position:absolute" from="0,7930" to="9390,7930" stroked="true" strokeweight=".719727pt" strokecolor="#000000">
              <v:stroke dashstyle="solid"/>
            </v:line>
            <v:rect style="position:absolute;left:60;top:7;width:9260;height:7880" id="docshape752" filled="false" stroked="true" strokeweight=".75pt" strokecolor="#d8d8d8">
              <v:stroke dashstyle="solid"/>
            </v:rect>
            <v:shape style="position:absolute;left:4690;top:2020;width:2;height:1805" id="docshape753" coordorigin="4690,2020" coordsize="0,1805" path="m4690,3825l4690,2020,4690,3825xe" filled="true" fillcolor="#1f3969" stroked="false">
              <v:path arrowok="t"/>
              <v:fill type="solid"/>
            </v:shape>
            <v:shape style="position:absolute;left:4010;top:2042;width:680;height:2532" id="docshape754" coordorigin="4010,2043" coordsize="680,2532" path="m4690,4575l4010,2793,4010,2043,4690,3825,4690,4575xe" filled="true" fillcolor="#182f56" stroked="false">
              <v:path arrowok="t"/>
              <v:fill type="solid"/>
            </v:shape>
            <v:shape style="position:absolute;left:4010;top:2042;width:680;height:2532" id="docshape755" coordorigin="4010,2043" coordsize="680,2532" path="m4010,2043l4690,3825,4690,4575,4010,2793,4010,2043xe" filled="false" stroked="true" strokeweight=".735118pt" strokecolor="#ffffff">
              <v:path arrowok="t"/>
              <v:stroke dashstyle="solid"/>
            </v:shape>
            <v:shape style="position:absolute;left:4010;top:2042;width:680;height:2532" id="docshape756" coordorigin="4010,2043" coordsize="680,2532" path="m4690,4575l4010,2793,4010,2043,4690,3825,4690,4575xe" filled="true" fillcolor="#62983d" stroked="false">
              <v:path arrowok="t"/>
              <v:fill type="solid"/>
            </v:shape>
            <v:shape style="position:absolute;left:4010;top:2042;width:680;height:2532" id="docshape757" coordorigin="4010,2043" coordsize="680,2532" path="m4010,2043l4690,3825,4690,4575,4010,2793,4010,2043xe" filled="false" stroked="true" strokeweight=".735118pt" strokecolor="#ffffff">
              <v:path arrowok="t"/>
              <v:stroke dashstyle="solid"/>
            </v:shape>
            <v:shape style="position:absolute;left:3784;top:2060;width:906;height:2515" id="docshape758" coordorigin="3784,2060" coordsize="906,2515" path="m4690,4575l3784,2810,3784,2060,4690,3825,4690,4575xe" filled="true" fillcolor="#507e31" stroked="false">
              <v:path arrowok="t"/>
              <v:fill type="solid"/>
            </v:shape>
            <v:shape style="position:absolute;left:3784;top:2060;width:906;height:2515" id="docshape759" coordorigin="3784,2060" coordsize="906,2515" path="m3784,2060l4690,3825,4690,4575,3784,2810,3784,2060xe" filled="false" stroked="true" strokeweight=".735118pt" strokecolor="#ffffff">
              <v:path arrowok="t"/>
              <v:stroke dashstyle="solid"/>
            </v:shape>
            <v:shape style="position:absolute;left:3784;top:2060;width:906;height:2515" id="docshape760" coordorigin="3784,2060" coordsize="906,2515" path="m4690,4575l3784,2810,3784,2060,4690,3825,4690,4575xe" filled="true" fillcolor="#4f88bb" stroked="false">
              <v:path arrowok="t"/>
              <v:fill type="solid"/>
            </v:shape>
            <v:shape style="position:absolute;left:3784;top:2060;width:906;height:2515" id="docshape761" coordorigin="3784,2060" coordsize="906,2515" path="m3784,2060l4690,3825,4690,4575,3784,2810,3784,2060xe" filled="false" stroked="true" strokeweight=".735118pt" strokecolor="#ffffff">
              <v:path arrowok="t"/>
              <v:stroke dashstyle="solid"/>
            </v:shape>
            <v:shape style="position:absolute;left:3333;top:2111;width:1357;height:2464" id="docshape762" coordorigin="3333,2111" coordsize="1357,2464" path="m4690,4575l3333,2861,3333,2111,4690,3825,4690,4575xe" filled="true" fillcolor="#41719c" stroked="false">
              <v:path arrowok="t"/>
              <v:fill type="solid"/>
            </v:shape>
            <v:shape style="position:absolute;left:3333;top:2111;width:1357;height:2464" id="docshape763" coordorigin="3333,2111" coordsize="1357,2464" path="m3333,2111l4690,3825,4690,4575,3333,2861,3333,2111xe" filled="false" stroked="true" strokeweight=".735118pt" strokecolor="#ffffff">
              <v:path arrowok="t"/>
              <v:stroke dashstyle="solid"/>
            </v:shape>
            <v:shape style="position:absolute;left:3333;top:2111;width:1357;height:2464" id="docshape764" coordorigin="3333,2111" coordsize="1357,2464" path="m4690,4575l3333,2861,3333,2111,4690,3825,4690,4575xe" filled="true" fillcolor="#e1a900" stroked="false">
              <v:path arrowok="t"/>
              <v:fill type="solid"/>
            </v:shape>
            <v:shape style="position:absolute;left:3333;top:2111;width:1357;height:2464" id="docshape765" coordorigin="3333,2111" coordsize="1357,2464" path="m3333,2111l4690,3825,4690,4575,3333,2861,3333,2111xe" filled="false" stroked="true" strokeweight=".735118pt" strokecolor="#ffffff">
              <v:path arrowok="t"/>
              <v:stroke dashstyle="solid"/>
            </v:shape>
            <v:shape style="position:absolute;left:2886;top:2184;width:1804;height:2391" id="docshape766" coordorigin="2887,2184" coordsize="1804,2391" path="m4690,4575l2887,2934,2887,2184,4690,3825,4690,4575xe" filled="true" fillcolor="#bc8c00" stroked="false">
              <v:path arrowok="t"/>
              <v:fill type="solid"/>
            </v:shape>
            <v:shape style="position:absolute;left:2886;top:2184;width:1804;height:2391" id="docshape767" coordorigin="2887,2184" coordsize="1804,2391" path="m2887,2184l4690,3825,4690,4575,2887,2934,2887,2184xe" filled="false" stroked="true" strokeweight=".735118pt" strokecolor="#ffffff">
              <v:path arrowok="t"/>
              <v:stroke dashstyle="solid"/>
            </v:shape>
            <v:shape style="position:absolute;left:2886;top:2184;width:1804;height:2391" id="docshape768" coordorigin="2887,2184" coordsize="1804,2391" path="m4690,4575l2887,2934,2887,2184,4690,3825,4690,4575xe" filled="true" fillcolor="#919191" stroked="false">
              <v:path arrowok="t"/>
              <v:fill type="solid"/>
            </v:shape>
            <v:shape style="position:absolute;left:2886;top:2184;width:1804;height:2391" id="docshape769" coordorigin="2887,2184" coordsize="1804,2391" path="m2887,2184l4690,3825,4690,4575,2887,2934,2887,2184xe" filled="false" stroked="true" strokeweight=".735118pt" strokecolor="#ffffff">
              <v:path arrowok="t"/>
              <v:stroke dashstyle="solid"/>
            </v:shape>
            <v:shape style="position:absolute;left:1816;top:2475;width:2874;height:2100" id="docshape770" coordorigin="1816,2475" coordsize="2874,2100" path="m4690,4575l1816,3225,1816,2475,4690,3825,4690,4575xe" filled="true" fillcolor="#787878" stroked="false">
              <v:path arrowok="t"/>
              <v:fill type="solid"/>
            </v:shape>
            <v:shape style="position:absolute;left:1816;top:2475;width:2874;height:2100" id="docshape771" coordorigin="1816,2475" coordsize="2874,2100" path="m1816,2475l4690,3825,4690,4575,1816,3225,1816,2475xe" filled="false" stroked="true" strokeweight=".735118pt" strokecolor="#ffffff">
              <v:path arrowok="t"/>
              <v:stroke dashstyle="solid"/>
            </v:shape>
            <v:shape style="position:absolute;left:1816;top:2475;width:2874;height:2100" id="docshape772" coordorigin="1816,2475" coordsize="2874,2100" path="m4690,4575l1816,3225,1816,2475,4690,3825,4690,4575xe" filled="true" fillcolor="#d16c2a" stroked="false">
              <v:path arrowok="t"/>
              <v:fill type="solid"/>
            </v:shape>
            <v:shape style="position:absolute;left:1816;top:2475;width:2874;height:2100" id="docshape773" coordorigin="1816,2475" coordsize="2874,2100" path="m1816,2475l4690,3825,4690,4575,1816,3225,1816,2475xe" filled="false" stroked="true" strokeweight=".735118pt" strokecolor="#ffffff">
              <v:path arrowok="t"/>
              <v:stroke dashstyle="solid"/>
            </v:shape>
            <v:rect style="position:absolute;left:360;top:3824;width:4330;height:750" id="docshape774" filled="true" fillcolor="#d16c2a" stroked="false">
              <v:fill type="solid"/>
            </v:rect>
            <v:rect style="position:absolute;left:360;top:3824;width:4330;height:750" id="docshape775" filled="false" stroked="true" strokeweight=".735118pt" strokecolor="#ffffff">
              <v:stroke dashstyle="solid"/>
            </v:rect>
            <v:shape style="position:absolute;left:4690;top:4574;width:2;height:2165" id="docshape776" coordorigin="4690,4575" coordsize="0,2165" path="m4690,6740l4690,4575,4690,6740xe" filled="true" fillcolor="#ae5a21" stroked="false">
              <v:path arrowok="t"/>
              <v:fill type="solid"/>
            </v:shape>
            <v:shape style="position:absolute;left:4690;top:3824;width:2;height:2915" id="docshape777" coordorigin="4690,3825" coordsize="0,2915" path="m4690,5990l4690,3825,4690,4575,4690,6740,4690,5990xe" filled="false" stroked="true" strokeweight=".735118pt" strokecolor="#ffffff">
              <v:path arrowok="t"/>
              <v:stroke dashstyle="solid"/>
            </v:shape>
            <v:shape style="position:absolute;left:4690;top:2020;width:2;height:1805" id="docshape778" coordorigin="4690,2020" coordsize="0,1805" path="m4690,3825l4690,2020,4690,3825xe" filled="true" fillcolor="#2f528f" stroked="false">
              <v:path arrowok="t"/>
              <v:fill type="solid"/>
            </v:shape>
            <v:shape style="position:absolute;left:4690;top:2020;width:2;height:2555" id="docshape779" coordorigin="4690,2020" coordsize="0,2555" path="m4690,2020l4690,3825,4690,4575,4690,2770,4690,2020xe" filled="false" stroked="true" strokeweight=".735118pt" strokecolor="#ffffff">
              <v:path arrowok="t"/>
              <v:stroke dashstyle="solid"/>
            </v:shape>
            <v:rect style="position:absolute;left:4690;top:3824;width:4330;height:750" id="docshape780" filled="true" fillcolor="#2f528f" stroked="false">
              <v:fill type="solid"/>
            </v:rect>
            <v:rect style="position:absolute;left:4690;top:3824;width:4330;height:750" id="docshape781" filled="false" stroked="true" strokeweight=".735118pt" strokecolor="#ffffff">
              <v:stroke dashstyle="solid"/>
            </v:rect>
            <v:shape style="position:absolute;left:4690;top:3824;width:2964;height:2329" id="docshape782" coordorigin="4690,3825" coordsize="2964,2329" path="m7654,6153l4690,4575,4690,3825,7654,5403,7654,6153xe" filled="true" fillcolor="#3b64ac" stroked="false">
              <v:path arrowok="t"/>
              <v:fill type="solid"/>
            </v:shape>
            <v:shape style="position:absolute;left:4690;top:3824;width:2964;height:2329" id="docshape783" coordorigin="4690,3825" coordsize="2964,2329" path="m7654,5403l4690,3825,4690,4575,7654,6153,7654,5403xe" filled="false" stroked="true" strokeweight=".735118pt" strokecolor="#ffffff">
              <v:path arrowok="t"/>
              <v:stroke dashstyle="solid"/>
            </v:shape>
            <v:shape style="position:absolute;left:4690;top:3824;width:2964;height:2329" id="docshape784" coordorigin="4690,3825" coordsize="2964,2329" path="m7654,6153l4690,4575,4690,3825,7654,5403,7654,6153xe" filled="true" fillcolor="#ae5a21" stroked="false">
              <v:path arrowok="t"/>
              <v:fill type="solid"/>
            </v:shape>
            <v:shape style="position:absolute;left:4690;top:3824;width:2964;height:2329" id="docshape785" coordorigin="4690,3825" coordsize="2964,2329" path="m7654,5403l4690,3825,4690,4575,7654,6153,7654,5403xe" filled="false" stroked="true" strokeweight=".735118pt" strokecolor="#ffffff">
              <v:path arrowok="t"/>
              <v:stroke dashstyle="solid"/>
            </v:shape>
            <v:shape style="position:absolute;left:4690;top:3824;width:2;height:2915" id="docshape786" coordorigin="4690,3825" coordsize="0,2915" path="m4690,6740l4690,5990,4690,3825,4690,6740xe" filled="true" fillcolor="#d16c2a" stroked="false">
              <v:path arrowok="t"/>
              <v:fill type="solid"/>
            </v:shape>
            <v:shape style="position:absolute;left:4690;top:3824;width:2;height:2915" id="docshape787" coordorigin="4690,3825" coordsize="0,2915" path="m4690,5990l4690,3825,4690,4575,4690,6740,4690,5990xe" filled="false" stroked="true" strokeweight=".735118pt" strokecolor="#ffffff">
              <v:path arrowok="t"/>
              <v:stroke dashstyle="solid"/>
            </v:shape>
            <v:shape style="position:absolute;left:7653;top:3824;width:1367;height:2329" type="#_x0000_t75" id="docshape788" stroked="false">
              <v:imagedata r:id="rId215" o:title=""/>
            </v:shape>
            <v:shape style="position:absolute;left:7653;top:3824;width:1367;height:2329" id="docshape789" coordorigin="7654,3825" coordsize="1367,2329" path="m9020,3825l9018,3886,9013,3948,9004,4009,8992,4070,8976,4131,8958,4191,8935,4251,8910,4310,8881,4369,8848,4428,8813,4486,8774,4543,8732,4600,8687,4657,8639,4712,8588,4767,8534,4821,8476,4875,8416,4927,8353,4979,8287,5030,8217,5080,8145,5129,8070,5178,7993,5225,7912,5271,7829,5316,7743,5360,7654,5403,7654,6153,7743,6110,7829,6066,7912,6021,7993,5975,8070,5928,8145,5879,8217,5830,8287,5780,8353,5729,8416,5677,8476,5625,8534,5571,8588,5517,8639,5462,8687,5407,8732,5350,8774,5293,8813,5236,8848,5178,8881,5119,8910,5060,8935,5001,8958,4941,8976,4881,8992,4820,9004,4759,9013,4698,9018,4636,9020,4575,9020,3825xe" filled="false" stroked="true" strokeweight=".735118pt" strokecolor="#ffffff">
              <v:path arrowok="t"/>
              <v:stroke dashstyle="solid"/>
            </v:shape>
            <v:shape style="position:absolute;left:4690;top:2020;width:4330;height:3383" id="docshape790" coordorigin="4690,2020" coordsize="4330,3383" path="m7654,5403l4690,3825,4690,2020,4853,2022,5016,2026,5178,2032,5339,2041,5499,2052,5658,2066,5816,2083,5972,2101,6127,2123,6280,2146,6355,2159,6462,2178,6567,2199,6670,2220,6771,2243,6871,2266,6969,2291,7065,2316,7159,2343,7251,2370,7341,2398,7429,2428,7516,2458,7600,2489,7682,2521,7762,2554,7840,2587,7915,2622,7989,2657,8060,2693,8129,2729,8196,2767,8260,2805,8322,2844,8382,2883,8439,2923,8494,2964,8546,3005,8595,3047,8643,3089,8687,3132,8729,3175,8805,3264,8869,3354,8923,3445,8965,3538,8995,3633,9014,3728,9020,3825,9018,3886,9013,3948,9004,4009,8992,4070,8976,4131,8958,4191,8935,4251,8910,4310,8881,4369,8848,4428,8813,4486,8774,4543,8732,4600,8687,4657,8639,4712,8588,4767,8534,4821,8476,4875,8416,4927,8353,4979,8287,5030,8217,5080,8145,5129,8070,5178,7993,5225,7912,5271,7829,5316,7743,5360,7654,5403xe" filled="true" fillcolor="#4472c4" stroked="false">
              <v:path arrowok="t"/>
              <v:fill type="solid"/>
            </v:shape>
            <v:shape style="position:absolute;left:4690;top:2020;width:4330;height:3383" id="docshape791" coordorigin="4690,2020" coordsize="4330,3383" path="m4690,2020l4772,2021,4853,2022,4935,2023,5016,2026,5097,2028,5178,2032,5259,2036,5339,2041,5419,2046,5499,2052,5579,2059,5658,2066,5737,2074,5816,2083,5894,2092,5972,2101,6050,2112,6127,2123,6204,2134,6280,2146,6355,2159,6462,2178,6567,2199,6670,2220,6771,2243,6871,2266,6969,2291,7065,2316,7159,2343,7251,2370,7341,2398,7429,2428,7516,2458,7600,2489,7682,2521,7762,2554,7840,2587,7915,2622,7989,2657,8060,2693,8129,2729,8196,2767,8260,2805,8322,2844,8382,2883,8439,2923,8494,2964,8546,3005,8595,3047,8643,3089,8687,3132,8729,3175,8805,3264,8869,3354,8923,3445,8965,3538,8995,3633,9014,3728,9020,3825,9018,3886,9013,3948,9004,4009,8992,4070,8976,4131,8958,4191,8935,4251,8910,4310,8881,4369,8848,4428,8813,4486,8774,4543,8732,4600,8687,4657,8639,4712,8588,4767,8534,4821,8476,4875,8416,4927,8353,4979,8287,5030,8217,5080,8145,5129,8070,5178,7993,5225,7912,5271,7829,5316,7743,5360,7654,5403,4690,3825,4690,2020xe" filled="false" stroked="true" strokeweight=".735118pt" strokecolor="#ffffff">
              <v:path arrowok="t"/>
              <v:stroke dashstyle="solid"/>
            </v:shape>
            <v:shape style="position:absolute;left:360;top:3824;width:7294;height:2915" type="#_x0000_t75" id="docshape792" stroked="false">
              <v:imagedata r:id="rId216" o:title=""/>
            </v:shape>
            <v:shape style="position:absolute;left:360;top:3824;width:7294;height:2915" id="docshape793" coordorigin="360,3825" coordsize="7294,2915" path="m7654,5403l7589,5433,7524,5462,7457,5490,7390,5517,7321,5544,7251,5570,7181,5596,7109,5620,7037,5644,6963,5667,6889,5690,6814,5711,6738,5732,6661,5752,6584,5772,6505,5790,6426,5808,6347,5825,6266,5841,6185,5856,6103,5871,6021,5885,5938,5898,5855,5910,5770,5921,5686,5932,5601,5941,5515,5950,5429,5958,5343,5965,5262,5971,5182,5976,5101,5980,5020,5983,4940,5986,4859,5988,4778,5989,4697,5990,4616,5989,4535,5988,4454,5986,4374,5984,4293,5981,4213,5976,4132,5972,4052,5966,3972,5960,3892,5953,3813,5945,3734,5936,3655,5927,3576,5917,3484,5904,3393,5890,3303,5875,3213,5860,3124,5843,3037,5826,2950,5807,2864,5788,2779,5767,2695,5746,2612,5724,2530,5701,2449,5677,2369,5652,2290,5627,2213,5600,2136,5573,2061,5545,1987,5516,1915,5486,1843,5456,1773,5425,1704,5393,1637,5360,1571,5326,1506,5292,1443,5257,1382,5221,1322,5185,1263,5148,1206,5110,1150,5072,1096,5032,1044,4993,994,4952,923,4892,856,4830,793,4768,734,4705,679,4641,629,4576,583,4510,541,4444,503,4377,470,4309,441,4241,416,4173,396,4104,380,4034,369,3965,362,3895,360,3825,360,4575,361,4630,373,4741,395,4851,429,4959,473,5066,528,5171,559,5223,593,5275,629,5325,668,5376,710,5426,753,5475,799,5524,848,5572,899,5620,952,5666,1008,5713,1065,5758,1125,5803,1188,5847,1252,5890,1318,5932,1387,5974,1458,6015,1531,6055,1606,6094,1683,6132,1762,6169,1843,6205,1925,6241,2010,6275,2097,6308,2185,6341,2276,6372,2368,6402,2462,6431,2557,6459,2655,6485,2754,6511,2829,6529,2905,6547,2982,6564,3059,6580,3137,6596,3215,6610,3294,6624,3373,6637,3453,6649,3533,6661,3614,6672,3695,6682,3777,6691,3858,6699,3940,6707,4023,6714,4105,6720,4188,6725,4272,6729,4355,6733,4438,6736,4522,6738,4606,6739,4690,6740,4774,6739,4858,6738,4942,6736,5025,6733,5108,6729,5192,6725,5275,6720,5357,6714,5440,6707,5522,6699,5603,6691,5685,6682,5766,6672,5847,6661,5927,6649,6007,6637,6086,6624,6165,6610,6243,6596,6321,6580,6398,6564,6475,6547,6551,6529,6626,6511,6706,6491,6785,6469,6864,6447,6941,6424,7017,6400,7092,6376,7166,6351,7239,6325,7311,6298,7382,6270,7452,6242,7520,6213,7588,6183,7654,6153,7654,5403xe" filled="false" stroked="true" strokeweight=".735118pt" strokecolor="#ffffff">
              <v:path arrowok="t"/>
              <v:stroke dashstyle="solid"/>
            </v:shape>
            <v:shape style="position:absolute;left:360;top:2475;width:7294;height:3515" id="docshape794" coordorigin="360,2475" coordsize="7294,3515" path="m4690,5990l4522,5988,4355,5983,4188,5975,4023,5964,3858,5949,3777,5941,3695,5932,3614,5922,3533,5911,3453,5899,3373,5887,3294,5874,3215,5860,3137,5846,3059,5830,2982,5814,2905,5797,2829,5779,2754,5761,2655,5736,2557,5709,2462,5681,2368,5652,2276,5622,2185,5591,2097,5558,2010,5525,1925,5491,1843,5455,1762,5419,1683,5382,1606,5344,1531,5305,1458,5265,1387,5224,1318,5182,1252,5140,1188,5097,1125,5053,1065,5008,1008,4963,952,4916,899,4870,848,4822,799,4774,753,4725,710,4676,668,4626,629,4576,593,4525,559,4473,528,4421,473,4316,429,4209,395,4101,373,3991,361,3880,360,3825,362,3769,378,3660,410,3551,457,3444,487,3391,520,3339,557,3287,597,3236,642,3185,690,3134,741,3085,796,3036,854,2988,916,2940,982,2893,1051,2847,1123,2802,1198,2758,1277,2714,1359,2672,1444,2631,1532,2590,1624,2551,1719,2512,1816,2475,4690,3825,7654,5403,7589,5433,7524,5462,7457,5490,7390,5517,7321,5544,7251,5570,7181,5596,7109,5620,7037,5644,6963,5667,6889,5690,6814,5711,6738,5732,6661,5752,6584,5772,6505,5790,6426,5808,6347,5825,6266,5841,6185,5856,6103,5871,6021,5885,5938,5898,5855,5910,5770,5921,5686,5932,5601,5941,5515,5950,5429,5958,5343,5965,5180,5976,5017,5983,4854,5988,4690,5990xe" filled="true" fillcolor="#ed7d31" stroked="false">
              <v:path arrowok="t"/>
              <v:fill type="solid"/>
            </v:shape>
            <v:shape style="position:absolute;left:360;top:2475;width:7294;height:3515" id="docshape795" coordorigin="360,2475" coordsize="7294,3515" path="m7654,5403l7589,5433,7524,5462,7457,5490,7390,5517,7321,5544,7251,5570,7181,5596,7109,5620,7037,5644,6963,5667,6889,5690,6814,5711,6738,5732,6661,5752,6584,5772,6505,5790,6426,5808,6347,5825,6266,5841,6185,5856,6103,5871,6021,5885,5938,5898,5855,5910,5770,5921,5686,5932,5601,5941,5515,5950,5429,5958,5343,5965,5262,5971,5180,5976,5099,5980,5017,5983,4936,5986,4854,5988,4772,5989,4690,5990,4606,5989,4522,5988,4438,5986,4355,5983,4272,5979,4188,5975,4105,5970,4023,5964,3940,5957,3858,5949,3777,5941,3695,5932,3614,5922,3533,5911,3453,5899,3373,5887,3294,5874,3215,5860,3137,5846,3059,5830,2982,5814,2905,5797,2829,5779,2754,5761,2655,5736,2557,5709,2462,5681,2368,5652,2276,5622,2185,5591,2097,5558,2010,5525,1925,5491,1843,5455,1762,5419,1683,5382,1606,5344,1531,5305,1458,5265,1387,5224,1318,5182,1252,5140,1188,5097,1125,5053,1065,5008,1008,4963,952,4916,899,4870,848,4822,799,4774,753,4725,710,4676,668,4626,629,4576,593,4525,559,4473,528,4421,473,4316,429,4209,395,4101,373,3991,361,3880,360,3825,368,3715,392,3605,432,3498,487,3391,520,3339,557,3287,597,3236,642,3185,690,3134,741,3085,796,3036,854,2988,916,2940,982,2893,1051,2847,1123,2802,1198,2758,1277,2714,1359,2672,1444,2631,1532,2590,1624,2551,1719,2512,1816,2475,4690,3825,7654,5403xe" filled="false" stroked="true" strokeweight=".735118pt" strokecolor="#ffffff">
              <v:path arrowok="t"/>
              <v:stroke dashstyle="solid"/>
            </v:shape>
            <v:shape style="position:absolute;left:1816;top:2184;width:2874;height:1641" id="docshape796" coordorigin="1816,2184" coordsize="2874,1641" path="m4690,3825l1816,2475,1886,2450,1956,2426,2028,2402,2100,2379,2174,2356,2250,2334,2326,2313,2403,2293,2481,2273,2560,2254,2641,2235,2722,2218,2804,2201,2887,2184,4690,3825xe" filled="true" fillcolor="#a5a5a5" stroked="false">
              <v:path arrowok="t"/>
              <v:fill type="solid"/>
            </v:shape>
            <v:shape style="position:absolute;left:1816;top:2184;width:2874;height:1641" id="docshape797" coordorigin="1816,2184" coordsize="2874,1641" path="m1816,2475l1886,2450,1956,2426,2028,2402,2100,2379,2174,2356,2250,2334,2326,2313,2403,2293,2481,2273,2560,2254,2641,2235,2722,2218,2804,2201,2887,2184,4690,3825,1816,2475xe" filled="false" stroked="true" strokeweight=".735118pt" strokecolor="#ffffff">
              <v:path arrowok="t"/>
              <v:stroke dashstyle="solid"/>
            </v:shape>
            <v:shape style="position:absolute;left:2886;top:2111;width:1804;height:1714" id="docshape798" coordorigin="2887,2111" coordsize="1804,1714" path="m4690,3825l2887,2184,3034,2158,3182,2133,3333,2111,4690,3825xe" filled="true" fillcolor="#ffc000" stroked="false">
              <v:path arrowok="t"/>
              <v:fill type="solid"/>
            </v:shape>
            <v:shape style="position:absolute;left:2886;top:2111;width:1804;height:1714" id="docshape799" coordorigin="2887,2111" coordsize="1804,1714" path="m2887,2184l2960,2171,3034,2158,3108,2145,3182,2133,3258,2122,3333,2111,4690,3825,2887,2184xe" filled="false" stroked="true" strokeweight=".735118pt" strokecolor="#ffffff">
              <v:path arrowok="t"/>
              <v:stroke dashstyle="solid"/>
            </v:shape>
            <v:shape style="position:absolute;left:3333;top:2060;width:1357;height:1765" id="docshape800" coordorigin="3333,2060" coordsize="1357,1765" path="m4690,3825l3333,2111,3482,2092,3632,2075,3784,2060,4690,3825xe" filled="true" fillcolor="#5b9bd5" stroked="false">
              <v:path arrowok="t"/>
              <v:fill type="solid"/>
            </v:shape>
            <v:shape style="position:absolute;left:3333;top:2060;width:1357;height:1765" id="docshape801" coordorigin="3333,2060" coordsize="1357,1765" path="m3333,2111l3408,2101,3482,2092,3557,2083,3632,2075,3708,2067,3784,2060,4690,3825,3333,2111xe" filled="false" stroked="true" strokeweight=".735118pt" strokecolor="#ffffff">
              <v:path arrowok="t"/>
              <v:stroke dashstyle="solid"/>
            </v:shape>
            <v:shape style="position:absolute;left:3784;top:2042;width:906;height:1782" id="docshape802" coordorigin="3784,2043" coordsize="906,1782" path="m4690,3825l3784,2060,3840,2056,4010,2043,4690,3825xe" filled="true" fillcolor="#70ad47" stroked="false">
              <v:path arrowok="t"/>
              <v:fill type="solid"/>
            </v:shape>
            <v:shape style="position:absolute;left:3784;top:2042;width:906;height:1782" id="docshape803" coordorigin="3784,2043" coordsize="906,1782" path="m3784,2060l3840,2056,3897,2051,3954,2047,4010,2043,4690,3825,3784,2060xe" filled="false" stroked="true" strokeweight=".735118pt" strokecolor="#ffffff">
              <v:path arrowok="t"/>
              <v:stroke dashstyle="solid"/>
            </v:shape>
            <v:shape style="position:absolute;left:4010;top:2020;width:680;height:1805" id="docshape804" coordorigin="4010,2020" coordsize="680,1805" path="m4690,3825l4010,2043,4085,2038,4236,2030,4387,2025,4538,2022,4690,2020,4690,3825xe" filled="true" fillcolor="#254378" stroked="false">
              <v:path arrowok="t"/>
              <v:fill type="solid"/>
            </v:shape>
            <v:shape style="position:absolute;left:4010;top:2020;width:680;height:1805" id="docshape805" coordorigin="4010,2020" coordsize="680,1805" path="m4010,2043l4085,2038,4160,2034,4236,2030,4311,2027,4387,2025,4463,2023,4538,2022,4614,2021,4690,2020,4690,3825,4010,2043xe" filled="false" stroked="true" strokeweight=".735118pt" strokecolor="#ffffff">
              <v:path arrowok="t"/>
              <v:stroke dashstyle="solid"/>
            </v:shape>
            <v:line style="position:absolute" from="4707,1674" to="4514,2179" stroked="true" strokeweight=".5pt" strokecolor="#4472c4">
              <v:stroke dashstyle="solid"/>
            </v:line>
            <v:line style="position:absolute" from="2080,2167" to="2507,2474" stroked="true" strokeweight=".5pt" strokecolor="#4472c4">
              <v:stroke dashstyle="solid"/>
            </v:line>
            <v:line style="position:absolute" from="3787,1368" to="3947,2021" stroked="true" strokeweight=".5pt" strokecolor="#4472c4">
              <v:stroke dashstyle="solid"/>
            </v:line>
            <v:line style="position:absolute" from="3093,1327" to="3600,2021" stroked="true" strokeweight=".5pt" strokecolor="#4472c4">
              <v:stroke dashstyle="solid"/>
            </v:line>
            <v:line style="position:absolute" from="2493,1741" to="3147,2141" stroked="true" strokeweight=".5pt" strokecolor="#4472c4">
              <v:stroke dashstyle="solid"/>
            </v:line>
            <v:shape style="position:absolute;left:2385;top:102;width:4238;height:320" type="#_x0000_t202" id="docshape806" filled="false" stroked="false">
              <v:textbox inset="0,0,0,0">
                <w:txbxContent>
                  <w:p>
                    <w:pPr>
                      <w:spacing w:line="320" w:lineRule="exact" w:before="0"/>
                      <w:ind w:left="0" w:right="0" w:firstLine="0"/>
                      <w:jc w:val="left"/>
                      <w:rPr>
                        <w:rFonts w:ascii="Calibri"/>
                        <w:b/>
                        <w:sz w:val="32"/>
                      </w:rPr>
                    </w:pPr>
                    <w:r>
                      <w:rPr>
                        <w:rFonts w:ascii="Calibri"/>
                        <w:b/>
                        <w:color w:val="1E4E79"/>
                        <w:sz w:val="32"/>
                      </w:rPr>
                      <w:t>Welsh</w:t>
                    </w:r>
                    <w:r>
                      <w:rPr>
                        <w:rFonts w:ascii="Calibri"/>
                        <w:b/>
                        <w:color w:val="1E4E79"/>
                        <w:spacing w:val="-4"/>
                        <w:sz w:val="32"/>
                      </w:rPr>
                      <w:t> </w:t>
                    </w:r>
                    <w:r>
                      <w:rPr>
                        <w:rFonts w:ascii="Calibri"/>
                        <w:b/>
                        <w:color w:val="1E4E79"/>
                        <w:sz w:val="32"/>
                      </w:rPr>
                      <w:t>Language</w:t>
                    </w:r>
                    <w:r>
                      <w:rPr>
                        <w:rFonts w:ascii="Calibri"/>
                        <w:b/>
                        <w:color w:val="1E4E79"/>
                        <w:spacing w:val="-2"/>
                        <w:sz w:val="32"/>
                      </w:rPr>
                      <w:t> </w:t>
                    </w:r>
                    <w:r>
                      <w:rPr>
                        <w:rFonts w:ascii="Calibri"/>
                        <w:b/>
                        <w:color w:val="1E4E79"/>
                        <w:sz w:val="32"/>
                      </w:rPr>
                      <w:t>Skills</w:t>
                    </w:r>
                    <w:r>
                      <w:rPr>
                        <w:rFonts w:ascii="Calibri"/>
                        <w:b/>
                        <w:color w:val="1E4E79"/>
                        <w:spacing w:val="-2"/>
                        <w:sz w:val="32"/>
                      </w:rPr>
                      <w:t> </w:t>
                    </w:r>
                    <w:r>
                      <w:rPr>
                        <w:rFonts w:ascii="Calibri"/>
                        <w:b/>
                        <w:color w:val="1E4E79"/>
                        <w:sz w:val="32"/>
                      </w:rPr>
                      <w:t>-</w:t>
                    </w:r>
                    <w:r>
                      <w:rPr>
                        <w:rFonts w:ascii="Calibri"/>
                        <w:b/>
                        <w:color w:val="1E4E79"/>
                        <w:spacing w:val="-1"/>
                        <w:sz w:val="32"/>
                      </w:rPr>
                      <w:t> </w:t>
                    </w:r>
                    <w:r>
                      <w:rPr>
                        <w:rFonts w:ascii="Calibri"/>
                        <w:b/>
                        <w:color w:val="1E4E79"/>
                        <w:spacing w:val="-2"/>
                        <w:sz w:val="32"/>
                      </w:rPr>
                      <w:t>Reading</w:t>
                    </w:r>
                  </w:p>
                </w:txbxContent>
              </v:textbox>
              <w10:wrap type="none"/>
            </v:shape>
            <v:shape style="position:absolute;left:1304;top:1137;width:1849;height:220" type="#_x0000_t202" id="docshape807" filled="false" stroked="false">
              <v:textbox inset="0,0,0,0">
                <w:txbxContent>
                  <w:p>
                    <w:pPr>
                      <w:spacing w:line="220" w:lineRule="exact" w:before="0"/>
                      <w:ind w:left="0" w:right="0" w:firstLine="0"/>
                      <w:jc w:val="left"/>
                      <w:rPr>
                        <w:rFonts w:ascii="Calibri"/>
                        <w:b/>
                        <w:sz w:val="22"/>
                      </w:rPr>
                    </w:pPr>
                    <w:r>
                      <w:rPr>
                        <w:rFonts w:ascii="Calibri"/>
                        <w:b/>
                        <w:sz w:val="22"/>
                      </w:rPr>
                      <w:t>2%</w:t>
                    </w:r>
                    <w:r>
                      <w:rPr>
                        <w:rFonts w:ascii="Calibri"/>
                        <w:b/>
                        <w:spacing w:val="-3"/>
                        <w:sz w:val="22"/>
                      </w:rPr>
                      <w:t> </w:t>
                    </w:r>
                    <w:r>
                      <w:rPr>
                        <w:rFonts w:ascii="Calibri"/>
                        <w:b/>
                        <w:sz w:val="22"/>
                      </w:rPr>
                      <w:t>recorded</w:t>
                    </w:r>
                    <w:r>
                      <w:rPr>
                        <w:rFonts w:ascii="Calibri"/>
                        <w:b/>
                        <w:spacing w:val="-3"/>
                        <w:sz w:val="22"/>
                      </w:rPr>
                      <w:t> </w:t>
                    </w:r>
                    <w:r>
                      <w:rPr>
                        <w:rFonts w:ascii="Calibri"/>
                        <w:b/>
                        <w:sz w:val="22"/>
                      </w:rPr>
                      <w:t>Level</w:t>
                    </w:r>
                    <w:r>
                      <w:rPr>
                        <w:rFonts w:ascii="Calibri"/>
                        <w:b/>
                        <w:spacing w:val="-3"/>
                        <w:sz w:val="22"/>
                      </w:rPr>
                      <w:t> </w:t>
                    </w:r>
                    <w:r>
                      <w:rPr>
                        <w:rFonts w:ascii="Calibri"/>
                        <w:b/>
                        <w:spacing w:val="-10"/>
                        <w:sz w:val="22"/>
                      </w:rPr>
                      <w:t>3</w:t>
                    </w:r>
                  </w:p>
                </w:txbxContent>
              </v:textbox>
              <w10:wrap type="none"/>
            </v:shape>
            <v:shape style="position:absolute;left:3557;top:1070;width:1849;height:220" type="#_x0000_t202" id="docshape808" filled="false" stroked="false">
              <v:textbox inset="0,0,0,0">
                <w:txbxContent>
                  <w:p>
                    <w:pPr>
                      <w:spacing w:line="220" w:lineRule="exact" w:before="0"/>
                      <w:ind w:left="0" w:right="0" w:firstLine="0"/>
                      <w:jc w:val="left"/>
                      <w:rPr>
                        <w:rFonts w:ascii="Calibri"/>
                        <w:b/>
                        <w:sz w:val="22"/>
                      </w:rPr>
                    </w:pPr>
                    <w:r>
                      <w:rPr>
                        <w:rFonts w:ascii="Calibri"/>
                        <w:b/>
                        <w:sz w:val="22"/>
                      </w:rPr>
                      <w:t>1%</w:t>
                    </w:r>
                    <w:r>
                      <w:rPr>
                        <w:rFonts w:ascii="Calibri"/>
                        <w:b/>
                        <w:spacing w:val="-3"/>
                        <w:sz w:val="22"/>
                      </w:rPr>
                      <w:t> </w:t>
                    </w:r>
                    <w:r>
                      <w:rPr>
                        <w:rFonts w:ascii="Calibri"/>
                        <w:b/>
                        <w:sz w:val="22"/>
                      </w:rPr>
                      <w:t>recorded</w:t>
                    </w:r>
                    <w:r>
                      <w:rPr>
                        <w:rFonts w:ascii="Calibri"/>
                        <w:b/>
                        <w:spacing w:val="-3"/>
                        <w:sz w:val="22"/>
                      </w:rPr>
                      <w:t> </w:t>
                    </w:r>
                    <w:r>
                      <w:rPr>
                        <w:rFonts w:ascii="Calibri"/>
                        <w:b/>
                        <w:sz w:val="22"/>
                      </w:rPr>
                      <w:t>Level</w:t>
                    </w:r>
                    <w:r>
                      <w:rPr>
                        <w:rFonts w:ascii="Calibri"/>
                        <w:b/>
                        <w:spacing w:val="-3"/>
                        <w:sz w:val="22"/>
                      </w:rPr>
                      <w:t> </w:t>
                    </w:r>
                    <w:r>
                      <w:rPr>
                        <w:rFonts w:ascii="Calibri"/>
                        <w:b/>
                        <w:spacing w:val="-10"/>
                        <w:sz w:val="22"/>
                      </w:rPr>
                      <w:t>4</w:t>
                    </w:r>
                  </w:p>
                </w:txbxContent>
              </v:textbox>
              <w10:wrap type="none"/>
            </v:shape>
            <v:shape style="position:absolute;left:544;top:1563;width:1849;height:220" type="#_x0000_t202" id="docshape809" filled="false" stroked="false">
              <v:textbox inset="0,0,0,0">
                <w:txbxContent>
                  <w:p>
                    <w:pPr>
                      <w:spacing w:line="220" w:lineRule="exact" w:before="0"/>
                      <w:ind w:left="0" w:right="0" w:firstLine="0"/>
                      <w:jc w:val="left"/>
                      <w:rPr>
                        <w:rFonts w:ascii="Calibri"/>
                        <w:b/>
                        <w:sz w:val="22"/>
                      </w:rPr>
                    </w:pPr>
                    <w:r>
                      <w:rPr>
                        <w:rFonts w:ascii="Calibri"/>
                        <w:b/>
                        <w:sz w:val="22"/>
                      </w:rPr>
                      <w:t>2%</w:t>
                    </w:r>
                    <w:r>
                      <w:rPr>
                        <w:rFonts w:ascii="Calibri"/>
                        <w:b/>
                        <w:spacing w:val="-3"/>
                        <w:sz w:val="22"/>
                      </w:rPr>
                      <w:t> </w:t>
                    </w:r>
                    <w:r>
                      <w:rPr>
                        <w:rFonts w:ascii="Calibri"/>
                        <w:b/>
                        <w:sz w:val="22"/>
                      </w:rPr>
                      <w:t>recorded</w:t>
                    </w:r>
                    <w:r>
                      <w:rPr>
                        <w:rFonts w:ascii="Calibri"/>
                        <w:b/>
                        <w:spacing w:val="-3"/>
                        <w:sz w:val="22"/>
                      </w:rPr>
                      <w:t> </w:t>
                    </w:r>
                    <w:r>
                      <w:rPr>
                        <w:rFonts w:ascii="Calibri"/>
                        <w:b/>
                        <w:sz w:val="22"/>
                      </w:rPr>
                      <w:t>Level</w:t>
                    </w:r>
                    <w:r>
                      <w:rPr>
                        <w:rFonts w:ascii="Calibri"/>
                        <w:b/>
                        <w:spacing w:val="-3"/>
                        <w:sz w:val="22"/>
                      </w:rPr>
                      <w:t> </w:t>
                    </w:r>
                    <w:r>
                      <w:rPr>
                        <w:rFonts w:ascii="Calibri"/>
                        <w:b/>
                        <w:spacing w:val="-10"/>
                        <w:sz w:val="22"/>
                      </w:rPr>
                      <w:t>2</w:t>
                    </w:r>
                  </w:p>
                </w:txbxContent>
              </v:textbox>
              <w10:wrap type="none"/>
            </v:shape>
            <v:shape style="position:absolute;left:4771;top:1498;width:2599;height:220" type="#_x0000_t202" id="docshape810" filled="false" stroked="false">
              <v:textbox inset="0,0,0,0">
                <w:txbxContent>
                  <w:p>
                    <w:pPr>
                      <w:spacing w:line="220" w:lineRule="exact" w:before="0"/>
                      <w:ind w:left="0" w:right="0" w:firstLine="0"/>
                      <w:jc w:val="left"/>
                      <w:rPr>
                        <w:rFonts w:ascii="Calibri"/>
                        <w:b/>
                        <w:sz w:val="22"/>
                      </w:rPr>
                    </w:pPr>
                    <w:r>
                      <w:rPr>
                        <w:rFonts w:ascii="Calibri"/>
                        <w:b/>
                        <w:sz w:val="22"/>
                      </w:rPr>
                      <w:t>3</w:t>
                    </w:r>
                    <w:r>
                      <w:rPr>
                        <w:rFonts w:ascii="Calibri"/>
                        <w:b/>
                        <w:spacing w:val="-2"/>
                        <w:sz w:val="22"/>
                      </w:rPr>
                      <w:t> </w:t>
                    </w:r>
                    <w:r>
                      <w:rPr>
                        <w:rFonts w:ascii="Calibri"/>
                        <w:b/>
                        <w:sz w:val="22"/>
                      </w:rPr>
                      <w:t>%</w:t>
                    </w:r>
                    <w:r>
                      <w:rPr>
                        <w:rFonts w:ascii="Calibri"/>
                        <w:b/>
                        <w:spacing w:val="-1"/>
                        <w:sz w:val="22"/>
                      </w:rPr>
                      <w:t> </w:t>
                    </w:r>
                    <w:r>
                      <w:rPr>
                        <w:rFonts w:ascii="Calibri"/>
                        <w:b/>
                        <w:sz w:val="22"/>
                      </w:rPr>
                      <w:t>of</w:t>
                    </w:r>
                    <w:r>
                      <w:rPr>
                        <w:rFonts w:ascii="Calibri"/>
                        <w:b/>
                        <w:spacing w:val="-2"/>
                        <w:sz w:val="22"/>
                      </w:rPr>
                      <w:t> </w:t>
                    </w:r>
                    <w:r>
                      <w:rPr>
                        <w:rFonts w:ascii="Calibri"/>
                        <w:b/>
                        <w:sz w:val="22"/>
                      </w:rPr>
                      <w:t>staff</w:t>
                    </w:r>
                    <w:r>
                      <w:rPr>
                        <w:rFonts w:ascii="Calibri"/>
                        <w:b/>
                        <w:spacing w:val="-2"/>
                        <w:sz w:val="22"/>
                      </w:rPr>
                      <w:t> </w:t>
                    </w:r>
                    <w:r>
                      <w:rPr>
                        <w:rFonts w:ascii="Calibri"/>
                        <w:b/>
                        <w:sz w:val="22"/>
                      </w:rPr>
                      <w:t>recorded</w:t>
                    </w:r>
                    <w:r>
                      <w:rPr>
                        <w:rFonts w:ascii="Calibri"/>
                        <w:b/>
                        <w:spacing w:val="-1"/>
                        <w:sz w:val="22"/>
                      </w:rPr>
                      <w:t> </w:t>
                    </w:r>
                    <w:r>
                      <w:rPr>
                        <w:rFonts w:ascii="Calibri"/>
                        <w:b/>
                        <w:sz w:val="22"/>
                      </w:rPr>
                      <w:t>Level</w:t>
                    </w:r>
                    <w:r>
                      <w:rPr>
                        <w:rFonts w:ascii="Calibri"/>
                        <w:b/>
                        <w:spacing w:val="-2"/>
                        <w:sz w:val="22"/>
                      </w:rPr>
                      <w:t> </w:t>
                    </w:r>
                    <w:r>
                      <w:rPr>
                        <w:rFonts w:ascii="Calibri"/>
                        <w:b/>
                        <w:spacing w:val="-12"/>
                        <w:sz w:val="22"/>
                      </w:rPr>
                      <w:t>5</w:t>
                    </w:r>
                  </w:p>
                </w:txbxContent>
              </v:textbox>
              <w10:wrap type="none"/>
            </v:shape>
            <v:shape style="position:absolute;left:204;top:2019;width:1849;height:220" type="#_x0000_t202" id="docshape811" filled="false" stroked="false">
              <v:textbox inset="0,0,0,0">
                <w:txbxContent>
                  <w:p>
                    <w:pPr>
                      <w:spacing w:line="220" w:lineRule="exact" w:before="0"/>
                      <w:ind w:left="0" w:right="0" w:firstLine="0"/>
                      <w:jc w:val="left"/>
                      <w:rPr>
                        <w:rFonts w:ascii="Calibri"/>
                        <w:b/>
                        <w:sz w:val="22"/>
                      </w:rPr>
                    </w:pPr>
                    <w:r>
                      <w:rPr>
                        <w:rFonts w:ascii="Calibri"/>
                        <w:b/>
                        <w:sz w:val="22"/>
                      </w:rPr>
                      <w:t>7%</w:t>
                    </w:r>
                    <w:r>
                      <w:rPr>
                        <w:rFonts w:ascii="Calibri"/>
                        <w:b/>
                        <w:spacing w:val="-3"/>
                        <w:sz w:val="22"/>
                      </w:rPr>
                      <w:t> </w:t>
                    </w:r>
                    <w:r>
                      <w:rPr>
                        <w:rFonts w:ascii="Calibri"/>
                        <w:b/>
                        <w:sz w:val="22"/>
                      </w:rPr>
                      <w:t>recorded</w:t>
                    </w:r>
                    <w:r>
                      <w:rPr>
                        <w:rFonts w:ascii="Calibri"/>
                        <w:b/>
                        <w:spacing w:val="-3"/>
                        <w:sz w:val="22"/>
                      </w:rPr>
                      <w:t> </w:t>
                    </w:r>
                    <w:r>
                      <w:rPr>
                        <w:rFonts w:ascii="Calibri"/>
                        <w:b/>
                        <w:sz w:val="22"/>
                      </w:rPr>
                      <w:t>Level</w:t>
                    </w:r>
                    <w:r>
                      <w:rPr>
                        <w:rFonts w:ascii="Calibri"/>
                        <w:b/>
                        <w:spacing w:val="-3"/>
                        <w:sz w:val="22"/>
                      </w:rPr>
                      <w:t> </w:t>
                    </w:r>
                    <w:r>
                      <w:rPr>
                        <w:rFonts w:ascii="Calibri"/>
                        <w:b/>
                        <w:spacing w:val="-10"/>
                        <w:sz w:val="22"/>
                      </w:rPr>
                      <w:t>1</w:t>
                    </w:r>
                  </w:p>
                </w:txbxContent>
              </v:textbox>
              <w10:wrap type="none"/>
            </v:shape>
            <v:shape style="position:absolute;left:5095;top:2913;width:2067;height:489" type="#_x0000_t202" id="docshape812" filled="false" stroked="false">
              <v:textbox inset="0,0,0,0">
                <w:txbxContent>
                  <w:p>
                    <w:pPr>
                      <w:spacing w:line="224" w:lineRule="exact" w:before="0"/>
                      <w:ind w:left="0" w:right="0" w:firstLine="0"/>
                      <w:jc w:val="left"/>
                      <w:rPr>
                        <w:rFonts w:ascii="Calibri"/>
                        <w:b/>
                        <w:sz w:val="22"/>
                      </w:rPr>
                    </w:pPr>
                    <w:r>
                      <w:rPr>
                        <w:rFonts w:ascii="Calibri"/>
                        <w:b/>
                        <w:color w:val="FFFFFF"/>
                        <w:sz w:val="22"/>
                      </w:rPr>
                      <w:t>37%</w:t>
                    </w:r>
                    <w:r>
                      <w:rPr>
                        <w:rFonts w:ascii="Calibri"/>
                        <w:b/>
                        <w:color w:val="FFFFFF"/>
                        <w:spacing w:val="-1"/>
                        <w:sz w:val="22"/>
                      </w:rPr>
                      <w:t> </w:t>
                    </w:r>
                    <w:r>
                      <w:rPr>
                        <w:rFonts w:ascii="Calibri"/>
                        <w:b/>
                        <w:color w:val="FFFFFF"/>
                        <w:sz w:val="22"/>
                      </w:rPr>
                      <w:t>of</w:t>
                    </w:r>
                    <w:r>
                      <w:rPr>
                        <w:rFonts w:ascii="Calibri"/>
                        <w:b/>
                        <w:color w:val="FFFFFF"/>
                        <w:spacing w:val="-1"/>
                        <w:sz w:val="22"/>
                      </w:rPr>
                      <w:t> </w:t>
                    </w:r>
                    <w:r>
                      <w:rPr>
                        <w:rFonts w:ascii="Calibri"/>
                        <w:b/>
                        <w:color w:val="FFFFFF"/>
                        <w:sz w:val="22"/>
                      </w:rPr>
                      <w:t>staff</w:t>
                    </w:r>
                    <w:r>
                      <w:rPr>
                        <w:rFonts w:ascii="Calibri"/>
                        <w:b/>
                        <w:color w:val="FFFFFF"/>
                        <w:spacing w:val="-1"/>
                        <w:sz w:val="22"/>
                      </w:rPr>
                      <w:t> </w:t>
                    </w:r>
                    <w:r>
                      <w:rPr>
                        <w:rFonts w:ascii="Calibri"/>
                        <w:b/>
                        <w:color w:val="FFFFFF"/>
                        <w:sz w:val="22"/>
                      </w:rPr>
                      <w:t>have</w:t>
                    </w:r>
                    <w:r>
                      <w:rPr>
                        <w:rFonts w:ascii="Calibri"/>
                        <w:b/>
                        <w:color w:val="FFFFFF"/>
                        <w:spacing w:val="-1"/>
                        <w:sz w:val="22"/>
                      </w:rPr>
                      <w:t> </w:t>
                    </w:r>
                    <w:r>
                      <w:rPr>
                        <w:rFonts w:ascii="Calibri"/>
                        <w:b/>
                        <w:color w:val="FFFFFF"/>
                        <w:spacing w:val="-5"/>
                        <w:sz w:val="22"/>
                      </w:rPr>
                      <w:t>not</w:t>
                    </w:r>
                  </w:p>
                  <w:p>
                    <w:pPr>
                      <w:spacing w:line="264" w:lineRule="exact" w:before="0"/>
                      <w:ind w:left="0" w:right="0" w:firstLine="0"/>
                      <w:jc w:val="left"/>
                      <w:rPr>
                        <w:rFonts w:ascii="Calibri"/>
                        <w:b/>
                        <w:sz w:val="22"/>
                      </w:rPr>
                    </w:pPr>
                    <w:r>
                      <w:rPr>
                        <w:rFonts w:ascii="Calibri"/>
                        <w:b/>
                        <w:color w:val="FFFFFF"/>
                        <w:sz w:val="22"/>
                      </w:rPr>
                      <w:t>recorded</w:t>
                    </w:r>
                    <w:r>
                      <w:rPr>
                        <w:rFonts w:ascii="Calibri"/>
                        <w:b/>
                        <w:color w:val="FFFFFF"/>
                        <w:spacing w:val="-4"/>
                        <w:sz w:val="22"/>
                      </w:rPr>
                      <w:t> </w:t>
                    </w:r>
                    <w:r>
                      <w:rPr>
                        <w:rFonts w:ascii="Calibri"/>
                        <w:b/>
                        <w:color w:val="FFFFFF"/>
                        <w:sz w:val="22"/>
                      </w:rPr>
                      <w:t>skills</w:t>
                    </w:r>
                    <w:r>
                      <w:rPr>
                        <w:rFonts w:ascii="Calibri"/>
                        <w:b/>
                        <w:color w:val="FFFFFF"/>
                        <w:spacing w:val="-2"/>
                        <w:sz w:val="22"/>
                      </w:rPr>
                      <w:t> </w:t>
                    </w:r>
                    <w:r>
                      <w:rPr>
                        <w:rFonts w:ascii="Calibri"/>
                        <w:b/>
                        <w:color w:val="FFFFFF"/>
                        <w:sz w:val="22"/>
                      </w:rPr>
                      <w:t>on</w:t>
                    </w:r>
                    <w:r>
                      <w:rPr>
                        <w:rFonts w:ascii="Calibri"/>
                        <w:b/>
                        <w:color w:val="FFFFFF"/>
                        <w:spacing w:val="-3"/>
                        <w:sz w:val="22"/>
                      </w:rPr>
                      <w:t> </w:t>
                    </w:r>
                    <w:r>
                      <w:rPr>
                        <w:rFonts w:ascii="Calibri"/>
                        <w:b/>
                        <w:color w:val="FFFFFF"/>
                        <w:spacing w:val="-4"/>
                        <w:sz w:val="22"/>
                      </w:rPr>
                      <w:t>ESR.</w:t>
                    </w:r>
                  </w:p>
                </w:txbxContent>
              </v:textbox>
              <w10:wrap type="none"/>
            </v:shape>
            <v:shape style="position:absolute;left:2403;top:4626;width:2865;height:758" type="#_x0000_t202" id="docshape813" filled="false" stroked="false">
              <v:textbox inset="0,0,0,0">
                <w:txbxContent>
                  <w:p>
                    <w:pPr>
                      <w:spacing w:line="224" w:lineRule="exact" w:before="0"/>
                      <w:ind w:left="0" w:right="0" w:firstLine="0"/>
                      <w:jc w:val="left"/>
                      <w:rPr>
                        <w:rFonts w:ascii="Calibri"/>
                        <w:b/>
                        <w:sz w:val="22"/>
                      </w:rPr>
                    </w:pPr>
                    <w:r>
                      <w:rPr>
                        <w:rFonts w:ascii="Calibri"/>
                        <w:b/>
                        <w:color w:val="FFFFFF"/>
                        <w:sz w:val="22"/>
                      </w:rPr>
                      <w:t>48%</w:t>
                    </w:r>
                    <w:r>
                      <w:rPr>
                        <w:rFonts w:ascii="Calibri"/>
                        <w:b/>
                        <w:color w:val="FFFFFF"/>
                        <w:spacing w:val="-2"/>
                        <w:sz w:val="22"/>
                      </w:rPr>
                      <w:t> </w:t>
                    </w:r>
                    <w:r>
                      <w:rPr>
                        <w:rFonts w:ascii="Calibri"/>
                        <w:b/>
                        <w:color w:val="FFFFFF"/>
                        <w:sz w:val="22"/>
                      </w:rPr>
                      <w:t>of</w:t>
                    </w:r>
                    <w:r>
                      <w:rPr>
                        <w:rFonts w:ascii="Calibri"/>
                        <w:b/>
                        <w:color w:val="FFFFFF"/>
                        <w:spacing w:val="-2"/>
                        <w:sz w:val="22"/>
                      </w:rPr>
                      <w:t> </w:t>
                    </w:r>
                    <w:r>
                      <w:rPr>
                        <w:rFonts w:ascii="Calibri"/>
                        <w:b/>
                        <w:color w:val="FFFFFF"/>
                        <w:sz w:val="22"/>
                      </w:rPr>
                      <w:t>staff</w:t>
                    </w:r>
                    <w:r>
                      <w:rPr>
                        <w:rFonts w:ascii="Calibri"/>
                        <w:b/>
                        <w:color w:val="FFFFFF"/>
                        <w:spacing w:val="-2"/>
                        <w:sz w:val="22"/>
                      </w:rPr>
                      <w:t> </w:t>
                    </w:r>
                    <w:r>
                      <w:rPr>
                        <w:rFonts w:ascii="Calibri"/>
                        <w:b/>
                        <w:color w:val="FFFFFF"/>
                        <w:sz w:val="22"/>
                      </w:rPr>
                      <w:t>recorded</w:t>
                    </w:r>
                    <w:r>
                      <w:rPr>
                        <w:rFonts w:ascii="Calibri"/>
                        <w:b/>
                        <w:color w:val="FFFFFF"/>
                        <w:spacing w:val="-3"/>
                        <w:sz w:val="22"/>
                      </w:rPr>
                      <w:t> </w:t>
                    </w:r>
                    <w:r>
                      <w:rPr>
                        <w:rFonts w:ascii="Calibri"/>
                        <w:b/>
                        <w:color w:val="FFFFFF"/>
                        <w:sz w:val="22"/>
                      </w:rPr>
                      <w:t>that</w:t>
                    </w:r>
                    <w:r>
                      <w:rPr>
                        <w:rFonts w:ascii="Calibri"/>
                        <w:b/>
                        <w:color w:val="FFFFFF"/>
                        <w:spacing w:val="-1"/>
                        <w:sz w:val="22"/>
                      </w:rPr>
                      <w:t> </w:t>
                    </w:r>
                    <w:r>
                      <w:rPr>
                        <w:rFonts w:ascii="Calibri"/>
                        <w:b/>
                        <w:color w:val="FFFFFF"/>
                        <w:spacing w:val="-4"/>
                        <w:sz w:val="22"/>
                      </w:rPr>
                      <w:t>they</w:t>
                    </w:r>
                  </w:p>
                  <w:p>
                    <w:pPr>
                      <w:spacing w:before="0"/>
                      <w:ind w:left="0" w:right="0" w:firstLine="0"/>
                      <w:jc w:val="left"/>
                      <w:rPr>
                        <w:rFonts w:ascii="Calibri"/>
                        <w:b/>
                        <w:sz w:val="22"/>
                      </w:rPr>
                    </w:pPr>
                    <w:r>
                      <w:rPr>
                        <w:rFonts w:ascii="Calibri"/>
                        <w:b/>
                        <w:color w:val="FFFFFF"/>
                        <w:sz w:val="22"/>
                      </w:rPr>
                      <w:t>have</w:t>
                    </w:r>
                    <w:r>
                      <w:rPr>
                        <w:rFonts w:ascii="Calibri"/>
                        <w:b/>
                        <w:color w:val="FFFFFF"/>
                        <w:spacing w:val="-9"/>
                        <w:sz w:val="22"/>
                      </w:rPr>
                      <w:t> </w:t>
                    </w:r>
                    <w:r>
                      <w:rPr>
                        <w:rFonts w:ascii="Calibri"/>
                        <w:b/>
                        <w:color w:val="FFFFFF"/>
                        <w:sz w:val="22"/>
                      </w:rPr>
                      <w:t>no</w:t>
                    </w:r>
                    <w:r>
                      <w:rPr>
                        <w:rFonts w:ascii="Calibri"/>
                        <w:b/>
                        <w:color w:val="FFFFFF"/>
                        <w:spacing w:val="-10"/>
                        <w:sz w:val="22"/>
                      </w:rPr>
                      <w:t> </w:t>
                    </w:r>
                    <w:r>
                      <w:rPr>
                        <w:rFonts w:ascii="Calibri"/>
                        <w:b/>
                        <w:color w:val="FFFFFF"/>
                        <w:sz w:val="22"/>
                      </w:rPr>
                      <w:t>understanding</w:t>
                    </w:r>
                    <w:r>
                      <w:rPr>
                        <w:rFonts w:ascii="Calibri"/>
                        <w:b/>
                        <w:color w:val="FFFFFF"/>
                        <w:spacing w:val="-9"/>
                        <w:sz w:val="22"/>
                      </w:rPr>
                      <w:t> </w:t>
                    </w:r>
                    <w:r>
                      <w:rPr>
                        <w:rFonts w:ascii="Calibri"/>
                        <w:b/>
                        <w:color w:val="FFFFFF"/>
                        <w:sz w:val="22"/>
                      </w:rPr>
                      <w:t>of</w:t>
                    </w:r>
                    <w:r>
                      <w:rPr>
                        <w:rFonts w:ascii="Calibri"/>
                        <w:b/>
                        <w:color w:val="FFFFFF"/>
                        <w:spacing w:val="-9"/>
                        <w:sz w:val="22"/>
                      </w:rPr>
                      <w:t> </w:t>
                    </w:r>
                    <w:r>
                      <w:rPr>
                        <w:rFonts w:ascii="Calibri"/>
                        <w:b/>
                        <w:color w:val="FFFFFF"/>
                        <w:sz w:val="22"/>
                      </w:rPr>
                      <w:t>the </w:t>
                    </w:r>
                    <w:r>
                      <w:rPr>
                        <w:rFonts w:ascii="Calibri"/>
                        <w:b/>
                        <w:color w:val="FFFFFF"/>
                        <w:spacing w:val="-2"/>
                        <w:sz w:val="22"/>
                      </w:rPr>
                      <w:t>language</w:t>
                    </w:r>
                  </w:p>
                </w:txbxContent>
              </v:textbox>
              <w10:wrap type="none"/>
            </v:shape>
          </v:group>
        </w:pict>
      </w:r>
      <w:r>
        <w:rPr>
          <w:rFonts w:ascii="Calibri"/>
          <w:sz w:val="20"/>
        </w:rPr>
      </w:r>
    </w:p>
    <w:p>
      <w:pPr>
        <w:spacing w:after="0"/>
        <w:rPr>
          <w:rFonts w:ascii="Calibri"/>
          <w:sz w:val="20"/>
        </w:rPr>
        <w:sectPr>
          <w:pgSz w:w="11910" w:h="16840"/>
          <w:pgMar w:header="0" w:footer="173" w:top="1420" w:bottom="360" w:left="0" w:right="0"/>
        </w:sectPr>
      </w:pPr>
    </w:p>
    <w:p>
      <w:pPr>
        <w:pStyle w:val="BodyText"/>
        <w:ind w:left="1492"/>
        <w:rPr>
          <w:rFonts w:ascii="Calibri"/>
          <w:sz w:val="20"/>
        </w:rPr>
      </w:pPr>
      <w:r>
        <w:rPr>
          <w:rFonts w:ascii="Calibri"/>
          <w:sz w:val="20"/>
        </w:rPr>
        <w:pict>
          <v:group style="width:452.05pt;height:375.65pt;mso-position-horizontal-relative:char;mso-position-vertical-relative:line" id="docshapegroup814" coordorigin="0,0" coordsize="9041,7513">
            <v:rect style="position:absolute;left:7;top:7;width:9026;height:7498" id="docshape815" filled="false" stroked="true" strokeweight=".75pt" strokecolor="#d8d8d8">
              <v:stroke dashstyle="solid"/>
            </v:rect>
            <v:shape style="position:absolute;left:4520;top:1531;width:2;height:1756" id="docshape816" coordorigin="4521,1532" coordsize="0,1756" path="m4521,3287l4521,1532,4521,3287xe" filled="true" fillcolor="#1f3969" stroked="false">
              <v:path arrowok="t"/>
              <v:fill type="solid"/>
            </v:shape>
            <v:shape style="position:absolute;left:3859;top:1553;width:662;height:2464" id="docshape817" coordorigin="3859,1554" coordsize="662,2464" path="m4521,4017l3859,2283,3859,1554,4521,3287,4521,4017xe" filled="true" fillcolor="#182f56" stroked="false">
              <v:path arrowok="t"/>
              <v:fill type="solid"/>
            </v:shape>
            <v:shape style="position:absolute;left:3859;top:1553;width:662;height:2464" id="docshape818" coordorigin="3859,1554" coordsize="662,2464" path="m3859,1554l4521,3287,4521,4017,3859,2283,3859,1554xe" filled="false" stroked="true" strokeweight=".735118pt" strokecolor="#ffffff">
              <v:path arrowok="t"/>
              <v:stroke dashstyle="solid"/>
            </v:shape>
            <v:shape style="position:absolute;left:3859;top:1553;width:662;height:2464" id="docshape819" coordorigin="3859,1554" coordsize="662,2464" path="m4521,4017l3859,2283,3859,1554,4521,3287,4521,4017xe" filled="true" fillcolor="#62983d" stroked="false">
              <v:path arrowok="t"/>
              <v:fill type="solid"/>
            </v:shape>
            <v:shape style="position:absolute;left:3859;top:1553;width:662;height:2464" id="docshape820" coordorigin="3859,1554" coordsize="662,2464" path="m3859,1554l4521,3287,4521,4017,3859,2283,3859,1554xe" filled="false" stroked="true" strokeweight=".735118pt" strokecolor="#ffffff">
              <v:path arrowok="t"/>
              <v:stroke dashstyle="solid"/>
            </v:shape>
            <v:shape style="position:absolute;left:3639;top:1570;width:882;height:2447" id="docshape821" coordorigin="3639,1571" coordsize="882,2447" path="m4521,4017l3639,2300,3639,1571,4521,3287,4521,4017xe" filled="true" fillcolor="#507e31" stroked="false">
              <v:path arrowok="t"/>
              <v:fill type="solid"/>
            </v:shape>
            <v:shape style="position:absolute;left:3639;top:1570;width:882;height:2447" id="docshape822" coordorigin="3639,1571" coordsize="882,2447" path="m3639,1571l4521,3287,4521,4017,3639,2300,3639,1571xe" filled="false" stroked="true" strokeweight=".735118pt" strokecolor="#ffffff">
              <v:path arrowok="t"/>
              <v:stroke dashstyle="solid"/>
            </v:shape>
            <v:shape style="position:absolute;left:3639;top:1570;width:882;height:2447" id="docshape823" coordorigin="3639,1571" coordsize="882,2447" path="m4521,4017l3639,2300,3639,1571,4521,3287,4521,4017xe" filled="true" fillcolor="#4f88bb" stroked="false">
              <v:path arrowok="t"/>
              <v:fill type="solid"/>
            </v:shape>
            <v:shape style="position:absolute;left:3639;top:1570;width:882;height:2447" id="docshape824" coordorigin="3639,1571" coordsize="882,2447" path="m3639,1571l4521,3287,4521,4017,3639,2300,3639,1571xe" filled="false" stroked="true" strokeweight=".735118pt" strokecolor="#ffffff">
              <v:path arrowok="t"/>
              <v:stroke dashstyle="solid"/>
            </v:shape>
            <v:shape style="position:absolute;left:3200;top:1620;width:1320;height:2397" id="docshape825" coordorigin="3201,1620" coordsize="1320,2397" path="m4521,4017l3201,2350,3201,1620,4521,3287,4521,4017xe" filled="true" fillcolor="#41719c" stroked="false">
              <v:path arrowok="t"/>
              <v:fill type="solid"/>
            </v:shape>
            <v:shape style="position:absolute;left:3200;top:1620;width:1320;height:2397" id="docshape826" coordorigin="3201,1620" coordsize="1320,2397" path="m3201,1620l4521,3287,4521,4017,3201,2350,3201,1620xe" filled="false" stroked="true" strokeweight=".735118pt" strokecolor="#ffffff">
              <v:path arrowok="t"/>
              <v:stroke dashstyle="solid"/>
            </v:shape>
            <v:shape style="position:absolute;left:3200;top:1620;width:1320;height:2397" id="docshape827" coordorigin="3201,1620" coordsize="1320,2397" path="m4521,4017l3201,2350,3201,1620,4521,3287,4521,4017xe" filled="true" fillcolor="#e1a900" stroked="false">
              <v:path arrowok="t"/>
              <v:fill type="solid"/>
            </v:shape>
            <v:shape style="position:absolute;left:3200;top:1620;width:1320;height:2397" id="docshape828" coordorigin="3201,1620" coordsize="1320,2397" path="m3201,1620l4521,3287,4521,4017,3201,2350,3201,1620xe" filled="false" stroked="true" strokeweight=".735118pt" strokecolor="#ffffff">
              <v:path arrowok="t"/>
              <v:stroke dashstyle="solid"/>
            </v:shape>
            <v:shape style="position:absolute;left:2766;top:1691;width:1755;height:2326" id="docshape829" coordorigin="2766,1691" coordsize="1755,2326" path="m4521,4017l2766,2421,2766,1691,4521,3287,4521,4017xe" filled="true" fillcolor="#bc8c00" stroked="false">
              <v:path arrowok="t"/>
              <v:fill type="solid"/>
            </v:shape>
            <v:shape style="position:absolute;left:2766;top:1691;width:1755;height:2326" id="docshape830" coordorigin="2766,1691" coordsize="1755,2326" path="m2766,1691l4521,3287,4521,4017,2766,2421,2766,1691xe" filled="false" stroked="true" strokeweight=".735118pt" strokecolor="#ffffff">
              <v:path arrowok="t"/>
              <v:stroke dashstyle="solid"/>
            </v:shape>
            <v:shape style="position:absolute;left:2766;top:1691;width:1755;height:2326" id="docshape831" coordorigin="2766,1691" coordsize="1755,2326" path="m4521,4017l2766,2421,2766,1691,4521,3287,4521,4017xe" filled="true" fillcolor="#919191" stroked="false">
              <v:path arrowok="t"/>
              <v:fill type="solid"/>
            </v:shape>
            <v:shape style="position:absolute;left:2766;top:1691;width:1755;height:2326" id="docshape832" coordorigin="2766,1691" coordsize="1755,2326" path="m2766,1691l4521,3287,4521,4017,2766,2421,2766,1691xe" filled="false" stroked="true" strokeweight=".735118pt" strokecolor="#ffffff">
              <v:path arrowok="t"/>
              <v:stroke dashstyle="solid"/>
            </v:shape>
            <v:shape style="position:absolute;left:1724;top:1974;width:2797;height:2043" id="docshape833" coordorigin="1724,1974" coordsize="2797,2043" path="m4521,4017l1724,2704,1724,1974,4521,3287,4521,4017xe" filled="true" fillcolor="#787878" stroked="false">
              <v:path arrowok="t"/>
              <v:fill type="solid"/>
            </v:shape>
            <v:shape style="position:absolute;left:1724;top:1974;width:2797;height:2043" id="docshape834" coordorigin="1724,1974" coordsize="2797,2043" path="m1724,1974l4521,3287,4521,4017,1724,2704,1724,1974xe" filled="false" stroked="true" strokeweight=".735118pt" strokecolor="#ffffff">
              <v:path arrowok="t"/>
              <v:stroke dashstyle="solid"/>
            </v:shape>
            <v:shape style="position:absolute;left:1724;top:1974;width:2797;height:2043" id="docshape835" coordorigin="1724,1974" coordsize="2797,2043" path="m4521,4017l1724,2704,1724,1974,4521,3287,4521,4017xe" filled="true" fillcolor="#d16c2a" stroked="false">
              <v:path arrowok="t"/>
              <v:fill type="solid"/>
            </v:shape>
            <v:shape style="position:absolute;left:1724;top:1974;width:2797;height:2043" id="docshape836" coordorigin="1724,1974" coordsize="2797,2043" path="m1724,1974l4521,3287,4521,4017,1724,2704,1724,1974xe" filled="false" stroked="true" strokeweight=".735118pt" strokecolor="#ffffff">
              <v:path arrowok="t"/>
              <v:stroke dashstyle="solid"/>
            </v:shape>
            <v:rect style="position:absolute;left:307;top:3287;width:4213;height:730" id="docshape837" filled="true" fillcolor="#d16c2a" stroked="false">
              <v:fill type="solid"/>
            </v:rect>
            <v:rect style="position:absolute;left:307;top:3287;width:4213;height:730" id="docshape838" filled="false" stroked="true" strokeweight=".735118pt" strokecolor="#ffffff">
              <v:stroke dashstyle="solid"/>
            </v:rect>
            <v:shape style="position:absolute;left:4520;top:4017;width:2;height:2107" id="docshape839" coordorigin="4521,4017" coordsize="0,2107" path="m4521,6124l4521,4017,4521,6124xe" filled="true" fillcolor="#ae5a21" stroked="false">
              <v:path arrowok="t"/>
              <v:fill type="solid"/>
            </v:shape>
            <v:shape style="position:absolute;left:4520;top:3287;width:2;height:2837" id="docshape840" coordorigin="4521,3287" coordsize="0,2837" path="m4521,5394l4521,3287,4521,4017,4521,6124,4521,5394xe" filled="false" stroked="true" strokeweight=".735118pt" strokecolor="#ffffff">
              <v:path arrowok="t"/>
              <v:stroke dashstyle="solid"/>
            </v:shape>
            <v:shape style="position:absolute;left:4520;top:1531;width:2;height:1756" id="docshape841" coordorigin="4521,1532" coordsize="0,1756" path="m4521,3287l4521,1532,4521,3287xe" filled="true" fillcolor="#2f528f" stroked="false">
              <v:path arrowok="t"/>
              <v:fill type="solid"/>
            </v:shape>
            <v:shape style="position:absolute;left:4520;top:1531;width:2;height:2486" id="docshape842" coordorigin="4521,1532" coordsize="0,2486" path="m4521,1532l4521,3287,4521,4017,4521,2262,4521,1532xe" filled="false" stroked="true" strokeweight=".735118pt" strokecolor="#ffffff">
              <v:path arrowok="t"/>
              <v:stroke dashstyle="solid"/>
            </v:shape>
            <v:rect style="position:absolute;left:4520;top:3287;width:4213;height:730" id="docshape843" filled="true" fillcolor="#2f528f" stroked="false">
              <v:fill type="solid"/>
            </v:rect>
            <v:rect style="position:absolute;left:4520;top:3287;width:4213;height:730" id="docshape844" filled="false" stroked="true" strokeweight=".735118pt" strokecolor="#ffffff">
              <v:stroke dashstyle="solid"/>
            </v:rect>
            <v:shape style="position:absolute;left:4520;top:3287;width:2884;height:2266" id="docshape845" coordorigin="4521,3287" coordsize="2884,2266" path="m7404,5553l4521,4017,4521,3287,7404,4823,7404,5553xe" filled="true" fillcolor="#3b64ac" stroked="false">
              <v:path arrowok="t"/>
              <v:fill type="solid"/>
            </v:shape>
            <v:shape style="position:absolute;left:4520;top:3287;width:2884;height:2266" id="docshape846" coordorigin="4521,3287" coordsize="2884,2266" path="m7404,4823l4521,3287,4521,4017,7404,5553,7404,4823xe" filled="false" stroked="true" strokeweight=".735118pt" strokecolor="#ffffff">
              <v:path arrowok="t"/>
              <v:stroke dashstyle="solid"/>
            </v:shape>
            <v:shape style="position:absolute;left:4520;top:3287;width:2884;height:2266" id="docshape847" coordorigin="4521,3287" coordsize="2884,2266" path="m7404,5553l4521,4017,4521,3287,7404,4823,7404,5553xe" filled="true" fillcolor="#ae5a21" stroked="false">
              <v:path arrowok="t"/>
              <v:fill type="solid"/>
            </v:shape>
            <v:shape style="position:absolute;left:4520;top:3287;width:2884;height:2266" id="docshape848" coordorigin="4521,3287" coordsize="2884,2266" path="m7404,4823l4521,3287,4521,4017,7404,5553,7404,4823xe" filled="false" stroked="true" strokeweight=".735118pt" strokecolor="#ffffff">
              <v:path arrowok="t"/>
              <v:stroke dashstyle="solid"/>
            </v:shape>
            <v:shape style="position:absolute;left:4520;top:3287;width:2;height:2837" id="docshape849" coordorigin="4521,3287" coordsize="0,2837" path="m4521,6124l4521,5394,4521,3287,4521,6124xe" filled="true" fillcolor="#d16c2a" stroked="false">
              <v:path arrowok="t"/>
              <v:fill type="solid"/>
            </v:shape>
            <v:shape style="position:absolute;left:4520;top:3287;width:2;height:2837" id="docshape850" coordorigin="4521,3287" coordsize="0,2837" path="m4521,5394l4521,3287,4521,4017,4521,6124,4521,5394xe" filled="false" stroked="true" strokeweight=".735118pt" strokecolor="#ffffff">
              <v:path arrowok="t"/>
              <v:stroke dashstyle="solid"/>
            </v:shape>
            <v:shape style="position:absolute;left:7404;top:3287;width:1330;height:2266" type="#_x0000_t75" id="docshape851" stroked="false">
              <v:imagedata r:id="rId217" o:title=""/>
            </v:shape>
            <v:shape style="position:absolute;left:7404;top:3287;width:1330;height:2266" id="docshape852" coordorigin="7404,3287" coordsize="1330,2266" path="m8734,3287l8732,3350,8726,3412,8717,3473,8704,3535,8688,3596,8668,3656,8645,3717,8618,3776,8588,3836,8555,3895,8518,3953,8477,4011,8434,4068,8387,4124,8337,4180,8283,4235,8227,4289,8167,4342,8104,4395,8039,4446,7970,4497,7898,4547,7823,4595,7745,4643,7664,4690,7580,4735,7494,4780,7404,4823,7404,5553,7494,5509,7580,5465,7664,5420,7745,5373,7823,5325,7898,5276,7970,5227,8039,5176,8104,5124,8167,5072,8227,5018,8283,4964,8337,4909,8387,4854,8434,4797,8477,4740,8518,4683,8555,4624,8588,4566,8618,4506,8645,4446,8668,4386,8688,4325,8704,4264,8717,4203,8726,4141,8732,4079,8734,4017,8734,3287xe" filled="false" stroked="true" strokeweight=".735118pt" strokecolor="#ffffff">
              <v:path arrowok="t"/>
              <v:stroke dashstyle="solid"/>
            </v:shape>
            <v:shape style="position:absolute;left:4520;top:1531;width:4213;height:3292" id="docshape853" coordorigin="4521,1532" coordsize="4213,3292" path="m7404,4823l4521,3287,4521,1532,4687,1533,4853,1537,5019,1544,5183,1554,5347,1566,5509,1581,5670,1598,5829,1619,5986,1642,6141,1667,6247,1686,6351,1706,6454,1728,6554,1750,6653,1774,6750,1798,6846,1824,6939,1850,7030,1878,7120,1906,7207,1935,7292,1966,7375,1997,7457,2029,7535,2062,7612,2096,7687,2130,7759,2165,7829,2201,7897,2238,7962,2276,8025,2314,8085,2353,8143,2392,8199,2433,8252,2473,8302,2515,8350,2557,8395,2599,8438,2642,8514,2730,8580,2819,8635,2910,8678,3002,8708,3096,8727,3191,8734,3287,8732,3350,8726,3412,8717,3473,8704,3535,8688,3596,8668,3656,8645,3717,8618,3776,8588,3836,8555,3895,8518,3953,8477,4011,8434,4068,8387,4124,8337,4180,8283,4235,8227,4289,8167,4342,8104,4395,8039,4446,7970,4497,7898,4547,7823,4595,7745,4643,7664,4690,7580,4735,7494,4780,7404,4823xe" filled="true" fillcolor="#4472c4" stroked="false">
              <v:path arrowok="t"/>
              <v:fill type="solid"/>
            </v:shape>
            <v:shape style="position:absolute;left:4520;top:1531;width:4213;height:3292" id="docshape854" coordorigin="4521,1532" coordsize="4213,3292" path="m4521,1532l4604,1532,4687,1533,4770,1535,4853,1537,4936,1541,5019,1544,5101,1549,5183,1554,5265,1560,5347,1566,5428,1573,5509,1581,5589,1589,5670,1598,5749,1608,5829,1619,5907,1630,5986,1642,6064,1654,6141,1667,6247,1686,6351,1706,6454,1728,6554,1750,6653,1774,6750,1798,6846,1824,6939,1850,7030,1878,7120,1906,7207,1935,7292,1966,7375,1997,7457,2029,7535,2062,7612,2096,7687,2130,7759,2165,7829,2201,7897,2238,7962,2276,8025,2314,8085,2353,8143,2392,8199,2433,8252,2473,8302,2515,8350,2557,8395,2599,8438,2642,8514,2730,8580,2819,8635,2910,8678,3002,8708,3096,8727,3191,8734,3287,8732,3350,8726,3412,8717,3473,8704,3535,8688,3596,8668,3656,8645,3717,8618,3776,8588,3836,8555,3895,8518,3953,8477,4011,8434,4068,8387,4124,8337,4180,8283,4235,8227,4289,8167,4342,8104,4395,8039,4446,7970,4497,7898,4547,7823,4595,7745,4643,7664,4690,7580,4735,7494,4780,7404,4823,4521,3287,4521,1532xe" filled="false" stroked="true" strokeweight=".735118pt" strokecolor="#ffffff">
              <v:path arrowok="t"/>
              <v:stroke dashstyle="solid"/>
            </v:shape>
            <v:shape style="position:absolute;left:307;top:3287;width:7097;height:2837" type="#_x0000_t75" id="docshape855" stroked="false">
              <v:imagedata r:id="rId218" o:title=""/>
            </v:shape>
            <v:shape style="position:absolute;left:307;top:3287;width:7097;height:2837" id="docshape856" coordorigin="308,3287" coordsize="7097,2837" path="m7404,4823l7339,4853,7273,4882,7206,4910,7138,4938,7069,4965,6999,4991,6927,5016,6855,5041,6782,5065,6708,5088,6633,5110,6557,5132,6480,5152,6402,5172,6324,5191,6244,5209,6165,5227,6084,5243,6002,5259,5920,5274,5838,5288,5754,5301,5670,5314,5586,5325,5501,5336,5415,5346,5329,5355,5243,5363,5156,5370,5077,5375,4999,5380,4921,5384,4842,5388,4763,5390,4685,5392,4606,5393,4527,5394,4449,5394,4370,5393,4291,5391,4213,5388,4134,5385,4056,5381,3978,5376,3900,5371,3822,5365,3745,5358,3667,5350,3590,5342,3513,5333,3437,5323,3345,5310,3253,5296,3163,5281,3073,5266,2985,5249,2897,5231,2810,5212,2724,5193,2639,5172,2555,5151,2472,5128,2391,5105,2310,5081,2231,5055,2152,5029,2075,5003,1999,4975,1925,4946,1851,4917,1779,4887,1708,4856,1639,4824,1571,4791,1505,4758,1439,4724,1376,4689,1314,4654,1253,4617,1194,4580,1137,4542,1081,4504,1027,4465,975,4425,924,4384,855,4326,790,4266,728,4205,671,4144,618,4081,569,4018,524,3954,483,3890,447,3825,414,3759,386,3693,362,3626,343,3559,327,3491,316,3424,310,3356,308,3287,308,4017,309,4073,321,4183,344,4292,378,4400,423,4506,479,4610,510,4662,545,4713,582,4764,621,4814,663,4863,708,4912,755,4960,804,5008,856,5055,910,5101,966,5147,1025,5192,1086,5236,1149,5279,1214,5322,1282,5364,1352,5405,1423,5445,1497,5484,1573,5522,1651,5559,1732,5596,1814,5631,1898,5665,1984,5699,2071,5731,2161,5762,2253,5792,2346,5821,2441,5849,2538,5876,2636,5901,2710,5919,2784,5936,2858,5953,2934,5968,3009,5983,3086,5998,3162,6011,3240,6024,3317,6036,3395,6047,3474,6058,3553,6067,3632,6076,3711,6084,3791,6092,3871,6098,3952,6104,4032,6109,4113,6114,4194,6117,4276,6120,4357,6122,4439,6123,4521,6124,4602,6123,4684,6122,4765,6120,4847,6117,4928,6114,5009,6109,5089,6104,5170,6098,5250,6092,5330,6084,5409,6076,5488,6067,5567,6058,5646,6047,5724,6036,5801,6024,5879,6011,5955,5998,6032,5983,6107,5968,6183,5953,6257,5936,6331,5919,6405,5901,6488,5880,6571,5857,6653,5834,6733,5810,6813,5784,6891,5758,6968,5732,7044,5704,7119,5675,7192,5646,7264,5616,7335,5585,7404,5553,7404,4823xe" filled="false" stroked="true" strokeweight=".735118pt" strokecolor="#ffffff">
              <v:path arrowok="t"/>
              <v:stroke dashstyle="solid"/>
            </v:shape>
            <v:shape style="position:absolute;left:307;top:1974;width:7097;height:3420" id="docshape857" coordorigin="308,1974" coordsize="7097,3420" path="m4521,5394l4357,5392,4194,5388,4032,5380,3871,5369,3711,5355,3632,5346,3553,5338,3474,5328,3395,5317,3317,5306,3240,5294,3162,5281,3086,5268,3009,5254,2934,5239,2858,5223,2784,5207,2710,5189,2636,5171,2538,5146,2441,5119,2346,5092,2253,5063,2161,5032,2071,5001,1984,4969,1898,4936,1814,4901,1732,4866,1651,4830,1573,4792,1497,4754,1423,4715,1352,4675,1282,4634,1214,4592,1149,4550,1086,4506,1025,4462,966,4417,910,4372,856,4325,804,4278,755,4231,708,4182,663,4134,621,4084,582,4034,545,3983,510,3932,479,3881,423,3776,378,3670,344,3562,321,3453,309,3343,308,3287,310,3232,326,3121,360,3012,409,2904,440,2851,475,2798,513,2746,556,2694,602,2643,652,2593,706,2543,763,2494,824,2445,889,2398,957,2351,1028,2305,1104,2260,1182,2216,1264,2173,1350,2131,1439,2090,1531,2051,1626,2012,1724,1974,4521,3287,7404,4823,7339,4853,7273,4882,7206,4910,7138,4938,7069,4965,6999,4991,6927,5016,6855,5041,6782,5065,6708,5088,6633,5110,6557,5132,6480,5152,6402,5172,6324,5191,6244,5209,6165,5227,6084,5243,6002,5259,5920,5274,5838,5288,5754,5301,5670,5314,5586,5325,5501,5336,5415,5346,5329,5355,5243,5363,5156,5370,4998,5380,4839,5388,4680,5392,4521,5394xe" filled="true" fillcolor="#ed7d31" stroked="false">
              <v:path arrowok="t"/>
              <v:fill type="solid"/>
            </v:shape>
            <v:shape style="position:absolute;left:307;top:1974;width:7097;height:3420" id="docshape858" coordorigin="308,1974" coordsize="7097,3420" path="m7404,4823l7339,4853,7273,4882,7206,4910,7138,4938,7069,4965,6999,4991,6927,5016,6855,5041,6782,5065,6708,5088,6633,5110,6557,5132,6480,5152,6402,5172,6324,5191,6244,5209,6165,5227,6084,5243,6002,5259,5920,5274,5838,5288,5754,5301,5670,5314,5586,5325,5501,5336,5415,5346,5329,5355,5243,5363,5156,5370,5077,5375,4998,5380,4918,5384,4839,5388,4760,5390,4680,5392,4600,5393,4521,5394,4439,5393,4357,5392,4276,5390,4194,5388,4113,5384,4032,5380,3952,5375,3871,5369,3791,5362,3711,5355,3632,5346,3553,5338,3474,5328,3395,5317,3317,5306,3240,5294,3162,5281,3086,5268,3009,5254,2934,5239,2858,5223,2784,5207,2710,5189,2636,5171,2538,5146,2441,5119,2346,5092,2253,5063,2161,5032,2071,5001,1984,4969,1898,4936,1814,4901,1732,4866,1651,4830,1573,4792,1497,4754,1423,4715,1352,4675,1282,4634,1214,4592,1149,4550,1086,4506,1025,4462,966,4417,910,4372,856,4325,804,4278,755,4231,708,4182,663,4134,621,4084,582,4034,545,3983,510,3932,479,3881,423,3776,378,3670,344,3562,321,3453,309,3343,308,3287,310,3232,326,3121,360,3012,409,2904,440,2851,475,2798,513,2746,556,2694,602,2643,652,2593,706,2543,763,2494,824,2445,889,2398,957,2351,1028,2305,1104,2260,1182,2216,1264,2173,1350,2131,1439,2090,1531,2051,1626,2012,1724,1974,4521,3287,7404,4823xe" filled="false" stroked="true" strokeweight=".735118pt" strokecolor="#ffffff">
              <v:path arrowok="t"/>
              <v:stroke dashstyle="solid"/>
            </v:shape>
            <v:shape style="position:absolute;left:1724;top:1691;width:2797;height:1596" id="docshape859" coordorigin="1724,1691" coordsize="2797,1596" path="m4521,3287l1724,1974,1792,1950,1860,1926,1930,1903,2001,1880,2073,1859,2146,1837,2220,1817,2295,1797,2371,1778,2448,1759,2526,1741,2605,1724,2685,1707,2766,1691,4521,3287xe" filled="true" fillcolor="#a5a5a5" stroked="false">
              <v:path arrowok="t"/>
              <v:fill type="solid"/>
            </v:shape>
            <v:shape style="position:absolute;left:1724;top:1691;width:2797;height:1596" id="docshape860" coordorigin="1724,1691" coordsize="2797,1596" path="m1724,1974l1792,1950,1860,1926,1930,1903,2001,1880,2073,1859,2146,1837,2220,1817,2295,1797,2371,1778,2448,1759,2526,1741,2605,1724,2685,1707,2766,1691,4521,3287,1724,1974xe" filled="false" stroked="true" strokeweight=".735118pt" strokecolor="#ffffff">
              <v:path arrowok="t"/>
              <v:stroke dashstyle="solid"/>
            </v:shape>
            <v:shape style="position:absolute;left:2766;top:1620;width:1755;height:1668" id="docshape861" coordorigin="2766,1620" coordsize="1755,1668" path="m4521,3287l2766,1691,2909,1665,3054,1642,3201,1620,4521,3287xe" filled="true" fillcolor="#ffc000" stroked="false">
              <v:path arrowok="t"/>
              <v:fill type="solid"/>
            </v:shape>
            <v:shape style="position:absolute;left:2766;top:1620;width:1755;height:1668" id="docshape862" coordorigin="2766,1620" coordsize="1755,1668" path="m2766,1691l2837,1678,2909,1665,2981,1653,3054,1642,3127,1631,3201,1620,4521,3287,2766,1691xe" filled="false" stroked="true" strokeweight=".735118pt" strokecolor="#ffffff">
              <v:path arrowok="t"/>
              <v:stroke dashstyle="solid"/>
            </v:shape>
            <v:shape style="position:absolute;left:3200;top:1570;width:1320;height:1717" id="docshape863" coordorigin="3201,1571" coordsize="1320,1717" path="m4521,3287l3201,1620,3345,1602,3492,1585,3639,1571,4521,3287xe" filled="true" fillcolor="#5b9bd5" stroked="false">
              <v:path arrowok="t"/>
              <v:fill type="solid"/>
            </v:shape>
            <v:shape style="position:absolute;left:3200;top:1570;width:1320;height:1717" id="docshape864" coordorigin="3201,1571" coordsize="1320,1717" path="m3201,1620l3273,1611,3345,1602,3418,1593,3492,1585,3565,1578,3639,1571,4521,3287,3201,1620xe" filled="false" stroked="true" strokeweight=".735118pt" strokecolor="#ffffff">
              <v:path arrowok="t"/>
              <v:stroke dashstyle="solid"/>
            </v:shape>
            <v:shape style="position:absolute;left:3639;top:1553;width:882;height:1734" id="docshape865" coordorigin="3639,1554" coordsize="882,1734" path="m4521,3287l3639,1571,3694,1566,3859,1554,4521,3287xe" filled="true" fillcolor="#70ad47" stroked="false">
              <v:path arrowok="t"/>
              <v:fill type="solid"/>
            </v:shape>
            <v:shape style="position:absolute;left:3639;top:1553;width:882;height:1734" id="docshape866" coordorigin="3639,1554" coordsize="882,1734" path="m3639,1571l3694,1566,3749,1562,3804,1558,3859,1554,4521,3287,3639,1571xe" filled="false" stroked="true" strokeweight=".735118pt" strokecolor="#ffffff">
              <v:path arrowok="t"/>
              <v:stroke dashstyle="solid"/>
            </v:shape>
            <v:shape style="position:absolute;left:3859;top:1531;width:662;height:1756" id="docshape867" coordorigin="3859,1532" coordsize="662,1756" path="m4521,3287l3859,1554,4024,1544,4189,1537,4354,1533,4521,1532,4521,3287xe" filled="true" fillcolor="#254378" stroked="false">
              <v:path arrowok="t"/>
              <v:fill type="solid"/>
            </v:shape>
            <v:shape style="position:absolute;left:3859;top:1531;width:662;height:1756" id="docshape868" coordorigin="3859,1532" coordsize="662,1756" path="m3859,1554l3941,1549,4024,1544,4106,1540,4189,1537,4272,1535,4354,1533,4437,1532,4521,1532,4521,3287,3859,1554xe" filled="false" stroked="true" strokeweight=".735118pt" strokecolor="#ffffff">
              <v:path arrowok="t"/>
              <v:stroke dashstyle="solid"/>
            </v:shape>
            <v:line style="position:absolute" from="2028,1661" to="2268,1848" stroked="true" strokeweight=".5pt" strokecolor="#4472c4">
              <v:stroke dashstyle="solid"/>
            </v:line>
            <v:line style="position:absolute" from="2788,1341" to="3094,1688" stroked="true" strokeweight=".5pt" strokecolor="#4472c4">
              <v:stroke dashstyle="solid"/>
            </v:line>
            <v:line style="position:absolute" from="3188,994" to="3508,1688" stroked="true" strokeweight=".5pt" strokecolor="#4472c4">
              <v:stroke dashstyle="solid"/>
            </v:line>
            <v:line style="position:absolute" from="3988,874" to="3774,1514" stroked="true" strokeweight=".5pt" strokecolor="#4472c4">
              <v:stroke dashstyle="solid"/>
            </v:line>
            <v:line style="position:absolute" from="4841,1261" to="4267,1568" stroked="true" strokeweight=".5pt" strokecolor="#4472c4">
              <v:stroke dashstyle="solid"/>
            </v:line>
            <v:shape style="position:absolute;left:2761;top:111;width:3740;height:280" type="#_x0000_t202" id="docshape869" filled="false" stroked="false">
              <v:textbox inset="0,0,0,0">
                <w:txbxContent>
                  <w:p>
                    <w:pPr>
                      <w:spacing w:line="280" w:lineRule="exact" w:before="0"/>
                      <w:ind w:left="0" w:right="0" w:firstLine="0"/>
                      <w:jc w:val="left"/>
                      <w:rPr>
                        <w:rFonts w:ascii="Calibri"/>
                        <w:b/>
                        <w:sz w:val="28"/>
                      </w:rPr>
                    </w:pPr>
                    <w:r>
                      <w:rPr>
                        <w:rFonts w:ascii="Calibri"/>
                        <w:b/>
                        <w:color w:val="595959"/>
                        <w:sz w:val="28"/>
                      </w:rPr>
                      <w:t>Welsh</w:t>
                    </w:r>
                    <w:r>
                      <w:rPr>
                        <w:rFonts w:ascii="Calibri"/>
                        <w:b/>
                        <w:color w:val="595959"/>
                        <w:spacing w:val="-4"/>
                        <w:sz w:val="28"/>
                      </w:rPr>
                      <w:t> </w:t>
                    </w:r>
                    <w:r>
                      <w:rPr>
                        <w:rFonts w:ascii="Calibri"/>
                        <w:b/>
                        <w:color w:val="595959"/>
                        <w:sz w:val="28"/>
                      </w:rPr>
                      <w:t>Language</w:t>
                    </w:r>
                    <w:r>
                      <w:rPr>
                        <w:rFonts w:ascii="Calibri"/>
                        <w:b/>
                        <w:color w:val="595959"/>
                        <w:spacing w:val="-2"/>
                        <w:sz w:val="28"/>
                      </w:rPr>
                      <w:t> </w:t>
                    </w:r>
                    <w:r>
                      <w:rPr>
                        <w:rFonts w:ascii="Calibri"/>
                        <w:b/>
                        <w:color w:val="595959"/>
                        <w:sz w:val="28"/>
                      </w:rPr>
                      <w:t>Skills</w:t>
                    </w:r>
                    <w:r>
                      <w:rPr>
                        <w:rFonts w:ascii="Calibri"/>
                        <w:b/>
                        <w:color w:val="595959"/>
                        <w:spacing w:val="-2"/>
                        <w:sz w:val="28"/>
                      </w:rPr>
                      <w:t> </w:t>
                    </w:r>
                    <w:r>
                      <w:rPr>
                        <w:rFonts w:ascii="Calibri"/>
                        <w:b/>
                        <w:color w:val="595959"/>
                        <w:sz w:val="28"/>
                      </w:rPr>
                      <w:t>-</w:t>
                    </w:r>
                    <w:r>
                      <w:rPr>
                        <w:rFonts w:ascii="Calibri"/>
                        <w:b/>
                        <w:color w:val="595959"/>
                        <w:spacing w:val="-1"/>
                        <w:sz w:val="28"/>
                      </w:rPr>
                      <w:t> </w:t>
                    </w:r>
                    <w:r>
                      <w:rPr>
                        <w:rFonts w:ascii="Calibri"/>
                        <w:b/>
                        <w:color w:val="595959"/>
                        <w:spacing w:val="-2"/>
                        <w:sz w:val="28"/>
                      </w:rPr>
                      <w:t>Writting</w:t>
                    </w:r>
                  </w:p>
                </w:txbxContent>
              </v:textbox>
              <w10:wrap type="none"/>
            </v:shape>
            <v:shape style="position:absolute;left:151;top:830;width:3096;height:927" type="#_x0000_t202" id="docshape870" filled="false" stroked="false">
              <v:textbox inset="0,0,0,0">
                <w:txbxContent>
                  <w:p>
                    <w:pPr>
                      <w:spacing w:line="224" w:lineRule="exact" w:before="0"/>
                      <w:ind w:left="1246" w:right="0" w:firstLine="0"/>
                      <w:jc w:val="left"/>
                      <w:rPr>
                        <w:rFonts w:ascii="Calibri"/>
                        <w:b/>
                        <w:sz w:val="22"/>
                      </w:rPr>
                    </w:pPr>
                    <w:r>
                      <w:rPr>
                        <w:rFonts w:ascii="Calibri"/>
                        <w:b/>
                        <w:sz w:val="22"/>
                      </w:rPr>
                      <w:t>2%</w:t>
                    </w:r>
                    <w:r>
                      <w:rPr>
                        <w:rFonts w:ascii="Calibri"/>
                        <w:b/>
                        <w:spacing w:val="-3"/>
                        <w:sz w:val="22"/>
                      </w:rPr>
                      <w:t> </w:t>
                    </w:r>
                    <w:r>
                      <w:rPr>
                        <w:rFonts w:ascii="Calibri"/>
                        <w:b/>
                        <w:sz w:val="22"/>
                      </w:rPr>
                      <w:t>recorded</w:t>
                    </w:r>
                    <w:r>
                      <w:rPr>
                        <w:rFonts w:ascii="Calibri"/>
                        <w:b/>
                        <w:spacing w:val="-3"/>
                        <w:sz w:val="22"/>
                      </w:rPr>
                      <w:t> </w:t>
                    </w:r>
                    <w:r>
                      <w:rPr>
                        <w:rFonts w:ascii="Calibri"/>
                        <w:b/>
                        <w:sz w:val="22"/>
                      </w:rPr>
                      <w:t>Level</w:t>
                    </w:r>
                    <w:r>
                      <w:rPr>
                        <w:rFonts w:ascii="Calibri"/>
                        <w:b/>
                        <w:spacing w:val="-3"/>
                        <w:sz w:val="22"/>
                      </w:rPr>
                      <w:t> </w:t>
                    </w:r>
                    <w:r>
                      <w:rPr>
                        <w:rFonts w:ascii="Calibri"/>
                        <w:b/>
                        <w:spacing w:val="-10"/>
                        <w:sz w:val="22"/>
                      </w:rPr>
                      <w:t>3</w:t>
                    </w:r>
                  </w:p>
                  <w:p>
                    <w:pPr>
                      <w:spacing w:before="64"/>
                      <w:ind w:left="766" w:right="0" w:firstLine="0"/>
                      <w:jc w:val="left"/>
                      <w:rPr>
                        <w:rFonts w:ascii="Calibri"/>
                        <w:b/>
                        <w:sz w:val="22"/>
                      </w:rPr>
                    </w:pPr>
                    <w:r>
                      <w:rPr>
                        <w:rFonts w:ascii="Calibri"/>
                        <w:b/>
                        <w:sz w:val="22"/>
                      </w:rPr>
                      <w:t>2%</w:t>
                    </w:r>
                    <w:r>
                      <w:rPr>
                        <w:rFonts w:ascii="Calibri"/>
                        <w:b/>
                        <w:spacing w:val="-3"/>
                        <w:sz w:val="22"/>
                      </w:rPr>
                      <w:t> </w:t>
                    </w:r>
                    <w:r>
                      <w:rPr>
                        <w:rFonts w:ascii="Calibri"/>
                        <w:b/>
                        <w:sz w:val="22"/>
                      </w:rPr>
                      <w:t>recorded</w:t>
                    </w:r>
                    <w:r>
                      <w:rPr>
                        <w:rFonts w:ascii="Calibri"/>
                        <w:b/>
                        <w:spacing w:val="-3"/>
                        <w:sz w:val="22"/>
                      </w:rPr>
                      <w:t> </w:t>
                    </w:r>
                    <w:r>
                      <w:rPr>
                        <w:rFonts w:ascii="Calibri"/>
                        <w:b/>
                        <w:sz w:val="22"/>
                      </w:rPr>
                      <w:t>Level</w:t>
                    </w:r>
                    <w:r>
                      <w:rPr>
                        <w:rFonts w:ascii="Calibri"/>
                        <w:b/>
                        <w:spacing w:val="-3"/>
                        <w:sz w:val="22"/>
                      </w:rPr>
                      <w:t> </w:t>
                    </w:r>
                    <w:r>
                      <w:rPr>
                        <w:rFonts w:ascii="Calibri"/>
                        <w:b/>
                        <w:spacing w:val="-10"/>
                        <w:sz w:val="22"/>
                      </w:rPr>
                      <w:t>2</w:t>
                    </w:r>
                  </w:p>
                  <w:p>
                    <w:pPr>
                      <w:spacing w:line="264" w:lineRule="exact" w:before="105"/>
                      <w:ind w:left="0" w:right="0" w:firstLine="0"/>
                      <w:jc w:val="left"/>
                      <w:rPr>
                        <w:rFonts w:ascii="Calibri"/>
                        <w:b/>
                        <w:sz w:val="22"/>
                      </w:rPr>
                    </w:pPr>
                    <w:r>
                      <w:rPr>
                        <w:rFonts w:ascii="Calibri"/>
                        <w:b/>
                        <w:sz w:val="22"/>
                      </w:rPr>
                      <w:t>5%</w:t>
                    </w:r>
                    <w:r>
                      <w:rPr>
                        <w:rFonts w:ascii="Calibri"/>
                        <w:b/>
                        <w:spacing w:val="-3"/>
                        <w:sz w:val="22"/>
                      </w:rPr>
                      <w:t> </w:t>
                    </w:r>
                    <w:r>
                      <w:rPr>
                        <w:rFonts w:ascii="Calibri"/>
                        <w:b/>
                        <w:sz w:val="22"/>
                      </w:rPr>
                      <w:t>recorded</w:t>
                    </w:r>
                    <w:r>
                      <w:rPr>
                        <w:rFonts w:ascii="Calibri"/>
                        <w:b/>
                        <w:spacing w:val="-3"/>
                        <w:sz w:val="22"/>
                      </w:rPr>
                      <w:t> </w:t>
                    </w:r>
                    <w:r>
                      <w:rPr>
                        <w:rFonts w:ascii="Calibri"/>
                        <w:b/>
                        <w:sz w:val="22"/>
                      </w:rPr>
                      <w:t>Level</w:t>
                    </w:r>
                    <w:r>
                      <w:rPr>
                        <w:rFonts w:ascii="Calibri"/>
                        <w:b/>
                        <w:spacing w:val="-3"/>
                        <w:sz w:val="22"/>
                      </w:rPr>
                      <w:t> </w:t>
                    </w:r>
                    <w:r>
                      <w:rPr>
                        <w:rFonts w:ascii="Calibri"/>
                        <w:b/>
                        <w:spacing w:val="-10"/>
                        <w:sz w:val="22"/>
                      </w:rPr>
                      <w:t>1</w:t>
                    </w:r>
                  </w:p>
                </w:txbxContent>
              </v:textbox>
              <w10:wrap type="none"/>
            </v:shape>
            <v:shape style="position:absolute;left:3864;top:724;width:2876;height:621" type="#_x0000_t202" id="docshape871" filled="false" stroked="false">
              <v:textbox inset="0,0,0,0">
                <w:txbxContent>
                  <w:p>
                    <w:pPr>
                      <w:spacing w:line="224" w:lineRule="exact" w:before="0"/>
                      <w:ind w:left="0" w:right="0" w:firstLine="0"/>
                      <w:jc w:val="left"/>
                      <w:rPr>
                        <w:rFonts w:ascii="Calibri"/>
                        <w:b/>
                        <w:sz w:val="22"/>
                      </w:rPr>
                    </w:pPr>
                    <w:r>
                      <w:rPr>
                        <w:rFonts w:ascii="Calibri"/>
                        <w:b/>
                        <w:sz w:val="22"/>
                      </w:rPr>
                      <w:t>1%</w:t>
                    </w:r>
                    <w:r>
                      <w:rPr>
                        <w:rFonts w:ascii="Calibri"/>
                        <w:b/>
                        <w:spacing w:val="-3"/>
                        <w:sz w:val="22"/>
                      </w:rPr>
                      <w:t> </w:t>
                    </w:r>
                    <w:r>
                      <w:rPr>
                        <w:rFonts w:ascii="Calibri"/>
                        <w:b/>
                        <w:sz w:val="22"/>
                      </w:rPr>
                      <w:t>recorded</w:t>
                    </w:r>
                    <w:r>
                      <w:rPr>
                        <w:rFonts w:ascii="Calibri"/>
                        <w:b/>
                        <w:spacing w:val="-3"/>
                        <w:sz w:val="22"/>
                      </w:rPr>
                      <w:t> </w:t>
                    </w:r>
                    <w:r>
                      <w:rPr>
                        <w:rFonts w:ascii="Calibri"/>
                        <w:b/>
                        <w:sz w:val="22"/>
                      </w:rPr>
                      <w:t>Level</w:t>
                    </w:r>
                    <w:r>
                      <w:rPr>
                        <w:rFonts w:ascii="Calibri"/>
                        <w:b/>
                        <w:spacing w:val="-3"/>
                        <w:sz w:val="22"/>
                      </w:rPr>
                      <w:t> </w:t>
                    </w:r>
                    <w:r>
                      <w:rPr>
                        <w:rFonts w:ascii="Calibri"/>
                        <w:b/>
                        <w:spacing w:val="-10"/>
                        <w:sz w:val="22"/>
                      </w:rPr>
                      <w:t>4</w:t>
                    </w:r>
                  </w:p>
                  <w:p>
                    <w:pPr>
                      <w:spacing w:line="264" w:lineRule="exact" w:before="131"/>
                      <w:ind w:left="1026" w:right="0" w:firstLine="0"/>
                      <w:jc w:val="left"/>
                      <w:rPr>
                        <w:rFonts w:ascii="Calibri"/>
                        <w:b/>
                        <w:sz w:val="22"/>
                      </w:rPr>
                    </w:pPr>
                    <w:r>
                      <w:rPr>
                        <w:rFonts w:ascii="Calibri"/>
                        <w:b/>
                        <w:sz w:val="22"/>
                      </w:rPr>
                      <w:t>3%</w:t>
                    </w:r>
                    <w:r>
                      <w:rPr>
                        <w:rFonts w:ascii="Calibri"/>
                        <w:b/>
                        <w:spacing w:val="-3"/>
                        <w:sz w:val="22"/>
                      </w:rPr>
                      <w:t> </w:t>
                    </w:r>
                    <w:r>
                      <w:rPr>
                        <w:rFonts w:ascii="Calibri"/>
                        <w:b/>
                        <w:sz w:val="22"/>
                      </w:rPr>
                      <w:t>recorded</w:t>
                    </w:r>
                    <w:r>
                      <w:rPr>
                        <w:rFonts w:ascii="Calibri"/>
                        <w:b/>
                        <w:spacing w:val="-3"/>
                        <w:sz w:val="22"/>
                      </w:rPr>
                      <w:t> </w:t>
                    </w:r>
                    <w:r>
                      <w:rPr>
                        <w:rFonts w:ascii="Calibri"/>
                        <w:b/>
                        <w:sz w:val="22"/>
                      </w:rPr>
                      <w:t>Level</w:t>
                    </w:r>
                    <w:r>
                      <w:rPr>
                        <w:rFonts w:ascii="Calibri"/>
                        <w:b/>
                        <w:spacing w:val="-3"/>
                        <w:sz w:val="22"/>
                      </w:rPr>
                      <w:t> </w:t>
                    </w:r>
                    <w:r>
                      <w:rPr>
                        <w:rFonts w:ascii="Calibri"/>
                        <w:b/>
                        <w:spacing w:val="-10"/>
                        <w:sz w:val="22"/>
                      </w:rPr>
                      <w:t>5</w:t>
                    </w:r>
                  </w:p>
                </w:txbxContent>
              </v:textbox>
              <w10:wrap type="none"/>
            </v:shape>
            <v:shape style="position:absolute;left:4878;top:2544;width:2826;height:220" type="#_x0000_t202" id="docshape872" filled="false" stroked="false">
              <v:textbox inset="0,0,0,0">
                <w:txbxContent>
                  <w:p>
                    <w:pPr>
                      <w:spacing w:line="220" w:lineRule="exact" w:before="0"/>
                      <w:ind w:left="0" w:right="0" w:firstLine="0"/>
                      <w:jc w:val="left"/>
                      <w:rPr>
                        <w:rFonts w:ascii="Calibri"/>
                        <w:b/>
                        <w:sz w:val="22"/>
                      </w:rPr>
                    </w:pPr>
                    <w:r>
                      <w:rPr>
                        <w:rFonts w:ascii="Calibri"/>
                        <w:b/>
                        <w:color w:val="FFFFFF"/>
                        <w:sz w:val="22"/>
                      </w:rPr>
                      <w:t>38%</w:t>
                    </w:r>
                    <w:r>
                      <w:rPr>
                        <w:rFonts w:ascii="Calibri"/>
                        <w:b/>
                        <w:color w:val="FFFFFF"/>
                        <w:spacing w:val="-2"/>
                        <w:sz w:val="22"/>
                      </w:rPr>
                      <w:t> </w:t>
                    </w:r>
                    <w:r>
                      <w:rPr>
                        <w:rFonts w:ascii="Calibri"/>
                        <w:b/>
                        <w:color w:val="FFFFFF"/>
                        <w:sz w:val="22"/>
                      </w:rPr>
                      <w:t>of</w:t>
                    </w:r>
                    <w:r>
                      <w:rPr>
                        <w:rFonts w:ascii="Calibri"/>
                        <w:b/>
                        <w:color w:val="FFFFFF"/>
                        <w:spacing w:val="-2"/>
                        <w:sz w:val="22"/>
                      </w:rPr>
                      <w:t> </w:t>
                    </w:r>
                    <w:r>
                      <w:rPr>
                        <w:rFonts w:ascii="Calibri"/>
                        <w:b/>
                        <w:color w:val="FFFFFF"/>
                        <w:sz w:val="22"/>
                      </w:rPr>
                      <w:t>staff</w:t>
                    </w:r>
                    <w:r>
                      <w:rPr>
                        <w:rFonts w:ascii="Calibri"/>
                        <w:b/>
                        <w:color w:val="FFFFFF"/>
                        <w:spacing w:val="-1"/>
                        <w:sz w:val="22"/>
                      </w:rPr>
                      <w:t> </w:t>
                    </w:r>
                    <w:r>
                      <w:rPr>
                        <w:rFonts w:ascii="Calibri"/>
                        <w:b/>
                        <w:color w:val="FFFFFF"/>
                        <w:sz w:val="22"/>
                      </w:rPr>
                      <w:t>didn't</w:t>
                    </w:r>
                    <w:r>
                      <w:rPr>
                        <w:rFonts w:ascii="Calibri"/>
                        <w:b/>
                        <w:color w:val="FFFFFF"/>
                        <w:spacing w:val="-2"/>
                        <w:sz w:val="22"/>
                      </w:rPr>
                      <w:t> </w:t>
                    </w:r>
                    <w:r>
                      <w:rPr>
                        <w:rFonts w:ascii="Calibri"/>
                        <w:b/>
                        <w:color w:val="FFFFFF"/>
                        <w:sz w:val="22"/>
                      </w:rPr>
                      <w:t>record</w:t>
                    </w:r>
                    <w:r>
                      <w:rPr>
                        <w:rFonts w:ascii="Calibri"/>
                        <w:b/>
                        <w:color w:val="FFFFFF"/>
                        <w:spacing w:val="-2"/>
                        <w:sz w:val="22"/>
                      </w:rPr>
                      <w:t> skills</w:t>
                    </w:r>
                  </w:p>
                </w:txbxContent>
              </v:textbox>
              <w10:wrap type="none"/>
            </v:shape>
            <v:shape style="position:absolute;left:1704;top:4163;width:3559;height:220" type="#_x0000_t202" id="docshape873" filled="false" stroked="false">
              <v:textbox inset="0,0,0,0">
                <w:txbxContent>
                  <w:p>
                    <w:pPr>
                      <w:spacing w:line="220" w:lineRule="exact" w:before="0"/>
                      <w:ind w:left="0" w:right="0" w:firstLine="0"/>
                      <w:jc w:val="left"/>
                      <w:rPr>
                        <w:rFonts w:ascii="Calibri"/>
                        <w:b/>
                        <w:sz w:val="22"/>
                      </w:rPr>
                    </w:pPr>
                    <w:r>
                      <w:rPr>
                        <w:rFonts w:ascii="Calibri"/>
                        <w:b/>
                        <w:color w:val="FFFFFF"/>
                        <w:sz w:val="22"/>
                      </w:rPr>
                      <w:t>49%</w:t>
                    </w:r>
                    <w:r>
                      <w:rPr>
                        <w:rFonts w:ascii="Calibri"/>
                        <w:b/>
                        <w:color w:val="FFFFFF"/>
                        <w:spacing w:val="-2"/>
                        <w:sz w:val="22"/>
                      </w:rPr>
                      <w:t> </w:t>
                    </w:r>
                    <w:r>
                      <w:rPr>
                        <w:rFonts w:ascii="Calibri"/>
                        <w:b/>
                        <w:color w:val="FFFFFF"/>
                        <w:sz w:val="22"/>
                      </w:rPr>
                      <w:t>of</w:t>
                    </w:r>
                    <w:r>
                      <w:rPr>
                        <w:rFonts w:ascii="Calibri"/>
                        <w:b/>
                        <w:color w:val="FFFFFF"/>
                        <w:spacing w:val="-1"/>
                        <w:sz w:val="22"/>
                      </w:rPr>
                      <w:t> </w:t>
                    </w:r>
                    <w:r>
                      <w:rPr>
                        <w:rFonts w:ascii="Calibri"/>
                        <w:b/>
                        <w:color w:val="FFFFFF"/>
                        <w:sz w:val="22"/>
                      </w:rPr>
                      <w:t>recorded</w:t>
                    </w:r>
                    <w:r>
                      <w:rPr>
                        <w:rFonts w:ascii="Calibri"/>
                        <w:b/>
                        <w:color w:val="FFFFFF"/>
                        <w:spacing w:val="-2"/>
                        <w:sz w:val="22"/>
                      </w:rPr>
                      <w:t> </w:t>
                    </w:r>
                    <w:r>
                      <w:rPr>
                        <w:rFonts w:ascii="Calibri"/>
                        <w:b/>
                        <w:color w:val="FFFFFF"/>
                        <w:sz w:val="22"/>
                      </w:rPr>
                      <w:t>Level</w:t>
                    </w:r>
                    <w:r>
                      <w:rPr>
                        <w:rFonts w:ascii="Calibri"/>
                        <w:b/>
                        <w:color w:val="FFFFFF"/>
                        <w:spacing w:val="47"/>
                        <w:sz w:val="22"/>
                      </w:rPr>
                      <w:t> </w:t>
                    </w:r>
                    <w:r>
                      <w:rPr>
                        <w:rFonts w:ascii="Calibri"/>
                        <w:b/>
                        <w:color w:val="FFFFFF"/>
                        <w:sz w:val="22"/>
                      </w:rPr>
                      <w:t>skills</w:t>
                    </w:r>
                    <w:r>
                      <w:rPr>
                        <w:rFonts w:ascii="Calibri"/>
                        <w:b/>
                        <w:color w:val="FFFFFF"/>
                        <w:spacing w:val="-1"/>
                        <w:sz w:val="22"/>
                      </w:rPr>
                      <w:t> </w:t>
                    </w:r>
                    <w:r>
                      <w:rPr>
                        <w:rFonts w:ascii="Calibri"/>
                        <w:b/>
                        <w:color w:val="FFFFFF"/>
                        <w:sz w:val="22"/>
                      </w:rPr>
                      <w:t>in</w:t>
                    </w:r>
                    <w:r>
                      <w:rPr>
                        <w:rFonts w:ascii="Calibri"/>
                        <w:b/>
                        <w:color w:val="FFFFFF"/>
                        <w:spacing w:val="-2"/>
                        <w:sz w:val="22"/>
                      </w:rPr>
                      <w:t> writing.</w:t>
                    </w:r>
                  </w:p>
                </w:txbxContent>
              </v:textbox>
              <w10:wrap type="none"/>
            </v:shape>
          </v:group>
        </w:pict>
      </w:r>
      <w:r>
        <w:rPr>
          <w:rFonts w:ascii="Calibri"/>
          <w:sz w:val="20"/>
        </w:rPr>
      </w:r>
    </w:p>
    <w:p>
      <w:pPr>
        <w:pStyle w:val="BodyText"/>
        <w:spacing w:before="10"/>
        <w:rPr>
          <w:rFonts w:ascii="Calibri"/>
          <w:sz w:val="19"/>
        </w:rPr>
      </w:pPr>
    </w:p>
    <w:p>
      <w:pPr>
        <w:pStyle w:val="Heading5"/>
        <w:spacing w:before="36"/>
      </w:pPr>
      <w:r>
        <w:rPr/>
        <w:t>New</w:t>
      </w:r>
      <w:r>
        <w:rPr>
          <w:spacing w:val="-1"/>
        </w:rPr>
        <w:t> </w:t>
      </w:r>
      <w:r>
        <w:rPr/>
        <w:t>and</w:t>
      </w:r>
      <w:r>
        <w:rPr>
          <w:spacing w:val="-2"/>
        </w:rPr>
        <w:t> </w:t>
      </w:r>
      <w:r>
        <w:rPr/>
        <w:t>vacant</w:t>
      </w:r>
      <w:r>
        <w:rPr>
          <w:spacing w:val="-1"/>
        </w:rPr>
        <w:t> </w:t>
      </w:r>
      <w:r>
        <w:rPr>
          <w:spacing w:val="-2"/>
        </w:rPr>
        <w:t>posts:</w:t>
      </w:r>
    </w:p>
    <w:p>
      <w:pPr>
        <w:spacing w:before="31"/>
        <w:ind w:left="1440" w:right="0" w:firstLine="0"/>
        <w:jc w:val="left"/>
        <w:rPr>
          <w:rFonts w:ascii="Calibri"/>
          <w:sz w:val="22"/>
        </w:rPr>
      </w:pPr>
      <w:r>
        <w:rPr>
          <w:rFonts w:ascii="Calibri"/>
          <w:sz w:val="22"/>
        </w:rPr>
        <w:t>The</w:t>
      </w:r>
      <w:r>
        <w:rPr>
          <w:rFonts w:ascii="Calibri"/>
          <w:spacing w:val="-3"/>
          <w:sz w:val="22"/>
        </w:rPr>
        <w:t> </w:t>
      </w:r>
      <w:r>
        <w:rPr>
          <w:rFonts w:ascii="Calibri"/>
          <w:sz w:val="22"/>
        </w:rPr>
        <w:t>table</w:t>
      </w:r>
      <w:r>
        <w:rPr>
          <w:rFonts w:ascii="Calibri"/>
          <w:spacing w:val="-2"/>
          <w:sz w:val="22"/>
        </w:rPr>
        <w:t> </w:t>
      </w:r>
      <w:r>
        <w:rPr>
          <w:rFonts w:ascii="Calibri"/>
          <w:sz w:val="22"/>
        </w:rPr>
        <w:t>below</w:t>
      </w:r>
      <w:r>
        <w:rPr>
          <w:rFonts w:ascii="Calibri"/>
          <w:spacing w:val="-2"/>
          <w:sz w:val="22"/>
        </w:rPr>
        <w:t> </w:t>
      </w:r>
      <w:r>
        <w:rPr>
          <w:rFonts w:ascii="Calibri"/>
          <w:sz w:val="22"/>
        </w:rPr>
        <w:t>details</w:t>
      </w:r>
      <w:r>
        <w:rPr>
          <w:rFonts w:ascii="Calibri"/>
          <w:spacing w:val="-2"/>
          <w:sz w:val="22"/>
        </w:rPr>
        <w:t> </w:t>
      </w:r>
      <w:r>
        <w:rPr>
          <w:rFonts w:ascii="Calibri"/>
          <w:sz w:val="22"/>
        </w:rPr>
        <w:t>posts</w:t>
      </w:r>
      <w:r>
        <w:rPr>
          <w:rFonts w:ascii="Calibri"/>
          <w:spacing w:val="-1"/>
          <w:sz w:val="22"/>
        </w:rPr>
        <w:t> </w:t>
      </w:r>
      <w:r>
        <w:rPr>
          <w:rFonts w:ascii="Calibri"/>
          <w:sz w:val="22"/>
        </w:rPr>
        <w:t>that</w:t>
      </w:r>
      <w:r>
        <w:rPr>
          <w:rFonts w:ascii="Calibri"/>
          <w:spacing w:val="-2"/>
          <w:sz w:val="22"/>
        </w:rPr>
        <w:t> </w:t>
      </w:r>
      <w:r>
        <w:rPr>
          <w:rFonts w:ascii="Calibri"/>
          <w:sz w:val="22"/>
        </w:rPr>
        <w:t>were</w:t>
      </w:r>
      <w:r>
        <w:rPr>
          <w:rFonts w:ascii="Calibri"/>
          <w:spacing w:val="-1"/>
          <w:sz w:val="22"/>
        </w:rPr>
        <w:t> </w:t>
      </w:r>
      <w:r>
        <w:rPr>
          <w:rFonts w:ascii="Calibri"/>
          <w:sz w:val="22"/>
        </w:rPr>
        <w:t>advertised</w:t>
      </w:r>
      <w:r>
        <w:rPr>
          <w:rFonts w:ascii="Calibri"/>
          <w:spacing w:val="-2"/>
          <w:sz w:val="22"/>
        </w:rPr>
        <w:t> </w:t>
      </w:r>
      <w:r>
        <w:rPr>
          <w:rFonts w:ascii="Calibri"/>
          <w:sz w:val="22"/>
        </w:rPr>
        <w:t>between</w:t>
      </w:r>
      <w:r>
        <w:rPr>
          <w:rFonts w:ascii="Calibri"/>
          <w:spacing w:val="-1"/>
          <w:sz w:val="22"/>
        </w:rPr>
        <w:t> </w:t>
      </w:r>
      <w:r>
        <w:rPr>
          <w:rFonts w:ascii="Calibri"/>
          <w:sz w:val="22"/>
        </w:rPr>
        <w:t>1</w:t>
      </w:r>
      <w:r>
        <w:rPr>
          <w:rFonts w:ascii="Calibri"/>
          <w:sz w:val="22"/>
          <w:vertAlign w:val="superscript"/>
        </w:rPr>
        <w:t>st</w:t>
      </w:r>
      <w:r>
        <w:rPr>
          <w:rFonts w:ascii="Calibri"/>
          <w:spacing w:val="-2"/>
          <w:sz w:val="22"/>
          <w:vertAlign w:val="baseline"/>
        </w:rPr>
        <w:t> </w:t>
      </w:r>
      <w:r>
        <w:rPr>
          <w:rFonts w:ascii="Calibri"/>
          <w:sz w:val="22"/>
          <w:vertAlign w:val="baseline"/>
        </w:rPr>
        <w:t>of</w:t>
      </w:r>
      <w:r>
        <w:rPr>
          <w:rFonts w:ascii="Calibri"/>
          <w:spacing w:val="-1"/>
          <w:sz w:val="22"/>
          <w:vertAlign w:val="baseline"/>
        </w:rPr>
        <w:t> </w:t>
      </w:r>
      <w:r>
        <w:rPr>
          <w:rFonts w:ascii="Calibri"/>
          <w:sz w:val="22"/>
          <w:vertAlign w:val="baseline"/>
        </w:rPr>
        <w:t>April</w:t>
      </w:r>
      <w:r>
        <w:rPr>
          <w:rFonts w:ascii="Calibri"/>
          <w:spacing w:val="-3"/>
          <w:sz w:val="22"/>
          <w:vertAlign w:val="baseline"/>
        </w:rPr>
        <w:t> </w:t>
      </w:r>
      <w:r>
        <w:rPr>
          <w:rFonts w:ascii="Calibri"/>
          <w:sz w:val="22"/>
          <w:vertAlign w:val="baseline"/>
        </w:rPr>
        <w:t>2021</w:t>
      </w:r>
      <w:r>
        <w:rPr>
          <w:rFonts w:ascii="Calibri"/>
          <w:spacing w:val="-1"/>
          <w:sz w:val="22"/>
          <w:vertAlign w:val="baseline"/>
        </w:rPr>
        <w:t> </w:t>
      </w:r>
      <w:r>
        <w:rPr>
          <w:rFonts w:ascii="Calibri"/>
          <w:sz w:val="22"/>
          <w:vertAlign w:val="baseline"/>
        </w:rPr>
        <w:t>and</w:t>
      </w:r>
      <w:r>
        <w:rPr>
          <w:rFonts w:ascii="Calibri"/>
          <w:spacing w:val="-2"/>
          <w:sz w:val="22"/>
          <w:vertAlign w:val="baseline"/>
        </w:rPr>
        <w:t> </w:t>
      </w:r>
      <w:r>
        <w:rPr>
          <w:rFonts w:ascii="Calibri"/>
          <w:sz w:val="22"/>
          <w:vertAlign w:val="baseline"/>
        </w:rPr>
        <w:t>31</w:t>
      </w:r>
      <w:r>
        <w:rPr>
          <w:rFonts w:ascii="Calibri"/>
          <w:sz w:val="22"/>
          <w:vertAlign w:val="superscript"/>
        </w:rPr>
        <w:t>st</w:t>
      </w:r>
      <w:r>
        <w:rPr>
          <w:rFonts w:ascii="Calibri"/>
          <w:spacing w:val="-1"/>
          <w:sz w:val="22"/>
          <w:vertAlign w:val="baseline"/>
        </w:rPr>
        <w:t> </w:t>
      </w:r>
      <w:r>
        <w:rPr>
          <w:rFonts w:ascii="Calibri"/>
          <w:sz w:val="22"/>
          <w:vertAlign w:val="baseline"/>
        </w:rPr>
        <w:t>of</w:t>
      </w:r>
      <w:r>
        <w:rPr>
          <w:rFonts w:ascii="Calibri"/>
          <w:spacing w:val="-2"/>
          <w:sz w:val="22"/>
          <w:vertAlign w:val="baseline"/>
        </w:rPr>
        <w:t> </w:t>
      </w:r>
      <w:r>
        <w:rPr>
          <w:rFonts w:ascii="Calibri"/>
          <w:sz w:val="22"/>
          <w:vertAlign w:val="baseline"/>
        </w:rPr>
        <w:t>March</w:t>
      </w:r>
      <w:r>
        <w:rPr>
          <w:rFonts w:ascii="Calibri"/>
          <w:spacing w:val="-1"/>
          <w:sz w:val="22"/>
          <w:vertAlign w:val="baseline"/>
        </w:rPr>
        <w:t> </w:t>
      </w:r>
      <w:r>
        <w:rPr>
          <w:rFonts w:ascii="Calibri"/>
          <w:spacing w:val="-2"/>
          <w:sz w:val="22"/>
          <w:vertAlign w:val="baseline"/>
        </w:rPr>
        <w:t>2022:</w:t>
      </w:r>
    </w:p>
    <w:p>
      <w:pPr>
        <w:pStyle w:val="BodyText"/>
        <w:spacing w:before="10"/>
        <w:rPr>
          <w:rFonts w:ascii="Calibri"/>
          <w:sz w:val="14"/>
        </w:rPr>
      </w:pPr>
    </w:p>
    <w:tbl>
      <w:tblPr>
        <w:tblW w:w="0" w:type="auto"/>
        <w:jc w:val="left"/>
        <w:tblInd w:w="14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792"/>
        <w:gridCol w:w="1275"/>
      </w:tblGrid>
      <w:tr>
        <w:trPr>
          <w:trHeight w:val="287" w:hRule="atLeast"/>
        </w:trPr>
        <w:tc>
          <w:tcPr>
            <w:tcW w:w="7792" w:type="dxa"/>
            <w:shd w:val="clear" w:color="auto" w:fill="D6DCE4"/>
          </w:tcPr>
          <w:p>
            <w:pPr>
              <w:pStyle w:val="TableParagraph"/>
              <w:spacing w:line="258" w:lineRule="exact" w:before="9"/>
              <w:ind w:left="108"/>
              <w:rPr>
                <w:rFonts w:ascii="Calibri"/>
                <w:sz w:val="22"/>
              </w:rPr>
            </w:pPr>
            <w:r>
              <w:rPr>
                <w:rFonts w:ascii="Calibri"/>
                <w:sz w:val="22"/>
              </w:rPr>
              <w:t>Total</w:t>
            </w:r>
            <w:r>
              <w:rPr>
                <w:rFonts w:ascii="Calibri"/>
                <w:spacing w:val="-1"/>
                <w:sz w:val="22"/>
              </w:rPr>
              <w:t> </w:t>
            </w:r>
            <w:r>
              <w:rPr>
                <w:rFonts w:ascii="Calibri"/>
                <w:sz w:val="22"/>
              </w:rPr>
              <w:t>Number</w:t>
            </w:r>
            <w:r>
              <w:rPr>
                <w:rFonts w:ascii="Calibri"/>
                <w:spacing w:val="-2"/>
                <w:sz w:val="22"/>
              </w:rPr>
              <w:t> </w:t>
            </w:r>
            <w:r>
              <w:rPr>
                <w:rFonts w:ascii="Calibri"/>
                <w:sz w:val="22"/>
              </w:rPr>
              <w:t>of</w:t>
            </w:r>
            <w:r>
              <w:rPr>
                <w:rFonts w:ascii="Calibri"/>
                <w:spacing w:val="-1"/>
                <w:sz w:val="22"/>
              </w:rPr>
              <w:t> </w:t>
            </w:r>
            <w:r>
              <w:rPr>
                <w:rFonts w:ascii="Calibri"/>
                <w:sz w:val="22"/>
              </w:rPr>
              <w:t>vacancies</w:t>
            </w:r>
            <w:r>
              <w:rPr>
                <w:rFonts w:ascii="Calibri"/>
                <w:spacing w:val="-1"/>
                <w:sz w:val="22"/>
              </w:rPr>
              <w:t> </w:t>
            </w:r>
            <w:r>
              <w:rPr>
                <w:rFonts w:ascii="Calibri"/>
                <w:sz w:val="22"/>
              </w:rPr>
              <w:t>advertised</w:t>
            </w:r>
            <w:r>
              <w:rPr>
                <w:rFonts w:ascii="Calibri"/>
                <w:spacing w:val="-2"/>
                <w:sz w:val="22"/>
              </w:rPr>
              <w:t> </w:t>
            </w:r>
            <w:r>
              <w:rPr>
                <w:rFonts w:ascii="Calibri"/>
                <w:sz w:val="22"/>
              </w:rPr>
              <w:t>01/04/2020</w:t>
            </w:r>
            <w:r>
              <w:rPr>
                <w:rFonts w:ascii="Calibri"/>
                <w:spacing w:val="-1"/>
                <w:sz w:val="22"/>
              </w:rPr>
              <w:t> </w:t>
            </w:r>
            <w:r>
              <w:rPr>
                <w:rFonts w:ascii="Calibri"/>
                <w:sz w:val="22"/>
              </w:rPr>
              <w:t>to</w:t>
            </w:r>
            <w:r>
              <w:rPr>
                <w:rFonts w:ascii="Calibri"/>
                <w:spacing w:val="-1"/>
                <w:sz w:val="22"/>
              </w:rPr>
              <w:t> </w:t>
            </w:r>
            <w:r>
              <w:rPr>
                <w:rFonts w:ascii="Calibri"/>
                <w:spacing w:val="-2"/>
                <w:sz w:val="22"/>
              </w:rPr>
              <w:t>31/03/2021</w:t>
            </w:r>
          </w:p>
        </w:tc>
        <w:tc>
          <w:tcPr>
            <w:tcW w:w="1275" w:type="dxa"/>
            <w:shd w:val="clear" w:color="auto" w:fill="D6DCE4"/>
          </w:tcPr>
          <w:p>
            <w:pPr>
              <w:pStyle w:val="TableParagraph"/>
              <w:spacing w:line="249" w:lineRule="exact" w:before="19"/>
              <w:ind w:right="95"/>
              <w:jc w:val="right"/>
              <w:rPr>
                <w:rFonts w:ascii="Calibri"/>
                <w:sz w:val="22"/>
              </w:rPr>
            </w:pPr>
            <w:r>
              <w:rPr>
                <w:rFonts w:ascii="Calibri"/>
                <w:spacing w:val="-5"/>
                <w:sz w:val="22"/>
              </w:rPr>
              <w:t>735</w:t>
            </w:r>
          </w:p>
        </w:tc>
      </w:tr>
      <w:tr>
        <w:trPr>
          <w:trHeight w:val="287" w:hRule="atLeast"/>
        </w:trPr>
        <w:tc>
          <w:tcPr>
            <w:tcW w:w="7792" w:type="dxa"/>
            <w:shd w:val="clear" w:color="auto" w:fill="9CC2E5"/>
          </w:tcPr>
          <w:p>
            <w:pPr>
              <w:pStyle w:val="TableParagraph"/>
              <w:spacing w:line="258" w:lineRule="exact" w:before="9"/>
              <w:ind w:left="108"/>
              <w:rPr>
                <w:rFonts w:ascii="Calibri"/>
                <w:sz w:val="22"/>
              </w:rPr>
            </w:pPr>
            <w:r>
              <w:rPr>
                <w:rFonts w:ascii="Calibri"/>
                <w:sz w:val="22"/>
              </w:rPr>
              <w:t>Total</w:t>
            </w:r>
            <w:r>
              <w:rPr>
                <w:rFonts w:ascii="Calibri"/>
                <w:spacing w:val="-4"/>
                <w:sz w:val="22"/>
              </w:rPr>
              <w:t> </w:t>
            </w:r>
            <w:r>
              <w:rPr>
                <w:rFonts w:ascii="Calibri"/>
                <w:sz w:val="22"/>
              </w:rPr>
              <w:t>Number</w:t>
            </w:r>
            <w:r>
              <w:rPr>
                <w:rFonts w:ascii="Calibri"/>
                <w:spacing w:val="-1"/>
                <w:sz w:val="22"/>
              </w:rPr>
              <w:t> </w:t>
            </w:r>
            <w:r>
              <w:rPr>
                <w:rFonts w:ascii="Calibri"/>
                <w:sz w:val="22"/>
              </w:rPr>
              <w:t>of</w:t>
            </w:r>
            <w:r>
              <w:rPr>
                <w:rFonts w:ascii="Calibri"/>
                <w:spacing w:val="-2"/>
                <w:sz w:val="22"/>
              </w:rPr>
              <w:t> </w:t>
            </w:r>
            <w:r>
              <w:rPr>
                <w:rFonts w:ascii="Calibri"/>
                <w:sz w:val="22"/>
              </w:rPr>
              <w:t>vacancies</w:t>
            </w:r>
            <w:r>
              <w:rPr>
                <w:rFonts w:ascii="Calibri"/>
                <w:spacing w:val="-1"/>
                <w:sz w:val="22"/>
              </w:rPr>
              <w:t> </w:t>
            </w:r>
            <w:r>
              <w:rPr>
                <w:rFonts w:ascii="Calibri"/>
                <w:sz w:val="22"/>
              </w:rPr>
              <w:t>advertised</w:t>
            </w:r>
            <w:r>
              <w:rPr>
                <w:rFonts w:ascii="Calibri"/>
                <w:spacing w:val="-2"/>
                <w:sz w:val="22"/>
              </w:rPr>
              <w:t> </w:t>
            </w:r>
            <w:r>
              <w:rPr>
                <w:rFonts w:ascii="Calibri"/>
                <w:sz w:val="22"/>
              </w:rPr>
              <w:t>as</w:t>
            </w:r>
            <w:r>
              <w:rPr>
                <w:rFonts w:ascii="Calibri"/>
                <w:spacing w:val="-2"/>
                <w:sz w:val="22"/>
              </w:rPr>
              <w:t> </w:t>
            </w:r>
            <w:r>
              <w:rPr>
                <w:rFonts w:ascii="Calibri"/>
                <w:sz w:val="22"/>
              </w:rPr>
              <w:t>Welsh</w:t>
            </w:r>
            <w:r>
              <w:rPr>
                <w:rFonts w:ascii="Calibri"/>
                <w:spacing w:val="-2"/>
                <w:sz w:val="22"/>
              </w:rPr>
              <w:t> Essential</w:t>
            </w:r>
          </w:p>
        </w:tc>
        <w:tc>
          <w:tcPr>
            <w:tcW w:w="1275" w:type="dxa"/>
            <w:shd w:val="clear" w:color="auto" w:fill="9CC2E5"/>
          </w:tcPr>
          <w:p>
            <w:pPr>
              <w:pStyle w:val="TableParagraph"/>
              <w:spacing w:line="249" w:lineRule="exact" w:before="19"/>
              <w:ind w:right="97"/>
              <w:jc w:val="right"/>
              <w:rPr>
                <w:rFonts w:ascii="Calibri"/>
                <w:sz w:val="22"/>
              </w:rPr>
            </w:pPr>
            <w:r>
              <w:rPr>
                <w:rFonts w:ascii="Calibri"/>
                <w:sz w:val="22"/>
              </w:rPr>
              <w:t>8</w:t>
            </w:r>
          </w:p>
        </w:tc>
      </w:tr>
      <w:tr>
        <w:trPr>
          <w:trHeight w:val="287" w:hRule="atLeast"/>
        </w:trPr>
        <w:tc>
          <w:tcPr>
            <w:tcW w:w="7792" w:type="dxa"/>
            <w:shd w:val="clear" w:color="auto" w:fill="BDD6EE"/>
          </w:tcPr>
          <w:p>
            <w:pPr>
              <w:pStyle w:val="TableParagraph"/>
              <w:spacing w:line="258" w:lineRule="exact" w:before="9"/>
              <w:ind w:left="108"/>
              <w:rPr>
                <w:rFonts w:ascii="Calibri"/>
                <w:sz w:val="22"/>
              </w:rPr>
            </w:pPr>
            <w:r>
              <w:rPr>
                <w:rFonts w:ascii="Calibri"/>
                <w:sz w:val="22"/>
              </w:rPr>
              <w:t>Total</w:t>
            </w:r>
            <w:r>
              <w:rPr>
                <w:rFonts w:ascii="Calibri"/>
                <w:spacing w:val="-2"/>
                <w:sz w:val="22"/>
              </w:rPr>
              <w:t> </w:t>
            </w:r>
            <w:r>
              <w:rPr>
                <w:rFonts w:ascii="Calibri"/>
                <w:sz w:val="22"/>
              </w:rPr>
              <w:t>Number</w:t>
            </w:r>
            <w:r>
              <w:rPr>
                <w:rFonts w:ascii="Calibri"/>
                <w:spacing w:val="-1"/>
                <w:sz w:val="22"/>
              </w:rPr>
              <w:t> </w:t>
            </w:r>
            <w:r>
              <w:rPr>
                <w:rFonts w:ascii="Calibri"/>
                <w:sz w:val="22"/>
              </w:rPr>
              <w:t>of</w:t>
            </w:r>
            <w:r>
              <w:rPr>
                <w:rFonts w:ascii="Calibri"/>
                <w:spacing w:val="-2"/>
                <w:sz w:val="22"/>
              </w:rPr>
              <w:t> </w:t>
            </w:r>
            <w:r>
              <w:rPr>
                <w:rFonts w:ascii="Calibri"/>
                <w:sz w:val="22"/>
              </w:rPr>
              <w:t>vacancies</w:t>
            </w:r>
            <w:r>
              <w:rPr>
                <w:rFonts w:ascii="Calibri"/>
                <w:spacing w:val="-1"/>
                <w:sz w:val="22"/>
              </w:rPr>
              <w:t> </w:t>
            </w:r>
            <w:r>
              <w:rPr>
                <w:rFonts w:ascii="Calibri"/>
                <w:sz w:val="22"/>
              </w:rPr>
              <w:t>advertised</w:t>
            </w:r>
            <w:r>
              <w:rPr>
                <w:rFonts w:ascii="Calibri"/>
                <w:spacing w:val="-2"/>
                <w:sz w:val="22"/>
              </w:rPr>
              <w:t> </w:t>
            </w:r>
            <w:r>
              <w:rPr>
                <w:rFonts w:ascii="Calibri"/>
                <w:sz w:val="22"/>
              </w:rPr>
              <w:t>as</w:t>
            </w:r>
            <w:r>
              <w:rPr>
                <w:rFonts w:ascii="Calibri"/>
                <w:spacing w:val="-2"/>
                <w:sz w:val="22"/>
              </w:rPr>
              <w:t> </w:t>
            </w:r>
            <w:r>
              <w:rPr>
                <w:rFonts w:ascii="Calibri"/>
                <w:sz w:val="22"/>
              </w:rPr>
              <w:t>Welsh</w:t>
            </w:r>
            <w:r>
              <w:rPr>
                <w:rFonts w:ascii="Calibri"/>
                <w:spacing w:val="-2"/>
                <w:sz w:val="22"/>
              </w:rPr>
              <w:t> Desirable</w:t>
            </w:r>
          </w:p>
        </w:tc>
        <w:tc>
          <w:tcPr>
            <w:tcW w:w="1275" w:type="dxa"/>
            <w:shd w:val="clear" w:color="auto" w:fill="BDD6EE"/>
          </w:tcPr>
          <w:p>
            <w:pPr>
              <w:pStyle w:val="TableParagraph"/>
              <w:spacing w:line="249" w:lineRule="exact" w:before="19"/>
              <w:ind w:right="95"/>
              <w:jc w:val="right"/>
              <w:rPr>
                <w:rFonts w:ascii="Calibri"/>
                <w:sz w:val="22"/>
              </w:rPr>
            </w:pPr>
            <w:r>
              <w:rPr>
                <w:rFonts w:ascii="Calibri"/>
                <w:spacing w:val="-5"/>
                <w:sz w:val="22"/>
              </w:rPr>
              <w:t>682</w:t>
            </w:r>
          </w:p>
        </w:tc>
      </w:tr>
      <w:tr>
        <w:trPr>
          <w:trHeight w:val="288" w:hRule="atLeast"/>
        </w:trPr>
        <w:tc>
          <w:tcPr>
            <w:tcW w:w="7792" w:type="dxa"/>
            <w:shd w:val="clear" w:color="auto" w:fill="DEEBF5"/>
          </w:tcPr>
          <w:p>
            <w:pPr>
              <w:pStyle w:val="TableParagraph"/>
              <w:spacing w:line="258" w:lineRule="exact" w:before="9"/>
              <w:ind w:left="108"/>
              <w:rPr>
                <w:rFonts w:ascii="Calibri"/>
                <w:sz w:val="22"/>
              </w:rPr>
            </w:pPr>
            <w:r>
              <w:rPr>
                <w:rFonts w:ascii="Calibri"/>
                <w:sz w:val="22"/>
              </w:rPr>
              <w:t>Total</w:t>
            </w:r>
            <w:r>
              <w:rPr>
                <w:rFonts w:ascii="Calibri"/>
                <w:spacing w:val="-2"/>
                <w:sz w:val="22"/>
              </w:rPr>
              <w:t> </w:t>
            </w:r>
            <w:r>
              <w:rPr>
                <w:rFonts w:ascii="Calibri"/>
                <w:sz w:val="22"/>
              </w:rPr>
              <w:t>Number</w:t>
            </w:r>
            <w:r>
              <w:rPr>
                <w:rFonts w:ascii="Calibri"/>
                <w:spacing w:val="-1"/>
                <w:sz w:val="22"/>
              </w:rPr>
              <w:t> </w:t>
            </w:r>
            <w:r>
              <w:rPr>
                <w:rFonts w:ascii="Calibri"/>
                <w:sz w:val="22"/>
              </w:rPr>
              <w:t>of</w:t>
            </w:r>
            <w:r>
              <w:rPr>
                <w:rFonts w:ascii="Calibri"/>
                <w:spacing w:val="-2"/>
                <w:sz w:val="22"/>
              </w:rPr>
              <w:t> </w:t>
            </w:r>
            <w:r>
              <w:rPr>
                <w:rFonts w:ascii="Calibri"/>
                <w:sz w:val="22"/>
              </w:rPr>
              <w:t>vacancies</w:t>
            </w:r>
            <w:r>
              <w:rPr>
                <w:rFonts w:ascii="Calibri"/>
                <w:spacing w:val="-1"/>
                <w:sz w:val="22"/>
              </w:rPr>
              <w:t> </w:t>
            </w:r>
            <w:r>
              <w:rPr>
                <w:rFonts w:ascii="Calibri"/>
                <w:sz w:val="22"/>
              </w:rPr>
              <w:t>advertised</w:t>
            </w:r>
            <w:r>
              <w:rPr>
                <w:rFonts w:ascii="Calibri"/>
                <w:spacing w:val="-2"/>
                <w:sz w:val="22"/>
              </w:rPr>
              <w:t> </w:t>
            </w:r>
            <w:r>
              <w:rPr>
                <w:rFonts w:ascii="Calibri"/>
                <w:sz w:val="22"/>
              </w:rPr>
              <w:t>as</w:t>
            </w:r>
            <w:r>
              <w:rPr>
                <w:rFonts w:ascii="Calibri"/>
                <w:spacing w:val="-2"/>
                <w:sz w:val="22"/>
              </w:rPr>
              <w:t> </w:t>
            </w:r>
            <w:r>
              <w:rPr>
                <w:rFonts w:ascii="Calibri"/>
                <w:sz w:val="22"/>
              </w:rPr>
              <w:t>Welsh</w:t>
            </w:r>
            <w:r>
              <w:rPr>
                <w:rFonts w:ascii="Calibri"/>
                <w:spacing w:val="-2"/>
                <w:sz w:val="22"/>
              </w:rPr>
              <w:t> </w:t>
            </w:r>
            <w:r>
              <w:rPr>
                <w:rFonts w:ascii="Calibri"/>
                <w:sz w:val="22"/>
              </w:rPr>
              <w:t>Needs</w:t>
            </w:r>
            <w:r>
              <w:rPr>
                <w:rFonts w:ascii="Calibri"/>
                <w:spacing w:val="-1"/>
                <w:sz w:val="22"/>
              </w:rPr>
              <w:t> </w:t>
            </w:r>
            <w:r>
              <w:rPr>
                <w:rFonts w:ascii="Calibri"/>
                <w:sz w:val="22"/>
              </w:rPr>
              <w:t>to</w:t>
            </w:r>
            <w:r>
              <w:rPr>
                <w:rFonts w:ascii="Calibri"/>
                <w:spacing w:val="-1"/>
                <w:sz w:val="22"/>
              </w:rPr>
              <w:t> </w:t>
            </w:r>
            <w:r>
              <w:rPr>
                <w:rFonts w:ascii="Calibri"/>
                <w:sz w:val="22"/>
              </w:rPr>
              <w:t>be</w:t>
            </w:r>
            <w:r>
              <w:rPr>
                <w:rFonts w:ascii="Calibri"/>
                <w:spacing w:val="-2"/>
                <w:sz w:val="22"/>
              </w:rPr>
              <w:t> Learnt</w:t>
            </w:r>
          </w:p>
        </w:tc>
        <w:tc>
          <w:tcPr>
            <w:tcW w:w="1275" w:type="dxa"/>
            <w:shd w:val="clear" w:color="auto" w:fill="DEEBF5"/>
          </w:tcPr>
          <w:p>
            <w:pPr>
              <w:pStyle w:val="TableParagraph"/>
              <w:spacing w:line="249" w:lineRule="exact" w:before="19"/>
              <w:ind w:right="97"/>
              <w:jc w:val="right"/>
              <w:rPr>
                <w:rFonts w:ascii="Calibri"/>
                <w:sz w:val="22"/>
              </w:rPr>
            </w:pPr>
            <w:r>
              <w:rPr>
                <w:rFonts w:ascii="Calibri"/>
                <w:sz w:val="22"/>
              </w:rPr>
              <w:t>0</w:t>
            </w:r>
          </w:p>
        </w:tc>
      </w:tr>
      <w:tr>
        <w:trPr>
          <w:trHeight w:val="288" w:hRule="atLeast"/>
        </w:trPr>
        <w:tc>
          <w:tcPr>
            <w:tcW w:w="7792" w:type="dxa"/>
            <w:shd w:val="clear" w:color="auto" w:fill="FDF2CC"/>
          </w:tcPr>
          <w:p>
            <w:pPr>
              <w:pStyle w:val="TableParagraph"/>
              <w:spacing w:line="258" w:lineRule="exact" w:before="9"/>
              <w:ind w:left="108"/>
              <w:rPr>
                <w:rFonts w:ascii="Calibri"/>
                <w:sz w:val="22"/>
              </w:rPr>
            </w:pPr>
            <w:r>
              <w:rPr>
                <w:rFonts w:ascii="Calibri"/>
                <w:sz w:val="22"/>
              </w:rPr>
              <w:t>*Total</w:t>
            </w:r>
            <w:r>
              <w:rPr>
                <w:rFonts w:ascii="Calibri"/>
                <w:spacing w:val="-4"/>
                <w:sz w:val="22"/>
              </w:rPr>
              <w:t> </w:t>
            </w:r>
            <w:r>
              <w:rPr>
                <w:rFonts w:ascii="Calibri"/>
                <w:sz w:val="22"/>
              </w:rPr>
              <w:t>Number</w:t>
            </w:r>
            <w:r>
              <w:rPr>
                <w:rFonts w:ascii="Calibri"/>
                <w:spacing w:val="-1"/>
                <w:sz w:val="22"/>
              </w:rPr>
              <w:t> </w:t>
            </w:r>
            <w:r>
              <w:rPr>
                <w:rFonts w:ascii="Calibri"/>
                <w:sz w:val="22"/>
              </w:rPr>
              <w:t>of</w:t>
            </w:r>
            <w:r>
              <w:rPr>
                <w:rFonts w:ascii="Calibri"/>
                <w:spacing w:val="-2"/>
                <w:sz w:val="22"/>
              </w:rPr>
              <w:t> </w:t>
            </w:r>
            <w:r>
              <w:rPr>
                <w:rFonts w:ascii="Calibri"/>
                <w:sz w:val="22"/>
              </w:rPr>
              <w:t>vacancies</w:t>
            </w:r>
            <w:r>
              <w:rPr>
                <w:rFonts w:ascii="Calibri"/>
                <w:spacing w:val="-3"/>
                <w:sz w:val="22"/>
              </w:rPr>
              <w:t> </w:t>
            </w:r>
            <w:r>
              <w:rPr>
                <w:rFonts w:ascii="Calibri"/>
                <w:sz w:val="22"/>
              </w:rPr>
              <w:t>advertised</w:t>
            </w:r>
            <w:r>
              <w:rPr>
                <w:rFonts w:ascii="Calibri"/>
                <w:spacing w:val="-2"/>
                <w:sz w:val="22"/>
              </w:rPr>
              <w:t> </w:t>
            </w:r>
            <w:r>
              <w:rPr>
                <w:rFonts w:ascii="Calibri"/>
                <w:sz w:val="22"/>
              </w:rPr>
              <w:t>as</w:t>
            </w:r>
            <w:r>
              <w:rPr>
                <w:rFonts w:ascii="Calibri"/>
                <w:spacing w:val="-2"/>
                <w:sz w:val="22"/>
              </w:rPr>
              <w:t> </w:t>
            </w:r>
            <w:r>
              <w:rPr>
                <w:rFonts w:ascii="Calibri"/>
                <w:sz w:val="22"/>
              </w:rPr>
              <w:t>Welsh</w:t>
            </w:r>
            <w:r>
              <w:rPr>
                <w:rFonts w:ascii="Calibri"/>
                <w:spacing w:val="-2"/>
                <w:sz w:val="22"/>
              </w:rPr>
              <w:t> </w:t>
            </w:r>
            <w:r>
              <w:rPr>
                <w:rFonts w:ascii="Calibri"/>
                <w:sz w:val="22"/>
              </w:rPr>
              <w:t>not</w:t>
            </w:r>
            <w:r>
              <w:rPr>
                <w:rFonts w:ascii="Calibri"/>
                <w:spacing w:val="-2"/>
                <w:sz w:val="22"/>
              </w:rPr>
              <w:t> </w:t>
            </w:r>
            <w:r>
              <w:rPr>
                <w:rFonts w:ascii="Calibri"/>
                <w:sz w:val="22"/>
              </w:rPr>
              <w:t>a</w:t>
            </w:r>
            <w:r>
              <w:rPr>
                <w:rFonts w:ascii="Calibri"/>
                <w:spacing w:val="-2"/>
                <w:sz w:val="22"/>
              </w:rPr>
              <w:t> </w:t>
            </w:r>
            <w:r>
              <w:rPr>
                <w:rFonts w:ascii="Calibri"/>
                <w:sz w:val="22"/>
              </w:rPr>
              <w:t>required</w:t>
            </w:r>
            <w:r>
              <w:rPr>
                <w:rFonts w:ascii="Calibri"/>
                <w:spacing w:val="-1"/>
                <w:sz w:val="22"/>
              </w:rPr>
              <w:t> </w:t>
            </w:r>
            <w:r>
              <w:rPr>
                <w:rFonts w:ascii="Calibri"/>
                <w:spacing w:val="-2"/>
                <w:sz w:val="22"/>
              </w:rPr>
              <w:t>skill</w:t>
            </w:r>
          </w:p>
        </w:tc>
        <w:tc>
          <w:tcPr>
            <w:tcW w:w="1275" w:type="dxa"/>
            <w:shd w:val="clear" w:color="auto" w:fill="FDF2CC"/>
          </w:tcPr>
          <w:p>
            <w:pPr>
              <w:pStyle w:val="TableParagraph"/>
              <w:spacing w:line="249" w:lineRule="exact" w:before="19"/>
              <w:ind w:right="95"/>
              <w:jc w:val="right"/>
              <w:rPr>
                <w:rFonts w:ascii="Calibri"/>
                <w:sz w:val="22"/>
              </w:rPr>
            </w:pPr>
            <w:r>
              <w:rPr>
                <w:rFonts w:ascii="Calibri"/>
                <w:spacing w:val="-5"/>
                <w:sz w:val="22"/>
              </w:rPr>
              <w:t>45</w:t>
            </w:r>
          </w:p>
        </w:tc>
      </w:tr>
    </w:tbl>
    <w:p>
      <w:pPr>
        <w:pStyle w:val="BodyText"/>
        <w:rPr>
          <w:rFonts w:ascii="Calibri"/>
          <w:sz w:val="22"/>
        </w:rPr>
      </w:pPr>
    </w:p>
    <w:p>
      <w:pPr>
        <w:spacing w:line="259" w:lineRule="auto" w:before="184"/>
        <w:ind w:left="1440" w:right="1405" w:firstLine="0"/>
        <w:jc w:val="left"/>
        <w:rPr>
          <w:rFonts w:ascii="Calibri" w:hAnsi="Calibri"/>
          <w:sz w:val="22"/>
        </w:rPr>
      </w:pPr>
      <w:r>
        <w:rPr>
          <w:rFonts w:ascii="Calibri" w:hAnsi="Calibri"/>
          <w:sz w:val="22"/>
        </w:rPr>
        <w:t>*The vacancies that were advertised as ‘Welsh not a required skill’ were internal vacancies for internal</w:t>
      </w:r>
      <w:r>
        <w:rPr>
          <w:rFonts w:ascii="Calibri" w:hAnsi="Calibri"/>
          <w:spacing w:val="-3"/>
          <w:sz w:val="22"/>
        </w:rPr>
        <w:t> </w:t>
      </w:r>
      <w:r>
        <w:rPr>
          <w:rFonts w:ascii="Calibri" w:hAnsi="Calibri"/>
          <w:sz w:val="22"/>
        </w:rPr>
        <w:t>candidates</w:t>
      </w:r>
      <w:r>
        <w:rPr>
          <w:rFonts w:ascii="Calibri" w:hAnsi="Calibri"/>
          <w:spacing w:val="-3"/>
          <w:sz w:val="22"/>
        </w:rPr>
        <w:t> </w:t>
      </w:r>
      <w:r>
        <w:rPr>
          <w:rFonts w:ascii="Calibri" w:hAnsi="Calibri"/>
          <w:sz w:val="22"/>
        </w:rPr>
        <w:t>within</w:t>
      </w:r>
      <w:r>
        <w:rPr>
          <w:rFonts w:ascii="Calibri" w:hAnsi="Calibri"/>
          <w:spacing w:val="-3"/>
          <w:sz w:val="22"/>
        </w:rPr>
        <w:t> </w:t>
      </w:r>
      <w:r>
        <w:rPr>
          <w:rFonts w:ascii="Calibri" w:hAnsi="Calibri"/>
          <w:sz w:val="22"/>
        </w:rPr>
        <w:t>the</w:t>
      </w:r>
      <w:r>
        <w:rPr>
          <w:rFonts w:ascii="Calibri" w:hAnsi="Calibri"/>
          <w:spacing w:val="-3"/>
          <w:sz w:val="22"/>
        </w:rPr>
        <w:t> </w:t>
      </w:r>
      <w:r>
        <w:rPr>
          <w:rFonts w:ascii="Calibri" w:hAnsi="Calibri"/>
          <w:sz w:val="22"/>
        </w:rPr>
        <w:t>organisation</w:t>
      </w:r>
      <w:r>
        <w:rPr>
          <w:rFonts w:ascii="Calibri" w:hAnsi="Calibri"/>
          <w:spacing w:val="-3"/>
          <w:sz w:val="22"/>
        </w:rPr>
        <w:t> </w:t>
      </w:r>
      <w:r>
        <w:rPr>
          <w:rFonts w:ascii="Calibri" w:hAnsi="Calibri"/>
          <w:sz w:val="22"/>
        </w:rPr>
        <w:t>and</w:t>
      </w:r>
      <w:r>
        <w:rPr>
          <w:rFonts w:ascii="Calibri" w:hAnsi="Calibri"/>
          <w:spacing w:val="-3"/>
          <w:sz w:val="22"/>
        </w:rPr>
        <w:t> </w:t>
      </w:r>
      <w:r>
        <w:rPr>
          <w:rFonts w:ascii="Calibri" w:hAnsi="Calibri"/>
          <w:sz w:val="22"/>
        </w:rPr>
        <w:t>had</w:t>
      </w:r>
      <w:r>
        <w:rPr>
          <w:rFonts w:ascii="Calibri" w:hAnsi="Calibri"/>
          <w:spacing w:val="-3"/>
          <w:sz w:val="22"/>
        </w:rPr>
        <w:t> </w:t>
      </w:r>
      <w:r>
        <w:rPr>
          <w:rFonts w:ascii="Calibri" w:hAnsi="Calibri"/>
          <w:sz w:val="22"/>
        </w:rPr>
        <w:t>been</w:t>
      </w:r>
      <w:r>
        <w:rPr>
          <w:rFonts w:ascii="Calibri" w:hAnsi="Calibri"/>
          <w:spacing w:val="-3"/>
          <w:sz w:val="22"/>
        </w:rPr>
        <w:t> </w:t>
      </w:r>
      <w:r>
        <w:rPr>
          <w:rFonts w:ascii="Calibri" w:hAnsi="Calibri"/>
          <w:sz w:val="22"/>
        </w:rPr>
        <w:t>assessed</w:t>
      </w:r>
      <w:r>
        <w:rPr>
          <w:rFonts w:ascii="Calibri" w:hAnsi="Calibri"/>
          <w:spacing w:val="-3"/>
          <w:sz w:val="22"/>
        </w:rPr>
        <w:t> </w:t>
      </w:r>
      <w:r>
        <w:rPr>
          <w:rFonts w:ascii="Calibri" w:hAnsi="Calibri"/>
          <w:sz w:val="22"/>
        </w:rPr>
        <w:t>for</w:t>
      </w:r>
      <w:r>
        <w:rPr>
          <w:rFonts w:ascii="Calibri" w:hAnsi="Calibri"/>
          <w:spacing w:val="-4"/>
          <w:sz w:val="22"/>
        </w:rPr>
        <w:t> </w:t>
      </w:r>
      <w:r>
        <w:rPr>
          <w:rFonts w:ascii="Calibri" w:hAnsi="Calibri"/>
          <w:sz w:val="22"/>
        </w:rPr>
        <w:t>language</w:t>
      </w:r>
      <w:r>
        <w:rPr>
          <w:rFonts w:ascii="Calibri" w:hAnsi="Calibri"/>
          <w:spacing w:val="-4"/>
          <w:sz w:val="22"/>
        </w:rPr>
        <w:t> </w:t>
      </w:r>
      <w:r>
        <w:rPr>
          <w:rFonts w:ascii="Calibri" w:hAnsi="Calibri"/>
          <w:sz w:val="22"/>
        </w:rPr>
        <w:t>skills</w:t>
      </w:r>
      <w:r>
        <w:rPr>
          <w:rFonts w:ascii="Calibri" w:hAnsi="Calibri"/>
          <w:spacing w:val="-4"/>
          <w:sz w:val="22"/>
        </w:rPr>
        <w:t> </w:t>
      </w:r>
      <w:r>
        <w:rPr>
          <w:rFonts w:ascii="Calibri" w:hAnsi="Calibri"/>
          <w:sz w:val="22"/>
        </w:rPr>
        <w:t>requirements.</w:t>
      </w:r>
    </w:p>
    <w:p>
      <w:pPr>
        <w:spacing w:after="0" w:line="259" w:lineRule="auto"/>
        <w:jc w:val="left"/>
        <w:rPr>
          <w:rFonts w:ascii="Calibri" w:hAnsi="Calibri"/>
          <w:sz w:val="22"/>
        </w:rPr>
        <w:sectPr>
          <w:pgSz w:w="11910" w:h="16840"/>
          <w:pgMar w:header="0" w:footer="173" w:top="1420" w:bottom="360" w:left="0" w:right="0"/>
        </w:sectPr>
      </w:pPr>
    </w:p>
    <w:p>
      <w:pPr>
        <w:pStyle w:val="Heading5"/>
        <w:spacing w:before="22"/>
        <w:jc w:val="both"/>
      </w:pPr>
      <w:r>
        <w:rPr/>
        <w:t>Projects</w:t>
      </w:r>
      <w:r>
        <w:rPr>
          <w:spacing w:val="-4"/>
        </w:rPr>
        <w:t> </w:t>
      </w:r>
      <w:r>
        <w:rPr/>
        <w:t>and</w:t>
      </w:r>
      <w:r>
        <w:rPr>
          <w:spacing w:val="-4"/>
        </w:rPr>
        <w:t> </w:t>
      </w:r>
      <w:r>
        <w:rPr/>
        <w:t>Translation</w:t>
      </w:r>
      <w:r>
        <w:rPr>
          <w:spacing w:val="-3"/>
        </w:rPr>
        <w:t> </w:t>
      </w:r>
      <w:r>
        <w:rPr/>
        <w:t>Services</w:t>
      </w:r>
      <w:r>
        <w:rPr>
          <w:spacing w:val="-4"/>
        </w:rPr>
        <w:t> </w:t>
      </w:r>
      <w:r>
        <w:rPr>
          <w:spacing w:val="-2"/>
        </w:rPr>
        <w:t>2021/22:</w:t>
      </w:r>
    </w:p>
    <w:p>
      <w:pPr>
        <w:pStyle w:val="Heading7"/>
        <w:numPr>
          <w:ilvl w:val="0"/>
          <w:numId w:val="46"/>
        </w:numPr>
        <w:tabs>
          <w:tab w:pos="2159" w:val="left" w:leader="none"/>
          <w:tab w:pos="2161" w:val="left" w:leader="none"/>
        </w:tabs>
        <w:spacing w:line="240" w:lineRule="auto" w:before="191" w:after="0"/>
        <w:ind w:left="2160" w:right="0" w:hanging="361"/>
        <w:jc w:val="left"/>
        <w:rPr>
          <w:rFonts w:ascii="Symbol" w:hAnsi="Symbol"/>
          <w:b w:val="0"/>
        </w:rPr>
      </w:pPr>
      <w:r>
        <w:rPr/>
        <w:t>Translation</w:t>
      </w:r>
      <w:r>
        <w:rPr>
          <w:spacing w:val="-5"/>
        </w:rPr>
        <w:t> </w:t>
      </w:r>
      <w:r>
        <w:rPr/>
        <w:t>Support</w:t>
      </w:r>
      <w:r>
        <w:rPr>
          <w:spacing w:val="-4"/>
        </w:rPr>
        <w:t> </w:t>
      </w:r>
      <w:r>
        <w:rPr>
          <w:spacing w:val="-2"/>
        </w:rPr>
        <w:t>Services</w:t>
      </w:r>
    </w:p>
    <w:p>
      <w:pPr>
        <w:spacing w:line="259" w:lineRule="auto" w:before="0"/>
        <w:ind w:left="2160" w:right="1405" w:firstLine="0"/>
        <w:jc w:val="left"/>
        <w:rPr>
          <w:rFonts w:ascii="Calibri"/>
          <w:sz w:val="22"/>
        </w:rPr>
      </w:pPr>
      <w:r>
        <w:rPr>
          <w:rFonts w:ascii="Calibri"/>
          <w:sz w:val="22"/>
        </w:rPr>
        <w:t>The</w:t>
      </w:r>
      <w:r>
        <w:rPr>
          <w:rFonts w:ascii="Calibri"/>
          <w:spacing w:val="-4"/>
          <w:sz w:val="22"/>
        </w:rPr>
        <w:t> </w:t>
      </w:r>
      <w:r>
        <w:rPr>
          <w:rFonts w:ascii="Calibri"/>
          <w:sz w:val="22"/>
        </w:rPr>
        <w:t>Welsh</w:t>
      </w:r>
      <w:r>
        <w:rPr>
          <w:rFonts w:ascii="Calibri"/>
          <w:spacing w:val="-3"/>
          <w:sz w:val="22"/>
        </w:rPr>
        <w:t> </w:t>
      </w:r>
      <w:r>
        <w:rPr>
          <w:rFonts w:ascii="Calibri"/>
          <w:sz w:val="22"/>
        </w:rPr>
        <w:t>Language</w:t>
      </w:r>
      <w:r>
        <w:rPr>
          <w:rFonts w:ascii="Calibri"/>
          <w:spacing w:val="-3"/>
          <w:sz w:val="22"/>
        </w:rPr>
        <w:t> </w:t>
      </w:r>
      <w:r>
        <w:rPr>
          <w:rFonts w:ascii="Calibri"/>
          <w:sz w:val="22"/>
        </w:rPr>
        <w:t>Unit,</w:t>
      </w:r>
      <w:r>
        <w:rPr>
          <w:rFonts w:ascii="Calibri"/>
          <w:spacing w:val="-3"/>
          <w:sz w:val="22"/>
        </w:rPr>
        <w:t> </w:t>
      </w:r>
      <w:r>
        <w:rPr>
          <w:rFonts w:ascii="Calibri"/>
          <w:sz w:val="22"/>
        </w:rPr>
        <w:t>in</w:t>
      </w:r>
      <w:r>
        <w:rPr>
          <w:rFonts w:ascii="Calibri"/>
          <w:spacing w:val="-3"/>
          <w:sz w:val="22"/>
        </w:rPr>
        <w:t> </w:t>
      </w:r>
      <w:r>
        <w:rPr>
          <w:rFonts w:ascii="Calibri"/>
          <w:sz w:val="22"/>
        </w:rPr>
        <w:t>NHS</w:t>
      </w:r>
      <w:r>
        <w:rPr>
          <w:rFonts w:ascii="Calibri"/>
          <w:spacing w:val="-3"/>
          <w:sz w:val="22"/>
        </w:rPr>
        <w:t> </w:t>
      </w:r>
      <w:r>
        <w:rPr>
          <w:rFonts w:ascii="Calibri"/>
          <w:sz w:val="22"/>
        </w:rPr>
        <w:t>Wales</w:t>
      </w:r>
      <w:r>
        <w:rPr>
          <w:rFonts w:ascii="Calibri"/>
          <w:spacing w:val="-3"/>
          <w:sz w:val="22"/>
        </w:rPr>
        <w:t> </w:t>
      </w:r>
      <w:r>
        <w:rPr>
          <w:rFonts w:ascii="Calibri"/>
          <w:sz w:val="22"/>
        </w:rPr>
        <w:t>Shared</w:t>
      </w:r>
      <w:r>
        <w:rPr>
          <w:rFonts w:ascii="Calibri"/>
          <w:spacing w:val="-3"/>
          <w:sz w:val="22"/>
        </w:rPr>
        <w:t> </w:t>
      </w:r>
      <w:r>
        <w:rPr>
          <w:rFonts w:ascii="Calibri"/>
          <w:sz w:val="22"/>
        </w:rPr>
        <w:t>Services</w:t>
      </w:r>
      <w:r>
        <w:rPr>
          <w:rFonts w:ascii="Calibri"/>
          <w:spacing w:val="-3"/>
          <w:sz w:val="22"/>
        </w:rPr>
        <w:t> </w:t>
      </w:r>
      <w:r>
        <w:rPr>
          <w:rFonts w:ascii="Calibri"/>
          <w:sz w:val="22"/>
        </w:rPr>
        <w:t>Partnership</w:t>
      </w:r>
      <w:r>
        <w:rPr>
          <w:rFonts w:ascii="Calibri"/>
          <w:spacing w:val="-4"/>
          <w:sz w:val="22"/>
        </w:rPr>
        <w:t> </w:t>
      </w:r>
      <w:r>
        <w:rPr>
          <w:rFonts w:ascii="Calibri"/>
          <w:sz w:val="22"/>
        </w:rPr>
        <w:t>have</w:t>
      </w:r>
      <w:r>
        <w:rPr>
          <w:rFonts w:ascii="Calibri"/>
          <w:spacing w:val="-3"/>
          <w:sz w:val="22"/>
        </w:rPr>
        <w:t> </w:t>
      </w:r>
      <w:r>
        <w:rPr>
          <w:rFonts w:ascii="Calibri"/>
          <w:sz w:val="22"/>
        </w:rPr>
        <w:t>provided translation services for the following NHS organisations during 2021/22:</w:t>
      </w:r>
    </w:p>
    <w:p>
      <w:pPr>
        <w:pStyle w:val="ListParagraph"/>
        <w:numPr>
          <w:ilvl w:val="1"/>
          <w:numId w:val="46"/>
        </w:numPr>
        <w:tabs>
          <w:tab w:pos="2519" w:val="left" w:leader="none"/>
          <w:tab w:pos="2520" w:val="left" w:leader="none"/>
        </w:tabs>
        <w:spacing w:line="268" w:lineRule="exact" w:before="0" w:after="0"/>
        <w:ind w:left="2519" w:right="0" w:hanging="360"/>
        <w:jc w:val="left"/>
        <w:rPr>
          <w:rFonts w:ascii="Calibri" w:hAnsi="Calibri"/>
          <w:sz w:val="22"/>
        </w:rPr>
      </w:pPr>
      <w:r>
        <w:rPr>
          <w:rFonts w:ascii="Calibri" w:hAnsi="Calibri"/>
          <w:sz w:val="22"/>
        </w:rPr>
        <w:t>NHS</w:t>
      </w:r>
      <w:r>
        <w:rPr>
          <w:rFonts w:ascii="Calibri" w:hAnsi="Calibri"/>
          <w:spacing w:val="-5"/>
          <w:sz w:val="22"/>
        </w:rPr>
        <w:t> </w:t>
      </w:r>
      <w:r>
        <w:rPr>
          <w:rFonts w:ascii="Calibri" w:hAnsi="Calibri"/>
          <w:sz w:val="22"/>
        </w:rPr>
        <w:t>Wales</w:t>
      </w:r>
      <w:r>
        <w:rPr>
          <w:rFonts w:ascii="Calibri" w:hAnsi="Calibri"/>
          <w:spacing w:val="-4"/>
          <w:sz w:val="22"/>
        </w:rPr>
        <w:t> </w:t>
      </w:r>
      <w:r>
        <w:rPr>
          <w:rFonts w:ascii="Calibri" w:hAnsi="Calibri"/>
          <w:sz w:val="22"/>
        </w:rPr>
        <w:t>Shared</w:t>
      </w:r>
      <w:r>
        <w:rPr>
          <w:rFonts w:ascii="Calibri" w:hAnsi="Calibri"/>
          <w:spacing w:val="-3"/>
          <w:sz w:val="22"/>
        </w:rPr>
        <w:t> </w:t>
      </w:r>
      <w:r>
        <w:rPr>
          <w:rFonts w:ascii="Calibri" w:hAnsi="Calibri"/>
          <w:sz w:val="22"/>
        </w:rPr>
        <w:t>Services</w:t>
      </w:r>
      <w:r>
        <w:rPr>
          <w:rFonts w:ascii="Calibri" w:hAnsi="Calibri"/>
          <w:spacing w:val="-3"/>
          <w:sz w:val="22"/>
        </w:rPr>
        <w:t> </w:t>
      </w:r>
      <w:r>
        <w:rPr>
          <w:rFonts w:ascii="Calibri" w:hAnsi="Calibri"/>
          <w:sz w:val="22"/>
        </w:rPr>
        <w:t>Partnership’s</w:t>
      </w:r>
      <w:r>
        <w:rPr>
          <w:rFonts w:ascii="Calibri" w:hAnsi="Calibri"/>
          <w:spacing w:val="-4"/>
          <w:sz w:val="22"/>
        </w:rPr>
        <w:t> </w:t>
      </w:r>
      <w:r>
        <w:rPr>
          <w:rFonts w:ascii="Calibri" w:hAnsi="Calibri"/>
          <w:sz w:val="22"/>
        </w:rPr>
        <w:t>divisions</w:t>
      </w:r>
      <w:r>
        <w:rPr>
          <w:rFonts w:ascii="Calibri" w:hAnsi="Calibri"/>
          <w:spacing w:val="-4"/>
          <w:sz w:val="22"/>
        </w:rPr>
        <w:t> </w:t>
      </w:r>
      <w:r>
        <w:rPr>
          <w:rFonts w:ascii="Calibri" w:hAnsi="Calibri"/>
          <w:sz w:val="22"/>
        </w:rPr>
        <w:t>and</w:t>
      </w:r>
      <w:r>
        <w:rPr>
          <w:rFonts w:ascii="Calibri" w:hAnsi="Calibri"/>
          <w:spacing w:val="-3"/>
          <w:sz w:val="22"/>
        </w:rPr>
        <w:t> </w:t>
      </w:r>
      <w:r>
        <w:rPr>
          <w:rFonts w:ascii="Calibri" w:hAnsi="Calibri"/>
          <w:sz w:val="22"/>
        </w:rPr>
        <w:t>hosted</w:t>
      </w:r>
      <w:r>
        <w:rPr>
          <w:rFonts w:ascii="Calibri" w:hAnsi="Calibri"/>
          <w:spacing w:val="-2"/>
          <w:sz w:val="22"/>
        </w:rPr>
        <w:t> programmes</w:t>
      </w:r>
    </w:p>
    <w:p>
      <w:pPr>
        <w:pStyle w:val="ListParagraph"/>
        <w:numPr>
          <w:ilvl w:val="1"/>
          <w:numId w:val="46"/>
        </w:numPr>
        <w:tabs>
          <w:tab w:pos="2519" w:val="left" w:leader="none"/>
          <w:tab w:pos="2520" w:val="left" w:leader="none"/>
        </w:tabs>
        <w:spacing w:line="240" w:lineRule="auto" w:before="0" w:after="0"/>
        <w:ind w:left="2519" w:right="0" w:hanging="360"/>
        <w:jc w:val="left"/>
        <w:rPr>
          <w:rFonts w:ascii="Calibri" w:hAnsi="Calibri"/>
          <w:sz w:val="22"/>
        </w:rPr>
      </w:pPr>
      <w:r>
        <w:rPr>
          <w:rFonts w:ascii="Calibri" w:hAnsi="Calibri"/>
          <w:sz w:val="22"/>
        </w:rPr>
        <w:t>Public</w:t>
      </w:r>
      <w:r>
        <w:rPr>
          <w:rFonts w:ascii="Calibri" w:hAnsi="Calibri"/>
          <w:spacing w:val="-3"/>
          <w:sz w:val="22"/>
        </w:rPr>
        <w:t> </w:t>
      </w:r>
      <w:r>
        <w:rPr>
          <w:rFonts w:ascii="Calibri" w:hAnsi="Calibri"/>
          <w:sz w:val="22"/>
        </w:rPr>
        <w:t>Health</w:t>
      </w:r>
      <w:r>
        <w:rPr>
          <w:rFonts w:ascii="Calibri" w:hAnsi="Calibri"/>
          <w:spacing w:val="-1"/>
          <w:sz w:val="22"/>
        </w:rPr>
        <w:t> </w:t>
      </w:r>
      <w:r>
        <w:rPr>
          <w:rFonts w:ascii="Calibri" w:hAnsi="Calibri"/>
          <w:sz w:val="22"/>
        </w:rPr>
        <w:t>Wales</w:t>
      </w:r>
      <w:r>
        <w:rPr>
          <w:rFonts w:ascii="Calibri" w:hAnsi="Calibri"/>
          <w:spacing w:val="-1"/>
          <w:sz w:val="22"/>
        </w:rPr>
        <w:t> </w:t>
      </w:r>
      <w:r>
        <w:rPr>
          <w:rFonts w:ascii="Calibri" w:hAnsi="Calibri"/>
          <w:sz w:val="22"/>
        </w:rPr>
        <w:t>NHS </w:t>
      </w:r>
      <w:r>
        <w:rPr>
          <w:rFonts w:ascii="Calibri" w:hAnsi="Calibri"/>
          <w:spacing w:val="-2"/>
          <w:sz w:val="22"/>
        </w:rPr>
        <w:t>Trust</w:t>
      </w:r>
    </w:p>
    <w:p>
      <w:pPr>
        <w:pStyle w:val="ListParagraph"/>
        <w:numPr>
          <w:ilvl w:val="1"/>
          <w:numId w:val="46"/>
        </w:numPr>
        <w:tabs>
          <w:tab w:pos="2519" w:val="left" w:leader="none"/>
          <w:tab w:pos="2520" w:val="left" w:leader="none"/>
        </w:tabs>
        <w:spacing w:line="240" w:lineRule="auto" w:before="0" w:after="0"/>
        <w:ind w:left="2519" w:right="0" w:hanging="360"/>
        <w:jc w:val="left"/>
        <w:rPr>
          <w:rFonts w:ascii="Calibri" w:hAnsi="Calibri"/>
          <w:sz w:val="22"/>
        </w:rPr>
      </w:pPr>
      <w:r>
        <w:rPr>
          <w:rFonts w:ascii="Calibri" w:hAnsi="Calibri"/>
          <w:sz w:val="22"/>
        </w:rPr>
        <w:t>Digital</w:t>
      </w:r>
      <w:r>
        <w:rPr>
          <w:rFonts w:ascii="Calibri" w:hAnsi="Calibri"/>
          <w:spacing w:val="-3"/>
          <w:sz w:val="22"/>
        </w:rPr>
        <w:t> </w:t>
      </w:r>
      <w:r>
        <w:rPr>
          <w:rFonts w:ascii="Calibri" w:hAnsi="Calibri"/>
          <w:sz w:val="22"/>
        </w:rPr>
        <w:t>Health</w:t>
      </w:r>
      <w:r>
        <w:rPr>
          <w:rFonts w:ascii="Calibri" w:hAnsi="Calibri"/>
          <w:spacing w:val="-3"/>
          <w:sz w:val="22"/>
        </w:rPr>
        <w:t> </w:t>
      </w:r>
      <w:r>
        <w:rPr>
          <w:rFonts w:ascii="Calibri" w:hAnsi="Calibri"/>
          <w:sz w:val="22"/>
        </w:rPr>
        <w:t>and</w:t>
      </w:r>
      <w:r>
        <w:rPr>
          <w:rFonts w:ascii="Calibri" w:hAnsi="Calibri"/>
          <w:spacing w:val="-3"/>
          <w:sz w:val="22"/>
        </w:rPr>
        <w:t> </w:t>
      </w:r>
      <w:r>
        <w:rPr>
          <w:rFonts w:ascii="Calibri" w:hAnsi="Calibri"/>
          <w:sz w:val="22"/>
        </w:rPr>
        <w:t>Care</w:t>
      </w:r>
      <w:r>
        <w:rPr>
          <w:rFonts w:ascii="Calibri" w:hAnsi="Calibri"/>
          <w:spacing w:val="-3"/>
          <w:sz w:val="22"/>
        </w:rPr>
        <w:t> </w:t>
      </w:r>
      <w:r>
        <w:rPr>
          <w:rFonts w:ascii="Calibri" w:hAnsi="Calibri"/>
          <w:spacing w:val="-2"/>
          <w:sz w:val="22"/>
        </w:rPr>
        <w:t>Wales</w:t>
      </w:r>
    </w:p>
    <w:p>
      <w:pPr>
        <w:pStyle w:val="ListParagraph"/>
        <w:numPr>
          <w:ilvl w:val="1"/>
          <w:numId w:val="46"/>
        </w:numPr>
        <w:tabs>
          <w:tab w:pos="2519" w:val="left" w:leader="none"/>
          <w:tab w:pos="2520" w:val="left" w:leader="none"/>
        </w:tabs>
        <w:spacing w:line="240" w:lineRule="auto" w:before="0" w:after="0"/>
        <w:ind w:left="2519" w:right="0" w:hanging="360"/>
        <w:jc w:val="left"/>
        <w:rPr>
          <w:rFonts w:ascii="Calibri" w:hAnsi="Calibri"/>
          <w:sz w:val="22"/>
        </w:rPr>
      </w:pPr>
      <w:r>
        <w:rPr>
          <w:rFonts w:ascii="Calibri" w:hAnsi="Calibri"/>
          <w:sz w:val="22"/>
        </w:rPr>
        <w:t>Velindre</w:t>
      </w:r>
      <w:r>
        <w:rPr>
          <w:rFonts w:ascii="Calibri" w:hAnsi="Calibri"/>
          <w:spacing w:val="-3"/>
          <w:sz w:val="22"/>
        </w:rPr>
        <w:t> </w:t>
      </w:r>
      <w:r>
        <w:rPr>
          <w:rFonts w:ascii="Calibri" w:hAnsi="Calibri"/>
          <w:sz w:val="22"/>
        </w:rPr>
        <w:t>University</w:t>
      </w:r>
      <w:r>
        <w:rPr>
          <w:rFonts w:ascii="Calibri" w:hAnsi="Calibri"/>
          <w:spacing w:val="-2"/>
          <w:sz w:val="22"/>
        </w:rPr>
        <w:t> </w:t>
      </w:r>
      <w:r>
        <w:rPr>
          <w:rFonts w:ascii="Calibri" w:hAnsi="Calibri"/>
          <w:sz w:val="22"/>
        </w:rPr>
        <w:t>NHS</w:t>
      </w:r>
      <w:r>
        <w:rPr>
          <w:rFonts w:ascii="Calibri" w:hAnsi="Calibri"/>
          <w:spacing w:val="-1"/>
          <w:sz w:val="22"/>
        </w:rPr>
        <w:t> </w:t>
      </w:r>
      <w:r>
        <w:rPr>
          <w:rFonts w:ascii="Calibri" w:hAnsi="Calibri"/>
          <w:spacing w:val="-2"/>
          <w:sz w:val="22"/>
        </w:rPr>
        <w:t>Trust</w:t>
      </w:r>
    </w:p>
    <w:p>
      <w:pPr>
        <w:pStyle w:val="ListParagraph"/>
        <w:numPr>
          <w:ilvl w:val="1"/>
          <w:numId w:val="46"/>
        </w:numPr>
        <w:tabs>
          <w:tab w:pos="2519" w:val="left" w:leader="none"/>
          <w:tab w:pos="2520" w:val="left" w:leader="none"/>
        </w:tabs>
        <w:spacing w:line="240" w:lineRule="auto" w:before="0" w:after="0"/>
        <w:ind w:left="2519" w:right="0" w:hanging="360"/>
        <w:jc w:val="left"/>
        <w:rPr>
          <w:rFonts w:ascii="Calibri" w:hAnsi="Calibri"/>
          <w:sz w:val="22"/>
        </w:rPr>
      </w:pPr>
      <w:r>
        <w:rPr>
          <w:rFonts w:ascii="Calibri" w:hAnsi="Calibri"/>
          <w:sz w:val="22"/>
        </w:rPr>
        <w:t>Health</w:t>
      </w:r>
      <w:r>
        <w:rPr>
          <w:rFonts w:ascii="Calibri" w:hAnsi="Calibri"/>
          <w:spacing w:val="-5"/>
          <w:sz w:val="22"/>
        </w:rPr>
        <w:t> </w:t>
      </w:r>
      <w:r>
        <w:rPr>
          <w:rFonts w:ascii="Calibri" w:hAnsi="Calibri"/>
          <w:sz w:val="22"/>
        </w:rPr>
        <w:t>Education</w:t>
      </w:r>
      <w:r>
        <w:rPr>
          <w:rFonts w:ascii="Calibri" w:hAnsi="Calibri"/>
          <w:spacing w:val="-4"/>
          <w:sz w:val="22"/>
        </w:rPr>
        <w:t> </w:t>
      </w:r>
      <w:r>
        <w:rPr>
          <w:rFonts w:ascii="Calibri" w:hAnsi="Calibri"/>
          <w:sz w:val="22"/>
        </w:rPr>
        <w:t>Improvement</w:t>
      </w:r>
      <w:r>
        <w:rPr>
          <w:rFonts w:ascii="Calibri" w:hAnsi="Calibri"/>
          <w:spacing w:val="-4"/>
          <w:sz w:val="22"/>
        </w:rPr>
        <w:t> </w:t>
      </w:r>
      <w:r>
        <w:rPr>
          <w:rFonts w:ascii="Calibri" w:hAnsi="Calibri"/>
          <w:spacing w:val="-2"/>
          <w:sz w:val="22"/>
        </w:rPr>
        <w:t>Wales</w:t>
      </w:r>
    </w:p>
    <w:p>
      <w:pPr>
        <w:pStyle w:val="ListParagraph"/>
        <w:numPr>
          <w:ilvl w:val="1"/>
          <w:numId w:val="46"/>
        </w:numPr>
        <w:tabs>
          <w:tab w:pos="2519" w:val="left" w:leader="none"/>
          <w:tab w:pos="2520" w:val="left" w:leader="none"/>
        </w:tabs>
        <w:spacing w:line="240" w:lineRule="auto" w:before="0" w:after="0"/>
        <w:ind w:left="2519" w:right="0" w:hanging="360"/>
        <w:jc w:val="left"/>
        <w:rPr>
          <w:rFonts w:ascii="Calibri" w:hAnsi="Calibri"/>
          <w:sz w:val="22"/>
        </w:rPr>
      </w:pPr>
      <w:r>
        <w:rPr>
          <w:rFonts w:ascii="Calibri" w:hAnsi="Calibri"/>
          <w:sz w:val="22"/>
        </w:rPr>
        <w:t>Wales</w:t>
      </w:r>
      <w:r>
        <w:rPr>
          <w:rFonts w:ascii="Calibri" w:hAnsi="Calibri"/>
          <w:spacing w:val="-5"/>
          <w:sz w:val="22"/>
        </w:rPr>
        <w:t> </w:t>
      </w:r>
      <w:r>
        <w:rPr>
          <w:rFonts w:ascii="Calibri" w:hAnsi="Calibri"/>
          <w:sz w:val="22"/>
        </w:rPr>
        <w:t>Ambulance</w:t>
      </w:r>
      <w:r>
        <w:rPr>
          <w:rFonts w:ascii="Calibri" w:hAnsi="Calibri"/>
          <w:spacing w:val="-3"/>
          <w:sz w:val="22"/>
        </w:rPr>
        <w:t> </w:t>
      </w:r>
      <w:r>
        <w:rPr>
          <w:rFonts w:ascii="Calibri" w:hAnsi="Calibri"/>
          <w:sz w:val="22"/>
        </w:rPr>
        <w:t>Service</w:t>
      </w:r>
      <w:r>
        <w:rPr>
          <w:rFonts w:ascii="Calibri" w:hAnsi="Calibri"/>
          <w:spacing w:val="-2"/>
          <w:sz w:val="22"/>
        </w:rPr>
        <w:t> </w:t>
      </w:r>
      <w:r>
        <w:rPr>
          <w:rFonts w:ascii="Calibri" w:hAnsi="Calibri"/>
          <w:sz w:val="22"/>
        </w:rPr>
        <w:t>Trust</w:t>
      </w:r>
      <w:r>
        <w:rPr>
          <w:rFonts w:ascii="Calibri" w:hAnsi="Calibri"/>
          <w:spacing w:val="-3"/>
          <w:sz w:val="22"/>
        </w:rPr>
        <w:t> </w:t>
      </w:r>
      <w:r>
        <w:rPr>
          <w:rFonts w:ascii="Calibri" w:hAnsi="Calibri"/>
          <w:sz w:val="22"/>
        </w:rPr>
        <w:t>in</w:t>
      </w:r>
      <w:r>
        <w:rPr>
          <w:rFonts w:ascii="Calibri" w:hAnsi="Calibri"/>
          <w:spacing w:val="-1"/>
          <w:sz w:val="22"/>
        </w:rPr>
        <w:t> </w:t>
      </w:r>
      <w:r>
        <w:rPr>
          <w:rFonts w:ascii="Calibri" w:hAnsi="Calibri"/>
          <w:sz w:val="22"/>
        </w:rPr>
        <w:t>the</w:t>
      </w:r>
      <w:r>
        <w:rPr>
          <w:rFonts w:ascii="Calibri" w:hAnsi="Calibri"/>
          <w:spacing w:val="-2"/>
          <w:sz w:val="22"/>
        </w:rPr>
        <w:t> </w:t>
      </w:r>
      <w:r>
        <w:rPr>
          <w:rFonts w:ascii="Calibri" w:hAnsi="Calibri"/>
          <w:sz w:val="22"/>
        </w:rPr>
        <w:t>translation</w:t>
      </w:r>
      <w:r>
        <w:rPr>
          <w:rFonts w:ascii="Calibri" w:hAnsi="Calibri"/>
          <w:spacing w:val="-2"/>
          <w:sz w:val="22"/>
        </w:rPr>
        <w:t> </w:t>
      </w:r>
      <w:r>
        <w:rPr>
          <w:rFonts w:ascii="Calibri" w:hAnsi="Calibri"/>
          <w:sz w:val="22"/>
        </w:rPr>
        <w:t>of</w:t>
      </w:r>
      <w:r>
        <w:rPr>
          <w:rFonts w:ascii="Calibri" w:hAnsi="Calibri"/>
          <w:spacing w:val="-2"/>
          <w:sz w:val="22"/>
        </w:rPr>
        <w:t> </w:t>
      </w:r>
      <w:r>
        <w:rPr>
          <w:rFonts w:ascii="Calibri" w:hAnsi="Calibri"/>
          <w:sz w:val="22"/>
        </w:rPr>
        <w:t>the</w:t>
      </w:r>
      <w:r>
        <w:rPr>
          <w:rFonts w:ascii="Calibri" w:hAnsi="Calibri"/>
          <w:spacing w:val="-3"/>
          <w:sz w:val="22"/>
        </w:rPr>
        <w:t> </w:t>
      </w:r>
      <w:r>
        <w:rPr>
          <w:rFonts w:ascii="Calibri" w:hAnsi="Calibri"/>
          <w:sz w:val="22"/>
        </w:rPr>
        <w:t>111</w:t>
      </w:r>
      <w:r>
        <w:rPr>
          <w:rFonts w:ascii="Calibri" w:hAnsi="Calibri"/>
          <w:spacing w:val="-1"/>
          <w:sz w:val="22"/>
        </w:rPr>
        <w:t> </w:t>
      </w:r>
      <w:r>
        <w:rPr>
          <w:rFonts w:ascii="Calibri" w:hAnsi="Calibri"/>
          <w:spacing w:val="-2"/>
          <w:sz w:val="22"/>
        </w:rPr>
        <w:t>Website</w:t>
      </w:r>
    </w:p>
    <w:p>
      <w:pPr>
        <w:pStyle w:val="ListParagraph"/>
        <w:numPr>
          <w:ilvl w:val="1"/>
          <w:numId w:val="46"/>
        </w:numPr>
        <w:tabs>
          <w:tab w:pos="2519" w:val="left" w:leader="none"/>
          <w:tab w:pos="2520" w:val="left" w:leader="none"/>
        </w:tabs>
        <w:spacing w:line="240" w:lineRule="auto" w:before="0" w:after="0"/>
        <w:ind w:left="2519" w:right="0" w:hanging="360"/>
        <w:jc w:val="left"/>
        <w:rPr>
          <w:rFonts w:ascii="Calibri" w:hAnsi="Calibri"/>
          <w:sz w:val="22"/>
        </w:rPr>
      </w:pPr>
      <w:r>
        <w:rPr>
          <w:rFonts w:ascii="Calibri" w:hAnsi="Calibri"/>
          <w:color w:val="202124"/>
          <w:sz w:val="22"/>
        </w:rPr>
        <w:t>Welsh</w:t>
      </w:r>
      <w:r>
        <w:rPr>
          <w:rFonts w:ascii="Calibri" w:hAnsi="Calibri"/>
          <w:color w:val="202124"/>
          <w:spacing w:val="-5"/>
          <w:sz w:val="22"/>
        </w:rPr>
        <w:t> </w:t>
      </w:r>
      <w:r>
        <w:rPr>
          <w:rFonts w:ascii="Calibri" w:hAnsi="Calibri"/>
          <w:color w:val="202124"/>
          <w:sz w:val="22"/>
        </w:rPr>
        <w:t>Health</w:t>
      </w:r>
      <w:r>
        <w:rPr>
          <w:rFonts w:ascii="Calibri" w:hAnsi="Calibri"/>
          <w:color w:val="202124"/>
          <w:spacing w:val="-3"/>
          <w:sz w:val="22"/>
        </w:rPr>
        <w:t> </w:t>
      </w:r>
      <w:r>
        <w:rPr>
          <w:rFonts w:ascii="Calibri" w:hAnsi="Calibri"/>
          <w:color w:val="202124"/>
          <w:sz w:val="22"/>
        </w:rPr>
        <w:t>Specialised</w:t>
      </w:r>
      <w:r>
        <w:rPr>
          <w:rFonts w:ascii="Calibri" w:hAnsi="Calibri"/>
          <w:color w:val="202124"/>
          <w:spacing w:val="-3"/>
          <w:sz w:val="22"/>
        </w:rPr>
        <w:t> </w:t>
      </w:r>
      <w:r>
        <w:rPr>
          <w:rFonts w:ascii="Calibri" w:hAnsi="Calibri"/>
          <w:color w:val="202124"/>
          <w:sz w:val="22"/>
        </w:rPr>
        <w:t>Services</w:t>
      </w:r>
      <w:r>
        <w:rPr>
          <w:rFonts w:ascii="Calibri" w:hAnsi="Calibri"/>
          <w:color w:val="202124"/>
          <w:spacing w:val="-2"/>
          <w:sz w:val="22"/>
        </w:rPr>
        <w:t> Committee</w:t>
      </w:r>
    </w:p>
    <w:p>
      <w:pPr>
        <w:pStyle w:val="ListParagraph"/>
        <w:numPr>
          <w:ilvl w:val="1"/>
          <w:numId w:val="46"/>
        </w:numPr>
        <w:tabs>
          <w:tab w:pos="2519" w:val="left" w:leader="none"/>
          <w:tab w:pos="2520" w:val="left" w:leader="none"/>
        </w:tabs>
        <w:spacing w:line="240" w:lineRule="auto" w:before="0" w:after="0"/>
        <w:ind w:left="2519" w:right="0" w:hanging="360"/>
        <w:jc w:val="left"/>
        <w:rPr>
          <w:rFonts w:ascii="Calibri" w:hAnsi="Calibri"/>
          <w:sz w:val="22"/>
        </w:rPr>
      </w:pPr>
      <w:r>
        <w:rPr>
          <w:rFonts w:ascii="Calibri" w:hAnsi="Calibri"/>
          <w:color w:val="202124"/>
          <w:sz w:val="22"/>
        </w:rPr>
        <w:t>The</w:t>
      </w:r>
      <w:r>
        <w:rPr>
          <w:rFonts w:ascii="Calibri" w:hAnsi="Calibri"/>
          <w:color w:val="202124"/>
          <w:spacing w:val="-3"/>
          <w:sz w:val="22"/>
        </w:rPr>
        <w:t> </w:t>
      </w:r>
      <w:r>
        <w:rPr>
          <w:rFonts w:ascii="Calibri" w:hAnsi="Calibri"/>
          <w:color w:val="202124"/>
          <w:sz w:val="22"/>
        </w:rPr>
        <w:t>All</w:t>
      </w:r>
      <w:r>
        <w:rPr>
          <w:rFonts w:ascii="Calibri" w:hAnsi="Calibri"/>
          <w:color w:val="202124"/>
          <w:spacing w:val="-3"/>
          <w:sz w:val="22"/>
        </w:rPr>
        <w:t> </w:t>
      </w:r>
      <w:r>
        <w:rPr>
          <w:rFonts w:ascii="Calibri" w:hAnsi="Calibri"/>
          <w:color w:val="202124"/>
          <w:sz w:val="22"/>
        </w:rPr>
        <w:t>Wales</w:t>
      </w:r>
      <w:r>
        <w:rPr>
          <w:rFonts w:ascii="Calibri" w:hAnsi="Calibri"/>
          <w:color w:val="202124"/>
          <w:spacing w:val="-2"/>
          <w:sz w:val="22"/>
        </w:rPr>
        <w:t> </w:t>
      </w:r>
      <w:r>
        <w:rPr>
          <w:rFonts w:ascii="Calibri" w:hAnsi="Calibri"/>
          <w:color w:val="202124"/>
          <w:sz w:val="22"/>
        </w:rPr>
        <w:t>Value</w:t>
      </w:r>
      <w:r>
        <w:rPr>
          <w:rFonts w:ascii="Calibri" w:hAnsi="Calibri"/>
          <w:color w:val="202124"/>
          <w:spacing w:val="-3"/>
          <w:sz w:val="22"/>
        </w:rPr>
        <w:t> </w:t>
      </w:r>
      <w:r>
        <w:rPr>
          <w:rFonts w:ascii="Calibri" w:hAnsi="Calibri"/>
          <w:color w:val="202124"/>
          <w:sz w:val="22"/>
        </w:rPr>
        <w:t>in</w:t>
      </w:r>
      <w:r>
        <w:rPr>
          <w:rFonts w:ascii="Calibri" w:hAnsi="Calibri"/>
          <w:color w:val="202124"/>
          <w:spacing w:val="-2"/>
          <w:sz w:val="22"/>
        </w:rPr>
        <w:t> </w:t>
      </w:r>
      <w:r>
        <w:rPr>
          <w:rFonts w:ascii="Calibri" w:hAnsi="Calibri"/>
          <w:color w:val="202124"/>
          <w:sz w:val="22"/>
        </w:rPr>
        <w:t>Health</w:t>
      </w:r>
      <w:r>
        <w:rPr>
          <w:rFonts w:ascii="Calibri" w:hAnsi="Calibri"/>
          <w:color w:val="202124"/>
          <w:spacing w:val="-2"/>
          <w:sz w:val="22"/>
        </w:rPr>
        <w:t> </w:t>
      </w:r>
      <w:r>
        <w:rPr>
          <w:rFonts w:ascii="Calibri" w:hAnsi="Calibri"/>
          <w:color w:val="202124"/>
          <w:sz w:val="22"/>
        </w:rPr>
        <w:t>Care</w:t>
      </w:r>
      <w:r>
        <w:rPr>
          <w:rFonts w:ascii="Calibri" w:hAnsi="Calibri"/>
          <w:color w:val="202124"/>
          <w:spacing w:val="-2"/>
          <w:sz w:val="22"/>
        </w:rPr>
        <w:t> programme</w:t>
      </w:r>
    </w:p>
    <w:p>
      <w:pPr>
        <w:pStyle w:val="ListParagraph"/>
        <w:numPr>
          <w:ilvl w:val="1"/>
          <w:numId w:val="46"/>
        </w:numPr>
        <w:tabs>
          <w:tab w:pos="2519" w:val="left" w:leader="none"/>
          <w:tab w:pos="2520" w:val="left" w:leader="none"/>
        </w:tabs>
        <w:spacing w:line="240" w:lineRule="auto" w:before="0" w:after="0"/>
        <w:ind w:left="2520" w:right="2650" w:hanging="360"/>
        <w:jc w:val="left"/>
        <w:rPr>
          <w:rFonts w:ascii="Calibri" w:hAnsi="Calibri"/>
          <w:sz w:val="22"/>
        </w:rPr>
      </w:pPr>
      <w:r>
        <w:rPr>
          <w:rFonts w:ascii="Calibri" w:hAnsi="Calibri"/>
          <w:color w:val="202124"/>
          <w:sz w:val="22"/>
        </w:rPr>
        <w:t>Supported</w:t>
      </w:r>
      <w:r>
        <w:rPr>
          <w:rFonts w:ascii="Calibri" w:hAnsi="Calibri"/>
          <w:color w:val="202124"/>
          <w:spacing w:val="-4"/>
          <w:sz w:val="22"/>
        </w:rPr>
        <w:t> </w:t>
      </w:r>
      <w:r>
        <w:rPr>
          <w:rFonts w:ascii="Calibri" w:hAnsi="Calibri"/>
          <w:color w:val="202124"/>
          <w:sz w:val="22"/>
        </w:rPr>
        <w:t>NHS</w:t>
      </w:r>
      <w:r>
        <w:rPr>
          <w:rFonts w:ascii="Calibri" w:hAnsi="Calibri"/>
          <w:color w:val="202124"/>
          <w:spacing w:val="-3"/>
          <w:sz w:val="22"/>
        </w:rPr>
        <w:t> </w:t>
      </w:r>
      <w:r>
        <w:rPr>
          <w:rFonts w:ascii="Calibri" w:hAnsi="Calibri"/>
          <w:color w:val="202124"/>
          <w:sz w:val="22"/>
        </w:rPr>
        <w:t>Employers</w:t>
      </w:r>
      <w:r>
        <w:rPr>
          <w:rFonts w:ascii="Calibri" w:hAnsi="Calibri"/>
          <w:color w:val="202124"/>
          <w:spacing w:val="-4"/>
          <w:sz w:val="22"/>
        </w:rPr>
        <w:t> </w:t>
      </w:r>
      <w:r>
        <w:rPr>
          <w:rFonts w:ascii="Calibri" w:hAnsi="Calibri"/>
          <w:color w:val="202124"/>
          <w:sz w:val="22"/>
        </w:rPr>
        <w:t>in</w:t>
      </w:r>
      <w:r>
        <w:rPr>
          <w:rFonts w:ascii="Calibri" w:hAnsi="Calibri"/>
          <w:color w:val="202124"/>
          <w:spacing w:val="-4"/>
          <w:sz w:val="22"/>
        </w:rPr>
        <w:t> </w:t>
      </w:r>
      <w:r>
        <w:rPr>
          <w:rFonts w:ascii="Calibri" w:hAnsi="Calibri"/>
          <w:color w:val="202124"/>
          <w:sz w:val="22"/>
        </w:rPr>
        <w:t>the</w:t>
      </w:r>
      <w:r>
        <w:rPr>
          <w:rFonts w:ascii="Calibri" w:hAnsi="Calibri"/>
          <w:color w:val="202124"/>
          <w:spacing w:val="-4"/>
          <w:sz w:val="22"/>
        </w:rPr>
        <w:t> </w:t>
      </w:r>
      <w:r>
        <w:rPr>
          <w:rFonts w:ascii="Calibri" w:hAnsi="Calibri"/>
          <w:color w:val="202124"/>
          <w:sz w:val="22"/>
        </w:rPr>
        <w:t>translation</w:t>
      </w:r>
      <w:r>
        <w:rPr>
          <w:rFonts w:ascii="Calibri" w:hAnsi="Calibri"/>
          <w:color w:val="202124"/>
          <w:spacing w:val="-4"/>
          <w:sz w:val="22"/>
        </w:rPr>
        <w:t> </w:t>
      </w:r>
      <w:r>
        <w:rPr>
          <w:rFonts w:ascii="Calibri" w:hAnsi="Calibri"/>
          <w:color w:val="202124"/>
          <w:sz w:val="22"/>
        </w:rPr>
        <w:t>of</w:t>
      </w:r>
      <w:r>
        <w:rPr>
          <w:rFonts w:ascii="Calibri" w:hAnsi="Calibri"/>
          <w:color w:val="202124"/>
          <w:spacing w:val="-4"/>
          <w:sz w:val="22"/>
        </w:rPr>
        <w:t> </w:t>
      </w:r>
      <w:r>
        <w:rPr>
          <w:rFonts w:ascii="Calibri" w:hAnsi="Calibri"/>
          <w:color w:val="202124"/>
          <w:sz w:val="22"/>
        </w:rPr>
        <w:t>Job</w:t>
      </w:r>
      <w:r>
        <w:rPr>
          <w:rFonts w:ascii="Calibri" w:hAnsi="Calibri"/>
          <w:color w:val="202124"/>
          <w:spacing w:val="-3"/>
          <w:sz w:val="22"/>
        </w:rPr>
        <w:t> </w:t>
      </w:r>
      <w:r>
        <w:rPr>
          <w:rFonts w:ascii="Calibri" w:hAnsi="Calibri"/>
          <w:color w:val="202124"/>
          <w:sz w:val="22"/>
        </w:rPr>
        <w:t>Descriptions</w:t>
      </w:r>
      <w:r>
        <w:rPr>
          <w:rFonts w:ascii="Calibri" w:hAnsi="Calibri"/>
          <w:color w:val="202124"/>
          <w:spacing w:val="-4"/>
          <w:sz w:val="22"/>
        </w:rPr>
        <w:t> </w:t>
      </w:r>
      <w:r>
        <w:rPr>
          <w:rFonts w:ascii="Calibri" w:hAnsi="Calibri"/>
          <w:color w:val="202124"/>
          <w:sz w:val="22"/>
        </w:rPr>
        <w:t>and</w:t>
      </w:r>
      <w:r>
        <w:rPr>
          <w:rFonts w:ascii="Calibri" w:hAnsi="Calibri"/>
          <w:color w:val="202124"/>
          <w:spacing w:val="-4"/>
          <w:sz w:val="22"/>
        </w:rPr>
        <w:t> </w:t>
      </w:r>
      <w:r>
        <w:rPr>
          <w:rFonts w:ascii="Calibri" w:hAnsi="Calibri"/>
          <w:color w:val="202124"/>
          <w:sz w:val="22"/>
        </w:rPr>
        <w:t>Person </w:t>
      </w:r>
      <w:r>
        <w:rPr>
          <w:rFonts w:ascii="Calibri" w:hAnsi="Calibri"/>
          <w:color w:val="202124"/>
          <w:spacing w:val="-2"/>
          <w:sz w:val="22"/>
        </w:rPr>
        <w:t>Specifications</w:t>
      </w:r>
    </w:p>
    <w:p>
      <w:pPr>
        <w:spacing w:before="0"/>
        <w:ind w:left="2160" w:right="0" w:firstLine="0"/>
        <w:jc w:val="left"/>
        <w:rPr>
          <w:rFonts w:ascii="Calibri"/>
          <w:sz w:val="22"/>
        </w:rPr>
      </w:pPr>
      <w:r>
        <w:rPr>
          <w:rFonts w:ascii="Calibri"/>
          <w:sz w:val="22"/>
        </w:rPr>
        <w:t>Totalling</w:t>
      </w:r>
      <w:r>
        <w:rPr>
          <w:rFonts w:ascii="Calibri"/>
          <w:spacing w:val="-6"/>
          <w:sz w:val="22"/>
        </w:rPr>
        <w:t> </w:t>
      </w:r>
      <w:r>
        <w:rPr>
          <w:rFonts w:ascii="Calibri"/>
          <w:sz w:val="22"/>
        </w:rPr>
        <w:t>over</w:t>
      </w:r>
      <w:r>
        <w:rPr>
          <w:rFonts w:ascii="Calibri"/>
          <w:spacing w:val="-2"/>
          <w:sz w:val="22"/>
        </w:rPr>
        <w:t> </w:t>
      </w:r>
      <w:r>
        <w:rPr>
          <w:rFonts w:ascii="Calibri"/>
          <w:sz w:val="22"/>
        </w:rPr>
        <w:t>4.5million</w:t>
      </w:r>
      <w:r>
        <w:rPr>
          <w:rFonts w:ascii="Calibri"/>
          <w:spacing w:val="-3"/>
          <w:sz w:val="22"/>
        </w:rPr>
        <w:t> </w:t>
      </w:r>
      <w:r>
        <w:rPr>
          <w:rFonts w:ascii="Calibri"/>
          <w:sz w:val="22"/>
        </w:rPr>
        <w:t>words</w:t>
      </w:r>
      <w:r>
        <w:rPr>
          <w:rFonts w:ascii="Calibri"/>
          <w:spacing w:val="-3"/>
          <w:sz w:val="22"/>
        </w:rPr>
        <w:t> </w:t>
      </w:r>
      <w:r>
        <w:rPr>
          <w:rFonts w:ascii="Calibri"/>
          <w:sz w:val="22"/>
        </w:rPr>
        <w:t>translated</w:t>
      </w:r>
      <w:r>
        <w:rPr>
          <w:rFonts w:ascii="Calibri"/>
          <w:spacing w:val="-3"/>
          <w:sz w:val="22"/>
        </w:rPr>
        <w:t> </w:t>
      </w:r>
      <w:r>
        <w:rPr>
          <w:rFonts w:ascii="Calibri"/>
          <w:sz w:val="22"/>
        </w:rPr>
        <w:t>during</w:t>
      </w:r>
      <w:r>
        <w:rPr>
          <w:rFonts w:ascii="Calibri"/>
          <w:spacing w:val="-3"/>
          <w:sz w:val="22"/>
        </w:rPr>
        <w:t> </w:t>
      </w:r>
      <w:r>
        <w:rPr>
          <w:rFonts w:ascii="Calibri"/>
          <w:sz w:val="22"/>
        </w:rPr>
        <w:t>2021/22,</w:t>
      </w:r>
      <w:r>
        <w:rPr>
          <w:rFonts w:ascii="Calibri"/>
          <w:spacing w:val="-4"/>
          <w:sz w:val="22"/>
        </w:rPr>
        <w:t> </w:t>
      </w:r>
      <w:r>
        <w:rPr>
          <w:rFonts w:ascii="Calibri"/>
          <w:sz w:val="22"/>
        </w:rPr>
        <w:t>through</w:t>
      </w:r>
      <w:r>
        <w:rPr>
          <w:rFonts w:ascii="Calibri"/>
          <w:spacing w:val="-3"/>
          <w:sz w:val="22"/>
        </w:rPr>
        <w:t> </w:t>
      </w:r>
      <w:r>
        <w:rPr>
          <w:rFonts w:ascii="Calibri"/>
          <w:sz w:val="22"/>
        </w:rPr>
        <w:t>2437</w:t>
      </w:r>
      <w:r>
        <w:rPr>
          <w:rFonts w:ascii="Calibri"/>
          <w:spacing w:val="-2"/>
          <w:sz w:val="22"/>
        </w:rPr>
        <w:t> </w:t>
      </w:r>
      <w:r>
        <w:rPr>
          <w:rFonts w:ascii="Calibri"/>
          <w:sz w:val="22"/>
        </w:rPr>
        <w:t>separate</w:t>
      </w:r>
      <w:r>
        <w:rPr>
          <w:rFonts w:ascii="Calibri"/>
          <w:spacing w:val="-3"/>
          <w:sz w:val="22"/>
        </w:rPr>
        <w:t> </w:t>
      </w:r>
      <w:r>
        <w:rPr>
          <w:rFonts w:ascii="Calibri"/>
          <w:spacing w:val="-2"/>
          <w:sz w:val="22"/>
        </w:rPr>
        <w:t>requests.</w:t>
      </w:r>
    </w:p>
    <w:p>
      <w:pPr>
        <w:spacing w:before="181"/>
        <w:ind w:left="1440" w:right="2159" w:firstLine="0"/>
        <w:jc w:val="both"/>
        <w:rPr>
          <w:rFonts w:ascii="Calibri"/>
          <w:sz w:val="22"/>
        </w:rPr>
      </w:pPr>
      <w:r>
        <w:rPr>
          <w:rFonts w:ascii="Calibri"/>
          <w:sz w:val="22"/>
        </w:rPr>
        <w:t>Over</w:t>
      </w:r>
      <w:r>
        <w:rPr>
          <w:rFonts w:ascii="Calibri"/>
          <w:spacing w:val="-2"/>
          <w:sz w:val="22"/>
        </w:rPr>
        <w:t> </w:t>
      </w:r>
      <w:r>
        <w:rPr>
          <w:rFonts w:ascii="Calibri"/>
          <w:sz w:val="22"/>
        </w:rPr>
        <w:t>the</w:t>
      </w:r>
      <w:r>
        <w:rPr>
          <w:rFonts w:ascii="Calibri"/>
          <w:spacing w:val="-2"/>
          <w:sz w:val="22"/>
        </w:rPr>
        <w:t> </w:t>
      </w:r>
      <w:r>
        <w:rPr>
          <w:rFonts w:ascii="Calibri"/>
          <w:sz w:val="22"/>
        </w:rPr>
        <w:t>last</w:t>
      </w:r>
      <w:r>
        <w:rPr>
          <w:rFonts w:ascii="Calibri"/>
          <w:spacing w:val="-3"/>
          <w:sz w:val="22"/>
        </w:rPr>
        <w:t> </w:t>
      </w:r>
      <w:r>
        <w:rPr>
          <w:rFonts w:ascii="Calibri"/>
          <w:sz w:val="22"/>
        </w:rPr>
        <w:t>6</w:t>
      </w:r>
      <w:r>
        <w:rPr>
          <w:rFonts w:ascii="Calibri"/>
          <w:spacing w:val="-2"/>
          <w:sz w:val="22"/>
        </w:rPr>
        <w:t> </w:t>
      </w:r>
      <w:r>
        <w:rPr>
          <w:rFonts w:ascii="Calibri"/>
          <w:sz w:val="22"/>
        </w:rPr>
        <w:t>years</w:t>
      </w:r>
      <w:r>
        <w:rPr>
          <w:rFonts w:ascii="Calibri"/>
          <w:spacing w:val="-2"/>
          <w:sz w:val="22"/>
        </w:rPr>
        <w:t> </w:t>
      </w:r>
      <w:r>
        <w:rPr>
          <w:rFonts w:ascii="Calibri"/>
          <w:sz w:val="22"/>
        </w:rPr>
        <w:t>there</w:t>
      </w:r>
      <w:r>
        <w:rPr>
          <w:rFonts w:ascii="Calibri"/>
          <w:spacing w:val="-2"/>
          <w:sz w:val="22"/>
        </w:rPr>
        <w:t> </w:t>
      </w:r>
      <w:r>
        <w:rPr>
          <w:rFonts w:ascii="Calibri"/>
          <w:sz w:val="22"/>
        </w:rPr>
        <w:t>has</w:t>
      </w:r>
      <w:r>
        <w:rPr>
          <w:rFonts w:ascii="Calibri"/>
          <w:spacing w:val="-3"/>
          <w:sz w:val="22"/>
        </w:rPr>
        <w:t> </w:t>
      </w:r>
      <w:r>
        <w:rPr>
          <w:rFonts w:ascii="Calibri"/>
          <w:sz w:val="22"/>
        </w:rPr>
        <w:t>been</w:t>
      </w:r>
      <w:r>
        <w:rPr>
          <w:rFonts w:ascii="Calibri"/>
          <w:spacing w:val="-2"/>
          <w:sz w:val="22"/>
        </w:rPr>
        <w:t> </w:t>
      </w:r>
      <w:r>
        <w:rPr>
          <w:rFonts w:ascii="Calibri"/>
          <w:sz w:val="22"/>
        </w:rPr>
        <w:t>a</w:t>
      </w:r>
      <w:r>
        <w:rPr>
          <w:rFonts w:ascii="Calibri"/>
          <w:spacing w:val="-2"/>
          <w:sz w:val="22"/>
        </w:rPr>
        <w:t> </w:t>
      </w:r>
      <w:r>
        <w:rPr>
          <w:rFonts w:ascii="Calibri"/>
          <w:sz w:val="22"/>
        </w:rPr>
        <w:t>significant</w:t>
      </w:r>
      <w:r>
        <w:rPr>
          <w:rFonts w:ascii="Calibri"/>
          <w:spacing w:val="-2"/>
          <w:sz w:val="22"/>
        </w:rPr>
        <w:t> </w:t>
      </w:r>
      <w:r>
        <w:rPr>
          <w:rFonts w:ascii="Calibri"/>
          <w:sz w:val="22"/>
        </w:rPr>
        <w:t>increase</w:t>
      </w:r>
      <w:r>
        <w:rPr>
          <w:rFonts w:ascii="Calibri"/>
          <w:spacing w:val="-3"/>
          <w:sz w:val="22"/>
        </w:rPr>
        <w:t> </w:t>
      </w:r>
      <w:r>
        <w:rPr>
          <w:rFonts w:ascii="Calibri"/>
          <w:sz w:val="22"/>
        </w:rPr>
        <w:t>in</w:t>
      </w:r>
      <w:r>
        <w:rPr>
          <w:rFonts w:ascii="Calibri"/>
          <w:spacing w:val="-3"/>
          <w:sz w:val="22"/>
        </w:rPr>
        <w:t> </w:t>
      </w:r>
      <w:r>
        <w:rPr>
          <w:rFonts w:ascii="Calibri"/>
          <w:sz w:val="22"/>
        </w:rPr>
        <w:t>the</w:t>
      </w:r>
      <w:r>
        <w:rPr>
          <w:rFonts w:ascii="Calibri"/>
          <w:spacing w:val="-3"/>
          <w:sz w:val="22"/>
        </w:rPr>
        <w:t> </w:t>
      </w:r>
      <w:r>
        <w:rPr>
          <w:rFonts w:ascii="Calibri"/>
          <w:sz w:val="22"/>
        </w:rPr>
        <w:t>demand</w:t>
      </w:r>
      <w:r>
        <w:rPr>
          <w:rFonts w:ascii="Calibri"/>
          <w:spacing w:val="-3"/>
          <w:sz w:val="22"/>
        </w:rPr>
        <w:t> </w:t>
      </w:r>
      <w:r>
        <w:rPr>
          <w:rFonts w:ascii="Calibri"/>
          <w:sz w:val="22"/>
        </w:rPr>
        <w:t>for</w:t>
      </w:r>
      <w:r>
        <w:rPr>
          <w:rFonts w:ascii="Calibri"/>
          <w:spacing w:val="-3"/>
          <w:sz w:val="22"/>
        </w:rPr>
        <w:t> </w:t>
      </w:r>
      <w:r>
        <w:rPr>
          <w:rFonts w:ascii="Calibri"/>
          <w:sz w:val="22"/>
        </w:rPr>
        <w:t>Welsh</w:t>
      </w:r>
      <w:r>
        <w:rPr>
          <w:rFonts w:ascii="Calibri"/>
          <w:spacing w:val="-2"/>
          <w:sz w:val="22"/>
        </w:rPr>
        <w:t> </w:t>
      </w:r>
      <w:r>
        <w:rPr>
          <w:rFonts w:ascii="Calibri"/>
          <w:sz w:val="22"/>
        </w:rPr>
        <w:t>Language translation services.</w:t>
      </w:r>
      <w:r>
        <w:rPr>
          <w:rFonts w:ascii="Calibri"/>
          <w:spacing w:val="80"/>
          <w:sz w:val="22"/>
        </w:rPr>
        <w:t> </w:t>
      </w:r>
      <w:r>
        <w:rPr>
          <w:rFonts w:ascii="Calibri"/>
          <w:sz w:val="22"/>
        </w:rPr>
        <w:t>The diagram below shows an increase of </w:t>
      </w:r>
      <w:r>
        <w:rPr>
          <w:rFonts w:ascii="Arial"/>
          <w:color w:val="333333"/>
          <w:sz w:val="22"/>
        </w:rPr>
        <w:t>1878.59% </w:t>
      </w:r>
      <w:r>
        <w:rPr>
          <w:rFonts w:ascii="Calibri"/>
          <w:sz w:val="22"/>
        </w:rPr>
        <w:t>increase between 2016-17 and 2021-22.</w:t>
      </w:r>
    </w:p>
    <w:p>
      <w:pPr>
        <w:pStyle w:val="BodyText"/>
        <w:rPr>
          <w:rFonts w:ascii="Calibri"/>
          <w:sz w:val="22"/>
        </w:rPr>
      </w:pPr>
    </w:p>
    <w:p>
      <w:pPr>
        <w:spacing w:line="259" w:lineRule="auto" w:before="0"/>
        <w:ind w:left="1440" w:right="1405" w:firstLine="0"/>
        <w:jc w:val="left"/>
        <w:rPr>
          <w:rFonts w:ascii="Calibri"/>
          <w:sz w:val="22"/>
        </w:rPr>
      </w:pPr>
      <w:r>
        <w:rPr>
          <w:rFonts w:ascii="Calibri"/>
          <w:sz w:val="22"/>
        </w:rPr>
        <w:t>We</w:t>
      </w:r>
      <w:r>
        <w:rPr>
          <w:rFonts w:ascii="Calibri"/>
          <w:spacing w:val="-3"/>
          <w:sz w:val="22"/>
        </w:rPr>
        <w:t> </w:t>
      </w:r>
      <w:r>
        <w:rPr>
          <w:rFonts w:ascii="Calibri"/>
          <w:sz w:val="22"/>
        </w:rPr>
        <w:t>intend</w:t>
      </w:r>
      <w:r>
        <w:rPr>
          <w:rFonts w:ascii="Calibri"/>
          <w:spacing w:val="-2"/>
          <w:sz w:val="22"/>
        </w:rPr>
        <w:t> </w:t>
      </w:r>
      <w:r>
        <w:rPr>
          <w:rFonts w:ascii="Calibri"/>
          <w:sz w:val="22"/>
        </w:rPr>
        <w:t>to</w:t>
      </w:r>
      <w:r>
        <w:rPr>
          <w:rFonts w:ascii="Calibri"/>
          <w:spacing w:val="-2"/>
          <w:sz w:val="22"/>
        </w:rPr>
        <w:t> </w:t>
      </w:r>
      <w:r>
        <w:rPr>
          <w:rFonts w:ascii="Calibri"/>
          <w:sz w:val="22"/>
        </w:rPr>
        <w:t>invest</w:t>
      </w:r>
      <w:r>
        <w:rPr>
          <w:rFonts w:ascii="Calibri"/>
          <w:spacing w:val="-2"/>
          <w:sz w:val="22"/>
        </w:rPr>
        <w:t> </w:t>
      </w:r>
      <w:r>
        <w:rPr>
          <w:rFonts w:ascii="Calibri"/>
          <w:sz w:val="22"/>
        </w:rPr>
        <w:t>further</w:t>
      </w:r>
      <w:r>
        <w:rPr>
          <w:rFonts w:ascii="Calibri"/>
          <w:spacing w:val="-2"/>
          <w:sz w:val="22"/>
        </w:rPr>
        <w:t> </w:t>
      </w:r>
      <w:r>
        <w:rPr>
          <w:rFonts w:ascii="Calibri"/>
          <w:sz w:val="22"/>
        </w:rPr>
        <w:t>in</w:t>
      </w:r>
      <w:r>
        <w:rPr>
          <w:rFonts w:ascii="Calibri"/>
          <w:spacing w:val="-2"/>
          <w:sz w:val="22"/>
        </w:rPr>
        <w:t> </w:t>
      </w:r>
      <w:r>
        <w:rPr>
          <w:rFonts w:ascii="Calibri"/>
          <w:sz w:val="22"/>
        </w:rPr>
        <w:t>our</w:t>
      </w:r>
      <w:r>
        <w:rPr>
          <w:rFonts w:ascii="Calibri"/>
          <w:spacing w:val="-3"/>
          <w:sz w:val="22"/>
        </w:rPr>
        <w:t> </w:t>
      </w:r>
      <w:r>
        <w:rPr>
          <w:rFonts w:ascii="Calibri"/>
          <w:sz w:val="22"/>
        </w:rPr>
        <w:t>translation</w:t>
      </w:r>
      <w:r>
        <w:rPr>
          <w:rFonts w:ascii="Calibri"/>
          <w:spacing w:val="-3"/>
          <w:sz w:val="22"/>
        </w:rPr>
        <w:t> </w:t>
      </w:r>
      <w:r>
        <w:rPr>
          <w:rFonts w:ascii="Calibri"/>
          <w:sz w:val="22"/>
        </w:rPr>
        <w:t>resources</w:t>
      </w:r>
      <w:r>
        <w:rPr>
          <w:rFonts w:ascii="Calibri"/>
          <w:spacing w:val="-2"/>
          <w:sz w:val="22"/>
        </w:rPr>
        <w:t> </w:t>
      </w:r>
      <w:r>
        <w:rPr>
          <w:rFonts w:ascii="Calibri"/>
          <w:sz w:val="22"/>
        </w:rPr>
        <w:t>in</w:t>
      </w:r>
      <w:r>
        <w:rPr>
          <w:rFonts w:ascii="Calibri"/>
          <w:spacing w:val="-2"/>
          <w:sz w:val="22"/>
        </w:rPr>
        <w:t> </w:t>
      </w:r>
      <w:r>
        <w:rPr>
          <w:rFonts w:ascii="Calibri"/>
          <w:sz w:val="22"/>
        </w:rPr>
        <w:t>2022/23</w:t>
      </w:r>
      <w:r>
        <w:rPr>
          <w:rFonts w:ascii="Calibri"/>
          <w:spacing w:val="-2"/>
          <w:sz w:val="22"/>
        </w:rPr>
        <w:t> </w:t>
      </w:r>
      <w:r>
        <w:rPr>
          <w:rFonts w:ascii="Calibri"/>
          <w:sz w:val="22"/>
        </w:rPr>
        <w:t>which</w:t>
      </w:r>
      <w:r>
        <w:rPr>
          <w:rFonts w:ascii="Calibri"/>
          <w:spacing w:val="-2"/>
          <w:sz w:val="22"/>
        </w:rPr>
        <w:t> </w:t>
      </w:r>
      <w:r>
        <w:rPr>
          <w:rFonts w:ascii="Calibri"/>
          <w:sz w:val="22"/>
        </w:rPr>
        <w:t>will</w:t>
      </w:r>
      <w:r>
        <w:rPr>
          <w:rFonts w:ascii="Calibri"/>
          <w:spacing w:val="-3"/>
          <w:sz w:val="22"/>
        </w:rPr>
        <w:t> </w:t>
      </w:r>
      <w:r>
        <w:rPr>
          <w:rFonts w:ascii="Calibri"/>
          <w:sz w:val="22"/>
        </w:rPr>
        <w:t>enable</w:t>
      </w:r>
      <w:r>
        <w:rPr>
          <w:rFonts w:ascii="Calibri"/>
          <w:spacing w:val="-3"/>
          <w:sz w:val="22"/>
        </w:rPr>
        <w:t> </w:t>
      </w:r>
      <w:r>
        <w:rPr>
          <w:rFonts w:ascii="Calibri"/>
          <w:sz w:val="22"/>
        </w:rPr>
        <w:t>us</w:t>
      </w:r>
      <w:r>
        <w:rPr>
          <w:rFonts w:ascii="Calibri"/>
          <w:spacing w:val="-2"/>
          <w:sz w:val="22"/>
        </w:rPr>
        <w:t> </w:t>
      </w:r>
      <w:r>
        <w:rPr>
          <w:rFonts w:ascii="Calibri"/>
          <w:sz w:val="22"/>
        </w:rPr>
        <w:t>to</w:t>
      </w:r>
      <w:r>
        <w:rPr>
          <w:rFonts w:ascii="Calibri"/>
          <w:spacing w:val="-2"/>
          <w:sz w:val="22"/>
        </w:rPr>
        <w:t> </w:t>
      </w:r>
      <w:r>
        <w:rPr>
          <w:rFonts w:ascii="Calibri"/>
          <w:sz w:val="22"/>
        </w:rPr>
        <w:t>provide further support to NHS organisations in 2023/24 onwards.</w:t>
      </w:r>
    </w:p>
    <w:p>
      <w:pPr>
        <w:pStyle w:val="BodyText"/>
        <w:spacing w:before="5"/>
        <w:rPr>
          <w:rFonts w:ascii="Calibri"/>
          <w:sz w:val="10"/>
        </w:rPr>
      </w:pPr>
      <w:r>
        <w:rPr/>
        <w:pict>
          <v:group style="position:absolute;margin-left:117.275002pt;margin-top:7.578516pt;width:360.75pt;height:216.75pt;mso-position-horizontal-relative:page;mso-position-vertical-relative:paragraph;z-index:-15598592;mso-wrap-distance-left:0;mso-wrap-distance-right:0" id="docshapegroup874" coordorigin="2346,152" coordsize="7215,4335">
            <v:shape style="position:absolute;left:3348;top:4018;width:5980;height:8" id="docshape875" coordorigin="3348,4019" coordsize="5980,8" path="m3348,4019l4687,4019m5000,4019l5684,4019m5996,4019l6680,4019m6993,4019l7677,4019m7989,4019l8673,4019m8986,4019l9328,4019m3348,4026l9328,4026e" filled="false" stroked="true" strokeweight=".375pt" strokecolor="#d8d8d8">
              <v:path arrowok="t"/>
              <v:stroke dashstyle="solid"/>
            </v:shape>
            <v:shape style="position:absolute;left:3348;top:1159;width:5980;height:2545" id="docshape876" coordorigin="3348,1160" coordsize="5980,2545" path="m3348,3704l5684,3704m5996,3704l6680,3704m6993,3704l7677,3704m7989,3704l8673,3704m8986,3704l9328,3704m3348,3386l6680,3386m6993,3386l7677,3386m7989,3386l8673,3386m8986,3386l9328,3386m3348,3068l6680,3068m6993,3068l7677,3068m7989,3068l8673,3068m8986,3068l9328,3068m3348,2750l6680,2750m6993,2750l7677,2750m7989,2750l8673,2750m8986,2750l9328,2750m3348,2432l6680,2432m6993,2432l7677,2432m7989,2432l8673,2432m8986,2432l9328,2432m3348,2114l7677,2114m7989,2114l8673,2114m8986,2114l9328,2114m3348,1796l7677,1796m7989,1796l8673,1796m8986,1796l9328,1796m3348,1478l7677,1478m7989,1478l8673,1478m8986,1478l9328,1478m3348,1160l8673,1160m8986,1160l9328,1160e" filled="false" stroked="true" strokeweight=".75pt" strokecolor="#d8d8d8">
              <v:path arrowok="t"/>
              <v:stroke dashstyle="solid"/>
            </v:shape>
            <v:line style="position:absolute" from="3348,842" to="9328,842" stroked="true" strokeweight=".75pt" strokecolor="#d8d8d8">
              <v:stroke dashstyle="solid"/>
            </v:line>
            <v:shape style="position:absolute;left:3690;top:1117;width:5296;height:2906" id="docshape877" coordorigin="3691,1117" coordsize="5296,2906" path="m4003,3876l3691,3876,3691,4022,4003,4022,4003,3876xm5000,3796l4687,3796,4687,4022,5000,4022,5000,3796xm5996,3541l5684,3541,5684,4022,5996,4022,5996,3541xm6993,2179l6680,2179,6680,4022,6993,4022,6993,2179xm7989,1228l7677,1228,7677,4022,7989,4022,7989,1228xm8986,1117l8673,1117,8673,4022,8986,4022,8986,1117xe" filled="true" fillcolor="#4472c4" stroked="false">
              <v:path arrowok="t"/>
              <v:fill type="solid"/>
            </v:shape>
            <v:line style="position:absolute" from="3348,4022" to="9328,4022" stroked="true" strokeweight=".75pt" strokecolor="#d8d8d8">
              <v:stroke dashstyle="solid"/>
            </v:line>
            <v:shape style="position:absolute;left:2353;top:159;width:7200;height:4320" type="#_x0000_t202" id="docshape878" filled="false" stroked="true" strokeweight=".75pt" strokecolor="#d8d8d8">
              <v:textbox inset="0,0,0,0">
                <w:txbxContent>
                  <w:p>
                    <w:pPr>
                      <w:spacing w:before="142"/>
                      <w:ind w:left="690" w:right="0" w:firstLine="0"/>
                      <w:jc w:val="left"/>
                      <w:rPr>
                        <w:rFonts w:ascii="Calibri"/>
                        <w:b/>
                        <w:sz w:val="24"/>
                      </w:rPr>
                    </w:pPr>
                    <w:r>
                      <w:rPr>
                        <w:rFonts w:ascii="Calibri"/>
                        <w:b/>
                        <w:color w:val="595959"/>
                        <w:sz w:val="24"/>
                      </w:rPr>
                      <w:t>Demand</w:t>
                    </w:r>
                    <w:r>
                      <w:rPr>
                        <w:rFonts w:ascii="Calibri"/>
                        <w:b/>
                        <w:color w:val="595959"/>
                        <w:spacing w:val="-5"/>
                        <w:sz w:val="24"/>
                      </w:rPr>
                      <w:t> </w:t>
                    </w:r>
                    <w:r>
                      <w:rPr>
                        <w:rFonts w:ascii="Calibri"/>
                        <w:b/>
                        <w:color w:val="595959"/>
                        <w:sz w:val="24"/>
                      </w:rPr>
                      <w:t>for</w:t>
                    </w:r>
                    <w:r>
                      <w:rPr>
                        <w:rFonts w:ascii="Calibri"/>
                        <w:b/>
                        <w:color w:val="595959"/>
                        <w:spacing w:val="-2"/>
                        <w:sz w:val="24"/>
                      </w:rPr>
                      <w:t> </w:t>
                    </w:r>
                    <w:r>
                      <w:rPr>
                        <w:rFonts w:ascii="Calibri"/>
                        <w:b/>
                        <w:color w:val="595959"/>
                        <w:sz w:val="24"/>
                      </w:rPr>
                      <w:t>NWSSP</w:t>
                    </w:r>
                    <w:r>
                      <w:rPr>
                        <w:rFonts w:ascii="Calibri"/>
                        <w:b/>
                        <w:color w:val="595959"/>
                        <w:spacing w:val="-2"/>
                        <w:sz w:val="24"/>
                      </w:rPr>
                      <w:t> </w:t>
                    </w:r>
                    <w:r>
                      <w:rPr>
                        <w:rFonts w:ascii="Calibri"/>
                        <w:b/>
                        <w:color w:val="595959"/>
                        <w:sz w:val="24"/>
                      </w:rPr>
                      <w:t>Translation</w:t>
                    </w:r>
                    <w:r>
                      <w:rPr>
                        <w:rFonts w:ascii="Calibri"/>
                        <w:b/>
                        <w:color w:val="595959"/>
                        <w:spacing w:val="-2"/>
                        <w:sz w:val="24"/>
                      </w:rPr>
                      <w:t> </w:t>
                    </w:r>
                    <w:r>
                      <w:rPr>
                        <w:rFonts w:ascii="Calibri"/>
                        <w:b/>
                        <w:color w:val="595959"/>
                        <w:sz w:val="24"/>
                      </w:rPr>
                      <w:t>Services</w:t>
                    </w:r>
                    <w:r>
                      <w:rPr>
                        <w:rFonts w:ascii="Calibri"/>
                        <w:b/>
                        <w:color w:val="595959"/>
                        <w:spacing w:val="-3"/>
                        <w:sz w:val="24"/>
                      </w:rPr>
                      <w:t> </w:t>
                    </w:r>
                    <w:r>
                      <w:rPr>
                        <w:rFonts w:ascii="Calibri"/>
                        <w:b/>
                        <w:color w:val="595959"/>
                        <w:sz w:val="24"/>
                      </w:rPr>
                      <w:t>over</w:t>
                    </w:r>
                    <w:r>
                      <w:rPr>
                        <w:rFonts w:ascii="Calibri"/>
                        <w:b/>
                        <w:color w:val="595959"/>
                        <w:spacing w:val="-2"/>
                        <w:sz w:val="24"/>
                      </w:rPr>
                      <w:t> </w:t>
                    </w:r>
                    <w:r>
                      <w:rPr>
                        <w:rFonts w:ascii="Calibri"/>
                        <w:b/>
                        <w:color w:val="595959"/>
                        <w:sz w:val="24"/>
                      </w:rPr>
                      <w:t>6</w:t>
                    </w:r>
                    <w:r>
                      <w:rPr>
                        <w:rFonts w:ascii="Calibri"/>
                        <w:b/>
                        <w:color w:val="595959"/>
                        <w:spacing w:val="-2"/>
                        <w:sz w:val="24"/>
                      </w:rPr>
                      <w:t> years</w:t>
                    </w:r>
                  </w:p>
                  <w:p>
                    <w:pPr>
                      <w:spacing w:before="154"/>
                      <w:ind w:left="0" w:right="6362" w:firstLine="0"/>
                      <w:jc w:val="right"/>
                      <w:rPr>
                        <w:rFonts w:ascii="Calibri"/>
                        <w:sz w:val="18"/>
                      </w:rPr>
                    </w:pPr>
                    <w:r>
                      <w:rPr>
                        <w:rFonts w:ascii="Calibri"/>
                        <w:color w:val="595959"/>
                        <w:spacing w:val="-2"/>
                        <w:sz w:val="18"/>
                      </w:rPr>
                      <w:t>5,000,000</w:t>
                    </w:r>
                  </w:p>
                  <w:p>
                    <w:pPr>
                      <w:spacing w:before="99"/>
                      <w:ind w:left="0" w:right="6362" w:firstLine="0"/>
                      <w:jc w:val="right"/>
                      <w:rPr>
                        <w:rFonts w:ascii="Calibri"/>
                        <w:sz w:val="18"/>
                      </w:rPr>
                    </w:pPr>
                    <w:r>
                      <w:rPr>
                        <w:rFonts w:ascii="Calibri"/>
                        <w:color w:val="595959"/>
                        <w:spacing w:val="-2"/>
                        <w:sz w:val="18"/>
                      </w:rPr>
                      <w:t>4,500,000</w:t>
                    </w:r>
                  </w:p>
                  <w:p>
                    <w:pPr>
                      <w:spacing w:before="98"/>
                      <w:ind w:left="0" w:right="6362" w:firstLine="0"/>
                      <w:jc w:val="right"/>
                      <w:rPr>
                        <w:rFonts w:ascii="Calibri"/>
                        <w:sz w:val="18"/>
                      </w:rPr>
                    </w:pPr>
                    <w:r>
                      <w:rPr>
                        <w:rFonts w:ascii="Calibri"/>
                        <w:color w:val="595959"/>
                        <w:spacing w:val="-2"/>
                        <w:sz w:val="18"/>
                      </w:rPr>
                      <w:t>4,000,000</w:t>
                    </w:r>
                  </w:p>
                  <w:p>
                    <w:pPr>
                      <w:spacing w:before="98"/>
                      <w:ind w:left="0" w:right="6362" w:firstLine="0"/>
                      <w:jc w:val="right"/>
                      <w:rPr>
                        <w:rFonts w:ascii="Calibri"/>
                        <w:sz w:val="18"/>
                      </w:rPr>
                    </w:pPr>
                    <w:r>
                      <w:rPr>
                        <w:rFonts w:ascii="Calibri"/>
                        <w:color w:val="595959"/>
                        <w:spacing w:val="-2"/>
                        <w:sz w:val="18"/>
                      </w:rPr>
                      <w:t>3,500,000</w:t>
                    </w:r>
                  </w:p>
                  <w:p>
                    <w:pPr>
                      <w:spacing w:before="99"/>
                      <w:ind w:left="0" w:right="6362" w:firstLine="0"/>
                      <w:jc w:val="right"/>
                      <w:rPr>
                        <w:rFonts w:ascii="Calibri"/>
                        <w:sz w:val="18"/>
                      </w:rPr>
                    </w:pPr>
                    <w:r>
                      <w:rPr>
                        <w:rFonts w:ascii="Calibri"/>
                        <w:color w:val="595959"/>
                        <w:spacing w:val="-2"/>
                        <w:sz w:val="18"/>
                      </w:rPr>
                      <w:t>3,000,000</w:t>
                    </w:r>
                  </w:p>
                  <w:p>
                    <w:pPr>
                      <w:spacing w:before="98"/>
                      <w:ind w:left="0" w:right="6362" w:firstLine="0"/>
                      <w:jc w:val="right"/>
                      <w:rPr>
                        <w:rFonts w:ascii="Calibri"/>
                        <w:sz w:val="18"/>
                      </w:rPr>
                    </w:pPr>
                    <w:r>
                      <w:rPr>
                        <w:rFonts w:ascii="Calibri"/>
                        <w:color w:val="595959"/>
                        <w:spacing w:val="-2"/>
                        <w:sz w:val="18"/>
                      </w:rPr>
                      <w:t>2,500,000</w:t>
                    </w:r>
                  </w:p>
                  <w:p>
                    <w:pPr>
                      <w:spacing w:before="98"/>
                      <w:ind w:left="0" w:right="6362" w:firstLine="0"/>
                      <w:jc w:val="right"/>
                      <w:rPr>
                        <w:rFonts w:ascii="Calibri"/>
                        <w:sz w:val="18"/>
                      </w:rPr>
                    </w:pPr>
                    <w:r>
                      <w:rPr>
                        <w:rFonts w:ascii="Calibri"/>
                        <w:color w:val="595959"/>
                        <w:spacing w:val="-2"/>
                        <w:sz w:val="18"/>
                      </w:rPr>
                      <w:t>2,000,000</w:t>
                    </w:r>
                  </w:p>
                  <w:p>
                    <w:pPr>
                      <w:spacing w:before="99"/>
                      <w:ind w:left="0" w:right="6362" w:firstLine="0"/>
                      <w:jc w:val="right"/>
                      <w:rPr>
                        <w:rFonts w:ascii="Calibri"/>
                        <w:sz w:val="18"/>
                      </w:rPr>
                    </w:pPr>
                    <w:r>
                      <w:rPr>
                        <w:rFonts w:ascii="Calibri"/>
                        <w:color w:val="595959"/>
                        <w:spacing w:val="-2"/>
                        <w:sz w:val="18"/>
                      </w:rPr>
                      <w:t>1,500,000</w:t>
                    </w:r>
                  </w:p>
                  <w:p>
                    <w:pPr>
                      <w:spacing w:before="98"/>
                      <w:ind w:left="0" w:right="6362" w:firstLine="0"/>
                      <w:jc w:val="right"/>
                      <w:rPr>
                        <w:rFonts w:ascii="Calibri"/>
                        <w:sz w:val="18"/>
                      </w:rPr>
                    </w:pPr>
                    <w:r>
                      <w:rPr>
                        <w:rFonts w:ascii="Calibri"/>
                        <w:color w:val="595959"/>
                        <w:spacing w:val="-2"/>
                        <w:sz w:val="18"/>
                      </w:rPr>
                      <w:t>1,000,000</w:t>
                    </w:r>
                  </w:p>
                  <w:p>
                    <w:pPr>
                      <w:spacing w:before="98"/>
                      <w:ind w:left="0" w:right="6362" w:firstLine="0"/>
                      <w:jc w:val="right"/>
                      <w:rPr>
                        <w:rFonts w:ascii="Calibri"/>
                        <w:sz w:val="18"/>
                      </w:rPr>
                    </w:pPr>
                    <w:r>
                      <w:rPr>
                        <w:rFonts w:ascii="Calibri"/>
                        <w:color w:val="595959"/>
                        <w:spacing w:val="-2"/>
                        <w:sz w:val="18"/>
                      </w:rPr>
                      <w:t>500,000</w:t>
                    </w:r>
                  </w:p>
                  <w:p>
                    <w:pPr>
                      <w:spacing w:line="208" w:lineRule="exact" w:before="99"/>
                      <w:ind w:left="0" w:right="6362" w:firstLine="0"/>
                      <w:jc w:val="right"/>
                      <w:rPr>
                        <w:rFonts w:ascii="Calibri"/>
                        <w:sz w:val="18"/>
                      </w:rPr>
                    </w:pPr>
                    <w:r>
                      <w:rPr>
                        <w:rFonts w:ascii="Calibri"/>
                        <w:color w:val="595959"/>
                        <w:sz w:val="18"/>
                      </w:rPr>
                      <w:t>0</w:t>
                    </w:r>
                  </w:p>
                  <w:p>
                    <w:pPr>
                      <w:tabs>
                        <w:tab w:pos="2181" w:val="left" w:leader="none"/>
                        <w:tab w:pos="3178" w:val="left" w:leader="none"/>
                        <w:tab w:pos="4174" w:val="left" w:leader="none"/>
                        <w:tab w:pos="5171" w:val="left" w:leader="none"/>
                        <w:tab w:pos="6770" w:val="right" w:leader="none"/>
                      </w:tabs>
                      <w:spacing w:line="208" w:lineRule="exact" w:before="0"/>
                      <w:ind w:left="1184" w:right="0" w:firstLine="0"/>
                      <w:jc w:val="left"/>
                      <w:rPr>
                        <w:rFonts w:ascii="Calibri"/>
                        <w:sz w:val="18"/>
                      </w:rPr>
                    </w:pPr>
                    <w:r>
                      <w:rPr>
                        <w:rFonts w:ascii="Calibri"/>
                        <w:color w:val="595959"/>
                        <w:spacing w:val="-2"/>
                        <w:sz w:val="18"/>
                      </w:rPr>
                      <w:t>2016-</w:t>
                    </w:r>
                    <w:r>
                      <w:rPr>
                        <w:rFonts w:ascii="Calibri"/>
                        <w:color w:val="595959"/>
                        <w:spacing w:val="-5"/>
                        <w:sz w:val="18"/>
                      </w:rPr>
                      <w:t>17</w:t>
                    </w:r>
                    <w:r>
                      <w:rPr>
                        <w:rFonts w:ascii="Calibri"/>
                        <w:color w:val="595959"/>
                        <w:sz w:val="18"/>
                      </w:rPr>
                      <w:tab/>
                    </w:r>
                    <w:r>
                      <w:rPr>
                        <w:rFonts w:ascii="Calibri"/>
                        <w:color w:val="595959"/>
                        <w:spacing w:val="-2"/>
                        <w:sz w:val="18"/>
                      </w:rPr>
                      <w:t>2017-</w:t>
                    </w:r>
                    <w:r>
                      <w:rPr>
                        <w:rFonts w:ascii="Calibri"/>
                        <w:color w:val="595959"/>
                        <w:spacing w:val="-5"/>
                        <w:sz w:val="18"/>
                      </w:rPr>
                      <w:t>18</w:t>
                    </w:r>
                    <w:r>
                      <w:rPr>
                        <w:rFonts w:ascii="Calibri"/>
                        <w:color w:val="595959"/>
                        <w:sz w:val="18"/>
                      </w:rPr>
                      <w:tab/>
                    </w:r>
                    <w:r>
                      <w:rPr>
                        <w:rFonts w:ascii="Calibri"/>
                        <w:color w:val="595959"/>
                        <w:spacing w:val="-2"/>
                        <w:sz w:val="18"/>
                      </w:rPr>
                      <w:t>2018-</w:t>
                    </w:r>
                    <w:r>
                      <w:rPr>
                        <w:rFonts w:ascii="Calibri"/>
                        <w:color w:val="595959"/>
                        <w:spacing w:val="-7"/>
                        <w:sz w:val="18"/>
                      </w:rPr>
                      <w:t>19</w:t>
                    </w:r>
                    <w:r>
                      <w:rPr>
                        <w:rFonts w:ascii="Calibri"/>
                        <w:color w:val="595959"/>
                        <w:sz w:val="18"/>
                      </w:rPr>
                      <w:tab/>
                    </w:r>
                    <w:r>
                      <w:rPr>
                        <w:rFonts w:ascii="Calibri"/>
                        <w:color w:val="595959"/>
                        <w:spacing w:val="-2"/>
                        <w:sz w:val="18"/>
                      </w:rPr>
                      <w:t>2019-</w:t>
                    </w:r>
                    <w:r>
                      <w:rPr>
                        <w:rFonts w:ascii="Calibri"/>
                        <w:color w:val="595959"/>
                        <w:spacing w:val="-5"/>
                        <w:sz w:val="18"/>
                      </w:rPr>
                      <w:t>20</w:t>
                    </w:r>
                    <w:r>
                      <w:rPr>
                        <w:rFonts w:ascii="Calibri"/>
                        <w:color w:val="595959"/>
                        <w:sz w:val="18"/>
                      </w:rPr>
                      <w:tab/>
                    </w:r>
                    <w:r>
                      <w:rPr>
                        <w:rFonts w:ascii="Calibri"/>
                        <w:color w:val="595959"/>
                        <w:spacing w:val="-2"/>
                        <w:sz w:val="18"/>
                      </w:rPr>
                      <w:t>2020-</w:t>
                    </w:r>
                    <w:r>
                      <w:rPr>
                        <w:rFonts w:ascii="Calibri"/>
                        <w:color w:val="595959"/>
                        <w:spacing w:val="-5"/>
                        <w:sz w:val="18"/>
                      </w:rPr>
                      <w:t>21</w:t>
                    </w:r>
                    <w:r>
                      <w:rPr>
                        <w:rFonts w:ascii="Calibri"/>
                        <w:color w:val="595959"/>
                        <w:sz w:val="18"/>
                      </w:rPr>
                      <w:tab/>
                    </w:r>
                    <w:r>
                      <w:rPr>
                        <w:rFonts w:ascii="Calibri"/>
                        <w:color w:val="595959"/>
                        <w:spacing w:val="-2"/>
                        <w:sz w:val="18"/>
                      </w:rPr>
                      <w:t>2021-22</w:t>
                    </w:r>
                  </w:p>
                </w:txbxContent>
              </v:textbox>
              <v:stroke dashstyle="solid"/>
              <w10:wrap type="none"/>
            </v:shape>
            <w10:wrap type="topAndBottom"/>
          </v:group>
        </w:pict>
      </w:r>
    </w:p>
    <w:p>
      <w:pPr>
        <w:spacing w:after="0"/>
        <w:rPr>
          <w:rFonts w:ascii="Calibri"/>
          <w:sz w:val="10"/>
        </w:rPr>
        <w:sectPr>
          <w:pgSz w:w="11910" w:h="16840"/>
          <w:pgMar w:header="0" w:footer="173" w:top="1400" w:bottom="360" w:left="0" w:right="0"/>
        </w:sectPr>
      </w:pPr>
    </w:p>
    <w:p>
      <w:pPr>
        <w:pStyle w:val="BodyText"/>
        <w:ind w:left="2180"/>
        <w:rPr>
          <w:rFonts w:ascii="Calibri"/>
          <w:sz w:val="20"/>
        </w:rPr>
      </w:pPr>
      <w:r>
        <w:rPr>
          <w:rFonts w:ascii="Calibri"/>
          <w:sz w:val="20"/>
        </w:rPr>
        <w:pict>
          <v:group style="width:377.5pt;height:241.15pt;mso-position-horizontal-relative:char;mso-position-vertical-relative:line" id="docshapegroup879" coordorigin="0,0" coordsize="7550,4823">
            <v:rect style="position:absolute;left:7;top:7;width:7520;height:4808" id="docshape880" filled="false" stroked="true" strokeweight=".75pt" strokecolor="#d8d8d8">
              <v:stroke dashstyle="solid"/>
            </v:rect>
            <v:shape style="position:absolute;left:3788;top:978;width:1152;height:1568" id="docshape881" coordorigin="3788,979" coordsize="1152,1568" path="m3788,2546l3788,979,3866,981,3943,986,4020,996,4095,1009,4170,1026,4244,1046,4317,1070,4388,1098,4458,1129,4526,1163,4593,1201,4658,1242,4721,1286,4782,1334,4840,1384,4897,1438,4940,1483,3788,2546xe" filled="true" fillcolor="#4472c4" stroked="false">
              <v:path arrowok="t"/>
              <v:fill type="solid"/>
            </v:shape>
            <v:shape style="position:absolute;left:3788;top:1482;width:1565;height:1064" id="docshape882" coordorigin="3788,1483" coordsize="1565,1064" path="m3788,2546l4940,1483,4991,1541,5039,1602,5084,1664,5126,1729,5164,1796,5199,1864,5231,1934,5259,2005,5284,2077,5305,2151,5323,2226,5337,2302,5347,2379,5353,2456,3788,2546xe" filled="true" fillcolor="#ed7d31" stroked="false">
              <v:path arrowok="t"/>
              <v:fill type="solid"/>
            </v:shape>
            <v:shape style="position:absolute;left:3788;top:1482;width:1565;height:1064" id="docshape883" coordorigin="3788,1483" coordsize="1565,1064" path="m4940,1483l4991,1541,5039,1602,5084,1664,5126,1729,5164,1796,5199,1864,5231,1934,5259,2005,5284,2077,5305,2151,5323,2226,5337,2302,5347,2379,5353,2456,3788,2546,4940,1483xe" filled="false" stroked="true" strokeweight="1.5pt" strokecolor="#ffffff">
              <v:path arrowok="t"/>
              <v:stroke dashstyle="solid"/>
            </v:shape>
            <v:shape style="position:absolute;left:3788;top:2455;width:1568;height:533" id="docshape884" coordorigin="3788,2456" coordsize="1568,533" path="m5292,2989l3788,2546,5353,2456,5356,2533,5354,2610,5349,2687,5341,2763,5328,2839,5312,2914,5292,2989xe" filled="true" fillcolor="#a5a5a5" stroked="false">
              <v:path arrowok="t"/>
              <v:fill type="solid"/>
            </v:shape>
            <v:shape style="position:absolute;left:3788;top:2455;width:1568;height:533" id="docshape885" coordorigin="3788,2456" coordsize="1568,533" path="m5353,2456l5356,2533,5354,2610,5349,2687,5341,2763,5328,2839,5312,2914,5292,2989,3788,2546,5353,2456xe" filled="false" stroked="true" strokeweight="1.5pt" strokecolor="#ffffff">
              <v:path arrowok="t"/>
              <v:stroke dashstyle="solid"/>
            </v:shape>
            <v:shape style="position:absolute;left:3788;top:2546;width:1504;height:645" id="docshape886" coordorigin="3788,2546" coordsize="1504,645" path="m5217,3191l3788,2546,5292,2989,5276,3040,5258,3091,5238,3141,5217,3191xe" filled="true" fillcolor="#ffc000" stroked="false">
              <v:path arrowok="t"/>
              <v:fill type="solid"/>
            </v:shape>
            <v:shape style="position:absolute;left:3788;top:2546;width:1504;height:645" id="docshape887" coordorigin="3788,2546" coordsize="1504,645" path="m5292,2989l5276,3040,5258,3091,5238,3141,5217,3191,3788,2546,5292,2989xe" filled="false" stroked="true" strokeweight="1.5pt" strokecolor="#ffffff">
              <v:path arrowok="t"/>
              <v:stroke dashstyle="solid"/>
            </v:shape>
            <v:shape style="position:absolute;left:3788;top:2546;width:1429;height:742" id="docshape888" coordorigin="3788,2546" coordsize="1429,742" path="m5169,3287l3788,2546,5217,3191,5206,3215,5194,3240,5182,3264,5169,3287xe" filled="true" fillcolor="#5b9bd5" stroked="false">
              <v:path arrowok="t"/>
              <v:fill type="solid"/>
            </v:shape>
            <v:shape style="position:absolute;left:3788;top:2546;width:1429;height:742" id="docshape889" coordorigin="3788,2546" coordsize="1429,742" path="m5217,3191l5206,3215,5194,3240,5182,3264,5169,3287,3788,2546,5217,3191xe" filled="false" stroked="true" strokeweight="1.5pt" strokecolor="#ffffff">
              <v:path arrowok="t"/>
              <v:stroke dashstyle="solid"/>
            </v:shape>
            <v:shape style="position:absolute;left:3788;top:2546;width:1381;height:798" id="docshape890" coordorigin="3788,2546" coordsize="1381,798" path="m5138,3344l3788,2546,5169,3287,5162,3302,5154,3316,5146,3330,5138,3344xe" filled="true" fillcolor="#70ad47" stroked="false">
              <v:path arrowok="t"/>
              <v:fill type="solid"/>
            </v:shape>
            <v:shape style="position:absolute;left:3788;top:2546;width:1381;height:798" id="docshape891" coordorigin="3788,2546" coordsize="1381,798" path="m5169,3287l5162,3302,5154,3316,5146,3330,5138,3344,3788,2546,5169,3287xe" filled="false" stroked="true" strokeweight="1.5pt" strokecolor="#ffffff">
              <v:path arrowok="t"/>
              <v:stroke dashstyle="solid"/>
            </v:shape>
            <v:shape style="position:absolute;left:3788;top:2546;width:1350;height:1009" id="docshape892" coordorigin="3788,2546" coordsize="1350,1009" path="m4988,3555l3788,2546,5138,3344,5103,3399,5067,3452,5029,3504,4988,3555xe" filled="true" fillcolor="#254378" stroked="false">
              <v:path arrowok="t"/>
              <v:fill type="solid"/>
            </v:shape>
            <v:shape style="position:absolute;left:3788;top:2546;width:1350;height:1009" id="docshape893" coordorigin="3788,2546" coordsize="1350,1009" path="m5138,3344l5103,3399,5067,3452,5029,3504,4988,3555,3788,2546,5138,3344xe" filled="false" stroked="true" strokeweight="1.5pt" strokecolor="#ffffff">
              <v:path arrowok="t"/>
              <v:stroke dashstyle="solid"/>
            </v:shape>
            <v:shape style="position:absolute;left:2221;top:978;width:2768;height:3135" id="docshape894" coordorigin="2221,979" coordsize="2768,3135" path="m3769,4113l3691,4110,3615,4104,3539,4093,3464,4079,3389,4062,3316,4040,3243,4016,3172,3987,3103,3955,3034,3920,2968,3882,2903,3840,2840,3794,2780,3746,2721,3694,2666,3640,2614,3584,2564,3525,2518,3464,2474,3401,2434,3335,2397,3269,2364,3200,2334,3130,2307,3058,2284,2985,2264,2910,2248,2835,2235,2758,2227,2681,2222,2604,2221,2526,2224,2449,2231,2373,2241,2297,2255,2221,2273,2147,2294,2073,2319,2001,2347,1930,2379,1860,2414,1792,2453,1726,2495,1661,2540,1598,2589,1537,2640,1479,2694,1424,2751,1371,2809,1322,2871,1275,2934,1232,2999,1192,3066,1155,3135,1122,3205,1091,3277,1065,3350,1041,3424,1022,3499,1005,3576,993,3653,984,3721,980,3788,979,3788,2546,4988,3555,4937,3613,4883,3668,4826,3721,4767,3770,4706,3817,4643,3860,4578,3900,4511,3937,4442,3971,4372,4001,4300,4028,4227,4051,4153,4071,4077,4087,4001,4099,3923,4108,3846,4112,3769,4113xe" filled="true" fillcolor="#9d480c" stroked="false">
              <v:path arrowok="t"/>
              <v:fill type="solid"/>
            </v:shape>
            <v:shape style="position:absolute;left:2221;top:978;width:2768;height:3135" id="docshape895" coordorigin="2221,979" coordsize="2768,3135" path="m4988,3555l4937,3613,4883,3668,4826,3721,4767,3770,4706,3817,4643,3860,4578,3900,4511,3937,4442,3971,4372,4001,4300,4028,4227,4051,4153,4071,4077,4087,4001,4099,3923,4108,3846,4112,3769,4113,3691,4110,3615,4104,3539,4093,3464,4079,3389,4062,3316,4040,3243,4016,3172,3987,3103,3955,3034,3920,2968,3882,2903,3840,2840,3794,2780,3746,2721,3694,2666,3640,2614,3584,2564,3525,2518,3464,2474,3401,2434,3335,2397,3269,2364,3200,2334,3130,2307,3058,2284,2985,2264,2910,2248,2835,2235,2758,2227,2681,2222,2604,2221,2526,2224,2449,2231,2373,2241,2297,2255,2221,2273,2147,2294,2073,2319,2001,2347,1930,2379,1860,2414,1792,2453,1726,2495,1661,2540,1598,2589,1537,2640,1479,2694,1424,2751,1371,2809,1322,2871,1275,2934,1232,2999,1192,3066,1155,3135,1122,3205,1091,3277,1065,3350,1041,3424,1022,3499,1005,3576,993,3653,984,3721,980,3788,979,3788,2546,4988,3555xe" filled="false" stroked="true" strokeweight="1.5pt" strokecolor="#ffffff">
              <v:path arrowok="t"/>
              <v:stroke dashstyle="solid"/>
            </v:shape>
            <v:line style="position:absolute" from="5135,1798" to="5584,1798" stroked="true" strokeweight=".5pt" strokecolor="#4472c4">
              <v:stroke dashstyle="solid"/>
            </v:line>
            <v:line style="position:absolute" from="5405,2619" to="5421,2619" stroked="true" strokeweight=".5pt" strokecolor="#4472c4">
              <v:stroke dashstyle="solid"/>
            </v:line>
            <v:line style="position:absolute" from="5351,2507" to="5615,2507" stroked="true" strokeweight=".5pt" strokecolor="#4472c4">
              <v:stroke dashstyle="solid"/>
            </v:line>
            <v:rect style="position:absolute;left:5623;top:3239;width:1904;height:448" id="docshape896" filled="false" stroked="true" strokeweight="1pt" strokecolor="#2f528f">
              <v:stroke dashstyle="solid"/>
            </v:rect>
            <v:rect style="position:absolute;left:5599;top:4334;width:1920;height:456" id="docshape897" filled="false" stroked="true" strokeweight="1pt" strokecolor="#2f528f">
              <v:stroke dashstyle="solid"/>
            </v:rect>
            <v:line style="position:absolute" from="2032,2271" to="2216,2271" stroked="true" strokeweight=".5pt" strokecolor="#4472c4">
              <v:stroke dashstyle="solid"/>
            </v:line>
            <v:rect style="position:absolute;left:379;top:2076;width:1624;height:440" id="docshape898" filled="true" fillcolor="#b66752" stroked="false">
              <v:fill type="solid"/>
            </v:rect>
            <v:rect style="position:absolute;left:379;top:2076;width:1624;height:440" id="docshape899" filled="false" stroked="true" strokeweight="1pt" strokecolor="#2f528f">
              <v:stroke dashstyle="solid"/>
            </v:rect>
            <v:rect style="position:absolute;left:5579;top:876;width:1936;height:480" id="docshape900" filled="false" stroked="true" strokeweight="1pt" strokecolor="#2f528f">
              <v:stroke dashstyle="solid"/>
            </v:rect>
            <v:rect style="position:absolute;left:5611;top:1492;width:1904;height:472" id="docshape901" filled="false" stroked="true" strokeweight="1pt" strokecolor="#2f528f">
              <v:stroke dashstyle="solid"/>
            </v:rect>
            <v:rect style="position:absolute;left:5627;top:2204;width:1904;height:440" id="docshape902" filled="false" stroked="true" strokeweight="1pt" strokecolor="#2f528f">
              <v:stroke dashstyle="solid"/>
            </v:rect>
            <v:line style="position:absolute" from="4635,1116" to="5523,1116" stroked="true" strokeweight=".5pt" strokecolor="#4472c4">
              <v:stroke dashstyle="solid"/>
            </v:line>
            <v:rect style="position:absolute;left:5611;top:2716;width:1928;height:480" id="docshape903" filled="false" stroked="true" strokeweight="1pt" strokecolor="#2f528f">
              <v:stroke dashstyle="solid"/>
            </v:rect>
            <v:rect style="position:absolute;left:5619;top:3796;width:1912;height:472" id="docshape904" filled="false" stroked="true" strokeweight="1pt" strokecolor="#2f528f">
              <v:stroke dashstyle="solid"/>
            </v:rect>
            <v:line style="position:absolute" from="5252,3013" to="5572,3021" stroked="true" strokeweight=".5pt" strokecolor="#4472c4">
              <v:stroke dashstyle="solid"/>
            </v:line>
            <v:line style="position:absolute" from="5115,3133" to="5555,3349" stroked="true" strokeweight=".5pt" strokecolor="#4472c4">
              <v:stroke dashstyle="solid"/>
            </v:line>
            <v:line style="position:absolute" from="5107,3325" to="5595,3861" stroked="true" strokeweight=".5pt" strokecolor="#4472c4">
              <v:stroke dashstyle="solid"/>
            </v:line>
            <v:line style="position:absolute" from="4995,3373" to="5595,4228" stroked="true" strokeweight=".5pt" strokecolor="#4472c4">
              <v:stroke dashstyle="solid"/>
            </v:line>
            <v:shape style="position:absolute;left:583;top:2182;width:1236;height:267" type="#_x0000_t202" id="docshape905" filled="false" stroked="false">
              <v:textbox inset="0,0,0,0">
                <w:txbxContent>
                  <w:p>
                    <w:pPr>
                      <w:spacing w:line="122" w:lineRule="exact" w:before="0"/>
                      <w:ind w:left="0" w:right="18" w:firstLine="0"/>
                      <w:jc w:val="center"/>
                      <w:rPr>
                        <w:rFonts w:ascii="Calibri"/>
                        <w:b/>
                        <w:sz w:val="12"/>
                      </w:rPr>
                    </w:pPr>
                    <w:r>
                      <w:rPr>
                        <w:rFonts w:ascii="Calibri"/>
                        <w:b/>
                        <w:color w:val="FFFFFF"/>
                        <w:sz w:val="12"/>
                      </w:rPr>
                      <w:t>NWSSP</w:t>
                    </w:r>
                    <w:r>
                      <w:rPr>
                        <w:rFonts w:ascii="Calibri"/>
                        <w:b/>
                        <w:color w:val="FFFFFF"/>
                        <w:spacing w:val="-2"/>
                        <w:sz w:val="12"/>
                      </w:rPr>
                      <w:t> </w:t>
                    </w:r>
                    <w:r>
                      <w:rPr>
                        <w:rFonts w:ascii="Calibri"/>
                        <w:b/>
                        <w:color w:val="FFFFFF"/>
                        <w:sz w:val="12"/>
                      </w:rPr>
                      <w:t>2,917,390</w:t>
                    </w:r>
                    <w:r>
                      <w:rPr>
                        <w:rFonts w:ascii="Calibri"/>
                        <w:b/>
                        <w:color w:val="FFFFFF"/>
                        <w:spacing w:val="-1"/>
                        <w:sz w:val="12"/>
                      </w:rPr>
                      <w:t> </w:t>
                    </w:r>
                    <w:r>
                      <w:rPr>
                        <w:rFonts w:ascii="Calibri"/>
                        <w:b/>
                        <w:color w:val="FFFFFF"/>
                        <w:spacing w:val="-2"/>
                        <w:sz w:val="12"/>
                      </w:rPr>
                      <w:t>words</w:t>
                    </w:r>
                  </w:p>
                  <w:p>
                    <w:pPr>
                      <w:spacing w:line="144" w:lineRule="exact" w:before="0"/>
                      <w:ind w:left="0" w:right="17" w:firstLine="0"/>
                      <w:jc w:val="center"/>
                      <w:rPr>
                        <w:rFonts w:ascii="Calibri"/>
                        <w:b/>
                        <w:sz w:val="12"/>
                      </w:rPr>
                    </w:pPr>
                    <w:r>
                      <w:rPr>
                        <w:rFonts w:ascii="Calibri"/>
                        <w:b/>
                        <w:color w:val="FFFFFF"/>
                        <w:spacing w:val="-5"/>
                        <w:sz w:val="12"/>
                      </w:rPr>
                      <w:t>62%</w:t>
                    </w:r>
                  </w:p>
                </w:txbxContent>
              </v:textbox>
              <w10:wrap type="none"/>
            </v:shape>
            <v:shape style="position:absolute;left:5614;top:4311;width:1901;height:497" type="#_x0000_t202" id="docshape906" filled="true" fillcolor="#1e4e79" stroked="false">
              <v:textbox inset="0,0,0,0">
                <w:txbxContent>
                  <w:p>
                    <w:pPr>
                      <w:spacing w:before="95"/>
                      <w:ind w:left="787" w:right="133" w:hanging="403"/>
                      <w:jc w:val="left"/>
                      <w:rPr>
                        <w:rFonts w:ascii="Calibri"/>
                        <w:b/>
                        <w:color w:val="000000"/>
                        <w:sz w:val="12"/>
                      </w:rPr>
                    </w:pPr>
                    <w:r>
                      <w:rPr>
                        <w:rFonts w:ascii="Calibri"/>
                        <w:b/>
                        <w:color w:val="000000"/>
                        <w:sz w:val="12"/>
                      </w:rPr>
                      <w:t>WAST</w:t>
                    </w:r>
                    <w:r>
                      <w:rPr>
                        <w:rFonts w:ascii="Calibri"/>
                        <w:b/>
                        <w:color w:val="000000"/>
                        <w:spacing w:val="-7"/>
                        <w:sz w:val="12"/>
                      </w:rPr>
                      <w:t> </w:t>
                    </w:r>
                    <w:r>
                      <w:rPr>
                        <w:rFonts w:ascii="Calibri"/>
                        <w:b/>
                        <w:color w:val="000000"/>
                        <w:sz w:val="12"/>
                      </w:rPr>
                      <w:t>-</w:t>
                    </w:r>
                    <w:r>
                      <w:rPr>
                        <w:rFonts w:ascii="Calibri"/>
                        <w:b/>
                        <w:color w:val="000000"/>
                        <w:spacing w:val="-7"/>
                        <w:sz w:val="12"/>
                      </w:rPr>
                      <w:t> </w:t>
                    </w:r>
                    <w:r>
                      <w:rPr>
                        <w:rFonts w:ascii="Calibri"/>
                        <w:b/>
                        <w:color w:val="000000"/>
                        <w:sz w:val="12"/>
                      </w:rPr>
                      <w:t>120,000</w:t>
                    </w:r>
                    <w:r>
                      <w:rPr>
                        <w:rFonts w:ascii="Calibri"/>
                        <w:b/>
                        <w:color w:val="000000"/>
                        <w:spacing w:val="-7"/>
                        <w:sz w:val="12"/>
                      </w:rPr>
                      <w:t> </w:t>
                    </w:r>
                    <w:r>
                      <w:rPr>
                        <w:rFonts w:ascii="Calibri"/>
                        <w:b/>
                        <w:color w:val="000000"/>
                        <w:sz w:val="12"/>
                      </w:rPr>
                      <w:t>words</w:t>
                    </w:r>
                    <w:r>
                      <w:rPr>
                        <w:rFonts w:ascii="Calibri"/>
                        <w:b/>
                        <w:color w:val="000000"/>
                        <w:spacing w:val="40"/>
                        <w:sz w:val="12"/>
                      </w:rPr>
                      <w:t> </w:t>
                    </w:r>
                    <w:r>
                      <w:rPr>
                        <w:rFonts w:ascii="Calibri"/>
                        <w:b/>
                        <w:color w:val="000000"/>
                        <w:spacing w:val="-2"/>
                        <w:sz w:val="12"/>
                      </w:rPr>
                      <w:t>(2.5%)</w:t>
                    </w:r>
                  </w:p>
                </w:txbxContent>
              </v:textbox>
              <v:fill type="solid"/>
              <w10:wrap type="none"/>
            </v:shape>
            <v:shape style="position:absolute;left:5619;top:3796;width:1912;height:472" type="#_x0000_t202" id="docshape907" filled="true" fillcolor="#70ad47" stroked="false">
              <v:textbox inset="0,0,0,0">
                <w:txbxContent>
                  <w:p>
                    <w:pPr>
                      <w:spacing w:line="259" w:lineRule="auto" w:before="82"/>
                      <w:ind w:left="798" w:right="194" w:hanging="358"/>
                      <w:jc w:val="left"/>
                      <w:rPr>
                        <w:rFonts w:ascii="Calibri"/>
                        <w:b/>
                        <w:color w:val="000000"/>
                        <w:sz w:val="12"/>
                      </w:rPr>
                    </w:pPr>
                    <w:r>
                      <w:rPr>
                        <w:rFonts w:ascii="Calibri"/>
                        <w:b/>
                        <w:color w:val="FFFFFF"/>
                        <w:sz w:val="12"/>
                      </w:rPr>
                      <w:t>VIHC</w:t>
                    </w:r>
                    <w:r>
                      <w:rPr>
                        <w:rFonts w:ascii="Calibri"/>
                        <w:b/>
                        <w:color w:val="FFFFFF"/>
                        <w:spacing w:val="-7"/>
                        <w:sz w:val="12"/>
                      </w:rPr>
                      <w:t> </w:t>
                    </w:r>
                    <w:r>
                      <w:rPr>
                        <w:rFonts w:ascii="Calibri"/>
                        <w:b/>
                        <w:color w:val="FFFFFF"/>
                        <w:sz w:val="12"/>
                      </w:rPr>
                      <w:t>-</w:t>
                    </w:r>
                    <w:r>
                      <w:rPr>
                        <w:rFonts w:ascii="Calibri"/>
                        <w:b/>
                        <w:color w:val="FFFFFF"/>
                        <w:spacing w:val="3"/>
                        <w:sz w:val="12"/>
                      </w:rPr>
                      <w:t> </w:t>
                    </w:r>
                    <w:r>
                      <w:rPr>
                        <w:rFonts w:ascii="Calibri"/>
                        <w:b/>
                        <w:color w:val="FFFFFF"/>
                        <w:sz w:val="12"/>
                      </w:rPr>
                      <w:t>30,000</w:t>
                    </w:r>
                    <w:r>
                      <w:rPr>
                        <w:rFonts w:ascii="Calibri"/>
                        <w:b/>
                        <w:color w:val="FFFFFF"/>
                        <w:spacing w:val="-7"/>
                        <w:sz w:val="12"/>
                      </w:rPr>
                      <w:t> </w:t>
                    </w:r>
                    <w:r>
                      <w:rPr>
                        <w:rFonts w:ascii="Calibri"/>
                        <w:b/>
                        <w:color w:val="FFFFFF"/>
                        <w:sz w:val="12"/>
                      </w:rPr>
                      <w:t>words</w:t>
                    </w:r>
                    <w:r>
                      <w:rPr>
                        <w:rFonts w:ascii="Calibri"/>
                        <w:b/>
                        <w:color w:val="FFFFFF"/>
                        <w:spacing w:val="40"/>
                        <w:sz w:val="12"/>
                      </w:rPr>
                      <w:t> </w:t>
                    </w:r>
                    <w:r>
                      <w:rPr>
                        <w:rFonts w:ascii="Calibri"/>
                        <w:b/>
                        <w:color w:val="FFFFFF"/>
                        <w:spacing w:val="-2"/>
                        <w:sz w:val="12"/>
                      </w:rPr>
                      <w:t>(0.5%)</w:t>
                    </w:r>
                  </w:p>
                </w:txbxContent>
              </v:textbox>
              <v:fill type="solid"/>
              <w10:wrap type="none"/>
            </v:shape>
            <v:shape style="position:absolute;left:5614;top:3228;width:1906;height:450" type="#_x0000_t202" id="docshape908" filled="true" fillcolor="#2e75b5" stroked="false">
              <v:textbox inset="0,0,0,0">
                <w:txbxContent>
                  <w:p>
                    <w:pPr>
                      <w:spacing w:before="83"/>
                      <w:ind w:left="419" w:right="403" w:firstLine="0"/>
                      <w:jc w:val="center"/>
                      <w:rPr>
                        <w:rFonts w:ascii="Calibri"/>
                        <w:b/>
                        <w:color w:val="000000"/>
                        <w:sz w:val="12"/>
                      </w:rPr>
                    </w:pPr>
                    <w:r>
                      <w:rPr>
                        <w:rFonts w:ascii="Calibri"/>
                        <w:b/>
                        <w:color w:val="000000"/>
                        <w:sz w:val="12"/>
                      </w:rPr>
                      <w:t>WHSSC</w:t>
                    </w:r>
                    <w:r>
                      <w:rPr>
                        <w:rFonts w:ascii="Calibri"/>
                        <w:b/>
                        <w:color w:val="000000"/>
                        <w:spacing w:val="-5"/>
                        <w:sz w:val="12"/>
                      </w:rPr>
                      <w:t> </w:t>
                    </w:r>
                    <w:r>
                      <w:rPr>
                        <w:rFonts w:ascii="Calibri"/>
                        <w:b/>
                        <w:color w:val="000000"/>
                        <w:sz w:val="12"/>
                      </w:rPr>
                      <w:t>50,000</w:t>
                    </w:r>
                    <w:r>
                      <w:rPr>
                        <w:rFonts w:ascii="Calibri"/>
                        <w:b/>
                        <w:color w:val="000000"/>
                        <w:spacing w:val="-2"/>
                        <w:sz w:val="12"/>
                      </w:rPr>
                      <w:t> words</w:t>
                    </w:r>
                  </w:p>
                  <w:p>
                    <w:pPr>
                      <w:spacing w:before="0"/>
                      <w:ind w:left="419" w:right="403" w:firstLine="0"/>
                      <w:jc w:val="center"/>
                      <w:rPr>
                        <w:rFonts w:ascii="Calibri"/>
                        <w:b/>
                        <w:color w:val="000000"/>
                        <w:sz w:val="12"/>
                      </w:rPr>
                    </w:pPr>
                    <w:r>
                      <w:rPr>
                        <w:rFonts w:ascii="Calibri"/>
                        <w:b/>
                        <w:color w:val="000000"/>
                        <w:spacing w:val="-4"/>
                        <w:sz w:val="12"/>
                      </w:rPr>
                      <w:t>(1%)</w:t>
                    </w:r>
                  </w:p>
                </w:txbxContent>
              </v:textbox>
              <v:fill type="solid"/>
              <w10:wrap type="none"/>
            </v:shape>
            <v:shape style="position:absolute;left:5614;top:2690;width:1899;height:518" type="#_x0000_t202" id="docshape909" filled="true" fillcolor="#ffc000" stroked="false">
              <v:textbox inset="0,0,0,0">
                <w:txbxContent>
                  <w:p>
                    <w:pPr>
                      <w:spacing w:line="240" w:lineRule="auto" w:before="10"/>
                      <w:rPr>
                        <w:rFonts w:ascii="Calibri"/>
                        <w:color w:val="000000"/>
                        <w:sz w:val="8"/>
                      </w:rPr>
                    </w:pPr>
                  </w:p>
                  <w:p>
                    <w:pPr>
                      <w:spacing w:before="0"/>
                      <w:ind w:left="849" w:right="212" w:hanging="449"/>
                      <w:jc w:val="left"/>
                      <w:rPr>
                        <w:rFonts w:ascii="Calibri" w:hAnsi="Calibri"/>
                        <w:b/>
                        <w:color w:val="000000"/>
                        <w:sz w:val="12"/>
                      </w:rPr>
                    </w:pPr>
                    <w:r>
                      <w:rPr>
                        <w:rFonts w:ascii="Calibri" w:hAnsi="Calibri"/>
                        <w:b/>
                        <w:color w:val="1F3764"/>
                        <w:sz w:val="12"/>
                      </w:rPr>
                      <w:t>HEIW</w:t>
                    </w:r>
                    <w:r>
                      <w:rPr>
                        <w:rFonts w:ascii="Calibri" w:hAnsi="Calibri"/>
                        <w:b/>
                        <w:color w:val="1F3764"/>
                        <w:spacing w:val="-7"/>
                        <w:sz w:val="12"/>
                      </w:rPr>
                      <w:t> </w:t>
                    </w:r>
                    <w:r>
                      <w:rPr>
                        <w:rFonts w:ascii="Calibri" w:hAnsi="Calibri"/>
                        <w:b/>
                        <w:color w:val="1F3764"/>
                        <w:sz w:val="12"/>
                      </w:rPr>
                      <w:t>–</w:t>
                    </w:r>
                    <w:r>
                      <w:rPr>
                        <w:rFonts w:ascii="Calibri" w:hAnsi="Calibri"/>
                        <w:b/>
                        <w:color w:val="1F3764"/>
                        <w:spacing w:val="-7"/>
                        <w:sz w:val="12"/>
                      </w:rPr>
                      <w:t> </w:t>
                    </w:r>
                    <w:r>
                      <w:rPr>
                        <w:rFonts w:ascii="Calibri" w:hAnsi="Calibri"/>
                        <w:b/>
                        <w:color w:val="1F3764"/>
                        <w:sz w:val="12"/>
                      </w:rPr>
                      <w:t>100,000</w:t>
                    </w:r>
                    <w:r>
                      <w:rPr>
                        <w:rFonts w:ascii="Calibri" w:hAnsi="Calibri"/>
                        <w:b/>
                        <w:color w:val="1F3764"/>
                        <w:spacing w:val="-7"/>
                        <w:sz w:val="12"/>
                      </w:rPr>
                      <w:t> </w:t>
                    </w:r>
                    <w:r>
                      <w:rPr>
                        <w:rFonts w:ascii="Calibri" w:hAnsi="Calibri"/>
                        <w:b/>
                        <w:color w:val="1F3764"/>
                        <w:sz w:val="12"/>
                      </w:rPr>
                      <w:t>words</w:t>
                    </w:r>
                    <w:r>
                      <w:rPr>
                        <w:rFonts w:ascii="Calibri" w:hAnsi="Calibri"/>
                        <w:b/>
                        <w:color w:val="1F3764"/>
                        <w:spacing w:val="40"/>
                        <w:sz w:val="12"/>
                      </w:rPr>
                      <w:t> </w:t>
                    </w:r>
                    <w:r>
                      <w:rPr>
                        <w:rFonts w:ascii="Calibri" w:hAnsi="Calibri"/>
                        <w:b/>
                        <w:color w:val="1F3764"/>
                        <w:spacing w:val="-4"/>
                        <w:sz w:val="12"/>
                      </w:rPr>
                      <w:t>(3%)</w:t>
                    </w:r>
                  </w:p>
                </w:txbxContent>
              </v:textbox>
              <v:fill type="solid"/>
              <w10:wrap type="none"/>
            </v:shape>
            <v:shape style="position:absolute;left:5627;top:2204;width:1904;height:440" type="#_x0000_t202" id="docshape910" filled="true" fillcolor="#a5a5a5" stroked="false">
              <v:textbox inset="0,0,0,0">
                <w:txbxContent>
                  <w:p>
                    <w:pPr>
                      <w:spacing w:before="82"/>
                      <w:ind w:left="350" w:right="350" w:firstLine="0"/>
                      <w:jc w:val="center"/>
                      <w:rPr>
                        <w:rFonts w:ascii="Calibri"/>
                        <w:b/>
                        <w:color w:val="000000"/>
                        <w:sz w:val="12"/>
                      </w:rPr>
                    </w:pPr>
                    <w:r>
                      <w:rPr>
                        <w:rFonts w:ascii="Calibri"/>
                        <w:b/>
                        <w:color w:val="FFFFFF"/>
                        <w:sz w:val="12"/>
                      </w:rPr>
                      <w:t>VUNHST</w:t>
                    </w:r>
                    <w:r>
                      <w:rPr>
                        <w:rFonts w:ascii="Calibri"/>
                        <w:b/>
                        <w:color w:val="FFFFFF"/>
                        <w:spacing w:val="-4"/>
                        <w:sz w:val="12"/>
                      </w:rPr>
                      <w:t> </w:t>
                    </w:r>
                    <w:r>
                      <w:rPr>
                        <w:rFonts w:ascii="Calibri"/>
                        <w:b/>
                        <w:color w:val="FFFFFF"/>
                        <w:sz w:val="12"/>
                      </w:rPr>
                      <w:t>250,000</w:t>
                    </w:r>
                    <w:r>
                      <w:rPr>
                        <w:rFonts w:ascii="Calibri"/>
                        <w:b/>
                        <w:color w:val="FFFFFF"/>
                        <w:spacing w:val="-3"/>
                        <w:sz w:val="12"/>
                      </w:rPr>
                      <w:t> </w:t>
                    </w:r>
                    <w:r>
                      <w:rPr>
                        <w:rFonts w:ascii="Calibri"/>
                        <w:b/>
                        <w:color w:val="FFFFFF"/>
                        <w:spacing w:val="-2"/>
                        <w:sz w:val="12"/>
                      </w:rPr>
                      <w:t>words</w:t>
                    </w:r>
                  </w:p>
                  <w:p>
                    <w:pPr>
                      <w:spacing w:before="0"/>
                      <w:ind w:left="350" w:right="350" w:firstLine="0"/>
                      <w:jc w:val="center"/>
                      <w:rPr>
                        <w:rFonts w:ascii="Calibri"/>
                        <w:b/>
                        <w:color w:val="000000"/>
                        <w:sz w:val="12"/>
                      </w:rPr>
                    </w:pPr>
                    <w:r>
                      <w:rPr>
                        <w:rFonts w:ascii="Calibri"/>
                        <w:b/>
                        <w:color w:val="FFFFFF"/>
                        <w:spacing w:val="-4"/>
                        <w:sz w:val="12"/>
                      </w:rPr>
                      <w:t>(6%)</w:t>
                    </w:r>
                  </w:p>
                </w:txbxContent>
              </v:textbox>
              <v:fill type="solid"/>
              <w10:wrap type="none"/>
            </v:shape>
            <v:shape style="position:absolute;left:5611;top:1492;width:1904;height:472" type="#_x0000_t202" id="docshape911" filled="true" fillcolor="#ed7d31" stroked="false">
              <v:textbox inset="0,0,0,0">
                <w:txbxContent>
                  <w:p>
                    <w:pPr>
                      <w:spacing w:line="259" w:lineRule="auto" w:before="82"/>
                      <w:ind w:left="810" w:right="222" w:hanging="541"/>
                      <w:jc w:val="left"/>
                      <w:rPr>
                        <w:rFonts w:ascii="Calibri"/>
                        <w:b/>
                        <w:color w:val="000000"/>
                        <w:sz w:val="12"/>
                      </w:rPr>
                    </w:pPr>
                    <w:r>
                      <w:rPr>
                        <w:rFonts w:ascii="Calibri"/>
                        <w:b/>
                        <w:color w:val="FFFFFF"/>
                        <w:sz w:val="12"/>
                      </w:rPr>
                      <w:t>DHCW</w:t>
                    </w:r>
                    <w:r>
                      <w:rPr>
                        <w:rFonts w:ascii="Calibri"/>
                        <w:b/>
                        <w:color w:val="FFFFFF"/>
                        <w:spacing w:val="-7"/>
                        <w:sz w:val="12"/>
                      </w:rPr>
                      <w:t> </w:t>
                    </w:r>
                    <w:r>
                      <w:rPr>
                        <w:rFonts w:ascii="Calibri"/>
                        <w:b/>
                        <w:color w:val="FFFFFF"/>
                        <w:sz w:val="12"/>
                      </w:rPr>
                      <w:t>500,000</w:t>
                    </w:r>
                    <w:r>
                      <w:rPr>
                        <w:rFonts w:ascii="Calibri"/>
                        <w:b/>
                        <w:color w:val="FFFFFF"/>
                        <w:spacing w:val="-7"/>
                        <w:sz w:val="12"/>
                      </w:rPr>
                      <w:t> </w:t>
                    </w:r>
                    <w:r>
                      <w:rPr>
                        <w:rFonts w:ascii="Calibri"/>
                        <w:b/>
                        <w:color w:val="FFFFFF"/>
                        <w:sz w:val="12"/>
                      </w:rPr>
                      <w:t>words</w:t>
                    </w:r>
                    <w:r>
                      <w:rPr>
                        <w:rFonts w:ascii="Calibri"/>
                        <w:b/>
                        <w:color w:val="FFFFFF"/>
                        <w:spacing w:val="-7"/>
                        <w:sz w:val="12"/>
                      </w:rPr>
                      <w:t> </w:t>
                    </w:r>
                    <w:r>
                      <w:rPr>
                        <w:rFonts w:ascii="Calibri"/>
                        <w:b/>
                        <w:color w:val="FFFFFF"/>
                        <w:sz w:val="12"/>
                      </w:rPr>
                      <w:t>(SLA)</w:t>
                    </w:r>
                    <w:r>
                      <w:rPr>
                        <w:rFonts w:ascii="Calibri"/>
                        <w:b/>
                        <w:color w:val="FFFFFF"/>
                        <w:spacing w:val="40"/>
                        <w:sz w:val="12"/>
                      </w:rPr>
                      <w:t> </w:t>
                    </w:r>
                    <w:r>
                      <w:rPr>
                        <w:rFonts w:ascii="Calibri"/>
                        <w:b/>
                        <w:color w:val="FFFFFF"/>
                        <w:spacing w:val="-2"/>
                        <w:sz w:val="12"/>
                      </w:rPr>
                      <w:t>(11%)</w:t>
                    </w:r>
                  </w:p>
                </w:txbxContent>
              </v:textbox>
              <v:fill type="solid"/>
              <w10:wrap type="none"/>
            </v:shape>
            <v:shape style="position:absolute;left:5579;top:876;width:1936;height:480" type="#_x0000_t202" id="docshape912" filled="true" fillcolor="#4472c4" stroked="false">
              <v:textbox inset="0,0,0,0">
                <w:txbxContent>
                  <w:p>
                    <w:pPr>
                      <w:spacing w:line="259" w:lineRule="auto" w:before="82"/>
                      <w:ind w:left="826" w:right="54" w:hanging="547"/>
                      <w:jc w:val="left"/>
                      <w:rPr>
                        <w:rFonts w:ascii="Calibri" w:hAnsi="Calibri"/>
                        <w:b/>
                        <w:color w:val="000000"/>
                        <w:sz w:val="12"/>
                      </w:rPr>
                    </w:pPr>
                    <w:r>
                      <w:rPr>
                        <w:rFonts w:ascii="Calibri" w:hAnsi="Calibri"/>
                        <w:b/>
                        <w:color w:val="FFFFFF"/>
                        <w:sz w:val="12"/>
                      </w:rPr>
                      <w:t>PHW</w:t>
                    </w:r>
                    <w:r>
                      <w:rPr>
                        <w:rFonts w:ascii="Calibri" w:hAnsi="Calibri"/>
                        <w:b/>
                        <w:color w:val="FFFFFF"/>
                        <w:spacing w:val="-7"/>
                        <w:sz w:val="12"/>
                      </w:rPr>
                      <w:t> </w:t>
                    </w:r>
                    <w:r>
                      <w:rPr>
                        <w:rFonts w:ascii="Calibri" w:hAnsi="Calibri"/>
                        <w:b/>
                        <w:color w:val="FFFFFF"/>
                        <w:sz w:val="12"/>
                      </w:rPr>
                      <w:t>–</w:t>
                    </w:r>
                    <w:r>
                      <w:rPr>
                        <w:rFonts w:ascii="Calibri" w:hAnsi="Calibri"/>
                        <w:b/>
                        <w:color w:val="FFFFFF"/>
                        <w:spacing w:val="-7"/>
                        <w:sz w:val="12"/>
                      </w:rPr>
                      <w:t> </w:t>
                    </w:r>
                    <w:r>
                      <w:rPr>
                        <w:rFonts w:ascii="Calibri" w:hAnsi="Calibri"/>
                        <w:b/>
                        <w:color w:val="FFFFFF"/>
                        <w:sz w:val="12"/>
                      </w:rPr>
                      <w:t>600,000</w:t>
                    </w:r>
                    <w:r>
                      <w:rPr>
                        <w:rFonts w:ascii="Calibri" w:hAnsi="Calibri"/>
                        <w:b/>
                        <w:color w:val="FFFFFF"/>
                        <w:spacing w:val="-7"/>
                        <w:sz w:val="12"/>
                      </w:rPr>
                      <w:t> </w:t>
                    </w:r>
                    <w:r>
                      <w:rPr>
                        <w:rFonts w:ascii="Calibri" w:hAnsi="Calibri"/>
                        <w:b/>
                        <w:color w:val="FFFFFF"/>
                        <w:sz w:val="12"/>
                      </w:rPr>
                      <w:t>words</w:t>
                    </w:r>
                    <w:r>
                      <w:rPr>
                        <w:rFonts w:ascii="Calibri" w:hAnsi="Calibri"/>
                        <w:b/>
                        <w:color w:val="FFFFFF"/>
                        <w:spacing w:val="-7"/>
                        <w:sz w:val="12"/>
                      </w:rPr>
                      <w:t> </w:t>
                    </w:r>
                    <w:r>
                      <w:rPr>
                        <w:rFonts w:ascii="Calibri" w:hAnsi="Calibri"/>
                        <w:b/>
                        <w:color w:val="FFFFFF"/>
                        <w:sz w:val="12"/>
                      </w:rPr>
                      <w:t>(SLA)</w:t>
                    </w:r>
                    <w:r>
                      <w:rPr>
                        <w:rFonts w:ascii="Calibri" w:hAnsi="Calibri"/>
                        <w:b/>
                        <w:color w:val="FFFFFF"/>
                        <w:spacing w:val="40"/>
                        <w:sz w:val="12"/>
                      </w:rPr>
                      <w:t> </w:t>
                    </w:r>
                    <w:r>
                      <w:rPr>
                        <w:rFonts w:ascii="Calibri" w:hAnsi="Calibri"/>
                        <w:b/>
                        <w:color w:val="FFFFFF"/>
                        <w:spacing w:val="-2"/>
                        <w:sz w:val="12"/>
                      </w:rPr>
                      <w:t>(14%)</w:t>
                    </w:r>
                  </w:p>
                </w:txbxContent>
              </v:textbox>
              <v:fill type="solid"/>
              <w10:wrap type="none"/>
            </v:shape>
            <v:shape style="position:absolute;left:15;top:15;width:7505;height:852" type="#_x0000_t202" id="docshape913" filled="false" stroked="false">
              <v:textbox inset="0,0,0,0">
                <w:txbxContent>
                  <w:p>
                    <w:pPr>
                      <w:spacing w:before="142"/>
                      <w:ind w:left="2221" w:right="390" w:hanging="1419"/>
                      <w:jc w:val="left"/>
                      <w:rPr>
                        <w:rFonts w:ascii="Calibri"/>
                        <w:b/>
                        <w:sz w:val="22"/>
                      </w:rPr>
                    </w:pPr>
                    <w:r>
                      <w:rPr>
                        <w:rFonts w:ascii="Calibri"/>
                        <w:b/>
                        <w:color w:val="595959"/>
                        <w:sz w:val="22"/>
                      </w:rPr>
                      <w:t>Translation</w:t>
                    </w:r>
                    <w:r>
                      <w:rPr>
                        <w:rFonts w:ascii="Calibri"/>
                        <w:b/>
                        <w:color w:val="595959"/>
                        <w:spacing w:val="-5"/>
                        <w:sz w:val="22"/>
                      </w:rPr>
                      <w:t> </w:t>
                    </w:r>
                    <w:r>
                      <w:rPr>
                        <w:rFonts w:ascii="Calibri"/>
                        <w:b/>
                        <w:color w:val="595959"/>
                        <w:sz w:val="22"/>
                      </w:rPr>
                      <w:t>services</w:t>
                    </w:r>
                    <w:r>
                      <w:rPr>
                        <w:rFonts w:ascii="Calibri"/>
                        <w:b/>
                        <w:color w:val="595959"/>
                        <w:spacing w:val="-6"/>
                        <w:sz w:val="22"/>
                      </w:rPr>
                      <w:t> </w:t>
                    </w:r>
                    <w:r>
                      <w:rPr>
                        <w:rFonts w:ascii="Calibri"/>
                        <w:b/>
                        <w:color w:val="595959"/>
                        <w:sz w:val="22"/>
                      </w:rPr>
                      <w:t>provided</w:t>
                    </w:r>
                    <w:r>
                      <w:rPr>
                        <w:rFonts w:ascii="Calibri"/>
                        <w:b/>
                        <w:color w:val="595959"/>
                        <w:spacing w:val="-6"/>
                        <w:sz w:val="22"/>
                      </w:rPr>
                      <w:t> </w:t>
                    </w:r>
                    <w:r>
                      <w:rPr>
                        <w:rFonts w:ascii="Calibri"/>
                        <w:b/>
                        <w:color w:val="595959"/>
                        <w:sz w:val="22"/>
                      </w:rPr>
                      <w:t>to</w:t>
                    </w:r>
                    <w:r>
                      <w:rPr>
                        <w:rFonts w:ascii="Calibri"/>
                        <w:b/>
                        <w:color w:val="595959"/>
                        <w:spacing w:val="-5"/>
                        <w:sz w:val="22"/>
                      </w:rPr>
                      <w:t> </w:t>
                    </w:r>
                    <w:r>
                      <w:rPr>
                        <w:rFonts w:ascii="Calibri"/>
                        <w:b/>
                        <w:color w:val="595959"/>
                        <w:sz w:val="22"/>
                      </w:rPr>
                      <w:t>NHS</w:t>
                    </w:r>
                    <w:r>
                      <w:rPr>
                        <w:rFonts w:ascii="Calibri"/>
                        <w:b/>
                        <w:color w:val="595959"/>
                        <w:spacing w:val="-5"/>
                        <w:sz w:val="22"/>
                      </w:rPr>
                      <w:t> </w:t>
                    </w:r>
                    <w:r>
                      <w:rPr>
                        <w:rFonts w:ascii="Calibri"/>
                        <w:b/>
                        <w:color w:val="595959"/>
                        <w:sz w:val="22"/>
                      </w:rPr>
                      <w:t>Organisations</w:t>
                    </w:r>
                    <w:r>
                      <w:rPr>
                        <w:rFonts w:ascii="Calibri"/>
                        <w:b/>
                        <w:color w:val="595959"/>
                        <w:spacing w:val="-5"/>
                        <w:sz w:val="22"/>
                      </w:rPr>
                      <w:t> </w:t>
                    </w:r>
                    <w:r>
                      <w:rPr>
                        <w:rFonts w:ascii="Calibri"/>
                        <w:b/>
                        <w:color w:val="595959"/>
                        <w:sz w:val="22"/>
                      </w:rPr>
                      <w:t>by</w:t>
                    </w:r>
                    <w:r>
                      <w:rPr>
                        <w:rFonts w:ascii="Calibri"/>
                        <w:b/>
                        <w:color w:val="595959"/>
                        <w:spacing w:val="-5"/>
                        <w:sz w:val="22"/>
                      </w:rPr>
                      <w:t> </w:t>
                    </w:r>
                    <w:r>
                      <w:rPr>
                        <w:rFonts w:ascii="Calibri"/>
                        <w:b/>
                        <w:color w:val="595959"/>
                        <w:sz w:val="22"/>
                      </w:rPr>
                      <w:t>NWSSP's Welsh Language Unit 2021/2022</w:t>
                    </w:r>
                  </w:p>
                </w:txbxContent>
              </v:textbox>
              <w10:wrap type="none"/>
            </v:shape>
          </v:group>
        </w:pict>
      </w:r>
      <w:r>
        <w:rPr>
          <w:rFonts w:ascii="Calibri"/>
          <w:sz w:val="20"/>
        </w:rPr>
      </w:r>
    </w:p>
    <w:p>
      <w:pPr>
        <w:pStyle w:val="BodyText"/>
        <w:spacing w:before="2"/>
        <w:rPr>
          <w:rFonts w:ascii="Calibri"/>
          <w:sz w:val="9"/>
        </w:rPr>
      </w:pPr>
    </w:p>
    <w:p>
      <w:pPr>
        <w:spacing w:before="56"/>
        <w:ind w:left="2160" w:right="1405" w:firstLine="0"/>
        <w:jc w:val="left"/>
        <w:rPr>
          <w:rFonts w:ascii="Calibri"/>
          <w:sz w:val="22"/>
        </w:rPr>
      </w:pPr>
      <w:r>
        <w:rPr>
          <w:rFonts w:ascii="Calibri"/>
          <w:sz w:val="22"/>
        </w:rPr>
        <w:t>We</w:t>
      </w:r>
      <w:r>
        <w:rPr>
          <w:rFonts w:ascii="Calibri"/>
          <w:spacing w:val="-3"/>
          <w:sz w:val="22"/>
        </w:rPr>
        <w:t> </w:t>
      </w:r>
      <w:r>
        <w:rPr>
          <w:rFonts w:ascii="Calibri"/>
          <w:sz w:val="22"/>
        </w:rPr>
        <w:t>had</w:t>
      </w:r>
      <w:r>
        <w:rPr>
          <w:rFonts w:ascii="Calibri"/>
          <w:spacing w:val="-3"/>
          <w:sz w:val="22"/>
        </w:rPr>
        <w:t> </w:t>
      </w:r>
      <w:r>
        <w:rPr>
          <w:rFonts w:ascii="Calibri"/>
          <w:sz w:val="22"/>
        </w:rPr>
        <w:t>an</w:t>
      </w:r>
      <w:r>
        <w:rPr>
          <w:rFonts w:ascii="Calibri"/>
          <w:spacing w:val="-2"/>
          <w:sz w:val="22"/>
        </w:rPr>
        <w:t> </w:t>
      </w:r>
      <w:r>
        <w:rPr>
          <w:rFonts w:ascii="Calibri"/>
          <w:sz w:val="22"/>
        </w:rPr>
        <w:t>a</w:t>
      </w:r>
      <w:r>
        <w:rPr>
          <w:rFonts w:ascii="Calibri"/>
          <w:spacing w:val="-3"/>
          <w:sz w:val="22"/>
        </w:rPr>
        <w:t> </w:t>
      </w:r>
      <w:r>
        <w:rPr>
          <w:rFonts w:ascii="Calibri"/>
          <w:sz w:val="22"/>
        </w:rPr>
        <w:t>SLA</w:t>
      </w:r>
      <w:r>
        <w:rPr>
          <w:rFonts w:ascii="Calibri"/>
          <w:spacing w:val="-3"/>
          <w:sz w:val="22"/>
        </w:rPr>
        <w:t> </w:t>
      </w:r>
      <w:r>
        <w:rPr>
          <w:rFonts w:ascii="Calibri"/>
          <w:sz w:val="22"/>
        </w:rPr>
        <w:t>in</w:t>
      </w:r>
      <w:r>
        <w:rPr>
          <w:rFonts w:ascii="Calibri"/>
          <w:spacing w:val="-3"/>
          <w:sz w:val="22"/>
        </w:rPr>
        <w:t> </w:t>
      </w:r>
      <w:r>
        <w:rPr>
          <w:rFonts w:ascii="Calibri"/>
          <w:sz w:val="22"/>
        </w:rPr>
        <w:t>place</w:t>
      </w:r>
      <w:r>
        <w:rPr>
          <w:rFonts w:ascii="Calibri"/>
          <w:spacing w:val="-3"/>
          <w:sz w:val="22"/>
        </w:rPr>
        <w:t> </w:t>
      </w:r>
      <w:r>
        <w:rPr>
          <w:rFonts w:ascii="Calibri"/>
          <w:sz w:val="22"/>
        </w:rPr>
        <w:t>to</w:t>
      </w:r>
      <w:r>
        <w:rPr>
          <w:rFonts w:ascii="Calibri"/>
          <w:spacing w:val="-2"/>
          <w:sz w:val="22"/>
        </w:rPr>
        <w:t> </w:t>
      </w:r>
      <w:r>
        <w:rPr>
          <w:rFonts w:ascii="Calibri"/>
          <w:sz w:val="22"/>
        </w:rPr>
        <w:t>support</w:t>
      </w:r>
      <w:r>
        <w:rPr>
          <w:rFonts w:ascii="Calibri"/>
          <w:spacing w:val="-2"/>
          <w:sz w:val="22"/>
        </w:rPr>
        <w:t> </w:t>
      </w:r>
      <w:r>
        <w:rPr>
          <w:rFonts w:ascii="Calibri"/>
          <w:sz w:val="22"/>
        </w:rPr>
        <w:t>PHW,</w:t>
      </w:r>
      <w:r>
        <w:rPr>
          <w:rFonts w:ascii="Calibri"/>
          <w:spacing w:val="-3"/>
          <w:sz w:val="22"/>
        </w:rPr>
        <w:t> </w:t>
      </w:r>
      <w:r>
        <w:rPr>
          <w:rFonts w:ascii="Calibri"/>
          <w:sz w:val="22"/>
        </w:rPr>
        <w:t>DHCW</w:t>
      </w:r>
      <w:r>
        <w:rPr>
          <w:rFonts w:ascii="Calibri"/>
          <w:spacing w:val="-3"/>
          <w:sz w:val="22"/>
        </w:rPr>
        <w:t> </w:t>
      </w:r>
      <w:r>
        <w:rPr>
          <w:rFonts w:ascii="Calibri"/>
          <w:sz w:val="22"/>
        </w:rPr>
        <w:t>and</w:t>
      </w:r>
      <w:r>
        <w:rPr>
          <w:rFonts w:ascii="Calibri"/>
          <w:spacing w:val="-3"/>
          <w:sz w:val="22"/>
        </w:rPr>
        <w:t> </w:t>
      </w:r>
      <w:r>
        <w:rPr>
          <w:rFonts w:ascii="Calibri"/>
          <w:sz w:val="22"/>
        </w:rPr>
        <w:t>VUNHST</w:t>
      </w:r>
      <w:r>
        <w:rPr>
          <w:rFonts w:ascii="Calibri"/>
          <w:spacing w:val="-2"/>
          <w:sz w:val="22"/>
        </w:rPr>
        <w:t> </w:t>
      </w:r>
      <w:r>
        <w:rPr>
          <w:rFonts w:ascii="Calibri"/>
          <w:sz w:val="22"/>
        </w:rPr>
        <w:t>during</w:t>
      </w:r>
      <w:r>
        <w:rPr>
          <w:rFonts w:ascii="Calibri"/>
          <w:spacing w:val="-3"/>
          <w:sz w:val="22"/>
        </w:rPr>
        <w:t> </w:t>
      </w:r>
      <w:r>
        <w:rPr>
          <w:rFonts w:ascii="Calibri"/>
          <w:sz w:val="22"/>
        </w:rPr>
        <w:t>2021/22</w:t>
      </w:r>
      <w:r>
        <w:rPr>
          <w:rFonts w:ascii="Calibri"/>
          <w:spacing w:val="-2"/>
          <w:sz w:val="22"/>
        </w:rPr>
        <w:t> </w:t>
      </w:r>
      <w:r>
        <w:rPr>
          <w:rFonts w:ascii="Calibri"/>
          <w:sz w:val="22"/>
        </w:rPr>
        <w:t>and</w:t>
      </w:r>
      <w:r>
        <w:rPr>
          <w:rFonts w:ascii="Calibri"/>
          <w:spacing w:val="-2"/>
          <w:sz w:val="22"/>
        </w:rPr>
        <w:t> </w:t>
      </w:r>
      <w:r>
        <w:rPr>
          <w:rFonts w:ascii="Calibri"/>
          <w:sz w:val="22"/>
        </w:rPr>
        <w:t>will continue to support these organisations in 2022/23.</w:t>
      </w:r>
    </w:p>
    <w:p>
      <w:pPr>
        <w:pStyle w:val="BodyText"/>
        <w:rPr>
          <w:rFonts w:ascii="Calibri"/>
          <w:sz w:val="22"/>
        </w:rPr>
      </w:pPr>
    </w:p>
    <w:p>
      <w:pPr>
        <w:spacing w:before="0"/>
        <w:ind w:left="2160" w:right="1405" w:firstLine="0"/>
        <w:jc w:val="left"/>
        <w:rPr>
          <w:rFonts w:ascii="Calibri"/>
          <w:sz w:val="22"/>
        </w:rPr>
      </w:pPr>
      <w:r>
        <w:rPr>
          <w:rFonts w:ascii="Calibri"/>
          <w:sz w:val="22"/>
        </w:rPr>
        <w:t>We</w:t>
      </w:r>
      <w:r>
        <w:rPr>
          <w:rFonts w:ascii="Calibri"/>
          <w:spacing w:val="-3"/>
          <w:sz w:val="22"/>
        </w:rPr>
        <w:t> </w:t>
      </w:r>
      <w:r>
        <w:rPr>
          <w:rFonts w:ascii="Calibri"/>
          <w:sz w:val="22"/>
        </w:rPr>
        <w:t>took</w:t>
      </w:r>
      <w:r>
        <w:rPr>
          <w:rFonts w:ascii="Calibri"/>
          <w:spacing w:val="-3"/>
          <w:sz w:val="22"/>
        </w:rPr>
        <w:t> </w:t>
      </w:r>
      <w:r>
        <w:rPr>
          <w:rFonts w:ascii="Calibri"/>
          <w:sz w:val="22"/>
        </w:rPr>
        <w:t>on</w:t>
      </w:r>
      <w:r>
        <w:rPr>
          <w:rFonts w:ascii="Calibri"/>
          <w:spacing w:val="-3"/>
          <w:sz w:val="22"/>
        </w:rPr>
        <w:t> </w:t>
      </w:r>
      <w:r>
        <w:rPr>
          <w:rFonts w:ascii="Calibri"/>
          <w:sz w:val="22"/>
        </w:rPr>
        <w:t>work</w:t>
      </w:r>
      <w:r>
        <w:rPr>
          <w:rFonts w:ascii="Calibri"/>
          <w:spacing w:val="-2"/>
          <w:sz w:val="22"/>
        </w:rPr>
        <w:t> </w:t>
      </w:r>
      <w:r>
        <w:rPr>
          <w:rFonts w:ascii="Calibri"/>
          <w:sz w:val="22"/>
        </w:rPr>
        <w:t>for</w:t>
      </w:r>
      <w:r>
        <w:rPr>
          <w:rFonts w:ascii="Calibri"/>
          <w:spacing w:val="-3"/>
          <w:sz w:val="22"/>
        </w:rPr>
        <w:t> </w:t>
      </w:r>
      <w:r>
        <w:rPr>
          <w:rFonts w:ascii="Calibri"/>
          <w:sz w:val="22"/>
        </w:rPr>
        <w:t>WHSSC</w:t>
      </w:r>
      <w:r>
        <w:rPr>
          <w:rFonts w:ascii="Calibri"/>
          <w:spacing w:val="-3"/>
          <w:sz w:val="22"/>
        </w:rPr>
        <w:t> </w:t>
      </w:r>
      <w:r>
        <w:rPr>
          <w:rFonts w:ascii="Calibri"/>
          <w:sz w:val="22"/>
        </w:rPr>
        <w:t>in</w:t>
      </w:r>
      <w:r>
        <w:rPr>
          <w:rFonts w:ascii="Calibri"/>
          <w:spacing w:val="-3"/>
          <w:sz w:val="22"/>
        </w:rPr>
        <w:t> </w:t>
      </w:r>
      <w:r>
        <w:rPr>
          <w:rFonts w:ascii="Calibri"/>
          <w:sz w:val="22"/>
        </w:rPr>
        <w:t>Q3</w:t>
      </w:r>
      <w:r>
        <w:rPr>
          <w:rFonts w:ascii="Calibri"/>
          <w:spacing w:val="-2"/>
          <w:sz w:val="22"/>
        </w:rPr>
        <w:t> </w:t>
      </w:r>
      <w:r>
        <w:rPr>
          <w:rFonts w:ascii="Calibri"/>
          <w:sz w:val="22"/>
        </w:rPr>
        <w:t>and</w:t>
      </w:r>
      <w:r>
        <w:rPr>
          <w:rFonts w:ascii="Calibri"/>
          <w:spacing w:val="-2"/>
          <w:sz w:val="22"/>
        </w:rPr>
        <w:t> </w:t>
      </w:r>
      <w:r>
        <w:rPr>
          <w:rFonts w:ascii="Calibri"/>
          <w:sz w:val="22"/>
        </w:rPr>
        <w:t>Q4</w:t>
      </w:r>
      <w:r>
        <w:rPr>
          <w:rFonts w:ascii="Calibri"/>
          <w:spacing w:val="-2"/>
          <w:sz w:val="22"/>
        </w:rPr>
        <w:t> </w:t>
      </w:r>
      <w:r>
        <w:rPr>
          <w:rFonts w:ascii="Calibri"/>
          <w:sz w:val="22"/>
        </w:rPr>
        <w:t>of</w:t>
      </w:r>
      <w:r>
        <w:rPr>
          <w:rFonts w:ascii="Calibri"/>
          <w:spacing w:val="-3"/>
          <w:sz w:val="22"/>
        </w:rPr>
        <w:t> </w:t>
      </w:r>
      <w:r>
        <w:rPr>
          <w:rFonts w:ascii="Calibri"/>
          <w:sz w:val="22"/>
        </w:rPr>
        <w:t>the</w:t>
      </w:r>
      <w:r>
        <w:rPr>
          <w:rFonts w:ascii="Calibri"/>
          <w:spacing w:val="-3"/>
          <w:sz w:val="22"/>
        </w:rPr>
        <w:t> </w:t>
      </w:r>
      <w:r>
        <w:rPr>
          <w:rFonts w:ascii="Calibri"/>
          <w:sz w:val="22"/>
        </w:rPr>
        <w:t>financial</w:t>
      </w:r>
      <w:r>
        <w:rPr>
          <w:rFonts w:ascii="Calibri"/>
          <w:spacing w:val="-2"/>
          <w:sz w:val="22"/>
        </w:rPr>
        <w:t> </w:t>
      </w:r>
      <w:r>
        <w:rPr>
          <w:rFonts w:ascii="Calibri"/>
          <w:sz w:val="22"/>
        </w:rPr>
        <w:t>year</w:t>
      </w:r>
      <w:r>
        <w:rPr>
          <w:rFonts w:ascii="Calibri"/>
          <w:spacing w:val="-2"/>
          <w:sz w:val="22"/>
        </w:rPr>
        <w:t> </w:t>
      </w:r>
      <w:r>
        <w:rPr>
          <w:rFonts w:ascii="Calibri"/>
          <w:sz w:val="22"/>
        </w:rPr>
        <w:t>to</w:t>
      </w:r>
      <w:r>
        <w:rPr>
          <w:rFonts w:ascii="Calibri"/>
          <w:spacing w:val="-2"/>
          <w:sz w:val="22"/>
        </w:rPr>
        <w:t> </w:t>
      </w:r>
      <w:r>
        <w:rPr>
          <w:rFonts w:ascii="Calibri"/>
          <w:sz w:val="22"/>
        </w:rPr>
        <w:t>assist</w:t>
      </w:r>
      <w:r>
        <w:rPr>
          <w:rFonts w:ascii="Calibri"/>
          <w:spacing w:val="-3"/>
          <w:sz w:val="22"/>
        </w:rPr>
        <w:t> </w:t>
      </w:r>
      <w:r>
        <w:rPr>
          <w:rFonts w:ascii="Calibri"/>
          <w:sz w:val="22"/>
        </w:rPr>
        <w:t>with</w:t>
      </w:r>
      <w:r>
        <w:rPr>
          <w:rFonts w:ascii="Calibri"/>
          <w:spacing w:val="-2"/>
          <w:sz w:val="22"/>
        </w:rPr>
        <w:t> </w:t>
      </w:r>
      <w:r>
        <w:rPr>
          <w:rFonts w:ascii="Calibri"/>
          <w:sz w:val="22"/>
        </w:rPr>
        <w:t>enabling </w:t>
      </w:r>
      <w:r>
        <w:rPr>
          <w:rFonts w:ascii="Calibri"/>
          <w:spacing w:val="-2"/>
          <w:sz w:val="22"/>
        </w:rPr>
        <w:t>compliance.</w:t>
      </w:r>
    </w:p>
    <w:p>
      <w:pPr>
        <w:pStyle w:val="BodyText"/>
        <w:rPr>
          <w:rFonts w:ascii="Calibri"/>
          <w:sz w:val="22"/>
        </w:rPr>
      </w:pPr>
    </w:p>
    <w:p>
      <w:pPr>
        <w:spacing w:before="0"/>
        <w:ind w:left="2160" w:right="1547" w:firstLine="0"/>
        <w:jc w:val="left"/>
        <w:rPr>
          <w:rFonts w:ascii="Calibri"/>
          <w:sz w:val="22"/>
        </w:rPr>
      </w:pPr>
      <w:r>
        <w:rPr>
          <w:rFonts w:ascii="Calibri"/>
          <w:sz w:val="22"/>
        </w:rPr>
        <w:t>We</w:t>
      </w:r>
      <w:r>
        <w:rPr>
          <w:rFonts w:ascii="Calibri"/>
          <w:spacing w:val="-3"/>
          <w:sz w:val="22"/>
        </w:rPr>
        <w:t> </w:t>
      </w:r>
      <w:r>
        <w:rPr>
          <w:rFonts w:ascii="Calibri"/>
          <w:sz w:val="22"/>
        </w:rPr>
        <w:t>took</w:t>
      </w:r>
      <w:r>
        <w:rPr>
          <w:rFonts w:ascii="Calibri"/>
          <w:spacing w:val="-3"/>
          <w:sz w:val="22"/>
        </w:rPr>
        <w:t> </w:t>
      </w:r>
      <w:r>
        <w:rPr>
          <w:rFonts w:ascii="Calibri"/>
          <w:sz w:val="22"/>
        </w:rPr>
        <w:t>on</w:t>
      </w:r>
      <w:r>
        <w:rPr>
          <w:rFonts w:ascii="Calibri"/>
          <w:spacing w:val="-3"/>
          <w:sz w:val="22"/>
        </w:rPr>
        <w:t> </w:t>
      </w:r>
      <w:r>
        <w:rPr>
          <w:rFonts w:ascii="Calibri"/>
          <w:sz w:val="22"/>
        </w:rPr>
        <w:t>work</w:t>
      </w:r>
      <w:r>
        <w:rPr>
          <w:rFonts w:ascii="Calibri"/>
          <w:spacing w:val="-2"/>
          <w:sz w:val="22"/>
        </w:rPr>
        <w:t> </w:t>
      </w:r>
      <w:r>
        <w:rPr>
          <w:rFonts w:ascii="Calibri"/>
          <w:sz w:val="22"/>
        </w:rPr>
        <w:t>for</w:t>
      </w:r>
      <w:r>
        <w:rPr>
          <w:rFonts w:ascii="Calibri"/>
          <w:spacing w:val="-3"/>
          <w:sz w:val="22"/>
        </w:rPr>
        <w:t> </w:t>
      </w:r>
      <w:r>
        <w:rPr>
          <w:rFonts w:ascii="Calibri"/>
          <w:sz w:val="22"/>
        </w:rPr>
        <w:t>HEIW</w:t>
      </w:r>
      <w:r>
        <w:rPr>
          <w:rFonts w:ascii="Calibri"/>
          <w:spacing w:val="-3"/>
          <w:sz w:val="22"/>
        </w:rPr>
        <w:t> </w:t>
      </w:r>
      <w:r>
        <w:rPr>
          <w:rFonts w:ascii="Calibri"/>
          <w:sz w:val="22"/>
        </w:rPr>
        <w:t>and</w:t>
      </w:r>
      <w:r>
        <w:rPr>
          <w:rFonts w:ascii="Calibri"/>
          <w:spacing w:val="-3"/>
          <w:sz w:val="22"/>
        </w:rPr>
        <w:t> </w:t>
      </w:r>
      <w:r>
        <w:rPr>
          <w:rFonts w:ascii="Calibri"/>
          <w:sz w:val="22"/>
        </w:rPr>
        <w:t>WAST</w:t>
      </w:r>
      <w:r>
        <w:rPr>
          <w:rFonts w:ascii="Calibri"/>
          <w:spacing w:val="-3"/>
          <w:sz w:val="22"/>
        </w:rPr>
        <w:t> </w:t>
      </w:r>
      <w:r>
        <w:rPr>
          <w:rFonts w:ascii="Calibri"/>
          <w:sz w:val="22"/>
        </w:rPr>
        <w:t>in</w:t>
      </w:r>
      <w:r>
        <w:rPr>
          <w:rFonts w:ascii="Calibri"/>
          <w:spacing w:val="-3"/>
          <w:sz w:val="22"/>
        </w:rPr>
        <w:t> </w:t>
      </w:r>
      <w:r>
        <w:rPr>
          <w:rFonts w:ascii="Calibri"/>
          <w:sz w:val="22"/>
        </w:rPr>
        <w:t>Q4</w:t>
      </w:r>
      <w:r>
        <w:rPr>
          <w:rFonts w:ascii="Calibri"/>
          <w:spacing w:val="-2"/>
          <w:sz w:val="22"/>
        </w:rPr>
        <w:t> </w:t>
      </w:r>
      <w:r>
        <w:rPr>
          <w:rFonts w:ascii="Calibri"/>
          <w:sz w:val="22"/>
        </w:rPr>
        <w:t>to</w:t>
      </w:r>
      <w:r>
        <w:rPr>
          <w:rFonts w:ascii="Calibri"/>
          <w:spacing w:val="-2"/>
          <w:sz w:val="22"/>
        </w:rPr>
        <w:t> </w:t>
      </w:r>
      <w:r>
        <w:rPr>
          <w:rFonts w:ascii="Calibri"/>
          <w:sz w:val="22"/>
        </w:rPr>
        <w:t>assist</w:t>
      </w:r>
      <w:r>
        <w:rPr>
          <w:rFonts w:ascii="Calibri"/>
          <w:spacing w:val="-3"/>
          <w:sz w:val="22"/>
        </w:rPr>
        <w:t> </w:t>
      </w:r>
      <w:r>
        <w:rPr>
          <w:rFonts w:ascii="Calibri"/>
          <w:sz w:val="22"/>
        </w:rPr>
        <w:t>with</w:t>
      </w:r>
      <w:r>
        <w:rPr>
          <w:rFonts w:ascii="Calibri"/>
          <w:spacing w:val="-2"/>
          <w:sz w:val="22"/>
        </w:rPr>
        <w:t> </w:t>
      </w:r>
      <w:r>
        <w:rPr>
          <w:rFonts w:ascii="Calibri"/>
          <w:sz w:val="22"/>
        </w:rPr>
        <w:t>additional</w:t>
      </w:r>
      <w:r>
        <w:rPr>
          <w:rFonts w:ascii="Calibri"/>
          <w:spacing w:val="-3"/>
          <w:sz w:val="22"/>
        </w:rPr>
        <w:t> </w:t>
      </w:r>
      <w:r>
        <w:rPr>
          <w:rFonts w:ascii="Calibri"/>
          <w:sz w:val="22"/>
        </w:rPr>
        <w:t>translation </w:t>
      </w:r>
      <w:r>
        <w:rPr>
          <w:rFonts w:ascii="Calibri"/>
          <w:spacing w:val="-2"/>
          <w:sz w:val="22"/>
        </w:rPr>
        <w:t>requirements.</w:t>
      </w:r>
    </w:p>
    <w:p>
      <w:pPr>
        <w:pStyle w:val="BodyText"/>
        <w:rPr>
          <w:rFonts w:ascii="Calibri"/>
          <w:sz w:val="22"/>
        </w:rPr>
      </w:pPr>
    </w:p>
    <w:p>
      <w:pPr>
        <w:pStyle w:val="BodyText"/>
        <w:rPr>
          <w:rFonts w:ascii="Calibri"/>
          <w:sz w:val="22"/>
        </w:rPr>
      </w:pPr>
    </w:p>
    <w:p>
      <w:pPr>
        <w:pStyle w:val="Heading7"/>
        <w:numPr>
          <w:ilvl w:val="0"/>
          <w:numId w:val="46"/>
        </w:numPr>
        <w:tabs>
          <w:tab w:pos="2159" w:val="left" w:leader="none"/>
          <w:tab w:pos="2161" w:val="left" w:leader="none"/>
        </w:tabs>
        <w:spacing w:line="240" w:lineRule="auto" w:before="0" w:after="0"/>
        <w:ind w:left="2160" w:right="0" w:hanging="361"/>
        <w:jc w:val="left"/>
        <w:rPr>
          <w:rFonts w:ascii="Symbol" w:hAnsi="Symbol"/>
          <w:b w:val="0"/>
        </w:rPr>
      </w:pPr>
      <w:r>
        <w:rPr/>
        <w:t>Establishment</w:t>
      </w:r>
      <w:r>
        <w:rPr>
          <w:spacing w:val="-6"/>
        </w:rPr>
        <w:t> </w:t>
      </w:r>
      <w:r>
        <w:rPr/>
        <w:t>of</w:t>
      </w:r>
      <w:r>
        <w:rPr>
          <w:spacing w:val="-2"/>
        </w:rPr>
        <w:t> </w:t>
      </w:r>
      <w:r>
        <w:rPr/>
        <w:t>a</w:t>
      </w:r>
      <w:r>
        <w:rPr>
          <w:spacing w:val="-2"/>
        </w:rPr>
        <w:t> </w:t>
      </w:r>
      <w:r>
        <w:rPr/>
        <w:t>Translation</w:t>
      </w:r>
      <w:r>
        <w:rPr>
          <w:spacing w:val="-2"/>
        </w:rPr>
        <w:t> </w:t>
      </w:r>
      <w:r>
        <w:rPr>
          <w:spacing w:val="-4"/>
        </w:rPr>
        <w:t>Bank</w:t>
      </w:r>
    </w:p>
    <w:p>
      <w:pPr>
        <w:spacing w:line="259" w:lineRule="auto" w:before="0"/>
        <w:ind w:left="2160" w:right="1405" w:firstLine="0"/>
        <w:jc w:val="left"/>
        <w:rPr>
          <w:rFonts w:ascii="Calibri"/>
          <w:sz w:val="22"/>
        </w:rPr>
      </w:pPr>
      <w:r>
        <w:rPr>
          <w:rFonts w:ascii="Calibri"/>
          <w:sz w:val="22"/>
        </w:rPr>
        <w:t>The NHS is facing unprecedented demand for translation services, this is in response to meeting</w:t>
      </w:r>
      <w:r>
        <w:rPr>
          <w:rFonts w:ascii="Calibri"/>
          <w:spacing w:val="-2"/>
          <w:sz w:val="22"/>
        </w:rPr>
        <w:t> </w:t>
      </w:r>
      <w:r>
        <w:rPr>
          <w:rFonts w:ascii="Calibri"/>
          <w:sz w:val="22"/>
        </w:rPr>
        <w:t>the</w:t>
      </w:r>
      <w:r>
        <w:rPr>
          <w:rFonts w:ascii="Calibri"/>
          <w:spacing w:val="-2"/>
          <w:sz w:val="22"/>
        </w:rPr>
        <w:t> </w:t>
      </w:r>
      <w:r>
        <w:rPr>
          <w:rFonts w:ascii="Calibri"/>
          <w:sz w:val="22"/>
        </w:rPr>
        <w:t>requirements</w:t>
      </w:r>
      <w:r>
        <w:rPr>
          <w:rFonts w:ascii="Calibri"/>
          <w:spacing w:val="-2"/>
          <w:sz w:val="22"/>
        </w:rPr>
        <w:t> </w:t>
      </w:r>
      <w:r>
        <w:rPr>
          <w:rFonts w:ascii="Calibri"/>
          <w:sz w:val="22"/>
        </w:rPr>
        <w:t>of</w:t>
      </w:r>
      <w:r>
        <w:rPr>
          <w:rFonts w:ascii="Calibri"/>
          <w:spacing w:val="-3"/>
          <w:sz w:val="22"/>
        </w:rPr>
        <w:t> </w:t>
      </w:r>
      <w:r>
        <w:rPr>
          <w:rFonts w:ascii="Calibri"/>
          <w:sz w:val="22"/>
        </w:rPr>
        <w:t>the</w:t>
      </w:r>
      <w:r>
        <w:rPr>
          <w:rFonts w:ascii="Calibri"/>
          <w:spacing w:val="-2"/>
          <w:sz w:val="22"/>
        </w:rPr>
        <w:t> </w:t>
      </w:r>
      <w:r>
        <w:rPr>
          <w:rFonts w:ascii="Calibri"/>
          <w:sz w:val="22"/>
        </w:rPr>
        <w:t>Welsh</w:t>
      </w:r>
      <w:r>
        <w:rPr>
          <w:rFonts w:ascii="Calibri"/>
          <w:spacing w:val="-3"/>
          <w:sz w:val="22"/>
        </w:rPr>
        <w:t> </w:t>
      </w:r>
      <w:r>
        <w:rPr>
          <w:rFonts w:ascii="Calibri"/>
          <w:sz w:val="22"/>
        </w:rPr>
        <w:t>language</w:t>
      </w:r>
      <w:r>
        <w:rPr>
          <w:rFonts w:ascii="Calibri"/>
          <w:spacing w:val="-3"/>
          <w:sz w:val="22"/>
        </w:rPr>
        <w:t> </w:t>
      </w:r>
      <w:r>
        <w:rPr>
          <w:rFonts w:ascii="Calibri"/>
          <w:sz w:val="22"/>
        </w:rPr>
        <w:t>standards</w:t>
      </w:r>
      <w:r>
        <w:rPr>
          <w:rFonts w:ascii="Calibri"/>
          <w:spacing w:val="-2"/>
          <w:sz w:val="22"/>
        </w:rPr>
        <w:t> </w:t>
      </w:r>
      <w:r>
        <w:rPr>
          <w:rFonts w:ascii="Calibri"/>
          <w:sz w:val="22"/>
        </w:rPr>
        <w:t>in</w:t>
      </w:r>
      <w:r>
        <w:rPr>
          <w:rFonts w:ascii="Calibri"/>
          <w:spacing w:val="-3"/>
          <w:sz w:val="22"/>
        </w:rPr>
        <w:t> </w:t>
      </w:r>
      <w:r>
        <w:rPr>
          <w:rFonts w:ascii="Calibri"/>
          <w:sz w:val="22"/>
        </w:rPr>
        <w:t>the</w:t>
      </w:r>
      <w:r>
        <w:rPr>
          <w:rFonts w:ascii="Calibri"/>
          <w:spacing w:val="-2"/>
          <w:sz w:val="22"/>
        </w:rPr>
        <w:t> </w:t>
      </w:r>
      <w:r>
        <w:rPr>
          <w:rFonts w:ascii="Calibri"/>
          <w:sz w:val="22"/>
        </w:rPr>
        <w:t>most</w:t>
      </w:r>
      <w:r>
        <w:rPr>
          <w:rFonts w:ascii="Calibri"/>
          <w:spacing w:val="-3"/>
          <w:sz w:val="22"/>
        </w:rPr>
        <w:t> </w:t>
      </w:r>
      <w:r>
        <w:rPr>
          <w:rFonts w:ascii="Calibri"/>
          <w:sz w:val="22"/>
        </w:rPr>
        <w:t>part,</w:t>
      </w:r>
      <w:r>
        <w:rPr>
          <w:rFonts w:ascii="Calibri"/>
          <w:spacing w:val="-3"/>
          <w:sz w:val="22"/>
        </w:rPr>
        <w:t> </w:t>
      </w:r>
      <w:r>
        <w:rPr>
          <w:rFonts w:ascii="Calibri"/>
          <w:sz w:val="22"/>
        </w:rPr>
        <w:t>but</w:t>
      </w:r>
      <w:r>
        <w:rPr>
          <w:rFonts w:ascii="Calibri"/>
          <w:spacing w:val="-3"/>
          <w:sz w:val="22"/>
        </w:rPr>
        <w:t> </w:t>
      </w:r>
      <w:r>
        <w:rPr>
          <w:rFonts w:ascii="Calibri"/>
          <w:sz w:val="22"/>
        </w:rPr>
        <w:t>also</w:t>
      </w:r>
      <w:r>
        <w:rPr>
          <w:rFonts w:ascii="Calibri"/>
          <w:spacing w:val="-3"/>
          <w:sz w:val="22"/>
        </w:rPr>
        <w:t> </w:t>
      </w:r>
      <w:r>
        <w:rPr>
          <w:rFonts w:ascii="Calibri"/>
          <w:sz w:val="22"/>
        </w:rPr>
        <w:t>to respond to the need/demand amongst patients and the public.</w:t>
      </w:r>
    </w:p>
    <w:p>
      <w:pPr>
        <w:spacing w:line="259" w:lineRule="auto" w:before="0"/>
        <w:ind w:left="2160" w:right="1471" w:firstLine="0"/>
        <w:jc w:val="left"/>
        <w:rPr>
          <w:rFonts w:ascii="Calibri"/>
          <w:sz w:val="22"/>
        </w:rPr>
      </w:pPr>
      <w:r>
        <w:rPr>
          <w:rFonts w:ascii="Calibri"/>
          <w:sz w:val="22"/>
        </w:rPr>
        <w:t>It</w:t>
      </w:r>
      <w:r>
        <w:rPr>
          <w:rFonts w:ascii="Calibri"/>
          <w:spacing w:val="-3"/>
          <w:sz w:val="22"/>
        </w:rPr>
        <w:t> </w:t>
      </w:r>
      <w:r>
        <w:rPr>
          <w:rFonts w:ascii="Calibri"/>
          <w:sz w:val="22"/>
        </w:rPr>
        <w:t>is</w:t>
      </w:r>
      <w:r>
        <w:rPr>
          <w:rFonts w:ascii="Calibri"/>
          <w:spacing w:val="-3"/>
          <w:sz w:val="22"/>
        </w:rPr>
        <w:t> </w:t>
      </w:r>
      <w:r>
        <w:rPr>
          <w:rFonts w:ascii="Calibri"/>
          <w:sz w:val="22"/>
        </w:rPr>
        <w:t>becoming</w:t>
      </w:r>
      <w:r>
        <w:rPr>
          <w:rFonts w:ascii="Calibri"/>
          <w:spacing w:val="-4"/>
          <w:sz w:val="22"/>
        </w:rPr>
        <w:t> </w:t>
      </w:r>
      <w:r>
        <w:rPr>
          <w:rFonts w:ascii="Calibri"/>
          <w:sz w:val="22"/>
        </w:rPr>
        <w:t>increasingly</w:t>
      </w:r>
      <w:r>
        <w:rPr>
          <w:rFonts w:ascii="Calibri"/>
          <w:spacing w:val="-4"/>
          <w:sz w:val="22"/>
        </w:rPr>
        <w:t> </w:t>
      </w:r>
      <w:r>
        <w:rPr>
          <w:rFonts w:ascii="Calibri"/>
          <w:sz w:val="22"/>
        </w:rPr>
        <w:t>difficult</w:t>
      </w:r>
      <w:r>
        <w:rPr>
          <w:rFonts w:ascii="Calibri"/>
          <w:spacing w:val="-3"/>
          <w:sz w:val="22"/>
        </w:rPr>
        <w:t> </w:t>
      </w:r>
      <w:r>
        <w:rPr>
          <w:rFonts w:ascii="Calibri"/>
          <w:sz w:val="22"/>
        </w:rPr>
        <w:t>to</w:t>
      </w:r>
      <w:r>
        <w:rPr>
          <w:rFonts w:ascii="Calibri"/>
          <w:spacing w:val="-3"/>
          <w:sz w:val="22"/>
        </w:rPr>
        <w:t> </w:t>
      </w:r>
      <w:r>
        <w:rPr>
          <w:rFonts w:ascii="Calibri"/>
          <w:sz w:val="22"/>
        </w:rPr>
        <w:t>recruit</w:t>
      </w:r>
      <w:r>
        <w:rPr>
          <w:rFonts w:ascii="Calibri"/>
          <w:spacing w:val="-3"/>
          <w:sz w:val="22"/>
        </w:rPr>
        <w:t> </w:t>
      </w:r>
      <w:r>
        <w:rPr>
          <w:rFonts w:ascii="Calibri"/>
          <w:sz w:val="22"/>
        </w:rPr>
        <w:t>qualified</w:t>
      </w:r>
      <w:r>
        <w:rPr>
          <w:rFonts w:ascii="Calibri"/>
          <w:spacing w:val="-4"/>
          <w:sz w:val="22"/>
        </w:rPr>
        <w:t> </w:t>
      </w:r>
      <w:r>
        <w:rPr>
          <w:rFonts w:ascii="Calibri"/>
          <w:sz w:val="22"/>
        </w:rPr>
        <w:t>and</w:t>
      </w:r>
      <w:r>
        <w:rPr>
          <w:rFonts w:ascii="Calibri"/>
          <w:spacing w:val="-4"/>
          <w:sz w:val="22"/>
        </w:rPr>
        <w:t> </w:t>
      </w:r>
      <w:r>
        <w:rPr>
          <w:rFonts w:ascii="Calibri"/>
          <w:sz w:val="22"/>
        </w:rPr>
        <w:t>experienced</w:t>
      </w:r>
      <w:r>
        <w:rPr>
          <w:rFonts w:ascii="Calibri"/>
          <w:spacing w:val="-3"/>
          <w:sz w:val="22"/>
        </w:rPr>
        <w:t> </w:t>
      </w:r>
      <w:r>
        <w:rPr>
          <w:rFonts w:ascii="Calibri"/>
          <w:sz w:val="22"/>
        </w:rPr>
        <w:t>translators</w:t>
      </w:r>
      <w:r>
        <w:rPr>
          <w:rFonts w:ascii="Calibri"/>
          <w:spacing w:val="-4"/>
          <w:sz w:val="22"/>
        </w:rPr>
        <w:t> </w:t>
      </w:r>
      <w:r>
        <w:rPr>
          <w:rFonts w:ascii="Calibri"/>
          <w:sz w:val="22"/>
        </w:rPr>
        <w:t>to</w:t>
      </w:r>
      <w:r>
        <w:rPr>
          <w:rFonts w:ascii="Calibri"/>
          <w:spacing w:val="-3"/>
          <w:sz w:val="22"/>
        </w:rPr>
        <w:t> </w:t>
      </w:r>
      <w:r>
        <w:rPr>
          <w:rFonts w:ascii="Calibri"/>
          <w:sz w:val="22"/>
        </w:rPr>
        <w:t>full- time permanent vacancies, and it is also becoming challenging to retain staff, due to the recruitment market being extremely competitive.</w:t>
      </w:r>
    </w:p>
    <w:p>
      <w:pPr>
        <w:spacing w:line="259" w:lineRule="auto" w:before="0"/>
        <w:ind w:left="2160" w:right="1471" w:firstLine="0"/>
        <w:jc w:val="left"/>
        <w:rPr>
          <w:rFonts w:ascii="Calibri" w:hAnsi="Calibri"/>
          <w:sz w:val="22"/>
        </w:rPr>
      </w:pPr>
      <w:r>
        <w:rPr>
          <w:rFonts w:ascii="Calibri" w:hAnsi="Calibri"/>
          <w:sz w:val="22"/>
        </w:rPr>
        <w:t>In order to be able to respond to this situation we’ve established a bank of translators who can work flexibly for us as we require their services.</w:t>
      </w:r>
      <w:r>
        <w:rPr>
          <w:rFonts w:ascii="Calibri" w:hAnsi="Calibri"/>
          <w:spacing w:val="40"/>
          <w:sz w:val="22"/>
        </w:rPr>
        <w:t> </w:t>
      </w:r>
      <w:r>
        <w:rPr>
          <w:rFonts w:ascii="Calibri" w:hAnsi="Calibri"/>
          <w:sz w:val="22"/>
        </w:rPr>
        <w:t>The bank was established in autumn 2021, and our existing arrangements are working well to date.</w:t>
      </w:r>
      <w:r>
        <w:rPr>
          <w:rFonts w:ascii="Calibri" w:hAnsi="Calibri"/>
          <w:spacing w:val="40"/>
          <w:sz w:val="22"/>
        </w:rPr>
        <w:t> </w:t>
      </w:r>
      <w:r>
        <w:rPr>
          <w:rFonts w:ascii="Calibri" w:hAnsi="Calibri"/>
          <w:sz w:val="22"/>
        </w:rPr>
        <w:t>Our approach to agile working</w:t>
      </w:r>
      <w:r>
        <w:rPr>
          <w:rFonts w:ascii="Calibri" w:hAnsi="Calibri"/>
          <w:spacing w:val="-3"/>
          <w:sz w:val="22"/>
        </w:rPr>
        <w:t> </w:t>
      </w:r>
      <w:r>
        <w:rPr>
          <w:rFonts w:ascii="Calibri" w:hAnsi="Calibri"/>
          <w:sz w:val="22"/>
        </w:rPr>
        <w:t>also</w:t>
      </w:r>
      <w:r>
        <w:rPr>
          <w:rFonts w:ascii="Calibri" w:hAnsi="Calibri"/>
          <w:spacing w:val="-3"/>
          <w:sz w:val="22"/>
        </w:rPr>
        <w:t> </w:t>
      </w:r>
      <w:r>
        <w:rPr>
          <w:rFonts w:ascii="Calibri" w:hAnsi="Calibri"/>
          <w:sz w:val="22"/>
        </w:rPr>
        <w:t>means</w:t>
      </w:r>
      <w:r>
        <w:rPr>
          <w:rFonts w:ascii="Calibri" w:hAnsi="Calibri"/>
          <w:spacing w:val="-3"/>
          <w:sz w:val="22"/>
        </w:rPr>
        <w:t> </w:t>
      </w:r>
      <w:r>
        <w:rPr>
          <w:rFonts w:ascii="Calibri" w:hAnsi="Calibri"/>
          <w:sz w:val="22"/>
        </w:rPr>
        <w:t>that</w:t>
      </w:r>
      <w:r>
        <w:rPr>
          <w:rFonts w:ascii="Calibri" w:hAnsi="Calibri"/>
          <w:spacing w:val="-2"/>
          <w:sz w:val="22"/>
        </w:rPr>
        <w:t> </w:t>
      </w:r>
      <w:r>
        <w:rPr>
          <w:rFonts w:ascii="Calibri" w:hAnsi="Calibri"/>
          <w:sz w:val="22"/>
        </w:rPr>
        <w:t>we</w:t>
      </w:r>
      <w:r>
        <w:rPr>
          <w:rFonts w:ascii="Calibri" w:hAnsi="Calibri"/>
          <w:spacing w:val="-2"/>
          <w:sz w:val="22"/>
        </w:rPr>
        <w:t> </w:t>
      </w:r>
      <w:r>
        <w:rPr>
          <w:rFonts w:ascii="Calibri" w:hAnsi="Calibri"/>
          <w:sz w:val="22"/>
        </w:rPr>
        <w:t>are</w:t>
      </w:r>
      <w:r>
        <w:rPr>
          <w:rFonts w:ascii="Calibri" w:hAnsi="Calibri"/>
          <w:spacing w:val="-3"/>
          <w:sz w:val="22"/>
        </w:rPr>
        <w:t> </w:t>
      </w:r>
      <w:r>
        <w:rPr>
          <w:rFonts w:ascii="Calibri" w:hAnsi="Calibri"/>
          <w:sz w:val="22"/>
        </w:rPr>
        <w:t>able</w:t>
      </w:r>
      <w:r>
        <w:rPr>
          <w:rFonts w:ascii="Calibri" w:hAnsi="Calibri"/>
          <w:spacing w:val="-3"/>
          <w:sz w:val="22"/>
        </w:rPr>
        <w:t> </w:t>
      </w:r>
      <w:r>
        <w:rPr>
          <w:rFonts w:ascii="Calibri" w:hAnsi="Calibri"/>
          <w:sz w:val="22"/>
        </w:rPr>
        <w:t>to</w:t>
      </w:r>
      <w:r>
        <w:rPr>
          <w:rFonts w:ascii="Calibri" w:hAnsi="Calibri"/>
          <w:spacing w:val="-2"/>
          <w:sz w:val="22"/>
        </w:rPr>
        <w:t> </w:t>
      </w:r>
      <w:r>
        <w:rPr>
          <w:rFonts w:ascii="Calibri" w:hAnsi="Calibri"/>
          <w:sz w:val="22"/>
        </w:rPr>
        <w:t>recruit</w:t>
      </w:r>
      <w:r>
        <w:rPr>
          <w:rFonts w:ascii="Calibri" w:hAnsi="Calibri"/>
          <w:spacing w:val="-2"/>
          <w:sz w:val="22"/>
        </w:rPr>
        <w:t> </w:t>
      </w:r>
      <w:r>
        <w:rPr>
          <w:rFonts w:ascii="Calibri" w:hAnsi="Calibri"/>
          <w:sz w:val="22"/>
        </w:rPr>
        <w:t>translators</w:t>
      </w:r>
      <w:r>
        <w:rPr>
          <w:rFonts w:ascii="Calibri" w:hAnsi="Calibri"/>
          <w:spacing w:val="-3"/>
          <w:sz w:val="22"/>
        </w:rPr>
        <w:t> </w:t>
      </w:r>
      <w:r>
        <w:rPr>
          <w:rFonts w:ascii="Calibri" w:hAnsi="Calibri"/>
          <w:sz w:val="22"/>
        </w:rPr>
        <w:t>from</w:t>
      </w:r>
      <w:r>
        <w:rPr>
          <w:rFonts w:ascii="Calibri" w:hAnsi="Calibri"/>
          <w:spacing w:val="-2"/>
          <w:sz w:val="22"/>
        </w:rPr>
        <w:t> </w:t>
      </w:r>
      <w:r>
        <w:rPr>
          <w:rFonts w:ascii="Calibri" w:hAnsi="Calibri"/>
          <w:sz w:val="22"/>
        </w:rPr>
        <w:t>different</w:t>
      </w:r>
      <w:r>
        <w:rPr>
          <w:rFonts w:ascii="Calibri" w:hAnsi="Calibri"/>
          <w:spacing w:val="-2"/>
          <w:sz w:val="22"/>
        </w:rPr>
        <w:t> </w:t>
      </w:r>
      <w:r>
        <w:rPr>
          <w:rFonts w:ascii="Calibri" w:hAnsi="Calibri"/>
          <w:sz w:val="22"/>
        </w:rPr>
        <w:t>parts</w:t>
      </w:r>
      <w:r>
        <w:rPr>
          <w:rFonts w:ascii="Calibri" w:hAnsi="Calibri"/>
          <w:spacing w:val="-3"/>
          <w:sz w:val="22"/>
        </w:rPr>
        <w:t> </w:t>
      </w:r>
      <w:r>
        <w:rPr>
          <w:rFonts w:ascii="Calibri" w:hAnsi="Calibri"/>
          <w:sz w:val="22"/>
        </w:rPr>
        <w:t>of</w:t>
      </w:r>
      <w:r>
        <w:rPr>
          <w:rFonts w:ascii="Calibri" w:hAnsi="Calibri"/>
          <w:spacing w:val="-3"/>
          <w:sz w:val="22"/>
        </w:rPr>
        <w:t> </w:t>
      </w:r>
      <w:r>
        <w:rPr>
          <w:rFonts w:ascii="Calibri" w:hAnsi="Calibri"/>
          <w:sz w:val="22"/>
        </w:rPr>
        <w:t>Wales</w:t>
      </w:r>
      <w:r>
        <w:rPr>
          <w:rFonts w:ascii="Calibri" w:hAnsi="Calibri"/>
          <w:spacing w:val="-2"/>
          <w:sz w:val="22"/>
        </w:rPr>
        <w:t> </w:t>
      </w:r>
      <w:r>
        <w:rPr>
          <w:rFonts w:ascii="Calibri" w:hAnsi="Calibri"/>
          <w:sz w:val="22"/>
        </w:rPr>
        <w:t>and beyond to assist us with our ability to respond to the demand for translation services.</w:t>
      </w:r>
    </w:p>
    <w:p>
      <w:pPr>
        <w:pStyle w:val="BodyText"/>
        <w:spacing w:before="7"/>
        <w:rPr>
          <w:rFonts w:ascii="Calibri"/>
          <w:sz w:val="23"/>
        </w:rPr>
      </w:pPr>
    </w:p>
    <w:p>
      <w:pPr>
        <w:pStyle w:val="Heading7"/>
        <w:numPr>
          <w:ilvl w:val="0"/>
          <w:numId w:val="46"/>
        </w:numPr>
        <w:tabs>
          <w:tab w:pos="2159" w:val="left" w:leader="none"/>
          <w:tab w:pos="2161" w:val="left" w:leader="none"/>
        </w:tabs>
        <w:spacing w:line="240" w:lineRule="auto" w:before="0" w:after="0"/>
        <w:ind w:left="2160" w:right="0" w:hanging="361"/>
        <w:jc w:val="left"/>
        <w:rPr>
          <w:rFonts w:ascii="Symbol" w:hAnsi="Symbol"/>
          <w:b w:val="0"/>
        </w:rPr>
      </w:pPr>
      <w:r>
        <w:rPr/>
        <w:t>Student</w:t>
      </w:r>
      <w:r>
        <w:rPr>
          <w:spacing w:val="-3"/>
        </w:rPr>
        <w:t> </w:t>
      </w:r>
      <w:r>
        <w:rPr>
          <w:spacing w:val="-2"/>
        </w:rPr>
        <w:t>Streamlining</w:t>
      </w:r>
    </w:p>
    <w:p>
      <w:pPr>
        <w:spacing w:line="259" w:lineRule="auto" w:before="0"/>
        <w:ind w:left="2160" w:right="1405" w:firstLine="0"/>
        <w:jc w:val="left"/>
        <w:rPr>
          <w:rFonts w:ascii="Calibri"/>
          <w:sz w:val="22"/>
        </w:rPr>
      </w:pPr>
      <w:r>
        <w:rPr>
          <w:rFonts w:ascii="Calibri"/>
          <w:sz w:val="22"/>
        </w:rPr>
        <w:t>NHS Wales Shares Services have improved the customer journey through Student Streamlining</w:t>
      </w:r>
      <w:r>
        <w:rPr>
          <w:rFonts w:ascii="Calibri"/>
          <w:spacing w:val="-3"/>
          <w:sz w:val="22"/>
        </w:rPr>
        <w:t> </w:t>
      </w:r>
      <w:r>
        <w:rPr>
          <w:rFonts w:ascii="Calibri"/>
          <w:sz w:val="22"/>
        </w:rPr>
        <w:t>Service</w:t>
      </w:r>
      <w:r>
        <w:rPr>
          <w:rFonts w:ascii="Calibri"/>
          <w:spacing w:val="-3"/>
          <w:sz w:val="22"/>
        </w:rPr>
        <w:t> </w:t>
      </w:r>
      <w:r>
        <w:rPr>
          <w:rFonts w:ascii="Calibri"/>
          <w:sz w:val="22"/>
        </w:rPr>
        <w:t>by</w:t>
      </w:r>
      <w:r>
        <w:rPr>
          <w:rFonts w:ascii="Calibri"/>
          <w:spacing w:val="-4"/>
          <w:sz w:val="22"/>
        </w:rPr>
        <w:t> </w:t>
      </w:r>
      <w:r>
        <w:rPr>
          <w:rFonts w:ascii="Calibri"/>
          <w:sz w:val="22"/>
        </w:rPr>
        <w:t>ensuring</w:t>
      </w:r>
      <w:r>
        <w:rPr>
          <w:rFonts w:ascii="Calibri"/>
          <w:spacing w:val="-3"/>
          <w:sz w:val="22"/>
        </w:rPr>
        <w:t> </w:t>
      </w:r>
      <w:r>
        <w:rPr>
          <w:rFonts w:ascii="Calibri"/>
          <w:sz w:val="22"/>
        </w:rPr>
        <w:t>that</w:t>
      </w:r>
      <w:r>
        <w:rPr>
          <w:rFonts w:ascii="Calibri"/>
          <w:spacing w:val="-3"/>
          <w:sz w:val="22"/>
        </w:rPr>
        <w:t> </w:t>
      </w:r>
      <w:r>
        <w:rPr>
          <w:rFonts w:ascii="Calibri"/>
          <w:sz w:val="22"/>
        </w:rPr>
        <w:t>the</w:t>
      </w:r>
      <w:r>
        <w:rPr>
          <w:rFonts w:ascii="Calibri"/>
          <w:spacing w:val="-3"/>
          <w:sz w:val="22"/>
        </w:rPr>
        <w:t> </w:t>
      </w:r>
      <w:r>
        <w:rPr>
          <w:rFonts w:ascii="Calibri"/>
          <w:sz w:val="22"/>
        </w:rPr>
        <w:t>system</w:t>
      </w:r>
      <w:r>
        <w:rPr>
          <w:rFonts w:ascii="Calibri"/>
          <w:spacing w:val="-3"/>
          <w:sz w:val="22"/>
        </w:rPr>
        <w:t> </w:t>
      </w:r>
      <w:r>
        <w:rPr>
          <w:rFonts w:ascii="Calibri"/>
          <w:sz w:val="22"/>
        </w:rPr>
        <w:t>provides</w:t>
      </w:r>
      <w:r>
        <w:rPr>
          <w:rFonts w:ascii="Calibri"/>
          <w:spacing w:val="-4"/>
          <w:sz w:val="22"/>
        </w:rPr>
        <w:t> </w:t>
      </w:r>
      <w:r>
        <w:rPr>
          <w:rFonts w:ascii="Calibri"/>
          <w:sz w:val="22"/>
        </w:rPr>
        <w:t>a</w:t>
      </w:r>
      <w:r>
        <w:rPr>
          <w:rFonts w:ascii="Calibri"/>
          <w:spacing w:val="-4"/>
          <w:sz w:val="22"/>
        </w:rPr>
        <w:t> </w:t>
      </w:r>
      <w:r>
        <w:rPr>
          <w:rFonts w:ascii="Calibri"/>
          <w:sz w:val="22"/>
        </w:rPr>
        <w:t>Welsh</w:t>
      </w:r>
      <w:r>
        <w:rPr>
          <w:rFonts w:ascii="Calibri"/>
          <w:spacing w:val="-4"/>
          <w:sz w:val="22"/>
        </w:rPr>
        <w:t> </w:t>
      </w:r>
      <w:r>
        <w:rPr>
          <w:rFonts w:ascii="Calibri"/>
          <w:sz w:val="22"/>
        </w:rPr>
        <w:t>language</w:t>
      </w:r>
      <w:r>
        <w:rPr>
          <w:rFonts w:ascii="Calibri"/>
          <w:spacing w:val="-4"/>
          <w:sz w:val="22"/>
        </w:rPr>
        <w:t> </w:t>
      </w:r>
      <w:r>
        <w:rPr>
          <w:rFonts w:ascii="Calibri"/>
          <w:sz w:val="22"/>
        </w:rPr>
        <w:t>journey throughout the process.</w:t>
      </w:r>
    </w:p>
    <w:p>
      <w:pPr>
        <w:spacing w:line="259" w:lineRule="auto" w:before="0"/>
        <w:ind w:left="2160" w:right="1405" w:firstLine="0"/>
        <w:jc w:val="left"/>
        <w:rPr>
          <w:rFonts w:ascii="Calibri"/>
          <w:sz w:val="22"/>
        </w:rPr>
      </w:pPr>
      <w:r>
        <w:rPr>
          <w:rFonts w:ascii="Calibri"/>
          <w:sz w:val="22"/>
        </w:rPr>
        <w:t>We</w:t>
      </w:r>
      <w:r>
        <w:rPr>
          <w:rFonts w:ascii="Calibri"/>
          <w:spacing w:val="-4"/>
          <w:sz w:val="22"/>
        </w:rPr>
        <w:t> </w:t>
      </w:r>
      <w:r>
        <w:rPr>
          <w:rFonts w:ascii="Calibri"/>
          <w:sz w:val="22"/>
        </w:rPr>
        <w:t>audited</w:t>
      </w:r>
      <w:r>
        <w:rPr>
          <w:rFonts w:ascii="Calibri"/>
          <w:spacing w:val="-3"/>
          <w:sz w:val="22"/>
        </w:rPr>
        <w:t> </w:t>
      </w:r>
      <w:r>
        <w:rPr>
          <w:rFonts w:ascii="Calibri"/>
          <w:sz w:val="22"/>
        </w:rPr>
        <w:t>and</w:t>
      </w:r>
      <w:r>
        <w:rPr>
          <w:rFonts w:ascii="Calibri"/>
          <w:spacing w:val="-4"/>
          <w:sz w:val="22"/>
        </w:rPr>
        <w:t> </w:t>
      </w:r>
      <w:r>
        <w:rPr>
          <w:rFonts w:ascii="Calibri"/>
          <w:sz w:val="22"/>
        </w:rPr>
        <w:t>reviewed</w:t>
      </w:r>
      <w:r>
        <w:rPr>
          <w:rFonts w:ascii="Calibri"/>
          <w:spacing w:val="-3"/>
          <w:sz w:val="22"/>
        </w:rPr>
        <w:t> </w:t>
      </w:r>
      <w:r>
        <w:rPr>
          <w:rFonts w:ascii="Calibri"/>
          <w:sz w:val="22"/>
        </w:rPr>
        <w:t>our</w:t>
      </w:r>
      <w:r>
        <w:rPr>
          <w:rFonts w:ascii="Calibri"/>
          <w:spacing w:val="-4"/>
          <w:sz w:val="22"/>
        </w:rPr>
        <w:t> </w:t>
      </w:r>
      <w:r>
        <w:rPr>
          <w:rFonts w:ascii="Calibri"/>
          <w:sz w:val="22"/>
        </w:rPr>
        <w:t>processes,</w:t>
      </w:r>
      <w:r>
        <w:rPr>
          <w:rFonts w:ascii="Calibri"/>
          <w:spacing w:val="-4"/>
          <w:sz w:val="22"/>
        </w:rPr>
        <w:t> </w:t>
      </w:r>
      <w:r>
        <w:rPr>
          <w:rFonts w:ascii="Calibri"/>
          <w:sz w:val="22"/>
        </w:rPr>
        <w:t>automated</w:t>
      </w:r>
      <w:r>
        <w:rPr>
          <w:rFonts w:ascii="Calibri"/>
          <w:spacing w:val="-3"/>
          <w:sz w:val="22"/>
        </w:rPr>
        <w:t> </w:t>
      </w:r>
      <w:r>
        <w:rPr>
          <w:rFonts w:ascii="Calibri"/>
          <w:sz w:val="22"/>
        </w:rPr>
        <w:t>services,</w:t>
      </w:r>
      <w:r>
        <w:rPr>
          <w:rFonts w:ascii="Calibri"/>
          <w:spacing w:val="-4"/>
          <w:sz w:val="22"/>
        </w:rPr>
        <w:t> </w:t>
      </w:r>
      <w:r>
        <w:rPr>
          <w:rFonts w:ascii="Calibri"/>
          <w:sz w:val="22"/>
        </w:rPr>
        <w:t>and</w:t>
      </w:r>
      <w:r>
        <w:rPr>
          <w:rFonts w:ascii="Calibri"/>
          <w:spacing w:val="-3"/>
          <w:sz w:val="22"/>
        </w:rPr>
        <w:t> </w:t>
      </w:r>
      <w:r>
        <w:rPr>
          <w:rFonts w:ascii="Calibri"/>
          <w:sz w:val="22"/>
        </w:rPr>
        <w:t>templates</w:t>
      </w:r>
      <w:r>
        <w:rPr>
          <w:rFonts w:ascii="Calibri"/>
          <w:spacing w:val="-4"/>
          <w:sz w:val="22"/>
        </w:rPr>
        <w:t> </w:t>
      </w:r>
      <w:r>
        <w:rPr>
          <w:rFonts w:ascii="Calibri"/>
          <w:sz w:val="22"/>
        </w:rPr>
        <w:t>to</w:t>
      </w:r>
      <w:r>
        <w:rPr>
          <w:rFonts w:ascii="Calibri"/>
          <w:spacing w:val="-3"/>
          <w:sz w:val="22"/>
        </w:rPr>
        <w:t> </w:t>
      </w:r>
      <w:r>
        <w:rPr>
          <w:rFonts w:ascii="Calibri"/>
          <w:sz w:val="22"/>
        </w:rPr>
        <w:t>ensure</w:t>
      </w:r>
      <w:r>
        <w:rPr>
          <w:rFonts w:ascii="Calibri"/>
          <w:spacing w:val="-3"/>
          <w:sz w:val="22"/>
        </w:rPr>
        <w:t> </w:t>
      </w:r>
      <w:r>
        <w:rPr>
          <w:rFonts w:ascii="Calibri"/>
          <w:sz w:val="22"/>
        </w:rPr>
        <w:t>that there is now a seamless Welsh language offer to students engaging with our service.</w:t>
      </w:r>
    </w:p>
    <w:p>
      <w:pPr>
        <w:spacing w:line="259" w:lineRule="auto" w:before="0"/>
        <w:ind w:left="2160" w:right="1471" w:firstLine="0"/>
        <w:jc w:val="left"/>
        <w:rPr>
          <w:rFonts w:ascii="Calibri"/>
          <w:sz w:val="22"/>
        </w:rPr>
      </w:pPr>
      <w:r>
        <w:rPr>
          <w:rFonts w:ascii="Calibri"/>
          <w:sz w:val="22"/>
        </w:rPr>
        <w:t>As</w:t>
      </w:r>
      <w:r>
        <w:rPr>
          <w:rFonts w:ascii="Calibri"/>
          <w:spacing w:val="-3"/>
          <w:sz w:val="22"/>
        </w:rPr>
        <w:t> </w:t>
      </w:r>
      <w:r>
        <w:rPr>
          <w:rFonts w:ascii="Calibri"/>
          <w:sz w:val="22"/>
        </w:rPr>
        <w:t>part</w:t>
      </w:r>
      <w:r>
        <w:rPr>
          <w:rFonts w:ascii="Calibri"/>
          <w:spacing w:val="-4"/>
          <w:sz w:val="22"/>
        </w:rPr>
        <w:t> </w:t>
      </w:r>
      <w:r>
        <w:rPr>
          <w:rFonts w:ascii="Calibri"/>
          <w:sz w:val="22"/>
        </w:rPr>
        <w:t>of</w:t>
      </w:r>
      <w:r>
        <w:rPr>
          <w:rFonts w:ascii="Calibri"/>
          <w:spacing w:val="-3"/>
          <w:sz w:val="22"/>
        </w:rPr>
        <w:t> </w:t>
      </w:r>
      <w:r>
        <w:rPr>
          <w:rFonts w:ascii="Calibri"/>
          <w:sz w:val="22"/>
        </w:rPr>
        <w:t>this</w:t>
      </w:r>
      <w:r>
        <w:rPr>
          <w:rFonts w:ascii="Calibri"/>
          <w:spacing w:val="-3"/>
          <w:sz w:val="22"/>
        </w:rPr>
        <w:t> </w:t>
      </w:r>
      <w:r>
        <w:rPr>
          <w:rFonts w:ascii="Calibri"/>
          <w:sz w:val="22"/>
        </w:rPr>
        <w:t>project,</w:t>
      </w:r>
      <w:r>
        <w:rPr>
          <w:rFonts w:ascii="Calibri"/>
          <w:spacing w:val="-4"/>
          <w:sz w:val="22"/>
        </w:rPr>
        <w:t> </w:t>
      </w:r>
      <w:r>
        <w:rPr>
          <w:rFonts w:ascii="Calibri"/>
          <w:sz w:val="22"/>
        </w:rPr>
        <w:t>we</w:t>
      </w:r>
      <w:r>
        <w:rPr>
          <w:rFonts w:ascii="Calibri"/>
          <w:spacing w:val="-3"/>
          <w:sz w:val="22"/>
        </w:rPr>
        <w:t> </w:t>
      </w:r>
      <w:r>
        <w:rPr>
          <w:rFonts w:ascii="Calibri"/>
          <w:sz w:val="22"/>
        </w:rPr>
        <w:t>also</w:t>
      </w:r>
      <w:r>
        <w:rPr>
          <w:rFonts w:ascii="Calibri"/>
          <w:spacing w:val="-3"/>
          <w:sz w:val="22"/>
        </w:rPr>
        <w:t> </w:t>
      </w:r>
      <w:r>
        <w:rPr>
          <w:rFonts w:ascii="Calibri"/>
          <w:sz w:val="22"/>
        </w:rPr>
        <w:t>translated</w:t>
      </w:r>
      <w:r>
        <w:rPr>
          <w:rFonts w:ascii="Calibri"/>
          <w:spacing w:val="-4"/>
          <w:sz w:val="22"/>
        </w:rPr>
        <w:t> </w:t>
      </w:r>
      <w:r>
        <w:rPr>
          <w:rFonts w:ascii="Calibri"/>
          <w:sz w:val="22"/>
        </w:rPr>
        <w:t>adverts</w:t>
      </w:r>
      <w:r>
        <w:rPr>
          <w:rFonts w:ascii="Calibri"/>
          <w:spacing w:val="-3"/>
          <w:sz w:val="22"/>
        </w:rPr>
        <w:t> </w:t>
      </w:r>
      <w:r>
        <w:rPr>
          <w:rFonts w:ascii="Calibri"/>
          <w:sz w:val="22"/>
        </w:rPr>
        <w:t>and</w:t>
      </w:r>
      <w:r>
        <w:rPr>
          <w:rFonts w:ascii="Calibri"/>
          <w:spacing w:val="-3"/>
          <w:sz w:val="22"/>
        </w:rPr>
        <w:t> </w:t>
      </w:r>
      <w:r>
        <w:rPr>
          <w:rFonts w:ascii="Calibri"/>
          <w:sz w:val="22"/>
        </w:rPr>
        <w:t>job</w:t>
      </w:r>
      <w:r>
        <w:rPr>
          <w:rFonts w:ascii="Calibri"/>
          <w:spacing w:val="-3"/>
          <w:sz w:val="22"/>
        </w:rPr>
        <w:t> </w:t>
      </w:r>
      <w:r>
        <w:rPr>
          <w:rFonts w:ascii="Calibri"/>
          <w:sz w:val="22"/>
        </w:rPr>
        <w:t>descriptions</w:t>
      </w:r>
      <w:r>
        <w:rPr>
          <w:rFonts w:ascii="Calibri"/>
          <w:spacing w:val="-3"/>
          <w:sz w:val="22"/>
        </w:rPr>
        <w:t> </w:t>
      </w:r>
      <w:r>
        <w:rPr>
          <w:rFonts w:ascii="Calibri"/>
          <w:sz w:val="22"/>
        </w:rPr>
        <w:t>to</w:t>
      </w:r>
      <w:r>
        <w:rPr>
          <w:rFonts w:ascii="Calibri"/>
          <w:spacing w:val="-3"/>
          <w:sz w:val="22"/>
        </w:rPr>
        <w:t> </w:t>
      </w:r>
      <w:r>
        <w:rPr>
          <w:rFonts w:ascii="Calibri"/>
          <w:sz w:val="22"/>
        </w:rPr>
        <w:t>enable</w:t>
      </w:r>
      <w:r>
        <w:rPr>
          <w:rFonts w:ascii="Calibri"/>
          <w:spacing w:val="-4"/>
          <w:sz w:val="22"/>
        </w:rPr>
        <w:t> </w:t>
      </w:r>
      <w:r>
        <w:rPr>
          <w:rFonts w:ascii="Calibri"/>
          <w:sz w:val="22"/>
        </w:rPr>
        <w:t>Health Boards to be able to advertise the opportunities through the Student Streamlining programme through both the medium of Welsh and English.</w:t>
      </w:r>
    </w:p>
    <w:p>
      <w:pPr>
        <w:spacing w:after="0" w:line="259" w:lineRule="auto"/>
        <w:jc w:val="left"/>
        <w:rPr>
          <w:rFonts w:ascii="Calibri"/>
          <w:sz w:val="22"/>
        </w:rPr>
        <w:sectPr>
          <w:pgSz w:w="11910" w:h="16840"/>
          <w:pgMar w:header="0" w:footer="173" w:top="1420" w:bottom="360" w:left="0" w:right="0"/>
        </w:sectPr>
      </w:pPr>
    </w:p>
    <w:p>
      <w:pPr>
        <w:pStyle w:val="Heading7"/>
        <w:numPr>
          <w:ilvl w:val="0"/>
          <w:numId w:val="46"/>
        </w:numPr>
        <w:tabs>
          <w:tab w:pos="2159" w:val="left" w:leader="none"/>
          <w:tab w:pos="2161" w:val="left" w:leader="none"/>
        </w:tabs>
        <w:spacing w:line="240" w:lineRule="auto" w:before="82" w:after="0"/>
        <w:ind w:left="2160" w:right="0" w:hanging="361"/>
        <w:jc w:val="left"/>
        <w:rPr>
          <w:rFonts w:ascii="Symbol" w:hAnsi="Symbol"/>
          <w:b w:val="0"/>
        </w:rPr>
      </w:pPr>
      <w:r>
        <w:rPr/>
        <w:t>All</w:t>
      </w:r>
      <w:r>
        <w:rPr>
          <w:spacing w:val="-3"/>
        </w:rPr>
        <w:t> </w:t>
      </w:r>
      <w:r>
        <w:rPr/>
        <w:t>Wales</w:t>
      </w:r>
      <w:r>
        <w:rPr>
          <w:spacing w:val="-2"/>
        </w:rPr>
        <w:t> </w:t>
      </w:r>
      <w:r>
        <w:rPr/>
        <w:t>Patient</w:t>
      </w:r>
      <w:r>
        <w:rPr>
          <w:spacing w:val="-3"/>
        </w:rPr>
        <w:t> </w:t>
      </w:r>
      <w:r>
        <w:rPr/>
        <w:t>Information</w:t>
      </w:r>
      <w:r>
        <w:rPr>
          <w:spacing w:val="-2"/>
        </w:rPr>
        <w:t> Leaflets</w:t>
      </w:r>
    </w:p>
    <w:p>
      <w:pPr>
        <w:spacing w:before="0"/>
        <w:ind w:left="2160" w:right="1405" w:firstLine="0"/>
        <w:jc w:val="left"/>
        <w:rPr>
          <w:rFonts w:ascii="Calibri"/>
          <w:sz w:val="22"/>
        </w:rPr>
      </w:pPr>
      <w:r>
        <w:rPr>
          <w:rFonts w:ascii="Calibri"/>
          <w:sz w:val="22"/>
        </w:rPr>
        <w:t>We undertook a comprehensive audit and review of over 350 Patient Information Leaflets during</w:t>
      </w:r>
      <w:r>
        <w:rPr>
          <w:rFonts w:ascii="Calibri"/>
          <w:spacing w:val="-3"/>
          <w:sz w:val="22"/>
        </w:rPr>
        <w:t> </w:t>
      </w:r>
      <w:r>
        <w:rPr>
          <w:rFonts w:ascii="Calibri"/>
          <w:sz w:val="22"/>
        </w:rPr>
        <w:t>2021/22.</w:t>
      </w:r>
      <w:r>
        <w:rPr>
          <w:rFonts w:ascii="Calibri"/>
          <w:spacing w:val="40"/>
          <w:sz w:val="22"/>
        </w:rPr>
        <w:t> </w:t>
      </w:r>
      <w:r>
        <w:rPr>
          <w:rFonts w:ascii="Calibri"/>
          <w:sz w:val="22"/>
        </w:rPr>
        <w:t>The</w:t>
      </w:r>
      <w:r>
        <w:rPr>
          <w:rFonts w:ascii="Calibri"/>
          <w:spacing w:val="-3"/>
          <w:sz w:val="22"/>
        </w:rPr>
        <w:t> </w:t>
      </w:r>
      <w:r>
        <w:rPr>
          <w:rFonts w:ascii="Calibri"/>
          <w:sz w:val="22"/>
        </w:rPr>
        <w:t>leaflets</w:t>
      </w:r>
      <w:r>
        <w:rPr>
          <w:rFonts w:ascii="Calibri"/>
          <w:spacing w:val="-3"/>
          <w:sz w:val="22"/>
        </w:rPr>
        <w:t> </w:t>
      </w:r>
      <w:r>
        <w:rPr>
          <w:rFonts w:ascii="Calibri"/>
          <w:sz w:val="22"/>
        </w:rPr>
        <w:t>are</w:t>
      </w:r>
      <w:r>
        <w:rPr>
          <w:rFonts w:ascii="Calibri"/>
          <w:spacing w:val="-2"/>
          <w:sz w:val="22"/>
        </w:rPr>
        <w:t> </w:t>
      </w:r>
      <w:r>
        <w:rPr>
          <w:rFonts w:ascii="Calibri"/>
          <w:sz w:val="22"/>
        </w:rPr>
        <w:t>given</w:t>
      </w:r>
      <w:r>
        <w:rPr>
          <w:rFonts w:ascii="Calibri"/>
          <w:spacing w:val="-2"/>
          <w:sz w:val="22"/>
        </w:rPr>
        <w:t> </w:t>
      </w:r>
      <w:r>
        <w:rPr>
          <w:rFonts w:ascii="Calibri"/>
          <w:sz w:val="22"/>
        </w:rPr>
        <w:t>to</w:t>
      </w:r>
      <w:r>
        <w:rPr>
          <w:rFonts w:ascii="Calibri"/>
          <w:spacing w:val="-2"/>
          <w:sz w:val="22"/>
        </w:rPr>
        <w:t> </w:t>
      </w:r>
      <w:r>
        <w:rPr>
          <w:rFonts w:ascii="Calibri"/>
          <w:sz w:val="22"/>
        </w:rPr>
        <w:t>patients</w:t>
      </w:r>
      <w:r>
        <w:rPr>
          <w:rFonts w:ascii="Calibri"/>
          <w:spacing w:val="-3"/>
          <w:sz w:val="22"/>
        </w:rPr>
        <w:t> </w:t>
      </w:r>
      <w:r>
        <w:rPr>
          <w:rFonts w:ascii="Calibri"/>
          <w:sz w:val="22"/>
        </w:rPr>
        <w:t>as</w:t>
      </w:r>
      <w:r>
        <w:rPr>
          <w:rFonts w:ascii="Calibri"/>
          <w:spacing w:val="-2"/>
          <w:sz w:val="22"/>
        </w:rPr>
        <w:t> </w:t>
      </w:r>
      <w:r>
        <w:rPr>
          <w:rFonts w:ascii="Calibri"/>
          <w:sz w:val="22"/>
        </w:rPr>
        <w:t>part</w:t>
      </w:r>
      <w:r>
        <w:rPr>
          <w:rFonts w:ascii="Calibri"/>
          <w:spacing w:val="-3"/>
          <w:sz w:val="22"/>
        </w:rPr>
        <w:t> </w:t>
      </w:r>
      <w:r>
        <w:rPr>
          <w:rFonts w:ascii="Calibri"/>
          <w:sz w:val="22"/>
        </w:rPr>
        <w:t>of</w:t>
      </w:r>
      <w:r>
        <w:rPr>
          <w:rFonts w:ascii="Calibri"/>
          <w:spacing w:val="-3"/>
          <w:sz w:val="22"/>
        </w:rPr>
        <w:t> </w:t>
      </w:r>
      <w:r>
        <w:rPr>
          <w:rFonts w:ascii="Calibri"/>
          <w:sz w:val="22"/>
        </w:rPr>
        <w:t>the</w:t>
      </w:r>
      <w:r>
        <w:rPr>
          <w:rFonts w:ascii="Calibri"/>
          <w:spacing w:val="-3"/>
          <w:sz w:val="22"/>
        </w:rPr>
        <w:t> </w:t>
      </w:r>
      <w:r>
        <w:rPr>
          <w:rFonts w:ascii="Calibri"/>
          <w:sz w:val="22"/>
        </w:rPr>
        <w:t>consent</w:t>
      </w:r>
      <w:r>
        <w:rPr>
          <w:rFonts w:ascii="Calibri"/>
          <w:spacing w:val="-3"/>
          <w:sz w:val="22"/>
        </w:rPr>
        <w:t> </w:t>
      </w:r>
      <w:r>
        <w:rPr>
          <w:rFonts w:ascii="Calibri"/>
          <w:sz w:val="22"/>
        </w:rPr>
        <w:t>process.</w:t>
      </w:r>
      <w:r>
        <w:rPr>
          <w:rFonts w:ascii="Calibri"/>
          <w:spacing w:val="40"/>
          <w:sz w:val="22"/>
        </w:rPr>
        <w:t> </w:t>
      </w:r>
      <w:r>
        <w:rPr>
          <w:rFonts w:ascii="Calibri"/>
          <w:sz w:val="22"/>
        </w:rPr>
        <w:t>The</w:t>
      </w:r>
      <w:r>
        <w:rPr>
          <w:rFonts w:ascii="Calibri"/>
          <w:spacing w:val="-3"/>
          <w:sz w:val="22"/>
        </w:rPr>
        <w:t> </w:t>
      </w:r>
      <w:r>
        <w:rPr>
          <w:rFonts w:ascii="Calibri"/>
          <w:sz w:val="22"/>
        </w:rPr>
        <w:t>audit and review enabled us to make improvements to the language used in the leaflets, to have consistency in terminology as well as making the leaflets wholly bilingual for patients in Wales.</w:t>
      </w:r>
      <w:r>
        <w:rPr>
          <w:rFonts w:ascii="Calibri"/>
          <w:spacing w:val="40"/>
          <w:sz w:val="22"/>
        </w:rPr>
        <w:t> </w:t>
      </w:r>
      <w:r>
        <w:rPr>
          <w:rFonts w:ascii="Calibri"/>
          <w:sz w:val="22"/>
        </w:rPr>
        <w:t>Previously Welsh and English versions were available separately.</w:t>
      </w:r>
      <w:r>
        <w:rPr>
          <w:rFonts w:ascii="Calibri"/>
          <w:spacing w:val="40"/>
          <w:sz w:val="22"/>
        </w:rPr>
        <w:t> </w:t>
      </w:r>
      <w:r>
        <w:rPr>
          <w:rFonts w:ascii="Calibri"/>
          <w:sz w:val="22"/>
        </w:rPr>
        <w:t>This work will continue in 2022/23 with work being undertaken in partnership with Eido Healthcare to translate easy read versions of the leaflets.</w:t>
      </w:r>
    </w:p>
    <w:p>
      <w:pPr>
        <w:pStyle w:val="BodyText"/>
        <w:spacing w:before="6"/>
        <w:rPr>
          <w:rFonts w:ascii="Calibri"/>
          <w:sz w:val="28"/>
        </w:rPr>
      </w:pPr>
    </w:p>
    <w:p>
      <w:pPr>
        <w:pStyle w:val="Heading7"/>
        <w:numPr>
          <w:ilvl w:val="0"/>
          <w:numId w:val="46"/>
        </w:numPr>
        <w:tabs>
          <w:tab w:pos="2159" w:val="left" w:leader="none"/>
          <w:tab w:pos="2161" w:val="left" w:leader="none"/>
        </w:tabs>
        <w:spacing w:line="240" w:lineRule="auto" w:before="0" w:after="0"/>
        <w:ind w:left="2160" w:right="0" w:hanging="361"/>
        <w:jc w:val="left"/>
        <w:rPr>
          <w:rFonts w:ascii="Symbol" w:hAnsi="Symbol"/>
          <w:b w:val="0"/>
        </w:rPr>
      </w:pPr>
      <w:r>
        <w:rPr/>
        <w:t>ESR</w:t>
      </w:r>
      <w:r>
        <w:rPr>
          <w:spacing w:val="-3"/>
        </w:rPr>
        <w:t> </w:t>
      </w:r>
      <w:r>
        <w:rPr/>
        <w:t>Portlets</w:t>
      </w:r>
      <w:r>
        <w:rPr>
          <w:spacing w:val="-2"/>
        </w:rPr>
        <w:t> </w:t>
      </w:r>
      <w:r>
        <w:rPr/>
        <w:t>available</w:t>
      </w:r>
      <w:r>
        <w:rPr>
          <w:spacing w:val="-2"/>
        </w:rPr>
        <w:t> </w:t>
      </w:r>
      <w:r>
        <w:rPr/>
        <w:t>in</w:t>
      </w:r>
      <w:r>
        <w:rPr>
          <w:spacing w:val="-2"/>
        </w:rPr>
        <w:t> </w:t>
      </w:r>
      <w:r>
        <w:rPr>
          <w:spacing w:val="-4"/>
        </w:rPr>
        <w:t>Welsh</w:t>
      </w:r>
    </w:p>
    <w:p>
      <w:pPr>
        <w:spacing w:before="1"/>
        <w:ind w:left="2160" w:right="1450" w:firstLine="0"/>
        <w:jc w:val="left"/>
        <w:rPr>
          <w:rFonts w:ascii="Calibri"/>
          <w:sz w:val="22"/>
        </w:rPr>
      </w:pPr>
      <w:r>
        <w:rPr>
          <w:rFonts w:ascii="Calibri"/>
          <w:sz w:val="22"/>
        </w:rPr>
        <w:t>The Welsh Language Unit and the Workforce Information Systems team at NHS Wales Shared</w:t>
      </w:r>
      <w:r>
        <w:rPr>
          <w:rFonts w:ascii="Calibri"/>
          <w:spacing w:val="-3"/>
          <w:sz w:val="22"/>
        </w:rPr>
        <w:t> </w:t>
      </w:r>
      <w:r>
        <w:rPr>
          <w:rFonts w:ascii="Calibri"/>
          <w:sz w:val="22"/>
        </w:rPr>
        <w:t>Services</w:t>
      </w:r>
      <w:r>
        <w:rPr>
          <w:rFonts w:ascii="Calibri"/>
          <w:spacing w:val="-3"/>
          <w:sz w:val="22"/>
        </w:rPr>
        <w:t> </w:t>
      </w:r>
      <w:r>
        <w:rPr>
          <w:rFonts w:ascii="Calibri"/>
          <w:sz w:val="22"/>
        </w:rPr>
        <w:t>Partnership</w:t>
      </w:r>
      <w:r>
        <w:rPr>
          <w:rFonts w:ascii="Calibri"/>
          <w:spacing w:val="-4"/>
          <w:sz w:val="22"/>
        </w:rPr>
        <w:t> </w:t>
      </w:r>
      <w:r>
        <w:rPr>
          <w:rFonts w:ascii="Calibri"/>
          <w:sz w:val="22"/>
        </w:rPr>
        <w:t>worked</w:t>
      </w:r>
      <w:r>
        <w:rPr>
          <w:rFonts w:ascii="Calibri"/>
          <w:spacing w:val="-3"/>
          <w:sz w:val="22"/>
        </w:rPr>
        <w:t> </w:t>
      </w:r>
      <w:r>
        <w:rPr>
          <w:rFonts w:ascii="Calibri"/>
          <w:sz w:val="22"/>
        </w:rPr>
        <w:t>collaboratively</w:t>
      </w:r>
      <w:r>
        <w:rPr>
          <w:rFonts w:ascii="Calibri"/>
          <w:spacing w:val="-3"/>
          <w:sz w:val="22"/>
        </w:rPr>
        <w:t> </w:t>
      </w:r>
      <w:r>
        <w:rPr>
          <w:rFonts w:ascii="Calibri"/>
          <w:sz w:val="22"/>
        </w:rPr>
        <w:t>with</w:t>
      </w:r>
      <w:r>
        <w:rPr>
          <w:rFonts w:ascii="Calibri"/>
          <w:spacing w:val="-3"/>
          <w:sz w:val="22"/>
        </w:rPr>
        <w:t> </w:t>
      </w:r>
      <w:r>
        <w:rPr>
          <w:rFonts w:ascii="Calibri"/>
          <w:sz w:val="22"/>
        </w:rPr>
        <w:t>the</w:t>
      </w:r>
      <w:r>
        <w:rPr>
          <w:rFonts w:ascii="Calibri"/>
          <w:spacing w:val="-3"/>
          <w:sz w:val="22"/>
        </w:rPr>
        <w:t> </w:t>
      </w:r>
      <w:r>
        <w:rPr>
          <w:rFonts w:ascii="Calibri"/>
          <w:sz w:val="22"/>
        </w:rPr>
        <w:t>NHS</w:t>
      </w:r>
      <w:r>
        <w:rPr>
          <w:rFonts w:ascii="Calibri"/>
          <w:spacing w:val="-3"/>
          <w:sz w:val="22"/>
        </w:rPr>
        <w:t> </w:t>
      </w:r>
      <w:r>
        <w:rPr>
          <w:rFonts w:ascii="Calibri"/>
          <w:sz w:val="22"/>
        </w:rPr>
        <w:t>Business</w:t>
      </w:r>
      <w:r>
        <w:rPr>
          <w:rFonts w:ascii="Calibri"/>
          <w:spacing w:val="-4"/>
          <w:sz w:val="22"/>
        </w:rPr>
        <w:t> </w:t>
      </w:r>
      <w:r>
        <w:rPr>
          <w:rFonts w:ascii="Calibri"/>
          <w:sz w:val="22"/>
        </w:rPr>
        <w:t>Services</w:t>
      </w:r>
      <w:r>
        <w:rPr>
          <w:rFonts w:ascii="Calibri"/>
          <w:spacing w:val="-3"/>
          <w:sz w:val="22"/>
        </w:rPr>
        <w:t> </w:t>
      </w:r>
      <w:r>
        <w:rPr>
          <w:rFonts w:ascii="Calibri"/>
          <w:sz w:val="22"/>
        </w:rPr>
        <w:t>Authority and IBM on the development of Welsh Language Portlets on ESR in the autumn of</w:t>
      </w:r>
    </w:p>
    <w:p>
      <w:pPr>
        <w:spacing w:before="0"/>
        <w:ind w:left="2160" w:right="1405" w:firstLine="0"/>
        <w:jc w:val="left"/>
        <w:rPr>
          <w:rFonts w:ascii="Calibri"/>
          <w:sz w:val="22"/>
        </w:rPr>
      </w:pPr>
      <w:r>
        <w:rPr>
          <w:rFonts w:ascii="Calibri"/>
          <w:sz w:val="22"/>
        </w:rPr>
        <w:t>2021.</w:t>
      </w:r>
      <w:r>
        <w:rPr>
          <w:rFonts w:ascii="Calibri"/>
          <w:spacing w:val="40"/>
          <w:sz w:val="22"/>
        </w:rPr>
        <w:t> </w:t>
      </w:r>
      <w:r>
        <w:rPr>
          <w:rFonts w:ascii="Calibri"/>
          <w:sz w:val="22"/>
        </w:rPr>
        <w:t>This</w:t>
      </w:r>
      <w:r>
        <w:rPr>
          <w:rFonts w:ascii="Calibri"/>
          <w:spacing w:val="-3"/>
          <w:sz w:val="22"/>
        </w:rPr>
        <w:t> </w:t>
      </w:r>
      <w:r>
        <w:rPr>
          <w:rFonts w:ascii="Calibri"/>
          <w:sz w:val="22"/>
        </w:rPr>
        <w:t>now</w:t>
      </w:r>
      <w:r>
        <w:rPr>
          <w:rFonts w:ascii="Calibri"/>
          <w:spacing w:val="-3"/>
          <w:sz w:val="22"/>
        </w:rPr>
        <w:t> </w:t>
      </w:r>
      <w:r>
        <w:rPr>
          <w:rFonts w:ascii="Calibri"/>
          <w:sz w:val="22"/>
        </w:rPr>
        <w:t>means</w:t>
      </w:r>
      <w:r>
        <w:rPr>
          <w:rFonts w:ascii="Calibri"/>
          <w:spacing w:val="-3"/>
          <w:sz w:val="22"/>
        </w:rPr>
        <w:t> </w:t>
      </w:r>
      <w:r>
        <w:rPr>
          <w:rFonts w:ascii="Calibri"/>
          <w:sz w:val="22"/>
        </w:rPr>
        <w:t>that</w:t>
      </w:r>
      <w:r>
        <w:rPr>
          <w:rFonts w:ascii="Calibri"/>
          <w:spacing w:val="-2"/>
          <w:sz w:val="22"/>
        </w:rPr>
        <w:t> </w:t>
      </w:r>
      <w:r>
        <w:rPr>
          <w:rFonts w:ascii="Calibri"/>
          <w:sz w:val="22"/>
        </w:rPr>
        <w:t>the</w:t>
      </w:r>
      <w:r>
        <w:rPr>
          <w:rFonts w:ascii="Calibri"/>
          <w:spacing w:val="-3"/>
          <w:sz w:val="22"/>
        </w:rPr>
        <w:t> </w:t>
      </w:r>
      <w:r>
        <w:rPr>
          <w:rFonts w:ascii="Calibri"/>
          <w:sz w:val="22"/>
        </w:rPr>
        <w:t>portals</w:t>
      </w:r>
      <w:r>
        <w:rPr>
          <w:rFonts w:ascii="Calibri"/>
          <w:spacing w:val="-3"/>
          <w:sz w:val="22"/>
        </w:rPr>
        <w:t> </w:t>
      </w:r>
      <w:r>
        <w:rPr>
          <w:rFonts w:ascii="Calibri"/>
          <w:sz w:val="22"/>
        </w:rPr>
        <w:t>on</w:t>
      </w:r>
      <w:r>
        <w:rPr>
          <w:rFonts w:ascii="Calibri"/>
          <w:spacing w:val="-3"/>
          <w:sz w:val="22"/>
        </w:rPr>
        <w:t> </w:t>
      </w:r>
      <w:r>
        <w:rPr>
          <w:rFonts w:ascii="Calibri"/>
          <w:sz w:val="22"/>
        </w:rPr>
        <w:t>ESR</w:t>
      </w:r>
      <w:r>
        <w:rPr>
          <w:rFonts w:ascii="Calibri"/>
          <w:spacing w:val="-2"/>
          <w:sz w:val="22"/>
        </w:rPr>
        <w:t> </w:t>
      </w:r>
      <w:r>
        <w:rPr>
          <w:rFonts w:ascii="Calibri"/>
          <w:sz w:val="22"/>
        </w:rPr>
        <w:t>are</w:t>
      </w:r>
      <w:r>
        <w:rPr>
          <w:rFonts w:ascii="Calibri"/>
          <w:spacing w:val="-3"/>
          <w:sz w:val="22"/>
        </w:rPr>
        <w:t> </w:t>
      </w:r>
      <w:r>
        <w:rPr>
          <w:rFonts w:ascii="Calibri"/>
          <w:sz w:val="22"/>
        </w:rPr>
        <w:t>available</w:t>
      </w:r>
      <w:r>
        <w:rPr>
          <w:rFonts w:ascii="Calibri"/>
          <w:spacing w:val="-3"/>
          <w:sz w:val="22"/>
        </w:rPr>
        <w:t> </w:t>
      </w:r>
      <w:r>
        <w:rPr>
          <w:rFonts w:ascii="Calibri"/>
          <w:sz w:val="22"/>
        </w:rPr>
        <w:t>to</w:t>
      </w:r>
      <w:r>
        <w:rPr>
          <w:rFonts w:ascii="Calibri"/>
          <w:spacing w:val="-2"/>
          <w:sz w:val="22"/>
        </w:rPr>
        <w:t> </w:t>
      </w:r>
      <w:r>
        <w:rPr>
          <w:rFonts w:ascii="Calibri"/>
          <w:sz w:val="22"/>
        </w:rPr>
        <w:t>NHS</w:t>
      </w:r>
      <w:r>
        <w:rPr>
          <w:rFonts w:ascii="Calibri"/>
          <w:spacing w:val="-2"/>
          <w:sz w:val="22"/>
        </w:rPr>
        <w:t> </w:t>
      </w:r>
      <w:r>
        <w:rPr>
          <w:rFonts w:ascii="Calibri"/>
          <w:sz w:val="22"/>
        </w:rPr>
        <w:t>Staff</w:t>
      </w:r>
      <w:r>
        <w:rPr>
          <w:rFonts w:ascii="Calibri"/>
          <w:spacing w:val="-3"/>
          <w:sz w:val="22"/>
        </w:rPr>
        <w:t> </w:t>
      </w:r>
      <w:r>
        <w:rPr>
          <w:rFonts w:ascii="Calibri"/>
          <w:sz w:val="22"/>
        </w:rPr>
        <w:t>in</w:t>
      </w:r>
      <w:r>
        <w:rPr>
          <w:rFonts w:ascii="Calibri"/>
          <w:spacing w:val="-2"/>
          <w:sz w:val="22"/>
        </w:rPr>
        <w:t> </w:t>
      </w:r>
      <w:r>
        <w:rPr>
          <w:rFonts w:ascii="Calibri"/>
          <w:sz w:val="22"/>
        </w:rPr>
        <w:t>both</w:t>
      </w:r>
      <w:r>
        <w:rPr>
          <w:rFonts w:ascii="Calibri"/>
          <w:spacing w:val="-2"/>
          <w:sz w:val="22"/>
        </w:rPr>
        <w:t> </w:t>
      </w:r>
      <w:r>
        <w:rPr>
          <w:rFonts w:ascii="Calibri"/>
          <w:sz w:val="22"/>
        </w:rPr>
        <w:t>Welsh</w:t>
      </w:r>
      <w:r>
        <w:rPr>
          <w:rFonts w:ascii="Calibri"/>
          <w:spacing w:val="-3"/>
          <w:sz w:val="22"/>
        </w:rPr>
        <w:t> </w:t>
      </w:r>
      <w:r>
        <w:rPr>
          <w:rFonts w:ascii="Calibri"/>
          <w:sz w:val="22"/>
        </w:rPr>
        <w:t>and English in order to satisfy the requirements of Standard 81 of the Operational Standards.</w:t>
      </w:r>
    </w:p>
    <w:p>
      <w:pPr>
        <w:pStyle w:val="BodyText"/>
        <w:spacing w:before="6"/>
        <w:rPr>
          <w:rFonts w:ascii="Calibri"/>
          <w:sz w:val="28"/>
        </w:rPr>
      </w:pPr>
    </w:p>
    <w:p>
      <w:pPr>
        <w:pStyle w:val="Heading7"/>
        <w:numPr>
          <w:ilvl w:val="0"/>
          <w:numId w:val="46"/>
        </w:numPr>
        <w:tabs>
          <w:tab w:pos="2159" w:val="left" w:leader="none"/>
          <w:tab w:pos="2161" w:val="left" w:leader="none"/>
        </w:tabs>
        <w:spacing w:line="240" w:lineRule="auto" w:before="0" w:after="0"/>
        <w:ind w:left="2160" w:right="0" w:hanging="361"/>
        <w:jc w:val="left"/>
        <w:rPr>
          <w:rFonts w:ascii="Symbol" w:hAnsi="Symbol"/>
          <w:b w:val="0"/>
        </w:rPr>
      </w:pPr>
      <w:r>
        <w:rPr/>
        <w:t>Contact</w:t>
      </w:r>
      <w:r>
        <w:rPr>
          <w:spacing w:val="-2"/>
        </w:rPr>
        <w:t> </w:t>
      </w:r>
      <w:r>
        <w:rPr/>
        <w:t>Centre</w:t>
      </w:r>
      <w:r>
        <w:rPr>
          <w:spacing w:val="-2"/>
        </w:rPr>
        <w:t> </w:t>
      </w:r>
      <w:r>
        <w:rPr/>
        <w:t>Review</w:t>
      </w:r>
      <w:r>
        <w:rPr>
          <w:spacing w:val="-1"/>
        </w:rPr>
        <w:t> </w:t>
      </w:r>
      <w:r>
        <w:rPr>
          <w:spacing w:val="-2"/>
        </w:rPr>
        <w:t>Project</w:t>
      </w:r>
    </w:p>
    <w:p>
      <w:pPr>
        <w:spacing w:before="0"/>
        <w:ind w:left="2160" w:right="1547" w:firstLine="0"/>
        <w:jc w:val="left"/>
        <w:rPr>
          <w:rFonts w:ascii="Calibri"/>
          <w:sz w:val="22"/>
        </w:rPr>
      </w:pPr>
      <w:r>
        <w:rPr>
          <w:rFonts w:ascii="Calibri"/>
          <w:sz w:val="22"/>
        </w:rPr>
        <w:t>The</w:t>
      </w:r>
      <w:r>
        <w:rPr>
          <w:rFonts w:ascii="Calibri"/>
          <w:spacing w:val="-3"/>
          <w:sz w:val="22"/>
        </w:rPr>
        <w:t> </w:t>
      </w:r>
      <w:r>
        <w:rPr>
          <w:rFonts w:ascii="Calibri"/>
          <w:sz w:val="22"/>
        </w:rPr>
        <w:t>purpose</w:t>
      </w:r>
      <w:r>
        <w:rPr>
          <w:rFonts w:ascii="Calibri"/>
          <w:spacing w:val="-3"/>
          <w:sz w:val="22"/>
        </w:rPr>
        <w:t> </w:t>
      </w:r>
      <w:r>
        <w:rPr>
          <w:rFonts w:ascii="Calibri"/>
          <w:sz w:val="22"/>
        </w:rPr>
        <w:t>of</w:t>
      </w:r>
      <w:r>
        <w:rPr>
          <w:rFonts w:ascii="Calibri"/>
          <w:spacing w:val="-3"/>
          <w:sz w:val="22"/>
        </w:rPr>
        <w:t> </w:t>
      </w:r>
      <w:r>
        <w:rPr>
          <w:rFonts w:ascii="Calibri"/>
          <w:sz w:val="22"/>
        </w:rPr>
        <w:t>this</w:t>
      </w:r>
      <w:r>
        <w:rPr>
          <w:rFonts w:ascii="Calibri"/>
          <w:spacing w:val="-3"/>
          <w:sz w:val="22"/>
        </w:rPr>
        <w:t> </w:t>
      </w:r>
      <w:r>
        <w:rPr>
          <w:rFonts w:ascii="Calibri"/>
          <w:sz w:val="22"/>
        </w:rPr>
        <w:t>review</w:t>
      </w:r>
      <w:r>
        <w:rPr>
          <w:rFonts w:ascii="Calibri"/>
          <w:spacing w:val="-2"/>
          <w:sz w:val="22"/>
        </w:rPr>
        <w:t> </w:t>
      </w:r>
      <w:r>
        <w:rPr>
          <w:rFonts w:ascii="Calibri"/>
          <w:sz w:val="22"/>
        </w:rPr>
        <w:t>project</w:t>
      </w:r>
      <w:r>
        <w:rPr>
          <w:rFonts w:ascii="Calibri"/>
          <w:spacing w:val="-3"/>
          <w:sz w:val="22"/>
        </w:rPr>
        <w:t> </w:t>
      </w:r>
      <w:r>
        <w:rPr>
          <w:rFonts w:ascii="Calibri"/>
          <w:sz w:val="22"/>
        </w:rPr>
        <w:t>was</w:t>
      </w:r>
      <w:r>
        <w:rPr>
          <w:rFonts w:ascii="Calibri"/>
          <w:spacing w:val="-2"/>
          <w:sz w:val="22"/>
        </w:rPr>
        <w:t> </w:t>
      </w:r>
      <w:r>
        <w:rPr>
          <w:rFonts w:ascii="Calibri"/>
          <w:sz w:val="22"/>
        </w:rPr>
        <w:t>to</w:t>
      </w:r>
      <w:r>
        <w:rPr>
          <w:rFonts w:ascii="Calibri"/>
          <w:spacing w:val="-2"/>
          <w:sz w:val="22"/>
        </w:rPr>
        <w:t> </w:t>
      </w:r>
      <w:r>
        <w:rPr>
          <w:rFonts w:ascii="Calibri"/>
          <w:sz w:val="22"/>
        </w:rPr>
        <w:t>audit</w:t>
      </w:r>
      <w:r>
        <w:rPr>
          <w:rFonts w:ascii="Calibri"/>
          <w:spacing w:val="-2"/>
          <w:sz w:val="22"/>
        </w:rPr>
        <w:t> </w:t>
      </w:r>
      <w:r>
        <w:rPr>
          <w:rFonts w:ascii="Calibri"/>
          <w:sz w:val="22"/>
        </w:rPr>
        <w:t>our</w:t>
      </w:r>
      <w:r>
        <w:rPr>
          <w:rFonts w:ascii="Calibri"/>
          <w:spacing w:val="-3"/>
          <w:sz w:val="22"/>
        </w:rPr>
        <w:t> </w:t>
      </w:r>
      <w:r>
        <w:rPr>
          <w:rFonts w:ascii="Calibri"/>
          <w:sz w:val="22"/>
        </w:rPr>
        <w:t>existing</w:t>
      </w:r>
      <w:r>
        <w:rPr>
          <w:rFonts w:ascii="Calibri"/>
          <w:spacing w:val="-3"/>
          <w:sz w:val="22"/>
        </w:rPr>
        <w:t> </w:t>
      </w:r>
      <w:r>
        <w:rPr>
          <w:rFonts w:ascii="Calibri"/>
          <w:sz w:val="22"/>
        </w:rPr>
        <w:t>centre</w:t>
      </w:r>
      <w:r>
        <w:rPr>
          <w:rFonts w:ascii="Calibri"/>
          <w:spacing w:val="-2"/>
          <w:sz w:val="22"/>
        </w:rPr>
        <w:t> </w:t>
      </w:r>
      <w:r>
        <w:rPr>
          <w:rFonts w:ascii="Calibri"/>
          <w:sz w:val="22"/>
        </w:rPr>
        <w:t>services,</w:t>
      </w:r>
      <w:r>
        <w:rPr>
          <w:rFonts w:ascii="Calibri"/>
          <w:spacing w:val="-2"/>
          <w:sz w:val="22"/>
        </w:rPr>
        <w:t> </w:t>
      </w:r>
      <w:r>
        <w:rPr>
          <w:rFonts w:ascii="Calibri"/>
          <w:sz w:val="22"/>
        </w:rPr>
        <w:t>establish</w:t>
      </w:r>
      <w:r>
        <w:rPr>
          <w:rFonts w:ascii="Calibri"/>
          <w:spacing w:val="-3"/>
          <w:sz w:val="22"/>
        </w:rPr>
        <w:t> </w:t>
      </w:r>
      <w:r>
        <w:rPr>
          <w:rFonts w:ascii="Calibri"/>
          <w:sz w:val="22"/>
        </w:rPr>
        <w:t>how our customers currently engage with us, identify improvements, and to increase and improve the self-serve element of the services we provide.</w:t>
      </w:r>
    </w:p>
    <w:p>
      <w:pPr>
        <w:spacing w:before="0"/>
        <w:ind w:left="2160" w:right="1405" w:firstLine="0"/>
        <w:jc w:val="left"/>
        <w:rPr>
          <w:rFonts w:ascii="Calibri"/>
          <w:sz w:val="22"/>
        </w:rPr>
      </w:pPr>
      <w:r>
        <w:rPr>
          <w:rFonts w:ascii="Calibri"/>
          <w:sz w:val="22"/>
        </w:rPr>
        <w:t>As part of this work, the Welsh language provision of services was also scrutinised, and a survey</w:t>
      </w:r>
      <w:r>
        <w:rPr>
          <w:rFonts w:ascii="Calibri"/>
          <w:spacing w:val="-2"/>
          <w:sz w:val="22"/>
        </w:rPr>
        <w:t> </w:t>
      </w:r>
      <w:r>
        <w:rPr>
          <w:rFonts w:ascii="Calibri"/>
          <w:sz w:val="22"/>
        </w:rPr>
        <w:t>circulated</w:t>
      </w:r>
      <w:r>
        <w:rPr>
          <w:rFonts w:ascii="Calibri"/>
          <w:spacing w:val="-2"/>
          <w:sz w:val="22"/>
        </w:rPr>
        <w:t> </w:t>
      </w:r>
      <w:r>
        <w:rPr>
          <w:rFonts w:ascii="Calibri"/>
          <w:sz w:val="22"/>
        </w:rPr>
        <w:t>to</w:t>
      </w:r>
      <w:r>
        <w:rPr>
          <w:rFonts w:ascii="Calibri"/>
          <w:spacing w:val="-2"/>
          <w:sz w:val="22"/>
        </w:rPr>
        <w:t> </w:t>
      </w:r>
      <w:r>
        <w:rPr>
          <w:rFonts w:ascii="Calibri"/>
          <w:sz w:val="22"/>
        </w:rPr>
        <w:t>NHS</w:t>
      </w:r>
      <w:r>
        <w:rPr>
          <w:rFonts w:ascii="Calibri"/>
          <w:spacing w:val="-2"/>
          <w:sz w:val="22"/>
        </w:rPr>
        <w:t> </w:t>
      </w:r>
      <w:r>
        <w:rPr>
          <w:rFonts w:ascii="Calibri"/>
          <w:sz w:val="22"/>
        </w:rPr>
        <w:t>staff</w:t>
      </w:r>
      <w:r>
        <w:rPr>
          <w:rFonts w:ascii="Calibri"/>
          <w:spacing w:val="-3"/>
          <w:sz w:val="22"/>
        </w:rPr>
        <w:t> </w:t>
      </w:r>
      <w:r>
        <w:rPr>
          <w:rFonts w:ascii="Calibri"/>
          <w:sz w:val="22"/>
        </w:rPr>
        <w:t>identified</w:t>
      </w:r>
      <w:r>
        <w:rPr>
          <w:rFonts w:ascii="Calibri"/>
          <w:spacing w:val="-2"/>
          <w:sz w:val="22"/>
        </w:rPr>
        <w:t> </w:t>
      </w:r>
      <w:r>
        <w:rPr>
          <w:rFonts w:ascii="Calibri"/>
          <w:sz w:val="22"/>
        </w:rPr>
        <w:t>that</w:t>
      </w:r>
      <w:r>
        <w:rPr>
          <w:rFonts w:ascii="Calibri"/>
          <w:spacing w:val="-2"/>
          <w:sz w:val="22"/>
        </w:rPr>
        <w:t> </w:t>
      </w:r>
      <w:r>
        <w:rPr>
          <w:rFonts w:ascii="Calibri"/>
          <w:sz w:val="22"/>
        </w:rPr>
        <w:t>between</w:t>
      </w:r>
      <w:r>
        <w:rPr>
          <w:rFonts w:ascii="Calibri"/>
          <w:spacing w:val="-2"/>
          <w:sz w:val="22"/>
        </w:rPr>
        <w:t> </w:t>
      </w:r>
      <w:r>
        <w:rPr>
          <w:rFonts w:ascii="Calibri"/>
          <w:sz w:val="22"/>
        </w:rPr>
        <w:t>10%</w:t>
      </w:r>
      <w:r>
        <w:rPr>
          <w:rFonts w:ascii="Calibri"/>
          <w:spacing w:val="-2"/>
          <w:sz w:val="22"/>
        </w:rPr>
        <w:t> </w:t>
      </w:r>
      <w:r>
        <w:rPr>
          <w:rFonts w:ascii="Calibri"/>
          <w:sz w:val="22"/>
        </w:rPr>
        <w:t>and</w:t>
      </w:r>
      <w:r>
        <w:rPr>
          <w:rFonts w:ascii="Calibri"/>
          <w:spacing w:val="-3"/>
          <w:sz w:val="22"/>
        </w:rPr>
        <w:t> </w:t>
      </w:r>
      <w:r>
        <w:rPr>
          <w:rFonts w:ascii="Calibri"/>
          <w:sz w:val="22"/>
        </w:rPr>
        <w:t>20%</w:t>
      </w:r>
      <w:r>
        <w:rPr>
          <w:rFonts w:ascii="Calibri"/>
          <w:spacing w:val="-2"/>
          <w:sz w:val="22"/>
        </w:rPr>
        <w:t> </w:t>
      </w:r>
      <w:r>
        <w:rPr>
          <w:rFonts w:ascii="Calibri"/>
          <w:sz w:val="22"/>
        </w:rPr>
        <w:t>of</w:t>
      </w:r>
      <w:r>
        <w:rPr>
          <w:rFonts w:ascii="Calibri"/>
          <w:spacing w:val="-3"/>
          <w:sz w:val="22"/>
        </w:rPr>
        <w:t> </w:t>
      </w:r>
      <w:r>
        <w:rPr>
          <w:rFonts w:ascii="Calibri"/>
          <w:sz w:val="22"/>
        </w:rPr>
        <w:t>NHS</w:t>
      </w:r>
      <w:r>
        <w:rPr>
          <w:rFonts w:ascii="Calibri"/>
          <w:spacing w:val="-2"/>
          <w:sz w:val="22"/>
        </w:rPr>
        <w:t> </w:t>
      </w:r>
      <w:r>
        <w:rPr>
          <w:rFonts w:ascii="Calibri"/>
          <w:sz w:val="22"/>
        </w:rPr>
        <w:t>staff</w:t>
      </w:r>
      <w:r>
        <w:rPr>
          <w:rFonts w:ascii="Calibri"/>
          <w:spacing w:val="-2"/>
          <w:sz w:val="22"/>
        </w:rPr>
        <w:t> </w:t>
      </w:r>
      <w:r>
        <w:rPr>
          <w:rFonts w:ascii="Calibri"/>
          <w:sz w:val="22"/>
        </w:rPr>
        <w:t>wished</w:t>
      </w:r>
      <w:r>
        <w:rPr>
          <w:rFonts w:ascii="Calibri"/>
          <w:spacing w:val="-2"/>
          <w:sz w:val="22"/>
        </w:rPr>
        <w:t> </w:t>
      </w:r>
      <w:r>
        <w:rPr>
          <w:rFonts w:ascii="Calibri"/>
          <w:sz w:val="22"/>
        </w:rPr>
        <w:t>to engage with us through the medium of Welsh.</w:t>
      </w:r>
    </w:p>
    <w:p>
      <w:pPr>
        <w:spacing w:line="259" w:lineRule="auto" w:before="0"/>
        <w:ind w:left="2160" w:right="1405" w:firstLine="0"/>
        <w:jc w:val="left"/>
        <w:rPr>
          <w:rFonts w:ascii="Calibri"/>
          <w:sz w:val="22"/>
        </w:rPr>
      </w:pPr>
      <w:r>
        <w:rPr>
          <w:rFonts w:ascii="Calibri"/>
          <w:sz w:val="22"/>
        </w:rPr>
        <w:t>Further</w:t>
      </w:r>
      <w:r>
        <w:rPr>
          <w:rFonts w:ascii="Calibri"/>
          <w:spacing w:val="-3"/>
          <w:sz w:val="22"/>
        </w:rPr>
        <w:t> </w:t>
      </w:r>
      <w:r>
        <w:rPr>
          <w:rFonts w:ascii="Calibri"/>
          <w:sz w:val="22"/>
        </w:rPr>
        <w:t>work</w:t>
      </w:r>
      <w:r>
        <w:rPr>
          <w:rFonts w:ascii="Calibri"/>
          <w:spacing w:val="-3"/>
          <w:sz w:val="22"/>
        </w:rPr>
        <w:t> </w:t>
      </w:r>
      <w:r>
        <w:rPr>
          <w:rFonts w:ascii="Calibri"/>
          <w:sz w:val="22"/>
        </w:rPr>
        <w:t>will</w:t>
      </w:r>
      <w:r>
        <w:rPr>
          <w:rFonts w:ascii="Calibri"/>
          <w:spacing w:val="-3"/>
          <w:sz w:val="22"/>
        </w:rPr>
        <w:t> </w:t>
      </w:r>
      <w:r>
        <w:rPr>
          <w:rFonts w:ascii="Calibri"/>
          <w:sz w:val="22"/>
        </w:rPr>
        <w:t>be</w:t>
      </w:r>
      <w:r>
        <w:rPr>
          <w:rFonts w:ascii="Calibri"/>
          <w:spacing w:val="-4"/>
          <w:sz w:val="22"/>
        </w:rPr>
        <w:t> </w:t>
      </w:r>
      <w:r>
        <w:rPr>
          <w:rFonts w:ascii="Calibri"/>
          <w:sz w:val="22"/>
        </w:rPr>
        <w:t>undertaken</w:t>
      </w:r>
      <w:r>
        <w:rPr>
          <w:rFonts w:ascii="Calibri"/>
          <w:spacing w:val="-3"/>
          <w:sz w:val="22"/>
        </w:rPr>
        <w:t> </w:t>
      </w:r>
      <w:r>
        <w:rPr>
          <w:rFonts w:ascii="Calibri"/>
          <w:sz w:val="22"/>
        </w:rPr>
        <w:t>with</w:t>
      </w:r>
      <w:r>
        <w:rPr>
          <w:rFonts w:ascii="Calibri"/>
          <w:spacing w:val="-3"/>
          <w:sz w:val="22"/>
        </w:rPr>
        <w:t> </w:t>
      </w:r>
      <w:r>
        <w:rPr>
          <w:rFonts w:ascii="Calibri"/>
          <w:sz w:val="22"/>
        </w:rPr>
        <w:t>contact</w:t>
      </w:r>
      <w:r>
        <w:rPr>
          <w:rFonts w:ascii="Calibri"/>
          <w:spacing w:val="-3"/>
          <w:sz w:val="22"/>
        </w:rPr>
        <w:t> </w:t>
      </w:r>
      <w:r>
        <w:rPr>
          <w:rFonts w:ascii="Calibri"/>
          <w:sz w:val="22"/>
        </w:rPr>
        <w:t>centres</w:t>
      </w:r>
      <w:r>
        <w:rPr>
          <w:rFonts w:ascii="Calibri"/>
          <w:spacing w:val="-3"/>
          <w:sz w:val="22"/>
        </w:rPr>
        <w:t> </w:t>
      </w:r>
      <w:r>
        <w:rPr>
          <w:rFonts w:ascii="Calibri"/>
          <w:sz w:val="22"/>
        </w:rPr>
        <w:t>throughout</w:t>
      </w:r>
      <w:r>
        <w:rPr>
          <w:rFonts w:ascii="Calibri"/>
          <w:spacing w:val="-4"/>
          <w:sz w:val="22"/>
        </w:rPr>
        <w:t> </w:t>
      </w:r>
      <w:r>
        <w:rPr>
          <w:rFonts w:ascii="Calibri"/>
          <w:sz w:val="22"/>
        </w:rPr>
        <w:t>NWSSP</w:t>
      </w:r>
      <w:r>
        <w:rPr>
          <w:rFonts w:ascii="Calibri"/>
          <w:spacing w:val="-4"/>
          <w:sz w:val="22"/>
        </w:rPr>
        <w:t> </w:t>
      </w:r>
      <w:r>
        <w:rPr>
          <w:rFonts w:ascii="Calibri"/>
          <w:sz w:val="22"/>
        </w:rPr>
        <w:t>over</w:t>
      </w:r>
      <w:r>
        <w:rPr>
          <w:rFonts w:ascii="Calibri"/>
          <w:spacing w:val="-4"/>
          <w:sz w:val="22"/>
        </w:rPr>
        <w:t> </w:t>
      </w:r>
      <w:r>
        <w:rPr>
          <w:rFonts w:ascii="Calibri"/>
          <w:sz w:val="22"/>
        </w:rPr>
        <w:t>the</w:t>
      </w:r>
      <w:r>
        <w:rPr>
          <w:rFonts w:ascii="Calibri"/>
          <w:spacing w:val="-4"/>
          <w:sz w:val="22"/>
        </w:rPr>
        <w:t> </w:t>
      </w:r>
      <w:r>
        <w:rPr>
          <w:rFonts w:ascii="Calibri"/>
          <w:sz w:val="22"/>
        </w:rPr>
        <w:t>coming year, with a view to create local action plans to increase capacity within customer service/helplines to offer more of our services through the medium of Welsh.</w:t>
      </w:r>
    </w:p>
    <w:p>
      <w:pPr>
        <w:pStyle w:val="BodyText"/>
        <w:rPr>
          <w:rFonts w:ascii="Calibri"/>
          <w:sz w:val="22"/>
        </w:rPr>
      </w:pPr>
    </w:p>
    <w:p>
      <w:pPr>
        <w:pStyle w:val="BodyText"/>
        <w:spacing w:before="5"/>
        <w:rPr>
          <w:rFonts w:ascii="Calibri"/>
          <w:sz w:val="25"/>
        </w:rPr>
      </w:pPr>
    </w:p>
    <w:p>
      <w:pPr>
        <w:pStyle w:val="Heading7"/>
        <w:numPr>
          <w:ilvl w:val="0"/>
          <w:numId w:val="46"/>
        </w:numPr>
        <w:tabs>
          <w:tab w:pos="2159" w:val="left" w:leader="none"/>
          <w:tab w:pos="2161" w:val="left" w:leader="none"/>
        </w:tabs>
        <w:spacing w:line="240" w:lineRule="auto" w:before="1" w:after="0"/>
        <w:ind w:left="2160" w:right="0" w:hanging="361"/>
        <w:jc w:val="left"/>
        <w:rPr>
          <w:rFonts w:ascii="Symbol" w:hAnsi="Symbol"/>
          <w:b w:val="0"/>
        </w:rPr>
      </w:pPr>
      <w:r>
        <w:rPr/>
        <w:t>TRAC</w:t>
      </w:r>
      <w:r>
        <w:rPr>
          <w:spacing w:val="-5"/>
        </w:rPr>
        <w:t> </w:t>
      </w:r>
      <w:r>
        <w:rPr/>
        <w:t>Recruitment</w:t>
      </w:r>
      <w:r>
        <w:rPr>
          <w:spacing w:val="-5"/>
        </w:rPr>
        <w:t> </w:t>
      </w:r>
      <w:r>
        <w:rPr/>
        <w:t>system</w:t>
      </w:r>
      <w:r>
        <w:rPr>
          <w:spacing w:val="-3"/>
        </w:rPr>
        <w:t> </w:t>
      </w:r>
      <w:r>
        <w:rPr>
          <w:spacing w:val="-2"/>
        </w:rPr>
        <w:t>updates</w:t>
      </w:r>
    </w:p>
    <w:p>
      <w:pPr>
        <w:spacing w:line="259" w:lineRule="auto" w:before="0"/>
        <w:ind w:left="2160" w:right="1547" w:firstLine="0"/>
        <w:jc w:val="left"/>
        <w:rPr>
          <w:rFonts w:ascii="Calibri"/>
          <w:sz w:val="22"/>
        </w:rPr>
      </w:pPr>
      <w:r>
        <w:rPr>
          <w:rFonts w:ascii="Calibri"/>
          <w:sz w:val="22"/>
        </w:rPr>
        <w:t>We</w:t>
      </w:r>
      <w:r>
        <w:rPr>
          <w:rFonts w:ascii="Calibri"/>
          <w:spacing w:val="-3"/>
          <w:sz w:val="22"/>
        </w:rPr>
        <w:t> </w:t>
      </w:r>
      <w:r>
        <w:rPr>
          <w:rFonts w:ascii="Calibri"/>
          <w:sz w:val="22"/>
        </w:rPr>
        <w:t>have</w:t>
      </w:r>
      <w:r>
        <w:rPr>
          <w:rFonts w:ascii="Calibri"/>
          <w:spacing w:val="-2"/>
          <w:sz w:val="22"/>
        </w:rPr>
        <w:t> </w:t>
      </w:r>
      <w:r>
        <w:rPr>
          <w:rFonts w:ascii="Calibri"/>
          <w:sz w:val="22"/>
        </w:rPr>
        <w:t>continued</w:t>
      </w:r>
      <w:r>
        <w:rPr>
          <w:rFonts w:ascii="Calibri"/>
          <w:spacing w:val="-2"/>
          <w:sz w:val="22"/>
        </w:rPr>
        <w:t> </w:t>
      </w:r>
      <w:r>
        <w:rPr>
          <w:rFonts w:ascii="Calibri"/>
          <w:sz w:val="22"/>
        </w:rPr>
        <w:t>to</w:t>
      </w:r>
      <w:r>
        <w:rPr>
          <w:rFonts w:ascii="Calibri"/>
          <w:spacing w:val="-2"/>
          <w:sz w:val="22"/>
        </w:rPr>
        <w:t> </w:t>
      </w:r>
      <w:r>
        <w:rPr>
          <w:rFonts w:ascii="Calibri"/>
          <w:sz w:val="22"/>
        </w:rPr>
        <w:t>work</w:t>
      </w:r>
      <w:r>
        <w:rPr>
          <w:rFonts w:ascii="Calibri"/>
          <w:spacing w:val="-2"/>
          <w:sz w:val="22"/>
        </w:rPr>
        <w:t> </w:t>
      </w:r>
      <w:r>
        <w:rPr>
          <w:rFonts w:ascii="Calibri"/>
          <w:sz w:val="22"/>
        </w:rPr>
        <w:t>with</w:t>
      </w:r>
      <w:r>
        <w:rPr>
          <w:rFonts w:ascii="Calibri"/>
          <w:spacing w:val="-2"/>
          <w:sz w:val="22"/>
        </w:rPr>
        <w:t> </w:t>
      </w:r>
      <w:r>
        <w:rPr>
          <w:rFonts w:ascii="Calibri"/>
          <w:sz w:val="22"/>
        </w:rPr>
        <w:t>the</w:t>
      </w:r>
      <w:r>
        <w:rPr>
          <w:rFonts w:ascii="Calibri"/>
          <w:spacing w:val="-2"/>
          <w:sz w:val="22"/>
        </w:rPr>
        <w:t> </w:t>
      </w:r>
      <w:r>
        <w:rPr>
          <w:rFonts w:ascii="Calibri"/>
          <w:sz w:val="22"/>
        </w:rPr>
        <w:t>developers</w:t>
      </w:r>
      <w:r>
        <w:rPr>
          <w:rFonts w:ascii="Calibri"/>
          <w:spacing w:val="-3"/>
          <w:sz w:val="22"/>
        </w:rPr>
        <w:t> </w:t>
      </w:r>
      <w:r>
        <w:rPr>
          <w:rFonts w:ascii="Calibri"/>
          <w:sz w:val="22"/>
        </w:rPr>
        <w:t>of</w:t>
      </w:r>
      <w:r>
        <w:rPr>
          <w:rFonts w:ascii="Calibri"/>
          <w:spacing w:val="-3"/>
          <w:sz w:val="22"/>
        </w:rPr>
        <w:t> </w:t>
      </w:r>
      <w:r>
        <w:rPr>
          <w:rFonts w:ascii="Calibri"/>
          <w:sz w:val="22"/>
        </w:rPr>
        <w:t>the</w:t>
      </w:r>
      <w:r>
        <w:rPr>
          <w:rFonts w:ascii="Calibri"/>
          <w:spacing w:val="-2"/>
          <w:sz w:val="22"/>
        </w:rPr>
        <w:t> </w:t>
      </w:r>
      <w:r>
        <w:rPr>
          <w:rFonts w:ascii="Calibri"/>
          <w:sz w:val="22"/>
        </w:rPr>
        <w:t>TRAC</w:t>
      </w:r>
      <w:r>
        <w:rPr>
          <w:rFonts w:ascii="Calibri"/>
          <w:spacing w:val="-3"/>
          <w:sz w:val="22"/>
        </w:rPr>
        <w:t> </w:t>
      </w:r>
      <w:r>
        <w:rPr>
          <w:rFonts w:ascii="Calibri"/>
          <w:sz w:val="22"/>
        </w:rPr>
        <w:t>system</w:t>
      </w:r>
      <w:r>
        <w:rPr>
          <w:rFonts w:ascii="Calibri"/>
          <w:spacing w:val="-3"/>
          <w:sz w:val="22"/>
        </w:rPr>
        <w:t> </w:t>
      </w:r>
      <w:r>
        <w:rPr>
          <w:rFonts w:ascii="Calibri"/>
          <w:sz w:val="22"/>
        </w:rPr>
        <w:t>to</w:t>
      </w:r>
      <w:r>
        <w:rPr>
          <w:rFonts w:ascii="Calibri"/>
          <w:spacing w:val="-2"/>
          <w:sz w:val="22"/>
        </w:rPr>
        <w:t> </w:t>
      </w:r>
      <w:r>
        <w:rPr>
          <w:rFonts w:ascii="Calibri"/>
          <w:sz w:val="22"/>
        </w:rPr>
        <w:t>ensure</w:t>
      </w:r>
      <w:r>
        <w:rPr>
          <w:rFonts w:ascii="Calibri"/>
          <w:spacing w:val="-3"/>
          <w:sz w:val="22"/>
        </w:rPr>
        <w:t> </w:t>
      </w:r>
      <w:r>
        <w:rPr>
          <w:rFonts w:ascii="Calibri"/>
          <w:sz w:val="22"/>
        </w:rPr>
        <w:t>that</w:t>
      </w:r>
      <w:r>
        <w:rPr>
          <w:rFonts w:ascii="Calibri"/>
          <w:spacing w:val="-2"/>
          <w:sz w:val="22"/>
        </w:rPr>
        <w:t> </w:t>
      </w:r>
      <w:r>
        <w:rPr>
          <w:rFonts w:ascii="Calibri"/>
          <w:sz w:val="22"/>
        </w:rPr>
        <w:t>the interface for the system continues to be up-to-date and consistent in both Welsh and </w:t>
      </w:r>
      <w:r>
        <w:rPr>
          <w:rFonts w:ascii="Calibri"/>
          <w:spacing w:val="-2"/>
          <w:sz w:val="22"/>
        </w:rPr>
        <w:t>English.</w:t>
      </w:r>
    </w:p>
    <w:p>
      <w:pPr>
        <w:pStyle w:val="BodyText"/>
        <w:spacing w:before="8"/>
        <w:rPr>
          <w:rFonts w:ascii="Calibri"/>
          <w:sz w:val="23"/>
        </w:rPr>
      </w:pPr>
    </w:p>
    <w:p>
      <w:pPr>
        <w:pStyle w:val="Heading7"/>
        <w:numPr>
          <w:ilvl w:val="0"/>
          <w:numId w:val="46"/>
        </w:numPr>
        <w:tabs>
          <w:tab w:pos="2159" w:val="left" w:leader="none"/>
          <w:tab w:pos="2161" w:val="left" w:leader="none"/>
        </w:tabs>
        <w:spacing w:line="240" w:lineRule="auto" w:before="0" w:after="0"/>
        <w:ind w:left="2160" w:right="0" w:hanging="361"/>
        <w:jc w:val="left"/>
        <w:rPr>
          <w:rFonts w:ascii="Symbol" w:hAnsi="Symbol"/>
          <w:b w:val="0"/>
        </w:rPr>
      </w:pPr>
      <w:r>
        <w:rPr/>
        <w:t>Informed</w:t>
      </w:r>
      <w:r>
        <w:rPr>
          <w:spacing w:val="-4"/>
        </w:rPr>
        <w:t> </w:t>
      </w:r>
      <w:r>
        <w:rPr/>
        <w:t>Consent</w:t>
      </w:r>
      <w:r>
        <w:rPr>
          <w:spacing w:val="-2"/>
        </w:rPr>
        <w:t> </w:t>
      </w:r>
      <w:r>
        <w:rPr/>
        <w:t>&amp;</w:t>
      </w:r>
      <w:r>
        <w:rPr>
          <w:spacing w:val="-2"/>
        </w:rPr>
        <w:t> </w:t>
      </w:r>
      <w:r>
        <w:rPr/>
        <w:t>Capacity</w:t>
      </w:r>
      <w:r>
        <w:rPr>
          <w:spacing w:val="-3"/>
        </w:rPr>
        <w:t> </w:t>
      </w:r>
      <w:r>
        <w:rPr/>
        <w:t>Course</w:t>
      </w:r>
      <w:r>
        <w:rPr>
          <w:spacing w:val="-2"/>
        </w:rPr>
        <w:t> </w:t>
      </w:r>
      <w:r>
        <w:rPr/>
        <w:t>for</w:t>
      </w:r>
      <w:r>
        <w:rPr>
          <w:spacing w:val="-3"/>
        </w:rPr>
        <w:t> </w:t>
      </w:r>
      <w:r>
        <w:rPr/>
        <w:t>NHS</w:t>
      </w:r>
      <w:r>
        <w:rPr>
          <w:spacing w:val="-2"/>
        </w:rPr>
        <w:t> </w:t>
      </w:r>
      <w:r>
        <w:rPr/>
        <w:t>Wales</w:t>
      </w:r>
      <w:r>
        <w:rPr>
          <w:spacing w:val="-2"/>
        </w:rPr>
        <w:t> Staff</w:t>
      </w:r>
    </w:p>
    <w:p>
      <w:pPr>
        <w:spacing w:line="259" w:lineRule="auto" w:before="27"/>
        <w:ind w:left="2160" w:right="1487" w:firstLine="0"/>
        <w:jc w:val="left"/>
        <w:rPr>
          <w:rFonts w:ascii="Calibri" w:hAnsi="Calibri"/>
          <w:sz w:val="22"/>
        </w:rPr>
      </w:pPr>
      <w:r>
        <w:rPr>
          <w:rFonts w:ascii="Calibri" w:hAnsi="Calibri"/>
          <w:sz w:val="22"/>
        </w:rPr>
        <w:t>The Welsh Risk Pool and the All Wales Committee have created an educational module about patient consent for NHS staff.</w:t>
      </w:r>
      <w:r>
        <w:rPr>
          <w:rFonts w:ascii="Calibri" w:hAnsi="Calibri"/>
          <w:spacing w:val="40"/>
          <w:sz w:val="22"/>
        </w:rPr>
        <w:t> </w:t>
      </w:r>
      <w:r>
        <w:rPr>
          <w:rFonts w:ascii="Calibri" w:hAnsi="Calibri"/>
          <w:sz w:val="22"/>
        </w:rPr>
        <w:t>The course’s focus is on critical elements of informed consent, and we have ensured that there is a specific section on making staff aware about the importance and the right of a patient to be able to consent in their language of choice. We</w:t>
      </w:r>
      <w:r>
        <w:rPr>
          <w:rFonts w:ascii="Calibri" w:hAnsi="Calibri"/>
          <w:spacing w:val="-4"/>
          <w:sz w:val="22"/>
        </w:rPr>
        <w:t> </w:t>
      </w:r>
      <w:r>
        <w:rPr>
          <w:rFonts w:ascii="Calibri" w:hAnsi="Calibri"/>
          <w:sz w:val="22"/>
        </w:rPr>
        <w:t>worked</w:t>
      </w:r>
      <w:r>
        <w:rPr>
          <w:rFonts w:ascii="Calibri" w:hAnsi="Calibri"/>
          <w:spacing w:val="-3"/>
          <w:sz w:val="22"/>
        </w:rPr>
        <w:t> </w:t>
      </w:r>
      <w:r>
        <w:rPr>
          <w:rFonts w:ascii="Calibri" w:hAnsi="Calibri"/>
          <w:sz w:val="22"/>
        </w:rPr>
        <w:t>in</w:t>
      </w:r>
      <w:r>
        <w:rPr>
          <w:rFonts w:ascii="Calibri" w:hAnsi="Calibri"/>
          <w:spacing w:val="-3"/>
          <w:sz w:val="22"/>
        </w:rPr>
        <w:t> </w:t>
      </w:r>
      <w:r>
        <w:rPr>
          <w:rFonts w:ascii="Calibri" w:hAnsi="Calibri"/>
          <w:sz w:val="22"/>
        </w:rPr>
        <w:t>collaboration</w:t>
      </w:r>
      <w:r>
        <w:rPr>
          <w:rFonts w:ascii="Calibri" w:hAnsi="Calibri"/>
          <w:spacing w:val="-3"/>
          <w:sz w:val="22"/>
        </w:rPr>
        <w:t> </w:t>
      </w:r>
      <w:r>
        <w:rPr>
          <w:rFonts w:ascii="Calibri" w:hAnsi="Calibri"/>
          <w:sz w:val="22"/>
        </w:rPr>
        <w:t>with</w:t>
      </w:r>
      <w:r>
        <w:rPr>
          <w:rFonts w:ascii="Calibri" w:hAnsi="Calibri"/>
          <w:spacing w:val="-3"/>
          <w:sz w:val="22"/>
        </w:rPr>
        <w:t> </w:t>
      </w:r>
      <w:r>
        <w:rPr>
          <w:rFonts w:ascii="Calibri" w:hAnsi="Calibri"/>
          <w:sz w:val="22"/>
        </w:rPr>
        <w:t>Betsi</w:t>
      </w:r>
      <w:r>
        <w:rPr>
          <w:rFonts w:ascii="Calibri" w:hAnsi="Calibri"/>
          <w:spacing w:val="-3"/>
          <w:sz w:val="22"/>
        </w:rPr>
        <w:t> </w:t>
      </w:r>
      <w:r>
        <w:rPr>
          <w:rFonts w:ascii="Calibri" w:hAnsi="Calibri"/>
          <w:sz w:val="22"/>
        </w:rPr>
        <w:t>Cadwaladr</w:t>
      </w:r>
      <w:r>
        <w:rPr>
          <w:rFonts w:ascii="Calibri" w:hAnsi="Calibri"/>
          <w:spacing w:val="-3"/>
          <w:sz w:val="22"/>
        </w:rPr>
        <w:t> </w:t>
      </w:r>
      <w:r>
        <w:rPr>
          <w:rFonts w:ascii="Calibri" w:hAnsi="Calibri"/>
          <w:sz w:val="22"/>
        </w:rPr>
        <w:t>University</w:t>
      </w:r>
      <w:r>
        <w:rPr>
          <w:rFonts w:ascii="Calibri" w:hAnsi="Calibri"/>
          <w:spacing w:val="-4"/>
          <w:sz w:val="22"/>
        </w:rPr>
        <w:t> </w:t>
      </w:r>
      <w:r>
        <w:rPr>
          <w:rFonts w:ascii="Calibri" w:hAnsi="Calibri"/>
          <w:sz w:val="22"/>
        </w:rPr>
        <w:t>Health</w:t>
      </w:r>
      <w:r>
        <w:rPr>
          <w:rFonts w:ascii="Calibri" w:hAnsi="Calibri"/>
          <w:spacing w:val="-3"/>
          <w:sz w:val="22"/>
        </w:rPr>
        <w:t> </w:t>
      </w:r>
      <w:r>
        <w:rPr>
          <w:rFonts w:ascii="Calibri" w:hAnsi="Calibri"/>
          <w:sz w:val="22"/>
        </w:rPr>
        <w:t>Board</w:t>
      </w:r>
      <w:r>
        <w:rPr>
          <w:rFonts w:ascii="Calibri" w:hAnsi="Calibri"/>
          <w:spacing w:val="-3"/>
          <w:sz w:val="22"/>
        </w:rPr>
        <w:t> </w:t>
      </w:r>
      <w:r>
        <w:rPr>
          <w:rFonts w:ascii="Calibri" w:hAnsi="Calibri"/>
          <w:sz w:val="22"/>
        </w:rPr>
        <w:t>on</w:t>
      </w:r>
      <w:r>
        <w:rPr>
          <w:rFonts w:ascii="Calibri" w:hAnsi="Calibri"/>
          <w:spacing w:val="-4"/>
          <w:sz w:val="22"/>
        </w:rPr>
        <w:t> </w:t>
      </w:r>
      <w:r>
        <w:rPr>
          <w:rFonts w:ascii="Calibri" w:hAnsi="Calibri"/>
          <w:sz w:val="22"/>
        </w:rPr>
        <w:t>the</w:t>
      </w:r>
      <w:r>
        <w:rPr>
          <w:rFonts w:ascii="Calibri" w:hAnsi="Calibri"/>
          <w:spacing w:val="-3"/>
          <w:sz w:val="22"/>
        </w:rPr>
        <w:t> </w:t>
      </w:r>
      <w:r>
        <w:rPr>
          <w:rFonts w:ascii="Calibri" w:hAnsi="Calibri"/>
          <w:sz w:val="22"/>
        </w:rPr>
        <w:t>production of a video that outlines the importance of communication in the consent and capacity course for NHS clinicians across NHS Wales.</w:t>
      </w:r>
    </w:p>
    <w:p>
      <w:pPr>
        <w:pStyle w:val="BodyText"/>
        <w:rPr>
          <w:rFonts w:ascii="Calibri"/>
          <w:sz w:val="22"/>
        </w:rPr>
      </w:pPr>
    </w:p>
    <w:p>
      <w:pPr>
        <w:pStyle w:val="BodyText"/>
        <w:spacing w:before="10"/>
        <w:rPr>
          <w:rFonts w:ascii="Calibri"/>
          <w:sz w:val="27"/>
        </w:rPr>
      </w:pPr>
    </w:p>
    <w:p>
      <w:pPr>
        <w:pStyle w:val="Heading7"/>
        <w:numPr>
          <w:ilvl w:val="0"/>
          <w:numId w:val="46"/>
        </w:numPr>
        <w:tabs>
          <w:tab w:pos="2159" w:val="left" w:leader="none"/>
          <w:tab w:pos="2160" w:val="left" w:leader="none"/>
        </w:tabs>
        <w:spacing w:line="240" w:lineRule="auto" w:before="0" w:after="0"/>
        <w:ind w:left="2159" w:right="0" w:hanging="360"/>
        <w:jc w:val="left"/>
        <w:rPr>
          <w:rFonts w:ascii="Symbol" w:hAnsi="Symbol"/>
          <w:b w:val="0"/>
          <w:sz w:val="22"/>
        </w:rPr>
      </w:pPr>
      <w:r>
        <w:rPr/>
        <w:t>The</w:t>
      </w:r>
      <w:r>
        <w:rPr>
          <w:spacing w:val="-3"/>
        </w:rPr>
        <w:t> </w:t>
      </w:r>
      <w:r>
        <w:rPr/>
        <w:t>Foundational</w:t>
      </w:r>
      <w:r>
        <w:rPr>
          <w:spacing w:val="-3"/>
        </w:rPr>
        <w:t> </w:t>
      </w:r>
      <w:r>
        <w:rPr/>
        <w:t>Economy</w:t>
      </w:r>
      <w:r>
        <w:rPr>
          <w:spacing w:val="-2"/>
        </w:rPr>
        <w:t> </w:t>
      </w:r>
      <w:r>
        <w:rPr/>
        <w:t>in</w:t>
      </w:r>
      <w:r>
        <w:rPr>
          <w:spacing w:val="-2"/>
        </w:rPr>
        <w:t> Wales</w:t>
      </w:r>
    </w:p>
    <w:p>
      <w:pPr>
        <w:spacing w:line="259" w:lineRule="auto" w:before="27"/>
        <w:ind w:left="2160" w:right="1547" w:firstLine="0"/>
        <w:jc w:val="left"/>
        <w:rPr>
          <w:rFonts w:ascii="Calibri"/>
          <w:sz w:val="22"/>
        </w:rPr>
      </w:pPr>
      <w:r>
        <w:rPr>
          <w:rFonts w:ascii="Calibri"/>
          <w:sz w:val="22"/>
        </w:rPr>
        <w:t>Over</w:t>
      </w:r>
      <w:r>
        <w:rPr>
          <w:rFonts w:ascii="Calibri"/>
          <w:spacing w:val="-2"/>
          <w:sz w:val="22"/>
        </w:rPr>
        <w:t> </w:t>
      </w:r>
      <w:r>
        <w:rPr>
          <w:rFonts w:ascii="Calibri"/>
          <w:sz w:val="22"/>
        </w:rPr>
        <w:t>the</w:t>
      </w:r>
      <w:r>
        <w:rPr>
          <w:rFonts w:ascii="Calibri"/>
          <w:spacing w:val="-2"/>
          <w:sz w:val="22"/>
        </w:rPr>
        <w:t> </w:t>
      </w:r>
      <w:r>
        <w:rPr>
          <w:rFonts w:ascii="Calibri"/>
          <w:sz w:val="22"/>
        </w:rPr>
        <w:t>course</w:t>
      </w:r>
      <w:r>
        <w:rPr>
          <w:rFonts w:ascii="Calibri"/>
          <w:spacing w:val="-3"/>
          <w:sz w:val="22"/>
        </w:rPr>
        <w:t> </w:t>
      </w:r>
      <w:r>
        <w:rPr>
          <w:rFonts w:ascii="Calibri"/>
          <w:sz w:val="22"/>
        </w:rPr>
        <w:t>of</w:t>
      </w:r>
      <w:r>
        <w:rPr>
          <w:rFonts w:ascii="Calibri"/>
          <w:spacing w:val="-2"/>
          <w:sz w:val="22"/>
        </w:rPr>
        <w:t> </w:t>
      </w:r>
      <w:r>
        <w:rPr>
          <w:rFonts w:ascii="Calibri"/>
          <w:sz w:val="22"/>
        </w:rPr>
        <w:t>the</w:t>
      </w:r>
      <w:r>
        <w:rPr>
          <w:rFonts w:ascii="Calibri"/>
          <w:spacing w:val="-2"/>
          <w:sz w:val="22"/>
        </w:rPr>
        <w:t> </w:t>
      </w:r>
      <w:r>
        <w:rPr>
          <w:rFonts w:ascii="Calibri"/>
          <w:sz w:val="22"/>
        </w:rPr>
        <w:t>last</w:t>
      </w:r>
      <w:r>
        <w:rPr>
          <w:rFonts w:ascii="Calibri"/>
          <w:spacing w:val="-3"/>
          <w:sz w:val="22"/>
        </w:rPr>
        <w:t> </w:t>
      </w:r>
      <w:r>
        <w:rPr>
          <w:rFonts w:ascii="Calibri"/>
          <w:sz w:val="22"/>
        </w:rPr>
        <w:t>two</w:t>
      </w:r>
      <w:r>
        <w:rPr>
          <w:rFonts w:ascii="Calibri"/>
          <w:spacing w:val="-2"/>
          <w:sz w:val="22"/>
        </w:rPr>
        <w:t> </w:t>
      </w:r>
      <w:r>
        <w:rPr>
          <w:rFonts w:ascii="Calibri"/>
          <w:sz w:val="22"/>
        </w:rPr>
        <w:t>years,</w:t>
      </w:r>
      <w:r>
        <w:rPr>
          <w:rFonts w:ascii="Calibri"/>
          <w:spacing w:val="-3"/>
          <w:sz w:val="22"/>
        </w:rPr>
        <w:t> </w:t>
      </w:r>
      <w:r>
        <w:rPr>
          <w:rFonts w:ascii="Calibri"/>
          <w:sz w:val="22"/>
        </w:rPr>
        <w:t>the</w:t>
      </w:r>
      <w:r>
        <w:rPr>
          <w:rFonts w:ascii="Calibri"/>
          <w:spacing w:val="-3"/>
          <w:sz w:val="22"/>
        </w:rPr>
        <w:t> </w:t>
      </w:r>
      <w:r>
        <w:rPr>
          <w:rFonts w:ascii="Calibri"/>
          <w:sz w:val="22"/>
        </w:rPr>
        <w:t>focus</w:t>
      </w:r>
      <w:r>
        <w:rPr>
          <w:rFonts w:ascii="Calibri"/>
          <w:spacing w:val="-2"/>
          <w:sz w:val="22"/>
        </w:rPr>
        <w:t> </w:t>
      </w:r>
      <w:r>
        <w:rPr>
          <w:rFonts w:ascii="Calibri"/>
          <w:sz w:val="22"/>
        </w:rPr>
        <w:t>on</w:t>
      </w:r>
      <w:r>
        <w:rPr>
          <w:rFonts w:ascii="Calibri"/>
          <w:spacing w:val="-3"/>
          <w:sz w:val="22"/>
        </w:rPr>
        <w:t> </w:t>
      </w:r>
      <w:r>
        <w:rPr>
          <w:rFonts w:ascii="Calibri"/>
          <w:sz w:val="22"/>
        </w:rPr>
        <w:t>the</w:t>
      </w:r>
      <w:r>
        <w:rPr>
          <w:rFonts w:ascii="Calibri"/>
          <w:spacing w:val="-2"/>
          <w:sz w:val="22"/>
        </w:rPr>
        <w:t> </w:t>
      </w:r>
      <w:r>
        <w:rPr>
          <w:rFonts w:ascii="Calibri"/>
          <w:sz w:val="22"/>
        </w:rPr>
        <w:t>ability</w:t>
      </w:r>
      <w:r>
        <w:rPr>
          <w:rFonts w:ascii="Calibri"/>
          <w:spacing w:val="-2"/>
          <w:sz w:val="22"/>
        </w:rPr>
        <w:t> </w:t>
      </w:r>
      <w:r>
        <w:rPr>
          <w:rFonts w:ascii="Calibri"/>
          <w:sz w:val="22"/>
        </w:rPr>
        <w:t>to</w:t>
      </w:r>
      <w:r>
        <w:rPr>
          <w:rFonts w:ascii="Calibri"/>
          <w:spacing w:val="-2"/>
          <w:sz w:val="22"/>
        </w:rPr>
        <w:t> </w:t>
      </w:r>
      <w:r>
        <w:rPr>
          <w:rFonts w:ascii="Calibri"/>
          <w:sz w:val="22"/>
        </w:rPr>
        <w:t>offer</w:t>
      </w:r>
      <w:r>
        <w:rPr>
          <w:rFonts w:ascii="Calibri"/>
          <w:spacing w:val="-2"/>
          <w:sz w:val="22"/>
        </w:rPr>
        <w:t> </w:t>
      </w:r>
      <w:r>
        <w:rPr>
          <w:rFonts w:ascii="Calibri"/>
          <w:sz w:val="22"/>
        </w:rPr>
        <w:t>hybrid</w:t>
      </w:r>
      <w:r>
        <w:rPr>
          <w:rFonts w:ascii="Calibri"/>
          <w:spacing w:val="-2"/>
          <w:sz w:val="22"/>
        </w:rPr>
        <w:t> </w:t>
      </w:r>
      <w:r>
        <w:rPr>
          <w:rFonts w:ascii="Calibri"/>
          <w:sz w:val="22"/>
        </w:rPr>
        <w:t>working</w:t>
      </w:r>
      <w:r>
        <w:rPr>
          <w:rFonts w:ascii="Calibri"/>
          <w:spacing w:val="-3"/>
          <w:sz w:val="22"/>
        </w:rPr>
        <w:t> </w:t>
      </w:r>
      <w:r>
        <w:rPr>
          <w:rFonts w:ascii="Calibri"/>
          <w:sz w:val="22"/>
        </w:rPr>
        <w:t>for staff and looking closer at the foundational economy has become an important part of service planning and delivery.</w:t>
      </w:r>
      <w:r>
        <w:rPr>
          <w:rFonts w:ascii="Calibri"/>
          <w:spacing w:val="40"/>
          <w:sz w:val="22"/>
        </w:rPr>
        <w:t> </w:t>
      </w:r>
      <w:r>
        <w:rPr>
          <w:rFonts w:ascii="Calibri"/>
          <w:sz w:val="22"/>
        </w:rPr>
        <w:t>We are looking closer at the opportunities that the</w:t>
      </w:r>
    </w:p>
    <w:p>
      <w:pPr>
        <w:spacing w:after="0" w:line="259" w:lineRule="auto"/>
        <w:jc w:val="left"/>
        <w:rPr>
          <w:rFonts w:ascii="Calibri"/>
          <w:sz w:val="22"/>
        </w:rPr>
        <w:sectPr>
          <w:pgSz w:w="11910" w:h="16840"/>
          <w:pgMar w:header="0" w:footer="173" w:top="1340" w:bottom="360" w:left="0" w:right="0"/>
        </w:sectPr>
      </w:pPr>
    </w:p>
    <w:p>
      <w:pPr>
        <w:spacing w:line="259" w:lineRule="auto" w:before="42"/>
        <w:ind w:left="2160" w:right="1405" w:firstLine="0"/>
        <w:jc w:val="left"/>
        <w:rPr>
          <w:rFonts w:ascii="Calibri"/>
          <w:sz w:val="22"/>
        </w:rPr>
      </w:pPr>
      <w:r>
        <w:rPr>
          <w:rFonts w:ascii="Calibri"/>
          <w:sz w:val="22"/>
        </w:rPr>
        <w:t>Foundational</w:t>
      </w:r>
      <w:r>
        <w:rPr>
          <w:rFonts w:ascii="Calibri"/>
          <w:spacing w:val="-3"/>
          <w:sz w:val="22"/>
        </w:rPr>
        <w:t> </w:t>
      </w:r>
      <w:r>
        <w:rPr>
          <w:rFonts w:ascii="Calibri"/>
          <w:sz w:val="22"/>
        </w:rPr>
        <w:t>Economy</w:t>
      </w:r>
      <w:r>
        <w:rPr>
          <w:rFonts w:ascii="Calibri"/>
          <w:spacing w:val="-4"/>
          <w:sz w:val="22"/>
        </w:rPr>
        <w:t> </w:t>
      </w:r>
      <w:r>
        <w:rPr>
          <w:rFonts w:ascii="Calibri"/>
          <w:sz w:val="22"/>
        </w:rPr>
        <w:t>will</w:t>
      </w:r>
      <w:r>
        <w:rPr>
          <w:rFonts w:ascii="Calibri"/>
          <w:spacing w:val="-3"/>
          <w:sz w:val="22"/>
        </w:rPr>
        <w:t> </w:t>
      </w:r>
      <w:r>
        <w:rPr>
          <w:rFonts w:ascii="Calibri"/>
          <w:sz w:val="22"/>
        </w:rPr>
        <w:t>bring</w:t>
      </w:r>
      <w:r>
        <w:rPr>
          <w:rFonts w:ascii="Calibri"/>
          <w:spacing w:val="-3"/>
          <w:sz w:val="22"/>
        </w:rPr>
        <w:t> </w:t>
      </w:r>
      <w:r>
        <w:rPr>
          <w:rFonts w:ascii="Calibri"/>
          <w:sz w:val="22"/>
        </w:rPr>
        <w:t>and</w:t>
      </w:r>
      <w:r>
        <w:rPr>
          <w:rFonts w:ascii="Calibri"/>
          <w:spacing w:val="-3"/>
          <w:sz w:val="22"/>
        </w:rPr>
        <w:t> </w:t>
      </w:r>
      <w:r>
        <w:rPr>
          <w:rFonts w:ascii="Calibri"/>
          <w:sz w:val="22"/>
        </w:rPr>
        <w:t>capitalise</w:t>
      </w:r>
      <w:r>
        <w:rPr>
          <w:rFonts w:ascii="Calibri"/>
          <w:spacing w:val="-4"/>
          <w:sz w:val="22"/>
        </w:rPr>
        <w:t> </w:t>
      </w:r>
      <w:r>
        <w:rPr>
          <w:rFonts w:ascii="Calibri"/>
          <w:sz w:val="22"/>
        </w:rPr>
        <w:t>on</w:t>
      </w:r>
      <w:r>
        <w:rPr>
          <w:rFonts w:ascii="Calibri"/>
          <w:spacing w:val="-3"/>
          <w:sz w:val="22"/>
        </w:rPr>
        <w:t> </w:t>
      </w:r>
      <w:r>
        <w:rPr>
          <w:rFonts w:ascii="Calibri"/>
          <w:sz w:val="22"/>
        </w:rPr>
        <w:t>this</w:t>
      </w:r>
      <w:r>
        <w:rPr>
          <w:rFonts w:ascii="Calibri"/>
          <w:spacing w:val="-4"/>
          <w:sz w:val="22"/>
        </w:rPr>
        <w:t> </w:t>
      </w:r>
      <w:r>
        <w:rPr>
          <w:rFonts w:ascii="Calibri"/>
          <w:sz w:val="22"/>
        </w:rPr>
        <w:t>in</w:t>
      </w:r>
      <w:r>
        <w:rPr>
          <w:rFonts w:ascii="Calibri"/>
          <w:spacing w:val="-3"/>
          <w:sz w:val="22"/>
        </w:rPr>
        <w:t> </w:t>
      </w:r>
      <w:r>
        <w:rPr>
          <w:rFonts w:ascii="Calibri"/>
          <w:sz w:val="22"/>
        </w:rPr>
        <w:t>order</w:t>
      </w:r>
      <w:r>
        <w:rPr>
          <w:rFonts w:ascii="Calibri"/>
          <w:spacing w:val="-4"/>
          <w:sz w:val="22"/>
        </w:rPr>
        <w:t> </w:t>
      </w:r>
      <w:r>
        <w:rPr>
          <w:rFonts w:ascii="Calibri"/>
          <w:sz w:val="22"/>
        </w:rPr>
        <w:t>to</w:t>
      </w:r>
      <w:r>
        <w:rPr>
          <w:rFonts w:ascii="Calibri"/>
          <w:spacing w:val="-3"/>
          <w:sz w:val="22"/>
        </w:rPr>
        <w:t> </w:t>
      </w:r>
      <w:r>
        <w:rPr>
          <w:rFonts w:ascii="Calibri"/>
          <w:sz w:val="22"/>
        </w:rPr>
        <w:t>increase</w:t>
      </w:r>
      <w:r>
        <w:rPr>
          <w:rFonts w:ascii="Calibri"/>
          <w:spacing w:val="-3"/>
          <w:sz w:val="22"/>
        </w:rPr>
        <w:t> </w:t>
      </w:r>
      <w:r>
        <w:rPr>
          <w:rFonts w:ascii="Calibri"/>
          <w:sz w:val="22"/>
        </w:rPr>
        <w:t>our</w:t>
      </w:r>
      <w:r>
        <w:rPr>
          <w:rFonts w:ascii="Calibri"/>
          <w:spacing w:val="-4"/>
          <w:sz w:val="22"/>
        </w:rPr>
        <w:t> </w:t>
      </w:r>
      <w:r>
        <w:rPr>
          <w:rFonts w:ascii="Calibri"/>
          <w:sz w:val="22"/>
        </w:rPr>
        <w:t>capacity</w:t>
      </w:r>
      <w:r>
        <w:rPr>
          <w:rFonts w:ascii="Calibri"/>
          <w:spacing w:val="-4"/>
          <w:sz w:val="22"/>
        </w:rPr>
        <w:t> </w:t>
      </w:r>
      <w:r>
        <w:rPr>
          <w:rFonts w:ascii="Calibri"/>
          <w:sz w:val="22"/>
        </w:rPr>
        <w:t>in delivering bilingual services.</w:t>
      </w:r>
    </w:p>
    <w:p>
      <w:pPr>
        <w:pStyle w:val="BodyText"/>
        <w:rPr>
          <w:rFonts w:ascii="Calibri"/>
          <w:sz w:val="22"/>
        </w:rPr>
      </w:pPr>
    </w:p>
    <w:p>
      <w:pPr>
        <w:pStyle w:val="BodyText"/>
        <w:spacing w:before="7"/>
        <w:rPr>
          <w:rFonts w:ascii="Calibri"/>
          <w:sz w:val="25"/>
        </w:rPr>
      </w:pPr>
    </w:p>
    <w:p>
      <w:pPr>
        <w:pStyle w:val="Heading5"/>
      </w:pPr>
      <w:r>
        <w:rPr/>
        <w:t>Priority</w:t>
      </w:r>
      <w:r>
        <w:rPr>
          <w:spacing w:val="-3"/>
        </w:rPr>
        <w:t> </w:t>
      </w:r>
      <w:r>
        <w:rPr/>
        <w:t>Areas</w:t>
      </w:r>
      <w:r>
        <w:rPr>
          <w:spacing w:val="-3"/>
        </w:rPr>
        <w:t> </w:t>
      </w:r>
      <w:r>
        <w:rPr/>
        <w:t>for</w:t>
      </w:r>
      <w:r>
        <w:rPr>
          <w:spacing w:val="-3"/>
        </w:rPr>
        <w:t> </w:t>
      </w:r>
      <w:r>
        <w:rPr>
          <w:spacing w:val="-2"/>
        </w:rPr>
        <w:t>2022/23</w:t>
      </w:r>
    </w:p>
    <w:p>
      <w:pPr>
        <w:pStyle w:val="ListParagraph"/>
        <w:numPr>
          <w:ilvl w:val="0"/>
          <w:numId w:val="46"/>
        </w:numPr>
        <w:tabs>
          <w:tab w:pos="2159" w:val="left" w:leader="none"/>
          <w:tab w:pos="2160" w:val="left" w:leader="none"/>
        </w:tabs>
        <w:spacing w:line="240" w:lineRule="auto" w:before="31" w:after="0"/>
        <w:ind w:left="2159" w:right="0" w:hanging="360"/>
        <w:jc w:val="left"/>
        <w:rPr>
          <w:rFonts w:ascii="Symbol" w:hAnsi="Symbol"/>
          <w:sz w:val="22"/>
        </w:rPr>
      </w:pPr>
      <w:r>
        <w:rPr>
          <w:rFonts w:ascii="Calibri" w:hAnsi="Calibri"/>
          <w:sz w:val="22"/>
        </w:rPr>
        <w:t>Increase</w:t>
      </w:r>
      <w:r>
        <w:rPr>
          <w:rFonts w:ascii="Calibri" w:hAnsi="Calibri"/>
          <w:spacing w:val="-2"/>
          <w:sz w:val="22"/>
        </w:rPr>
        <w:t> </w:t>
      </w:r>
      <w:r>
        <w:rPr>
          <w:rFonts w:ascii="Calibri" w:hAnsi="Calibri"/>
          <w:sz w:val="22"/>
        </w:rPr>
        <w:t>capacity</w:t>
      </w:r>
      <w:r>
        <w:rPr>
          <w:rFonts w:ascii="Calibri" w:hAnsi="Calibri"/>
          <w:spacing w:val="-2"/>
          <w:sz w:val="22"/>
        </w:rPr>
        <w:t> </w:t>
      </w:r>
      <w:r>
        <w:rPr>
          <w:rFonts w:ascii="Calibri" w:hAnsi="Calibri"/>
          <w:sz w:val="22"/>
        </w:rPr>
        <w:t>to</w:t>
      </w:r>
      <w:r>
        <w:rPr>
          <w:rFonts w:ascii="Calibri" w:hAnsi="Calibri"/>
          <w:spacing w:val="-2"/>
          <w:sz w:val="22"/>
        </w:rPr>
        <w:t> </w:t>
      </w:r>
      <w:r>
        <w:rPr>
          <w:rFonts w:ascii="Calibri" w:hAnsi="Calibri"/>
          <w:sz w:val="22"/>
        </w:rPr>
        <w:t>train</w:t>
      </w:r>
      <w:r>
        <w:rPr>
          <w:rFonts w:ascii="Calibri" w:hAnsi="Calibri"/>
          <w:spacing w:val="-1"/>
          <w:sz w:val="22"/>
        </w:rPr>
        <w:t> </w:t>
      </w:r>
      <w:r>
        <w:rPr>
          <w:rFonts w:ascii="Calibri" w:hAnsi="Calibri"/>
          <w:sz w:val="22"/>
        </w:rPr>
        <w:t>more</w:t>
      </w:r>
      <w:r>
        <w:rPr>
          <w:rFonts w:ascii="Calibri" w:hAnsi="Calibri"/>
          <w:spacing w:val="-2"/>
          <w:sz w:val="22"/>
        </w:rPr>
        <w:t> </w:t>
      </w:r>
      <w:r>
        <w:rPr>
          <w:rFonts w:ascii="Calibri" w:hAnsi="Calibri"/>
          <w:sz w:val="22"/>
        </w:rPr>
        <w:t>staff</w:t>
      </w:r>
      <w:r>
        <w:rPr>
          <w:rFonts w:ascii="Calibri" w:hAnsi="Calibri"/>
          <w:spacing w:val="-2"/>
          <w:sz w:val="22"/>
        </w:rPr>
        <w:t> </w:t>
      </w:r>
      <w:r>
        <w:rPr>
          <w:rFonts w:ascii="Calibri" w:hAnsi="Calibri"/>
          <w:sz w:val="22"/>
        </w:rPr>
        <w:t>in</w:t>
      </w:r>
      <w:r>
        <w:rPr>
          <w:rFonts w:ascii="Calibri" w:hAnsi="Calibri"/>
          <w:spacing w:val="-1"/>
          <w:sz w:val="22"/>
        </w:rPr>
        <w:t> </w:t>
      </w:r>
      <w:r>
        <w:rPr>
          <w:rFonts w:ascii="Calibri" w:hAnsi="Calibri"/>
          <w:sz w:val="22"/>
        </w:rPr>
        <w:t>language</w:t>
      </w:r>
      <w:r>
        <w:rPr>
          <w:rFonts w:ascii="Calibri" w:hAnsi="Calibri"/>
          <w:spacing w:val="-1"/>
          <w:sz w:val="22"/>
        </w:rPr>
        <w:t> </w:t>
      </w:r>
      <w:r>
        <w:rPr>
          <w:rFonts w:ascii="Calibri" w:hAnsi="Calibri"/>
          <w:spacing w:val="-2"/>
          <w:sz w:val="22"/>
        </w:rPr>
        <w:t>awareness.</w:t>
      </w:r>
    </w:p>
    <w:p>
      <w:pPr>
        <w:spacing w:line="259" w:lineRule="auto" w:before="21"/>
        <w:ind w:left="2160" w:right="1405" w:firstLine="0"/>
        <w:jc w:val="left"/>
        <w:rPr>
          <w:rFonts w:ascii="Calibri"/>
          <w:sz w:val="22"/>
        </w:rPr>
      </w:pPr>
      <w:r>
        <w:rPr>
          <w:rFonts w:ascii="Calibri"/>
          <w:sz w:val="22"/>
        </w:rPr>
        <w:t>(We</w:t>
      </w:r>
      <w:r>
        <w:rPr>
          <w:rFonts w:ascii="Calibri"/>
          <w:spacing w:val="-4"/>
          <w:sz w:val="22"/>
        </w:rPr>
        <w:t> </w:t>
      </w:r>
      <w:r>
        <w:rPr>
          <w:rFonts w:ascii="Calibri"/>
          <w:sz w:val="22"/>
        </w:rPr>
        <w:t>eagerly</w:t>
      </w:r>
      <w:r>
        <w:rPr>
          <w:rFonts w:ascii="Calibri"/>
          <w:spacing w:val="-3"/>
          <w:sz w:val="22"/>
        </w:rPr>
        <w:t> </w:t>
      </w:r>
      <w:r>
        <w:rPr>
          <w:rFonts w:ascii="Calibri"/>
          <w:sz w:val="22"/>
        </w:rPr>
        <w:t>await</w:t>
      </w:r>
      <w:r>
        <w:rPr>
          <w:rFonts w:ascii="Calibri"/>
          <w:spacing w:val="-3"/>
          <w:sz w:val="22"/>
        </w:rPr>
        <w:t> </w:t>
      </w:r>
      <w:r>
        <w:rPr>
          <w:rFonts w:ascii="Calibri"/>
          <w:sz w:val="22"/>
        </w:rPr>
        <w:t>the</w:t>
      </w:r>
      <w:r>
        <w:rPr>
          <w:rFonts w:ascii="Calibri"/>
          <w:spacing w:val="-3"/>
          <w:sz w:val="22"/>
        </w:rPr>
        <w:t> </w:t>
      </w:r>
      <w:r>
        <w:rPr>
          <w:rFonts w:ascii="Calibri"/>
          <w:sz w:val="22"/>
        </w:rPr>
        <w:t>launch</w:t>
      </w:r>
      <w:r>
        <w:rPr>
          <w:rFonts w:ascii="Calibri"/>
          <w:spacing w:val="-3"/>
          <w:sz w:val="22"/>
        </w:rPr>
        <w:t> </w:t>
      </w:r>
      <w:r>
        <w:rPr>
          <w:rFonts w:ascii="Calibri"/>
          <w:sz w:val="22"/>
        </w:rPr>
        <w:t>of</w:t>
      </w:r>
      <w:r>
        <w:rPr>
          <w:rFonts w:ascii="Calibri"/>
          <w:spacing w:val="-4"/>
          <w:sz w:val="22"/>
        </w:rPr>
        <w:t> </w:t>
      </w:r>
      <w:r>
        <w:rPr>
          <w:rFonts w:ascii="Calibri"/>
          <w:sz w:val="22"/>
        </w:rPr>
        <w:t>the</w:t>
      </w:r>
      <w:r>
        <w:rPr>
          <w:rFonts w:ascii="Calibri"/>
          <w:spacing w:val="-3"/>
          <w:sz w:val="22"/>
        </w:rPr>
        <w:t> </w:t>
      </w:r>
      <w:r>
        <w:rPr>
          <w:rFonts w:ascii="Calibri"/>
          <w:sz w:val="22"/>
        </w:rPr>
        <w:t>Welsh</w:t>
      </w:r>
      <w:r>
        <w:rPr>
          <w:rFonts w:ascii="Calibri"/>
          <w:spacing w:val="-4"/>
          <w:sz w:val="22"/>
        </w:rPr>
        <w:t> </w:t>
      </w:r>
      <w:r>
        <w:rPr>
          <w:rFonts w:ascii="Calibri"/>
          <w:sz w:val="22"/>
        </w:rPr>
        <w:t>Government</w:t>
      </w:r>
      <w:r>
        <w:rPr>
          <w:rFonts w:ascii="Calibri"/>
          <w:spacing w:val="-3"/>
          <w:sz w:val="22"/>
        </w:rPr>
        <w:t> </w:t>
      </w:r>
      <w:r>
        <w:rPr>
          <w:rFonts w:ascii="Calibri"/>
          <w:sz w:val="22"/>
        </w:rPr>
        <w:t>funded</w:t>
      </w:r>
      <w:r>
        <w:rPr>
          <w:rFonts w:ascii="Calibri"/>
          <w:spacing w:val="-3"/>
          <w:sz w:val="22"/>
        </w:rPr>
        <w:t> </w:t>
      </w:r>
      <w:r>
        <w:rPr>
          <w:rFonts w:ascii="Calibri"/>
          <w:sz w:val="22"/>
        </w:rPr>
        <w:t>Welsh</w:t>
      </w:r>
      <w:r>
        <w:rPr>
          <w:rFonts w:ascii="Calibri"/>
          <w:spacing w:val="-4"/>
          <w:sz w:val="22"/>
        </w:rPr>
        <w:t> </w:t>
      </w:r>
      <w:r>
        <w:rPr>
          <w:rFonts w:ascii="Calibri"/>
          <w:sz w:val="22"/>
        </w:rPr>
        <w:t>Language</w:t>
      </w:r>
      <w:r>
        <w:rPr>
          <w:rFonts w:ascii="Calibri"/>
          <w:spacing w:val="-4"/>
          <w:sz w:val="22"/>
        </w:rPr>
        <w:t> </w:t>
      </w:r>
      <w:r>
        <w:rPr>
          <w:rFonts w:ascii="Calibri"/>
          <w:sz w:val="22"/>
        </w:rPr>
        <w:t>Awareness Module for ESR for NHS Staff, we are currently awaiting launch date).</w:t>
      </w:r>
    </w:p>
    <w:p>
      <w:pPr>
        <w:pStyle w:val="ListParagraph"/>
        <w:numPr>
          <w:ilvl w:val="0"/>
          <w:numId w:val="46"/>
        </w:numPr>
        <w:tabs>
          <w:tab w:pos="2159" w:val="left" w:leader="none"/>
          <w:tab w:pos="2160" w:val="left" w:leader="none"/>
        </w:tabs>
        <w:spacing w:line="280" w:lineRule="exact" w:before="0" w:after="0"/>
        <w:ind w:left="2159" w:right="0" w:hanging="360"/>
        <w:jc w:val="left"/>
        <w:rPr>
          <w:rFonts w:ascii="Symbol" w:hAnsi="Symbol"/>
          <w:sz w:val="22"/>
        </w:rPr>
      </w:pPr>
      <w:r>
        <w:rPr>
          <w:rFonts w:ascii="Calibri" w:hAnsi="Calibri"/>
          <w:sz w:val="22"/>
        </w:rPr>
        <w:t>Create</w:t>
      </w:r>
      <w:r>
        <w:rPr>
          <w:rFonts w:ascii="Calibri" w:hAnsi="Calibri"/>
          <w:spacing w:val="-5"/>
          <w:sz w:val="22"/>
        </w:rPr>
        <w:t> </w:t>
      </w:r>
      <w:r>
        <w:rPr>
          <w:rFonts w:ascii="Calibri" w:hAnsi="Calibri"/>
          <w:sz w:val="22"/>
        </w:rPr>
        <w:t>a</w:t>
      </w:r>
      <w:r>
        <w:rPr>
          <w:rFonts w:ascii="Calibri" w:hAnsi="Calibri"/>
          <w:spacing w:val="-2"/>
          <w:sz w:val="22"/>
        </w:rPr>
        <w:t> </w:t>
      </w:r>
      <w:r>
        <w:rPr>
          <w:rFonts w:ascii="Calibri" w:hAnsi="Calibri"/>
          <w:sz w:val="22"/>
        </w:rPr>
        <w:t>Croeso</w:t>
      </w:r>
      <w:r>
        <w:rPr>
          <w:rFonts w:ascii="Calibri" w:hAnsi="Calibri"/>
          <w:spacing w:val="-2"/>
          <w:sz w:val="22"/>
        </w:rPr>
        <w:t> </w:t>
      </w:r>
      <w:r>
        <w:rPr>
          <w:rFonts w:ascii="Calibri" w:hAnsi="Calibri"/>
          <w:sz w:val="22"/>
        </w:rPr>
        <w:t>Cymraeg</w:t>
      </w:r>
      <w:r>
        <w:rPr>
          <w:rFonts w:ascii="Calibri" w:hAnsi="Calibri"/>
          <w:spacing w:val="-2"/>
          <w:sz w:val="22"/>
        </w:rPr>
        <w:t> </w:t>
      </w:r>
      <w:r>
        <w:rPr>
          <w:rFonts w:ascii="Calibri" w:hAnsi="Calibri"/>
          <w:sz w:val="22"/>
        </w:rPr>
        <w:t>booklet</w:t>
      </w:r>
      <w:r>
        <w:rPr>
          <w:rFonts w:ascii="Calibri" w:hAnsi="Calibri"/>
          <w:spacing w:val="-2"/>
          <w:sz w:val="22"/>
        </w:rPr>
        <w:t> </w:t>
      </w:r>
      <w:r>
        <w:rPr>
          <w:rFonts w:ascii="Calibri" w:hAnsi="Calibri"/>
          <w:sz w:val="22"/>
        </w:rPr>
        <w:t>for</w:t>
      </w:r>
      <w:r>
        <w:rPr>
          <w:rFonts w:ascii="Calibri" w:hAnsi="Calibri"/>
          <w:spacing w:val="-2"/>
          <w:sz w:val="22"/>
        </w:rPr>
        <w:t> </w:t>
      </w:r>
      <w:r>
        <w:rPr>
          <w:rFonts w:ascii="Calibri" w:hAnsi="Calibri"/>
          <w:sz w:val="22"/>
        </w:rPr>
        <w:t>all</w:t>
      </w:r>
      <w:r>
        <w:rPr>
          <w:rFonts w:ascii="Calibri" w:hAnsi="Calibri"/>
          <w:spacing w:val="-3"/>
          <w:sz w:val="22"/>
        </w:rPr>
        <w:t> </w:t>
      </w:r>
      <w:r>
        <w:rPr>
          <w:rFonts w:ascii="Calibri" w:hAnsi="Calibri"/>
          <w:sz w:val="22"/>
        </w:rPr>
        <w:t>new</w:t>
      </w:r>
      <w:r>
        <w:rPr>
          <w:rFonts w:ascii="Calibri" w:hAnsi="Calibri"/>
          <w:spacing w:val="-1"/>
          <w:sz w:val="22"/>
        </w:rPr>
        <w:t> </w:t>
      </w:r>
      <w:r>
        <w:rPr>
          <w:rFonts w:ascii="Calibri" w:hAnsi="Calibri"/>
          <w:sz w:val="22"/>
        </w:rPr>
        <w:t>members</w:t>
      </w:r>
      <w:r>
        <w:rPr>
          <w:rFonts w:ascii="Calibri" w:hAnsi="Calibri"/>
          <w:spacing w:val="-3"/>
          <w:sz w:val="22"/>
        </w:rPr>
        <w:t> </w:t>
      </w:r>
      <w:r>
        <w:rPr>
          <w:rFonts w:ascii="Calibri" w:hAnsi="Calibri"/>
          <w:sz w:val="22"/>
        </w:rPr>
        <w:t>of</w:t>
      </w:r>
      <w:r>
        <w:rPr>
          <w:rFonts w:ascii="Calibri" w:hAnsi="Calibri"/>
          <w:spacing w:val="-2"/>
          <w:sz w:val="22"/>
        </w:rPr>
        <w:t> </w:t>
      </w:r>
      <w:r>
        <w:rPr>
          <w:rFonts w:ascii="Calibri" w:hAnsi="Calibri"/>
          <w:sz w:val="22"/>
        </w:rPr>
        <w:t>staff</w:t>
      </w:r>
      <w:r>
        <w:rPr>
          <w:rFonts w:ascii="Calibri" w:hAnsi="Calibri"/>
          <w:spacing w:val="-2"/>
          <w:sz w:val="22"/>
        </w:rPr>
        <w:t> </w:t>
      </w:r>
      <w:r>
        <w:rPr>
          <w:rFonts w:ascii="Calibri" w:hAnsi="Calibri"/>
          <w:sz w:val="22"/>
        </w:rPr>
        <w:t>to</w:t>
      </w:r>
      <w:r>
        <w:rPr>
          <w:rFonts w:ascii="Calibri" w:hAnsi="Calibri"/>
          <w:spacing w:val="-1"/>
          <w:sz w:val="22"/>
        </w:rPr>
        <w:t> </w:t>
      </w:r>
      <w:r>
        <w:rPr>
          <w:rFonts w:ascii="Calibri" w:hAnsi="Calibri"/>
          <w:spacing w:val="-2"/>
          <w:sz w:val="22"/>
        </w:rPr>
        <w:t>NWSSP.</w:t>
      </w:r>
    </w:p>
    <w:p>
      <w:pPr>
        <w:pStyle w:val="ListParagraph"/>
        <w:numPr>
          <w:ilvl w:val="0"/>
          <w:numId w:val="46"/>
        </w:numPr>
        <w:tabs>
          <w:tab w:pos="2159" w:val="left" w:leader="none"/>
          <w:tab w:pos="2160" w:val="left" w:leader="none"/>
        </w:tabs>
        <w:spacing w:line="259" w:lineRule="auto" w:before="22" w:after="0"/>
        <w:ind w:left="2160" w:right="1614" w:hanging="360"/>
        <w:jc w:val="left"/>
        <w:rPr>
          <w:rFonts w:ascii="Symbol" w:hAnsi="Symbol"/>
          <w:sz w:val="22"/>
        </w:rPr>
      </w:pPr>
      <w:r>
        <w:rPr>
          <w:rFonts w:ascii="Calibri" w:hAnsi="Calibri"/>
          <w:sz w:val="22"/>
        </w:rPr>
        <w:t>Increase</w:t>
      </w:r>
      <w:r>
        <w:rPr>
          <w:rFonts w:ascii="Calibri" w:hAnsi="Calibri"/>
          <w:spacing w:val="-3"/>
          <w:sz w:val="22"/>
        </w:rPr>
        <w:t> </w:t>
      </w:r>
      <w:r>
        <w:rPr>
          <w:rFonts w:ascii="Calibri" w:hAnsi="Calibri"/>
          <w:sz w:val="22"/>
        </w:rPr>
        <w:t>interest</w:t>
      </w:r>
      <w:r>
        <w:rPr>
          <w:rFonts w:ascii="Calibri" w:hAnsi="Calibri"/>
          <w:spacing w:val="-4"/>
          <w:sz w:val="22"/>
        </w:rPr>
        <w:t> </w:t>
      </w:r>
      <w:r>
        <w:rPr>
          <w:rFonts w:ascii="Calibri" w:hAnsi="Calibri"/>
          <w:sz w:val="22"/>
        </w:rPr>
        <w:t>in</w:t>
      </w:r>
      <w:r>
        <w:rPr>
          <w:rFonts w:ascii="Calibri" w:hAnsi="Calibri"/>
          <w:spacing w:val="-4"/>
          <w:sz w:val="22"/>
        </w:rPr>
        <w:t> </w:t>
      </w:r>
      <w:r>
        <w:rPr>
          <w:rFonts w:ascii="Calibri" w:hAnsi="Calibri"/>
          <w:sz w:val="22"/>
        </w:rPr>
        <w:t>learning</w:t>
      </w:r>
      <w:r>
        <w:rPr>
          <w:rFonts w:ascii="Calibri" w:hAnsi="Calibri"/>
          <w:spacing w:val="-4"/>
          <w:sz w:val="22"/>
        </w:rPr>
        <w:t> </w:t>
      </w:r>
      <w:r>
        <w:rPr>
          <w:rFonts w:ascii="Calibri" w:hAnsi="Calibri"/>
          <w:sz w:val="22"/>
        </w:rPr>
        <w:t>Welsh</w:t>
      </w:r>
      <w:r>
        <w:rPr>
          <w:rFonts w:ascii="Calibri" w:hAnsi="Calibri"/>
          <w:spacing w:val="-4"/>
          <w:sz w:val="22"/>
        </w:rPr>
        <w:t> </w:t>
      </w:r>
      <w:r>
        <w:rPr>
          <w:rFonts w:ascii="Calibri" w:hAnsi="Calibri"/>
          <w:sz w:val="22"/>
        </w:rPr>
        <w:t>and</w:t>
      </w:r>
      <w:r>
        <w:rPr>
          <w:rFonts w:ascii="Calibri" w:hAnsi="Calibri"/>
          <w:spacing w:val="-4"/>
          <w:sz w:val="22"/>
        </w:rPr>
        <w:t> </w:t>
      </w:r>
      <w:r>
        <w:rPr>
          <w:rFonts w:ascii="Calibri" w:hAnsi="Calibri"/>
          <w:sz w:val="22"/>
        </w:rPr>
        <w:t>up-skilling</w:t>
      </w:r>
      <w:r>
        <w:rPr>
          <w:rFonts w:ascii="Calibri" w:hAnsi="Calibri"/>
          <w:spacing w:val="-4"/>
          <w:sz w:val="22"/>
        </w:rPr>
        <w:t> </w:t>
      </w:r>
      <w:r>
        <w:rPr>
          <w:rFonts w:ascii="Calibri" w:hAnsi="Calibri"/>
          <w:sz w:val="22"/>
        </w:rPr>
        <w:t>the</w:t>
      </w:r>
      <w:r>
        <w:rPr>
          <w:rFonts w:ascii="Calibri" w:hAnsi="Calibri"/>
          <w:spacing w:val="-3"/>
          <w:sz w:val="22"/>
        </w:rPr>
        <w:t> </w:t>
      </w:r>
      <w:r>
        <w:rPr>
          <w:rFonts w:ascii="Calibri" w:hAnsi="Calibri"/>
          <w:sz w:val="22"/>
        </w:rPr>
        <w:t>workforce,</w:t>
      </w:r>
      <w:r>
        <w:rPr>
          <w:rFonts w:ascii="Calibri" w:hAnsi="Calibri"/>
          <w:spacing w:val="-3"/>
          <w:sz w:val="22"/>
        </w:rPr>
        <w:t> </w:t>
      </w:r>
      <w:r>
        <w:rPr>
          <w:rFonts w:ascii="Calibri" w:hAnsi="Calibri"/>
          <w:sz w:val="22"/>
        </w:rPr>
        <w:t>targeting</w:t>
      </w:r>
      <w:r>
        <w:rPr>
          <w:rFonts w:ascii="Calibri" w:hAnsi="Calibri"/>
          <w:spacing w:val="-4"/>
          <w:sz w:val="22"/>
        </w:rPr>
        <w:t> </w:t>
      </w:r>
      <w:r>
        <w:rPr>
          <w:rFonts w:ascii="Calibri" w:hAnsi="Calibri"/>
          <w:sz w:val="22"/>
        </w:rPr>
        <w:t>areas</w:t>
      </w:r>
      <w:r>
        <w:rPr>
          <w:rFonts w:ascii="Calibri" w:hAnsi="Calibri"/>
          <w:spacing w:val="-4"/>
          <w:sz w:val="22"/>
        </w:rPr>
        <w:t> </w:t>
      </w:r>
      <w:r>
        <w:rPr>
          <w:rFonts w:ascii="Calibri" w:hAnsi="Calibri"/>
          <w:sz w:val="22"/>
        </w:rPr>
        <w:t>where</w:t>
      </w:r>
      <w:r>
        <w:rPr>
          <w:rFonts w:ascii="Calibri" w:hAnsi="Calibri"/>
          <w:spacing w:val="-4"/>
          <w:sz w:val="22"/>
        </w:rPr>
        <w:t> </w:t>
      </w:r>
      <w:r>
        <w:rPr>
          <w:rFonts w:ascii="Calibri" w:hAnsi="Calibri"/>
          <w:sz w:val="22"/>
        </w:rPr>
        <w:t>we need to increase capacity to deliver more robust bilingual services.</w:t>
      </w:r>
    </w:p>
    <w:p>
      <w:pPr>
        <w:pStyle w:val="ListParagraph"/>
        <w:numPr>
          <w:ilvl w:val="0"/>
          <w:numId w:val="46"/>
        </w:numPr>
        <w:tabs>
          <w:tab w:pos="2159" w:val="left" w:leader="none"/>
          <w:tab w:pos="2160" w:val="left" w:leader="none"/>
        </w:tabs>
        <w:spacing w:line="280" w:lineRule="exact" w:before="0" w:after="0"/>
        <w:ind w:left="2159" w:right="0" w:hanging="360"/>
        <w:jc w:val="left"/>
        <w:rPr>
          <w:rFonts w:ascii="Symbol" w:hAnsi="Symbol"/>
          <w:sz w:val="22"/>
        </w:rPr>
      </w:pPr>
      <w:r>
        <w:rPr>
          <w:rFonts w:ascii="Calibri" w:hAnsi="Calibri"/>
          <w:sz w:val="22"/>
        </w:rPr>
        <w:t>Promote</w:t>
      </w:r>
      <w:r>
        <w:rPr>
          <w:rFonts w:ascii="Calibri" w:hAnsi="Calibri"/>
          <w:spacing w:val="-4"/>
          <w:sz w:val="22"/>
        </w:rPr>
        <w:t> </w:t>
      </w:r>
      <w:r>
        <w:rPr>
          <w:rFonts w:ascii="Calibri" w:hAnsi="Calibri"/>
          <w:sz w:val="22"/>
        </w:rPr>
        <w:t>a</w:t>
      </w:r>
      <w:r>
        <w:rPr>
          <w:rFonts w:ascii="Calibri" w:hAnsi="Calibri"/>
          <w:spacing w:val="-3"/>
          <w:sz w:val="22"/>
        </w:rPr>
        <w:t> </w:t>
      </w:r>
      <w:r>
        <w:rPr>
          <w:rFonts w:ascii="Calibri" w:hAnsi="Calibri"/>
          <w:sz w:val="22"/>
        </w:rPr>
        <w:t>10</w:t>
      </w:r>
      <w:r>
        <w:rPr>
          <w:rFonts w:ascii="Calibri" w:hAnsi="Calibri"/>
          <w:spacing w:val="-2"/>
          <w:sz w:val="22"/>
        </w:rPr>
        <w:t> </w:t>
      </w:r>
      <w:r>
        <w:rPr>
          <w:rFonts w:ascii="Calibri" w:hAnsi="Calibri"/>
          <w:sz w:val="22"/>
        </w:rPr>
        <w:t>hour</w:t>
      </w:r>
      <w:r>
        <w:rPr>
          <w:rFonts w:ascii="Calibri" w:hAnsi="Calibri"/>
          <w:spacing w:val="-2"/>
          <w:sz w:val="22"/>
        </w:rPr>
        <w:t> </w:t>
      </w:r>
      <w:r>
        <w:rPr>
          <w:rFonts w:ascii="Calibri" w:hAnsi="Calibri"/>
          <w:sz w:val="22"/>
        </w:rPr>
        <w:t>online</w:t>
      </w:r>
      <w:r>
        <w:rPr>
          <w:rFonts w:ascii="Calibri" w:hAnsi="Calibri"/>
          <w:spacing w:val="-3"/>
          <w:sz w:val="22"/>
        </w:rPr>
        <w:t> </w:t>
      </w:r>
      <w:r>
        <w:rPr>
          <w:rFonts w:ascii="Calibri" w:hAnsi="Calibri"/>
          <w:sz w:val="22"/>
        </w:rPr>
        <w:t>self-taught</w:t>
      </w:r>
      <w:r>
        <w:rPr>
          <w:rFonts w:ascii="Calibri" w:hAnsi="Calibri"/>
          <w:spacing w:val="-2"/>
          <w:sz w:val="22"/>
        </w:rPr>
        <w:t> </w:t>
      </w:r>
      <w:r>
        <w:rPr>
          <w:rFonts w:ascii="Calibri" w:hAnsi="Calibri"/>
          <w:sz w:val="22"/>
        </w:rPr>
        <w:t>course</w:t>
      </w:r>
      <w:r>
        <w:rPr>
          <w:rFonts w:ascii="Calibri" w:hAnsi="Calibri"/>
          <w:spacing w:val="-3"/>
          <w:sz w:val="22"/>
        </w:rPr>
        <w:t> </w:t>
      </w:r>
      <w:r>
        <w:rPr>
          <w:rFonts w:ascii="Calibri" w:hAnsi="Calibri"/>
          <w:sz w:val="22"/>
        </w:rPr>
        <w:t>to</w:t>
      </w:r>
      <w:r>
        <w:rPr>
          <w:rFonts w:ascii="Calibri" w:hAnsi="Calibri"/>
          <w:spacing w:val="-2"/>
          <w:sz w:val="22"/>
        </w:rPr>
        <w:t> </w:t>
      </w:r>
      <w:r>
        <w:rPr>
          <w:rFonts w:ascii="Calibri" w:hAnsi="Calibri"/>
          <w:sz w:val="22"/>
        </w:rPr>
        <w:t>all</w:t>
      </w:r>
      <w:r>
        <w:rPr>
          <w:rFonts w:ascii="Calibri" w:hAnsi="Calibri"/>
          <w:spacing w:val="-2"/>
          <w:sz w:val="22"/>
        </w:rPr>
        <w:t> </w:t>
      </w:r>
      <w:r>
        <w:rPr>
          <w:rFonts w:ascii="Calibri" w:hAnsi="Calibri"/>
          <w:sz w:val="22"/>
        </w:rPr>
        <w:t>staff</w:t>
      </w:r>
      <w:r>
        <w:rPr>
          <w:rFonts w:ascii="Calibri" w:hAnsi="Calibri"/>
          <w:spacing w:val="-3"/>
          <w:sz w:val="22"/>
        </w:rPr>
        <w:t> </w:t>
      </w:r>
      <w:r>
        <w:rPr>
          <w:rFonts w:ascii="Calibri" w:hAnsi="Calibri"/>
          <w:sz w:val="22"/>
        </w:rPr>
        <w:t>scoring</w:t>
      </w:r>
      <w:r>
        <w:rPr>
          <w:rFonts w:ascii="Calibri" w:hAnsi="Calibri"/>
          <w:spacing w:val="-3"/>
          <w:sz w:val="22"/>
        </w:rPr>
        <w:t> </w:t>
      </w:r>
      <w:r>
        <w:rPr>
          <w:rFonts w:ascii="Calibri" w:hAnsi="Calibri"/>
          <w:sz w:val="22"/>
        </w:rPr>
        <w:t>0</w:t>
      </w:r>
      <w:r>
        <w:rPr>
          <w:rFonts w:ascii="Calibri" w:hAnsi="Calibri"/>
          <w:spacing w:val="-1"/>
          <w:sz w:val="22"/>
        </w:rPr>
        <w:t> </w:t>
      </w:r>
      <w:r>
        <w:rPr>
          <w:rFonts w:ascii="Calibri" w:hAnsi="Calibri"/>
          <w:sz w:val="22"/>
        </w:rPr>
        <w:t>Skills</w:t>
      </w:r>
      <w:r>
        <w:rPr>
          <w:rFonts w:ascii="Calibri" w:hAnsi="Calibri"/>
          <w:spacing w:val="-3"/>
          <w:sz w:val="22"/>
        </w:rPr>
        <w:t> </w:t>
      </w:r>
      <w:r>
        <w:rPr>
          <w:rFonts w:ascii="Calibri" w:hAnsi="Calibri"/>
          <w:sz w:val="22"/>
        </w:rPr>
        <w:t>to</w:t>
      </w:r>
      <w:r>
        <w:rPr>
          <w:rFonts w:ascii="Calibri" w:hAnsi="Calibri"/>
          <w:spacing w:val="-2"/>
          <w:sz w:val="22"/>
        </w:rPr>
        <w:t> </w:t>
      </w:r>
      <w:r>
        <w:rPr>
          <w:rFonts w:ascii="Calibri" w:hAnsi="Calibri"/>
          <w:sz w:val="22"/>
        </w:rPr>
        <w:t>Skill</w:t>
      </w:r>
      <w:r>
        <w:rPr>
          <w:rFonts w:ascii="Calibri" w:hAnsi="Calibri"/>
          <w:spacing w:val="-3"/>
          <w:sz w:val="22"/>
        </w:rPr>
        <w:t> </w:t>
      </w:r>
      <w:r>
        <w:rPr>
          <w:rFonts w:ascii="Calibri" w:hAnsi="Calibri"/>
          <w:sz w:val="22"/>
        </w:rPr>
        <w:t>level</w:t>
      </w:r>
      <w:r>
        <w:rPr>
          <w:rFonts w:ascii="Calibri" w:hAnsi="Calibri"/>
          <w:spacing w:val="-1"/>
          <w:sz w:val="22"/>
        </w:rPr>
        <w:t> </w:t>
      </w:r>
      <w:r>
        <w:rPr>
          <w:rFonts w:ascii="Calibri" w:hAnsi="Calibri"/>
          <w:spacing w:val="-5"/>
          <w:sz w:val="22"/>
        </w:rPr>
        <w:t>1.</w:t>
      </w:r>
    </w:p>
    <w:p>
      <w:pPr>
        <w:pStyle w:val="ListParagraph"/>
        <w:numPr>
          <w:ilvl w:val="0"/>
          <w:numId w:val="46"/>
        </w:numPr>
        <w:tabs>
          <w:tab w:pos="2159" w:val="left" w:leader="none"/>
          <w:tab w:pos="2160" w:val="left" w:leader="none"/>
        </w:tabs>
        <w:spacing w:line="240" w:lineRule="auto" w:before="21" w:after="0"/>
        <w:ind w:left="2159" w:right="0" w:hanging="360"/>
        <w:jc w:val="left"/>
        <w:rPr>
          <w:rFonts w:ascii="Symbol" w:hAnsi="Symbol"/>
          <w:sz w:val="22"/>
        </w:rPr>
      </w:pPr>
      <w:r>
        <w:rPr>
          <w:rFonts w:ascii="Calibri" w:hAnsi="Calibri"/>
          <w:sz w:val="22"/>
        </w:rPr>
        <w:t>Review</w:t>
      </w:r>
      <w:r>
        <w:rPr>
          <w:rFonts w:ascii="Calibri" w:hAnsi="Calibri"/>
          <w:spacing w:val="-2"/>
          <w:sz w:val="22"/>
        </w:rPr>
        <w:t> </w:t>
      </w:r>
      <w:r>
        <w:rPr>
          <w:rFonts w:ascii="Calibri" w:hAnsi="Calibri"/>
          <w:sz w:val="22"/>
        </w:rPr>
        <w:t>our</w:t>
      </w:r>
      <w:r>
        <w:rPr>
          <w:rFonts w:ascii="Calibri" w:hAnsi="Calibri"/>
          <w:spacing w:val="-2"/>
          <w:sz w:val="22"/>
        </w:rPr>
        <w:t> </w:t>
      </w:r>
      <w:r>
        <w:rPr>
          <w:rFonts w:ascii="Calibri" w:hAnsi="Calibri"/>
          <w:sz w:val="22"/>
        </w:rPr>
        <w:t>communication</w:t>
      </w:r>
      <w:r>
        <w:rPr>
          <w:rFonts w:ascii="Calibri" w:hAnsi="Calibri"/>
          <w:spacing w:val="-3"/>
          <w:sz w:val="22"/>
        </w:rPr>
        <w:t> </w:t>
      </w:r>
      <w:r>
        <w:rPr>
          <w:rFonts w:ascii="Calibri" w:hAnsi="Calibri"/>
          <w:sz w:val="22"/>
        </w:rPr>
        <w:t>plan</w:t>
      </w:r>
      <w:r>
        <w:rPr>
          <w:rFonts w:ascii="Calibri" w:hAnsi="Calibri"/>
          <w:spacing w:val="-1"/>
          <w:sz w:val="22"/>
        </w:rPr>
        <w:t> </w:t>
      </w:r>
      <w:r>
        <w:rPr>
          <w:rFonts w:ascii="Calibri" w:hAnsi="Calibri"/>
          <w:sz w:val="22"/>
        </w:rPr>
        <w:t>to</w:t>
      </w:r>
      <w:r>
        <w:rPr>
          <w:rFonts w:ascii="Calibri" w:hAnsi="Calibri"/>
          <w:spacing w:val="-1"/>
          <w:sz w:val="22"/>
        </w:rPr>
        <w:t> </w:t>
      </w:r>
      <w:r>
        <w:rPr>
          <w:rFonts w:ascii="Calibri" w:hAnsi="Calibri"/>
          <w:sz w:val="22"/>
        </w:rPr>
        <w:t>engage</w:t>
      </w:r>
      <w:r>
        <w:rPr>
          <w:rFonts w:ascii="Calibri" w:hAnsi="Calibri"/>
          <w:spacing w:val="-2"/>
          <w:sz w:val="22"/>
        </w:rPr>
        <w:t> </w:t>
      </w:r>
      <w:r>
        <w:rPr>
          <w:rFonts w:ascii="Calibri" w:hAnsi="Calibri"/>
          <w:sz w:val="22"/>
        </w:rPr>
        <w:t>with</w:t>
      </w:r>
      <w:r>
        <w:rPr>
          <w:rFonts w:ascii="Calibri" w:hAnsi="Calibri"/>
          <w:spacing w:val="-1"/>
          <w:sz w:val="22"/>
        </w:rPr>
        <w:t> </w:t>
      </w:r>
      <w:r>
        <w:rPr>
          <w:rFonts w:ascii="Calibri" w:hAnsi="Calibri"/>
          <w:sz w:val="22"/>
        </w:rPr>
        <w:t>staff</w:t>
      </w:r>
      <w:r>
        <w:rPr>
          <w:rFonts w:ascii="Calibri" w:hAnsi="Calibri"/>
          <w:spacing w:val="-3"/>
          <w:sz w:val="22"/>
        </w:rPr>
        <w:t> </w:t>
      </w:r>
      <w:r>
        <w:rPr>
          <w:rFonts w:ascii="Calibri" w:hAnsi="Calibri"/>
          <w:sz w:val="22"/>
        </w:rPr>
        <w:t>across</w:t>
      </w:r>
      <w:r>
        <w:rPr>
          <w:rFonts w:ascii="Calibri" w:hAnsi="Calibri"/>
          <w:spacing w:val="-1"/>
          <w:sz w:val="22"/>
        </w:rPr>
        <w:t> </w:t>
      </w:r>
      <w:r>
        <w:rPr>
          <w:rFonts w:ascii="Calibri" w:hAnsi="Calibri"/>
          <w:sz w:val="22"/>
        </w:rPr>
        <w:t>the</w:t>
      </w:r>
      <w:r>
        <w:rPr>
          <w:rFonts w:ascii="Calibri" w:hAnsi="Calibri"/>
          <w:spacing w:val="-1"/>
          <w:sz w:val="22"/>
        </w:rPr>
        <w:t> </w:t>
      </w:r>
      <w:r>
        <w:rPr>
          <w:rFonts w:ascii="Calibri" w:hAnsi="Calibri"/>
          <w:spacing w:val="-2"/>
          <w:sz w:val="22"/>
        </w:rPr>
        <w:t>organisation</w:t>
      </w:r>
    </w:p>
    <w:p>
      <w:pPr>
        <w:pStyle w:val="ListParagraph"/>
        <w:numPr>
          <w:ilvl w:val="0"/>
          <w:numId w:val="46"/>
        </w:numPr>
        <w:tabs>
          <w:tab w:pos="2159" w:val="left" w:leader="none"/>
          <w:tab w:pos="2160" w:val="left" w:leader="none"/>
        </w:tabs>
        <w:spacing w:line="240" w:lineRule="auto" w:before="21" w:after="0"/>
        <w:ind w:left="2159" w:right="0" w:hanging="360"/>
        <w:jc w:val="left"/>
        <w:rPr>
          <w:rFonts w:ascii="Symbol" w:hAnsi="Symbol"/>
          <w:sz w:val="22"/>
        </w:rPr>
      </w:pPr>
      <w:r>
        <w:rPr>
          <w:rFonts w:ascii="Calibri" w:hAnsi="Calibri"/>
          <w:sz w:val="22"/>
        </w:rPr>
        <w:t>To</w:t>
      </w:r>
      <w:r>
        <w:rPr>
          <w:rFonts w:ascii="Calibri" w:hAnsi="Calibri"/>
          <w:spacing w:val="-3"/>
          <w:sz w:val="22"/>
        </w:rPr>
        <w:t> </w:t>
      </w:r>
      <w:r>
        <w:rPr>
          <w:rFonts w:ascii="Calibri" w:hAnsi="Calibri"/>
          <w:sz w:val="22"/>
        </w:rPr>
        <w:t>become</w:t>
      </w:r>
      <w:r>
        <w:rPr>
          <w:rFonts w:ascii="Calibri" w:hAnsi="Calibri"/>
          <w:spacing w:val="-3"/>
          <w:sz w:val="22"/>
        </w:rPr>
        <w:t> </w:t>
      </w:r>
      <w:r>
        <w:rPr>
          <w:rFonts w:ascii="Calibri" w:hAnsi="Calibri"/>
          <w:sz w:val="22"/>
        </w:rPr>
        <w:t>fully</w:t>
      </w:r>
      <w:r>
        <w:rPr>
          <w:rFonts w:ascii="Calibri" w:hAnsi="Calibri"/>
          <w:spacing w:val="-3"/>
          <w:sz w:val="22"/>
        </w:rPr>
        <w:t> </w:t>
      </w:r>
      <w:r>
        <w:rPr>
          <w:rFonts w:ascii="Calibri" w:hAnsi="Calibri"/>
          <w:sz w:val="22"/>
        </w:rPr>
        <w:t>compliant</w:t>
      </w:r>
      <w:r>
        <w:rPr>
          <w:rFonts w:ascii="Calibri" w:hAnsi="Calibri"/>
          <w:spacing w:val="-2"/>
          <w:sz w:val="22"/>
        </w:rPr>
        <w:t> </w:t>
      </w:r>
      <w:r>
        <w:rPr>
          <w:rFonts w:ascii="Calibri" w:hAnsi="Calibri"/>
          <w:sz w:val="22"/>
        </w:rPr>
        <w:t>with</w:t>
      </w:r>
      <w:r>
        <w:rPr>
          <w:rFonts w:ascii="Calibri" w:hAnsi="Calibri"/>
          <w:spacing w:val="-2"/>
          <w:sz w:val="22"/>
        </w:rPr>
        <w:t> </w:t>
      </w:r>
      <w:r>
        <w:rPr>
          <w:rFonts w:ascii="Calibri" w:hAnsi="Calibri"/>
          <w:sz w:val="22"/>
        </w:rPr>
        <w:t>Standards</w:t>
      </w:r>
      <w:r>
        <w:rPr>
          <w:rFonts w:ascii="Calibri" w:hAnsi="Calibri"/>
          <w:spacing w:val="-3"/>
          <w:sz w:val="22"/>
        </w:rPr>
        <w:t> </w:t>
      </w:r>
      <w:r>
        <w:rPr>
          <w:rFonts w:ascii="Calibri" w:hAnsi="Calibri"/>
          <w:sz w:val="22"/>
        </w:rPr>
        <w:t>106A</w:t>
      </w:r>
      <w:r>
        <w:rPr>
          <w:rFonts w:ascii="Calibri" w:hAnsi="Calibri"/>
          <w:spacing w:val="-3"/>
          <w:sz w:val="22"/>
        </w:rPr>
        <w:t> </w:t>
      </w:r>
      <w:r>
        <w:rPr>
          <w:rFonts w:ascii="Calibri" w:hAnsi="Calibri"/>
          <w:sz w:val="22"/>
        </w:rPr>
        <w:t>and</w:t>
      </w:r>
      <w:r>
        <w:rPr>
          <w:rFonts w:ascii="Calibri" w:hAnsi="Calibri"/>
          <w:spacing w:val="-2"/>
          <w:sz w:val="22"/>
        </w:rPr>
        <w:t> 107A(Ch).</w:t>
      </w:r>
    </w:p>
    <w:p>
      <w:pPr>
        <w:pStyle w:val="ListParagraph"/>
        <w:numPr>
          <w:ilvl w:val="0"/>
          <w:numId w:val="46"/>
        </w:numPr>
        <w:tabs>
          <w:tab w:pos="2159" w:val="left" w:leader="none"/>
          <w:tab w:pos="2160" w:val="left" w:leader="none"/>
        </w:tabs>
        <w:spacing w:line="259" w:lineRule="auto" w:before="21" w:after="0"/>
        <w:ind w:left="2160" w:right="1646" w:hanging="360"/>
        <w:jc w:val="left"/>
        <w:rPr>
          <w:rFonts w:ascii="Symbol" w:hAnsi="Symbol"/>
          <w:sz w:val="22"/>
        </w:rPr>
      </w:pPr>
      <w:r>
        <w:rPr>
          <w:rFonts w:ascii="Calibri" w:hAnsi="Calibri"/>
          <w:sz w:val="22"/>
        </w:rPr>
        <w:t>A</w:t>
      </w:r>
      <w:r>
        <w:rPr>
          <w:rFonts w:ascii="Calibri" w:hAnsi="Calibri"/>
          <w:spacing w:val="-4"/>
          <w:sz w:val="22"/>
        </w:rPr>
        <w:t> </w:t>
      </w:r>
      <w:r>
        <w:rPr>
          <w:rFonts w:ascii="Calibri" w:hAnsi="Calibri"/>
          <w:sz w:val="22"/>
        </w:rPr>
        <w:t>communications</w:t>
      </w:r>
      <w:r>
        <w:rPr>
          <w:rFonts w:ascii="Calibri" w:hAnsi="Calibri"/>
          <w:spacing w:val="-5"/>
          <w:sz w:val="22"/>
        </w:rPr>
        <w:t> </w:t>
      </w:r>
      <w:r>
        <w:rPr>
          <w:rFonts w:ascii="Calibri" w:hAnsi="Calibri"/>
          <w:sz w:val="22"/>
        </w:rPr>
        <w:t>and</w:t>
      </w:r>
      <w:r>
        <w:rPr>
          <w:rFonts w:ascii="Calibri" w:hAnsi="Calibri"/>
          <w:spacing w:val="-5"/>
          <w:sz w:val="22"/>
        </w:rPr>
        <w:t> </w:t>
      </w:r>
      <w:r>
        <w:rPr>
          <w:rFonts w:ascii="Calibri" w:hAnsi="Calibri"/>
          <w:sz w:val="22"/>
        </w:rPr>
        <w:t>training</w:t>
      </w:r>
      <w:r>
        <w:rPr>
          <w:rFonts w:ascii="Calibri" w:hAnsi="Calibri"/>
          <w:spacing w:val="-4"/>
          <w:sz w:val="22"/>
        </w:rPr>
        <w:t> </w:t>
      </w:r>
      <w:r>
        <w:rPr>
          <w:rFonts w:ascii="Calibri" w:hAnsi="Calibri"/>
          <w:sz w:val="22"/>
        </w:rPr>
        <w:t>programme</w:t>
      </w:r>
      <w:r>
        <w:rPr>
          <w:rFonts w:ascii="Calibri" w:hAnsi="Calibri"/>
          <w:spacing w:val="-5"/>
          <w:sz w:val="22"/>
        </w:rPr>
        <w:t> </w:t>
      </w:r>
      <w:r>
        <w:rPr>
          <w:rFonts w:ascii="Calibri" w:hAnsi="Calibri"/>
          <w:sz w:val="22"/>
        </w:rPr>
        <w:t>for</w:t>
      </w:r>
      <w:r>
        <w:rPr>
          <w:rFonts w:ascii="Calibri" w:hAnsi="Calibri"/>
          <w:spacing w:val="-5"/>
          <w:sz w:val="22"/>
        </w:rPr>
        <w:t> </w:t>
      </w:r>
      <w:r>
        <w:rPr>
          <w:rFonts w:ascii="Calibri" w:hAnsi="Calibri"/>
          <w:sz w:val="22"/>
        </w:rPr>
        <w:t>recruitment</w:t>
      </w:r>
      <w:r>
        <w:rPr>
          <w:rFonts w:ascii="Calibri" w:hAnsi="Calibri"/>
          <w:spacing w:val="-5"/>
          <w:sz w:val="22"/>
        </w:rPr>
        <w:t> </w:t>
      </w:r>
      <w:r>
        <w:rPr>
          <w:rFonts w:ascii="Calibri" w:hAnsi="Calibri"/>
          <w:sz w:val="22"/>
        </w:rPr>
        <w:t>managers</w:t>
      </w:r>
      <w:r>
        <w:rPr>
          <w:rFonts w:ascii="Calibri" w:hAnsi="Calibri"/>
          <w:spacing w:val="-4"/>
          <w:sz w:val="22"/>
        </w:rPr>
        <w:t> </w:t>
      </w:r>
      <w:r>
        <w:rPr>
          <w:rFonts w:ascii="Calibri" w:hAnsi="Calibri"/>
          <w:sz w:val="22"/>
        </w:rPr>
        <w:t>regarding</w:t>
      </w:r>
      <w:r>
        <w:rPr>
          <w:rFonts w:ascii="Calibri" w:hAnsi="Calibri"/>
          <w:spacing w:val="-5"/>
          <w:sz w:val="22"/>
        </w:rPr>
        <w:t> </w:t>
      </w:r>
      <w:r>
        <w:rPr>
          <w:rFonts w:ascii="Calibri" w:hAnsi="Calibri"/>
          <w:sz w:val="22"/>
        </w:rPr>
        <w:t>Standards 106, 106A, 107, 107A.</w:t>
      </w:r>
    </w:p>
    <w:p>
      <w:pPr>
        <w:pStyle w:val="ListParagraph"/>
        <w:numPr>
          <w:ilvl w:val="0"/>
          <w:numId w:val="46"/>
        </w:numPr>
        <w:tabs>
          <w:tab w:pos="2159" w:val="left" w:leader="none"/>
          <w:tab w:pos="2160" w:val="left" w:leader="none"/>
        </w:tabs>
        <w:spacing w:line="259" w:lineRule="auto" w:before="0" w:after="0"/>
        <w:ind w:left="2160" w:right="1458" w:hanging="360"/>
        <w:jc w:val="left"/>
        <w:rPr>
          <w:rFonts w:ascii="Symbol" w:hAnsi="Symbol"/>
          <w:sz w:val="22"/>
        </w:rPr>
      </w:pPr>
      <w:r>
        <w:rPr>
          <w:rFonts w:ascii="Calibri" w:hAnsi="Calibri"/>
          <w:sz w:val="22"/>
        </w:rPr>
        <w:t>Procurement</w:t>
      </w:r>
      <w:r>
        <w:rPr>
          <w:rFonts w:ascii="Calibri" w:hAnsi="Calibri"/>
          <w:spacing w:val="-3"/>
          <w:sz w:val="22"/>
        </w:rPr>
        <w:t> </w:t>
      </w:r>
      <w:r>
        <w:rPr>
          <w:rFonts w:ascii="Calibri" w:hAnsi="Calibri"/>
          <w:sz w:val="22"/>
        </w:rPr>
        <w:t>of</w:t>
      </w:r>
      <w:r>
        <w:rPr>
          <w:rFonts w:ascii="Calibri" w:hAnsi="Calibri"/>
          <w:spacing w:val="-4"/>
          <w:sz w:val="22"/>
        </w:rPr>
        <w:t> </w:t>
      </w:r>
      <w:r>
        <w:rPr>
          <w:rFonts w:ascii="Calibri" w:hAnsi="Calibri"/>
          <w:sz w:val="22"/>
        </w:rPr>
        <w:t>a</w:t>
      </w:r>
      <w:r>
        <w:rPr>
          <w:rFonts w:ascii="Calibri" w:hAnsi="Calibri"/>
          <w:spacing w:val="-4"/>
          <w:sz w:val="22"/>
        </w:rPr>
        <w:t> </w:t>
      </w:r>
      <w:r>
        <w:rPr>
          <w:rFonts w:ascii="Calibri" w:hAnsi="Calibri"/>
          <w:sz w:val="22"/>
        </w:rPr>
        <w:t>system</w:t>
      </w:r>
      <w:r>
        <w:rPr>
          <w:rFonts w:ascii="Calibri" w:hAnsi="Calibri"/>
          <w:spacing w:val="-3"/>
          <w:sz w:val="22"/>
        </w:rPr>
        <w:t> </w:t>
      </w:r>
      <w:r>
        <w:rPr>
          <w:rFonts w:ascii="Calibri" w:hAnsi="Calibri"/>
          <w:sz w:val="22"/>
        </w:rPr>
        <w:t>that</w:t>
      </w:r>
      <w:r>
        <w:rPr>
          <w:rFonts w:ascii="Calibri" w:hAnsi="Calibri"/>
          <w:spacing w:val="-4"/>
          <w:sz w:val="22"/>
        </w:rPr>
        <w:t> </w:t>
      </w:r>
      <w:r>
        <w:rPr>
          <w:rFonts w:ascii="Calibri" w:hAnsi="Calibri"/>
          <w:sz w:val="22"/>
        </w:rPr>
        <w:t>will</w:t>
      </w:r>
      <w:r>
        <w:rPr>
          <w:rFonts w:ascii="Calibri" w:hAnsi="Calibri"/>
          <w:spacing w:val="-3"/>
          <w:sz w:val="22"/>
        </w:rPr>
        <w:t> </w:t>
      </w:r>
      <w:r>
        <w:rPr>
          <w:rFonts w:ascii="Calibri" w:hAnsi="Calibri"/>
          <w:sz w:val="22"/>
        </w:rPr>
        <w:t>support</w:t>
      </w:r>
      <w:r>
        <w:rPr>
          <w:rFonts w:ascii="Calibri" w:hAnsi="Calibri"/>
          <w:spacing w:val="-3"/>
          <w:sz w:val="22"/>
        </w:rPr>
        <w:t> </w:t>
      </w:r>
      <w:r>
        <w:rPr>
          <w:rFonts w:ascii="Calibri" w:hAnsi="Calibri"/>
          <w:sz w:val="22"/>
        </w:rPr>
        <w:t>Student</w:t>
      </w:r>
      <w:r>
        <w:rPr>
          <w:rFonts w:ascii="Calibri" w:hAnsi="Calibri"/>
          <w:spacing w:val="-3"/>
          <w:sz w:val="22"/>
        </w:rPr>
        <w:t> </w:t>
      </w:r>
      <w:r>
        <w:rPr>
          <w:rFonts w:ascii="Calibri" w:hAnsi="Calibri"/>
          <w:sz w:val="22"/>
        </w:rPr>
        <w:t>Streamlining</w:t>
      </w:r>
      <w:r>
        <w:rPr>
          <w:rFonts w:ascii="Calibri" w:hAnsi="Calibri"/>
          <w:spacing w:val="-4"/>
          <w:sz w:val="22"/>
        </w:rPr>
        <w:t> </w:t>
      </w:r>
      <w:r>
        <w:rPr>
          <w:rFonts w:ascii="Calibri" w:hAnsi="Calibri"/>
          <w:sz w:val="22"/>
        </w:rPr>
        <w:t>and</w:t>
      </w:r>
      <w:r>
        <w:rPr>
          <w:rFonts w:ascii="Calibri" w:hAnsi="Calibri"/>
          <w:spacing w:val="-3"/>
          <w:sz w:val="22"/>
        </w:rPr>
        <w:t> </w:t>
      </w:r>
      <w:r>
        <w:rPr>
          <w:rFonts w:ascii="Calibri" w:hAnsi="Calibri"/>
          <w:sz w:val="22"/>
        </w:rPr>
        <w:t>Student</w:t>
      </w:r>
      <w:r>
        <w:rPr>
          <w:rFonts w:ascii="Calibri" w:hAnsi="Calibri"/>
          <w:spacing w:val="-4"/>
          <w:sz w:val="22"/>
        </w:rPr>
        <w:t> </w:t>
      </w:r>
      <w:r>
        <w:rPr>
          <w:rFonts w:ascii="Calibri" w:hAnsi="Calibri"/>
          <w:sz w:val="22"/>
        </w:rPr>
        <w:t>Awards</w:t>
      </w:r>
      <w:r>
        <w:rPr>
          <w:rFonts w:ascii="Calibri" w:hAnsi="Calibri"/>
          <w:spacing w:val="-4"/>
          <w:sz w:val="22"/>
        </w:rPr>
        <w:t> </w:t>
      </w:r>
      <w:r>
        <w:rPr>
          <w:rFonts w:ascii="Calibri" w:hAnsi="Calibri"/>
          <w:sz w:val="22"/>
        </w:rPr>
        <w:t>to</w:t>
      </w:r>
      <w:r>
        <w:rPr>
          <w:rFonts w:ascii="Calibri" w:hAnsi="Calibri"/>
          <w:spacing w:val="-3"/>
          <w:sz w:val="22"/>
        </w:rPr>
        <w:t> </w:t>
      </w:r>
      <w:r>
        <w:rPr>
          <w:rFonts w:ascii="Calibri" w:hAnsi="Calibri"/>
          <w:sz w:val="22"/>
        </w:rPr>
        <w:t>offer a fully bilingual service to customers.</w:t>
      </w:r>
    </w:p>
    <w:p>
      <w:pPr>
        <w:pStyle w:val="ListParagraph"/>
        <w:numPr>
          <w:ilvl w:val="0"/>
          <w:numId w:val="46"/>
        </w:numPr>
        <w:tabs>
          <w:tab w:pos="2159" w:val="left" w:leader="none"/>
          <w:tab w:pos="2160" w:val="left" w:leader="none"/>
        </w:tabs>
        <w:spacing w:line="259" w:lineRule="auto" w:before="0" w:after="0"/>
        <w:ind w:left="2160" w:right="1605" w:hanging="360"/>
        <w:jc w:val="left"/>
        <w:rPr>
          <w:rFonts w:ascii="Symbol" w:hAnsi="Symbol"/>
          <w:sz w:val="22"/>
        </w:rPr>
      </w:pPr>
      <w:r>
        <w:rPr>
          <w:rFonts w:ascii="Calibri" w:hAnsi="Calibri"/>
          <w:sz w:val="22"/>
        </w:rPr>
        <w:t>A</w:t>
      </w:r>
      <w:r>
        <w:rPr>
          <w:rFonts w:ascii="Calibri" w:hAnsi="Calibri"/>
          <w:spacing w:val="-2"/>
          <w:sz w:val="22"/>
        </w:rPr>
        <w:t> </w:t>
      </w:r>
      <w:r>
        <w:rPr>
          <w:rFonts w:ascii="Calibri" w:hAnsi="Calibri"/>
          <w:sz w:val="22"/>
        </w:rPr>
        <w:t>review</w:t>
      </w:r>
      <w:r>
        <w:rPr>
          <w:rFonts w:ascii="Calibri" w:hAnsi="Calibri"/>
          <w:spacing w:val="-2"/>
          <w:sz w:val="22"/>
        </w:rPr>
        <w:t> </w:t>
      </w:r>
      <w:r>
        <w:rPr>
          <w:rFonts w:ascii="Calibri" w:hAnsi="Calibri"/>
          <w:sz w:val="22"/>
        </w:rPr>
        <w:t>of</w:t>
      </w:r>
      <w:r>
        <w:rPr>
          <w:rFonts w:ascii="Calibri" w:hAnsi="Calibri"/>
          <w:spacing w:val="-2"/>
          <w:sz w:val="22"/>
        </w:rPr>
        <w:t> </w:t>
      </w:r>
      <w:r>
        <w:rPr>
          <w:rFonts w:ascii="Calibri" w:hAnsi="Calibri"/>
          <w:sz w:val="22"/>
        </w:rPr>
        <w:t>our</w:t>
      </w:r>
      <w:r>
        <w:rPr>
          <w:rFonts w:ascii="Calibri" w:hAnsi="Calibri"/>
          <w:spacing w:val="-3"/>
          <w:sz w:val="22"/>
        </w:rPr>
        <w:t> </w:t>
      </w:r>
      <w:r>
        <w:rPr>
          <w:rFonts w:ascii="Calibri" w:hAnsi="Calibri"/>
          <w:sz w:val="22"/>
        </w:rPr>
        <w:t>Contact</w:t>
      </w:r>
      <w:r>
        <w:rPr>
          <w:rFonts w:ascii="Calibri" w:hAnsi="Calibri"/>
          <w:spacing w:val="-3"/>
          <w:sz w:val="22"/>
        </w:rPr>
        <w:t> </w:t>
      </w:r>
      <w:r>
        <w:rPr>
          <w:rFonts w:ascii="Calibri" w:hAnsi="Calibri"/>
          <w:sz w:val="22"/>
        </w:rPr>
        <w:t>Centres</w:t>
      </w:r>
      <w:r>
        <w:rPr>
          <w:rFonts w:ascii="Calibri" w:hAnsi="Calibri"/>
          <w:spacing w:val="-3"/>
          <w:sz w:val="22"/>
        </w:rPr>
        <w:t> </w:t>
      </w:r>
      <w:r>
        <w:rPr>
          <w:rFonts w:ascii="Calibri" w:hAnsi="Calibri"/>
          <w:sz w:val="22"/>
        </w:rPr>
        <w:t>and</w:t>
      </w:r>
      <w:r>
        <w:rPr>
          <w:rFonts w:ascii="Calibri" w:hAnsi="Calibri"/>
          <w:spacing w:val="-3"/>
          <w:sz w:val="22"/>
        </w:rPr>
        <w:t> </w:t>
      </w:r>
      <w:r>
        <w:rPr>
          <w:rFonts w:ascii="Calibri" w:hAnsi="Calibri"/>
          <w:sz w:val="22"/>
        </w:rPr>
        <w:t>how</w:t>
      </w:r>
      <w:r>
        <w:rPr>
          <w:rFonts w:ascii="Calibri" w:hAnsi="Calibri"/>
          <w:spacing w:val="-3"/>
          <w:sz w:val="22"/>
        </w:rPr>
        <w:t> </w:t>
      </w:r>
      <w:r>
        <w:rPr>
          <w:rFonts w:ascii="Calibri" w:hAnsi="Calibri"/>
          <w:sz w:val="22"/>
        </w:rPr>
        <w:t>we</w:t>
      </w:r>
      <w:r>
        <w:rPr>
          <w:rFonts w:ascii="Calibri" w:hAnsi="Calibri"/>
          <w:spacing w:val="-3"/>
          <w:sz w:val="22"/>
        </w:rPr>
        <w:t> </w:t>
      </w:r>
      <w:r>
        <w:rPr>
          <w:rFonts w:ascii="Calibri" w:hAnsi="Calibri"/>
          <w:sz w:val="22"/>
        </w:rPr>
        <w:t>respond</w:t>
      </w:r>
      <w:r>
        <w:rPr>
          <w:rFonts w:ascii="Calibri" w:hAnsi="Calibri"/>
          <w:spacing w:val="-3"/>
          <w:sz w:val="22"/>
        </w:rPr>
        <w:t> </w:t>
      </w:r>
      <w:r>
        <w:rPr>
          <w:rFonts w:ascii="Calibri" w:hAnsi="Calibri"/>
          <w:sz w:val="22"/>
        </w:rPr>
        <w:t>to</w:t>
      </w:r>
      <w:r>
        <w:rPr>
          <w:rFonts w:ascii="Calibri" w:hAnsi="Calibri"/>
          <w:spacing w:val="-2"/>
          <w:sz w:val="22"/>
        </w:rPr>
        <w:t> </w:t>
      </w:r>
      <w:r>
        <w:rPr>
          <w:rFonts w:ascii="Calibri" w:hAnsi="Calibri"/>
          <w:sz w:val="22"/>
        </w:rPr>
        <w:t>customers</w:t>
      </w:r>
      <w:r>
        <w:rPr>
          <w:rFonts w:ascii="Calibri" w:hAnsi="Calibri"/>
          <w:spacing w:val="-2"/>
          <w:sz w:val="22"/>
        </w:rPr>
        <w:t> </w:t>
      </w:r>
      <w:r>
        <w:rPr>
          <w:rFonts w:ascii="Calibri" w:hAnsi="Calibri"/>
          <w:sz w:val="22"/>
        </w:rPr>
        <w:t>through</w:t>
      </w:r>
      <w:r>
        <w:rPr>
          <w:rFonts w:ascii="Calibri" w:hAnsi="Calibri"/>
          <w:spacing w:val="-2"/>
          <w:sz w:val="22"/>
        </w:rPr>
        <w:t> </w:t>
      </w:r>
      <w:r>
        <w:rPr>
          <w:rFonts w:ascii="Calibri" w:hAnsi="Calibri"/>
          <w:sz w:val="22"/>
        </w:rPr>
        <w:t>the</w:t>
      </w:r>
      <w:r>
        <w:rPr>
          <w:rFonts w:ascii="Calibri" w:hAnsi="Calibri"/>
          <w:spacing w:val="-3"/>
          <w:sz w:val="22"/>
        </w:rPr>
        <w:t> </w:t>
      </w:r>
      <w:r>
        <w:rPr>
          <w:rFonts w:ascii="Calibri" w:hAnsi="Calibri"/>
          <w:sz w:val="22"/>
        </w:rPr>
        <w:t>medium</w:t>
      </w:r>
      <w:r>
        <w:rPr>
          <w:rFonts w:ascii="Calibri" w:hAnsi="Calibri"/>
          <w:spacing w:val="-3"/>
          <w:sz w:val="22"/>
        </w:rPr>
        <w:t> </w:t>
      </w:r>
      <w:r>
        <w:rPr>
          <w:rFonts w:ascii="Calibri" w:hAnsi="Calibri"/>
          <w:sz w:val="22"/>
        </w:rPr>
        <w:t>of Welsh, with a view to increase capacity and resource to deliver more robust bilingual </w:t>
      </w:r>
      <w:r>
        <w:rPr>
          <w:rFonts w:ascii="Calibri" w:hAnsi="Calibri"/>
          <w:spacing w:val="-2"/>
          <w:sz w:val="22"/>
        </w:rPr>
        <w:t>services.</w:t>
      </w:r>
    </w:p>
    <w:p>
      <w:pPr>
        <w:pStyle w:val="ListParagraph"/>
        <w:numPr>
          <w:ilvl w:val="0"/>
          <w:numId w:val="46"/>
        </w:numPr>
        <w:tabs>
          <w:tab w:pos="2159" w:val="left" w:leader="none"/>
          <w:tab w:pos="2160" w:val="left" w:leader="none"/>
        </w:tabs>
        <w:spacing w:line="280" w:lineRule="exact" w:before="0" w:after="0"/>
        <w:ind w:left="2159" w:right="0" w:hanging="360"/>
        <w:jc w:val="left"/>
        <w:rPr>
          <w:rFonts w:ascii="Symbol" w:hAnsi="Symbol"/>
          <w:sz w:val="22"/>
        </w:rPr>
      </w:pPr>
      <w:r>
        <w:rPr>
          <w:rFonts w:ascii="Calibri" w:hAnsi="Calibri"/>
          <w:sz w:val="22"/>
        </w:rPr>
        <w:t>Continue</w:t>
      </w:r>
      <w:r>
        <w:rPr>
          <w:rFonts w:ascii="Calibri" w:hAnsi="Calibri"/>
          <w:spacing w:val="-7"/>
          <w:sz w:val="22"/>
        </w:rPr>
        <w:t> </w:t>
      </w:r>
      <w:r>
        <w:rPr>
          <w:rFonts w:ascii="Calibri" w:hAnsi="Calibri"/>
          <w:sz w:val="22"/>
        </w:rPr>
        <w:t>to</w:t>
      </w:r>
      <w:r>
        <w:rPr>
          <w:rFonts w:ascii="Calibri" w:hAnsi="Calibri"/>
          <w:spacing w:val="-4"/>
          <w:sz w:val="22"/>
        </w:rPr>
        <w:t> </w:t>
      </w:r>
      <w:r>
        <w:rPr>
          <w:rFonts w:ascii="Calibri" w:hAnsi="Calibri"/>
          <w:sz w:val="22"/>
        </w:rPr>
        <w:t>support</w:t>
      </w:r>
      <w:r>
        <w:rPr>
          <w:rFonts w:ascii="Calibri" w:hAnsi="Calibri"/>
          <w:spacing w:val="-4"/>
          <w:sz w:val="22"/>
        </w:rPr>
        <w:t> </w:t>
      </w:r>
      <w:r>
        <w:rPr>
          <w:rFonts w:ascii="Calibri" w:hAnsi="Calibri"/>
          <w:sz w:val="22"/>
        </w:rPr>
        <w:t>NHS</w:t>
      </w:r>
      <w:r>
        <w:rPr>
          <w:rFonts w:ascii="Calibri" w:hAnsi="Calibri"/>
          <w:spacing w:val="-4"/>
          <w:sz w:val="22"/>
        </w:rPr>
        <w:t> </w:t>
      </w:r>
      <w:r>
        <w:rPr>
          <w:rFonts w:ascii="Calibri" w:hAnsi="Calibri"/>
          <w:sz w:val="22"/>
        </w:rPr>
        <w:t>Organisations</w:t>
      </w:r>
      <w:r>
        <w:rPr>
          <w:rFonts w:ascii="Calibri" w:hAnsi="Calibri"/>
          <w:spacing w:val="-4"/>
          <w:sz w:val="22"/>
        </w:rPr>
        <w:t> </w:t>
      </w:r>
      <w:r>
        <w:rPr>
          <w:rFonts w:ascii="Calibri" w:hAnsi="Calibri"/>
          <w:sz w:val="22"/>
        </w:rPr>
        <w:t>with</w:t>
      </w:r>
      <w:r>
        <w:rPr>
          <w:rFonts w:ascii="Calibri" w:hAnsi="Calibri"/>
          <w:spacing w:val="-4"/>
          <w:sz w:val="22"/>
        </w:rPr>
        <w:t> </w:t>
      </w:r>
      <w:r>
        <w:rPr>
          <w:rFonts w:ascii="Calibri" w:hAnsi="Calibri"/>
          <w:sz w:val="22"/>
        </w:rPr>
        <w:t>translation</w:t>
      </w:r>
      <w:r>
        <w:rPr>
          <w:rFonts w:ascii="Calibri" w:hAnsi="Calibri"/>
          <w:spacing w:val="-4"/>
          <w:sz w:val="22"/>
        </w:rPr>
        <w:t> </w:t>
      </w:r>
      <w:r>
        <w:rPr>
          <w:rFonts w:ascii="Calibri" w:hAnsi="Calibri"/>
          <w:spacing w:val="-2"/>
          <w:sz w:val="22"/>
        </w:rPr>
        <w:t>services.</w:t>
      </w:r>
    </w:p>
    <w:p>
      <w:pPr>
        <w:pStyle w:val="ListParagraph"/>
        <w:numPr>
          <w:ilvl w:val="0"/>
          <w:numId w:val="46"/>
        </w:numPr>
        <w:tabs>
          <w:tab w:pos="2159" w:val="left" w:leader="none"/>
          <w:tab w:pos="2160" w:val="left" w:leader="none"/>
        </w:tabs>
        <w:spacing w:line="240" w:lineRule="auto" w:before="20" w:after="0"/>
        <w:ind w:left="2159" w:right="0" w:hanging="360"/>
        <w:jc w:val="left"/>
        <w:rPr>
          <w:rFonts w:ascii="Symbol" w:hAnsi="Symbol"/>
          <w:sz w:val="22"/>
        </w:rPr>
      </w:pPr>
      <w:r>
        <w:rPr>
          <w:rFonts w:ascii="Calibri" w:hAnsi="Calibri"/>
          <w:sz w:val="22"/>
        </w:rPr>
        <w:t>Recruitment</w:t>
      </w:r>
      <w:r>
        <w:rPr>
          <w:rFonts w:ascii="Calibri" w:hAnsi="Calibri"/>
          <w:spacing w:val="-7"/>
          <w:sz w:val="22"/>
        </w:rPr>
        <w:t> </w:t>
      </w:r>
      <w:r>
        <w:rPr>
          <w:rFonts w:ascii="Calibri" w:hAnsi="Calibri"/>
          <w:sz w:val="22"/>
        </w:rPr>
        <w:t>Identification</w:t>
      </w:r>
      <w:r>
        <w:rPr>
          <w:rFonts w:ascii="Calibri" w:hAnsi="Calibri"/>
          <w:spacing w:val="-3"/>
          <w:sz w:val="22"/>
        </w:rPr>
        <w:t> </w:t>
      </w:r>
      <w:r>
        <w:rPr>
          <w:rFonts w:ascii="Calibri" w:hAnsi="Calibri"/>
          <w:sz w:val="22"/>
        </w:rPr>
        <w:t>System</w:t>
      </w:r>
      <w:r>
        <w:rPr>
          <w:rFonts w:ascii="Calibri" w:hAnsi="Calibri"/>
          <w:spacing w:val="-4"/>
          <w:sz w:val="22"/>
        </w:rPr>
        <w:t> </w:t>
      </w:r>
      <w:r>
        <w:rPr>
          <w:rFonts w:ascii="Calibri" w:hAnsi="Calibri"/>
          <w:sz w:val="22"/>
        </w:rPr>
        <w:t>that</w:t>
      </w:r>
      <w:r>
        <w:rPr>
          <w:rFonts w:ascii="Calibri" w:hAnsi="Calibri"/>
          <w:spacing w:val="-4"/>
          <w:sz w:val="22"/>
        </w:rPr>
        <w:t> </w:t>
      </w:r>
      <w:r>
        <w:rPr>
          <w:rFonts w:ascii="Calibri" w:hAnsi="Calibri"/>
          <w:sz w:val="22"/>
        </w:rPr>
        <w:t>will</w:t>
      </w:r>
      <w:r>
        <w:rPr>
          <w:rFonts w:ascii="Calibri" w:hAnsi="Calibri"/>
          <w:spacing w:val="-4"/>
          <w:sz w:val="22"/>
        </w:rPr>
        <w:t> </w:t>
      </w:r>
      <w:r>
        <w:rPr>
          <w:rFonts w:ascii="Calibri" w:hAnsi="Calibri"/>
          <w:sz w:val="22"/>
        </w:rPr>
        <w:t>function</w:t>
      </w:r>
      <w:r>
        <w:rPr>
          <w:rFonts w:ascii="Calibri" w:hAnsi="Calibri"/>
          <w:spacing w:val="-4"/>
          <w:sz w:val="22"/>
        </w:rPr>
        <w:t> </w:t>
      </w:r>
      <w:r>
        <w:rPr>
          <w:rFonts w:ascii="Calibri" w:hAnsi="Calibri"/>
          <w:spacing w:val="-2"/>
          <w:sz w:val="22"/>
        </w:rPr>
        <w:t>bilingually.</w:t>
      </w:r>
    </w:p>
    <w:p>
      <w:pPr>
        <w:pStyle w:val="ListParagraph"/>
        <w:numPr>
          <w:ilvl w:val="0"/>
          <w:numId w:val="46"/>
        </w:numPr>
        <w:tabs>
          <w:tab w:pos="2159" w:val="left" w:leader="none"/>
          <w:tab w:pos="2160" w:val="left" w:leader="none"/>
        </w:tabs>
        <w:spacing w:line="240" w:lineRule="auto" w:before="22" w:after="0"/>
        <w:ind w:left="2159" w:right="0" w:hanging="360"/>
        <w:jc w:val="left"/>
        <w:rPr>
          <w:rFonts w:ascii="Symbol" w:hAnsi="Symbol"/>
          <w:sz w:val="22"/>
        </w:rPr>
      </w:pPr>
      <w:r>
        <w:rPr>
          <w:rFonts w:ascii="Calibri" w:hAnsi="Calibri"/>
          <w:sz w:val="22"/>
        </w:rPr>
        <w:t>Occupational</w:t>
      </w:r>
      <w:r>
        <w:rPr>
          <w:rFonts w:ascii="Calibri" w:hAnsi="Calibri"/>
          <w:spacing w:val="-6"/>
          <w:sz w:val="22"/>
        </w:rPr>
        <w:t> </w:t>
      </w:r>
      <w:r>
        <w:rPr>
          <w:rFonts w:ascii="Calibri" w:hAnsi="Calibri"/>
          <w:sz w:val="22"/>
        </w:rPr>
        <w:t>Health</w:t>
      </w:r>
      <w:r>
        <w:rPr>
          <w:rFonts w:ascii="Calibri" w:hAnsi="Calibri"/>
          <w:spacing w:val="-4"/>
          <w:sz w:val="22"/>
        </w:rPr>
        <w:t> </w:t>
      </w:r>
      <w:r>
        <w:rPr>
          <w:rFonts w:ascii="Calibri" w:hAnsi="Calibri"/>
          <w:sz w:val="22"/>
        </w:rPr>
        <w:t>System</w:t>
      </w:r>
      <w:r>
        <w:rPr>
          <w:rFonts w:ascii="Calibri" w:hAnsi="Calibri"/>
          <w:spacing w:val="-4"/>
          <w:sz w:val="22"/>
        </w:rPr>
        <w:t> </w:t>
      </w:r>
      <w:r>
        <w:rPr>
          <w:rFonts w:ascii="Calibri" w:hAnsi="Calibri"/>
          <w:sz w:val="22"/>
        </w:rPr>
        <w:t>that</w:t>
      </w:r>
      <w:r>
        <w:rPr>
          <w:rFonts w:ascii="Calibri" w:hAnsi="Calibri"/>
          <w:spacing w:val="-3"/>
          <w:sz w:val="22"/>
        </w:rPr>
        <w:t> </w:t>
      </w:r>
      <w:r>
        <w:rPr>
          <w:rFonts w:ascii="Calibri" w:hAnsi="Calibri"/>
          <w:sz w:val="22"/>
        </w:rPr>
        <w:t>will</w:t>
      </w:r>
      <w:r>
        <w:rPr>
          <w:rFonts w:ascii="Calibri" w:hAnsi="Calibri"/>
          <w:spacing w:val="-4"/>
          <w:sz w:val="22"/>
        </w:rPr>
        <w:t> </w:t>
      </w:r>
      <w:r>
        <w:rPr>
          <w:rFonts w:ascii="Calibri" w:hAnsi="Calibri"/>
          <w:sz w:val="22"/>
        </w:rPr>
        <w:t>operate</w:t>
      </w:r>
      <w:r>
        <w:rPr>
          <w:rFonts w:ascii="Calibri" w:hAnsi="Calibri"/>
          <w:spacing w:val="-4"/>
          <w:sz w:val="22"/>
        </w:rPr>
        <w:t> </w:t>
      </w:r>
      <w:r>
        <w:rPr>
          <w:rFonts w:ascii="Calibri" w:hAnsi="Calibri"/>
          <w:sz w:val="22"/>
        </w:rPr>
        <w:t>with</w:t>
      </w:r>
      <w:r>
        <w:rPr>
          <w:rFonts w:ascii="Calibri" w:hAnsi="Calibri"/>
          <w:spacing w:val="-4"/>
          <w:sz w:val="22"/>
        </w:rPr>
        <w:t> </w:t>
      </w:r>
      <w:r>
        <w:rPr>
          <w:rFonts w:ascii="Calibri" w:hAnsi="Calibri"/>
          <w:sz w:val="22"/>
        </w:rPr>
        <w:t>bilingual</w:t>
      </w:r>
      <w:r>
        <w:rPr>
          <w:rFonts w:ascii="Calibri" w:hAnsi="Calibri"/>
          <w:spacing w:val="-3"/>
          <w:sz w:val="22"/>
        </w:rPr>
        <w:t> </w:t>
      </w:r>
      <w:r>
        <w:rPr>
          <w:rFonts w:ascii="Calibri" w:hAnsi="Calibri"/>
          <w:spacing w:val="-2"/>
          <w:sz w:val="22"/>
        </w:rPr>
        <w:t>functions</w:t>
      </w:r>
    </w:p>
    <w:p>
      <w:pPr>
        <w:pStyle w:val="ListParagraph"/>
        <w:numPr>
          <w:ilvl w:val="0"/>
          <w:numId w:val="46"/>
        </w:numPr>
        <w:tabs>
          <w:tab w:pos="2159" w:val="left" w:leader="none"/>
          <w:tab w:pos="2160" w:val="left" w:leader="none"/>
        </w:tabs>
        <w:spacing w:line="259" w:lineRule="auto" w:before="21" w:after="0"/>
        <w:ind w:left="2160" w:right="1573" w:hanging="360"/>
        <w:jc w:val="left"/>
        <w:rPr>
          <w:rFonts w:ascii="Symbol" w:hAnsi="Symbol"/>
          <w:sz w:val="22"/>
        </w:rPr>
      </w:pPr>
      <w:r>
        <w:rPr>
          <w:rFonts w:ascii="Calibri" w:hAnsi="Calibri"/>
          <w:sz w:val="22"/>
        </w:rPr>
        <w:t>Translation</w:t>
      </w:r>
      <w:r>
        <w:rPr>
          <w:rFonts w:ascii="Calibri" w:hAnsi="Calibri"/>
          <w:spacing w:val="-2"/>
          <w:sz w:val="22"/>
        </w:rPr>
        <w:t> </w:t>
      </w:r>
      <w:r>
        <w:rPr>
          <w:rFonts w:ascii="Calibri" w:hAnsi="Calibri"/>
          <w:sz w:val="22"/>
        </w:rPr>
        <w:t>of</w:t>
      </w:r>
      <w:r>
        <w:rPr>
          <w:rFonts w:ascii="Calibri" w:hAnsi="Calibri"/>
          <w:spacing w:val="-3"/>
          <w:sz w:val="22"/>
        </w:rPr>
        <w:t> </w:t>
      </w:r>
      <w:r>
        <w:rPr>
          <w:rFonts w:ascii="Calibri" w:hAnsi="Calibri"/>
          <w:sz w:val="22"/>
        </w:rPr>
        <w:t>easy</w:t>
      </w:r>
      <w:r>
        <w:rPr>
          <w:rFonts w:ascii="Calibri" w:hAnsi="Calibri"/>
          <w:spacing w:val="-2"/>
          <w:sz w:val="22"/>
        </w:rPr>
        <w:t> </w:t>
      </w:r>
      <w:r>
        <w:rPr>
          <w:rFonts w:ascii="Calibri" w:hAnsi="Calibri"/>
          <w:sz w:val="22"/>
        </w:rPr>
        <w:t>read</w:t>
      </w:r>
      <w:r>
        <w:rPr>
          <w:rFonts w:ascii="Calibri" w:hAnsi="Calibri"/>
          <w:spacing w:val="-2"/>
          <w:sz w:val="22"/>
        </w:rPr>
        <w:t> </w:t>
      </w:r>
      <w:r>
        <w:rPr>
          <w:rFonts w:ascii="Calibri" w:hAnsi="Calibri"/>
          <w:sz w:val="22"/>
        </w:rPr>
        <w:t>patient</w:t>
      </w:r>
      <w:r>
        <w:rPr>
          <w:rFonts w:ascii="Calibri" w:hAnsi="Calibri"/>
          <w:spacing w:val="-3"/>
          <w:sz w:val="22"/>
        </w:rPr>
        <w:t> </w:t>
      </w:r>
      <w:r>
        <w:rPr>
          <w:rFonts w:ascii="Calibri" w:hAnsi="Calibri"/>
          <w:sz w:val="22"/>
        </w:rPr>
        <w:t>information</w:t>
      </w:r>
      <w:r>
        <w:rPr>
          <w:rFonts w:ascii="Calibri" w:hAnsi="Calibri"/>
          <w:spacing w:val="-3"/>
          <w:sz w:val="22"/>
        </w:rPr>
        <w:t> </w:t>
      </w:r>
      <w:r>
        <w:rPr>
          <w:rFonts w:ascii="Calibri" w:hAnsi="Calibri"/>
          <w:sz w:val="22"/>
        </w:rPr>
        <w:t>leaflets</w:t>
      </w:r>
      <w:r>
        <w:rPr>
          <w:rFonts w:ascii="Calibri" w:hAnsi="Calibri"/>
          <w:spacing w:val="-2"/>
          <w:sz w:val="22"/>
        </w:rPr>
        <w:t> </w:t>
      </w:r>
      <w:r>
        <w:rPr>
          <w:rFonts w:ascii="Calibri" w:hAnsi="Calibri"/>
          <w:sz w:val="22"/>
        </w:rPr>
        <w:t>for</w:t>
      </w:r>
      <w:r>
        <w:rPr>
          <w:rFonts w:ascii="Calibri" w:hAnsi="Calibri"/>
          <w:spacing w:val="-3"/>
          <w:sz w:val="22"/>
        </w:rPr>
        <w:t> </w:t>
      </w:r>
      <w:r>
        <w:rPr>
          <w:rFonts w:ascii="Calibri" w:hAnsi="Calibri"/>
          <w:sz w:val="22"/>
        </w:rPr>
        <w:t>Welsh</w:t>
      </w:r>
      <w:r>
        <w:rPr>
          <w:rFonts w:ascii="Calibri" w:hAnsi="Calibri"/>
          <w:spacing w:val="-3"/>
          <w:sz w:val="22"/>
        </w:rPr>
        <w:t> </w:t>
      </w:r>
      <w:r>
        <w:rPr>
          <w:rFonts w:ascii="Calibri" w:hAnsi="Calibri"/>
          <w:sz w:val="22"/>
        </w:rPr>
        <w:t>Risk</w:t>
      </w:r>
      <w:r>
        <w:rPr>
          <w:rFonts w:ascii="Calibri" w:hAnsi="Calibri"/>
          <w:spacing w:val="-3"/>
          <w:sz w:val="22"/>
        </w:rPr>
        <w:t> </w:t>
      </w:r>
      <w:r>
        <w:rPr>
          <w:rFonts w:ascii="Calibri" w:hAnsi="Calibri"/>
          <w:sz w:val="22"/>
        </w:rPr>
        <w:t>Pool,</w:t>
      </w:r>
      <w:r>
        <w:rPr>
          <w:rFonts w:ascii="Calibri" w:hAnsi="Calibri"/>
          <w:spacing w:val="-3"/>
          <w:sz w:val="22"/>
        </w:rPr>
        <w:t> </w:t>
      </w:r>
      <w:r>
        <w:rPr>
          <w:rFonts w:ascii="Calibri" w:hAnsi="Calibri"/>
          <w:sz w:val="22"/>
        </w:rPr>
        <w:t>Health</w:t>
      </w:r>
      <w:r>
        <w:rPr>
          <w:rFonts w:ascii="Calibri" w:hAnsi="Calibri"/>
          <w:spacing w:val="-2"/>
          <w:sz w:val="22"/>
        </w:rPr>
        <w:t> </w:t>
      </w:r>
      <w:r>
        <w:rPr>
          <w:rFonts w:ascii="Calibri" w:hAnsi="Calibri"/>
          <w:sz w:val="22"/>
        </w:rPr>
        <w:t>Boards</w:t>
      </w:r>
      <w:r>
        <w:rPr>
          <w:rFonts w:ascii="Calibri" w:hAnsi="Calibri"/>
          <w:spacing w:val="-3"/>
          <w:sz w:val="22"/>
        </w:rPr>
        <w:t> </w:t>
      </w:r>
      <w:r>
        <w:rPr>
          <w:rFonts w:ascii="Calibri" w:hAnsi="Calibri"/>
          <w:sz w:val="22"/>
        </w:rPr>
        <w:t>and Trust from English to Welsh.</w:t>
      </w:r>
    </w:p>
    <w:p>
      <w:pPr>
        <w:pStyle w:val="ListParagraph"/>
        <w:numPr>
          <w:ilvl w:val="0"/>
          <w:numId w:val="46"/>
        </w:numPr>
        <w:tabs>
          <w:tab w:pos="2159" w:val="left" w:leader="none"/>
          <w:tab w:pos="2160" w:val="left" w:leader="none"/>
        </w:tabs>
        <w:spacing w:line="259" w:lineRule="auto" w:before="0" w:after="0"/>
        <w:ind w:left="2160" w:right="1873" w:hanging="360"/>
        <w:jc w:val="left"/>
        <w:rPr>
          <w:rFonts w:ascii="Symbol" w:hAnsi="Symbol"/>
          <w:sz w:val="22"/>
        </w:rPr>
      </w:pPr>
      <w:r>
        <w:rPr>
          <w:rFonts w:ascii="Calibri" w:hAnsi="Calibri"/>
          <w:sz w:val="22"/>
        </w:rPr>
        <w:t>More</w:t>
      </w:r>
      <w:r>
        <w:rPr>
          <w:rFonts w:ascii="Calibri" w:hAnsi="Calibri"/>
          <w:spacing w:val="-2"/>
          <w:sz w:val="22"/>
        </w:rPr>
        <w:t> </w:t>
      </w:r>
      <w:r>
        <w:rPr>
          <w:rFonts w:ascii="Calibri" w:hAnsi="Calibri"/>
          <w:sz w:val="22"/>
        </w:rPr>
        <w:t>Than</w:t>
      </w:r>
      <w:r>
        <w:rPr>
          <w:rFonts w:ascii="Calibri" w:hAnsi="Calibri"/>
          <w:spacing w:val="-3"/>
          <w:sz w:val="22"/>
        </w:rPr>
        <w:t> </w:t>
      </w:r>
      <w:r>
        <w:rPr>
          <w:rFonts w:ascii="Calibri" w:hAnsi="Calibri"/>
          <w:sz w:val="22"/>
        </w:rPr>
        <w:t>Just</w:t>
      </w:r>
      <w:r>
        <w:rPr>
          <w:rFonts w:ascii="Calibri" w:hAnsi="Calibri"/>
          <w:spacing w:val="-2"/>
          <w:sz w:val="22"/>
        </w:rPr>
        <w:t> </w:t>
      </w:r>
      <w:r>
        <w:rPr>
          <w:rFonts w:ascii="Calibri" w:hAnsi="Calibri"/>
          <w:sz w:val="22"/>
        </w:rPr>
        <w:t>Words</w:t>
      </w:r>
      <w:r>
        <w:rPr>
          <w:rFonts w:ascii="Calibri" w:hAnsi="Calibri"/>
          <w:spacing w:val="-3"/>
          <w:sz w:val="22"/>
        </w:rPr>
        <w:t> </w:t>
      </w:r>
      <w:r>
        <w:rPr>
          <w:rFonts w:ascii="Calibri" w:hAnsi="Calibri"/>
          <w:sz w:val="22"/>
        </w:rPr>
        <w:t>Strategy</w:t>
      </w:r>
      <w:r>
        <w:rPr>
          <w:rFonts w:ascii="Calibri" w:hAnsi="Calibri"/>
          <w:spacing w:val="-2"/>
          <w:sz w:val="22"/>
        </w:rPr>
        <w:t> </w:t>
      </w:r>
      <w:r>
        <w:rPr>
          <w:rFonts w:ascii="Calibri" w:hAnsi="Calibri"/>
          <w:sz w:val="22"/>
        </w:rPr>
        <w:t>2022</w:t>
      </w:r>
      <w:r>
        <w:rPr>
          <w:rFonts w:ascii="Calibri" w:hAnsi="Calibri"/>
          <w:spacing w:val="-2"/>
          <w:sz w:val="22"/>
        </w:rPr>
        <w:t> </w:t>
      </w:r>
      <w:r>
        <w:rPr>
          <w:rFonts w:ascii="Calibri" w:hAnsi="Calibri"/>
          <w:sz w:val="22"/>
        </w:rPr>
        <w:t>–</w:t>
      </w:r>
      <w:r>
        <w:rPr>
          <w:rFonts w:ascii="Calibri" w:hAnsi="Calibri"/>
          <w:spacing w:val="-3"/>
          <w:sz w:val="22"/>
        </w:rPr>
        <w:t> </w:t>
      </w:r>
      <w:r>
        <w:rPr>
          <w:rFonts w:ascii="Calibri" w:hAnsi="Calibri"/>
          <w:sz w:val="22"/>
        </w:rPr>
        <w:t>2027</w:t>
      </w:r>
      <w:r>
        <w:rPr>
          <w:rFonts w:ascii="Calibri" w:hAnsi="Calibri"/>
          <w:spacing w:val="-2"/>
          <w:sz w:val="22"/>
        </w:rPr>
        <w:t> </w:t>
      </w:r>
      <w:r>
        <w:rPr>
          <w:rFonts w:ascii="Calibri" w:hAnsi="Calibri"/>
          <w:sz w:val="22"/>
        </w:rPr>
        <w:t>Action</w:t>
      </w:r>
      <w:r>
        <w:rPr>
          <w:rFonts w:ascii="Calibri" w:hAnsi="Calibri"/>
          <w:spacing w:val="-2"/>
          <w:sz w:val="22"/>
        </w:rPr>
        <w:t> </w:t>
      </w:r>
      <w:r>
        <w:rPr>
          <w:rFonts w:ascii="Calibri" w:hAnsi="Calibri"/>
          <w:sz w:val="22"/>
        </w:rPr>
        <w:t>Plan</w:t>
      </w:r>
      <w:r>
        <w:rPr>
          <w:rFonts w:ascii="Calibri" w:hAnsi="Calibri"/>
          <w:spacing w:val="-3"/>
          <w:sz w:val="22"/>
        </w:rPr>
        <w:t> </w:t>
      </w:r>
      <w:r>
        <w:rPr>
          <w:rFonts w:ascii="Calibri" w:hAnsi="Calibri"/>
          <w:sz w:val="22"/>
        </w:rPr>
        <w:t>for</w:t>
      </w:r>
      <w:r>
        <w:rPr>
          <w:rFonts w:ascii="Calibri" w:hAnsi="Calibri"/>
          <w:spacing w:val="-3"/>
          <w:sz w:val="22"/>
        </w:rPr>
        <w:t> </w:t>
      </w:r>
      <w:r>
        <w:rPr>
          <w:rFonts w:ascii="Calibri" w:hAnsi="Calibri"/>
          <w:sz w:val="22"/>
        </w:rPr>
        <w:t>NWSSP,</w:t>
      </w:r>
      <w:r>
        <w:rPr>
          <w:rFonts w:ascii="Calibri" w:hAnsi="Calibri"/>
          <w:spacing w:val="-2"/>
          <w:sz w:val="22"/>
        </w:rPr>
        <w:t> </w:t>
      </w:r>
      <w:r>
        <w:rPr>
          <w:rFonts w:ascii="Calibri" w:hAnsi="Calibri"/>
          <w:sz w:val="22"/>
        </w:rPr>
        <w:t>integrated</w:t>
      </w:r>
      <w:r>
        <w:rPr>
          <w:rFonts w:ascii="Calibri" w:hAnsi="Calibri"/>
          <w:spacing w:val="-3"/>
          <w:sz w:val="22"/>
        </w:rPr>
        <w:t> </w:t>
      </w:r>
      <w:r>
        <w:rPr>
          <w:rFonts w:ascii="Calibri" w:hAnsi="Calibri"/>
          <w:sz w:val="22"/>
        </w:rPr>
        <w:t>with</w:t>
      </w:r>
      <w:r>
        <w:rPr>
          <w:rFonts w:ascii="Calibri" w:hAnsi="Calibri"/>
          <w:spacing w:val="-2"/>
          <w:sz w:val="22"/>
        </w:rPr>
        <w:t> </w:t>
      </w:r>
      <w:r>
        <w:rPr>
          <w:rFonts w:ascii="Calibri" w:hAnsi="Calibri"/>
          <w:sz w:val="22"/>
        </w:rPr>
        <w:t>the Welsh Language Standards.</w:t>
      </w:r>
    </w:p>
    <w:p>
      <w:pPr>
        <w:pStyle w:val="ListParagraph"/>
        <w:numPr>
          <w:ilvl w:val="0"/>
          <w:numId w:val="46"/>
        </w:numPr>
        <w:tabs>
          <w:tab w:pos="2159" w:val="left" w:leader="none"/>
          <w:tab w:pos="2160" w:val="left" w:leader="none"/>
        </w:tabs>
        <w:spacing w:line="259" w:lineRule="auto" w:before="0" w:after="0"/>
        <w:ind w:left="2160" w:right="2239" w:hanging="360"/>
        <w:jc w:val="left"/>
        <w:rPr>
          <w:rFonts w:ascii="Symbol" w:hAnsi="Symbol"/>
          <w:sz w:val="22"/>
        </w:rPr>
      </w:pPr>
      <w:r>
        <w:rPr>
          <w:rFonts w:ascii="Calibri" w:hAnsi="Calibri"/>
          <w:sz w:val="22"/>
        </w:rPr>
        <w:t>Capitalise</w:t>
      </w:r>
      <w:r>
        <w:rPr>
          <w:rFonts w:ascii="Calibri" w:hAnsi="Calibri"/>
          <w:spacing w:val="-4"/>
          <w:sz w:val="22"/>
        </w:rPr>
        <w:t> </w:t>
      </w:r>
      <w:r>
        <w:rPr>
          <w:rFonts w:ascii="Calibri" w:hAnsi="Calibri"/>
          <w:sz w:val="22"/>
        </w:rPr>
        <w:t>on</w:t>
      </w:r>
      <w:r>
        <w:rPr>
          <w:rFonts w:ascii="Calibri" w:hAnsi="Calibri"/>
          <w:spacing w:val="-4"/>
          <w:sz w:val="22"/>
        </w:rPr>
        <w:t> </w:t>
      </w:r>
      <w:r>
        <w:rPr>
          <w:rFonts w:ascii="Calibri" w:hAnsi="Calibri"/>
          <w:sz w:val="22"/>
        </w:rPr>
        <w:t>the</w:t>
      </w:r>
      <w:r>
        <w:rPr>
          <w:rFonts w:ascii="Calibri" w:hAnsi="Calibri"/>
          <w:spacing w:val="-3"/>
          <w:sz w:val="22"/>
        </w:rPr>
        <w:t> </w:t>
      </w:r>
      <w:r>
        <w:rPr>
          <w:rFonts w:ascii="Calibri" w:hAnsi="Calibri"/>
          <w:sz w:val="22"/>
        </w:rPr>
        <w:t>Foundational</w:t>
      </w:r>
      <w:r>
        <w:rPr>
          <w:rFonts w:ascii="Calibri" w:hAnsi="Calibri"/>
          <w:spacing w:val="-3"/>
          <w:sz w:val="22"/>
        </w:rPr>
        <w:t> </w:t>
      </w:r>
      <w:r>
        <w:rPr>
          <w:rFonts w:ascii="Calibri" w:hAnsi="Calibri"/>
          <w:sz w:val="22"/>
        </w:rPr>
        <w:t>Economy</w:t>
      </w:r>
      <w:r>
        <w:rPr>
          <w:rFonts w:ascii="Calibri" w:hAnsi="Calibri"/>
          <w:spacing w:val="-4"/>
          <w:sz w:val="22"/>
        </w:rPr>
        <w:t> </w:t>
      </w:r>
      <w:r>
        <w:rPr>
          <w:rFonts w:ascii="Calibri" w:hAnsi="Calibri"/>
          <w:sz w:val="22"/>
        </w:rPr>
        <w:t>Agenda</w:t>
      </w:r>
      <w:r>
        <w:rPr>
          <w:rFonts w:ascii="Calibri" w:hAnsi="Calibri"/>
          <w:spacing w:val="-4"/>
          <w:sz w:val="22"/>
        </w:rPr>
        <w:t> </w:t>
      </w:r>
      <w:r>
        <w:rPr>
          <w:rFonts w:ascii="Calibri" w:hAnsi="Calibri"/>
          <w:sz w:val="22"/>
        </w:rPr>
        <w:t>in</w:t>
      </w:r>
      <w:r>
        <w:rPr>
          <w:rFonts w:ascii="Calibri" w:hAnsi="Calibri"/>
          <w:spacing w:val="-4"/>
          <w:sz w:val="22"/>
        </w:rPr>
        <w:t> </w:t>
      </w:r>
      <w:r>
        <w:rPr>
          <w:rFonts w:ascii="Calibri" w:hAnsi="Calibri"/>
          <w:sz w:val="22"/>
        </w:rPr>
        <w:t>Wales</w:t>
      </w:r>
      <w:r>
        <w:rPr>
          <w:rFonts w:ascii="Calibri" w:hAnsi="Calibri"/>
          <w:spacing w:val="-3"/>
          <w:sz w:val="22"/>
        </w:rPr>
        <w:t> </w:t>
      </w:r>
      <w:r>
        <w:rPr>
          <w:rFonts w:ascii="Calibri" w:hAnsi="Calibri"/>
          <w:sz w:val="22"/>
        </w:rPr>
        <w:t>to</w:t>
      </w:r>
      <w:r>
        <w:rPr>
          <w:rFonts w:ascii="Calibri" w:hAnsi="Calibri"/>
          <w:spacing w:val="-3"/>
          <w:sz w:val="22"/>
        </w:rPr>
        <w:t> </w:t>
      </w:r>
      <w:r>
        <w:rPr>
          <w:rFonts w:ascii="Calibri" w:hAnsi="Calibri"/>
          <w:sz w:val="22"/>
        </w:rPr>
        <w:t>be</w:t>
      </w:r>
      <w:r>
        <w:rPr>
          <w:rFonts w:ascii="Calibri" w:hAnsi="Calibri"/>
          <w:spacing w:val="-4"/>
          <w:sz w:val="22"/>
        </w:rPr>
        <w:t> </w:t>
      </w:r>
      <w:r>
        <w:rPr>
          <w:rFonts w:ascii="Calibri" w:hAnsi="Calibri"/>
          <w:sz w:val="22"/>
        </w:rPr>
        <w:t>able</w:t>
      </w:r>
      <w:r>
        <w:rPr>
          <w:rFonts w:ascii="Calibri" w:hAnsi="Calibri"/>
          <w:spacing w:val="-4"/>
          <w:sz w:val="22"/>
        </w:rPr>
        <w:t> </w:t>
      </w:r>
      <w:r>
        <w:rPr>
          <w:rFonts w:ascii="Calibri" w:hAnsi="Calibri"/>
          <w:sz w:val="22"/>
        </w:rPr>
        <w:t>to</w:t>
      </w:r>
      <w:r>
        <w:rPr>
          <w:rFonts w:ascii="Calibri" w:hAnsi="Calibri"/>
          <w:spacing w:val="-3"/>
          <w:sz w:val="22"/>
        </w:rPr>
        <w:t> </w:t>
      </w:r>
      <w:r>
        <w:rPr>
          <w:rFonts w:ascii="Calibri" w:hAnsi="Calibri"/>
          <w:sz w:val="22"/>
        </w:rPr>
        <w:t>optimise</w:t>
      </w:r>
      <w:r>
        <w:rPr>
          <w:rFonts w:ascii="Calibri" w:hAnsi="Calibri"/>
          <w:spacing w:val="-4"/>
          <w:sz w:val="22"/>
        </w:rPr>
        <w:t> </w:t>
      </w:r>
      <w:r>
        <w:rPr>
          <w:rFonts w:ascii="Calibri" w:hAnsi="Calibri"/>
          <w:sz w:val="22"/>
        </w:rPr>
        <w:t>our bilingual services.</w:t>
      </w:r>
    </w:p>
    <w:p>
      <w:pPr>
        <w:pStyle w:val="ListParagraph"/>
        <w:numPr>
          <w:ilvl w:val="0"/>
          <w:numId w:val="46"/>
        </w:numPr>
        <w:tabs>
          <w:tab w:pos="2159" w:val="left" w:leader="none"/>
          <w:tab w:pos="2160" w:val="left" w:leader="none"/>
        </w:tabs>
        <w:spacing w:line="259" w:lineRule="auto" w:before="0" w:after="0"/>
        <w:ind w:left="2160" w:right="1678" w:hanging="360"/>
        <w:jc w:val="left"/>
        <w:rPr>
          <w:rFonts w:ascii="Symbol" w:hAnsi="Symbol"/>
          <w:sz w:val="22"/>
        </w:rPr>
      </w:pPr>
      <w:r>
        <w:rPr>
          <w:rFonts w:ascii="Calibri" w:hAnsi="Calibri"/>
          <w:sz w:val="22"/>
        </w:rPr>
        <w:t>Work</w:t>
      </w:r>
      <w:r>
        <w:rPr>
          <w:rFonts w:ascii="Calibri" w:hAnsi="Calibri"/>
          <w:spacing w:val="-3"/>
          <w:sz w:val="22"/>
        </w:rPr>
        <w:t> </w:t>
      </w:r>
      <w:r>
        <w:rPr>
          <w:rFonts w:ascii="Calibri" w:hAnsi="Calibri"/>
          <w:sz w:val="22"/>
        </w:rPr>
        <w:t>with</w:t>
      </w:r>
      <w:r>
        <w:rPr>
          <w:rFonts w:ascii="Calibri" w:hAnsi="Calibri"/>
          <w:spacing w:val="-3"/>
          <w:sz w:val="22"/>
        </w:rPr>
        <w:t> </w:t>
      </w:r>
      <w:r>
        <w:rPr>
          <w:rFonts w:ascii="Calibri" w:hAnsi="Calibri"/>
          <w:sz w:val="22"/>
        </w:rPr>
        <w:t>the</w:t>
      </w:r>
      <w:r>
        <w:rPr>
          <w:rFonts w:ascii="Calibri" w:hAnsi="Calibri"/>
          <w:spacing w:val="-4"/>
          <w:sz w:val="22"/>
        </w:rPr>
        <w:t> </w:t>
      </w:r>
      <w:r>
        <w:rPr>
          <w:rFonts w:ascii="Calibri" w:hAnsi="Calibri"/>
          <w:sz w:val="22"/>
        </w:rPr>
        <w:t>People</w:t>
      </w:r>
      <w:r>
        <w:rPr>
          <w:rFonts w:ascii="Calibri" w:hAnsi="Calibri"/>
          <w:spacing w:val="-4"/>
          <w:sz w:val="22"/>
        </w:rPr>
        <w:t> </w:t>
      </w:r>
      <w:r>
        <w:rPr>
          <w:rFonts w:ascii="Calibri" w:hAnsi="Calibri"/>
          <w:sz w:val="22"/>
        </w:rPr>
        <w:t>and</w:t>
      </w:r>
      <w:r>
        <w:rPr>
          <w:rFonts w:ascii="Calibri" w:hAnsi="Calibri"/>
          <w:spacing w:val="-4"/>
          <w:sz w:val="22"/>
        </w:rPr>
        <w:t> </w:t>
      </w:r>
      <w:r>
        <w:rPr>
          <w:rFonts w:ascii="Calibri" w:hAnsi="Calibri"/>
          <w:sz w:val="22"/>
        </w:rPr>
        <w:t>Organisational</w:t>
      </w:r>
      <w:r>
        <w:rPr>
          <w:rFonts w:ascii="Calibri" w:hAnsi="Calibri"/>
          <w:spacing w:val="-3"/>
          <w:sz w:val="22"/>
        </w:rPr>
        <w:t> </w:t>
      </w:r>
      <w:r>
        <w:rPr>
          <w:rFonts w:ascii="Calibri" w:hAnsi="Calibri"/>
          <w:sz w:val="22"/>
        </w:rPr>
        <w:t>Development</w:t>
      </w:r>
      <w:r>
        <w:rPr>
          <w:rFonts w:ascii="Calibri" w:hAnsi="Calibri"/>
          <w:spacing w:val="-3"/>
          <w:sz w:val="22"/>
        </w:rPr>
        <w:t> </w:t>
      </w:r>
      <w:r>
        <w:rPr>
          <w:rFonts w:ascii="Calibri" w:hAnsi="Calibri"/>
          <w:sz w:val="22"/>
        </w:rPr>
        <w:t>team</w:t>
      </w:r>
      <w:r>
        <w:rPr>
          <w:rFonts w:ascii="Calibri" w:hAnsi="Calibri"/>
          <w:spacing w:val="-4"/>
          <w:sz w:val="22"/>
        </w:rPr>
        <w:t> </w:t>
      </w:r>
      <w:r>
        <w:rPr>
          <w:rFonts w:ascii="Calibri" w:hAnsi="Calibri"/>
          <w:sz w:val="22"/>
        </w:rPr>
        <w:t>and</w:t>
      </w:r>
      <w:r>
        <w:rPr>
          <w:rFonts w:ascii="Calibri" w:hAnsi="Calibri"/>
          <w:spacing w:val="-3"/>
          <w:sz w:val="22"/>
        </w:rPr>
        <w:t> </w:t>
      </w:r>
      <w:r>
        <w:rPr>
          <w:rFonts w:ascii="Calibri" w:hAnsi="Calibri"/>
          <w:sz w:val="22"/>
        </w:rPr>
        <w:t>external</w:t>
      </w:r>
      <w:r>
        <w:rPr>
          <w:rFonts w:ascii="Calibri" w:hAnsi="Calibri"/>
          <w:spacing w:val="-3"/>
          <w:sz w:val="22"/>
        </w:rPr>
        <w:t> </w:t>
      </w:r>
      <w:r>
        <w:rPr>
          <w:rFonts w:ascii="Calibri" w:hAnsi="Calibri"/>
          <w:sz w:val="22"/>
        </w:rPr>
        <w:t>stakeholders</w:t>
      </w:r>
      <w:r>
        <w:rPr>
          <w:rFonts w:ascii="Calibri" w:hAnsi="Calibri"/>
          <w:spacing w:val="-3"/>
          <w:sz w:val="22"/>
        </w:rPr>
        <w:t> </w:t>
      </w:r>
      <w:r>
        <w:rPr>
          <w:rFonts w:ascii="Calibri" w:hAnsi="Calibri"/>
          <w:sz w:val="22"/>
        </w:rPr>
        <w:t>to expand on the widening access to us as an employer of choice.</w:t>
      </w:r>
    </w:p>
    <w:p>
      <w:pPr>
        <w:spacing w:after="0" w:line="259" w:lineRule="auto"/>
        <w:jc w:val="left"/>
        <w:rPr>
          <w:rFonts w:ascii="Symbol" w:hAnsi="Symbol"/>
          <w:sz w:val="22"/>
        </w:rPr>
        <w:sectPr>
          <w:pgSz w:w="11910" w:h="16840"/>
          <w:pgMar w:header="0" w:footer="173" w:top="1380" w:bottom="360" w:left="0" w:right="0"/>
        </w:sectPr>
      </w:pPr>
    </w:p>
    <w:p>
      <w:pPr>
        <w:pStyle w:val="BodyText"/>
        <w:ind w:left="1440"/>
        <w:rPr>
          <w:rFonts w:ascii="Calibri"/>
          <w:sz w:val="20"/>
        </w:rPr>
      </w:pPr>
      <w:r>
        <w:rPr>
          <w:rFonts w:ascii="Calibri"/>
          <w:sz w:val="20"/>
        </w:rPr>
        <w:drawing>
          <wp:inline distT="0" distB="0" distL="0" distR="0">
            <wp:extent cx="2922939" cy="800480"/>
            <wp:effectExtent l="0" t="0" r="0" b="0"/>
            <wp:docPr id="241" name="image107.jpeg"/>
            <wp:cNvGraphicFramePr>
              <a:graphicFrameLocks noChangeAspect="1"/>
            </wp:cNvGraphicFramePr>
            <a:graphic>
              <a:graphicData uri="http://schemas.openxmlformats.org/drawingml/2006/picture">
                <pic:pic>
                  <pic:nvPicPr>
                    <pic:cNvPr id="242" name="image107.jpeg"/>
                    <pic:cNvPicPr/>
                  </pic:nvPicPr>
                  <pic:blipFill>
                    <a:blip r:embed="rId210" cstate="print"/>
                    <a:stretch>
                      <a:fillRect/>
                    </a:stretch>
                  </pic:blipFill>
                  <pic:spPr>
                    <a:xfrm>
                      <a:off x="0" y="0"/>
                      <a:ext cx="2922939" cy="800480"/>
                    </a:xfrm>
                    <a:prstGeom prst="rect">
                      <a:avLst/>
                    </a:prstGeom>
                  </pic:spPr>
                </pic:pic>
              </a:graphicData>
            </a:graphic>
          </wp:inline>
        </w:drawing>
      </w:r>
      <w:r>
        <w:rPr>
          <w:rFonts w:ascii="Calibri"/>
          <w:sz w:val="20"/>
        </w:rPr>
      </w:r>
    </w:p>
    <w:p>
      <w:pPr>
        <w:pStyle w:val="BodyText"/>
        <w:rPr>
          <w:rFonts w:ascii="Calibri"/>
          <w:sz w:val="20"/>
        </w:rPr>
      </w:pPr>
    </w:p>
    <w:p>
      <w:pPr>
        <w:pStyle w:val="BodyText"/>
        <w:spacing w:before="10"/>
        <w:rPr>
          <w:rFonts w:ascii="Calibri"/>
          <w:sz w:val="28"/>
        </w:rPr>
      </w:pPr>
    </w:p>
    <w:p>
      <w:pPr>
        <w:pStyle w:val="Heading5"/>
        <w:spacing w:before="36"/>
        <w:ind w:right="617"/>
      </w:pPr>
      <w:bookmarkStart w:name=" 7.2 FINAL Welsh Language Performance Re" w:id="79"/>
      <w:bookmarkEnd w:id="79"/>
      <w:r>
        <w:rPr>
          <w:b w:val="0"/>
        </w:rPr>
      </w:r>
      <w:r>
        <w:rPr>
          <w:color w:val="1F3764"/>
        </w:rPr>
        <w:t>Adroddiad</w:t>
      </w:r>
      <w:r>
        <w:rPr>
          <w:color w:val="1F3764"/>
          <w:spacing w:val="-6"/>
        </w:rPr>
        <w:t> </w:t>
      </w:r>
      <w:r>
        <w:rPr>
          <w:color w:val="1F3764"/>
        </w:rPr>
        <w:t>Perfformiad</w:t>
      </w:r>
      <w:r>
        <w:rPr>
          <w:color w:val="1F3764"/>
          <w:spacing w:val="-7"/>
        </w:rPr>
        <w:t> </w:t>
      </w:r>
      <w:r>
        <w:rPr>
          <w:color w:val="1F3764"/>
        </w:rPr>
        <w:t>Blynyddol</w:t>
      </w:r>
      <w:r>
        <w:rPr>
          <w:color w:val="1F3764"/>
          <w:spacing w:val="-6"/>
        </w:rPr>
        <w:t> </w:t>
      </w:r>
      <w:r>
        <w:rPr>
          <w:color w:val="1F3764"/>
        </w:rPr>
        <w:t>yr</w:t>
      </w:r>
      <w:r>
        <w:rPr>
          <w:color w:val="1F3764"/>
          <w:spacing w:val="-6"/>
        </w:rPr>
        <w:t> </w:t>
      </w:r>
      <w:r>
        <w:rPr>
          <w:color w:val="1F3764"/>
        </w:rPr>
        <w:t>Iaith</w:t>
      </w:r>
      <w:r>
        <w:rPr>
          <w:color w:val="1F3764"/>
          <w:spacing w:val="-7"/>
        </w:rPr>
        <w:t> </w:t>
      </w:r>
      <w:r>
        <w:rPr>
          <w:color w:val="1F3764"/>
        </w:rPr>
        <w:t>Gymraeg</w:t>
      </w:r>
      <w:r>
        <w:rPr>
          <w:color w:val="1F3764"/>
          <w:spacing w:val="-7"/>
        </w:rPr>
        <w:t> </w:t>
      </w:r>
      <w:r>
        <w:rPr>
          <w:color w:val="1F3764"/>
        </w:rPr>
        <w:t>2021-2022 Partneriaeth Cydwasanaethau GIG Cymru</w:t>
      </w:r>
    </w:p>
    <w:p>
      <w:pPr>
        <w:spacing w:after="0"/>
        <w:sectPr>
          <w:footerReference w:type="default" r:id="rId219"/>
          <w:pgSz w:w="11910" w:h="16840"/>
          <w:pgMar w:footer="173" w:header="0" w:top="1460" w:bottom="360" w:left="0" w:right="0"/>
        </w:sectPr>
      </w:pPr>
    </w:p>
    <w:p>
      <w:pPr>
        <w:pStyle w:val="Heading7"/>
        <w:spacing w:before="23"/>
      </w:pPr>
      <w:r>
        <w:rPr>
          <w:spacing w:val="-2"/>
        </w:rPr>
        <w:t>Cynnwys:</w:t>
      </w:r>
    </w:p>
    <w:p>
      <w:pPr>
        <w:pStyle w:val="ListParagraph"/>
        <w:numPr>
          <w:ilvl w:val="0"/>
          <w:numId w:val="46"/>
        </w:numPr>
        <w:tabs>
          <w:tab w:pos="2159" w:val="left" w:leader="none"/>
          <w:tab w:pos="2160" w:val="left" w:leader="none"/>
          <w:tab w:pos="9471" w:val="right" w:leader="none"/>
        </w:tabs>
        <w:spacing w:line="240" w:lineRule="auto" w:before="342" w:after="0"/>
        <w:ind w:left="2159" w:right="0" w:hanging="360"/>
        <w:jc w:val="left"/>
        <w:rPr>
          <w:rFonts w:ascii="Symbol" w:hAnsi="Symbol"/>
          <w:sz w:val="22"/>
        </w:rPr>
      </w:pPr>
      <w:r>
        <w:rPr>
          <w:rFonts w:ascii="Calibri" w:hAnsi="Calibri"/>
          <w:spacing w:val="-2"/>
          <w:sz w:val="22"/>
        </w:rPr>
        <w:t>Cyflwyniad</w:t>
      </w:r>
      <w:r>
        <w:rPr>
          <w:rFonts w:ascii="Calibri" w:hAnsi="Calibri"/>
          <w:sz w:val="22"/>
        </w:rPr>
        <w:tab/>
      </w:r>
      <w:r>
        <w:rPr>
          <w:rFonts w:ascii="Calibri" w:hAnsi="Calibri"/>
          <w:spacing w:val="-10"/>
          <w:sz w:val="22"/>
        </w:rPr>
        <w:t>3</w:t>
      </w:r>
    </w:p>
    <w:p>
      <w:pPr>
        <w:pStyle w:val="ListParagraph"/>
        <w:numPr>
          <w:ilvl w:val="0"/>
          <w:numId w:val="46"/>
        </w:numPr>
        <w:tabs>
          <w:tab w:pos="2159" w:val="left" w:leader="none"/>
          <w:tab w:pos="2160" w:val="left" w:leader="none"/>
          <w:tab w:pos="9471" w:val="right" w:leader="none"/>
        </w:tabs>
        <w:spacing w:line="240" w:lineRule="auto" w:before="0" w:after="0"/>
        <w:ind w:left="2159" w:right="0" w:hanging="360"/>
        <w:jc w:val="left"/>
        <w:rPr>
          <w:rFonts w:ascii="Symbol" w:hAnsi="Symbol"/>
          <w:sz w:val="22"/>
        </w:rPr>
      </w:pPr>
      <w:r>
        <w:rPr>
          <w:rFonts w:ascii="Calibri" w:hAnsi="Calibri"/>
          <w:spacing w:val="-2"/>
          <w:sz w:val="22"/>
        </w:rPr>
        <w:t>Cefndir</w:t>
      </w:r>
      <w:r>
        <w:rPr>
          <w:rFonts w:ascii="Calibri" w:hAnsi="Calibri"/>
          <w:sz w:val="22"/>
        </w:rPr>
        <w:tab/>
      </w:r>
      <w:r>
        <w:rPr>
          <w:rFonts w:ascii="Calibri" w:hAnsi="Calibri"/>
          <w:spacing w:val="-10"/>
          <w:sz w:val="22"/>
        </w:rPr>
        <w:t>4</w:t>
      </w:r>
    </w:p>
    <w:p>
      <w:pPr>
        <w:pStyle w:val="ListParagraph"/>
        <w:numPr>
          <w:ilvl w:val="0"/>
          <w:numId w:val="46"/>
        </w:numPr>
        <w:tabs>
          <w:tab w:pos="2159" w:val="left" w:leader="none"/>
          <w:tab w:pos="2160" w:val="left" w:leader="none"/>
          <w:tab w:pos="9471" w:val="right" w:leader="none"/>
        </w:tabs>
        <w:spacing w:line="240" w:lineRule="auto" w:before="0" w:after="0"/>
        <w:ind w:left="2159" w:right="0" w:hanging="360"/>
        <w:jc w:val="left"/>
        <w:rPr>
          <w:rFonts w:ascii="Symbol" w:hAnsi="Symbol"/>
          <w:sz w:val="22"/>
        </w:rPr>
      </w:pPr>
      <w:r>
        <w:rPr>
          <w:rFonts w:ascii="Calibri" w:hAnsi="Calibri"/>
          <w:sz w:val="22"/>
        </w:rPr>
        <w:t>Atebolrwydd</w:t>
      </w:r>
      <w:r>
        <w:rPr>
          <w:rFonts w:ascii="Calibri" w:hAnsi="Calibri"/>
          <w:spacing w:val="-4"/>
          <w:sz w:val="22"/>
        </w:rPr>
        <w:t> </w:t>
      </w:r>
      <w:r>
        <w:rPr>
          <w:rFonts w:ascii="Calibri" w:hAnsi="Calibri"/>
          <w:sz w:val="22"/>
        </w:rPr>
        <w:t>a</w:t>
      </w:r>
      <w:r>
        <w:rPr>
          <w:rFonts w:ascii="Calibri" w:hAnsi="Calibri"/>
          <w:spacing w:val="-2"/>
          <w:sz w:val="22"/>
        </w:rPr>
        <w:t> Chymorth</w:t>
      </w:r>
      <w:r>
        <w:rPr>
          <w:rFonts w:ascii="Calibri" w:hAnsi="Calibri"/>
          <w:sz w:val="22"/>
        </w:rPr>
        <w:tab/>
      </w:r>
      <w:r>
        <w:rPr>
          <w:rFonts w:ascii="Calibri" w:hAnsi="Calibri"/>
          <w:spacing w:val="-10"/>
          <w:sz w:val="22"/>
        </w:rPr>
        <w:t>4</w:t>
      </w:r>
    </w:p>
    <w:p>
      <w:pPr>
        <w:pStyle w:val="ListParagraph"/>
        <w:numPr>
          <w:ilvl w:val="0"/>
          <w:numId w:val="46"/>
        </w:numPr>
        <w:tabs>
          <w:tab w:pos="2159" w:val="left" w:leader="none"/>
          <w:tab w:pos="2160" w:val="left" w:leader="none"/>
          <w:tab w:pos="9472" w:val="right" w:leader="none"/>
        </w:tabs>
        <w:spacing w:line="240" w:lineRule="auto" w:before="0" w:after="0"/>
        <w:ind w:left="2159" w:right="0" w:hanging="360"/>
        <w:jc w:val="left"/>
        <w:rPr>
          <w:rFonts w:ascii="Symbol" w:hAnsi="Symbol"/>
          <w:sz w:val="22"/>
        </w:rPr>
      </w:pPr>
      <w:r>
        <w:rPr>
          <w:rFonts w:ascii="Calibri" w:hAnsi="Calibri"/>
          <w:sz w:val="22"/>
        </w:rPr>
        <w:t>Safonau</w:t>
      </w:r>
      <w:r>
        <w:rPr>
          <w:rFonts w:ascii="Calibri" w:hAnsi="Calibri"/>
          <w:spacing w:val="-3"/>
          <w:sz w:val="22"/>
        </w:rPr>
        <w:t> </w:t>
      </w:r>
      <w:r>
        <w:rPr>
          <w:rFonts w:ascii="Calibri" w:hAnsi="Calibri"/>
          <w:sz w:val="22"/>
        </w:rPr>
        <w:t>Cyflenwi</w:t>
      </w:r>
      <w:r>
        <w:rPr>
          <w:rFonts w:ascii="Calibri" w:hAnsi="Calibri"/>
          <w:spacing w:val="-2"/>
          <w:sz w:val="22"/>
        </w:rPr>
        <w:t> Gwasanaethau</w:t>
      </w:r>
      <w:r>
        <w:rPr>
          <w:rFonts w:ascii="Calibri" w:hAnsi="Calibri"/>
          <w:sz w:val="22"/>
        </w:rPr>
        <w:tab/>
      </w:r>
      <w:r>
        <w:rPr>
          <w:rFonts w:ascii="Calibri" w:hAnsi="Calibri"/>
          <w:spacing w:val="-10"/>
          <w:sz w:val="22"/>
        </w:rPr>
        <w:t>5</w:t>
      </w:r>
    </w:p>
    <w:p>
      <w:pPr>
        <w:pStyle w:val="ListParagraph"/>
        <w:numPr>
          <w:ilvl w:val="0"/>
          <w:numId w:val="46"/>
        </w:numPr>
        <w:tabs>
          <w:tab w:pos="2159" w:val="left" w:leader="none"/>
          <w:tab w:pos="2160" w:val="left" w:leader="none"/>
          <w:tab w:pos="9472" w:val="right" w:leader="none"/>
        </w:tabs>
        <w:spacing w:line="240" w:lineRule="auto" w:before="0" w:after="0"/>
        <w:ind w:left="2159" w:right="0" w:hanging="360"/>
        <w:jc w:val="left"/>
        <w:rPr>
          <w:rFonts w:ascii="Symbol" w:hAnsi="Symbol"/>
          <w:sz w:val="22"/>
        </w:rPr>
      </w:pPr>
      <w:r>
        <w:rPr>
          <w:rFonts w:ascii="Calibri" w:hAnsi="Calibri"/>
          <w:sz w:val="22"/>
        </w:rPr>
        <w:t>Safonau</w:t>
      </w:r>
      <w:r>
        <w:rPr>
          <w:rFonts w:ascii="Calibri" w:hAnsi="Calibri"/>
          <w:spacing w:val="-3"/>
          <w:sz w:val="22"/>
        </w:rPr>
        <w:t> </w:t>
      </w:r>
      <w:r>
        <w:rPr>
          <w:rFonts w:ascii="Calibri" w:hAnsi="Calibri"/>
          <w:sz w:val="22"/>
        </w:rPr>
        <w:t>Llunio</w:t>
      </w:r>
      <w:r>
        <w:rPr>
          <w:rFonts w:ascii="Calibri" w:hAnsi="Calibri"/>
          <w:spacing w:val="-1"/>
          <w:sz w:val="22"/>
        </w:rPr>
        <w:t> </w:t>
      </w:r>
      <w:r>
        <w:rPr>
          <w:rFonts w:ascii="Calibri" w:hAnsi="Calibri"/>
          <w:spacing w:val="-2"/>
          <w:sz w:val="22"/>
        </w:rPr>
        <w:t>Polisi</w:t>
      </w:r>
      <w:r>
        <w:rPr>
          <w:rFonts w:ascii="Calibri" w:hAnsi="Calibri"/>
          <w:sz w:val="22"/>
        </w:rPr>
        <w:tab/>
      </w:r>
      <w:r>
        <w:rPr>
          <w:rFonts w:ascii="Calibri" w:hAnsi="Calibri"/>
          <w:spacing w:val="-10"/>
          <w:sz w:val="22"/>
        </w:rPr>
        <w:t>6</w:t>
      </w:r>
    </w:p>
    <w:p>
      <w:pPr>
        <w:pStyle w:val="ListParagraph"/>
        <w:numPr>
          <w:ilvl w:val="0"/>
          <w:numId w:val="46"/>
        </w:numPr>
        <w:tabs>
          <w:tab w:pos="2159" w:val="left" w:leader="none"/>
          <w:tab w:pos="2160" w:val="left" w:leader="none"/>
          <w:tab w:pos="9472" w:val="right" w:leader="none"/>
        </w:tabs>
        <w:spacing w:line="240" w:lineRule="auto" w:before="0" w:after="0"/>
        <w:ind w:left="2159" w:right="0" w:hanging="360"/>
        <w:jc w:val="left"/>
        <w:rPr>
          <w:rFonts w:ascii="Symbol" w:hAnsi="Symbol"/>
          <w:sz w:val="22"/>
        </w:rPr>
      </w:pPr>
      <w:r>
        <w:rPr>
          <w:rFonts w:ascii="Calibri" w:hAnsi="Calibri"/>
          <w:sz w:val="22"/>
        </w:rPr>
        <w:t>Safonau</w:t>
      </w:r>
      <w:r>
        <w:rPr>
          <w:rFonts w:ascii="Calibri" w:hAnsi="Calibri"/>
          <w:spacing w:val="-1"/>
          <w:sz w:val="22"/>
        </w:rPr>
        <w:t> </w:t>
      </w:r>
      <w:r>
        <w:rPr>
          <w:rFonts w:ascii="Calibri" w:hAnsi="Calibri"/>
          <w:spacing w:val="-2"/>
          <w:sz w:val="22"/>
        </w:rPr>
        <w:t>Gweithredu</w:t>
      </w:r>
      <w:r>
        <w:rPr>
          <w:rFonts w:ascii="Calibri" w:hAnsi="Calibri"/>
          <w:sz w:val="22"/>
        </w:rPr>
        <w:tab/>
      </w:r>
      <w:r>
        <w:rPr>
          <w:rFonts w:ascii="Calibri" w:hAnsi="Calibri"/>
          <w:spacing w:val="-12"/>
          <w:sz w:val="22"/>
        </w:rPr>
        <w:t>6</w:t>
      </w:r>
    </w:p>
    <w:p>
      <w:pPr>
        <w:pStyle w:val="ListParagraph"/>
        <w:numPr>
          <w:ilvl w:val="0"/>
          <w:numId w:val="46"/>
        </w:numPr>
        <w:tabs>
          <w:tab w:pos="2159" w:val="left" w:leader="none"/>
          <w:tab w:pos="2160" w:val="left" w:leader="none"/>
          <w:tab w:pos="9471" w:val="right" w:leader="none"/>
        </w:tabs>
        <w:spacing w:line="240" w:lineRule="auto" w:before="0" w:after="0"/>
        <w:ind w:left="2159" w:right="0" w:hanging="360"/>
        <w:jc w:val="left"/>
        <w:rPr>
          <w:rFonts w:ascii="Symbol" w:hAnsi="Symbol"/>
          <w:sz w:val="22"/>
        </w:rPr>
      </w:pPr>
      <w:r>
        <w:rPr>
          <w:rFonts w:ascii="Calibri" w:hAnsi="Calibri"/>
          <w:sz w:val="22"/>
        </w:rPr>
        <w:t>Safonau</w:t>
      </w:r>
      <w:r>
        <w:rPr>
          <w:rFonts w:ascii="Calibri" w:hAnsi="Calibri"/>
          <w:spacing w:val="-2"/>
          <w:sz w:val="22"/>
        </w:rPr>
        <w:t> </w:t>
      </w:r>
      <w:r>
        <w:rPr>
          <w:rFonts w:ascii="Calibri" w:hAnsi="Calibri"/>
          <w:sz w:val="22"/>
        </w:rPr>
        <w:t>Cadw</w:t>
      </w:r>
      <w:r>
        <w:rPr>
          <w:rFonts w:ascii="Calibri" w:hAnsi="Calibri"/>
          <w:spacing w:val="-1"/>
          <w:sz w:val="22"/>
        </w:rPr>
        <w:t> </w:t>
      </w:r>
      <w:r>
        <w:rPr>
          <w:rFonts w:ascii="Calibri" w:hAnsi="Calibri"/>
          <w:spacing w:val="-2"/>
          <w:sz w:val="22"/>
        </w:rPr>
        <w:t>Cofnodion</w:t>
      </w:r>
      <w:r>
        <w:rPr>
          <w:rFonts w:ascii="Calibri" w:hAnsi="Calibri"/>
          <w:sz w:val="22"/>
        </w:rPr>
        <w:tab/>
      </w:r>
      <w:r>
        <w:rPr>
          <w:rFonts w:ascii="Calibri" w:hAnsi="Calibri"/>
          <w:spacing w:val="-10"/>
          <w:sz w:val="22"/>
        </w:rPr>
        <w:t>8</w:t>
      </w:r>
    </w:p>
    <w:p>
      <w:pPr>
        <w:pStyle w:val="ListParagraph"/>
        <w:numPr>
          <w:ilvl w:val="0"/>
          <w:numId w:val="46"/>
        </w:numPr>
        <w:tabs>
          <w:tab w:pos="2159" w:val="left" w:leader="none"/>
          <w:tab w:pos="2160" w:val="left" w:leader="none"/>
          <w:tab w:pos="9584" w:val="right" w:leader="none"/>
        </w:tabs>
        <w:spacing w:line="240" w:lineRule="auto" w:before="0" w:after="0"/>
        <w:ind w:left="2159" w:right="0" w:hanging="360"/>
        <w:jc w:val="left"/>
        <w:rPr>
          <w:rFonts w:ascii="Symbol" w:hAnsi="Symbol"/>
          <w:sz w:val="22"/>
        </w:rPr>
      </w:pPr>
      <w:r>
        <w:rPr>
          <w:rFonts w:ascii="Calibri" w:hAnsi="Calibri"/>
          <w:sz w:val="22"/>
        </w:rPr>
        <w:t>Prosiectau</w:t>
      </w:r>
      <w:r>
        <w:rPr>
          <w:rFonts w:ascii="Calibri" w:hAnsi="Calibri"/>
          <w:spacing w:val="-1"/>
          <w:sz w:val="22"/>
        </w:rPr>
        <w:t> </w:t>
      </w:r>
      <w:r>
        <w:rPr>
          <w:rFonts w:ascii="Calibri" w:hAnsi="Calibri"/>
          <w:sz w:val="22"/>
        </w:rPr>
        <w:t>a</w:t>
      </w:r>
      <w:r>
        <w:rPr>
          <w:rFonts w:ascii="Calibri" w:hAnsi="Calibri"/>
          <w:spacing w:val="-2"/>
          <w:sz w:val="22"/>
        </w:rPr>
        <w:t> </w:t>
      </w:r>
      <w:r>
        <w:rPr>
          <w:rFonts w:ascii="Calibri" w:hAnsi="Calibri"/>
          <w:sz w:val="22"/>
        </w:rPr>
        <w:t>Gwasanaethau</w:t>
      </w:r>
      <w:r>
        <w:rPr>
          <w:rFonts w:ascii="Calibri" w:hAnsi="Calibri"/>
          <w:spacing w:val="-1"/>
          <w:sz w:val="22"/>
        </w:rPr>
        <w:t> </w:t>
      </w:r>
      <w:r>
        <w:rPr>
          <w:rFonts w:ascii="Calibri" w:hAnsi="Calibri"/>
          <w:spacing w:val="-2"/>
          <w:sz w:val="22"/>
        </w:rPr>
        <w:t>Cyfieithu</w:t>
      </w:r>
      <w:r>
        <w:rPr>
          <w:rFonts w:ascii="Calibri" w:hAnsi="Calibri"/>
          <w:sz w:val="22"/>
        </w:rPr>
        <w:tab/>
      </w:r>
      <w:r>
        <w:rPr>
          <w:rFonts w:ascii="Calibri" w:hAnsi="Calibri"/>
          <w:spacing w:val="-5"/>
          <w:sz w:val="22"/>
        </w:rPr>
        <w:t>12</w:t>
      </w:r>
    </w:p>
    <w:p>
      <w:pPr>
        <w:pStyle w:val="ListParagraph"/>
        <w:numPr>
          <w:ilvl w:val="0"/>
          <w:numId w:val="46"/>
        </w:numPr>
        <w:tabs>
          <w:tab w:pos="2159" w:val="left" w:leader="none"/>
          <w:tab w:pos="2160" w:val="left" w:leader="none"/>
          <w:tab w:pos="9582" w:val="right" w:leader="none"/>
        </w:tabs>
        <w:spacing w:line="240" w:lineRule="auto" w:before="0" w:after="0"/>
        <w:ind w:left="2159" w:right="0" w:hanging="360"/>
        <w:jc w:val="left"/>
        <w:rPr>
          <w:rFonts w:ascii="Symbol" w:hAnsi="Symbol"/>
          <w:sz w:val="22"/>
        </w:rPr>
      </w:pPr>
      <w:r>
        <w:rPr>
          <w:rFonts w:ascii="Calibri" w:hAnsi="Calibri"/>
          <w:sz w:val="22"/>
        </w:rPr>
        <w:t>Blaenoriaethau</w:t>
      </w:r>
      <w:r>
        <w:rPr>
          <w:rFonts w:ascii="Calibri" w:hAnsi="Calibri"/>
          <w:spacing w:val="-4"/>
          <w:sz w:val="22"/>
        </w:rPr>
        <w:t> </w:t>
      </w:r>
      <w:r>
        <w:rPr>
          <w:rFonts w:ascii="Calibri" w:hAnsi="Calibri"/>
          <w:sz w:val="22"/>
        </w:rPr>
        <w:t>ar</w:t>
      </w:r>
      <w:r>
        <w:rPr>
          <w:rFonts w:ascii="Calibri" w:hAnsi="Calibri"/>
          <w:spacing w:val="-4"/>
          <w:sz w:val="22"/>
        </w:rPr>
        <w:t> </w:t>
      </w:r>
      <w:r>
        <w:rPr>
          <w:rFonts w:ascii="Calibri" w:hAnsi="Calibri"/>
          <w:sz w:val="22"/>
        </w:rPr>
        <w:t>gyfer</w:t>
      </w:r>
      <w:r>
        <w:rPr>
          <w:rFonts w:ascii="Calibri" w:hAnsi="Calibri"/>
          <w:spacing w:val="-3"/>
          <w:sz w:val="22"/>
        </w:rPr>
        <w:t> </w:t>
      </w:r>
      <w:r>
        <w:rPr>
          <w:rFonts w:ascii="Calibri" w:hAnsi="Calibri"/>
          <w:spacing w:val="-2"/>
          <w:sz w:val="22"/>
        </w:rPr>
        <w:t>2022/23</w:t>
      </w:r>
      <w:r>
        <w:rPr>
          <w:rFonts w:ascii="Calibri" w:hAnsi="Calibri"/>
          <w:sz w:val="22"/>
        </w:rPr>
        <w:tab/>
      </w:r>
      <w:r>
        <w:rPr>
          <w:rFonts w:ascii="Calibri" w:hAnsi="Calibri"/>
          <w:spacing w:val="-5"/>
          <w:sz w:val="22"/>
        </w:rPr>
        <w:t>14</w:t>
      </w:r>
    </w:p>
    <w:p>
      <w:pPr>
        <w:spacing w:after="0" w:line="240" w:lineRule="auto"/>
        <w:jc w:val="left"/>
        <w:rPr>
          <w:rFonts w:ascii="Symbol" w:hAnsi="Symbol"/>
          <w:sz w:val="22"/>
        </w:rPr>
        <w:sectPr>
          <w:footerReference w:type="default" r:id="rId220"/>
          <w:pgSz w:w="11910" w:h="16840"/>
          <w:pgMar w:footer="173" w:header="0" w:top="1740" w:bottom="360" w:left="0" w:right="0"/>
          <w:pgNumType w:start="2"/>
        </w:sectPr>
      </w:pPr>
    </w:p>
    <w:p>
      <w:pPr>
        <w:spacing w:before="185"/>
        <w:ind w:left="1440" w:right="0" w:firstLine="0"/>
        <w:jc w:val="left"/>
        <w:rPr>
          <w:rFonts w:ascii="Calibri"/>
          <w:b/>
          <w:sz w:val="28"/>
        </w:rPr>
      </w:pPr>
      <w:r>
        <w:rPr>
          <w:rFonts w:ascii="Calibri"/>
          <w:b/>
          <w:spacing w:val="-2"/>
          <w:sz w:val="28"/>
        </w:rPr>
        <w:t>Cyflwyniad</w:t>
      </w:r>
    </w:p>
    <w:p>
      <w:pPr>
        <w:pStyle w:val="BodyText"/>
        <w:spacing w:before="9"/>
        <w:rPr>
          <w:rFonts w:ascii="Calibri"/>
          <w:b/>
          <w:sz w:val="23"/>
        </w:rPr>
      </w:pPr>
    </w:p>
    <w:p>
      <w:pPr>
        <w:spacing w:line="259" w:lineRule="auto" w:before="0"/>
        <w:ind w:left="1440" w:right="1405" w:firstLine="0"/>
        <w:jc w:val="left"/>
        <w:rPr>
          <w:rFonts w:ascii="Calibri" w:hAnsi="Calibri"/>
          <w:sz w:val="22"/>
        </w:rPr>
      </w:pPr>
      <w:r>
        <w:rPr>
          <w:rFonts w:ascii="Calibri" w:hAnsi="Calibri"/>
          <w:sz w:val="22"/>
        </w:rPr>
        <w:t>Dyma</w:t>
      </w:r>
      <w:r>
        <w:rPr>
          <w:rFonts w:ascii="Calibri" w:hAnsi="Calibri"/>
          <w:spacing w:val="-4"/>
          <w:sz w:val="22"/>
        </w:rPr>
        <w:t> </w:t>
      </w:r>
      <w:r>
        <w:rPr>
          <w:rFonts w:ascii="Calibri" w:hAnsi="Calibri"/>
          <w:sz w:val="22"/>
        </w:rPr>
        <w:t>drydydd</w:t>
      </w:r>
      <w:r>
        <w:rPr>
          <w:rFonts w:ascii="Calibri" w:hAnsi="Calibri"/>
          <w:spacing w:val="-3"/>
          <w:sz w:val="22"/>
        </w:rPr>
        <w:t> </w:t>
      </w:r>
      <w:r>
        <w:rPr>
          <w:rFonts w:ascii="Calibri" w:hAnsi="Calibri"/>
          <w:sz w:val="22"/>
        </w:rPr>
        <w:t>Adroddiad</w:t>
      </w:r>
      <w:r>
        <w:rPr>
          <w:rFonts w:ascii="Calibri" w:hAnsi="Calibri"/>
          <w:spacing w:val="-4"/>
          <w:sz w:val="22"/>
        </w:rPr>
        <w:t> </w:t>
      </w:r>
      <w:r>
        <w:rPr>
          <w:rFonts w:ascii="Calibri" w:hAnsi="Calibri"/>
          <w:sz w:val="22"/>
        </w:rPr>
        <w:t>Perfformiad</w:t>
      </w:r>
      <w:r>
        <w:rPr>
          <w:rFonts w:ascii="Calibri" w:hAnsi="Calibri"/>
          <w:spacing w:val="-4"/>
          <w:sz w:val="22"/>
        </w:rPr>
        <w:t> </w:t>
      </w:r>
      <w:r>
        <w:rPr>
          <w:rFonts w:ascii="Calibri" w:hAnsi="Calibri"/>
          <w:sz w:val="22"/>
        </w:rPr>
        <w:t>Blynyddol</w:t>
      </w:r>
      <w:r>
        <w:rPr>
          <w:rFonts w:ascii="Calibri" w:hAnsi="Calibri"/>
          <w:spacing w:val="-3"/>
          <w:sz w:val="22"/>
        </w:rPr>
        <w:t> </w:t>
      </w:r>
      <w:r>
        <w:rPr>
          <w:rFonts w:ascii="Calibri" w:hAnsi="Calibri"/>
          <w:sz w:val="22"/>
        </w:rPr>
        <w:t>yr</w:t>
      </w:r>
      <w:r>
        <w:rPr>
          <w:rFonts w:ascii="Calibri" w:hAnsi="Calibri"/>
          <w:spacing w:val="-3"/>
          <w:sz w:val="22"/>
        </w:rPr>
        <w:t> </w:t>
      </w:r>
      <w:r>
        <w:rPr>
          <w:rFonts w:ascii="Calibri" w:hAnsi="Calibri"/>
          <w:sz w:val="22"/>
        </w:rPr>
        <w:t>Iaith</w:t>
      </w:r>
      <w:r>
        <w:rPr>
          <w:rFonts w:ascii="Calibri" w:hAnsi="Calibri"/>
          <w:spacing w:val="-3"/>
          <w:sz w:val="22"/>
        </w:rPr>
        <w:t> </w:t>
      </w:r>
      <w:r>
        <w:rPr>
          <w:rFonts w:ascii="Calibri" w:hAnsi="Calibri"/>
          <w:sz w:val="22"/>
        </w:rPr>
        <w:t>Gymraeg</w:t>
      </w:r>
      <w:r>
        <w:rPr>
          <w:rFonts w:ascii="Calibri" w:hAnsi="Calibri"/>
          <w:spacing w:val="-4"/>
          <w:sz w:val="22"/>
        </w:rPr>
        <w:t> </w:t>
      </w:r>
      <w:r>
        <w:rPr>
          <w:rFonts w:ascii="Calibri" w:hAnsi="Calibri"/>
          <w:sz w:val="22"/>
        </w:rPr>
        <w:t>Partneriaeth</w:t>
      </w:r>
      <w:r>
        <w:rPr>
          <w:rFonts w:ascii="Calibri" w:hAnsi="Calibri"/>
          <w:spacing w:val="-3"/>
          <w:sz w:val="22"/>
        </w:rPr>
        <w:t> </w:t>
      </w:r>
      <w:r>
        <w:rPr>
          <w:rFonts w:ascii="Calibri" w:hAnsi="Calibri"/>
          <w:sz w:val="22"/>
        </w:rPr>
        <w:t>Cydwasanaethau</w:t>
      </w:r>
      <w:r>
        <w:rPr>
          <w:rFonts w:ascii="Calibri" w:hAnsi="Calibri"/>
          <w:spacing w:val="-3"/>
          <w:sz w:val="22"/>
        </w:rPr>
        <w:t> </w:t>
      </w:r>
      <w:r>
        <w:rPr>
          <w:rFonts w:ascii="Calibri" w:hAnsi="Calibri"/>
          <w:sz w:val="22"/>
        </w:rPr>
        <w:t>GIG Cymru (PCGC). Mae’n adrodd ar y cyfnod rhwng 1 Ebrill 2021 a 31 Mawrth 2022.</w:t>
      </w:r>
    </w:p>
    <w:p>
      <w:pPr>
        <w:pStyle w:val="BodyText"/>
        <w:spacing w:before="9"/>
        <w:rPr>
          <w:rFonts w:ascii="Calibri"/>
          <w:sz w:val="23"/>
        </w:rPr>
      </w:pPr>
    </w:p>
    <w:p>
      <w:pPr>
        <w:spacing w:line="259" w:lineRule="auto" w:before="0"/>
        <w:ind w:left="1440" w:right="1547" w:firstLine="0"/>
        <w:jc w:val="left"/>
        <w:rPr>
          <w:rFonts w:ascii="Calibri" w:hAnsi="Calibri"/>
          <w:sz w:val="22"/>
        </w:rPr>
      </w:pPr>
      <w:r>
        <w:rPr>
          <w:rFonts w:ascii="Calibri" w:hAnsi="Calibri"/>
          <w:sz w:val="22"/>
        </w:rPr>
        <w:t>Mae</w:t>
      </w:r>
      <w:r>
        <w:rPr>
          <w:rFonts w:ascii="Calibri" w:hAnsi="Calibri"/>
          <w:spacing w:val="-3"/>
          <w:sz w:val="22"/>
        </w:rPr>
        <w:t> </w:t>
      </w:r>
      <w:r>
        <w:rPr>
          <w:rFonts w:ascii="Calibri" w:hAnsi="Calibri"/>
          <w:sz w:val="22"/>
        </w:rPr>
        <w:t>Partneriaeth</w:t>
      </w:r>
      <w:r>
        <w:rPr>
          <w:rFonts w:ascii="Calibri" w:hAnsi="Calibri"/>
          <w:spacing w:val="-3"/>
          <w:sz w:val="22"/>
        </w:rPr>
        <w:t> </w:t>
      </w:r>
      <w:r>
        <w:rPr>
          <w:rFonts w:ascii="Calibri" w:hAnsi="Calibri"/>
          <w:sz w:val="22"/>
        </w:rPr>
        <w:t>Cydwasanaethau</w:t>
      </w:r>
      <w:r>
        <w:rPr>
          <w:rFonts w:ascii="Calibri" w:hAnsi="Calibri"/>
          <w:spacing w:val="-3"/>
          <w:sz w:val="22"/>
        </w:rPr>
        <w:t> </w:t>
      </w:r>
      <w:r>
        <w:rPr>
          <w:rFonts w:ascii="Calibri" w:hAnsi="Calibri"/>
          <w:sz w:val="22"/>
        </w:rPr>
        <w:t>GIG</w:t>
      </w:r>
      <w:r>
        <w:rPr>
          <w:rFonts w:ascii="Calibri" w:hAnsi="Calibri"/>
          <w:spacing w:val="-3"/>
          <w:sz w:val="22"/>
        </w:rPr>
        <w:t> </w:t>
      </w:r>
      <w:r>
        <w:rPr>
          <w:rFonts w:ascii="Calibri" w:hAnsi="Calibri"/>
          <w:sz w:val="22"/>
        </w:rPr>
        <w:t>Cymru</w:t>
      </w:r>
      <w:r>
        <w:rPr>
          <w:rFonts w:ascii="Calibri" w:hAnsi="Calibri"/>
          <w:spacing w:val="-3"/>
          <w:sz w:val="22"/>
        </w:rPr>
        <w:t> </w:t>
      </w:r>
      <w:r>
        <w:rPr>
          <w:rFonts w:ascii="Calibri" w:hAnsi="Calibri"/>
          <w:sz w:val="22"/>
        </w:rPr>
        <w:t>yn</w:t>
      </w:r>
      <w:r>
        <w:rPr>
          <w:rFonts w:ascii="Calibri" w:hAnsi="Calibri"/>
          <w:spacing w:val="-3"/>
          <w:sz w:val="22"/>
        </w:rPr>
        <w:t> </w:t>
      </w:r>
      <w:r>
        <w:rPr>
          <w:rFonts w:ascii="Calibri" w:hAnsi="Calibri"/>
          <w:sz w:val="22"/>
        </w:rPr>
        <w:t>parhau</w:t>
      </w:r>
      <w:r>
        <w:rPr>
          <w:rFonts w:ascii="Calibri" w:hAnsi="Calibri"/>
          <w:spacing w:val="-4"/>
          <w:sz w:val="22"/>
        </w:rPr>
        <w:t> </w:t>
      </w:r>
      <w:r>
        <w:rPr>
          <w:rFonts w:ascii="Calibri" w:hAnsi="Calibri"/>
          <w:sz w:val="22"/>
        </w:rPr>
        <w:t>i</w:t>
      </w:r>
      <w:r>
        <w:rPr>
          <w:rFonts w:ascii="Calibri" w:hAnsi="Calibri"/>
          <w:spacing w:val="-3"/>
          <w:sz w:val="22"/>
        </w:rPr>
        <w:t> </w:t>
      </w:r>
      <w:r>
        <w:rPr>
          <w:rFonts w:ascii="Calibri" w:hAnsi="Calibri"/>
          <w:sz w:val="22"/>
        </w:rPr>
        <w:t>ymrwymo</w:t>
      </w:r>
      <w:r>
        <w:rPr>
          <w:rFonts w:ascii="Calibri" w:hAnsi="Calibri"/>
          <w:spacing w:val="-3"/>
          <w:sz w:val="22"/>
        </w:rPr>
        <w:t> </w:t>
      </w:r>
      <w:r>
        <w:rPr>
          <w:rFonts w:ascii="Calibri" w:hAnsi="Calibri"/>
          <w:sz w:val="22"/>
        </w:rPr>
        <w:t>i</w:t>
      </w:r>
      <w:r>
        <w:rPr>
          <w:rFonts w:ascii="Calibri" w:hAnsi="Calibri"/>
          <w:spacing w:val="-4"/>
          <w:sz w:val="22"/>
        </w:rPr>
        <w:t> </w:t>
      </w:r>
      <w:r>
        <w:rPr>
          <w:rFonts w:ascii="Calibri" w:hAnsi="Calibri"/>
          <w:sz w:val="22"/>
        </w:rPr>
        <w:t>ddarparu</w:t>
      </w:r>
      <w:r>
        <w:rPr>
          <w:rFonts w:ascii="Calibri" w:hAnsi="Calibri"/>
          <w:spacing w:val="-4"/>
          <w:sz w:val="22"/>
        </w:rPr>
        <w:t> </w:t>
      </w:r>
      <w:r>
        <w:rPr>
          <w:rFonts w:ascii="Calibri" w:hAnsi="Calibri"/>
          <w:sz w:val="22"/>
        </w:rPr>
        <w:t>ein</w:t>
      </w:r>
      <w:r>
        <w:rPr>
          <w:rFonts w:ascii="Calibri" w:hAnsi="Calibri"/>
          <w:spacing w:val="-3"/>
          <w:sz w:val="22"/>
        </w:rPr>
        <w:t> </w:t>
      </w:r>
      <w:r>
        <w:rPr>
          <w:rFonts w:ascii="Calibri" w:hAnsi="Calibri"/>
          <w:sz w:val="22"/>
        </w:rPr>
        <w:t>gwasanaethau yn y ddwy iaith a hefyd i annog hyder wrth ddefnyddio’r Gymraeg yn y gwaith o ddydd i ddydd yn </w:t>
      </w:r>
      <w:r>
        <w:rPr>
          <w:rFonts w:ascii="Calibri" w:hAnsi="Calibri"/>
          <w:spacing w:val="-2"/>
          <w:sz w:val="22"/>
        </w:rPr>
        <w:t>PCGC.</w:t>
      </w:r>
    </w:p>
    <w:p>
      <w:pPr>
        <w:pStyle w:val="BodyText"/>
        <w:spacing w:before="8"/>
        <w:rPr>
          <w:rFonts w:ascii="Calibri"/>
          <w:sz w:val="23"/>
        </w:rPr>
      </w:pPr>
    </w:p>
    <w:p>
      <w:pPr>
        <w:spacing w:line="259" w:lineRule="auto" w:before="0"/>
        <w:ind w:left="1440" w:right="1547" w:firstLine="0"/>
        <w:jc w:val="left"/>
        <w:rPr>
          <w:rFonts w:ascii="Calibri" w:hAnsi="Calibri"/>
          <w:sz w:val="22"/>
        </w:rPr>
      </w:pPr>
      <w:r>
        <w:rPr>
          <w:rFonts w:ascii="Calibri" w:hAnsi="Calibri"/>
          <w:sz w:val="22"/>
        </w:rPr>
        <w:t>Roedd amgylchiadau’n parhau i fod yn heriol i ni fel sefydliad yn ystod 2021/22. Bu’r staff yn gweithio</w:t>
      </w:r>
      <w:r>
        <w:rPr>
          <w:rFonts w:ascii="Calibri" w:hAnsi="Calibri"/>
          <w:spacing w:val="-3"/>
          <w:sz w:val="22"/>
        </w:rPr>
        <w:t> </w:t>
      </w:r>
      <w:r>
        <w:rPr>
          <w:rFonts w:ascii="Calibri" w:hAnsi="Calibri"/>
          <w:sz w:val="22"/>
        </w:rPr>
        <w:t>tuag</w:t>
      </w:r>
      <w:r>
        <w:rPr>
          <w:rFonts w:ascii="Calibri" w:hAnsi="Calibri"/>
          <w:spacing w:val="-3"/>
          <w:sz w:val="22"/>
        </w:rPr>
        <w:t> </w:t>
      </w:r>
      <w:r>
        <w:rPr>
          <w:rFonts w:ascii="Calibri" w:hAnsi="Calibri"/>
          <w:sz w:val="22"/>
        </w:rPr>
        <w:t>at</w:t>
      </w:r>
      <w:r>
        <w:rPr>
          <w:rFonts w:ascii="Calibri" w:hAnsi="Calibri"/>
          <w:spacing w:val="-4"/>
          <w:sz w:val="22"/>
        </w:rPr>
        <w:t> </w:t>
      </w:r>
      <w:r>
        <w:rPr>
          <w:rFonts w:ascii="Calibri" w:hAnsi="Calibri"/>
          <w:sz w:val="22"/>
        </w:rPr>
        <w:t>gyflawni</w:t>
      </w:r>
      <w:r>
        <w:rPr>
          <w:rFonts w:ascii="Calibri" w:hAnsi="Calibri"/>
          <w:spacing w:val="-3"/>
          <w:sz w:val="22"/>
        </w:rPr>
        <w:t> </w:t>
      </w:r>
      <w:r>
        <w:rPr>
          <w:rFonts w:ascii="Calibri" w:hAnsi="Calibri"/>
          <w:sz w:val="22"/>
        </w:rPr>
        <w:t>nodau’r</w:t>
      </w:r>
      <w:r>
        <w:rPr>
          <w:rFonts w:ascii="Calibri" w:hAnsi="Calibri"/>
          <w:spacing w:val="-3"/>
          <w:sz w:val="22"/>
        </w:rPr>
        <w:t> </w:t>
      </w:r>
      <w:r>
        <w:rPr>
          <w:rFonts w:ascii="Calibri" w:hAnsi="Calibri"/>
          <w:sz w:val="22"/>
        </w:rPr>
        <w:t>Bartneriaeth</w:t>
      </w:r>
      <w:r>
        <w:rPr>
          <w:rFonts w:ascii="Calibri" w:hAnsi="Calibri"/>
          <w:spacing w:val="-3"/>
          <w:sz w:val="22"/>
        </w:rPr>
        <w:t> </w:t>
      </w:r>
      <w:r>
        <w:rPr>
          <w:rFonts w:ascii="Calibri" w:hAnsi="Calibri"/>
          <w:sz w:val="22"/>
        </w:rPr>
        <w:t>yng</w:t>
      </w:r>
      <w:r>
        <w:rPr>
          <w:rFonts w:ascii="Calibri" w:hAnsi="Calibri"/>
          <w:spacing w:val="-3"/>
          <w:sz w:val="22"/>
        </w:rPr>
        <w:t> </w:t>
      </w:r>
      <w:r>
        <w:rPr>
          <w:rFonts w:ascii="Calibri" w:hAnsi="Calibri"/>
          <w:sz w:val="22"/>
        </w:rPr>
        <w:t>nghyd-destun</w:t>
      </w:r>
      <w:r>
        <w:rPr>
          <w:rFonts w:ascii="Calibri" w:hAnsi="Calibri"/>
          <w:spacing w:val="-3"/>
          <w:sz w:val="22"/>
        </w:rPr>
        <w:t> </w:t>
      </w:r>
      <w:r>
        <w:rPr>
          <w:rFonts w:ascii="Calibri" w:hAnsi="Calibri"/>
          <w:sz w:val="22"/>
        </w:rPr>
        <w:t>pandemig</w:t>
      </w:r>
      <w:r>
        <w:rPr>
          <w:rFonts w:ascii="Calibri" w:hAnsi="Calibri"/>
          <w:spacing w:val="-3"/>
          <w:sz w:val="22"/>
        </w:rPr>
        <w:t> </w:t>
      </w:r>
      <w:r>
        <w:rPr>
          <w:rFonts w:ascii="Calibri" w:hAnsi="Calibri"/>
          <w:sz w:val="22"/>
        </w:rPr>
        <w:t>COVID19,</w:t>
      </w:r>
      <w:r>
        <w:rPr>
          <w:rFonts w:ascii="Calibri" w:hAnsi="Calibri"/>
          <w:spacing w:val="-4"/>
          <w:sz w:val="22"/>
        </w:rPr>
        <w:t> </w:t>
      </w:r>
      <w:r>
        <w:rPr>
          <w:rFonts w:ascii="Calibri" w:hAnsi="Calibri"/>
          <w:sz w:val="22"/>
        </w:rPr>
        <w:t>a</w:t>
      </w:r>
      <w:r>
        <w:rPr>
          <w:rFonts w:ascii="Calibri" w:hAnsi="Calibri"/>
          <w:spacing w:val="-4"/>
          <w:sz w:val="22"/>
        </w:rPr>
        <w:t> </w:t>
      </w:r>
      <w:r>
        <w:rPr>
          <w:rFonts w:ascii="Calibri" w:hAnsi="Calibri"/>
          <w:sz w:val="22"/>
        </w:rPr>
        <w:t>hynny</w:t>
      </w:r>
      <w:r>
        <w:rPr>
          <w:rFonts w:ascii="Calibri" w:hAnsi="Calibri"/>
          <w:spacing w:val="-4"/>
          <w:sz w:val="22"/>
        </w:rPr>
        <w:t> </w:t>
      </w:r>
      <w:r>
        <w:rPr>
          <w:rFonts w:ascii="Calibri" w:hAnsi="Calibri"/>
          <w:sz w:val="22"/>
        </w:rPr>
        <w:t>wrth ddal i fyny â gweithrediadau, prosiectau a chynlluniau a gafodd eu gohirio yn ystod y flwyddyn flaenorol.</w:t>
      </w:r>
      <w:r>
        <w:rPr>
          <w:rFonts w:ascii="Calibri" w:hAnsi="Calibri"/>
          <w:spacing w:val="40"/>
          <w:sz w:val="22"/>
        </w:rPr>
        <w:t> </w:t>
      </w:r>
      <w:r>
        <w:rPr>
          <w:rFonts w:ascii="Calibri" w:hAnsi="Calibri"/>
          <w:sz w:val="22"/>
        </w:rPr>
        <w:t>Mae’n rhaid i ni barhau i adolygu ein blaenoriaethau er mwyn ystyried gofynion sefydliadau eraill y GIG, ymateb iddynt a’u cefnogi yn ystod y pandemig.</w:t>
      </w:r>
    </w:p>
    <w:p>
      <w:pPr>
        <w:pStyle w:val="BodyText"/>
        <w:spacing w:before="8"/>
        <w:rPr>
          <w:rFonts w:ascii="Calibri"/>
          <w:sz w:val="23"/>
        </w:rPr>
      </w:pPr>
    </w:p>
    <w:p>
      <w:pPr>
        <w:spacing w:line="259" w:lineRule="auto" w:before="0"/>
        <w:ind w:left="1440" w:right="1547" w:firstLine="0"/>
        <w:jc w:val="left"/>
        <w:rPr>
          <w:rFonts w:ascii="Calibri" w:hAnsi="Calibri"/>
          <w:sz w:val="22"/>
        </w:rPr>
      </w:pPr>
      <w:r>
        <w:rPr>
          <w:rFonts w:ascii="Calibri" w:hAnsi="Calibri"/>
          <w:sz w:val="22"/>
        </w:rPr>
        <w:t>Parhaodd PCGC i weithio yn ystod cyfnod anodd a heriol drwy gydol 2021/22. Gwnaethpwyd cynlluniau,</w:t>
      </w:r>
      <w:r>
        <w:rPr>
          <w:rFonts w:ascii="Calibri" w:hAnsi="Calibri"/>
          <w:spacing w:val="-4"/>
          <w:sz w:val="22"/>
        </w:rPr>
        <w:t> </w:t>
      </w:r>
      <w:r>
        <w:rPr>
          <w:rFonts w:ascii="Calibri" w:hAnsi="Calibri"/>
          <w:sz w:val="22"/>
        </w:rPr>
        <w:t>cawsant</w:t>
      </w:r>
      <w:r>
        <w:rPr>
          <w:rFonts w:ascii="Calibri" w:hAnsi="Calibri"/>
          <w:spacing w:val="-3"/>
          <w:sz w:val="22"/>
        </w:rPr>
        <w:t> </w:t>
      </w:r>
      <w:r>
        <w:rPr>
          <w:rFonts w:ascii="Calibri" w:hAnsi="Calibri"/>
          <w:sz w:val="22"/>
        </w:rPr>
        <w:t>eu</w:t>
      </w:r>
      <w:r>
        <w:rPr>
          <w:rFonts w:ascii="Calibri" w:hAnsi="Calibri"/>
          <w:spacing w:val="-3"/>
          <w:sz w:val="22"/>
        </w:rPr>
        <w:t> </w:t>
      </w:r>
      <w:r>
        <w:rPr>
          <w:rFonts w:ascii="Calibri" w:hAnsi="Calibri"/>
          <w:sz w:val="22"/>
        </w:rPr>
        <w:t>gweithredu’n</w:t>
      </w:r>
      <w:r>
        <w:rPr>
          <w:rFonts w:ascii="Calibri" w:hAnsi="Calibri"/>
          <w:spacing w:val="-3"/>
          <w:sz w:val="22"/>
        </w:rPr>
        <w:t> </w:t>
      </w:r>
      <w:r>
        <w:rPr>
          <w:rFonts w:ascii="Calibri" w:hAnsi="Calibri"/>
          <w:sz w:val="22"/>
        </w:rPr>
        <w:t>gyflym</w:t>
      </w:r>
      <w:r>
        <w:rPr>
          <w:rFonts w:ascii="Calibri" w:hAnsi="Calibri"/>
          <w:spacing w:val="-3"/>
          <w:sz w:val="22"/>
        </w:rPr>
        <w:t> </w:t>
      </w:r>
      <w:r>
        <w:rPr>
          <w:rFonts w:ascii="Calibri" w:hAnsi="Calibri"/>
          <w:sz w:val="22"/>
        </w:rPr>
        <w:t>a’u</w:t>
      </w:r>
      <w:r>
        <w:rPr>
          <w:rFonts w:ascii="Calibri" w:hAnsi="Calibri"/>
          <w:spacing w:val="-3"/>
          <w:sz w:val="22"/>
        </w:rPr>
        <w:t> </w:t>
      </w:r>
      <w:r>
        <w:rPr>
          <w:rFonts w:ascii="Calibri" w:hAnsi="Calibri"/>
          <w:sz w:val="22"/>
        </w:rPr>
        <w:t>hailasesu’n</w:t>
      </w:r>
      <w:r>
        <w:rPr>
          <w:rFonts w:ascii="Calibri" w:hAnsi="Calibri"/>
          <w:spacing w:val="-4"/>
          <w:sz w:val="22"/>
        </w:rPr>
        <w:t> </w:t>
      </w:r>
      <w:r>
        <w:rPr>
          <w:rFonts w:ascii="Calibri" w:hAnsi="Calibri"/>
          <w:sz w:val="22"/>
        </w:rPr>
        <w:t>ddyddiol</w:t>
      </w:r>
      <w:r>
        <w:rPr>
          <w:rFonts w:ascii="Calibri" w:hAnsi="Calibri"/>
          <w:spacing w:val="-3"/>
          <w:sz w:val="22"/>
        </w:rPr>
        <w:t> </w:t>
      </w:r>
      <w:r>
        <w:rPr>
          <w:rFonts w:ascii="Calibri" w:hAnsi="Calibri"/>
          <w:sz w:val="22"/>
        </w:rPr>
        <w:t>i</w:t>
      </w:r>
      <w:r>
        <w:rPr>
          <w:rFonts w:ascii="Calibri" w:hAnsi="Calibri"/>
          <w:spacing w:val="-4"/>
          <w:sz w:val="22"/>
        </w:rPr>
        <w:t> </w:t>
      </w:r>
      <w:r>
        <w:rPr>
          <w:rFonts w:ascii="Calibri" w:hAnsi="Calibri"/>
          <w:sz w:val="22"/>
        </w:rPr>
        <w:t>fodloni</w:t>
      </w:r>
      <w:r>
        <w:rPr>
          <w:rFonts w:ascii="Calibri" w:hAnsi="Calibri"/>
          <w:spacing w:val="-4"/>
          <w:sz w:val="22"/>
        </w:rPr>
        <w:t> </w:t>
      </w:r>
      <w:r>
        <w:rPr>
          <w:rFonts w:ascii="Calibri" w:hAnsi="Calibri"/>
          <w:sz w:val="22"/>
        </w:rPr>
        <w:t>gofynion</w:t>
      </w:r>
      <w:r>
        <w:rPr>
          <w:rFonts w:ascii="Calibri" w:hAnsi="Calibri"/>
          <w:spacing w:val="-3"/>
          <w:sz w:val="22"/>
        </w:rPr>
        <w:t> </w:t>
      </w:r>
      <w:r>
        <w:rPr>
          <w:rFonts w:ascii="Calibri" w:hAnsi="Calibri"/>
          <w:sz w:val="22"/>
        </w:rPr>
        <w:t>cyfnewidiol. Mae’r staff wedi dangos, ac yn parhau i ddangos, ymroddiad ac ymrwymiad i sicrhau bod ein defnyddwyr gwasanaeth yn derbyn eu gwasanaethau yn eu dewis iaith a bod gwasanaeth dwyieithog yn cael ei ddarparu.</w:t>
      </w:r>
    </w:p>
    <w:p>
      <w:pPr>
        <w:spacing w:after="0" w:line="259" w:lineRule="auto"/>
        <w:jc w:val="left"/>
        <w:rPr>
          <w:rFonts w:ascii="Calibri" w:hAnsi="Calibri"/>
          <w:sz w:val="22"/>
        </w:rPr>
        <w:sectPr>
          <w:pgSz w:w="11910" w:h="16840"/>
          <w:pgMar w:header="0" w:footer="173" w:top="1920" w:bottom="360" w:left="0" w:right="0"/>
        </w:sectPr>
      </w:pPr>
    </w:p>
    <w:p>
      <w:pPr>
        <w:pStyle w:val="BodyText"/>
        <w:rPr>
          <w:rFonts w:ascii="Calibri"/>
          <w:sz w:val="20"/>
        </w:rPr>
      </w:pPr>
    </w:p>
    <w:p>
      <w:pPr>
        <w:pStyle w:val="BodyText"/>
        <w:spacing w:before="10"/>
        <w:rPr>
          <w:rFonts w:ascii="Calibri"/>
          <w:sz w:val="21"/>
        </w:rPr>
      </w:pPr>
    </w:p>
    <w:p>
      <w:pPr>
        <w:pStyle w:val="Heading7"/>
        <w:spacing w:before="44"/>
      </w:pPr>
      <w:r>
        <w:rPr/>
        <w:t>Cefndir</w:t>
      </w:r>
      <w:r>
        <w:rPr>
          <w:spacing w:val="-3"/>
        </w:rPr>
        <w:t> </w:t>
      </w:r>
      <w:r>
        <w:rPr/>
        <w:t>–</w:t>
      </w:r>
      <w:r>
        <w:rPr>
          <w:spacing w:val="-2"/>
        </w:rPr>
        <w:t> </w:t>
      </w:r>
      <w:r>
        <w:rPr/>
        <w:t>Dyletswydd</w:t>
      </w:r>
      <w:r>
        <w:rPr>
          <w:spacing w:val="-3"/>
        </w:rPr>
        <w:t> </w:t>
      </w:r>
      <w:r>
        <w:rPr/>
        <w:t>Safonau'r</w:t>
      </w:r>
      <w:r>
        <w:rPr>
          <w:spacing w:val="-2"/>
        </w:rPr>
        <w:t> Gymraeg</w:t>
      </w:r>
    </w:p>
    <w:p>
      <w:pPr>
        <w:spacing w:before="27"/>
        <w:ind w:left="1440" w:right="1405" w:firstLine="0"/>
        <w:jc w:val="left"/>
        <w:rPr>
          <w:rFonts w:ascii="Calibri" w:hAnsi="Calibri"/>
          <w:sz w:val="22"/>
        </w:rPr>
      </w:pPr>
      <w:r>
        <w:rPr>
          <w:rFonts w:ascii="Calibri" w:hAnsi="Calibri"/>
          <w:sz w:val="22"/>
        </w:rPr>
        <w:t>Mae Mesur y Gymraeg (Cymru) 2011 yn sefydlu fframwaith cyfreithiol sy’n gosod dyletswydd ar Bartneriaeth</w:t>
      </w:r>
      <w:r>
        <w:rPr>
          <w:rFonts w:ascii="Calibri" w:hAnsi="Calibri"/>
          <w:spacing w:val="-3"/>
          <w:sz w:val="22"/>
        </w:rPr>
        <w:t> </w:t>
      </w:r>
      <w:r>
        <w:rPr>
          <w:rFonts w:ascii="Calibri" w:hAnsi="Calibri"/>
          <w:sz w:val="22"/>
        </w:rPr>
        <w:t>Cydwasanaethau</w:t>
      </w:r>
      <w:r>
        <w:rPr>
          <w:rFonts w:ascii="Calibri" w:hAnsi="Calibri"/>
          <w:spacing w:val="-3"/>
          <w:sz w:val="22"/>
        </w:rPr>
        <w:t> </w:t>
      </w:r>
      <w:r>
        <w:rPr>
          <w:rFonts w:ascii="Calibri" w:hAnsi="Calibri"/>
          <w:sz w:val="22"/>
        </w:rPr>
        <w:t>GIG</w:t>
      </w:r>
      <w:r>
        <w:rPr>
          <w:rFonts w:ascii="Calibri" w:hAnsi="Calibri"/>
          <w:spacing w:val="-3"/>
          <w:sz w:val="22"/>
        </w:rPr>
        <w:t> </w:t>
      </w:r>
      <w:r>
        <w:rPr>
          <w:rFonts w:ascii="Calibri" w:hAnsi="Calibri"/>
          <w:sz w:val="22"/>
        </w:rPr>
        <w:t>Cymru</w:t>
      </w:r>
      <w:r>
        <w:rPr>
          <w:rFonts w:ascii="Calibri" w:hAnsi="Calibri"/>
          <w:spacing w:val="-3"/>
          <w:sz w:val="22"/>
        </w:rPr>
        <w:t> </w:t>
      </w:r>
      <w:r>
        <w:rPr>
          <w:rFonts w:ascii="Calibri" w:hAnsi="Calibri"/>
          <w:sz w:val="22"/>
        </w:rPr>
        <w:t>(PCGC)</w:t>
      </w:r>
      <w:r>
        <w:rPr>
          <w:rFonts w:ascii="Calibri" w:hAnsi="Calibri"/>
          <w:spacing w:val="-3"/>
          <w:sz w:val="22"/>
        </w:rPr>
        <w:t> </w:t>
      </w:r>
      <w:r>
        <w:rPr>
          <w:rFonts w:ascii="Calibri" w:hAnsi="Calibri"/>
          <w:sz w:val="22"/>
        </w:rPr>
        <w:t>i</w:t>
      </w:r>
      <w:r>
        <w:rPr>
          <w:rFonts w:ascii="Calibri" w:hAnsi="Calibri"/>
          <w:spacing w:val="-4"/>
          <w:sz w:val="22"/>
        </w:rPr>
        <w:t> </w:t>
      </w:r>
      <w:r>
        <w:rPr>
          <w:rFonts w:ascii="Calibri" w:hAnsi="Calibri"/>
          <w:sz w:val="22"/>
        </w:rPr>
        <w:t>gydymffurfio</w:t>
      </w:r>
      <w:r>
        <w:rPr>
          <w:rFonts w:ascii="Calibri" w:hAnsi="Calibri"/>
          <w:spacing w:val="-3"/>
          <w:sz w:val="22"/>
        </w:rPr>
        <w:t> </w:t>
      </w:r>
      <w:r>
        <w:rPr>
          <w:rFonts w:ascii="Calibri" w:hAnsi="Calibri"/>
          <w:sz w:val="22"/>
        </w:rPr>
        <w:t>â</w:t>
      </w:r>
      <w:r>
        <w:rPr>
          <w:rFonts w:ascii="Calibri" w:hAnsi="Calibri"/>
          <w:spacing w:val="-4"/>
          <w:sz w:val="22"/>
        </w:rPr>
        <w:t> </w:t>
      </w:r>
      <w:r>
        <w:rPr>
          <w:rFonts w:ascii="Calibri" w:hAnsi="Calibri"/>
          <w:sz w:val="22"/>
        </w:rPr>
        <w:t>Safonau’r</w:t>
      </w:r>
      <w:r>
        <w:rPr>
          <w:rFonts w:ascii="Calibri" w:hAnsi="Calibri"/>
          <w:spacing w:val="-3"/>
          <w:sz w:val="22"/>
        </w:rPr>
        <w:t> </w:t>
      </w:r>
      <w:r>
        <w:rPr>
          <w:rFonts w:ascii="Calibri" w:hAnsi="Calibri"/>
          <w:sz w:val="22"/>
        </w:rPr>
        <w:t>Gymraeg</w:t>
      </w:r>
      <w:r>
        <w:rPr>
          <w:rFonts w:ascii="Calibri" w:hAnsi="Calibri"/>
          <w:spacing w:val="-3"/>
          <w:sz w:val="22"/>
        </w:rPr>
        <w:t> </w:t>
      </w:r>
      <w:r>
        <w:rPr>
          <w:rFonts w:ascii="Calibri" w:hAnsi="Calibri"/>
          <w:sz w:val="22"/>
        </w:rPr>
        <w:t>(rhif</w:t>
      </w:r>
      <w:r>
        <w:rPr>
          <w:rFonts w:ascii="Calibri" w:hAnsi="Calibri"/>
          <w:spacing w:val="-4"/>
          <w:sz w:val="22"/>
        </w:rPr>
        <w:t> </w:t>
      </w:r>
      <w:r>
        <w:rPr>
          <w:rFonts w:ascii="Calibri" w:hAnsi="Calibri"/>
          <w:sz w:val="22"/>
        </w:rPr>
        <w:t>7)</w:t>
      </w:r>
      <w:r>
        <w:rPr>
          <w:rFonts w:ascii="Calibri" w:hAnsi="Calibri"/>
          <w:spacing w:val="-3"/>
          <w:sz w:val="22"/>
        </w:rPr>
        <w:t> </w:t>
      </w:r>
      <w:r>
        <w:rPr>
          <w:rFonts w:ascii="Calibri" w:hAnsi="Calibri"/>
          <w:sz w:val="22"/>
        </w:rPr>
        <w:t>mewn perthynas â’r Gymraeg.</w:t>
      </w:r>
    </w:p>
    <w:p>
      <w:pPr>
        <w:pStyle w:val="BodyText"/>
        <w:rPr>
          <w:rFonts w:ascii="Calibri"/>
          <w:sz w:val="22"/>
        </w:rPr>
      </w:pPr>
    </w:p>
    <w:p>
      <w:pPr>
        <w:spacing w:before="0"/>
        <w:ind w:left="1440" w:right="0" w:firstLine="0"/>
        <w:jc w:val="left"/>
        <w:rPr>
          <w:rFonts w:ascii="Calibri" w:hAnsi="Calibri"/>
          <w:sz w:val="22"/>
        </w:rPr>
      </w:pPr>
      <w:r>
        <w:rPr>
          <w:rFonts w:ascii="Calibri" w:hAnsi="Calibri"/>
          <w:sz w:val="22"/>
        </w:rPr>
        <w:t>Mae’r</w:t>
      </w:r>
      <w:r>
        <w:rPr>
          <w:rFonts w:ascii="Calibri" w:hAnsi="Calibri"/>
          <w:spacing w:val="-4"/>
          <w:sz w:val="22"/>
        </w:rPr>
        <w:t> </w:t>
      </w:r>
      <w:r>
        <w:rPr>
          <w:rFonts w:ascii="Calibri" w:hAnsi="Calibri"/>
          <w:sz w:val="22"/>
        </w:rPr>
        <w:t>safonau</w:t>
      </w:r>
      <w:r>
        <w:rPr>
          <w:rFonts w:ascii="Calibri" w:hAnsi="Calibri"/>
          <w:spacing w:val="-2"/>
          <w:sz w:val="22"/>
        </w:rPr>
        <w:t> </w:t>
      </w:r>
      <w:r>
        <w:rPr>
          <w:rFonts w:ascii="Calibri" w:hAnsi="Calibri"/>
          <w:sz w:val="22"/>
        </w:rPr>
        <w:t>unigol</w:t>
      </w:r>
      <w:r>
        <w:rPr>
          <w:rFonts w:ascii="Calibri" w:hAnsi="Calibri"/>
          <w:spacing w:val="-2"/>
          <w:sz w:val="22"/>
        </w:rPr>
        <w:t> </w:t>
      </w:r>
      <w:r>
        <w:rPr>
          <w:rFonts w:ascii="Calibri" w:hAnsi="Calibri"/>
          <w:sz w:val="22"/>
        </w:rPr>
        <w:t>yn</w:t>
      </w:r>
      <w:r>
        <w:rPr>
          <w:rFonts w:ascii="Calibri" w:hAnsi="Calibri"/>
          <w:spacing w:val="-2"/>
          <w:sz w:val="22"/>
        </w:rPr>
        <w:t> </w:t>
      </w:r>
      <w:r>
        <w:rPr>
          <w:rFonts w:ascii="Calibri" w:hAnsi="Calibri"/>
          <w:sz w:val="22"/>
        </w:rPr>
        <w:t>egluro</w:t>
      </w:r>
      <w:r>
        <w:rPr>
          <w:rFonts w:ascii="Calibri" w:hAnsi="Calibri"/>
          <w:spacing w:val="-1"/>
          <w:sz w:val="22"/>
        </w:rPr>
        <w:t> </w:t>
      </w:r>
      <w:r>
        <w:rPr>
          <w:rFonts w:ascii="Calibri" w:hAnsi="Calibri"/>
          <w:sz w:val="22"/>
        </w:rPr>
        <w:t>sut</w:t>
      </w:r>
      <w:r>
        <w:rPr>
          <w:rFonts w:ascii="Calibri" w:hAnsi="Calibri"/>
          <w:spacing w:val="-2"/>
          <w:sz w:val="22"/>
        </w:rPr>
        <w:t> </w:t>
      </w:r>
      <w:r>
        <w:rPr>
          <w:rFonts w:ascii="Calibri" w:hAnsi="Calibri"/>
          <w:sz w:val="22"/>
        </w:rPr>
        <w:t>y</w:t>
      </w:r>
      <w:r>
        <w:rPr>
          <w:rFonts w:ascii="Calibri" w:hAnsi="Calibri"/>
          <w:spacing w:val="-2"/>
          <w:sz w:val="22"/>
        </w:rPr>
        <w:t> </w:t>
      </w:r>
      <w:r>
        <w:rPr>
          <w:rFonts w:ascii="Calibri" w:hAnsi="Calibri"/>
          <w:sz w:val="22"/>
        </w:rPr>
        <w:t>disgwylir</w:t>
      </w:r>
      <w:r>
        <w:rPr>
          <w:rFonts w:ascii="Calibri" w:hAnsi="Calibri"/>
          <w:spacing w:val="-1"/>
          <w:sz w:val="22"/>
        </w:rPr>
        <w:t> </w:t>
      </w:r>
      <w:r>
        <w:rPr>
          <w:rFonts w:ascii="Calibri" w:hAnsi="Calibri"/>
          <w:sz w:val="22"/>
        </w:rPr>
        <w:t>i</w:t>
      </w:r>
      <w:r>
        <w:rPr>
          <w:rFonts w:ascii="Calibri" w:hAnsi="Calibri"/>
          <w:spacing w:val="-2"/>
          <w:sz w:val="22"/>
        </w:rPr>
        <w:t> </w:t>
      </w:r>
      <w:r>
        <w:rPr>
          <w:rFonts w:ascii="Calibri" w:hAnsi="Calibri"/>
          <w:sz w:val="22"/>
        </w:rPr>
        <w:t>ni</w:t>
      </w:r>
      <w:r>
        <w:rPr>
          <w:rFonts w:ascii="Calibri" w:hAnsi="Calibri"/>
          <w:spacing w:val="-3"/>
          <w:sz w:val="22"/>
        </w:rPr>
        <w:t> </w:t>
      </w:r>
      <w:r>
        <w:rPr>
          <w:rFonts w:ascii="Calibri" w:hAnsi="Calibri"/>
          <w:sz w:val="22"/>
        </w:rPr>
        <w:t>wneud</w:t>
      </w:r>
      <w:r>
        <w:rPr>
          <w:rFonts w:ascii="Calibri" w:hAnsi="Calibri"/>
          <w:spacing w:val="-1"/>
          <w:sz w:val="22"/>
        </w:rPr>
        <w:t> </w:t>
      </w:r>
      <w:r>
        <w:rPr>
          <w:rFonts w:ascii="Calibri" w:hAnsi="Calibri"/>
          <w:sz w:val="22"/>
        </w:rPr>
        <w:t>y</w:t>
      </w:r>
      <w:r>
        <w:rPr>
          <w:rFonts w:ascii="Calibri" w:hAnsi="Calibri"/>
          <w:spacing w:val="-1"/>
          <w:sz w:val="22"/>
        </w:rPr>
        <w:t> </w:t>
      </w:r>
      <w:r>
        <w:rPr>
          <w:rFonts w:ascii="Calibri" w:hAnsi="Calibri"/>
          <w:spacing w:val="-2"/>
          <w:sz w:val="22"/>
        </w:rPr>
        <w:t>canlynol:</w:t>
      </w:r>
    </w:p>
    <w:p>
      <w:pPr>
        <w:pStyle w:val="ListParagraph"/>
        <w:numPr>
          <w:ilvl w:val="0"/>
          <w:numId w:val="47"/>
        </w:numPr>
        <w:tabs>
          <w:tab w:pos="2204" w:val="left" w:leader="none"/>
          <w:tab w:pos="2205" w:val="left" w:leader="none"/>
        </w:tabs>
        <w:spacing w:line="240" w:lineRule="auto" w:before="0" w:after="0"/>
        <w:ind w:left="2204" w:right="0" w:hanging="360"/>
        <w:jc w:val="left"/>
        <w:rPr>
          <w:rFonts w:ascii="Calibri" w:hAnsi="Calibri"/>
          <w:sz w:val="22"/>
        </w:rPr>
      </w:pPr>
      <w:r>
        <w:rPr>
          <w:rFonts w:ascii="Calibri" w:hAnsi="Calibri"/>
          <w:sz w:val="22"/>
        </w:rPr>
        <w:t>Datblygu</w:t>
      </w:r>
      <w:r>
        <w:rPr>
          <w:rFonts w:ascii="Calibri" w:hAnsi="Calibri"/>
          <w:spacing w:val="-4"/>
          <w:sz w:val="22"/>
        </w:rPr>
        <w:t> </w:t>
      </w:r>
      <w:r>
        <w:rPr>
          <w:rFonts w:ascii="Calibri" w:hAnsi="Calibri"/>
          <w:sz w:val="22"/>
        </w:rPr>
        <w:t>a</w:t>
      </w:r>
      <w:r>
        <w:rPr>
          <w:rFonts w:ascii="Calibri" w:hAnsi="Calibri"/>
          <w:spacing w:val="-2"/>
          <w:sz w:val="22"/>
        </w:rPr>
        <w:t> </w:t>
      </w:r>
      <w:r>
        <w:rPr>
          <w:rFonts w:ascii="Calibri" w:hAnsi="Calibri"/>
          <w:sz w:val="22"/>
        </w:rPr>
        <w:t>darparu</w:t>
      </w:r>
      <w:r>
        <w:rPr>
          <w:rFonts w:ascii="Calibri" w:hAnsi="Calibri"/>
          <w:spacing w:val="-1"/>
          <w:sz w:val="22"/>
        </w:rPr>
        <w:t> </w:t>
      </w:r>
      <w:r>
        <w:rPr>
          <w:rFonts w:ascii="Calibri" w:hAnsi="Calibri"/>
          <w:sz w:val="22"/>
        </w:rPr>
        <w:t>ein</w:t>
      </w:r>
      <w:r>
        <w:rPr>
          <w:rFonts w:ascii="Calibri" w:hAnsi="Calibri"/>
          <w:spacing w:val="-2"/>
          <w:sz w:val="22"/>
        </w:rPr>
        <w:t> </w:t>
      </w:r>
      <w:r>
        <w:rPr>
          <w:rFonts w:ascii="Calibri" w:hAnsi="Calibri"/>
          <w:sz w:val="22"/>
        </w:rPr>
        <w:t>gwasanaethau</w:t>
      </w:r>
      <w:r>
        <w:rPr>
          <w:rFonts w:ascii="Calibri" w:hAnsi="Calibri"/>
          <w:spacing w:val="-1"/>
          <w:sz w:val="22"/>
        </w:rPr>
        <w:t> </w:t>
      </w:r>
      <w:r>
        <w:rPr>
          <w:rFonts w:ascii="Calibri" w:hAnsi="Calibri"/>
          <w:sz w:val="22"/>
        </w:rPr>
        <w:t>drwy</w:t>
      </w:r>
      <w:r>
        <w:rPr>
          <w:rFonts w:ascii="Calibri" w:hAnsi="Calibri"/>
          <w:spacing w:val="-2"/>
          <w:sz w:val="22"/>
        </w:rPr>
        <w:t> </w:t>
      </w:r>
      <w:r>
        <w:rPr>
          <w:rFonts w:ascii="Calibri" w:hAnsi="Calibri"/>
          <w:sz w:val="22"/>
        </w:rPr>
        <w:t>gyfrwng</w:t>
      </w:r>
      <w:r>
        <w:rPr>
          <w:rFonts w:ascii="Calibri" w:hAnsi="Calibri"/>
          <w:spacing w:val="-1"/>
          <w:sz w:val="22"/>
        </w:rPr>
        <w:t> </w:t>
      </w:r>
      <w:r>
        <w:rPr>
          <w:rFonts w:ascii="Calibri" w:hAnsi="Calibri"/>
          <w:sz w:val="22"/>
        </w:rPr>
        <w:t>y</w:t>
      </w:r>
      <w:r>
        <w:rPr>
          <w:rFonts w:ascii="Calibri" w:hAnsi="Calibri"/>
          <w:spacing w:val="-2"/>
          <w:sz w:val="22"/>
        </w:rPr>
        <w:t> Gymraeg.</w:t>
      </w:r>
    </w:p>
    <w:p>
      <w:pPr>
        <w:pStyle w:val="ListParagraph"/>
        <w:numPr>
          <w:ilvl w:val="0"/>
          <w:numId w:val="47"/>
        </w:numPr>
        <w:tabs>
          <w:tab w:pos="2204" w:val="left" w:leader="none"/>
          <w:tab w:pos="2205" w:val="left" w:leader="none"/>
        </w:tabs>
        <w:spacing w:line="240" w:lineRule="auto" w:before="0" w:after="0"/>
        <w:ind w:left="2204" w:right="0" w:hanging="360"/>
        <w:jc w:val="left"/>
        <w:rPr>
          <w:rFonts w:ascii="Calibri" w:hAnsi="Calibri"/>
          <w:sz w:val="22"/>
        </w:rPr>
      </w:pPr>
      <w:r>
        <w:rPr>
          <w:rFonts w:ascii="Calibri" w:hAnsi="Calibri"/>
          <w:sz w:val="22"/>
        </w:rPr>
        <w:t>Datblygu</w:t>
      </w:r>
      <w:r>
        <w:rPr>
          <w:rFonts w:ascii="Calibri" w:hAnsi="Calibri"/>
          <w:spacing w:val="-6"/>
          <w:sz w:val="22"/>
        </w:rPr>
        <w:t> </w:t>
      </w:r>
      <w:r>
        <w:rPr>
          <w:rFonts w:ascii="Calibri" w:hAnsi="Calibri"/>
          <w:sz w:val="22"/>
        </w:rPr>
        <w:t>a</w:t>
      </w:r>
      <w:r>
        <w:rPr>
          <w:rFonts w:ascii="Calibri" w:hAnsi="Calibri"/>
          <w:spacing w:val="-3"/>
          <w:sz w:val="22"/>
        </w:rPr>
        <w:t> </w:t>
      </w:r>
      <w:r>
        <w:rPr>
          <w:rFonts w:ascii="Calibri" w:hAnsi="Calibri"/>
          <w:sz w:val="22"/>
        </w:rPr>
        <w:t>gweithredu</w:t>
      </w:r>
      <w:r>
        <w:rPr>
          <w:rFonts w:ascii="Calibri" w:hAnsi="Calibri"/>
          <w:spacing w:val="-2"/>
          <w:sz w:val="22"/>
        </w:rPr>
        <w:t> </w:t>
      </w:r>
      <w:r>
        <w:rPr>
          <w:rFonts w:ascii="Calibri" w:hAnsi="Calibri"/>
          <w:sz w:val="22"/>
        </w:rPr>
        <w:t>polisïau</w:t>
      </w:r>
      <w:r>
        <w:rPr>
          <w:rFonts w:ascii="Calibri" w:hAnsi="Calibri"/>
          <w:spacing w:val="-3"/>
          <w:sz w:val="22"/>
        </w:rPr>
        <w:t> </w:t>
      </w:r>
      <w:r>
        <w:rPr>
          <w:rFonts w:ascii="Calibri" w:hAnsi="Calibri"/>
          <w:sz w:val="22"/>
        </w:rPr>
        <w:t>a</w:t>
      </w:r>
      <w:r>
        <w:rPr>
          <w:rFonts w:ascii="Calibri" w:hAnsi="Calibri"/>
          <w:spacing w:val="-3"/>
          <w:sz w:val="22"/>
        </w:rPr>
        <w:t> </w:t>
      </w:r>
      <w:r>
        <w:rPr>
          <w:rFonts w:ascii="Calibri" w:hAnsi="Calibri"/>
          <w:sz w:val="22"/>
        </w:rPr>
        <w:t>phrotocolau</w:t>
      </w:r>
      <w:r>
        <w:rPr>
          <w:rFonts w:ascii="Calibri" w:hAnsi="Calibri"/>
          <w:spacing w:val="-4"/>
          <w:sz w:val="22"/>
        </w:rPr>
        <w:t> </w:t>
      </w:r>
      <w:r>
        <w:rPr>
          <w:rFonts w:ascii="Calibri" w:hAnsi="Calibri"/>
          <w:sz w:val="22"/>
        </w:rPr>
        <w:t>sy’n</w:t>
      </w:r>
      <w:r>
        <w:rPr>
          <w:rFonts w:ascii="Calibri" w:hAnsi="Calibri"/>
          <w:spacing w:val="-2"/>
          <w:sz w:val="22"/>
        </w:rPr>
        <w:t> </w:t>
      </w:r>
      <w:r>
        <w:rPr>
          <w:rFonts w:ascii="Calibri" w:hAnsi="Calibri"/>
          <w:sz w:val="22"/>
        </w:rPr>
        <w:t>cefnogi’r</w:t>
      </w:r>
      <w:r>
        <w:rPr>
          <w:rFonts w:ascii="Calibri" w:hAnsi="Calibri"/>
          <w:spacing w:val="-2"/>
          <w:sz w:val="22"/>
        </w:rPr>
        <w:t> </w:t>
      </w:r>
      <w:r>
        <w:rPr>
          <w:rFonts w:ascii="Calibri" w:hAnsi="Calibri"/>
          <w:sz w:val="22"/>
        </w:rPr>
        <w:t>defnydd</w:t>
      </w:r>
      <w:r>
        <w:rPr>
          <w:rFonts w:ascii="Calibri" w:hAnsi="Calibri"/>
          <w:spacing w:val="-3"/>
          <w:sz w:val="22"/>
        </w:rPr>
        <w:t> </w:t>
      </w:r>
      <w:r>
        <w:rPr>
          <w:rFonts w:ascii="Calibri" w:hAnsi="Calibri"/>
          <w:sz w:val="22"/>
        </w:rPr>
        <w:t>o’r</w:t>
      </w:r>
      <w:r>
        <w:rPr>
          <w:rFonts w:ascii="Calibri" w:hAnsi="Calibri"/>
          <w:spacing w:val="-3"/>
          <w:sz w:val="22"/>
        </w:rPr>
        <w:t> </w:t>
      </w:r>
      <w:r>
        <w:rPr>
          <w:rFonts w:ascii="Calibri" w:hAnsi="Calibri"/>
          <w:spacing w:val="-2"/>
          <w:sz w:val="22"/>
        </w:rPr>
        <w:t>Gymraeg.</w:t>
      </w:r>
    </w:p>
    <w:p>
      <w:pPr>
        <w:pStyle w:val="ListParagraph"/>
        <w:numPr>
          <w:ilvl w:val="0"/>
          <w:numId w:val="47"/>
        </w:numPr>
        <w:tabs>
          <w:tab w:pos="2204" w:val="left" w:leader="none"/>
          <w:tab w:pos="2205" w:val="left" w:leader="none"/>
        </w:tabs>
        <w:spacing w:line="240" w:lineRule="auto" w:before="0" w:after="0"/>
        <w:ind w:left="2204" w:right="0" w:hanging="360"/>
        <w:jc w:val="left"/>
        <w:rPr>
          <w:rFonts w:ascii="Calibri" w:hAnsi="Calibri"/>
          <w:sz w:val="22"/>
        </w:rPr>
      </w:pPr>
      <w:r>
        <w:rPr>
          <w:rFonts w:ascii="Calibri" w:hAnsi="Calibri"/>
          <w:sz w:val="22"/>
        </w:rPr>
        <w:t>Sicrhau</w:t>
      </w:r>
      <w:r>
        <w:rPr>
          <w:rFonts w:ascii="Calibri" w:hAnsi="Calibri"/>
          <w:spacing w:val="-2"/>
          <w:sz w:val="22"/>
        </w:rPr>
        <w:t> </w:t>
      </w:r>
      <w:r>
        <w:rPr>
          <w:rFonts w:ascii="Calibri" w:hAnsi="Calibri"/>
          <w:sz w:val="22"/>
        </w:rPr>
        <w:t>bod</w:t>
      </w:r>
      <w:r>
        <w:rPr>
          <w:rFonts w:ascii="Calibri" w:hAnsi="Calibri"/>
          <w:spacing w:val="-2"/>
          <w:sz w:val="22"/>
        </w:rPr>
        <w:t> </w:t>
      </w:r>
      <w:r>
        <w:rPr>
          <w:rFonts w:ascii="Calibri" w:hAnsi="Calibri"/>
          <w:sz w:val="22"/>
        </w:rPr>
        <w:t>y</w:t>
      </w:r>
      <w:r>
        <w:rPr>
          <w:rFonts w:ascii="Calibri" w:hAnsi="Calibri"/>
          <w:spacing w:val="-2"/>
          <w:sz w:val="22"/>
        </w:rPr>
        <w:t> </w:t>
      </w:r>
      <w:r>
        <w:rPr>
          <w:rFonts w:ascii="Calibri" w:hAnsi="Calibri"/>
          <w:sz w:val="22"/>
        </w:rPr>
        <w:t>Gymraeg</w:t>
      </w:r>
      <w:r>
        <w:rPr>
          <w:rFonts w:ascii="Calibri" w:hAnsi="Calibri"/>
          <w:spacing w:val="-2"/>
          <w:sz w:val="22"/>
        </w:rPr>
        <w:t> </w:t>
      </w:r>
      <w:r>
        <w:rPr>
          <w:rFonts w:ascii="Calibri" w:hAnsi="Calibri"/>
          <w:sz w:val="22"/>
        </w:rPr>
        <w:t>yn</w:t>
      </w:r>
      <w:r>
        <w:rPr>
          <w:rFonts w:ascii="Calibri" w:hAnsi="Calibri"/>
          <w:spacing w:val="-2"/>
          <w:sz w:val="22"/>
        </w:rPr>
        <w:t> </w:t>
      </w:r>
      <w:r>
        <w:rPr>
          <w:rFonts w:ascii="Calibri" w:hAnsi="Calibri"/>
          <w:sz w:val="22"/>
        </w:rPr>
        <w:t>cael</w:t>
      </w:r>
      <w:r>
        <w:rPr>
          <w:rFonts w:ascii="Calibri" w:hAnsi="Calibri"/>
          <w:spacing w:val="-2"/>
          <w:sz w:val="22"/>
        </w:rPr>
        <w:t> </w:t>
      </w:r>
      <w:r>
        <w:rPr>
          <w:rFonts w:ascii="Calibri" w:hAnsi="Calibri"/>
          <w:sz w:val="22"/>
        </w:rPr>
        <w:t>ei</w:t>
      </w:r>
      <w:r>
        <w:rPr>
          <w:rFonts w:ascii="Calibri" w:hAnsi="Calibri"/>
          <w:spacing w:val="-1"/>
          <w:sz w:val="22"/>
        </w:rPr>
        <w:t> </w:t>
      </w:r>
      <w:r>
        <w:rPr>
          <w:rFonts w:ascii="Calibri" w:hAnsi="Calibri"/>
          <w:sz w:val="22"/>
        </w:rPr>
        <w:t>hystyried</w:t>
      </w:r>
      <w:r>
        <w:rPr>
          <w:rFonts w:ascii="Calibri" w:hAnsi="Calibri"/>
          <w:spacing w:val="-3"/>
          <w:sz w:val="22"/>
        </w:rPr>
        <w:t> </w:t>
      </w:r>
      <w:r>
        <w:rPr>
          <w:rFonts w:ascii="Calibri" w:hAnsi="Calibri"/>
          <w:sz w:val="22"/>
        </w:rPr>
        <w:t>a’i</w:t>
      </w:r>
      <w:r>
        <w:rPr>
          <w:rFonts w:ascii="Calibri" w:hAnsi="Calibri"/>
          <w:spacing w:val="-3"/>
          <w:sz w:val="22"/>
        </w:rPr>
        <w:t> </w:t>
      </w:r>
      <w:r>
        <w:rPr>
          <w:rFonts w:ascii="Calibri" w:hAnsi="Calibri"/>
          <w:sz w:val="22"/>
        </w:rPr>
        <w:t>hymgorffori</w:t>
      </w:r>
      <w:r>
        <w:rPr>
          <w:rFonts w:ascii="Calibri" w:hAnsi="Calibri"/>
          <w:spacing w:val="-2"/>
          <w:sz w:val="22"/>
        </w:rPr>
        <w:t> </w:t>
      </w:r>
      <w:r>
        <w:rPr>
          <w:rFonts w:ascii="Calibri" w:hAnsi="Calibri"/>
          <w:sz w:val="22"/>
        </w:rPr>
        <w:t>yn</w:t>
      </w:r>
      <w:r>
        <w:rPr>
          <w:rFonts w:ascii="Calibri" w:hAnsi="Calibri"/>
          <w:spacing w:val="-2"/>
          <w:sz w:val="22"/>
        </w:rPr>
        <w:t> </w:t>
      </w:r>
      <w:r>
        <w:rPr>
          <w:rFonts w:ascii="Calibri" w:hAnsi="Calibri"/>
          <w:sz w:val="22"/>
        </w:rPr>
        <w:t>ein</w:t>
      </w:r>
      <w:r>
        <w:rPr>
          <w:rFonts w:ascii="Calibri" w:hAnsi="Calibri"/>
          <w:spacing w:val="-3"/>
          <w:sz w:val="22"/>
        </w:rPr>
        <w:t> </w:t>
      </w:r>
      <w:r>
        <w:rPr>
          <w:rFonts w:ascii="Calibri" w:hAnsi="Calibri"/>
          <w:sz w:val="22"/>
        </w:rPr>
        <w:t>cynlluniau</w:t>
      </w:r>
      <w:r>
        <w:rPr>
          <w:rFonts w:ascii="Calibri" w:hAnsi="Calibri"/>
          <w:spacing w:val="-1"/>
          <w:sz w:val="22"/>
        </w:rPr>
        <w:t> </w:t>
      </w:r>
      <w:r>
        <w:rPr>
          <w:rFonts w:ascii="Calibri" w:hAnsi="Calibri"/>
          <w:spacing w:val="-2"/>
          <w:sz w:val="22"/>
        </w:rPr>
        <w:t>gweithredol.</w:t>
      </w:r>
    </w:p>
    <w:p>
      <w:pPr>
        <w:pStyle w:val="ListParagraph"/>
        <w:numPr>
          <w:ilvl w:val="0"/>
          <w:numId w:val="47"/>
        </w:numPr>
        <w:tabs>
          <w:tab w:pos="2204" w:val="left" w:leader="none"/>
          <w:tab w:pos="2205" w:val="left" w:leader="none"/>
        </w:tabs>
        <w:spacing w:line="240" w:lineRule="auto" w:before="0" w:after="0"/>
        <w:ind w:left="2204" w:right="0" w:hanging="360"/>
        <w:jc w:val="left"/>
        <w:rPr>
          <w:rFonts w:ascii="Calibri" w:hAnsi="Calibri"/>
          <w:sz w:val="22"/>
        </w:rPr>
      </w:pPr>
      <w:r>
        <w:rPr>
          <w:rFonts w:ascii="Calibri" w:hAnsi="Calibri"/>
          <w:sz w:val="22"/>
        </w:rPr>
        <w:t>Adrodd</w:t>
      </w:r>
      <w:r>
        <w:rPr>
          <w:rFonts w:ascii="Calibri" w:hAnsi="Calibri"/>
          <w:spacing w:val="-2"/>
          <w:sz w:val="22"/>
        </w:rPr>
        <w:t> </w:t>
      </w:r>
      <w:r>
        <w:rPr>
          <w:rFonts w:ascii="Calibri" w:hAnsi="Calibri"/>
          <w:sz w:val="22"/>
        </w:rPr>
        <w:t>ar</w:t>
      </w:r>
      <w:r>
        <w:rPr>
          <w:rFonts w:ascii="Calibri" w:hAnsi="Calibri"/>
          <w:spacing w:val="-2"/>
          <w:sz w:val="22"/>
        </w:rPr>
        <w:t> </w:t>
      </w:r>
      <w:r>
        <w:rPr>
          <w:rFonts w:ascii="Calibri" w:hAnsi="Calibri"/>
          <w:sz w:val="22"/>
        </w:rPr>
        <w:t>ein</w:t>
      </w:r>
      <w:r>
        <w:rPr>
          <w:rFonts w:ascii="Calibri" w:hAnsi="Calibri"/>
          <w:spacing w:val="-1"/>
          <w:sz w:val="22"/>
        </w:rPr>
        <w:t> </w:t>
      </w:r>
      <w:r>
        <w:rPr>
          <w:rFonts w:ascii="Calibri" w:hAnsi="Calibri"/>
          <w:sz w:val="22"/>
        </w:rPr>
        <w:t>perfformiad</w:t>
      </w:r>
      <w:r>
        <w:rPr>
          <w:rFonts w:ascii="Calibri" w:hAnsi="Calibri"/>
          <w:spacing w:val="-2"/>
          <w:sz w:val="22"/>
        </w:rPr>
        <w:t> </w:t>
      </w:r>
      <w:r>
        <w:rPr>
          <w:rFonts w:ascii="Calibri" w:hAnsi="Calibri"/>
          <w:sz w:val="22"/>
        </w:rPr>
        <w:t>yn </w:t>
      </w:r>
      <w:r>
        <w:rPr>
          <w:rFonts w:ascii="Calibri" w:hAnsi="Calibri"/>
          <w:spacing w:val="-2"/>
          <w:sz w:val="22"/>
        </w:rPr>
        <w:t>flynyddol.</w:t>
      </w:r>
    </w:p>
    <w:p>
      <w:pPr>
        <w:pStyle w:val="BodyText"/>
        <w:rPr>
          <w:rFonts w:ascii="Calibri"/>
          <w:sz w:val="22"/>
        </w:rPr>
      </w:pPr>
    </w:p>
    <w:p>
      <w:pPr>
        <w:spacing w:before="0"/>
        <w:ind w:left="1440" w:right="0" w:firstLine="0"/>
        <w:jc w:val="left"/>
        <w:rPr>
          <w:rFonts w:ascii="Calibri"/>
          <w:sz w:val="22"/>
        </w:rPr>
      </w:pPr>
      <w:r>
        <w:rPr>
          <w:rFonts w:ascii="Calibri"/>
          <w:sz w:val="22"/>
        </w:rPr>
        <w:t>Rhennir</w:t>
      </w:r>
      <w:r>
        <w:rPr>
          <w:rFonts w:ascii="Calibri"/>
          <w:spacing w:val="-3"/>
          <w:sz w:val="22"/>
        </w:rPr>
        <w:t> </w:t>
      </w:r>
      <w:r>
        <w:rPr>
          <w:rFonts w:ascii="Calibri"/>
          <w:sz w:val="22"/>
        </w:rPr>
        <w:t>y</w:t>
      </w:r>
      <w:r>
        <w:rPr>
          <w:rFonts w:ascii="Calibri"/>
          <w:spacing w:val="-2"/>
          <w:sz w:val="22"/>
        </w:rPr>
        <w:t> </w:t>
      </w:r>
      <w:r>
        <w:rPr>
          <w:rFonts w:ascii="Calibri"/>
          <w:sz w:val="22"/>
        </w:rPr>
        <w:t>Safonau</w:t>
      </w:r>
      <w:r>
        <w:rPr>
          <w:rFonts w:ascii="Calibri"/>
          <w:spacing w:val="-1"/>
          <w:sz w:val="22"/>
        </w:rPr>
        <w:t> </w:t>
      </w:r>
      <w:r>
        <w:rPr>
          <w:rFonts w:ascii="Calibri"/>
          <w:sz w:val="22"/>
        </w:rPr>
        <w:t>Iaith</w:t>
      </w:r>
      <w:r>
        <w:rPr>
          <w:rFonts w:ascii="Calibri"/>
          <w:spacing w:val="-3"/>
          <w:sz w:val="22"/>
        </w:rPr>
        <w:t> </w:t>
      </w:r>
      <w:r>
        <w:rPr>
          <w:rFonts w:ascii="Calibri"/>
          <w:sz w:val="22"/>
        </w:rPr>
        <w:t>yn</w:t>
      </w:r>
      <w:r>
        <w:rPr>
          <w:rFonts w:ascii="Calibri"/>
          <w:spacing w:val="-1"/>
          <w:sz w:val="22"/>
        </w:rPr>
        <w:t> </w:t>
      </w:r>
      <w:r>
        <w:rPr>
          <w:rFonts w:ascii="Calibri"/>
          <w:sz w:val="22"/>
        </w:rPr>
        <w:t>bum</w:t>
      </w:r>
      <w:r>
        <w:rPr>
          <w:rFonts w:ascii="Calibri"/>
          <w:spacing w:val="-3"/>
          <w:sz w:val="22"/>
        </w:rPr>
        <w:t> </w:t>
      </w:r>
      <w:r>
        <w:rPr>
          <w:rFonts w:ascii="Calibri"/>
          <w:sz w:val="22"/>
        </w:rPr>
        <w:t>maes</w:t>
      </w:r>
      <w:r>
        <w:rPr>
          <w:rFonts w:ascii="Calibri"/>
          <w:spacing w:val="-1"/>
          <w:sz w:val="22"/>
        </w:rPr>
        <w:t> </w:t>
      </w:r>
      <w:r>
        <w:rPr>
          <w:rFonts w:ascii="Calibri"/>
          <w:spacing w:val="-2"/>
          <w:sz w:val="22"/>
        </w:rPr>
        <w:t>penodol:</w:t>
      </w:r>
    </w:p>
    <w:p>
      <w:pPr>
        <w:pStyle w:val="ListParagraph"/>
        <w:numPr>
          <w:ilvl w:val="0"/>
          <w:numId w:val="47"/>
        </w:numPr>
        <w:tabs>
          <w:tab w:pos="2159" w:val="left" w:leader="none"/>
          <w:tab w:pos="2160" w:val="left" w:leader="none"/>
        </w:tabs>
        <w:spacing w:line="240" w:lineRule="auto" w:before="0" w:after="0"/>
        <w:ind w:left="2159" w:right="0" w:hanging="360"/>
        <w:jc w:val="left"/>
        <w:rPr>
          <w:rFonts w:ascii="Calibri" w:hAnsi="Calibri"/>
          <w:sz w:val="22"/>
        </w:rPr>
      </w:pPr>
      <w:r>
        <w:rPr>
          <w:rFonts w:ascii="Calibri" w:hAnsi="Calibri"/>
          <w:sz w:val="22"/>
        </w:rPr>
        <w:t>darparu</w:t>
      </w:r>
      <w:r>
        <w:rPr>
          <w:rFonts w:ascii="Calibri" w:hAnsi="Calibri"/>
          <w:spacing w:val="-4"/>
          <w:sz w:val="22"/>
        </w:rPr>
        <w:t> </w:t>
      </w:r>
      <w:r>
        <w:rPr>
          <w:rFonts w:ascii="Calibri" w:hAnsi="Calibri"/>
          <w:spacing w:val="-2"/>
          <w:sz w:val="22"/>
        </w:rPr>
        <w:t>gwasanaethau</w:t>
      </w:r>
    </w:p>
    <w:p>
      <w:pPr>
        <w:pStyle w:val="ListParagraph"/>
        <w:numPr>
          <w:ilvl w:val="0"/>
          <w:numId w:val="47"/>
        </w:numPr>
        <w:tabs>
          <w:tab w:pos="2159" w:val="left" w:leader="none"/>
          <w:tab w:pos="2160" w:val="left" w:leader="none"/>
        </w:tabs>
        <w:spacing w:line="240" w:lineRule="auto" w:before="0" w:after="0"/>
        <w:ind w:left="2159" w:right="0" w:hanging="360"/>
        <w:jc w:val="left"/>
        <w:rPr>
          <w:rFonts w:ascii="Calibri" w:hAnsi="Calibri"/>
          <w:sz w:val="22"/>
        </w:rPr>
      </w:pPr>
      <w:r>
        <w:rPr>
          <w:rFonts w:ascii="Calibri" w:hAnsi="Calibri"/>
          <w:sz w:val="22"/>
        </w:rPr>
        <w:t>llunio</w:t>
      </w:r>
      <w:r>
        <w:rPr>
          <w:rFonts w:ascii="Calibri" w:hAnsi="Calibri"/>
          <w:spacing w:val="-5"/>
          <w:sz w:val="22"/>
        </w:rPr>
        <w:t> </w:t>
      </w:r>
      <w:r>
        <w:rPr>
          <w:rFonts w:ascii="Calibri" w:hAnsi="Calibri"/>
          <w:spacing w:val="-2"/>
          <w:sz w:val="22"/>
        </w:rPr>
        <w:t>polisi</w:t>
      </w:r>
    </w:p>
    <w:p>
      <w:pPr>
        <w:pStyle w:val="ListParagraph"/>
        <w:numPr>
          <w:ilvl w:val="0"/>
          <w:numId w:val="47"/>
        </w:numPr>
        <w:tabs>
          <w:tab w:pos="2159" w:val="left" w:leader="none"/>
          <w:tab w:pos="2160" w:val="left" w:leader="none"/>
        </w:tabs>
        <w:spacing w:line="240" w:lineRule="auto" w:before="0" w:after="0"/>
        <w:ind w:left="2159" w:right="0" w:hanging="360"/>
        <w:jc w:val="left"/>
        <w:rPr>
          <w:rFonts w:ascii="Calibri" w:hAnsi="Calibri"/>
          <w:sz w:val="22"/>
        </w:rPr>
      </w:pPr>
      <w:r>
        <w:rPr>
          <w:rFonts w:ascii="Calibri" w:hAnsi="Calibri"/>
          <w:sz w:val="22"/>
        </w:rPr>
        <w:t>safonau</w:t>
      </w:r>
      <w:r>
        <w:rPr>
          <w:rFonts w:ascii="Calibri" w:hAnsi="Calibri"/>
          <w:spacing w:val="-5"/>
          <w:sz w:val="22"/>
        </w:rPr>
        <w:t> </w:t>
      </w:r>
      <w:r>
        <w:rPr>
          <w:rFonts w:ascii="Calibri" w:hAnsi="Calibri"/>
          <w:spacing w:val="-2"/>
          <w:sz w:val="22"/>
        </w:rPr>
        <w:t>gweithredu</w:t>
      </w:r>
    </w:p>
    <w:p>
      <w:pPr>
        <w:pStyle w:val="ListParagraph"/>
        <w:numPr>
          <w:ilvl w:val="0"/>
          <w:numId w:val="47"/>
        </w:numPr>
        <w:tabs>
          <w:tab w:pos="2159" w:val="left" w:leader="none"/>
          <w:tab w:pos="2160" w:val="left" w:leader="none"/>
        </w:tabs>
        <w:spacing w:line="240" w:lineRule="auto" w:before="0" w:after="0"/>
        <w:ind w:left="2159" w:right="0" w:hanging="360"/>
        <w:jc w:val="left"/>
        <w:rPr>
          <w:rFonts w:ascii="Calibri" w:hAnsi="Calibri"/>
          <w:sz w:val="22"/>
        </w:rPr>
      </w:pPr>
      <w:r>
        <w:rPr>
          <w:rFonts w:ascii="Calibri" w:hAnsi="Calibri"/>
          <w:sz w:val="22"/>
        </w:rPr>
        <w:t>cadw </w:t>
      </w:r>
      <w:r>
        <w:rPr>
          <w:rFonts w:ascii="Calibri" w:hAnsi="Calibri"/>
          <w:spacing w:val="-2"/>
          <w:sz w:val="22"/>
        </w:rPr>
        <w:t>cofnodion</w:t>
      </w:r>
    </w:p>
    <w:p>
      <w:pPr>
        <w:pStyle w:val="BodyText"/>
        <w:rPr>
          <w:rFonts w:ascii="Calibri"/>
          <w:sz w:val="22"/>
        </w:rPr>
      </w:pPr>
    </w:p>
    <w:p>
      <w:pPr>
        <w:spacing w:before="0"/>
        <w:ind w:left="1440" w:right="1405" w:firstLine="0"/>
        <w:jc w:val="left"/>
        <w:rPr>
          <w:rFonts w:ascii="Calibri" w:hAnsi="Calibri"/>
          <w:sz w:val="22"/>
        </w:rPr>
      </w:pPr>
      <w:r>
        <w:rPr>
          <w:rFonts w:ascii="Calibri" w:hAnsi="Calibri"/>
          <w:sz w:val="22"/>
        </w:rPr>
        <w:t>Fel</w:t>
      </w:r>
      <w:r>
        <w:rPr>
          <w:rFonts w:ascii="Calibri" w:hAnsi="Calibri"/>
          <w:spacing w:val="-3"/>
          <w:sz w:val="22"/>
        </w:rPr>
        <w:t> </w:t>
      </w:r>
      <w:r>
        <w:rPr>
          <w:rFonts w:ascii="Calibri" w:hAnsi="Calibri"/>
          <w:sz w:val="22"/>
        </w:rPr>
        <w:t>sefydliad</w:t>
      </w:r>
      <w:r>
        <w:rPr>
          <w:rFonts w:ascii="Calibri" w:hAnsi="Calibri"/>
          <w:spacing w:val="-3"/>
          <w:sz w:val="22"/>
        </w:rPr>
        <w:t> </w:t>
      </w:r>
      <w:r>
        <w:rPr>
          <w:rFonts w:ascii="Calibri" w:hAnsi="Calibri"/>
          <w:sz w:val="22"/>
        </w:rPr>
        <w:t>a</w:t>
      </w:r>
      <w:r>
        <w:rPr>
          <w:rFonts w:ascii="Calibri" w:hAnsi="Calibri"/>
          <w:spacing w:val="-4"/>
          <w:sz w:val="22"/>
        </w:rPr>
        <w:t> </w:t>
      </w:r>
      <w:r>
        <w:rPr>
          <w:rFonts w:ascii="Calibri" w:hAnsi="Calibri"/>
          <w:sz w:val="22"/>
        </w:rPr>
        <w:t>letyir</w:t>
      </w:r>
      <w:r>
        <w:rPr>
          <w:rFonts w:ascii="Calibri" w:hAnsi="Calibri"/>
          <w:spacing w:val="-3"/>
          <w:sz w:val="22"/>
        </w:rPr>
        <w:t> </w:t>
      </w:r>
      <w:r>
        <w:rPr>
          <w:rFonts w:ascii="Calibri" w:hAnsi="Calibri"/>
          <w:sz w:val="22"/>
        </w:rPr>
        <w:t>gan</w:t>
      </w:r>
      <w:r>
        <w:rPr>
          <w:rFonts w:ascii="Calibri" w:hAnsi="Calibri"/>
          <w:spacing w:val="-3"/>
          <w:sz w:val="22"/>
        </w:rPr>
        <w:t> </w:t>
      </w:r>
      <w:r>
        <w:rPr>
          <w:rFonts w:ascii="Calibri" w:hAnsi="Calibri"/>
          <w:sz w:val="22"/>
        </w:rPr>
        <w:t>Ymddiriedolaeth</w:t>
      </w:r>
      <w:r>
        <w:rPr>
          <w:rFonts w:ascii="Calibri" w:hAnsi="Calibri"/>
          <w:spacing w:val="-3"/>
          <w:sz w:val="22"/>
        </w:rPr>
        <w:t> </w:t>
      </w:r>
      <w:r>
        <w:rPr>
          <w:rFonts w:ascii="Calibri" w:hAnsi="Calibri"/>
          <w:sz w:val="22"/>
        </w:rPr>
        <w:t>GIG</w:t>
      </w:r>
      <w:r>
        <w:rPr>
          <w:rFonts w:ascii="Calibri" w:hAnsi="Calibri"/>
          <w:spacing w:val="-3"/>
          <w:sz w:val="22"/>
        </w:rPr>
        <w:t> </w:t>
      </w:r>
      <w:r>
        <w:rPr>
          <w:rFonts w:ascii="Calibri" w:hAnsi="Calibri"/>
          <w:sz w:val="22"/>
        </w:rPr>
        <w:t>Felindre,</w:t>
      </w:r>
      <w:r>
        <w:rPr>
          <w:rFonts w:ascii="Calibri" w:hAnsi="Calibri"/>
          <w:spacing w:val="-3"/>
          <w:sz w:val="22"/>
        </w:rPr>
        <w:t> </w:t>
      </w:r>
      <w:r>
        <w:rPr>
          <w:rFonts w:ascii="Calibri" w:hAnsi="Calibri"/>
          <w:sz w:val="22"/>
        </w:rPr>
        <w:t>derbyniodd</w:t>
      </w:r>
      <w:r>
        <w:rPr>
          <w:rFonts w:ascii="Calibri" w:hAnsi="Calibri"/>
          <w:spacing w:val="-3"/>
          <w:sz w:val="22"/>
        </w:rPr>
        <w:t> </w:t>
      </w:r>
      <w:r>
        <w:rPr>
          <w:rFonts w:ascii="Calibri" w:hAnsi="Calibri"/>
          <w:sz w:val="22"/>
        </w:rPr>
        <w:t>PCGC</w:t>
      </w:r>
      <w:r>
        <w:rPr>
          <w:rFonts w:ascii="Calibri" w:hAnsi="Calibri"/>
          <w:spacing w:val="-3"/>
          <w:sz w:val="22"/>
        </w:rPr>
        <w:t> </w:t>
      </w:r>
      <w:r>
        <w:rPr>
          <w:rFonts w:ascii="Calibri" w:hAnsi="Calibri"/>
          <w:sz w:val="22"/>
        </w:rPr>
        <w:t>hysbysiad</w:t>
      </w:r>
      <w:r>
        <w:rPr>
          <w:rFonts w:ascii="Calibri" w:hAnsi="Calibri"/>
          <w:spacing w:val="-3"/>
          <w:sz w:val="22"/>
        </w:rPr>
        <w:t> </w:t>
      </w:r>
      <w:r>
        <w:rPr>
          <w:rFonts w:ascii="Calibri" w:hAnsi="Calibri"/>
          <w:sz w:val="22"/>
        </w:rPr>
        <w:t>cydymffurfio</w:t>
      </w:r>
      <w:r>
        <w:rPr>
          <w:rFonts w:ascii="Calibri" w:hAnsi="Calibri"/>
          <w:spacing w:val="-3"/>
          <w:sz w:val="22"/>
        </w:rPr>
        <w:t> </w:t>
      </w:r>
      <w:r>
        <w:rPr>
          <w:rFonts w:ascii="Calibri" w:hAnsi="Calibri"/>
          <w:sz w:val="22"/>
        </w:rPr>
        <w:t>gan Gomisiynydd y Gymraeg o dan Adran 4 o Fesur y Gymraeg (Cymru) 2011, ar 30 Mai 2019. Mae’r hysbysiad hwn yn nodi’r union safonau y mae’n ofynnol i PCGC gydymffurfio â nhw.</w:t>
      </w:r>
    </w:p>
    <w:p>
      <w:pPr>
        <w:pStyle w:val="BodyText"/>
        <w:spacing w:before="9"/>
        <w:rPr>
          <w:rFonts w:ascii="Calibri"/>
          <w:sz w:val="23"/>
        </w:rPr>
      </w:pPr>
    </w:p>
    <w:p>
      <w:pPr>
        <w:spacing w:line="259" w:lineRule="auto" w:before="0"/>
        <w:ind w:left="1440" w:right="1405" w:firstLine="0"/>
        <w:jc w:val="left"/>
        <w:rPr>
          <w:rFonts w:ascii="Calibri"/>
          <w:sz w:val="22"/>
        </w:rPr>
      </w:pPr>
      <w:r>
        <w:rPr>
          <w:rFonts w:ascii="Calibri"/>
          <w:sz w:val="22"/>
        </w:rPr>
        <w:t>Dyma</w:t>
      </w:r>
      <w:r>
        <w:rPr>
          <w:rFonts w:ascii="Calibri"/>
          <w:spacing w:val="-4"/>
          <w:sz w:val="22"/>
        </w:rPr>
        <w:t> </w:t>
      </w:r>
      <w:r>
        <w:rPr>
          <w:rFonts w:ascii="Calibri"/>
          <w:sz w:val="22"/>
        </w:rPr>
        <w:t>drydydd</w:t>
      </w:r>
      <w:r>
        <w:rPr>
          <w:rFonts w:ascii="Calibri"/>
          <w:spacing w:val="-3"/>
          <w:sz w:val="22"/>
        </w:rPr>
        <w:t> </w:t>
      </w:r>
      <w:r>
        <w:rPr>
          <w:rFonts w:ascii="Calibri"/>
          <w:sz w:val="22"/>
        </w:rPr>
        <w:t>Adroddiad</w:t>
      </w:r>
      <w:r>
        <w:rPr>
          <w:rFonts w:ascii="Calibri"/>
          <w:spacing w:val="-4"/>
          <w:sz w:val="22"/>
        </w:rPr>
        <w:t> </w:t>
      </w:r>
      <w:r>
        <w:rPr>
          <w:rFonts w:ascii="Calibri"/>
          <w:sz w:val="22"/>
        </w:rPr>
        <w:t>Blynyddol</w:t>
      </w:r>
      <w:r>
        <w:rPr>
          <w:rFonts w:ascii="Calibri"/>
          <w:spacing w:val="-3"/>
          <w:sz w:val="22"/>
        </w:rPr>
        <w:t> </w:t>
      </w:r>
      <w:r>
        <w:rPr>
          <w:rFonts w:ascii="Calibri"/>
          <w:sz w:val="22"/>
        </w:rPr>
        <w:t>yr</w:t>
      </w:r>
      <w:r>
        <w:rPr>
          <w:rFonts w:ascii="Calibri"/>
          <w:spacing w:val="-4"/>
          <w:sz w:val="22"/>
        </w:rPr>
        <w:t> </w:t>
      </w:r>
      <w:r>
        <w:rPr>
          <w:rFonts w:ascii="Calibri"/>
          <w:sz w:val="22"/>
        </w:rPr>
        <w:t>Iaith</w:t>
      </w:r>
      <w:r>
        <w:rPr>
          <w:rFonts w:ascii="Calibri"/>
          <w:spacing w:val="-3"/>
          <w:sz w:val="22"/>
        </w:rPr>
        <w:t> </w:t>
      </w:r>
      <w:r>
        <w:rPr>
          <w:rFonts w:ascii="Calibri"/>
          <w:sz w:val="22"/>
        </w:rPr>
        <w:t>Gymraeg</w:t>
      </w:r>
      <w:r>
        <w:rPr>
          <w:rFonts w:ascii="Calibri"/>
          <w:spacing w:val="-4"/>
          <w:sz w:val="22"/>
        </w:rPr>
        <w:t> </w:t>
      </w:r>
      <w:r>
        <w:rPr>
          <w:rFonts w:ascii="Calibri"/>
          <w:sz w:val="22"/>
        </w:rPr>
        <w:t>a</w:t>
      </w:r>
      <w:r>
        <w:rPr>
          <w:rFonts w:ascii="Calibri"/>
          <w:spacing w:val="-3"/>
          <w:sz w:val="22"/>
        </w:rPr>
        <w:t> </w:t>
      </w:r>
      <w:r>
        <w:rPr>
          <w:rFonts w:ascii="Calibri"/>
          <w:sz w:val="22"/>
        </w:rPr>
        <w:t>gyhoeddir</w:t>
      </w:r>
      <w:r>
        <w:rPr>
          <w:rFonts w:ascii="Calibri"/>
          <w:spacing w:val="-4"/>
          <w:sz w:val="22"/>
        </w:rPr>
        <w:t> </w:t>
      </w:r>
      <w:r>
        <w:rPr>
          <w:rFonts w:ascii="Calibri"/>
          <w:sz w:val="22"/>
        </w:rPr>
        <w:t>gan</w:t>
      </w:r>
      <w:r>
        <w:rPr>
          <w:rFonts w:ascii="Calibri"/>
          <w:spacing w:val="-3"/>
          <w:sz w:val="22"/>
        </w:rPr>
        <w:t> </w:t>
      </w:r>
      <w:r>
        <w:rPr>
          <w:rFonts w:ascii="Calibri"/>
          <w:sz w:val="22"/>
        </w:rPr>
        <w:t>Bartneriaeth</w:t>
      </w:r>
      <w:r>
        <w:rPr>
          <w:rFonts w:ascii="Calibri"/>
          <w:spacing w:val="-4"/>
          <w:sz w:val="22"/>
        </w:rPr>
        <w:t> </w:t>
      </w:r>
      <w:r>
        <w:rPr>
          <w:rFonts w:ascii="Calibri"/>
          <w:sz w:val="22"/>
        </w:rPr>
        <w:t>Cydwasanaethau GIG Cymru.</w:t>
      </w:r>
    </w:p>
    <w:p>
      <w:pPr>
        <w:pStyle w:val="BodyText"/>
        <w:spacing w:before="8"/>
        <w:rPr>
          <w:rFonts w:ascii="Calibri"/>
          <w:sz w:val="23"/>
        </w:rPr>
      </w:pPr>
    </w:p>
    <w:p>
      <w:pPr>
        <w:spacing w:line="259" w:lineRule="auto" w:before="0"/>
        <w:ind w:left="1440" w:right="1471" w:firstLine="0"/>
        <w:jc w:val="left"/>
        <w:rPr>
          <w:rFonts w:ascii="Calibri" w:hAnsi="Calibri"/>
          <w:sz w:val="22"/>
        </w:rPr>
      </w:pPr>
      <w:r>
        <w:rPr>
          <w:rFonts w:ascii="Calibri" w:hAnsi="Calibri"/>
          <w:sz w:val="22"/>
        </w:rPr>
        <w:t>Rydym yn hynod falch o'r hyn yr ydym wedi’i gyflawni yn ystod 2021/22. Rydym wedi gallu addasu ein cynlluniau i gwrdd ag amgylchiadau cyfnewidiol pandemig Covid-19.</w:t>
      </w:r>
      <w:r>
        <w:rPr>
          <w:rFonts w:ascii="Calibri" w:hAnsi="Calibri"/>
          <w:spacing w:val="40"/>
          <w:sz w:val="22"/>
        </w:rPr>
        <w:t> </w:t>
      </w:r>
      <w:r>
        <w:rPr>
          <w:rFonts w:ascii="Calibri" w:hAnsi="Calibri"/>
          <w:sz w:val="22"/>
        </w:rPr>
        <w:t>Parhaodd y mwyafrif o’n gwasanaethau i gael eu darparu drwy gyfrwng y Gymraeg, er bod staff yn gweithio o gartref. Bu’n rhaid blaenoriaethu ac ail-ffocysu ein hadnoddau i fynd i’r afael â’r heriau a wynebom fel sefydliad a’r GIG ehangach yng Nghymru yn sgil y pandemig.</w:t>
      </w:r>
      <w:r>
        <w:rPr>
          <w:rFonts w:ascii="Calibri" w:hAnsi="Calibri"/>
          <w:spacing w:val="40"/>
          <w:sz w:val="22"/>
        </w:rPr>
        <w:t> </w:t>
      </w:r>
      <w:r>
        <w:rPr>
          <w:rFonts w:ascii="Calibri" w:hAnsi="Calibri"/>
          <w:sz w:val="22"/>
        </w:rPr>
        <w:t>Mae'r flwyddyn i ddod yn parhau i fod yn ansicr ac</w:t>
      </w:r>
      <w:r>
        <w:rPr>
          <w:rFonts w:ascii="Calibri" w:hAnsi="Calibri"/>
          <w:spacing w:val="-3"/>
          <w:sz w:val="22"/>
        </w:rPr>
        <w:t> </w:t>
      </w:r>
      <w:r>
        <w:rPr>
          <w:rFonts w:ascii="Calibri" w:hAnsi="Calibri"/>
          <w:sz w:val="22"/>
        </w:rPr>
        <w:t>yn</w:t>
      </w:r>
      <w:r>
        <w:rPr>
          <w:rFonts w:ascii="Calibri" w:hAnsi="Calibri"/>
          <w:spacing w:val="-2"/>
          <w:sz w:val="22"/>
        </w:rPr>
        <w:t> </w:t>
      </w:r>
      <w:r>
        <w:rPr>
          <w:rFonts w:ascii="Calibri" w:hAnsi="Calibri"/>
          <w:sz w:val="22"/>
        </w:rPr>
        <w:t>ddi-os</w:t>
      </w:r>
      <w:r>
        <w:rPr>
          <w:rFonts w:ascii="Calibri" w:hAnsi="Calibri"/>
          <w:spacing w:val="-3"/>
          <w:sz w:val="22"/>
        </w:rPr>
        <w:t> </w:t>
      </w:r>
      <w:r>
        <w:rPr>
          <w:rFonts w:ascii="Calibri" w:hAnsi="Calibri"/>
          <w:sz w:val="22"/>
        </w:rPr>
        <w:t>bydd</w:t>
      </w:r>
      <w:r>
        <w:rPr>
          <w:rFonts w:ascii="Calibri" w:hAnsi="Calibri"/>
          <w:spacing w:val="-2"/>
          <w:sz w:val="22"/>
        </w:rPr>
        <w:t> </w:t>
      </w:r>
      <w:r>
        <w:rPr>
          <w:rFonts w:ascii="Calibri" w:hAnsi="Calibri"/>
          <w:sz w:val="22"/>
        </w:rPr>
        <w:t>yn</w:t>
      </w:r>
      <w:r>
        <w:rPr>
          <w:rFonts w:ascii="Calibri" w:hAnsi="Calibri"/>
          <w:spacing w:val="-2"/>
          <w:sz w:val="22"/>
        </w:rPr>
        <w:t> </w:t>
      </w:r>
      <w:r>
        <w:rPr>
          <w:rFonts w:ascii="Calibri" w:hAnsi="Calibri"/>
          <w:sz w:val="22"/>
        </w:rPr>
        <w:t>dod</w:t>
      </w:r>
      <w:r>
        <w:rPr>
          <w:rFonts w:ascii="Calibri" w:hAnsi="Calibri"/>
          <w:spacing w:val="-3"/>
          <w:sz w:val="22"/>
        </w:rPr>
        <w:t> </w:t>
      </w:r>
      <w:r>
        <w:rPr>
          <w:rFonts w:ascii="Calibri" w:hAnsi="Calibri"/>
          <w:sz w:val="22"/>
        </w:rPr>
        <w:t>â</w:t>
      </w:r>
      <w:r>
        <w:rPr>
          <w:rFonts w:ascii="Calibri" w:hAnsi="Calibri"/>
          <w:spacing w:val="-3"/>
          <w:sz w:val="22"/>
        </w:rPr>
        <w:t> </w:t>
      </w:r>
      <w:r>
        <w:rPr>
          <w:rFonts w:ascii="Calibri" w:hAnsi="Calibri"/>
          <w:sz w:val="22"/>
        </w:rPr>
        <w:t>heriau</w:t>
      </w:r>
      <w:r>
        <w:rPr>
          <w:rFonts w:ascii="Calibri" w:hAnsi="Calibri"/>
          <w:spacing w:val="-2"/>
          <w:sz w:val="22"/>
        </w:rPr>
        <w:t> </w:t>
      </w:r>
      <w:r>
        <w:rPr>
          <w:rFonts w:ascii="Calibri" w:hAnsi="Calibri"/>
          <w:sz w:val="22"/>
        </w:rPr>
        <w:t>pellach.</w:t>
      </w:r>
      <w:r>
        <w:rPr>
          <w:rFonts w:ascii="Calibri" w:hAnsi="Calibri"/>
          <w:spacing w:val="40"/>
          <w:sz w:val="22"/>
        </w:rPr>
        <w:t> </w:t>
      </w:r>
      <w:r>
        <w:rPr>
          <w:rFonts w:ascii="Calibri" w:hAnsi="Calibri"/>
          <w:sz w:val="22"/>
        </w:rPr>
        <w:t>Rydym</w:t>
      </w:r>
      <w:r>
        <w:rPr>
          <w:rFonts w:ascii="Calibri" w:hAnsi="Calibri"/>
          <w:spacing w:val="-2"/>
          <w:sz w:val="22"/>
        </w:rPr>
        <w:t> </w:t>
      </w:r>
      <w:r>
        <w:rPr>
          <w:rFonts w:ascii="Calibri" w:hAnsi="Calibri"/>
          <w:sz w:val="22"/>
        </w:rPr>
        <w:t>yn</w:t>
      </w:r>
      <w:r>
        <w:rPr>
          <w:rFonts w:ascii="Calibri" w:hAnsi="Calibri"/>
          <w:spacing w:val="-2"/>
          <w:sz w:val="22"/>
        </w:rPr>
        <w:t> </w:t>
      </w:r>
      <w:r>
        <w:rPr>
          <w:rFonts w:ascii="Calibri" w:hAnsi="Calibri"/>
          <w:sz w:val="22"/>
        </w:rPr>
        <w:t>bwriadu</w:t>
      </w:r>
      <w:r>
        <w:rPr>
          <w:rFonts w:ascii="Calibri" w:hAnsi="Calibri"/>
          <w:spacing w:val="-2"/>
          <w:sz w:val="22"/>
        </w:rPr>
        <w:t> </w:t>
      </w:r>
      <w:r>
        <w:rPr>
          <w:rFonts w:ascii="Calibri" w:hAnsi="Calibri"/>
          <w:sz w:val="22"/>
        </w:rPr>
        <w:t>cadw</w:t>
      </w:r>
      <w:r>
        <w:rPr>
          <w:rFonts w:ascii="Calibri" w:hAnsi="Calibri"/>
          <w:spacing w:val="-2"/>
          <w:sz w:val="22"/>
        </w:rPr>
        <w:t> </w:t>
      </w:r>
      <w:r>
        <w:rPr>
          <w:rFonts w:ascii="Calibri" w:hAnsi="Calibri"/>
          <w:sz w:val="22"/>
        </w:rPr>
        <w:t>model</w:t>
      </w:r>
      <w:r>
        <w:rPr>
          <w:rFonts w:ascii="Calibri" w:hAnsi="Calibri"/>
          <w:spacing w:val="-2"/>
          <w:sz w:val="22"/>
        </w:rPr>
        <w:t> </w:t>
      </w:r>
      <w:r>
        <w:rPr>
          <w:rFonts w:ascii="Calibri" w:hAnsi="Calibri"/>
          <w:sz w:val="22"/>
        </w:rPr>
        <w:t>gweithio</w:t>
      </w:r>
      <w:r>
        <w:rPr>
          <w:rFonts w:ascii="Calibri" w:hAnsi="Calibri"/>
          <w:spacing w:val="-3"/>
          <w:sz w:val="22"/>
        </w:rPr>
        <w:t> </w:t>
      </w:r>
      <w:r>
        <w:rPr>
          <w:rFonts w:ascii="Calibri" w:hAnsi="Calibri"/>
          <w:sz w:val="22"/>
        </w:rPr>
        <w:t>ystwyth</w:t>
      </w:r>
      <w:r>
        <w:rPr>
          <w:rFonts w:ascii="Calibri" w:hAnsi="Calibri"/>
          <w:spacing w:val="-2"/>
          <w:sz w:val="22"/>
        </w:rPr>
        <w:t> </w:t>
      </w:r>
      <w:r>
        <w:rPr>
          <w:rFonts w:ascii="Calibri" w:hAnsi="Calibri"/>
          <w:sz w:val="22"/>
        </w:rPr>
        <w:t>fel</w:t>
      </w:r>
      <w:r>
        <w:rPr>
          <w:rFonts w:ascii="Calibri" w:hAnsi="Calibri"/>
          <w:spacing w:val="-3"/>
          <w:sz w:val="22"/>
        </w:rPr>
        <w:t> </w:t>
      </w:r>
      <w:r>
        <w:rPr>
          <w:rFonts w:ascii="Calibri" w:hAnsi="Calibri"/>
          <w:sz w:val="22"/>
        </w:rPr>
        <w:t>rhan o’n cynlluniau ar gyfer y dyfodol ac mae’r Gymraeg wrth galon y cynlluniau hynny.</w:t>
      </w:r>
    </w:p>
    <w:p>
      <w:pPr>
        <w:pStyle w:val="BodyText"/>
        <w:spacing w:before="11"/>
        <w:rPr>
          <w:rFonts w:ascii="Calibri"/>
          <w:sz w:val="27"/>
        </w:rPr>
      </w:pPr>
    </w:p>
    <w:p>
      <w:pPr>
        <w:pStyle w:val="Heading7"/>
      </w:pPr>
      <w:r>
        <w:rPr/>
        <w:t>Atebolrwydd</w:t>
      </w:r>
      <w:r>
        <w:rPr>
          <w:spacing w:val="-2"/>
        </w:rPr>
        <w:t> </w:t>
      </w:r>
      <w:r>
        <w:rPr/>
        <w:t>a </w:t>
      </w:r>
      <w:r>
        <w:rPr>
          <w:spacing w:val="-2"/>
        </w:rPr>
        <w:t>Chymorth</w:t>
      </w:r>
    </w:p>
    <w:p>
      <w:pPr>
        <w:spacing w:line="259" w:lineRule="auto" w:before="27"/>
        <w:ind w:left="1440" w:right="1405" w:firstLine="0"/>
        <w:jc w:val="left"/>
        <w:rPr>
          <w:rFonts w:ascii="Calibri" w:hAnsi="Calibri"/>
          <w:sz w:val="22"/>
        </w:rPr>
      </w:pPr>
      <w:r>
        <w:rPr>
          <w:rFonts w:ascii="Calibri" w:hAnsi="Calibri"/>
          <w:sz w:val="22"/>
        </w:rPr>
        <w:t>Ochr</w:t>
      </w:r>
      <w:r>
        <w:rPr>
          <w:rFonts w:ascii="Calibri" w:hAnsi="Calibri"/>
          <w:spacing w:val="-4"/>
          <w:sz w:val="22"/>
        </w:rPr>
        <w:t> </w:t>
      </w:r>
      <w:r>
        <w:rPr>
          <w:rFonts w:ascii="Calibri" w:hAnsi="Calibri"/>
          <w:sz w:val="22"/>
        </w:rPr>
        <w:t>yn</w:t>
      </w:r>
      <w:r>
        <w:rPr>
          <w:rFonts w:ascii="Calibri" w:hAnsi="Calibri"/>
          <w:spacing w:val="-3"/>
          <w:sz w:val="22"/>
        </w:rPr>
        <w:t> </w:t>
      </w:r>
      <w:r>
        <w:rPr>
          <w:rFonts w:ascii="Calibri" w:hAnsi="Calibri"/>
          <w:sz w:val="22"/>
        </w:rPr>
        <w:t>ochr</w:t>
      </w:r>
      <w:r>
        <w:rPr>
          <w:rFonts w:ascii="Calibri" w:hAnsi="Calibri"/>
          <w:spacing w:val="-4"/>
          <w:sz w:val="22"/>
        </w:rPr>
        <w:t> </w:t>
      </w:r>
      <w:r>
        <w:rPr>
          <w:rFonts w:ascii="Calibri" w:hAnsi="Calibri"/>
          <w:sz w:val="22"/>
        </w:rPr>
        <w:t>â</w:t>
      </w:r>
      <w:r>
        <w:rPr>
          <w:rFonts w:ascii="Calibri" w:hAnsi="Calibri"/>
          <w:spacing w:val="-3"/>
          <w:sz w:val="22"/>
        </w:rPr>
        <w:t> </w:t>
      </w:r>
      <w:r>
        <w:rPr>
          <w:rFonts w:ascii="Calibri" w:hAnsi="Calibri"/>
          <w:sz w:val="22"/>
        </w:rPr>
        <w:t>Rheolwr</w:t>
      </w:r>
      <w:r>
        <w:rPr>
          <w:rFonts w:ascii="Calibri" w:hAnsi="Calibri"/>
          <w:spacing w:val="-4"/>
          <w:sz w:val="22"/>
        </w:rPr>
        <w:t> </w:t>
      </w:r>
      <w:r>
        <w:rPr>
          <w:rFonts w:ascii="Calibri" w:hAnsi="Calibri"/>
          <w:sz w:val="22"/>
        </w:rPr>
        <w:t>Gwasanaethau’r</w:t>
      </w:r>
      <w:r>
        <w:rPr>
          <w:rFonts w:ascii="Calibri" w:hAnsi="Calibri"/>
          <w:spacing w:val="-3"/>
          <w:sz w:val="22"/>
        </w:rPr>
        <w:t> </w:t>
      </w:r>
      <w:r>
        <w:rPr>
          <w:rFonts w:ascii="Calibri" w:hAnsi="Calibri"/>
          <w:sz w:val="22"/>
        </w:rPr>
        <w:t>Gymraeg,</w:t>
      </w:r>
      <w:r>
        <w:rPr>
          <w:rFonts w:ascii="Calibri" w:hAnsi="Calibri"/>
          <w:spacing w:val="-4"/>
          <w:sz w:val="22"/>
        </w:rPr>
        <w:t> </w:t>
      </w:r>
      <w:r>
        <w:rPr>
          <w:rFonts w:ascii="Calibri" w:hAnsi="Calibri"/>
          <w:sz w:val="22"/>
        </w:rPr>
        <w:t>y</w:t>
      </w:r>
      <w:r>
        <w:rPr>
          <w:rFonts w:ascii="Calibri" w:hAnsi="Calibri"/>
          <w:spacing w:val="-3"/>
          <w:sz w:val="22"/>
        </w:rPr>
        <w:t> </w:t>
      </w:r>
      <w:r>
        <w:rPr>
          <w:rFonts w:ascii="Calibri" w:hAnsi="Calibri"/>
          <w:sz w:val="22"/>
        </w:rPr>
        <w:t>Cyfarwyddwr</w:t>
      </w:r>
      <w:r>
        <w:rPr>
          <w:rFonts w:ascii="Calibri" w:hAnsi="Calibri"/>
          <w:spacing w:val="-4"/>
          <w:sz w:val="22"/>
        </w:rPr>
        <w:t> </w:t>
      </w:r>
      <w:r>
        <w:rPr>
          <w:rFonts w:ascii="Calibri" w:hAnsi="Calibri"/>
          <w:sz w:val="22"/>
        </w:rPr>
        <w:t>Pobl</w:t>
      </w:r>
      <w:r>
        <w:rPr>
          <w:rFonts w:ascii="Calibri" w:hAnsi="Calibri"/>
          <w:spacing w:val="-3"/>
          <w:sz w:val="22"/>
        </w:rPr>
        <w:t> </w:t>
      </w:r>
      <w:r>
        <w:rPr>
          <w:rFonts w:ascii="Calibri" w:hAnsi="Calibri"/>
          <w:sz w:val="22"/>
        </w:rPr>
        <w:t>a</w:t>
      </w:r>
      <w:r>
        <w:rPr>
          <w:rFonts w:ascii="Calibri" w:hAnsi="Calibri"/>
          <w:spacing w:val="-4"/>
          <w:sz w:val="22"/>
        </w:rPr>
        <w:t> </w:t>
      </w:r>
      <w:r>
        <w:rPr>
          <w:rFonts w:ascii="Calibri" w:hAnsi="Calibri"/>
          <w:sz w:val="22"/>
        </w:rPr>
        <w:t>Datblygu</w:t>
      </w:r>
      <w:r>
        <w:rPr>
          <w:rFonts w:ascii="Calibri" w:hAnsi="Calibri"/>
          <w:spacing w:val="-3"/>
          <w:sz w:val="22"/>
        </w:rPr>
        <w:t> </w:t>
      </w:r>
      <w:r>
        <w:rPr>
          <w:rFonts w:ascii="Calibri" w:hAnsi="Calibri"/>
          <w:sz w:val="22"/>
        </w:rPr>
        <w:t>Sefydliadol</w:t>
      </w:r>
      <w:r>
        <w:rPr>
          <w:rFonts w:ascii="Calibri" w:hAnsi="Calibri"/>
          <w:spacing w:val="-4"/>
          <w:sz w:val="22"/>
        </w:rPr>
        <w:t> </w:t>
      </w:r>
      <w:r>
        <w:rPr>
          <w:rFonts w:ascii="Calibri" w:hAnsi="Calibri"/>
          <w:sz w:val="22"/>
        </w:rPr>
        <w:t>yw arweinydd gweithredol y Gymraeg yn PCGC.</w:t>
      </w:r>
    </w:p>
    <w:p>
      <w:pPr>
        <w:pStyle w:val="BodyText"/>
        <w:spacing w:before="9"/>
        <w:rPr>
          <w:rFonts w:ascii="Calibri"/>
          <w:sz w:val="23"/>
        </w:rPr>
      </w:pPr>
    </w:p>
    <w:p>
      <w:pPr>
        <w:spacing w:line="259" w:lineRule="auto" w:before="0"/>
        <w:ind w:left="1440" w:right="1547" w:firstLine="0"/>
        <w:jc w:val="left"/>
        <w:rPr>
          <w:rFonts w:ascii="Calibri" w:hAnsi="Calibri"/>
          <w:sz w:val="22"/>
        </w:rPr>
      </w:pPr>
      <w:r>
        <w:rPr>
          <w:rFonts w:ascii="Calibri" w:hAnsi="Calibri"/>
          <w:sz w:val="22"/>
        </w:rPr>
        <w:t>Mae</w:t>
      </w:r>
      <w:r>
        <w:rPr>
          <w:rFonts w:ascii="Calibri" w:hAnsi="Calibri"/>
          <w:spacing w:val="-3"/>
          <w:sz w:val="22"/>
        </w:rPr>
        <w:t> </w:t>
      </w:r>
      <w:r>
        <w:rPr>
          <w:rFonts w:ascii="Calibri" w:hAnsi="Calibri"/>
          <w:sz w:val="22"/>
        </w:rPr>
        <w:t>rhwydwaith</w:t>
      </w:r>
      <w:r>
        <w:rPr>
          <w:rFonts w:ascii="Calibri" w:hAnsi="Calibri"/>
          <w:spacing w:val="-3"/>
          <w:sz w:val="22"/>
        </w:rPr>
        <w:t> </w:t>
      </w:r>
      <w:r>
        <w:rPr>
          <w:rFonts w:ascii="Calibri" w:hAnsi="Calibri"/>
          <w:sz w:val="22"/>
        </w:rPr>
        <w:t>o</w:t>
      </w:r>
      <w:r>
        <w:rPr>
          <w:rFonts w:ascii="Calibri" w:hAnsi="Calibri"/>
          <w:spacing w:val="-3"/>
          <w:sz w:val="22"/>
        </w:rPr>
        <w:t> </w:t>
      </w:r>
      <w:r>
        <w:rPr>
          <w:rFonts w:ascii="Calibri" w:hAnsi="Calibri"/>
          <w:sz w:val="22"/>
        </w:rPr>
        <w:t>Gydlynwyr</w:t>
      </w:r>
      <w:r>
        <w:rPr>
          <w:rFonts w:ascii="Calibri" w:hAnsi="Calibri"/>
          <w:spacing w:val="-4"/>
          <w:sz w:val="22"/>
        </w:rPr>
        <w:t> </w:t>
      </w:r>
      <w:r>
        <w:rPr>
          <w:rFonts w:ascii="Calibri" w:hAnsi="Calibri"/>
          <w:sz w:val="22"/>
        </w:rPr>
        <w:t>Iaith</w:t>
      </w:r>
      <w:r>
        <w:rPr>
          <w:rFonts w:ascii="Calibri" w:hAnsi="Calibri"/>
          <w:spacing w:val="-3"/>
          <w:sz w:val="22"/>
        </w:rPr>
        <w:t> </w:t>
      </w:r>
      <w:r>
        <w:rPr>
          <w:rFonts w:ascii="Calibri" w:hAnsi="Calibri"/>
          <w:sz w:val="22"/>
        </w:rPr>
        <w:t>Gymraeg</w:t>
      </w:r>
      <w:r>
        <w:rPr>
          <w:rFonts w:ascii="Calibri" w:hAnsi="Calibri"/>
          <w:spacing w:val="-4"/>
          <w:sz w:val="22"/>
        </w:rPr>
        <w:t> </w:t>
      </w:r>
      <w:r>
        <w:rPr>
          <w:rFonts w:ascii="Calibri" w:hAnsi="Calibri"/>
          <w:sz w:val="22"/>
        </w:rPr>
        <w:t>ym</w:t>
      </w:r>
      <w:r>
        <w:rPr>
          <w:rFonts w:ascii="Calibri" w:hAnsi="Calibri"/>
          <w:spacing w:val="-3"/>
          <w:sz w:val="22"/>
        </w:rPr>
        <w:t> </w:t>
      </w:r>
      <w:r>
        <w:rPr>
          <w:rFonts w:ascii="Calibri" w:hAnsi="Calibri"/>
          <w:sz w:val="22"/>
        </w:rPr>
        <w:t>mhob</w:t>
      </w:r>
      <w:r>
        <w:rPr>
          <w:rFonts w:ascii="Calibri" w:hAnsi="Calibri"/>
          <w:spacing w:val="-4"/>
          <w:sz w:val="22"/>
        </w:rPr>
        <w:t> </w:t>
      </w:r>
      <w:r>
        <w:rPr>
          <w:rFonts w:ascii="Calibri" w:hAnsi="Calibri"/>
          <w:sz w:val="22"/>
        </w:rPr>
        <w:t>isadran</w:t>
      </w:r>
      <w:r>
        <w:rPr>
          <w:rFonts w:ascii="Calibri" w:hAnsi="Calibri"/>
          <w:spacing w:val="-4"/>
          <w:sz w:val="22"/>
        </w:rPr>
        <w:t> </w:t>
      </w:r>
      <w:r>
        <w:rPr>
          <w:rFonts w:ascii="Calibri" w:hAnsi="Calibri"/>
          <w:sz w:val="22"/>
        </w:rPr>
        <w:t>sy’n</w:t>
      </w:r>
      <w:r>
        <w:rPr>
          <w:rFonts w:ascii="Calibri" w:hAnsi="Calibri"/>
          <w:spacing w:val="-3"/>
          <w:sz w:val="22"/>
        </w:rPr>
        <w:t> </w:t>
      </w:r>
      <w:r>
        <w:rPr>
          <w:rFonts w:ascii="Calibri" w:hAnsi="Calibri"/>
          <w:sz w:val="22"/>
        </w:rPr>
        <w:t>gweithio’n</w:t>
      </w:r>
      <w:r>
        <w:rPr>
          <w:rFonts w:ascii="Calibri" w:hAnsi="Calibri"/>
          <w:spacing w:val="-3"/>
          <w:sz w:val="22"/>
        </w:rPr>
        <w:t> </w:t>
      </w:r>
      <w:r>
        <w:rPr>
          <w:rFonts w:ascii="Calibri" w:hAnsi="Calibri"/>
          <w:sz w:val="22"/>
        </w:rPr>
        <w:t>agos</w:t>
      </w:r>
      <w:r>
        <w:rPr>
          <w:rFonts w:ascii="Calibri" w:hAnsi="Calibri"/>
          <w:spacing w:val="-4"/>
          <w:sz w:val="22"/>
        </w:rPr>
        <w:t> </w:t>
      </w:r>
      <w:r>
        <w:rPr>
          <w:rFonts w:ascii="Calibri" w:hAnsi="Calibri"/>
          <w:sz w:val="22"/>
        </w:rPr>
        <w:t>gyda’r</w:t>
      </w:r>
      <w:r>
        <w:rPr>
          <w:rFonts w:ascii="Calibri" w:hAnsi="Calibri"/>
          <w:spacing w:val="-3"/>
          <w:sz w:val="22"/>
        </w:rPr>
        <w:t> </w:t>
      </w:r>
      <w:r>
        <w:rPr>
          <w:rFonts w:ascii="Calibri" w:hAnsi="Calibri"/>
          <w:sz w:val="22"/>
        </w:rPr>
        <w:t>Uned Iaith Gymraeg a’r Tîm Cyfieithu i ddarparu cyngor, arweiniad a chefnogaeth ynghylch Safonau’r Gymraeg a hyrwyddo’r defnydd o’r Gymraeg yn fewnol.</w:t>
      </w:r>
    </w:p>
    <w:p>
      <w:pPr>
        <w:pStyle w:val="BodyText"/>
        <w:spacing w:before="8"/>
        <w:rPr>
          <w:rFonts w:ascii="Calibri"/>
          <w:sz w:val="23"/>
        </w:rPr>
      </w:pPr>
    </w:p>
    <w:p>
      <w:pPr>
        <w:spacing w:line="259" w:lineRule="auto" w:before="0"/>
        <w:ind w:left="1440" w:right="1405" w:firstLine="0"/>
        <w:jc w:val="left"/>
        <w:rPr>
          <w:rFonts w:ascii="Calibri" w:hAnsi="Calibri"/>
          <w:sz w:val="22"/>
        </w:rPr>
      </w:pPr>
      <w:r>
        <w:rPr>
          <w:rFonts w:ascii="Calibri" w:hAnsi="Calibri"/>
          <w:sz w:val="22"/>
        </w:rPr>
        <w:t>Mae gennym hefyd dîm</w:t>
      </w:r>
      <w:r>
        <w:rPr>
          <w:rFonts w:ascii="Calibri" w:hAnsi="Calibri"/>
          <w:spacing w:val="-1"/>
          <w:sz w:val="22"/>
        </w:rPr>
        <w:t> </w:t>
      </w:r>
      <w:r>
        <w:rPr>
          <w:rFonts w:ascii="Calibri" w:hAnsi="Calibri"/>
          <w:sz w:val="22"/>
        </w:rPr>
        <w:t>o Gyfieithwyr yn PCGC i’n</w:t>
      </w:r>
      <w:r>
        <w:rPr>
          <w:rFonts w:ascii="Calibri" w:hAnsi="Calibri"/>
          <w:spacing w:val="-1"/>
          <w:sz w:val="22"/>
        </w:rPr>
        <w:t> </w:t>
      </w:r>
      <w:r>
        <w:rPr>
          <w:rFonts w:ascii="Calibri" w:hAnsi="Calibri"/>
          <w:sz w:val="22"/>
        </w:rPr>
        <w:t>cefnogi ni fel sefydliad</w:t>
      </w:r>
      <w:r>
        <w:rPr>
          <w:rFonts w:ascii="Calibri" w:hAnsi="Calibri"/>
          <w:spacing w:val="-1"/>
          <w:sz w:val="22"/>
        </w:rPr>
        <w:t> </w:t>
      </w:r>
      <w:r>
        <w:rPr>
          <w:rFonts w:ascii="Calibri" w:hAnsi="Calibri"/>
          <w:sz w:val="22"/>
        </w:rPr>
        <w:t>i ddarparu gwasanaethau Cymraeg</w:t>
      </w:r>
      <w:r>
        <w:rPr>
          <w:rFonts w:ascii="Calibri" w:hAnsi="Calibri"/>
          <w:spacing w:val="-3"/>
          <w:sz w:val="22"/>
        </w:rPr>
        <w:t> </w:t>
      </w:r>
      <w:r>
        <w:rPr>
          <w:rFonts w:ascii="Calibri" w:hAnsi="Calibri"/>
          <w:sz w:val="22"/>
        </w:rPr>
        <w:t>yn</w:t>
      </w:r>
      <w:r>
        <w:rPr>
          <w:rFonts w:ascii="Calibri" w:hAnsi="Calibri"/>
          <w:spacing w:val="-2"/>
          <w:sz w:val="22"/>
        </w:rPr>
        <w:t> </w:t>
      </w:r>
      <w:r>
        <w:rPr>
          <w:rFonts w:ascii="Calibri" w:hAnsi="Calibri"/>
          <w:sz w:val="22"/>
        </w:rPr>
        <w:t>ogystal</w:t>
      </w:r>
      <w:r>
        <w:rPr>
          <w:rFonts w:ascii="Calibri" w:hAnsi="Calibri"/>
          <w:spacing w:val="-2"/>
          <w:sz w:val="22"/>
        </w:rPr>
        <w:t> </w:t>
      </w:r>
      <w:r>
        <w:rPr>
          <w:rFonts w:ascii="Calibri" w:hAnsi="Calibri"/>
          <w:sz w:val="22"/>
        </w:rPr>
        <w:t>â</w:t>
      </w:r>
      <w:r>
        <w:rPr>
          <w:rFonts w:ascii="Calibri" w:hAnsi="Calibri"/>
          <w:spacing w:val="-3"/>
          <w:sz w:val="22"/>
        </w:rPr>
        <w:t> </w:t>
      </w:r>
      <w:r>
        <w:rPr>
          <w:rFonts w:ascii="Calibri" w:hAnsi="Calibri"/>
          <w:sz w:val="22"/>
        </w:rPr>
        <w:t>chefnogi</w:t>
      </w:r>
      <w:r>
        <w:rPr>
          <w:rFonts w:ascii="Calibri" w:hAnsi="Calibri"/>
          <w:spacing w:val="-3"/>
          <w:sz w:val="22"/>
        </w:rPr>
        <w:t> </w:t>
      </w:r>
      <w:r>
        <w:rPr>
          <w:rFonts w:ascii="Calibri" w:hAnsi="Calibri"/>
          <w:sz w:val="22"/>
        </w:rPr>
        <w:t>sefydliadau</w:t>
      </w:r>
      <w:r>
        <w:rPr>
          <w:rFonts w:ascii="Calibri" w:hAnsi="Calibri"/>
          <w:spacing w:val="-2"/>
          <w:sz w:val="22"/>
        </w:rPr>
        <w:t> </w:t>
      </w:r>
      <w:r>
        <w:rPr>
          <w:rFonts w:ascii="Calibri" w:hAnsi="Calibri"/>
          <w:sz w:val="22"/>
        </w:rPr>
        <w:t>eraill</w:t>
      </w:r>
      <w:r>
        <w:rPr>
          <w:rFonts w:ascii="Calibri" w:hAnsi="Calibri"/>
          <w:spacing w:val="-2"/>
          <w:sz w:val="22"/>
        </w:rPr>
        <w:t> </w:t>
      </w:r>
      <w:r>
        <w:rPr>
          <w:rFonts w:ascii="Calibri" w:hAnsi="Calibri"/>
          <w:sz w:val="22"/>
        </w:rPr>
        <w:t>y</w:t>
      </w:r>
      <w:r>
        <w:rPr>
          <w:rFonts w:ascii="Calibri" w:hAnsi="Calibri"/>
          <w:spacing w:val="-3"/>
          <w:sz w:val="22"/>
        </w:rPr>
        <w:t> </w:t>
      </w:r>
      <w:r>
        <w:rPr>
          <w:rFonts w:ascii="Calibri" w:hAnsi="Calibri"/>
          <w:sz w:val="22"/>
        </w:rPr>
        <w:t>GIG.</w:t>
      </w:r>
      <w:r>
        <w:rPr>
          <w:rFonts w:ascii="Calibri" w:hAnsi="Calibri"/>
          <w:spacing w:val="40"/>
          <w:sz w:val="22"/>
        </w:rPr>
        <w:t> </w:t>
      </w:r>
      <w:r>
        <w:rPr>
          <w:rFonts w:ascii="Calibri" w:hAnsi="Calibri"/>
          <w:sz w:val="22"/>
        </w:rPr>
        <w:t>Yn</w:t>
      </w:r>
      <w:r>
        <w:rPr>
          <w:rFonts w:ascii="Calibri" w:hAnsi="Calibri"/>
          <w:spacing w:val="-3"/>
          <w:sz w:val="22"/>
        </w:rPr>
        <w:t> </w:t>
      </w:r>
      <w:r>
        <w:rPr>
          <w:rFonts w:ascii="Calibri" w:hAnsi="Calibri"/>
          <w:sz w:val="22"/>
        </w:rPr>
        <w:t>ystod</w:t>
      </w:r>
      <w:r>
        <w:rPr>
          <w:rFonts w:ascii="Calibri" w:hAnsi="Calibri"/>
          <w:spacing w:val="-3"/>
          <w:sz w:val="22"/>
        </w:rPr>
        <w:t> </w:t>
      </w:r>
      <w:r>
        <w:rPr>
          <w:rFonts w:ascii="Calibri" w:hAnsi="Calibri"/>
          <w:sz w:val="22"/>
        </w:rPr>
        <w:t>y</w:t>
      </w:r>
      <w:r>
        <w:rPr>
          <w:rFonts w:ascii="Calibri" w:hAnsi="Calibri"/>
          <w:spacing w:val="-2"/>
          <w:sz w:val="22"/>
        </w:rPr>
        <w:t> </w:t>
      </w:r>
      <w:r>
        <w:rPr>
          <w:rFonts w:ascii="Calibri" w:hAnsi="Calibri"/>
          <w:sz w:val="22"/>
        </w:rPr>
        <w:t>flwyddyn</w:t>
      </w:r>
      <w:r>
        <w:rPr>
          <w:rFonts w:ascii="Calibri" w:hAnsi="Calibri"/>
          <w:spacing w:val="-2"/>
          <w:sz w:val="22"/>
        </w:rPr>
        <w:t> </w:t>
      </w:r>
      <w:r>
        <w:rPr>
          <w:rFonts w:ascii="Calibri" w:hAnsi="Calibri"/>
          <w:sz w:val="22"/>
        </w:rPr>
        <w:t>hon,</w:t>
      </w:r>
      <w:r>
        <w:rPr>
          <w:rFonts w:ascii="Calibri" w:hAnsi="Calibri"/>
          <w:spacing w:val="-3"/>
          <w:sz w:val="22"/>
        </w:rPr>
        <w:t> </w:t>
      </w:r>
      <w:r>
        <w:rPr>
          <w:rFonts w:ascii="Calibri" w:hAnsi="Calibri"/>
          <w:sz w:val="22"/>
        </w:rPr>
        <w:t>rydym</w:t>
      </w:r>
      <w:r>
        <w:rPr>
          <w:rFonts w:ascii="Calibri" w:hAnsi="Calibri"/>
          <w:spacing w:val="-2"/>
          <w:sz w:val="22"/>
        </w:rPr>
        <w:t> </w:t>
      </w:r>
      <w:r>
        <w:rPr>
          <w:rFonts w:ascii="Calibri" w:hAnsi="Calibri"/>
          <w:sz w:val="22"/>
        </w:rPr>
        <w:t>hefyd</w:t>
      </w:r>
      <w:r>
        <w:rPr>
          <w:rFonts w:ascii="Calibri" w:hAnsi="Calibri"/>
          <w:spacing w:val="-3"/>
          <w:sz w:val="22"/>
        </w:rPr>
        <w:t> </w:t>
      </w:r>
      <w:r>
        <w:rPr>
          <w:rFonts w:ascii="Calibri" w:hAnsi="Calibri"/>
          <w:sz w:val="22"/>
        </w:rPr>
        <w:t>wedi sefydlu banc o gyfieithwyr er mwyn darparu ein gwasanaethau cyfieithu i sylfaen ehangach o gleientiaid yn GIG Cymru.</w:t>
      </w:r>
    </w:p>
    <w:p>
      <w:pPr>
        <w:spacing w:after="0" w:line="259" w:lineRule="auto"/>
        <w:jc w:val="left"/>
        <w:rPr>
          <w:rFonts w:ascii="Calibri" w:hAnsi="Calibri"/>
          <w:sz w:val="22"/>
        </w:rPr>
        <w:sectPr>
          <w:pgSz w:w="11910" w:h="16840"/>
          <w:pgMar w:header="0" w:footer="173" w:top="1920" w:bottom="360" w:left="0" w:right="0"/>
        </w:sectPr>
      </w:pPr>
    </w:p>
    <w:p>
      <w:pPr>
        <w:pStyle w:val="BodyText"/>
        <w:rPr>
          <w:rFonts w:ascii="Calibri"/>
          <w:sz w:val="20"/>
        </w:rPr>
      </w:pPr>
    </w:p>
    <w:p>
      <w:pPr>
        <w:pStyle w:val="Heading7"/>
        <w:spacing w:before="206"/>
      </w:pPr>
      <w:r>
        <w:rPr/>
        <w:t>Safonau</w:t>
      </w:r>
      <w:r>
        <w:rPr>
          <w:spacing w:val="-4"/>
        </w:rPr>
        <w:t> </w:t>
      </w:r>
      <w:r>
        <w:rPr/>
        <w:t>Cyflenwi</w:t>
      </w:r>
      <w:r>
        <w:rPr>
          <w:spacing w:val="-4"/>
        </w:rPr>
        <w:t> </w:t>
      </w:r>
      <w:r>
        <w:rPr>
          <w:spacing w:val="-2"/>
        </w:rPr>
        <w:t>Gwasanaethau</w:t>
      </w:r>
    </w:p>
    <w:p>
      <w:pPr>
        <w:spacing w:line="259" w:lineRule="auto" w:before="27"/>
        <w:ind w:left="1440" w:right="1405" w:firstLine="0"/>
        <w:jc w:val="left"/>
        <w:rPr>
          <w:rFonts w:ascii="Calibri" w:hAnsi="Calibri"/>
          <w:sz w:val="22"/>
        </w:rPr>
      </w:pPr>
      <w:r>
        <w:rPr>
          <w:rFonts w:ascii="Calibri" w:hAnsi="Calibri"/>
          <w:sz w:val="22"/>
        </w:rPr>
        <w:t>Rydym</w:t>
      </w:r>
      <w:r>
        <w:rPr>
          <w:rFonts w:ascii="Calibri" w:hAnsi="Calibri"/>
          <w:spacing w:val="-2"/>
          <w:sz w:val="22"/>
        </w:rPr>
        <w:t> </w:t>
      </w:r>
      <w:r>
        <w:rPr>
          <w:rFonts w:ascii="Calibri" w:hAnsi="Calibri"/>
          <w:sz w:val="22"/>
        </w:rPr>
        <w:t>wedi</w:t>
      </w:r>
      <w:r>
        <w:rPr>
          <w:rFonts w:ascii="Calibri" w:hAnsi="Calibri"/>
          <w:spacing w:val="-2"/>
          <w:sz w:val="22"/>
        </w:rPr>
        <w:t> </w:t>
      </w:r>
      <w:r>
        <w:rPr>
          <w:rFonts w:ascii="Calibri" w:hAnsi="Calibri"/>
          <w:sz w:val="22"/>
        </w:rPr>
        <w:t>parhau</w:t>
      </w:r>
      <w:r>
        <w:rPr>
          <w:rFonts w:ascii="Calibri" w:hAnsi="Calibri"/>
          <w:spacing w:val="-2"/>
          <w:sz w:val="22"/>
        </w:rPr>
        <w:t> </w:t>
      </w:r>
      <w:r>
        <w:rPr>
          <w:rFonts w:ascii="Calibri" w:hAnsi="Calibri"/>
          <w:sz w:val="22"/>
        </w:rPr>
        <w:t>i</w:t>
      </w:r>
      <w:r>
        <w:rPr>
          <w:rFonts w:ascii="Calibri" w:hAnsi="Calibri"/>
          <w:spacing w:val="-3"/>
          <w:sz w:val="22"/>
        </w:rPr>
        <w:t> </w:t>
      </w:r>
      <w:r>
        <w:rPr>
          <w:rFonts w:ascii="Calibri" w:hAnsi="Calibri"/>
          <w:sz w:val="22"/>
        </w:rPr>
        <w:t>gydymffurfio</w:t>
      </w:r>
      <w:r>
        <w:rPr>
          <w:rFonts w:ascii="Calibri" w:hAnsi="Calibri"/>
          <w:spacing w:val="-3"/>
          <w:sz w:val="22"/>
        </w:rPr>
        <w:t> </w:t>
      </w:r>
      <w:r>
        <w:rPr>
          <w:rFonts w:ascii="Calibri" w:hAnsi="Calibri"/>
          <w:sz w:val="22"/>
        </w:rPr>
        <w:t>â’r</w:t>
      </w:r>
      <w:r>
        <w:rPr>
          <w:rFonts w:ascii="Calibri" w:hAnsi="Calibri"/>
          <w:spacing w:val="-3"/>
          <w:sz w:val="22"/>
        </w:rPr>
        <w:t> </w:t>
      </w:r>
      <w:r>
        <w:rPr>
          <w:rFonts w:ascii="Calibri" w:hAnsi="Calibri"/>
          <w:sz w:val="22"/>
        </w:rPr>
        <w:t>safonau</w:t>
      </w:r>
      <w:r>
        <w:rPr>
          <w:rFonts w:ascii="Calibri" w:hAnsi="Calibri"/>
          <w:spacing w:val="-2"/>
          <w:sz w:val="22"/>
        </w:rPr>
        <w:t> </w:t>
      </w:r>
      <w:r>
        <w:rPr>
          <w:rFonts w:ascii="Calibri" w:hAnsi="Calibri"/>
          <w:sz w:val="22"/>
        </w:rPr>
        <w:t>cyflenwi</w:t>
      </w:r>
      <w:r>
        <w:rPr>
          <w:rFonts w:ascii="Calibri" w:hAnsi="Calibri"/>
          <w:spacing w:val="-2"/>
          <w:sz w:val="22"/>
        </w:rPr>
        <w:t> </w:t>
      </w:r>
      <w:r>
        <w:rPr>
          <w:rFonts w:ascii="Calibri" w:hAnsi="Calibri"/>
          <w:sz w:val="22"/>
        </w:rPr>
        <w:t>gwasanaethau</w:t>
      </w:r>
      <w:r>
        <w:rPr>
          <w:rFonts w:ascii="Calibri" w:hAnsi="Calibri"/>
          <w:spacing w:val="-2"/>
          <w:sz w:val="22"/>
        </w:rPr>
        <w:t> </w:t>
      </w:r>
      <w:r>
        <w:rPr>
          <w:rFonts w:ascii="Calibri" w:hAnsi="Calibri"/>
          <w:sz w:val="22"/>
        </w:rPr>
        <w:t>yn</w:t>
      </w:r>
      <w:r>
        <w:rPr>
          <w:rFonts w:ascii="Calibri" w:hAnsi="Calibri"/>
          <w:spacing w:val="-2"/>
          <w:sz w:val="22"/>
        </w:rPr>
        <w:t> </w:t>
      </w:r>
      <w:r>
        <w:rPr>
          <w:rFonts w:ascii="Calibri" w:hAnsi="Calibri"/>
          <w:sz w:val="22"/>
        </w:rPr>
        <w:t>ystod</w:t>
      </w:r>
      <w:r>
        <w:rPr>
          <w:rFonts w:ascii="Calibri" w:hAnsi="Calibri"/>
          <w:spacing w:val="-3"/>
          <w:sz w:val="22"/>
        </w:rPr>
        <w:t> </w:t>
      </w:r>
      <w:r>
        <w:rPr>
          <w:rFonts w:ascii="Calibri" w:hAnsi="Calibri"/>
          <w:sz w:val="22"/>
        </w:rPr>
        <w:t>y</w:t>
      </w:r>
      <w:r>
        <w:rPr>
          <w:rFonts w:ascii="Calibri" w:hAnsi="Calibri"/>
          <w:spacing w:val="-2"/>
          <w:sz w:val="22"/>
        </w:rPr>
        <w:t> </w:t>
      </w:r>
      <w:r>
        <w:rPr>
          <w:rFonts w:ascii="Calibri" w:hAnsi="Calibri"/>
          <w:sz w:val="22"/>
        </w:rPr>
        <w:t>flwyddyn</w:t>
      </w:r>
      <w:r>
        <w:rPr>
          <w:rFonts w:ascii="Calibri" w:hAnsi="Calibri"/>
          <w:spacing w:val="-3"/>
          <w:sz w:val="22"/>
        </w:rPr>
        <w:t> </w:t>
      </w:r>
      <w:r>
        <w:rPr>
          <w:rFonts w:ascii="Calibri" w:hAnsi="Calibri"/>
          <w:sz w:val="22"/>
        </w:rPr>
        <w:t>yn</w:t>
      </w:r>
      <w:r>
        <w:rPr>
          <w:rFonts w:ascii="Calibri" w:hAnsi="Calibri"/>
          <w:spacing w:val="-2"/>
          <w:sz w:val="22"/>
        </w:rPr>
        <w:t> </w:t>
      </w:r>
      <w:r>
        <w:rPr>
          <w:rFonts w:ascii="Calibri" w:hAnsi="Calibri"/>
          <w:sz w:val="22"/>
        </w:rPr>
        <w:t>sgil heriau’r pandemig.</w:t>
      </w:r>
    </w:p>
    <w:p>
      <w:pPr>
        <w:pStyle w:val="BodyText"/>
        <w:spacing w:before="9"/>
        <w:rPr>
          <w:rFonts w:ascii="Calibri"/>
          <w:sz w:val="23"/>
        </w:rPr>
      </w:pPr>
    </w:p>
    <w:p>
      <w:pPr>
        <w:pStyle w:val="ListParagraph"/>
        <w:numPr>
          <w:ilvl w:val="0"/>
          <w:numId w:val="47"/>
        </w:numPr>
        <w:tabs>
          <w:tab w:pos="2159" w:val="left" w:leader="none"/>
          <w:tab w:pos="2160" w:val="left" w:leader="none"/>
        </w:tabs>
        <w:spacing w:line="240" w:lineRule="auto" w:before="0" w:after="0"/>
        <w:ind w:left="2159" w:right="0" w:hanging="360"/>
        <w:jc w:val="left"/>
        <w:rPr>
          <w:rFonts w:ascii="Calibri" w:hAnsi="Calibri"/>
          <w:sz w:val="22"/>
        </w:rPr>
      </w:pPr>
      <w:r>
        <w:rPr>
          <w:rFonts w:ascii="Calibri" w:hAnsi="Calibri"/>
          <w:sz w:val="22"/>
        </w:rPr>
        <w:t>Gohebiaeth</w:t>
      </w:r>
      <w:r>
        <w:rPr>
          <w:rFonts w:ascii="Calibri" w:hAnsi="Calibri"/>
          <w:spacing w:val="-4"/>
          <w:sz w:val="22"/>
        </w:rPr>
        <w:t> </w:t>
      </w:r>
      <w:r>
        <w:rPr>
          <w:rFonts w:ascii="Calibri" w:hAnsi="Calibri"/>
          <w:sz w:val="22"/>
        </w:rPr>
        <w:t>Ysgrifenedig</w:t>
      </w:r>
      <w:r>
        <w:rPr>
          <w:rFonts w:ascii="Calibri" w:hAnsi="Calibri"/>
          <w:spacing w:val="-4"/>
          <w:sz w:val="22"/>
        </w:rPr>
        <w:t> </w:t>
      </w:r>
      <w:r>
        <w:rPr>
          <w:rFonts w:ascii="Calibri" w:hAnsi="Calibri"/>
          <w:sz w:val="22"/>
        </w:rPr>
        <w:t>(Safonau</w:t>
      </w:r>
      <w:r>
        <w:rPr>
          <w:rFonts w:ascii="Calibri" w:hAnsi="Calibri"/>
          <w:spacing w:val="-4"/>
          <w:sz w:val="22"/>
        </w:rPr>
        <w:t> </w:t>
      </w:r>
      <w:r>
        <w:rPr>
          <w:rFonts w:ascii="Calibri" w:hAnsi="Calibri"/>
          <w:sz w:val="22"/>
        </w:rPr>
        <w:t>1</w:t>
      </w:r>
      <w:r>
        <w:rPr>
          <w:rFonts w:ascii="Calibri" w:hAnsi="Calibri"/>
          <w:spacing w:val="-3"/>
          <w:sz w:val="22"/>
        </w:rPr>
        <w:t> </w:t>
      </w:r>
      <w:r>
        <w:rPr>
          <w:rFonts w:ascii="Calibri" w:hAnsi="Calibri"/>
          <w:sz w:val="22"/>
        </w:rPr>
        <w:t>–</w:t>
      </w:r>
      <w:r>
        <w:rPr>
          <w:rFonts w:ascii="Calibri" w:hAnsi="Calibri"/>
          <w:spacing w:val="-3"/>
          <w:sz w:val="22"/>
        </w:rPr>
        <w:t> </w:t>
      </w:r>
      <w:r>
        <w:rPr>
          <w:rFonts w:ascii="Calibri" w:hAnsi="Calibri"/>
          <w:spacing w:val="-5"/>
          <w:sz w:val="22"/>
        </w:rPr>
        <w:t>7)</w:t>
      </w:r>
    </w:p>
    <w:p>
      <w:pPr>
        <w:pStyle w:val="ListParagraph"/>
        <w:numPr>
          <w:ilvl w:val="0"/>
          <w:numId w:val="47"/>
        </w:numPr>
        <w:tabs>
          <w:tab w:pos="2159" w:val="left" w:leader="none"/>
          <w:tab w:pos="2160" w:val="left" w:leader="none"/>
        </w:tabs>
        <w:spacing w:line="240" w:lineRule="auto" w:before="21" w:after="0"/>
        <w:ind w:left="2159" w:right="0" w:hanging="360"/>
        <w:jc w:val="left"/>
        <w:rPr>
          <w:rFonts w:ascii="Calibri" w:hAnsi="Calibri"/>
          <w:sz w:val="22"/>
        </w:rPr>
      </w:pPr>
      <w:r>
        <w:rPr>
          <w:rFonts w:ascii="Calibri" w:hAnsi="Calibri"/>
          <w:sz w:val="22"/>
        </w:rPr>
        <w:t>Gwasanaethau</w:t>
      </w:r>
      <w:r>
        <w:rPr>
          <w:rFonts w:ascii="Calibri" w:hAnsi="Calibri"/>
          <w:spacing w:val="-2"/>
          <w:sz w:val="22"/>
        </w:rPr>
        <w:t> </w:t>
      </w:r>
      <w:r>
        <w:rPr>
          <w:rFonts w:ascii="Calibri" w:hAnsi="Calibri"/>
          <w:sz w:val="22"/>
        </w:rPr>
        <w:t>Ffôn</w:t>
      </w:r>
      <w:r>
        <w:rPr>
          <w:rFonts w:ascii="Calibri" w:hAnsi="Calibri"/>
          <w:spacing w:val="-3"/>
          <w:sz w:val="22"/>
        </w:rPr>
        <w:t> </w:t>
      </w:r>
      <w:r>
        <w:rPr>
          <w:rFonts w:ascii="Calibri" w:hAnsi="Calibri"/>
          <w:sz w:val="22"/>
        </w:rPr>
        <w:t>(Safonau</w:t>
      </w:r>
      <w:r>
        <w:rPr>
          <w:rFonts w:ascii="Calibri" w:hAnsi="Calibri"/>
          <w:spacing w:val="-1"/>
          <w:sz w:val="22"/>
        </w:rPr>
        <w:t> </w:t>
      </w:r>
      <w:r>
        <w:rPr>
          <w:rFonts w:ascii="Calibri" w:hAnsi="Calibri"/>
          <w:sz w:val="22"/>
        </w:rPr>
        <w:t>8</w:t>
      </w:r>
      <w:r>
        <w:rPr>
          <w:rFonts w:ascii="Calibri" w:hAnsi="Calibri"/>
          <w:spacing w:val="-3"/>
          <w:sz w:val="22"/>
        </w:rPr>
        <w:t> </w:t>
      </w:r>
      <w:r>
        <w:rPr>
          <w:rFonts w:ascii="Calibri" w:hAnsi="Calibri"/>
          <w:sz w:val="22"/>
        </w:rPr>
        <w:t>–</w:t>
      </w:r>
      <w:r>
        <w:rPr>
          <w:rFonts w:ascii="Calibri" w:hAnsi="Calibri"/>
          <w:spacing w:val="-1"/>
          <w:sz w:val="22"/>
        </w:rPr>
        <w:t> </w:t>
      </w:r>
      <w:r>
        <w:rPr>
          <w:rFonts w:ascii="Calibri" w:hAnsi="Calibri"/>
          <w:spacing w:val="-5"/>
          <w:sz w:val="22"/>
        </w:rPr>
        <w:t>20)</w:t>
      </w:r>
    </w:p>
    <w:p>
      <w:pPr>
        <w:pStyle w:val="ListParagraph"/>
        <w:numPr>
          <w:ilvl w:val="0"/>
          <w:numId w:val="47"/>
        </w:numPr>
        <w:tabs>
          <w:tab w:pos="2159" w:val="left" w:leader="none"/>
          <w:tab w:pos="2160" w:val="left" w:leader="none"/>
        </w:tabs>
        <w:spacing w:line="240" w:lineRule="auto" w:before="21" w:after="0"/>
        <w:ind w:left="2159" w:right="0" w:hanging="360"/>
        <w:jc w:val="left"/>
        <w:rPr>
          <w:rFonts w:ascii="Calibri" w:hAnsi="Calibri"/>
          <w:sz w:val="22"/>
        </w:rPr>
      </w:pPr>
      <w:r>
        <w:rPr>
          <w:rFonts w:ascii="Calibri" w:hAnsi="Calibri"/>
          <w:sz w:val="22"/>
        </w:rPr>
        <w:t>Cyfarfodydd</w:t>
      </w:r>
      <w:r>
        <w:rPr>
          <w:rFonts w:ascii="Calibri" w:hAnsi="Calibri"/>
          <w:spacing w:val="-7"/>
          <w:sz w:val="22"/>
        </w:rPr>
        <w:t> </w:t>
      </w:r>
      <w:r>
        <w:rPr>
          <w:rFonts w:ascii="Calibri" w:hAnsi="Calibri"/>
          <w:sz w:val="22"/>
        </w:rPr>
        <w:t>a</w:t>
      </w:r>
      <w:r>
        <w:rPr>
          <w:rFonts w:ascii="Calibri" w:hAnsi="Calibri"/>
          <w:spacing w:val="-3"/>
          <w:sz w:val="22"/>
        </w:rPr>
        <w:t> </w:t>
      </w:r>
      <w:r>
        <w:rPr>
          <w:rFonts w:ascii="Calibri" w:hAnsi="Calibri"/>
          <w:sz w:val="22"/>
        </w:rPr>
        <w:t>Digwyddiadau</w:t>
      </w:r>
      <w:r>
        <w:rPr>
          <w:rFonts w:ascii="Calibri" w:hAnsi="Calibri"/>
          <w:spacing w:val="-3"/>
          <w:sz w:val="22"/>
        </w:rPr>
        <w:t> </w:t>
      </w:r>
      <w:r>
        <w:rPr>
          <w:rFonts w:ascii="Calibri" w:hAnsi="Calibri"/>
          <w:sz w:val="22"/>
        </w:rPr>
        <w:t>(Safonau</w:t>
      </w:r>
      <w:r>
        <w:rPr>
          <w:rFonts w:ascii="Calibri" w:hAnsi="Calibri"/>
          <w:spacing w:val="-4"/>
          <w:sz w:val="22"/>
        </w:rPr>
        <w:t> </w:t>
      </w:r>
      <w:r>
        <w:rPr>
          <w:rFonts w:ascii="Calibri" w:hAnsi="Calibri"/>
          <w:sz w:val="22"/>
        </w:rPr>
        <w:t>21</w:t>
      </w:r>
      <w:r>
        <w:rPr>
          <w:rFonts w:ascii="Calibri" w:hAnsi="Calibri"/>
          <w:spacing w:val="-4"/>
          <w:sz w:val="22"/>
        </w:rPr>
        <w:t> </w:t>
      </w:r>
      <w:r>
        <w:rPr>
          <w:rFonts w:ascii="Calibri" w:hAnsi="Calibri"/>
          <w:sz w:val="22"/>
        </w:rPr>
        <w:t>–</w:t>
      </w:r>
      <w:r>
        <w:rPr>
          <w:rFonts w:ascii="Calibri" w:hAnsi="Calibri"/>
          <w:spacing w:val="-3"/>
          <w:sz w:val="22"/>
        </w:rPr>
        <w:t> </w:t>
      </w:r>
      <w:r>
        <w:rPr>
          <w:rFonts w:ascii="Calibri" w:hAnsi="Calibri"/>
          <w:spacing w:val="-5"/>
          <w:sz w:val="22"/>
        </w:rPr>
        <w:t>33)</w:t>
      </w:r>
    </w:p>
    <w:p>
      <w:pPr>
        <w:pStyle w:val="ListParagraph"/>
        <w:numPr>
          <w:ilvl w:val="0"/>
          <w:numId w:val="47"/>
        </w:numPr>
        <w:tabs>
          <w:tab w:pos="2159" w:val="left" w:leader="none"/>
          <w:tab w:pos="2160" w:val="left" w:leader="none"/>
        </w:tabs>
        <w:spacing w:line="240" w:lineRule="auto" w:before="21" w:after="0"/>
        <w:ind w:left="2159" w:right="0" w:hanging="360"/>
        <w:jc w:val="left"/>
        <w:rPr>
          <w:rFonts w:ascii="Calibri" w:hAnsi="Calibri"/>
          <w:sz w:val="22"/>
        </w:rPr>
      </w:pPr>
      <w:r>
        <w:rPr>
          <w:rFonts w:ascii="Calibri" w:hAnsi="Calibri"/>
          <w:sz w:val="22"/>
        </w:rPr>
        <w:t>Creu</w:t>
      </w:r>
      <w:r>
        <w:rPr>
          <w:rFonts w:ascii="Calibri" w:hAnsi="Calibri"/>
          <w:spacing w:val="-3"/>
          <w:sz w:val="22"/>
        </w:rPr>
        <w:t> </w:t>
      </w:r>
      <w:r>
        <w:rPr>
          <w:rFonts w:ascii="Calibri" w:hAnsi="Calibri"/>
          <w:sz w:val="22"/>
        </w:rPr>
        <w:t>a</w:t>
      </w:r>
      <w:r>
        <w:rPr>
          <w:rFonts w:ascii="Calibri" w:hAnsi="Calibri"/>
          <w:spacing w:val="-4"/>
          <w:sz w:val="22"/>
        </w:rPr>
        <w:t> </w:t>
      </w:r>
      <w:r>
        <w:rPr>
          <w:rFonts w:ascii="Calibri" w:hAnsi="Calibri"/>
          <w:sz w:val="22"/>
        </w:rPr>
        <w:t>Chyhoeddi</w:t>
      </w:r>
      <w:r>
        <w:rPr>
          <w:rFonts w:ascii="Calibri" w:hAnsi="Calibri"/>
          <w:spacing w:val="-4"/>
          <w:sz w:val="22"/>
        </w:rPr>
        <w:t> </w:t>
      </w:r>
      <w:r>
        <w:rPr>
          <w:rFonts w:ascii="Calibri" w:hAnsi="Calibri"/>
          <w:sz w:val="22"/>
        </w:rPr>
        <w:t>Dogfennau</w:t>
      </w:r>
      <w:r>
        <w:rPr>
          <w:rFonts w:ascii="Calibri" w:hAnsi="Calibri"/>
          <w:spacing w:val="-3"/>
          <w:sz w:val="22"/>
        </w:rPr>
        <w:t> </w:t>
      </w:r>
      <w:r>
        <w:rPr>
          <w:rFonts w:ascii="Calibri" w:hAnsi="Calibri"/>
          <w:sz w:val="22"/>
        </w:rPr>
        <w:t>(Safonau</w:t>
      </w:r>
      <w:r>
        <w:rPr>
          <w:rFonts w:ascii="Calibri" w:hAnsi="Calibri"/>
          <w:spacing w:val="-3"/>
          <w:sz w:val="22"/>
        </w:rPr>
        <w:t> </w:t>
      </w:r>
      <w:r>
        <w:rPr>
          <w:rFonts w:ascii="Calibri" w:hAnsi="Calibri"/>
          <w:sz w:val="22"/>
        </w:rPr>
        <w:t>34</w:t>
      </w:r>
      <w:r>
        <w:rPr>
          <w:rFonts w:ascii="Calibri" w:hAnsi="Calibri"/>
          <w:spacing w:val="-3"/>
          <w:sz w:val="22"/>
        </w:rPr>
        <w:t> </w:t>
      </w:r>
      <w:r>
        <w:rPr>
          <w:rFonts w:ascii="Calibri" w:hAnsi="Calibri"/>
          <w:sz w:val="22"/>
        </w:rPr>
        <w:t>–</w:t>
      </w:r>
      <w:r>
        <w:rPr>
          <w:rFonts w:ascii="Calibri" w:hAnsi="Calibri"/>
          <w:spacing w:val="-2"/>
          <w:sz w:val="22"/>
        </w:rPr>
        <w:t> </w:t>
      </w:r>
      <w:r>
        <w:rPr>
          <w:rFonts w:ascii="Calibri" w:hAnsi="Calibri"/>
          <w:spacing w:val="-5"/>
          <w:sz w:val="22"/>
        </w:rPr>
        <w:t>38)</w:t>
      </w:r>
    </w:p>
    <w:p>
      <w:pPr>
        <w:pStyle w:val="ListParagraph"/>
        <w:numPr>
          <w:ilvl w:val="0"/>
          <w:numId w:val="47"/>
        </w:numPr>
        <w:tabs>
          <w:tab w:pos="2159" w:val="left" w:leader="none"/>
          <w:tab w:pos="2160" w:val="left" w:leader="none"/>
        </w:tabs>
        <w:spacing w:line="240" w:lineRule="auto" w:before="22" w:after="0"/>
        <w:ind w:left="2159" w:right="0" w:hanging="360"/>
        <w:jc w:val="left"/>
        <w:rPr>
          <w:rFonts w:ascii="Calibri" w:hAnsi="Calibri"/>
          <w:sz w:val="22"/>
        </w:rPr>
      </w:pPr>
      <w:r>
        <w:rPr>
          <w:rFonts w:ascii="Calibri" w:hAnsi="Calibri"/>
          <w:sz w:val="22"/>
        </w:rPr>
        <w:t>Y</w:t>
      </w:r>
      <w:r>
        <w:rPr>
          <w:rFonts w:ascii="Calibri" w:hAnsi="Calibri"/>
          <w:spacing w:val="-5"/>
          <w:sz w:val="22"/>
        </w:rPr>
        <w:t> </w:t>
      </w:r>
      <w:r>
        <w:rPr>
          <w:rFonts w:ascii="Calibri" w:hAnsi="Calibri"/>
          <w:sz w:val="22"/>
        </w:rPr>
        <w:t>Wefan,</w:t>
      </w:r>
      <w:r>
        <w:rPr>
          <w:rFonts w:ascii="Calibri" w:hAnsi="Calibri"/>
          <w:spacing w:val="-3"/>
          <w:sz w:val="22"/>
        </w:rPr>
        <w:t> </w:t>
      </w:r>
      <w:r>
        <w:rPr>
          <w:rFonts w:ascii="Calibri" w:hAnsi="Calibri"/>
          <w:sz w:val="22"/>
        </w:rPr>
        <w:t>Cyfryngau</w:t>
      </w:r>
      <w:r>
        <w:rPr>
          <w:rFonts w:ascii="Calibri" w:hAnsi="Calibri"/>
          <w:spacing w:val="-3"/>
          <w:sz w:val="22"/>
        </w:rPr>
        <w:t> </w:t>
      </w:r>
      <w:r>
        <w:rPr>
          <w:rFonts w:ascii="Calibri" w:hAnsi="Calibri"/>
          <w:sz w:val="22"/>
        </w:rPr>
        <w:t>Cymdeithasol,</w:t>
      </w:r>
      <w:r>
        <w:rPr>
          <w:rFonts w:ascii="Calibri" w:hAnsi="Calibri"/>
          <w:spacing w:val="-3"/>
          <w:sz w:val="22"/>
        </w:rPr>
        <w:t> </w:t>
      </w:r>
      <w:r>
        <w:rPr>
          <w:rFonts w:ascii="Calibri" w:hAnsi="Calibri"/>
          <w:sz w:val="22"/>
        </w:rPr>
        <w:t>Apiau</w:t>
      </w:r>
      <w:r>
        <w:rPr>
          <w:rFonts w:ascii="Calibri" w:hAnsi="Calibri"/>
          <w:spacing w:val="-3"/>
          <w:sz w:val="22"/>
        </w:rPr>
        <w:t> </w:t>
      </w:r>
      <w:r>
        <w:rPr>
          <w:rFonts w:ascii="Calibri" w:hAnsi="Calibri"/>
          <w:sz w:val="22"/>
        </w:rPr>
        <w:t>(Safonau</w:t>
      </w:r>
      <w:r>
        <w:rPr>
          <w:rFonts w:ascii="Calibri" w:hAnsi="Calibri"/>
          <w:spacing w:val="-4"/>
          <w:sz w:val="22"/>
        </w:rPr>
        <w:t> </w:t>
      </w:r>
      <w:r>
        <w:rPr>
          <w:rFonts w:ascii="Calibri" w:hAnsi="Calibri"/>
          <w:sz w:val="22"/>
        </w:rPr>
        <w:t>39</w:t>
      </w:r>
      <w:r>
        <w:rPr>
          <w:rFonts w:ascii="Calibri" w:hAnsi="Calibri"/>
          <w:spacing w:val="-2"/>
          <w:sz w:val="22"/>
        </w:rPr>
        <w:t> </w:t>
      </w:r>
      <w:r>
        <w:rPr>
          <w:rFonts w:ascii="Calibri" w:hAnsi="Calibri"/>
          <w:sz w:val="22"/>
        </w:rPr>
        <w:t>–</w:t>
      </w:r>
      <w:r>
        <w:rPr>
          <w:rFonts w:ascii="Calibri" w:hAnsi="Calibri"/>
          <w:spacing w:val="-3"/>
          <w:sz w:val="22"/>
        </w:rPr>
        <w:t> </w:t>
      </w:r>
      <w:r>
        <w:rPr>
          <w:rFonts w:ascii="Calibri" w:hAnsi="Calibri"/>
          <w:spacing w:val="-5"/>
          <w:sz w:val="22"/>
        </w:rPr>
        <w:t>46)</w:t>
      </w:r>
    </w:p>
    <w:p>
      <w:pPr>
        <w:pStyle w:val="ListParagraph"/>
        <w:numPr>
          <w:ilvl w:val="0"/>
          <w:numId w:val="47"/>
        </w:numPr>
        <w:tabs>
          <w:tab w:pos="2159" w:val="left" w:leader="none"/>
          <w:tab w:pos="2160" w:val="left" w:leader="none"/>
        </w:tabs>
        <w:spacing w:line="240" w:lineRule="auto" w:before="21" w:after="0"/>
        <w:ind w:left="2159" w:right="0" w:hanging="360"/>
        <w:jc w:val="left"/>
        <w:rPr>
          <w:rFonts w:ascii="Calibri" w:hAnsi="Calibri"/>
          <w:sz w:val="22"/>
        </w:rPr>
      </w:pPr>
      <w:r>
        <w:rPr>
          <w:rFonts w:ascii="Calibri" w:hAnsi="Calibri"/>
          <w:sz w:val="22"/>
        </w:rPr>
        <w:t>Arwyddion</w:t>
      </w:r>
      <w:r>
        <w:rPr>
          <w:rFonts w:ascii="Calibri" w:hAnsi="Calibri"/>
          <w:spacing w:val="-2"/>
          <w:sz w:val="22"/>
        </w:rPr>
        <w:t> </w:t>
      </w:r>
      <w:r>
        <w:rPr>
          <w:rFonts w:ascii="Calibri" w:hAnsi="Calibri"/>
          <w:sz w:val="22"/>
        </w:rPr>
        <w:t>(Safonau</w:t>
      </w:r>
      <w:r>
        <w:rPr>
          <w:rFonts w:ascii="Calibri" w:hAnsi="Calibri"/>
          <w:spacing w:val="-2"/>
          <w:sz w:val="22"/>
        </w:rPr>
        <w:t> </w:t>
      </w:r>
      <w:r>
        <w:rPr>
          <w:rFonts w:ascii="Calibri" w:hAnsi="Calibri"/>
          <w:sz w:val="22"/>
        </w:rPr>
        <w:t>47-</w:t>
      </w:r>
      <w:r>
        <w:rPr>
          <w:rFonts w:ascii="Calibri" w:hAnsi="Calibri"/>
          <w:spacing w:val="-1"/>
          <w:sz w:val="22"/>
        </w:rPr>
        <w:t> </w:t>
      </w:r>
      <w:r>
        <w:rPr>
          <w:rFonts w:ascii="Calibri" w:hAnsi="Calibri"/>
          <w:spacing w:val="-5"/>
          <w:sz w:val="22"/>
        </w:rPr>
        <w:t>49)</w:t>
      </w:r>
    </w:p>
    <w:p>
      <w:pPr>
        <w:pStyle w:val="ListParagraph"/>
        <w:numPr>
          <w:ilvl w:val="0"/>
          <w:numId w:val="47"/>
        </w:numPr>
        <w:tabs>
          <w:tab w:pos="2159" w:val="left" w:leader="none"/>
          <w:tab w:pos="2160" w:val="left" w:leader="none"/>
        </w:tabs>
        <w:spacing w:line="240" w:lineRule="auto" w:before="21" w:after="0"/>
        <w:ind w:left="2159" w:right="0" w:hanging="360"/>
        <w:jc w:val="left"/>
        <w:rPr>
          <w:rFonts w:ascii="Calibri" w:hAnsi="Calibri"/>
          <w:sz w:val="22"/>
        </w:rPr>
      </w:pPr>
      <w:r>
        <w:rPr>
          <w:rFonts w:ascii="Calibri" w:hAnsi="Calibri"/>
          <w:sz w:val="22"/>
        </w:rPr>
        <w:t>Gwasanaethau’r</w:t>
      </w:r>
      <w:r>
        <w:rPr>
          <w:rFonts w:ascii="Calibri" w:hAnsi="Calibri"/>
          <w:spacing w:val="-3"/>
          <w:sz w:val="22"/>
        </w:rPr>
        <w:t> </w:t>
      </w:r>
      <w:r>
        <w:rPr>
          <w:rFonts w:ascii="Calibri" w:hAnsi="Calibri"/>
          <w:sz w:val="22"/>
        </w:rPr>
        <w:t>Dderbynfa</w:t>
      </w:r>
      <w:r>
        <w:rPr>
          <w:rFonts w:ascii="Calibri" w:hAnsi="Calibri"/>
          <w:spacing w:val="-2"/>
          <w:sz w:val="22"/>
        </w:rPr>
        <w:t> </w:t>
      </w:r>
      <w:r>
        <w:rPr>
          <w:rFonts w:ascii="Calibri" w:hAnsi="Calibri"/>
          <w:sz w:val="22"/>
        </w:rPr>
        <w:t>(Safonau</w:t>
      </w:r>
      <w:r>
        <w:rPr>
          <w:rFonts w:ascii="Calibri" w:hAnsi="Calibri"/>
          <w:spacing w:val="-2"/>
          <w:sz w:val="22"/>
        </w:rPr>
        <w:t> </w:t>
      </w:r>
      <w:r>
        <w:rPr>
          <w:rFonts w:ascii="Calibri" w:hAnsi="Calibri"/>
          <w:sz w:val="22"/>
        </w:rPr>
        <w:t>50</w:t>
      </w:r>
      <w:r>
        <w:rPr>
          <w:rFonts w:ascii="Calibri" w:hAnsi="Calibri"/>
          <w:spacing w:val="-3"/>
          <w:sz w:val="22"/>
        </w:rPr>
        <w:t> </w:t>
      </w:r>
      <w:r>
        <w:rPr>
          <w:rFonts w:ascii="Calibri" w:hAnsi="Calibri"/>
          <w:sz w:val="22"/>
        </w:rPr>
        <w:t>–</w:t>
      </w:r>
      <w:r>
        <w:rPr>
          <w:rFonts w:ascii="Calibri" w:hAnsi="Calibri"/>
          <w:spacing w:val="-2"/>
          <w:sz w:val="22"/>
        </w:rPr>
        <w:t> </w:t>
      </w:r>
      <w:r>
        <w:rPr>
          <w:rFonts w:ascii="Calibri" w:hAnsi="Calibri"/>
          <w:spacing w:val="-5"/>
          <w:sz w:val="22"/>
        </w:rPr>
        <w:t>53)</w:t>
      </w:r>
    </w:p>
    <w:p>
      <w:pPr>
        <w:pStyle w:val="ListParagraph"/>
        <w:numPr>
          <w:ilvl w:val="0"/>
          <w:numId w:val="47"/>
        </w:numPr>
        <w:tabs>
          <w:tab w:pos="2159" w:val="left" w:leader="none"/>
          <w:tab w:pos="2160" w:val="left" w:leader="none"/>
        </w:tabs>
        <w:spacing w:line="240" w:lineRule="auto" w:before="21" w:after="0"/>
        <w:ind w:left="2159" w:right="0" w:hanging="360"/>
        <w:jc w:val="left"/>
        <w:rPr>
          <w:rFonts w:ascii="Calibri" w:hAnsi="Calibri"/>
          <w:sz w:val="22"/>
        </w:rPr>
      </w:pPr>
      <w:r>
        <w:rPr>
          <w:rFonts w:ascii="Calibri" w:hAnsi="Calibri"/>
          <w:sz w:val="22"/>
        </w:rPr>
        <w:t>Caffael</w:t>
      </w:r>
      <w:r>
        <w:rPr>
          <w:rFonts w:ascii="Calibri" w:hAnsi="Calibri"/>
          <w:spacing w:val="-2"/>
          <w:sz w:val="22"/>
        </w:rPr>
        <w:t> </w:t>
      </w:r>
      <w:r>
        <w:rPr>
          <w:rFonts w:ascii="Calibri" w:hAnsi="Calibri"/>
          <w:sz w:val="22"/>
        </w:rPr>
        <w:t>a</w:t>
      </w:r>
      <w:r>
        <w:rPr>
          <w:rFonts w:ascii="Calibri" w:hAnsi="Calibri"/>
          <w:spacing w:val="-2"/>
          <w:sz w:val="22"/>
        </w:rPr>
        <w:t> </w:t>
      </w:r>
      <w:r>
        <w:rPr>
          <w:rFonts w:ascii="Calibri" w:hAnsi="Calibri"/>
          <w:sz w:val="22"/>
        </w:rPr>
        <w:t>Chontractau</w:t>
      </w:r>
      <w:r>
        <w:rPr>
          <w:rFonts w:ascii="Calibri" w:hAnsi="Calibri"/>
          <w:spacing w:val="-2"/>
          <w:sz w:val="22"/>
        </w:rPr>
        <w:t> </w:t>
      </w:r>
      <w:r>
        <w:rPr>
          <w:rFonts w:ascii="Calibri" w:hAnsi="Calibri"/>
          <w:sz w:val="22"/>
        </w:rPr>
        <w:t>(Safonau</w:t>
      </w:r>
      <w:r>
        <w:rPr>
          <w:rFonts w:ascii="Calibri" w:hAnsi="Calibri"/>
          <w:spacing w:val="-2"/>
          <w:sz w:val="22"/>
        </w:rPr>
        <w:t> </w:t>
      </w:r>
      <w:r>
        <w:rPr>
          <w:rFonts w:ascii="Calibri" w:hAnsi="Calibri"/>
          <w:sz w:val="22"/>
        </w:rPr>
        <w:t>57</w:t>
      </w:r>
      <w:r>
        <w:rPr>
          <w:rFonts w:ascii="Calibri" w:hAnsi="Calibri"/>
          <w:spacing w:val="-2"/>
          <w:sz w:val="22"/>
        </w:rPr>
        <w:t> </w:t>
      </w:r>
      <w:r>
        <w:rPr>
          <w:rFonts w:ascii="Calibri" w:hAnsi="Calibri"/>
          <w:sz w:val="22"/>
        </w:rPr>
        <w:t>–</w:t>
      </w:r>
      <w:r>
        <w:rPr>
          <w:rFonts w:ascii="Calibri" w:hAnsi="Calibri"/>
          <w:spacing w:val="-2"/>
          <w:sz w:val="22"/>
        </w:rPr>
        <w:t> </w:t>
      </w:r>
      <w:r>
        <w:rPr>
          <w:rFonts w:ascii="Calibri" w:hAnsi="Calibri"/>
          <w:spacing w:val="-5"/>
          <w:sz w:val="22"/>
        </w:rPr>
        <w:t>59)</w:t>
      </w:r>
    </w:p>
    <w:p>
      <w:pPr>
        <w:pStyle w:val="ListParagraph"/>
        <w:numPr>
          <w:ilvl w:val="0"/>
          <w:numId w:val="47"/>
        </w:numPr>
        <w:tabs>
          <w:tab w:pos="2159" w:val="left" w:leader="none"/>
          <w:tab w:pos="2160" w:val="left" w:leader="none"/>
        </w:tabs>
        <w:spacing w:line="240" w:lineRule="auto" w:before="22" w:after="0"/>
        <w:ind w:left="2159" w:right="0" w:hanging="360"/>
        <w:jc w:val="left"/>
        <w:rPr>
          <w:rFonts w:ascii="Calibri" w:hAnsi="Calibri"/>
          <w:sz w:val="22"/>
        </w:rPr>
      </w:pPr>
      <w:r>
        <w:rPr>
          <w:rFonts w:ascii="Calibri" w:hAnsi="Calibri"/>
          <w:sz w:val="22"/>
        </w:rPr>
        <w:t>Cyfathrebu</w:t>
      </w:r>
      <w:r>
        <w:rPr>
          <w:rFonts w:ascii="Calibri" w:hAnsi="Calibri"/>
          <w:spacing w:val="-4"/>
          <w:sz w:val="22"/>
        </w:rPr>
        <w:t> </w:t>
      </w:r>
      <w:r>
        <w:rPr>
          <w:rFonts w:ascii="Calibri" w:hAnsi="Calibri"/>
          <w:sz w:val="22"/>
        </w:rPr>
        <w:t>a</w:t>
      </w:r>
      <w:r>
        <w:rPr>
          <w:rFonts w:ascii="Calibri" w:hAnsi="Calibri"/>
          <w:spacing w:val="-4"/>
          <w:sz w:val="22"/>
        </w:rPr>
        <w:t> </w:t>
      </w:r>
      <w:r>
        <w:rPr>
          <w:rFonts w:ascii="Calibri" w:hAnsi="Calibri"/>
          <w:sz w:val="22"/>
        </w:rPr>
        <w:t>Hunaniaeth</w:t>
      </w:r>
      <w:r>
        <w:rPr>
          <w:rFonts w:ascii="Calibri" w:hAnsi="Calibri"/>
          <w:spacing w:val="-3"/>
          <w:sz w:val="22"/>
        </w:rPr>
        <w:t> </w:t>
      </w:r>
      <w:r>
        <w:rPr>
          <w:rFonts w:ascii="Calibri" w:hAnsi="Calibri"/>
          <w:sz w:val="22"/>
        </w:rPr>
        <w:t>Gorfforaethol</w:t>
      </w:r>
      <w:r>
        <w:rPr>
          <w:rFonts w:ascii="Calibri" w:hAnsi="Calibri"/>
          <w:spacing w:val="-3"/>
          <w:sz w:val="22"/>
        </w:rPr>
        <w:t> </w:t>
      </w:r>
      <w:r>
        <w:rPr>
          <w:rFonts w:ascii="Calibri" w:hAnsi="Calibri"/>
          <w:sz w:val="22"/>
        </w:rPr>
        <w:t>(Safonau</w:t>
      </w:r>
      <w:r>
        <w:rPr>
          <w:rFonts w:ascii="Calibri" w:hAnsi="Calibri"/>
          <w:spacing w:val="-3"/>
          <w:sz w:val="22"/>
        </w:rPr>
        <w:t> </w:t>
      </w:r>
      <w:r>
        <w:rPr>
          <w:rFonts w:ascii="Calibri" w:hAnsi="Calibri"/>
          <w:sz w:val="22"/>
        </w:rPr>
        <w:t>60</w:t>
      </w:r>
      <w:r>
        <w:rPr>
          <w:rFonts w:ascii="Calibri" w:hAnsi="Calibri"/>
          <w:spacing w:val="-4"/>
          <w:sz w:val="22"/>
        </w:rPr>
        <w:t> </w:t>
      </w:r>
      <w:r>
        <w:rPr>
          <w:rFonts w:ascii="Calibri" w:hAnsi="Calibri"/>
          <w:sz w:val="22"/>
        </w:rPr>
        <w:t>–</w:t>
      </w:r>
      <w:r>
        <w:rPr>
          <w:rFonts w:ascii="Calibri" w:hAnsi="Calibri"/>
          <w:spacing w:val="-3"/>
          <w:sz w:val="22"/>
        </w:rPr>
        <w:t> </w:t>
      </w:r>
      <w:r>
        <w:rPr>
          <w:rFonts w:ascii="Calibri" w:hAnsi="Calibri"/>
          <w:spacing w:val="-5"/>
          <w:sz w:val="22"/>
        </w:rPr>
        <w:t>62)</w:t>
      </w:r>
    </w:p>
    <w:p>
      <w:pPr>
        <w:pStyle w:val="ListParagraph"/>
        <w:numPr>
          <w:ilvl w:val="0"/>
          <w:numId w:val="47"/>
        </w:numPr>
        <w:tabs>
          <w:tab w:pos="2159" w:val="left" w:leader="none"/>
          <w:tab w:pos="2160" w:val="left" w:leader="none"/>
        </w:tabs>
        <w:spacing w:line="240" w:lineRule="auto" w:before="21" w:after="0"/>
        <w:ind w:left="2159" w:right="0" w:hanging="360"/>
        <w:jc w:val="left"/>
        <w:rPr>
          <w:rFonts w:ascii="Calibri" w:hAnsi="Calibri"/>
          <w:sz w:val="22"/>
        </w:rPr>
      </w:pPr>
      <w:r>
        <w:rPr>
          <w:rFonts w:ascii="Calibri" w:hAnsi="Calibri"/>
          <w:sz w:val="22"/>
        </w:rPr>
        <w:t>Systemau</w:t>
      </w:r>
      <w:r>
        <w:rPr>
          <w:rFonts w:ascii="Calibri" w:hAnsi="Calibri"/>
          <w:spacing w:val="-4"/>
          <w:sz w:val="22"/>
        </w:rPr>
        <w:t> </w:t>
      </w:r>
      <w:r>
        <w:rPr>
          <w:rFonts w:ascii="Calibri" w:hAnsi="Calibri"/>
          <w:sz w:val="22"/>
        </w:rPr>
        <w:t>Annerch</w:t>
      </w:r>
      <w:r>
        <w:rPr>
          <w:rFonts w:ascii="Calibri" w:hAnsi="Calibri"/>
          <w:spacing w:val="-2"/>
          <w:sz w:val="22"/>
        </w:rPr>
        <w:t> </w:t>
      </w:r>
      <w:r>
        <w:rPr>
          <w:rFonts w:ascii="Calibri" w:hAnsi="Calibri"/>
          <w:sz w:val="22"/>
        </w:rPr>
        <w:t>Cyhoeddus</w:t>
      </w:r>
      <w:r>
        <w:rPr>
          <w:rFonts w:ascii="Calibri" w:hAnsi="Calibri"/>
          <w:spacing w:val="-2"/>
          <w:sz w:val="22"/>
        </w:rPr>
        <w:t> </w:t>
      </w:r>
      <w:r>
        <w:rPr>
          <w:rFonts w:ascii="Calibri" w:hAnsi="Calibri"/>
          <w:sz w:val="22"/>
        </w:rPr>
        <w:t>–</w:t>
      </w:r>
      <w:r>
        <w:rPr>
          <w:rFonts w:ascii="Calibri" w:hAnsi="Calibri"/>
          <w:spacing w:val="-3"/>
          <w:sz w:val="22"/>
        </w:rPr>
        <w:t> </w:t>
      </w:r>
      <w:r>
        <w:rPr>
          <w:rFonts w:ascii="Calibri" w:hAnsi="Calibri"/>
          <w:sz w:val="22"/>
        </w:rPr>
        <w:t>(Safon</w:t>
      </w:r>
      <w:r>
        <w:rPr>
          <w:rFonts w:ascii="Calibri" w:hAnsi="Calibri"/>
          <w:spacing w:val="-1"/>
          <w:sz w:val="22"/>
        </w:rPr>
        <w:t> </w:t>
      </w:r>
      <w:r>
        <w:rPr>
          <w:rFonts w:ascii="Calibri" w:hAnsi="Calibri"/>
          <w:spacing w:val="-5"/>
          <w:sz w:val="22"/>
        </w:rPr>
        <w:t>64)</w:t>
      </w:r>
    </w:p>
    <w:p>
      <w:pPr>
        <w:pStyle w:val="BodyText"/>
        <w:spacing w:before="6"/>
        <w:rPr>
          <w:rFonts w:ascii="Calibri"/>
          <w:sz w:val="25"/>
        </w:rPr>
      </w:pPr>
    </w:p>
    <w:p>
      <w:pPr>
        <w:spacing w:line="259" w:lineRule="auto" w:before="0"/>
        <w:ind w:left="1440" w:right="1547" w:firstLine="0"/>
        <w:jc w:val="left"/>
        <w:rPr>
          <w:rFonts w:ascii="Calibri" w:hAnsi="Calibri"/>
          <w:sz w:val="22"/>
        </w:rPr>
      </w:pPr>
      <w:r>
        <w:rPr>
          <w:rFonts w:ascii="Calibri" w:hAnsi="Calibri"/>
          <w:sz w:val="22"/>
        </w:rPr>
        <w:t>Mae nifer o ganllawiau wedi'u cyhoeddi a'u hadolygu/diweddaru sy'n amlinellu'r gofynion mewn perthynas â chydymffurfio â'r Safonau ar gyfer staff.</w:t>
      </w:r>
      <w:r>
        <w:rPr>
          <w:rFonts w:ascii="Calibri" w:hAnsi="Calibri"/>
          <w:spacing w:val="40"/>
          <w:sz w:val="22"/>
        </w:rPr>
        <w:t> </w:t>
      </w:r>
      <w:r>
        <w:rPr>
          <w:rFonts w:ascii="Calibri" w:hAnsi="Calibri"/>
          <w:sz w:val="22"/>
        </w:rPr>
        <w:t>Mae’r canllawiau ar gael ar ein tudalen cymorth Cymraeg ar y fewnrwyd.</w:t>
      </w:r>
      <w:r>
        <w:rPr>
          <w:rFonts w:ascii="Calibri" w:hAnsi="Calibri"/>
          <w:spacing w:val="40"/>
          <w:sz w:val="22"/>
        </w:rPr>
        <w:t> </w:t>
      </w:r>
      <w:r>
        <w:rPr>
          <w:rFonts w:ascii="Calibri" w:hAnsi="Calibri"/>
          <w:sz w:val="22"/>
        </w:rPr>
        <w:t>Mae rheolwyr yn ymwybodol bod y canllawiau ar gael ac yn parhau</w:t>
      </w:r>
      <w:r>
        <w:rPr>
          <w:rFonts w:ascii="Calibri" w:hAnsi="Calibri"/>
          <w:spacing w:val="-2"/>
          <w:sz w:val="22"/>
        </w:rPr>
        <w:t> </w:t>
      </w:r>
      <w:r>
        <w:rPr>
          <w:rFonts w:ascii="Calibri" w:hAnsi="Calibri"/>
          <w:sz w:val="22"/>
        </w:rPr>
        <w:t>i</w:t>
      </w:r>
      <w:r>
        <w:rPr>
          <w:rFonts w:ascii="Calibri" w:hAnsi="Calibri"/>
          <w:spacing w:val="-3"/>
          <w:sz w:val="22"/>
        </w:rPr>
        <w:t> </w:t>
      </w:r>
      <w:r>
        <w:rPr>
          <w:rFonts w:ascii="Calibri" w:hAnsi="Calibri"/>
          <w:sz w:val="22"/>
        </w:rPr>
        <w:t>gynghori</w:t>
      </w:r>
      <w:r>
        <w:rPr>
          <w:rFonts w:ascii="Calibri" w:hAnsi="Calibri"/>
          <w:spacing w:val="-2"/>
          <w:sz w:val="22"/>
        </w:rPr>
        <w:t> </w:t>
      </w:r>
      <w:r>
        <w:rPr>
          <w:rFonts w:ascii="Calibri" w:hAnsi="Calibri"/>
          <w:sz w:val="22"/>
        </w:rPr>
        <w:t>eu</w:t>
      </w:r>
      <w:r>
        <w:rPr>
          <w:rFonts w:ascii="Calibri" w:hAnsi="Calibri"/>
          <w:spacing w:val="-2"/>
          <w:sz w:val="22"/>
        </w:rPr>
        <w:t> </w:t>
      </w:r>
      <w:r>
        <w:rPr>
          <w:rFonts w:ascii="Calibri" w:hAnsi="Calibri"/>
          <w:sz w:val="22"/>
        </w:rPr>
        <w:t>timau</w:t>
      </w:r>
      <w:r>
        <w:rPr>
          <w:rFonts w:ascii="Calibri" w:hAnsi="Calibri"/>
          <w:spacing w:val="-2"/>
          <w:sz w:val="22"/>
        </w:rPr>
        <w:t> </w:t>
      </w:r>
      <w:r>
        <w:rPr>
          <w:rFonts w:ascii="Calibri" w:hAnsi="Calibri"/>
          <w:sz w:val="22"/>
        </w:rPr>
        <w:t>i</w:t>
      </w:r>
      <w:r>
        <w:rPr>
          <w:rFonts w:ascii="Calibri" w:hAnsi="Calibri"/>
          <w:spacing w:val="-3"/>
          <w:sz w:val="22"/>
        </w:rPr>
        <w:t> </w:t>
      </w:r>
      <w:r>
        <w:rPr>
          <w:rFonts w:ascii="Calibri" w:hAnsi="Calibri"/>
          <w:sz w:val="22"/>
        </w:rPr>
        <w:t>ymgyfarwyddo</w:t>
      </w:r>
      <w:r>
        <w:rPr>
          <w:rFonts w:ascii="Calibri" w:hAnsi="Calibri"/>
          <w:spacing w:val="-3"/>
          <w:sz w:val="22"/>
        </w:rPr>
        <w:t> </w:t>
      </w:r>
      <w:r>
        <w:rPr>
          <w:rFonts w:ascii="Calibri" w:hAnsi="Calibri"/>
          <w:sz w:val="22"/>
        </w:rPr>
        <w:t>â'r</w:t>
      </w:r>
      <w:r>
        <w:rPr>
          <w:rFonts w:ascii="Calibri" w:hAnsi="Calibri"/>
          <w:spacing w:val="-3"/>
          <w:sz w:val="22"/>
        </w:rPr>
        <w:t> </w:t>
      </w:r>
      <w:r>
        <w:rPr>
          <w:rFonts w:ascii="Calibri" w:hAnsi="Calibri"/>
          <w:sz w:val="22"/>
        </w:rPr>
        <w:t>wybodaeth</w:t>
      </w:r>
      <w:r>
        <w:rPr>
          <w:rFonts w:ascii="Calibri" w:hAnsi="Calibri"/>
          <w:spacing w:val="-3"/>
          <w:sz w:val="22"/>
        </w:rPr>
        <w:t> </w:t>
      </w:r>
      <w:r>
        <w:rPr>
          <w:rFonts w:ascii="Calibri" w:hAnsi="Calibri"/>
          <w:sz w:val="22"/>
        </w:rPr>
        <w:t>a'r</w:t>
      </w:r>
      <w:r>
        <w:rPr>
          <w:rFonts w:ascii="Calibri" w:hAnsi="Calibri"/>
          <w:spacing w:val="-3"/>
          <w:sz w:val="22"/>
        </w:rPr>
        <w:t> </w:t>
      </w:r>
      <w:r>
        <w:rPr>
          <w:rFonts w:ascii="Calibri" w:hAnsi="Calibri"/>
          <w:sz w:val="22"/>
        </w:rPr>
        <w:t>arweiniad</w:t>
      </w:r>
      <w:r>
        <w:rPr>
          <w:rFonts w:ascii="Calibri" w:hAnsi="Calibri"/>
          <w:spacing w:val="-2"/>
          <w:sz w:val="22"/>
        </w:rPr>
        <w:t> </w:t>
      </w:r>
      <w:r>
        <w:rPr>
          <w:rFonts w:ascii="Calibri" w:hAnsi="Calibri"/>
          <w:sz w:val="22"/>
        </w:rPr>
        <w:t>sydd</w:t>
      </w:r>
      <w:r>
        <w:rPr>
          <w:rFonts w:ascii="Calibri" w:hAnsi="Calibri"/>
          <w:spacing w:val="-3"/>
          <w:sz w:val="22"/>
        </w:rPr>
        <w:t> </w:t>
      </w:r>
      <w:r>
        <w:rPr>
          <w:rFonts w:ascii="Calibri" w:hAnsi="Calibri"/>
          <w:sz w:val="22"/>
        </w:rPr>
        <w:t>ar</w:t>
      </w:r>
      <w:r>
        <w:rPr>
          <w:rFonts w:ascii="Calibri" w:hAnsi="Calibri"/>
          <w:spacing w:val="-3"/>
          <w:sz w:val="22"/>
        </w:rPr>
        <w:t> </w:t>
      </w:r>
      <w:r>
        <w:rPr>
          <w:rFonts w:ascii="Calibri" w:hAnsi="Calibri"/>
          <w:sz w:val="22"/>
        </w:rPr>
        <w:t>gael</w:t>
      </w:r>
      <w:r>
        <w:rPr>
          <w:rFonts w:ascii="Calibri" w:hAnsi="Calibri"/>
          <w:spacing w:val="-2"/>
          <w:sz w:val="22"/>
        </w:rPr>
        <w:t> </w:t>
      </w:r>
      <w:r>
        <w:rPr>
          <w:rFonts w:ascii="Calibri" w:hAnsi="Calibri"/>
          <w:sz w:val="22"/>
        </w:rPr>
        <w:t>iddynt.</w:t>
      </w:r>
      <w:r>
        <w:rPr>
          <w:rFonts w:ascii="Calibri" w:hAnsi="Calibri"/>
          <w:spacing w:val="40"/>
          <w:sz w:val="22"/>
        </w:rPr>
        <w:t> </w:t>
      </w:r>
      <w:r>
        <w:rPr>
          <w:rFonts w:ascii="Calibri" w:hAnsi="Calibri"/>
          <w:sz w:val="22"/>
        </w:rPr>
        <w:t>Mae’r Canllawiau’n cynnwys:</w:t>
      </w:r>
    </w:p>
    <w:p>
      <w:pPr>
        <w:pStyle w:val="ListParagraph"/>
        <w:numPr>
          <w:ilvl w:val="0"/>
          <w:numId w:val="47"/>
        </w:numPr>
        <w:tabs>
          <w:tab w:pos="2204" w:val="left" w:leader="none"/>
          <w:tab w:pos="2205" w:val="left" w:leader="none"/>
        </w:tabs>
        <w:spacing w:line="279" w:lineRule="exact" w:before="0" w:after="0"/>
        <w:ind w:left="2204" w:right="0" w:hanging="360"/>
        <w:jc w:val="left"/>
        <w:rPr>
          <w:rFonts w:ascii="Calibri" w:hAnsi="Calibri"/>
          <w:sz w:val="22"/>
        </w:rPr>
      </w:pPr>
      <w:r>
        <w:rPr>
          <w:rFonts w:ascii="Calibri" w:hAnsi="Calibri"/>
          <w:sz w:val="22"/>
        </w:rPr>
        <w:t>Protocol</w:t>
      </w:r>
      <w:r>
        <w:rPr>
          <w:rFonts w:ascii="Calibri" w:hAnsi="Calibri"/>
          <w:spacing w:val="-2"/>
          <w:sz w:val="22"/>
        </w:rPr>
        <w:t> </w:t>
      </w:r>
      <w:r>
        <w:rPr>
          <w:rFonts w:ascii="Calibri" w:hAnsi="Calibri"/>
          <w:sz w:val="22"/>
        </w:rPr>
        <w:t>ar</w:t>
      </w:r>
      <w:r>
        <w:rPr>
          <w:rFonts w:ascii="Calibri" w:hAnsi="Calibri"/>
          <w:spacing w:val="-3"/>
          <w:sz w:val="22"/>
        </w:rPr>
        <w:t> </w:t>
      </w:r>
      <w:r>
        <w:rPr>
          <w:rFonts w:ascii="Calibri" w:hAnsi="Calibri"/>
          <w:sz w:val="22"/>
        </w:rPr>
        <w:t>ohebiaeth</w:t>
      </w:r>
      <w:r>
        <w:rPr>
          <w:rFonts w:ascii="Calibri" w:hAnsi="Calibri"/>
          <w:spacing w:val="-1"/>
          <w:sz w:val="22"/>
        </w:rPr>
        <w:t> </w:t>
      </w:r>
      <w:r>
        <w:rPr>
          <w:rFonts w:ascii="Calibri" w:hAnsi="Calibri"/>
          <w:spacing w:val="-2"/>
          <w:sz w:val="22"/>
        </w:rPr>
        <w:t>ysgrifenedig</w:t>
      </w:r>
    </w:p>
    <w:p>
      <w:pPr>
        <w:pStyle w:val="ListParagraph"/>
        <w:numPr>
          <w:ilvl w:val="0"/>
          <w:numId w:val="47"/>
        </w:numPr>
        <w:tabs>
          <w:tab w:pos="2204" w:val="left" w:leader="none"/>
          <w:tab w:pos="2205" w:val="left" w:leader="none"/>
        </w:tabs>
        <w:spacing w:line="240" w:lineRule="auto" w:before="21" w:after="0"/>
        <w:ind w:left="2204" w:right="0" w:hanging="360"/>
        <w:jc w:val="left"/>
        <w:rPr>
          <w:rFonts w:ascii="Calibri" w:hAnsi="Calibri"/>
          <w:sz w:val="22"/>
        </w:rPr>
      </w:pPr>
      <w:r>
        <w:rPr>
          <w:rFonts w:ascii="Calibri" w:hAnsi="Calibri"/>
          <w:sz w:val="22"/>
        </w:rPr>
        <w:t>Protocol</w:t>
      </w:r>
      <w:r>
        <w:rPr>
          <w:rFonts w:ascii="Calibri" w:hAnsi="Calibri"/>
          <w:spacing w:val="-2"/>
          <w:sz w:val="22"/>
        </w:rPr>
        <w:t> </w:t>
      </w:r>
      <w:r>
        <w:rPr>
          <w:rFonts w:ascii="Calibri" w:hAnsi="Calibri"/>
          <w:sz w:val="22"/>
        </w:rPr>
        <w:t>ar</w:t>
      </w:r>
      <w:r>
        <w:rPr>
          <w:rFonts w:ascii="Calibri" w:hAnsi="Calibri"/>
          <w:spacing w:val="-2"/>
          <w:sz w:val="22"/>
        </w:rPr>
        <w:t> </w:t>
      </w:r>
      <w:r>
        <w:rPr>
          <w:rFonts w:ascii="Calibri" w:hAnsi="Calibri"/>
          <w:sz w:val="22"/>
        </w:rPr>
        <w:t>gyfer</w:t>
      </w:r>
      <w:r>
        <w:rPr>
          <w:rFonts w:ascii="Calibri" w:hAnsi="Calibri"/>
          <w:spacing w:val="-1"/>
          <w:sz w:val="22"/>
        </w:rPr>
        <w:t> </w:t>
      </w:r>
      <w:r>
        <w:rPr>
          <w:rFonts w:ascii="Calibri" w:hAnsi="Calibri"/>
          <w:sz w:val="22"/>
        </w:rPr>
        <w:t>ateb</w:t>
      </w:r>
      <w:r>
        <w:rPr>
          <w:rFonts w:ascii="Calibri" w:hAnsi="Calibri"/>
          <w:spacing w:val="-1"/>
          <w:sz w:val="22"/>
        </w:rPr>
        <w:t> </w:t>
      </w:r>
      <w:r>
        <w:rPr>
          <w:rFonts w:ascii="Calibri" w:hAnsi="Calibri"/>
          <w:sz w:val="22"/>
        </w:rPr>
        <w:t>y</w:t>
      </w:r>
      <w:r>
        <w:rPr>
          <w:rFonts w:ascii="Calibri" w:hAnsi="Calibri"/>
          <w:spacing w:val="-3"/>
          <w:sz w:val="22"/>
        </w:rPr>
        <w:t> </w:t>
      </w:r>
      <w:r>
        <w:rPr>
          <w:rFonts w:ascii="Calibri" w:hAnsi="Calibri"/>
          <w:sz w:val="22"/>
        </w:rPr>
        <w:t>ffôn</w:t>
      </w:r>
      <w:r>
        <w:rPr>
          <w:rFonts w:ascii="Calibri" w:hAnsi="Calibri"/>
          <w:spacing w:val="-2"/>
          <w:sz w:val="22"/>
        </w:rPr>
        <w:t> </w:t>
      </w:r>
      <w:r>
        <w:rPr>
          <w:rFonts w:ascii="Calibri" w:hAnsi="Calibri"/>
          <w:sz w:val="22"/>
        </w:rPr>
        <w:t>yn</w:t>
      </w:r>
      <w:r>
        <w:rPr>
          <w:rFonts w:ascii="Calibri" w:hAnsi="Calibri"/>
          <w:spacing w:val="-1"/>
          <w:sz w:val="22"/>
        </w:rPr>
        <w:t> </w:t>
      </w:r>
      <w:r>
        <w:rPr>
          <w:rFonts w:ascii="Calibri" w:hAnsi="Calibri"/>
          <w:sz w:val="22"/>
        </w:rPr>
        <w:t>ddwyieithog</w:t>
      </w:r>
      <w:r>
        <w:rPr>
          <w:rFonts w:ascii="Calibri" w:hAnsi="Calibri"/>
          <w:spacing w:val="-2"/>
          <w:sz w:val="22"/>
        </w:rPr>
        <w:t> </w:t>
      </w:r>
      <w:r>
        <w:rPr>
          <w:rFonts w:ascii="Calibri" w:hAnsi="Calibri"/>
          <w:sz w:val="22"/>
        </w:rPr>
        <w:t>ac</w:t>
      </w:r>
      <w:r>
        <w:rPr>
          <w:rFonts w:ascii="Calibri" w:hAnsi="Calibri"/>
          <w:spacing w:val="-2"/>
          <w:sz w:val="22"/>
        </w:rPr>
        <w:t> </w:t>
      </w:r>
      <w:r>
        <w:rPr>
          <w:rFonts w:ascii="Calibri" w:hAnsi="Calibri"/>
          <w:sz w:val="22"/>
        </w:rPr>
        <w:t>ymdrin</w:t>
      </w:r>
      <w:r>
        <w:rPr>
          <w:rFonts w:ascii="Calibri" w:hAnsi="Calibri"/>
          <w:spacing w:val="-3"/>
          <w:sz w:val="22"/>
        </w:rPr>
        <w:t> </w:t>
      </w:r>
      <w:r>
        <w:rPr>
          <w:rFonts w:ascii="Calibri" w:hAnsi="Calibri"/>
          <w:sz w:val="22"/>
        </w:rPr>
        <w:t>â’r</w:t>
      </w:r>
      <w:r>
        <w:rPr>
          <w:rFonts w:ascii="Calibri" w:hAnsi="Calibri"/>
          <w:spacing w:val="-2"/>
          <w:sz w:val="22"/>
        </w:rPr>
        <w:t> </w:t>
      </w:r>
      <w:r>
        <w:rPr>
          <w:rFonts w:ascii="Calibri" w:hAnsi="Calibri"/>
          <w:sz w:val="22"/>
        </w:rPr>
        <w:t>galwadau</w:t>
      </w:r>
      <w:r>
        <w:rPr>
          <w:rFonts w:ascii="Calibri" w:hAnsi="Calibri"/>
          <w:spacing w:val="-1"/>
          <w:sz w:val="22"/>
        </w:rPr>
        <w:t> </w:t>
      </w:r>
      <w:r>
        <w:rPr>
          <w:rFonts w:ascii="Calibri" w:hAnsi="Calibri"/>
          <w:sz w:val="22"/>
        </w:rPr>
        <w:t>Cymraeg</w:t>
      </w:r>
      <w:r>
        <w:rPr>
          <w:rFonts w:ascii="Calibri" w:hAnsi="Calibri"/>
          <w:spacing w:val="-1"/>
          <w:sz w:val="22"/>
        </w:rPr>
        <w:t> </w:t>
      </w:r>
      <w:r>
        <w:rPr>
          <w:rFonts w:ascii="Calibri" w:hAnsi="Calibri"/>
          <w:sz w:val="22"/>
        </w:rPr>
        <w:t>a</w:t>
      </w:r>
      <w:r>
        <w:rPr>
          <w:rFonts w:ascii="Calibri" w:hAnsi="Calibri"/>
          <w:spacing w:val="-2"/>
          <w:sz w:val="22"/>
        </w:rPr>
        <w:t> dderbynnir</w:t>
      </w:r>
    </w:p>
    <w:p>
      <w:pPr>
        <w:pStyle w:val="ListParagraph"/>
        <w:numPr>
          <w:ilvl w:val="0"/>
          <w:numId w:val="47"/>
        </w:numPr>
        <w:tabs>
          <w:tab w:pos="2204" w:val="left" w:leader="none"/>
          <w:tab w:pos="2205" w:val="left" w:leader="none"/>
        </w:tabs>
        <w:spacing w:line="259" w:lineRule="auto" w:before="21" w:after="0"/>
        <w:ind w:left="2205" w:right="2010" w:hanging="360"/>
        <w:jc w:val="left"/>
        <w:rPr>
          <w:rFonts w:ascii="Calibri" w:hAnsi="Calibri"/>
          <w:sz w:val="22"/>
        </w:rPr>
      </w:pPr>
      <w:r>
        <w:rPr>
          <w:rFonts w:ascii="Calibri" w:hAnsi="Calibri"/>
          <w:sz w:val="22"/>
        </w:rPr>
        <w:t>Canllaw</w:t>
      </w:r>
      <w:r>
        <w:rPr>
          <w:rFonts w:ascii="Calibri" w:hAnsi="Calibri"/>
          <w:spacing w:val="-4"/>
          <w:sz w:val="22"/>
        </w:rPr>
        <w:t> </w:t>
      </w:r>
      <w:r>
        <w:rPr>
          <w:rFonts w:ascii="Calibri" w:hAnsi="Calibri"/>
          <w:sz w:val="22"/>
        </w:rPr>
        <w:t>i</w:t>
      </w:r>
      <w:r>
        <w:rPr>
          <w:rFonts w:ascii="Calibri" w:hAnsi="Calibri"/>
          <w:spacing w:val="-4"/>
          <w:sz w:val="22"/>
        </w:rPr>
        <w:t> </w:t>
      </w:r>
      <w:r>
        <w:rPr>
          <w:rFonts w:ascii="Calibri" w:hAnsi="Calibri"/>
          <w:sz w:val="22"/>
        </w:rPr>
        <w:t>staff</w:t>
      </w:r>
      <w:r>
        <w:rPr>
          <w:rFonts w:ascii="Calibri" w:hAnsi="Calibri"/>
          <w:spacing w:val="-3"/>
          <w:sz w:val="22"/>
        </w:rPr>
        <w:t> </w:t>
      </w:r>
      <w:r>
        <w:rPr>
          <w:rFonts w:ascii="Calibri" w:hAnsi="Calibri"/>
          <w:sz w:val="22"/>
        </w:rPr>
        <w:t>y</w:t>
      </w:r>
      <w:r>
        <w:rPr>
          <w:rFonts w:ascii="Calibri" w:hAnsi="Calibri"/>
          <w:spacing w:val="-3"/>
          <w:sz w:val="22"/>
        </w:rPr>
        <w:t> </w:t>
      </w:r>
      <w:r>
        <w:rPr>
          <w:rFonts w:ascii="Calibri" w:hAnsi="Calibri"/>
          <w:sz w:val="22"/>
        </w:rPr>
        <w:t>derbynfeydd</w:t>
      </w:r>
      <w:r>
        <w:rPr>
          <w:rFonts w:ascii="Calibri" w:hAnsi="Calibri"/>
          <w:spacing w:val="-3"/>
          <w:sz w:val="22"/>
        </w:rPr>
        <w:t> </w:t>
      </w:r>
      <w:r>
        <w:rPr>
          <w:rFonts w:ascii="Calibri" w:hAnsi="Calibri"/>
          <w:sz w:val="22"/>
        </w:rPr>
        <w:t>ar</w:t>
      </w:r>
      <w:r>
        <w:rPr>
          <w:rFonts w:ascii="Calibri" w:hAnsi="Calibri"/>
          <w:spacing w:val="-4"/>
          <w:sz w:val="22"/>
        </w:rPr>
        <w:t> </w:t>
      </w:r>
      <w:r>
        <w:rPr>
          <w:rFonts w:ascii="Calibri" w:hAnsi="Calibri"/>
          <w:sz w:val="22"/>
        </w:rPr>
        <w:t>gyfer</w:t>
      </w:r>
      <w:r>
        <w:rPr>
          <w:rFonts w:ascii="Calibri" w:hAnsi="Calibri"/>
          <w:spacing w:val="-3"/>
          <w:sz w:val="22"/>
        </w:rPr>
        <w:t> </w:t>
      </w:r>
      <w:r>
        <w:rPr>
          <w:rFonts w:ascii="Calibri" w:hAnsi="Calibri"/>
          <w:sz w:val="22"/>
        </w:rPr>
        <w:t>croesawu</w:t>
      </w:r>
      <w:r>
        <w:rPr>
          <w:rFonts w:ascii="Calibri" w:hAnsi="Calibri"/>
          <w:spacing w:val="-3"/>
          <w:sz w:val="22"/>
        </w:rPr>
        <w:t> </w:t>
      </w:r>
      <w:r>
        <w:rPr>
          <w:rFonts w:ascii="Calibri" w:hAnsi="Calibri"/>
          <w:sz w:val="22"/>
        </w:rPr>
        <w:t>ymwelwyr</w:t>
      </w:r>
      <w:r>
        <w:rPr>
          <w:rFonts w:ascii="Calibri" w:hAnsi="Calibri"/>
          <w:spacing w:val="-3"/>
          <w:sz w:val="22"/>
        </w:rPr>
        <w:t> </w:t>
      </w:r>
      <w:r>
        <w:rPr>
          <w:rFonts w:ascii="Calibri" w:hAnsi="Calibri"/>
          <w:sz w:val="22"/>
        </w:rPr>
        <w:t>i’n</w:t>
      </w:r>
      <w:r>
        <w:rPr>
          <w:rFonts w:ascii="Calibri" w:hAnsi="Calibri"/>
          <w:spacing w:val="-4"/>
          <w:sz w:val="22"/>
        </w:rPr>
        <w:t> </w:t>
      </w:r>
      <w:r>
        <w:rPr>
          <w:rFonts w:ascii="Calibri" w:hAnsi="Calibri"/>
          <w:sz w:val="22"/>
        </w:rPr>
        <w:t>hadeiladau/swyddfeydd ledled Cymru</w:t>
      </w:r>
    </w:p>
    <w:p>
      <w:pPr>
        <w:pStyle w:val="ListParagraph"/>
        <w:numPr>
          <w:ilvl w:val="0"/>
          <w:numId w:val="47"/>
        </w:numPr>
        <w:tabs>
          <w:tab w:pos="2204" w:val="left" w:leader="none"/>
          <w:tab w:pos="2205" w:val="left" w:leader="none"/>
        </w:tabs>
        <w:spacing w:line="280" w:lineRule="exact" w:before="0" w:after="0"/>
        <w:ind w:left="2204" w:right="0" w:hanging="360"/>
        <w:jc w:val="left"/>
        <w:rPr>
          <w:rFonts w:ascii="Calibri" w:hAnsi="Calibri"/>
          <w:sz w:val="22"/>
        </w:rPr>
      </w:pPr>
      <w:r>
        <w:rPr>
          <w:rFonts w:ascii="Calibri" w:hAnsi="Calibri"/>
          <w:sz w:val="22"/>
        </w:rPr>
        <w:t>Protocol</w:t>
      </w:r>
      <w:r>
        <w:rPr>
          <w:rFonts w:ascii="Calibri" w:hAnsi="Calibri"/>
          <w:spacing w:val="-5"/>
          <w:sz w:val="22"/>
        </w:rPr>
        <w:t> </w:t>
      </w:r>
      <w:r>
        <w:rPr>
          <w:rFonts w:ascii="Calibri" w:hAnsi="Calibri"/>
          <w:sz w:val="22"/>
        </w:rPr>
        <w:t>ar</w:t>
      </w:r>
      <w:r>
        <w:rPr>
          <w:rFonts w:ascii="Calibri" w:hAnsi="Calibri"/>
          <w:spacing w:val="-4"/>
          <w:sz w:val="22"/>
        </w:rPr>
        <w:t> </w:t>
      </w:r>
      <w:r>
        <w:rPr>
          <w:rFonts w:ascii="Calibri" w:hAnsi="Calibri"/>
          <w:sz w:val="22"/>
        </w:rPr>
        <w:t>drefnu</w:t>
      </w:r>
      <w:r>
        <w:rPr>
          <w:rFonts w:ascii="Calibri" w:hAnsi="Calibri"/>
          <w:spacing w:val="-4"/>
          <w:sz w:val="22"/>
        </w:rPr>
        <w:t> </w:t>
      </w:r>
      <w:r>
        <w:rPr>
          <w:rFonts w:ascii="Calibri" w:hAnsi="Calibri"/>
          <w:sz w:val="22"/>
        </w:rPr>
        <w:t>a</w:t>
      </w:r>
      <w:r>
        <w:rPr>
          <w:rFonts w:ascii="Calibri" w:hAnsi="Calibri"/>
          <w:spacing w:val="-3"/>
          <w:sz w:val="22"/>
        </w:rPr>
        <w:t> </w:t>
      </w:r>
      <w:r>
        <w:rPr>
          <w:rFonts w:ascii="Calibri" w:hAnsi="Calibri"/>
          <w:sz w:val="22"/>
        </w:rPr>
        <w:t>chynnal</w:t>
      </w:r>
      <w:r>
        <w:rPr>
          <w:rFonts w:ascii="Calibri" w:hAnsi="Calibri"/>
          <w:spacing w:val="-3"/>
          <w:sz w:val="22"/>
        </w:rPr>
        <w:t> </w:t>
      </w:r>
      <w:r>
        <w:rPr>
          <w:rFonts w:ascii="Calibri" w:hAnsi="Calibri"/>
          <w:sz w:val="22"/>
        </w:rPr>
        <w:t>cyfarfodydd</w:t>
      </w:r>
      <w:r>
        <w:rPr>
          <w:rFonts w:ascii="Calibri" w:hAnsi="Calibri"/>
          <w:spacing w:val="-4"/>
          <w:sz w:val="22"/>
        </w:rPr>
        <w:t> </w:t>
      </w:r>
      <w:r>
        <w:rPr>
          <w:rFonts w:ascii="Calibri" w:hAnsi="Calibri"/>
          <w:sz w:val="22"/>
        </w:rPr>
        <w:t>a</w:t>
      </w:r>
      <w:r>
        <w:rPr>
          <w:rFonts w:ascii="Calibri" w:hAnsi="Calibri"/>
          <w:spacing w:val="-2"/>
          <w:sz w:val="22"/>
        </w:rPr>
        <w:t> </w:t>
      </w:r>
      <w:r>
        <w:rPr>
          <w:rFonts w:ascii="Calibri" w:hAnsi="Calibri"/>
          <w:sz w:val="22"/>
        </w:rPr>
        <w:t>chyfarfodydd</w:t>
      </w:r>
      <w:r>
        <w:rPr>
          <w:rFonts w:ascii="Calibri" w:hAnsi="Calibri"/>
          <w:spacing w:val="-3"/>
          <w:sz w:val="22"/>
        </w:rPr>
        <w:t> </w:t>
      </w:r>
      <w:r>
        <w:rPr>
          <w:rFonts w:ascii="Calibri" w:hAnsi="Calibri"/>
          <w:sz w:val="22"/>
        </w:rPr>
        <w:t>cyhoeddus</w:t>
      </w:r>
      <w:r>
        <w:rPr>
          <w:rFonts w:ascii="Calibri" w:hAnsi="Calibri"/>
          <w:spacing w:val="-4"/>
          <w:sz w:val="22"/>
        </w:rPr>
        <w:t> </w:t>
      </w:r>
      <w:r>
        <w:rPr>
          <w:rFonts w:ascii="Calibri" w:hAnsi="Calibri"/>
          <w:sz w:val="22"/>
        </w:rPr>
        <w:t>yn</w:t>
      </w:r>
      <w:r>
        <w:rPr>
          <w:rFonts w:ascii="Calibri" w:hAnsi="Calibri"/>
          <w:spacing w:val="-2"/>
          <w:sz w:val="22"/>
        </w:rPr>
        <w:t> ddwyieithog</w:t>
      </w:r>
    </w:p>
    <w:p>
      <w:pPr>
        <w:pStyle w:val="ListParagraph"/>
        <w:numPr>
          <w:ilvl w:val="0"/>
          <w:numId w:val="47"/>
        </w:numPr>
        <w:tabs>
          <w:tab w:pos="2204" w:val="left" w:leader="none"/>
          <w:tab w:pos="2205" w:val="left" w:leader="none"/>
        </w:tabs>
        <w:spacing w:line="240" w:lineRule="auto" w:before="22" w:after="0"/>
        <w:ind w:left="2204" w:right="0" w:hanging="360"/>
        <w:jc w:val="left"/>
        <w:rPr>
          <w:rFonts w:ascii="Calibri" w:hAnsi="Calibri"/>
          <w:sz w:val="22"/>
        </w:rPr>
      </w:pPr>
      <w:r>
        <w:rPr>
          <w:rFonts w:ascii="Calibri" w:hAnsi="Calibri"/>
          <w:sz w:val="22"/>
        </w:rPr>
        <w:t>Ysgrifennu</w:t>
      </w:r>
      <w:r>
        <w:rPr>
          <w:rFonts w:ascii="Calibri" w:hAnsi="Calibri"/>
          <w:spacing w:val="-2"/>
          <w:sz w:val="22"/>
        </w:rPr>
        <w:t> </w:t>
      </w:r>
      <w:r>
        <w:rPr>
          <w:rFonts w:ascii="Calibri" w:hAnsi="Calibri"/>
          <w:sz w:val="22"/>
        </w:rPr>
        <w:t>yn</w:t>
      </w:r>
      <w:r>
        <w:rPr>
          <w:rFonts w:ascii="Calibri" w:hAnsi="Calibri"/>
          <w:spacing w:val="-2"/>
          <w:sz w:val="22"/>
        </w:rPr>
        <w:t> </w:t>
      </w:r>
      <w:r>
        <w:rPr>
          <w:rFonts w:ascii="Calibri" w:hAnsi="Calibri"/>
          <w:sz w:val="22"/>
        </w:rPr>
        <w:t>Gymraeg</w:t>
      </w:r>
      <w:r>
        <w:rPr>
          <w:rFonts w:ascii="Calibri" w:hAnsi="Calibri"/>
          <w:spacing w:val="-2"/>
          <w:sz w:val="22"/>
        </w:rPr>
        <w:t> </w:t>
      </w:r>
      <w:r>
        <w:rPr>
          <w:rFonts w:ascii="Calibri" w:hAnsi="Calibri"/>
          <w:sz w:val="22"/>
        </w:rPr>
        <w:t>–</w:t>
      </w:r>
      <w:r>
        <w:rPr>
          <w:rFonts w:ascii="Calibri" w:hAnsi="Calibri"/>
          <w:spacing w:val="-3"/>
          <w:sz w:val="22"/>
        </w:rPr>
        <w:t> </w:t>
      </w:r>
      <w:r>
        <w:rPr>
          <w:rFonts w:ascii="Calibri" w:hAnsi="Calibri"/>
          <w:sz w:val="22"/>
        </w:rPr>
        <w:t>ymadroddion</w:t>
      </w:r>
      <w:r>
        <w:rPr>
          <w:rFonts w:ascii="Calibri" w:hAnsi="Calibri"/>
          <w:spacing w:val="-2"/>
          <w:sz w:val="22"/>
        </w:rPr>
        <w:t> defnyddiol</w:t>
      </w:r>
    </w:p>
    <w:p>
      <w:pPr>
        <w:pStyle w:val="ListParagraph"/>
        <w:numPr>
          <w:ilvl w:val="0"/>
          <w:numId w:val="47"/>
        </w:numPr>
        <w:tabs>
          <w:tab w:pos="2204" w:val="left" w:leader="none"/>
          <w:tab w:pos="2205" w:val="left" w:leader="none"/>
        </w:tabs>
        <w:spacing w:line="240" w:lineRule="auto" w:before="21" w:after="0"/>
        <w:ind w:left="2204" w:right="0" w:hanging="360"/>
        <w:jc w:val="left"/>
        <w:rPr>
          <w:rFonts w:ascii="Calibri" w:hAnsi="Calibri"/>
          <w:sz w:val="22"/>
        </w:rPr>
      </w:pPr>
      <w:r>
        <w:rPr>
          <w:rFonts w:ascii="Calibri" w:hAnsi="Calibri"/>
          <w:sz w:val="22"/>
        </w:rPr>
        <w:t>Templedi</w:t>
      </w:r>
      <w:r>
        <w:rPr>
          <w:rFonts w:ascii="Calibri" w:hAnsi="Calibri"/>
          <w:spacing w:val="-4"/>
          <w:sz w:val="22"/>
        </w:rPr>
        <w:t> </w:t>
      </w:r>
      <w:r>
        <w:rPr>
          <w:rFonts w:ascii="Calibri" w:hAnsi="Calibri"/>
          <w:sz w:val="22"/>
        </w:rPr>
        <w:t>–</w:t>
      </w:r>
      <w:r>
        <w:rPr>
          <w:rFonts w:ascii="Calibri" w:hAnsi="Calibri"/>
          <w:spacing w:val="-2"/>
          <w:sz w:val="22"/>
        </w:rPr>
        <w:t> </w:t>
      </w:r>
      <w:r>
        <w:rPr>
          <w:rFonts w:ascii="Calibri" w:hAnsi="Calibri"/>
          <w:sz w:val="22"/>
        </w:rPr>
        <w:t>arwyddion,</w:t>
      </w:r>
      <w:r>
        <w:rPr>
          <w:rFonts w:ascii="Calibri" w:hAnsi="Calibri"/>
          <w:spacing w:val="-4"/>
          <w:sz w:val="22"/>
        </w:rPr>
        <w:t> </w:t>
      </w:r>
      <w:r>
        <w:rPr>
          <w:rFonts w:ascii="Calibri" w:hAnsi="Calibri"/>
          <w:sz w:val="22"/>
        </w:rPr>
        <w:t>ffurflenni</w:t>
      </w:r>
      <w:r>
        <w:rPr>
          <w:rFonts w:ascii="Calibri" w:hAnsi="Calibri"/>
          <w:spacing w:val="-3"/>
          <w:sz w:val="22"/>
        </w:rPr>
        <w:t> </w:t>
      </w:r>
      <w:r>
        <w:rPr>
          <w:rFonts w:ascii="Calibri" w:hAnsi="Calibri"/>
          <w:sz w:val="22"/>
        </w:rPr>
        <w:t>ac</w:t>
      </w:r>
      <w:r>
        <w:rPr>
          <w:rFonts w:ascii="Calibri" w:hAnsi="Calibri"/>
          <w:spacing w:val="-3"/>
          <w:sz w:val="22"/>
        </w:rPr>
        <w:t> </w:t>
      </w:r>
      <w:r>
        <w:rPr>
          <w:rFonts w:ascii="Calibri" w:hAnsi="Calibri"/>
          <w:spacing w:val="-5"/>
          <w:sz w:val="22"/>
        </w:rPr>
        <w:t>ati</w:t>
      </w:r>
    </w:p>
    <w:p>
      <w:pPr>
        <w:pStyle w:val="ListParagraph"/>
        <w:numPr>
          <w:ilvl w:val="0"/>
          <w:numId w:val="47"/>
        </w:numPr>
        <w:tabs>
          <w:tab w:pos="2204" w:val="left" w:leader="none"/>
          <w:tab w:pos="2205" w:val="left" w:leader="none"/>
        </w:tabs>
        <w:spacing w:line="240" w:lineRule="auto" w:before="21" w:after="0"/>
        <w:ind w:left="2204" w:right="0" w:hanging="360"/>
        <w:jc w:val="left"/>
        <w:rPr>
          <w:rFonts w:ascii="Calibri" w:hAnsi="Calibri"/>
          <w:sz w:val="22"/>
        </w:rPr>
      </w:pPr>
      <w:r>
        <w:rPr>
          <w:rFonts w:ascii="Calibri" w:hAnsi="Calibri"/>
          <w:sz w:val="22"/>
        </w:rPr>
        <w:t>Canllawiau</w:t>
      </w:r>
      <w:r>
        <w:rPr>
          <w:rFonts w:ascii="Calibri" w:hAnsi="Calibri"/>
          <w:spacing w:val="-4"/>
          <w:sz w:val="22"/>
        </w:rPr>
        <w:t> </w:t>
      </w:r>
      <w:r>
        <w:rPr>
          <w:rFonts w:ascii="Calibri" w:hAnsi="Calibri"/>
          <w:sz w:val="22"/>
        </w:rPr>
        <w:t>ar</w:t>
      </w:r>
      <w:r>
        <w:rPr>
          <w:rFonts w:ascii="Calibri" w:hAnsi="Calibri"/>
          <w:spacing w:val="-3"/>
          <w:sz w:val="22"/>
        </w:rPr>
        <w:t> </w:t>
      </w:r>
      <w:r>
        <w:rPr>
          <w:rFonts w:ascii="Calibri" w:hAnsi="Calibri"/>
          <w:sz w:val="22"/>
        </w:rPr>
        <w:t>gyfer</w:t>
      </w:r>
      <w:r>
        <w:rPr>
          <w:rFonts w:ascii="Calibri" w:hAnsi="Calibri"/>
          <w:spacing w:val="-2"/>
          <w:sz w:val="22"/>
        </w:rPr>
        <w:t> </w:t>
      </w:r>
      <w:r>
        <w:rPr>
          <w:rFonts w:ascii="Calibri" w:hAnsi="Calibri"/>
          <w:sz w:val="22"/>
        </w:rPr>
        <w:t>ysgrifennu</w:t>
      </w:r>
      <w:r>
        <w:rPr>
          <w:rFonts w:ascii="Calibri" w:hAnsi="Calibri"/>
          <w:spacing w:val="-2"/>
          <w:sz w:val="22"/>
        </w:rPr>
        <w:t> </w:t>
      </w:r>
      <w:r>
        <w:rPr>
          <w:rFonts w:ascii="Calibri" w:hAnsi="Calibri"/>
          <w:sz w:val="22"/>
        </w:rPr>
        <w:t>cynnwys</w:t>
      </w:r>
      <w:r>
        <w:rPr>
          <w:rFonts w:ascii="Calibri" w:hAnsi="Calibri"/>
          <w:spacing w:val="-2"/>
          <w:sz w:val="22"/>
        </w:rPr>
        <w:t> </w:t>
      </w:r>
      <w:r>
        <w:rPr>
          <w:rFonts w:ascii="Calibri" w:hAnsi="Calibri"/>
          <w:sz w:val="22"/>
        </w:rPr>
        <w:t>ar</w:t>
      </w:r>
      <w:r>
        <w:rPr>
          <w:rFonts w:ascii="Calibri" w:hAnsi="Calibri"/>
          <w:spacing w:val="-3"/>
          <w:sz w:val="22"/>
        </w:rPr>
        <w:t> </w:t>
      </w:r>
      <w:r>
        <w:rPr>
          <w:rFonts w:ascii="Calibri" w:hAnsi="Calibri"/>
          <w:sz w:val="22"/>
        </w:rPr>
        <w:t>gyfer</w:t>
      </w:r>
      <w:r>
        <w:rPr>
          <w:rFonts w:ascii="Calibri" w:hAnsi="Calibri"/>
          <w:spacing w:val="-3"/>
          <w:sz w:val="22"/>
        </w:rPr>
        <w:t> </w:t>
      </w:r>
      <w:r>
        <w:rPr>
          <w:rFonts w:ascii="Calibri" w:hAnsi="Calibri"/>
          <w:sz w:val="22"/>
        </w:rPr>
        <w:t>y</w:t>
      </w:r>
      <w:r>
        <w:rPr>
          <w:rFonts w:ascii="Calibri" w:hAnsi="Calibri"/>
          <w:spacing w:val="-1"/>
          <w:sz w:val="22"/>
        </w:rPr>
        <w:t> </w:t>
      </w:r>
      <w:r>
        <w:rPr>
          <w:rFonts w:ascii="Calibri" w:hAnsi="Calibri"/>
          <w:sz w:val="22"/>
        </w:rPr>
        <w:t>we</w:t>
      </w:r>
      <w:r>
        <w:rPr>
          <w:rFonts w:ascii="Calibri" w:hAnsi="Calibri"/>
          <w:spacing w:val="-3"/>
          <w:sz w:val="22"/>
        </w:rPr>
        <w:t> </w:t>
      </w:r>
      <w:r>
        <w:rPr>
          <w:rFonts w:ascii="Calibri" w:hAnsi="Calibri"/>
          <w:sz w:val="22"/>
        </w:rPr>
        <w:t>a</w:t>
      </w:r>
      <w:r>
        <w:rPr>
          <w:rFonts w:ascii="Calibri" w:hAnsi="Calibri"/>
          <w:spacing w:val="-1"/>
          <w:sz w:val="22"/>
        </w:rPr>
        <w:t> </w:t>
      </w:r>
      <w:r>
        <w:rPr>
          <w:rFonts w:ascii="Calibri" w:hAnsi="Calibri"/>
          <w:sz w:val="22"/>
        </w:rPr>
        <w:t>defnyddio’r</w:t>
      </w:r>
      <w:r>
        <w:rPr>
          <w:rFonts w:ascii="Calibri" w:hAnsi="Calibri"/>
          <w:spacing w:val="-3"/>
          <w:sz w:val="22"/>
        </w:rPr>
        <w:t> </w:t>
      </w:r>
      <w:r>
        <w:rPr>
          <w:rFonts w:ascii="Calibri" w:hAnsi="Calibri"/>
          <w:sz w:val="22"/>
        </w:rPr>
        <w:t>cyfryngau</w:t>
      </w:r>
      <w:r>
        <w:rPr>
          <w:rFonts w:ascii="Calibri" w:hAnsi="Calibri"/>
          <w:spacing w:val="-1"/>
          <w:sz w:val="22"/>
        </w:rPr>
        <w:t> </w:t>
      </w:r>
      <w:r>
        <w:rPr>
          <w:rFonts w:ascii="Calibri" w:hAnsi="Calibri"/>
          <w:spacing w:val="-2"/>
          <w:sz w:val="22"/>
        </w:rPr>
        <w:t>cymdeithasol</w:t>
      </w:r>
    </w:p>
    <w:p>
      <w:pPr>
        <w:pStyle w:val="ListParagraph"/>
        <w:numPr>
          <w:ilvl w:val="0"/>
          <w:numId w:val="47"/>
        </w:numPr>
        <w:tabs>
          <w:tab w:pos="2204" w:val="left" w:leader="none"/>
          <w:tab w:pos="2205" w:val="left" w:leader="none"/>
        </w:tabs>
        <w:spacing w:line="240" w:lineRule="auto" w:before="21" w:after="0"/>
        <w:ind w:left="2204" w:right="0" w:hanging="360"/>
        <w:jc w:val="left"/>
        <w:rPr>
          <w:rFonts w:ascii="Calibri" w:hAnsi="Calibri"/>
          <w:sz w:val="22"/>
        </w:rPr>
      </w:pPr>
      <w:r>
        <w:rPr>
          <w:rFonts w:ascii="Calibri" w:hAnsi="Calibri"/>
          <w:sz w:val="22"/>
        </w:rPr>
        <w:t>Canllawiau</w:t>
      </w:r>
      <w:r>
        <w:rPr>
          <w:rFonts w:ascii="Calibri" w:hAnsi="Calibri"/>
          <w:spacing w:val="-2"/>
          <w:sz w:val="22"/>
        </w:rPr>
        <w:t> </w:t>
      </w:r>
      <w:r>
        <w:rPr>
          <w:rFonts w:ascii="Calibri" w:hAnsi="Calibri"/>
          <w:sz w:val="22"/>
        </w:rPr>
        <w:t>ar</w:t>
      </w:r>
      <w:r>
        <w:rPr>
          <w:rFonts w:ascii="Calibri" w:hAnsi="Calibri"/>
          <w:spacing w:val="-3"/>
          <w:sz w:val="22"/>
        </w:rPr>
        <w:t> </w:t>
      </w:r>
      <w:r>
        <w:rPr>
          <w:rFonts w:ascii="Calibri" w:hAnsi="Calibri"/>
          <w:sz w:val="22"/>
        </w:rPr>
        <w:t>gyfer</w:t>
      </w:r>
      <w:r>
        <w:rPr>
          <w:rFonts w:ascii="Calibri" w:hAnsi="Calibri"/>
          <w:spacing w:val="-3"/>
          <w:sz w:val="22"/>
        </w:rPr>
        <w:t> </w:t>
      </w:r>
      <w:r>
        <w:rPr>
          <w:rFonts w:ascii="Calibri" w:hAnsi="Calibri"/>
          <w:sz w:val="22"/>
        </w:rPr>
        <w:t>arwyddion</w:t>
      </w:r>
      <w:r>
        <w:rPr>
          <w:rFonts w:ascii="Calibri" w:hAnsi="Calibri"/>
          <w:spacing w:val="-3"/>
          <w:sz w:val="22"/>
        </w:rPr>
        <w:t> </w:t>
      </w:r>
      <w:r>
        <w:rPr>
          <w:rFonts w:ascii="Calibri" w:hAnsi="Calibri"/>
          <w:sz w:val="22"/>
        </w:rPr>
        <w:t>a</w:t>
      </w:r>
      <w:r>
        <w:rPr>
          <w:rFonts w:ascii="Calibri" w:hAnsi="Calibri"/>
          <w:spacing w:val="-2"/>
          <w:sz w:val="22"/>
        </w:rPr>
        <w:t> </w:t>
      </w:r>
      <w:r>
        <w:rPr>
          <w:rFonts w:ascii="Calibri" w:hAnsi="Calibri"/>
          <w:sz w:val="22"/>
        </w:rPr>
        <w:t>systemau</w:t>
      </w:r>
      <w:r>
        <w:rPr>
          <w:rFonts w:ascii="Calibri" w:hAnsi="Calibri"/>
          <w:spacing w:val="-3"/>
          <w:sz w:val="22"/>
        </w:rPr>
        <w:t> </w:t>
      </w:r>
      <w:r>
        <w:rPr>
          <w:rFonts w:ascii="Calibri" w:hAnsi="Calibri"/>
          <w:sz w:val="22"/>
        </w:rPr>
        <w:t>annerch</w:t>
      </w:r>
      <w:r>
        <w:rPr>
          <w:rFonts w:ascii="Calibri" w:hAnsi="Calibri"/>
          <w:spacing w:val="-1"/>
          <w:sz w:val="22"/>
        </w:rPr>
        <w:t> </w:t>
      </w:r>
      <w:r>
        <w:rPr>
          <w:rFonts w:ascii="Calibri" w:hAnsi="Calibri"/>
          <w:spacing w:val="-2"/>
          <w:sz w:val="22"/>
        </w:rPr>
        <w:t>cyhoeddus</w:t>
      </w:r>
    </w:p>
    <w:p>
      <w:pPr>
        <w:pStyle w:val="ListParagraph"/>
        <w:numPr>
          <w:ilvl w:val="0"/>
          <w:numId w:val="47"/>
        </w:numPr>
        <w:tabs>
          <w:tab w:pos="2204" w:val="left" w:leader="none"/>
          <w:tab w:pos="2205" w:val="left" w:leader="none"/>
        </w:tabs>
        <w:spacing w:line="240" w:lineRule="auto" w:before="22" w:after="0"/>
        <w:ind w:left="2204" w:right="0" w:hanging="360"/>
        <w:jc w:val="left"/>
        <w:rPr>
          <w:rFonts w:ascii="Calibri" w:hAnsi="Calibri"/>
          <w:sz w:val="22"/>
        </w:rPr>
      </w:pPr>
      <w:r>
        <w:rPr>
          <w:rFonts w:ascii="Calibri" w:hAnsi="Calibri"/>
          <w:sz w:val="22"/>
        </w:rPr>
        <w:t>Cyfathrebiadau</w:t>
      </w:r>
      <w:r>
        <w:rPr>
          <w:rFonts w:ascii="Calibri" w:hAnsi="Calibri"/>
          <w:spacing w:val="-4"/>
          <w:sz w:val="22"/>
        </w:rPr>
        <w:t> </w:t>
      </w:r>
      <w:r>
        <w:rPr>
          <w:rFonts w:ascii="Calibri" w:hAnsi="Calibri"/>
          <w:sz w:val="22"/>
        </w:rPr>
        <w:t>a</w:t>
      </w:r>
      <w:r>
        <w:rPr>
          <w:rFonts w:ascii="Calibri" w:hAnsi="Calibri"/>
          <w:spacing w:val="-4"/>
          <w:sz w:val="22"/>
        </w:rPr>
        <w:t> </w:t>
      </w:r>
      <w:r>
        <w:rPr>
          <w:rFonts w:ascii="Calibri" w:hAnsi="Calibri"/>
          <w:sz w:val="22"/>
        </w:rPr>
        <w:t>hunaniaeth</w:t>
      </w:r>
      <w:r>
        <w:rPr>
          <w:rFonts w:ascii="Calibri" w:hAnsi="Calibri"/>
          <w:spacing w:val="-3"/>
          <w:sz w:val="22"/>
        </w:rPr>
        <w:t> </w:t>
      </w:r>
      <w:r>
        <w:rPr>
          <w:rFonts w:ascii="Calibri" w:hAnsi="Calibri"/>
          <w:spacing w:val="-2"/>
          <w:sz w:val="22"/>
        </w:rPr>
        <w:t>gorfforaethol</w:t>
      </w:r>
    </w:p>
    <w:p>
      <w:pPr>
        <w:pStyle w:val="ListParagraph"/>
        <w:numPr>
          <w:ilvl w:val="0"/>
          <w:numId w:val="47"/>
        </w:numPr>
        <w:tabs>
          <w:tab w:pos="2204" w:val="left" w:leader="none"/>
          <w:tab w:pos="2205" w:val="left" w:leader="none"/>
        </w:tabs>
        <w:spacing w:line="259" w:lineRule="auto" w:before="21" w:after="0"/>
        <w:ind w:left="2205" w:right="1480" w:hanging="360"/>
        <w:jc w:val="left"/>
        <w:rPr>
          <w:rFonts w:ascii="Calibri" w:hAnsi="Calibri"/>
          <w:sz w:val="22"/>
        </w:rPr>
      </w:pPr>
      <w:r>
        <w:rPr>
          <w:rFonts w:ascii="Calibri" w:hAnsi="Calibri"/>
          <w:sz w:val="22"/>
        </w:rPr>
        <w:t>Ystyriaethau’r</w:t>
      </w:r>
      <w:r>
        <w:rPr>
          <w:rFonts w:ascii="Calibri" w:hAnsi="Calibri"/>
          <w:spacing w:val="-1"/>
          <w:sz w:val="22"/>
        </w:rPr>
        <w:t> </w:t>
      </w:r>
      <w:r>
        <w:rPr>
          <w:rFonts w:ascii="Calibri" w:hAnsi="Calibri"/>
          <w:sz w:val="22"/>
        </w:rPr>
        <w:t>Gymraeg</w:t>
      </w:r>
      <w:r>
        <w:rPr>
          <w:rFonts w:ascii="Calibri" w:hAnsi="Calibri"/>
          <w:spacing w:val="-2"/>
          <w:sz w:val="22"/>
        </w:rPr>
        <w:t> </w:t>
      </w:r>
      <w:r>
        <w:rPr>
          <w:rFonts w:ascii="Calibri" w:hAnsi="Calibri"/>
          <w:sz w:val="22"/>
        </w:rPr>
        <w:t>wrth</w:t>
      </w:r>
      <w:r>
        <w:rPr>
          <w:rFonts w:ascii="Calibri" w:hAnsi="Calibri"/>
          <w:spacing w:val="-1"/>
          <w:sz w:val="22"/>
        </w:rPr>
        <w:t> </w:t>
      </w:r>
      <w:r>
        <w:rPr>
          <w:rFonts w:ascii="Calibri" w:hAnsi="Calibri"/>
          <w:sz w:val="22"/>
        </w:rPr>
        <w:t>gyhoeddi</w:t>
      </w:r>
      <w:r>
        <w:rPr>
          <w:rFonts w:ascii="Calibri" w:hAnsi="Calibri"/>
          <w:spacing w:val="-2"/>
          <w:sz w:val="22"/>
        </w:rPr>
        <w:t> </w:t>
      </w:r>
      <w:r>
        <w:rPr>
          <w:rFonts w:ascii="Calibri" w:hAnsi="Calibri"/>
          <w:sz w:val="22"/>
        </w:rPr>
        <w:t>dogfennau</w:t>
      </w:r>
      <w:r>
        <w:rPr>
          <w:rFonts w:ascii="Calibri" w:hAnsi="Calibri"/>
          <w:spacing w:val="-1"/>
          <w:sz w:val="22"/>
        </w:rPr>
        <w:t> </w:t>
      </w:r>
      <w:r>
        <w:rPr>
          <w:rFonts w:ascii="Calibri" w:hAnsi="Calibri"/>
          <w:sz w:val="22"/>
        </w:rPr>
        <w:t>caffael</w:t>
      </w:r>
      <w:r>
        <w:rPr>
          <w:rFonts w:ascii="Calibri" w:hAnsi="Calibri"/>
          <w:spacing w:val="-1"/>
          <w:sz w:val="22"/>
        </w:rPr>
        <w:t> </w:t>
      </w:r>
      <w:r>
        <w:rPr>
          <w:rFonts w:ascii="Calibri" w:hAnsi="Calibri"/>
          <w:sz w:val="22"/>
        </w:rPr>
        <w:t>a</w:t>
      </w:r>
      <w:r>
        <w:rPr>
          <w:rFonts w:ascii="Calibri" w:hAnsi="Calibri"/>
          <w:spacing w:val="-2"/>
          <w:sz w:val="22"/>
        </w:rPr>
        <w:t> </w:t>
      </w:r>
      <w:r>
        <w:rPr>
          <w:rFonts w:ascii="Calibri" w:hAnsi="Calibri"/>
          <w:sz w:val="22"/>
        </w:rPr>
        <w:t>manylebau</w:t>
      </w:r>
      <w:r>
        <w:rPr>
          <w:rFonts w:ascii="Calibri" w:hAnsi="Calibri"/>
          <w:spacing w:val="-1"/>
          <w:sz w:val="22"/>
        </w:rPr>
        <w:t> </w:t>
      </w:r>
      <w:r>
        <w:rPr>
          <w:rFonts w:ascii="Calibri" w:hAnsi="Calibri"/>
          <w:sz w:val="22"/>
        </w:rPr>
        <w:t>tendrau</w:t>
      </w:r>
      <w:r>
        <w:rPr>
          <w:rFonts w:ascii="Calibri" w:hAnsi="Calibri"/>
          <w:spacing w:val="-1"/>
          <w:sz w:val="22"/>
        </w:rPr>
        <w:t> </w:t>
      </w:r>
      <w:r>
        <w:rPr>
          <w:rFonts w:ascii="Calibri" w:hAnsi="Calibri"/>
          <w:sz w:val="22"/>
        </w:rPr>
        <w:t>sy’n</w:t>
      </w:r>
      <w:r>
        <w:rPr>
          <w:rFonts w:ascii="Calibri" w:hAnsi="Calibri"/>
          <w:spacing w:val="-1"/>
          <w:sz w:val="22"/>
        </w:rPr>
        <w:t> </w:t>
      </w:r>
      <w:r>
        <w:rPr>
          <w:rFonts w:ascii="Calibri" w:hAnsi="Calibri"/>
          <w:sz w:val="22"/>
        </w:rPr>
        <w:t>manylu ar</w:t>
      </w:r>
      <w:r>
        <w:rPr>
          <w:rFonts w:ascii="Calibri" w:hAnsi="Calibri"/>
          <w:spacing w:val="-5"/>
          <w:sz w:val="22"/>
        </w:rPr>
        <w:t> </w:t>
      </w:r>
      <w:r>
        <w:rPr>
          <w:rFonts w:ascii="Calibri" w:hAnsi="Calibri"/>
          <w:sz w:val="22"/>
        </w:rPr>
        <w:t>rwymedigaethau</w:t>
      </w:r>
      <w:r>
        <w:rPr>
          <w:rFonts w:ascii="Calibri" w:hAnsi="Calibri"/>
          <w:spacing w:val="-5"/>
          <w:sz w:val="22"/>
        </w:rPr>
        <w:t> </w:t>
      </w:r>
      <w:r>
        <w:rPr>
          <w:rFonts w:ascii="Calibri" w:hAnsi="Calibri"/>
          <w:sz w:val="22"/>
        </w:rPr>
        <w:t>cytundebol</w:t>
      </w:r>
      <w:r>
        <w:rPr>
          <w:rFonts w:ascii="Calibri" w:hAnsi="Calibri"/>
          <w:spacing w:val="-4"/>
          <w:sz w:val="22"/>
        </w:rPr>
        <w:t> </w:t>
      </w:r>
      <w:r>
        <w:rPr>
          <w:rFonts w:ascii="Calibri" w:hAnsi="Calibri"/>
          <w:sz w:val="22"/>
        </w:rPr>
        <w:t>ar</w:t>
      </w:r>
      <w:r>
        <w:rPr>
          <w:rFonts w:ascii="Calibri" w:hAnsi="Calibri"/>
          <w:spacing w:val="-5"/>
          <w:sz w:val="22"/>
        </w:rPr>
        <w:t> </w:t>
      </w:r>
      <w:r>
        <w:rPr>
          <w:rFonts w:ascii="Calibri" w:hAnsi="Calibri"/>
          <w:sz w:val="22"/>
        </w:rPr>
        <w:t>gontractio/is-gontractio</w:t>
      </w:r>
      <w:r>
        <w:rPr>
          <w:rFonts w:ascii="Calibri" w:hAnsi="Calibri"/>
          <w:spacing w:val="-4"/>
          <w:sz w:val="22"/>
        </w:rPr>
        <w:t> </w:t>
      </w:r>
      <w:r>
        <w:rPr>
          <w:rFonts w:ascii="Calibri" w:hAnsi="Calibri"/>
          <w:sz w:val="22"/>
        </w:rPr>
        <w:t>gwasanaethau</w:t>
      </w:r>
      <w:r>
        <w:rPr>
          <w:rFonts w:ascii="Calibri" w:hAnsi="Calibri"/>
          <w:spacing w:val="-5"/>
          <w:sz w:val="22"/>
        </w:rPr>
        <w:t> </w:t>
      </w:r>
      <w:r>
        <w:rPr>
          <w:rFonts w:ascii="Calibri" w:hAnsi="Calibri"/>
          <w:sz w:val="22"/>
        </w:rPr>
        <w:t>ar</w:t>
      </w:r>
      <w:r>
        <w:rPr>
          <w:rFonts w:ascii="Calibri" w:hAnsi="Calibri"/>
          <w:spacing w:val="-5"/>
          <w:sz w:val="22"/>
        </w:rPr>
        <w:t> </w:t>
      </w:r>
      <w:r>
        <w:rPr>
          <w:rFonts w:ascii="Calibri" w:hAnsi="Calibri"/>
          <w:sz w:val="22"/>
        </w:rPr>
        <w:t>ran</w:t>
      </w:r>
      <w:r>
        <w:rPr>
          <w:rFonts w:ascii="Calibri" w:hAnsi="Calibri"/>
          <w:spacing w:val="-4"/>
          <w:sz w:val="22"/>
        </w:rPr>
        <w:t> </w:t>
      </w:r>
      <w:r>
        <w:rPr>
          <w:rFonts w:ascii="Calibri" w:hAnsi="Calibri"/>
          <w:sz w:val="22"/>
        </w:rPr>
        <w:t>GIG</w:t>
      </w:r>
      <w:r>
        <w:rPr>
          <w:rFonts w:ascii="Calibri" w:hAnsi="Calibri"/>
          <w:spacing w:val="-4"/>
          <w:sz w:val="22"/>
        </w:rPr>
        <w:t> </w:t>
      </w:r>
      <w:r>
        <w:rPr>
          <w:rFonts w:ascii="Calibri" w:hAnsi="Calibri"/>
          <w:sz w:val="22"/>
        </w:rPr>
        <w:t>Cymru.</w:t>
      </w:r>
    </w:p>
    <w:p>
      <w:pPr>
        <w:pStyle w:val="BodyText"/>
        <w:spacing w:before="8"/>
        <w:rPr>
          <w:rFonts w:ascii="Calibri"/>
          <w:sz w:val="23"/>
        </w:rPr>
      </w:pPr>
    </w:p>
    <w:p>
      <w:pPr>
        <w:spacing w:line="259" w:lineRule="auto" w:before="1"/>
        <w:ind w:left="1440" w:right="1405" w:firstLine="0"/>
        <w:jc w:val="left"/>
        <w:rPr>
          <w:rFonts w:ascii="Calibri" w:hAnsi="Calibri"/>
          <w:sz w:val="22"/>
        </w:rPr>
      </w:pPr>
      <w:r>
        <w:rPr>
          <w:rFonts w:ascii="Calibri" w:hAnsi="Calibri"/>
          <w:sz w:val="22"/>
        </w:rPr>
        <w:t>Cyfathrebir â staff ar draws y sefydliad yn gyson am Safonau’r Gymraeg, pwysigrwydd cynnig gwasanaeth</w:t>
      </w:r>
      <w:r>
        <w:rPr>
          <w:rFonts w:ascii="Calibri" w:hAnsi="Calibri"/>
          <w:spacing w:val="-2"/>
          <w:sz w:val="22"/>
        </w:rPr>
        <w:t> </w:t>
      </w:r>
      <w:r>
        <w:rPr>
          <w:rFonts w:ascii="Calibri" w:hAnsi="Calibri"/>
          <w:sz w:val="22"/>
        </w:rPr>
        <w:t>Cymraeg</w:t>
      </w:r>
      <w:r>
        <w:rPr>
          <w:rFonts w:ascii="Calibri" w:hAnsi="Calibri"/>
          <w:spacing w:val="-3"/>
          <w:sz w:val="22"/>
        </w:rPr>
        <w:t> </w:t>
      </w:r>
      <w:r>
        <w:rPr>
          <w:rFonts w:ascii="Calibri" w:hAnsi="Calibri"/>
          <w:sz w:val="22"/>
        </w:rPr>
        <w:t>a</w:t>
      </w:r>
      <w:r>
        <w:rPr>
          <w:rFonts w:ascii="Calibri" w:hAnsi="Calibri"/>
          <w:spacing w:val="-3"/>
          <w:sz w:val="22"/>
        </w:rPr>
        <w:t> </w:t>
      </w:r>
      <w:r>
        <w:rPr>
          <w:rFonts w:ascii="Calibri" w:hAnsi="Calibri"/>
          <w:sz w:val="22"/>
        </w:rPr>
        <w:t>pharchu</w:t>
      </w:r>
      <w:r>
        <w:rPr>
          <w:rFonts w:ascii="Calibri" w:hAnsi="Calibri"/>
          <w:spacing w:val="-2"/>
          <w:sz w:val="22"/>
        </w:rPr>
        <w:t> </w:t>
      </w:r>
      <w:r>
        <w:rPr>
          <w:rFonts w:ascii="Calibri" w:hAnsi="Calibri"/>
          <w:sz w:val="22"/>
        </w:rPr>
        <w:t>dewis</w:t>
      </w:r>
      <w:r>
        <w:rPr>
          <w:rFonts w:ascii="Calibri" w:hAnsi="Calibri"/>
          <w:spacing w:val="-3"/>
          <w:sz w:val="22"/>
        </w:rPr>
        <w:t> </w:t>
      </w:r>
      <w:r>
        <w:rPr>
          <w:rFonts w:ascii="Calibri" w:hAnsi="Calibri"/>
          <w:sz w:val="22"/>
        </w:rPr>
        <w:t>y</w:t>
      </w:r>
      <w:r>
        <w:rPr>
          <w:rFonts w:ascii="Calibri" w:hAnsi="Calibri"/>
          <w:spacing w:val="-2"/>
          <w:sz w:val="22"/>
        </w:rPr>
        <w:t> </w:t>
      </w:r>
      <w:r>
        <w:rPr>
          <w:rFonts w:ascii="Calibri" w:hAnsi="Calibri"/>
          <w:sz w:val="22"/>
        </w:rPr>
        <w:t>cwsmer.</w:t>
      </w:r>
      <w:r>
        <w:rPr>
          <w:rFonts w:ascii="Calibri" w:hAnsi="Calibri"/>
          <w:spacing w:val="40"/>
          <w:sz w:val="22"/>
        </w:rPr>
        <w:t> </w:t>
      </w:r>
      <w:r>
        <w:rPr>
          <w:rFonts w:ascii="Calibri" w:hAnsi="Calibri"/>
          <w:sz w:val="22"/>
        </w:rPr>
        <w:t>Cyfeirir</w:t>
      </w:r>
      <w:r>
        <w:rPr>
          <w:rFonts w:ascii="Calibri" w:hAnsi="Calibri"/>
          <w:spacing w:val="-2"/>
          <w:sz w:val="22"/>
        </w:rPr>
        <w:t> </w:t>
      </w:r>
      <w:r>
        <w:rPr>
          <w:rFonts w:ascii="Calibri" w:hAnsi="Calibri"/>
          <w:sz w:val="22"/>
        </w:rPr>
        <w:t>staff</w:t>
      </w:r>
      <w:r>
        <w:rPr>
          <w:rFonts w:ascii="Calibri" w:hAnsi="Calibri"/>
          <w:spacing w:val="-3"/>
          <w:sz w:val="22"/>
        </w:rPr>
        <w:t> </w:t>
      </w:r>
      <w:r>
        <w:rPr>
          <w:rFonts w:ascii="Calibri" w:hAnsi="Calibri"/>
          <w:sz w:val="22"/>
        </w:rPr>
        <w:t>at</w:t>
      </w:r>
      <w:r>
        <w:rPr>
          <w:rFonts w:ascii="Calibri" w:hAnsi="Calibri"/>
          <w:spacing w:val="-3"/>
          <w:sz w:val="22"/>
        </w:rPr>
        <w:t> </w:t>
      </w:r>
      <w:r>
        <w:rPr>
          <w:rFonts w:ascii="Calibri" w:hAnsi="Calibri"/>
          <w:sz w:val="22"/>
        </w:rPr>
        <w:t>dudalen</w:t>
      </w:r>
      <w:r>
        <w:rPr>
          <w:rFonts w:ascii="Calibri" w:hAnsi="Calibri"/>
          <w:spacing w:val="-2"/>
          <w:sz w:val="22"/>
        </w:rPr>
        <w:t> </w:t>
      </w:r>
      <w:r>
        <w:rPr>
          <w:rFonts w:ascii="Calibri" w:hAnsi="Calibri"/>
          <w:sz w:val="22"/>
        </w:rPr>
        <w:t>cymorth</w:t>
      </w:r>
      <w:r>
        <w:rPr>
          <w:rFonts w:ascii="Calibri" w:hAnsi="Calibri"/>
          <w:spacing w:val="-2"/>
          <w:sz w:val="22"/>
        </w:rPr>
        <w:t> </w:t>
      </w:r>
      <w:r>
        <w:rPr>
          <w:rFonts w:ascii="Calibri" w:hAnsi="Calibri"/>
          <w:sz w:val="22"/>
        </w:rPr>
        <w:t>iaith</w:t>
      </w:r>
      <w:r>
        <w:rPr>
          <w:rFonts w:ascii="Calibri" w:hAnsi="Calibri"/>
          <w:spacing w:val="-2"/>
          <w:sz w:val="22"/>
        </w:rPr>
        <w:t> </w:t>
      </w:r>
      <w:r>
        <w:rPr>
          <w:rFonts w:ascii="Calibri" w:hAnsi="Calibri"/>
          <w:sz w:val="22"/>
        </w:rPr>
        <w:t>Gymraeg</w:t>
      </w:r>
      <w:r>
        <w:rPr>
          <w:rFonts w:ascii="Calibri" w:hAnsi="Calibri"/>
          <w:spacing w:val="-3"/>
          <w:sz w:val="22"/>
        </w:rPr>
        <w:t> </w:t>
      </w:r>
      <w:r>
        <w:rPr>
          <w:rFonts w:ascii="Calibri" w:hAnsi="Calibri"/>
          <w:sz w:val="22"/>
        </w:rPr>
        <w:t>y fewnrwyd i gael yr wybodaeth hon.</w:t>
      </w:r>
    </w:p>
    <w:p>
      <w:pPr>
        <w:spacing w:line="259" w:lineRule="auto" w:before="0"/>
        <w:ind w:left="1440" w:right="1405" w:firstLine="0"/>
        <w:jc w:val="left"/>
        <w:rPr>
          <w:rFonts w:ascii="Calibri" w:hAnsi="Calibri"/>
          <w:sz w:val="22"/>
        </w:rPr>
      </w:pPr>
      <w:r>
        <w:rPr>
          <w:rFonts w:ascii="Calibri" w:hAnsi="Calibri"/>
          <w:sz w:val="22"/>
        </w:rPr>
        <w:t>Ers</w:t>
      </w:r>
      <w:r>
        <w:rPr>
          <w:rFonts w:ascii="Calibri" w:hAnsi="Calibri"/>
          <w:spacing w:val="-3"/>
          <w:sz w:val="22"/>
        </w:rPr>
        <w:t> </w:t>
      </w:r>
      <w:r>
        <w:rPr>
          <w:rFonts w:ascii="Calibri" w:hAnsi="Calibri"/>
          <w:sz w:val="22"/>
        </w:rPr>
        <w:t>cyflwyno</w:t>
      </w:r>
      <w:r>
        <w:rPr>
          <w:rFonts w:ascii="Calibri" w:hAnsi="Calibri"/>
          <w:spacing w:val="-2"/>
          <w:sz w:val="22"/>
        </w:rPr>
        <w:t> </w:t>
      </w:r>
      <w:r>
        <w:rPr>
          <w:rFonts w:ascii="Calibri" w:hAnsi="Calibri"/>
          <w:sz w:val="22"/>
        </w:rPr>
        <w:t>Safonau’r</w:t>
      </w:r>
      <w:r>
        <w:rPr>
          <w:rFonts w:ascii="Calibri" w:hAnsi="Calibri"/>
          <w:spacing w:val="-3"/>
          <w:sz w:val="22"/>
        </w:rPr>
        <w:t> </w:t>
      </w:r>
      <w:r>
        <w:rPr>
          <w:rFonts w:ascii="Calibri" w:hAnsi="Calibri"/>
          <w:sz w:val="22"/>
        </w:rPr>
        <w:t>Gymraeg,</w:t>
      </w:r>
      <w:r>
        <w:rPr>
          <w:rFonts w:ascii="Calibri" w:hAnsi="Calibri"/>
          <w:spacing w:val="-3"/>
          <w:sz w:val="22"/>
        </w:rPr>
        <w:t> </w:t>
      </w:r>
      <w:r>
        <w:rPr>
          <w:rFonts w:ascii="Calibri" w:hAnsi="Calibri"/>
          <w:sz w:val="22"/>
        </w:rPr>
        <w:t>mae’r</w:t>
      </w:r>
      <w:r>
        <w:rPr>
          <w:rFonts w:ascii="Calibri" w:hAnsi="Calibri"/>
          <w:spacing w:val="-2"/>
          <w:sz w:val="22"/>
        </w:rPr>
        <w:t> </w:t>
      </w:r>
      <w:r>
        <w:rPr>
          <w:rFonts w:ascii="Calibri" w:hAnsi="Calibri"/>
          <w:sz w:val="22"/>
        </w:rPr>
        <w:t>galw</w:t>
      </w:r>
      <w:r>
        <w:rPr>
          <w:rFonts w:ascii="Calibri" w:hAnsi="Calibri"/>
          <w:spacing w:val="-2"/>
          <w:sz w:val="22"/>
        </w:rPr>
        <w:t> </w:t>
      </w:r>
      <w:r>
        <w:rPr>
          <w:rFonts w:ascii="Calibri" w:hAnsi="Calibri"/>
          <w:sz w:val="22"/>
        </w:rPr>
        <w:t>ar</w:t>
      </w:r>
      <w:r>
        <w:rPr>
          <w:rFonts w:ascii="Calibri" w:hAnsi="Calibri"/>
          <w:spacing w:val="-3"/>
          <w:sz w:val="22"/>
        </w:rPr>
        <w:t> </w:t>
      </w:r>
      <w:r>
        <w:rPr>
          <w:rFonts w:ascii="Calibri" w:hAnsi="Calibri"/>
          <w:sz w:val="22"/>
        </w:rPr>
        <w:t>ein</w:t>
      </w:r>
      <w:r>
        <w:rPr>
          <w:rFonts w:ascii="Calibri" w:hAnsi="Calibri"/>
          <w:spacing w:val="-3"/>
          <w:sz w:val="22"/>
        </w:rPr>
        <w:t> </w:t>
      </w:r>
      <w:r>
        <w:rPr>
          <w:rFonts w:ascii="Calibri" w:hAnsi="Calibri"/>
          <w:sz w:val="22"/>
        </w:rPr>
        <w:t>tîm</w:t>
      </w:r>
      <w:r>
        <w:rPr>
          <w:rFonts w:ascii="Calibri" w:hAnsi="Calibri"/>
          <w:spacing w:val="-2"/>
          <w:sz w:val="22"/>
        </w:rPr>
        <w:t> </w:t>
      </w:r>
      <w:r>
        <w:rPr>
          <w:rFonts w:ascii="Calibri" w:hAnsi="Calibri"/>
          <w:sz w:val="22"/>
        </w:rPr>
        <w:t>cyfieithu</w:t>
      </w:r>
      <w:r>
        <w:rPr>
          <w:rFonts w:ascii="Calibri" w:hAnsi="Calibri"/>
          <w:spacing w:val="-2"/>
          <w:sz w:val="22"/>
        </w:rPr>
        <w:t> </w:t>
      </w:r>
      <w:r>
        <w:rPr>
          <w:rFonts w:ascii="Calibri" w:hAnsi="Calibri"/>
          <w:sz w:val="22"/>
        </w:rPr>
        <w:t>wedi</w:t>
      </w:r>
      <w:r>
        <w:rPr>
          <w:rFonts w:ascii="Calibri" w:hAnsi="Calibri"/>
          <w:spacing w:val="-3"/>
          <w:sz w:val="22"/>
        </w:rPr>
        <w:t> </w:t>
      </w:r>
      <w:r>
        <w:rPr>
          <w:rFonts w:ascii="Calibri" w:hAnsi="Calibri"/>
          <w:sz w:val="22"/>
        </w:rPr>
        <w:t>parhau</w:t>
      </w:r>
      <w:r>
        <w:rPr>
          <w:rFonts w:ascii="Calibri" w:hAnsi="Calibri"/>
          <w:spacing w:val="-3"/>
          <w:sz w:val="22"/>
        </w:rPr>
        <w:t> </w:t>
      </w:r>
      <w:r>
        <w:rPr>
          <w:rFonts w:ascii="Calibri" w:hAnsi="Calibri"/>
          <w:sz w:val="22"/>
        </w:rPr>
        <w:t>i</w:t>
      </w:r>
      <w:r>
        <w:rPr>
          <w:rFonts w:ascii="Calibri" w:hAnsi="Calibri"/>
          <w:spacing w:val="-3"/>
          <w:sz w:val="22"/>
        </w:rPr>
        <w:t> </w:t>
      </w:r>
      <w:r>
        <w:rPr>
          <w:rFonts w:ascii="Calibri" w:hAnsi="Calibri"/>
          <w:sz w:val="22"/>
        </w:rPr>
        <w:t>gynyddu,</w:t>
      </w:r>
      <w:r>
        <w:rPr>
          <w:rFonts w:ascii="Calibri" w:hAnsi="Calibri"/>
          <w:spacing w:val="-3"/>
          <w:sz w:val="22"/>
        </w:rPr>
        <w:t> </w:t>
      </w:r>
      <w:r>
        <w:rPr>
          <w:rFonts w:ascii="Calibri" w:hAnsi="Calibri"/>
          <w:sz w:val="22"/>
        </w:rPr>
        <w:t>ac</w:t>
      </w:r>
      <w:r>
        <w:rPr>
          <w:rFonts w:ascii="Calibri" w:hAnsi="Calibri"/>
          <w:spacing w:val="-3"/>
          <w:sz w:val="22"/>
        </w:rPr>
        <w:t> </w:t>
      </w:r>
      <w:r>
        <w:rPr>
          <w:rFonts w:ascii="Calibri" w:hAnsi="Calibri"/>
          <w:sz w:val="22"/>
        </w:rPr>
        <w:t>ni</w:t>
      </w:r>
      <w:r>
        <w:rPr>
          <w:rFonts w:ascii="Calibri" w:hAnsi="Calibri"/>
          <w:spacing w:val="-2"/>
          <w:sz w:val="22"/>
        </w:rPr>
        <w:t> </w:t>
      </w:r>
      <w:r>
        <w:rPr>
          <w:rFonts w:ascii="Calibri" w:hAnsi="Calibri"/>
          <w:sz w:val="22"/>
        </w:rPr>
        <w:t>fu 2020/21 yn eithriad.</w:t>
      </w:r>
    </w:p>
    <w:p>
      <w:pPr>
        <w:pStyle w:val="BodyText"/>
        <w:spacing w:before="7"/>
        <w:rPr>
          <w:rFonts w:ascii="Calibri"/>
          <w:sz w:val="23"/>
        </w:rPr>
      </w:pPr>
    </w:p>
    <w:p>
      <w:pPr>
        <w:spacing w:line="259" w:lineRule="auto" w:before="0"/>
        <w:ind w:left="1440" w:right="1471" w:firstLine="0"/>
        <w:jc w:val="left"/>
        <w:rPr>
          <w:rFonts w:ascii="Calibri" w:hAnsi="Calibri"/>
          <w:sz w:val="22"/>
        </w:rPr>
      </w:pPr>
      <w:r>
        <w:rPr>
          <w:rFonts w:ascii="Calibri" w:hAnsi="Calibri"/>
          <w:sz w:val="22"/>
        </w:rPr>
        <w:t>Mae’r galw am ein gwasanaethau cyfieithu yn cynyddu i lefelau digynsail, ac wedi bod yn fwy nag erioed. Mae hyn wedi sicrhau bod cyfathrebiadau sy’n gysylltiedig yn uniongyrchol â’r pandemig wedi bod ar gael gan Bartneriaeth Cydwasanaethau GIG Cymru.</w:t>
      </w:r>
      <w:r>
        <w:rPr>
          <w:rFonts w:ascii="Calibri" w:hAnsi="Calibri"/>
          <w:spacing w:val="40"/>
          <w:sz w:val="22"/>
        </w:rPr>
        <w:t> </w:t>
      </w:r>
      <w:r>
        <w:rPr>
          <w:rFonts w:ascii="Calibri" w:hAnsi="Calibri"/>
          <w:sz w:val="22"/>
        </w:rPr>
        <w:t>Rydym hefyd wedi bod yn cefnogi sefydliadau</w:t>
      </w:r>
      <w:r>
        <w:rPr>
          <w:rFonts w:ascii="Calibri" w:hAnsi="Calibri"/>
          <w:spacing w:val="-2"/>
          <w:sz w:val="22"/>
        </w:rPr>
        <w:t> </w:t>
      </w:r>
      <w:r>
        <w:rPr>
          <w:rFonts w:ascii="Calibri" w:hAnsi="Calibri"/>
          <w:sz w:val="22"/>
        </w:rPr>
        <w:t>eraill</w:t>
      </w:r>
      <w:r>
        <w:rPr>
          <w:rFonts w:ascii="Calibri" w:hAnsi="Calibri"/>
          <w:spacing w:val="-3"/>
          <w:sz w:val="22"/>
        </w:rPr>
        <w:t> </w:t>
      </w:r>
      <w:r>
        <w:rPr>
          <w:rFonts w:ascii="Calibri" w:hAnsi="Calibri"/>
          <w:sz w:val="22"/>
        </w:rPr>
        <w:t>y</w:t>
      </w:r>
      <w:r>
        <w:rPr>
          <w:rFonts w:ascii="Calibri" w:hAnsi="Calibri"/>
          <w:spacing w:val="-2"/>
          <w:sz w:val="22"/>
        </w:rPr>
        <w:t> </w:t>
      </w:r>
      <w:r>
        <w:rPr>
          <w:rFonts w:ascii="Calibri" w:hAnsi="Calibri"/>
          <w:sz w:val="22"/>
        </w:rPr>
        <w:t>GIG</w:t>
      </w:r>
      <w:r>
        <w:rPr>
          <w:rFonts w:ascii="Calibri" w:hAnsi="Calibri"/>
          <w:spacing w:val="-2"/>
          <w:sz w:val="22"/>
        </w:rPr>
        <w:t> </w:t>
      </w:r>
      <w:r>
        <w:rPr>
          <w:rFonts w:ascii="Calibri" w:hAnsi="Calibri"/>
          <w:sz w:val="22"/>
        </w:rPr>
        <w:t>i</w:t>
      </w:r>
      <w:r>
        <w:rPr>
          <w:rFonts w:ascii="Calibri" w:hAnsi="Calibri"/>
          <w:spacing w:val="-3"/>
          <w:sz w:val="22"/>
        </w:rPr>
        <w:t> </w:t>
      </w:r>
      <w:r>
        <w:rPr>
          <w:rFonts w:ascii="Calibri" w:hAnsi="Calibri"/>
          <w:sz w:val="22"/>
        </w:rPr>
        <w:t>gyfathrebu’n</w:t>
      </w:r>
      <w:r>
        <w:rPr>
          <w:rFonts w:ascii="Calibri" w:hAnsi="Calibri"/>
          <w:spacing w:val="-2"/>
          <w:sz w:val="22"/>
        </w:rPr>
        <w:t> </w:t>
      </w:r>
      <w:r>
        <w:rPr>
          <w:rFonts w:ascii="Calibri" w:hAnsi="Calibri"/>
          <w:sz w:val="22"/>
        </w:rPr>
        <w:t>effeithiol</w:t>
      </w:r>
      <w:r>
        <w:rPr>
          <w:rFonts w:ascii="Calibri" w:hAnsi="Calibri"/>
          <w:spacing w:val="-2"/>
          <w:sz w:val="22"/>
        </w:rPr>
        <w:t> </w:t>
      </w:r>
      <w:r>
        <w:rPr>
          <w:rFonts w:ascii="Calibri" w:hAnsi="Calibri"/>
          <w:sz w:val="22"/>
        </w:rPr>
        <w:t>â’r</w:t>
      </w:r>
      <w:r>
        <w:rPr>
          <w:rFonts w:ascii="Calibri" w:hAnsi="Calibri"/>
          <w:spacing w:val="-3"/>
          <w:sz w:val="22"/>
        </w:rPr>
        <w:t> </w:t>
      </w:r>
      <w:r>
        <w:rPr>
          <w:rFonts w:ascii="Calibri" w:hAnsi="Calibri"/>
          <w:sz w:val="22"/>
        </w:rPr>
        <w:t>cyhoedd</w:t>
      </w:r>
      <w:r>
        <w:rPr>
          <w:rFonts w:ascii="Calibri" w:hAnsi="Calibri"/>
          <w:spacing w:val="-2"/>
          <w:sz w:val="22"/>
        </w:rPr>
        <w:t> </w:t>
      </w:r>
      <w:r>
        <w:rPr>
          <w:rFonts w:ascii="Calibri" w:hAnsi="Calibri"/>
          <w:sz w:val="22"/>
        </w:rPr>
        <w:t>a</w:t>
      </w:r>
      <w:r>
        <w:rPr>
          <w:rFonts w:ascii="Calibri" w:hAnsi="Calibri"/>
          <w:spacing w:val="-3"/>
          <w:sz w:val="22"/>
        </w:rPr>
        <w:t> </w:t>
      </w:r>
      <w:r>
        <w:rPr>
          <w:rFonts w:ascii="Calibri" w:hAnsi="Calibri"/>
          <w:sz w:val="22"/>
        </w:rPr>
        <w:t>chleifion</w:t>
      </w:r>
      <w:r>
        <w:rPr>
          <w:rFonts w:ascii="Calibri" w:hAnsi="Calibri"/>
          <w:spacing w:val="-3"/>
          <w:sz w:val="22"/>
        </w:rPr>
        <w:t> </w:t>
      </w:r>
      <w:r>
        <w:rPr>
          <w:rFonts w:ascii="Calibri" w:hAnsi="Calibri"/>
          <w:sz w:val="22"/>
        </w:rPr>
        <w:t>yn</w:t>
      </w:r>
      <w:r>
        <w:rPr>
          <w:rFonts w:ascii="Calibri" w:hAnsi="Calibri"/>
          <w:spacing w:val="-2"/>
          <w:sz w:val="22"/>
        </w:rPr>
        <w:t> </w:t>
      </w:r>
      <w:r>
        <w:rPr>
          <w:rFonts w:ascii="Calibri" w:hAnsi="Calibri"/>
          <w:sz w:val="22"/>
        </w:rPr>
        <w:t>uniongyrchol</w:t>
      </w:r>
      <w:r>
        <w:rPr>
          <w:rFonts w:ascii="Calibri" w:hAnsi="Calibri"/>
          <w:spacing w:val="-2"/>
          <w:sz w:val="22"/>
        </w:rPr>
        <w:t> </w:t>
      </w:r>
      <w:r>
        <w:rPr>
          <w:rFonts w:ascii="Calibri" w:hAnsi="Calibri"/>
          <w:sz w:val="22"/>
        </w:rPr>
        <w:t>am</w:t>
      </w:r>
      <w:r>
        <w:rPr>
          <w:rFonts w:ascii="Calibri" w:hAnsi="Calibri"/>
          <w:spacing w:val="-3"/>
          <w:sz w:val="22"/>
        </w:rPr>
        <w:t> </w:t>
      </w:r>
      <w:r>
        <w:rPr>
          <w:rFonts w:ascii="Calibri" w:hAnsi="Calibri"/>
          <w:sz w:val="22"/>
        </w:rPr>
        <w:t>Covid-19 drwy gyfrwng y Gymraeg.</w:t>
      </w:r>
    </w:p>
    <w:p>
      <w:pPr>
        <w:spacing w:after="0" w:line="259" w:lineRule="auto"/>
        <w:jc w:val="left"/>
        <w:rPr>
          <w:rFonts w:ascii="Calibri" w:hAnsi="Calibri"/>
          <w:sz w:val="22"/>
        </w:rPr>
        <w:sectPr>
          <w:pgSz w:w="11910" w:h="16840"/>
          <w:pgMar w:header="0" w:footer="173" w:top="1920" w:bottom="360" w:left="0" w:right="0"/>
        </w:sectPr>
      </w:pPr>
    </w:p>
    <w:p>
      <w:pPr>
        <w:pStyle w:val="Heading7"/>
        <w:spacing w:before="31"/>
      </w:pPr>
      <w:r>
        <w:rPr/>
        <w:t>Cwynion/Pryderon</w:t>
      </w:r>
      <w:r>
        <w:rPr>
          <w:spacing w:val="-8"/>
        </w:rPr>
        <w:t> </w:t>
      </w:r>
      <w:r>
        <w:rPr/>
        <w:t>a</w:t>
      </w:r>
      <w:r>
        <w:rPr>
          <w:spacing w:val="-5"/>
        </w:rPr>
        <w:t> </w:t>
      </w:r>
      <w:r>
        <w:rPr/>
        <w:t>dderbyniwyd</w:t>
      </w:r>
      <w:r>
        <w:rPr>
          <w:spacing w:val="-5"/>
        </w:rPr>
        <w:t> </w:t>
      </w:r>
      <w:r>
        <w:rPr/>
        <w:t>ynghylch</w:t>
      </w:r>
      <w:r>
        <w:rPr>
          <w:spacing w:val="-5"/>
        </w:rPr>
        <w:t> </w:t>
      </w:r>
      <w:r>
        <w:rPr>
          <w:spacing w:val="-2"/>
        </w:rPr>
        <w:t>gwasanaethau:</w:t>
      </w:r>
    </w:p>
    <w:p>
      <w:pPr>
        <w:spacing w:line="259" w:lineRule="auto" w:before="27"/>
        <w:ind w:left="1440" w:right="1405" w:firstLine="0"/>
        <w:jc w:val="left"/>
        <w:rPr>
          <w:rFonts w:ascii="Calibri"/>
          <w:sz w:val="22"/>
        </w:rPr>
      </w:pPr>
      <w:r>
        <w:rPr>
          <w:rFonts w:ascii="Calibri"/>
          <w:sz w:val="22"/>
        </w:rPr>
        <w:t>Derbyniwyd</w:t>
      </w:r>
      <w:r>
        <w:rPr>
          <w:rFonts w:ascii="Calibri"/>
          <w:spacing w:val="-4"/>
          <w:sz w:val="22"/>
        </w:rPr>
        <w:t> </w:t>
      </w:r>
      <w:r>
        <w:rPr>
          <w:rFonts w:ascii="Calibri"/>
          <w:sz w:val="22"/>
        </w:rPr>
        <w:t>cwyn</w:t>
      </w:r>
      <w:r>
        <w:rPr>
          <w:rFonts w:ascii="Calibri"/>
          <w:spacing w:val="-3"/>
          <w:sz w:val="22"/>
        </w:rPr>
        <w:t> </w:t>
      </w:r>
      <w:r>
        <w:rPr>
          <w:rFonts w:ascii="Calibri"/>
          <w:sz w:val="22"/>
        </w:rPr>
        <w:t>drwy</w:t>
      </w:r>
      <w:r>
        <w:rPr>
          <w:rFonts w:ascii="Calibri"/>
          <w:spacing w:val="-4"/>
          <w:sz w:val="22"/>
        </w:rPr>
        <w:t> </w:t>
      </w:r>
      <w:r>
        <w:rPr>
          <w:rFonts w:ascii="Calibri"/>
          <w:sz w:val="22"/>
        </w:rPr>
        <w:t>swyddfa</w:t>
      </w:r>
      <w:r>
        <w:rPr>
          <w:rFonts w:ascii="Calibri"/>
          <w:spacing w:val="-4"/>
          <w:sz w:val="22"/>
        </w:rPr>
        <w:t> </w:t>
      </w:r>
      <w:r>
        <w:rPr>
          <w:rFonts w:ascii="Calibri"/>
          <w:sz w:val="22"/>
        </w:rPr>
        <w:t>Comisiynydd</w:t>
      </w:r>
      <w:r>
        <w:rPr>
          <w:rFonts w:ascii="Calibri"/>
          <w:spacing w:val="-3"/>
          <w:sz w:val="22"/>
        </w:rPr>
        <w:t> </w:t>
      </w:r>
      <w:r>
        <w:rPr>
          <w:rFonts w:ascii="Calibri"/>
          <w:sz w:val="22"/>
        </w:rPr>
        <w:t>y</w:t>
      </w:r>
      <w:r>
        <w:rPr>
          <w:rFonts w:ascii="Calibri"/>
          <w:spacing w:val="-3"/>
          <w:sz w:val="22"/>
        </w:rPr>
        <w:t> </w:t>
      </w:r>
      <w:r>
        <w:rPr>
          <w:rFonts w:ascii="Calibri"/>
          <w:sz w:val="22"/>
        </w:rPr>
        <w:t>Gymraeg</w:t>
      </w:r>
      <w:r>
        <w:rPr>
          <w:rFonts w:ascii="Calibri"/>
          <w:spacing w:val="-4"/>
          <w:sz w:val="22"/>
        </w:rPr>
        <w:t> </w:t>
      </w:r>
      <w:r>
        <w:rPr>
          <w:rFonts w:ascii="Calibri"/>
          <w:sz w:val="22"/>
        </w:rPr>
        <w:t>ym</w:t>
      </w:r>
      <w:r>
        <w:rPr>
          <w:rFonts w:ascii="Calibri"/>
          <w:spacing w:val="-3"/>
          <w:sz w:val="22"/>
        </w:rPr>
        <w:t> </w:t>
      </w:r>
      <w:r>
        <w:rPr>
          <w:rFonts w:ascii="Calibri"/>
          <w:sz w:val="22"/>
        </w:rPr>
        <w:t>mis</w:t>
      </w:r>
      <w:r>
        <w:rPr>
          <w:rFonts w:ascii="Calibri"/>
          <w:spacing w:val="-3"/>
          <w:sz w:val="22"/>
        </w:rPr>
        <w:t> </w:t>
      </w:r>
      <w:r>
        <w:rPr>
          <w:rFonts w:ascii="Calibri"/>
          <w:sz w:val="22"/>
        </w:rPr>
        <w:t>Ebrill</w:t>
      </w:r>
      <w:r>
        <w:rPr>
          <w:rFonts w:ascii="Calibri"/>
          <w:spacing w:val="-4"/>
          <w:sz w:val="22"/>
        </w:rPr>
        <w:t> </w:t>
      </w:r>
      <w:r>
        <w:rPr>
          <w:rFonts w:ascii="Calibri"/>
          <w:sz w:val="22"/>
        </w:rPr>
        <w:t>2021,</w:t>
      </w:r>
      <w:r>
        <w:rPr>
          <w:rFonts w:ascii="Calibri"/>
          <w:spacing w:val="-4"/>
          <w:sz w:val="22"/>
        </w:rPr>
        <w:t> </w:t>
      </w:r>
      <w:r>
        <w:rPr>
          <w:rFonts w:ascii="Calibri"/>
          <w:sz w:val="22"/>
        </w:rPr>
        <w:t>am</w:t>
      </w:r>
      <w:r>
        <w:rPr>
          <w:rFonts w:ascii="Calibri"/>
          <w:spacing w:val="-4"/>
          <w:sz w:val="22"/>
        </w:rPr>
        <w:t> </w:t>
      </w:r>
      <w:r>
        <w:rPr>
          <w:rFonts w:ascii="Calibri"/>
          <w:sz w:val="22"/>
        </w:rPr>
        <w:t>y</w:t>
      </w:r>
      <w:r>
        <w:rPr>
          <w:rFonts w:ascii="Calibri"/>
          <w:spacing w:val="-3"/>
          <w:sz w:val="22"/>
        </w:rPr>
        <w:t> </w:t>
      </w:r>
      <w:r>
        <w:rPr>
          <w:rFonts w:ascii="Calibri"/>
          <w:sz w:val="22"/>
        </w:rPr>
        <w:t>diffyg gwasanaethau Cymraeg yn is-adran y gyflogres.</w:t>
      </w:r>
    </w:p>
    <w:p>
      <w:pPr>
        <w:spacing w:line="259" w:lineRule="auto" w:before="0"/>
        <w:ind w:left="1440" w:right="1547" w:firstLine="0"/>
        <w:jc w:val="left"/>
        <w:rPr>
          <w:rFonts w:ascii="Calibri"/>
          <w:sz w:val="22"/>
        </w:rPr>
      </w:pPr>
      <w:r>
        <w:rPr>
          <w:rFonts w:ascii="Calibri"/>
          <w:sz w:val="22"/>
        </w:rPr>
        <w:t>Yn dilyn ymchwiliad mewnol, sicrhawyd bod yr holl staff yn ymwybodol bod protocol yn ei le i ymateb</w:t>
      </w:r>
      <w:r>
        <w:rPr>
          <w:rFonts w:ascii="Calibri"/>
          <w:spacing w:val="-3"/>
          <w:sz w:val="22"/>
        </w:rPr>
        <w:t> </w:t>
      </w:r>
      <w:r>
        <w:rPr>
          <w:rFonts w:ascii="Calibri"/>
          <w:sz w:val="22"/>
        </w:rPr>
        <w:t>i</w:t>
      </w:r>
      <w:r>
        <w:rPr>
          <w:rFonts w:ascii="Calibri"/>
          <w:spacing w:val="-2"/>
          <w:sz w:val="22"/>
        </w:rPr>
        <w:t> </w:t>
      </w:r>
      <w:r>
        <w:rPr>
          <w:rFonts w:ascii="Calibri"/>
          <w:sz w:val="22"/>
        </w:rPr>
        <w:t>ymholiadau</w:t>
      </w:r>
      <w:r>
        <w:rPr>
          <w:rFonts w:ascii="Calibri"/>
          <w:spacing w:val="-3"/>
          <w:sz w:val="22"/>
        </w:rPr>
        <w:t> </w:t>
      </w:r>
      <w:r>
        <w:rPr>
          <w:rFonts w:ascii="Calibri"/>
          <w:sz w:val="22"/>
        </w:rPr>
        <w:t>a</w:t>
      </w:r>
      <w:r>
        <w:rPr>
          <w:rFonts w:ascii="Calibri"/>
          <w:spacing w:val="-3"/>
          <w:sz w:val="22"/>
        </w:rPr>
        <w:t> </w:t>
      </w:r>
      <w:r>
        <w:rPr>
          <w:rFonts w:ascii="Calibri"/>
          <w:sz w:val="22"/>
        </w:rPr>
        <w:t>dderbynnir</w:t>
      </w:r>
      <w:r>
        <w:rPr>
          <w:rFonts w:ascii="Calibri"/>
          <w:spacing w:val="-3"/>
          <w:sz w:val="22"/>
        </w:rPr>
        <w:t> </w:t>
      </w:r>
      <w:r>
        <w:rPr>
          <w:rFonts w:ascii="Calibri"/>
          <w:sz w:val="22"/>
        </w:rPr>
        <w:t>trwy</w:t>
      </w:r>
      <w:r>
        <w:rPr>
          <w:rFonts w:ascii="Calibri"/>
          <w:spacing w:val="-3"/>
          <w:sz w:val="22"/>
        </w:rPr>
        <w:t> </w:t>
      </w:r>
      <w:r>
        <w:rPr>
          <w:rFonts w:ascii="Calibri"/>
          <w:sz w:val="22"/>
        </w:rPr>
        <w:t>gyfrwng</w:t>
      </w:r>
      <w:r>
        <w:rPr>
          <w:rFonts w:ascii="Calibri"/>
          <w:spacing w:val="-2"/>
          <w:sz w:val="22"/>
        </w:rPr>
        <w:t> </w:t>
      </w:r>
      <w:r>
        <w:rPr>
          <w:rFonts w:ascii="Calibri"/>
          <w:sz w:val="22"/>
        </w:rPr>
        <w:t>y</w:t>
      </w:r>
      <w:r>
        <w:rPr>
          <w:rFonts w:ascii="Calibri"/>
          <w:spacing w:val="-3"/>
          <w:sz w:val="22"/>
        </w:rPr>
        <w:t> </w:t>
      </w:r>
      <w:r>
        <w:rPr>
          <w:rFonts w:ascii="Calibri"/>
          <w:sz w:val="22"/>
        </w:rPr>
        <w:t>Gymraeg</w:t>
      </w:r>
      <w:r>
        <w:rPr>
          <w:rFonts w:ascii="Calibri"/>
          <w:spacing w:val="-3"/>
          <w:sz w:val="22"/>
        </w:rPr>
        <w:t> </w:t>
      </w:r>
      <w:r>
        <w:rPr>
          <w:rFonts w:ascii="Calibri"/>
          <w:sz w:val="22"/>
        </w:rPr>
        <w:t>a</w:t>
      </w:r>
      <w:r>
        <w:rPr>
          <w:rFonts w:ascii="Calibri"/>
          <w:spacing w:val="-3"/>
          <w:sz w:val="22"/>
        </w:rPr>
        <w:t> </w:t>
      </w:r>
      <w:r>
        <w:rPr>
          <w:rFonts w:ascii="Calibri"/>
          <w:sz w:val="22"/>
        </w:rPr>
        <w:t>bod</w:t>
      </w:r>
      <w:r>
        <w:rPr>
          <w:rFonts w:ascii="Calibri"/>
          <w:spacing w:val="-2"/>
          <w:sz w:val="22"/>
        </w:rPr>
        <w:t> </w:t>
      </w:r>
      <w:r>
        <w:rPr>
          <w:rFonts w:ascii="Calibri"/>
          <w:sz w:val="22"/>
        </w:rPr>
        <w:t>yn</w:t>
      </w:r>
      <w:r>
        <w:rPr>
          <w:rFonts w:ascii="Calibri"/>
          <w:spacing w:val="-2"/>
          <w:sz w:val="22"/>
        </w:rPr>
        <w:t> </w:t>
      </w:r>
      <w:r>
        <w:rPr>
          <w:rFonts w:ascii="Calibri"/>
          <w:sz w:val="22"/>
        </w:rPr>
        <w:t>rhaid</w:t>
      </w:r>
      <w:r>
        <w:rPr>
          <w:rFonts w:ascii="Calibri"/>
          <w:spacing w:val="-2"/>
          <w:sz w:val="22"/>
        </w:rPr>
        <w:t> </w:t>
      </w:r>
      <w:r>
        <w:rPr>
          <w:rFonts w:ascii="Calibri"/>
          <w:sz w:val="22"/>
        </w:rPr>
        <w:t>i</w:t>
      </w:r>
      <w:r>
        <w:rPr>
          <w:rFonts w:ascii="Calibri"/>
          <w:spacing w:val="-3"/>
          <w:sz w:val="22"/>
        </w:rPr>
        <w:t> </w:t>
      </w:r>
      <w:r>
        <w:rPr>
          <w:rFonts w:ascii="Calibri"/>
          <w:sz w:val="22"/>
        </w:rPr>
        <w:t>bob</w:t>
      </w:r>
      <w:r>
        <w:rPr>
          <w:rFonts w:ascii="Calibri"/>
          <w:spacing w:val="-2"/>
          <w:sz w:val="22"/>
        </w:rPr>
        <w:t> </w:t>
      </w:r>
      <w:r>
        <w:rPr>
          <w:rFonts w:ascii="Calibri"/>
          <w:sz w:val="22"/>
        </w:rPr>
        <w:t>aelod</w:t>
      </w:r>
      <w:r>
        <w:rPr>
          <w:rFonts w:ascii="Calibri"/>
          <w:spacing w:val="-2"/>
          <w:sz w:val="22"/>
        </w:rPr>
        <w:t> </w:t>
      </w:r>
      <w:r>
        <w:rPr>
          <w:rFonts w:ascii="Calibri"/>
          <w:sz w:val="22"/>
        </w:rPr>
        <w:t>o</w:t>
      </w:r>
      <w:r>
        <w:rPr>
          <w:rFonts w:ascii="Calibri"/>
          <w:spacing w:val="-3"/>
          <w:sz w:val="22"/>
        </w:rPr>
        <w:t> </w:t>
      </w:r>
      <w:r>
        <w:rPr>
          <w:rFonts w:ascii="Calibri"/>
          <w:sz w:val="22"/>
        </w:rPr>
        <w:t>staff</w:t>
      </w:r>
      <w:r>
        <w:rPr>
          <w:rFonts w:ascii="Calibri"/>
          <w:spacing w:val="-2"/>
          <w:sz w:val="22"/>
        </w:rPr>
        <w:t> </w:t>
      </w:r>
      <w:r>
        <w:rPr>
          <w:rFonts w:ascii="Calibri"/>
          <w:sz w:val="22"/>
        </w:rPr>
        <w:t>ddilyn y protocol hwnnw.</w:t>
      </w:r>
    </w:p>
    <w:p>
      <w:pPr>
        <w:pStyle w:val="BodyText"/>
        <w:spacing w:before="7"/>
        <w:rPr>
          <w:rFonts w:ascii="Calibri"/>
          <w:sz w:val="23"/>
        </w:rPr>
      </w:pPr>
    </w:p>
    <w:p>
      <w:pPr>
        <w:spacing w:line="259" w:lineRule="auto" w:before="1"/>
        <w:ind w:left="1440" w:right="1667" w:firstLine="0"/>
        <w:jc w:val="left"/>
        <w:rPr>
          <w:rFonts w:ascii="Calibri"/>
          <w:sz w:val="22"/>
        </w:rPr>
      </w:pPr>
      <w:r>
        <w:rPr>
          <w:rFonts w:ascii="Calibri"/>
          <w:sz w:val="22"/>
        </w:rPr>
        <w:t>Rhoddwyd</w:t>
      </w:r>
      <w:r>
        <w:rPr>
          <w:rFonts w:ascii="Calibri"/>
          <w:spacing w:val="-4"/>
          <w:sz w:val="22"/>
        </w:rPr>
        <w:t> </w:t>
      </w:r>
      <w:r>
        <w:rPr>
          <w:rFonts w:ascii="Calibri"/>
          <w:sz w:val="22"/>
        </w:rPr>
        <w:t>hyfforddiant</w:t>
      </w:r>
      <w:r>
        <w:rPr>
          <w:rFonts w:ascii="Calibri"/>
          <w:spacing w:val="-4"/>
          <w:sz w:val="22"/>
        </w:rPr>
        <w:t> </w:t>
      </w:r>
      <w:r>
        <w:rPr>
          <w:rFonts w:ascii="Calibri"/>
          <w:sz w:val="22"/>
        </w:rPr>
        <w:t>ychwanegol</w:t>
      </w:r>
      <w:r>
        <w:rPr>
          <w:rFonts w:ascii="Calibri"/>
          <w:spacing w:val="-3"/>
          <w:sz w:val="22"/>
        </w:rPr>
        <w:t> </w:t>
      </w:r>
      <w:r>
        <w:rPr>
          <w:rFonts w:ascii="Calibri"/>
          <w:sz w:val="22"/>
        </w:rPr>
        <w:t>i</w:t>
      </w:r>
      <w:r>
        <w:rPr>
          <w:rFonts w:ascii="Calibri"/>
          <w:spacing w:val="-4"/>
          <w:sz w:val="22"/>
        </w:rPr>
        <w:t> </w:t>
      </w:r>
      <w:r>
        <w:rPr>
          <w:rFonts w:ascii="Calibri"/>
          <w:sz w:val="22"/>
        </w:rPr>
        <w:t>holl</w:t>
      </w:r>
      <w:r>
        <w:rPr>
          <w:rFonts w:ascii="Calibri"/>
          <w:spacing w:val="-4"/>
          <w:sz w:val="22"/>
        </w:rPr>
        <w:t> </w:t>
      </w:r>
      <w:r>
        <w:rPr>
          <w:rFonts w:ascii="Calibri"/>
          <w:sz w:val="22"/>
        </w:rPr>
        <w:t>staff</w:t>
      </w:r>
      <w:r>
        <w:rPr>
          <w:rFonts w:ascii="Calibri"/>
          <w:spacing w:val="-3"/>
          <w:sz w:val="22"/>
        </w:rPr>
        <w:t> </w:t>
      </w:r>
      <w:r>
        <w:rPr>
          <w:rFonts w:ascii="Calibri"/>
          <w:sz w:val="22"/>
        </w:rPr>
        <w:t>y</w:t>
      </w:r>
      <w:r>
        <w:rPr>
          <w:rFonts w:ascii="Calibri"/>
          <w:spacing w:val="-4"/>
          <w:sz w:val="22"/>
        </w:rPr>
        <w:t> </w:t>
      </w:r>
      <w:r>
        <w:rPr>
          <w:rFonts w:ascii="Calibri"/>
          <w:sz w:val="22"/>
        </w:rPr>
        <w:t>Gyflogres</w:t>
      </w:r>
      <w:r>
        <w:rPr>
          <w:rFonts w:ascii="Calibri"/>
          <w:spacing w:val="-3"/>
          <w:sz w:val="22"/>
        </w:rPr>
        <w:t> </w:t>
      </w:r>
      <w:r>
        <w:rPr>
          <w:rFonts w:ascii="Calibri"/>
          <w:sz w:val="22"/>
        </w:rPr>
        <w:t>ar</w:t>
      </w:r>
      <w:r>
        <w:rPr>
          <w:rFonts w:ascii="Calibri"/>
          <w:spacing w:val="-4"/>
          <w:sz w:val="22"/>
        </w:rPr>
        <w:t> </w:t>
      </w:r>
      <w:r>
        <w:rPr>
          <w:rFonts w:ascii="Calibri"/>
          <w:sz w:val="22"/>
        </w:rPr>
        <w:t>draws</w:t>
      </w:r>
      <w:r>
        <w:rPr>
          <w:rFonts w:ascii="Calibri"/>
          <w:spacing w:val="-4"/>
          <w:sz w:val="22"/>
        </w:rPr>
        <w:t> </w:t>
      </w:r>
      <w:r>
        <w:rPr>
          <w:rFonts w:ascii="Calibri"/>
          <w:sz w:val="22"/>
        </w:rPr>
        <w:t>ein</w:t>
      </w:r>
      <w:r>
        <w:rPr>
          <w:rFonts w:ascii="Calibri"/>
          <w:spacing w:val="-4"/>
          <w:sz w:val="22"/>
        </w:rPr>
        <w:t> </w:t>
      </w:r>
      <w:r>
        <w:rPr>
          <w:rFonts w:ascii="Calibri"/>
          <w:sz w:val="22"/>
        </w:rPr>
        <w:t>swyddfeydd</w:t>
      </w:r>
      <w:r>
        <w:rPr>
          <w:rFonts w:ascii="Calibri"/>
          <w:spacing w:val="-4"/>
          <w:sz w:val="22"/>
        </w:rPr>
        <w:t> </w:t>
      </w:r>
      <w:r>
        <w:rPr>
          <w:rFonts w:ascii="Calibri"/>
          <w:sz w:val="22"/>
        </w:rPr>
        <w:t>yng</w:t>
      </w:r>
      <w:r>
        <w:rPr>
          <w:rFonts w:ascii="Calibri"/>
          <w:spacing w:val="-3"/>
          <w:sz w:val="22"/>
        </w:rPr>
        <w:t> </w:t>
      </w:r>
      <w:r>
        <w:rPr>
          <w:rFonts w:ascii="Calibri"/>
          <w:sz w:val="22"/>
        </w:rPr>
        <w:t>ngogledd, de-ddwyrain a de-orllewin Cymru.</w:t>
      </w:r>
    </w:p>
    <w:p>
      <w:pPr>
        <w:pStyle w:val="BodyText"/>
        <w:spacing w:before="8"/>
        <w:rPr>
          <w:rFonts w:ascii="Calibri"/>
          <w:sz w:val="23"/>
        </w:rPr>
      </w:pPr>
    </w:p>
    <w:p>
      <w:pPr>
        <w:spacing w:before="0"/>
        <w:ind w:left="1440" w:right="0" w:firstLine="0"/>
        <w:jc w:val="left"/>
        <w:rPr>
          <w:rFonts w:ascii="Calibri" w:hAnsi="Calibri"/>
          <w:sz w:val="22"/>
        </w:rPr>
      </w:pPr>
      <w:r>
        <w:rPr>
          <w:rFonts w:ascii="Calibri" w:hAnsi="Calibri"/>
          <w:sz w:val="22"/>
        </w:rPr>
        <w:t>Gwnaethom</w:t>
      </w:r>
      <w:r>
        <w:rPr>
          <w:rFonts w:ascii="Calibri" w:hAnsi="Calibri"/>
          <w:spacing w:val="-4"/>
          <w:sz w:val="22"/>
        </w:rPr>
        <w:t> </w:t>
      </w:r>
      <w:r>
        <w:rPr>
          <w:rFonts w:ascii="Calibri" w:hAnsi="Calibri"/>
          <w:sz w:val="22"/>
        </w:rPr>
        <w:t>hysbysu</w:t>
      </w:r>
      <w:r>
        <w:rPr>
          <w:rFonts w:ascii="Calibri" w:hAnsi="Calibri"/>
          <w:spacing w:val="-3"/>
          <w:sz w:val="22"/>
        </w:rPr>
        <w:t> </w:t>
      </w:r>
      <w:r>
        <w:rPr>
          <w:rFonts w:ascii="Calibri" w:hAnsi="Calibri"/>
          <w:sz w:val="22"/>
        </w:rPr>
        <w:t>Swyddfa'r</w:t>
      </w:r>
      <w:r>
        <w:rPr>
          <w:rFonts w:ascii="Calibri" w:hAnsi="Calibri"/>
          <w:spacing w:val="-3"/>
          <w:sz w:val="22"/>
        </w:rPr>
        <w:t> </w:t>
      </w:r>
      <w:r>
        <w:rPr>
          <w:rFonts w:ascii="Calibri" w:hAnsi="Calibri"/>
          <w:sz w:val="22"/>
        </w:rPr>
        <w:t>Comisiynydd</w:t>
      </w:r>
      <w:r>
        <w:rPr>
          <w:rFonts w:ascii="Calibri" w:hAnsi="Calibri"/>
          <w:spacing w:val="-2"/>
          <w:sz w:val="22"/>
        </w:rPr>
        <w:t> </w:t>
      </w:r>
      <w:r>
        <w:rPr>
          <w:rFonts w:ascii="Calibri" w:hAnsi="Calibri"/>
          <w:sz w:val="22"/>
        </w:rPr>
        <w:t>ar</w:t>
      </w:r>
      <w:r>
        <w:rPr>
          <w:rFonts w:ascii="Calibri" w:hAnsi="Calibri"/>
          <w:spacing w:val="-3"/>
          <w:sz w:val="22"/>
        </w:rPr>
        <w:t> </w:t>
      </w:r>
      <w:r>
        <w:rPr>
          <w:rFonts w:ascii="Calibri" w:hAnsi="Calibri"/>
          <w:sz w:val="22"/>
        </w:rPr>
        <w:t>y</w:t>
      </w:r>
      <w:r>
        <w:rPr>
          <w:rFonts w:ascii="Calibri" w:hAnsi="Calibri"/>
          <w:spacing w:val="-2"/>
          <w:sz w:val="22"/>
        </w:rPr>
        <w:t> </w:t>
      </w:r>
      <w:r>
        <w:rPr>
          <w:rFonts w:ascii="Calibri" w:hAnsi="Calibri"/>
          <w:sz w:val="22"/>
        </w:rPr>
        <w:t>camau</w:t>
      </w:r>
      <w:r>
        <w:rPr>
          <w:rFonts w:ascii="Calibri" w:hAnsi="Calibri"/>
          <w:spacing w:val="-2"/>
          <w:sz w:val="22"/>
        </w:rPr>
        <w:t> </w:t>
      </w:r>
      <w:r>
        <w:rPr>
          <w:rFonts w:ascii="Calibri" w:hAnsi="Calibri"/>
          <w:sz w:val="22"/>
        </w:rPr>
        <w:t>yr</w:t>
      </w:r>
      <w:r>
        <w:rPr>
          <w:rFonts w:ascii="Calibri" w:hAnsi="Calibri"/>
          <w:spacing w:val="-2"/>
          <w:sz w:val="22"/>
        </w:rPr>
        <w:t> </w:t>
      </w:r>
      <w:r>
        <w:rPr>
          <w:rFonts w:ascii="Calibri" w:hAnsi="Calibri"/>
          <w:sz w:val="22"/>
        </w:rPr>
        <w:t>oeddem</w:t>
      </w:r>
      <w:r>
        <w:rPr>
          <w:rFonts w:ascii="Calibri" w:hAnsi="Calibri"/>
          <w:spacing w:val="-3"/>
          <w:sz w:val="22"/>
        </w:rPr>
        <w:t> </w:t>
      </w:r>
      <w:r>
        <w:rPr>
          <w:rFonts w:ascii="Calibri" w:hAnsi="Calibri"/>
          <w:sz w:val="22"/>
        </w:rPr>
        <w:t>yn</w:t>
      </w:r>
      <w:r>
        <w:rPr>
          <w:rFonts w:ascii="Calibri" w:hAnsi="Calibri"/>
          <w:spacing w:val="-2"/>
          <w:sz w:val="22"/>
        </w:rPr>
        <w:t> </w:t>
      </w:r>
      <w:r>
        <w:rPr>
          <w:rFonts w:ascii="Calibri" w:hAnsi="Calibri"/>
          <w:sz w:val="22"/>
        </w:rPr>
        <w:t>eu</w:t>
      </w:r>
      <w:r>
        <w:rPr>
          <w:rFonts w:ascii="Calibri" w:hAnsi="Calibri"/>
          <w:spacing w:val="-2"/>
          <w:sz w:val="22"/>
        </w:rPr>
        <w:t> </w:t>
      </w:r>
      <w:r>
        <w:rPr>
          <w:rFonts w:ascii="Calibri" w:hAnsi="Calibri"/>
          <w:sz w:val="22"/>
        </w:rPr>
        <w:t>cymryd</w:t>
      </w:r>
      <w:r>
        <w:rPr>
          <w:rFonts w:ascii="Calibri" w:hAnsi="Calibri"/>
          <w:spacing w:val="-2"/>
          <w:sz w:val="22"/>
        </w:rPr>
        <w:t> </w:t>
      </w:r>
      <w:r>
        <w:rPr>
          <w:rFonts w:ascii="Calibri" w:hAnsi="Calibri"/>
          <w:sz w:val="22"/>
        </w:rPr>
        <w:t>i</w:t>
      </w:r>
      <w:r>
        <w:rPr>
          <w:rFonts w:ascii="Calibri" w:hAnsi="Calibri"/>
          <w:spacing w:val="-2"/>
          <w:sz w:val="22"/>
        </w:rPr>
        <w:t> </w:t>
      </w:r>
      <w:r>
        <w:rPr>
          <w:rFonts w:ascii="Calibri" w:hAnsi="Calibri"/>
          <w:sz w:val="22"/>
        </w:rPr>
        <w:t>fynd</w:t>
      </w:r>
      <w:r>
        <w:rPr>
          <w:rFonts w:ascii="Calibri" w:hAnsi="Calibri"/>
          <w:spacing w:val="-2"/>
          <w:sz w:val="22"/>
        </w:rPr>
        <w:t> </w:t>
      </w:r>
      <w:r>
        <w:rPr>
          <w:rFonts w:ascii="Calibri" w:hAnsi="Calibri"/>
          <w:sz w:val="22"/>
        </w:rPr>
        <w:t>i'r</w:t>
      </w:r>
      <w:r>
        <w:rPr>
          <w:rFonts w:ascii="Calibri" w:hAnsi="Calibri"/>
          <w:spacing w:val="-3"/>
          <w:sz w:val="22"/>
        </w:rPr>
        <w:t> </w:t>
      </w:r>
      <w:r>
        <w:rPr>
          <w:rFonts w:ascii="Calibri" w:hAnsi="Calibri"/>
          <w:sz w:val="22"/>
        </w:rPr>
        <w:t>afael</w:t>
      </w:r>
      <w:r>
        <w:rPr>
          <w:rFonts w:ascii="Calibri" w:hAnsi="Calibri"/>
          <w:spacing w:val="-2"/>
          <w:sz w:val="22"/>
        </w:rPr>
        <w:t> </w:t>
      </w:r>
      <w:r>
        <w:rPr>
          <w:rFonts w:ascii="Calibri" w:hAnsi="Calibri"/>
          <w:spacing w:val="-5"/>
          <w:sz w:val="22"/>
        </w:rPr>
        <w:t>â'r</w:t>
      </w:r>
    </w:p>
    <w:p>
      <w:pPr>
        <w:spacing w:before="21"/>
        <w:ind w:left="1440" w:right="0" w:firstLine="0"/>
        <w:jc w:val="left"/>
        <w:rPr>
          <w:rFonts w:ascii="Calibri" w:hAnsi="Calibri"/>
          <w:sz w:val="22"/>
        </w:rPr>
      </w:pPr>
      <w:r>
        <w:rPr>
          <w:rFonts w:ascii="Calibri" w:hAnsi="Calibri"/>
          <w:sz w:val="22"/>
        </w:rPr>
        <w:t>gŵyn</w:t>
      </w:r>
      <w:r>
        <w:rPr>
          <w:rFonts w:ascii="Calibri" w:hAnsi="Calibri"/>
          <w:spacing w:val="-5"/>
          <w:sz w:val="22"/>
        </w:rPr>
        <w:t> </w:t>
      </w:r>
      <w:r>
        <w:rPr>
          <w:rFonts w:ascii="Calibri" w:hAnsi="Calibri"/>
          <w:sz w:val="22"/>
        </w:rPr>
        <w:t>ac</w:t>
      </w:r>
      <w:r>
        <w:rPr>
          <w:rFonts w:ascii="Calibri" w:hAnsi="Calibri"/>
          <w:spacing w:val="-3"/>
          <w:sz w:val="22"/>
        </w:rPr>
        <w:t> </w:t>
      </w:r>
      <w:r>
        <w:rPr>
          <w:rFonts w:ascii="Calibri" w:hAnsi="Calibri"/>
          <w:sz w:val="22"/>
        </w:rPr>
        <w:t>ni</w:t>
      </w:r>
      <w:r>
        <w:rPr>
          <w:rFonts w:ascii="Calibri" w:hAnsi="Calibri"/>
          <w:spacing w:val="-2"/>
          <w:sz w:val="22"/>
        </w:rPr>
        <w:t> </w:t>
      </w:r>
      <w:r>
        <w:rPr>
          <w:rFonts w:ascii="Calibri" w:hAnsi="Calibri"/>
          <w:sz w:val="22"/>
        </w:rPr>
        <w:t>fu</w:t>
      </w:r>
      <w:r>
        <w:rPr>
          <w:rFonts w:ascii="Calibri" w:hAnsi="Calibri"/>
          <w:spacing w:val="-3"/>
          <w:sz w:val="22"/>
        </w:rPr>
        <w:t> </w:t>
      </w:r>
      <w:r>
        <w:rPr>
          <w:rFonts w:ascii="Calibri" w:hAnsi="Calibri"/>
          <w:sz w:val="22"/>
        </w:rPr>
        <w:t>angen</w:t>
      </w:r>
      <w:r>
        <w:rPr>
          <w:rFonts w:ascii="Calibri" w:hAnsi="Calibri"/>
          <w:spacing w:val="-2"/>
          <w:sz w:val="22"/>
        </w:rPr>
        <w:t> </w:t>
      </w:r>
      <w:r>
        <w:rPr>
          <w:rFonts w:ascii="Calibri" w:hAnsi="Calibri"/>
          <w:sz w:val="22"/>
        </w:rPr>
        <w:t>i</w:t>
      </w:r>
      <w:r>
        <w:rPr>
          <w:rFonts w:ascii="Calibri" w:hAnsi="Calibri"/>
          <w:spacing w:val="-2"/>
          <w:sz w:val="22"/>
        </w:rPr>
        <w:t> </w:t>
      </w:r>
      <w:r>
        <w:rPr>
          <w:rFonts w:ascii="Calibri" w:hAnsi="Calibri"/>
          <w:sz w:val="22"/>
        </w:rPr>
        <w:t>Swyddfa'r</w:t>
      </w:r>
      <w:r>
        <w:rPr>
          <w:rFonts w:ascii="Calibri" w:hAnsi="Calibri"/>
          <w:spacing w:val="-3"/>
          <w:sz w:val="22"/>
        </w:rPr>
        <w:t> </w:t>
      </w:r>
      <w:r>
        <w:rPr>
          <w:rFonts w:ascii="Calibri" w:hAnsi="Calibri"/>
          <w:sz w:val="22"/>
        </w:rPr>
        <w:t>Comisiynydd</w:t>
      </w:r>
      <w:r>
        <w:rPr>
          <w:rFonts w:ascii="Calibri" w:hAnsi="Calibri"/>
          <w:spacing w:val="-3"/>
          <w:sz w:val="22"/>
        </w:rPr>
        <w:t> </w:t>
      </w:r>
      <w:r>
        <w:rPr>
          <w:rFonts w:ascii="Calibri" w:hAnsi="Calibri"/>
          <w:sz w:val="22"/>
        </w:rPr>
        <w:t>gynnal</w:t>
      </w:r>
      <w:r>
        <w:rPr>
          <w:rFonts w:ascii="Calibri" w:hAnsi="Calibri"/>
          <w:spacing w:val="-2"/>
          <w:sz w:val="22"/>
        </w:rPr>
        <w:t> </w:t>
      </w:r>
      <w:r>
        <w:rPr>
          <w:rFonts w:ascii="Calibri" w:hAnsi="Calibri"/>
          <w:sz w:val="22"/>
        </w:rPr>
        <w:t>ymchwiliad</w:t>
      </w:r>
      <w:r>
        <w:rPr>
          <w:rFonts w:ascii="Calibri" w:hAnsi="Calibri"/>
          <w:spacing w:val="-3"/>
          <w:sz w:val="22"/>
        </w:rPr>
        <w:t> </w:t>
      </w:r>
      <w:r>
        <w:rPr>
          <w:rFonts w:ascii="Calibri" w:hAnsi="Calibri"/>
          <w:sz w:val="22"/>
        </w:rPr>
        <w:t>pellach</w:t>
      </w:r>
      <w:r>
        <w:rPr>
          <w:rFonts w:ascii="Calibri" w:hAnsi="Calibri"/>
          <w:spacing w:val="-2"/>
          <w:sz w:val="22"/>
        </w:rPr>
        <w:t> </w:t>
      </w:r>
      <w:r>
        <w:rPr>
          <w:rFonts w:ascii="Calibri" w:hAnsi="Calibri"/>
          <w:sz w:val="22"/>
        </w:rPr>
        <w:t>bryd</w:t>
      </w:r>
      <w:r>
        <w:rPr>
          <w:rFonts w:ascii="Calibri" w:hAnsi="Calibri"/>
          <w:spacing w:val="-2"/>
          <w:sz w:val="22"/>
        </w:rPr>
        <w:t> hynny.</w:t>
      </w:r>
    </w:p>
    <w:p>
      <w:pPr>
        <w:pStyle w:val="BodyText"/>
        <w:spacing w:before="6"/>
        <w:rPr>
          <w:rFonts w:ascii="Calibri"/>
          <w:sz w:val="25"/>
        </w:rPr>
      </w:pPr>
    </w:p>
    <w:p>
      <w:pPr>
        <w:pStyle w:val="Heading7"/>
      </w:pPr>
      <w:r>
        <w:rPr/>
        <w:t>Safonau</w:t>
      </w:r>
      <w:r>
        <w:rPr>
          <w:spacing w:val="-3"/>
        </w:rPr>
        <w:t> </w:t>
      </w:r>
      <w:r>
        <w:rPr/>
        <w:t>Llunio</w:t>
      </w:r>
      <w:r>
        <w:rPr>
          <w:spacing w:val="-2"/>
        </w:rPr>
        <w:t> Polisi</w:t>
      </w:r>
    </w:p>
    <w:p>
      <w:pPr>
        <w:spacing w:before="27"/>
        <w:ind w:left="1440" w:right="0" w:firstLine="0"/>
        <w:jc w:val="left"/>
        <w:rPr>
          <w:rFonts w:ascii="Calibri" w:hAnsi="Calibri"/>
          <w:sz w:val="22"/>
        </w:rPr>
      </w:pPr>
      <w:r>
        <w:rPr>
          <w:rFonts w:ascii="Calibri" w:hAnsi="Calibri"/>
          <w:sz w:val="22"/>
        </w:rPr>
        <w:t>Darperir</w:t>
      </w:r>
      <w:r>
        <w:rPr>
          <w:rFonts w:ascii="Calibri" w:hAnsi="Calibri"/>
          <w:spacing w:val="-2"/>
          <w:sz w:val="22"/>
        </w:rPr>
        <w:t> </w:t>
      </w:r>
      <w:r>
        <w:rPr>
          <w:rFonts w:ascii="Calibri" w:hAnsi="Calibri"/>
          <w:sz w:val="22"/>
        </w:rPr>
        <w:t>holl</w:t>
      </w:r>
      <w:r>
        <w:rPr>
          <w:rFonts w:ascii="Calibri" w:hAnsi="Calibri"/>
          <w:spacing w:val="-3"/>
          <w:sz w:val="22"/>
        </w:rPr>
        <w:t> </w:t>
      </w:r>
      <w:r>
        <w:rPr>
          <w:rFonts w:ascii="Calibri" w:hAnsi="Calibri"/>
          <w:sz w:val="22"/>
        </w:rPr>
        <w:t>bolisïau</w:t>
      </w:r>
      <w:r>
        <w:rPr>
          <w:rFonts w:ascii="Calibri" w:hAnsi="Calibri"/>
          <w:spacing w:val="-3"/>
          <w:sz w:val="22"/>
        </w:rPr>
        <w:t> </w:t>
      </w:r>
      <w:r>
        <w:rPr>
          <w:rFonts w:ascii="Calibri" w:hAnsi="Calibri"/>
          <w:sz w:val="22"/>
        </w:rPr>
        <w:t>PCGC</w:t>
      </w:r>
      <w:r>
        <w:rPr>
          <w:rFonts w:ascii="Calibri" w:hAnsi="Calibri"/>
          <w:spacing w:val="-2"/>
          <w:sz w:val="22"/>
        </w:rPr>
        <w:t> </w:t>
      </w:r>
      <w:r>
        <w:rPr>
          <w:rFonts w:ascii="Calibri" w:hAnsi="Calibri"/>
          <w:sz w:val="22"/>
        </w:rPr>
        <w:t>gan</w:t>
      </w:r>
      <w:r>
        <w:rPr>
          <w:rFonts w:ascii="Calibri" w:hAnsi="Calibri"/>
          <w:spacing w:val="-2"/>
          <w:sz w:val="22"/>
        </w:rPr>
        <w:t> </w:t>
      </w:r>
      <w:r>
        <w:rPr>
          <w:rFonts w:ascii="Calibri" w:hAnsi="Calibri"/>
          <w:sz w:val="22"/>
        </w:rPr>
        <w:t>Ymddiriedolaeth</w:t>
      </w:r>
      <w:r>
        <w:rPr>
          <w:rFonts w:ascii="Calibri" w:hAnsi="Calibri"/>
          <w:spacing w:val="-2"/>
          <w:sz w:val="22"/>
        </w:rPr>
        <w:t> </w:t>
      </w:r>
      <w:r>
        <w:rPr>
          <w:rFonts w:ascii="Calibri" w:hAnsi="Calibri"/>
          <w:sz w:val="22"/>
        </w:rPr>
        <w:t>GIG</w:t>
      </w:r>
      <w:r>
        <w:rPr>
          <w:rFonts w:ascii="Calibri" w:hAnsi="Calibri"/>
          <w:spacing w:val="-1"/>
          <w:sz w:val="22"/>
        </w:rPr>
        <w:t> </w:t>
      </w:r>
      <w:r>
        <w:rPr>
          <w:rFonts w:ascii="Calibri" w:hAnsi="Calibri"/>
          <w:spacing w:val="-2"/>
          <w:sz w:val="22"/>
        </w:rPr>
        <w:t>Felindre.</w:t>
      </w:r>
    </w:p>
    <w:p>
      <w:pPr>
        <w:pStyle w:val="BodyText"/>
        <w:spacing w:before="6"/>
        <w:rPr>
          <w:rFonts w:ascii="Calibri"/>
          <w:sz w:val="25"/>
        </w:rPr>
      </w:pPr>
    </w:p>
    <w:p>
      <w:pPr>
        <w:spacing w:line="259" w:lineRule="auto" w:before="0"/>
        <w:ind w:left="1440" w:right="1547" w:firstLine="0"/>
        <w:jc w:val="left"/>
        <w:rPr>
          <w:rFonts w:ascii="Calibri" w:hAnsi="Calibri"/>
          <w:sz w:val="22"/>
        </w:rPr>
      </w:pPr>
      <w:r>
        <w:rPr>
          <w:rFonts w:ascii="Calibri" w:hAnsi="Calibri"/>
          <w:sz w:val="22"/>
        </w:rPr>
        <w:t>Mae'n ofynnol i unrhyw brotocolau a ddatblygwn yn lleol gael asesiad cynhwysfawr o'u heffaith ar gydraddoldeb.</w:t>
      </w:r>
      <w:r>
        <w:rPr>
          <w:rFonts w:ascii="Calibri" w:hAnsi="Calibri"/>
          <w:spacing w:val="40"/>
          <w:sz w:val="22"/>
        </w:rPr>
        <w:t> </w:t>
      </w:r>
      <w:r>
        <w:rPr>
          <w:rFonts w:ascii="Calibri" w:hAnsi="Calibri"/>
          <w:sz w:val="22"/>
        </w:rPr>
        <w:t>Mae hyn yn rhoi’r cyfle i gyfeirio’n benodol at y Gymraeg, pan fyddai’r protocol yn dylanwadu ar y defnydd o’r Gymraeg fel rhan o ddarpariaeth gwasanaeth y sefydliad. Mae’r Gymraeg</w:t>
      </w:r>
      <w:r>
        <w:rPr>
          <w:rFonts w:ascii="Calibri" w:hAnsi="Calibri"/>
          <w:spacing w:val="-3"/>
          <w:sz w:val="22"/>
        </w:rPr>
        <w:t> </w:t>
      </w:r>
      <w:r>
        <w:rPr>
          <w:rFonts w:ascii="Calibri" w:hAnsi="Calibri"/>
          <w:sz w:val="22"/>
        </w:rPr>
        <w:t>wedi’i</w:t>
      </w:r>
      <w:r>
        <w:rPr>
          <w:rFonts w:ascii="Calibri" w:hAnsi="Calibri"/>
          <w:spacing w:val="-2"/>
          <w:sz w:val="22"/>
        </w:rPr>
        <w:t> </w:t>
      </w:r>
      <w:r>
        <w:rPr>
          <w:rFonts w:ascii="Calibri" w:hAnsi="Calibri"/>
          <w:sz w:val="22"/>
        </w:rPr>
        <w:t>gwreiddio</w:t>
      </w:r>
      <w:r>
        <w:rPr>
          <w:rFonts w:ascii="Calibri" w:hAnsi="Calibri"/>
          <w:spacing w:val="-3"/>
          <w:sz w:val="22"/>
        </w:rPr>
        <w:t> </w:t>
      </w:r>
      <w:r>
        <w:rPr>
          <w:rFonts w:ascii="Calibri" w:hAnsi="Calibri"/>
          <w:sz w:val="22"/>
        </w:rPr>
        <w:t>yn</w:t>
      </w:r>
      <w:r>
        <w:rPr>
          <w:rFonts w:ascii="Calibri" w:hAnsi="Calibri"/>
          <w:spacing w:val="-2"/>
          <w:sz w:val="22"/>
        </w:rPr>
        <w:t> </w:t>
      </w:r>
      <w:r>
        <w:rPr>
          <w:rFonts w:ascii="Calibri" w:hAnsi="Calibri"/>
          <w:sz w:val="22"/>
        </w:rPr>
        <w:t>y</w:t>
      </w:r>
      <w:r>
        <w:rPr>
          <w:rFonts w:ascii="Calibri" w:hAnsi="Calibri"/>
          <w:spacing w:val="-3"/>
          <w:sz w:val="22"/>
        </w:rPr>
        <w:t> </w:t>
      </w:r>
      <w:r>
        <w:rPr>
          <w:rFonts w:ascii="Calibri" w:hAnsi="Calibri"/>
          <w:sz w:val="22"/>
        </w:rPr>
        <w:t>broses</w:t>
      </w:r>
      <w:r>
        <w:rPr>
          <w:rFonts w:ascii="Calibri" w:hAnsi="Calibri"/>
          <w:spacing w:val="-2"/>
          <w:sz w:val="22"/>
        </w:rPr>
        <w:t> </w:t>
      </w:r>
      <w:r>
        <w:rPr>
          <w:rFonts w:ascii="Calibri" w:hAnsi="Calibri"/>
          <w:sz w:val="22"/>
        </w:rPr>
        <w:t>o</w:t>
      </w:r>
      <w:r>
        <w:rPr>
          <w:rFonts w:ascii="Calibri" w:hAnsi="Calibri"/>
          <w:spacing w:val="-3"/>
          <w:sz w:val="22"/>
        </w:rPr>
        <w:t> </w:t>
      </w:r>
      <w:r>
        <w:rPr>
          <w:rFonts w:ascii="Calibri" w:hAnsi="Calibri"/>
          <w:sz w:val="22"/>
        </w:rPr>
        <w:t>wneud</w:t>
      </w:r>
      <w:r>
        <w:rPr>
          <w:rFonts w:ascii="Calibri" w:hAnsi="Calibri"/>
          <w:spacing w:val="-2"/>
          <w:sz w:val="22"/>
        </w:rPr>
        <w:t> </w:t>
      </w:r>
      <w:r>
        <w:rPr>
          <w:rFonts w:ascii="Calibri" w:hAnsi="Calibri"/>
          <w:sz w:val="22"/>
        </w:rPr>
        <w:t>penderfyniadau</w:t>
      </w:r>
      <w:r>
        <w:rPr>
          <w:rFonts w:ascii="Calibri" w:hAnsi="Calibri"/>
          <w:spacing w:val="-3"/>
          <w:sz w:val="22"/>
        </w:rPr>
        <w:t> </w:t>
      </w:r>
      <w:r>
        <w:rPr>
          <w:rFonts w:ascii="Calibri" w:hAnsi="Calibri"/>
          <w:sz w:val="22"/>
        </w:rPr>
        <w:t>ar</w:t>
      </w:r>
      <w:r>
        <w:rPr>
          <w:rFonts w:ascii="Calibri" w:hAnsi="Calibri"/>
          <w:spacing w:val="-3"/>
          <w:sz w:val="22"/>
        </w:rPr>
        <w:t> </w:t>
      </w:r>
      <w:r>
        <w:rPr>
          <w:rFonts w:ascii="Calibri" w:hAnsi="Calibri"/>
          <w:sz w:val="22"/>
        </w:rPr>
        <w:t>draws</w:t>
      </w:r>
      <w:r>
        <w:rPr>
          <w:rFonts w:ascii="Calibri" w:hAnsi="Calibri"/>
          <w:spacing w:val="-3"/>
          <w:sz w:val="22"/>
        </w:rPr>
        <w:t> </w:t>
      </w:r>
      <w:r>
        <w:rPr>
          <w:rFonts w:ascii="Calibri" w:hAnsi="Calibri"/>
          <w:sz w:val="22"/>
        </w:rPr>
        <w:t>y</w:t>
      </w:r>
      <w:r>
        <w:rPr>
          <w:rFonts w:ascii="Calibri" w:hAnsi="Calibri"/>
          <w:spacing w:val="-2"/>
          <w:sz w:val="22"/>
        </w:rPr>
        <w:t> </w:t>
      </w:r>
      <w:r>
        <w:rPr>
          <w:rFonts w:ascii="Calibri" w:hAnsi="Calibri"/>
          <w:sz w:val="22"/>
        </w:rPr>
        <w:t>sefydliad.</w:t>
      </w:r>
      <w:r>
        <w:rPr>
          <w:rFonts w:ascii="Calibri" w:hAnsi="Calibri"/>
          <w:spacing w:val="80"/>
          <w:sz w:val="22"/>
        </w:rPr>
        <w:t> </w:t>
      </w:r>
      <w:r>
        <w:rPr>
          <w:rFonts w:ascii="Calibri" w:hAnsi="Calibri"/>
          <w:sz w:val="22"/>
        </w:rPr>
        <w:t>Mae</w:t>
      </w:r>
      <w:r>
        <w:rPr>
          <w:rFonts w:ascii="Calibri" w:hAnsi="Calibri"/>
          <w:spacing w:val="-3"/>
          <w:sz w:val="22"/>
        </w:rPr>
        <w:t> </w:t>
      </w:r>
      <w:r>
        <w:rPr>
          <w:rFonts w:ascii="Calibri" w:hAnsi="Calibri"/>
          <w:sz w:val="22"/>
        </w:rPr>
        <w:t>Rheolwr Gwasanaethau’r Gymraeg yn cysylltu â'r Rheolwr Gwasanaethau Corfforaethol mewn perthynas â phrotocolau ac Asesiadau o’r Effaith ar Gydraddoldeb ar gyfer cynigion i ddatblygu gwasanaethau.</w:t>
      </w:r>
    </w:p>
    <w:p>
      <w:pPr>
        <w:pStyle w:val="BodyText"/>
        <w:spacing w:before="8"/>
        <w:rPr>
          <w:rFonts w:ascii="Calibri"/>
          <w:sz w:val="23"/>
        </w:rPr>
      </w:pPr>
    </w:p>
    <w:p>
      <w:pPr>
        <w:spacing w:line="259" w:lineRule="auto" w:before="0"/>
        <w:ind w:left="1440" w:right="1405" w:firstLine="0"/>
        <w:jc w:val="left"/>
        <w:rPr>
          <w:rFonts w:ascii="Calibri" w:hAnsi="Calibri"/>
          <w:sz w:val="22"/>
        </w:rPr>
      </w:pPr>
      <w:r>
        <w:rPr>
          <w:rFonts w:ascii="Calibri" w:hAnsi="Calibri"/>
          <w:sz w:val="22"/>
        </w:rPr>
        <w:t>Rydym wedi sicrhau bod yr holl ddogfennau perthnasol sy'n ymwneud â chyflogaeth ar gael trwy gyfrwng</w:t>
      </w:r>
      <w:r>
        <w:rPr>
          <w:rFonts w:ascii="Calibri" w:hAnsi="Calibri"/>
          <w:spacing w:val="-3"/>
          <w:sz w:val="22"/>
        </w:rPr>
        <w:t> </w:t>
      </w:r>
      <w:r>
        <w:rPr>
          <w:rFonts w:ascii="Calibri" w:hAnsi="Calibri"/>
          <w:sz w:val="22"/>
        </w:rPr>
        <w:t>y</w:t>
      </w:r>
      <w:r>
        <w:rPr>
          <w:rFonts w:ascii="Calibri" w:hAnsi="Calibri"/>
          <w:spacing w:val="-3"/>
          <w:sz w:val="22"/>
        </w:rPr>
        <w:t> </w:t>
      </w:r>
      <w:r>
        <w:rPr>
          <w:rFonts w:ascii="Calibri" w:hAnsi="Calibri"/>
          <w:sz w:val="22"/>
        </w:rPr>
        <w:t>Gymraeg.</w:t>
      </w:r>
      <w:r>
        <w:rPr>
          <w:rFonts w:ascii="Calibri" w:hAnsi="Calibri"/>
          <w:spacing w:val="40"/>
          <w:sz w:val="22"/>
        </w:rPr>
        <w:t> </w:t>
      </w:r>
      <w:r>
        <w:rPr>
          <w:rFonts w:ascii="Calibri" w:hAnsi="Calibri"/>
          <w:sz w:val="22"/>
        </w:rPr>
        <w:t>Anfonir</w:t>
      </w:r>
      <w:r>
        <w:rPr>
          <w:rFonts w:ascii="Calibri" w:hAnsi="Calibri"/>
          <w:spacing w:val="-4"/>
          <w:sz w:val="22"/>
        </w:rPr>
        <w:t> </w:t>
      </w:r>
      <w:r>
        <w:rPr>
          <w:rFonts w:ascii="Calibri" w:hAnsi="Calibri"/>
          <w:sz w:val="22"/>
        </w:rPr>
        <w:t>cytundebau</w:t>
      </w:r>
      <w:r>
        <w:rPr>
          <w:rFonts w:ascii="Calibri" w:hAnsi="Calibri"/>
          <w:spacing w:val="-3"/>
          <w:sz w:val="22"/>
        </w:rPr>
        <w:t> </w:t>
      </w:r>
      <w:r>
        <w:rPr>
          <w:rFonts w:ascii="Calibri" w:hAnsi="Calibri"/>
          <w:sz w:val="22"/>
        </w:rPr>
        <w:t>cyflogaeth</w:t>
      </w:r>
      <w:r>
        <w:rPr>
          <w:rFonts w:ascii="Calibri" w:hAnsi="Calibri"/>
          <w:spacing w:val="-4"/>
          <w:sz w:val="22"/>
        </w:rPr>
        <w:t> </w:t>
      </w:r>
      <w:r>
        <w:rPr>
          <w:rFonts w:ascii="Calibri" w:hAnsi="Calibri"/>
          <w:sz w:val="22"/>
        </w:rPr>
        <w:t>at</w:t>
      </w:r>
      <w:r>
        <w:rPr>
          <w:rFonts w:ascii="Calibri" w:hAnsi="Calibri"/>
          <w:spacing w:val="-4"/>
          <w:sz w:val="22"/>
        </w:rPr>
        <w:t> </w:t>
      </w:r>
      <w:r>
        <w:rPr>
          <w:rFonts w:ascii="Calibri" w:hAnsi="Calibri"/>
          <w:sz w:val="22"/>
        </w:rPr>
        <w:t>staff</w:t>
      </w:r>
      <w:r>
        <w:rPr>
          <w:rFonts w:ascii="Calibri" w:hAnsi="Calibri"/>
          <w:spacing w:val="-3"/>
          <w:sz w:val="22"/>
        </w:rPr>
        <w:t> </w:t>
      </w:r>
      <w:r>
        <w:rPr>
          <w:rFonts w:ascii="Calibri" w:hAnsi="Calibri"/>
          <w:sz w:val="22"/>
        </w:rPr>
        <w:t>yn</w:t>
      </w:r>
      <w:r>
        <w:rPr>
          <w:rFonts w:ascii="Calibri" w:hAnsi="Calibri"/>
          <w:spacing w:val="-3"/>
          <w:sz w:val="22"/>
        </w:rPr>
        <w:t> </w:t>
      </w:r>
      <w:r>
        <w:rPr>
          <w:rFonts w:ascii="Calibri" w:hAnsi="Calibri"/>
          <w:sz w:val="22"/>
        </w:rPr>
        <w:t>Gymraeg</w:t>
      </w:r>
      <w:r>
        <w:rPr>
          <w:rFonts w:ascii="Calibri" w:hAnsi="Calibri"/>
          <w:spacing w:val="-3"/>
          <w:sz w:val="22"/>
        </w:rPr>
        <w:t> </w:t>
      </w:r>
      <w:r>
        <w:rPr>
          <w:rFonts w:ascii="Calibri" w:hAnsi="Calibri"/>
          <w:sz w:val="22"/>
        </w:rPr>
        <w:t>ac</w:t>
      </w:r>
      <w:r>
        <w:rPr>
          <w:rFonts w:ascii="Calibri" w:hAnsi="Calibri"/>
          <w:spacing w:val="-4"/>
          <w:sz w:val="22"/>
        </w:rPr>
        <w:t> </w:t>
      </w:r>
      <w:r>
        <w:rPr>
          <w:rFonts w:ascii="Calibri" w:hAnsi="Calibri"/>
          <w:sz w:val="22"/>
        </w:rPr>
        <w:t>yn</w:t>
      </w:r>
      <w:r>
        <w:rPr>
          <w:rFonts w:ascii="Calibri" w:hAnsi="Calibri"/>
          <w:spacing w:val="-3"/>
          <w:sz w:val="22"/>
        </w:rPr>
        <w:t> </w:t>
      </w:r>
      <w:r>
        <w:rPr>
          <w:rFonts w:ascii="Calibri" w:hAnsi="Calibri"/>
          <w:sz w:val="22"/>
        </w:rPr>
        <w:t>Saesneg.</w:t>
      </w:r>
      <w:r>
        <w:rPr>
          <w:rFonts w:ascii="Calibri" w:hAnsi="Calibri"/>
          <w:spacing w:val="40"/>
          <w:sz w:val="22"/>
        </w:rPr>
        <w:t> </w:t>
      </w:r>
      <w:r>
        <w:rPr>
          <w:rFonts w:ascii="Calibri" w:hAnsi="Calibri"/>
          <w:sz w:val="22"/>
        </w:rPr>
        <w:t>Cynhaliwyd adolygiad o holl ddogfennau Pobl a Datblygu Sefydliadol yn ystod 2021-22, ac mae pob dogfen yn cydymffurfio â gofynion Safonau’r Gymraeg.</w:t>
      </w:r>
    </w:p>
    <w:p>
      <w:pPr>
        <w:pStyle w:val="BodyText"/>
        <w:spacing w:before="8"/>
        <w:rPr>
          <w:rFonts w:ascii="Calibri"/>
          <w:sz w:val="23"/>
        </w:rPr>
      </w:pPr>
    </w:p>
    <w:p>
      <w:pPr>
        <w:pStyle w:val="Heading7"/>
      </w:pPr>
      <w:r>
        <w:rPr/>
        <w:t>Safonau</w:t>
      </w:r>
      <w:r>
        <w:rPr>
          <w:spacing w:val="-3"/>
        </w:rPr>
        <w:t> </w:t>
      </w:r>
      <w:r>
        <w:rPr>
          <w:spacing w:val="-2"/>
        </w:rPr>
        <w:t>Gweithredol:</w:t>
      </w:r>
    </w:p>
    <w:p>
      <w:pPr>
        <w:spacing w:before="27"/>
        <w:ind w:left="1440" w:right="0" w:firstLine="0"/>
        <w:jc w:val="left"/>
        <w:rPr>
          <w:rFonts w:ascii="Calibri" w:hAnsi="Calibri"/>
          <w:sz w:val="22"/>
        </w:rPr>
      </w:pPr>
      <w:r>
        <w:rPr>
          <w:rFonts w:ascii="Calibri" w:hAnsi="Calibri"/>
          <w:sz w:val="22"/>
        </w:rPr>
        <w:t>Gweinyddu</w:t>
      </w:r>
      <w:r>
        <w:rPr>
          <w:rFonts w:ascii="Calibri" w:hAnsi="Calibri"/>
          <w:spacing w:val="-4"/>
          <w:sz w:val="22"/>
        </w:rPr>
        <w:t> </w:t>
      </w:r>
      <w:r>
        <w:rPr>
          <w:rFonts w:ascii="Calibri" w:hAnsi="Calibri"/>
          <w:sz w:val="22"/>
        </w:rPr>
        <w:t>Mewnol</w:t>
      </w:r>
      <w:r>
        <w:rPr>
          <w:rFonts w:ascii="Calibri" w:hAnsi="Calibri"/>
          <w:spacing w:val="-2"/>
          <w:sz w:val="22"/>
        </w:rPr>
        <w:t> </w:t>
      </w:r>
      <w:r>
        <w:rPr>
          <w:rFonts w:ascii="Calibri" w:hAnsi="Calibri"/>
          <w:sz w:val="22"/>
        </w:rPr>
        <w:t>(Safonau</w:t>
      </w:r>
      <w:r>
        <w:rPr>
          <w:rFonts w:ascii="Calibri" w:hAnsi="Calibri"/>
          <w:spacing w:val="-3"/>
          <w:sz w:val="22"/>
        </w:rPr>
        <w:t> </w:t>
      </w:r>
      <w:r>
        <w:rPr>
          <w:rFonts w:ascii="Calibri" w:hAnsi="Calibri"/>
          <w:sz w:val="22"/>
        </w:rPr>
        <w:t>79</w:t>
      </w:r>
      <w:r>
        <w:rPr>
          <w:rFonts w:ascii="Calibri" w:hAnsi="Calibri"/>
          <w:spacing w:val="-2"/>
          <w:sz w:val="22"/>
        </w:rPr>
        <w:t> </w:t>
      </w:r>
      <w:r>
        <w:rPr>
          <w:rFonts w:ascii="Calibri" w:hAnsi="Calibri"/>
          <w:sz w:val="22"/>
        </w:rPr>
        <w:t>–</w:t>
      </w:r>
      <w:r>
        <w:rPr>
          <w:rFonts w:ascii="Calibri" w:hAnsi="Calibri"/>
          <w:spacing w:val="-3"/>
          <w:sz w:val="22"/>
        </w:rPr>
        <w:t> </w:t>
      </w:r>
      <w:r>
        <w:rPr>
          <w:rFonts w:ascii="Calibri" w:hAnsi="Calibri"/>
          <w:spacing w:val="-5"/>
          <w:sz w:val="22"/>
        </w:rPr>
        <w:t>82)</w:t>
      </w:r>
    </w:p>
    <w:p>
      <w:pPr>
        <w:spacing w:before="22"/>
        <w:ind w:left="1440" w:right="0" w:firstLine="0"/>
        <w:jc w:val="left"/>
        <w:rPr>
          <w:rFonts w:ascii="Calibri" w:hAnsi="Calibri"/>
          <w:sz w:val="22"/>
        </w:rPr>
      </w:pPr>
      <w:r>
        <w:rPr>
          <w:rFonts w:ascii="Calibri" w:hAnsi="Calibri"/>
          <w:sz w:val="22"/>
        </w:rPr>
        <w:t>Cwynion</w:t>
      </w:r>
      <w:r>
        <w:rPr>
          <w:rFonts w:ascii="Calibri" w:hAnsi="Calibri"/>
          <w:spacing w:val="-4"/>
          <w:sz w:val="22"/>
        </w:rPr>
        <w:t> </w:t>
      </w:r>
      <w:r>
        <w:rPr>
          <w:rFonts w:ascii="Calibri" w:hAnsi="Calibri"/>
          <w:sz w:val="22"/>
        </w:rPr>
        <w:t>(Safonau</w:t>
      </w:r>
      <w:r>
        <w:rPr>
          <w:rFonts w:ascii="Calibri" w:hAnsi="Calibri"/>
          <w:spacing w:val="-3"/>
          <w:sz w:val="22"/>
        </w:rPr>
        <w:t> </w:t>
      </w:r>
      <w:r>
        <w:rPr>
          <w:rFonts w:ascii="Calibri" w:hAnsi="Calibri"/>
          <w:sz w:val="22"/>
        </w:rPr>
        <w:t>83</w:t>
      </w:r>
      <w:r>
        <w:rPr>
          <w:rFonts w:ascii="Calibri" w:hAnsi="Calibri"/>
          <w:spacing w:val="-3"/>
          <w:sz w:val="22"/>
        </w:rPr>
        <w:t> </w:t>
      </w:r>
      <w:r>
        <w:rPr>
          <w:rFonts w:ascii="Calibri" w:hAnsi="Calibri"/>
          <w:sz w:val="22"/>
        </w:rPr>
        <w:t>–</w:t>
      </w:r>
      <w:r>
        <w:rPr>
          <w:rFonts w:ascii="Calibri" w:hAnsi="Calibri"/>
          <w:spacing w:val="-3"/>
          <w:sz w:val="22"/>
        </w:rPr>
        <w:t> </w:t>
      </w:r>
      <w:r>
        <w:rPr>
          <w:rFonts w:ascii="Calibri" w:hAnsi="Calibri"/>
          <w:spacing w:val="-5"/>
          <w:sz w:val="22"/>
        </w:rPr>
        <w:t>85)</w:t>
      </w:r>
    </w:p>
    <w:p>
      <w:pPr>
        <w:spacing w:before="21"/>
        <w:ind w:left="1440" w:right="0" w:firstLine="0"/>
        <w:jc w:val="left"/>
        <w:rPr>
          <w:rFonts w:ascii="Calibri" w:hAnsi="Calibri"/>
          <w:sz w:val="22"/>
        </w:rPr>
      </w:pPr>
      <w:r>
        <w:rPr>
          <w:rFonts w:ascii="Calibri" w:hAnsi="Calibri"/>
          <w:sz w:val="22"/>
        </w:rPr>
        <w:t>Achosion</w:t>
      </w:r>
      <w:r>
        <w:rPr>
          <w:rFonts w:ascii="Calibri" w:hAnsi="Calibri"/>
          <w:spacing w:val="-3"/>
          <w:sz w:val="22"/>
        </w:rPr>
        <w:t> </w:t>
      </w:r>
      <w:r>
        <w:rPr>
          <w:rFonts w:ascii="Calibri" w:hAnsi="Calibri"/>
          <w:sz w:val="22"/>
        </w:rPr>
        <w:t>Disgyblu</w:t>
      </w:r>
      <w:r>
        <w:rPr>
          <w:rFonts w:ascii="Calibri" w:hAnsi="Calibri"/>
          <w:spacing w:val="-3"/>
          <w:sz w:val="22"/>
        </w:rPr>
        <w:t> </w:t>
      </w:r>
      <w:r>
        <w:rPr>
          <w:rFonts w:ascii="Calibri" w:hAnsi="Calibri"/>
          <w:sz w:val="22"/>
        </w:rPr>
        <w:t>(Safonau</w:t>
      </w:r>
      <w:r>
        <w:rPr>
          <w:rFonts w:ascii="Calibri" w:hAnsi="Calibri"/>
          <w:spacing w:val="-3"/>
          <w:sz w:val="22"/>
        </w:rPr>
        <w:t> </w:t>
      </w:r>
      <w:r>
        <w:rPr>
          <w:rFonts w:ascii="Calibri" w:hAnsi="Calibri"/>
          <w:sz w:val="22"/>
        </w:rPr>
        <w:t>86</w:t>
      </w:r>
      <w:r>
        <w:rPr>
          <w:rFonts w:ascii="Calibri" w:hAnsi="Calibri"/>
          <w:spacing w:val="-2"/>
          <w:sz w:val="22"/>
        </w:rPr>
        <w:t> </w:t>
      </w:r>
      <w:r>
        <w:rPr>
          <w:rFonts w:ascii="Calibri" w:hAnsi="Calibri"/>
          <w:sz w:val="22"/>
        </w:rPr>
        <w:t>–</w:t>
      </w:r>
      <w:r>
        <w:rPr>
          <w:rFonts w:ascii="Calibri" w:hAnsi="Calibri"/>
          <w:spacing w:val="-3"/>
          <w:sz w:val="22"/>
        </w:rPr>
        <w:t> </w:t>
      </w:r>
      <w:r>
        <w:rPr>
          <w:rFonts w:ascii="Calibri" w:hAnsi="Calibri"/>
          <w:spacing w:val="-5"/>
          <w:sz w:val="22"/>
        </w:rPr>
        <w:t>88)</w:t>
      </w:r>
    </w:p>
    <w:p>
      <w:pPr>
        <w:spacing w:line="259" w:lineRule="auto" w:before="21"/>
        <w:ind w:left="1440" w:right="5182" w:firstLine="0"/>
        <w:jc w:val="left"/>
        <w:rPr>
          <w:rFonts w:ascii="Calibri" w:hAnsi="Calibri"/>
          <w:sz w:val="22"/>
        </w:rPr>
      </w:pPr>
      <w:r>
        <w:rPr>
          <w:rFonts w:ascii="Calibri" w:hAnsi="Calibri"/>
          <w:sz w:val="22"/>
        </w:rPr>
        <w:t>Technoleg</w:t>
      </w:r>
      <w:r>
        <w:rPr>
          <w:rFonts w:ascii="Calibri" w:hAnsi="Calibri"/>
          <w:spacing w:val="-5"/>
          <w:sz w:val="22"/>
        </w:rPr>
        <w:t> </w:t>
      </w:r>
      <w:r>
        <w:rPr>
          <w:rFonts w:ascii="Calibri" w:hAnsi="Calibri"/>
          <w:sz w:val="22"/>
        </w:rPr>
        <w:t>Gwybodaeth,</w:t>
      </w:r>
      <w:r>
        <w:rPr>
          <w:rFonts w:ascii="Calibri" w:hAnsi="Calibri"/>
          <w:spacing w:val="-5"/>
          <w:sz w:val="22"/>
        </w:rPr>
        <w:t> </w:t>
      </w:r>
      <w:r>
        <w:rPr>
          <w:rFonts w:ascii="Calibri" w:hAnsi="Calibri"/>
          <w:sz w:val="22"/>
        </w:rPr>
        <w:t>y</w:t>
      </w:r>
      <w:r>
        <w:rPr>
          <w:rFonts w:ascii="Calibri" w:hAnsi="Calibri"/>
          <w:spacing w:val="-5"/>
          <w:sz w:val="22"/>
        </w:rPr>
        <w:t> </w:t>
      </w:r>
      <w:r>
        <w:rPr>
          <w:rFonts w:ascii="Calibri" w:hAnsi="Calibri"/>
          <w:sz w:val="22"/>
        </w:rPr>
        <w:t>Fewnrwyd</w:t>
      </w:r>
      <w:r>
        <w:rPr>
          <w:rFonts w:ascii="Calibri" w:hAnsi="Calibri"/>
          <w:spacing w:val="-4"/>
          <w:sz w:val="22"/>
        </w:rPr>
        <w:t> </w:t>
      </w:r>
      <w:r>
        <w:rPr>
          <w:rFonts w:ascii="Calibri" w:hAnsi="Calibri"/>
          <w:sz w:val="22"/>
        </w:rPr>
        <w:t>ac</w:t>
      </w:r>
      <w:r>
        <w:rPr>
          <w:rFonts w:ascii="Calibri" w:hAnsi="Calibri"/>
          <w:spacing w:val="-5"/>
          <w:sz w:val="22"/>
        </w:rPr>
        <w:t> </w:t>
      </w:r>
      <w:r>
        <w:rPr>
          <w:rFonts w:ascii="Calibri" w:hAnsi="Calibri"/>
          <w:sz w:val="22"/>
        </w:rPr>
        <w:t>Apiau</w:t>
      </w:r>
      <w:r>
        <w:rPr>
          <w:rFonts w:ascii="Calibri" w:hAnsi="Calibri"/>
          <w:spacing w:val="-5"/>
          <w:sz w:val="22"/>
        </w:rPr>
        <w:t> </w:t>
      </w:r>
      <w:r>
        <w:rPr>
          <w:rFonts w:ascii="Calibri" w:hAnsi="Calibri"/>
          <w:sz w:val="22"/>
        </w:rPr>
        <w:t>(89</w:t>
      </w:r>
      <w:r>
        <w:rPr>
          <w:rFonts w:ascii="Calibri" w:hAnsi="Calibri"/>
          <w:spacing w:val="-5"/>
          <w:sz w:val="22"/>
        </w:rPr>
        <w:t> </w:t>
      </w:r>
      <w:r>
        <w:rPr>
          <w:rFonts w:ascii="Calibri" w:hAnsi="Calibri"/>
          <w:sz w:val="22"/>
        </w:rPr>
        <w:t>–</w:t>
      </w:r>
      <w:r>
        <w:rPr>
          <w:rFonts w:ascii="Calibri" w:hAnsi="Calibri"/>
          <w:spacing w:val="-5"/>
          <w:sz w:val="22"/>
        </w:rPr>
        <w:t> </w:t>
      </w:r>
      <w:r>
        <w:rPr>
          <w:rFonts w:ascii="Calibri" w:hAnsi="Calibri"/>
          <w:sz w:val="22"/>
        </w:rPr>
        <w:t>95) Datblygu Sgiliau Iaith Gymraeg (Safonau 96 – 105) Recriwtio a Phenodi (Safonau 106 – 109)</w:t>
      </w:r>
    </w:p>
    <w:p>
      <w:pPr>
        <w:spacing w:line="268" w:lineRule="exact" w:before="0"/>
        <w:ind w:left="1440" w:right="0" w:firstLine="0"/>
        <w:jc w:val="left"/>
        <w:rPr>
          <w:rFonts w:ascii="Calibri" w:hAnsi="Calibri"/>
          <w:sz w:val="22"/>
        </w:rPr>
      </w:pPr>
      <w:r>
        <w:rPr>
          <w:rFonts w:ascii="Calibri" w:hAnsi="Calibri"/>
          <w:sz w:val="22"/>
        </w:rPr>
        <w:t>Arwyddion</w:t>
      </w:r>
      <w:r>
        <w:rPr>
          <w:rFonts w:ascii="Calibri" w:hAnsi="Calibri"/>
          <w:spacing w:val="-4"/>
          <w:sz w:val="22"/>
        </w:rPr>
        <w:t> </w:t>
      </w:r>
      <w:r>
        <w:rPr>
          <w:rFonts w:ascii="Calibri" w:hAnsi="Calibri"/>
          <w:sz w:val="22"/>
        </w:rPr>
        <w:t>a</w:t>
      </w:r>
      <w:r>
        <w:rPr>
          <w:rFonts w:ascii="Calibri" w:hAnsi="Calibri"/>
          <w:spacing w:val="-2"/>
          <w:sz w:val="22"/>
        </w:rPr>
        <w:t> </w:t>
      </w:r>
      <w:r>
        <w:rPr>
          <w:rFonts w:ascii="Calibri" w:hAnsi="Calibri"/>
          <w:sz w:val="22"/>
        </w:rPr>
        <w:t>Hysbysiadau</w:t>
      </w:r>
      <w:r>
        <w:rPr>
          <w:rFonts w:ascii="Calibri" w:hAnsi="Calibri"/>
          <w:spacing w:val="-3"/>
          <w:sz w:val="22"/>
        </w:rPr>
        <w:t> </w:t>
      </w:r>
      <w:r>
        <w:rPr>
          <w:rFonts w:ascii="Calibri" w:hAnsi="Calibri"/>
          <w:sz w:val="22"/>
        </w:rPr>
        <w:t>yn</w:t>
      </w:r>
      <w:r>
        <w:rPr>
          <w:rFonts w:ascii="Calibri" w:hAnsi="Calibri"/>
          <w:spacing w:val="-1"/>
          <w:sz w:val="22"/>
        </w:rPr>
        <w:t> </w:t>
      </w:r>
      <w:r>
        <w:rPr>
          <w:rFonts w:ascii="Calibri" w:hAnsi="Calibri"/>
          <w:sz w:val="22"/>
        </w:rPr>
        <w:t>y</w:t>
      </w:r>
      <w:r>
        <w:rPr>
          <w:rFonts w:ascii="Calibri" w:hAnsi="Calibri"/>
          <w:spacing w:val="-2"/>
          <w:sz w:val="22"/>
        </w:rPr>
        <w:t> </w:t>
      </w:r>
      <w:r>
        <w:rPr>
          <w:rFonts w:ascii="Calibri" w:hAnsi="Calibri"/>
          <w:sz w:val="22"/>
        </w:rPr>
        <w:t>Gweithle</w:t>
      </w:r>
      <w:r>
        <w:rPr>
          <w:rFonts w:ascii="Calibri" w:hAnsi="Calibri"/>
          <w:spacing w:val="-2"/>
          <w:sz w:val="22"/>
        </w:rPr>
        <w:t> </w:t>
      </w:r>
      <w:r>
        <w:rPr>
          <w:rFonts w:ascii="Calibri" w:hAnsi="Calibri"/>
          <w:sz w:val="22"/>
        </w:rPr>
        <w:t>(Safonau</w:t>
      </w:r>
      <w:r>
        <w:rPr>
          <w:rFonts w:ascii="Calibri" w:hAnsi="Calibri"/>
          <w:spacing w:val="-3"/>
          <w:sz w:val="22"/>
        </w:rPr>
        <w:t> </w:t>
      </w:r>
      <w:r>
        <w:rPr>
          <w:rFonts w:ascii="Calibri" w:hAnsi="Calibri"/>
          <w:sz w:val="22"/>
        </w:rPr>
        <w:t>111</w:t>
      </w:r>
      <w:r>
        <w:rPr>
          <w:rFonts w:ascii="Calibri" w:hAnsi="Calibri"/>
          <w:spacing w:val="-1"/>
          <w:sz w:val="22"/>
        </w:rPr>
        <w:t> </w:t>
      </w:r>
      <w:r>
        <w:rPr>
          <w:rFonts w:ascii="Calibri" w:hAnsi="Calibri"/>
          <w:sz w:val="22"/>
        </w:rPr>
        <w:t>–</w:t>
      </w:r>
      <w:r>
        <w:rPr>
          <w:rFonts w:ascii="Calibri" w:hAnsi="Calibri"/>
          <w:spacing w:val="-2"/>
          <w:sz w:val="22"/>
        </w:rPr>
        <w:t> </w:t>
      </w:r>
      <w:r>
        <w:rPr>
          <w:rFonts w:ascii="Calibri" w:hAnsi="Calibri"/>
          <w:spacing w:val="-4"/>
          <w:sz w:val="22"/>
        </w:rPr>
        <w:t>113)</w:t>
      </w:r>
    </w:p>
    <w:p>
      <w:pPr>
        <w:pStyle w:val="BodyText"/>
        <w:spacing w:before="6"/>
        <w:rPr>
          <w:rFonts w:ascii="Calibri"/>
          <w:sz w:val="25"/>
        </w:rPr>
      </w:pPr>
    </w:p>
    <w:p>
      <w:pPr>
        <w:pStyle w:val="Heading7"/>
      </w:pPr>
      <w:r>
        <w:rPr/>
        <w:t>Gweinyddu</w:t>
      </w:r>
      <w:r>
        <w:rPr>
          <w:spacing w:val="-4"/>
        </w:rPr>
        <w:t> </w:t>
      </w:r>
      <w:r>
        <w:rPr>
          <w:spacing w:val="-2"/>
        </w:rPr>
        <w:t>mewnol:</w:t>
      </w:r>
    </w:p>
    <w:p>
      <w:pPr>
        <w:spacing w:line="259" w:lineRule="auto" w:before="27"/>
        <w:ind w:left="1440" w:right="1471" w:firstLine="0"/>
        <w:jc w:val="left"/>
        <w:rPr>
          <w:rFonts w:ascii="Calibri" w:hAnsi="Calibri"/>
          <w:sz w:val="22"/>
        </w:rPr>
      </w:pPr>
      <w:r>
        <w:rPr>
          <w:rFonts w:ascii="Calibri" w:hAnsi="Calibri"/>
          <w:sz w:val="22"/>
        </w:rPr>
        <w:t>Fel</w:t>
      </w:r>
      <w:r>
        <w:rPr>
          <w:rFonts w:ascii="Calibri" w:hAnsi="Calibri"/>
          <w:spacing w:val="-3"/>
          <w:sz w:val="22"/>
        </w:rPr>
        <w:t> </w:t>
      </w:r>
      <w:r>
        <w:rPr>
          <w:rFonts w:ascii="Calibri" w:hAnsi="Calibri"/>
          <w:sz w:val="22"/>
        </w:rPr>
        <w:t>y</w:t>
      </w:r>
      <w:r>
        <w:rPr>
          <w:rFonts w:ascii="Calibri" w:hAnsi="Calibri"/>
          <w:spacing w:val="-4"/>
          <w:sz w:val="22"/>
        </w:rPr>
        <w:t> </w:t>
      </w:r>
      <w:r>
        <w:rPr>
          <w:rFonts w:ascii="Calibri" w:hAnsi="Calibri"/>
          <w:sz w:val="22"/>
        </w:rPr>
        <w:t>soniwyd</w:t>
      </w:r>
      <w:r>
        <w:rPr>
          <w:rFonts w:ascii="Calibri" w:hAnsi="Calibri"/>
          <w:spacing w:val="-3"/>
          <w:sz w:val="22"/>
        </w:rPr>
        <w:t> </w:t>
      </w:r>
      <w:r>
        <w:rPr>
          <w:rFonts w:ascii="Calibri" w:hAnsi="Calibri"/>
          <w:sz w:val="22"/>
        </w:rPr>
        <w:t>eisoes,</w:t>
      </w:r>
      <w:r>
        <w:rPr>
          <w:rFonts w:ascii="Calibri" w:hAnsi="Calibri"/>
          <w:spacing w:val="-4"/>
          <w:sz w:val="22"/>
        </w:rPr>
        <w:t> </w:t>
      </w:r>
      <w:r>
        <w:rPr>
          <w:rFonts w:ascii="Calibri" w:hAnsi="Calibri"/>
          <w:sz w:val="22"/>
        </w:rPr>
        <w:t>mae</w:t>
      </w:r>
      <w:r>
        <w:rPr>
          <w:rFonts w:ascii="Calibri" w:hAnsi="Calibri"/>
          <w:spacing w:val="-3"/>
          <w:sz w:val="22"/>
        </w:rPr>
        <w:t> </w:t>
      </w:r>
      <w:r>
        <w:rPr>
          <w:rFonts w:ascii="Calibri" w:hAnsi="Calibri"/>
          <w:sz w:val="22"/>
        </w:rPr>
        <w:t>tudalennau</w:t>
      </w:r>
      <w:r>
        <w:rPr>
          <w:rFonts w:ascii="Calibri" w:hAnsi="Calibri"/>
          <w:spacing w:val="-3"/>
          <w:sz w:val="22"/>
        </w:rPr>
        <w:t> </w:t>
      </w:r>
      <w:r>
        <w:rPr>
          <w:rFonts w:ascii="Calibri" w:hAnsi="Calibri"/>
          <w:sz w:val="22"/>
        </w:rPr>
        <w:t>dynodedig</w:t>
      </w:r>
      <w:r>
        <w:rPr>
          <w:rFonts w:ascii="Calibri" w:hAnsi="Calibri"/>
          <w:spacing w:val="-4"/>
          <w:sz w:val="22"/>
        </w:rPr>
        <w:t> </w:t>
      </w:r>
      <w:r>
        <w:rPr>
          <w:rFonts w:ascii="Calibri" w:hAnsi="Calibri"/>
          <w:sz w:val="22"/>
        </w:rPr>
        <w:t>ar</w:t>
      </w:r>
      <w:r>
        <w:rPr>
          <w:rFonts w:ascii="Calibri" w:hAnsi="Calibri"/>
          <w:spacing w:val="-4"/>
          <w:sz w:val="22"/>
        </w:rPr>
        <w:t> </w:t>
      </w:r>
      <w:r>
        <w:rPr>
          <w:rFonts w:ascii="Calibri" w:hAnsi="Calibri"/>
          <w:sz w:val="22"/>
        </w:rPr>
        <w:t>dudalen</w:t>
      </w:r>
      <w:r>
        <w:rPr>
          <w:rFonts w:ascii="Calibri" w:hAnsi="Calibri"/>
          <w:spacing w:val="-3"/>
          <w:sz w:val="22"/>
        </w:rPr>
        <w:t> </w:t>
      </w:r>
      <w:r>
        <w:rPr>
          <w:rFonts w:ascii="Calibri" w:hAnsi="Calibri"/>
          <w:sz w:val="22"/>
        </w:rPr>
        <w:t>fewnrwyd</w:t>
      </w:r>
      <w:r>
        <w:rPr>
          <w:rFonts w:ascii="Calibri" w:hAnsi="Calibri"/>
          <w:spacing w:val="-3"/>
          <w:sz w:val="22"/>
        </w:rPr>
        <w:t> </w:t>
      </w:r>
      <w:r>
        <w:rPr>
          <w:rFonts w:ascii="Calibri" w:hAnsi="Calibri"/>
          <w:sz w:val="22"/>
        </w:rPr>
        <w:t>y</w:t>
      </w:r>
      <w:r>
        <w:rPr>
          <w:rFonts w:ascii="Calibri" w:hAnsi="Calibri"/>
          <w:spacing w:val="-3"/>
          <w:sz w:val="22"/>
        </w:rPr>
        <w:t> </w:t>
      </w:r>
      <w:r>
        <w:rPr>
          <w:rFonts w:ascii="Calibri" w:hAnsi="Calibri"/>
          <w:sz w:val="22"/>
        </w:rPr>
        <w:t>sefydliad</w:t>
      </w:r>
      <w:r>
        <w:rPr>
          <w:rFonts w:ascii="Calibri" w:hAnsi="Calibri"/>
          <w:spacing w:val="-4"/>
          <w:sz w:val="22"/>
        </w:rPr>
        <w:t> </w:t>
      </w:r>
      <w:r>
        <w:rPr>
          <w:rFonts w:ascii="Calibri" w:hAnsi="Calibri"/>
          <w:sz w:val="22"/>
        </w:rPr>
        <w:t>ar</w:t>
      </w:r>
      <w:r>
        <w:rPr>
          <w:rFonts w:ascii="Calibri" w:hAnsi="Calibri"/>
          <w:spacing w:val="-4"/>
          <w:sz w:val="22"/>
        </w:rPr>
        <w:t> </w:t>
      </w:r>
      <w:r>
        <w:rPr>
          <w:rFonts w:ascii="Calibri" w:hAnsi="Calibri"/>
          <w:sz w:val="22"/>
        </w:rPr>
        <w:t>y</w:t>
      </w:r>
      <w:r>
        <w:rPr>
          <w:rFonts w:ascii="Calibri" w:hAnsi="Calibri"/>
          <w:spacing w:val="-3"/>
          <w:sz w:val="22"/>
        </w:rPr>
        <w:t> </w:t>
      </w:r>
      <w:r>
        <w:rPr>
          <w:rFonts w:ascii="Calibri" w:hAnsi="Calibri"/>
          <w:sz w:val="22"/>
        </w:rPr>
        <w:t>defnydd mewnol o’r Gymraeg y gall staff eu darllen i hyrwyddo a chynyddu’r defnydd o’r Gymraeg yn y </w:t>
      </w:r>
      <w:r>
        <w:rPr>
          <w:rFonts w:ascii="Calibri" w:hAnsi="Calibri"/>
          <w:spacing w:val="-2"/>
          <w:sz w:val="22"/>
        </w:rPr>
        <w:t>gwaith.</w:t>
      </w:r>
    </w:p>
    <w:p>
      <w:pPr>
        <w:pStyle w:val="BodyText"/>
        <w:spacing w:before="8"/>
        <w:rPr>
          <w:rFonts w:ascii="Calibri"/>
          <w:sz w:val="23"/>
        </w:rPr>
      </w:pPr>
    </w:p>
    <w:p>
      <w:pPr>
        <w:spacing w:line="259" w:lineRule="auto" w:before="0"/>
        <w:ind w:left="1440" w:right="1547" w:firstLine="0"/>
        <w:jc w:val="left"/>
        <w:rPr>
          <w:rFonts w:ascii="Calibri" w:hAnsi="Calibri"/>
          <w:sz w:val="22"/>
        </w:rPr>
      </w:pPr>
      <w:r>
        <w:rPr>
          <w:rFonts w:ascii="Calibri" w:hAnsi="Calibri"/>
          <w:sz w:val="22"/>
        </w:rPr>
        <w:t>Mae dogfennau sy'n ymwneud â chyflogi staff yn ogystal â dogfennau megis gosod amcanion perfformiad,</w:t>
      </w:r>
      <w:r>
        <w:rPr>
          <w:rFonts w:ascii="Calibri" w:hAnsi="Calibri"/>
          <w:spacing w:val="-4"/>
          <w:sz w:val="22"/>
        </w:rPr>
        <w:t> </w:t>
      </w:r>
      <w:r>
        <w:rPr>
          <w:rFonts w:ascii="Calibri" w:hAnsi="Calibri"/>
          <w:sz w:val="22"/>
        </w:rPr>
        <w:t>a</w:t>
      </w:r>
      <w:r>
        <w:rPr>
          <w:rFonts w:ascii="Calibri" w:hAnsi="Calibri"/>
          <w:spacing w:val="-4"/>
          <w:sz w:val="22"/>
        </w:rPr>
        <w:t> </w:t>
      </w:r>
      <w:r>
        <w:rPr>
          <w:rFonts w:ascii="Calibri" w:hAnsi="Calibri"/>
          <w:sz w:val="22"/>
        </w:rPr>
        <w:t>dogfennau</w:t>
      </w:r>
      <w:r>
        <w:rPr>
          <w:rFonts w:ascii="Calibri" w:hAnsi="Calibri"/>
          <w:spacing w:val="-3"/>
          <w:sz w:val="22"/>
        </w:rPr>
        <w:t> </w:t>
      </w:r>
      <w:r>
        <w:rPr>
          <w:rFonts w:ascii="Calibri" w:hAnsi="Calibri"/>
          <w:sz w:val="22"/>
        </w:rPr>
        <w:t>cynllunio</w:t>
      </w:r>
      <w:r>
        <w:rPr>
          <w:rFonts w:ascii="Calibri" w:hAnsi="Calibri"/>
          <w:spacing w:val="-4"/>
          <w:sz w:val="22"/>
        </w:rPr>
        <w:t> </w:t>
      </w:r>
      <w:r>
        <w:rPr>
          <w:rFonts w:ascii="Calibri" w:hAnsi="Calibri"/>
          <w:sz w:val="22"/>
        </w:rPr>
        <w:t>gyrfa</w:t>
      </w:r>
      <w:r>
        <w:rPr>
          <w:rFonts w:ascii="Calibri" w:hAnsi="Calibri"/>
          <w:spacing w:val="-4"/>
          <w:sz w:val="22"/>
        </w:rPr>
        <w:t> </w:t>
      </w:r>
      <w:r>
        <w:rPr>
          <w:rFonts w:ascii="Calibri" w:hAnsi="Calibri"/>
          <w:sz w:val="22"/>
        </w:rPr>
        <w:t>ar</w:t>
      </w:r>
      <w:r>
        <w:rPr>
          <w:rFonts w:ascii="Calibri" w:hAnsi="Calibri"/>
          <w:spacing w:val="-4"/>
          <w:sz w:val="22"/>
        </w:rPr>
        <w:t> </w:t>
      </w:r>
      <w:r>
        <w:rPr>
          <w:rFonts w:ascii="Calibri" w:hAnsi="Calibri"/>
          <w:sz w:val="22"/>
        </w:rPr>
        <w:t>gael</w:t>
      </w:r>
      <w:r>
        <w:rPr>
          <w:rFonts w:ascii="Calibri" w:hAnsi="Calibri"/>
          <w:spacing w:val="-3"/>
          <w:sz w:val="22"/>
        </w:rPr>
        <w:t> </w:t>
      </w:r>
      <w:r>
        <w:rPr>
          <w:rFonts w:ascii="Calibri" w:hAnsi="Calibri"/>
          <w:sz w:val="22"/>
        </w:rPr>
        <w:t>yn</w:t>
      </w:r>
      <w:r>
        <w:rPr>
          <w:rFonts w:ascii="Calibri" w:hAnsi="Calibri"/>
          <w:spacing w:val="-3"/>
          <w:sz w:val="22"/>
        </w:rPr>
        <w:t> </w:t>
      </w:r>
      <w:r>
        <w:rPr>
          <w:rFonts w:ascii="Calibri" w:hAnsi="Calibri"/>
          <w:sz w:val="22"/>
        </w:rPr>
        <w:t>ddwyieithog.</w:t>
      </w:r>
      <w:r>
        <w:rPr>
          <w:rFonts w:ascii="Calibri" w:hAnsi="Calibri"/>
          <w:spacing w:val="-3"/>
          <w:sz w:val="22"/>
        </w:rPr>
        <w:t> </w:t>
      </w:r>
      <w:r>
        <w:rPr>
          <w:rFonts w:ascii="Calibri" w:hAnsi="Calibri"/>
          <w:sz w:val="22"/>
        </w:rPr>
        <w:t>Mae</w:t>
      </w:r>
      <w:r>
        <w:rPr>
          <w:rFonts w:ascii="Calibri" w:hAnsi="Calibri"/>
          <w:spacing w:val="-3"/>
          <w:sz w:val="22"/>
        </w:rPr>
        <w:t> </w:t>
      </w:r>
      <w:r>
        <w:rPr>
          <w:rFonts w:ascii="Calibri" w:hAnsi="Calibri"/>
          <w:sz w:val="22"/>
        </w:rPr>
        <w:t>polisïau</w:t>
      </w:r>
      <w:r>
        <w:rPr>
          <w:rFonts w:ascii="Calibri" w:hAnsi="Calibri"/>
          <w:spacing w:val="-4"/>
          <w:sz w:val="22"/>
        </w:rPr>
        <w:t> </w:t>
      </w:r>
      <w:r>
        <w:rPr>
          <w:rFonts w:ascii="Calibri" w:hAnsi="Calibri"/>
          <w:sz w:val="22"/>
        </w:rPr>
        <w:t>Cymru</w:t>
      </w:r>
      <w:r>
        <w:rPr>
          <w:rFonts w:ascii="Calibri" w:hAnsi="Calibri"/>
          <w:spacing w:val="-3"/>
          <w:sz w:val="22"/>
        </w:rPr>
        <w:t> </w:t>
      </w:r>
      <w:r>
        <w:rPr>
          <w:rFonts w:ascii="Calibri" w:hAnsi="Calibri"/>
          <w:sz w:val="22"/>
        </w:rPr>
        <w:t>Gyfan</w:t>
      </w:r>
      <w:r>
        <w:rPr>
          <w:rFonts w:ascii="Calibri" w:hAnsi="Calibri"/>
          <w:spacing w:val="-3"/>
          <w:sz w:val="22"/>
        </w:rPr>
        <w:t> </w:t>
      </w:r>
      <w:r>
        <w:rPr>
          <w:rFonts w:ascii="Calibri" w:hAnsi="Calibri"/>
          <w:sz w:val="22"/>
        </w:rPr>
        <w:t>megis Ymddygiad yn y Gweithle, Absenoldeb o'r Gwaith ac Iechyd a Llesiant yn y Gwaith ar gael yn Gymraeg</w:t>
      </w:r>
      <w:r>
        <w:rPr>
          <w:rFonts w:ascii="Calibri" w:hAnsi="Calibri"/>
          <w:spacing w:val="-2"/>
          <w:sz w:val="22"/>
        </w:rPr>
        <w:t> </w:t>
      </w:r>
      <w:r>
        <w:rPr>
          <w:rFonts w:ascii="Calibri" w:hAnsi="Calibri"/>
          <w:sz w:val="22"/>
        </w:rPr>
        <w:t>ac</w:t>
      </w:r>
      <w:r>
        <w:rPr>
          <w:rFonts w:ascii="Calibri" w:hAnsi="Calibri"/>
          <w:spacing w:val="-2"/>
          <w:sz w:val="22"/>
        </w:rPr>
        <w:t> </w:t>
      </w:r>
      <w:r>
        <w:rPr>
          <w:rFonts w:ascii="Calibri" w:hAnsi="Calibri"/>
          <w:sz w:val="22"/>
        </w:rPr>
        <w:t>yn</w:t>
      </w:r>
      <w:r>
        <w:rPr>
          <w:rFonts w:ascii="Calibri" w:hAnsi="Calibri"/>
          <w:spacing w:val="-1"/>
          <w:sz w:val="22"/>
        </w:rPr>
        <w:t> </w:t>
      </w:r>
      <w:r>
        <w:rPr>
          <w:rFonts w:ascii="Calibri" w:hAnsi="Calibri"/>
          <w:sz w:val="22"/>
        </w:rPr>
        <w:t>Saesneg</w:t>
      </w:r>
      <w:r>
        <w:rPr>
          <w:rFonts w:ascii="Calibri" w:hAnsi="Calibri"/>
          <w:spacing w:val="-1"/>
          <w:sz w:val="22"/>
        </w:rPr>
        <w:t> </w:t>
      </w:r>
      <w:r>
        <w:rPr>
          <w:rFonts w:ascii="Calibri" w:hAnsi="Calibri"/>
          <w:sz w:val="22"/>
        </w:rPr>
        <w:t>ac</w:t>
      </w:r>
      <w:r>
        <w:rPr>
          <w:rFonts w:ascii="Calibri" w:hAnsi="Calibri"/>
          <w:spacing w:val="-2"/>
          <w:sz w:val="22"/>
        </w:rPr>
        <w:t> </w:t>
      </w:r>
      <w:r>
        <w:rPr>
          <w:rFonts w:ascii="Calibri" w:hAnsi="Calibri"/>
          <w:sz w:val="22"/>
        </w:rPr>
        <w:t>maent</w:t>
      </w:r>
      <w:r>
        <w:rPr>
          <w:rFonts w:ascii="Calibri" w:hAnsi="Calibri"/>
          <w:spacing w:val="-1"/>
          <w:sz w:val="22"/>
        </w:rPr>
        <w:t> </w:t>
      </w:r>
      <w:r>
        <w:rPr>
          <w:rFonts w:ascii="Calibri" w:hAnsi="Calibri"/>
          <w:sz w:val="22"/>
        </w:rPr>
        <w:t>wedi'u</w:t>
      </w:r>
      <w:r>
        <w:rPr>
          <w:rFonts w:ascii="Calibri" w:hAnsi="Calibri"/>
          <w:spacing w:val="-2"/>
          <w:sz w:val="22"/>
        </w:rPr>
        <w:t> </w:t>
      </w:r>
      <w:r>
        <w:rPr>
          <w:rFonts w:ascii="Calibri" w:hAnsi="Calibri"/>
          <w:sz w:val="22"/>
        </w:rPr>
        <w:t>cyhoeddi</w:t>
      </w:r>
      <w:r>
        <w:rPr>
          <w:rFonts w:ascii="Calibri" w:hAnsi="Calibri"/>
          <w:spacing w:val="-1"/>
          <w:sz w:val="22"/>
        </w:rPr>
        <w:t> </w:t>
      </w:r>
      <w:r>
        <w:rPr>
          <w:rFonts w:ascii="Calibri" w:hAnsi="Calibri"/>
          <w:sz w:val="22"/>
        </w:rPr>
        <w:t>ar</w:t>
      </w:r>
      <w:r>
        <w:rPr>
          <w:rFonts w:ascii="Calibri" w:hAnsi="Calibri"/>
          <w:spacing w:val="-2"/>
          <w:sz w:val="22"/>
        </w:rPr>
        <w:t> </w:t>
      </w:r>
      <w:r>
        <w:rPr>
          <w:rFonts w:ascii="Calibri" w:hAnsi="Calibri"/>
          <w:sz w:val="22"/>
        </w:rPr>
        <w:t>y</w:t>
      </w:r>
      <w:r>
        <w:rPr>
          <w:rFonts w:ascii="Calibri" w:hAnsi="Calibri"/>
          <w:spacing w:val="-1"/>
          <w:sz w:val="22"/>
        </w:rPr>
        <w:t> </w:t>
      </w:r>
      <w:r>
        <w:rPr>
          <w:rFonts w:ascii="Calibri" w:hAnsi="Calibri"/>
          <w:sz w:val="22"/>
        </w:rPr>
        <w:t>fewnrwyd.</w:t>
      </w:r>
      <w:r>
        <w:rPr>
          <w:rFonts w:ascii="Calibri" w:hAnsi="Calibri"/>
          <w:spacing w:val="80"/>
          <w:sz w:val="22"/>
        </w:rPr>
        <w:t> </w:t>
      </w:r>
      <w:r>
        <w:rPr>
          <w:rFonts w:ascii="Calibri" w:hAnsi="Calibri"/>
          <w:sz w:val="22"/>
        </w:rPr>
        <w:t>Mae</w:t>
      </w:r>
      <w:r>
        <w:rPr>
          <w:rFonts w:ascii="Calibri" w:hAnsi="Calibri"/>
          <w:spacing w:val="-1"/>
          <w:sz w:val="22"/>
        </w:rPr>
        <w:t> </w:t>
      </w:r>
      <w:r>
        <w:rPr>
          <w:rFonts w:ascii="Calibri" w:hAnsi="Calibri"/>
          <w:sz w:val="22"/>
        </w:rPr>
        <w:t>Rheolwr</w:t>
      </w:r>
      <w:r>
        <w:rPr>
          <w:rFonts w:ascii="Calibri" w:hAnsi="Calibri"/>
          <w:spacing w:val="-1"/>
          <w:sz w:val="22"/>
        </w:rPr>
        <w:t> </w:t>
      </w:r>
      <w:r>
        <w:rPr>
          <w:rFonts w:ascii="Calibri" w:hAnsi="Calibri"/>
          <w:sz w:val="22"/>
        </w:rPr>
        <w:t>Gwasanaethau’r</w:t>
      </w:r>
    </w:p>
    <w:p>
      <w:pPr>
        <w:spacing w:after="0" w:line="259" w:lineRule="auto"/>
        <w:jc w:val="left"/>
        <w:rPr>
          <w:rFonts w:ascii="Calibri" w:hAnsi="Calibri"/>
          <w:sz w:val="22"/>
        </w:rPr>
        <w:sectPr>
          <w:pgSz w:w="11910" w:h="16840"/>
          <w:pgMar w:header="0" w:footer="173" w:top="1760" w:bottom="360" w:left="0" w:right="0"/>
        </w:sectPr>
      </w:pPr>
    </w:p>
    <w:p>
      <w:pPr>
        <w:spacing w:line="259" w:lineRule="auto" w:before="42"/>
        <w:ind w:left="1440" w:right="1405" w:firstLine="0"/>
        <w:jc w:val="left"/>
        <w:rPr>
          <w:rFonts w:ascii="Calibri" w:hAnsi="Calibri"/>
          <w:sz w:val="22"/>
        </w:rPr>
      </w:pPr>
      <w:r>
        <w:rPr>
          <w:rFonts w:ascii="Calibri" w:hAnsi="Calibri"/>
          <w:sz w:val="22"/>
        </w:rPr>
        <w:t>Gymraeg</w:t>
      </w:r>
      <w:r>
        <w:rPr>
          <w:rFonts w:ascii="Calibri" w:hAnsi="Calibri"/>
          <w:spacing w:val="-4"/>
          <w:sz w:val="22"/>
        </w:rPr>
        <w:t> </w:t>
      </w:r>
      <w:r>
        <w:rPr>
          <w:rFonts w:ascii="Calibri" w:hAnsi="Calibri"/>
          <w:sz w:val="22"/>
        </w:rPr>
        <w:t>wedi</w:t>
      </w:r>
      <w:r>
        <w:rPr>
          <w:rFonts w:ascii="Calibri" w:hAnsi="Calibri"/>
          <w:spacing w:val="-3"/>
          <w:sz w:val="22"/>
        </w:rPr>
        <w:t> </w:t>
      </w:r>
      <w:r>
        <w:rPr>
          <w:rFonts w:ascii="Calibri" w:hAnsi="Calibri"/>
          <w:sz w:val="22"/>
        </w:rPr>
        <w:t>bod</w:t>
      </w:r>
      <w:r>
        <w:rPr>
          <w:rFonts w:ascii="Calibri" w:hAnsi="Calibri"/>
          <w:spacing w:val="-3"/>
          <w:sz w:val="22"/>
        </w:rPr>
        <w:t> </w:t>
      </w:r>
      <w:r>
        <w:rPr>
          <w:rFonts w:ascii="Calibri" w:hAnsi="Calibri"/>
          <w:sz w:val="22"/>
        </w:rPr>
        <w:t>yn</w:t>
      </w:r>
      <w:r>
        <w:rPr>
          <w:rFonts w:ascii="Calibri" w:hAnsi="Calibri"/>
          <w:spacing w:val="-3"/>
          <w:sz w:val="22"/>
        </w:rPr>
        <w:t> </w:t>
      </w:r>
      <w:r>
        <w:rPr>
          <w:rFonts w:ascii="Calibri" w:hAnsi="Calibri"/>
          <w:sz w:val="22"/>
        </w:rPr>
        <w:t>cefnogi</w:t>
      </w:r>
      <w:r>
        <w:rPr>
          <w:rFonts w:ascii="Calibri" w:hAnsi="Calibri"/>
          <w:spacing w:val="-3"/>
          <w:sz w:val="22"/>
        </w:rPr>
        <w:t> </w:t>
      </w:r>
      <w:r>
        <w:rPr>
          <w:rFonts w:ascii="Calibri" w:hAnsi="Calibri"/>
          <w:sz w:val="22"/>
        </w:rPr>
        <w:t>Cyflogwyr</w:t>
      </w:r>
      <w:r>
        <w:rPr>
          <w:rFonts w:ascii="Calibri" w:hAnsi="Calibri"/>
          <w:spacing w:val="-4"/>
          <w:sz w:val="22"/>
        </w:rPr>
        <w:t> </w:t>
      </w:r>
      <w:r>
        <w:rPr>
          <w:rFonts w:ascii="Calibri" w:hAnsi="Calibri"/>
          <w:sz w:val="22"/>
        </w:rPr>
        <w:t>GIG</w:t>
      </w:r>
      <w:r>
        <w:rPr>
          <w:rFonts w:ascii="Calibri" w:hAnsi="Calibri"/>
          <w:spacing w:val="-3"/>
          <w:sz w:val="22"/>
        </w:rPr>
        <w:t> </w:t>
      </w:r>
      <w:r>
        <w:rPr>
          <w:rFonts w:ascii="Calibri" w:hAnsi="Calibri"/>
          <w:sz w:val="22"/>
        </w:rPr>
        <w:t>Cymru</w:t>
      </w:r>
      <w:r>
        <w:rPr>
          <w:rFonts w:ascii="Calibri" w:hAnsi="Calibri"/>
          <w:spacing w:val="-3"/>
          <w:sz w:val="22"/>
        </w:rPr>
        <w:t> </w:t>
      </w:r>
      <w:r>
        <w:rPr>
          <w:rFonts w:ascii="Calibri" w:hAnsi="Calibri"/>
          <w:sz w:val="22"/>
        </w:rPr>
        <w:t>ar</w:t>
      </w:r>
      <w:r>
        <w:rPr>
          <w:rFonts w:ascii="Calibri" w:hAnsi="Calibri"/>
          <w:spacing w:val="-4"/>
          <w:sz w:val="22"/>
        </w:rPr>
        <w:t> </w:t>
      </w:r>
      <w:r>
        <w:rPr>
          <w:rFonts w:ascii="Calibri" w:hAnsi="Calibri"/>
          <w:sz w:val="22"/>
        </w:rPr>
        <w:t>faterion</w:t>
      </w:r>
      <w:r>
        <w:rPr>
          <w:rFonts w:ascii="Calibri" w:hAnsi="Calibri"/>
          <w:spacing w:val="-4"/>
          <w:sz w:val="22"/>
        </w:rPr>
        <w:t> </w:t>
      </w:r>
      <w:r>
        <w:rPr>
          <w:rFonts w:ascii="Calibri" w:hAnsi="Calibri"/>
          <w:sz w:val="22"/>
        </w:rPr>
        <w:t>dwyieithog</w:t>
      </w:r>
      <w:r>
        <w:rPr>
          <w:rFonts w:ascii="Calibri" w:hAnsi="Calibri"/>
          <w:spacing w:val="-3"/>
          <w:sz w:val="22"/>
        </w:rPr>
        <w:t> </w:t>
      </w:r>
      <w:r>
        <w:rPr>
          <w:rFonts w:ascii="Calibri" w:hAnsi="Calibri"/>
          <w:sz w:val="22"/>
        </w:rPr>
        <w:t>a</w:t>
      </w:r>
      <w:r>
        <w:rPr>
          <w:rFonts w:ascii="Calibri" w:hAnsi="Calibri"/>
          <w:spacing w:val="-4"/>
          <w:sz w:val="22"/>
        </w:rPr>
        <w:t> </w:t>
      </w:r>
      <w:r>
        <w:rPr>
          <w:rFonts w:ascii="Calibri" w:hAnsi="Calibri"/>
          <w:sz w:val="22"/>
        </w:rPr>
        <w:t>chymorth</w:t>
      </w:r>
      <w:r>
        <w:rPr>
          <w:rFonts w:ascii="Calibri" w:hAnsi="Calibri"/>
          <w:spacing w:val="-3"/>
          <w:sz w:val="22"/>
        </w:rPr>
        <w:t> </w:t>
      </w:r>
      <w:r>
        <w:rPr>
          <w:rFonts w:ascii="Calibri" w:hAnsi="Calibri"/>
          <w:sz w:val="22"/>
        </w:rPr>
        <w:t>cyfieithu</w:t>
      </w:r>
      <w:r>
        <w:rPr>
          <w:rFonts w:ascii="Calibri" w:hAnsi="Calibri"/>
          <w:spacing w:val="-4"/>
          <w:sz w:val="22"/>
        </w:rPr>
        <w:t> </w:t>
      </w:r>
      <w:r>
        <w:rPr>
          <w:rFonts w:ascii="Calibri" w:hAnsi="Calibri"/>
          <w:sz w:val="22"/>
        </w:rPr>
        <w:t>ar gyfer polisïau Cymru Gyfan.</w:t>
      </w: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11"/>
        <w:rPr>
          <w:rFonts w:ascii="Calibri"/>
          <w:sz w:val="28"/>
        </w:rPr>
      </w:pPr>
    </w:p>
    <w:p>
      <w:pPr>
        <w:pStyle w:val="Heading7"/>
      </w:pPr>
      <w:r>
        <w:rPr/>
        <w:t>Technoleg,</w:t>
      </w:r>
      <w:r>
        <w:rPr>
          <w:spacing w:val="-4"/>
        </w:rPr>
        <w:t> </w:t>
      </w:r>
      <w:r>
        <w:rPr/>
        <w:t>Mewnrwyd</w:t>
      </w:r>
      <w:r>
        <w:rPr>
          <w:spacing w:val="-3"/>
        </w:rPr>
        <w:t> </w:t>
      </w:r>
      <w:r>
        <w:rPr/>
        <w:t>ac</w:t>
      </w:r>
      <w:r>
        <w:rPr>
          <w:spacing w:val="-2"/>
        </w:rPr>
        <w:t> Apiau.</w:t>
      </w:r>
    </w:p>
    <w:p>
      <w:pPr>
        <w:spacing w:line="259" w:lineRule="auto" w:before="27"/>
        <w:ind w:left="1440" w:right="1832" w:firstLine="0"/>
        <w:jc w:val="left"/>
        <w:rPr>
          <w:rFonts w:ascii="Calibri" w:hAnsi="Calibri"/>
          <w:sz w:val="22"/>
        </w:rPr>
      </w:pPr>
      <w:r>
        <w:rPr>
          <w:rFonts w:ascii="Calibri" w:hAnsi="Calibri"/>
          <w:sz w:val="22"/>
        </w:rPr>
        <w:t>Mae'r tudalennau mewnrwyd a amlinellir yn ein hysbysiad cydymffurfio ar gael yn Gymraeg.</w:t>
      </w:r>
      <w:r>
        <w:rPr>
          <w:rFonts w:ascii="Calibri" w:hAnsi="Calibri"/>
          <w:spacing w:val="40"/>
          <w:sz w:val="22"/>
        </w:rPr>
        <w:t> </w:t>
      </w:r>
      <w:r>
        <w:rPr>
          <w:rFonts w:ascii="Calibri" w:hAnsi="Calibri"/>
          <w:sz w:val="22"/>
        </w:rPr>
        <w:t>Mae tudalen cymorth iaith Gymraeg y gall staff gael mynediad iddi ar ein safle mewnrwyd. Cynhelir</w:t>
      </w:r>
      <w:r>
        <w:rPr>
          <w:rFonts w:ascii="Calibri" w:hAnsi="Calibri"/>
          <w:spacing w:val="-4"/>
          <w:sz w:val="22"/>
        </w:rPr>
        <w:t> </w:t>
      </w:r>
      <w:r>
        <w:rPr>
          <w:rFonts w:ascii="Calibri" w:hAnsi="Calibri"/>
          <w:sz w:val="22"/>
        </w:rPr>
        <w:t>adolygiad</w:t>
      </w:r>
      <w:r>
        <w:rPr>
          <w:rFonts w:ascii="Calibri" w:hAnsi="Calibri"/>
          <w:spacing w:val="-4"/>
          <w:sz w:val="22"/>
        </w:rPr>
        <w:t> </w:t>
      </w:r>
      <w:r>
        <w:rPr>
          <w:rFonts w:ascii="Calibri" w:hAnsi="Calibri"/>
          <w:sz w:val="22"/>
        </w:rPr>
        <w:t>o’r</w:t>
      </w:r>
      <w:r>
        <w:rPr>
          <w:rFonts w:ascii="Calibri" w:hAnsi="Calibri"/>
          <w:spacing w:val="-3"/>
          <w:sz w:val="22"/>
        </w:rPr>
        <w:t> </w:t>
      </w:r>
      <w:r>
        <w:rPr>
          <w:rFonts w:ascii="Calibri" w:hAnsi="Calibri"/>
          <w:sz w:val="22"/>
        </w:rPr>
        <w:t>tudalennau</w:t>
      </w:r>
      <w:r>
        <w:rPr>
          <w:rFonts w:ascii="Calibri" w:hAnsi="Calibri"/>
          <w:spacing w:val="-4"/>
          <w:sz w:val="22"/>
        </w:rPr>
        <w:t> </w:t>
      </w:r>
      <w:r>
        <w:rPr>
          <w:rFonts w:ascii="Calibri" w:hAnsi="Calibri"/>
          <w:sz w:val="22"/>
        </w:rPr>
        <w:t>Pobl</w:t>
      </w:r>
      <w:r>
        <w:rPr>
          <w:rFonts w:ascii="Calibri" w:hAnsi="Calibri"/>
          <w:spacing w:val="-3"/>
          <w:sz w:val="22"/>
        </w:rPr>
        <w:t> </w:t>
      </w:r>
      <w:r>
        <w:rPr>
          <w:rFonts w:ascii="Calibri" w:hAnsi="Calibri"/>
          <w:sz w:val="22"/>
        </w:rPr>
        <w:t>a</w:t>
      </w:r>
      <w:r>
        <w:rPr>
          <w:rFonts w:ascii="Calibri" w:hAnsi="Calibri"/>
          <w:spacing w:val="-4"/>
          <w:sz w:val="22"/>
        </w:rPr>
        <w:t> </w:t>
      </w:r>
      <w:r>
        <w:rPr>
          <w:rFonts w:ascii="Calibri" w:hAnsi="Calibri"/>
          <w:sz w:val="22"/>
        </w:rPr>
        <w:t>Datblygiad</w:t>
      </w:r>
      <w:r>
        <w:rPr>
          <w:rFonts w:ascii="Calibri" w:hAnsi="Calibri"/>
          <w:spacing w:val="-4"/>
          <w:sz w:val="22"/>
        </w:rPr>
        <w:t> </w:t>
      </w:r>
      <w:r>
        <w:rPr>
          <w:rFonts w:ascii="Calibri" w:hAnsi="Calibri"/>
          <w:sz w:val="22"/>
        </w:rPr>
        <w:t>Sefydliadol</w:t>
      </w:r>
      <w:r>
        <w:rPr>
          <w:rFonts w:ascii="Calibri" w:hAnsi="Calibri"/>
          <w:spacing w:val="-3"/>
          <w:sz w:val="22"/>
        </w:rPr>
        <w:t> </w:t>
      </w:r>
      <w:r>
        <w:rPr>
          <w:rFonts w:ascii="Calibri" w:hAnsi="Calibri"/>
          <w:sz w:val="22"/>
        </w:rPr>
        <w:t>yn</w:t>
      </w:r>
      <w:r>
        <w:rPr>
          <w:rFonts w:ascii="Calibri" w:hAnsi="Calibri"/>
          <w:spacing w:val="-3"/>
          <w:sz w:val="22"/>
        </w:rPr>
        <w:t> </w:t>
      </w:r>
      <w:r>
        <w:rPr>
          <w:rFonts w:ascii="Calibri" w:hAnsi="Calibri"/>
          <w:sz w:val="22"/>
        </w:rPr>
        <w:t>2022/23</w:t>
      </w:r>
      <w:r>
        <w:rPr>
          <w:rFonts w:ascii="Calibri" w:hAnsi="Calibri"/>
          <w:spacing w:val="-4"/>
          <w:sz w:val="22"/>
        </w:rPr>
        <w:t> </w:t>
      </w:r>
      <w:r>
        <w:rPr>
          <w:rFonts w:ascii="Calibri" w:hAnsi="Calibri"/>
          <w:sz w:val="22"/>
        </w:rPr>
        <w:t>i</w:t>
      </w:r>
      <w:r>
        <w:rPr>
          <w:rFonts w:ascii="Calibri" w:hAnsi="Calibri"/>
          <w:spacing w:val="-3"/>
          <w:sz w:val="22"/>
        </w:rPr>
        <w:t> </w:t>
      </w:r>
      <w:r>
        <w:rPr>
          <w:rFonts w:ascii="Calibri" w:hAnsi="Calibri"/>
          <w:sz w:val="22"/>
        </w:rPr>
        <w:t>sicrhau</w:t>
      </w:r>
      <w:r>
        <w:rPr>
          <w:rFonts w:ascii="Calibri" w:hAnsi="Calibri"/>
          <w:spacing w:val="-3"/>
          <w:sz w:val="22"/>
        </w:rPr>
        <w:t> </w:t>
      </w:r>
      <w:r>
        <w:rPr>
          <w:rFonts w:ascii="Calibri" w:hAnsi="Calibri"/>
          <w:sz w:val="22"/>
        </w:rPr>
        <w:t>bod</w:t>
      </w:r>
      <w:r>
        <w:rPr>
          <w:rFonts w:ascii="Calibri" w:hAnsi="Calibri"/>
          <w:spacing w:val="-4"/>
          <w:sz w:val="22"/>
        </w:rPr>
        <w:t> </w:t>
      </w:r>
      <w:r>
        <w:rPr>
          <w:rFonts w:ascii="Calibri" w:hAnsi="Calibri"/>
          <w:sz w:val="22"/>
        </w:rPr>
        <w:t>unrhyw bolisïau newydd/polisiau sydd wedi cael eu hadolygu ar gael drwy gyfrwng y Gymraeg.</w:t>
      </w:r>
    </w:p>
    <w:p>
      <w:pPr>
        <w:pStyle w:val="BodyText"/>
        <w:spacing w:before="8"/>
        <w:rPr>
          <w:rFonts w:ascii="Calibri"/>
          <w:sz w:val="23"/>
        </w:rPr>
      </w:pPr>
    </w:p>
    <w:p>
      <w:pPr>
        <w:spacing w:line="259" w:lineRule="auto" w:before="0"/>
        <w:ind w:left="1440" w:right="1405" w:firstLine="0"/>
        <w:jc w:val="left"/>
        <w:rPr>
          <w:rFonts w:ascii="Calibri" w:hAnsi="Calibri"/>
          <w:sz w:val="22"/>
        </w:rPr>
      </w:pPr>
      <w:r>
        <w:rPr>
          <w:rFonts w:ascii="Calibri" w:hAnsi="Calibri"/>
          <w:sz w:val="22"/>
        </w:rPr>
        <w:t>Mae</w:t>
      </w:r>
      <w:r>
        <w:rPr>
          <w:rFonts w:ascii="Calibri" w:hAnsi="Calibri"/>
          <w:spacing w:val="-2"/>
          <w:sz w:val="22"/>
        </w:rPr>
        <w:t> </w:t>
      </w:r>
      <w:r>
        <w:rPr>
          <w:rFonts w:ascii="Calibri" w:hAnsi="Calibri"/>
          <w:sz w:val="22"/>
        </w:rPr>
        <w:t>Cysgliad</w:t>
      </w:r>
      <w:r>
        <w:rPr>
          <w:rFonts w:ascii="Calibri" w:hAnsi="Calibri"/>
          <w:spacing w:val="-2"/>
          <w:sz w:val="22"/>
        </w:rPr>
        <w:t> </w:t>
      </w:r>
      <w:r>
        <w:rPr>
          <w:rFonts w:ascii="Calibri" w:hAnsi="Calibri"/>
          <w:sz w:val="22"/>
        </w:rPr>
        <w:t>ar</w:t>
      </w:r>
      <w:r>
        <w:rPr>
          <w:rFonts w:ascii="Calibri" w:hAnsi="Calibri"/>
          <w:spacing w:val="-3"/>
          <w:sz w:val="22"/>
        </w:rPr>
        <w:t> </w:t>
      </w:r>
      <w:r>
        <w:rPr>
          <w:rFonts w:ascii="Calibri" w:hAnsi="Calibri"/>
          <w:sz w:val="22"/>
        </w:rPr>
        <w:t>gael</w:t>
      </w:r>
      <w:r>
        <w:rPr>
          <w:rFonts w:ascii="Calibri" w:hAnsi="Calibri"/>
          <w:spacing w:val="-2"/>
          <w:sz w:val="22"/>
        </w:rPr>
        <w:t> </w:t>
      </w:r>
      <w:r>
        <w:rPr>
          <w:rFonts w:ascii="Calibri" w:hAnsi="Calibri"/>
          <w:sz w:val="22"/>
        </w:rPr>
        <w:t>i'r</w:t>
      </w:r>
      <w:r>
        <w:rPr>
          <w:rFonts w:ascii="Calibri" w:hAnsi="Calibri"/>
          <w:spacing w:val="-2"/>
          <w:sz w:val="22"/>
        </w:rPr>
        <w:t> </w:t>
      </w:r>
      <w:r>
        <w:rPr>
          <w:rFonts w:ascii="Calibri" w:hAnsi="Calibri"/>
          <w:sz w:val="22"/>
        </w:rPr>
        <w:t>holl</w:t>
      </w:r>
      <w:r>
        <w:rPr>
          <w:rFonts w:ascii="Calibri" w:hAnsi="Calibri"/>
          <w:spacing w:val="-2"/>
          <w:sz w:val="22"/>
        </w:rPr>
        <w:t> </w:t>
      </w:r>
      <w:r>
        <w:rPr>
          <w:rFonts w:ascii="Calibri" w:hAnsi="Calibri"/>
          <w:sz w:val="22"/>
        </w:rPr>
        <w:t>staff</w:t>
      </w:r>
      <w:r>
        <w:rPr>
          <w:rFonts w:ascii="Calibri" w:hAnsi="Calibri"/>
          <w:spacing w:val="-2"/>
          <w:sz w:val="22"/>
        </w:rPr>
        <w:t> </w:t>
      </w:r>
      <w:r>
        <w:rPr>
          <w:rFonts w:ascii="Calibri" w:hAnsi="Calibri"/>
          <w:sz w:val="22"/>
        </w:rPr>
        <w:t>ei</w:t>
      </w:r>
      <w:r>
        <w:rPr>
          <w:rFonts w:ascii="Calibri" w:hAnsi="Calibri"/>
          <w:spacing w:val="-2"/>
          <w:sz w:val="22"/>
        </w:rPr>
        <w:t> </w:t>
      </w:r>
      <w:r>
        <w:rPr>
          <w:rFonts w:ascii="Calibri" w:hAnsi="Calibri"/>
          <w:sz w:val="22"/>
        </w:rPr>
        <w:t>lawrlwytho</w:t>
      </w:r>
      <w:r>
        <w:rPr>
          <w:rFonts w:ascii="Calibri" w:hAnsi="Calibri"/>
          <w:spacing w:val="-3"/>
          <w:sz w:val="22"/>
        </w:rPr>
        <w:t> </w:t>
      </w:r>
      <w:r>
        <w:rPr>
          <w:rFonts w:ascii="Calibri" w:hAnsi="Calibri"/>
          <w:sz w:val="22"/>
        </w:rPr>
        <w:t>i'w</w:t>
      </w:r>
      <w:r>
        <w:rPr>
          <w:rFonts w:ascii="Calibri" w:hAnsi="Calibri"/>
          <w:spacing w:val="-2"/>
          <w:sz w:val="22"/>
        </w:rPr>
        <w:t> </w:t>
      </w:r>
      <w:r>
        <w:rPr>
          <w:rFonts w:ascii="Calibri" w:hAnsi="Calibri"/>
          <w:sz w:val="22"/>
        </w:rPr>
        <w:t>cyfrifiaduron/gliniaduron</w:t>
      </w:r>
      <w:r>
        <w:rPr>
          <w:rFonts w:ascii="Calibri" w:hAnsi="Calibri"/>
          <w:spacing w:val="-3"/>
          <w:sz w:val="22"/>
        </w:rPr>
        <w:t> </w:t>
      </w:r>
      <w:r>
        <w:rPr>
          <w:rFonts w:ascii="Calibri" w:hAnsi="Calibri"/>
          <w:sz w:val="22"/>
        </w:rPr>
        <w:t>a</w:t>
      </w:r>
      <w:r>
        <w:rPr>
          <w:rFonts w:ascii="Calibri" w:hAnsi="Calibri"/>
          <w:spacing w:val="-3"/>
          <w:sz w:val="22"/>
        </w:rPr>
        <w:t> </w:t>
      </w:r>
      <w:r>
        <w:rPr>
          <w:rFonts w:ascii="Calibri" w:hAnsi="Calibri"/>
          <w:sz w:val="22"/>
        </w:rPr>
        <w:t>gall</w:t>
      </w:r>
      <w:r>
        <w:rPr>
          <w:rFonts w:ascii="Calibri" w:hAnsi="Calibri"/>
          <w:spacing w:val="-2"/>
          <w:sz w:val="22"/>
        </w:rPr>
        <w:t> </w:t>
      </w:r>
      <w:r>
        <w:rPr>
          <w:rFonts w:ascii="Calibri" w:hAnsi="Calibri"/>
          <w:sz w:val="22"/>
        </w:rPr>
        <w:t>y</w:t>
      </w:r>
      <w:r>
        <w:rPr>
          <w:rFonts w:ascii="Calibri" w:hAnsi="Calibri"/>
          <w:spacing w:val="-2"/>
          <w:sz w:val="22"/>
        </w:rPr>
        <w:t> </w:t>
      </w:r>
      <w:r>
        <w:rPr>
          <w:rFonts w:ascii="Calibri" w:hAnsi="Calibri"/>
          <w:sz w:val="22"/>
        </w:rPr>
        <w:t>sawl</w:t>
      </w:r>
      <w:r>
        <w:rPr>
          <w:rFonts w:ascii="Calibri" w:hAnsi="Calibri"/>
          <w:spacing w:val="-3"/>
          <w:sz w:val="22"/>
        </w:rPr>
        <w:t> </w:t>
      </w:r>
      <w:r>
        <w:rPr>
          <w:rFonts w:ascii="Calibri" w:hAnsi="Calibri"/>
          <w:sz w:val="22"/>
        </w:rPr>
        <w:t>sy’n</w:t>
      </w:r>
      <w:r>
        <w:rPr>
          <w:rFonts w:ascii="Calibri" w:hAnsi="Calibri"/>
          <w:spacing w:val="-3"/>
          <w:sz w:val="22"/>
        </w:rPr>
        <w:t> </w:t>
      </w:r>
      <w:r>
        <w:rPr>
          <w:rFonts w:ascii="Calibri" w:hAnsi="Calibri"/>
          <w:sz w:val="22"/>
        </w:rPr>
        <w:t>dysgu’r Gymraeg neu aelodau staff sy’n llai hyderus wrth ddefnyddio’r iaith ei ddefnyddio hefyd.</w:t>
      </w:r>
    </w:p>
    <w:p>
      <w:pPr>
        <w:pStyle w:val="BodyText"/>
        <w:spacing w:before="9"/>
        <w:rPr>
          <w:rFonts w:ascii="Calibri"/>
          <w:sz w:val="23"/>
        </w:rPr>
      </w:pPr>
    </w:p>
    <w:p>
      <w:pPr>
        <w:spacing w:line="259" w:lineRule="auto" w:before="0"/>
        <w:ind w:left="1440" w:right="1547" w:firstLine="0"/>
        <w:jc w:val="left"/>
        <w:rPr>
          <w:rFonts w:ascii="Calibri" w:hAnsi="Calibri"/>
          <w:sz w:val="22"/>
        </w:rPr>
      </w:pPr>
      <w:r>
        <w:rPr>
          <w:rFonts w:ascii="Calibri" w:hAnsi="Calibri"/>
          <w:sz w:val="22"/>
        </w:rPr>
        <w:t>Rydym</w:t>
      </w:r>
      <w:r>
        <w:rPr>
          <w:rFonts w:ascii="Calibri" w:hAnsi="Calibri"/>
          <w:spacing w:val="-2"/>
          <w:sz w:val="22"/>
        </w:rPr>
        <w:t> </w:t>
      </w:r>
      <w:r>
        <w:rPr>
          <w:rFonts w:ascii="Calibri" w:hAnsi="Calibri"/>
          <w:sz w:val="22"/>
        </w:rPr>
        <w:t>yn</w:t>
      </w:r>
      <w:r>
        <w:rPr>
          <w:rFonts w:ascii="Calibri" w:hAnsi="Calibri"/>
          <w:spacing w:val="-2"/>
          <w:sz w:val="22"/>
        </w:rPr>
        <w:t> </w:t>
      </w:r>
      <w:r>
        <w:rPr>
          <w:rFonts w:ascii="Calibri" w:hAnsi="Calibri"/>
          <w:sz w:val="22"/>
        </w:rPr>
        <w:t>diweddaru</w:t>
      </w:r>
      <w:r>
        <w:rPr>
          <w:rFonts w:ascii="Calibri" w:hAnsi="Calibri"/>
          <w:spacing w:val="-2"/>
          <w:sz w:val="22"/>
        </w:rPr>
        <w:t> </w:t>
      </w:r>
      <w:r>
        <w:rPr>
          <w:rFonts w:ascii="Calibri" w:hAnsi="Calibri"/>
          <w:sz w:val="22"/>
        </w:rPr>
        <w:t>staff</w:t>
      </w:r>
      <w:r>
        <w:rPr>
          <w:rFonts w:ascii="Calibri" w:hAnsi="Calibri"/>
          <w:spacing w:val="-3"/>
          <w:sz w:val="22"/>
        </w:rPr>
        <w:t> </w:t>
      </w:r>
      <w:r>
        <w:rPr>
          <w:rFonts w:ascii="Calibri" w:hAnsi="Calibri"/>
          <w:sz w:val="22"/>
        </w:rPr>
        <w:t>yn</w:t>
      </w:r>
      <w:r>
        <w:rPr>
          <w:rFonts w:ascii="Calibri" w:hAnsi="Calibri"/>
          <w:spacing w:val="-2"/>
          <w:sz w:val="22"/>
        </w:rPr>
        <w:t> </w:t>
      </w:r>
      <w:r>
        <w:rPr>
          <w:rFonts w:ascii="Calibri" w:hAnsi="Calibri"/>
          <w:sz w:val="22"/>
        </w:rPr>
        <w:t>barhaus</w:t>
      </w:r>
      <w:r>
        <w:rPr>
          <w:rFonts w:ascii="Calibri" w:hAnsi="Calibri"/>
          <w:spacing w:val="-3"/>
          <w:sz w:val="22"/>
        </w:rPr>
        <w:t> </w:t>
      </w:r>
      <w:r>
        <w:rPr>
          <w:rFonts w:ascii="Calibri" w:hAnsi="Calibri"/>
          <w:sz w:val="22"/>
        </w:rPr>
        <w:t>am</w:t>
      </w:r>
      <w:r>
        <w:rPr>
          <w:rFonts w:ascii="Calibri" w:hAnsi="Calibri"/>
          <w:spacing w:val="-3"/>
          <w:sz w:val="22"/>
        </w:rPr>
        <w:t> </w:t>
      </w:r>
      <w:r>
        <w:rPr>
          <w:rFonts w:ascii="Calibri" w:hAnsi="Calibri"/>
          <w:sz w:val="22"/>
        </w:rPr>
        <w:t>unrhyw</w:t>
      </w:r>
      <w:r>
        <w:rPr>
          <w:rFonts w:ascii="Calibri" w:hAnsi="Calibri"/>
          <w:spacing w:val="-3"/>
          <w:sz w:val="22"/>
        </w:rPr>
        <w:t> </w:t>
      </w:r>
      <w:r>
        <w:rPr>
          <w:rFonts w:ascii="Calibri" w:hAnsi="Calibri"/>
          <w:sz w:val="22"/>
        </w:rPr>
        <w:t>apiau</w:t>
      </w:r>
      <w:r>
        <w:rPr>
          <w:rFonts w:ascii="Calibri" w:hAnsi="Calibri"/>
          <w:spacing w:val="-3"/>
          <w:sz w:val="22"/>
        </w:rPr>
        <w:t> </w:t>
      </w:r>
      <w:r>
        <w:rPr>
          <w:rFonts w:ascii="Calibri" w:hAnsi="Calibri"/>
          <w:sz w:val="22"/>
        </w:rPr>
        <w:t>sydd</w:t>
      </w:r>
      <w:r>
        <w:rPr>
          <w:rFonts w:ascii="Calibri" w:hAnsi="Calibri"/>
          <w:spacing w:val="-2"/>
          <w:sz w:val="22"/>
        </w:rPr>
        <w:t> </w:t>
      </w:r>
      <w:r>
        <w:rPr>
          <w:rFonts w:ascii="Calibri" w:hAnsi="Calibri"/>
          <w:sz w:val="22"/>
        </w:rPr>
        <w:t>ar</w:t>
      </w:r>
      <w:r>
        <w:rPr>
          <w:rFonts w:ascii="Calibri" w:hAnsi="Calibri"/>
          <w:spacing w:val="-3"/>
          <w:sz w:val="22"/>
        </w:rPr>
        <w:t> </w:t>
      </w:r>
      <w:r>
        <w:rPr>
          <w:rFonts w:ascii="Calibri" w:hAnsi="Calibri"/>
          <w:sz w:val="22"/>
        </w:rPr>
        <w:t>gael</w:t>
      </w:r>
      <w:r>
        <w:rPr>
          <w:rFonts w:ascii="Calibri" w:hAnsi="Calibri"/>
          <w:spacing w:val="-2"/>
          <w:sz w:val="22"/>
        </w:rPr>
        <w:t> </w:t>
      </w:r>
      <w:r>
        <w:rPr>
          <w:rFonts w:ascii="Calibri" w:hAnsi="Calibri"/>
          <w:sz w:val="22"/>
        </w:rPr>
        <w:t>iddynt</w:t>
      </w:r>
      <w:r>
        <w:rPr>
          <w:rFonts w:ascii="Calibri" w:hAnsi="Calibri"/>
          <w:spacing w:val="-2"/>
          <w:sz w:val="22"/>
        </w:rPr>
        <w:t> </w:t>
      </w:r>
      <w:r>
        <w:rPr>
          <w:rFonts w:ascii="Calibri" w:hAnsi="Calibri"/>
          <w:sz w:val="22"/>
        </w:rPr>
        <w:t>i’w</w:t>
      </w:r>
      <w:r>
        <w:rPr>
          <w:rFonts w:ascii="Calibri" w:hAnsi="Calibri"/>
          <w:spacing w:val="-3"/>
          <w:sz w:val="22"/>
        </w:rPr>
        <w:t> </w:t>
      </w:r>
      <w:r>
        <w:rPr>
          <w:rFonts w:ascii="Calibri" w:hAnsi="Calibri"/>
          <w:sz w:val="22"/>
        </w:rPr>
        <w:t>cefnogi</w:t>
      </w:r>
      <w:r>
        <w:rPr>
          <w:rFonts w:ascii="Calibri" w:hAnsi="Calibri"/>
          <w:spacing w:val="-3"/>
          <w:sz w:val="22"/>
        </w:rPr>
        <w:t> </w:t>
      </w:r>
      <w:r>
        <w:rPr>
          <w:rFonts w:ascii="Calibri" w:hAnsi="Calibri"/>
          <w:sz w:val="22"/>
        </w:rPr>
        <w:t>i ddefnyddio’r Gymraeg yn y gwaith yn ddyddiol.</w:t>
      </w:r>
    </w:p>
    <w:p>
      <w:pPr>
        <w:pStyle w:val="BodyText"/>
        <w:spacing w:before="8"/>
        <w:rPr>
          <w:rFonts w:ascii="Calibri"/>
          <w:sz w:val="23"/>
        </w:rPr>
      </w:pPr>
    </w:p>
    <w:p>
      <w:pPr>
        <w:pStyle w:val="Heading7"/>
        <w:spacing w:before="1"/>
      </w:pPr>
      <w:r>
        <w:rPr/>
        <w:t>TRAC/NHS</w:t>
      </w:r>
      <w:r>
        <w:rPr>
          <w:spacing w:val="-6"/>
        </w:rPr>
        <w:t> </w:t>
      </w:r>
      <w:r>
        <w:rPr/>
        <w:t>Jobs</w:t>
      </w:r>
      <w:r>
        <w:rPr>
          <w:spacing w:val="-6"/>
        </w:rPr>
        <w:t> </w:t>
      </w:r>
      <w:r>
        <w:rPr>
          <w:spacing w:val="-10"/>
        </w:rPr>
        <w:t>3</w:t>
      </w:r>
    </w:p>
    <w:p>
      <w:pPr>
        <w:spacing w:line="259" w:lineRule="auto" w:before="27"/>
        <w:ind w:left="1440" w:right="1405" w:firstLine="0"/>
        <w:jc w:val="left"/>
        <w:rPr>
          <w:rFonts w:ascii="Calibri" w:hAnsi="Calibri"/>
          <w:sz w:val="22"/>
        </w:rPr>
      </w:pPr>
      <w:r>
        <w:rPr>
          <w:rFonts w:ascii="Calibri" w:hAnsi="Calibri"/>
          <w:sz w:val="22"/>
        </w:rPr>
        <w:t>Rydym yn parhau i ddiweddaru’r rhyngwynebau, dogfennau, hysbysiadau a ffurflenni ar system recriwtio TRAC, y System Dyfarniadau Myfyrwyr, y System Symleiddio i Fyfyrwyr a System GPWales. Lansiwyd</w:t>
      </w:r>
      <w:r>
        <w:rPr>
          <w:rFonts w:ascii="Calibri" w:hAnsi="Calibri"/>
          <w:spacing w:val="-3"/>
          <w:sz w:val="22"/>
        </w:rPr>
        <w:t> </w:t>
      </w:r>
      <w:r>
        <w:rPr>
          <w:rFonts w:ascii="Calibri" w:hAnsi="Calibri"/>
          <w:sz w:val="22"/>
        </w:rPr>
        <w:t>NHS</w:t>
      </w:r>
      <w:r>
        <w:rPr>
          <w:rFonts w:ascii="Calibri" w:hAnsi="Calibri"/>
          <w:spacing w:val="-2"/>
          <w:sz w:val="22"/>
        </w:rPr>
        <w:t> </w:t>
      </w:r>
      <w:r>
        <w:rPr>
          <w:rFonts w:ascii="Calibri" w:hAnsi="Calibri"/>
          <w:sz w:val="22"/>
        </w:rPr>
        <w:t>Jobs3</w:t>
      </w:r>
      <w:r>
        <w:rPr>
          <w:rFonts w:ascii="Calibri" w:hAnsi="Calibri"/>
          <w:spacing w:val="-3"/>
          <w:sz w:val="22"/>
        </w:rPr>
        <w:t> </w:t>
      </w:r>
      <w:r>
        <w:rPr>
          <w:rFonts w:ascii="Calibri" w:hAnsi="Calibri"/>
          <w:sz w:val="22"/>
        </w:rPr>
        <w:t>yn</w:t>
      </w:r>
      <w:r>
        <w:rPr>
          <w:rFonts w:ascii="Calibri" w:hAnsi="Calibri"/>
          <w:spacing w:val="-2"/>
          <w:sz w:val="22"/>
        </w:rPr>
        <w:t> </w:t>
      </w:r>
      <w:r>
        <w:rPr>
          <w:rFonts w:ascii="Calibri" w:hAnsi="Calibri"/>
          <w:sz w:val="22"/>
        </w:rPr>
        <w:t>ystod</w:t>
      </w:r>
      <w:r>
        <w:rPr>
          <w:rFonts w:ascii="Calibri" w:hAnsi="Calibri"/>
          <w:spacing w:val="-2"/>
          <w:sz w:val="22"/>
        </w:rPr>
        <w:t> </w:t>
      </w:r>
      <w:r>
        <w:rPr>
          <w:rFonts w:ascii="Calibri" w:hAnsi="Calibri"/>
          <w:sz w:val="22"/>
        </w:rPr>
        <w:t>2021/22</w:t>
      </w:r>
      <w:r>
        <w:rPr>
          <w:rFonts w:ascii="Calibri" w:hAnsi="Calibri"/>
          <w:spacing w:val="-2"/>
          <w:sz w:val="22"/>
        </w:rPr>
        <w:t> </w:t>
      </w:r>
      <w:r>
        <w:rPr>
          <w:rFonts w:ascii="Calibri" w:hAnsi="Calibri"/>
          <w:sz w:val="22"/>
        </w:rPr>
        <w:t>ac</w:t>
      </w:r>
      <w:r>
        <w:rPr>
          <w:rFonts w:ascii="Calibri" w:hAnsi="Calibri"/>
          <w:spacing w:val="-3"/>
          <w:sz w:val="22"/>
        </w:rPr>
        <w:t> </w:t>
      </w:r>
      <w:r>
        <w:rPr>
          <w:rFonts w:ascii="Calibri" w:hAnsi="Calibri"/>
          <w:sz w:val="22"/>
        </w:rPr>
        <w:t>fe’i</w:t>
      </w:r>
      <w:r>
        <w:rPr>
          <w:rFonts w:ascii="Calibri" w:hAnsi="Calibri"/>
          <w:spacing w:val="-2"/>
          <w:sz w:val="22"/>
        </w:rPr>
        <w:t> </w:t>
      </w:r>
      <w:r>
        <w:rPr>
          <w:rFonts w:ascii="Calibri" w:hAnsi="Calibri"/>
          <w:sz w:val="22"/>
        </w:rPr>
        <w:t>lansiwyd</w:t>
      </w:r>
      <w:r>
        <w:rPr>
          <w:rFonts w:ascii="Calibri" w:hAnsi="Calibri"/>
          <w:spacing w:val="-3"/>
          <w:sz w:val="22"/>
        </w:rPr>
        <w:t> </w:t>
      </w:r>
      <w:r>
        <w:rPr>
          <w:rFonts w:ascii="Calibri" w:hAnsi="Calibri"/>
          <w:sz w:val="22"/>
        </w:rPr>
        <w:t>yn</w:t>
      </w:r>
      <w:r>
        <w:rPr>
          <w:rFonts w:ascii="Calibri" w:hAnsi="Calibri"/>
          <w:spacing w:val="-2"/>
          <w:sz w:val="22"/>
        </w:rPr>
        <w:t> </w:t>
      </w:r>
      <w:r>
        <w:rPr>
          <w:rFonts w:ascii="Calibri" w:hAnsi="Calibri"/>
          <w:sz w:val="22"/>
        </w:rPr>
        <w:t>llwyddiannus</w:t>
      </w:r>
      <w:r>
        <w:rPr>
          <w:rFonts w:ascii="Calibri" w:hAnsi="Calibri"/>
          <w:spacing w:val="-3"/>
          <w:sz w:val="22"/>
        </w:rPr>
        <w:t> </w:t>
      </w:r>
      <w:r>
        <w:rPr>
          <w:rFonts w:ascii="Calibri" w:hAnsi="Calibri"/>
          <w:sz w:val="22"/>
        </w:rPr>
        <w:t>yn</w:t>
      </w:r>
      <w:r>
        <w:rPr>
          <w:rFonts w:ascii="Calibri" w:hAnsi="Calibri"/>
          <w:spacing w:val="-2"/>
          <w:sz w:val="22"/>
        </w:rPr>
        <w:t> </w:t>
      </w:r>
      <w:r>
        <w:rPr>
          <w:rFonts w:ascii="Calibri" w:hAnsi="Calibri"/>
          <w:sz w:val="22"/>
        </w:rPr>
        <w:t>y</w:t>
      </w:r>
      <w:r>
        <w:rPr>
          <w:rFonts w:ascii="Calibri" w:hAnsi="Calibri"/>
          <w:spacing w:val="-3"/>
          <w:sz w:val="22"/>
        </w:rPr>
        <w:t> </w:t>
      </w:r>
      <w:r>
        <w:rPr>
          <w:rFonts w:ascii="Calibri" w:hAnsi="Calibri"/>
          <w:sz w:val="22"/>
        </w:rPr>
        <w:t>ddwy</w:t>
      </w:r>
      <w:r>
        <w:rPr>
          <w:rFonts w:ascii="Calibri" w:hAnsi="Calibri"/>
          <w:spacing w:val="-3"/>
          <w:sz w:val="22"/>
        </w:rPr>
        <w:t> </w:t>
      </w:r>
      <w:r>
        <w:rPr>
          <w:rFonts w:ascii="Calibri" w:hAnsi="Calibri"/>
          <w:sz w:val="22"/>
        </w:rPr>
        <w:t>iaith</w:t>
      </w:r>
      <w:r>
        <w:rPr>
          <w:rFonts w:ascii="Calibri" w:hAnsi="Calibri"/>
          <w:spacing w:val="-2"/>
          <w:sz w:val="22"/>
        </w:rPr>
        <w:t> </w:t>
      </w:r>
      <w:r>
        <w:rPr>
          <w:rFonts w:ascii="Calibri" w:hAnsi="Calibri"/>
          <w:sz w:val="22"/>
        </w:rPr>
        <w:t>ar</w:t>
      </w:r>
      <w:r>
        <w:rPr>
          <w:rFonts w:ascii="Calibri" w:hAnsi="Calibri"/>
          <w:spacing w:val="-3"/>
          <w:sz w:val="22"/>
        </w:rPr>
        <w:t> </w:t>
      </w:r>
      <w:r>
        <w:rPr>
          <w:rFonts w:ascii="Calibri" w:hAnsi="Calibri"/>
          <w:sz w:val="22"/>
        </w:rPr>
        <w:t>yr</w:t>
      </w:r>
      <w:r>
        <w:rPr>
          <w:rFonts w:ascii="Calibri" w:hAnsi="Calibri"/>
          <w:spacing w:val="-2"/>
          <w:sz w:val="22"/>
        </w:rPr>
        <w:t> </w:t>
      </w:r>
      <w:r>
        <w:rPr>
          <w:rFonts w:ascii="Calibri" w:hAnsi="Calibri"/>
          <w:sz w:val="22"/>
        </w:rPr>
        <w:t>un</w:t>
      </w:r>
      <w:r>
        <w:rPr>
          <w:rFonts w:ascii="Calibri" w:hAnsi="Calibri"/>
          <w:spacing w:val="-3"/>
          <w:sz w:val="22"/>
        </w:rPr>
        <w:t> </w:t>
      </w:r>
      <w:r>
        <w:rPr>
          <w:rFonts w:ascii="Calibri" w:hAnsi="Calibri"/>
          <w:sz w:val="22"/>
        </w:rPr>
        <w:t>pryd.</w:t>
      </w:r>
    </w:p>
    <w:p>
      <w:pPr>
        <w:pStyle w:val="BodyText"/>
        <w:spacing w:before="8"/>
        <w:rPr>
          <w:rFonts w:ascii="Calibri"/>
          <w:sz w:val="23"/>
        </w:rPr>
      </w:pPr>
    </w:p>
    <w:p>
      <w:pPr>
        <w:pStyle w:val="Heading7"/>
      </w:pPr>
      <w:r>
        <w:rPr/>
        <w:t>ESR</w:t>
      </w:r>
      <w:r>
        <w:rPr>
          <w:spacing w:val="-3"/>
        </w:rPr>
        <w:t> </w:t>
      </w:r>
      <w:r>
        <w:rPr/>
        <w:t>–</w:t>
      </w:r>
      <w:r>
        <w:rPr>
          <w:spacing w:val="-2"/>
        </w:rPr>
        <w:t> </w:t>
      </w:r>
      <w:r>
        <w:rPr/>
        <w:t>Cofnod</w:t>
      </w:r>
      <w:r>
        <w:rPr>
          <w:spacing w:val="-2"/>
        </w:rPr>
        <w:t> </w:t>
      </w:r>
      <w:r>
        <w:rPr/>
        <w:t>Staff</w:t>
      </w:r>
      <w:r>
        <w:rPr>
          <w:spacing w:val="-1"/>
        </w:rPr>
        <w:t> </w:t>
      </w:r>
      <w:r>
        <w:rPr>
          <w:spacing w:val="-2"/>
        </w:rPr>
        <w:t>Electronig</w:t>
      </w:r>
    </w:p>
    <w:p>
      <w:pPr>
        <w:spacing w:line="259" w:lineRule="auto" w:before="27"/>
        <w:ind w:left="1440" w:right="1405" w:firstLine="0"/>
        <w:jc w:val="left"/>
        <w:rPr>
          <w:rFonts w:ascii="Calibri" w:hAnsi="Calibri"/>
          <w:sz w:val="22"/>
        </w:rPr>
      </w:pPr>
      <w:r>
        <w:rPr>
          <w:rFonts w:ascii="Calibri" w:hAnsi="Calibri"/>
          <w:sz w:val="22"/>
        </w:rPr>
        <w:t>ESR</w:t>
      </w:r>
      <w:r>
        <w:rPr>
          <w:rFonts w:ascii="Calibri" w:hAnsi="Calibri"/>
          <w:spacing w:val="-3"/>
          <w:sz w:val="22"/>
        </w:rPr>
        <w:t> </w:t>
      </w:r>
      <w:r>
        <w:rPr>
          <w:rFonts w:ascii="Calibri" w:hAnsi="Calibri"/>
          <w:sz w:val="22"/>
        </w:rPr>
        <w:t>yw’r</w:t>
      </w:r>
      <w:r>
        <w:rPr>
          <w:rFonts w:ascii="Calibri" w:hAnsi="Calibri"/>
          <w:spacing w:val="-3"/>
          <w:sz w:val="22"/>
        </w:rPr>
        <w:t> </w:t>
      </w:r>
      <w:r>
        <w:rPr>
          <w:rFonts w:ascii="Calibri" w:hAnsi="Calibri"/>
          <w:sz w:val="22"/>
        </w:rPr>
        <w:t>Cofnod</w:t>
      </w:r>
      <w:r>
        <w:rPr>
          <w:rFonts w:ascii="Calibri" w:hAnsi="Calibri"/>
          <w:spacing w:val="-4"/>
          <w:sz w:val="22"/>
        </w:rPr>
        <w:t> </w:t>
      </w:r>
      <w:r>
        <w:rPr>
          <w:rFonts w:ascii="Calibri" w:hAnsi="Calibri"/>
          <w:sz w:val="22"/>
        </w:rPr>
        <w:t>Staff</w:t>
      </w:r>
      <w:r>
        <w:rPr>
          <w:rFonts w:ascii="Calibri" w:hAnsi="Calibri"/>
          <w:spacing w:val="-3"/>
          <w:sz w:val="22"/>
        </w:rPr>
        <w:t> </w:t>
      </w:r>
      <w:r>
        <w:rPr>
          <w:rFonts w:ascii="Calibri" w:hAnsi="Calibri"/>
          <w:sz w:val="22"/>
        </w:rPr>
        <w:t>Electronig</w:t>
      </w:r>
      <w:r>
        <w:rPr>
          <w:rFonts w:ascii="Calibri" w:hAnsi="Calibri"/>
          <w:spacing w:val="-4"/>
          <w:sz w:val="22"/>
        </w:rPr>
        <w:t> </w:t>
      </w:r>
      <w:r>
        <w:rPr>
          <w:rFonts w:ascii="Calibri" w:hAnsi="Calibri"/>
          <w:sz w:val="22"/>
        </w:rPr>
        <w:t>sy’n</w:t>
      </w:r>
      <w:r>
        <w:rPr>
          <w:rFonts w:ascii="Calibri" w:hAnsi="Calibri"/>
          <w:spacing w:val="-3"/>
          <w:sz w:val="22"/>
        </w:rPr>
        <w:t> </w:t>
      </w:r>
      <w:r>
        <w:rPr>
          <w:rFonts w:ascii="Calibri" w:hAnsi="Calibri"/>
          <w:sz w:val="22"/>
        </w:rPr>
        <w:t>rheoli</w:t>
      </w:r>
      <w:r>
        <w:rPr>
          <w:rFonts w:ascii="Calibri" w:hAnsi="Calibri"/>
          <w:spacing w:val="-3"/>
          <w:sz w:val="22"/>
        </w:rPr>
        <w:t> </w:t>
      </w:r>
      <w:r>
        <w:rPr>
          <w:rFonts w:ascii="Calibri" w:hAnsi="Calibri"/>
          <w:sz w:val="22"/>
        </w:rPr>
        <w:t>gwyliau</w:t>
      </w:r>
      <w:r>
        <w:rPr>
          <w:rFonts w:ascii="Calibri" w:hAnsi="Calibri"/>
          <w:spacing w:val="-4"/>
          <w:sz w:val="22"/>
        </w:rPr>
        <w:t> </w:t>
      </w:r>
      <w:r>
        <w:rPr>
          <w:rFonts w:ascii="Calibri" w:hAnsi="Calibri"/>
          <w:sz w:val="22"/>
        </w:rPr>
        <w:t>blynyddol,</w:t>
      </w:r>
      <w:r>
        <w:rPr>
          <w:rFonts w:ascii="Calibri" w:hAnsi="Calibri"/>
          <w:spacing w:val="-4"/>
          <w:sz w:val="22"/>
        </w:rPr>
        <w:t> </w:t>
      </w:r>
      <w:r>
        <w:rPr>
          <w:rFonts w:ascii="Calibri" w:hAnsi="Calibri"/>
          <w:sz w:val="22"/>
        </w:rPr>
        <w:t>tâl,</w:t>
      </w:r>
      <w:r>
        <w:rPr>
          <w:rFonts w:ascii="Calibri" w:hAnsi="Calibri"/>
          <w:spacing w:val="-4"/>
          <w:sz w:val="22"/>
        </w:rPr>
        <w:t> </w:t>
      </w:r>
      <w:r>
        <w:rPr>
          <w:rFonts w:ascii="Calibri" w:hAnsi="Calibri"/>
          <w:sz w:val="22"/>
        </w:rPr>
        <w:t>absenoldeb</w:t>
      </w:r>
      <w:r>
        <w:rPr>
          <w:rFonts w:ascii="Calibri" w:hAnsi="Calibri"/>
          <w:spacing w:val="-4"/>
          <w:sz w:val="22"/>
        </w:rPr>
        <w:t> </w:t>
      </w:r>
      <w:r>
        <w:rPr>
          <w:rFonts w:ascii="Calibri" w:hAnsi="Calibri"/>
          <w:sz w:val="22"/>
        </w:rPr>
        <w:t>salwch</w:t>
      </w:r>
      <w:r>
        <w:rPr>
          <w:rFonts w:ascii="Calibri" w:hAnsi="Calibri"/>
          <w:spacing w:val="-3"/>
          <w:sz w:val="22"/>
        </w:rPr>
        <w:t> </w:t>
      </w:r>
      <w:r>
        <w:rPr>
          <w:rFonts w:ascii="Calibri" w:hAnsi="Calibri"/>
          <w:sz w:val="22"/>
        </w:rPr>
        <w:t>a</w:t>
      </w:r>
      <w:r>
        <w:rPr>
          <w:rFonts w:ascii="Calibri" w:hAnsi="Calibri"/>
          <w:spacing w:val="-4"/>
          <w:sz w:val="22"/>
        </w:rPr>
        <w:t> </w:t>
      </w:r>
      <w:r>
        <w:rPr>
          <w:rFonts w:ascii="Calibri" w:hAnsi="Calibri"/>
          <w:sz w:val="22"/>
        </w:rPr>
        <w:t>hyfforddiant staff ar draws GIG Cymru.</w:t>
      </w:r>
      <w:r>
        <w:rPr>
          <w:rFonts w:ascii="Calibri" w:hAnsi="Calibri"/>
          <w:spacing w:val="40"/>
          <w:sz w:val="22"/>
        </w:rPr>
        <w:t> </w:t>
      </w:r>
      <w:r>
        <w:rPr>
          <w:rFonts w:ascii="Calibri" w:hAnsi="Calibri"/>
          <w:sz w:val="22"/>
        </w:rPr>
        <w:t>Mae gan GIG Cymru gyfran o 6% yn y Cofnod Staff Electronig ar draws y DU. Mae’n dechnegol heriol i gyfieithu’r system ESR gyfan sydd ohoni, a ddatblygwyd yn wreiddiol i reoli taliadau’r gyflogres, gan ei bod wedi cael ei hymestyn gymaint.</w:t>
      </w:r>
    </w:p>
    <w:p>
      <w:pPr>
        <w:spacing w:line="259" w:lineRule="auto" w:before="0"/>
        <w:ind w:left="1440" w:right="1547" w:firstLine="0"/>
        <w:jc w:val="left"/>
        <w:rPr>
          <w:rFonts w:ascii="Calibri"/>
          <w:sz w:val="22"/>
        </w:rPr>
      </w:pPr>
      <w:r>
        <w:rPr>
          <w:rFonts w:ascii="Calibri"/>
          <w:sz w:val="22"/>
        </w:rPr>
        <w:t>Fodd bynnag, yn hydref 2021, gweithiodd Systemau Gwybodaeth y Gweithlu PCGC ac Uned y Gymraeg</w:t>
      </w:r>
      <w:r>
        <w:rPr>
          <w:rFonts w:ascii="Calibri"/>
          <w:spacing w:val="-2"/>
          <w:sz w:val="22"/>
        </w:rPr>
        <w:t> </w:t>
      </w:r>
      <w:r>
        <w:rPr>
          <w:rFonts w:ascii="Calibri"/>
          <w:sz w:val="22"/>
        </w:rPr>
        <w:t>ar</w:t>
      </w:r>
      <w:r>
        <w:rPr>
          <w:rFonts w:ascii="Calibri"/>
          <w:spacing w:val="-2"/>
          <w:sz w:val="22"/>
        </w:rPr>
        <w:t> </w:t>
      </w:r>
      <w:r>
        <w:rPr>
          <w:rFonts w:ascii="Calibri"/>
          <w:sz w:val="22"/>
        </w:rPr>
        <w:t>y</w:t>
      </w:r>
      <w:r>
        <w:rPr>
          <w:rFonts w:ascii="Calibri"/>
          <w:spacing w:val="-1"/>
          <w:sz w:val="22"/>
        </w:rPr>
        <w:t> </w:t>
      </w:r>
      <w:r>
        <w:rPr>
          <w:rFonts w:ascii="Calibri"/>
          <w:sz w:val="22"/>
        </w:rPr>
        <w:t>cyd</w:t>
      </w:r>
      <w:r>
        <w:rPr>
          <w:rFonts w:ascii="Calibri"/>
          <w:spacing w:val="-1"/>
          <w:sz w:val="22"/>
        </w:rPr>
        <w:t> </w:t>
      </w:r>
      <w:r>
        <w:rPr>
          <w:rFonts w:ascii="Calibri"/>
          <w:sz w:val="22"/>
        </w:rPr>
        <w:t>ag</w:t>
      </w:r>
      <w:r>
        <w:rPr>
          <w:rFonts w:ascii="Calibri"/>
          <w:spacing w:val="-2"/>
          <w:sz w:val="22"/>
        </w:rPr>
        <w:t> </w:t>
      </w:r>
      <w:r>
        <w:rPr>
          <w:rFonts w:ascii="Calibri"/>
          <w:sz w:val="22"/>
        </w:rPr>
        <w:t>Awdurdod</w:t>
      </w:r>
      <w:r>
        <w:rPr>
          <w:rFonts w:ascii="Calibri"/>
          <w:spacing w:val="-1"/>
          <w:sz w:val="22"/>
        </w:rPr>
        <w:t> </w:t>
      </w:r>
      <w:r>
        <w:rPr>
          <w:rFonts w:ascii="Calibri"/>
          <w:sz w:val="22"/>
        </w:rPr>
        <w:t>Busnes</w:t>
      </w:r>
      <w:r>
        <w:rPr>
          <w:rFonts w:ascii="Calibri"/>
          <w:spacing w:val="-1"/>
          <w:sz w:val="22"/>
        </w:rPr>
        <w:t> </w:t>
      </w:r>
      <w:r>
        <w:rPr>
          <w:rFonts w:ascii="Calibri"/>
          <w:sz w:val="22"/>
        </w:rPr>
        <w:t>y</w:t>
      </w:r>
      <w:r>
        <w:rPr>
          <w:rFonts w:ascii="Calibri"/>
          <w:spacing w:val="-1"/>
          <w:sz w:val="22"/>
        </w:rPr>
        <w:t> </w:t>
      </w:r>
      <w:r>
        <w:rPr>
          <w:rFonts w:ascii="Calibri"/>
          <w:sz w:val="22"/>
        </w:rPr>
        <w:t>GIG</w:t>
      </w:r>
      <w:r>
        <w:rPr>
          <w:rFonts w:ascii="Calibri"/>
          <w:spacing w:val="-1"/>
          <w:sz w:val="22"/>
        </w:rPr>
        <w:t> </w:t>
      </w:r>
      <w:r>
        <w:rPr>
          <w:rFonts w:ascii="Calibri"/>
          <w:sz w:val="22"/>
        </w:rPr>
        <w:t>ac</w:t>
      </w:r>
      <w:r>
        <w:rPr>
          <w:rFonts w:ascii="Calibri"/>
          <w:spacing w:val="-2"/>
          <w:sz w:val="22"/>
        </w:rPr>
        <w:t> </w:t>
      </w:r>
      <w:r>
        <w:rPr>
          <w:rFonts w:ascii="Calibri"/>
          <w:sz w:val="22"/>
        </w:rPr>
        <w:t>IBM</w:t>
      </w:r>
      <w:r>
        <w:rPr>
          <w:rFonts w:ascii="Calibri"/>
          <w:spacing w:val="-1"/>
          <w:sz w:val="22"/>
        </w:rPr>
        <w:t> </w:t>
      </w:r>
      <w:r>
        <w:rPr>
          <w:rFonts w:ascii="Calibri"/>
          <w:sz w:val="22"/>
        </w:rPr>
        <w:t>i</w:t>
      </w:r>
      <w:r>
        <w:rPr>
          <w:rFonts w:ascii="Calibri"/>
          <w:spacing w:val="-2"/>
          <w:sz w:val="22"/>
        </w:rPr>
        <w:t> </w:t>
      </w:r>
      <w:r>
        <w:rPr>
          <w:rFonts w:ascii="Calibri"/>
          <w:sz w:val="22"/>
        </w:rPr>
        <w:t>gyfieithu</w:t>
      </w:r>
      <w:r>
        <w:rPr>
          <w:rFonts w:ascii="Calibri"/>
          <w:spacing w:val="-2"/>
          <w:sz w:val="22"/>
        </w:rPr>
        <w:t> </w:t>
      </w:r>
      <w:r>
        <w:rPr>
          <w:rFonts w:ascii="Calibri"/>
          <w:sz w:val="22"/>
        </w:rPr>
        <w:t>pyrth</w:t>
      </w:r>
      <w:r>
        <w:rPr>
          <w:rFonts w:ascii="Calibri"/>
          <w:spacing w:val="-2"/>
          <w:sz w:val="22"/>
        </w:rPr>
        <w:t> </w:t>
      </w:r>
      <w:r>
        <w:rPr>
          <w:rFonts w:ascii="Calibri"/>
          <w:sz w:val="22"/>
        </w:rPr>
        <w:t>ESR,</w:t>
      </w:r>
      <w:r>
        <w:rPr>
          <w:rFonts w:ascii="Calibri"/>
          <w:spacing w:val="-1"/>
          <w:sz w:val="22"/>
        </w:rPr>
        <w:t> </w:t>
      </w:r>
      <w:r>
        <w:rPr>
          <w:rFonts w:ascii="Calibri"/>
          <w:sz w:val="22"/>
        </w:rPr>
        <w:t>drwy</w:t>
      </w:r>
      <w:r>
        <w:rPr>
          <w:rFonts w:ascii="Calibri"/>
          <w:spacing w:val="-1"/>
          <w:sz w:val="22"/>
        </w:rPr>
        <w:t> </w:t>
      </w:r>
      <w:r>
        <w:rPr>
          <w:rFonts w:ascii="Calibri"/>
          <w:sz w:val="22"/>
        </w:rPr>
        <w:t>roi</w:t>
      </w:r>
      <w:r>
        <w:rPr>
          <w:rFonts w:ascii="Calibri"/>
          <w:spacing w:val="-1"/>
          <w:sz w:val="22"/>
        </w:rPr>
        <w:t> </w:t>
      </w:r>
      <w:r>
        <w:rPr>
          <w:rFonts w:ascii="Calibri"/>
          <w:sz w:val="22"/>
        </w:rPr>
        <w:t>croen</w:t>
      </w:r>
      <w:r>
        <w:rPr>
          <w:rFonts w:ascii="Calibri"/>
          <w:spacing w:val="-1"/>
          <w:sz w:val="22"/>
        </w:rPr>
        <w:t> </w:t>
      </w:r>
      <w:r>
        <w:rPr>
          <w:rFonts w:ascii="Calibri"/>
          <w:sz w:val="22"/>
        </w:rPr>
        <w:t>dros</w:t>
      </w:r>
      <w:r>
        <w:rPr>
          <w:rFonts w:ascii="Calibri"/>
          <w:spacing w:val="-2"/>
          <w:sz w:val="22"/>
        </w:rPr>
        <w:t> </w:t>
      </w:r>
      <w:r>
        <w:rPr>
          <w:rFonts w:ascii="Calibri"/>
          <w:sz w:val="22"/>
        </w:rPr>
        <w:t>y pyrth</w:t>
      </w:r>
      <w:r>
        <w:rPr>
          <w:rFonts w:ascii="Calibri"/>
          <w:spacing w:val="-4"/>
          <w:sz w:val="22"/>
        </w:rPr>
        <w:t> </w:t>
      </w:r>
      <w:r>
        <w:rPr>
          <w:rFonts w:ascii="Calibri"/>
          <w:sz w:val="22"/>
        </w:rPr>
        <w:t>presennol.</w:t>
      </w:r>
      <w:r>
        <w:rPr>
          <w:rFonts w:ascii="Calibri"/>
          <w:spacing w:val="40"/>
          <w:sz w:val="22"/>
        </w:rPr>
        <w:t> </w:t>
      </w:r>
      <w:r>
        <w:rPr>
          <w:rFonts w:ascii="Calibri"/>
          <w:sz w:val="22"/>
        </w:rPr>
        <w:t>Mae'n</w:t>
      </w:r>
      <w:r>
        <w:rPr>
          <w:rFonts w:ascii="Calibri"/>
          <w:spacing w:val="-3"/>
          <w:sz w:val="22"/>
        </w:rPr>
        <w:t> </w:t>
      </w:r>
      <w:r>
        <w:rPr>
          <w:rFonts w:ascii="Calibri"/>
          <w:sz w:val="22"/>
        </w:rPr>
        <w:t>bleser</w:t>
      </w:r>
      <w:r>
        <w:rPr>
          <w:rFonts w:ascii="Calibri"/>
          <w:spacing w:val="-3"/>
          <w:sz w:val="22"/>
        </w:rPr>
        <w:t> </w:t>
      </w:r>
      <w:r>
        <w:rPr>
          <w:rFonts w:ascii="Calibri"/>
          <w:sz w:val="22"/>
        </w:rPr>
        <w:t>gennym</w:t>
      </w:r>
      <w:r>
        <w:rPr>
          <w:rFonts w:ascii="Calibri"/>
          <w:spacing w:val="-4"/>
          <w:sz w:val="22"/>
        </w:rPr>
        <w:t> </w:t>
      </w:r>
      <w:r>
        <w:rPr>
          <w:rFonts w:ascii="Calibri"/>
          <w:sz w:val="22"/>
        </w:rPr>
        <w:t>adrodd</w:t>
      </w:r>
      <w:r>
        <w:rPr>
          <w:rFonts w:ascii="Calibri"/>
          <w:spacing w:val="-3"/>
          <w:sz w:val="22"/>
        </w:rPr>
        <w:t> </w:t>
      </w:r>
      <w:r>
        <w:rPr>
          <w:rFonts w:ascii="Calibri"/>
          <w:sz w:val="22"/>
        </w:rPr>
        <w:t>bod</w:t>
      </w:r>
      <w:r>
        <w:rPr>
          <w:rFonts w:ascii="Calibri"/>
          <w:spacing w:val="-4"/>
          <w:sz w:val="22"/>
        </w:rPr>
        <w:t> </w:t>
      </w:r>
      <w:r>
        <w:rPr>
          <w:rFonts w:ascii="Calibri"/>
          <w:sz w:val="22"/>
        </w:rPr>
        <w:t>Byrddau</w:t>
      </w:r>
      <w:r>
        <w:rPr>
          <w:rFonts w:ascii="Calibri"/>
          <w:spacing w:val="-3"/>
          <w:sz w:val="22"/>
        </w:rPr>
        <w:t> </w:t>
      </w:r>
      <w:r>
        <w:rPr>
          <w:rFonts w:ascii="Calibri"/>
          <w:sz w:val="22"/>
        </w:rPr>
        <w:t>Iechyd</w:t>
      </w:r>
      <w:r>
        <w:rPr>
          <w:rFonts w:ascii="Calibri"/>
          <w:spacing w:val="-3"/>
          <w:sz w:val="22"/>
        </w:rPr>
        <w:t> </w:t>
      </w:r>
      <w:r>
        <w:rPr>
          <w:rFonts w:ascii="Calibri"/>
          <w:sz w:val="22"/>
        </w:rPr>
        <w:t>ac</w:t>
      </w:r>
      <w:r>
        <w:rPr>
          <w:rFonts w:ascii="Calibri"/>
          <w:spacing w:val="-4"/>
          <w:sz w:val="22"/>
        </w:rPr>
        <w:t> </w:t>
      </w:r>
      <w:r>
        <w:rPr>
          <w:rFonts w:ascii="Calibri"/>
          <w:sz w:val="22"/>
        </w:rPr>
        <w:t>Ymddiriedolaethau</w:t>
      </w:r>
      <w:r>
        <w:rPr>
          <w:rFonts w:ascii="Calibri"/>
          <w:spacing w:val="-4"/>
          <w:sz w:val="22"/>
        </w:rPr>
        <w:t> </w:t>
      </w:r>
      <w:r>
        <w:rPr>
          <w:rFonts w:ascii="Calibri"/>
          <w:sz w:val="22"/>
        </w:rPr>
        <w:t>wedi croesawu'r datblygiad hwn.</w:t>
      </w:r>
    </w:p>
    <w:p>
      <w:pPr>
        <w:pStyle w:val="BodyText"/>
        <w:spacing w:before="7"/>
        <w:rPr>
          <w:rFonts w:ascii="Calibri"/>
          <w:sz w:val="23"/>
        </w:rPr>
      </w:pPr>
    </w:p>
    <w:p>
      <w:pPr>
        <w:pStyle w:val="Heading7"/>
      </w:pPr>
      <w:r>
        <w:rPr/>
        <w:t>Hyfforddiant</w:t>
      </w:r>
      <w:r>
        <w:rPr>
          <w:spacing w:val="-4"/>
        </w:rPr>
        <w:t> </w:t>
      </w:r>
      <w:r>
        <w:rPr/>
        <w:t>a</w:t>
      </w:r>
      <w:r>
        <w:rPr>
          <w:spacing w:val="-3"/>
        </w:rPr>
        <w:t> </w:t>
      </w:r>
      <w:r>
        <w:rPr/>
        <w:t>Dysgu’r</w:t>
      </w:r>
      <w:r>
        <w:rPr>
          <w:spacing w:val="-3"/>
        </w:rPr>
        <w:t> </w:t>
      </w:r>
      <w:r>
        <w:rPr/>
        <w:t>Gymraeg</w:t>
      </w:r>
      <w:r>
        <w:rPr>
          <w:spacing w:val="-4"/>
        </w:rPr>
        <w:t> </w:t>
      </w:r>
      <w:r>
        <w:rPr/>
        <w:t>yn</w:t>
      </w:r>
      <w:r>
        <w:rPr>
          <w:spacing w:val="-3"/>
        </w:rPr>
        <w:t> </w:t>
      </w:r>
      <w:r>
        <w:rPr/>
        <w:t>y</w:t>
      </w:r>
      <w:r>
        <w:rPr>
          <w:spacing w:val="-3"/>
        </w:rPr>
        <w:t> </w:t>
      </w:r>
      <w:r>
        <w:rPr>
          <w:spacing w:val="-2"/>
        </w:rPr>
        <w:t>Gweithle:</w:t>
      </w:r>
    </w:p>
    <w:p>
      <w:pPr>
        <w:spacing w:line="259" w:lineRule="auto" w:before="27"/>
        <w:ind w:left="1440" w:right="1547" w:firstLine="0"/>
        <w:jc w:val="left"/>
        <w:rPr>
          <w:rFonts w:ascii="Calibri"/>
          <w:sz w:val="22"/>
        </w:rPr>
      </w:pPr>
      <w:r>
        <w:rPr>
          <w:rFonts w:ascii="Calibri"/>
          <w:sz w:val="22"/>
        </w:rPr>
        <w:t>Yn</w:t>
      </w:r>
      <w:r>
        <w:rPr>
          <w:rFonts w:ascii="Calibri"/>
          <w:spacing w:val="-2"/>
          <w:sz w:val="22"/>
        </w:rPr>
        <w:t> </w:t>
      </w:r>
      <w:r>
        <w:rPr>
          <w:rFonts w:ascii="Calibri"/>
          <w:sz w:val="22"/>
        </w:rPr>
        <w:t>ystod</w:t>
      </w:r>
      <w:r>
        <w:rPr>
          <w:rFonts w:ascii="Calibri"/>
          <w:spacing w:val="-2"/>
          <w:sz w:val="22"/>
        </w:rPr>
        <w:t> </w:t>
      </w:r>
      <w:r>
        <w:rPr>
          <w:rFonts w:ascii="Calibri"/>
          <w:sz w:val="22"/>
        </w:rPr>
        <w:t>2021/2022,</w:t>
      </w:r>
      <w:r>
        <w:rPr>
          <w:rFonts w:ascii="Calibri"/>
          <w:spacing w:val="-2"/>
          <w:sz w:val="22"/>
        </w:rPr>
        <w:t> </w:t>
      </w:r>
      <w:r>
        <w:rPr>
          <w:rFonts w:ascii="Calibri"/>
          <w:sz w:val="22"/>
        </w:rPr>
        <w:t>fe</w:t>
      </w:r>
      <w:r>
        <w:rPr>
          <w:rFonts w:ascii="Calibri"/>
          <w:spacing w:val="-3"/>
          <w:sz w:val="22"/>
        </w:rPr>
        <w:t> </w:t>
      </w:r>
      <w:r>
        <w:rPr>
          <w:rFonts w:ascii="Calibri"/>
          <w:sz w:val="22"/>
        </w:rPr>
        <w:t>wnaethom</w:t>
      </w:r>
      <w:r>
        <w:rPr>
          <w:rFonts w:ascii="Calibri"/>
          <w:spacing w:val="-3"/>
          <w:sz w:val="22"/>
        </w:rPr>
        <w:t> </w:t>
      </w:r>
      <w:r>
        <w:rPr>
          <w:rFonts w:ascii="Calibri"/>
          <w:sz w:val="22"/>
        </w:rPr>
        <w:t>recriwtio</w:t>
      </w:r>
      <w:r>
        <w:rPr>
          <w:rFonts w:ascii="Calibri"/>
          <w:spacing w:val="-3"/>
          <w:sz w:val="22"/>
        </w:rPr>
        <w:t> </w:t>
      </w:r>
      <w:r>
        <w:rPr>
          <w:rFonts w:ascii="Calibri"/>
          <w:sz w:val="22"/>
        </w:rPr>
        <w:t>110</w:t>
      </w:r>
      <w:r>
        <w:rPr>
          <w:rFonts w:ascii="Calibri"/>
          <w:spacing w:val="-2"/>
          <w:sz w:val="22"/>
        </w:rPr>
        <w:t> </w:t>
      </w:r>
      <w:r>
        <w:rPr>
          <w:rFonts w:ascii="Calibri"/>
          <w:sz w:val="22"/>
        </w:rPr>
        <w:t>o</w:t>
      </w:r>
      <w:r>
        <w:rPr>
          <w:rFonts w:ascii="Calibri"/>
          <w:spacing w:val="-3"/>
          <w:sz w:val="22"/>
        </w:rPr>
        <w:t> </w:t>
      </w:r>
      <w:r>
        <w:rPr>
          <w:rFonts w:ascii="Calibri"/>
          <w:sz w:val="22"/>
        </w:rPr>
        <w:t>staff</w:t>
      </w:r>
      <w:r>
        <w:rPr>
          <w:rFonts w:ascii="Calibri"/>
          <w:spacing w:val="-2"/>
          <w:sz w:val="22"/>
        </w:rPr>
        <w:t> </w:t>
      </w:r>
      <w:r>
        <w:rPr>
          <w:rFonts w:ascii="Calibri"/>
          <w:sz w:val="22"/>
        </w:rPr>
        <w:t>i</w:t>
      </w:r>
      <w:r>
        <w:rPr>
          <w:rFonts w:ascii="Calibri"/>
          <w:spacing w:val="-3"/>
          <w:sz w:val="22"/>
        </w:rPr>
        <w:t> </w:t>
      </w:r>
      <w:r>
        <w:rPr>
          <w:rFonts w:ascii="Calibri"/>
          <w:sz w:val="22"/>
        </w:rPr>
        <w:t>swyddi</w:t>
      </w:r>
      <w:r>
        <w:rPr>
          <w:rFonts w:ascii="Calibri"/>
          <w:spacing w:val="-3"/>
          <w:sz w:val="22"/>
        </w:rPr>
        <w:t> </w:t>
      </w:r>
      <w:r>
        <w:rPr>
          <w:rFonts w:ascii="Calibri"/>
          <w:sz w:val="22"/>
        </w:rPr>
        <w:t>gwag</w:t>
      </w:r>
      <w:r>
        <w:rPr>
          <w:rFonts w:ascii="Calibri"/>
          <w:spacing w:val="-2"/>
          <w:sz w:val="22"/>
        </w:rPr>
        <w:t> </w:t>
      </w:r>
      <w:r>
        <w:rPr>
          <w:rFonts w:ascii="Calibri"/>
          <w:sz w:val="22"/>
        </w:rPr>
        <w:t>yn</w:t>
      </w:r>
      <w:r>
        <w:rPr>
          <w:rFonts w:ascii="Calibri"/>
          <w:spacing w:val="-2"/>
          <w:sz w:val="22"/>
        </w:rPr>
        <w:t> </w:t>
      </w:r>
      <w:r>
        <w:rPr>
          <w:rFonts w:ascii="Calibri"/>
          <w:sz w:val="22"/>
        </w:rPr>
        <w:t>PCGC.</w:t>
      </w:r>
      <w:r>
        <w:rPr>
          <w:rFonts w:ascii="Calibri"/>
          <w:spacing w:val="40"/>
          <w:sz w:val="22"/>
        </w:rPr>
        <w:t> </w:t>
      </w:r>
      <w:r>
        <w:rPr>
          <w:rFonts w:ascii="Calibri"/>
          <w:sz w:val="22"/>
        </w:rPr>
        <w:t>Mae</w:t>
      </w:r>
      <w:r>
        <w:rPr>
          <w:rFonts w:ascii="Calibri"/>
          <w:spacing w:val="-2"/>
          <w:sz w:val="22"/>
        </w:rPr>
        <w:t> </w:t>
      </w:r>
      <w:r>
        <w:rPr>
          <w:rFonts w:ascii="Calibri"/>
          <w:sz w:val="22"/>
        </w:rPr>
        <w:t>pob</w:t>
      </w:r>
      <w:r>
        <w:rPr>
          <w:rFonts w:ascii="Calibri"/>
          <w:spacing w:val="-3"/>
          <w:sz w:val="22"/>
        </w:rPr>
        <w:t> </w:t>
      </w:r>
      <w:r>
        <w:rPr>
          <w:rFonts w:ascii="Calibri"/>
          <w:sz w:val="22"/>
        </w:rPr>
        <w:t>aelod newydd o staff wedi derbyn sesiwn Ymsefydlu Corfforaethol, sy'n cynnwys hyfforddiant ymwybyddiaeth o'r Gymraeg.</w:t>
      </w:r>
      <w:r>
        <w:rPr>
          <w:rFonts w:ascii="Calibri"/>
          <w:spacing w:val="40"/>
          <w:sz w:val="22"/>
        </w:rPr>
        <w:t> </w:t>
      </w:r>
      <w:r>
        <w:rPr>
          <w:rFonts w:ascii="Calibri"/>
          <w:sz w:val="22"/>
        </w:rPr>
        <w:t>Bellach, darperir hyfforddiant ar ddau blatfform, sef TEAMS neu </w:t>
      </w:r>
      <w:r>
        <w:rPr>
          <w:rFonts w:ascii="Calibri"/>
          <w:spacing w:val="-2"/>
          <w:sz w:val="22"/>
        </w:rPr>
        <w:t>Zoom.</w:t>
      </w:r>
    </w:p>
    <w:p>
      <w:pPr>
        <w:pStyle w:val="BodyText"/>
        <w:spacing w:before="8"/>
        <w:rPr>
          <w:rFonts w:ascii="Calibri"/>
          <w:sz w:val="23"/>
        </w:rPr>
      </w:pPr>
    </w:p>
    <w:p>
      <w:pPr>
        <w:spacing w:line="259" w:lineRule="auto" w:before="1"/>
        <w:ind w:left="1440" w:right="1405" w:firstLine="0"/>
        <w:jc w:val="left"/>
        <w:rPr>
          <w:rFonts w:ascii="Calibri" w:hAnsi="Calibri"/>
          <w:sz w:val="22"/>
        </w:rPr>
      </w:pPr>
      <w:r>
        <w:rPr>
          <w:rFonts w:ascii="Calibri" w:hAnsi="Calibri"/>
          <w:sz w:val="22"/>
        </w:rPr>
        <w:t>Defnyddir y platfform Microsoft Teams ar gyfer rhoi hyfforddiant ynglŷn a’r Gymraeg ac ar gyfer dysgu’r</w:t>
      </w:r>
      <w:r>
        <w:rPr>
          <w:rFonts w:ascii="Calibri" w:hAnsi="Calibri"/>
          <w:spacing w:val="-3"/>
          <w:sz w:val="22"/>
        </w:rPr>
        <w:t> </w:t>
      </w:r>
      <w:r>
        <w:rPr>
          <w:rFonts w:ascii="Calibri" w:hAnsi="Calibri"/>
          <w:sz w:val="22"/>
        </w:rPr>
        <w:t>Gymraeg</w:t>
      </w:r>
      <w:r>
        <w:rPr>
          <w:rFonts w:ascii="Calibri" w:hAnsi="Calibri"/>
          <w:spacing w:val="-3"/>
          <w:sz w:val="22"/>
        </w:rPr>
        <w:t> </w:t>
      </w:r>
      <w:r>
        <w:rPr>
          <w:rFonts w:ascii="Calibri" w:hAnsi="Calibri"/>
          <w:sz w:val="22"/>
        </w:rPr>
        <w:t>yn</w:t>
      </w:r>
      <w:r>
        <w:rPr>
          <w:rFonts w:ascii="Calibri" w:hAnsi="Calibri"/>
          <w:spacing w:val="-2"/>
          <w:sz w:val="22"/>
        </w:rPr>
        <w:t> </w:t>
      </w:r>
      <w:r>
        <w:rPr>
          <w:rFonts w:ascii="Calibri" w:hAnsi="Calibri"/>
          <w:sz w:val="22"/>
        </w:rPr>
        <w:t>y</w:t>
      </w:r>
      <w:r>
        <w:rPr>
          <w:rFonts w:ascii="Calibri" w:hAnsi="Calibri"/>
          <w:spacing w:val="-2"/>
          <w:sz w:val="22"/>
        </w:rPr>
        <w:t> </w:t>
      </w:r>
      <w:r>
        <w:rPr>
          <w:rFonts w:ascii="Calibri" w:hAnsi="Calibri"/>
          <w:sz w:val="22"/>
        </w:rPr>
        <w:t>gweithle.</w:t>
      </w:r>
      <w:r>
        <w:rPr>
          <w:rFonts w:ascii="Calibri" w:hAnsi="Calibri"/>
          <w:spacing w:val="40"/>
          <w:sz w:val="22"/>
        </w:rPr>
        <w:t> </w:t>
      </w:r>
      <w:r>
        <w:rPr>
          <w:rFonts w:ascii="Calibri" w:hAnsi="Calibri"/>
          <w:sz w:val="22"/>
        </w:rPr>
        <w:t>Mae’r</w:t>
      </w:r>
      <w:r>
        <w:rPr>
          <w:rFonts w:ascii="Calibri" w:hAnsi="Calibri"/>
          <w:spacing w:val="-2"/>
          <w:sz w:val="22"/>
        </w:rPr>
        <w:t> </w:t>
      </w:r>
      <w:r>
        <w:rPr>
          <w:rFonts w:ascii="Calibri" w:hAnsi="Calibri"/>
          <w:sz w:val="22"/>
        </w:rPr>
        <w:t>platfform</w:t>
      </w:r>
      <w:r>
        <w:rPr>
          <w:rFonts w:ascii="Calibri" w:hAnsi="Calibri"/>
          <w:spacing w:val="-2"/>
          <w:sz w:val="22"/>
        </w:rPr>
        <w:t> </w:t>
      </w:r>
      <w:r>
        <w:rPr>
          <w:rFonts w:ascii="Calibri" w:hAnsi="Calibri"/>
          <w:sz w:val="22"/>
        </w:rPr>
        <w:t>hwn</w:t>
      </w:r>
      <w:r>
        <w:rPr>
          <w:rFonts w:ascii="Calibri" w:hAnsi="Calibri"/>
          <w:spacing w:val="-2"/>
          <w:sz w:val="22"/>
        </w:rPr>
        <w:t> </w:t>
      </w:r>
      <w:r>
        <w:rPr>
          <w:rFonts w:ascii="Calibri" w:hAnsi="Calibri"/>
          <w:sz w:val="22"/>
        </w:rPr>
        <w:t>wedi</w:t>
      </w:r>
      <w:r>
        <w:rPr>
          <w:rFonts w:ascii="Calibri" w:hAnsi="Calibri"/>
          <w:spacing w:val="-3"/>
          <w:sz w:val="22"/>
        </w:rPr>
        <w:t> </w:t>
      </w:r>
      <w:r>
        <w:rPr>
          <w:rFonts w:ascii="Calibri" w:hAnsi="Calibri"/>
          <w:sz w:val="22"/>
        </w:rPr>
        <w:t>galluogi</w:t>
      </w:r>
      <w:r>
        <w:rPr>
          <w:rFonts w:ascii="Calibri" w:hAnsi="Calibri"/>
          <w:spacing w:val="-2"/>
          <w:sz w:val="22"/>
        </w:rPr>
        <w:t> </w:t>
      </w:r>
      <w:r>
        <w:rPr>
          <w:rFonts w:ascii="Calibri" w:hAnsi="Calibri"/>
          <w:sz w:val="22"/>
        </w:rPr>
        <w:t>staff</w:t>
      </w:r>
      <w:r>
        <w:rPr>
          <w:rFonts w:ascii="Calibri" w:hAnsi="Calibri"/>
          <w:spacing w:val="-3"/>
          <w:sz w:val="22"/>
        </w:rPr>
        <w:t> </w:t>
      </w:r>
      <w:r>
        <w:rPr>
          <w:rFonts w:ascii="Calibri" w:hAnsi="Calibri"/>
          <w:sz w:val="22"/>
        </w:rPr>
        <w:t>i</w:t>
      </w:r>
      <w:r>
        <w:rPr>
          <w:rFonts w:ascii="Calibri" w:hAnsi="Calibri"/>
          <w:spacing w:val="-2"/>
          <w:sz w:val="22"/>
        </w:rPr>
        <w:t> </w:t>
      </w:r>
      <w:r>
        <w:rPr>
          <w:rFonts w:ascii="Calibri" w:hAnsi="Calibri"/>
          <w:sz w:val="22"/>
        </w:rPr>
        <w:t>ymrwymo</w:t>
      </w:r>
      <w:r>
        <w:rPr>
          <w:rFonts w:ascii="Calibri" w:hAnsi="Calibri"/>
          <w:spacing w:val="-2"/>
          <w:sz w:val="22"/>
        </w:rPr>
        <w:t> </w:t>
      </w:r>
      <w:r>
        <w:rPr>
          <w:rFonts w:ascii="Calibri" w:hAnsi="Calibri"/>
          <w:sz w:val="22"/>
        </w:rPr>
        <w:t>i</w:t>
      </w:r>
      <w:r>
        <w:rPr>
          <w:rFonts w:ascii="Calibri" w:hAnsi="Calibri"/>
          <w:spacing w:val="-3"/>
          <w:sz w:val="22"/>
        </w:rPr>
        <w:t> </w:t>
      </w:r>
      <w:r>
        <w:rPr>
          <w:rFonts w:ascii="Calibri" w:hAnsi="Calibri"/>
          <w:sz w:val="22"/>
        </w:rPr>
        <w:t>gwblhau’r</w:t>
      </w:r>
      <w:r>
        <w:rPr>
          <w:rFonts w:ascii="Calibri" w:hAnsi="Calibri"/>
          <w:spacing w:val="-2"/>
          <w:sz w:val="22"/>
        </w:rPr>
        <w:t> </w:t>
      </w:r>
      <w:r>
        <w:rPr>
          <w:rFonts w:ascii="Calibri" w:hAnsi="Calibri"/>
          <w:sz w:val="22"/>
        </w:rPr>
        <w:t>cwrs yn</w:t>
      </w:r>
      <w:r>
        <w:rPr>
          <w:rFonts w:ascii="Calibri" w:hAnsi="Calibri"/>
          <w:spacing w:val="-1"/>
          <w:sz w:val="22"/>
        </w:rPr>
        <w:t> </w:t>
      </w:r>
      <w:r>
        <w:rPr>
          <w:rFonts w:ascii="Calibri" w:hAnsi="Calibri"/>
          <w:sz w:val="22"/>
        </w:rPr>
        <w:t>llawer</w:t>
      </w:r>
      <w:r>
        <w:rPr>
          <w:rFonts w:ascii="Calibri" w:hAnsi="Calibri"/>
          <w:spacing w:val="-1"/>
          <w:sz w:val="22"/>
        </w:rPr>
        <w:t> </w:t>
      </w:r>
      <w:r>
        <w:rPr>
          <w:rFonts w:ascii="Calibri" w:hAnsi="Calibri"/>
          <w:sz w:val="22"/>
        </w:rPr>
        <w:t>haws</w:t>
      </w:r>
      <w:r>
        <w:rPr>
          <w:rFonts w:ascii="Calibri" w:hAnsi="Calibri"/>
          <w:spacing w:val="-1"/>
          <w:sz w:val="22"/>
        </w:rPr>
        <w:t> </w:t>
      </w:r>
      <w:r>
        <w:rPr>
          <w:rFonts w:ascii="Calibri" w:hAnsi="Calibri"/>
          <w:sz w:val="22"/>
        </w:rPr>
        <w:t>ac</w:t>
      </w:r>
      <w:r>
        <w:rPr>
          <w:rFonts w:ascii="Calibri" w:hAnsi="Calibri"/>
          <w:spacing w:val="-2"/>
          <w:sz w:val="22"/>
        </w:rPr>
        <w:t> </w:t>
      </w:r>
      <w:r>
        <w:rPr>
          <w:rFonts w:ascii="Calibri" w:hAnsi="Calibri"/>
          <w:sz w:val="22"/>
        </w:rPr>
        <w:t>wedi</w:t>
      </w:r>
      <w:r>
        <w:rPr>
          <w:rFonts w:ascii="Calibri" w:hAnsi="Calibri"/>
          <w:spacing w:val="-1"/>
          <w:sz w:val="22"/>
        </w:rPr>
        <w:t> </w:t>
      </w:r>
      <w:r>
        <w:rPr>
          <w:rFonts w:ascii="Calibri" w:hAnsi="Calibri"/>
          <w:sz w:val="22"/>
        </w:rPr>
        <w:t>hwyluso</w:t>
      </w:r>
      <w:r>
        <w:rPr>
          <w:rFonts w:ascii="Calibri" w:hAnsi="Calibri"/>
          <w:spacing w:val="-2"/>
          <w:sz w:val="22"/>
        </w:rPr>
        <w:t> </w:t>
      </w:r>
      <w:r>
        <w:rPr>
          <w:rFonts w:ascii="Calibri" w:hAnsi="Calibri"/>
          <w:sz w:val="22"/>
        </w:rPr>
        <w:t>dysgu’r</w:t>
      </w:r>
      <w:r>
        <w:rPr>
          <w:rFonts w:ascii="Calibri" w:hAnsi="Calibri"/>
          <w:spacing w:val="-2"/>
          <w:sz w:val="22"/>
        </w:rPr>
        <w:t> </w:t>
      </w:r>
      <w:r>
        <w:rPr>
          <w:rFonts w:ascii="Calibri" w:hAnsi="Calibri"/>
          <w:sz w:val="22"/>
        </w:rPr>
        <w:t>Gymraeg</w:t>
      </w:r>
      <w:r>
        <w:rPr>
          <w:rFonts w:ascii="Calibri" w:hAnsi="Calibri"/>
          <w:spacing w:val="-1"/>
          <w:sz w:val="22"/>
        </w:rPr>
        <w:t> </w:t>
      </w:r>
      <w:r>
        <w:rPr>
          <w:rFonts w:ascii="Calibri" w:hAnsi="Calibri"/>
          <w:sz w:val="22"/>
        </w:rPr>
        <w:t>yn</w:t>
      </w:r>
      <w:r>
        <w:rPr>
          <w:rFonts w:ascii="Calibri" w:hAnsi="Calibri"/>
          <w:spacing w:val="-1"/>
          <w:sz w:val="22"/>
        </w:rPr>
        <w:t> </w:t>
      </w:r>
      <w:r>
        <w:rPr>
          <w:rFonts w:ascii="Calibri" w:hAnsi="Calibri"/>
          <w:sz w:val="22"/>
        </w:rPr>
        <w:t>sylweddol.</w:t>
      </w:r>
      <w:r>
        <w:rPr>
          <w:rFonts w:ascii="Calibri" w:hAnsi="Calibri"/>
          <w:spacing w:val="40"/>
          <w:sz w:val="22"/>
        </w:rPr>
        <w:t> </w:t>
      </w:r>
      <w:r>
        <w:rPr>
          <w:rFonts w:ascii="Calibri" w:hAnsi="Calibri"/>
          <w:sz w:val="22"/>
        </w:rPr>
        <w:t>Mae</w:t>
      </w:r>
      <w:r>
        <w:rPr>
          <w:rFonts w:ascii="Calibri" w:hAnsi="Calibri"/>
          <w:spacing w:val="-2"/>
          <w:sz w:val="22"/>
        </w:rPr>
        <w:t> </w:t>
      </w:r>
      <w:r>
        <w:rPr>
          <w:rFonts w:ascii="Calibri" w:hAnsi="Calibri"/>
          <w:sz w:val="22"/>
        </w:rPr>
        <w:t>hefyd</w:t>
      </w:r>
      <w:r>
        <w:rPr>
          <w:rFonts w:ascii="Calibri" w:hAnsi="Calibri"/>
          <w:spacing w:val="-1"/>
          <w:sz w:val="22"/>
        </w:rPr>
        <w:t> </w:t>
      </w:r>
      <w:r>
        <w:rPr>
          <w:rFonts w:ascii="Calibri" w:hAnsi="Calibri"/>
          <w:sz w:val="22"/>
        </w:rPr>
        <w:t>wedi</w:t>
      </w:r>
      <w:r>
        <w:rPr>
          <w:rFonts w:ascii="Calibri" w:hAnsi="Calibri"/>
          <w:spacing w:val="-2"/>
          <w:sz w:val="22"/>
        </w:rPr>
        <w:t> </w:t>
      </w:r>
      <w:r>
        <w:rPr>
          <w:rFonts w:ascii="Calibri" w:hAnsi="Calibri"/>
          <w:sz w:val="22"/>
        </w:rPr>
        <w:t>galluogi</w:t>
      </w:r>
      <w:r>
        <w:rPr>
          <w:rFonts w:ascii="Calibri" w:hAnsi="Calibri"/>
          <w:spacing w:val="-1"/>
          <w:sz w:val="22"/>
        </w:rPr>
        <w:t> </w:t>
      </w:r>
      <w:r>
        <w:rPr>
          <w:rFonts w:ascii="Calibri" w:hAnsi="Calibri"/>
          <w:sz w:val="22"/>
        </w:rPr>
        <w:t>tiwtoriaid</w:t>
      </w:r>
      <w:r>
        <w:rPr>
          <w:rFonts w:ascii="Calibri" w:hAnsi="Calibri"/>
          <w:spacing w:val="-1"/>
          <w:sz w:val="22"/>
        </w:rPr>
        <w:t> </w:t>
      </w:r>
      <w:r>
        <w:rPr>
          <w:rFonts w:ascii="Calibri" w:hAnsi="Calibri"/>
          <w:sz w:val="22"/>
        </w:rPr>
        <w:t>i recordio sesiynau fel y gall staff ailymweld â’r hyn a ddysgwyd a’r dosbarthiadau nad oedd modd iddynt fod yn bresennol ynddynt.</w:t>
      </w:r>
      <w:r>
        <w:rPr>
          <w:rFonts w:ascii="Calibri" w:hAnsi="Calibri"/>
          <w:spacing w:val="40"/>
          <w:sz w:val="22"/>
        </w:rPr>
        <w:t> </w:t>
      </w:r>
      <w:r>
        <w:rPr>
          <w:rFonts w:ascii="Calibri" w:hAnsi="Calibri"/>
          <w:sz w:val="22"/>
        </w:rPr>
        <w:t>Mae cyfraddau presenoldeb a chadw staff wedi gwella, oherwydd bod y cyrsiau ar gael ar-lein.</w:t>
      </w:r>
      <w:r>
        <w:rPr>
          <w:rFonts w:ascii="Calibri" w:hAnsi="Calibri"/>
          <w:spacing w:val="40"/>
          <w:sz w:val="22"/>
        </w:rPr>
        <w:t> </w:t>
      </w:r>
      <w:r>
        <w:rPr>
          <w:rFonts w:ascii="Calibri" w:hAnsi="Calibri"/>
          <w:sz w:val="22"/>
        </w:rPr>
        <w:t>Fodd bynnag, mae blaenoriaethu’r llwyth gwaith yn parhau i fod yn heriol i reolwyr a staff.</w:t>
      </w:r>
    </w:p>
    <w:p>
      <w:pPr>
        <w:spacing w:after="0" w:line="259" w:lineRule="auto"/>
        <w:jc w:val="left"/>
        <w:rPr>
          <w:rFonts w:ascii="Calibri" w:hAnsi="Calibri"/>
          <w:sz w:val="22"/>
        </w:rPr>
        <w:sectPr>
          <w:pgSz w:w="11910" w:h="16840"/>
          <w:pgMar w:header="0" w:footer="173" w:top="1380" w:bottom="360" w:left="0" w:right="0"/>
        </w:sectPr>
      </w:pPr>
    </w:p>
    <w:p>
      <w:pPr>
        <w:spacing w:before="42"/>
        <w:ind w:left="1440" w:right="0" w:firstLine="0"/>
        <w:jc w:val="left"/>
        <w:rPr>
          <w:rFonts w:ascii="Calibri"/>
          <w:sz w:val="22"/>
        </w:rPr>
      </w:pPr>
      <w:r>
        <w:rPr>
          <w:rFonts w:ascii="Calibri"/>
          <w:sz w:val="22"/>
        </w:rPr>
        <w:t>Cynigwyd</w:t>
      </w:r>
      <w:r>
        <w:rPr>
          <w:rFonts w:ascii="Calibri"/>
          <w:spacing w:val="-4"/>
          <w:sz w:val="22"/>
        </w:rPr>
        <w:t> </w:t>
      </w:r>
      <w:r>
        <w:rPr>
          <w:rFonts w:ascii="Calibri"/>
          <w:sz w:val="22"/>
        </w:rPr>
        <w:t>y</w:t>
      </w:r>
      <w:r>
        <w:rPr>
          <w:rFonts w:ascii="Calibri"/>
          <w:spacing w:val="-2"/>
          <w:sz w:val="22"/>
        </w:rPr>
        <w:t> </w:t>
      </w:r>
      <w:r>
        <w:rPr>
          <w:rFonts w:ascii="Calibri"/>
          <w:sz w:val="22"/>
        </w:rPr>
        <w:t>cyrsiau</w:t>
      </w:r>
      <w:r>
        <w:rPr>
          <w:rFonts w:ascii="Calibri"/>
          <w:spacing w:val="-3"/>
          <w:sz w:val="22"/>
        </w:rPr>
        <w:t> </w:t>
      </w:r>
      <w:r>
        <w:rPr>
          <w:rFonts w:ascii="Calibri"/>
          <w:sz w:val="22"/>
        </w:rPr>
        <w:t>canlynol</w:t>
      </w:r>
      <w:r>
        <w:rPr>
          <w:rFonts w:ascii="Calibri"/>
          <w:spacing w:val="-2"/>
          <w:sz w:val="22"/>
        </w:rPr>
        <w:t> </w:t>
      </w:r>
      <w:r>
        <w:rPr>
          <w:rFonts w:ascii="Calibri"/>
          <w:sz w:val="22"/>
        </w:rPr>
        <w:t>i</w:t>
      </w:r>
      <w:r>
        <w:rPr>
          <w:rFonts w:ascii="Calibri"/>
          <w:spacing w:val="-2"/>
          <w:sz w:val="22"/>
        </w:rPr>
        <w:t> </w:t>
      </w:r>
      <w:r>
        <w:rPr>
          <w:rFonts w:ascii="Calibri"/>
          <w:sz w:val="22"/>
        </w:rPr>
        <w:t>staff</w:t>
      </w:r>
      <w:r>
        <w:rPr>
          <w:rFonts w:ascii="Calibri"/>
          <w:spacing w:val="-3"/>
          <w:sz w:val="22"/>
        </w:rPr>
        <w:t> </w:t>
      </w:r>
      <w:r>
        <w:rPr>
          <w:rFonts w:ascii="Calibri"/>
          <w:sz w:val="22"/>
        </w:rPr>
        <w:t>yn</w:t>
      </w:r>
      <w:r>
        <w:rPr>
          <w:rFonts w:ascii="Calibri"/>
          <w:spacing w:val="-2"/>
          <w:sz w:val="22"/>
        </w:rPr>
        <w:t> </w:t>
      </w:r>
      <w:r>
        <w:rPr>
          <w:rFonts w:ascii="Calibri"/>
          <w:sz w:val="22"/>
        </w:rPr>
        <w:t>ystod</w:t>
      </w:r>
      <w:r>
        <w:rPr>
          <w:rFonts w:ascii="Calibri"/>
          <w:spacing w:val="-1"/>
          <w:sz w:val="22"/>
        </w:rPr>
        <w:t> </w:t>
      </w:r>
      <w:r>
        <w:rPr>
          <w:rFonts w:ascii="Calibri"/>
          <w:spacing w:val="-2"/>
          <w:sz w:val="22"/>
        </w:rPr>
        <w:t>2021/22:</w:t>
      </w:r>
    </w:p>
    <w:p>
      <w:pPr>
        <w:pStyle w:val="ListParagraph"/>
        <w:numPr>
          <w:ilvl w:val="0"/>
          <w:numId w:val="48"/>
        </w:numPr>
        <w:tabs>
          <w:tab w:pos="2159" w:val="left" w:leader="none"/>
          <w:tab w:pos="2160" w:val="left" w:leader="none"/>
        </w:tabs>
        <w:spacing w:line="240" w:lineRule="auto" w:before="21" w:after="0"/>
        <w:ind w:left="2159" w:right="0" w:hanging="360"/>
        <w:jc w:val="left"/>
        <w:rPr>
          <w:rFonts w:ascii="Calibri" w:hAnsi="Calibri"/>
          <w:sz w:val="22"/>
        </w:rPr>
      </w:pPr>
      <w:r>
        <w:rPr>
          <w:rFonts w:ascii="Calibri" w:hAnsi="Calibri"/>
          <w:sz w:val="22"/>
        </w:rPr>
        <w:t>2</w:t>
      </w:r>
      <w:r>
        <w:rPr>
          <w:rFonts w:ascii="Calibri" w:hAnsi="Calibri"/>
          <w:spacing w:val="-1"/>
          <w:sz w:val="22"/>
        </w:rPr>
        <w:t> </w:t>
      </w:r>
      <w:r>
        <w:rPr>
          <w:rFonts w:ascii="Calibri" w:hAnsi="Calibri"/>
          <w:sz w:val="22"/>
        </w:rPr>
        <w:t>gwrs</w:t>
      </w:r>
      <w:r>
        <w:rPr>
          <w:rFonts w:ascii="Calibri" w:hAnsi="Calibri"/>
          <w:spacing w:val="-1"/>
          <w:sz w:val="22"/>
        </w:rPr>
        <w:t> </w:t>
      </w:r>
      <w:r>
        <w:rPr>
          <w:rFonts w:ascii="Calibri" w:hAnsi="Calibri"/>
          <w:sz w:val="22"/>
        </w:rPr>
        <w:t>30 wythnos</w:t>
      </w:r>
      <w:r>
        <w:rPr>
          <w:rFonts w:ascii="Calibri" w:hAnsi="Calibri"/>
          <w:spacing w:val="-2"/>
          <w:sz w:val="22"/>
        </w:rPr>
        <w:t> </w:t>
      </w:r>
      <w:r>
        <w:rPr>
          <w:rFonts w:ascii="Calibri" w:hAnsi="Calibri"/>
          <w:sz w:val="22"/>
        </w:rPr>
        <w:t>Lefel</w:t>
      </w:r>
      <w:r>
        <w:rPr>
          <w:rFonts w:ascii="Calibri" w:hAnsi="Calibri"/>
          <w:spacing w:val="-1"/>
          <w:sz w:val="22"/>
        </w:rPr>
        <w:t> </w:t>
      </w:r>
      <w:r>
        <w:rPr>
          <w:rFonts w:ascii="Calibri" w:hAnsi="Calibri"/>
          <w:sz w:val="22"/>
        </w:rPr>
        <w:t>Mynediad</w:t>
      </w:r>
      <w:r>
        <w:rPr>
          <w:rFonts w:ascii="Calibri" w:hAnsi="Calibri"/>
          <w:spacing w:val="-2"/>
          <w:sz w:val="22"/>
        </w:rPr>
        <w:t> </w:t>
      </w:r>
      <w:r>
        <w:rPr>
          <w:rFonts w:ascii="Calibri" w:hAnsi="Calibri"/>
          <w:sz w:val="22"/>
        </w:rPr>
        <w:t>1</w:t>
      </w:r>
      <w:r>
        <w:rPr>
          <w:rFonts w:ascii="Calibri" w:hAnsi="Calibri"/>
          <w:spacing w:val="73"/>
          <w:w w:val="150"/>
          <w:sz w:val="22"/>
        </w:rPr>
        <w:t> </w:t>
      </w:r>
      <w:r>
        <w:rPr>
          <w:rFonts w:ascii="Calibri" w:hAnsi="Calibri"/>
          <w:sz w:val="22"/>
        </w:rPr>
        <w:t>Mynychodd</w:t>
      </w:r>
      <w:r>
        <w:rPr>
          <w:rFonts w:ascii="Calibri" w:hAnsi="Calibri"/>
          <w:spacing w:val="-1"/>
          <w:sz w:val="22"/>
        </w:rPr>
        <w:t> </w:t>
      </w:r>
      <w:r>
        <w:rPr>
          <w:rFonts w:ascii="Calibri" w:hAnsi="Calibri"/>
          <w:sz w:val="22"/>
        </w:rPr>
        <w:t>32</w:t>
      </w:r>
      <w:r>
        <w:rPr>
          <w:rFonts w:ascii="Calibri" w:hAnsi="Calibri"/>
          <w:spacing w:val="-1"/>
          <w:sz w:val="22"/>
        </w:rPr>
        <w:t> </w:t>
      </w:r>
      <w:r>
        <w:rPr>
          <w:rFonts w:ascii="Calibri" w:hAnsi="Calibri"/>
          <w:sz w:val="22"/>
        </w:rPr>
        <w:t>aelod o</w:t>
      </w:r>
      <w:r>
        <w:rPr>
          <w:rFonts w:ascii="Calibri" w:hAnsi="Calibri"/>
          <w:spacing w:val="-2"/>
          <w:sz w:val="22"/>
        </w:rPr>
        <w:t> staff</w:t>
      </w:r>
    </w:p>
    <w:p>
      <w:pPr>
        <w:pStyle w:val="ListParagraph"/>
        <w:numPr>
          <w:ilvl w:val="0"/>
          <w:numId w:val="48"/>
        </w:numPr>
        <w:tabs>
          <w:tab w:pos="2159" w:val="left" w:leader="none"/>
          <w:tab w:pos="2160" w:val="left" w:leader="none"/>
        </w:tabs>
        <w:spacing w:line="240" w:lineRule="auto" w:before="21" w:after="0"/>
        <w:ind w:left="2159" w:right="0" w:hanging="360"/>
        <w:jc w:val="left"/>
        <w:rPr>
          <w:rFonts w:ascii="Calibri" w:hAnsi="Calibri"/>
          <w:sz w:val="22"/>
        </w:rPr>
      </w:pPr>
      <w:r>
        <w:rPr>
          <w:rFonts w:ascii="Calibri" w:hAnsi="Calibri"/>
          <w:sz w:val="22"/>
        </w:rPr>
        <w:t>1</w:t>
      </w:r>
      <w:r>
        <w:rPr>
          <w:rFonts w:ascii="Calibri" w:hAnsi="Calibri"/>
          <w:spacing w:val="-1"/>
          <w:sz w:val="22"/>
        </w:rPr>
        <w:t> </w:t>
      </w:r>
      <w:r>
        <w:rPr>
          <w:rFonts w:ascii="Calibri" w:hAnsi="Calibri"/>
          <w:sz w:val="22"/>
        </w:rPr>
        <w:t>cwrs</w:t>
      </w:r>
      <w:r>
        <w:rPr>
          <w:rFonts w:ascii="Calibri" w:hAnsi="Calibri"/>
          <w:spacing w:val="-1"/>
          <w:sz w:val="22"/>
        </w:rPr>
        <w:t> </w:t>
      </w:r>
      <w:r>
        <w:rPr>
          <w:rFonts w:ascii="Calibri" w:hAnsi="Calibri"/>
          <w:sz w:val="22"/>
        </w:rPr>
        <w:t>30</w:t>
      </w:r>
      <w:r>
        <w:rPr>
          <w:rFonts w:ascii="Calibri" w:hAnsi="Calibri"/>
          <w:spacing w:val="-1"/>
          <w:sz w:val="22"/>
        </w:rPr>
        <w:t> </w:t>
      </w:r>
      <w:r>
        <w:rPr>
          <w:rFonts w:ascii="Calibri" w:hAnsi="Calibri"/>
          <w:sz w:val="22"/>
        </w:rPr>
        <w:t>wythnos</w:t>
      </w:r>
      <w:r>
        <w:rPr>
          <w:rFonts w:ascii="Calibri" w:hAnsi="Calibri"/>
          <w:spacing w:val="-2"/>
          <w:sz w:val="22"/>
        </w:rPr>
        <w:t> </w:t>
      </w:r>
      <w:r>
        <w:rPr>
          <w:rFonts w:ascii="Calibri" w:hAnsi="Calibri"/>
          <w:sz w:val="22"/>
        </w:rPr>
        <w:t>Lefel</w:t>
      </w:r>
      <w:r>
        <w:rPr>
          <w:rFonts w:ascii="Calibri" w:hAnsi="Calibri"/>
          <w:spacing w:val="-1"/>
          <w:sz w:val="22"/>
        </w:rPr>
        <w:t> </w:t>
      </w:r>
      <w:r>
        <w:rPr>
          <w:rFonts w:ascii="Calibri" w:hAnsi="Calibri"/>
          <w:sz w:val="22"/>
        </w:rPr>
        <w:t>Mynediad</w:t>
      </w:r>
      <w:r>
        <w:rPr>
          <w:rFonts w:ascii="Calibri" w:hAnsi="Calibri"/>
          <w:spacing w:val="-2"/>
          <w:sz w:val="22"/>
        </w:rPr>
        <w:t> </w:t>
      </w:r>
      <w:r>
        <w:rPr>
          <w:rFonts w:ascii="Calibri" w:hAnsi="Calibri"/>
          <w:sz w:val="22"/>
        </w:rPr>
        <w:t>2</w:t>
      </w:r>
      <w:r>
        <w:rPr>
          <w:rFonts w:ascii="Calibri" w:hAnsi="Calibri"/>
          <w:spacing w:val="72"/>
          <w:w w:val="150"/>
          <w:sz w:val="22"/>
        </w:rPr>
        <w:t> </w:t>
      </w:r>
      <w:r>
        <w:rPr>
          <w:rFonts w:ascii="Calibri" w:hAnsi="Calibri"/>
          <w:sz w:val="22"/>
        </w:rPr>
        <w:t>Mynychodd 6</w:t>
      </w:r>
      <w:r>
        <w:rPr>
          <w:rFonts w:ascii="Calibri" w:hAnsi="Calibri"/>
          <w:spacing w:val="-2"/>
          <w:sz w:val="22"/>
        </w:rPr>
        <w:t> </w:t>
      </w:r>
      <w:r>
        <w:rPr>
          <w:rFonts w:ascii="Calibri" w:hAnsi="Calibri"/>
          <w:sz w:val="22"/>
        </w:rPr>
        <w:t>aelod</w:t>
      </w:r>
      <w:r>
        <w:rPr>
          <w:rFonts w:ascii="Calibri" w:hAnsi="Calibri"/>
          <w:spacing w:val="-2"/>
          <w:sz w:val="22"/>
        </w:rPr>
        <w:t> </w:t>
      </w:r>
      <w:r>
        <w:rPr>
          <w:rFonts w:ascii="Calibri" w:hAnsi="Calibri"/>
          <w:sz w:val="22"/>
        </w:rPr>
        <w:t>o</w:t>
      </w:r>
      <w:r>
        <w:rPr>
          <w:rFonts w:ascii="Calibri" w:hAnsi="Calibri"/>
          <w:spacing w:val="-1"/>
          <w:sz w:val="22"/>
        </w:rPr>
        <w:t> </w:t>
      </w:r>
      <w:r>
        <w:rPr>
          <w:rFonts w:ascii="Calibri" w:hAnsi="Calibri"/>
          <w:spacing w:val="-2"/>
          <w:sz w:val="22"/>
        </w:rPr>
        <w:t>staff</w:t>
      </w:r>
    </w:p>
    <w:p>
      <w:pPr>
        <w:pStyle w:val="ListParagraph"/>
        <w:numPr>
          <w:ilvl w:val="0"/>
          <w:numId w:val="48"/>
        </w:numPr>
        <w:tabs>
          <w:tab w:pos="2159" w:val="left" w:leader="none"/>
          <w:tab w:pos="2160" w:val="left" w:leader="none"/>
        </w:tabs>
        <w:spacing w:line="240" w:lineRule="auto" w:before="21" w:after="0"/>
        <w:ind w:left="2159" w:right="0" w:hanging="360"/>
        <w:jc w:val="left"/>
        <w:rPr>
          <w:rFonts w:ascii="Calibri" w:hAnsi="Calibri"/>
          <w:sz w:val="22"/>
        </w:rPr>
      </w:pPr>
      <w:r>
        <w:rPr>
          <w:rFonts w:ascii="Calibri" w:hAnsi="Calibri"/>
          <w:sz w:val="22"/>
        </w:rPr>
        <w:t>1</w:t>
      </w:r>
      <w:r>
        <w:rPr>
          <w:rFonts w:ascii="Calibri" w:hAnsi="Calibri"/>
          <w:spacing w:val="-1"/>
          <w:sz w:val="22"/>
        </w:rPr>
        <w:t> </w:t>
      </w:r>
      <w:r>
        <w:rPr>
          <w:rFonts w:ascii="Calibri" w:hAnsi="Calibri"/>
          <w:sz w:val="22"/>
        </w:rPr>
        <w:t>cwrs</w:t>
      </w:r>
      <w:r>
        <w:rPr>
          <w:rFonts w:ascii="Calibri" w:hAnsi="Calibri"/>
          <w:spacing w:val="-1"/>
          <w:sz w:val="22"/>
        </w:rPr>
        <w:t> </w:t>
      </w:r>
      <w:r>
        <w:rPr>
          <w:rFonts w:ascii="Calibri" w:hAnsi="Calibri"/>
          <w:sz w:val="22"/>
        </w:rPr>
        <w:t>30</w:t>
      </w:r>
      <w:r>
        <w:rPr>
          <w:rFonts w:ascii="Calibri" w:hAnsi="Calibri"/>
          <w:spacing w:val="-1"/>
          <w:sz w:val="22"/>
        </w:rPr>
        <w:t> </w:t>
      </w:r>
      <w:r>
        <w:rPr>
          <w:rFonts w:ascii="Calibri" w:hAnsi="Calibri"/>
          <w:sz w:val="22"/>
        </w:rPr>
        <w:t>wythnos</w:t>
      </w:r>
      <w:r>
        <w:rPr>
          <w:rFonts w:ascii="Calibri" w:hAnsi="Calibri"/>
          <w:spacing w:val="-2"/>
          <w:sz w:val="22"/>
        </w:rPr>
        <w:t> </w:t>
      </w:r>
      <w:r>
        <w:rPr>
          <w:rFonts w:ascii="Calibri" w:hAnsi="Calibri"/>
          <w:sz w:val="22"/>
        </w:rPr>
        <w:t>Lefel</w:t>
      </w:r>
      <w:r>
        <w:rPr>
          <w:rFonts w:ascii="Calibri" w:hAnsi="Calibri"/>
          <w:spacing w:val="-1"/>
          <w:sz w:val="22"/>
        </w:rPr>
        <w:t> </w:t>
      </w:r>
      <w:r>
        <w:rPr>
          <w:rFonts w:ascii="Calibri" w:hAnsi="Calibri"/>
          <w:sz w:val="22"/>
        </w:rPr>
        <w:t>Sylfaen</w:t>
      </w:r>
      <w:r>
        <w:rPr>
          <w:rFonts w:ascii="Calibri" w:hAnsi="Calibri"/>
          <w:spacing w:val="-2"/>
          <w:sz w:val="22"/>
        </w:rPr>
        <w:t> </w:t>
      </w:r>
      <w:r>
        <w:rPr>
          <w:rFonts w:ascii="Calibri" w:hAnsi="Calibri"/>
          <w:sz w:val="22"/>
        </w:rPr>
        <w:t>2</w:t>
      </w:r>
      <w:r>
        <w:rPr>
          <w:rFonts w:ascii="Calibri" w:hAnsi="Calibri"/>
          <w:spacing w:val="72"/>
          <w:w w:val="150"/>
          <w:sz w:val="22"/>
        </w:rPr>
        <w:t> </w:t>
      </w:r>
      <w:r>
        <w:rPr>
          <w:rFonts w:ascii="Calibri" w:hAnsi="Calibri"/>
          <w:sz w:val="22"/>
        </w:rPr>
        <w:t>Mynychodd</w:t>
      </w:r>
      <w:r>
        <w:rPr>
          <w:rFonts w:ascii="Calibri" w:hAnsi="Calibri"/>
          <w:spacing w:val="-2"/>
          <w:sz w:val="22"/>
        </w:rPr>
        <w:t> </w:t>
      </w:r>
      <w:r>
        <w:rPr>
          <w:rFonts w:ascii="Calibri" w:hAnsi="Calibri"/>
          <w:sz w:val="22"/>
        </w:rPr>
        <w:t>6</w:t>
      </w:r>
      <w:r>
        <w:rPr>
          <w:rFonts w:ascii="Calibri" w:hAnsi="Calibri"/>
          <w:spacing w:val="-1"/>
          <w:sz w:val="22"/>
        </w:rPr>
        <w:t> </w:t>
      </w:r>
      <w:r>
        <w:rPr>
          <w:rFonts w:ascii="Calibri" w:hAnsi="Calibri"/>
          <w:sz w:val="22"/>
        </w:rPr>
        <w:t>aelod</w:t>
      </w:r>
      <w:r>
        <w:rPr>
          <w:rFonts w:ascii="Calibri" w:hAnsi="Calibri"/>
          <w:spacing w:val="-2"/>
          <w:sz w:val="22"/>
        </w:rPr>
        <w:t> </w:t>
      </w:r>
      <w:r>
        <w:rPr>
          <w:rFonts w:ascii="Calibri" w:hAnsi="Calibri"/>
          <w:sz w:val="22"/>
        </w:rPr>
        <w:t>o</w:t>
      </w:r>
      <w:r>
        <w:rPr>
          <w:rFonts w:ascii="Calibri" w:hAnsi="Calibri"/>
          <w:spacing w:val="-1"/>
          <w:sz w:val="22"/>
        </w:rPr>
        <w:t> </w:t>
      </w:r>
      <w:r>
        <w:rPr>
          <w:rFonts w:ascii="Calibri" w:hAnsi="Calibri"/>
          <w:spacing w:val="-2"/>
          <w:sz w:val="22"/>
        </w:rPr>
        <w:t>staff</w:t>
      </w:r>
    </w:p>
    <w:p>
      <w:pPr>
        <w:pStyle w:val="ListParagraph"/>
        <w:numPr>
          <w:ilvl w:val="0"/>
          <w:numId w:val="48"/>
        </w:numPr>
        <w:tabs>
          <w:tab w:pos="2159" w:val="left" w:leader="none"/>
          <w:tab w:pos="2160" w:val="left" w:leader="none"/>
        </w:tabs>
        <w:spacing w:line="240" w:lineRule="auto" w:before="22" w:after="0"/>
        <w:ind w:left="2159" w:right="0" w:hanging="360"/>
        <w:jc w:val="left"/>
        <w:rPr>
          <w:rFonts w:ascii="Calibri" w:hAnsi="Calibri"/>
          <w:sz w:val="22"/>
        </w:rPr>
      </w:pPr>
      <w:r>
        <w:rPr>
          <w:rFonts w:ascii="Calibri" w:hAnsi="Calibri"/>
          <w:sz w:val="22"/>
        </w:rPr>
        <w:t>Cwrs</w:t>
      </w:r>
      <w:r>
        <w:rPr>
          <w:rFonts w:ascii="Calibri" w:hAnsi="Calibri"/>
          <w:spacing w:val="-1"/>
          <w:sz w:val="22"/>
        </w:rPr>
        <w:t> </w:t>
      </w:r>
      <w:r>
        <w:rPr>
          <w:rFonts w:ascii="Calibri" w:hAnsi="Calibri"/>
          <w:sz w:val="22"/>
        </w:rPr>
        <w:t>Lefel</w:t>
      </w:r>
      <w:r>
        <w:rPr>
          <w:rFonts w:ascii="Calibri" w:hAnsi="Calibri"/>
          <w:spacing w:val="-2"/>
          <w:sz w:val="22"/>
        </w:rPr>
        <w:t> </w:t>
      </w:r>
      <w:r>
        <w:rPr>
          <w:rFonts w:ascii="Calibri" w:hAnsi="Calibri"/>
          <w:sz w:val="22"/>
        </w:rPr>
        <w:t>Canolradd</w:t>
      </w:r>
      <w:r>
        <w:rPr>
          <w:rFonts w:ascii="Calibri" w:hAnsi="Calibri"/>
          <w:spacing w:val="-1"/>
          <w:sz w:val="22"/>
        </w:rPr>
        <w:t> </w:t>
      </w:r>
      <w:r>
        <w:rPr>
          <w:rFonts w:ascii="Calibri" w:hAnsi="Calibri"/>
          <w:sz w:val="22"/>
        </w:rPr>
        <w:t>30</w:t>
      </w:r>
      <w:r>
        <w:rPr>
          <w:rFonts w:ascii="Calibri" w:hAnsi="Calibri"/>
          <w:spacing w:val="-1"/>
          <w:sz w:val="22"/>
        </w:rPr>
        <w:t> </w:t>
      </w:r>
      <w:r>
        <w:rPr>
          <w:rFonts w:ascii="Calibri" w:hAnsi="Calibri"/>
          <w:sz w:val="22"/>
        </w:rPr>
        <w:t>wythnos.</w:t>
      </w:r>
      <w:r>
        <w:rPr>
          <w:rFonts w:ascii="Calibri" w:hAnsi="Calibri"/>
          <w:spacing w:val="47"/>
          <w:sz w:val="22"/>
        </w:rPr>
        <w:t> </w:t>
      </w:r>
      <w:r>
        <w:rPr>
          <w:rFonts w:ascii="Calibri" w:hAnsi="Calibri"/>
          <w:sz w:val="22"/>
        </w:rPr>
        <w:t>10</w:t>
      </w:r>
      <w:r>
        <w:rPr>
          <w:rFonts w:ascii="Calibri" w:hAnsi="Calibri"/>
          <w:spacing w:val="-1"/>
          <w:sz w:val="22"/>
        </w:rPr>
        <w:t> </w:t>
      </w:r>
      <w:r>
        <w:rPr>
          <w:rFonts w:ascii="Calibri" w:hAnsi="Calibri"/>
          <w:sz w:val="22"/>
        </w:rPr>
        <w:t>aelod</w:t>
      </w:r>
      <w:r>
        <w:rPr>
          <w:rFonts w:ascii="Calibri" w:hAnsi="Calibri"/>
          <w:spacing w:val="-2"/>
          <w:sz w:val="22"/>
        </w:rPr>
        <w:t> </w:t>
      </w:r>
      <w:r>
        <w:rPr>
          <w:rFonts w:ascii="Calibri" w:hAnsi="Calibri"/>
          <w:sz w:val="22"/>
        </w:rPr>
        <w:t>o</w:t>
      </w:r>
      <w:r>
        <w:rPr>
          <w:rFonts w:ascii="Calibri" w:hAnsi="Calibri"/>
          <w:spacing w:val="-1"/>
          <w:sz w:val="22"/>
        </w:rPr>
        <w:t> </w:t>
      </w:r>
      <w:r>
        <w:rPr>
          <w:rFonts w:ascii="Calibri" w:hAnsi="Calibri"/>
          <w:spacing w:val="-2"/>
          <w:sz w:val="22"/>
        </w:rPr>
        <w:t>staff</w:t>
      </w:r>
    </w:p>
    <w:p>
      <w:pPr>
        <w:pStyle w:val="ListParagraph"/>
        <w:numPr>
          <w:ilvl w:val="0"/>
          <w:numId w:val="48"/>
        </w:numPr>
        <w:tabs>
          <w:tab w:pos="2159" w:val="left" w:leader="none"/>
          <w:tab w:pos="2160" w:val="left" w:leader="none"/>
        </w:tabs>
        <w:spacing w:line="240" w:lineRule="auto" w:before="21" w:after="0"/>
        <w:ind w:left="2159" w:right="0" w:hanging="360"/>
        <w:jc w:val="left"/>
        <w:rPr>
          <w:rFonts w:ascii="Calibri" w:hAnsi="Calibri"/>
          <w:sz w:val="22"/>
        </w:rPr>
      </w:pPr>
      <w:r>
        <w:rPr>
          <w:rFonts w:ascii="Calibri" w:hAnsi="Calibri"/>
          <w:sz w:val="22"/>
        </w:rPr>
        <w:t>Cwrs</w:t>
      </w:r>
      <w:r>
        <w:rPr>
          <w:rFonts w:ascii="Calibri" w:hAnsi="Calibri"/>
          <w:spacing w:val="-3"/>
          <w:sz w:val="22"/>
        </w:rPr>
        <w:t> </w:t>
      </w:r>
      <w:r>
        <w:rPr>
          <w:rFonts w:ascii="Calibri" w:hAnsi="Calibri"/>
          <w:sz w:val="22"/>
        </w:rPr>
        <w:t>Lefel</w:t>
      </w:r>
      <w:r>
        <w:rPr>
          <w:rFonts w:ascii="Calibri" w:hAnsi="Calibri"/>
          <w:spacing w:val="-1"/>
          <w:sz w:val="22"/>
        </w:rPr>
        <w:t> </w:t>
      </w:r>
      <w:r>
        <w:rPr>
          <w:rFonts w:ascii="Calibri" w:hAnsi="Calibri"/>
          <w:sz w:val="22"/>
        </w:rPr>
        <w:t>Uwch</w:t>
      </w:r>
      <w:r>
        <w:rPr>
          <w:rFonts w:ascii="Calibri" w:hAnsi="Calibri"/>
          <w:spacing w:val="-1"/>
          <w:sz w:val="22"/>
        </w:rPr>
        <w:t> </w:t>
      </w:r>
      <w:r>
        <w:rPr>
          <w:rFonts w:ascii="Calibri" w:hAnsi="Calibri"/>
          <w:sz w:val="22"/>
        </w:rPr>
        <w:t>30 wythnos.</w:t>
      </w:r>
      <w:r>
        <w:rPr>
          <w:rFonts w:ascii="Calibri" w:hAnsi="Calibri"/>
          <w:spacing w:val="47"/>
          <w:sz w:val="22"/>
        </w:rPr>
        <w:t> </w:t>
      </w:r>
      <w:r>
        <w:rPr>
          <w:rFonts w:ascii="Calibri" w:hAnsi="Calibri"/>
          <w:sz w:val="22"/>
        </w:rPr>
        <w:t>8</w:t>
      </w:r>
      <w:r>
        <w:rPr>
          <w:rFonts w:ascii="Calibri" w:hAnsi="Calibri"/>
          <w:spacing w:val="-1"/>
          <w:sz w:val="22"/>
        </w:rPr>
        <w:t> </w:t>
      </w:r>
      <w:r>
        <w:rPr>
          <w:rFonts w:ascii="Calibri" w:hAnsi="Calibri"/>
          <w:sz w:val="22"/>
        </w:rPr>
        <w:t>aelod</w:t>
      </w:r>
      <w:r>
        <w:rPr>
          <w:rFonts w:ascii="Calibri" w:hAnsi="Calibri"/>
          <w:spacing w:val="-2"/>
          <w:sz w:val="22"/>
        </w:rPr>
        <w:t> </w:t>
      </w:r>
      <w:r>
        <w:rPr>
          <w:rFonts w:ascii="Calibri" w:hAnsi="Calibri"/>
          <w:sz w:val="22"/>
        </w:rPr>
        <w:t>o </w:t>
      </w:r>
      <w:r>
        <w:rPr>
          <w:rFonts w:ascii="Calibri" w:hAnsi="Calibri"/>
          <w:spacing w:val="-2"/>
          <w:sz w:val="22"/>
        </w:rPr>
        <w:t>staff.</w:t>
      </w:r>
    </w:p>
    <w:p>
      <w:pPr>
        <w:pStyle w:val="BodyText"/>
        <w:spacing w:before="6"/>
        <w:rPr>
          <w:rFonts w:ascii="Calibri"/>
          <w:sz w:val="25"/>
        </w:rPr>
      </w:pPr>
    </w:p>
    <w:p>
      <w:pPr>
        <w:spacing w:line="259" w:lineRule="auto" w:before="0"/>
        <w:ind w:left="1440" w:right="1405" w:firstLine="0"/>
        <w:jc w:val="left"/>
        <w:rPr>
          <w:rFonts w:ascii="Calibri" w:hAnsi="Calibri"/>
          <w:sz w:val="22"/>
        </w:rPr>
      </w:pPr>
      <w:r>
        <w:rPr>
          <w:rFonts w:ascii="Calibri" w:hAnsi="Calibri"/>
          <w:sz w:val="22"/>
        </w:rPr>
        <w:t>Yn</w:t>
      </w:r>
      <w:r>
        <w:rPr>
          <w:rFonts w:ascii="Calibri" w:hAnsi="Calibri"/>
          <w:spacing w:val="-2"/>
          <w:sz w:val="22"/>
        </w:rPr>
        <w:t> </w:t>
      </w:r>
      <w:r>
        <w:rPr>
          <w:rFonts w:ascii="Calibri" w:hAnsi="Calibri"/>
          <w:sz w:val="22"/>
        </w:rPr>
        <w:t>ogystal</w:t>
      </w:r>
      <w:r>
        <w:rPr>
          <w:rFonts w:ascii="Calibri" w:hAnsi="Calibri"/>
          <w:spacing w:val="-3"/>
          <w:sz w:val="22"/>
        </w:rPr>
        <w:t> </w:t>
      </w:r>
      <w:r>
        <w:rPr>
          <w:rFonts w:ascii="Calibri" w:hAnsi="Calibri"/>
          <w:sz w:val="22"/>
        </w:rPr>
        <w:t>â’r</w:t>
      </w:r>
      <w:r>
        <w:rPr>
          <w:rFonts w:ascii="Calibri" w:hAnsi="Calibri"/>
          <w:spacing w:val="-3"/>
          <w:sz w:val="22"/>
        </w:rPr>
        <w:t> </w:t>
      </w:r>
      <w:r>
        <w:rPr>
          <w:rFonts w:ascii="Calibri" w:hAnsi="Calibri"/>
          <w:sz w:val="22"/>
        </w:rPr>
        <w:t>cyrsiau</w:t>
      </w:r>
      <w:r>
        <w:rPr>
          <w:rFonts w:ascii="Calibri" w:hAnsi="Calibri"/>
          <w:spacing w:val="-2"/>
          <w:sz w:val="22"/>
        </w:rPr>
        <w:t> </w:t>
      </w:r>
      <w:r>
        <w:rPr>
          <w:rFonts w:ascii="Calibri" w:hAnsi="Calibri"/>
          <w:sz w:val="22"/>
        </w:rPr>
        <w:t>prif</w:t>
      </w:r>
      <w:r>
        <w:rPr>
          <w:rFonts w:ascii="Calibri" w:hAnsi="Calibri"/>
          <w:spacing w:val="-3"/>
          <w:sz w:val="22"/>
        </w:rPr>
        <w:t> </w:t>
      </w:r>
      <w:r>
        <w:rPr>
          <w:rFonts w:ascii="Calibri" w:hAnsi="Calibri"/>
          <w:sz w:val="22"/>
        </w:rPr>
        <w:t>ffrwd</w:t>
      </w:r>
      <w:r>
        <w:rPr>
          <w:rFonts w:ascii="Calibri" w:hAnsi="Calibri"/>
          <w:spacing w:val="-2"/>
          <w:sz w:val="22"/>
        </w:rPr>
        <w:t> </w:t>
      </w:r>
      <w:r>
        <w:rPr>
          <w:rFonts w:ascii="Calibri" w:hAnsi="Calibri"/>
          <w:sz w:val="22"/>
        </w:rPr>
        <w:t>hyn,</w:t>
      </w:r>
      <w:r>
        <w:rPr>
          <w:rFonts w:ascii="Calibri" w:hAnsi="Calibri"/>
          <w:spacing w:val="-3"/>
          <w:sz w:val="22"/>
        </w:rPr>
        <w:t> </w:t>
      </w:r>
      <w:r>
        <w:rPr>
          <w:rFonts w:ascii="Calibri" w:hAnsi="Calibri"/>
          <w:sz w:val="22"/>
        </w:rPr>
        <w:t>rydym</w:t>
      </w:r>
      <w:r>
        <w:rPr>
          <w:rFonts w:ascii="Calibri" w:hAnsi="Calibri"/>
          <w:spacing w:val="-2"/>
          <w:sz w:val="22"/>
        </w:rPr>
        <w:t> </w:t>
      </w:r>
      <w:r>
        <w:rPr>
          <w:rFonts w:ascii="Calibri" w:hAnsi="Calibri"/>
          <w:sz w:val="22"/>
        </w:rPr>
        <w:t>wedi</w:t>
      </w:r>
      <w:r>
        <w:rPr>
          <w:rFonts w:ascii="Calibri" w:hAnsi="Calibri"/>
          <w:spacing w:val="-3"/>
          <w:sz w:val="22"/>
        </w:rPr>
        <w:t> </w:t>
      </w:r>
      <w:r>
        <w:rPr>
          <w:rFonts w:ascii="Calibri" w:hAnsi="Calibri"/>
          <w:sz w:val="22"/>
        </w:rPr>
        <w:t>cynnig</w:t>
      </w:r>
      <w:r>
        <w:rPr>
          <w:rFonts w:ascii="Calibri" w:hAnsi="Calibri"/>
          <w:spacing w:val="-3"/>
          <w:sz w:val="22"/>
        </w:rPr>
        <w:t> </w:t>
      </w:r>
      <w:r>
        <w:rPr>
          <w:rFonts w:ascii="Calibri" w:hAnsi="Calibri"/>
          <w:sz w:val="22"/>
        </w:rPr>
        <w:t>y</w:t>
      </w:r>
      <w:r>
        <w:rPr>
          <w:rFonts w:ascii="Calibri" w:hAnsi="Calibri"/>
          <w:spacing w:val="-2"/>
          <w:sz w:val="22"/>
        </w:rPr>
        <w:t> </w:t>
      </w:r>
      <w:r>
        <w:rPr>
          <w:rFonts w:ascii="Calibri" w:hAnsi="Calibri"/>
          <w:sz w:val="22"/>
        </w:rPr>
        <w:t>cyfle</w:t>
      </w:r>
      <w:r>
        <w:rPr>
          <w:rFonts w:ascii="Calibri" w:hAnsi="Calibri"/>
          <w:spacing w:val="-3"/>
          <w:sz w:val="22"/>
        </w:rPr>
        <w:t> </w:t>
      </w:r>
      <w:r>
        <w:rPr>
          <w:rFonts w:ascii="Calibri" w:hAnsi="Calibri"/>
          <w:sz w:val="22"/>
        </w:rPr>
        <w:t>i</w:t>
      </w:r>
      <w:r>
        <w:rPr>
          <w:rFonts w:ascii="Calibri" w:hAnsi="Calibri"/>
          <w:spacing w:val="-2"/>
          <w:sz w:val="22"/>
        </w:rPr>
        <w:t> </w:t>
      </w:r>
      <w:r>
        <w:rPr>
          <w:rFonts w:ascii="Calibri" w:hAnsi="Calibri"/>
          <w:sz w:val="22"/>
        </w:rPr>
        <w:t>staff</w:t>
      </w:r>
      <w:r>
        <w:rPr>
          <w:rFonts w:ascii="Calibri" w:hAnsi="Calibri"/>
          <w:spacing w:val="-3"/>
          <w:sz w:val="22"/>
        </w:rPr>
        <w:t> </w:t>
      </w:r>
      <w:r>
        <w:rPr>
          <w:rFonts w:ascii="Calibri" w:hAnsi="Calibri"/>
          <w:sz w:val="22"/>
        </w:rPr>
        <w:t>gwrdd</w:t>
      </w:r>
      <w:r>
        <w:rPr>
          <w:rFonts w:ascii="Calibri" w:hAnsi="Calibri"/>
          <w:spacing w:val="-2"/>
          <w:sz w:val="22"/>
        </w:rPr>
        <w:t> </w:t>
      </w:r>
      <w:r>
        <w:rPr>
          <w:rFonts w:ascii="Calibri" w:hAnsi="Calibri"/>
          <w:sz w:val="22"/>
        </w:rPr>
        <w:t>â’i</w:t>
      </w:r>
      <w:r>
        <w:rPr>
          <w:rFonts w:ascii="Calibri" w:hAnsi="Calibri"/>
          <w:spacing w:val="-2"/>
          <w:sz w:val="22"/>
        </w:rPr>
        <w:t> </w:t>
      </w:r>
      <w:r>
        <w:rPr>
          <w:rFonts w:ascii="Calibri" w:hAnsi="Calibri"/>
          <w:sz w:val="22"/>
        </w:rPr>
        <w:t>gilydd</w:t>
      </w:r>
      <w:r>
        <w:rPr>
          <w:rFonts w:ascii="Calibri" w:hAnsi="Calibri"/>
          <w:spacing w:val="-2"/>
          <w:sz w:val="22"/>
        </w:rPr>
        <w:t> </w:t>
      </w:r>
      <w:r>
        <w:rPr>
          <w:rFonts w:ascii="Calibri" w:hAnsi="Calibri"/>
          <w:sz w:val="22"/>
        </w:rPr>
        <w:t>a</w:t>
      </w:r>
      <w:r>
        <w:rPr>
          <w:rFonts w:ascii="Calibri" w:hAnsi="Calibri"/>
          <w:spacing w:val="-3"/>
          <w:sz w:val="22"/>
        </w:rPr>
        <w:t> </w:t>
      </w:r>
      <w:r>
        <w:rPr>
          <w:rFonts w:ascii="Calibri" w:hAnsi="Calibri"/>
          <w:sz w:val="22"/>
        </w:rPr>
        <w:t>defnyddio</w:t>
      </w:r>
      <w:r>
        <w:rPr>
          <w:rFonts w:ascii="Calibri" w:hAnsi="Calibri"/>
          <w:spacing w:val="-2"/>
          <w:sz w:val="22"/>
        </w:rPr>
        <w:t> </w:t>
      </w:r>
      <w:r>
        <w:rPr>
          <w:rFonts w:ascii="Calibri" w:hAnsi="Calibri"/>
          <w:sz w:val="22"/>
        </w:rPr>
        <w:t>ac ymarfer</w:t>
      </w:r>
      <w:r>
        <w:rPr>
          <w:rFonts w:ascii="Calibri" w:hAnsi="Calibri"/>
          <w:spacing w:val="-3"/>
          <w:sz w:val="22"/>
        </w:rPr>
        <w:t> </w:t>
      </w:r>
      <w:r>
        <w:rPr>
          <w:rFonts w:ascii="Calibri" w:hAnsi="Calibri"/>
          <w:sz w:val="22"/>
        </w:rPr>
        <w:t>eu</w:t>
      </w:r>
      <w:r>
        <w:rPr>
          <w:rFonts w:ascii="Calibri" w:hAnsi="Calibri"/>
          <w:spacing w:val="-2"/>
          <w:sz w:val="22"/>
        </w:rPr>
        <w:t> </w:t>
      </w:r>
      <w:r>
        <w:rPr>
          <w:rFonts w:ascii="Calibri" w:hAnsi="Calibri"/>
          <w:sz w:val="22"/>
        </w:rPr>
        <w:t>sgiliau</w:t>
      </w:r>
      <w:r>
        <w:rPr>
          <w:rFonts w:ascii="Calibri" w:hAnsi="Calibri"/>
          <w:spacing w:val="-3"/>
          <w:sz w:val="22"/>
        </w:rPr>
        <w:t> </w:t>
      </w:r>
      <w:r>
        <w:rPr>
          <w:rFonts w:ascii="Calibri" w:hAnsi="Calibri"/>
          <w:sz w:val="22"/>
        </w:rPr>
        <w:t>Cymraeg</w:t>
      </w:r>
      <w:r>
        <w:rPr>
          <w:rFonts w:ascii="Calibri" w:hAnsi="Calibri"/>
          <w:spacing w:val="-2"/>
          <w:sz w:val="22"/>
        </w:rPr>
        <w:t> </w:t>
      </w:r>
      <w:r>
        <w:rPr>
          <w:rFonts w:ascii="Calibri" w:hAnsi="Calibri"/>
          <w:sz w:val="22"/>
        </w:rPr>
        <w:t>mewn</w:t>
      </w:r>
      <w:r>
        <w:rPr>
          <w:rFonts w:ascii="Calibri" w:hAnsi="Calibri"/>
          <w:spacing w:val="-2"/>
          <w:sz w:val="22"/>
        </w:rPr>
        <w:t> </w:t>
      </w:r>
      <w:r>
        <w:rPr>
          <w:rFonts w:ascii="Calibri" w:hAnsi="Calibri"/>
          <w:sz w:val="22"/>
        </w:rPr>
        <w:t>sesiynau</w:t>
      </w:r>
      <w:r>
        <w:rPr>
          <w:rFonts w:ascii="Calibri" w:hAnsi="Calibri"/>
          <w:spacing w:val="-3"/>
          <w:sz w:val="22"/>
        </w:rPr>
        <w:t> </w:t>
      </w:r>
      <w:r>
        <w:rPr>
          <w:rFonts w:ascii="Calibri" w:hAnsi="Calibri"/>
          <w:sz w:val="22"/>
        </w:rPr>
        <w:t>Clybiau</w:t>
      </w:r>
      <w:r>
        <w:rPr>
          <w:rFonts w:ascii="Calibri" w:hAnsi="Calibri"/>
          <w:spacing w:val="-3"/>
          <w:sz w:val="22"/>
        </w:rPr>
        <w:t> </w:t>
      </w:r>
      <w:r>
        <w:rPr>
          <w:rFonts w:ascii="Calibri" w:hAnsi="Calibri"/>
          <w:sz w:val="22"/>
        </w:rPr>
        <w:t>Clonc</w:t>
      </w:r>
      <w:r>
        <w:rPr>
          <w:rFonts w:ascii="Calibri" w:hAnsi="Calibri"/>
          <w:spacing w:val="-2"/>
          <w:sz w:val="22"/>
        </w:rPr>
        <w:t> </w:t>
      </w:r>
      <w:r>
        <w:rPr>
          <w:rFonts w:ascii="Calibri" w:hAnsi="Calibri"/>
          <w:sz w:val="22"/>
        </w:rPr>
        <w:t>er</w:t>
      </w:r>
      <w:r>
        <w:rPr>
          <w:rFonts w:ascii="Calibri" w:hAnsi="Calibri"/>
          <w:spacing w:val="-2"/>
          <w:sz w:val="22"/>
        </w:rPr>
        <w:t> </w:t>
      </w:r>
      <w:r>
        <w:rPr>
          <w:rFonts w:ascii="Calibri" w:hAnsi="Calibri"/>
          <w:sz w:val="22"/>
        </w:rPr>
        <w:t>mwyn</w:t>
      </w:r>
      <w:r>
        <w:rPr>
          <w:rFonts w:ascii="Calibri" w:hAnsi="Calibri"/>
          <w:spacing w:val="-2"/>
          <w:sz w:val="22"/>
        </w:rPr>
        <w:t> </w:t>
      </w:r>
      <w:r>
        <w:rPr>
          <w:rFonts w:ascii="Calibri" w:hAnsi="Calibri"/>
          <w:sz w:val="22"/>
        </w:rPr>
        <w:t>cefnogi</w:t>
      </w:r>
      <w:r>
        <w:rPr>
          <w:rFonts w:ascii="Calibri" w:hAnsi="Calibri"/>
          <w:spacing w:val="-3"/>
          <w:sz w:val="22"/>
        </w:rPr>
        <w:t> </w:t>
      </w:r>
      <w:r>
        <w:rPr>
          <w:rFonts w:ascii="Calibri" w:hAnsi="Calibri"/>
          <w:sz w:val="22"/>
        </w:rPr>
        <w:t>staff</w:t>
      </w:r>
      <w:r>
        <w:rPr>
          <w:rFonts w:ascii="Calibri" w:hAnsi="Calibri"/>
          <w:spacing w:val="-3"/>
          <w:sz w:val="22"/>
        </w:rPr>
        <w:t> </w:t>
      </w:r>
      <w:r>
        <w:rPr>
          <w:rFonts w:ascii="Calibri" w:hAnsi="Calibri"/>
          <w:sz w:val="22"/>
        </w:rPr>
        <w:t>sy’n</w:t>
      </w:r>
      <w:r>
        <w:rPr>
          <w:rFonts w:ascii="Calibri" w:hAnsi="Calibri"/>
          <w:spacing w:val="-2"/>
          <w:sz w:val="22"/>
        </w:rPr>
        <w:t> </w:t>
      </w:r>
      <w:r>
        <w:rPr>
          <w:rFonts w:ascii="Calibri" w:hAnsi="Calibri"/>
          <w:sz w:val="22"/>
        </w:rPr>
        <w:t>dysgu</w:t>
      </w:r>
      <w:r>
        <w:rPr>
          <w:rFonts w:ascii="Calibri" w:hAnsi="Calibri"/>
          <w:spacing w:val="-2"/>
          <w:sz w:val="22"/>
        </w:rPr>
        <w:t> </w:t>
      </w:r>
      <w:r>
        <w:rPr>
          <w:rFonts w:ascii="Calibri" w:hAnsi="Calibri"/>
          <w:sz w:val="22"/>
        </w:rPr>
        <w:t>Cymraeg neu staff sydd eisiau gwella eu hyder wrth ddefnyddio’r Gymraeg.</w:t>
      </w:r>
      <w:r>
        <w:rPr>
          <w:rFonts w:ascii="Calibri" w:hAnsi="Calibri"/>
          <w:spacing w:val="40"/>
          <w:sz w:val="22"/>
        </w:rPr>
        <w:t> </w:t>
      </w:r>
      <w:r>
        <w:rPr>
          <w:rFonts w:ascii="Calibri" w:hAnsi="Calibri"/>
          <w:sz w:val="22"/>
        </w:rPr>
        <w:t>Rydym wedi cynnal nifer o'r sesiynau hynny ar bob lefel yn ystod y flwyddyn a daeth 52 aelod o staff i’r sesiynau hynny.</w:t>
      </w:r>
    </w:p>
    <w:p>
      <w:pPr>
        <w:pStyle w:val="BodyText"/>
        <w:spacing w:before="8"/>
        <w:rPr>
          <w:rFonts w:ascii="Calibri"/>
          <w:sz w:val="23"/>
        </w:rPr>
      </w:pPr>
    </w:p>
    <w:p>
      <w:pPr>
        <w:spacing w:line="259" w:lineRule="auto" w:before="0"/>
        <w:ind w:left="1440" w:right="1405" w:firstLine="0"/>
        <w:jc w:val="left"/>
        <w:rPr>
          <w:rFonts w:ascii="Calibri" w:hAnsi="Calibri"/>
          <w:sz w:val="22"/>
        </w:rPr>
      </w:pPr>
      <w:r>
        <w:rPr>
          <w:rFonts w:ascii="Calibri" w:hAnsi="Calibri"/>
          <w:sz w:val="22"/>
        </w:rPr>
        <w:t>Rydym hefyd wedi ymateb i staff sy’n dymuno dysgu Cymraeg yn eu hamser eu hunain a’u cefnogi, gan</w:t>
      </w:r>
      <w:r>
        <w:rPr>
          <w:rFonts w:ascii="Calibri" w:hAnsi="Calibri"/>
          <w:spacing w:val="-2"/>
          <w:sz w:val="22"/>
        </w:rPr>
        <w:t> </w:t>
      </w:r>
      <w:r>
        <w:rPr>
          <w:rFonts w:ascii="Calibri" w:hAnsi="Calibri"/>
          <w:sz w:val="22"/>
        </w:rPr>
        <w:t>eu</w:t>
      </w:r>
      <w:r>
        <w:rPr>
          <w:rFonts w:ascii="Calibri" w:hAnsi="Calibri"/>
          <w:spacing w:val="-2"/>
          <w:sz w:val="22"/>
        </w:rPr>
        <w:t> </w:t>
      </w:r>
      <w:r>
        <w:rPr>
          <w:rFonts w:ascii="Calibri" w:hAnsi="Calibri"/>
          <w:sz w:val="22"/>
        </w:rPr>
        <w:t>galluogi</w:t>
      </w:r>
      <w:r>
        <w:rPr>
          <w:rFonts w:ascii="Calibri" w:hAnsi="Calibri"/>
          <w:spacing w:val="-2"/>
          <w:sz w:val="22"/>
        </w:rPr>
        <w:t> </w:t>
      </w:r>
      <w:r>
        <w:rPr>
          <w:rFonts w:ascii="Calibri" w:hAnsi="Calibri"/>
          <w:sz w:val="22"/>
        </w:rPr>
        <w:t>i</w:t>
      </w:r>
      <w:r>
        <w:rPr>
          <w:rFonts w:ascii="Calibri" w:hAnsi="Calibri"/>
          <w:spacing w:val="-3"/>
          <w:sz w:val="22"/>
        </w:rPr>
        <w:t> </w:t>
      </w:r>
      <w:r>
        <w:rPr>
          <w:rFonts w:ascii="Calibri" w:hAnsi="Calibri"/>
          <w:sz w:val="22"/>
        </w:rPr>
        <w:t>fynychu</w:t>
      </w:r>
      <w:r>
        <w:rPr>
          <w:rFonts w:ascii="Calibri" w:hAnsi="Calibri"/>
          <w:spacing w:val="-3"/>
          <w:sz w:val="22"/>
        </w:rPr>
        <w:t> </w:t>
      </w:r>
      <w:r>
        <w:rPr>
          <w:rFonts w:ascii="Calibri" w:hAnsi="Calibri"/>
          <w:sz w:val="22"/>
        </w:rPr>
        <w:t>cyrsiau</w:t>
      </w:r>
      <w:r>
        <w:rPr>
          <w:rFonts w:ascii="Calibri" w:hAnsi="Calibri"/>
          <w:spacing w:val="-3"/>
          <w:sz w:val="22"/>
        </w:rPr>
        <w:t> </w:t>
      </w:r>
      <w:r>
        <w:rPr>
          <w:rFonts w:ascii="Calibri" w:hAnsi="Calibri"/>
          <w:sz w:val="22"/>
        </w:rPr>
        <w:t>Cymraeg</w:t>
      </w:r>
      <w:r>
        <w:rPr>
          <w:rFonts w:ascii="Calibri" w:hAnsi="Calibri"/>
          <w:spacing w:val="-3"/>
          <w:sz w:val="22"/>
        </w:rPr>
        <w:t> </w:t>
      </w:r>
      <w:r>
        <w:rPr>
          <w:rFonts w:ascii="Calibri" w:hAnsi="Calibri"/>
          <w:sz w:val="22"/>
        </w:rPr>
        <w:t>yn</w:t>
      </w:r>
      <w:r>
        <w:rPr>
          <w:rFonts w:ascii="Calibri" w:hAnsi="Calibri"/>
          <w:spacing w:val="-2"/>
          <w:sz w:val="22"/>
        </w:rPr>
        <w:t> </w:t>
      </w:r>
      <w:r>
        <w:rPr>
          <w:rFonts w:ascii="Calibri" w:hAnsi="Calibri"/>
          <w:sz w:val="22"/>
        </w:rPr>
        <w:t>y</w:t>
      </w:r>
      <w:r>
        <w:rPr>
          <w:rFonts w:ascii="Calibri" w:hAnsi="Calibri"/>
          <w:spacing w:val="-2"/>
          <w:sz w:val="22"/>
        </w:rPr>
        <w:t> </w:t>
      </w:r>
      <w:r>
        <w:rPr>
          <w:rFonts w:ascii="Calibri" w:hAnsi="Calibri"/>
          <w:sz w:val="22"/>
        </w:rPr>
        <w:t>gymuned</w:t>
      </w:r>
      <w:r>
        <w:rPr>
          <w:rFonts w:ascii="Calibri" w:hAnsi="Calibri"/>
          <w:spacing w:val="-2"/>
          <w:sz w:val="22"/>
        </w:rPr>
        <w:t> </w:t>
      </w:r>
      <w:r>
        <w:rPr>
          <w:rFonts w:ascii="Calibri" w:hAnsi="Calibri"/>
          <w:sz w:val="22"/>
        </w:rPr>
        <w:t>y</w:t>
      </w:r>
      <w:r>
        <w:rPr>
          <w:rFonts w:ascii="Calibri" w:hAnsi="Calibri"/>
          <w:spacing w:val="-3"/>
          <w:sz w:val="22"/>
        </w:rPr>
        <w:t> </w:t>
      </w:r>
      <w:r>
        <w:rPr>
          <w:rFonts w:ascii="Calibri" w:hAnsi="Calibri"/>
          <w:sz w:val="22"/>
        </w:rPr>
        <w:t>tu</w:t>
      </w:r>
      <w:r>
        <w:rPr>
          <w:rFonts w:ascii="Calibri" w:hAnsi="Calibri"/>
          <w:spacing w:val="-2"/>
          <w:sz w:val="22"/>
        </w:rPr>
        <w:t> </w:t>
      </w:r>
      <w:r>
        <w:rPr>
          <w:rFonts w:ascii="Calibri" w:hAnsi="Calibri"/>
          <w:sz w:val="22"/>
        </w:rPr>
        <w:t>allan</w:t>
      </w:r>
      <w:r>
        <w:rPr>
          <w:rFonts w:ascii="Calibri" w:hAnsi="Calibri"/>
          <w:spacing w:val="-3"/>
          <w:sz w:val="22"/>
        </w:rPr>
        <w:t> </w:t>
      </w:r>
      <w:r>
        <w:rPr>
          <w:rFonts w:ascii="Calibri" w:hAnsi="Calibri"/>
          <w:sz w:val="22"/>
        </w:rPr>
        <w:t>i</w:t>
      </w:r>
      <w:r>
        <w:rPr>
          <w:rFonts w:ascii="Calibri" w:hAnsi="Calibri"/>
          <w:spacing w:val="-2"/>
          <w:sz w:val="22"/>
        </w:rPr>
        <w:t> </w:t>
      </w:r>
      <w:r>
        <w:rPr>
          <w:rFonts w:ascii="Calibri" w:hAnsi="Calibri"/>
          <w:sz w:val="22"/>
        </w:rPr>
        <w:t>oriau</w:t>
      </w:r>
      <w:r>
        <w:rPr>
          <w:rFonts w:ascii="Calibri" w:hAnsi="Calibri"/>
          <w:spacing w:val="-2"/>
          <w:sz w:val="22"/>
        </w:rPr>
        <w:t> </w:t>
      </w:r>
      <w:r>
        <w:rPr>
          <w:rFonts w:ascii="Calibri" w:hAnsi="Calibri"/>
          <w:sz w:val="22"/>
        </w:rPr>
        <w:t>gwaith,</w:t>
      </w:r>
      <w:r>
        <w:rPr>
          <w:rFonts w:ascii="Calibri" w:hAnsi="Calibri"/>
          <w:spacing w:val="-2"/>
          <w:sz w:val="22"/>
        </w:rPr>
        <w:t> </w:t>
      </w:r>
      <w:r>
        <w:rPr>
          <w:rFonts w:ascii="Calibri" w:hAnsi="Calibri"/>
          <w:sz w:val="22"/>
        </w:rPr>
        <w:t>gan</w:t>
      </w:r>
      <w:r>
        <w:rPr>
          <w:rFonts w:ascii="Calibri" w:hAnsi="Calibri"/>
          <w:spacing w:val="-2"/>
          <w:sz w:val="22"/>
        </w:rPr>
        <w:t> </w:t>
      </w:r>
      <w:r>
        <w:rPr>
          <w:rFonts w:ascii="Calibri" w:hAnsi="Calibri"/>
          <w:sz w:val="22"/>
        </w:rPr>
        <w:t>fod</w:t>
      </w:r>
      <w:r>
        <w:rPr>
          <w:rFonts w:ascii="Calibri" w:hAnsi="Calibri"/>
          <w:spacing w:val="-2"/>
          <w:sz w:val="22"/>
        </w:rPr>
        <w:t> </w:t>
      </w:r>
      <w:r>
        <w:rPr>
          <w:rFonts w:ascii="Calibri" w:hAnsi="Calibri"/>
          <w:sz w:val="22"/>
        </w:rPr>
        <w:t>y</w:t>
      </w:r>
      <w:r>
        <w:rPr>
          <w:rFonts w:ascii="Calibri" w:hAnsi="Calibri"/>
          <w:spacing w:val="-2"/>
          <w:sz w:val="22"/>
        </w:rPr>
        <w:t> </w:t>
      </w:r>
      <w:r>
        <w:rPr>
          <w:rFonts w:ascii="Calibri" w:hAnsi="Calibri"/>
          <w:sz w:val="22"/>
        </w:rPr>
        <w:t>trefniant hwn yn haws i’r aelodau hyn o staff na dysgu’r Gymraeg yn ystod oriau gwaith.</w:t>
      </w:r>
    </w:p>
    <w:p>
      <w:pPr>
        <w:spacing w:line="259" w:lineRule="auto" w:before="0"/>
        <w:ind w:left="1440" w:right="1405" w:firstLine="0"/>
        <w:jc w:val="left"/>
        <w:rPr>
          <w:rFonts w:ascii="Calibri" w:hAnsi="Calibri"/>
          <w:sz w:val="22"/>
        </w:rPr>
      </w:pPr>
      <w:r>
        <w:rPr>
          <w:rFonts w:ascii="Calibri" w:hAnsi="Calibri"/>
          <w:sz w:val="22"/>
        </w:rPr>
        <w:t>Rydym yn cydnabod pwysigrwydd cynnig hyblygrwydd i’n staff ddysgu’r Gymraeg a’i gwneud yn hygyrch ac yn hawdd ei chyrraedd.</w:t>
      </w:r>
      <w:r>
        <w:rPr>
          <w:rFonts w:ascii="Calibri" w:hAnsi="Calibri"/>
          <w:spacing w:val="40"/>
          <w:sz w:val="22"/>
        </w:rPr>
        <w:t> </w:t>
      </w:r>
      <w:r>
        <w:rPr>
          <w:rFonts w:ascii="Calibri" w:hAnsi="Calibri"/>
          <w:sz w:val="22"/>
        </w:rPr>
        <w:t>Mae gennym nifer o staff sy’n dymuno dysgu ymadroddion ymarferol</w:t>
      </w:r>
      <w:r>
        <w:rPr>
          <w:rFonts w:ascii="Calibri" w:hAnsi="Calibri"/>
          <w:spacing w:val="-4"/>
          <w:sz w:val="22"/>
        </w:rPr>
        <w:t> </w:t>
      </w:r>
      <w:r>
        <w:rPr>
          <w:rFonts w:ascii="Calibri" w:hAnsi="Calibri"/>
          <w:sz w:val="22"/>
        </w:rPr>
        <w:t>sylfaenol</w:t>
      </w:r>
      <w:r>
        <w:rPr>
          <w:rFonts w:ascii="Calibri" w:hAnsi="Calibri"/>
          <w:spacing w:val="-3"/>
          <w:sz w:val="22"/>
        </w:rPr>
        <w:t> </w:t>
      </w:r>
      <w:r>
        <w:rPr>
          <w:rFonts w:ascii="Calibri" w:hAnsi="Calibri"/>
          <w:sz w:val="22"/>
        </w:rPr>
        <w:t>ac</w:t>
      </w:r>
      <w:r>
        <w:rPr>
          <w:rFonts w:ascii="Calibri" w:hAnsi="Calibri"/>
          <w:spacing w:val="-4"/>
          <w:sz w:val="22"/>
        </w:rPr>
        <w:t> </w:t>
      </w:r>
      <w:r>
        <w:rPr>
          <w:rFonts w:ascii="Calibri" w:hAnsi="Calibri"/>
          <w:sz w:val="22"/>
        </w:rPr>
        <w:t>rydym</w:t>
      </w:r>
      <w:r>
        <w:rPr>
          <w:rFonts w:ascii="Calibri" w:hAnsi="Calibri"/>
          <w:spacing w:val="-3"/>
          <w:sz w:val="22"/>
        </w:rPr>
        <w:t> </w:t>
      </w:r>
      <w:r>
        <w:rPr>
          <w:rFonts w:ascii="Calibri" w:hAnsi="Calibri"/>
          <w:sz w:val="22"/>
        </w:rPr>
        <w:t>wedi</w:t>
      </w:r>
      <w:r>
        <w:rPr>
          <w:rFonts w:ascii="Calibri" w:hAnsi="Calibri"/>
          <w:spacing w:val="-4"/>
          <w:sz w:val="22"/>
        </w:rPr>
        <w:t> </w:t>
      </w:r>
      <w:r>
        <w:rPr>
          <w:rFonts w:ascii="Calibri" w:hAnsi="Calibri"/>
          <w:sz w:val="22"/>
        </w:rPr>
        <w:t>teilwra</w:t>
      </w:r>
      <w:r>
        <w:rPr>
          <w:rFonts w:ascii="Calibri" w:hAnsi="Calibri"/>
          <w:spacing w:val="-3"/>
          <w:sz w:val="22"/>
        </w:rPr>
        <w:t> </w:t>
      </w:r>
      <w:r>
        <w:rPr>
          <w:rFonts w:ascii="Calibri" w:hAnsi="Calibri"/>
          <w:sz w:val="22"/>
        </w:rPr>
        <w:t>sesiynau</w:t>
      </w:r>
      <w:r>
        <w:rPr>
          <w:rFonts w:ascii="Calibri" w:hAnsi="Calibri"/>
          <w:spacing w:val="-3"/>
          <w:sz w:val="22"/>
        </w:rPr>
        <w:t> </w:t>
      </w:r>
      <w:r>
        <w:rPr>
          <w:rFonts w:ascii="Calibri" w:hAnsi="Calibri"/>
          <w:sz w:val="22"/>
        </w:rPr>
        <w:t>i</w:t>
      </w:r>
      <w:r>
        <w:rPr>
          <w:rFonts w:ascii="Calibri" w:hAnsi="Calibri"/>
          <w:spacing w:val="-4"/>
          <w:sz w:val="22"/>
        </w:rPr>
        <w:t> </w:t>
      </w:r>
      <w:r>
        <w:rPr>
          <w:rFonts w:ascii="Calibri" w:hAnsi="Calibri"/>
          <w:sz w:val="22"/>
        </w:rPr>
        <w:t>gwmpasu’r</w:t>
      </w:r>
      <w:r>
        <w:rPr>
          <w:rFonts w:ascii="Calibri" w:hAnsi="Calibri"/>
          <w:spacing w:val="-3"/>
          <w:sz w:val="22"/>
        </w:rPr>
        <w:t> </w:t>
      </w:r>
      <w:r>
        <w:rPr>
          <w:rFonts w:ascii="Calibri" w:hAnsi="Calibri"/>
          <w:sz w:val="22"/>
        </w:rPr>
        <w:t>meysydd</w:t>
      </w:r>
      <w:r>
        <w:rPr>
          <w:rFonts w:ascii="Calibri" w:hAnsi="Calibri"/>
          <w:spacing w:val="-3"/>
          <w:sz w:val="22"/>
        </w:rPr>
        <w:t> </w:t>
      </w:r>
      <w:r>
        <w:rPr>
          <w:rFonts w:ascii="Calibri" w:hAnsi="Calibri"/>
          <w:sz w:val="22"/>
        </w:rPr>
        <w:t>canlynol</w:t>
      </w:r>
      <w:r>
        <w:rPr>
          <w:rFonts w:ascii="Calibri" w:hAnsi="Calibri"/>
          <w:spacing w:val="-4"/>
          <w:sz w:val="22"/>
        </w:rPr>
        <w:t> </w:t>
      </w:r>
      <w:r>
        <w:rPr>
          <w:rFonts w:ascii="Calibri" w:hAnsi="Calibri"/>
          <w:sz w:val="22"/>
        </w:rPr>
        <w:t>ac</w:t>
      </w:r>
      <w:r>
        <w:rPr>
          <w:rFonts w:ascii="Calibri" w:hAnsi="Calibri"/>
          <w:spacing w:val="-4"/>
          <w:sz w:val="22"/>
        </w:rPr>
        <w:t> </w:t>
      </w:r>
      <w:r>
        <w:rPr>
          <w:rFonts w:ascii="Calibri" w:hAnsi="Calibri"/>
          <w:sz w:val="22"/>
        </w:rPr>
        <w:t>wedi</w:t>
      </w:r>
      <w:r>
        <w:rPr>
          <w:rFonts w:ascii="Calibri" w:hAnsi="Calibri"/>
          <w:spacing w:val="-3"/>
          <w:sz w:val="22"/>
        </w:rPr>
        <w:t> </w:t>
      </w:r>
      <w:r>
        <w:rPr>
          <w:rFonts w:ascii="Calibri" w:hAnsi="Calibri"/>
          <w:sz w:val="22"/>
        </w:rPr>
        <w:t>darparu cyfleoedd dysgu i nifer o staff drwy ddarparu’r canlynol:</w:t>
      </w:r>
    </w:p>
    <w:p>
      <w:pPr>
        <w:pStyle w:val="BodyText"/>
        <w:spacing w:before="7"/>
        <w:rPr>
          <w:rFonts w:ascii="Calibri"/>
          <w:sz w:val="23"/>
        </w:rPr>
      </w:pPr>
    </w:p>
    <w:p>
      <w:pPr>
        <w:pStyle w:val="ListParagraph"/>
        <w:numPr>
          <w:ilvl w:val="0"/>
          <w:numId w:val="48"/>
        </w:numPr>
        <w:tabs>
          <w:tab w:pos="2159" w:val="left" w:leader="none"/>
          <w:tab w:pos="2160" w:val="left" w:leader="none"/>
        </w:tabs>
        <w:spacing w:line="259" w:lineRule="auto" w:before="1" w:after="0"/>
        <w:ind w:left="2160" w:right="1829" w:hanging="360"/>
        <w:jc w:val="left"/>
        <w:rPr>
          <w:rFonts w:ascii="Calibri" w:hAnsi="Calibri"/>
          <w:sz w:val="22"/>
        </w:rPr>
      </w:pPr>
      <w:r>
        <w:rPr>
          <w:rFonts w:ascii="Calibri" w:hAnsi="Calibri"/>
          <w:sz w:val="22"/>
        </w:rPr>
        <w:t>10</w:t>
      </w:r>
      <w:r>
        <w:rPr>
          <w:rFonts w:ascii="Calibri" w:hAnsi="Calibri"/>
          <w:spacing w:val="-2"/>
          <w:sz w:val="22"/>
        </w:rPr>
        <w:t> </w:t>
      </w:r>
      <w:r>
        <w:rPr>
          <w:rFonts w:ascii="Calibri" w:hAnsi="Calibri"/>
          <w:sz w:val="22"/>
        </w:rPr>
        <w:t>cwrs</w:t>
      </w:r>
      <w:r>
        <w:rPr>
          <w:rFonts w:ascii="Calibri" w:hAnsi="Calibri"/>
          <w:spacing w:val="-2"/>
          <w:sz w:val="22"/>
        </w:rPr>
        <w:t> </w:t>
      </w:r>
      <w:r>
        <w:rPr>
          <w:rFonts w:ascii="Calibri" w:hAnsi="Calibri"/>
          <w:sz w:val="22"/>
        </w:rPr>
        <w:t>Blasu’r</w:t>
      </w:r>
      <w:r>
        <w:rPr>
          <w:rFonts w:ascii="Calibri" w:hAnsi="Calibri"/>
          <w:spacing w:val="-2"/>
          <w:sz w:val="22"/>
        </w:rPr>
        <w:t> </w:t>
      </w:r>
      <w:r>
        <w:rPr>
          <w:rFonts w:ascii="Calibri" w:hAnsi="Calibri"/>
          <w:sz w:val="22"/>
        </w:rPr>
        <w:t>Gymraeg</w:t>
      </w:r>
      <w:r>
        <w:rPr>
          <w:rFonts w:ascii="Calibri" w:hAnsi="Calibri"/>
          <w:spacing w:val="-2"/>
          <w:sz w:val="22"/>
        </w:rPr>
        <w:t> </w:t>
      </w:r>
      <w:r>
        <w:rPr>
          <w:rFonts w:ascii="Calibri" w:hAnsi="Calibri"/>
          <w:sz w:val="22"/>
        </w:rPr>
        <w:t>yn</w:t>
      </w:r>
      <w:r>
        <w:rPr>
          <w:rFonts w:ascii="Calibri" w:hAnsi="Calibri"/>
          <w:spacing w:val="-2"/>
          <w:sz w:val="22"/>
        </w:rPr>
        <w:t> </w:t>
      </w:r>
      <w:r>
        <w:rPr>
          <w:rFonts w:ascii="Calibri" w:hAnsi="Calibri"/>
          <w:sz w:val="22"/>
        </w:rPr>
        <w:t>ystod</w:t>
      </w:r>
      <w:r>
        <w:rPr>
          <w:rFonts w:ascii="Calibri" w:hAnsi="Calibri"/>
          <w:spacing w:val="-2"/>
          <w:sz w:val="22"/>
        </w:rPr>
        <w:t> </w:t>
      </w:r>
      <w:r>
        <w:rPr>
          <w:rFonts w:ascii="Calibri" w:hAnsi="Calibri"/>
          <w:sz w:val="22"/>
        </w:rPr>
        <w:t>y</w:t>
      </w:r>
      <w:r>
        <w:rPr>
          <w:rFonts w:ascii="Calibri" w:hAnsi="Calibri"/>
          <w:spacing w:val="-3"/>
          <w:sz w:val="22"/>
        </w:rPr>
        <w:t> </w:t>
      </w:r>
      <w:r>
        <w:rPr>
          <w:rFonts w:ascii="Calibri" w:hAnsi="Calibri"/>
          <w:sz w:val="22"/>
        </w:rPr>
        <w:t>flwyddyn</w:t>
      </w:r>
      <w:r>
        <w:rPr>
          <w:rFonts w:ascii="Calibri" w:hAnsi="Calibri"/>
          <w:spacing w:val="-3"/>
          <w:sz w:val="22"/>
        </w:rPr>
        <w:t> </w:t>
      </w:r>
      <w:r>
        <w:rPr>
          <w:rFonts w:ascii="Calibri" w:hAnsi="Calibri"/>
          <w:sz w:val="22"/>
        </w:rPr>
        <w:t>(cyrsiau</w:t>
      </w:r>
      <w:r>
        <w:rPr>
          <w:rFonts w:ascii="Calibri" w:hAnsi="Calibri"/>
          <w:spacing w:val="-3"/>
          <w:sz w:val="22"/>
        </w:rPr>
        <w:t> </w:t>
      </w:r>
      <w:r>
        <w:rPr>
          <w:rFonts w:ascii="Calibri" w:hAnsi="Calibri"/>
          <w:sz w:val="22"/>
        </w:rPr>
        <w:t>2</w:t>
      </w:r>
      <w:r>
        <w:rPr>
          <w:rFonts w:ascii="Calibri" w:hAnsi="Calibri"/>
          <w:spacing w:val="-2"/>
          <w:sz w:val="22"/>
        </w:rPr>
        <w:t> </w:t>
      </w:r>
      <w:r>
        <w:rPr>
          <w:rFonts w:ascii="Calibri" w:hAnsi="Calibri"/>
          <w:sz w:val="22"/>
        </w:rPr>
        <w:t>awr</w:t>
      </w:r>
      <w:r>
        <w:rPr>
          <w:rFonts w:ascii="Calibri" w:hAnsi="Calibri"/>
          <w:spacing w:val="-3"/>
          <w:sz w:val="22"/>
        </w:rPr>
        <w:t> </w:t>
      </w:r>
      <w:r>
        <w:rPr>
          <w:rFonts w:ascii="Calibri" w:hAnsi="Calibri"/>
          <w:sz w:val="22"/>
        </w:rPr>
        <w:t>untro)</w:t>
      </w:r>
      <w:r>
        <w:rPr>
          <w:rFonts w:ascii="Calibri" w:hAnsi="Calibri"/>
          <w:spacing w:val="-3"/>
          <w:sz w:val="22"/>
        </w:rPr>
        <w:t> </w:t>
      </w:r>
      <w:r>
        <w:rPr>
          <w:rFonts w:ascii="Calibri" w:hAnsi="Calibri"/>
          <w:sz w:val="22"/>
        </w:rPr>
        <w:t>bu</w:t>
      </w:r>
      <w:r>
        <w:rPr>
          <w:rFonts w:ascii="Calibri" w:hAnsi="Calibri"/>
          <w:spacing w:val="-3"/>
          <w:sz w:val="22"/>
        </w:rPr>
        <w:t> </w:t>
      </w:r>
      <w:r>
        <w:rPr>
          <w:rFonts w:ascii="Calibri" w:hAnsi="Calibri"/>
          <w:sz w:val="22"/>
        </w:rPr>
        <w:t>37</w:t>
      </w:r>
      <w:r>
        <w:rPr>
          <w:rFonts w:ascii="Calibri" w:hAnsi="Calibri"/>
          <w:spacing w:val="-2"/>
          <w:sz w:val="22"/>
        </w:rPr>
        <w:t> </w:t>
      </w:r>
      <w:r>
        <w:rPr>
          <w:rFonts w:ascii="Calibri" w:hAnsi="Calibri"/>
          <w:sz w:val="22"/>
        </w:rPr>
        <w:t>aelod</w:t>
      </w:r>
      <w:r>
        <w:rPr>
          <w:rFonts w:ascii="Calibri" w:hAnsi="Calibri"/>
          <w:spacing w:val="-3"/>
          <w:sz w:val="22"/>
        </w:rPr>
        <w:t> </w:t>
      </w:r>
      <w:r>
        <w:rPr>
          <w:rFonts w:ascii="Calibri" w:hAnsi="Calibri"/>
          <w:sz w:val="22"/>
        </w:rPr>
        <w:t>o</w:t>
      </w:r>
      <w:r>
        <w:rPr>
          <w:rFonts w:ascii="Calibri" w:hAnsi="Calibri"/>
          <w:spacing w:val="-3"/>
          <w:sz w:val="22"/>
        </w:rPr>
        <w:t> </w:t>
      </w:r>
      <w:r>
        <w:rPr>
          <w:rFonts w:ascii="Calibri" w:hAnsi="Calibri"/>
          <w:sz w:val="22"/>
        </w:rPr>
        <w:t>staff</w:t>
      </w:r>
      <w:r>
        <w:rPr>
          <w:rFonts w:ascii="Calibri" w:hAnsi="Calibri"/>
          <w:spacing w:val="-2"/>
          <w:sz w:val="22"/>
        </w:rPr>
        <w:t> </w:t>
      </w:r>
      <w:r>
        <w:rPr>
          <w:rFonts w:ascii="Calibri" w:hAnsi="Calibri"/>
          <w:sz w:val="22"/>
        </w:rPr>
        <w:t>yn </w:t>
      </w:r>
      <w:r>
        <w:rPr>
          <w:rFonts w:ascii="Calibri" w:hAnsi="Calibri"/>
          <w:spacing w:val="-2"/>
          <w:sz w:val="22"/>
        </w:rPr>
        <w:t>bresennol.</w:t>
      </w:r>
    </w:p>
    <w:p>
      <w:pPr>
        <w:pStyle w:val="ListParagraph"/>
        <w:numPr>
          <w:ilvl w:val="0"/>
          <w:numId w:val="48"/>
        </w:numPr>
        <w:tabs>
          <w:tab w:pos="2159" w:val="left" w:leader="none"/>
          <w:tab w:pos="2160" w:val="left" w:leader="none"/>
        </w:tabs>
        <w:spacing w:line="259" w:lineRule="auto" w:before="0" w:after="0"/>
        <w:ind w:left="2160" w:right="1977" w:hanging="360"/>
        <w:jc w:val="left"/>
        <w:rPr>
          <w:rFonts w:ascii="Calibri" w:hAnsi="Calibri"/>
          <w:sz w:val="22"/>
        </w:rPr>
      </w:pPr>
      <w:r>
        <w:rPr>
          <w:rFonts w:ascii="Calibri" w:hAnsi="Calibri"/>
          <w:sz w:val="22"/>
        </w:rPr>
        <w:t>6</w:t>
      </w:r>
      <w:r>
        <w:rPr>
          <w:rFonts w:ascii="Calibri" w:hAnsi="Calibri"/>
          <w:spacing w:val="-2"/>
          <w:sz w:val="22"/>
        </w:rPr>
        <w:t> </w:t>
      </w:r>
      <w:r>
        <w:rPr>
          <w:rFonts w:ascii="Calibri" w:hAnsi="Calibri"/>
          <w:sz w:val="22"/>
        </w:rPr>
        <w:t>chwrs</w:t>
      </w:r>
      <w:r>
        <w:rPr>
          <w:rFonts w:ascii="Calibri" w:hAnsi="Calibri"/>
          <w:spacing w:val="-2"/>
          <w:sz w:val="22"/>
        </w:rPr>
        <w:t> </w:t>
      </w:r>
      <w:r>
        <w:rPr>
          <w:rFonts w:ascii="Calibri" w:hAnsi="Calibri"/>
          <w:sz w:val="22"/>
        </w:rPr>
        <w:t>untro</w:t>
      </w:r>
      <w:r>
        <w:rPr>
          <w:rFonts w:ascii="Calibri" w:hAnsi="Calibri"/>
          <w:spacing w:val="-3"/>
          <w:sz w:val="22"/>
        </w:rPr>
        <w:t> </w:t>
      </w:r>
      <w:r>
        <w:rPr>
          <w:rFonts w:ascii="Calibri" w:hAnsi="Calibri"/>
          <w:sz w:val="22"/>
        </w:rPr>
        <w:t>dwy</w:t>
      </w:r>
      <w:r>
        <w:rPr>
          <w:rFonts w:ascii="Calibri" w:hAnsi="Calibri"/>
          <w:spacing w:val="-3"/>
          <w:sz w:val="22"/>
        </w:rPr>
        <w:t> </w:t>
      </w:r>
      <w:r>
        <w:rPr>
          <w:rFonts w:ascii="Calibri" w:hAnsi="Calibri"/>
          <w:sz w:val="22"/>
        </w:rPr>
        <w:t>awr</w:t>
      </w:r>
      <w:r>
        <w:rPr>
          <w:rFonts w:ascii="Calibri" w:hAnsi="Calibri"/>
          <w:spacing w:val="-3"/>
          <w:sz w:val="22"/>
        </w:rPr>
        <w:t> </w:t>
      </w:r>
      <w:r>
        <w:rPr>
          <w:rFonts w:ascii="Calibri" w:hAnsi="Calibri"/>
          <w:sz w:val="22"/>
        </w:rPr>
        <w:t>o</w:t>
      </w:r>
      <w:r>
        <w:rPr>
          <w:rFonts w:ascii="Calibri" w:hAnsi="Calibri"/>
          <w:spacing w:val="-3"/>
          <w:sz w:val="22"/>
        </w:rPr>
        <w:t> </w:t>
      </w:r>
      <w:r>
        <w:rPr>
          <w:rFonts w:ascii="Calibri" w:hAnsi="Calibri"/>
          <w:sz w:val="22"/>
        </w:rPr>
        <w:t>hyd</w:t>
      </w:r>
      <w:r>
        <w:rPr>
          <w:rFonts w:ascii="Calibri" w:hAnsi="Calibri"/>
          <w:spacing w:val="-2"/>
          <w:sz w:val="22"/>
        </w:rPr>
        <w:t> </w:t>
      </w:r>
      <w:r>
        <w:rPr>
          <w:rFonts w:ascii="Calibri" w:hAnsi="Calibri"/>
          <w:sz w:val="22"/>
        </w:rPr>
        <w:t>ar</w:t>
      </w:r>
      <w:r>
        <w:rPr>
          <w:rFonts w:ascii="Calibri" w:hAnsi="Calibri"/>
          <w:spacing w:val="-3"/>
          <w:sz w:val="22"/>
        </w:rPr>
        <w:t> </w:t>
      </w:r>
      <w:r>
        <w:rPr>
          <w:rFonts w:ascii="Calibri" w:hAnsi="Calibri"/>
          <w:sz w:val="22"/>
        </w:rPr>
        <w:t>Agor/Cau</w:t>
      </w:r>
      <w:r>
        <w:rPr>
          <w:rFonts w:ascii="Calibri" w:hAnsi="Calibri"/>
          <w:spacing w:val="-2"/>
          <w:sz w:val="22"/>
        </w:rPr>
        <w:t> </w:t>
      </w:r>
      <w:r>
        <w:rPr>
          <w:rFonts w:ascii="Calibri" w:hAnsi="Calibri"/>
          <w:sz w:val="22"/>
        </w:rPr>
        <w:t>a</w:t>
      </w:r>
      <w:r>
        <w:rPr>
          <w:rFonts w:ascii="Calibri" w:hAnsi="Calibri"/>
          <w:spacing w:val="-2"/>
          <w:sz w:val="22"/>
        </w:rPr>
        <w:t> </w:t>
      </w:r>
      <w:r>
        <w:rPr>
          <w:rFonts w:ascii="Calibri" w:hAnsi="Calibri"/>
          <w:sz w:val="22"/>
        </w:rPr>
        <w:t>chadeirio</w:t>
      </w:r>
      <w:r>
        <w:rPr>
          <w:rFonts w:ascii="Calibri" w:hAnsi="Calibri"/>
          <w:spacing w:val="-2"/>
          <w:sz w:val="22"/>
        </w:rPr>
        <w:t> </w:t>
      </w:r>
      <w:r>
        <w:rPr>
          <w:rFonts w:ascii="Calibri" w:hAnsi="Calibri"/>
          <w:sz w:val="22"/>
        </w:rPr>
        <w:t>cyfarfodydd</w:t>
      </w:r>
      <w:r>
        <w:rPr>
          <w:rFonts w:ascii="Calibri" w:hAnsi="Calibri"/>
          <w:spacing w:val="-2"/>
          <w:sz w:val="22"/>
        </w:rPr>
        <w:t> </w:t>
      </w:r>
      <w:r>
        <w:rPr>
          <w:rFonts w:ascii="Calibri" w:hAnsi="Calibri"/>
          <w:sz w:val="22"/>
        </w:rPr>
        <w:t>yn</w:t>
      </w:r>
      <w:r>
        <w:rPr>
          <w:rFonts w:ascii="Calibri" w:hAnsi="Calibri"/>
          <w:spacing w:val="-2"/>
          <w:sz w:val="22"/>
        </w:rPr>
        <w:t> </w:t>
      </w:r>
      <w:r>
        <w:rPr>
          <w:rFonts w:ascii="Calibri" w:hAnsi="Calibri"/>
          <w:sz w:val="22"/>
        </w:rPr>
        <w:t>y</w:t>
      </w:r>
      <w:r>
        <w:rPr>
          <w:rFonts w:ascii="Calibri" w:hAnsi="Calibri"/>
          <w:spacing w:val="-3"/>
          <w:sz w:val="22"/>
        </w:rPr>
        <w:t> </w:t>
      </w:r>
      <w:r>
        <w:rPr>
          <w:rFonts w:ascii="Calibri" w:hAnsi="Calibri"/>
          <w:sz w:val="22"/>
        </w:rPr>
        <w:t>Gymraeg.</w:t>
      </w:r>
      <w:r>
        <w:rPr>
          <w:rFonts w:ascii="Calibri" w:hAnsi="Calibri"/>
          <w:spacing w:val="-3"/>
          <w:sz w:val="22"/>
        </w:rPr>
        <w:t> </w:t>
      </w:r>
      <w:r>
        <w:rPr>
          <w:rFonts w:ascii="Calibri" w:hAnsi="Calibri"/>
          <w:sz w:val="22"/>
        </w:rPr>
        <w:t>Bu</w:t>
      </w:r>
      <w:r>
        <w:rPr>
          <w:rFonts w:ascii="Calibri" w:hAnsi="Calibri"/>
          <w:spacing w:val="-2"/>
          <w:sz w:val="22"/>
        </w:rPr>
        <w:t> </w:t>
      </w:r>
      <w:r>
        <w:rPr>
          <w:rFonts w:ascii="Calibri" w:hAnsi="Calibri"/>
          <w:sz w:val="22"/>
        </w:rPr>
        <w:t>42 aelod o staff yn bresennol.</w:t>
      </w:r>
    </w:p>
    <w:p>
      <w:pPr>
        <w:pStyle w:val="ListParagraph"/>
        <w:numPr>
          <w:ilvl w:val="0"/>
          <w:numId w:val="48"/>
        </w:numPr>
        <w:tabs>
          <w:tab w:pos="2159" w:val="left" w:leader="none"/>
          <w:tab w:pos="2160" w:val="left" w:leader="none"/>
        </w:tabs>
        <w:spacing w:line="280" w:lineRule="exact" w:before="0" w:after="0"/>
        <w:ind w:left="2159" w:right="0" w:hanging="360"/>
        <w:jc w:val="left"/>
        <w:rPr>
          <w:rFonts w:ascii="Calibri" w:hAnsi="Calibri"/>
          <w:sz w:val="22"/>
        </w:rPr>
      </w:pPr>
      <w:r>
        <w:rPr>
          <w:rFonts w:ascii="Calibri" w:hAnsi="Calibri"/>
          <w:sz w:val="22"/>
        </w:rPr>
        <w:t>6</w:t>
      </w:r>
      <w:r>
        <w:rPr>
          <w:rFonts w:ascii="Calibri" w:hAnsi="Calibri"/>
          <w:spacing w:val="-1"/>
          <w:sz w:val="22"/>
        </w:rPr>
        <w:t> </w:t>
      </w:r>
      <w:r>
        <w:rPr>
          <w:rFonts w:ascii="Calibri" w:hAnsi="Calibri"/>
          <w:sz w:val="22"/>
        </w:rPr>
        <w:t>chwrs</w:t>
      </w:r>
      <w:r>
        <w:rPr>
          <w:rFonts w:ascii="Calibri" w:hAnsi="Calibri"/>
          <w:spacing w:val="-1"/>
          <w:sz w:val="22"/>
        </w:rPr>
        <w:t> </w:t>
      </w:r>
      <w:r>
        <w:rPr>
          <w:rFonts w:ascii="Calibri" w:hAnsi="Calibri"/>
          <w:sz w:val="22"/>
        </w:rPr>
        <w:t>cyfarch a</w:t>
      </w:r>
      <w:r>
        <w:rPr>
          <w:rFonts w:ascii="Calibri" w:hAnsi="Calibri"/>
          <w:spacing w:val="-2"/>
          <w:sz w:val="22"/>
        </w:rPr>
        <w:t> </w:t>
      </w:r>
      <w:r>
        <w:rPr>
          <w:rFonts w:ascii="Calibri" w:hAnsi="Calibri"/>
          <w:sz w:val="22"/>
        </w:rPr>
        <w:t>chroesawu untro</w:t>
      </w:r>
      <w:r>
        <w:rPr>
          <w:rFonts w:ascii="Calibri" w:hAnsi="Calibri"/>
          <w:spacing w:val="-1"/>
          <w:sz w:val="22"/>
        </w:rPr>
        <w:t> </w:t>
      </w:r>
      <w:r>
        <w:rPr>
          <w:rFonts w:ascii="Calibri" w:hAnsi="Calibri"/>
          <w:sz w:val="22"/>
        </w:rPr>
        <w:t>2</w:t>
      </w:r>
      <w:r>
        <w:rPr>
          <w:rFonts w:ascii="Calibri" w:hAnsi="Calibri"/>
          <w:spacing w:val="-1"/>
          <w:sz w:val="22"/>
        </w:rPr>
        <w:t> </w:t>
      </w:r>
      <w:r>
        <w:rPr>
          <w:rFonts w:ascii="Calibri" w:hAnsi="Calibri"/>
          <w:sz w:val="22"/>
        </w:rPr>
        <w:t>awr</w:t>
      </w:r>
      <w:r>
        <w:rPr>
          <w:rFonts w:ascii="Calibri" w:hAnsi="Calibri"/>
          <w:spacing w:val="-1"/>
          <w:sz w:val="22"/>
        </w:rPr>
        <w:t> </w:t>
      </w:r>
      <w:r>
        <w:rPr>
          <w:rFonts w:ascii="Calibri" w:hAnsi="Calibri"/>
          <w:sz w:val="22"/>
        </w:rPr>
        <w:t>o</w:t>
      </w:r>
      <w:r>
        <w:rPr>
          <w:rFonts w:ascii="Calibri" w:hAnsi="Calibri"/>
          <w:spacing w:val="-1"/>
          <w:sz w:val="22"/>
        </w:rPr>
        <w:t> </w:t>
      </w:r>
      <w:r>
        <w:rPr>
          <w:rFonts w:ascii="Calibri" w:hAnsi="Calibri"/>
          <w:sz w:val="22"/>
        </w:rPr>
        <w:t>hyd</w:t>
      </w:r>
      <w:r>
        <w:rPr>
          <w:rFonts w:ascii="Calibri" w:hAnsi="Calibri"/>
          <w:spacing w:val="-1"/>
          <w:sz w:val="22"/>
        </w:rPr>
        <w:t> </w:t>
      </w:r>
      <w:r>
        <w:rPr>
          <w:rFonts w:ascii="Calibri" w:hAnsi="Calibri"/>
          <w:sz w:val="22"/>
        </w:rPr>
        <w:t>i</w:t>
      </w:r>
      <w:r>
        <w:rPr>
          <w:rFonts w:ascii="Calibri" w:hAnsi="Calibri"/>
          <w:spacing w:val="-1"/>
          <w:sz w:val="22"/>
        </w:rPr>
        <w:t> </w:t>
      </w:r>
      <w:r>
        <w:rPr>
          <w:rFonts w:ascii="Calibri" w:hAnsi="Calibri"/>
          <w:sz w:val="22"/>
        </w:rPr>
        <w:t>22 aelod</w:t>
      </w:r>
      <w:r>
        <w:rPr>
          <w:rFonts w:ascii="Calibri" w:hAnsi="Calibri"/>
          <w:spacing w:val="-1"/>
          <w:sz w:val="22"/>
        </w:rPr>
        <w:t> </w:t>
      </w:r>
      <w:r>
        <w:rPr>
          <w:rFonts w:ascii="Calibri" w:hAnsi="Calibri"/>
          <w:sz w:val="22"/>
        </w:rPr>
        <w:t>o</w:t>
      </w:r>
      <w:r>
        <w:rPr>
          <w:rFonts w:ascii="Calibri" w:hAnsi="Calibri"/>
          <w:spacing w:val="-1"/>
          <w:sz w:val="22"/>
        </w:rPr>
        <w:t> </w:t>
      </w:r>
      <w:r>
        <w:rPr>
          <w:rFonts w:ascii="Calibri" w:hAnsi="Calibri"/>
          <w:spacing w:val="-2"/>
          <w:sz w:val="22"/>
        </w:rPr>
        <w:t>staff</w:t>
      </w:r>
    </w:p>
    <w:p>
      <w:pPr>
        <w:pStyle w:val="BodyText"/>
        <w:rPr>
          <w:rFonts w:ascii="Calibri"/>
          <w:sz w:val="28"/>
        </w:rPr>
      </w:pPr>
    </w:p>
    <w:p>
      <w:pPr>
        <w:pStyle w:val="BodyText"/>
        <w:spacing w:before="2"/>
        <w:rPr>
          <w:rFonts w:ascii="Calibri"/>
          <w:sz w:val="21"/>
        </w:rPr>
      </w:pPr>
    </w:p>
    <w:p>
      <w:pPr>
        <w:spacing w:line="259" w:lineRule="auto" w:before="0"/>
        <w:ind w:left="1440" w:right="1547" w:firstLine="0"/>
        <w:jc w:val="left"/>
        <w:rPr>
          <w:rFonts w:ascii="Calibri" w:hAnsi="Calibri"/>
          <w:sz w:val="22"/>
        </w:rPr>
      </w:pPr>
      <w:r>
        <w:rPr>
          <w:rFonts w:ascii="Calibri" w:hAnsi="Calibri"/>
          <w:sz w:val="22"/>
        </w:rPr>
        <w:t>Rydym</w:t>
      </w:r>
      <w:r>
        <w:rPr>
          <w:rFonts w:ascii="Calibri" w:hAnsi="Calibri"/>
          <w:spacing w:val="-2"/>
          <w:sz w:val="22"/>
        </w:rPr>
        <w:t> </w:t>
      </w:r>
      <w:r>
        <w:rPr>
          <w:rFonts w:ascii="Calibri" w:hAnsi="Calibri"/>
          <w:sz w:val="22"/>
        </w:rPr>
        <w:t>yn</w:t>
      </w:r>
      <w:r>
        <w:rPr>
          <w:rFonts w:ascii="Calibri" w:hAnsi="Calibri"/>
          <w:spacing w:val="-2"/>
          <w:sz w:val="22"/>
        </w:rPr>
        <w:t> </w:t>
      </w:r>
      <w:r>
        <w:rPr>
          <w:rFonts w:ascii="Calibri" w:hAnsi="Calibri"/>
          <w:sz w:val="22"/>
        </w:rPr>
        <w:t>hyrwyddo’n</w:t>
      </w:r>
      <w:r>
        <w:rPr>
          <w:rFonts w:ascii="Calibri" w:hAnsi="Calibri"/>
          <w:spacing w:val="-2"/>
          <w:sz w:val="22"/>
        </w:rPr>
        <w:t> </w:t>
      </w:r>
      <w:r>
        <w:rPr>
          <w:rFonts w:ascii="Calibri" w:hAnsi="Calibri"/>
          <w:sz w:val="22"/>
        </w:rPr>
        <w:t>rheolaidd</w:t>
      </w:r>
      <w:r>
        <w:rPr>
          <w:rFonts w:ascii="Calibri" w:hAnsi="Calibri"/>
          <w:spacing w:val="-2"/>
          <w:sz w:val="22"/>
        </w:rPr>
        <w:t> </w:t>
      </w:r>
      <w:r>
        <w:rPr>
          <w:rFonts w:ascii="Calibri" w:hAnsi="Calibri"/>
          <w:sz w:val="22"/>
        </w:rPr>
        <w:t>y</w:t>
      </w:r>
      <w:r>
        <w:rPr>
          <w:rFonts w:ascii="Calibri" w:hAnsi="Calibri"/>
          <w:spacing w:val="-3"/>
          <w:sz w:val="22"/>
        </w:rPr>
        <w:t> </w:t>
      </w:r>
      <w:r>
        <w:rPr>
          <w:rFonts w:ascii="Calibri" w:hAnsi="Calibri"/>
          <w:sz w:val="22"/>
        </w:rPr>
        <w:t>cyfleoedd</w:t>
      </w:r>
      <w:r>
        <w:rPr>
          <w:rFonts w:ascii="Calibri" w:hAnsi="Calibri"/>
          <w:spacing w:val="-2"/>
          <w:sz w:val="22"/>
        </w:rPr>
        <w:t> </w:t>
      </w:r>
      <w:r>
        <w:rPr>
          <w:rFonts w:ascii="Calibri" w:hAnsi="Calibri"/>
          <w:sz w:val="22"/>
        </w:rPr>
        <w:t>i</w:t>
      </w:r>
      <w:r>
        <w:rPr>
          <w:rFonts w:ascii="Calibri" w:hAnsi="Calibri"/>
          <w:spacing w:val="-3"/>
          <w:sz w:val="22"/>
        </w:rPr>
        <w:t> </w:t>
      </w:r>
      <w:r>
        <w:rPr>
          <w:rFonts w:ascii="Calibri" w:hAnsi="Calibri"/>
          <w:sz w:val="22"/>
        </w:rPr>
        <w:t>ddysgu</w:t>
      </w:r>
      <w:r>
        <w:rPr>
          <w:rFonts w:ascii="Calibri" w:hAnsi="Calibri"/>
          <w:spacing w:val="-3"/>
          <w:sz w:val="22"/>
        </w:rPr>
        <w:t> </w:t>
      </w:r>
      <w:r>
        <w:rPr>
          <w:rFonts w:ascii="Calibri" w:hAnsi="Calibri"/>
          <w:sz w:val="22"/>
        </w:rPr>
        <w:t>Cymraeg</w:t>
      </w:r>
      <w:r>
        <w:rPr>
          <w:rFonts w:ascii="Calibri" w:hAnsi="Calibri"/>
          <w:spacing w:val="-3"/>
          <w:sz w:val="22"/>
        </w:rPr>
        <w:t> </w:t>
      </w:r>
      <w:r>
        <w:rPr>
          <w:rFonts w:ascii="Calibri" w:hAnsi="Calibri"/>
          <w:sz w:val="22"/>
        </w:rPr>
        <w:t>i’n</w:t>
      </w:r>
      <w:r>
        <w:rPr>
          <w:rFonts w:ascii="Calibri" w:hAnsi="Calibri"/>
          <w:spacing w:val="-3"/>
          <w:sz w:val="22"/>
        </w:rPr>
        <w:t> </w:t>
      </w:r>
      <w:r>
        <w:rPr>
          <w:rFonts w:ascii="Calibri" w:hAnsi="Calibri"/>
          <w:sz w:val="22"/>
        </w:rPr>
        <w:t>holl</w:t>
      </w:r>
      <w:r>
        <w:rPr>
          <w:rFonts w:ascii="Calibri" w:hAnsi="Calibri"/>
          <w:spacing w:val="-3"/>
          <w:sz w:val="22"/>
        </w:rPr>
        <w:t> </w:t>
      </w:r>
      <w:r>
        <w:rPr>
          <w:rFonts w:ascii="Calibri" w:hAnsi="Calibri"/>
          <w:sz w:val="22"/>
        </w:rPr>
        <w:t>staff</w:t>
      </w:r>
      <w:r>
        <w:rPr>
          <w:rFonts w:ascii="Calibri" w:hAnsi="Calibri"/>
          <w:spacing w:val="-2"/>
          <w:sz w:val="22"/>
        </w:rPr>
        <w:t> </w:t>
      </w:r>
      <w:r>
        <w:rPr>
          <w:rFonts w:ascii="Calibri" w:hAnsi="Calibri"/>
          <w:sz w:val="22"/>
        </w:rPr>
        <w:t>ar</w:t>
      </w:r>
      <w:r>
        <w:rPr>
          <w:rFonts w:ascii="Calibri" w:hAnsi="Calibri"/>
          <w:spacing w:val="-3"/>
          <w:sz w:val="22"/>
        </w:rPr>
        <w:t> </w:t>
      </w:r>
      <w:r>
        <w:rPr>
          <w:rFonts w:ascii="Calibri" w:hAnsi="Calibri"/>
          <w:sz w:val="22"/>
        </w:rPr>
        <w:t>draws</w:t>
      </w:r>
      <w:r>
        <w:rPr>
          <w:rFonts w:ascii="Calibri" w:hAnsi="Calibri"/>
          <w:spacing w:val="-3"/>
          <w:sz w:val="22"/>
        </w:rPr>
        <w:t> </w:t>
      </w:r>
      <w:r>
        <w:rPr>
          <w:rFonts w:ascii="Calibri" w:hAnsi="Calibri"/>
          <w:sz w:val="22"/>
        </w:rPr>
        <w:t>pob</w:t>
      </w:r>
      <w:r>
        <w:rPr>
          <w:rFonts w:ascii="Calibri" w:hAnsi="Calibri"/>
          <w:spacing w:val="-2"/>
          <w:sz w:val="22"/>
        </w:rPr>
        <w:t> </w:t>
      </w:r>
      <w:r>
        <w:rPr>
          <w:rFonts w:ascii="Calibri" w:hAnsi="Calibri"/>
          <w:sz w:val="22"/>
        </w:rPr>
        <w:t>safle. Rydym hefyd yn hyrwyddo’n gyson gyfleoedd i ddefnyddio’r Gymraeg yn y gwaith ac yn gymdeithasol mewn cymunedau lleol.</w:t>
      </w:r>
    </w:p>
    <w:p>
      <w:pPr>
        <w:pStyle w:val="BodyText"/>
        <w:spacing w:before="8"/>
        <w:rPr>
          <w:rFonts w:ascii="Calibri"/>
          <w:sz w:val="23"/>
        </w:rPr>
      </w:pPr>
    </w:p>
    <w:p>
      <w:pPr>
        <w:pStyle w:val="Heading7"/>
      </w:pPr>
      <w:r>
        <w:rPr/>
        <w:t>Recriwtio</w:t>
      </w:r>
      <w:r>
        <w:rPr>
          <w:spacing w:val="-3"/>
        </w:rPr>
        <w:t> </w:t>
      </w:r>
      <w:r>
        <w:rPr/>
        <w:t>a</w:t>
      </w:r>
      <w:r>
        <w:rPr>
          <w:spacing w:val="-2"/>
        </w:rPr>
        <w:t> </w:t>
      </w:r>
      <w:r>
        <w:rPr/>
        <w:t>phenodi</w:t>
      </w:r>
      <w:r>
        <w:rPr>
          <w:spacing w:val="-2"/>
        </w:rPr>
        <w:t> staff</w:t>
      </w:r>
    </w:p>
    <w:p>
      <w:pPr>
        <w:spacing w:line="259" w:lineRule="auto" w:before="27"/>
        <w:ind w:left="1440" w:right="1547" w:firstLine="0"/>
        <w:jc w:val="left"/>
        <w:rPr>
          <w:rFonts w:ascii="Calibri" w:hAnsi="Calibri"/>
          <w:sz w:val="22"/>
        </w:rPr>
      </w:pPr>
      <w:r>
        <w:rPr>
          <w:rFonts w:ascii="Calibri" w:hAnsi="Calibri"/>
          <w:sz w:val="22"/>
        </w:rPr>
        <w:t>Yn ystod rhan olaf 2021/22 rydym wedi cynnal ymgynghoriad ar brotocol lleol ar hysbysebu, recriwtio a phenodi staff.</w:t>
      </w:r>
      <w:r>
        <w:rPr>
          <w:rFonts w:ascii="Calibri" w:hAnsi="Calibri"/>
          <w:spacing w:val="40"/>
          <w:sz w:val="22"/>
        </w:rPr>
        <w:t> </w:t>
      </w:r>
      <w:r>
        <w:rPr>
          <w:rFonts w:ascii="Calibri" w:hAnsi="Calibri"/>
          <w:sz w:val="22"/>
        </w:rPr>
        <w:t>Gwnaed y darn sylweddol hwn o waith gyda rhanddeiliaid o’r Gyfarwyddiaeth</w:t>
      </w:r>
      <w:r>
        <w:rPr>
          <w:rFonts w:ascii="Calibri" w:hAnsi="Calibri"/>
          <w:spacing w:val="-4"/>
          <w:sz w:val="22"/>
        </w:rPr>
        <w:t> </w:t>
      </w:r>
      <w:r>
        <w:rPr>
          <w:rFonts w:ascii="Calibri" w:hAnsi="Calibri"/>
          <w:sz w:val="22"/>
        </w:rPr>
        <w:t>Pobl</w:t>
      </w:r>
      <w:r>
        <w:rPr>
          <w:rFonts w:ascii="Calibri" w:hAnsi="Calibri"/>
          <w:spacing w:val="-3"/>
          <w:sz w:val="22"/>
        </w:rPr>
        <w:t> </w:t>
      </w:r>
      <w:r>
        <w:rPr>
          <w:rFonts w:ascii="Calibri" w:hAnsi="Calibri"/>
          <w:sz w:val="22"/>
        </w:rPr>
        <w:t>a</w:t>
      </w:r>
      <w:r>
        <w:rPr>
          <w:rFonts w:ascii="Calibri" w:hAnsi="Calibri"/>
          <w:spacing w:val="-4"/>
          <w:sz w:val="22"/>
        </w:rPr>
        <w:t> </w:t>
      </w:r>
      <w:r>
        <w:rPr>
          <w:rFonts w:ascii="Calibri" w:hAnsi="Calibri"/>
          <w:sz w:val="22"/>
        </w:rPr>
        <w:t>Datblygu</w:t>
      </w:r>
      <w:r>
        <w:rPr>
          <w:rFonts w:ascii="Calibri" w:hAnsi="Calibri"/>
          <w:spacing w:val="-4"/>
          <w:sz w:val="22"/>
        </w:rPr>
        <w:t> </w:t>
      </w:r>
      <w:r>
        <w:rPr>
          <w:rFonts w:ascii="Calibri" w:hAnsi="Calibri"/>
          <w:sz w:val="22"/>
        </w:rPr>
        <w:t>Sefydliadol,</w:t>
      </w:r>
      <w:r>
        <w:rPr>
          <w:rFonts w:ascii="Calibri" w:hAnsi="Calibri"/>
          <w:spacing w:val="-4"/>
          <w:sz w:val="22"/>
        </w:rPr>
        <w:t> </w:t>
      </w:r>
      <w:r>
        <w:rPr>
          <w:rFonts w:ascii="Calibri" w:hAnsi="Calibri"/>
          <w:sz w:val="22"/>
        </w:rPr>
        <w:t>Gwasanaethau</w:t>
      </w:r>
      <w:r>
        <w:rPr>
          <w:rFonts w:ascii="Calibri" w:hAnsi="Calibri"/>
          <w:spacing w:val="-3"/>
          <w:sz w:val="22"/>
        </w:rPr>
        <w:t> </w:t>
      </w:r>
      <w:r>
        <w:rPr>
          <w:rFonts w:ascii="Calibri" w:hAnsi="Calibri"/>
          <w:sz w:val="22"/>
        </w:rPr>
        <w:t>Cyflogaeth</w:t>
      </w:r>
      <w:r>
        <w:rPr>
          <w:rFonts w:ascii="Calibri" w:hAnsi="Calibri"/>
          <w:spacing w:val="-4"/>
          <w:sz w:val="22"/>
        </w:rPr>
        <w:t> </w:t>
      </w:r>
      <w:r>
        <w:rPr>
          <w:rFonts w:ascii="Calibri" w:hAnsi="Calibri"/>
          <w:sz w:val="22"/>
        </w:rPr>
        <w:t>ac</w:t>
      </w:r>
      <w:r>
        <w:rPr>
          <w:rFonts w:ascii="Calibri" w:hAnsi="Calibri"/>
          <w:spacing w:val="-4"/>
          <w:sz w:val="22"/>
        </w:rPr>
        <w:t> </w:t>
      </w:r>
      <w:r>
        <w:rPr>
          <w:rFonts w:ascii="Calibri" w:hAnsi="Calibri"/>
          <w:sz w:val="22"/>
        </w:rPr>
        <w:t>Uned</w:t>
      </w:r>
      <w:r>
        <w:rPr>
          <w:rFonts w:ascii="Calibri" w:hAnsi="Calibri"/>
          <w:spacing w:val="-3"/>
          <w:sz w:val="22"/>
        </w:rPr>
        <w:t> </w:t>
      </w:r>
      <w:r>
        <w:rPr>
          <w:rFonts w:ascii="Calibri" w:hAnsi="Calibri"/>
          <w:sz w:val="22"/>
        </w:rPr>
        <w:t>Iaith</w:t>
      </w:r>
      <w:r>
        <w:rPr>
          <w:rFonts w:ascii="Calibri" w:hAnsi="Calibri"/>
          <w:spacing w:val="-3"/>
          <w:sz w:val="22"/>
        </w:rPr>
        <w:t> </w:t>
      </w:r>
      <w:r>
        <w:rPr>
          <w:rFonts w:ascii="Calibri" w:hAnsi="Calibri"/>
          <w:sz w:val="22"/>
        </w:rPr>
        <w:t>Gymraeg </w:t>
      </w:r>
      <w:r>
        <w:rPr>
          <w:rFonts w:ascii="Calibri" w:hAnsi="Calibri"/>
          <w:spacing w:val="-2"/>
          <w:sz w:val="22"/>
        </w:rPr>
        <w:t>PCGC.</w:t>
      </w:r>
    </w:p>
    <w:p>
      <w:pPr>
        <w:pStyle w:val="BodyText"/>
        <w:spacing w:before="8"/>
        <w:rPr>
          <w:rFonts w:ascii="Calibri"/>
          <w:sz w:val="23"/>
        </w:rPr>
      </w:pPr>
    </w:p>
    <w:p>
      <w:pPr>
        <w:spacing w:line="259" w:lineRule="auto" w:before="0"/>
        <w:ind w:left="1440" w:right="1405" w:firstLine="0"/>
        <w:jc w:val="left"/>
        <w:rPr>
          <w:rFonts w:ascii="Calibri" w:hAnsi="Calibri"/>
          <w:sz w:val="22"/>
        </w:rPr>
      </w:pPr>
      <w:r>
        <w:rPr>
          <w:rFonts w:ascii="Calibri" w:hAnsi="Calibri"/>
          <w:sz w:val="22"/>
        </w:rPr>
        <w:t>Bydd</w:t>
      </w:r>
      <w:r>
        <w:rPr>
          <w:rFonts w:ascii="Calibri" w:hAnsi="Calibri"/>
          <w:spacing w:val="-2"/>
          <w:sz w:val="22"/>
        </w:rPr>
        <w:t> </w:t>
      </w:r>
      <w:r>
        <w:rPr>
          <w:rFonts w:ascii="Calibri" w:hAnsi="Calibri"/>
          <w:sz w:val="22"/>
        </w:rPr>
        <w:t>y</w:t>
      </w:r>
      <w:r>
        <w:rPr>
          <w:rFonts w:ascii="Calibri" w:hAnsi="Calibri"/>
          <w:spacing w:val="-2"/>
          <w:sz w:val="22"/>
        </w:rPr>
        <w:t> </w:t>
      </w:r>
      <w:r>
        <w:rPr>
          <w:rFonts w:ascii="Calibri" w:hAnsi="Calibri"/>
          <w:sz w:val="22"/>
        </w:rPr>
        <w:t>protocol</w:t>
      </w:r>
      <w:r>
        <w:rPr>
          <w:rFonts w:ascii="Calibri" w:hAnsi="Calibri"/>
          <w:spacing w:val="-2"/>
          <w:sz w:val="22"/>
        </w:rPr>
        <w:t> </w:t>
      </w:r>
      <w:r>
        <w:rPr>
          <w:rFonts w:ascii="Calibri" w:hAnsi="Calibri"/>
          <w:sz w:val="22"/>
        </w:rPr>
        <w:t>yn</w:t>
      </w:r>
      <w:r>
        <w:rPr>
          <w:rFonts w:ascii="Calibri" w:hAnsi="Calibri"/>
          <w:spacing w:val="-2"/>
          <w:sz w:val="22"/>
        </w:rPr>
        <w:t> </w:t>
      </w:r>
      <w:r>
        <w:rPr>
          <w:rFonts w:ascii="Calibri" w:hAnsi="Calibri"/>
          <w:sz w:val="22"/>
        </w:rPr>
        <w:t>cael</w:t>
      </w:r>
      <w:r>
        <w:rPr>
          <w:rFonts w:ascii="Calibri" w:hAnsi="Calibri"/>
          <w:spacing w:val="-2"/>
          <w:sz w:val="22"/>
        </w:rPr>
        <w:t> </w:t>
      </w:r>
      <w:r>
        <w:rPr>
          <w:rFonts w:ascii="Calibri" w:hAnsi="Calibri"/>
          <w:sz w:val="22"/>
        </w:rPr>
        <w:t>ei</w:t>
      </w:r>
      <w:r>
        <w:rPr>
          <w:rFonts w:ascii="Calibri" w:hAnsi="Calibri"/>
          <w:spacing w:val="-2"/>
          <w:sz w:val="22"/>
        </w:rPr>
        <w:t> </w:t>
      </w:r>
      <w:r>
        <w:rPr>
          <w:rFonts w:ascii="Calibri" w:hAnsi="Calibri"/>
          <w:sz w:val="22"/>
        </w:rPr>
        <w:t>lansio</w:t>
      </w:r>
      <w:r>
        <w:rPr>
          <w:rFonts w:ascii="Calibri" w:hAnsi="Calibri"/>
          <w:spacing w:val="-2"/>
          <w:sz w:val="22"/>
        </w:rPr>
        <w:t> </w:t>
      </w:r>
      <w:r>
        <w:rPr>
          <w:rFonts w:ascii="Calibri" w:hAnsi="Calibri"/>
          <w:sz w:val="22"/>
        </w:rPr>
        <w:t>yn</w:t>
      </w:r>
      <w:r>
        <w:rPr>
          <w:rFonts w:ascii="Calibri" w:hAnsi="Calibri"/>
          <w:spacing w:val="-2"/>
          <w:sz w:val="22"/>
        </w:rPr>
        <w:t> </w:t>
      </w:r>
      <w:r>
        <w:rPr>
          <w:rFonts w:ascii="Calibri" w:hAnsi="Calibri"/>
          <w:sz w:val="22"/>
        </w:rPr>
        <w:t>ystod</w:t>
      </w:r>
      <w:r>
        <w:rPr>
          <w:rFonts w:ascii="Calibri" w:hAnsi="Calibri"/>
          <w:spacing w:val="-2"/>
          <w:sz w:val="22"/>
        </w:rPr>
        <w:t> </w:t>
      </w:r>
      <w:r>
        <w:rPr>
          <w:rFonts w:ascii="Calibri" w:hAnsi="Calibri"/>
          <w:sz w:val="22"/>
        </w:rPr>
        <w:t>chwarter</w:t>
      </w:r>
      <w:r>
        <w:rPr>
          <w:rFonts w:ascii="Calibri" w:hAnsi="Calibri"/>
          <w:spacing w:val="-3"/>
          <w:sz w:val="22"/>
        </w:rPr>
        <w:t> </w:t>
      </w:r>
      <w:r>
        <w:rPr>
          <w:rFonts w:ascii="Calibri" w:hAnsi="Calibri"/>
          <w:sz w:val="22"/>
        </w:rPr>
        <w:t>cyntaf</w:t>
      </w:r>
      <w:r>
        <w:rPr>
          <w:rFonts w:ascii="Calibri" w:hAnsi="Calibri"/>
          <w:spacing w:val="-2"/>
          <w:sz w:val="22"/>
        </w:rPr>
        <w:t> </w:t>
      </w:r>
      <w:r>
        <w:rPr>
          <w:rFonts w:ascii="Calibri" w:hAnsi="Calibri"/>
          <w:sz w:val="22"/>
        </w:rPr>
        <w:t>2022/23,</w:t>
      </w:r>
      <w:r>
        <w:rPr>
          <w:rFonts w:ascii="Calibri" w:hAnsi="Calibri"/>
          <w:spacing w:val="-3"/>
          <w:sz w:val="22"/>
        </w:rPr>
        <w:t> </w:t>
      </w:r>
      <w:r>
        <w:rPr>
          <w:rFonts w:ascii="Calibri" w:hAnsi="Calibri"/>
          <w:sz w:val="22"/>
        </w:rPr>
        <w:t>pan</w:t>
      </w:r>
      <w:r>
        <w:rPr>
          <w:rFonts w:ascii="Calibri" w:hAnsi="Calibri"/>
          <w:spacing w:val="-3"/>
          <w:sz w:val="22"/>
        </w:rPr>
        <w:t> </w:t>
      </w:r>
      <w:r>
        <w:rPr>
          <w:rFonts w:ascii="Calibri" w:hAnsi="Calibri"/>
          <w:sz w:val="22"/>
        </w:rPr>
        <w:t>fydd</w:t>
      </w:r>
      <w:r>
        <w:rPr>
          <w:rFonts w:ascii="Calibri" w:hAnsi="Calibri"/>
          <w:spacing w:val="-2"/>
          <w:sz w:val="22"/>
        </w:rPr>
        <w:t> </w:t>
      </w:r>
      <w:r>
        <w:rPr>
          <w:rFonts w:ascii="Calibri" w:hAnsi="Calibri"/>
          <w:sz w:val="22"/>
        </w:rPr>
        <w:t>holl</w:t>
      </w:r>
      <w:r>
        <w:rPr>
          <w:rFonts w:ascii="Calibri" w:hAnsi="Calibri"/>
          <w:spacing w:val="-2"/>
          <w:sz w:val="22"/>
        </w:rPr>
        <w:t> </w:t>
      </w:r>
      <w:r>
        <w:rPr>
          <w:rFonts w:ascii="Calibri" w:hAnsi="Calibri"/>
          <w:sz w:val="22"/>
        </w:rPr>
        <w:t>swyddi</w:t>
      </w:r>
      <w:r>
        <w:rPr>
          <w:rFonts w:ascii="Calibri" w:hAnsi="Calibri"/>
          <w:spacing w:val="-2"/>
          <w:sz w:val="22"/>
        </w:rPr>
        <w:t> </w:t>
      </w:r>
      <w:r>
        <w:rPr>
          <w:rFonts w:ascii="Calibri" w:hAnsi="Calibri"/>
          <w:sz w:val="22"/>
        </w:rPr>
        <w:t>gwag</w:t>
      </w:r>
      <w:r>
        <w:rPr>
          <w:rFonts w:ascii="Calibri" w:hAnsi="Calibri"/>
          <w:spacing w:val="-3"/>
          <w:sz w:val="22"/>
        </w:rPr>
        <w:t> </w:t>
      </w:r>
      <w:r>
        <w:rPr>
          <w:rFonts w:ascii="Calibri" w:hAnsi="Calibri"/>
          <w:sz w:val="22"/>
        </w:rPr>
        <w:t>PCGC yn cael eu hysbysebu’n ddwyieithog.</w:t>
      </w:r>
      <w:r>
        <w:rPr>
          <w:rFonts w:ascii="Calibri" w:hAnsi="Calibri"/>
          <w:spacing w:val="80"/>
          <w:sz w:val="22"/>
        </w:rPr>
        <w:t> </w:t>
      </w:r>
      <w:r>
        <w:rPr>
          <w:rFonts w:ascii="Calibri" w:hAnsi="Calibri"/>
          <w:sz w:val="22"/>
        </w:rPr>
        <w:t>Bydd hyn yn ein galluogi i gydymffurfio â Safonau 106, 106A, 107 a 107A.</w:t>
      </w:r>
    </w:p>
    <w:p>
      <w:pPr>
        <w:pStyle w:val="BodyText"/>
        <w:rPr>
          <w:rFonts w:ascii="Calibri"/>
          <w:sz w:val="22"/>
        </w:rPr>
      </w:pPr>
    </w:p>
    <w:p>
      <w:pPr>
        <w:pStyle w:val="BodyText"/>
        <w:spacing w:before="6"/>
        <w:rPr>
          <w:rFonts w:ascii="Calibri"/>
          <w:sz w:val="25"/>
        </w:rPr>
      </w:pPr>
    </w:p>
    <w:p>
      <w:pPr>
        <w:pStyle w:val="Heading5"/>
      </w:pPr>
      <w:r>
        <w:rPr/>
        <w:t>Safonau</w:t>
      </w:r>
      <w:r>
        <w:rPr>
          <w:spacing w:val="-3"/>
        </w:rPr>
        <w:t> </w:t>
      </w:r>
      <w:r>
        <w:rPr/>
        <w:t>Cadw</w:t>
      </w:r>
      <w:r>
        <w:rPr>
          <w:spacing w:val="-1"/>
        </w:rPr>
        <w:t> </w:t>
      </w:r>
      <w:r>
        <w:rPr>
          <w:spacing w:val="-2"/>
        </w:rPr>
        <w:t>Cofnodion:</w:t>
      </w:r>
    </w:p>
    <w:p>
      <w:pPr>
        <w:pStyle w:val="Heading7"/>
        <w:spacing w:before="191"/>
      </w:pPr>
      <w:r>
        <w:rPr/>
        <w:t>Sgiliau</w:t>
      </w:r>
      <w:r>
        <w:rPr>
          <w:spacing w:val="-2"/>
        </w:rPr>
        <w:t> </w:t>
      </w:r>
      <w:r>
        <w:rPr/>
        <w:t>Cymraeg</w:t>
      </w:r>
      <w:r>
        <w:rPr>
          <w:spacing w:val="-2"/>
        </w:rPr>
        <w:t> </w:t>
      </w:r>
      <w:r>
        <w:rPr/>
        <w:t>ar</w:t>
      </w:r>
      <w:r>
        <w:rPr>
          <w:spacing w:val="-1"/>
        </w:rPr>
        <w:t> </w:t>
      </w:r>
      <w:r>
        <w:rPr/>
        <w:t>draws</w:t>
      </w:r>
      <w:r>
        <w:rPr>
          <w:spacing w:val="-1"/>
        </w:rPr>
        <w:t> </w:t>
      </w:r>
      <w:r>
        <w:rPr/>
        <w:t>y</w:t>
      </w:r>
      <w:r>
        <w:rPr>
          <w:spacing w:val="-1"/>
        </w:rPr>
        <w:t> </w:t>
      </w:r>
      <w:r>
        <w:rPr>
          <w:spacing w:val="-2"/>
        </w:rPr>
        <w:t>Gweithlu:</w:t>
      </w:r>
    </w:p>
    <w:p>
      <w:pPr>
        <w:spacing w:line="259" w:lineRule="auto" w:before="27"/>
        <w:ind w:left="1440" w:right="1405" w:firstLine="0"/>
        <w:jc w:val="left"/>
        <w:rPr>
          <w:rFonts w:ascii="Calibri"/>
          <w:sz w:val="22"/>
        </w:rPr>
      </w:pPr>
      <w:r>
        <w:rPr>
          <w:rFonts w:ascii="Calibri"/>
          <w:sz w:val="22"/>
        </w:rPr>
        <w:t>Mae'n ofynnol i bob aelod o staff gwblhau asesiad sgiliau iaith Gymraeg ar blatfform y cofnod staff electronig.</w:t>
      </w:r>
      <w:r>
        <w:rPr>
          <w:rFonts w:ascii="Calibri"/>
          <w:spacing w:val="40"/>
          <w:sz w:val="22"/>
        </w:rPr>
        <w:t> </w:t>
      </w:r>
      <w:r>
        <w:rPr>
          <w:rFonts w:ascii="Calibri"/>
          <w:sz w:val="22"/>
        </w:rPr>
        <w:t>Gwelsom</w:t>
      </w:r>
      <w:r>
        <w:rPr>
          <w:rFonts w:ascii="Calibri"/>
          <w:spacing w:val="-3"/>
          <w:sz w:val="22"/>
        </w:rPr>
        <w:t> </w:t>
      </w:r>
      <w:r>
        <w:rPr>
          <w:rFonts w:ascii="Calibri"/>
          <w:sz w:val="22"/>
        </w:rPr>
        <w:t>ostyngiad</w:t>
      </w:r>
      <w:r>
        <w:rPr>
          <w:rFonts w:ascii="Calibri"/>
          <w:spacing w:val="-2"/>
          <w:sz w:val="22"/>
        </w:rPr>
        <w:t> </w:t>
      </w:r>
      <w:r>
        <w:rPr>
          <w:rFonts w:ascii="Calibri"/>
          <w:sz w:val="22"/>
        </w:rPr>
        <w:t>yn</w:t>
      </w:r>
      <w:r>
        <w:rPr>
          <w:rFonts w:ascii="Calibri"/>
          <w:spacing w:val="-2"/>
          <w:sz w:val="22"/>
        </w:rPr>
        <w:t> </w:t>
      </w:r>
      <w:r>
        <w:rPr>
          <w:rFonts w:ascii="Calibri"/>
          <w:sz w:val="22"/>
        </w:rPr>
        <w:t>nifer</w:t>
      </w:r>
      <w:r>
        <w:rPr>
          <w:rFonts w:ascii="Calibri"/>
          <w:spacing w:val="-3"/>
          <w:sz w:val="22"/>
        </w:rPr>
        <w:t> </w:t>
      </w:r>
      <w:r>
        <w:rPr>
          <w:rFonts w:ascii="Calibri"/>
          <w:sz w:val="22"/>
        </w:rPr>
        <w:t>y</w:t>
      </w:r>
      <w:r>
        <w:rPr>
          <w:rFonts w:ascii="Calibri"/>
          <w:spacing w:val="-2"/>
          <w:sz w:val="22"/>
        </w:rPr>
        <w:t> </w:t>
      </w:r>
      <w:r>
        <w:rPr>
          <w:rFonts w:ascii="Calibri"/>
          <w:sz w:val="22"/>
        </w:rPr>
        <w:t>staff</w:t>
      </w:r>
      <w:r>
        <w:rPr>
          <w:rFonts w:ascii="Calibri"/>
          <w:spacing w:val="-2"/>
          <w:sz w:val="22"/>
        </w:rPr>
        <w:t> </w:t>
      </w:r>
      <w:r>
        <w:rPr>
          <w:rFonts w:ascii="Calibri"/>
          <w:sz w:val="22"/>
        </w:rPr>
        <w:t>a</w:t>
      </w:r>
      <w:r>
        <w:rPr>
          <w:rFonts w:ascii="Calibri"/>
          <w:spacing w:val="-3"/>
          <w:sz w:val="22"/>
        </w:rPr>
        <w:t> </w:t>
      </w:r>
      <w:r>
        <w:rPr>
          <w:rFonts w:ascii="Calibri"/>
          <w:sz w:val="22"/>
        </w:rPr>
        <w:t>gofnododd</w:t>
      </w:r>
      <w:r>
        <w:rPr>
          <w:rFonts w:ascii="Calibri"/>
          <w:spacing w:val="-3"/>
          <w:sz w:val="22"/>
        </w:rPr>
        <w:t> </w:t>
      </w:r>
      <w:r>
        <w:rPr>
          <w:rFonts w:ascii="Calibri"/>
          <w:sz w:val="22"/>
        </w:rPr>
        <w:t>eu</w:t>
      </w:r>
      <w:r>
        <w:rPr>
          <w:rFonts w:ascii="Calibri"/>
          <w:spacing w:val="-2"/>
          <w:sz w:val="22"/>
        </w:rPr>
        <w:t> </w:t>
      </w:r>
      <w:r>
        <w:rPr>
          <w:rFonts w:ascii="Calibri"/>
          <w:sz w:val="22"/>
        </w:rPr>
        <w:t>sgiliau</w:t>
      </w:r>
      <w:r>
        <w:rPr>
          <w:rFonts w:ascii="Calibri"/>
          <w:spacing w:val="-2"/>
          <w:sz w:val="22"/>
        </w:rPr>
        <w:t> </w:t>
      </w:r>
      <w:r>
        <w:rPr>
          <w:rFonts w:ascii="Calibri"/>
          <w:sz w:val="22"/>
        </w:rPr>
        <w:t>yn</w:t>
      </w:r>
      <w:r>
        <w:rPr>
          <w:rFonts w:ascii="Calibri"/>
          <w:spacing w:val="-2"/>
          <w:sz w:val="22"/>
        </w:rPr>
        <w:t> </w:t>
      </w:r>
      <w:r>
        <w:rPr>
          <w:rFonts w:ascii="Calibri"/>
          <w:sz w:val="22"/>
        </w:rPr>
        <w:t>ystod</w:t>
      </w:r>
      <w:r>
        <w:rPr>
          <w:rFonts w:ascii="Calibri"/>
          <w:spacing w:val="-2"/>
          <w:sz w:val="22"/>
        </w:rPr>
        <w:t> </w:t>
      </w:r>
      <w:r>
        <w:rPr>
          <w:rFonts w:ascii="Calibri"/>
          <w:sz w:val="22"/>
        </w:rPr>
        <w:t>y</w:t>
      </w:r>
      <w:r>
        <w:rPr>
          <w:rFonts w:ascii="Calibri"/>
          <w:spacing w:val="-3"/>
          <w:sz w:val="22"/>
        </w:rPr>
        <w:t> </w:t>
      </w:r>
      <w:r>
        <w:rPr>
          <w:rFonts w:ascii="Calibri"/>
          <w:sz w:val="22"/>
        </w:rPr>
        <w:t>flwyddyn</w:t>
      </w:r>
      <w:r>
        <w:rPr>
          <w:rFonts w:ascii="Calibri"/>
          <w:spacing w:val="-3"/>
          <w:sz w:val="22"/>
        </w:rPr>
        <w:t> </w:t>
      </w:r>
      <w:r>
        <w:rPr>
          <w:rFonts w:ascii="Calibri"/>
          <w:sz w:val="22"/>
        </w:rPr>
        <w:t>2020/21.</w:t>
      </w:r>
    </w:p>
    <w:p>
      <w:pPr>
        <w:spacing w:after="0" w:line="259" w:lineRule="auto"/>
        <w:jc w:val="left"/>
        <w:rPr>
          <w:rFonts w:ascii="Calibri"/>
          <w:sz w:val="22"/>
        </w:rPr>
        <w:sectPr>
          <w:pgSz w:w="11910" w:h="16840"/>
          <w:pgMar w:header="0" w:footer="173" w:top="1380" w:bottom="360" w:left="0" w:right="0"/>
        </w:sectPr>
      </w:pPr>
    </w:p>
    <w:p>
      <w:pPr>
        <w:spacing w:line="259" w:lineRule="auto" w:before="42"/>
        <w:ind w:left="1440" w:right="1405" w:firstLine="0"/>
        <w:jc w:val="left"/>
        <w:rPr>
          <w:rFonts w:ascii="Calibri" w:hAnsi="Calibri"/>
          <w:sz w:val="22"/>
        </w:rPr>
      </w:pPr>
      <w:r>
        <w:rPr>
          <w:rFonts w:ascii="Calibri" w:hAnsi="Calibri"/>
          <w:sz w:val="22"/>
        </w:rPr>
        <w:t>Roedd</w:t>
      </w:r>
      <w:r>
        <w:rPr>
          <w:rFonts w:ascii="Calibri" w:hAnsi="Calibri"/>
          <w:spacing w:val="-2"/>
          <w:sz w:val="22"/>
        </w:rPr>
        <w:t> </w:t>
      </w:r>
      <w:r>
        <w:rPr>
          <w:rFonts w:ascii="Calibri" w:hAnsi="Calibri"/>
          <w:sz w:val="22"/>
        </w:rPr>
        <w:t>hyn</w:t>
      </w:r>
      <w:r>
        <w:rPr>
          <w:rFonts w:ascii="Calibri" w:hAnsi="Calibri"/>
          <w:spacing w:val="-3"/>
          <w:sz w:val="22"/>
        </w:rPr>
        <w:t> </w:t>
      </w:r>
      <w:r>
        <w:rPr>
          <w:rFonts w:ascii="Calibri" w:hAnsi="Calibri"/>
          <w:sz w:val="22"/>
        </w:rPr>
        <w:t>yn</w:t>
      </w:r>
      <w:r>
        <w:rPr>
          <w:rFonts w:ascii="Calibri" w:hAnsi="Calibri"/>
          <w:spacing w:val="-2"/>
          <w:sz w:val="22"/>
        </w:rPr>
        <w:t> </w:t>
      </w:r>
      <w:r>
        <w:rPr>
          <w:rFonts w:ascii="Calibri" w:hAnsi="Calibri"/>
          <w:sz w:val="22"/>
        </w:rPr>
        <w:t>bennaf</w:t>
      </w:r>
      <w:r>
        <w:rPr>
          <w:rFonts w:ascii="Calibri" w:hAnsi="Calibri"/>
          <w:spacing w:val="-3"/>
          <w:sz w:val="22"/>
        </w:rPr>
        <w:t> </w:t>
      </w:r>
      <w:r>
        <w:rPr>
          <w:rFonts w:ascii="Calibri" w:hAnsi="Calibri"/>
          <w:sz w:val="22"/>
        </w:rPr>
        <w:t>oherwydd</w:t>
      </w:r>
      <w:r>
        <w:rPr>
          <w:rFonts w:ascii="Calibri" w:hAnsi="Calibri"/>
          <w:spacing w:val="-2"/>
          <w:sz w:val="22"/>
        </w:rPr>
        <w:t> </w:t>
      </w:r>
      <w:r>
        <w:rPr>
          <w:rFonts w:ascii="Calibri" w:hAnsi="Calibri"/>
          <w:sz w:val="22"/>
        </w:rPr>
        <w:t>y</w:t>
      </w:r>
      <w:r>
        <w:rPr>
          <w:rFonts w:ascii="Calibri" w:hAnsi="Calibri"/>
          <w:spacing w:val="-3"/>
          <w:sz w:val="22"/>
        </w:rPr>
        <w:t> </w:t>
      </w:r>
      <w:r>
        <w:rPr>
          <w:rFonts w:ascii="Calibri" w:hAnsi="Calibri"/>
          <w:sz w:val="22"/>
        </w:rPr>
        <w:t>pandemig,</w:t>
      </w:r>
      <w:r>
        <w:rPr>
          <w:rFonts w:ascii="Calibri" w:hAnsi="Calibri"/>
          <w:spacing w:val="-2"/>
          <w:sz w:val="22"/>
        </w:rPr>
        <w:t> </w:t>
      </w:r>
      <w:r>
        <w:rPr>
          <w:rFonts w:ascii="Calibri" w:hAnsi="Calibri"/>
          <w:sz w:val="22"/>
        </w:rPr>
        <w:t>ac</w:t>
      </w:r>
      <w:r>
        <w:rPr>
          <w:rFonts w:ascii="Calibri" w:hAnsi="Calibri"/>
          <w:spacing w:val="-3"/>
          <w:sz w:val="22"/>
        </w:rPr>
        <w:t> </w:t>
      </w:r>
      <w:r>
        <w:rPr>
          <w:rFonts w:ascii="Calibri" w:hAnsi="Calibri"/>
          <w:sz w:val="22"/>
        </w:rPr>
        <w:t>oherwydd</w:t>
      </w:r>
      <w:r>
        <w:rPr>
          <w:rFonts w:ascii="Calibri" w:hAnsi="Calibri"/>
          <w:spacing w:val="-2"/>
          <w:sz w:val="22"/>
        </w:rPr>
        <w:t> </w:t>
      </w:r>
      <w:r>
        <w:rPr>
          <w:rFonts w:ascii="Calibri" w:hAnsi="Calibri"/>
          <w:sz w:val="22"/>
        </w:rPr>
        <w:t>bod</w:t>
      </w:r>
      <w:r>
        <w:rPr>
          <w:rFonts w:ascii="Calibri" w:hAnsi="Calibri"/>
          <w:spacing w:val="-3"/>
          <w:sz w:val="22"/>
        </w:rPr>
        <w:t> </w:t>
      </w:r>
      <w:r>
        <w:rPr>
          <w:rFonts w:ascii="Calibri" w:hAnsi="Calibri"/>
          <w:sz w:val="22"/>
        </w:rPr>
        <w:t>staff</w:t>
      </w:r>
      <w:r>
        <w:rPr>
          <w:rFonts w:ascii="Calibri" w:hAnsi="Calibri"/>
          <w:spacing w:val="-2"/>
          <w:sz w:val="22"/>
        </w:rPr>
        <w:t> </w:t>
      </w:r>
      <w:r>
        <w:rPr>
          <w:rFonts w:ascii="Calibri" w:hAnsi="Calibri"/>
          <w:sz w:val="22"/>
        </w:rPr>
        <w:t>yn</w:t>
      </w:r>
      <w:r>
        <w:rPr>
          <w:rFonts w:ascii="Calibri" w:hAnsi="Calibri"/>
          <w:spacing w:val="-2"/>
          <w:sz w:val="22"/>
        </w:rPr>
        <w:t> </w:t>
      </w:r>
      <w:r>
        <w:rPr>
          <w:rFonts w:ascii="Calibri" w:hAnsi="Calibri"/>
          <w:sz w:val="22"/>
        </w:rPr>
        <w:t>gweithio</w:t>
      </w:r>
      <w:r>
        <w:rPr>
          <w:rFonts w:ascii="Calibri" w:hAnsi="Calibri"/>
          <w:spacing w:val="-2"/>
          <w:sz w:val="22"/>
        </w:rPr>
        <w:t> </w:t>
      </w:r>
      <w:r>
        <w:rPr>
          <w:rFonts w:ascii="Calibri" w:hAnsi="Calibri"/>
          <w:sz w:val="22"/>
        </w:rPr>
        <w:t>gartref</w:t>
      </w:r>
      <w:r>
        <w:rPr>
          <w:rFonts w:ascii="Calibri" w:hAnsi="Calibri"/>
          <w:spacing w:val="-3"/>
          <w:sz w:val="22"/>
        </w:rPr>
        <w:t> </w:t>
      </w:r>
      <w:r>
        <w:rPr>
          <w:rFonts w:ascii="Calibri" w:hAnsi="Calibri"/>
          <w:sz w:val="22"/>
        </w:rPr>
        <w:t>a</w:t>
      </w:r>
      <w:r>
        <w:rPr>
          <w:rFonts w:ascii="Calibri" w:hAnsi="Calibri"/>
          <w:spacing w:val="-3"/>
          <w:sz w:val="22"/>
        </w:rPr>
        <w:t> </w:t>
      </w:r>
      <w:r>
        <w:rPr>
          <w:rFonts w:ascii="Calibri" w:hAnsi="Calibri"/>
          <w:sz w:val="22"/>
        </w:rPr>
        <w:t>sefydlu’r rhaglen Un Cyflogwr Arweiniol.</w:t>
      </w:r>
    </w:p>
    <w:p>
      <w:pPr>
        <w:spacing w:before="159"/>
        <w:ind w:left="1440" w:right="0" w:firstLine="0"/>
        <w:jc w:val="left"/>
        <w:rPr>
          <w:rFonts w:ascii="Calibri" w:hAnsi="Calibri"/>
          <w:sz w:val="22"/>
        </w:rPr>
      </w:pPr>
      <w:r>
        <w:rPr>
          <w:rFonts w:ascii="Calibri" w:hAnsi="Calibri"/>
          <w:sz w:val="22"/>
        </w:rPr>
        <w:t>Rydym</w:t>
      </w:r>
      <w:r>
        <w:rPr>
          <w:rFonts w:ascii="Calibri" w:hAnsi="Calibri"/>
          <w:spacing w:val="-3"/>
          <w:sz w:val="22"/>
        </w:rPr>
        <w:t> </w:t>
      </w:r>
      <w:r>
        <w:rPr>
          <w:rFonts w:ascii="Calibri" w:hAnsi="Calibri"/>
          <w:sz w:val="22"/>
        </w:rPr>
        <w:t>wedi</w:t>
      </w:r>
      <w:r>
        <w:rPr>
          <w:rFonts w:ascii="Calibri" w:hAnsi="Calibri"/>
          <w:spacing w:val="-1"/>
          <w:sz w:val="22"/>
        </w:rPr>
        <w:t> </w:t>
      </w:r>
      <w:r>
        <w:rPr>
          <w:rFonts w:ascii="Calibri" w:hAnsi="Calibri"/>
          <w:sz w:val="22"/>
        </w:rPr>
        <w:t>bod</w:t>
      </w:r>
      <w:r>
        <w:rPr>
          <w:rFonts w:ascii="Calibri" w:hAnsi="Calibri"/>
          <w:spacing w:val="-2"/>
          <w:sz w:val="22"/>
        </w:rPr>
        <w:t> </w:t>
      </w:r>
      <w:r>
        <w:rPr>
          <w:rFonts w:ascii="Calibri" w:hAnsi="Calibri"/>
          <w:sz w:val="22"/>
        </w:rPr>
        <w:t>yn</w:t>
      </w:r>
      <w:r>
        <w:rPr>
          <w:rFonts w:ascii="Calibri" w:hAnsi="Calibri"/>
          <w:spacing w:val="-1"/>
          <w:sz w:val="22"/>
        </w:rPr>
        <w:t> </w:t>
      </w:r>
      <w:r>
        <w:rPr>
          <w:rFonts w:ascii="Calibri" w:hAnsi="Calibri"/>
          <w:sz w:val="22"/>
        </w:rPr>
        <w:t>mynd</w:t>
      </w:r>
      <w:r>
        <w:rPr>
          <w:rFonts w:ascii="Calibri" w:hAnsi="Calibri"/>
          <w:spacing w:val="-1"/>
          <w:sz w:val="22"/>
        </w:rPr>
        <w:t> </w:t>
      </w:r>
      <w:r>
        <w:rPr>
          <w:rFonts w:ascii="Calibri" w:hAnsi="Calibri"/>
          <w:sz w:val="22"/>
        </w:rPr>
        <w:t>i’r</w:t>
      </w:r>
      <w:r>
        <w:rPr>
          <w:rFonts w:ascii="Calibri" w:hAnsi="Calibri"/>
          <w:spacing w:val="-2"/>
          <w:sz w:val="22"/>
        </w:rPr>
        <w:t> </w:t>
      </w:r>
      <w:r>
        <w:rPr>
          <w:rFonts w:ascii="Calibri" w:hAnsi="Calibri"/>
          <w:sz w:val="22"/>
        </w:rPr>
        <w:t>afael</w:t>
      </w:r>
      <w:r>
        <w:rPr>
          <w:rFonts w:ascii="Calibri" w:hAnsi="Calibri"/>
          <w:spacing w:val="-1"/>
          <w:sz w:val="22"/>
        </w:rPr>
        <w:t> </w:t>
      </w:r>
      <w:r>
        <w:rPr>
          <w:rFonts w:ascii="Calibri" w:hAnsi="Calibri"/>
          <w:sz w:val="22"/>
        </w:rPr>
        <w:t>â</w:t>
      </w:r>
      <w:r>
        <w:rPr>
          <w:rFonts w:ascii="Calibri" w:hAnsi="Calibri"/>
          <w:spacing w:val="-2"/>
          <w:sz w:val="22"/>
        </w:rPr>
        <w:t> </w:t>
      </w:r>
      <w:r>
        <w:rPr>
          <w:rFonts w:ascii="Calibri" w:hAnsi="Calibri"/>
          <w:sz w:val="22"/>
        </w:rPr>
        <w:t>hyn</w:t>
      </w:r>
      <w:r>
        <w:rPr>
          <w:rFonts w:ascii="Calibri" w:hAnsi="Calibri"/>
          <w:spacing w:val="-1"/>
          <w:sz w:val="22"/>
        </w:rPr>
        <w:t> </w:t>
      </w:r>
      <w:r>
        <w:rPr>
          <w:rFonts w:ascii="Calibri" w:hAnsi="Calibri"/>
          <w:sz w:val="22"/>
        </w:rPr>
        <w:t>drwy</w:t>
      </w:r>
      <w:r>
        <w:rPr>
          <w:rFonts w:ascii="Calibri" w:hAnsi="Calibri"/>
          <w:spacing w:val="-1"/>
          <w:sz w:val="22"/>
        </w:rPr>
        <w:t> </w:t>
      </w:r>
      <w:r>
        <w:rPr>
          <w:rFonts w:ascii="Calibri" w:hAnsi="Calibri"/>
          <w:sz w:val="22"/>
        </w:rPr>
        <w:t>gymryd</w:t>
      </w:r>
      <w:r>
        <w:rPr>
          <w:rFonts w:ascii="Calibri" w:hAnsi="Calibri"/>
          <w:spacing w:val="-1"/>
          <w:sz w:val="22"/>
        </w:rPr>
        <w:t> </w:t>
      </w:r>
      <w:r>
        <w:rPr>
          <w:rFonts w:ascii="Calibri" w:hAnsi="Calibri"/>
          <w:sz w:val="22"/>
        </w:rPr>
        <w:t>y</w:t>
      </w:r>
      <w:r>
        <w:rPr>
          <w:rFonts w:ascii="Calibri" w:hAnsi="Calibri"/>
          <w:spacing w:val="-1"/>
          <w:sz w:val="22"/>
        </w:rPr>
        <w:t> </w:t>
      </w:r>
      <w:r>
        <w:rPr>
          <w:rFonts w:ascii="Calibri" w:hAnsi="Calibri"/>
          <w:sz w:val="22"/>
        </w:rPr>
        <w:t>camau</w:t>
      </w:r>
      <w:r>
        <w:rPr>
          <w:rFonts w:ascii="Calibri" w:hAnsi="Calibri"/>
          <w:spacing w:val="-1"/>
          <w:sz w:val="22"/>
        </w:rPr>
        <w:t> </w:t>
      </w:r>
      <w:r>
        <w:rPr>
          <w:rFonts w:ascii="Calibri" w:hAnsi="Calibri"/>
          <w:sz w:val="22"/>
        </w:rPr>
        <w:t>canlynol</w:t>
      </w:r>
      <w:r>
        <w:rPr>
          <w:rFonts w:ascii="Calibri" w:hAnsi="Calibri"/>
          <w:spacing w:val="-2"/>
          <w:sz w:val="22"/>
        </w:rPr>
        <w:t> </w:t>
      </w:r>
      <w:r>
        <w:rPr>
          <w:rFonts w:ascii="Calibri" w:hAnsi="Calibri"/>
          <w:sz w:val="22"/>
        </w:rPr>
        <w:t>i</w:t>
      </w:r>
      <w:r>
        <w:rPr>
          <w:rFonts w:ascii="Calibri" w:hAnsi="Calibri"/>
          <w:spacing w:val="-1"/>
          <w:sz w:val="22"/>
        </w:rPr>
        <w:t> </w:t>
      </w:r>
      <w:r>
        <w:rPr>
          <w:rFonts w:ascii="Calibri" w:hAnsi="Calibri"/>
          <w:sz w:val="22"/>
        </w:rPr>
        <w:t>wella</w:t>
      </w:r>
      <w:r>
        <w:rPr>
          <w:rFonts w:ascii="Calibri" w:hAnsi="Calibri"/>
          <w:spacing w:val="-2"/>
          <w:sz w:val="22"/>
        </w:rPr>
        <w:t> </w:t>
      </w:r>
      <w:r>
        <w:rPr>
          <w:rFonts w:ascii="Calibri" w:hAnsi="Calibri"/>
          <w:sz w:val="22"/>
        </w:rPr>
        <w:t>cofnodi </w:t>
      </w:r>
      <w:r>
        <w:rPr>
          <w:rFonts w:ascii="Calibri" w:hAnsi="Calibri"/>
          <w:spacing w:val="-2"/>
          <w:sz w:val="22"/>
        </w:rPr>
        <w:t>sgiliau:</w:t>
      </w:r>
    </w:p>
    <w:p>
      <w:pPr>
        <w:pStyle w:val="ListParagraph"/>
        <w:numPr>
          <w:ilvl w:val="0"/>
          <w:numId w:val="49"/>
        </w:numPr>
        <w:tabs>
          <w:tab w:pos="2160" w:val="left" w:leader="none"/>
        </w:tabs>
        <w:spacing w:line="259" w:lineRule="auto" w:before="182" w:after="0"/>
        <w:ind w:left="2160" w:right="1581" w:hanging="360"/>
        <w:jc w:val="left"/>
        <w:rPr>
          <w:rFonts w:ascii="Calibri" w:hAnsi="Calibri"/>
          <w:sz w:val="22"/>
        </w:rPr>
      </w:pPr>
      <w:r>
        <w:rPr>
          <w:rFonts w:ascii="Calibri" w:hAnsi="Calibri"/>
          <w:sz w:val="22"/>
        </w:rPr>
        <w:t>Lleihau</w:t>
      </w:r>
      <w:r>
        <w:rPr>
          <w:rFonts w:ascii="Calibri" w:hAnsi="Calibri"/>
          <w:spacing w:val="-3"/>
          <w:sz w:val="22"/>
        </w:rPr>
        <w:t> </w:t>
      </w:r>
      <w:r>
        <w:rPr>
          <w:rFonts w:ascii="Calibri" w:hAnsi="Calibri"/>
          <w:sz w:val="22"/>
        </w:rPr>
        <w:t>nifer</w:t>
      </w:r>
      <w:r>
        <w:rPr>
          <w:rFonts w:ascii="Calibri" w:hAnsi="Calibri"/>
          <w:spacing w:val="-3"/>
          <w:sz w:val="22"/>
        </w:rPr>
        <w:t> </w:t>
      </w:r>
      <w:r>
        <w:rPr>
          <w:rFonts w:ascii="Calibri" w:hAnsi="Calibri"/>
          <w:sz w:val="22"/>
        </w:rPr>
        <w:t>y</w:t>
      </w:r>
      <w:r>
        <w:rPr>
          <w:rFonts w:ascii="Calibri" w:hAnsi="Calibri"/>
          <w:spacing w:val="-3"/>
          <w:sz w:val="22"/>
        </w:rPr>
        <w:t> </w:t>
      </w:r>
      <w:r>
        <w:rPr>
          <w:rFonts w:ascii="Calibri" w:hAnsi="Calibri"/>
          <w:sz w:val="22"/>
        </w:rPr>
        <w:t>staff</w:t>
      </w:r>
      <w:r>
        <w:rPr>
          <w:rFonts w:ascii="Calibri" w:hAnsi="Calibri"/>
          <w:spacing w:val="-3"/>
          <w:sz w:val="22"/>
        </w:rPr>
        <w:t> </w:t>
      </w:r>
      <w:r>
        <w:rPr>
          <w:rFonts w:ascii="Calibri" w:hAnsi="Calibri"/>
          <w:sz w:val="22"/>
        </w:rPr>
        <w:t>nad</w:t>
      </w:r>
      <w:r>
        <w:rPr>
          <w:rFonts w:ascii="Calibri" w:hAnsi="Calibri"/>
          <w:spacing w:val="-2"/>
          <w:sz w:val="22"/>
        </w:rPr>
        <w:t> </w:t>
      </w:r>
      <w:r>
        <w:rPr>
          <w:rFonts w:ascii="Calibri" w:hAnsi="Calibri"/>
          <w:sz w:val="22"/>
        </w:rPr>
        <w:t>ydynt</w:t>
      </w:r>
      <w:r>
        <w:rPr>
          <w:rFonts w:ascii="Calibri" w:hAnsi="Calibri"/>
          <w:spacing w:val="-2"/>
          <w:sz w:val="22"/>
        </w:rPr>
        <w:t> </w:t>
      </w:r>
      <w:r>
        <w:rPr>
          <w:rFonts w:ascii="Calibri" w:hAnsi="Calibri"/>
          <w:sz w:val="22"/>
        </w:rPr>
        <w:t>wedi'u</w:t>
      </w:r>
      <w:r>
        <w:rPr>
          <w:rFonts w:ascii="Calibri" w:hAnsi="Calibri"/>
          <w:spacing w:val="-3"/>
          <w:sz w:val="22"/>
        </w:rPr>
        <w:t> </w:t>
      </w:r>
      <w:r>
        <w:rPr>
          <w:rFonts w:ascii="Calibri" w:hAnsi="Calibri"/>
          <w:sz w:val="22"/>
        </w:rPr>
        <w:t>cofnodi</w:t>
      </w:r>
      <w:r>
        <w:rPr>
          <w:rFonts w:ascii="Calibri" w:hAnsi="Calibri"/>
          <w:spacing w:val="-3"/>
          <w:sz w:val="22"/>
        </w:rPr>
        <w:t> </w:t>
      </w:r>
      <w:r>
        <w:rPr>
          <w:rFonts w:ascii="Calibri" w:hAnsi="Calibri"/>
          <w:sz w:val="22"/>
        </w:rPr>
        <w:t>ar</w:t>
      </w:r>
      <w:r>
        <w:rPr>
          <w:rFonts w:ascii="Calibri" w:hAnsi="Calibri"/>
          <w:spacing w:val="-3"/>
          <w:sz w:val="22"/>
        </w:rPr>
        <w:t> </w:t>
      </w:r>
      <w:r>
        <w:rPr>
          <w:rFonts w:ascii="Calibri" w:hAnsi="Calibri"/>
          <w:sz w:val="22"/>
        </w:rPr>
        <w:t>yr</w:t>
      </w:r>
      <w:r>
        <w:rPr>
          <w:rFonts w:ascii="Calibri" w:hAnsi="Calibri"/>
          <w:spacing w:val="-2"/>
          <w:sz w:val="22"/>
        </w:rPr>
        <w:t> </w:t>
      </w:r>
      <w:r>
        <w:rPr>
          <w:rFonts w:ascii="Calibri" w:hAnsi="Calibri"/>
          <w:sz w:val="22"/>
        </w:rPr>
        <w:t>ESR</w:t>
      </w:r>
      <w:r>
        <w:rPr>
          <w:rFonts w:ascii="Calibri" w:hAnsi="Calibri"/>
          <w:spacing w:val="-3"/>
          <w:sz w:val="22"/>
        </w:rPr>
        <w:t> </w:t>
      </w:r>
      <w:r>
        <w:rPr>
          <w:rFonts w:ascii="Calibri" w:hAnsi="Calibri"/>
          <w:sz w:val="22"/>
        </w:rPr>
        <w:t>-</w:t>
      </w:r>
      <w:r>
        <w:rPr>
          <w:rFonts w:ascii="Calibri" w:hAnsi="Calibri"/>
          <w:spacing w:val="-2"/>
          <w:sz w:val="22"/>
        </w:rPr>
        <w:t> </w:t>
      </w:r>
      <w:r>
        <w:rPr>
          <w:rFonts w:ascii="Calibri" w:hAnsi="Calibri"/>
          <w:sz w:val="22"/>
        </w:rPr>
        <w:t>sefyllfa</w:t>
      </w:r>
      <w:r>
        <w:rPr>
          <w:rFonts w:ascii="Calibri" w:hAnsi="Calibri"/>
          <w:spacing w:val="-3"/>
          <w:sz w:val="22"/>
        </w:rPr>
        <w:t> </w:t>
      </w:r>
      <w:r>
        <w:rPr>
          <w:rFonts w:ascii="Calibri" w:hAnsi="Calibri"/>
          <w:sz w:val="22"/>
        </w:rPr>
        <w:t>sy'n</w:t>
      </w:r>
      <w:r>
        <w:rPr>
          <w:rFonts w:ascii="Calibri" w:hAnsi="Calibri"/>
          <w:spacing w:val="-3"/>
          <w:sz w:val="22"/>
        </w:rPr>
        <w:t> </w:t>
      </w:r>
      <w:r>
        <w:rPr>
          <w:rFonts w:ascii="Calibri" w:hAnsi="Calibri"/>
          <w:sz w:val="22"/>
        </w:rPr>
        <w:t>gwaethygu</w:t>
      </w:r>
      <w:r>
        <w:rPr>
          <w:rFonts w:ascii="Calibri" w:hAnsi="Calibri"/>
          <w:spacing w:val="-2"/>
          <w:sz w:val="22"/>
        </w:rPr>
        <w:t> </w:t>
      </w:r>
      <w:r>
        <w:rPr>
          <w:rFonts w:ascii="Calibri" w:hAnsi="Calibri"/>
          <w:sz w:val="22"/>
        </w:rPr>
        <w:t>o</w:t>
      </w:r>
      <w:r>
        <w:rPr>
          <w:rFonts w:ascii="Calibri" w:hAnsi="Calibri"/>
          <w:spacing w:val="-3"/>
          <w:sz w:val="22"/>
        </w:rPr>
        <w:t> </w:t>
      </w:r>
      <w:r>
        <w:rPr>
          <w:rFonts w:ascii="Calibri" w:hAnsi="Calibri"/>
          <w:sz w:val="22"/>
        </w:rPr>
        <w:t>ganlyniad i’r</w:t>
      </w:r>
      <w:r>
        <w:rPr>
          <w:rFonts w:ascii="Calibri" w:hAnsi="Calibri"/>
          <w:spacing w:val="-2"/>
          <w:sz w:val="22"/>
        </w:rPr>
        <w:t> </w:t>
      </w:r>
      <w:r>
        <w:rPr>
          <w:rFonts w:ascii="Calibri" w:hAnsi="Calibri"/>
          <w:sz w:val="22"/>
        </w:rPr>
        <w:t>recriwtio</w:t>
      </w:r>
      <w:r>
        <w:rPr>
          <w:rFonts w:ascii="Calibri" w:hAnsi="Calibri"/>
          <w:spacing w:val="-1"/>
          <w:sz w:val="22"/>
        </w:rPr>
        <w:t> </w:t>
      </w:r>
      <w:r>
        <w:rPr>
          <w:rFonts w:ascii="Calibri" w:hAnsi="Calibri"/>
          <w:sz w:val="22"/>
        </w:rPr>
        <w:t>torfol</w:t>
      </w:r>
      <w:r>
        <w:rPr>
          <w:rFonts w:ascii="Calibri" w:hAnsi="Calibri"/>
          <w:spacing w:val="-1"/>
          <w:sz w:val="22"/>
        </w:rPr>
        <w:t> </w:t>
      </w:r>
      <w:r>
        <w:rPr>
          <w:rFonts w:ascii="Calibri" w:hAnsi="Calibri"/>
          <w:sz w:val="22"/>
        </w:rPr>
        <w:t>a</w:t>
      </w:r>
      <w:r>
        <w:rPr>
          <w:rFonts w:ascii="Calibri" w:hAnsi="Calibri"/>
          <w:spacing w:val="-2"/>
          <w:sz w:val="22"/>
        </w:rPr>
        <w:t> </w:t>
      </w:r>
      <w:r>
        <w:rPr>
          <w:rFonts w:ascii="Calibri" w:hAnsi="Calibri"/>
          <w:sz w:val="22"/>
        </w:rPr>
        <w:t>wnaed</w:t>
      </w:r>
      <w:r>
        <w:rPr>
          <w:rFonts w:ascii="Calibri" w:hAnsi="Calibri"/>
          <w:spacing w:val="-1"/>
          <w:sz w:val="22"/>
        </w:rPr>
        <w:t> </w:t>
      </w:r>
      <w:r>
        <w:rPr>
          <w:rFonts w:ascii="Calibri" w:hAnsi="Calibri"/>
          <w:sz w:val="22"/>
        </w:rPr>
        <w:t>oherwydd</w:t>
      </w:r>
      <w:r>
        <w:rPr>
          <w:rFonts w:ascii="Calibri" w:hAnsi="Calibri"/>
          <w:spacing w:val="-2"/>
          <w:sz w:val="22"/>
        </w:rPr>
        <w:t> </w:t>
      </w:r>
      <w:r>
        <w:rPr>
          <w:rFonts w:ascii="Calibri" w:hAnsi="Calibri"/>
          <w:sz w:val="22"/>
        </w:rPr>
        <w:t>Covid-19.</w:t>
      </w:r>
      <w:r>
        <w:rPr>
          <w:rFonts w:ascii="Calibri" w:hAnsi="Calibri"/>
          <w:spacing w:val="-1"/>
          <w:sz w:val="22"/>
        </w:rPr>
        <w:t> </w:t>
      </w:r>
      <w:r>
        <w:rPr>
          <w:rFonts w:ascii="Calibri" w:hAnsi="Calibri"/>
          <w:sz w:val="22"/>
        </w:rPr>
        <w:t>Mae</w:t>
      </w:r>
      <w:r>
        <w:rPr>
          <w:rFonts w:ascii="Calibri" w:hAnsi="Calibri"/>
          <w:spacing w:val="-2"/>
          <w:sz w:val="22"/>
        </w:rPr>
        <w:t> </w:t>
      </w:r>
      <w:r>
        <w:rPr>
          <w:rFonts w:ascii="Calibri" w:hAnsi="Calibri"/>
          <w:sz w:val="22"/>
        </w:rPr>
        <w:t>Rheolwr</w:t>
      </w:r>
      <w:r>
        <w:rPr>
          <w:rFonts w:ascii="Calibri" w:hAnsi="Calibri"/>
          <w:spacing w:val="-2"/>
          <w:sz w:val="22"/>
        </w:rPr>
        <w:t> </w:t>
      </w:r>
      <w:r>
        <w:rPr>
          <w:rFonts w:ascii="Calibri" w:hAnsi="Calibri"/>
          <w:sz w:val="22"/>
        </w:rPr>
        <w:t>Gwasanaethau’r</w:t>
      </w:r>
      <w:r>
        <w:rPr>
          <w:rFonts w:ascii="Calibri" w:hAnsi="Calibri"/>
          <w:spacing w:val="-2"/>
          <w:sz w:val="22"/>
        </w:rPr>
        <w:t> </w:t>
      </w:r>
      <w:r>
        <w:rPr>
          <w:rFonts w:ascii="Calibri" w:hAnsi="Calibri"/>
          <w:sz w:val="22"/>
        </w:rPr>
        <w:t>Gymraeg</w:t>
      </w:r>
      <w:r>
        <w:rPr>
          <w:rFonts w:ascii="Calibri" w:hAnsi="Calibri"/>
          <w:spacing w:val="-2"/>
          <w:sz w:val="22"/>
        </w:rPr>
        <w:t> </w:t>
      </w:r>
      <w:r>
        <w:rPr>
          <w:rFonts w:ascii="Calibri" w:hAnsi="Calibri"/>
          <w:sz w:val="22"/>
        </w:rPr>
        <w:t>a'r tîm Pobl a Datblygu Sefydliadol yn bwriadu nodi unrhyw fylchau ac estyn allan at reolwyr a goruchwylwyr er mwyn casglu'r data sydd ar goll.</w:t>
      </w:r>
    </w:p>
    <w:p>
      <w:pPr>
        <w:pStyle w:val="ListParagraph"/>
        <w:numPr>
          <w:ilvl w:val="0"/>
          <w:numId w:val="49"/>
        </w:numPr>
        <w:tabs>
          <w:tab w:pos="2160" w:val="left" w:leader="none"/>
        </w:tabs>
        <w:spacing w:line="259" w:lineRule="auto" w:before="0" w:after="0"/>
        <w:ind w:left="2160" w:right="1949" w:hanging="360"/>
        <w:jc w:val="left"/>
        <w:rPr>
          <w:rFonts w:ascii="Calibri" w:hAnsi="Calibri"/>
          <w:sz w:val="22"/>
        </w:rPr>
      </w:pPr>
      <w:r>
        <w:rPr>
          <w:rFonts w:ascii="Calibri" w:hAnsi="Calibri"/>
          <w:sz w:val="22"/>
        </w:rPr>
        <w:t>Nodi</w:t>
      </w:r>
      <w:r>
        <w:rPr>
          <w:rFonts w:ascii="Calibri" w:hAnsi="Calibri"/>
          <w:spacing w:val="-4"/>
          <w:sz w:val="22"/>
        </w:rPr>
        <w:t> </w:t>
      </w:r>
      <w:r>
        <w:rPr>
          <w:rFonts w:ascii="Calibri" w:hAnsi="Calibri"/>
          <w:sz w:val="22"/>
        </w:rPr>
        <w:t>aelodau</w:t>
      </w:r>
      <w:r>
        <w:rPr>
          <w:rFonts w:ascii="Calibri" w:hAnsi="Calibri"/>
          <w:spacing w:val="-3"/>
          <w:sz w:val="22"/>
        </w:rPr>
        <w:t> </w:t>
      </w:r>
      <w:r>
        <w:rPr>
          <w:rFonts w:ascii="Calibri" w:hAnsi="Calibri"/>
          <w:sz w:val="22"/>
        </w:rPr>
        <w:t>o</w:t>
      </w:r>
      <w:r>
        <w:rPr>
          <w:rFonts w:ascii="Calibri" w:hAnsi="Calibri"/>
          <w:spacing w:val="-4"/>
          <w:sz w:val="22"/>
        </w:rPr>
        <w:t> </w:t>
      </w:r>
      <w:r>
        <w:rPr>
          <w:rFonts w:ascii="Calibri" w:hAnsi="Calibri"/>
          <w:sz w:val="22"/>
        </w:rPr>
        <w:t>staff</w:t>
      </w:r>
      <w:r>
        <w:rPr>
          <w:rFonts w:ascii="Calibri" w:hAnsi="Calibri"/>
          <w:spacing w:val="-3"/>
          <w:sz w:val="22"/>
        </w:rPr>
        <w:t> </w:t>
      </w:r>
      <w:r>
        <w:rPr>
          <w:rFonts w:ascii="Calibri" w:hAnsi="Calibri"/>
          <w:sz w:val="22"/>
        </w:rPr>
        <w:t>nad</w:t>
      </w:r>
      <w:r>
        <w:rPr>
          <w:rFonts w:ascii="Calibri" w:hAnsi="Calibri"/>
          <w:spacing w:val="-4"/>
          <w:sz w:val="22"/>
        </w:rPr>
        <w:t> </w:t>
      </w:r>
      <w:r>
        <w:rPr>
          <w:rFonts w:ascii="Calibri" w:hAnsi="Calibri"/>
          <w:sz w:val="22"/>
        </w:rPr>
        <w:t>ydynt</w:t>
      </w:r>
      <w:r>
        <w:rPr>
          <w:rFonts w:ascii="Calibri" w:hAnsi="Calibri"/>
          <w:spacing w:val="-3"/>
          <w:sz w:val="22"/>
        </w:rPr>
        <w:t> </w:t>
      </w:r>
      <w:r>
        <w:rPr>
          <w:rFonts w:ascii="Calibri" w:hAnsi="Calibri"/>
          <w:sz w:val="22"/>
        </w:rPr>
        <w:t>wedi</w:t>
      </w:r>
      <w:r>
        <w:rPr>
          <w:rFonts w:ascii="Calibri" w:hAnsi="Calibri"/>
          <w:spacing w:val="-3"/>
          <w:sz w:val="22"/>
        </w:rPr>
        <w:t> </w:t>
      </w:r>
      <w:r>
        <w:rPr>
          <w:rFonts w:ascii="Calibri" w:hAnsi="Calibri"/>
          <w:sz w:val="22"/>
        </w:rPr>
        <w:t>cofnodi</w:t>
      </w:r>
      <w:r>
        <w:rPr>
          <w:rFonts w:ascii="Calibri" w:hAnsi="Calibri"/>
          <w:spacing w:val="-3"/>
          <w:sz w:val="22"/>
        </w:rPr>
        <w:t> </w:t>
      </w:r>
      <w:r>
        <w:rPr>
          <w:rFonts w:ascii="Calibri" w:hAnsi="Calibri"/>
          <w:sz w:val="22"/>
        </w:rPr>
        <w:t>eu</w:t>
      </w:r>
      <w:r>
        <w:rPr>
          <w:rFonts w:ascii="Calibri" w:hAnsi="Calibri"/>
          <w:spacing w:val="-3"/>
          <w:sz w:val="22"/>
        </w:rPr>
        <w:t> </w:t>
      </w:r>
      <w:r>
        <w:rPr>
          <w:rFonts w:ascii="Calibri" w:hAnsi="Calibri"/>
          <w:sz w:val="22"/>
        </w:rPr>
        <w:t>sgiliau</w:t>
      </w:r>
      <w:r>
        <w:rPr>
          <w:rFonts w:ascii="Calibri" w:hAnsi="Calibri"/>
          <w:spacing w:val="-3"/>
          <w:sz w:val="22"/>
        </w:rPr>
        <w:t> </w:t>
      </w:r>
      <w:r>
        <w:rPr>
          <w:rFonts w:ascii="Calibri" w:hAnsi="Calibri"/>
          <w:sz w:val="22"/>
        </w:rPr>
        <w:t>a</w:t>
      </w:r>
      <w:r>
        <w:rPr>
          <w:rFonts w:ascii="Calibri" w:hAnsi="Calibri"/>
          <w:spacing w:val="-4"/>
          <w:sz w:val="22"/>
        </w:rPr>
        <w:t> </w:t>
      </w:r>
      <w:r>
        <w:rPr>
          <w:rFonts w:ascii="Calibri" w:hAnsi="Calibri"/>
          <w:sz w:val="22"/>
        </w:rPr>
        <w:t>chyfathrebu'n</w:t>
      </w:r>
      <w:r>
        <w:rPr>
          <w:rFonts w:ascii="Calibri" w:hAnsi="Calibri"/>
          <w:spacing w:val="-3"/>
          <w:sz w:val="22"/>
        </w:rPr>
        <w:t> </w:t>
      </w:r>
      <w:r>
        <w:rPr>
          <w:rFonts w:ascii="Calibri" w:hAnsi="Calibri"/>
          <w:sz w:val="22"/>
        </w:rPr>
        <w:t>uniongyrchol</w:t>
      </w:r>
      <w:r>
        <w:rPr>
          <w:rFonts w:ascii="Calibri" w:hAnsi="Calibri"/>
          <w:spacing w:val="-3"/>
          <w:sz w:val="22"/>
        </w:rPr>
        <w:t> </w:t>
      </w:r>
      <w:r>
        <w:rPr>
          <w:rFonts w:ascii="Calibri" w:hAnsi="Calibri"/>
          <w:sz w:val="22"/>
        </w:rPr>
        <w:t>â'r aelodau hynny o staff gan roi canllawiau iddynt allu cofnodi eu sgiliau ar ESR.</w:t>
      </w:r>
    </w:p>
    <w:p>
      <w:pPr>
        <w:pStyle w:val="ListParagraph"/>
        <w:numPr>
          <w:ilvl w:val="0"/>
          <w:numId w:val="49"/>
        </w:numPr>
        <w:tabs>
          <w:tab w:pos="2160" w:val="left" w:leader="none"/>
        </w:tabs>
        <w:spacing w:line="268" w:lineRule="exact" w:before="0" w:after="0"/>
        <w:ind w:left="2160" w:right="0" w:hanging="360"/>
        <w:jc w:val="left"/>
        <w:rPr>
          <w:rFonts w:ascii="Calibri"/>
          <w:sz w:val="22"/>
        </w:rPr>
      </w:pPr>
      <w:r>
        <w:rPr>
          <w:rFonts w:ascii="Calibri"/>
          <w:sz w:val="22"/>
        </w:rPr>
        <w:t>Rhoi</w:t>
      </w:r>
      <w:r>
        <w:rPr>
          <w:rFonts w:ascii="Calibri"/>
          <w:spacing w:val="-4"/>
          <w:sz w:val="22"/>
        </w:rPr>
        <w:t> </w:t>
      </w:r>
      <w:r>
        <w:rPr>
          <w:rFonts w:ascii="Calibri"/>
          <w:sz w:val="22"/>
        </w:rPr>
        <w:t>strategaeth</w:t>
      </w:r>
      <w:r>
        <w:rPr>
          <w:rFonts w:ascii="Calibri"/>
          <w:spacing w:val="-1"/>
          <w:sz w:val="22"/>
        </w:rPr>
        <w:t> </w:t>
      </w:r>
      <w:r>
        <w:rPr>
          <w:rFonts w:ascii="Calibri"/>
          <w:sz w:val="22"/>
        </w:rPr>
        <w:t>ar</w:t>
      </w:r>
      <w:r>
        <w:rPr>
          <w:rFonts w:ascii="Calibri"/>
          <w:spacing w:val="-2"/>
          <w:sz w:val="22"/>
        </w:rPr>
        <w:t> </w:t>
      </w:r>
      <w:r>
        <w:rPr>
          <w:rFonts w:ascii="Calibri"/>
          <w:sz w:val="22"/>
        </w:rPr>
        <w:t>waith</w:t>
      </w:r>
      <w:r>
        <w:rPr>
          <w:rFonts w:ascii="Calibri"/>
          <w:spacing w:val="-1"/>
          <w:sz w:val="22"/>
        </w:rPr>
        <w:t> </w:t>
      </w:r>
      <w:r>
        <w:rPr>
          <w:rFonts w:ascii="Calibri"/>
          <w:sz w:val="22"/>
        </w:rPr>
        <w:t>i</w:t>
      </w:r>
      <w:r>
        <w:rPr>
          <w:rFonts w:ascii="Calibri"/>
          <w:spacing w:val="-1"/>
          <w:sz w:val="22"/>
        </w:rPr>
        <w:t> </w:t>
      </w:r>
      <w:r>
        <w:rPr>
          <w:rFonts w:ascii="Calibri"/>
          <w:sz w:val="22"/>
        </w:rPr>
        <w:t>annog</w:t>
      </w:r>
      <w:r>
        <w:rPr>
          <w:rFonts w:ascii="Calibri"/>
          <w:spacing w:val="-2"/>
          <w:sz w:val="22"/>
        </w:rPr>
        <w:t> </w:t>
      </w:r>
      <w:r>
        <w:rPr>
          <w:rFonts w:ascii="Calibri"/>
          <w:sz w:val="22"/>
        </w:rPr>
        <w:t>y</w:t>
      </w:r>
      <w:r>
        <w:rPr>
          <w:rFonts w:ascii="Calibri"/>
          <w:spacing w:val="-2"/>
          <w:sz w:val="22"/>
        </w:rPr>
        <w:t> </w:t>
      </w:r>
      <w:r>
        <w:rPr>
          <w:rFonts w:ascii="Calibri"/>
          <w:sz w:val="22"/>
        </w:rPr>
        <w:t>rhai</w:t>
      </w:r>
      <w:r>
        <w:rPr>
          <w:rFonts w:ascii="Calibri"/>
          <w:spacing w:val="-1"/>
          <w:sz w:val="22"/>
        </w:rPr>
        <w:t> </w:t>
      </w:r>
      <w:r>
        <w:rPr>
          <w:rFonts w:ascii="Calibri"/>
          <w:sz w:val="22"/>
        </w:rPr>
        <w:t>sydd</w:t>
      </w:r>
      <w:r>
        <w:rPr>
          <w:rFonts w:ascii="Calibri"/>
          <w:spacing w:val="-2"/>
          <w:sz w:val="22"/>
        </w:rPr>
        <w:t> </w:t>
      </w:r>
      <w:r>
        <w:rPr>
          <w:rFonts w:ascii="Calibri"/>
          <w:sz w:val="22"/>
        </w:rPr>
        <w:t>ar</w:t>
      </w:r>
      <w:r>
        <w:rPr>
          <w:rFonts w:ascii="Calibri"/>
          <w:spacing w:val="-2"/>
          <w:sz w:val="22"/>
        </w:rPr>
        <w:t> </w:t>
      </w:r>
      <w:r>
        <w:rPr>
          <w:rFonts w:ascii="Calibri"/>
          <w:sz w:val="22"/>
        </w:rPr>
        <w:t>lefel</w:t>
      </w:r>
      <w:r>
        <w:rPr>
          <w:rFonts w:ascii="Calibri"/>
          <w:spacing w:val="-1"/>
          <w:sz w:val="22"/>
        </w:rPr>
        <w:t> </w:t>
      </w:r>
      <w:r>
        <w:rPr>
          <w:rFonts w:ascii="Calibri"/>
          <w:sz w:val="22"/>
        </w:rPr>
        <w:t>0</w:t>
      </w:r>
      <w:r>
        <w:rPr>
          <w:rFonts w:ascii="Calibri"/>
          <w:spacing w:val="-1"/>
          <w:sz w:val="22"/>
        </w:rPr>
        <w:t> </w:t>
      </w:r>
      <w:r>
        <w:rPr>
          <w:rFonts w:ascii="Calibri"/>
          <w:sz w:val="22"/>
        </w:rPr>
        <w:t>i</w:t>
      </w:r>
      <w:r>
        <w:rPr>
          <w:rFonts w:ascii="Calibri"/>
          <w:spacing w:val="-2"/>
          <w:sz w:val="22"/>
        </w:rPr>
        <w:t> </w:t>
      </w:r>
      <w:r>
        <w:rPr>
          <w:rFonts w:ascii="Calibri"/>
          <w:sz w:val="22"/>
        </w:rPr>
        <w:t>symud</w:t>
      </w:r>
      <w:r>
        <w:rPr>
          <w:rFonts w:ascii="Calibri"/>
          <w:spacing w:val="-1"/>
          <w:sz w:val="22"/>
        </w:rPr>
        <w:t> </w:t>
      </w:r>
      <w:r>
        <w:rPr>
          <w:rFonts w:ascii="Calibri"/>
          <w:sz w:val="22"/>
        </w:rPr>
        <w:t>i</w:t>
      </w:r>
      <w:r>
        <w:rPr>
          <w:rFonts w:ascii="Calibri"/>
          <w:spacing w:val="-2"/>
          <w:sz w:val="22"/>
        </w:rPr>
        <w:t> </w:t>
      </w:r>
      <w:r>
        <w:rPr>
          <w:rFonts w:ascii="Calibri"/>
          <w:sz w:val="22"/>
        </w:rPr>
        <w:t>lefel</w:t>
      </w:r>
      <w:r>
        <w:rPr>
          <w:rFonts w:ascii="Calibri"/>
          <w:spacing w:val="-1"/>
          <w:sz w:val="22"/>
        </w:rPr>
        <w:t> </w:t>
      </w:r>
      <w:r>
        <w:rPr>
          <w:rFonts w:ascii="Calibri"/>
          <w:spacing w:val="-5"/>
          <w:sz w:val="22"/>
        </w:rPr>
        <w:t>1.</w:t>
      </w:r>
    </w:p>
    <w:p>
      <w:pPr>
        <w:spacing w:line="259" w:lineRule="auto" w:before="20"/>
        <w:ind w:left="2160" w:right="1405" w:firstLine="0"/>
        <w:jc w:val="left"/>
        <w:rPr>
          <w:rFonts w:ascii="Calibri" w:hAnsi="Calibri"/>
          <w:sz w:val="22"/>
        </w:rPr>
      </w:pPr>
      <w:r>
        <w:rPr>
          <w:rFonts w:ascii="Calibri" w:hAnsi="Calibri"/>
          <w:sz w:val="22"/>
        </w:rPr>
        <w:t>Rydym</w:t>
      </w:r>
      <w:r>
        <w:rPr>
          <w:rFonts w:ascii="Calibri" w:hAnsi="Calibri"/>
          <w:spacing w:val="-3"/>
          <w:sz w:val="22"/>
        </w:rPr>
        <w:t> </w:t>
      </w:r>
      <w:r>
        <w:rPr>
          <w:rFonts w:ascii="Calibri" w:hAnsi="Calibri"/>
          <w:sz w:val="22"/>
        </w:rPr>
        <w:t>wedi</w:t>
      </w:r>
      <w:r>
        <w:rPr>
          <w:rFonts w:ascii="Calibri" w:hAnsi="Calibri"/>
          <w:spacing w:val="-3"/>
          <w:sz w:val="22"/>
        </w:rPr>
        <w:t> </w:t>
      </w:r>
      <w:r>
        <w:rPr>
          <w:rFonts w:ascii="Calibri" w:hAnsi="Calibri"/>
          <w:sz w:val="22"/>
        </w:rPr>
        <w:t>rhoi</w:t>
      </w:r>
      <w:r>
        <w:rPr>
          <w:rFonts w:ascii="Calibri" w:hAnsi="Calibri"/>
          <w:spacing w:val="-3"/>
          <w:sz w:val="22"/>
        </w:rPr>
        <w:t> </w:t>
      </w:r>
      <w:r>
        <w:rPr>
          <w:rFonts w:ascii="Calibri" w:hAnsi="Calibri"/>
          <w:sz w:val="22"/>
        </w:rPr>
        <w:t>cyhoeddusrwydd</w:t>
      </w:r>
      <w:r>
        <w:rPr>
          <w:rFonts w:ascii="Calibri" w:hAnsi="Calibri"/>
          <w:spacing w:val="-3"/>
          <w:sz w:val="22"/>
        </w:rPr>
        <w:t> </w:t>
      </w:r>
      <w:r>
        <w:rPr>
          <w:rFonts w:ascii="Calibri" w:hAnsi="Calibri"/>
          <w:sz w:val="22"/>
        </w:rPr>
        <w:t>i’r</w:t>
      </w:r>
      <w:r>
        <w:rPr>
          <w:rFonts w:ascii="Calibri" w:hAnsi="Calibri"/>
          <w:spacing w:val="-4"/>
          <w:sz w:val="22"/>
        </w:rPr>
        <w:t> </w:t>
      </w:r>
      <w:r>
        <w:rPr>
          <w:rFonts w:ascii="Calibri" w:hAnsi="Calibri"/>
          <w:sz w:val="22"/>
        </w:rPr>
        <w:t>sesiynau</w:t>
      </w:r>
      <w:r>
        <w:rPr>
          <w:rFonts w:ascii="Calibri" w:hAnsi="Calibri"/>
          <w:spacing w:val="-3"/>
          <w:sz w:val="22"/>
        </w:rPr>
        <w:t> </w:t>
      </w:r>
      <w:r>
        <w:rPr>
          <w:rFonts w:ascii="Calibri" w:hAnsi="Calibri"/>
          <w:sz w:val="22"/>
        </w:rPr>
        <w:t>blasu</w:t>
      </w:r>
      <w:r>
        <w:rPr>
          <w:rFonts w:ascii="Calibri" w:hAnsi="Calibri"/>
          <w:spacing w:val="-3"/>
          <w:sz w:val="22"/>
        </w:rPr>
        <w:t> </w:t>
      </w:r>
      <w:r>
        <w:rPr>
          <w:rFonts w:ascii="Calibri" w:hAnsi="Calibri"/>
          <w:sz w:val="22"/>
        </w:rPr>
        <w:t>ar-lein</w:t>
      </w:r>
      <w:r>
        <w:rPr>
          <w:rFonts w:ascii="Calibri" w:hAnsi="Calibri"/>
          <w:spacing w:val="-3"/>
          <w:sz w:val="22"/>
        </w:rPr>
        <w:t> </w:t>
      </w:r>
      <w:r>
        <w:rPr>
          <w:rFonts w:ascii="Calibri" w:hAnsi="Calibri"/>
          <w:sz w:val="22"/>
        </w:rPr>
        <w:t>ac</w:t>
      </w:r>
      <w:r>
        <w:rPr>
          <w:rFonts w:ascii="Calibri" w:hAnsi="Calibri"/>
          <w:spacing w:val="-4"/>
          <w:sz w:val="22"/>
        </w:rPr>
        <w:t> </w:t>
      </w:r>
      <w:r>
        <w:rPr>
          <w:rFonts w:ascii="Calibri" w:hAnsi="Calibri"/>
          <w:sz w:val="22"/>
        </w:rPr>
        <w:t>wedi</w:t>
      </w:r>
      <w:r>
        <w:rPr>
          <w:rFonts w:ascii="Calibri" w:hAnsi="Calibri"/>
          <w:spacing w:val="-3"/>
          <w:sz w:val="22"/>
        </w:rPr>
        <w:t> </w:t>
      </w:r>
      <w:r>
        <w:rPr>
          <w:rFonts w:ascii="Calibri" w:hAnsi="Calibri"/>
          <w:sz w:val="22"/>
        </w:rPr>
        <w:t>cynnal</w:t>
      </w:r>
      <w:r>
        <w:rPr>
          <w:rFonts w:ascii="Calibri" w:hAnsi="Calibri"/>
          <w:spacing w:val="-3"/>
          <w:sz w:val="22"/>
        </w:rPr>
        <w:t> </w:t>
      </w:r>
      <w:r>
        <w:rPr>
          <w:rFonts w:ascii="Calibri" w:hAnsi="Calibri"/>
          <w:sz w:val="22"/>
        </w:rPr>
        <w:t>sesiynau</w:t>
      </w:r>
      <w:r>
        <w:rPr>
          <w:rFonts w:ascii="Calibri" w:hAnsi="Calibri"/>
          <w:spacing w:val="-3"/>
          <w:sz w:val="22"/>
        </w:rPr>
        <w:t> </w:t>
      </w:r>
      <w:r>
        <w:rPr>
          <w:rFonts w:ascii="Calibri" w:hAnsi="Calibri"/>
          <w:sz w:val="22"/>
        </w:rPr>
        <w:t>blasu</w:t>
      </w:r>
      <w:r>
        <w:rPr>
          <w:rFonts w:ascii="Calibri" w:hAnsi="Calibri"/>
          <w:spacing w:val="-4"/>
          <w:sz w:val="22"/>
        </w:rPr>
        <w:t> </w:t>
      </w:r>
      <w:r>
        <w:rPr>
          <w:rFonts w:ascii="Calibri" w:hAnsi="Calibri"/>
          <w:sz w:val="22"/>
        </w:rPr>
        <w:t>ar gyfer staff yn ystod y flwyddyn i’w galluogi i gofnodi bod ganddynt Gymraeg Lefel 1.</w:t>
      </w:r>
    </w:p>
    <w:p>
      <w:pPr>
        <w:pStyle w:val="ListParagraph"/>
        <w:numPr>
          <w:ilvl w:val="0"/>
          <w:numId w:val="49"/>
        </w:numPr>
        <w:tabs>
          <w:tab w:pos="2160" w:val="left" w:leader="none"/>
        </w:tabs>
        <w:spacing w:line="268" w:lineRule="exact" w:before="0" w:after="0"/>
        <w:ind w:left="2160" w:right="0" w:hanging="360"/>
        <w:jc w:val="left"/>
        <w:rPr>
          <w:rFonts w:ascii="Calibri"/>
          <w:sz w:val="22"/>
        </w:rPr>
      </w:pPr>
      <w:r>
        <w:rPr>
          <w:rFonts w:ascii="Calibri"/>
          <w:sz w:val="22"/>
        </w:rPr>
        <w:t>Rhoi</w:t>
      </w:r>
      <w:r>
        <w:rPr>
          <w:rFonts w:ascii="Calibri"/>
          <w:spacing w:val="-4"/>
          <w:sz w:val="22"/>
        </w:rPr>
        <w:t> </w:t>
      </w:r>
      <w:r>
        <w:rPr>
          <w:rFonts w:ascii="Calibri"/>
          <w:sz w:val="22"/>
        </w:rPr>
        <w:t>strategaeth</w:t>
      </w:r>
      <w:r>
        <w:rPr>
          <w:rFonts w:ascii="Calibri"/>
          <w:spacing w:val="-1"/>
          <w:sz w:val="22"/>
        </w:rPr>
        <w:t> </w:t>
      </w:r>
      <w:r>
        <w:rPr>
          <w:rFonts w:ascii="Calibri"/>
          <w:sz w:val="22"/>
        </w:rPr>
        <w:t>ar</w:t>
      </w:r>
      <w:r>
        <w:rPr>
          <w:rFonts w:ascii="Calibri"/>
          <w:spacing w:val="-2"/>
          <w:sz w:val="22"/>
        </w:rPr>
        <w:t> </w:t>
      </w:r>
      <w:r>
        <w:rPr>
          <w:rFonts w:ascii="Calibri"/>
          <w:sz w:val="22"/>
        </w:rPr>
        <w:t>waith</w:t>
      </w:r>
      <w:r>
        <w:rPr>
          <w:rFonts w:ascii="Calibri"/>
          <w:spacing w:val="-1"/>
          <w:sz w:val="22"/>
        </w:rPr>
        <w:t> </w:t>
      </w:r>
      <w:r>
        <w:rPr>
          <w:rFonts w:ascii="Calibri"/>
          <w:sz w:val="22"/>
        </w:rPr>
        <w:t>i</w:t>
      </w:r>
      <w:r>
        <w:rPr>
          <w:rFonts w:ascii="Calibri"/>
          <w:spacing w:val="-1"/>
          <w:sz w:val="22"/>
        </w:rPr>
        <w:t> </w:t>
      </w:r>
      <w:r>
        <w:rPr>
          <w:rFonts w:ascii="Calibri"/>
          <w:sz w:val="22"/>
        </w:rPr>
        <w:t>annog</w:t>
      </w:r>
      <w:r>
        <w:rPr>
          <w:rFonts w:ascii="Calibri"/>
          <w:spacing w:val="-2"/>
          <w:sz w:val="22"/>
        </w:rPr>
        <w:t> </w:t>
      </w:r>
      <w:r>
        <w:rPr>
          <w:rFonts w:ascii="Calibri"/>
          <w:sz w:val="22"/>
        </w:rPr>
        <w:t>y</w:t>
      </w:r>
      <w:r>
        <w:rPr>
          <w:rFonts w:ascii="Calibri"/>
          <w:spacing w:val="-2"/>
          <w:sz w:val="22"/>
        </w:rPr>
        <w:t> </w:t>
      </w:r>
      <w:r>
        <w:rPr>
          <w:rFonts w:ascii="Calibri"/>
          <w:sz w:val="22"/>
        </w:rPr>
        <w:t>rhai</w:t>
      </w:r>
      <w:r>
        <w:rPr>
          <w:rFonts w:ascii="Calibri"/>
          <w:spacing w:val="-1"/>
          <w:sz w:val="22"/>
        </w:rPr>
        <w:t> </w:t>
      </w:r>
      <w:r>
        <w:rPr>
          <w:rFonts w:ascii="Calibri"/>
          <w:sz w:val="22"/>
        </w:rPr>
        <w:t>ar</w:t>
      </w:r>
      <w:r>
        <w:rPr>
          <w:rFonts w:ascii="Calibri"/>
          <w:spacing w:val="-2"/>
          <w:sz w:val="22"/>
        </w:rPr>
        <w:t> </w:t>
      </w:r>
      <w:r>
        <w:rPr>
          <w:rFonts w:ascii="Calibri"/>
          <w:sz w:val="22"/>
        </w:rPr>
        <w:t>lefel</w:t>
      </w:r>
      <w:r>
        <w:rPr>
          <w:rFonts w:ascii="Calibri"/>
          <w:spacing w:val="-2"/>
          <w:sz w:val="22"/>
        </w:rPr>
        <w:t> </w:t>
      </w:r>
      <w:r>
        <w:rPr>
          <w:rFonts w:ascii="Calibri"/>
          <w:sz w:val="22"/>
        </w:rPr>
        <w:t>1</w:t>
      </w:r>
      <w:r>
        <w:rPr>
          <w:rFonts w:ascii="Calibri"/>
          <w:spacing w:val="-1"/>
          <w:sz w:val="22"/>
        </w:rPr>
        <w:t> </w:t>
      </w:r>
      <w:r>
        <w:rPr>
          <w:rFonts w:ascii="Calibri"/>
          <w:sz w:val="22"/>
        </w:rPr>
        <w:t>i</w:t>
      </w:r>
      <w:r>
        <w:rPr>
          <w:rFonts w:ascii="Calibri"/>
          <w:spacing w:val="-2"/>
          <w:sz w:val="22"/>
        </w:rPr>
        <w:t> </w:t>
      </w:r>
      <w:r>
        <w:rPr>
          <w:rFonts w:ascii="Calibri"/>
          <w:sz w:val="22"/>
        </w:rPr>
        <w:t>symud</w:t>
      </w:r>
      <w:r>
        <w:rPr>
          <w:rFonts w:ascii="Calibri"/>
          <w:spacing w:val="-2"/>
          <w:sz w:val="22"/>
        </w:rPr>
        <w:t> </w:t>
      </w:r>
      <w:r>
        <w:rPr>
          <w:rFonts w:ascii="Calibri"/>
          <w:sz w:val="22"/>
        </w:rPr>
        <w:t>i</w:t>
      </w:r>
      <w:r>
        <w:rPr>
          <w:rFonts w:ascii="Calibri"/>
          <w:spacing w:val="-2"/>
          <w:sz w:val="22"/>
        </w:rPr>
        <w:t> </w:t>
      </w:r>
      <w:r>
        <w:rPr>
          <w:rFonts w:ascii="Calibri"/>
          <w:sz w:val="22"/>
        </w:rPr>
        <w:t>lefel</w:t>
      </w:r>
      <w:r>
        <w:rPr>
          <w:rFonts w:ascii="Calibri"/>
          <w:spacing w:val="-1"/>
          <w:sz w:val="22"/>
        </w:rPr>
        <w:t> </w:t>
      </w:r>
      <w:r>
        <w:rPr>
          <w:rFonts w:ascii="Calibri"/>
          <w:spacing w:val="-5"/>
          <w:sz w:val="22"/>
        </w:rPr>
        <w:t>2.</w:t>
      </w:r>
    </w:p>
    <w:p>
      <w:pPr>
        <w:pStyle w:val="ListParagraph"/>
        <w:numPr>
          <w:ilvl w:val="0"/>
          <w:numId w:val="49"/>
        </w:numPr>
        <w:tabs>
          <w:tab w:pos="2160" w:val="left" w:leader="none"/>
        </w:tabs>
        <w:spacing w:line="240" w:lineRule="auto" w:before="21" w:after="0"/>
        <w:ind w:left="2160" w:right="0" w:hanging="360"/>
        <w:jc w:val="left"/>
        <w:rPr>
          <w:rFonts w:ascii="Calibri"/>
          <w:sz w:val="22"/>
        </w:rPr>
      </w:pPr>
      <w:r>
        <w:rPr>
          <w:rFonts w:ascii="Calibri"/>
          <w:sz w:val="22"/>
        </w:rPr>
        <w:t>Rhoi</w:t>
      </w:r>
      <w:r>
        <w:rPr>
          <w:rFonts w:ascii="Calibri"/>
          <w:spacing w:val="-4"/>
          <w:sz w:val="22"/>
        </w:rPr>
        <w:t> </w:t>
      </w:r>
      <w:r>
        <w:rPr>
          <w:rFonts w:ascii="Calibri"/>
          <w:sz w:val="22"/>
        </w:rPr>
        <w:t>strategaeth</w:t>
      </w:r>
      <w:r>
        <w:rPr>
          <w:rFonts w:ascii="Calibri"/>
          <w:spacing w:val="-1"/>
          <w:sz w:val="22"/>
        </w:rPr>
        <w:t> </w:t>
      </w:r>
      <w:r>
        <w:rPr>
          <w:rFonts w:ascii="Calibri"/>
          <w:sz w:val="22"/>
        </w:rPr>
        <w:t>ar</w:t>
      </w:r>
      <w:r>
        <w:rPr>
          <w:rFonts w:ascii="Calibri"/>
          <w:spacing w:val="-2"/>
          <w:sz w:val="22"/>
        </w:rPr>
        <w:t> </w:t>
      </w:r>
      <w:r>
        <w:rPr>
          <w:rFonts w:ascii="Calibri"/>
          <w:sz w:val="22"/>
        </w:rPr>
        <w:t>waith</w:t>
      </w:r>
      <w:r>
        <w:rPr>
          <w:rFonts w:ascii="Calibri"/>
          <w:spacing w:val="-1"/>
          <w:sz w:val="22"/>
        </w:rPr>
        <w:t> </w:t>
      </w:r>
      <w:r>
        <w:rPr>
          <w:rFonts w:ascii="Calibri"/>
          <w:sz w:val="22"/>
        </w:rPr>
        <w:t>i</w:t>
      </w:r>
      <w:r>
        <w:rPr>
          <w:rFonts w:ascii="Calibri"/>
          <w:spacing w:val="-1"/>
          <w:sz w:val="22"/>
        </w:rPr>
        <w:t> </w:t>
      </w:r>
      <w:r>
        <w:rPr>
          <w:rFonts w:ascii="Calibri"/>
          <w:sz w:val="22"/>
        </w:rPr>
        <w:t>annog</w:t>
      </w:r>
      <w:r>
        <w:rPr>
          <w:rFonts w:ascii="Calibri"/>
          <w:spacing w:val="-2"/>
          <w:sz w:val="22"/>
        </w:rPr>
        <w:t> </w:t>
      </w:r>
      <w:r>
        <w:rPr>
          <w:rFonts w:ascii="Calibri"/>
          <w:sz w:val="22"/>
        </w:rPr>
        <w:t>y</w:t>
      </w:r>
      <w:r>
        <w:rPr>
          <w:rFonts w:ascii="Calibri"/>
          <w:spacing w:val="-2"/>
          <w:sz w:val="22"/>
        </w:rPr>
        <w:t> </w:t>
      </w:r>
      <w:r>
        <w:rPr>
          <w:rFonts w:ascii="Calibri"/>
          <w:sz w:val="22"/>
        </w:rPr>
        <w:t>rhai</w:t>
      </w:r>
      <w:r>
        <w:rPr>
          <w:rFonts w:ascii="Calibri"/>
          <w:spacing w:val="-1"/>
          <w:sz w:val="22"/>
        </w:rPr>
        <w:t> </w:t>
      </w:r>
      <w:r>
        <w:rPr>
          <w:rFonts w:ascii="Calibri"/>
          <w:sz w:val="22"/>
        </w:rPr>
        <w:t>ar</w:t>
      </w:r>
      <w:r>
        <w:rPr>
          <w:rFonts w:ascii="Calibri"/>
          <w:spacing w:val="-2"/>
          <w:sz w:val="22"/>
        </w:rPr>
        <w:t> </w:t>
      </w:r>
      <w:r>
        <w:rPr>
          <w:rFonts w:ascii="Calibri"/>
          <w:sz w:val="22"/>
        </w:rPr>
        <w:t>lefel</w:t>
      </w:r>
      <w:r>
        <w:rPr>
          <w:rFonts w:ascii="Calibri"/>
          <w:spacing w:val="-2"/>
          <w:sz w:val="22"/>
        </w:rPr>
        <w:t> </w:t>
      </w:r>
      <w:r>
        <w:rPr>
          <w:rFonts w:ascii="Calibri"/>
          <w:sz w:val="22"/>
        </w:rPr>
        <w:t>2</w:t>
      </w:r>
      <w:r>
        <w:rPr>
          <w:rFonts w:ascii="Calibri"/>
          <w:spacing w:val="-1"/>
          <w:sz w:val="22"/>
        </w:rPr>
        <w:t> </w:t>
      </w:r>
      <w:r>
        <w:rPr>
          <w:rFonts w:ascii="Calibri"/>
          <w:sz w:val="22"/>
        </w:rPr>
        <w:t>i</w:t>
      </w:r>
      <w:r>
        <w:rPr>
          <w:rFonts w:ascii="Calibri"/>
          <w:spacing w:val="-2"/>
          <w:sz w:val="22"/>
        </w:rPr>
        <w:t> </w:t>
      </w:r>
      <w:r>
        <w:rPr>
          <w:rFonts w:ascii="Calibri"/>
          <w:sz w:val="22"/>
        </w:rPr>
        <w:t>symud</w:t>
      </w:r>
      <w:r>
        <w:rPr>
          <w:rFonts w:ascii="Calibri"/>
          <w:spacing w:val="-2"/>
          <w:sz w:val="22"/>
        </w:rPr>
        <w:t> </w:t>
      </w:r>
      <w:r>
        <w:rPr>
          <w:rFonts w:ascii="Calibri"/>
          <w:sz w:val="22"/>
        </w:rPr>
        <w:t>i</w:t>
      </w:r>
      <w:r>
        <w:rPr>
          <w:rFonts w:ascii="Calibri"/>
          <w:spacing w:val="-2"/>
          <w:sz w:val="22"/>
        </w:rPr>
        <w:t> </w:t>
      </w:r>
      <w:r>
        <w:rPr>
          <w:rFonts w:ascii="Calibri"/>
          <w:sz w:val="22"/>
        </w:rPr>
        <w:t>lefel</w:t>
      </w:r>
      <w:r>
        <w:rPr>
          <w:rFonts w:ascii="Calibri"/>
          <w:spacing w:val="-1"/>
          <w:sz w:val="22"/>
        </w:rPr>
        <w:t> </w:t>
      </w:r>
      <w:r>
        <w:rPr>
          <w:rFonts w:ascii="Calibri"/>
          <w:spacing w:val="-5"/>
          <w:sz w:val="22"/>
        </w:rPr>
        <w:t>3.</w:t>
      </w:r>
    </w:p>
    <w:p>
      <w:pPr>
        <w:spacing w:line="259" w:lineRule="auto" w:before="181"/>
        <w:ind w:left="1800" w:right="1547" w:firstLine="0"/>
        <w:jc w:val="left"/>
        <w:rPr>
          <w:rFonts w:ascii="Calibri" w:hAnsi="Calibri"/>
          <w:sz w:val="22"/>
        </w:rPr>
      </w:pPr>
      <w:r>
        <w:rPr>
          <w:rFonts w:ascii="Calibri" w:hAnsi="Calibri"/>
          <w:sz w:val="22"/>
        </w:rPr>
        <w:t>Rydym</w:t>
      </w:r>
      <w:r>
        <w:rPr>
          <w:rFonts w:ascii="Calibri" w:hAnsi="Calibri"/>
          <w:spacing w:val="-2"/>
          <w:sz w:val="22"/>
        </w:rPr>
        <w:t> </w:t>
      </w:r>
      <w:r>
        <w:rPr>
          <w:rFonts w:ascii="Calibri" w:hAnsi="Calibri"/>
          <w:sz w:val="22"/>
        </w:rPr>
        <w:t>wedi</w:t>
      </w:r>
      <w:r>
        <w:rPr>
          <w:rFonts w:ascii="Calibri" w:hAnsi="Calibri"/>
          <w:spacing w:val="-2"/>
          <w:sz w:val="22"/>
        </w:rPr>
        <w:t> </w:t>
      </w:r>
      <w:r>
        <w:rPr>
          <w:rFonts w:ascii="Calibri" w:hAnsi="Calibri"/>
          <w:sz w:val="22"/>
        </w:rPr>
        <w:t>creu</w:t>
      </w:r>
      <w:r>
        <w:rPr>
          <w:rFonts w:ascii="Calibri" w:hAnsi="Calibri"/>
          <w:spacing w:val="-2"/>
          <w:sz w:val="22"/>
        </w:rPr>
        <w:t> </w:t>
      </w:r>
      <w:r>
        <w:rPr>
          <w:rFonts w:ascii="Calibri" w:hAnsi="Calibri"/>
          <w:sz w:val="22"/>
        </w:rPr>
        <w:t>animeiddiad</w:t>
      </w:r>
      <w:r>
        <w:rPr>
          <w:rFonts w:ascii="Calibri" w:hAnsi="Calibri"/>
          <w:spacing w:val="-2"/>
          <w:sz w:val="22"/>
        </w:rPr>
        <w:t> </w:t>
      </w:r>
      <w:r>
        <w:rPr>
          <w:rFonts w:ascii="Calibri" w:hAnsi="Calibri"/>
          <w:sz w:val="22"/>
        </w:rPr>
        <w:t>yn</w:t>
      </w:r>
      <w:r>
        <w:rPr>
          <w:rFonts w:ascii="Calibri" w:hAnsi="Calibri"/>
          <w:spacing w:val="-2"/>
          <w:sz w:val="22"/>
        </w:rPr>
        <w:t> </w:t>
      </w:r>
      <w:r>
        <w:rPr>
          <w:rFonts w:ascii="Calibri" w:hAnsi="Calibri"/>
          <w:sz w:val="22"/>
        </w:rPr>
        <w:t>y</w:t>
      </w:r>
      <w:r>
        <w:rPr>
          <w:rFonts w:ascii="Calibri" w:hAnsi="Calibri"/>
          <w:spacing w:val="-2"/>
          <w:sz w:val="22"/>
        </w:rPr>
        <w:t> </w:t>
      </w:r>
      <w:r>
        <w:rPr>
          <w:rFonts w:ascii="Calibri" w:hAnsi="Calibri"/>
          <w:sz w:val="22"/>
        </w:rPr>
        <w:t>Gymraeg</w:t>
      </w:r>
      <w:r>
        <w:rPr>
          <w:rFonts w:ascii="Calibri" w:hAnsi="Calibri"/>
          <w:spacing w:val="-2"/>
          <w:sz w:val="22"/>
        </w:rPr>
        <w:t> </w:t>
      </w:r>
      <w:r>
        <w:rPr>
          <w:rFonts w:ascii="Calibri" w:hAnsi="Calibri"/>
          <w:sz w:val="22"/>
        </w:rPr>
        <w:t>a'r</w:t>
      </w:r>
      <w:r>
        <w:rPr>
          <w:rFonts w:ascii="Calibri" w:hAnsi="Calibri"/>
          <w:spacing w:val="-3"/>
          <w:sz w:val="22"/>
        </w:rPr>
        <w:t> </w:t>
      </w:r>
      <w:r>
        <w:rPr>
          <w:rFonts w:ascii="Calibri" w:hAnsi="Calibri"/>
          <w:sz w:val="22"/>
        </w:rPr>
        <w:t>Saesneg</w:t>
      </w:r>
      <w:r>
        <w:rPr>
          <w:rFonts w:ascii="Calibri" w:hAnsi="Calibri"/>
          <w:spacing w:val="-3"/>
          <w:sz w:val="22"/>
        </w:rPr>
        <w:t> </w:t>
      </w:r>
      <w:r>
        <w:rPr>
          <w:rFonts w:ascii="Calibri" w:hAnsi="Calibri"/>
          <w:sz w:val="22"/>
        </w:rPr>
        <w:t>i</w:t>
      </w:r>
      <w:r>
        <w:rPr>
          <w:rFonts w:ascii="Calibri" w:hAnsi="Calibri"/>
          <w:spacing w:val="-2"/>
          <w:sz w:val="22"/>
        </w:rPr>
        <w:t> </w:t>
      </w:r>
      <w:r>
        <w:rPr>
          <w:rFonts w:ascii="Calibri" w:hAnsi="Calibri"/>
          <w:sz w:val="22"/>
        </w:rPr>
        <w:t>alluogi</w:t>
      </w:r>
      <w:r>
        <w:rPr>
          <w:rFonts w:ascii="Calibri" w:hAnsi="Calibri"/>
          <w:spacing w:val="-2"/>
          <w:sz w:val="22"/>
        </w:rPr>
        <w:t> </w:t>
      </w:r>
      <w:r>
        <w:rPr>
          <w:rFonts w:ascii="Calibri" w:hAnsi="Calibri"/>
          <w:sz w:val="22"/>
        </w:rPr>
        <w:t>staff</w:t>
      </w:r>
      <w:r>
        <w:rPr>
          <w:rFonts w:ascii="Calibri" w:hAnsi="Calibri"/>
          <w:spacing w:val="-2"/>
          <w:sz w:val="22"/>
        </w:rPr>
        <w:t> </w:t>
      </w:r>
      <w:r>
        <w:rPr>
          <w:rFonts w:ascii="Calibri" w:hAnsi="Calibri"/>
          <w:sz w:val="22"/>
        </w:rPr>
        <w:t>i</w:t>
      </w:r>
      <w:r>
        <w:rPr>
          <w:rFonts w:ascii="Calibri" w:hAnsi="Calibri"/>
          <w:spacing w:val="-3"/>
          <w:sz w:val="22"/>
        </w:rPr>
        <w:t> </w:t>
      </w:r>
      <w:r>
        <w:rPr>
          <w:rFonts w:ascii="Calibri" w:hAnsi="Calibri"/>
          <w:sz w:val="22"/>
        </w:rPr>
        <w:t>ddewis</w:t>
      </w:r>
      <w:r>
        <w:rPr>
          <w:rFonts w:ascii="Calibri" w:hAnsi="Calibri"/>
          <w:spacing w:val="-3"/>
          <w:sz w:val="22"/>
        </w:rPr>
        <w:t> </w:t>
      </w:r>
      <w:r>
        <w:rPr>
          <w:rFonts w:ascii="Calibri" w:hAnsi="Calibri"/>
          <w:sz w:val="22"/>
        </w:rPr>
        <w:t>eu</w:t>
      </w:r>
      <w:r>
        <w:rPr>
          <w:rFonts w:ascii="Calibri" w:hAnsi="Calibri"/>
          <w:spacing w:val="-2"/>
          <w:sz w:val="22"/>
        </w:rPr>
        <w:t> </w:t>
      </w:r>
      <w:r>
        <w:rPr>
          <w:rFonts w:ascii="Calibri" w:hAnsi="Calibri"/>
          <w:sz w:val="22"/>
        </w:rPr>
        <w:t>lefel</w:t>
      </w:r>
      <w:r>
        <w:rPr>
          <w:rFonts w:ascii="Calibri" w:hAnsi="Calibri"/>
          <w:spacing w:val="-3"/>
          <w:sz w:val="22"/>
        </w:rPr>
        <w:t> </w:t>
      </w:r>
      <w:r>
        <w:rPr>
          <w:rFonts w:ascii="Calibri" w:hAnsi="Calibri"/>
          <w:sz w:val="22"/>
        </w:rPr>
        <w:t>yn</w:t>
      </w:r>
      <w:r>
        <w:rPr>
          <w:rFonts w:ascii="Calibri" w:hAnsi="Calibri"/>
          <w:spacing w:val="-2"/>
          <w:sz w:val="22"/>
        </w:rPr>
        <w:t> </w:t>
      </w:r>
      <w:r>
        <w:rPr>
          <w:rFonts w:ascii="Calibri" w:hAnsi="Calibri"/>
          <w:sz w:val="22"/>
        </w:rPr>
        <w:t>gywir a’i chofnodi ar ESR.</w:t>
      </w:r>
      <w:r>
        <w:rPr>
          <w:rFonts w:ascii="Calibri" w:hAnsi="Calibri"/>
          <w:spacing w:val="40"/>
          <w:sz w:val="22"/>
        </w:rPr>
        <w:t> </w:t>
      </w:r>
      <w:r>
        <w:rPr>
          <w:rFonts w:ascii="Calibri" w:hAnsi="Calibri"/>
          <w:sz w:val="22"/>
        </w:rPr>
        <w:t>Rydym hefyd wedi creu canllaw i helpu staff i ddod o hyd i’r man iawn i gofnodi eu sgiliau Cymraeg ar ESR.</w:t>
      </w:r>
      <w:r>
        <w:rPr>
          <w:rFonts w:ascii="Calibri" w:hAnsi="Calibri"/>
          <w:spacing w:val="40"/>
          <w:sz w:val="22"/>
        </w:rPr>
        <w:t> </w:t>
      </w:r>
      <w:r>
        <w:rPr>
          <w:rFonts w:ascii="Calibri" w:hAnsi="Calibri"/>
          <w:sz w:val="22"/>
        </w:rPr>
        <w:t>Rydym wedi nodi bod gan fwyafrif y staff sgiliau siarad lefel 1, ond nid oes ganddynt ddigon o hyder i ddefnyddio'r sgiliau Cymraeg sydd ganddynt.</w:t>
      </w:r>
    </w:p>
    <w:p>
      <w:pPr>
        <w:pStyle w:val="BodyText"/>
        <w:spacing w:before="5"/>
        <w:rPr>
          <w:rFonts w:ascii="Calibri"/>
          <w:sz w:val="10"/>
        </w:rPr>
      </w:pPr>
      <w:r>
        <w:rPr/>
        <w:pict>
          <v:group style="position:absolute;margin-left:72pt;margin-top:7.578516pt;width:477.05pt;height:327.85pt;mso-position-horizontal-relative:page;mso-position-vertical-relative:paragraph;z-index:-15597568;mso-wrap-distance-left:0;mso-wrap-distance-right:0" id="docshapegroup918" coordorigin="1440,152" coordsize="9541,6557">
            <v:line style="position:absolute" from="1440,6701" to="10980,6701" stroked="true" strokeweight=".719727pt" strokecolor="#5a5a5a">
              <v:stroke dashstyle="solid"/>
            </v:line>
            <v:rect style="position:absolute;left:1500;top:159;width:9474;height:6484" id="docshape919" filled="false" stroked="true" strokeweight=".75pt" strokecolor="#d8d8d8">
              <v:stroke dashstyle="solid"/>
            </v:rect>
            <v:shape style="position:absolute;left:6236;top:1843;width:2;height:1652" id="docshape920" coordorigin="6237,1844" coordsize="0,1652" path="m6237,3496l6237,1844,6237,3496xe" filled="true" fillcolor="#1f3969" stroked="false">
              <v:path arrowok="t"/>
              <v:fill type="solid"/>
            </v:shape>
            <v:shape style="position:absolute;left:5614;top:1864;width:623;height:2319" id="docshape921" coordorigin="5614,1864" coordsize="623,2319" path="m6237,4182l5614,2551,5614,1864,6237,3496,6237,4182xe" filled="true" fillcolor="#182f56" stroked="false">
              <v:path arrowok="t"/>
              <v:fill type="solid"/>
            </v:shape>
            <v:shape style="position:absolute;left:5614;top:1864;width:623;height:2319" id="docshape922" coordorigin="5614,1864" coordsize="623,2319" path="m5614,1864l6237,3496,6237,4182,5614,2551,5614,1864xe" filled="false" stroked="true" strokeweight=".735118pt" strokecolor="#ffffff">
              <v:path arrowok="t"/>
              <v:stroke dashstyle="solid"/>
            </v:shape>
            <v:shape style="position:absolute;left:5614;top:1864;width:623;height:2319" id="docshape923" coordorigin="5614,1864" coordsize="623,2319" path="m6237,4182l5614,2551,5614,1864,6237,3496,6237,4182xe" filled="true" fillcolor="#62983d" stroked="false">
              <v:path arrowok="t"/>
              <v:fill type="solid"/>
            </v:shape>
            <v:shape style="position:absolute;left:5614;top:1864;width:623;height:2319" id="docshape924" coordorigin="5614,1864" coordsize="623,2319" path="m5614,1864l6237,3496,6237,4182,5614,2551,5614,1864xe" filled="false" stroked="true" strokeweight=".735118pt" strokecolor="#ffffff">
              <v:path arrowok="t"/>
              <v:stroke dashstyle="solid"/>
            </v:shape>
            <v:shape style="position:absolute;left:5407;top:1880;width:830;height:2303" id="docshape925" coordorigin="5407,1880" coordsize="830,2303" path="m6237,4182l5407,2567,5407,1880,6237,3496,6237,4182xe" filled="true" fillcolor="#507e31" stroked="false">
              <v:path arrowok="t"/>
              <v:fill type="solid"/>
            </v:shape>
            <v:shape style="position:absolute;left:5407;top:1880;width:830;height:2303" id="docshape926" coordorigin="5407,1880" coordsize="830,2303" path="m5407,1880l6237,3496,6237,4182,5407,2567,5407,1880xe" filled="false" stroked="true" strokeweight=".735118pt" strokecolor="#ffffff">
              <v:path arrowok="t"/>
              <v:stroke dashstyle="solid"/>
            </v:shape>
            <v:shape style="position:absolute;left:5407;top:1880;width:830;height:2303" id="docshape927" coordorigin="5407,1880" coordsize="830,2303" path="m6237,4182l5407,2567,5407,1880,6237,3496,6237,4182xe" filled="true" fillcolor="#4f88bb" stroked="false">
              <v:path arrowok="t"/>
              <v:fill type="solid"/>
            </v:shape>
            <v:shape style="position:absolute;left:5407;top:1880;width:830;height:2303" id="docshape928" coordorigin="5407,1880" coordsize="830,2303" path="m5407,1880l6237,3496,6237,4182,5407,2567,5407,1880xe" filled="false" stroked="true" strokeweight=".735118pt" strokecolor="#ffffff">
              <v:path arrowok="t"/>
              <v:stroke dashstyle="solid"/>
            </v:shape>
            <v:shape style="position:absolute;left:4994;top:1926;width:1243;height:2256" id="docshape929" coordorigin="4995,1927" coordsize="1243,2256" path="m6237,4182l4995,2614,4995,1927,6237,3496,6237,4182xe" filled="true" fillcolor="#41719c" stroked="false">
              <v:path arrowok="t"/>
              <v:fill type="solid"/>
            </v:shape>
            <v:shape style="position:absolute;left:4994;top:1926;width:1243;height:2256" id="docshape930" coordorigin="4995,1927" coordsize="1243,2256" path="m4995,1927l6237,3496,6237,4182,4995,2614,4995,1927xe" filled="false" stroked="true" strokeweight=".735118pt" strokecolor="#ffffff">
              <v:path arrowok="t"/>
              <v:stroke dashstyle="solid"/>
            </v:shape>
            <v:shape style="position:absolute;left:4994;top:1926;width:1243;height:2256" id="docshape931" coordorigin="4995,1927" coordsize="1243,2256" path="m6237,4182l4995,2614,4995,1927,6237,3496,6237,4182xe" filled="true" fillcolor="#e1a900" stroked="false">
              <v:path arrowok="t"/>
              <v:fill type="solid"/>
            </v:shape>
            <v:shape style="position:absolute;left:4994;top:1926;width:1243;height:2256" id="docshape932" coordorigin="4995,1927" coordsize="1243,2256" path="m4995,1927l6237,3496,6237,4182,4995,2614,4995,1927xe" filled="false" stroked="true" strokeweight=".735118pt" strokecolor="#ffffff">
              <v:path arrowok="t"/>
              <v:stroke dashstyle="solid"/>
            </v:shape>
            <v:shape style="position:absolute;left:4585;top:1993;width:1652;height:2189" id="docshape933" coordorigin="4586,1994" coordsize="1652,2189" path="m6237,4182l4586,2680,4586,1994,6237,3496,6237,4182xe" filled="true" fillcolor="#bc8c00" stroked="false">
              <v:path arrowok="t"/>
              <v:fill type="solid"/>
            </v:shape>
            <v:shape style="position:absolute;left:4585;top:1993;width:1652;height:2189" id="docshape934" coordorigin="4586,1994" coordsize="1652,2189" path="m4586,1994l6237,3496,6237,4182,4586,2680,4586,1994xe" filled="false" stroked="true" strokeweight=".735118pt" strokecolor="#ffffff">
              <v:path arrowok="t"/>
              <v:stroke dashstyle="solid"/>
            </v:shape>
            <v:shape style="position:absolute;left:4585;top:1993;width:1652;height:2189" id="docshape935" coordorigin="4586,1994" coordsize="1652,2189" path="m6237,4182l4586,2680,4586,1994,6237,3496,6237,4182xe" filled="true" fillcolor="#919191" stroked="false">
              <v:path arrowok="t"/>
              <v:fill type="solid"/>
            </v:shape>
            <v:shape style="position:absolute;left:4585;top:1993;width:1652;height:2189" id="docshape936" coordorigin="4586,1994" coordsize="1652,2189" path="m4586,1994l6237,3496,6237,4182,4586,2680,4586,1994xe" filled="false" stroked="true" strokeweight=".735118pt" strokecolor="#ffffff">
              <v:path arrowok="t"/>
              <v:stroke dashstyle="solid"/>
            </v:shape>
            <v:shape style="position:absolute;left:3605;top:2259;width:2632;height:1923" id="docshape937" coordorigin="3605,2260" coordsize="2632,1923" path="m6237,4182l3605,2947,3605,2260,6237,3496,6237,4182xe" filled="true" fillcolor="#787878" stroked="false">
              <v:path arrowok="t"/>
              <v:fill type="solid"/>
            </v:shape>
            <v:shape style="position:absolute;left:3605;top:2259;width:2632;height:1923" id="docshape938" coordorigin="3605,2260" coordsize="2632,1923" path="m3605,2260l6237,3496,6237,4182,3605,2947,3605,2260xe" filled="false" stroked="true" strokeweight=".735118pt" strokecolor="#ffffff">
              <v:path arrowok="t"/>
              <v:stroke dashstyle="solid"/>
            </v:shape>
            <v:shape style="position:absolute;left:3605;top:2259;width:2632;height:1923" id="docshape939" coordorigin="3605,2260" coordsize="2632,1923" path="m6237,4182l3605,2947,3605,2260,6237,3496,6237,4182xe" filled="true" fillcolor="#d16c2a" stroked="false">
              <v:path arrowok="t"/>
              <v:fill type="solid"/>
            </v:shape>
            <v:shape style="position:absolute;left:2271;top:2259;width:3965;height:1923" id="docshape940" coordorigin="2272,2260" coordsize="3965,1923" path="m3605,2260l6237,3496,6237,4182,3605,2947,3605,2260xm2272,3496l6237,3496,6237,4182,2272,4182,2272,3496xe" filled="false" stroked="true" strokeweight=".735118pt" strokecolor="#ffffff">
              <v:path arrowok="t"/>
              <v:stroke dashstyle="solid"/>
            </v:shape>
            <v:rect style="position:absolute;left:2271;top:3495;width:3965;height:687" id="docshape941" filled="true" fillcolor="#d16c2a" stroked="false">
              <v:fill type="solid"/>
            </v:rect>
            <v:rect style="position:absolute;left:2271;top:3495;width:3965;height:687" id="docshape942" filled="false" stroked="true" strokeweight=".735118pt" strokecolor="#ffffff">
              <v:stroke dashstyle="solid"/>
            </v:rect>
            <v:shape style="position:absolute;left:6236;top:4182;width:2;height:1983" id="docshape943" coordorigin="6237,4182" coordsize="0,1983" path="m6237,6165l6237,4182,6237,6165xe" filled="true" fillcolor="#ae5a21" stroked="false">
              <v:path arrowok="t"/>
              <v:fill type="solid"/>
            </v:shape>
            <v:shape style="position:absolute;left:6236;top:3495;width:2;height:2670" id="docshape944" coordorigin="6237,3496" coordsize="0,2670" path="m6237,5478l6237,3496,6237,4182,6237,6165,6237,5478xe" filled="false" stroked="true" strokeweight=".735118pt" strokecolor="#ffffff">
              <v:path arrowok="t"/>
              <v:stroke dashstyle="solid"/>
            </v:shape>
            <v:shape style="position:absolute;left:6236;top:1843;width:2;height:1652" id="docshape945" coordorigin="6237,1844" coordsize="0,1652" path="m6237,3496l6237,1844,6237,3496xe" filled="true" fillcolor="#2f528f" stroked="false">
              <v:path arrowok="t"/>
              <v:fill type="solid"/>
            </v:shape>
            <v:shape style="position:absolute;left:6236;top:1843;width:3965;height:2339" id="docshape946" coordorigin="6237,1844" coordsize="3965,2339" path="m6237,1844l6237,3496,6237,4182,6237,2530,6237,1844xm10201,3496l6237,3496,6237,4182,10201,4182,10201,3496xe" filled="false" stroked="true" strokeweight=".735118pt" strokecolor="#ffffff">
              <v:path arrowok="t"/>
              <v:stroke dashstyle="solid"/>
            </v:shape>
            <v:rect style="position:absolute;left:6236;top:3495;width:3965;height:687" id="docshape947" filled="true" fillcolor="#2f528f" stroked="false">
              <v:fill type="solid"/>
            </v:rect>
            <v:rect style="position:absolute;left:6236;top:3495;width:3965;height:687" id="docshape948" filled="false" stroked="true" strokeweight=".735118pt" strokecolor="#ffffff">
              <v:stroke dashstyle="solid"/>
            </v:rect>
            <v:shape style="position:absolute;left:6236;top:3495;width:2714;height:2132" id="docshape949" coordorigin="6237,3496" coordsize="2714,2132" path="m8951,5628l6237,4182,6237,3496,8951,4941,8951,5628xe" filled="true" fillcolor="#3b64ac" stroked="false">
              <v:path arrowok="t"/>
              <v:fill type="solid"/>
            </v:shape>
            <v:shape style="position:absolute;left:6236;top:3495;width:2714;height:2132" id="docshape950" coordorigin="6237,3496" coordsize="2714,2132" path="m8951,4941l6237,3496,6237,4182,8951,5628,8951,4941xe" filled="false" stroked="true" strokeweight=".735118pt" strokecolor="#ffffff">
              <v:path arrowok="t"/>
              <v:stroke dashstyle="solid"/>
            </v:shape>
            <v:shape style="position:absolute;left:6236;top:3495;width:2714;height:2132" id="docshape951" coordorigin="6237,3496" coordsize="2714,2132" path="m8951,5628l6237,4182,6237,3496,8951,4941,8951,5628xe" filled="true" fillcolor="#ae5a21" stroked="false">
              <v:path arrowok="t"/>
              <v:fill type="solid"/>
            </v:shape>
            <v:shape style="position:absolute;left:6236;top:3495;width:2714;height:2132" id="docshape952" coordorigin="6237,3496" coordsize="2714,2132" path="m8951,4941l6237,3496,6237,4182,8951,5628,8951,4941xe" filled="false" stroked="true" strokeweight=".735118pt" strokecolor="#ffffff">
              <v:path arrowok="t"/>
              <v:stroke dashstyle="solid"/>
            </v:shape>
            <v:shape style="position:absolute;left:6236;top:3495;width:2;height:2670" id="docshape953" coordorigin="6237,3496" coordsize="0,2670" path="m6237,6165l6237,5478,6237,3496,6237,6165xe" filled="true" fillcolor="#d16c2a" stroked="false">
              <v:path arrowok="t"/>
              <v:fill type="solid"/>
            </v:shape>
            <v:shape style="position:absolute;left:6236;top:3495;width:2;height:2670" id="docshape954" coordorigin="6237,3496" coordsize="0,2670" path="m6237,5478l6237,3496,6237,4182,6237,6165,6237,5478xe" filled="false" stroked="true" strokeweight=".735118pt" strokecolor="#ffffff">
              <v:path arrowok="t"/>
              <v:stroke dashstyle="solid"/>
            </v:shape>
            <v:shape style="position:absolute;left:8950;top:3495;width:1251;height:2132" type="#_x0000_t75" id="docshape955" stroked="false">
              <v:imagedata r:id="rId213" o:title=""/>
            </v:shape>
            <v:shape style="position:absolute;left:8950;top:3495;width:1251;height:2132" id="docshape956" coordorigin="8951,3496" coordsize="1251,2132" path="m10201,3496l10200,3556,10194,3617,10185,3677,10172,3737,10156,3796,10136,3856,10112,3914,10085,3973,10054,4030,10020,4088,9983,4144,9942,4200,9898,4256,9851,4310,9801,4364,9747,4417,9690,4470,9629,4521,9566,4572,9500,4622,9430,4670,9358,4718,9282,4765,9204,4811,9122,4855,9038,4899,8951,4941,8951,5628,9038,5585,9122,5542,9204,5497,9282,5452,9358,5405,9430,5357,9500,5308,9566,5259,9629,5208,9690,5156,9747,5104,9801,5051,9851,4997,9898,4942,9942,4887,9983,4831,10020,4774,10054,4717,10085,4659,10112,4601,10136,4542,10156,4483,10172,4424,10185,4364,10194,4304,10200,4243,10201,4182,10201,3496xe" filled="false" stroked="true" strokeweight=".735118pt" strokecolor="#ffffff">
              <v:path arrowok="t"/>
              <v:stroke dashstyle="solid"/>
            </v:shape>
            <v:shape style="position:absolute;left:6236;top:1843;width:3965;height:3098" id="docshape957" coordorigin="6237,1844" coordsize="3965,3098" path="m8951,4941l6237,3496,6237,1844,6402,1845,6566,1849,6730,1857,6893,1866,7055,1879,7215,1895,7373,1913,7530,1934,7685,1958,7762,1971,7869,1990,7974,2011,8077,2032,8178,2055,8277,2079,8375,2105,8470,2131,8563,2158,8654,2187,8743,2216,8830,2246,8914,2278,8996,2310,9076,2343,9153,2377,9228,2412,9301,2448,9371,2485,9438,2522,9503,2560,9565,2599,9625,2639,9682,2679,9736,2720,9788,2762,9836,2804,9882,2847,9925,2890,10002,2979,10067,3069,10119,3162,10159,3255,10186,3351,10200,3447,10201,3496,10200,3556,10194,3617,10185,3677,10172,3737,10156,3796,10136,3856,10112,3914,10085,3973,10054,4030,10020,4088,9983,4144,9942,4200,9898,4256,9851,4310,9801,4364,9747,4417,9690,4470,9629,4521,9566,4572,9500,4622,9430,4670,9358,4718,9282,4765,9204,4811,9122,4855,9038,4899,8951,4941xe" filled="true" fillcolor="#4472c4" stroked="false">
              <v:path arrowok="t"/>
              <v:fill type="solid"/>
            </v:shape>
            <v:shape style="position:absolute;left:6236;top:1843;width:3965;height:3098" id="docshape958" coordorigin="6237,1844" coordsize="3965,3098" path="m6237,1844l6319,1844,6402,1845,6484,1847,6566,1849,6648,1853,6730,1857,6812,1861,6893,1866,6974,1872,7055,1879,7135,1887,7215,1895,7294,1904,7373,1913,7452,1923,7530,1934,7608,1946,7685,1958,7762,1971,7869,1990,7974,2011,8077,2032,8178,2055,8277,2079,8375,2105,8470,2131,8563,2158,8654,2187,8743,2216,8830,2246,8914,2278,8996,2310,9076,2343,9153,2377,9228,2412,9301,2448,9371,2485,9438,2522,9503,2560,9565,2599,9625,2639,9682,2679,9736,2720,9788,2762,9836,2804,9882,2847,9925,2890,10002,2979,10067,3069,10119,3162,10159,3255,10186,3351,10200,3447,10201,3496,10200,3556,10194,3617,10185,3677,10172,3737,10156,3796,10136,3856,10112,3914,10085,3973,10054,4030,10020,4088,9983,4144,9942,4200,9898,4256,9851,4310,9801,4364,9747,4417,9690,4470,9629,4521,9566,4572,9500,4622,9430,4670,9358,4718,9282,4765,9204,4811,9122,4855,9038,4899,8951,4941,6237,3496,6237,1844xe" filled="false" stroked="true" strokeweight=".735118pt" strokecolor="#ffffff">
              <v:path arrowok="t"/>
              <v:stroke dashstyle="solid"/>
            </v:shape>
            <v:shape style="position:absolute;left:2271;top:3495;width:6679;height:2670" type="#_x0000_t75" id="docshape959" stroked="false">
              <v:imagedata r:id="rId221" o:title=""/>
            </v:shape>
            <v:shape style="position:absolute;left:2271;top:3495;width:6679;height:2670" id="docshape960" coordorigin="2272,3496" coordsize="6679,2670" path="m8951,4941l8887,4970,8823,4998,8757,5026,8691,5053,8623,5079,8554,5104,8485,5129,8414,5152,8342,5175,8270,5198,8196,5219,8122,5240,8047,5259,7971,5278,7894,5297,7816,5314,7738,5330,7659,5346,7579,5361,7499,5375,7417,5388,7336,5400,7254,5412,7171,5422,7087,5432,7004,5441,6919,5448,6834,5455,6753,5461,6672,5466,6591,5470,6510,5473,6428,5476,6347,5477,6265,5478,6184,5478,6102,5477,6021,5475,5940,5472,5859,5469,5778,5465,5697,5460,5616,5454,5536,5447,5455,5439,5375,5431,5296,5421,5217,5411,5125,5398,5033,5385,4943,5370,4854,5354,4765,5336,4678,5318,4591,5299,4506,5279,4422,5258,4338,5236,4256,5213,4175,5189,4096,5164,4017,5138,3940,5111,3864,5084,3789,5055,3716,5026,3644,4995,3574,4964,3505,4932,3437,4899,3371,4866,3307,4831,3244,4796,3183,4760,3124,4723,3066,4686,3010,4647,2955,4608,2903,4569,2852,4528,2783,4469,2718,4409,2658,4349,2601,4287,2549,4224,2502,4161,2459,4097,2420,4032,2385,3966,2355,3900,2330,3834,2309,3767,2293,3700,2281,3632,2274,3564,2272,3496,2272,4182,2273,4238,2286,4350,2311,4460,2348,4569,2397,4676,2426,4729,2457,4781,2492,4833,2529,4884,2569,4934,2612,4984,2657,5034,2705,5083,2756,5131,2809,5178,2865,5224,2923,5270,2984,5315,3047,5359,3113,5402,3181,5445,3251,5486,3324,5527,3399,5566,3476,5605,3555,5642,3637,5679,3721,5714,3806,5749,3894,5782,3984,5814,4076,5845,4170,5874,4266,5903,4364,5930,4464,5955,4539,5974,4615,5991,4692,6008,4769,6024,4847,6039,4926,6053,5005,6067,5084,6079,5164,6091,5245,6102,5326,6112,5407,6121,5489,6129,5571,6137,5653,6143,5736,6149,5819,6154,5902,6158,5985,6161,6069,6163,6153,6164,6237,6165,6321,6164,6404,6163,6488,6161,6571,6158,6654,6154,6737,6149,6820,6143,6902,6137,6985,6129,7066,6121,7148,6112,7229,6102,7309,6091,7389,6079,7469,6067,7548,6053,7626,6039,7704,6024,7782,6008,7858,5991,7934,5974,8010,5955,8095,5933,8179,5910,8262,5886,8344,5862,8425,5836,8504,5809,8582,5781,8659,5752,8734,5722,8807,5692,8880,5660,8951,5628,8951,4941xe" filled="false" stroked="true" strokeweight=".735118pt" strokecolor="#ffffff">
              <v:path arrowok="t"/>
              <v:stroke dashstyle="solid"/>
            </v:shape>
            <v:shape style="position:absolute;left:2271;top:2259;width:6679;height:3219" id="docshape961" coordorigin="2272,2260" coordsize="6679,3219" path="m6237,5478l6153,5478,6069,5476,5985,5474,5902,5471,5819,5467,5736,5462,5653,5456,5571,5450,5489,5442,5407,5434,5326,5425,5245,5415,5164,5404,5084,5392,5005,5380,4926,5367,4847,5352,4769,5337,4692,5321,4615,5305,4539,5287,4464,5269,4364,5243,4266,5216,4170,5188,4076,5158,3984,5127,3894,5095,3806,5062,3721,5028,3637,4992,3555,4956,3476,4918,3399,4880,3324,4840,3251,4800,3181,4758,3113,4716,3047,4672,2984,4628,2923,4583,2865,4538,2809,4491,2756,4444,2705,4396,2657,4347,2612,4298,2569,4248,2529,4197,2492,4146,2457,4094,2426,4042,2397,3989,2348,3882,2311,3773,2286,3663,2273,3552,2272,3496,2274,3439,2293,3327,2329,3216,2354,3161,2383,3107,2417,3053,2455,3000,2497,2947,2543,2895,2594,2844,2649,2793,2707,2743,2770,2694,2836,2646,2907,2599,2981,2553,3059,2508,3141,2463,3227,2420,3316,2378,3409,2338,3505,2298,3605,2260,6237,3496,8951,4941,8887,4970,8823,4998,8757,5026,8691,5053,8623,5079,8554,5104,8485,5129,8414,5152,8342,5175,8270,5198,8196,5219,8122,5240,8047,5259,7971,5278,7894,5297,7816,5314,7738,5330,7659,5346,7579,5361,7499,5375,7417,5388,7336,5400,7254,5412,7171,5422,7087,5432,7004,5441,6919,5448,6834,5455,6750,5461,6664,5466,6579,5471,6494,5474,6408,5476,6322,5478,6237,5478xe" filled="true" fillcolor="#ed7d31" stroked="false">
              <v:path arrowok="t"/>
              <v:fill type="solid"/>
            </v:shape>
            <v:shape style="position:absolute;left:2271;top:2259;width:6679;height:3219" id="docshape962" coordorigin="2272,2260" coordsize="6679,3219" path="m8951,4941l8887,4970,8823,4998,8757,5026,8691,5053,8623,5079,8554,5104,8485,5129,8414,5152,8342,5175,8270,5198,8196,5219,8122,5240,8047,5259,7971,5278,7894,5297,7816,5314,7738,5330,7659,5346,7579,5361,7499,5375,7417,5388,7336,5400,7254,5412,7171,5422,7087,5432,7004,5441,6919,5448,6834,5455,6750,5461,6664,5466,6579,5471,6494,5474,6408,5476,6322,5478,6237,5478,6153,5478,6069,5476,5985,5474,5902,5471,5819,5467,5736,5462,5653,5456,5571,5450,5489,5442,5407,5434,5326,5425,5245,5415,5164,5404,5084,5392,5005,5380,4926,5367,4847,5352,4769,5337,4692,5321,4615,5305,4539,5287,4464,5269,4364,5243,4266,5216,4170,5188,4076,5158,3984,5127,3894,5095,3806,5062,3721,5028,3637,4992,3555,4956,3476,4918,3399,4880,3324,4840,3251,4800,3181,4758,3113,4716,3047,4672,2984,4628,2923,4583,2865,4538,2809,4491,2756,4444,2705,4396,2657,4347,2612,4298,2569,4248,2529,4197,2492,4146,2457,4094,2426,4042,2397,3989,2348,3882,2311,3773,2286,3663,2273,3552,2272,3496,2274,3439,2293,3327,2329,3216,2354,3161,2383,3107,2417,3053,2455,3000,2497,2947,2543,2895,2594,2844,2649,2793,2707,2743,2770,2694,2836,2646,2907,2599,2981,2553,3059,2508,3141,2463,3227,2420,3316,2378,3409,2338,3505,2298,3605,2260,6237,3496,8951,4941xe" filled="false" stroked="true" strokeweight=".735118pt" strokecolor="#ffffff">
              <v:path arrowok="t"/>
              <v:stroke dashstyle="solid"/>
            </v:shape>
            <v:shape style="position:absolute;left:3605;top:1993;width:2632;height:1502" id="docshape963" coordorigin="3605,1994" coordsize="2632,1502" path="m6237,3496l3605,2260,3674,2235,3743,2211,3814,2188,3886,2165,3960,2143,4034,2122,4110,2102,4186,2082,4264,2063,4343,2044,4423,2027,4504,2010,4586,1994,6237,3496xe" filled="true" fillcolor="#a5a5a5" stroked="false">
              <v:path arrowok="t"/>
              <v:fill type="solid"/>
            </v:shape>
            <v:shape style="position:absolute;left:3605;top:1993;width:2632;height:1502" id="docshape964" coordorigin="3605,1994" coordsize="2632,1502" path="m3605,2260l3674,2235,3743,2211,3814,2188,3886,2165,3960,2143,4034,2122,4110,2102,4186,2082,4264,2063,4343,2044,4423,2027,4504,2010,4586,1994,6237,3496,3605,2260xe" filled="false" stroked="true" strokeweight=".735118pt" strokecolor="#ffffff">
              <v:path arrowok="t"/>
              <v:stroke dashstyle="solid"/>
            </v:shape>
            <v:shape style="position:absolute;left:4585;top:1926;width:1652;height:1569" id="docshape965" coordorigin="4586,1927" coordsize="1652,1569" path="m6237,3496l4586,1994,4666,1979,4747,1965,4829,1951,4911,1939,4995,1927,6237,3496xe" filled="true" fillcolor="#ffc000" stroked="false">
              <v:path arrowok="t"/>
              <v:fill type="solid"/>
            </v:shape>
            <v:shape style="position:absolute;left:4585;top:1926;width:1652;height:1569" id="docshape966" coordorigin="4586,1927" coordsize="1652,1569" path="m4586,1994l4666,1979,4747,1965,4829,1951,4911,1939,4995,1927,6237,3496,4586,1994xe" filled="false" stroked="true" strokeweight=".735118pt" strokecolor="#ffffff">
              <v:path arrowok="t"/>
              <v:stroke dashstyle="solid"/>
            </v:shape>
            <v:shape style="position:absolute;left:4994;top:1880;width:1243;height:1616" id="docshape967" coordorigin="4995,1880" coordsize="1243,1616" path="m6237,3496l4995,1927,5076,1916,5241,1897,5407,1880,6237,3496xe" filled="true" fillcolor="#5b9bd5" stroked="false">
              <v:path arrowok="t"/>
              <v:fill type="solid"/>
            </v:shape>
            <v:shape style="position:absolute;left:4994;top:1880;width:1243;height:1616" id="docshape968" coordorigin="4995,1880" coordsize="1243,1616" path="m4995,1927l5076,1916,5158,1906,5241,1897,5324,1888,5407,1880,6237,3496,4995,1927xe" filled="false" stroked="true" strokeweight=".735118pt" strokecolor="#ffffff">
              <v:path arrowok="t"/>
              <v:stroke dashstyle="solid"/>
            </v:shape>
            <v:shape style="position:absolute;left:5407;top:1864;width:830;height:1632" id="docshape969" coordorigin="5407,1864" coordsize="830,1632" path="m6237,3496l5407,1880,5459,1876,5614,1864,6237,3496xe" filled="true" fillcolor="#70ad47" stroked="false">
              <v:path arrowok="t"/>
              <v:fill type="solid"/>
            </v:shape>
            <v:shape style="position:absolute;left:5407;top:1864;width:830;height:1632" id="docshape970" coordorigin="5407,1864" coordsize="830,1632" path="m5407,1880l5459,1876,5510,1872,5562,1868,5614,1864,6237,3496,5407,1880xe" filled="false" stroked="true" strokeweight=".735118pt" strokecolor="#ffffff">
              <v:path arrowok="t"/>
              <v:stroke dashstyle="solid"/>
            </v:shape>
            <v:shape style="position:absolute;left:5614;top:1843;width:623;height:1652" id="docshape971" coordorigin="5614,1844" coordsize="623,1652" path="m6237,3496l5614,1864,5769,1855,5925,1849,6080,1845,6237,1844,6237,3496xe" filled="true" fillcolor="#254378" stroked="false">
              <v:path arrowok="t"/>
              <v:fill type="solid"/>
            </v:shape>
            <v:shape style="position:absolute;left:5614;top:1843;width:623;height:1652" id="docshape972" coordorigin="5614,1844" coordsize="623,1652" path="m5614,1864l5692,1859,5769,1855,5847,1852,5925,1849,6002,1847,6080,1845,6159,1844,6237,1844,6237,3496,5614,1864xe" filled="false" stroked="true" strokeweight=".735118pt" strokecolor="#ffffff">
              <v:path arrowok="t"/>
              <v:stroke dashstyle="solid"/>
            </v:shape>
            <v:line style="position:absolute" from="6560,1759" to="6056,1946" stroked="true" strokeweight=".5pt" strokecolor="#4472c4">
              <v:stroke dashstyle="solid"/>
            </v:line>
            <v:line style="position:absolute" from="6231,1372" to="5985,1746" stroked="true" strokeweight=".5pt" strokecolor="#4472c4">
              <v:stroke dashstyle="solid"/>
            </v:line>
            <v:line style="position:absolute" from="3586,1928" to="3973,2101" stroked="true" strokeweight=".5pt" strokecolor="#000000">
              <v:stroke dashstyle="solid"/>
            </v:line>
            <v:line style="position:absolute" from="4253,1526" to="4933,1846" stroked="true" strokeweight=".5pt" strokecolor="#4472c4">
              <v:stroke dashstyle="solid"/>
            </v:line>
            <v:line style="position:absolute" from="4787,1154" to="5400,1887" stroked="true" strokeweight=".5pt" strokecolor="#4472c4">
              <v:stroke dashstyle="solid"/>
            </v:line>
            <v:line style="position:absolute" from="5439,1008" to="5626,1847" stroked="true" strokeweight=".5pt" strokecolor="#4472c4">
              <v:stroke dashstyle="solid"/>
            </v:line>
            <v:shape style="position:absolute;left:1507;top:166;width:9459;height:6477" type="#_x0000_t202" id="docshape973" filled="false" stroked="false">
              <v:textbox inset="0,0,0,0">
                <w:txbxContent>
                  <w:p>
                    <w:pPr>
                      <w:spacing w:before="39"/>
                      <w:ind w:left="2001" w:right="0" w:firstLine="0"/>
                      <w:jc w:val="left"/>
                      <w:rPr>
                        <w:rFonts w:ascii="Calibri"/>
                        <w:b/>
                        <w:sz w:val="32"/>
                      </w:rPr>
                    </w:pPr>
                    <w:r>
                      <w:rPr>
                        <w:rFonts w:ascii="Calibri"/>
                        <w:b/>
                        <w:color w:val="1E4E79"/>
                        <w:sz w:val="32"/>
                      </w:rPr>
                      <w:t>Sgiliau</w:t>
                    </w:r>
                    <w:r>
                      <w:rPr>
                        <w:rFonts w:ascii="Calibri"/>
                        <w:b/>
                        <w:color w:val="1E4E79"/>
                        <w:spacing w:val="-2"/>
                        <w:sz w:val="32"/>
                      </w:rPr>
                      <w:t> </w:t>
                    </w:r>
                    <w:r>
                      <w:rPr>
                        <w:rFonts w:ascii="Calibri"/>
                        <w:b/>
                        <w:color w:val="1E4E79"/>
                        <w:sz w:val="32"/>
                      </w:rPr>
                      <w:t>Cymraeg</w:t>
                    </w:r>
                    <w:r>
                      <w:rPr>
                        <w:rFonts w:ascii="Calibri"/>
                        <w:b/>
                        <w:color w:val="1E4E79"/>
                        <w:spacing w:val="-3"/>
                        <w:sz w:val="32"/>
                      </w:rPr>
                      <w:t> </w:t>
                    </w:r>
                    <w:r>
                      <w:rPr>
                        <w:rFonts w:ascii="Calibri"/>
                        <w:b/>
                        <w:color w:val="1E4E79"/>
                        <w:sz w:val="32"/>
                      </w:rPr>
                      <w:t>-</w:t>
                    </w:r>
                    <w:r>
                      <w:rPr>
                        <w:rFonts w:ascii="Calibri"/>
                        <w:b/>
                        <w:color w:val="1E4E79"/>
                        <w:spacing w:val="-2"/>
                        <w:sz w:val="32"/>
                      </w:rPr>
                      <w:t> </w:t>
                    </w:r>
                    <w:r>
                      <w:rPr>
                        <w:rFonts w:ascii="Calibri"/>
                        <w:b/>
                        <w:color w:val="1E4E79"/>
                        <w:sz w:val="32"/>
                      </w:rPr>
                      <w:t>Siarad</w:t>
                    </w:r>
                    <w:r>
                      <w:rPr>
                        <w:rFonts w:ascii="Calibri"/>
                        <w:b/>
                        <w:color w:val="1E4E79"/>
                        <w:spacing w:val="-2"/>
                        <w:sz w:val="32"/>
                      </w:rPr>
                      <w:t> </w:t>
                    </w:r>
                    <w:r>
                      <w:rPr>
                        <w:rFonts w:ascii="Calibri"/>
                        <w:b/>
                        <w:color w:val="1E4E79"/>
                        <w:sz w:val="32"/>
                      </w:rPr>
                      <w:t>a</w:t>
                    </w:r>
                    <w:r>
                      <w:rPr>
                        <w:rFonts w:ascii="Calibri"/>
                        <w:b/>
                        <w:color w:val="1E4E79"/>
                        <w:spacing w:val="-1"/>
                        <w:sz w:val="32"/>
                      </w:rPr>
                      <w:t> </w:t>
                    </w:r>
                    <w:r>
                      <w:rPr>
                        <w:rFonts w:ascii="Calibri"/>
                        <w:b/>
                        <w:color w:val="1E4E79"/>
                        <w:spacing w:val="-2"/>
                        <w:sz w:val="32"/>
                      </w:rPr>
                      <w:t>Deall</w:t>
                    </w:r>
                  </w:p>
                  <w:p>
                    <w:pPr>
                      <w:spacing w:line="214" w:lineRule="exact" w:before="128"/>
                      <w:ind w:left="817" w:right="804" w:firstLine="0"/>
                      <w:jc w:val="center"/>
                      <w:rPr>
                        <w:rFonts w:ascii="Calibri"/>
                        <w:b/>
                        <w:sz w:val="22"/>
                      </w:rPr>
                    </w:pPr>
                    <w:r>
                      <w:rPr>
                        <w:rFonts w:ascii="Calibri"/>
                        <w:b/>
                        <w:sz w:val="22"/>
                      </w:rPr>
                      <w:t>Cofnododd</w:t>
                    </w:r>
                    <w:r>
                      <w:rPr>
                        <w:rFonts w:ascii="Calibri"/>
                        <w:b/>
                        <w:spacing w:val="-3"/>
                        <w:sz w:val="22"/>
                      </w:rPr>
                      <w:t> </w:t>
                    </w:r>
                    <w:r>
                      <w:rPr>
                        <w:rFonts w:ascii="Calibri"/>
                        <w:b/>
                        <w:sz w:val="22"/>
                      </w:rPr>
                      <w:t>1%</w:t>
                    </w:r>
                    <w:r>
                      <w:rPr>
                        <w:rFonts w:ascii="Calibri"/>
                        <w:b/>
                        <w:spacing w:val="-3"/>
                        <w:sz w:val="22"/>
                      </w:rPr>
                      <w:t> </w:t>
                    </w:r>
                    <w:r>
                      <w:rPr>
                        <w:rFonts w:ascii="Calibri"/>
                        <w:b/>
                        <w:sz w:val="22"/>
                      </w:rPr>
                      <w:t>Lefel</w:t>
                    </w:r>
                    <w:r>
                      <w:rPr>
                        <w:rFonts w:ascii="Calibri"/>
                        <w:b/>
                        <w:spacing w:val="-3"/>
                        <w:sz w:val="22"/>
                      </w:rPr>
                      <w:t> </w:t>
                    </w:r>
                    <w:r>
                      <w:rPr>
                        <w:rFonts w:ascii="Calibri"/>
                        <w:b/>
                        <w:spacing w:val="-10"/>
                        <w:sz w:val="22"/>
                      </w:rPr>
                      <w:t>4</w:t>
                    </w:r>
                  </w:p>
                  <w:p>
                    <w:pPr>
                      <w:spacing w:line="198" w:lineRule="exact" w:before="0"/>
                      <w:ind w:left="817" w:right="5276" w:firstLine="0"/>
                      <w:jc w:val="center"/>
                      <w:rPr>
                        <w:rFonts w:ascii="Calibri"/>
                        <w:b/>
                        <w:sz w:val="22"/>
                      </w:rPr>
                    </w:pPr>
                    <w:r>
                      <w:rPr>
                        <w:rFonts w:ascii="Calibri"/>
                        <w:b/>
                        <w:sz w:val="22"/>
                      </w:rPr>
                      <w:t>Cofnododd</w:t>
                    </w:r>
                    <w:r>
                      <w:rPr>
                        <w:rFonts w:ascii="Calibri"/>
                        <w:b/>
                        <w:spacing w:val="-3"/>
                        <w:sz w:val="22"/>
                      </w:rPr>
                      <w:t> </w:t>
                    </w:r>
                    <w:r>
                      <w:rPr>
                        <w:rFonts w:ascii="Calibri"/>
                        <w:b/>
                        <w:sz w:val="22"/>
                      </w:rPr>
                      <w:t>2%</w:t>
                    </w:r>
                    <w:r>
                      <w:rPr>
                        <w:rFonts w:ascii="Calibri"/>
                        <w:b/>
                        <w:spacing w:val="-3"/>
                        <w:sz w:val="22"/>
                      </w:rPr>
                      <w:t> </w:t>
                    </w:r>
                    <w:r>
                      <w:rPr>
                        <w:rFonts w:ascii="Calibri"/>
                        <w:b/>
                        <w:sz w:val="22"/>
                      </w:rPr>
                      <w:t>Lefel</w:t>
                    </w:r>
                    <w:r>
                      <w:rPr>
                        <w:rFonts w:ascii="Calibri"/>
                        <w:b/>
                        <w:spacing w:val="-3"/>
                        <w:sz w:val="22"/>
                      </w:rPr>
                      <w:t> </w:t>
                    </w:r>
                    <w:r>
                      <w:rPr>
                        <w:rFonts w:ascii="Calibri"/>
                        <w:b/>
                        <w:spacing w:val="-10"/>
                        <w:sz w:val="22"/>
                      </w:rPr>
                      <w:t>2</w:t>
                    </w:r>
                  </w:p>
                  <w:p>
                    <w:pPr>
                      <w:spacing w:line="226" w:lineRule="exact" w:before="0"/>
                      <w:ind w:left="4772" w:right="1922" w:firstLine="0"/>
                      <w:jc w:val="center"/>
                      <w:rPr>
                        <w:rFonts w:ascii="Calibri"/>
                        <w:b/>
                        <w:sz w:val="22"/>
                      </w:rPr>
                    </w:pPr>
                    <w:r>
                      <w:rPr>
                        <w:rFonts w:ascii="Calibri"/>
                        <w:b/>
                        <w:sz w:val="22"/>
                      </w:rPr>
                      <w:t>Cofnododd</w:t>
                    </w:r>
                    <w:r>
                      <w:rPr>
                        <w:rFonts w:ascii="Calibri"/>
                        <w:b/>
                        <w:spacing w:val="-2"/>
                        <w:sz w:val="22"/>
                      </w:rPr>
                      <w:t> </w:t>
                    </w:r>
                    <w:r>
                      <w:rPr>
                        <w:rFonts w:ascii="Calibri"/>
                        <w:b/>
                        <w:sz w:val="22"/>
                      </w:rPr>
                      <w:t>3%</w:t>
                    </w:r>
                    <w:r>
                      <w:rPr>
                        <w:rFonts w:ascii="Calibri"/>
                        <w:b/>
                        <w:spacing w:val="-2"/>
                        <w:sz w:val="22"/>
                      </w:rPr>
                      <w:t> </w:t>
                    </w:r>
                    <w:r>
                      <w:rPr>
                        <w:rFonts w:ascii="Calibri"/>
                        <w:b/>
                        <w:sz w:val="22"/>
                      </w:rPr>
                      <w:t>o'r</w:t>
                    </w:r>
                    <w:r>
                      <w:rPr>
                        <w:rFonts w:ascii="Calibri"/>
                        <w:b/>
                        <w:spacing w:val="-1"/>
                        <w:sz w:val="22"/>
                      </w:rPr>
                      <w:t> </w:t>
                    </w:r>
                    <w:r>
                      <w:rPr>
                        <w:rFonts w:ascii="Calibri"/>
                        <w:b/>
                        <w:sz w:val="22"/>
                      </w:rPr>
                      <w:t>staff</w:t>
                    </w:r>
                    <w:r>
                      <w:rPr>
                        <w:rFonts w:ascii="Calibri"/>
                        <w:b/>
                        <w:spacing w:val="-2"/>
                        <w:sz w:val="22"/>
                      </w:rPr>
                      <w:t> </w:t>
                    </w:r>
                    <w:r>
                      <w:rPr>
                        <w:rFonts w:ascii="Calibri"/>
                        <w:b/>
                        <w:sz w:val="22"/>
                      </w:rPr>
                      <w:t>Lefel</w:t>
                    </w:r>
                    <w:r>
                      <w:rPr>
                        <w:rFonts w:ascii="Calibri"/>
                        <w:b/>
                        <w:spacing w:val="-1"/>
                        <w:sz w:val="22"/>
                      </w:rPr>
                      <w:t> </w:t>
                    </w:r>
                    <w:r>
                      <w:rPr>
                        <w:rFonts w:ascii="Calibri"/>
                        <w:b/>
                        <w:spacing w:val="-10"/>
                        <w:sz w:val="22"/>
                      </w:rPr>
                      <w:t>5</w:t>
                    </w:r>
                  </w:p>
                  <w:p>
                    <w:pPr>
                      <w:spacing w:line="242" w:lineRule="exact" w:before="0"/>
                      <w:ind w:left="292" w:right="6111" w:firstLine="0"/>
                      <w:jc w:val="center"/>
                      <w:rPr>
                        <w:rFonts w:ascii="Calibri"/>
                        <w:b/>
                        <w:sz w:val="22"/>
                      </w:rPr>
                    </w:pPr>
                    <w:r>
                      <w:rPr>
                        <w:rFonts w:ascii="Calibri"/>
                        <w:b/>
                        <w:sz w:val="22"/>
                      </w:rPr>
                      <w:t>Cofnododd</w:t>
                    </w:r>
                    <w:r>
                      <w:rPr>
                        <w:rFonts w:ascii="Calibri"/>
                        <w:b/>
                        <w:spacing w:val="-3"/>
                        <w:sz w:val="22"/>
                      </w:rPr>
                      <w:t> </w:t>
                    </w:r>
                    <w:r>
                      <w:rPr>
                        <w:rFonts w:ascii="Calibri"/>
                        <w:b/>
                        <w:sz w:val="22"/>
                      </w:rPr>
                      <w:t>2%</w:t>
                    </w:r>
                    <w:r>
                      <w:rPr>
                        <w:rFonts w:ascii="Calibri"/>
                        <w:b/>
                        <w:spacing w:val="-3"/>
                        <w:sz w:val="22"/>
                      </w:rPr>
                      <w:t> </w:t>
                    </w:r>
                    <w:r>
                      <w:rPr>
                        <w:rFonts w:ascii="Calibri"/>
                        <w:b/>
                        <w:sz w:val="22"/>
                      </w:rPr>
                      <w:t>Lefel</w:t>
                    </w:r>
                    <w:r>
                      <w:rPr>
                        <w:rFonts w:ascii="Calibri"/>
                        <w:b/>
                        <w:spacing w:val="-3"/>
                        <w:sz w:val="22"/>
                      </w:rPr>
                      <w:t> </w:t>
                    </w:r>
                    <w:r>
                      <w:rPr>
                        <w:rFonts w:ascii="Calibri"/>
                        <w:b/>
                        <w:spacing w:val="-10"/>
                        <w:sz w:val="22"/>
                      </w:rPr>
                      <w:t>2</w:t>
                    </w:r>
                  </w:p>
                  <w:p>
                    <w:pPr>
                      <w:spacing w:before="187"/>
                      <w:ind w:left="136" w:right="0" w:firstLine="0"/>
                      <w:jc w:val="left"/>
                      <w:rPr>
                        <w:rFonts w:ascii="Calibri"/>
                        <w:b/>
                        <w:sz w:val="22"/>
                      </w:rPr>
                    </w:pPr>
                    <w:r>
                      <w:rPr>
                        <w:rFonts w:ascii="Calibri"/>
                        <w:b/>
                        <w:sz w:val="22"/>
                      </w:rPr>
                      <w:t>Cofnododd</w:t>
                    </w:r>
                    <w:r>
                      <w:rPr>
                        <w:rFonts w:ascii="Calibri"/>
                        <w:b/>
                        <w:spacing w:val="-3"/>
                        <w:sz w:val="22"/>
                      </w:rPr>
                      <w:t> </w:t>
                    </w:r>
                    <w:r>
                      <w:rPr>
                        <w:rFonts w:ascii="Calibri"/>
                        <w:b/>
                        <w:sz w:val="22"/>
                      </w:rPr>
                      <w:t>7%</w:t>
                    </w:r>
                    <w:r>
                      <w:rPr>
                        <w:rFonts w:ascii="Calibri"/>
                        <w:b/>
                        <w:spacing w:val="-3"/>
                        <w:sz w:val="22"/>
                      </w:rPr>
                      <w:t> </w:t>
                    </w:r>
                    <w:r>
                      <w:rPr>
                        <w:rFonts w:ascii="Calibri"/>
                        <w:b/>
                        <w:sz w:val="22"/>
                      </w:rPr>
                      <w:t>Lefel</w:t>
                    </w:r>
                    <w:r>
                      <w:rPr>
                        <w:rFonts w:ascii="Calibri"/>
                        <w:b/>
                        <w:spacing w:val="-3"/>
                        <w:sz w:val="22"/>
                      </w:rPr>
                      <w:t> </w:t>
                    </w:r>
                    <w:r>
                      <w:rPr>
                        <w:rFonts w:ascii="Calibri"/>
                        <w:b/>
                        <w:spacing w:val="-10"/>
                        <w:sz w:val="22"/>
                      </w:rPr>
                      <w:t>1</w:t>
                    </w:r>
                  </w:p>
                  <w:p>
                    <w:pPr>
                      <w:spacing w:line="240" w:lineRule="auto" w:before="0"/>
                      <w:rPr>
                        <w:rFonts w:ascii="Calibri"/>
                        <w:b/>
                        <w:sz w:val="22"/>
                      </w:rPr>
                    </w:pPr>
                  </w:p>
                  <w:p>
                    <w:pPr>
                      <w:spacing w:line="240" w:lineRule="auto" w:before="3"/>
                      <w:rPr>
                        <w:rFonts w:ascii="Calibri"/>
                        <w:b/>
                        <w:sz w:val="16"/>
                      </w:rPr>
                    </w:pPr>
                  </w:p>
                  <w:p>
                    <w:pPr>
                      <w:spacing w:before="0"/>
                      <w:ind w:left="5140" w:right="1199" w:firstLine="0"/>
                      <w:jc w:val="left"/>
                      <w:rPr>
                        <w:rFonts w:ascii="Calibri"/>
                        <w:b/>
                        <w:sz w:val="22"/>
                      </w:rPr>
                    </w:pPr>
                    <w:r>
                      <w:rPr>
                        <w:rFonts w:ascii="Calibri"/>
                        <w:b/>
                        <w:color w:val="FFFFFF"/>
                        <w:sz w:val="22"/>
                      </w:rPr>
                      <w:t>Nid</w:t>
                    </w:r>
                    <w:r>
                      <w:rPr>
                        <w:rFonts w:ascii="Calibri"/>
                        <w:b/>
                        <w:color w:val="FFFFFF"/>
                        <w:spacing w:val="-8"/>
                        <w:sz w:val="22"/>
                      </w:rPr>
                      <w:t> </w:t>
                    </w:r>
                    <w:r>
                      <w:rPr>
                        <w:rFonts w:ascii="Calibri"/>
                        <w:b/>
                        <w:color w:val="FFFFFF"/>
                        <w:sz w:val="22"/>
                      </w:rPr>
                      <w:t>yw</w:t>
                    </w:r>
                    <w:r>
                      <w:rPr>
                        <w:rFonts w:ascii="Calibri"/>
                        <w:b/>
                        <w:color w:val="FFFFFF"/>
                        <w:spacing w:val="-8"/>
                        <w:sz w:val="22"/>
                      </w:rPr>
                      <w:t> </w:t>
                    </w:r>
                    <w:r>
                      <w:rPr>
                        <w:rFonts w:ascii="Calibri"/>
                        <w:b/>
                        <w:color w:val="FFFFFF"/>
                        <w:sz w:val="22"/>
                      </w:rPr>
                      <w:t>37%</w:t>
                    </w:r>
                    <w:r>
                      <w:rPr>
                        <w:rFonts w:ascii="Calibri"/>
                        <w:b/>
                        <w:color w:val="FFFFFF"/>
                        <w:spacing w:val="-8"/>
                        <w:sz w:val="22"/>
                      </w:rPr>
                      <w:t> </w:t>
                    </w:r>
                    <w:r>
                      <w:rPr>
                        <w:rFonts w:ascii="Calibri"/>
                        <w:b/>
                        <w:color w:val="FFFFFF"/>
                        <w:sz w:val="22"/>
                      </w:rPr>
                      <w:t>o'r</w:t>
                    </w:r>
                    <w:r>
                      <w:rPr>
                        <w:rFonts w:ascii="Calibri"/>
                        <w:b/>
                        <w:color w:val="FFFFFF"/>
                        <w:spacing w:val="-9"/>
                        <w:sz w:val="22"/>
                      </w:rPr>
                      <w:t> </w:t>
                    </w:r>
                    <w:r>
                      <w:rPr>
                        <w:rFonts w:ascii="Calibri"/>
                        <w:b/>
                        <w:color w:val="FFFFFF"/>
                        <w:sz w:val="22"/>
                      </w:rPr>
                      <w:t>staff</w:t>
                    </w:r>
                    <w:r>
                      <w:rPr>
                        <w:rFonts w:ascii="Calibri"/>
                        <w:b/>
                        <w:color w:val="FFFFFF"/>
                        <w:spacing w:val="-9"/>
                        <w:sz w:val="22"/>
                      </w:rPr>
                      <w:t> </w:t>
                    </w:r>
                    <w:r>
                      <w:rPr>
                        <w:rFonts w:ascii="Calibri"/>
                        <w:b/>
                        <w:color w:val="FFFFFF"/>
                        <w:sz w:val="22"/>
                      </w:rPr>
                      <w:t>wedi cofnodi'u sgiliau ar ESR.</w:t>
                    </w:r>
                  </w:p>
                  <w:p>
                    <w:pPr>
                      <w:spacing w:line="240" w:lineRule="auto" w:before="0"/>
                      <w:rPr>
                        <w:rFonts w:ascii="Calibri"/>
                        <w:b/>
                        <w:sz w:val="22"/>
                      </w:rPr>
                    </w:pPr>
                  </w:p>
                  <w:p>
                    <w:pPr>
                      <w:spacing w:line="240" w:lineRule="auto" w:before="0"/>
                      <w:rPr>
                        <w:rFonts w:ascii="Calibri"/>
                        <w:b/>
                        <w:sz w:val="22"/>
                      </w:rPr>
                    </w:pPr>
                  </w:p>
                  <w:p>
                    <w:pPr>
                      <w:spacing w:line="240" w:lineRule="auto" w:before="5"/>
                      <w:rPr>
                        <w:rFonts w:ascii="Calibri"/>
                        <w:b/>
                        <w:sz w:val="27"/>
                      </w:rPr>
                    </w:pPr>
                  </w:p>
                  <w:p>
                    <w:pPr>
                      <w:spacing w:before="1"/>
                      <w:ind w:left="2386" w:right="3543" w:firstLine="0"/>
                      <w:jc w:val="left"/>
                      <w:rPr>
                        <w:rFonts w:ascii="Calibri"/>
                        <w:b/>
                        <w:sz w:val="22"/>
                      </w:rPr>
                    </w:pPr>
                    <w:r>
                      <w:rPr>
                        <w:rFonts w:ascii="Calibri"/>
                        <w:b/>
                        <w:color w:val="FFFFFF"/>
                        <w:sz w:val="22"/>
                      </w:rPr>
                      <w:t>Mae 48% o'r staff wedi cofnodi nad oes</w:t>
                    </w:r>
                    <w:r>
                      <w:rPr>
                        <w:rFonts w:ascii="Calibri"/>
                        <w:b/>
                        <w:color w:val="FFFFFF"/>
                        <w:spacing w:val="-9"/>
                        <w:sz w:val="22"/>
                      </w:rPr>
                      <w:t> </w:t>
                    </w:r>
                    <w:r>
                      <w:rPr>
                        <w:rFonts w:ascii="Calibri"/>
                        <w:b/>
                        <w:color w:val="FFFFFF"/>
                        <w:sz w:val="22"/>
                      </w:rPr>
                      <w:t>ganddynt</w:t>
                    </w:r>
                    <w:r>
                      <w:rPr>
                        <w:rFonts w:ascii="Calibri"/>
                        <w:b/>
                        <w:color w:val="FFFFFF"/>
                        <w:spacing w:val="-9"/>
                        <w:sz w:val="22"/>
                      </w:rPr>
                      <w:t> </w:t>
                    </w:r>
                    <w:r>
                      <w:rPr>
                        <w:rFonts w:ascii="Calibri"/>
                        <w:b/>
                        <w:color w:val="FFFFFF"/>
                        <w:sz w:val="22"/>
                      </w:rPr>
                      <w:t>ddim</w:t>
                    </w:r>
                    <w:r>
                      <w:rPr>
                        <w:rFonts w:ascii="Calibri"/>
                        <w:b/>
                        <w:color w:val="FFFFFF"/>
                        <w:spacing w:val="-9"/>
                        <w:sz w:val="22"/>
                      </w:rPr>
                      <w:t> </w:t>
                    </w:r>
                    <w:r>
                      <w:rPr>
                        <w:rFonts w:ascii="Calibri"/>
                        <w:b/>
                        <w:color w:val="FFFFFF"/>
                        <w:sz w:val="22"/>
                      </w:rPr>
                      <w:t>dealltwriaeth</w:t>
                    </w:r>
                    <w:r>
                      <w:rPr>
                        <w:rFonts w:ascii="Calibri"/>
                        <w:b/>
                        <w:color w:val="FFFFFF"/>
                        <w:spacing w:val="-10"/>
                        <w:sz w:val="22"/>
                      </w:rPr>
                      <w:t> </w:t>
                    </w:r>
                    <w:r>
                      <w:rPr>
                        <w:rFonts w:ascii="Calibri"/>
                        <w:b/>
                        <w:color w:val="FFFFFF"/>
                        <w:sz w:val="22"/>
                      </w:rPr>
                      <w:t>o'r </w:t>
                    </w:r>
                    <w:r>
                      <w:rPr>
                        <w:rFonts w:ascii="Calibri"/>
                        <w:b/>
                        <w:color w:val="FFFFFF"/>
                        <w:spacing w:val="-2"/>
                        <w:sz w:val="22"/>
                      </w:rPr>
                      <w:t>iaith</w:t>
                    </w:r>
                  </w:p>
                </w:txbxContent>
              </v:textbox>
              <w10:wrap type="none"/>
            </v:shape>
            <w10:wrap type="topAndBottom"/>
          </v:group>
        </w:pict>
      </w:r>
    </w:p>
    <w:p>
      <w:pPr>
        <w:spacing w:after="0"/>
        <w:rPr>
          <w:rFonts w:ascii="Calibri"/>
          <w:sz w:val="10"/>
        </w:rPr>
        <w:sectPr>
          <w:pgSz w:w="11910" w:h="16840"/>
          <w:pgMar w:header="0" w:footer="173" w:top="1380" w:bottom="360" w:left="0" w:right="0"/>
        </w:sectPr>
      </w:pPr>
    </w:p>
    <w:p>
      <w:pPr>
        <w:pStyle w:val="BodyText"/>
        <w:ind w:left="1432"/>
        <w:rPr>
          <w:rFonts w:ascii="Calibri"/>
          <w:sz w:val="20"/>
        </w:rPr>
      </w:pPr>
      <w:r>
        <w:rPr>
          <w:rFonts w:ascii="Calibri"/>
          <w:sz w:val="20"/>
        </w:rPr>
        <w:pict>
          <v:group style="width:469.5pt;height:396.85pt;mso-position-horizontal-relative:char;mso-position-vertical-relative:line" id="docshapegroup974" coordorigin="0,0" coordsize="9390,7937">
            <v:line style="position:absolute" from="0,7930" to="9390,7930" stroked="true" strokeweight=".719727pt" strokecolor="#000000">
              <v:stroke dashstyle="solid"/>
            </v:line>
            <v:rect style="position:absolute;left:60;top:7;width:9260;height:7880" id="docshape975" filled="false" stroked="true" strokeweight=".75pt" strokecolor="#d8d8d8">
              <v:stroke dashstyle="solid"/>
            </v:rect>
            <v:shape style="position:absolute;left:4690;top:2020;width:2;height:1805" id="docshape976" coordorigin="4690,2020" coordsize="0,1805" path="m4690,3825l4690,2020,4690,3825xe" filled="true" fillcolor="#1f3969" stroked="false">
              <v:path arrowok="t"/>
              <v:fill type="solid"/>
            </v:shape>
            <v:shape style="position:absolute;left:4010;top:2042;width:680;height:2532" id="docshape977" coordorigin="4010,2043" coordsize="680,2532" path="m4690,4575l4010,2793,4010,2043,4690,3825,4690,4575xe" filled="true" fillcolor="#182f56" stroked="false">
              <v:path arrowok="t"/>
              <v:fill type="solid"/>
            </v:shape>
            <v:shape style="position:absolute;left:4010;top:2042;width:680;height:2532" id="docshape978" coordorigin="4010,2043" coordsize="680,2532" path="m4010,2043l4690,3825,4690,4575,4010,2793,4010,2043xe" filled="false" stroked="true" strokeweight=".735118pt" strokecolor="#ffffff">
              <v:path arrowok="t"/>
              <v:stroke dashstyle="solid"/>
            </v:shape>
            <v:shape style="position:absolute;left:4010;top:2042;width:680;height:2532" id="docshape979" coordorigin="4010,2043" coordsize="680,2532" path="m4690,4575l4010,2793,4010,2043,4690,3825,4690,4575xe" filled="true" fillcolor="#62983d" stroked="false">
              <v:path arrowok="t"/>
              <v:fill type="solid"/>
            </v:shape>
            <v:shape style="position:absolute;left:4010;top:2042;width:680;height:2532" id="docshape980" coordorigin="4010,2043" coordsize="680,2532" path="m4010,2043l4690,3825,4690,4575,4010,2793,4010,2043xe" filled="false" stroked="true" strokeweight=".735118pt" strokecolor="#ffffff">
              <v:path arrowok="t"/>
              <v:stroke dashstyle="solid"/>
            </v:shape>
            <v:shape style="position:absolute;left:3784;top:2060;width:906;height:2515" id="docshape981" coordorigin="3784,2060" coordsize="906,2515" path="m4690,4575l3784,2810,3784,2060,4690,3825,4690,4575xe" filled="true" fillcolor="#507e31" stroked="false">
              <v:path arrowok="t"/>
              <v:fill type="solid"/>
            </v:shape>
            <v:shape style="position:absolute;left:3784;top:2060;width:906;height:2515" id="docshape982" coordorigin="3784,2060" coordsize="906,2515" path="m3784,2060l4690,3825,4690,4575,3784,2810,3784,2060xe" filled="false" stroked="true" strokeweight=".735118pt" strokecolor="#ffffff">
              <v:path arrowok="t"/>
              <v:stroke dashstyle="solid"/>
            </v:shape>
            <v:shape style="position:absolute;left:3784;top:2060;width:906;height:2515" id="docshape983" coordorigin="3784,2060" coordsize="906,2515" path="m4690,4575l3784,2810,3784,2060,4690,3825,4690,4575xe" filled="true" fillcolor="#4f88bb" stroked="false">
              <v:path arrowok="t"/>
              <v:fill type="solid"/>
            </v:shape>
            <v:shape style="position:absolute;left:3784;top:2060;width:906;height:2515" id="docshape984" coordorigin="3784,2060" coordsize="906,2515" path="m3784,2060l4690,3825,4690,4575,3784,2810,3784,2060xe" filled="false" stroked="true" strokeweight=".735118pt" strokecolor="#ffffff">
              <v:path arrowok="t"/>
              <v:stroke dashstyle="solid"/>
            </v:shape>
            <v:shape style="position:absolute;left:3333;top:2111;width:1357;height:2464" id="docshape985" coordorigin="3333,2111" coordsize="1357,2464" path="m4690,4575l3333,2861,3333,2111,4690,3825,4690,4575xe" filled="true" fillcolor="#41719c" stroked="false">
              <v:path arrowok="t"/>
              <v:fill type="solid"/>
            </v:shape>
            <v:shape style="position:absolute;left:3333;top:2111;width:1357;height:2464" id="docshape986" coordorigin="3333,2111" coordsize="1357,2464" path="m3333,2111l4690,3825,4690,4575,3333,2861,3333,2111xe" filled="false" stroked="true" strokeweight=".735118pt" strokecolor="#ffffff">
              <v:path arrowok="t"/>
              <v:stroke dashstyle="solid"/>
            </v:shape>
            <v:shape style="position:absolute;left:3333;top:2111;width:1357;height:2464" id="docshape987" coordorigin="3333,2111" coordsize="1357,2464" path="m4690,4575l3333,2861,3333,2111,4690,3825,4690,4575xe" filled="true" fillcolor="#e1a900" stroked="false">
              <v:path arrowok="t"/>
              <v:fill type="solid"/>
            </v:shape>
            <v:shape style="position:absolute;left:3333;top:2111;width:1357;height:2464" id="docshape988" coordorigin="3333,2111" coordsize="1357,2464" path="m3333,2111l4690,3825,4690,4575,3333,2861,3333,2111xe" filled="false" stroked="true" strokeweight=".735118pt" strokecolor="#ffffff">
              <v:path arrowok="t"/>
              <v:stroke dashstyle="solid"/>
            </v:shape>
            <v:shape style="position:absolute;left:2886;top:2184;width:1804;height:2391" id="docshape989" coordorigin="2887,2184" coordsize="1804,2391" path="m4690,4575l2887,2934,2887,2184,4690,3825,4690,4575xe" filled="true" fillcolor="#bc8c00" stroked="false">
              <v:path arrowok="t"/>
              <v:fill type="solid"/>
            </v:shape>
            <v:shape style="position:absolute;left:2886;top:2184;width:1804;height:2391" id="docshape990" coordorigin="2887,2184" coordsize="1804,2391" path="m2887,2184l4690,3825,4690,4575,2887,2934,2887,2184xe" filled="false" stroked="true" strokeweight=".735118pt" strokecolor="#ffffff">
              <v:path arrowok="t"/>
              <v:stroke dashstyle="solid"/>
            </v:shape>
            <v:shape style="position:absolute;left:2886;top:2184;width:1804;height:2391" id="docshape991" coordorigin="2887,2184" coordsize="1804,2391" path="m4690,4575l2887,2934,2887,2184,4690,3825,4690,4575xe" filled="true" fillcolor="#919191" stroked="false">
              <v:path arrowok="t"/>
              <v:fill type="solid"/>
            </v:shape>
            <v:shape style="position:absolute;left:2886;top:2184;width:1804;height:2391" id="docshape992" coordorigin="2887,2184" coordsize="1804,2391" path="m2887,2184l4690,3825,4690,4575,2887,2934,2887,2184xe" filled="false" stroked="true" strokeweight=".735118pt" strokecolor="#ffffff">
              <v:path arrowok="t"/>
              <v:stroke dashstyle="solid"/>
            </v:shape>
            <v:shape style="position:absolute;left:1816;top:2475;width:2874;height:2100" id="docshape993" coordorigin="1816,2475" coordsize="2874,2100" path="m4690,4575l1816,3225,1816,2475,4690,3825,4690,4575xe" filled="true" fillcolor="#787878" stroked="false">
              <v:path arrowok="t"/>
              <v:fill type="solid"/>
            </v:shape>
            <v:shape style="position:absolute;left:1816;top:2475;width:2874;height:2100" id="docshape994" coordorigin="1816,2475" coordsize="2874,2100" path="m1816,2475l4690,3825,4690,4575,1816,3225,1816,2475xe" filled="false" stroked="true" strokeweight=".735118pt" strokecolor="#ffffff">
              <v:path arrowok="t"/>
              <v:stroke dashstyle="solid"/>
            </v:shape>
            <v:shape style="position:absolute;left:1816;top:2475;width:2874;height:2100" id="docshape995" coordorigin="1816,2475" coordsize="2874,2100" path="m4690,4575l1816,3225,1816,2475,4690,3825,4690,4575xe" filled="true" fillcolor="#d16c2a" stroked="false">
              <v:path arrowok="t"/>
              <v:fill type="solid"/>
            </v:shape>
            <v:shape style="position:absolute;left:1816;top:2475;width:2874;height:2100" id="docshape996" coordorigin="1816,2475" coordsize="2874,2100" path="m1816,2475l4690,3825,4690,4575,1816,3225,1816,2475xe" filled="false" stroked="true" strokeweight=".735118pt" strokecolor="#ffffff">
              <v:path arrowok="t"/>
              <v:stroke dashstyle="solid"/>
            </v:shape>
            <v:rect style="position:absolute;left:360;top:3824;width:4330;height:750" id="docshape997" filled="true" fillcolor="#d16c2a" stroked="false">
              <v:fill type="solid"/>
            </v:rect>
            <v:rect style="position:absolute;left:360;top:3824;width:4330;height:750" id="docshape998" filled="false" stroked="true" strokeweight=".735118pt" strokecolor="#ffffff">
              <v:stroke dashstyle="solid"/>
            </v:rect>
            <v:shape style="position:absolute;left:4690;top:4574;width:2;height:2165" id="docshape999" coordorigin="4690,4575" coordsize="0,2165" path="m4690,6740l4690,4575,4690,6740xe" filled="true" fillcolor="#ae5a21" stroked="false">
              <v:path arrowok="t"/>
              <v:fill type="solid"/>
            </v:shape>
            <v:shape style="position:absolute;left:4690;top:3824;width:2;height:2915" id="docshape1000" coordorigin="4690,3825" coordsize="0,2915" path="m4690,5990l4690,3825,4690,4575,4690,6740,4690,5990xe" filled="false" stroked="true" strokeweight=".735118pt" strokecolor="#ffffff">
              <v:path arrowok="t"/>
              <v:stroke dashstyle="solid"/>
            </v:shape>
            <v:shape style="position:absolute;left:4690;top:2020;width:2;height:1805" id="docshape1001" coordorigin="4690,2020" coordsize="0,1805" path="m4690,3825l4690,2020,4690,3825xe" filled="true" fillcolor="#2f528f" stroked="false">
              <v:path arrowok="t"/>
              <v:fill type="solid"/>
            </v:shape>
            <v:shape style="position:absolute;left:4690;top:2020;width:2;height:2555" id="docshape1002" coordorigin="4690,2020" coordsize="0,2555" path="m4690,2020l4690,3825,4690,4575,4690,2770,4690,2020xe" filled="false" stroked="true" strokeweight=".735118pt" strokecolor="#ffffff">
              <v:path arrowok="t"/>
              <v:stroke dashstyle="solid"/>
            </v:shape>
            <v:rect style="position:absolute;left:4690;top:3824;width:4330;height:750" id="docshape1003" filled="true" fillcolor="#2f528f" stroked="false">
              <v:fill type="solid"/>
            </v:rect>
            <v:rect style="position:absolute;left:4690;top:3824;width:4330;height:750" id="docshape1004" filled="false" stroked="true" strokeweight=".735118pt" strokecolor="#ffffff">
              <v:stroke dashstyle="solid"/>
            </v:rect>
            <v:shape style="position:absolute;left:4690;top:3824;width:2964;height:2329" id="docshape1005" coordorigin="4690,3825" coordsize="2964,2329" path="m7654,6153l4690,4575,4690,3825,7654,5403,7654,6153xe" filled="true" fillcolor="#3b64ac" stroked="false">
              <v:path arrowok="t"/>
              <v:fill type="solid"/>
            </v:shape>
            <v:shape style="position:absolute;left:4690;top:3824;width:2964;height:2329" id="docshape1006" coordorigin="4690,3825" coordsize="2964,2329" path="m7654,5403l4690,3825,4690,4575,7654,6153,7654,5403xe" filled="false" stroked="true" strokeweight=".735118pt" strokecolor="#ffffff">
              <v:path arrowok="t"/>
              <v:stroke dashstyle="solid"/>
            </v:shape>
            <v:shape style="position:absolute;left:4690;top:3824;width:2964;height:2329" id="docshape1007" coordorigin="4690,3825" coordsize="2964,2329" path="m7654,6153l4690,4575,4690,3825,7654,5403,7654,6153xe" filled="true" fillcolor="#ae5a21" stroked="false">
              <v:path arrowok="t"/>
              <v:fill type="solid"/>
            </v:shape>
            <v:shape style="position:absolute;left:4690;top:3824;width:2964;height:2329" id="docshape1008" coordorigin="4690,3825" coordsize="2964,2329" path="m7654,5403l4690,3825,4690,4575,7654,6153,7654,5403xe" filled="false" stroked="true" strokeweight=".735118pt" strokecolor="#ffffff">
              <v:path arrowok="t"/>
              <v:stroke dashstyle="solid"/>
            </v:shape>
            <v:shape style="position:absolute;left:4690;top:3824;width:2;height:2915" id="docshape1009" coordorigin="4690,3825" coordsize="0,2915" path="m4690,6740l4690,5990,4690,3825,4690,6740xe" filled="true" fillcolor="#d16c2a" stroked="false">
              <v:path arrowok="t"/>
              <v:fill type="solid"/>
            </v:shape>
            <v:shape style="position:absolute;left:4690;top:3824;width:2;height:2915" id="docshape1010" coordorigin="4690,3825" coordsize="0,2915" path="m4690,5990l4690,3825,4690,4575,4690,6740,4690,5990xe" filled="false" stroked="true" strokeweight=".735118pt" strokecolor="#ffffff">
              <v:path arrowok="t"/>
              <v:stroke dashstyle="solid"/>
            </v:shape>
            <v:shape style="position:absolute;left:7653;top:3824;width:1367;height:2329" type="#_x0000_t75" id="docshape1011" stroked="false">
              <v:imagedata r:id="rId215" o:title=""/>
            </v:shape>
            <v:shape style="position:absolute;left:7653;top:3824;width:1367;height:2329" id="docshape1012" coordorigin="7654,3825" coordsize="1367,2329" path="m9020,3825l9018,3886,9013,3948,9004,4009,8992,4070,8976,4131,8958,4191,8935,4251,8910,4310,8881,4369,8848,4428,8813,4486,8774,4543,8732,4600,8687,4657,8639,4712,8588,4767,8534,4821,8476,4875,8416,4927,8353,4979,8287,5030,8217,5080,8145,5129,8070,5178,7993,5225,7912,5271,7829,5316,7743,5360,7654,5403,7654,6153,7743,6110,7829,6066,7912,6021,7993,5975,8070,5928,8145,5879,8217,5830,8287,5780,8353,5729,8416,5677,8476,5625,8534,5571,8588,5517,8639,5462,8687,5407,8732,5350,8774,5293,8813,5236,8848,5178,8881,5119,8910,5060,8935,5001,8958,4941,8976,4881,8992,4820,9004,4759,9013,4698,9018,4636,9020,4575,9020,3825xe" filled="false" stroked="true" strokeweight=".735118pt" strokecolor="#ffffff">
              <v:path arrowok="t"/>
              <v:stroke dashstyle="solid"/>
            </v:shape>
            <v:shape style="position:absolute;left:4690;top:2020;width:4330;height:3383" id="docshape1013" coordorigin="4690,2020" coordsize="4330,3383" path="m7654,5403l4690,3825,4690,2020,4853,2022,5016,2026,5178,2032,5339,2041,5499,2052,5658,2066,5816,2083,5972,2101,6127,2123,6280,2146,6355,2159,6462,2178,6567,2199,6670,2220,6771,2243,6871,2266,6969,2291,7065,2316,7159,2343,7251,2370,7341,2398,7429,2428,7516,2458,7600,2489,7682,2521,7762,2554,7840,2587,7915,2622,7989,2657,8060,2693,8129,2729,8196,2767,8260,2805,8322,2844,8382,2883,8439,2923,8494,2964,8546,3005,8595,3047,8643,3089,8687,3132,8729,3175,8805,3264,8869,3354,8923,3445,8965,3538,8995,3633,9014,3728,9020,3825,9018,3886,9013,3948,9004,4009,8992,4070,8976,4131,8958,4191,8935,4251,8910,4310,8881,4369,8848,4428,8813,4486,8774,4543,8732,4600,8687,4657,8639,4712,8588,4767,8534,4821,8476,4875,8416,4927,8353,4979,8287,5030,8217,5080,8145,5129,8070,5178,7993,5225,7912,5271,7829,5316,7743,5360,7654,5403xe" filled="true" fillcolor="#4472c4" stroked="false">
              <v:path arrowok="t"/>
              <v:fill type="solid"/>
            </v:shape>
            <v:shape style="position:absolute;left:4690;top:2020;width:4330;height:3383" id="docshape1014" coordorigin="4690,2020" coordsize="4330,3383" path="m4690,2020l4772,2021,4853,2022,4935,2023,5016,2026,5097,2028,5178,2032,5259,2036,5339,2041,5419,2046,5499,2052,5579,2059,5658,2066,5737,2074,5816,2083,5894,2092,5972,2101,6050,2112,6127,2123,6204,2134,6280,2146,6355,2159,6462,2178,6567,2199,6670,2220,6771,2243,6871,2266,6969,2291,7065,2316,7159,2343,7251,2370,7341,2398,7429,2428,7516,2458,7600,2489,7682,2521,7762,2554,7840,2587,7915,2622,7989,2657,8060,2693,8129,2729,8196,2767,8260,2805,8322,2844,8382,2883,8439,2923,8494,2964,8546,3005,8595,3047,8643,3089,8687,3132,8729,3175,8805,3264,8869,3354,8923,3445,8965,3538,8995,3633,9014,3728,9020,3825,9018,3886,9013,3948,9004,4009,8992,4070,8976,4131,8958,4191,8935,4251,8910,4310,8881,4369,8848,4428,8813,4486,8774,4543,8732,4600,8687,4657,8639,4712,8588,4767,8534,4821,8476,4875,8416,4927,8353,4979,8287,5030,8217,5080,8145,5129,8070,5178,7993,5225,7912,5271,7829,5316,7743,5360,7654,5403,4690,3825,4690,2020xe" filled="false" stroked="true" strokeweight=".735118pt" strokecolor="#ffffff">
              <v:path arrowok="t"/>
              <v:stroke dashstyle="solid"/>
            </v:shape>
            <v:shape style="position:absolute;left:360;top:3824;width:7294;height:2915" type="#_x0000_t75" id="docshape1015" stroked="false">
              <v:imagedata r:id="rId216" o:title=""/>
            </v:shape>
            <v:shape style="position:absolute;left:360;top:3824;width:7294;height:2915" id="docshape1016" coordorigin="360,3825" coordsize="7294,2915" path="m7654,5403l7589,5433,7524,5462,7457,5490,7390,5517,7321,5544,7251,5570,7181,5596,7109,5620,7037,5644,6963,5667,6889,5690,6814,5711,6738,5732,6661,5752,6584,5772,6505,5790,6426,5808,6347,5825,6266,5841,6185,5856,6103,5871,6021,5885,5938,5898,5855,5910,5770,5921,5686,5932,5601,5941,5515,5950,5429,5958,5343,5965,5262,5971,5182,5976,5101,5980,5020,5983,4940,5986,4859,5988,4778,5989,4697,5990,4616,5989,4535,5988,4454,5986,4374,5984,4293,5981,4213,5976,4132,5972,4052,5966,3972,5960,3892,5953,3813,5945,3734,5936,3655,5927,3576,5917,3484,5904,3393,5890,3303,5875,3213,5860,3124,5843,3037,5826,2950,5807,2864,5788,2779,5767,2695,5746,2612,5724,2530,5701,2449,5677,2369,5652,2290,5627,2213,5600,2136,5573,2061,5545,1987,5516,1915,5486,1843,5456,1773,5425,1704,5393,1637,5360,1571,5326,1506,5292,1443,5257,1382,5221,1322,5185,1263,5148,1206,5110,1150,5072,1096,5032,1044,4993,994,4952,923,4892,856,4830,793,4768,734,4705,679,4641,629,4576,583,4510,541,4444,503,4377,470,4309,441,4241,416,4173,396,4104,380,4034,369,3965,362,3895,360,3825,360,4575,361,4630,373,4741,395,4851,429,4959,473,5066,528,5171,559,5223,593,5275,629,5325,668,5376,710,5426,753,5475,799,5524,848,5572,899,5620,952,5666,1008,5713,1065,5758,1125,5803,1188,5847,1252,5890,1318,5932,1387,5974,1458,6015,1531,6055,1606,6094,1683,6132,1762,6169,1843,6205,1925,6241,2010,6275,2097,6308,2185,6341,2276,6372,2368,6402,2462,6431,2557,6459,2655,6485,2754,6511,2829,6529,2905,6547,2982,6564,3059,6580,3137,6596,3215,6610,3294,6624,3373,6637,3453,6649,3533,6661,3614,6672,3695,6682,3777,6691,3858,6699,3940,6707,4023,6714,4105,6720,4188,6725,4272,6729,4355,6733,4438,6736,4522,6738,4606,6739,4690,6740,4774,6739,4858,6738,4942,6736,5025,6733,5108,6729,5192,6725,5275,6720,5357,6714,5440,6707,5522,6699,5603,6691,5685,6682,5766,6672,5847,6661,5927,6649,6007,6637,6086,6624,6165,6610,6243,6596,6321,6580,6398,6564,6475,6547,6551,6529,6626,6511,6706,6491,6785,6469,6864,6447,6941,6424,7017,6400,7092,6376,7166,6351,7239,6325,7311,6298,7382,6270,7452,6242,7520,6213,7588,6183,7654,6153,7654,5403xe" filled="false" stroked="true" strokeweight=".735118pt" strokecolor="#ffffff">
              <v:path arrowok="t"/>
              <v:stroke dashstyle="solid"/>
            </v:shape>
            <v:shape style="position:absolute;left:360;top:2475;width:7294;height:3515" id="docshape1017" coordorigin="360,2475" coordsize="7294,3515" path="m4690,5990l4522,5988,4355,5983,4188,5975,4023,5964,3858,5949,3777,5941,3695,5932,3614,5922,3533,5911,3453,5899,3373,5887,3294,5874,3215,5860,3137,5846,3059,5830,2982,5814,2905,5797,2829,5779,2754,5761,2655,5736,2557,5709,2462,5681,2368,5652,2276,5622,2185,5591,2097,5558,2010,5525,1925,5491,1843,5455,1762,5419,1683,5382,1606,5344,1531,5305,1458,5265,1387,5224,1318,5182,1252,5140,1188,5097,1125,5053,1065,5008,1008,4963,952,4916,899,4870,848,4822,799,4774,753,4725,710,4676,668,4626,629,4576,593,4525,559,4473,528,4421,473,4316,429,4209,395,4101,373,3991,361,3880,360,3825,362,3769,378,3660,410,3551,457,3444,487,3391,520,3339,557,3287,597,3236,642,3185,690,3134,741,3085,796,3036,854,2988,916,2940,982,2893,1051,2847,1123,2802,1198,2758,1277,2714,1359,2672,1444,2631,1532,2590,1624,2551,1719,2512,1816,2475,4690,3825,7654,5403,7589,5433,7524,5462,7457,5490,7390,5517,7321,5544,7251,5570,7181,5596,7109,5620,7037,5644,6963,5667,6889,5690,6814,5711,6738,5732,6661,5752,6584,5772,6505,5790,6426,5808,6347,5825,6266,5841,6185,5856,6103,5871,6021,5885,5938,5898,5855,5910,5770,5921,5686,5932,5601,5941,5515,5950,5429,5958,5343,5965,5180,5976,5017,5983,4854,5988,4690,5990xe" filled="true" fillcolor="#ed7d31" stroked="false">
              <v:path arrowok="t"/>
              <v:fill type="solid"/>
            </v:shape>
            <v:shape style="position:absolute;left:360;top:2475;width:7294;height:3515" id="docshape1018" coordorigin="360,2475" coordsize="7294,3515" path="m7654,5403l7589,5433,7524,5462,7457,5490,7390,5517,7321,5544,7251,5570,7181,5596,7109,5620,7037,5644,6963,5667,6889,5690,6814,5711,6738,5732,6661,5752,6584,5772,6505,5790,6426,5808,6347,5825,6266,5841,6185,5856,6103,5871,6021,5885,5938,5898,5855,5910,5770,5921,5686,5932,5601,5941,5515,5950,5429,5958,5343,5965,5262,5971,5180,5976,5099,5980,5017,5983,4936,5986,4854,5988,4772,5989,4690,5990,4606,5989,4522,5988,4438,5986,4355,5983,4272,5979,4188,5975,4105,5970,4023,5964,3940,5957,3858,5949,3777,5941,3695,5932,3614,5922,3533,5911,3453,5899,3373,5887,3294,5874,3215,5860,3137,5846,3059,5830,2982,5814,2905,5797,2829,5779,2754,5761,2655,5736,2557,5709,2462,5681,2368,5652,2276,5622,2185,5591,2097,5558,2010,5525,1925,5491,1843,5455,1762,5419,1683,5382,1606,5344,1531,5305,1458,5265,1387,5224,1318,5182,1252,5140,1188,5097,1125,5053,1065,5008,1008,4963,952,4916,899,4870,848,4822,799,4774,753,4725,710,4676,668,4626,629,4576,593,4525,559,4473,528,4421,473,4316,429,4209,395,4101,373,3991,361,3880,360,3825,368,3715,392,3605,432,3498,487,3391,520,3339,557,3287,597,3236,642,3185,690,3134,741,3085,796,3036,854,2988,916,2940,982,2893,1051,2847,1123,2802,1198,2758,1277,2714,1359,2672,1444,2631,1532,2590,1624,2551,1719,2512,1816,2475,4690,3825,7654,5403xe" filled="false" stroked="true" strokeweight=".735118pt" strokecolor="#ffffff">
              <v:path arrowok="t"/>
              <v:stroke dashstyle="solid"/>
            </v:shape>
            <v:shape style="position:absolute;left:1816;top:2184;width:2874;height:1641" id="docshape1019" coordorigin="1816,2184" coordsize="2874,1641" path="m4690,3825l1816,2475,1886,2450,1956,2426,2028,2402,2100,2379,2174,2356,2250,2334,2326,2313,2403,2293,2481,2273,2560,2254,2641,2235,2722,2218,2804,2201,2887,2184,4690,3825xe" filled="true" fillcolor="#a5a5a5" stroked="false">
              <v:path arrowok="t"/>
              <v:fill type="solid"/>
            </v:shape>
            <v:shape style="position:absolute;left:1816;top:2184;width:2874;height:1641" id="docshape1020" coordorigin="1816,2184" coordsize="2874,1641" path="m1816,2475l1886,2450,1956,2426,2028,2402,2100,2379,2174,2356,2250,2334,2326,2313,2403,2293,2481,2273,2560,2254,2641,2235,2722,2218,2804,2201,2887,2184,4690,3825,1816,2475xe" filled="false" stroked="true" strokeweight=".735118pt" strokecolor="#ffffff">
              <v:path arrowok="t"/>
              <v:stroke dashstyle="solid"/>
            </v:shape>
            <v:shape style="position:absolute;left:2886;top:2111;width:1804;height:1714" id="docshape1021" coordorigin="2887,2111" coordsize="1804,1714" path="m4690,3825l2887,2184,3034,2158,3182,2133,3333,2111,4690,3825xe" filled="true" fillcolor="#ffc000" stroked="false">
              <v:path arrowok="t"/>
              <v:fill type="solid"/>
            </v:shape>
            <v:shape style="position:absolute;left:2886;top:2111;width:1804;height:1714" id="docshape1022" coordorigin="2887,2111" coordsize="1804,1714" path="m2887,2184l2960,2171,3034,2158,3108,2145,3182,2133,3258,2122,3333,2111,4690,3825,2887,2184xe" filled="false" stroked="true" strokeweight=".735118pt" strokecolor="#ffffff">
              <v:path arrowok="t"/>
              <v:stroke dashstyle="solid"/>
            </v:shape>
            <v:shape style="position:absolute;left:3333;top:2060;width:1357;height:1765" id="docshape1023" coordorigin="3333,2060" coordsize="1357,1765" path="m4690,3825l3333,2111,3482,2092,3632,2075,3784,2060,4690,3825xe" filled="true" fillcolor="#5b9bd5" stroked="false">
              <v:path arrowok="t"/>
              <v:fill type="solid"/>
            </v:shape>
            <v:shape style="position:absolute;left:3333;top:2060;width:1357;height:1765" id="docshape1024" coordorigin="3333,2060" coordsize="1357,1765" path="m3333,2111l3408,2101,3482,2092,3557,2083,3632,2075,3708,2067,3784,2060,4690,3825,3333,2111xe" filled="false" stroked="true" strokeweight=".735118pt" strokecolor="#ffffff">
              <v:path arrowok="t"/>
              <v:stroke dashstyle="solid"/>
            </v:shape>
            <v:shape style="position:absolute;left:3784;top:2042;width:906;height:1782" id="docshape1025" coordorigin="3784,2043" coordsize="906,1782" path="m4690,3825l3784,2060,3840,2056,4010,2043,4690,3825xe" filled="true" fillcolor="#70ad47" stroked="false">
              <v:path arrowok="t"/>
              <v:fill type="solid"/>
            </v:shape>
            <v:shape style="position:absolute;left:3784;top:2042;width:906;height:1782" id="docshape1026" coordorigin="3784,2043" coordsize="906,1782" path="m3784,2060l3840,2056,3897,2051,3954,2047,4010,2043,4690,3825,3784,2060xe" filled="false" stroked="true" strokeweight=".735118pt" strokecolor="#ffffff">
              <v:path arrowok="t"/>
              <v:stroke dashstyle="solid"/>
            </v:shape>
            <v:shape style="position:absolute;left:4010;top:2020;width:680;height:1805" id="docshape1027" coordorigin="4010,2020" coordsize="680,1805" path="m4690,3825l4010,2043,4085,2038,4236,2030,4387,2025,4538,2022,4690,2020,4690,3825xe" filled="true" fillcolor="#254378" stroked="false">
              <v:path arrowok="t"/>
              <v:fill type="solid"/>
            </v:shape>
            <v:shape style="position:absolute;left:4010;top:2020;width:680;height:1805" id="docshape1028" coordorigin="4010,2020" coordsize="680,1805" path="m4010,2043l4085,2038,4160,2034,4236,2030,4311,2027,4387,2025,4463,2023,4538,2022,4614,2021,4690,2020,4690,3825,4010,2043xe" filled="false" stroked="true" strokeweight=".735118pt" strokecolor="#ffffff">
              <v:path arrowok="t"/>
              <v:stroke dashstyle="solid"/>
            </v:shape>
            <v:line style="position:absolute" from="4707,1674" to="4514,2179" stroked="true" strokeweight=".5pt" strokecolor="#4472c4">
              <v:stroke dashstyle="solid"/>
            </v:line>
            <v:line style="position:absolute" from="2080,2167" to="2507,2474" stroked="true" strokeweight=".5pt" strokecolor="#4472c4">
              <v:stroke dashstyle="solid"/>
            </v:line>
            <v:line style="position:absolute" from="3787,1368" to="3947,2021" stroked="true" strokeweight=".5pt" strokecolor="#4472c4">
              <v:stroke dashstyle="solid"/>
            </v:line>
            <v:line style="position:absolute" from="3093,1327" to="3600,2021" stroked="true" strokeweight=".5pt" strokecolor="#4472c4">
              <v:stroke dashstyle="solid"/>
            </v:line>
            <v:line style="position:absolute" from="2493,1741" to="3147,2141" stroked="true" strokeweight=".5pt" strokecolor="#4472c4">
              <v:stroke dashstyle="solid"/>
            </v:line>
            <v:shape style="position:absolute;left:2385;top:102;width:3333;height:320" type="#_x0000_t202" id="docshape1029" filled="false" stroked="false">
              <v:textbox inset="0,0,0,0">
                <w:txbxContent>
                  <w:p>
                    <w:pPr>
                      <w:spacing w:line="320" w:lineRule="exact" w:before="0"/>
                      <w:ind w:left="0" w:right="0" w:firstLine="0"/>
                      <w:jc w:val="left"/>
                      <w:rPr>
                        <w:rFonts w:ascii="Calibri"/>
                        <w:b/>
                        <w:sz w:val="32"/>
                      </w:rPr>
                    </w:pPr>
                    <w:r>
                      <w:rPr>
                        <w:rFonts w:ascii="Calibri"/>
                        <w:b/>
                        <w:color w:val="1E4E79"/>
                        <w:sz w:val="32"/>
                      </w:rPr>
                      <w:t>Sgiliau</w:t>
                    </w:r>
                    <w:r>
                      <w:rPr>
                        <w:rFonts w:ascii="Calibri"/>
                        <w:b/>
                        <w:color w:val="1E4E79"/>
                        <w:spacing w:val="-3"/>
                        <w:sz w:val="32"/>
                      </w:rPr>
                      <w:t> </w:t>
                    </w:r>
                    <w:r>
                      <w:rPr>
                        <w:rFonts w:ascii="Calibri"/>
                        <w:b/>
                        <w:color w:val="1E4E79"/>
                        <w:sz w:val="32"/>
                      </w:rPr>
                      <w:t>Cymraeg</w:t>
                    </w:r>
                    <w:r>
                      <w:rPr>
                        <w:rFonts w:ascii="Calibri"/>
                        <w:b/>
                        <w:color w:val="1E4E79"/>
                        <w:spacing w:val="-2"/>
                        <w:sz w:val="32"/>
                      </w:rPr>
                      <w:t> </w:t>
                    </w:r>
                    <w:r>
                      <w:rPr>
                        <w:rFonts w:ascii="Calibri"/>
                        <w:b/>
                        <w:color w:val="1E4E79"/>
                        <w:sz w:val="32"/>
                      </w:rPr>
                      <w:t>-</w:t>
                    </w:r>
                    <w:r>
                      <w:rPr>
                        <w:rFonts w:ascii="Calibri"/>
                        <w:b/>
                        <w:color w:val="1E4E79"/>
                        <w:spacing w:val="-3"/>
                        <w:sz w:val="32"/>
                      </w:rPr>
                      <w:t> </w:t>
                    </w:r>
                    <w:r>
                      <w:rPr>
                        <w:rFonts w:ascii="Calibri"/>
                        <w:b/>
                        <w:color w:val="1E4E79"/>
                        <w:spacing w:val="-2"/>
                        <w:sz w:val="32"/>
                      </w:rPr>
                      <w:t>Darllen</w:t>
                    </w:r>
                  </w:p>
                </w:txbxContent>
              </v:textbox>
              <w10:wrap type="none"/>
            </v:shape>
            <v:shape style="position:absolute;left:1304;top:1137;width:2004;height:220" type="#_x0000_t202" id="docshape1030" filled="false" stroked="false">
              <v:textbox inset="0,0,0,0">
                <w:txbxContent>
                  <w:p>
                    <w:pPr>
                      <w:spacing w:line="220" w:lineRule="exact" w:before="0"/>
                      <w:ind w:left="0" w:right="0" w:firstLine="0"/>
                      <w:jc w:val="left"/>
                      <w:rPr>
                        <w:rFonts w:ascii="Calibri"/>
                        <w:b/>
                        <w:sz w:val="22"/>
                      </w:rPr>
                    </w:pPr>
                    <w:r>
                      <w:rPr>
                        <w:rFonts w:ascii="Calibri"/>
                        <w:b/>
                        <w:sz w:val="22"/>
                      </w:rPr>
                      <w:t>Cofnododd</w:t>
                    </w:r>
                    <w:r>
                      <w:rPr>
                        <w:rFonts w:ascii="Calibri"/>
                        <w:b/>
                        <w:spacing w:val="-3"/>
                        <w:sz w:val="22"/>
                      </w:rPr>
                      <w:t> </w:t>
                    </w:r>
                    <w:r>
                      <w:rPr>
                        <w:rFonts w:ascii="Calibri"/>
                        <w:b/>
                        <w:sz w:val="22"/>
                      </w:rPr>
                      <w:t>2%</w:t>
                    </w:r>
                    <w:r>
                      <w:rPr>
                        <w:rFonts w:ascii="Calibri"/>
                        <w:b/>
                        <w:spacing w:val="-3"/>
                        <w:sz w:val="22"/>
                      </w:rPr>
                      <w:t> </w:t>
                    </w:r>
                    <w:r>
                      <w:rPr>
                        <w:rFonts w:ascii="Calibri"/>
                        <w:b/>
                        <w:sz w:val="22"/>
                      </w:rPr>
                      <w:t>Lefel</w:t>
                    </w:r>
                    <w:r>
                      <w:rPr>
                        <w:rFonts w:ascii="Calibri"/>
                        <w:b/>
                        <w:spacing w:val="-3"/>
                        <w:sz w:val="22"/>
                      </w:rPr>
                      <w:t> </w:t>
                    </w:r>
                    <w:r>
                      <w:rPr>
                        <w:rFonts w:ascii="Calibri"/>
                        <w:b/>
                        <w:spacing w:val="-10"/>
                        <w:sz w:val="22"/>
                      </w:rPr>
                      <w:t>3</w:t>
                    </w:r>
                  </w:p>
                </w:txbxContent>
              </v:textbox>
              <w10:wrap type="none"/>
            </v:shape>
            <v:shape style="position:absolute;left:3557;top:1070;width:2004;height:220" type="#_x0000_t202" id="docshape1031" filled="false" stroked="false">
              <v:textbox inset="0,0,0,0">
                <w:txbxContent>
                  <w:p>
                    <w:pPr>
                      <w:spacing w:line="220" w:lineRule="exact" w:before="0"/>
                      <w:ind w:left="0" w:right="0" w:firstLine="0"/>
                      <w:jc w:val="left"/>
                      <w:rPr>
                        <w:rFonts w:ascii="Calibri"/>
                        <w:b/>
                        <w:sz w:val="22"/>
                      </w:rPr>
                    </w:pPr>
                    <w:r>
                      <w:rPr>
                        <w:rFonts w:ascii="Calibri"/>
                        <w:b/>
                        <w:sz w:val="22"/>
                      </w:rPr>
                      <w:t>Cofnododd</w:t>
                    </w:r>
                    <w:r>
                      <w:rPr>
                        <w:rFonts w:ascii="Calibri"/>
                        <w:b/>
                        <w:spacing w:val="-3"/>
                        <w:sz w:val="22"/>
                      </w:rPr>
                      <w:t> </w:t>
                    </w:r>
                    <w:r>
                      <w:rPr>
                        <w:rFonts w:ascii="Calibri"/>
                        <w:b/>
                        <w:sz w:val="22"/>
                      </w:rPr>
                      <w:t>1%</w:t>
                    </w:r>
                    <w:r>
                      <w:rPr>
                        <w:rFonts w:ascii="Calibri"/>
                        <w:b/>
                        <w:spacing w:val="-3"/>
                        <w:sz w:val="22"/>
                      </w:rPr>
                      <w:t> </w:t>
                    </w:r>
                    <w:r>
                      <w:rPr>
                        <w:rFonts w:ascii="Calibri"/>
                        <w:b/>
                        <w:sz w:val="22"/>
                      </w:rPr>
                      <w:t>Lefel</w:t>
                    </w:r>
                    <w:r>
                      <w:rPr>
                        <w:rFonts w:ascii="Calibri"/>
                        <w:b/>
                        <w:spacing w:val="-3"/>
                        <w:sz w:val="22"/>
                      </w:rPr>
                      <w:t> </w:t>
                    </w:r>
                    <w:r>
                      <w:rPr>
                        <w:rFonts w:ascii="Calibri"/>
                        <w:b/>
                        <w:spacing w:val="-10"/>
                        <w:sz w:val="22"/>
                      </w:rPr>
                      <w:t>4</w:t>
                    </w:r>
                  </w:p>
                </w:txbxContent>
              </v:textbox>
              <w10:wrap type="none"/>
            </v:shape>
            <v:shape style="position:absolute;left:544;top:1563;width:2004;height:220" type="#_x0000_t202" id="docshape1032" filled="false" stroked="false">
              <v:textbox inset="0,0,0,0">
                <w:txbxContent>
                  <w:p>
                    <w:pPr>
                      <w:spacing w:line="220" w:lineRule="exact" w:before="0"/>
                      <w:ind w:left="0" w:right="0" w:firstLine="0"/>
                      <w:jc w:val="left"/>
                      <w:rPr>
                        <w:rFonts w:ascii="Calibri"/>
                        <w:b/>
                        <w:sz w:val="22"/>
                      </w:rPr>
                    </w:pPr>
                    <w:r>
                      <w:rPr>
                        <w:rFonts w:ascii="Calibri"/>
                        <w:b/>
                        <w:sz w:val="22"/>
                      </w:rPr>
                      <w:t>Cofnododd</w:t>
                    </w:r>
                    <w:r>
                      <w:rPr>
                        <w:rFonts w:ascii="Calibri"/>
                        <w:b/>
                        <w:spacing w:val="-3"/>
                        <w:sz w:val="22"/>
                      </w:rPr>
                      <w:t> </w:t>
                    </w:r>
                    <w:r>
                      <w:rPr>
                        <w:rFonts w:ascii="Calibri"/>
                        <w:b/>
                        <w:sz w:val="22"/>
                      </w:rPr>
                      <w:t>2%</w:t>
                    </w:r>
                    <w:r>
                      <w:rPr>
                        <w:rFonts w:ascii="Calibri"/>
                        <w:b/>
                        <w:spacing w:val="-3"/>
                        <w:sz w:val="22"/>
                      </w:rPr>
                      <w:t> </w:t>
                    </w:r>
                    <w:r>
                      <w:rPr>
                        <w:rFonts w:ascii="Calibri"/>
                        <w:b/>
                        <w:sz w:val="22"/>
                      </w:rPr>
                      <w:t>Lefel</w:t>
                    </w:r>
                    <w:r>
                      <w:rPr>
                        <w:rFonts w:ascii="Calibri"/>
                        <w:b/>
                        <w:spacing w:val="-3"/>
                        <w:sz w:val="22"/>
                      </w:rPr>
                      <w:t> </w:t>
                    </w:r>
                    <w:r>
                      <w:rPr>
                        <w:rFonts w:ascii="Calibri"/>
                        <w:b/>
                        <w:spacing w:val="-10"/>
                        <w:sz w:val="22"/>
                      </w:rPr>
                      <w:t>2</w:t>
                    </w:r>
                  </w:p>
                </w:txbxContent>
              </v:textbox>
              <w10:wrap type="none"/>
            </v:shape>
            <v:shape style="position:absolute;left:4771;top:1498;width:2004;height:220" type="#_x0000_t202" id="docshape1033" filled="false" stroked="false">
              <v:textbox inset="0,0,0,0">
                <w:txbxContent>
                  <w:p>
                    <w:pPr>
                      <w:spacing w:line="220" w:lineRule="exact" w:before="0"/>
                      <w:ind w:left="0" w:right="0" w:firstLine="0"/>
                      <w:jc w:val="left"/>
                      <w:rPr>
                        <w:rFonts w:ascii="Calibri"/>
                        <w:b/>
                        <w:sz w:val="22"/>
                      </w:rPr>
                    </w:pPr>
                    <w:r>
                      <w:rPr>
                        <w:rFonts w:ascii="Calibri"/>
                        <w:b/>
                        <w:sz w:val="22"/>
                      </w:rPr>
                      <w:t>Cofnododd</w:t>
                    </w:r>
                    <w:r>
                      <w:rPr>
                        <w:rFonts w:ascii="Calibri"/>
                        <w:b/>
                        <w:spacing w:val="-3"/>
                        <w:sz w:val="22"/>
                      </w:rPr>
                      <w:t> </w:t>
                    </w:r>
                    <w:r>
                      <w:rPr>
                        <w:rFonts w:ascii="Calibri"/>
                        <w:b/>
                        <w:sz w:val="22"/>
                      </w:rPr>
                      <w:t>3%</w:t>
                    </w:r>
                    <w:r>
                      <w:rPr>
                        <w:rFonts w:ascii="Calibri"/>
                        <w:b/>
                        <w:spacing w:val="-3"/>
                        <w:sz w:val="22"/>
                      </w:rPr>
                      <w:t> </w:t>
                    </w:r>
                    <w:r>
                      <w:rPr>
                        <w:rFonts w:ascii="Calibri"/>
                        <w:b/>
                        <w:sz w:val="22"/>
                      </w:rPr>
                      <w:t>Lefel</w:t>
                    </w:r>
                    <w:r>
                      <w:rPr>
                        <w:rFonts w:ascii="Calibri"/>
                        <w:b/>
                        <w:spacing w:val="-3"/>
                        <w:sz w:val="22"/>
                      </w:rPr>
                      <w:t> </w:t>
                    </w:r>
                    <w:r>
                      <w:rPr>
                        <w:rFonts w:ascii="Calibri"/>
                        <w:b/>
                        <w:spacing w:val="-10"/>
                        <w:sz w:val="22"/>
                      </w:rPr>
                      <w:t>5</w:t>
                    </w:r>
                  </w:p>
                </w:txbxContent>
              </v:textbox>
              <w10:wrap type="none"/>
            </v:shape>
            <v:shape style="position:absolute;left:204;top:2019;width:2004;height:220" type="#_x0000_t202" id="docshape1034" filled="false" stroked="false">
              <v:textbox inset="0,0,0,0">
                <w:txbxContent>
                  <w:p>
                    <w:pPr>
                      <w:spacing w:line="220" w:lineRule="exact" w:before="0"/>
                      <w:ind w:left="0" w:right="0" w:firstLine="0"/>
                      <w:jc w:val="left"/>
                      <w:rPr>
                        <w:rFonts w:ascii="Calibri"/>
                        <w:b/>
                        <w:sz w:val="22"/>
                      </w:rPr>
                    </w:pPr>
                    <w:r>
                      <w:rPr>
                        <w:rFonts w:ascii="Calibri"/>
                        <w:b/>
                        <w:sz w:val="22"/>
                      </w:rPr>
                      <w:t>Cofnododd</w:t>
                    </w:r>
                    <w:r>
                      <w:rPr>
                        <w:rFonts w:ascii="Calibri"/>
                        <w:b/>
                        <w:spacing w:val="-3"/>
                        <w:sz w:val="22"/>
                      </w:rPr>
                      <w:t> </w:t>
                    </w:r>
                    <w:r>
                      <w:rPr>
                        <w:rFonts w:ascii="Calibri"/>
                        <w:b/>
                        <w:sz w:val="22"/>
                      </w:rPr>
                      <w:t>7%</w:t>
                    </w:r>
                    <w:r>
                      <w:rPr>
                        <w:rFonts w:ascii="Calibri"/>
                        <w:b/>
                        <w:spacing w:val="-3"/>
                        <w:sz w:val="22"/>
                      </w:rPr>
                      <w:t> </w:t>
                    </w:r>
                    <w:r>
                      <w:rPr>
                        <w:rFonts w:ascii="Calibri"/>
                        <w:b/>
                        <w:sz w:val="22"/>
                      </w:rPr>
                      <w:t>Lefel</w:t>
                    </w:r>
                    <w:r>
                      <w:rPr>
                        <w:rFonts w:ascii="Calibri"/>
                        <w:b/>
                        <w:spacing w:val="-3"/>
                        <w:sz w:val="22"/>
                      </w:rPr>
                      <w:t> </w:t>
                    </w:r>
                    <w:r>
                      <w:rPr>
                        <w:rFonts w:ascii="Calibri"/>
                        <w:b/>
                        <w:spacing w:val="-10"/>
                        <w:sz w:val="22"/>
                      </w:rPr>
                      <w:t>1</w:t>
                    </w:r>
                  </w:p>
                </w:txbxContent>
              </v:textbox>
              <w10:wrap type="none"/>
            </v:shape>
            <v:shape style="position:absolute;left:5095;top:2913;width:2344;height:489" type="#_x0000_t202" id="docshape1035" filled="false" stroked="false">
              <v:textbox inset="0,0,0,0">
                <w:txbxContent>
                  <w:p>
                    <w:pPr>
                      <w:spacing w:line="224" w:lineRule="exact" w:before="0"/>
                      <w:ind w:left="0" w:right="0" w:firstLine="0"/>
                      <w:jc w:val="left"/>
                      <w:rPr>
                        <w:rFonts w:ascii="Calibri"/>
                        <w:b/>
                        <w:sz w:val="22"/>
                      </w:rPr>
                    </w:pPr>
                    <w:r>
                      <w:rPr>
                        <w:rFonts w:ascii="Calibri"/>
                        <w:b/>
                        <w:color w:val="FFFFFF"/>
                        <w:sz w:val="22"/>
                      </w:rPr>
                      <w:t>Nid</w:t>
                    </w:r>
                    <w:r>
                      <w:rPr>
                        <w:rFonts w:ascii="Calibri"/>
                        <w:b/>
                        <w:color w:val="FFFFFF"/>
                        <w:spacing w:val="-1"/>
                        <w:sz w:val="22"/>
                      </w:rPr>
                      <w:t> </w:t>
                    </w:r>
                    <w:r>
                      <w:rPr>
                        <w:rFonts w:ascii="Calibri"/>
                        <w:b/>
                        <w:color w:val="FFFFFF"/>
                        <w:sz w:val="22"/>
                      </w:rPr>
                      <w:t>yw</w:t>
                    </w:r>
                    <w:r>
                      <w:rPr>
                        <w:rFonts w:ascii="Calibri"/>
                        <w:b/>
                        <w:color w:val="FFFFFF"/>
                        <w:spacing w:val="-1"/>
                        <w:sz w:val="22"/>
                      </w:rPr>
                      <w:t> </w:t>
                    </w:r>
                    <w:r>
                      <w:rPr>
                        <w:rFonts w:ascii="Calibri"/>
                        <w:b/>
                        <w:color w:val="FFFFFF"/>
                        <w:sz w:val="22"/>
                      </w:rPr>
                      <w:t>37%</w:t>
                    </w:r>
                    <w:r>
                      <w:rPr>
                        <w:rFonts w:ascii="Calibri"/>
                        <w:b/>
                        <w:color w:val="FFFFFF"/>
                        <w:spacing w:val="-1"/>
                        <w:sz w:val="22"/>
                      </w:rPr>
                      <w:t> </w:t>
                    </w:r>
                    <w:r>
                      <w:rPr>
                        <w:rFonts w:ascii="Calibri"/>
                        <w:b/>
                        <w:color w:val="FFFFFF"/>
                        <w:sz w:val="22"/>
                      </w:rPr>
                      <w:t>o'r</w:t>
                    </w:r>
                    <w:r>
                      <w:rPr>
                        <w:rFonts w:ascii="Calibri"/>
                        <w:b/>
                        <w:color w:val="FFFFFF"/>
                        <w:spacing w:val="-2"/>
                        <w:sz w:val="22"/>
                      </w:rPr>
                      <w:t> </w:t>
                    </w:r>
                    <w:r>
                      <w:rPr>
                        <w:rFonts w:ascii="Calibri"/>
                        <w:b/>
                        <w:color w:val="FFFFFF"/>
                        <w:sz w:val="22"/>
                      </w:rPr>
                      <w:t>staff</w:t>
                    </w:r>
                    <w:r>
                      <w:rPr>
                        <w:rFonts w:ascii="Calibri"/>
                        <w:b/>
                        <w:color w:val="FFFFFF"/>
                        <w:spacing w:val="-1"/>
                        <w:sz w:val="22"/>
                      </w:rPr>
                      <w:t> </w:t>
                    </w:r>
                    <w:r>
                      <w:rPr>
                        <w:rFonts w:ascii="Calibri"/>
                        <w:b/>
                        <w:color w:val="FFFFFF"/>
                        <w:spacing w:val="-4"/>
                        <w:sz w:val="22"/>
                      </w:rPr>
                      <w:t>wedi</w:t>
                    </w:r>
                  </w:p>
                  <w:p>
                    <w:pPr>
                      <w:spacing w:line="264" w:lineRule="exact" w:before="0"/>
                      <w:ind w:left="0" w:right="0" w:firstLine="0"/>
                      <w:jc w:val="left"/>
                      <w:rPr>
                        <w:rFonts w:ascii="Calibri"/>
                        <w:b/>
                        <w:sz w:val="22"/>
                      </w:rPr>
                    </w:pPr>
                    <w:r>
                      <w:rPr>
                        <w:rFonts w:ascii="Calibri"/>
                        <w:b/>
                        <w:color w:val="FFFFFF"/>
                        <w:sz w:val="22"/>
                      </w:rPr>
                      <w:t>cofnodi'u</w:t>
                    </w:r>
                    <w:r>
                      <w:rPr>
                        <w:rFonts w:ascii="Calibri"/>
                        <w:b/>
                        <w:color w:val="FFFFFF"/>
                        <w:spacing w:val="-3"/>
                        <w:sz w:val="22"/>
                      </w:rPr>
                      <w:t> </w:t>
                    </w:r>
                    <w:r>
                      <w:rPr>
                        <w:rFonts w:ascii="Calibri"/>
                        <w:b/>
                        <w:color w:val="FFFFFF"/>
                        <w:sz w:val="22"/>
                      </w:rPr>
                      <w:t>sgiliau</w:t>
                    </w:r>
                    <w:r>
                      <w:rPr>
                        <w:rFonts w:ascii="Calibri"/>
                        <w:b/>
                        <w:color w:val="FFFFFF"/>
                        <w:spacing w:val="-3"/>
                        <w:sz w:val="22"/>
                      </w:rPr>
                      <w:t> </w:t>
                    </w:r>
                    <w:r>
                      <w:rPr>
                        <w:rFonts w:ascii="Calibri"/>
                        <w:b/>
                        <w:color w:val="FFFFFF"/>
                        <w:sz w:val="22"/>
                      </w:rPr>
                      <w:t>ar</w:t>
                    </w:r>
                    <w:r>
                      <w:rPr>
                        <w:rFonts w:ascii="Calibri"/>
                        <w:b/>
                        <w:color w:val="FFFFFF"/>
                        <w:spacing w:val="-2"/>
                        <w:sz w:val="22"/>
                      </w:rPr>
                      <w:t> </w:t>
                    </w:r>
                    <w:r>
                      <w:rPr>
                        <w:rFonts w:ascii="Calibri"/>
                        <w:b/>
                        <w:color w:val="FFFFFF"/>
                        <w:spacing w:val="-4"/>
                        <w:sz w:val="22"/>
                      </w:rPr>
                      <w:t>ESR.</w:t>
                    </w:r>
                  </w:p>
                </w:txbxContent>
              </v:textbox>
              <w10:wrap type="none"/>
            </v:shape>
            <v:shape style="position:absolute;left:2403;top:4626;width:3255;height:758" type="#_x0000_t202" id="docshape1036" filled="false" stroked="false">
              <v:textbox inset="0,0,0,0">
                <w:txbxContent>
                  <w:p>
                    <w:pPr>
                      <w:spacing w:line="224" w:lineRule="exact" w:before="0"/>
                      <w:ind w:left="0" w:right="0" w:firstLine="0"/>
                      <w:jc w:val="left"/>
                      <w:rPr>
                        <w:rFonts w:ascii="Calibri"/>
                        <w:b/>
                        <w:sz w:val="22"/>
                      </w:rPr>
                    </w:pPr>
                    <w:r>
                      <w:rPr>
                        <w:rFonts w:ascii="Calibri"/>
                        <w:b/>
                        <w:color w:val="FFFFFF"/>
                        <w:sz w:val="22"/>
                      </w:rPr>
                      <w:t>Mae</w:t>
                    </w:r>
                    <w:r>
                      <w:rPr>
                        <w:rFonts w:ascii="Calibri"/>
                        <w:b/>
                        <w:color w:val="FFFFFF"/>
                        <w:spacing w:val="-4"/>
                        <w:sz w:val="22"/>
                      </w:rPr>
                      <w:t> </w:t>
                    </w:r>
                    <w:r>
                      <w:rPr>
                        <w:rFonts w:ascii="Calibri"/>
                        <w:b/>
                        <w:color w:val="FFFFFF"/>
                        <w:sz w:val="22"/>
                      </w:rPr>
                      <w:t>48%</w:t>
                    </w:r>
                    <w:r>
                      <w:rPr>
                        <w:rFonts w:ascii="Calibri"/>
                        <w:b/>
                        <w:color w:val="FFFFFF"/>
                        <w:spacing w:val="-1"/>
                        <w:sz w:val="22"/>
                      </w:rPr>
                      <w:t> </w:t>
                    </w:r>
                    <w:r>
                      <w:rPr>
                        <w:rFonts w:ascii="Calibri"/>
                        <w:b/>
                        <w:color w:val="FFFFFF"/>
                        <w:sz w:val="22"/>
                      </w:rPr>
                      <w:t>o'r</w:t>
                    </w:r>
                    <w:r>
                      <w:rPr>
                        <w:rFonts w:ascii="Calibri"/>
                        <w:b/>
                        <w:color w:val="FFFFFF"/>
                        <w:spacing w:val="-2"/>
                        <w:sz w:val="22"/>
                      </w:rPr>
                      <w:t> </w:t>
                    </w:r>
                    <w:r>
                      <w:rPr>
                        <w:rFonts w:ascii="Calibri"/>
                        <w:b/>
                        <w:color w:val="FFFFFF"/>
                        <w:sz w:val="22"/>
                      </w:rPr>
                      <w:t>staff</w:t>
                    </w:r>
                    <w:r>
                      <w:rPr>
                        <w:rFonts w:ascii="Calibri"/>
                        <w:b/>
                        <w:color w:val="FFFFFF"/>
                        <w:spacing w:val="-1"/>
                        <w:sz w:val="22"/>
                      </w:rPr>
                      <w:t> </w:t>
                    </w:r>
                    <w:r>
                      <w:rPr>
                        <w:rFonts w:ascii="Calibri"/>
                        <w:b/>
                        <w:color w:val="FFFFFF"/>
                        <w:sz w:val="22"/>
                      </w:rPr>
                      <w:t>wedi</w:t>
                    </w:r>
                    <w:r>
                      <w:rPr>
                        <w:rFonts w:ascii="Calibri"/>
                        <w:b/>
                        <w:color w:val="FFFFFF"/>
                        <w:spacing w:val="-2"/>
                        <w:sz w:val="22"/>
                      </w:rPr>
                      <w:t> </w:t>
                    </w:r>
                    <w:r>
                      <w:rPr>
                        <w:rFonts w:ascii="Calibri"/>
                        <w:b/>
                        <w:color w:val="FFFFFF"/>
                        <w:sz w:val="22"/>
                      </w:rPr>
                      <w:t>cofnodi</w:t>
                    </w:r>
                    <w:r>
                      <w:rPr>
                        <w:rFonts w:ascii="Calibri"/>
                        <w:b/>
                        <w:color w:val="FFFFFF"/>
                        <w:spacing w:val="-1"/>
                        <w:sz w:val="22"/>
                      </w:rPr>
                      <w:t> </w:t>
                    </w:r>
                    <w:r>
                      <w:rPr>
                        <w:rFonts w:ascii="Calibri"/>
                        <w:b/>
                        <w:color w:val="FFFFFF"/>
                        <w:spacing w:val="-5"/>
                        <w:sz w:val="22"/>
                      </w:rPr>
                      <w:t>nad</w:t>
                    </w:r>
                  </w:p>
                  <w:p>
                    <w:pPr>
                      <w:spacing w:before="0"/>
                      <w:ind w:left="0" w:right="30" w:firstLine="0"/>
                      <w:jc w:val="left"/>
                      <w:rPr>
                        <w:rFonts w:ascii="Calibri"/>
                        <w:b/>
                        <w:sz w:val="22"/>
                      </w:rPr>
                    </w:pPr>
                    <w:r>
                      <w:rPr>
                        <w:rFonts w:ascii="Calibri"/>
                        <w:b/>
                        <w:color w:val="FFFFFF"/>
                        <w:sz w:val="22"/>
                      </w:rPr>
                      <w:t>oes</w:t>
                    </w:r>
                    <w:r>
                      <w:rPr>
                        <w:rFonts w:ascii="Calibri"/>
                        <w:b/>
                        <w:color w:val="FFFFFF"/>
                        <w:spacing w:val="-12"/>
                        <w:sz w:val="22"/>
                      </w:rPr>
                      <w:t> </w:t>
                    </w:r>
                    <w:r>
                      <w:rPr>
                        <w:rFonts w:ascii="Calibri"/>
                        <w:b/>
                        <w:color w:val="FFFFFF"/>
                        <w:sz w:val="22"/>
                      </w:rPr>
                      <w:t>ganddynt</w:t>
                    </w:r>
                    <w:r>
                      <w:rPr>
                        <w:rFonts w:ascii="Calibri"/>
                        <w:b/>
                        <w:color w:val="FFFFFF"/>
                        <w:spacing w:val="-12"/>
                        <w:sz w:val="22"/>
                      </w:rPr>
                      <w:t> </w:t>
                    </w:r>
                    <w:r>
                      <w:rPr>
                        <w:rFonts w:ascii="Calibri"/>
                        <w:b/>
                        <w:color w:val="FFFFFF"/>
                        <w:sz w:val="22"/>
                      </w:rPr>
                      <w:t>ddim</w:t>
                    </w:r>
                    <w:r>
                      <w:rPr>
                        <w:rFonts w:ascii="Calibri"/>
                        <w:b/>
                        <w:color w:val="FFFFFF"/>
                        <w:spacing w:val="-12"/>
                        <w:sz w:val="22"/>
                      </w:rPr>
                      <w:t> </w:t>
                    </w:r>
                    <w:r>
                      <w:rPr>
                        <w:rFonts w:ascii="Calibri"/>
                        <w:b/>
                        <w:color w:val="FFFFFF"/>
                        <w:sz w:val="22"/>
                      </w:rPr>
                      <w:t>dealltwriaeth o'r iaith</w:t>
                    </w:r>
                  </w:p>
                </w:txbxContent>
              </v:textbox>
              <w10:wrap type="none"/>
            </v:shape>
          </v:group>
        </w:pict>
      </w:r>
      <w:r>
        <w:rPr>
          <w:rFonts w:ascii="Calibri"/>
          <w:sz w:val="20"/>
        </w:rPr>
      </w:r>
    </w:p>
    <w:p>
      <w:pPr>
        <w:spacing w:after="0"/>
        <w:rPr>
          <w:rFonts w:ascii="Calibri"/>
          <w:sz w:val="20"/>
        </w:rPr>
        <w:sectPr>
          <w:pgSz w:w="11910" w:h="16840"/>
          <w:pgMar w:header="0" w:footer="173" w:top="1420" w:bottom="360" w:left="0" w:right="0"/>
        </w:sectPr>
      </w:pPr>
    </w:p>
    <w:p>
      <w:pPr>
        <w:pStyle w:val="BodyText"/>
        <w:ind w:left="1492"/>
        <w:rPr>
          <w:rFonts w:ascii="Calibri"/>
          <w:sz w:val="20"/>
        </w:rPr>
      </w:pPr>
      <w:r>
        <w:rPr>
          <w:rFonts w:ascii="Calibri"/>
          <w:sz w:val="20"/>
        </w:rPr>
        <w:pict>
          <v:group style="width:452.05pt;height:375.65pt;mso-position-horizontal-relative:char;mso-position-vertical-relative:line" id="docshapegroup1037" coordorigin="0,0" coordsize="9041,7513">
            <v:rect style="position:absolute;left:7;top:7;width:9026;height:7498" id="docshape1038" filled="false" stroked="true" strokeweight=".75pt" strokecolor="#d8d8d8">
              <v:stroke dashstyle="solid"/>
            </v:rect>
            <v:shape style="position:absolute;left:4520;top:1531;width:2;height:1756" id="docshape1039" coordorigin="4521,1532" coordsize="0,1756" path="m4521,3287l4521,1532,4521,3287xe" filled="true" fillcolor="#1f3969" stroked="false">
              <v:path arrowok="t"/>
              <v:fill type="solid"/>
            </v:shape>
            <v:shape style="position:absolute;left:3859;top:1553;width:662;height:2464" id="docshape1040" coordorigin="3859,1554" coordsize="662,2464" path="m4521,4017l3859,2283,3859,1554,4521,3287,4521,4017xe" filled="true" fillcolor="#182f56" stroked="false">
              <v:path arrowok="t"/>
              <v:fill type="solid"/>
            </v:shape>
            <v:shape style="position:absolute;left:3859;top:1553;width:662;height:2464" id="docshape1041" coordorigin="3859,1554" coordsize="662,2464" path="m3859,1554l4521,3287,4521,4017,3859,2283,3859,1554xe" filled="false" stroked="true" strokeweight=".735118pt" strokecolor="#ffffff">
              <v:path arrowok="t"/>
              <v:stroke dashstyle="solid"/>
            </v:shape>
            <v:shape style="position:absolute;left:3859;top:1553;width:662;height:2464" id="docshape1042" coordorigin="3859,1554" coordsize="662,2464" path="m4521,4017l3859,2283,3859,1554,4521,3287,4521,4017xe" filled="true" fillcolor="#62983d" stroked="false">
              <v:path arrowok="t"/>
              <v:fill type="solid"/>
            </v:shape>
            <v:shape style="position:absolute;left:3859;top:1553;width:662;height:2464" id="docshape1043" coordorigin="3859,1554" coordsize="662,2464" path="m3859,1554l4521,3287,4521,4017,3859,2283,3859,1554xe" filled="false" stroked="true" strokeweight=".735118pt" strokecolor="#ffffff">
              <v:path arrowok="t"/>
              <v:stroke dashstyle="solid"/>
            </v:shape>
            <v:shape style="position:absolute;left:3639;top:1570;width:882;height:2447" id="docshape1044" coordorigin="3639,1571" coordsize="882,2447" path="m4521,4017l3639,2300,3639,1571,4521,3287,4521,4017xe" filled="true" fillcolor="#507e31" stroked="false">
              <v:path arrowok="t"/>
              <v:fill type="solid"/>
            </v:shape>
            <v:shape style="position:absolute;left:3639;top:1570;width:882;height:2447" id="docshape1045" coordorigin="3639,1571" coordsize="882,2447" path="m3639,1571l4521,3287,4521,4017,3639,2300,3639,1571xe" filled="false" stroked="true" strokeweight=".735118pt" strokecolor="#ffffff">
              <v:path arrowok="t"/>
              <v:stroke dashstyle="solid"/>
            </v:shape>
            <v:shape style="position:absolute;left:3639;top:1570;width:882;height:2447" id="docshape1046" coordorigin="3639,1571" coordsize="882,2447" path="m4521,4017l3639,2300,3639,1571,4521,3287,4521,4017xe" filled="true" fillcolor="#4f88bb" stroked="false">
              <v:path arrowok="t"/>
              <v:fill type="solid"/>
            </v:shape>
            <v:shape style="position:absolute;left:3639;top:1570;width:882;height:2447" id="docshape1047" coordorigin="3639,1571" coordsize="882,2447" path="m3639,1571l4521,3287,4521,4017,3639,2300,3639,1571xe" filled="false" stroked="true" strokeweight=".735118pt" strokecolor="#ffffff">
              <v:path arrowok="t"/>
              <v:stroke dashstyle="solid"/>
            </v:shape>
            <v:shape style="position:absolute;left:3200;top:1620;width:1320;height:2397" id="docshape1048" coordorigin="3201,1620" coordsize="1320,2397" path="m4521,4017l3201,2350,3201,1620,4521,3287,4521,4017xe" filled="true" fillcolor="#41719c" stroked="false">
              <v:path arrowok="t"/>
              <v:fill type="solid"/>
            </v:shape>
            <v:shape style="position:absolute;left:3200;top:1620;width:1320;height:2397" id="docshape1049" coordorigin="3201,1620" coordsize="1320,2397" path="m3201,1620l4521,3287,4521,4017,3201,2350,3201,1620xe" filled="false" stroked="true" strokeweight=".735118pt" strokecolor="#ffffff">
              <v:path arrowok="t"/>
              <v:stroke dashstyle="solid"/>
            </v:shape>
            <v:shape style="position:absolute;left:3200;top:1620;width:1320;height:2397" id="docshape1050" coordorigin="3201,1620" coordsize="1320,2397" path="m4521,4017l3201,2350,3201,1620,4521,3287,4521,4017xe" filled="true" fillcolor="#e1a900" stroked="false">
              <v:path arrowok="t"/>
              <v:fill type="solid"/>
            </v:shape>
            <v:shape style="position:absolute;left:3200;top:1620;width:1320;height:2397" id="docshape1051" coordorigin="3201,1620" coordsize="1320,2397" path="m3201,1620l4521,3287,4521,4017,3201,2350,3201,1620xe" filled="false" stroked="true" strokeweight=".735118pt" strokecolor="#ffffff">
              <v:path arrowok="t"/>
              <v:stroke dashstyle="solid"/>
            </v:shape>
            <v:shape style="position:absolute;left:2766;top:1691;width:1755;height:2326" id="docshape1052" coordorigin="2766,1691" coordsize="1755,2326" path="m4521,4017l2766,2421,2766,1691,4521,3287,4521,4017xe" filled="true" fillcolor="#bc8c00" stroked="false">
              <v:path arrowok="t"/>
              <v:fill type="solid"/>
            </v:shape>
            <v:shape style="position:absolute;left:2766;top:1691;width:1755;height:2326" id="docshape1053" coordorigin="2766,1691" coordsize="1755,2326" path="m2766,1691l4521,3287,4521,4017,2766,2421,2766,1691xe" filled="false" stroked="true" strokeweight=".735118pt" strokecolor="#ffffff">
              <v:path arrowok="t"/>
              <v:stroke dashstyle="solid"/>
            </v:shape>
            <v:shape style="position:absolute;left:2766;top:1691;width:1755;height:2326" id="docshape1054" coordorigin="2766,1691" coordsize="1755,2326" path="m4521,4017l2766,2421,2766,1691,4521,3287,4521,4017xe" filled="true" fillcolor="#919191" stroked="false">
              <v:path arrowok="t"/>
              <v:fill type="solid"/>
            </v:shape>
            <v:shape style="position:absolute;left:2766;top:1691;width:1755;height:2326" id="docshape1055" coordorigin="2766,1691" coordsize="1755,2326" path="m2766,1691l4521,3287,4521,4017,2766,2421,2766,1691xe" filled="false" stroked="true" strokeweight=".735118pt" strokecolor="#ffffff">
              <v:path arrowok="t"/>
              <v:stroke dashstyle="solid"/>
            </v:shape>
            <v:shape style="position:absolute;left:1724;top:1974;width:2797;height:2043" id="docshape1056" coordorigin="1724,1974" coordsize="2797,2043" path="m4521,4017l1724,2704,1724,1974,4521,3287,4521,4017xe" filled="true" fillcolor="#787878" stroked="false">
              <v:path arrowok="t"/>
              <v:fill type="solid"/>
            </v:shape>
            <v:shape style="position:absolute;left:1724;top:1974;width:2797;height:2043" id="docshape1057" coordorigin="1724,1974" coordsize="2797,2043" path="m1724,1974l4521,3287,4521,4017,1724,2704,1724,1974xe" filled="false" stroked="true" strokeweight=".735118pt" strokecolor="#ffffff">
              <v:path arrowok="t"/>
              <v:stroke dashstyle="solid"/>
            </v:shape>
            <v:shape style="position:absolute;left:1724;top:1974;width:2797;height:2043" id="docshape1058" coordorigin="1724,1974" coordsize="2797,2043" path="m4521,4017l1724,2704,1724,1974,4521,3287,4521,4017xe" filled="true" fillcolor="#d16c2a" stroked="false">
              <v:path arrowok="t"/>
              <v:fill type="solid"/>
            </v:shape>
            <v:shape style="position:absolute;left:1724;top:1974;width:2797;height:2043" id="docshape1059" coordorigin="1724,1974" coordsize="2797,2043" path="m1724,1974l4521,3287,4521,4017,1724,2704,1724,1974xe" filled="false" stroked="true" strokeweight=".735118pt" strokecolor="#ffffff">
              <v:path arrowok="t"/>
              <v:stroke dashstyle="solid"/>
            </v:shape>
            <v:rect style="position:absolute;left:307;top:3287;width:4213;height:730" id="docshape1060" filled="true" fillcolor="#d16c2a" stroked="false">
              <v:fill type="solid"/>
            </v:rect>
            <v:rect style="position:absolute;left:307;top:3287;width:4213;height:730" id="docshape1061" filled="false" stroked="true" strokeweight=".735118pt" strokecolor="#ffffff">
              <v:stroke dashstyle="solid"/>
            </v:rect>
            <v:shape style="position:absolute;left:4520;top:4017;width:2;height:2107" id="docshape1062" coordorigin="4521,4017" coordsize="0,2107" path="m4521,6124l4521,4017,4521,6124xe" filled="true" fillcolor="#ae5a21" stroked="false">
              <v:path arrowok="t"/>
              <v:fill type="solid"/>
            </v:shape>
            <v:shape style="position:absolute;left:4520;top:3287;width:2;height:2837" id="docshape1063" coordorigin="4521,3287" coordsize="0,2837" path="m4521,5394l4521,3287,4521,4017,4521,6124,4521,5394xe" filled="false" stroked="true" strokeweight=".735118pt" strokecolor="#ffffff">
              <v:path arrowok="t"/>
              <v:stroke dashstyle="solid"/>
            </v:shape>
            <v:shape style="position:absolute;left:4520;top:1531;width:2;height:1756" id="docshape1064" coordorigin="4521,1532" coordsize="0,1756" path="m4521,3287l4521,1532,4521,3287xe" filled="true" fillcolor="#2f528f" stroked="false">
              <v:path arrowok="t"/>
              <v:fill type="solid"/>
            </v:shape>
            <v:shape style="position:absolute;left:4520;top:1531;width:2;height:2486" id="docshape1065" coordorigin="4521,1532" coordsize="0,2486" path="m4521,1532l4521,3287,4521,4017,4521,2262,4521,1532xe" filled="false" stroked="true" strokeweight=".735118pt" strokecolor="#ffffff">
              <v:path arrowok="t"/>
              <v:stroke dashstyle="solid"/>
            </v:shape>
            <v:rect style="position:absolute;left:4520;top:3287;width:4213;height:730" id="docshape1066" filled="true" fillcolor="#2f528f" stroked="false">
              <v:fill type="solid"/>
            </v:rect>
            <v:rect style="position:absolute;left:4520;top:3287;width:4213;height:730" id="docshape1067" filled="false" stroked="true" strokeweight=".735118pt" strokecolor="#ffffff">
              <v:stroke dashstyle="solid"/>
            </v:rect>
            <v:shape style="position:absolute;left:4520;top:3287;width:2884;height:2266" id="docshape1068" coordorigin="4521,3287" coordsize="2884,2266" path="m7404,5553l4521,4017,4521,3287,7404,4823,7404,5553xe" filled="true" fillcolor="#3b64ac" stroked="false">
              <v:path arrowok="t"/>
              <v:fill type="solid"/>
            </v:shape>
            <v:shape style="position:absolute;left:4520;top:3287;width:2884;height:2266" id="docshape1069" coordorigin="4521,3287" coordsize="2884,2266" path="m7404,4823l4521,3287,4521,4017,7404,5553,7404,4823xe" filled="false" stroked="true" strokeweight=".735118pt" strokecolor="#ffffff">
              <v:path arrowok="t"/>
              <v:stroke dashstyle="solid"/>
            </v:shape>
            <v:shape style="position:absolute;left:4520;top:3287;width:2884;height:2266" id="docshape1070" coordorigin="4521,3287" coordsize="2884,2266" path="m7404,5553l4521,4017,4521,3287,7404,4823,7404,5553xe" filled="true" fillcolor="#ae5a21" stroked="false">
              <v:path arrowok="t"/>
              <v:fill type="solid"/>
            </v:shape>
            <v:shape style="position:absolute;left:4520;top:3287;width:2884;height:2266" id="docshape1071" coordorigin="4521,3287" coordsize="2884,2266" path="m7404,4823l4521,3287,4521,4017,7404,5553,7404,4823xe" filled="false" stroked="true" strokeweight=".735118pt" strokecolor="#ffffff">
              <v:path arrowok="t"/>
              <v:stroke dashstyle="solid"/>
            </v:shape>
            <v:shape style="position:absolute;left:4520;top:3287;width:2;height:2837" id="docshape1072" coordorigin="4521,3287" coordsize="0,2837" path="m4521,6124l4521,5394,4521,3287,4521,6124xe" filled="true" fillcolor="#d16c2a" stroked="false">
              <v:path arrowok="t"/>
              <v:fill type="solid"/>
            </v:shape>
            <v:shape style="position:absolute;left:4520;top:3287;width:2;height:2837" id="docshape1073" coordorigin="4521,3287" coordsize="0,2837" path="m4521,5394l4521,3287,4521,4017,4521,6124,4521,5394xe" filled="false" stroked="true" strokeweight=".735118pt" strokecolor="#ffffff">
              <v:path arrowok="t"/>
              <v:stroke dashstyle="solid"/>
            </v:shape>
            <v:shape style="position:absolute;left:7404;top:3287;width:1330;height:2266" type="#_x0000_t75" id="docshape1074" stroked="false">
              <v:imagedata r:id="rId217" o:title=""/>
            </v:shape>
            <v:shape style="position:absolute;left:7404;top:3287;width:1330;height:2266" id="docshape1075" coordorigin="7404,3287" coordsize="1330,2266" path="m8734,3287l8732,3350,8726,3412,8717,3473,8704,3535,8688,3596,8668,3656,8645,3717,8618,3776,8588,3836,8555,3895,8518,3953,8477,4011,8434,4068,8387,4124,8337,4180,8283,4235,8227,4289,8167,4342,8104,4395,8039,4446,7970,4497,7898,4547,7823,4595,7745,4643,7664,4690,7580,4735,7494,4780,7404,4823,7404,5553,7494,5509,7580,5465,7664,5420,7745,5373,7823,5325,7898,5276,7970,5227,8039,5176,8104,5124,8167,5072,8227,5018,8283,4964,8337,4909,8387,4854,8434,4797,8477,4740,8518,4683,8555,4624,8588,4566,8618,4506,8645,4446,8668,4386,8688,4325,8704,4264,8717,4203,8726,4141,8732,4079,8734,4017,8734,3287xe" filled="false" stroked="true" strokeweight=".735118pt" strokecolor="#ffffff">
              <v:path arrowok="t"/>
              <v:stroke dashstyle="solid"/>
            </v:shape>
            <v:shape style="position:absolute;left:4520;top:1531;width:4213;height:3292" id="docshape1076" coordorigin="4521,1532" coordsize="4213,3292" path="m7404,4823l4521,3287,4521,1532,4687,1533,4853,1537,5019,1544,5183,1554,5347,1566,5509,1581,5670,1598,5829,1619,5986,1642,6141,1667,6247,1686,6351,1706,6454,1728,6554,1750,6653,1774,6750,1798,6846,1824,6939,1850,7030,1878,7120,1906,7207,1935,7292,1966,7375,1997,7457,2029,7535,2062,7612,2096,7687,2130,7759,2165,7829,2201,7897,2238,7962,2276,8025,2314,8085,2353,8143,2392,8199,2433,8252,2473,8302,2515,8350,2557,8395,2599,8438,2642,8514,2730,8580,2819,8635,2910,8678,3002,8708,3096,8727,3191,8734,3287,8732,3350,8726,3412,8717,3473,8704,3535,8688,3596,8668,3656,8645,3717,8618,3776,8588,3836,8555,3895,8518,3953,8477,4011,8434,4068,8387,4124,8337,4180,8283,4235,8227,4289,8167,4342,8104,4395,8039,4446,7970,4497,7898,4547,7823,4595,7745,4643,7664,4690,7580,4735,7494,4780,7404,4823xe" filled="true" fillcolor="#4472c4" stroked="false">
              <v:path arrowok="t"/>
              <v:fill type="solid"/>
            </v:shape>
            <v:shape style="position:absolute;left:4520;top:1531;width:4213;height:3292" id="docshape1077" coordorigin="4521,1532" coordsize="4213,3292" path="m4521,1532l4604,1532,4687,1533,4770,1535,4853,1537,4936,1541,5019,1544,5101,1549,5183,1554,5265,1560,5347,1566,5428,1573,5509,1581,5589,1589,5670,1598,5749,1608,5829,1619,5907,1630,5986,1642,6064,1654,6141,1667,6247,1686,6351,1706,6454,1728,6554,1750,6653,1774,6750,1798,6846,1824,6939,1850,7030,1878,7120,1906,7207,1935,7292,1966,7375,1997,7457,2029,7535,2062,7612,2096,7687,2130,7759,2165,7829,2201,7897,2238,7962,2276,8025,2314,8085,2353,8143,2392,8199,2433,8252,2473,8302,2515,8350,2557,8395,2599,8438,2642,8514,2730,8580,2819,8635,2910,8678,3002,8708,3096,8727,3191,8734,3287,8732,3350,8726,3412,8717,3473,8704,3535,8688,3596,8668,3656,8645,3717,8618,3776,8588,3836,8555,3895,8518,3953,8477,4011,8434,4068,8387,4124,8337,4180,8283,4235,8227,4289,8167,4342,8104,4395,8039,4446,7970,4497,7898,4547,7823,4595,7745,4643,7664,4690,7580,4735,7494,4780,7404,4823,4521,3287,4521,1532xe" filled="false" stroked="true" strokeweight=".735118pt" strokecolor="#ffffff">
              <v:path arrowok="t"/>
              <v:stroke dashstyle="solid"/>
            </v:shape>
            <v:shape style="position:absolute;left:307;top:3287;width:7097;height:2837" type="#_x0000_t75" id="docshape1078" stroked="false">
              <v:imagedata r:id="rId218" o:title=""/>
            </v:shape>
            <v:shape style="position:absolute;left:307;top:3287;width:7097;height:2837" id="docshape1079" coordorigin="308,3287" coordsize="7097,2837" path="m7404,4823l7339,4853,7273,4882,7206,4910,7138,4938,7069,4965,6999,4991,6927,5016,6855,5041,6782,5065,6708,5088,6633,5110,6557,5132,6480,5152,6402,5172,6324,5191,6244,5209,6165,5227,6084,5243,6002,5259,5920,5274,5838,5288,5754,5301,5670,5314,5586,5325,5501,5336,5415,5346,5329,5355,5243,5363,5156,5370,5077,5375,4999,5380,4921,5384,4842,5388,4763,5390,4685,5392,4606,5393,4527,5394,4449,5394,4370,5393,4291,5391,4213,5388,4134,5385,4056,5381,3978,5376,3900,5371,3822,5365,3745,5358,3667,5350,3590,5342,3513,5333,3437,5323,3345,5310,3253,5296,3163,5281,3073,5266,2985,5249,2897,5231,2810,5212,2724,5193,2639,5172,2555,5151,2472,5128,2391,5105,2310,5081,2231,5055,2152,5029,2075,5003,1999,4975,1925,4946,1851,4917,1779,4887,1708,4856,1639,4824,1571,4791,1505,4758,1439,4724,1376,4689,1314,4654,1253,4617,1194,4580,1137,4542,1081,4504,1027,4465,975,4425,924,4384,855,4326,790,4266,728,4205,671,4144,618,4081,569,4018,524,3954,483,3890,447,3825,414,3759,386,3693,362,3626,343,3559,327,3491,316,3424,310,3356,308,3287,308,4017,309,4073,321,4183,344,4292,378,4400,423,4506,479,4610,510,4662,545,4713,582,4764,621,4814,663,4863,708,4912,755,4960,804,5008,856,5055,910,5101,966,5147,1025,5192,1086,5236,1149,5279,1214,5322,1282,5364,1352,5405,1423,5445,1497,5484,1573,5522,1651,5559,1732,5596,1814,5631,1898,5665,1984,5699,2071,5731,2161,5762,2253,5792,2346,5821,2441,5849,2538,5876,2636,5901,2710,5919,2784,5936,2858,5953,2934,5968,3009,5983,3086,5998,3162,6011,3240,6024,3317,6036,3395,6047,3474,6058,3553,6067,3632,6076,3711,6084,3791,6092,3871,6098,3952,6104,4032,6109,4113,6114,4194,6117,4276,6120,4357,6122,4439,6123,4521,6124,4602,6123,4684,6122,4765,6120,4847,6117,4928,6114,5009,6109,5089,6104,5170,6098,5250,6092,5330,6084,5409,6076,5488,6067,5567,6058,5646,6047,5724,6036,5801,6024,5879,6011,5955,5998,6032,5983,6107,5968,6183,5953,6257,5936,6331,5919,6405,5901,6488,5880,6571,5857,6653,5834,6733,5810,6813,5784,6891,5758,6968,5732,7044,5704,7119,5675,7192,5646,7264,5616,7335,5585,7404,5553,7404,4823xe" filled="false" stroked="true" strokeweight=".735118pt" strokecolor="#ffffff">
              <v:path arrowok="t"/>
              <v:stroke dashstyle="solid"/>
            </v:shape>
            <v:shape style="position:absolute;left:307;top:1974;width:7097;height:3420" id="docshape1080" coordorigin="308,1974" coordsize="7097,3420" path="m4521,5394l4357,5392,4194,5388,4032,5380,3871,5369,3711,5355,3632,5346,3553,5338,3474,5328,3395,5317,3317,5306,3240,5294,3162,5281,3086,5268,3009,5254,2934,5239,2858,5223,2784,5207,2710,5189,2636,5171,2538,5146,2441,5119,2346,5092,2253,5063,2161,5032,2071,5001,1984,4969,1898,4936,1814,4901,1732,4866,1651,4830,1573,4792,1497,4754,1423,4715,1352,4675,1282,4634,1214,4592,1149,4550,1086,4506,1025,4462,966,4417,910,4372,856,4325,804,4278,755,4231,708,4182,663,4134,621,4084,582,4034,545,3983,510,3932,479,3881,423,3776,378,3670,344,3562,321,3453,309,3343,308,3287,310,3232,326,3121,360,3012,409,2904,440,2851,475,2798,513,2746,556,2694,602,2643,652,2593,706,2543,763,2494,824,2445,889,2398,957,2351,1028,2305,1104,2260,1182,2216,1264,2173,1350,2131,1439,2090,1531,2051,1626,2012,1724,1974,4521,3287,7404,4823,7339,4853,7273,4882,7206,4910,7138,4938,7069,4965,6999,4991,6927,5016,6855,5041,6782,5065,6708,5088,6633,5110,6557,5132,6480,5152,6402,5172,6324,5191,6244,5209,6165,5227,6084,5243,6002,5259,5920,5274,5838,5288,5754,5301,5670,5314,5586,5325,5501,5336,5415,5346,5329,5355,5243,5363,5156,5370,4998,5380,4839,5388,4680,5392,4521,5394xe" filled="true" fillcolor="#ed7d31" stroked="false">
              <v:path arrowok="t"/>
              <v:fill type="solid"/>
            </v:shape>
            <v:shape style="position:absolute;left:307;top:1974;width:7097;height:3420" id="docshape1081" coordorigin="308,1974" coordsize="7097,3420" path="m7404,4823l7339,4853,7273,4882,7206,4910,7138,4938,7069,4965,6999,4991,6927,5016,6855,5041,6782,5065,6708,5088,6633,5110,6557,5132,6480,5152,6402,5172,6324,5191,6244,5209,6165,5227,6084,5243,6002,5259,5920,5274,5838,5288,5754,5301,5670,5314,5586,5325,5501,5336,5415,5346,5329,5355,5243,5363,5156,5370,5077,5375,4998,5380,4918,5384,4839,5388,4760,5390,4680,5392,4600,5393,4521,5394,4439,5393,4357,5392,4276,5390,4194,5388,4113,5384,4032,5380,3952,5375,3871,5369,3791,5362,3711,5355,3632,5346,3553,5338,3474,5328,3395,5317,3317,5306,3240,5294,3162,5281,3086,5268,3009,5254,2934,5239,2858,5223,2784,5207,2710,5189,2636,5171,2538,5146,2441,5119,2346,5092,2253,5063,2161,5032,2071,5001,1984,4969,1898,4936,1814,4901,1732,4866,1651,4830,1573,4792,1497,4754,1423,4715,1352,4675,1282,4634,1214,4592,1149,4550,1086,4506,1025,4462,966,4417,910,4372,856,4325,804,4278,755,4231,708,4182,663,4134,621,4084,582,4034,545,3983,510,3932,479,3881,423,3776,378,3670,344,3562,321,3453,309,3343,308,3287,310,3232,326,3121,360,3012,409,2904,440,2851,475,2798,513,2746,556,2694,602,2643,652,2593,706,2543,763,2494,824,2445,889,2398,957,2351,1028,2305,1104,2260,1182,2216,1264,2173,1350,2131,1439,2090,1531,2051,1626,2012,1724,1974,4521,3287,7404,4823xe" filled="false" stroked="true" strokeweight=".735118pt" strokecolor="#ffffff">
              <v:path arrowok="t"/>
              <v:stroke dashstyle="solid"/>
            </v:shape>
            <v:shape style="position:absolute;left:1724;top:1691;width:2797;height:1596" id="docshape1082" coordorigin="1724,1691" coordsize="2797,1596" path="m4521,3287l1724,1974,1792,1950,1860,1926,1930,1903,2001,1880,2073,1859,2146,1837,2220,1817,2295,1797,2371,1778,2448,1759,2526,1741,2605,1724,2685,1707,2766,1691,4521,3287xe" filled="true" fillcolor="#a5a5a5" stroked="false">
              <v:path arrowok="t"/>
              <v:fill type="solid"/>
            </v:shape>
            <v:shape style="position:absolute;left:1724;top:1691;width:2797;height:1596" id="docshape1083" coordorigin="1724,1691" coordsize="2797,1596" path="m1724,1974l1792,1950,1860,1926,1930,1903,2001,1880,2073,1859,2146,1837,2220,1817,2295,1797,2371,1778,2448,1759,2526,1741,2605,1724,2685,1707,2766,1691,4521,3287,1724,1974xe" filled="false" stroked="true" strokeweight=".735118pt" strokecolor="#ffffff">
              <v:path arrowok="t"/>
              <v:stroke dashstyle="solid"/>
            </v:shape>
            <v:shape style="position:absolute;left:2766;top:1620;width:1755;height:1668" id="docshape1084" coordorigin="2766,1620" coordsize="1755,1668" path="m4521,3287l2766,1691,2909,1665,3054,1642,3201,1620,4521,3287xe" filled="true" fillcolor="#ffc000" stroked="false">
              <v:path arrowok="t"/>
              <v:fill type="solid"/>
            </v:shape>
            <v:shape style="position:absolute;left:2766;top:1620;width:1755;height:1668" id="docshape1085" coordorigin="2766,1620" coordsize="1755,1668" path="m2766,1691l2837,1678,2909,1665,2981,1653,3054,1642,3127,1631,3201,1620,4521,3287,2766,1691xe" filled="false" stroked="true" strokeweight=".735118pt" strokecolor="#ffffff">
              <v:path arrowok="t"/>
              <v:stroke dashstyle="solid"/>
            </v:shape>
            <v:shape style="position:absolute;left:3200;top:1570;width:1320;height:1717" id="docshape1086" coordorigin="3201,1571" coordsize="1320,1717" path="m4521,3287l3201,1620,3345,1602,3492,1585,3639,1571,4521,3287xe" filled="true" fillcolor="#5b9bd5" stroked="false">
              <v:path arrowok="t"/>
              <v:fill type="solid"/>
            </v:shape>
            <v:shape style="position:absolute;left:3200;top:1570;width:1320;height:1717" id="docshape1087" coordorigin="3201,1571" coordsize="1320,1717" path="m3201,1620l3273,1611,3345,1602,3418,1593,3492,1585,3565,1578,3639,1571,4521,3287,3201,1620xe" filled="false" stroked="true" strokeweight=".735118pt" strokecolor="#ffffff">
              <v:path arrowok="t"/>
              <v:stroke dashstyle="solid"/>
            </v:shape>
            <v:shape style="position:absolute;left:3639;top:1553;width:882;height:1734" id="docshape1088" coordorigin="3639,1554" coordsize="882,1734" path="m4521,3287l3639,1571,3694,1566,3859,1554,4521,3287xe" filled="true" fillcolor="#70ad47" stroked="false">
              <v:path arrowok="t"/>
              <v:fill type="solid"/>
            </v:shape>
            <v:shape style="position:absolute;left:3639;top:1553;width:882;height:1734" id="docshape1089" coordorigin="3639,1554" coordsize="882,1734" path="m3639,1571l3694,1566,3749,1562,3804,1558,3859,1554,4521,3287,3639,1571xe" filled="false" stroked="true" strokeweight=".735118pt" strokecolor="#ffffff">
              <v:path arrowok="t"/>
              <v:stroke dashstyle="solid"/>
            </v:shape>
            <v:shape style="position:absolute;left:3859;top:1531;width:662;height:1756" id="docshape1090" coordorigin="3859,1532" coordsize="662,1756" path="m4521,3287l3859,1554,4024,1544,4189,1537,4354,1533,4521,1532,4521,3287xe" filled="true" fillcolor="#254378" stroked="false">
              <v:path arrowok="t"/>
              <v:fill type="solid"/>
            </v:shape>
            <v:shape style="position:absolute;left:3859;top:1531;width:662;height:1756" id="docshape1091" coordorigin="3859,1532" coordsize="662,1756" path="m3859,1554l3941,1549,4024,1544,4106,1540,4189,1537,4272,1535,4354,1533,4437,1532,4521,1532,4521,3287,3859,1554xe" filled="false" stroked="true" strokeweight=".735118pt" strokecolor="#ffffff">
              <v:path arrowok="t"/>
              <v:stroke dashstyle="solid"/>
            </v:shape>
            <v:line style="position:absolute" from="2028,1661" to="2268,1848" stroked="true" strokeweight=".5pt" strokecolor="#4472c4">
              <v:stroke dashstyle="solid"/>
            </v:line>
            <v:line style="position:absolute" from="2788,1341" to="3094,1688" stroked="true" strokeweight=".5pt" strokecolor="#4472c4">
              <v:stroke dashstyle="solid"/>
            </v:line>
            <v:line style="position:absolute" from="3188,994" to="3508,1688" stroked="true" strokeweight=".5pt" strokecolor="#4472c4">
              <v:stroke dashstyle="solid"/>
            </v:line>
            <v:line style="position:absolute" from="3988,874" to="3774,1514" stroked="true" strokeweight=".5pt" strokecolor="#4472c4">
              <v:stroke dashstyle="solid"/>
            </v:line>
            <v:line style="position:absolute" from="4841,1261" to="4267,1568" stroked="true" strokeweight=".5pt" strokecolor="#4472c4">
              <v:stroke dashstyle="solid"/>
            </v:line>
            <v:shape style="position:absolute;left:2761;top:111;width:3316;height:280" type="#_x0000_t202" id="docshape1092" filled="false" stroked="false">
              <v:textbox inset="0,0,0,0">
                <w:txbxContent>
                  <w:p>
                    <w:pPr>
                      <w:spacing w:line="280" w:lineRule="exact" w:before="0"/>
                      <w:ind w:left="0" w:right="0" w:firstLine="0"/>
                      <w:jc w:val="left"/>
                      <w:rPr>
                        <w:rFonts w:ascii="Calibri"/>
                        <w:b/>
                        <w:sz w:val="28"/>
                      </w:rPr>
                    </w:pPr>
                    <w:r>
                      <w:rPr>
                        <w:rFonts w:ascii="Calibri"/>
                        <w:b/>
                        <w:color w:val="595959"/>
                        <w:sz w:val="28"/>
                      </w:rPr>
                      <w:t>Sgiliau</w:t>
                    </w:r>
                    <w:r>
                      <w:rPr>
                        <w:rFonts w:ascii="Calibri"/>
                        <w:b/>
                        <w:color w:val="595959"/>
                        <w:spacing w:val="-3"/>
                        <w:sz w:val="28"/>
                      </w:rPr>
                      <w:t> </w:t>
                    </w:r>
                    <w:r>
                      <w:rPr>
                        <w:rFonts w:ascii="Calibri"/>
                        <w:b/>
                        <w:color w:val="595959"/>
                        <w:sz w:val="28"/>
                      </w:rPr>
                      <w:t>Cymraeg</w:t>
                    </w:r>
                    <w:r>
                      <w:rPr>
                        <w:rFonts w:ascii="Calibri"/>
                        <w:b/>
                        <w:color w:val="595959"/>
                        <w:spacing w:val="-3"/>
                        <w:sz w:val="28"/>
                      </w:rPr>
                      <w:t> </w:t>
                    </w:r>
                    <w:r>
                      <w:rPr>
                        <w:rFonts w:ascii="Calibri"/>
                        <w:b/>
                        <w:color w:val="595959"/>
                        <w:sz w:val="28"/>
                      </w:rPr>
                      <w:t>-</w:t>
                    </w:r>
                    <w:r>
                      <w:rPr>
                        <w:rFonts w:ascii="Calibri"/>
                        <w:b/>
                        <w:color w:val="595959"/>
                        <w:spacing w:val="-2"/>
                        <w:sz w:val="28"/>
                      </w:rPr>
                      <w:t> Ysgrifennu</w:t>
                    </w:r>
                  </w:p>
                </w:txbxContent>
              </v:textbox>
              <w10:wrap type="none"/>
            </v:shape>
            <v:shape style="position:absolute;left:151;top:830;width:3251;height:927" type="#_x0000_t202" id="docshape1093" filled="false" stroked="false">
              <v:textbox inset="0,0,0,0">
                <w:txbxContent>
                  <w:p>
                    <w:pPr>
                      <w:spacing w:line="224" w:lineRule="exact" w:before="0"/>
                      <w:ind w:left="1246" w:right="0" w:firstLine="0"/>
                      <w:jc w:val="left"/>
                      <w:rPr>
                        <w:rFonts w:ascii="Calibri"/>
                        <w:b/>
                        <w:sz w:val="22"/>
                      </w:rPr>
                    </w:pPr>
                    <w:r>
                      <w:rPr>
                        <w:rFonts w:ascii="Calibri"/>
                        <w:b/>
                        <w:sz w:val="22"/>
                      </w:rPr>
                      <w:t>Cofnododd</w:t>
                    </w:r>
                    <w:r>
                      <w:rPr>
                        <w:rFonts w:ascii="Calibri"/>
                        <w:b/>
                        <w:spacing w:val="-3"/>
                        <w:sz w:val="22"/>
                      </w:rPr>
                      <w:t> </w:t>
                    </w:r>
                    <w:r>
                      <w:rPr>
                        <w:rFonts w:ascii="Calibri"/>
                        <w:b/>
                        <w:sz w:val="22"/>
                      </w:rPr>
                      <w:t>2%</w:t>
                    </w:r>
                    <w:r>
                      <w:rPr>
                        <w:rFonts w:ascii="Calibri"/>
                        <w:b/>
                        <w:spacing w:val="-3"/>
                        <w:sz w:val="22"/>
                      </w:rPr>
                      <w:t> </w:t>
                    </w:r>
                    <w:r>
                      <w:rPr>
                        <w:rFonts w:ascii="Calibri"/>
                        <w:b/>
                        <w:sz w:val="22"/>
                      </w:rPr>
                      <w:t>Lefel</w:t>
                    </w:r>
                    <w:r>
                      <w:rPr>
                        <w:rFonts w:ascii="Calibri"/>
                        <w:b/>
                        <w:spacing w:val="-3"/>
                        <w:sz w:val="22"/>
                      </w:rPr>
                      <w:t> </w:t>
                    </w:r>
                    <w:r>
                      <w:rPr>
                        <w:rFonts w:ascii="Calibri"/>
                        <w:b/>
                        <w:spacing w:val="-10"/>
                        <w:sz w:val="22"/>
                      </w:rPr>
                      <w:t>3</w:t>
                    </w:r>
                  </w:p>
                  <w:p>
                    <w:pPr>
                      <w:spacing w:before="64"/>
                      <w:ind w:left="540" w:right="0" w:firstLine="0"/>
                      <w:jc w:val="left"/>
                      <w:rPr>
                        <w:rFonts w:ascii="Calibri"/>
                        <w:b/>
                        <w:sz w:val="22"/>
                      </w:rPr>
                    </w:pPr>
                    <w:r>
                      <w:rPr>
                        <w:rFonts w:ascii="Calibri"/>
                        <w:b/>
                        <w:sz w:val="22"/>
                      </w:rPr>
                      <w:t>Cofnododd</w:t>
                    </w:r>
                    <w:r>
                      <w:rPr>
                        <w:rFonts w:ascii="Calibri"/>
                        <w:b/>
                        <w:spacing w:val="-3"/>
                        <w:sz w:val="22"/>
                      </w:rPr>
                      <w:t> </w:t>
                    </w:r>
                    <w:r>
                      <w:rPr>
                        <w:rFonts w:ascii="Calibri"/>
                        <w:b/>
                        <w:sz w:val="22"/>
                      </w:rPr>
                      <w:t>2%</w:t>
                    </w:r>
                    <w:r>
                      <w:rPr>
                        <w:rFonts w:ascii="Calibri"/>
                        <w:b/>
                        <w:spacing w:val="-3"/>
                        <w:sz w:val="22"/>
                      </w:rPr>
                      <w:t> </w:t>
                    </w:r>
                    <w:r>
                      <w:rPr>
                        <w:rFonts w:ascii="Calibri"/>
                        <w:b/>
                        <w:sz w:val="22"/>
                      </w:rPr>
                      <w:t>Lefel</w:t>
                    </w:r>
                    <w:r>
                      <w:rPr>
                        <w:rFonts w:ascii="Calibri"/>
                        <w:b/>
                        <w:spacing w:val="-3"/>
                        <w:sz w:val="22"/>
                      </w:rPr>
                      <w:t> </w:t>
                    </w:r>
                    <w:r>
                      <w:rPr>
                        <w:rFonts w:ascii="Calibri"/>
                        <w:b/>
                        <w:spacing w:val="-10"/>
                        <w:sz w:val="22"/>
                      </w:rPr>
                      <w:t>2</w:t>
                    </w:r>
                  </w:p>
                  <w:p>
                    <w:pPr>
                      <w:spacing w:line="264" w:lineRule="exact" w:before="105"/>
                      <w:ind w:left="0" w:right="0" w:firstLine="0"/>
                      <w:jc w:val="left"/>
                      <w:rPr>
                        <w:rFonts w:ascii="Calibri"/>
                        <w:b/>
                        <w:sz w:val="22"/>
                      </w:rPr>
                    </w:pPr>
                    <w:r>
                      <w:rPr>
                        <w:rFonts w:ascii="Calibri"/>
                        <w:b/>
                        <w:sz w:val="22"/>
                      </w:rPr>
                      <w:t>Cofnododd</w:t>
                    </w:r>
                    <w:r>
                      <w:rPr>
                        <w:rFonts w:ascii="Calibri"/>
                        <w:b/>
                        <w:spacing w:val="-3"/>
                        <w:sz w:val="22"/>
                      </w:rPr>
                      <w:t> </w:t>
                    </w:r>
                    <w:r>
                      <w:rPr>
                        <w:rFonts w:ascii="Calibri"/>
                        <w:b/>
                        <w:sz w:val="22"/>
                      </w:rPr>
                      <w:t>5%</w:t>
                    </w:r>
                    <w:r>
                      <w:rPr>
                        <w:rFonts w:ascii="Calibri"/>
                        <w:b/>
                        <w:spacing w:val="-3"/>
                        <w:sz w:val="22"/>
                      </w:rPr>
                      <w:t> </w:t>
                    </w:r>
                    <w:r>
                      <w:rPr>
                        <w:rFonts w:ascii="Calibri"/>
                        <w:b/>
                        <w:sz w:val="22"/>
                      </w:rPr>
                      <w:t>Lefel</w:t>
                    </w:r>
                    <w:r>
                      <w:rPr>
                        <w:rFonts w:ascii="Calibri"/>
                        <w:b/>
                        <w:spacing w:val="-3"/>
                        <w:sz w:val="22"/>
                      </w:rPr>
                      <w:t> </w:t>
                    </w:r>
                    <w:r>
                      <w:rPr>
                        <w:rFonts w:ascii="Calibri"/>
                        <w:b/>
                        <w:spacing w:val="-10"/>
                        <w:sz w:val="22"/>
                      </w:rPr>
                      <w:t>1</w:t>
                    </w:r>
                  </w:p>
                </w:txbxContent>
              </v:textbox>
              <w10:wrap type="none"/>
            </v:shape>
            <v:shape style="position:absolute;left:3864;top:724;width:3031;height:621" type="#_x0000_t202" id="docshape1094" filled="false" stroked="false">
              <v:textbox inset="0,0,0,0">
                <w:txbxContent>
                  <w:p>
                    <w:pPr>
                      <w:spacing w:line="224" w:lineRule="exact" w:before="0"/>
                      <w:ind w:left="0" w:right="0" w:firstLine="0"/>
                      <w:jc w:val="left"/>
                      <w:rPr>
                        <w:rFonts w:ascii="Calibri"/>
                        <w:b/>
                        <w:sz w:val="22"/>
                      </w:rPr>
                    </w:pPr>
                    <w:r>
                      <w:rPr>
                        <w:rFonts w:ascii="Calibri"/>
                        <w:b/>
                        <w:sz w:val="22"/>
                      </w:rPr>
                      <w:t>Cofnododd</w:t>
                    </w:r>
                    <w:r>
                      <w:rPr>
                        <w:rFonts w:ascii="Calibri"/>
                        <w:b/>
                        <w:spacing w:val="-3"/>
                        <w:sz w:val="22"/>
                      </w:rPr>
                      <w:t> </w:t>
                    </w:r>
                    <w:r>
                      <w:rPr>
                        <w:rFonts w:ascii="Calibri"/>
                        <w:b/>
                        <w:sz w:val="22"/>
                      </w:rPr>
                      <w:t>1%</w:t>
                    </w:r>
                    <w:r>
                      <w:rPr>
                        <w:rFonts w:ascii="Calibri"/>
                        <w:b/>
                        <w:spacing w:val="-3"/>
                        <w:sz w:val="22"/>
                      </w:rPr>
                      <w:t> </w:t>
                    </w:r>
                    <w:r>
                      <w:rPr>
                        <w:rFonts w:ascii="Calibri"/>
                        <w:b/>
                        <w:sz w:val="22"/>
                      </w:rPr>
                      <w:t>Lefel</w:t>
                    </w:r>
                    <w:r>
                      <w:rPr>
                        <w:rFonts w:ascii="Calibri"/>
                        <w:b/>
                        <w:spacing w:val="-3"/>
                        <w:sz w:val="22"/>
                      </w:rPr>
                      <w:t> </w:t>
                    </w:r>
                    <w:r>
                      <w:rPr>
                        <w:rFonts w:ascii="Calibri"/>
                        <w:b/>
                        <w:spacing w:val="-10"/>
                        <w:sz w:val="22"/>
                      </w:rPr>
                      <w:t>4</w:t>
                    </w:r>
                  </w:p>
                  <w:p>
                    <w:pPr>
                      <w:spacing w:line="264" w:lineRule="exact" w:before="131"/>
                      <w:ind w:left="1026" w:right="0" w:firstLine="0"/>
                      <w:jc w:val="left"/>
                      <w:rPr>
                        <w:rFonts w:ascii="Calibri"/>
                        <w:b/>
                        <w:sz w:val="22"/>
                      </w:rPr>
                    </w:pPr>
                    <w:r>
                      <w:rPr>
                        <w:rFonts w:ascii="Calibri"/>
                        <w:b/>
                        <w:sz w:val="22"/>
                      </w:rPr>
                      <w:t>Cofnododd</w:t>
                    </w:r>
                    <w:r>
                      <w:rPr>
                        <w:rFonts w:ascii="Calibri"/>
                        <w:b/>
                        <w:spacing w:val="-3"/>
                        <w:sz w:val="22"/>
                      </w:rPr>
                      <w:t> </w:t>
                    </w:r>
                    <w:r>
                      <w:rPr>
                        <w:rFonts w:ascii="Calibri"/>
                        <w:b/>
                        <w:sz w:val="22"/>
                      </w:rPr>
                      <w:t>3%</w:t>
                    </w:r>
                    <w:r>
                      <w:rPr>
                        <w:rFonts w:ascii="Calibri"/>
                        <w:b/>
                        <w:spacing w:val="-3"/>
                        <w:sz w:val="22"/>
                      </w:rPr>
                      <w:t> </w:t>
                    </w:r>
                    <w:r>
                      <w:rPr>
                        <w:rFonts w:ascii="Calibri"/>
                        <w:b/>
                        <w:sz w:val="22"/>
                      </w:rPr>
                      <w:t>Lefel</w:t>
                    </w:r>
                    <w:r>
                      <w:rPr>
                        <w:rFonts w:ascii="Calibri"/>
                        <w:b/>
                        <w:spacing w:val="-3"/>
                        <w:sz w:val="22"/>
                      </w:rPr>
                      <w:t> </w:t>
                    </w:r>
                    <w:r>
                      <w:rPr>
                        <w:rFonts w:ascii="Calibri"/>
                        <w:b/>
                        <w:spacing w:val="-10"/>
                        <w:sz w:val="22"/>
                      </w:rPr>
                      <w:t>5</w:t>
                    </w:r>
                  </w:p>
                </w:txbxContent>
              </v:textbox>
              <w10:wrap type="none"/>
            </v:shape>
            <v:shape style="position:absolute;left:4878;top:2544;width:2344;height:489" type="#_x0000_t202" id="docshape1095" filled="false" stroked="false">
              <v:textbox inset="0,0,0,0">
                <w:txbxContent>
                  <w:p>
                    <w:pPr>
                      <w:spacing w:line="224" w:lineRule="exact" w:before="0"/>
                      <w:ind w:left="0" w:right="0" w:firstLine="0"/>
                      <w:jc w:val="left"/>
                      <w:rPr>
                        <w:rFonts w:ascii="Calibri"/>
                        <w:b/>
                        <w:sz w:val="22"/>
                      </w:rPr>
                    </w:pPr>
                    <w:r>
                      <w:rPr>
                        <w:rFonts w:ascii="Calibri"/>
                        <w:b/>
                        <w:color w:val="FFFFFF"/>
                        <w:sz w:val="22"/>
                      </w:rPr>
                      <w:t>Nid</w:t>
                    </w:r>
                    <w:r>
                      <w:rPr>
                        <w:rFonts w:ascii="Calibri"/>
                        <w:b/>
                        <w:color w:val="FFFFFF"/>
                        <w:spacing w:val="-1"/>
                        <w:sz w:val="22"/>
                      </w:rPr>
                      <w:t> </w:t>
                    </w:r>
                    <w:r>
                      <w:rPr>
                        <w:rFonts w:ascii="Calibri"/>
                        <w:b/>
                        <w:color w:val="FFFFFF"/>
                        <w:sz w:val="22"/>
                      </w:rPr>
                      <w:t>yw</w:t>
                    </w:r>
                    <w:r>
                      <w:rPr>
                        <w:rFonts w:ascii="Calibri"/>
                        <w:b/>
                        <w:color w:val="FFFFFF"/>
                        <w:spacing w:val="-1"/>
                        <w:sz w:val="22"/>
                      </w:rPr>
                      <w:t> </w:t>
                    </w:r>
                    <w:r>
                      <w:rPr>
                        <w:rFonts w:ascii="Calibri"/>
                        <w:b/>
                        <w:color w:val="FFFFFF"/>
                        <w:sz w:val="22"/>
                      </w:rPr>
                      <w:t>38%</w:t>
                    </w:r>
                    <w:r>
                      <w:rPr>
                        <w:rFonts w:ascii="Calibri"/>
                        <w:b/>
                        <w:color w:val="FFFFFF"/>
                        <w:spacing w:val="-1"/>
                        <w:sz w:val="22"/>
                      </w:rPr>
                      <w:t> </w:t>
                    </w:r>
                    <w:r>
                      <w:rPr>
                        <w:rFonts w:ascii="Calibri"/>
                        <w:b/>
                        <w:color w:val="FFFFFF"/>
                        <w:sz w:val="22"/>
                      </w:rPr>
                      <w:t>o'r</w:t>
                    </w:r>
                    <w:r>
                      <w:rPr>
                        <w:rFonts w:ascii="Calibri"/>
                        <w:b/>
                        <w:color w:val="FFFFFF"/>
                        <w:spacing w:val="-2"/>
                        <w:sz w:val="22"/>
                      </w:rPr>
                      <w:t> </w:t>
                    </w:r>
                    <w:r>
                      <w:rPr>
                        <w:rFonts w:ascii="Calibri"/>
                        <w:b/>
                        <w:color w:val="FFFFFF"/>
                        <w:sz w:val="22"/>
                      </w:rPr>
                      <w:t>staff</w:t>
                    </w:r>
                    <w:r>
                      <w:rPr>
                        <w:rFonts w:ascii="Calibri"/>
                        <w:b/>
                        <w:color w:val="FFFFFF"/>
                        <w:spacing w:val="-1"/>
                        <w:sz w:val="22"/>
                      </w:rPr>
                      <w:t> </w:t>
                    </w:r>
                    <w:r>
                      <w:rPr>
                        <w:rFonts w:ascii="Calibri"/>
                        <w:b/>
                        <w:color w:val="FFFFFF"/>
                        <w:spacing w:val="-4"/>
                        <w:sz w:val="22"/>
                      </w:rPr>
                      <w:t>wedi</w:t>
                    </w:r>
                  </w:p>
                  <w:p>
                    <w:pPr>
                      <w:spacing w:line="264" w:lineRule="exact" w:before="0"/>
                      <w:ind w:left="0" w:right="0" w:firstLine="0"/>
                      <w:jc w:val="left"/>
                      <w:rPr>
                        <w:rFonts w:ascii="Calibri"/>
                        <w:b/>
                        <w:sz w:val="22"/>
                      </w:rPr>
                    </w:pPr>
                    <w:r>
                      <w:rPr>
                        <w:rFonts w:ascii="Calibri"/>
                        <w:b/>
                        <w:color w:val="FFFFFF"/>
                        <w:sz w:val="22"/>
                      </w:rPr>
                      <w:t>cofnodi'u</w:t>
                    </w:r>
                    <w:r>
                      <w:rPr>
                        <w:rFonts w:ascii="Calibri"/>
                        <w:b/>
                        <w:color w:val="FFFFFF"/>
                        <w:spacing w:val="-3"/>
                        <w:sz w:val="22"/>
                      </w:rPr>
                      <w:t> </w:t>
                    </w:r>
                    <w:r>
                      <w:rPr>
                        <w:rFonts w:ascii="Calibri"/>
                        <w:b/>
                        <w:color w:val="FFFFFF"/>
                        <w:sz w:val="22"/>
                      </w:rPr>
                      <w:t>sgiliau</w:t>
                    </w:r>
                    <w:r>
                      <w:rPr>
                        <w:rFonts w:ascii="Calibri"/>
                        <w:b/>
                        <w:color w:val="FFFFFF"/>
                        <w:spacing w:val="-3"/>
                        <w:sz w:val="22"/>
                      </w:rPr>
                      <w:t> </w:t>
                    </w:r>
                    <w:r>
                      <w:rPr>
                        <w:rFonts w:ascii="Calibri"/>
                        <w:b/>
                        <w:color w:val="FFFFFF"/>
                        <w:sz w:val="22"/>
                      </w:rPr>
                      <w:t>ar</w:t>
                    </w:r>
                    <w:r>
                      <w:rPr>
                        <w:rFonts w:ascii="Calibri"/>
                        <w:b/>
                        <w:color w:val="FFFFFF"/>
                        <w:spacing w:val="-2"/>
                        <w:sz w:val="22"/>
                      </w:rPr>
                      <w:t> </w:t>
                    </w:r>
                    <w:r>
                      <w:rPr>
                        <w:rFonts w:ascii="Calibri"/>
                        <w:b/>
                        <w:color w:val="FFFFFF"/>
                        <w:spacing w:val="-5"/>
                        <w:sz w:val="22"/>
                      </w:rPr>
                      <w:t>ESR</w:t>
                    </w:r>
                  </w:p>
                </w:txbxContent>
              </v:textbox>
              <w10:wrap type="none"/>
            </v:shape>
            <v:shape style="position:absolute;left:1704;top:4163;width:3621;height:489" type="#_x0000_t202" id="docshape1096" filled="false" stroked="false">
              <v:textbox inset="0,0,0,0">
                <w:txbxContent>
                  <w:p>
                    <w:pPr>
                      <w:spacing w:line="224" w:lineRule="exact" w:before="0"/>
                      <w:ind w:left="0" w:right="0" w:firstLine="0"/>
                      <w:jc w:val="left"/>
                      <w:rPr>
                        <w:rFonts w:ascii="Calibri"/>
                        <w:b/>
                        <w:sz w:val="22"/>
                      </w:rPr>
                    </w:pPr>
                    <w:r>
                      <w:rPr>
                        <w:rFonts w:ascii="Calibri"/>
                        <w:b/>
                        <w:color w:val="FFFFFF"/>
                        <w:sz w:val="22"/>
                      </w:rPr>
                      <w:t>Mae</w:t>
                    </w:r>
                    <w:r>
                      <w:rPr>
                        <w:rFonts w:ascii="Calibri"/>
                        <w:b/>
                        <w:color w:val="FFFFFF"/>
                        <w:spacing w:val="-4"/>
                        <w:sz w:val="22"/>
                      </w:rPr>
                      <w:t> </w:t>
                    </w:r>
                    <w:r>
                      <w:rPr>
                        <w:rFonts w:ascii="Calibri"/>
                        <w:b/>
                        <w:color w:val="FFFFFF"/>
                        <w:sz w:val="22"/>
                      </w:rPr>
                      <w:t>49%</w:t>
                    </w:r>
                    <w:r>
                      <w:rPr>
                        <w:rFonts w:ascii="Calibri"/>
                        <w:b/>
                        <w:color w:val="FFFFFF"/>
                        <w:spacing w:val="-1"/>
                        <w:sz w:val="22"/>
                      </w:rPr>
                      <w:t> </w:t>
                    </w:r>
                    <w:r>
                      <w:rPr>
                        <w:rFonts w:ascii="Calibri"/>
                        <w:b/>
                        <w:color w:val="FFFFFF"/>
                        <w:sz w:val="22"/>
                      </w:rPr>
                      <w:t>o'r</w:t>
                    </w:r>
                    <w:r>
                      <w:rPr>
                        <w:rFonts w:ascii="Calibri"/>
                        <w:b/>
                        <w:color w:val="FFFFFF"/>
                        <w:spacing w:val="-1"/>
                        <w:sz w:val="22"/>
                      </w:rPr>
                      <w:t> </w:t>
                    </w:r>
                    <w:r>
                      <w:rPr>
                        <w:rFonts w:ascii="Calibri"/>
                        <w:b/>
                        <w:color w:val="FFFFFF"/>
                        <w:sz w:val="22"/>
                      </w:rPr>
                      <w:t>staff</w:t>
                    </w:r>
                    <w:r>
                      <w:rPr>
                        <w:rFonts w:ascii="Calibri"/>
                        <w:b/>
                        <w:color w:val="FFFFFF"/>
                        <w:spacing w:val="-1"/>
                        <w:sz w:val="22"/>
                      </w:rPr>
                      <w:t> </w:t>
                    </w:r>
                    <w:r>
                      <w:rPr>
                        <w:rFonts w:ascii="Calibri"/>
                        <w:b/>
                        <w:color w:val="FFFFFF"/>
                        <w:sz w:val="22"/>
                      </w:rPr>
                      <w:t>wedi</w:t>
                    </w:r>
                    <w:r>
                      <w:rPr>
                        <w:rFonts w:ascii="Calibri"/>
                        <w:b/>
                        <w:color w:val="FFFFFF"/>
                        <w:spacing w:val="-2"/>
                        <w:sz w:val="22"/>
                      </w:rPr>
                      <w:t> </w:t>
                    </w:r>
                    <w:r>
                      <w:rPr>
                        <w:rFonts w:ascii="Calibri"/>
                        <w:b/>
                        <w:color w:val="FFFFFF"/>
                        <w:sz w:val="22"/>
                      </w:rPr>
                      <w:t>cofnodi</w:t>
                    </w:r>
                    <w:r>
                      <w:rPr>
                        <w:rFonts w:ascii="Calibri"/>
                        <w:b/>
                        <w:color w:val="FFFFFF"/>
                        <w:spacing w:val="-2"/>
                        <w:sz w:val="22"/>
                      </w:rPr>
                      <w:t> </w:t>
                    </w:r>
                    <w:r>
                      <w:rPr>
                        <w:rFonts w:ascii="Calibri"/>
                        <w:b/>
                        <w:color w:val="FFFFFF"/>
                        <w:sz w:val="22"/>
                      </w:rPr>
                      <w:t>nad</w:t>
                    </w:r>
                    <w:r>
                      <w:rPr>
                        <w:rFonts w:ascii="Calibri"/>
                        <w:b/>
                        <w:color w:val="FFFFFF"/>
                        <w:spacing w:val="-1"/>
                        <w:sz w:val="22"/>
                      </w:rPr>
                      <w:t> </w:t>
                    </w:r>
                    <w:r>
                      <w:rPr>
                        <w:rFonts w:ascii="Calibri"/>
                        <w:b/>
                        <w:color w:val="FFFFFF"/>
                        <w:spacing w:val="-5"/>
                        <w:sz w:val="22"/>
                      </w:rPr>
                      <w:t>oes</w:t>
                    </w:r>
                  </w:p>
                  <w:p>
                    <w:pPr>
                      <w:spacing w:line="264" w:lineRule="exact" w:before="0"/>
                      <w:ind w:left="0" w:right="0" w:firstLine="0"/>
                      <w:jc w:val="left"/>
                      <w:rPr>
                        <w:rFonts w:ascii="Calibri"/>
                        <w:b/>
                        <w:sz w:val="22"/>
                      </w:rPr>
                    </w:pPr>
                    <w:r>
                      <w:rPr>
                        <w:rFonts w:ascii="Calibri"/>
                        <w:b/>
                        <w:color w:val="FFFFFF"/>
                        <w:sz w:val="22"/>
                      </w:rPr>
                      <w:t>ganddynt</w:t>
                    </w:r>
                    <w:r>
                      <w:rPr>
                        <w:rFonts w:ascii="Calibri"/>
                        <w:b/>
                        <w:color w:val="FFFFFF"/>
                        <w:spacing w:val="-3"/>
                        <w:sz w:val="22"/>
                      </w:rPr>
                      <w:t> </w:t>
                    </w:r>
                    <w:r>
                      <w:rPr>
                        <w:rFonts w:ascii="Calibri"/>
                        <w:b/>
                        <w:color w:val="FFFFFF"/>
                        <w:sz w:val="22"/>
                      </w:rPr>
                      <w:t>dim</w:t>
                    </w:r>
                    <w:r>
                      <w:rPr>
                        <w:rFonts w:ascii="Calibri"/>
                        <w:b/>
                        <w:color w:val="FFFFFF"/>
                        <w:spacing w:val="-2"/>
                        <w:sz w:val="22"/>
                      </w:rPr>
                      <w:t> </w:t>
                    </w:r>
                    <w:r>
                      <w:rPr>
                        <w:rFonts w:ascii="Calibri"/>
                        <w:b/>
                        <w:color w:val="FFFFFF"/>
                        <w:sz w:val="22"/>
                      </w:rPr>
                      <w:t>sgiliau</w:t>
                    </w:r>
                    <w:r>
                      <w:rPr>
                        <w:rFonts w:ascii="Calibri"/>
                        <w:b/>
                        <w:color w:val="FFFFFF"/>
                        <w:spacing w:val="-2"/>
                        <w:sz w:val="22"/>
                      </w:rPr>
                      <w:t> ysgrifennu</w:t>
                    </w:r>
                  </w:p>
                </w:txbxContent>
              </v:textbox>
              <w10:wrap type="none"/>
            </v:shape>
          </v:group>
        </w:pict>
      </w:r>
      <w:r>
        <w:rPr>
          <w:rFonts w:ascii="Calibri"/>
          <w:sz w:val="20"/>
        </w:rPr>
      </w:r>
    </w:p>
    <w:p>
      <w:pPr>
        <w:pStyle w:val="BodyText"/>
        <w:spacing w:before="10"/>
        <w:rPr>
          <w:rFonts w:ascii="Calibri"/>
          <w:sz w:val="19"/>
        </w:rPr>
      </w:pPr>
    </w:p>
    <w:p>
      <w:pPr>
        <w:pStyle w:val="Heading5"/>
        <w:spacing w:before="36"/>
        <w:jc w:val="both"/>
      </w:pPr>
      <w:r>
        <w:rPr/>
        <w:t>Swyddi</w:t>
      </w:r>
      <w:r>
        <w:rPr>
          <w:spacing w:val="-2"/>
        </w:rPr>
        <w:t> </w:t>
      </w:r>
      <w:r>
        <w:rPr/>
        <w:t>newydd</w:t>
      </w:r>
      <w:r>
        <w:rPr>
          <w:spacing w:val="-1"/>
        </w:rPr>
        <w:t> </w:t>
      </w:r>
      <w:r>
        <w:rPr/>
        <w:t>a </w:t>
      </w:r>
      <w:r>
        <w:rPr>
          <w:spacing w:val="-2"/>
        </w:rPr>
        <w:t>gwag:</w:t>
      </w:r>
    </w:p>
    <w:p>
      <w:pPr>
        <w:spacing w:before="31"/>
        <w:ind w:left="1440" w:right="0" w:firstLine="0"/>
        <w:jc w:val="both"/>
        <w:rPr>
          <w:rFonts w:ascii="Calibri" w:hAnsi="Calibri"/>
          <w:sz w:val="22"/>
        </w:rPr>
      </w:pPr>
      <w:r>
        <w:rPr>
          <w:rFonts w:ascii="Calibri" w:hAnsi="Calibri"/>
          <w:sz w:val="22"/>
        </w:rPr>
        <w:t>Mae’r</w:t>
      </w:r>
      <w:r>
        <w:rPr>
          <w:rFonts w:ascii="Calibri" w:hAnsi="Calibri"/>
          <w:spacing w:val="-2"/>
          <w:sz w:val="22"/>
        </w:rPr>
        <w:t> </w:t>
      </w:r>
      <w:r>
        <w:rPr>
          <w:rFonts w:ascii="Calibri" w:hAnsi="Calibri"/>
          <w:sz w:val="22"/>
        </w:rPr>
        <w:t>tabl</w:t>
      </w:r>
      <w:r>
        <w:rPr>
          <w:rFonts w:ascii="Calibri" w:hAnsi="Calibri"/>
          <w:spacing w:val="-1"/>
          <w:sz w:val="22"/>
        </w:rPr>
        <w:t> </w:t>
      </w:r>
      <w:r>
        <w:rPr>
          <w:rFonts w:ascii="Calibri" w:hAnsi="Calibri"/>
          <w:sz w:val="22"/>
        </w:rPr>
        <w:t>isod</w:t>
      </w:r>
      <w:r>
        <w:rPr>
          <w:rFonts w:ascii="Calibri" w:hAnsi="Calibri"/>
          <w:spacing w:val="-2"/>
          <w:sz w:val="22"/>
        </w:rPr>
        <w:t> </w:t>
      </w:r>
      <w:r>
        <w:rPr>
          <w:rFonts w:ascii="Calibri" w:hAnsi="Calibri"/>
          <w:sz w:val="22"/>
        </w:rPr>
        <w:t>yn</w:t>
      </w:r>
      <w:r>
        <w:rPr>
          <w:rFonts w:ascii="Calibri" w:hAnsi="Calibri"/>
          <w:spacing w:val="-2"/>
          <w:sz w:val="22"/>
        </w:rPr>
        <w:t> </w:t>
      </w:r>
      <w:r>
        <w:rPr>
          <w:rFonts w:ascii="Calibri" w:hAnsi="Calibri"/>
          <w:sz w:val="22"/>
        </w:rPr>
        <w:t>manylu</w:t>
      </w:r>
      <w:r>
        <w:rPr>
          <w:rFonts w:ascii="Calibri" w:hAnsi="Calibri"/>
          <w:spacing w:val="-2"/>
          <w:sz w:val="22"/>
        </w:rPr>
        <w:t> </w:t>
      </w:r>
      <w:r>
        <w:rPr>
          <w:rFonts w:ascii="Calibri" w:hAnsi="Calibri"/>
          <w:sz w:val="22"/>
        </w:rPr>
        <w:t>ar</w:t>
      </w:r>
      <w:r>
        <w:rPr>
          <w:rFonts w:ascii="Calibri" w:hAnsi="Calibri"/>
          <w:spacing w:val="-2"/>
          <w:sz w:val="22"/>
        </w:rPr>
        <w:t> </w:t>
      </w:r>
      <w:r>
        <w:rPr>
          <w:rFonts w:ascii="Calibri" w:hAnsi="Calibri"/>
          <w:sz w:val="22"/>
        </w:rPr>
        <w:t>y</w:t>
      </w:r>
      <w:r>
        <w:rPr>
          <w:rFonts w:ascii="Calibri" w:hAnsi="Calibri"/>
          <w:spacing w:val="-2"/>
          <w:sz w:val="22"/>
        </w:rPr>
        <w:t> </w:t>
      </w:r>
      <w:r>
        <w:rPr>
          <w:rFonts w:ascii="Calibri" w:hAnsi="Calibri"/>
          <w:sz w:val="22"/>
        </w:rPr>
        <w:t>swyddi</w:t>
      </w:r>
      <w:r>
        <w:rPr>
          <w:rFonts w:ascii="Calibri" w:hAnsi="Calibri"/>
          <w:spacing w:val="-1"/>
          <w:sz w:val="22"/>
        </w:rPr>
        <w:t> </w:t>
      </w:r>
      <w:r>
        <w:rPr>
          <w:rFonts w:ascii="Calibri" w:hAnsi="Calibri"/>
          <w:sz w:val="22"/>
        </w:rPr>
        <w:t>a</w:t>
      </w:r>
      <w:r>
        <w:rPr>
          <w:rFonts w:ascii="Calibri" w:hAnsi="Calibri"/>
          <w:spacing w:val="-2"/>
          <w:sz w:val="22"/>
        </w:rPr>
        <w:t> </w:t>
      </w:r>
      <w:r>
        <w:rPr>
          <w:rFonts w:ascii="Calibri" w:hAnsi="Calibri"/>
          <w:sz w:val="22"/>
        </w:rPr>
        <w:t>hysbysebwyd</w:t>
      </w:r>
      <w:r>
        <w:rPr>
          <w:rFonts w:ascii="Calibri" w:hAnsi="Calibri"/>
          <w:spacing w:val="-1"/>
          <w:sz w:val="22"/>
        </w:rPr>
        <w:t> </w:t>
      </w:r>
      <w:r>
        <w:rPr>
          <w:rFonts w:ascii="Calibri" w:hAnsi="Calibri"/>
          <w:sz w:val="22"/>
        </w:rPr>
        <w:t>rhwng</w:t>
      </w:r>
      <w:r>
        <w:rPr>
          <w:rFonts w:ascii="Calibri" w:hAnsi="Calibri"/>
          <w:spacing w:val="-2"/>
          <w:sz w:val="22"/>
        </w:rPr>
        <w:t> </w:t>
      </w:r>
      <w:r>
        <w:rPr>
          <w:rFonts w:ascii="Calibri" w:hAnsi="Calibri"/>
          <w:sz w:val="22"/>
        </w:rPr>
        <w:t>1</w:t>
      </w:r>
      <w:r>
        <w:rPr>
          <w:rFonts w:ascii="Calibri" w:hAnsi="Calibri"/>
          <w:spacing w:val="-1"/>
          <w:sz w:val="22"/>
        </w:rPr>
        <w:t> </w:t>
      </w:r>
      <w:r>
        <w:rPr>
          <w:rFonts w:ascii="Calibri" w:hAnsi="Calibri"/>
          <w:sz w:val="22"/>
        </w:rPr>
        <w:t>Ebrill</w:t>
      </w:r>
      <w:r>
        <w:rPr>
          <w:rFonts w:ascii="Calibri" w:hAnsi="Calibri"/>
          <w:spacing w:val="-1"/>
          <w:sz w:val="22"/>
        </w:rPr>
        <w:t> </w:t>
      </w:r>
      <w:r>
        <w:rPr>
          <w:rFonts w:ascii="Calibri" w:hAnsi="Calibri"/>
          <w:sz w:val="22"/>
        </w:rPr>
        <w:t>2021</w:t>
      </w:r>
      <w:r>
        <w:rPr>
          <w:rFonts w:ascii="Calibri" w:hAnsi="Calibri"/>
          <w:spacing w:val="-2"/>
          <w:sz w:val="22"/>
        </w:rPr>
        <w:t> </w:t>
      </w:r>
      <w:r>
        <w:rPr>
          <w:rFonts w:ascii="Calibri" w:hAnsi="Calibri"/>
          <w:sz w:val="22"/>
        </w:rPr>
        <w:t>a</w:t>
      </w:r>
      <w:r>
        <w:rPr>
          <w:rFonts w:ascii="Calibri" w:hAnsi="Calibri"/>
          <w:spacing w:val="-2"/>
          <w:sz w:val="22"/>
        </w:rPr>
        <w:t> </w:t>
      </w:r>
      <w:r>
        <w:rPr>
          <w:rFonts w:ascii="Calibri" w:hAnsi="Calibri"/>
          <w:sz w:val="22"/>
        </w:rPr>
        <w:t>31</w:t>
      </w:r>
      <w:r>
        <w:rPr>
          <w:rFonts w:ascii="Calibri" w:hAnsi="Calibri"/>
          <w:spacing w:val="-1"/>
          <w:sz w:val="22"/>
        </w:rPr>
        <w:t> </w:t>
      </w:r>
      <w:r>
        <w:rPr>
          <w:rFonts w:ascii="Calibri" w:hAnsi="Calibri"/>
          <w:sz w:val="22"/>
        </w:rPr>
        <w:t>Mawrth</w:t>
      </w:r>
      <w:r>
        <w:rPr>
          <w:rFonts w:ascii="Calibri" w:hAnsi="Calibri"/>
          <w:spacing w:val="-1"/>
          <w:sz w:val="22"/>
        </w:rPr>
        <w:t> </w:t>
      </w:r>
      <w:r>
        <w:rPr>
          <w:rFonts w:ascii="Calibri" w:hAnsi="Calibri"/>
          <w:spacing w:val="-2"/>
          <w:sz w:val="22"/>
        </w:rPr>
        <w:t>2022:</w:t>
      </w:r>
    </w:p>
    <w:p>
      <w:pPr>
        <w:pStyle w:val="BodyText"/>
        <w:spacing w:before="10"/>
        <w:rPr>
          <w:rFonts w:ascii="Calibri"/>
          <w:sz w:val="14"/>
        </w:rPr>
      </w:pPr>
    </w:p>
    <w:tbl>
      <w:tblPr>
        <w:tblW w:w="0" w:type="auto"/>
        <w:jc w:val="left"/>
        <w:tblInd w:w="14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792"/>
        <w:gridCol w:w="1275"/>
      </w:tblGrid>
      <w:tr>
        <w:trPr>
          <w:trHeight w:val="287" w:hRule="atLeast"/>
        </w:trPr>
        <w:tc>
          <w:tcPr>
            <w:tcW w:w="7792" w:type="dxa"/>
            <w:shd w:val="clear" w:color="auto" w:fill="D6DCE4"/>
          </w:tcPr>
          <w:p>
            <w:pPr>
              <w:pStyle w:val="TableParagraph"/>
              <w:spacing w:line="258" w:lineRule="exact" w:before="9"/>
              <w:ind w:left="108"/>
              <w:rPr>
                <w:rFonts w:ascii="Calibri"/>
                <w:sz w:val="22"/>
              </w:rPr>
            </w:pPr>
            <w:r>
              <w:rPr>
                <w:rFonts w:ascii="Calibri"/>
                <w:sz w:val="22"/>
              </w:rPr>
              <w:t>Cyfanswm</w:t>
            </w:r>
            <w:r>
              <w:rPr>
                <w:rFonts w:ascii="Calibri"/>
                <w:spacing w:val="-5"/>
                <w:sz w:val="22"/>
              </w:rPr>
              <w:t> </w:t>
            </w:r>
            <w:r>
              <w:rPr>
                <w:rFonts w:ascii="Calibri"/>
                <w:sz w:val="22"/>
              </w:rPr>
              <w:t>nifer</w:t>
            </w:r>
            <w:r>
              <w:rPr>
                <w:rFonts w:ascii="Calibri"/>
                <w:spacing w:val="-4"/>
                <w:sz w:val="22"/>
              </w:rPr>
              <w:t> </w:t>
            </w:r>
            <w:r>
              <w:rPr>
                <w:rFonts w:ascii="Calibri"/>
                <w:sz w:val="22"/>
              </w:rPr>
              <w:t>y</w:t>
            </w:r>
            <w:r>
              <w:rPr>
                <w:rFonts w:ascii="Calibri"/>
                <w:spacing w:val="-3"/>
                <w:sz w:val="22"/>
              </w:rPr>
              <w:t> </w:t>
            </w:r>
            <w:r>
              <w:rPr>
                <w:rFonts w:ascii="Calibri"/>
                <w:sz w:val="22"/>
              </w:rPr>
              <w:t>swyddi</w:t>
            </w:r>
            <w:r>
              <w:rPr>
                <w:rFonts w:ascii="Calibri"/>
                <w:spacing w:val="-3"/>
                <w:sz w:val="22"/>
              </w:rPr>
              <w:t> </w:t>
            </w:r>
            <w:r>
              <w:rPr>
                <w:rFonts w:ascii="Calibri"/>
                <w:sz w:val="22"/>
              </w:rPr>
              <w:t>gwag</w:t>
            </w:r>
            <w:r>
              <w:rPr>
                <w:rFonts w:ascii="Calibri"/>
                <w:spacing w:val="-3"/>
                <w:sz w:val="22"/>
              </w:rPr>
              <w:t> </w:t>
            </w:r>
            <w:r>
              <w:rPr>
                <w:rFonts w:ascii="Calibri"/>
                <w:sz w:val="22"/>
              </w:rPr>
              <w:t>a</w:t>
            </w:r>
            <w:r>
              <w:rPr>
                <w:rFonts w:ascii="Calibri"/>
                <w:spacing w:val="-3"/>
                <w:sz w:val="22"/>
              </w:rPr>
              <w:t> </w:t>
            </w:r>
            <w:r>
              <w:rPr>
                <w:rFonts w:ascii="Calibri"/>
                <w:sz w:val="22"/>
              </w:rPr>
              <w:t>hysbysebwyd</w:t>
            </w:r>
            <w:r>
              <w:rPr>
                <w:rFonts w:ascii="Calibri"/>
                <w:spacing w:val="-4"/>
                <w:sz w:val="22"/>
              </w:rPr>
              <w:t> </w:t>
            </w:r>
            <w:r>
              <w:rPr>
                <w:rFonts w:ascii="Calibri"/>
                <w:sz w:val="22"/>
              </w:rPr>
              <w:t>01/04/2020</w:t>
            </w:r>
            <w:r>
              <w:rPr>
                <w:rFonts w:ascii="Calibri"/>
                <w:spacing w:val="-2"/>
                <w:sz w:val="22"/>
              </w:rPr>
              <w:t> </w:t>
            </w:r>
            <w:r>
              <w:rPr>
                <w:rFonts w:ascii="Calibri"/>
                <w:sz w:val="22"/>
              </w:rPr>
              <w:t>hyd</w:t>
            </w:r>
            <w:r>
              <w:rPr>
                <w:rFonts w:ascii="Calibri"/>
                <w:spacing w:val="-3"/>
                <w:sz w:val="22"/>
              </w:rPr>
              <w:t> </w:t>
            </w:r>
            <w:r>
              <w:rPr>
                <w:rFonts w:ascii="Calibri"/>
                <w:sz w:val="22"/>
              </w:rPr>
              <w:t>at</w:t>
            </w:r>
            <w:r>
              <w:rPr>
                <w:rFonts w:ascii="Calibri"/>
                <w:spacing w:val="-3"/>
                <w:sz w:val="22"/>
              </w:rPr>
              <w:t> </w:t>
            </w:r>
            <w:r>
              <w:rPr>
                <w:rFonts w:ascii="Calibri"/>
                <w:spacing w:val="-2"/>
                <w:sz w:val="22"/>
              </w:rPr>
              <w:t>31/03/2021</w:t>
            </w:r>
          </w:p>
        </w:tc>
        <w:tc>
          <w:tcPr>
            <w:tcW w:w="1275" w:type="dxa"/>
            <w:shd w:val="clear" w:color="auto" w:fill="D6DCE4"/>
          </w:tcPr>
          <w:p>
            <w:pPr>
              <w:pStyle w:val="TableParagraph"/>
              <w:spacing w:line="249" w:lineRule="exact" w:before="19"/>
              <w:ind w:right="95"/>
              <w:jc w:val="right"/>
              <w:rPr>
                <w:rFonts w:ascii="Calibri"/>
                <w:sz w:val="22"/>
              </w:rPr>
            </w:pPr>
            <w:r>
              <w:rPr>
                <w:rFonts w:ascii="Calibri"/>
                <w:spacing w:val="-5"/>
                <w:sz w:val="22"/>
              </w:rPr>
              <w:t>735</w:t>
            </w:r>
          </w:p>
        </w:tc>
      </w:tr>
      <w:tr>
        <w:trPr>
          <w:trHeight w:val="287" w:hRule="atLeast"/>
        </w:trPr>
        <w:tc>
          <w:tcPr>
            <w:tcW w:w="7792" w:type="dxa"/>
            <w:shd w:val="clear" w:color="auto" w:fill="9CC2E5"/>
          </w:tcPr>
          <w:p>
            <w:pPr>
              <w:pStyle w:val="TableParagraph"/>
              <w:spacing w:line="258" w:lineRule="exact" w:before="9"/>
              <w:ind w:left="108"/>
              <w:rPr>
                <w:rFonts w:ascii="Calibri"/>
                <w:sz w:val="22"/>
              </w:rPr>
            </w:pPr>
            <w:r>
              <w:rPr>
                <w:rFonts w:ascii="Calibri"/>
                <w:sz w:val="22"/>
              </w:rPr>
              <w:t>Cyfanswm</w:t>
            </w:r>
            <w:r>
              <w:rPr>
                <w:rFonts w:ascii="Calibri"/>
                <w:spacing w:val="-3"/>
                <w:sz w:val="22"/>
              </w:rPr>
              <w:t> </w:t>
            </w:r>
            <w:r>
              <w:rPr>
                <w:rFonts w:ascii="Calibri"/>
                <w:sz w:val="22"/>
              </w:rPr>
              <w:t>nifer</w:t>
            </w:r>
            <w:r>
              <w:rPr>
                <w:rFonts w:ascii="Calibri"/>
                <w:spacing w:val="-4"/>
                <w:sz w:val="22"/>
              </w:rPr>
              <w:t> </w:t>
            </w:r>
            <w:r>
              <w:rPr>
                <w:rFonts w:ascii="Calibri"/>
                <w:sz w:val="22"/>
              </w:rPr>
              <w:t>y</w:t>
            </w:r>
            <w:r>
              <w:rPr>
                <w:rFonts w:ascii="Calibri"/>
                <w:spacing w:val="-4"/>
                <w:sz w:val="22"/>
              </w:rPr>
              <w:t> </w:t>
            </w:r>
            <w:r>
              <w:rPr>
                <w:rFonts w:ascii="Calibri"/>
                <w:sz w:val="22"/>
              </w:rPr>
              <w:t>swyddi</w:t>
            </w:r>
            <w:r>
              <w:rPr>
                <w:rFonts w:ascii="Calibri"/>
                <w:spacing w:val="-3"/>
                <w:sz w:val="22"/>
              </w:rPr>
              <w:t> </w:t>
            </w:r>
            <w:r>
              <w:rPr>
                <w:rFonts w:ascii="Calibri"/>
                <w:sz w:val="22"/>
              </w:rPr>
              <w:t>gwag</w:t>
            </w:r>
            <w:r>
              <w:rPr>
                <w:rFonts w:ascii="Calibri"/>
                <w:spacing w:val="-3"/>
                <w:sz w:val="22"/>
              </w:rPr>
              <w:t> </w:t>
            </w:r>
            <w:r>
              <w:rPr>
                <w:rFonts w:ascii="Calibri"/>
                <w:sz w:val="22"/>
              </w:rPr>
              <w:t>a</w:t>
            </w:r>
            <w:r>
              <w:rPr>
                <w:rFonts w:ascii="Calibri"/>
                <w:spacing w:val="-4"/>
                <w:sz w:val="22"/>
              </w:rPr>
              <w:t> </w:t>
            </w:r>
            <w:r>
              <w:rPr>
                <w:rFonts w:ascii="Calibri"/>
                <w:sz w:val="22"/>
              </w:rPr>
              <w:t>hysbysebwyd</w:t>
            </w:r>
            <w:r>
              <w:rPr>
                <w:rFonts w:ascii="Calibri"/>
                <w:spacing w:val="-4"/>
                <w:sz w:val="22"/>
              </w:rPr>
              <w:t> </w:t>
            </w:r>
            <w:r>
              <w:rPr>
                <w:rFonts w:ascii="Calibri"/>
                <w:sz w:val="22"/>
              </w:rPr>
              <w:t>fel</w:t>
            </w:r>
            <w:r>
              <w:rPr>
                <w:rFonts w:ascii="Calibri"/>
                <w:spacing w:val="-3"/>
                <w:sz w:val="22"/>
              </w:rPr>
              <w:t> </w:t>
            </w:r>
            <w:r>
              <w:rPr>
                <w:rFonts w:ascii="Calibri"/>
                <w:sz w:val="22"/>
              </w:rPr>
              <w:t>rhai</w:t>
            </w:r>
            <w:r>
              <w:rPr>
                <w:rFonts w:ascii="Calibri"/>
                <w:spacing w:val="-3"/>
                <w:sz w:val="22"/>
              </w:rPr>
              <w:t> </w:t>
            </w:r>
            <w:r>
              <w:rPr>
                <w:rFonts w:ascii="Calibri"/>
                <w:sz w:val="22"/>
              </w:rPr>
              <w:t>Cymraeg</w:t>
            </w:r>
            <w:r>
              <w:rPr>
                <w:rFonts w:ascii="Calibri"/>
                <w:spacing w:val="-4"/>
                <w:sz w:val="22"/>
              </w:rPr>
              <w:t> </w:t>
            </w:r>
            <w:r>
              <w:rPr>
                <w:rFonts w:ascii="Calibri"/>
                <w:sz w:val="22"/>
              </w:rPr>
              <w:t>yn</w:t>
            </w:r>
            <w:r>
              <w:rPr>
                <w:rFonts w:ascii="Calibri"/>
                <w:spacing w:val="-2"/>
                <w:sz w:val="22"/>
              </w:rPr>
              <w:t> Hanfodol</w:t>
            </w:r>
          </w:p>
        </w:tc>
        <w:tc>
          <w:tcPr>
            <w:tcW w:w="1275" w:type="dxa"/>
            <w:shd w:val="clear" w:color="auto" w:fill="9CC2E5"/>
          </w:tcPr>
          <w:p>
            <w:pPr>
              <w:pStyle w:val="TableParagraph"/>
              <w:spacing w:line="249" w:lineRule="exact" w:before="19"/>
              <w:ind w:right="97"/>
              <w:jc w:val="right"/>
              <w:rPr>
                <w:rFonts w:ascii="Calibri"/>
                <w:sz w:val="22"/>
              </w:rPr>
            </w:pPr>
            <w:r>
              <w:rPr>
                <w:rFonts w:ascii="Calibri"/>
                <w:sz w:val="22"/>
              </w:rPr>
              <w:t>8</w:t>
            </w:r>
          </w:p>
        </w:tc>
      </w:tr>
      <w:tr>
        <w:trPr>
          <w:trHeight w:val="287" w:hRule="atLeast"/>
        </w:trPr>
        <w:tc>
          <w:tcPr>
            <w:tcW w:w="7792" w:type="dxa"/>
            <w:shd w:val="clear" w:color="auto" w:fill="BDD6EE"/>
          </w:tcPr>
          <w:p>
            <w:pPr>
              <w:pStyle w:val="TableParagraph"/>
              <w:spacing w:line="258" w:lineRule="exact" w:before="9"/>
              <w:ind w:left="108"/>
              <w:rPr>
                <w:rFonts w:ascii="Calibri"/>
                <w:sz w:val="22"/>
              </w:rPr>
            </w:pPr>
            <w:r>
              <w:rPr>
                <w:rFonts w:ascii="Calibri"/>
                <w:sz w:val="22"/>
              </w:rPr>
              <w:t>Cyfanswm</w:t>
            </w:r>
            <w:r>
              <w:rPr>
                <w:rFonts w:ascii="Calibri"/>
                <w:spacing w:val="-6"/>
                <w:sz w:val="22"/>
              </w:rPr>
              <w:t> </w:t>
            </w:r>
            <w:r>
              <w:rPr>
                <w:rFonts w:ascii="Calibri"/>
                <w:sz w:val="22"/>
              </w:rPr>
              <w:t>nifer</w:t>
            </w:r>
            <w:r>
              <w:rPr>
                <w:rFonts w:ascii="Calibri"/>
                <w:spacing w:val="-4"/>
                <w:sz w:val="22"/>
              </w:rPr>
              <w:t> </w:t>
            </w:r>
            <w:r>
              <w:rPr>
                <w:rFonts w:ascii="Calibri"/>
                <w:sz w:val="22"/>
              </w:rPr>
              <w:t>y</w:t>
            </w:r>
            <w:r>
              <w:rPr>
                <w:rFonts w:ascii="Calibri"/>
                <w:spacing w:val="-4"/>
                <w:sz w:val="22"/>
              </w:rPr>
              <w:t> </w:t>
            </w:r>
            <w:r>
              <w:rPr>
                <w:rFonts w:ascii="Calibri"/>
                <w:sz w:val="22"/>
              </w:rPr>
              <w:t>swyddi</w:t>
            </w:r>
            <w:r>
              <w:rPr>
                <w:rFonts w:ascii="Calibri"/>
                <w:spacing w:val="-4"/>
                <w:sz w:val="22"/>
              </w:rPr>
              <w:t> </w:t>
            </w:r>
            <w:r>
              <w:rPr>
                <w:rFonts w:ascii="Calibri"/>
                <w:sz w:val="22"/>
              </w:rPr>
              <w:t>gwag</w:t>
            </w:r>
            <w:r>
              <w:rPr>
                <w:rFonts w:ascii="Calibri"/>
                <w:spacing w:val="-3"/>
                <w:sz w:val="22"/>
              </w:rPr>
              <w:t> </w:t>
            </w:r>
            <w:r>
              <w:rPr>
                <w:rFonts w:ascii="Calibri"/>
                <w:sz w:val="22"/>
              </w:rPr>
              <w:t>a</w:t>
            </w:r>
            <w:r>
              <w:rPr>
                <w:rFonts w:ascii="Calibri"/>
                <w:spacing w:val="-4"/>
                <w:sz w:val="22"/>
              </w:rPr>
              <w:t> </w:t>
            </w:r>
            <w:r>
              <w:rPr>
                <w:rFonts w:ascii="Calibri"/>
                <w:sz w:val="22"/>
              </w:rPr>
              <w:t>hysbysebwyd</w:t>
            </w:r>
            <w:r>
              <w:rPr>
                <w:rFonts w:ascii="Calibri"/>
                <w:spacing w:val="-4"/>
                <w:sz w:val="22"/>
              </w:rPr>
              <w:t> </w:t>
            </w:r>
            <w:r>
              <w:rPr>
                <w:rFonts w:ascii="Calibri"/>
                <w:sz w:val="22"/>
              </w:rPr>
              <w:t>fel</w:t>
            </w:r>
            <w:r>
              <w:rPr>
                <w:rFonts w:ascii="Calibri"/>
                <w:spacing w:val="-4"/>
                <w:sz w:val="22"/>
              </w:rPr>
              <w:t> </w:t>
            </w:r>
            <w:r>
              <w:rPr>
                <w:rFonts w:ascii="Calibri"/>
                <w:sz w:val="22"/>
              </w:rPr>
              <w:t>Cymraeg</w:t>
            </w:r>
            <w:r>
              <w:rPr>
                <w:rFonts w:ascii="Calibri"/>
                <w:spacing w:val="-3"/>
                <w:sz w:val="22"/>
              </w:rPr>
              <w:t> </w:t>
            </w:r>
            <w:r>
              <w:rPr>
                <w:rFonts w:ascii="Calibri"/>
                <w:sz w:val="22"/>
              </w:rPr>
              <w:t>yn</w:t>
            </w:r>
            <w:r>
              <w:rPr>
                <w:rFonts w:ascii="Calibri"/>
                <w:spacing w:val="-3"/>
                <w:sz w:val="22"/>
              </w:rPr>
              <w:t> </w:t>
            </w:r>
            <w:r>
              <w:rPr>
                <w:rFonts w:ascii="Calibri"/>
                <w:spacing w:val="-2"/>
                <w:sz w:val="22"/>
              </w:rPr>
              <w:t>Ddymunol</w:t>
            </w:r>
          </w:p>
        </w:tc>
        <w:tc>
          <w:tcPr>
            <w:tcW w:w="1275" w:type="dxa"/>
            <w:shd w:val="clear" w:color="auto" w:fill="BDD6EE"/>
          </w:tcPr>
          <w:p>
            <w:pPr>
              <w:pStyle w:val="TableParagraph"/>
              <w:spacing w:line="249" w:lineRule="exact" w:before="19"/>
              <w:ind w:right="95"/>
              <w:jc w:val="right"/>
              <w:rPr>
                <w:rFonts w:ascii="Calibri"/>
                <w:sz w:val="22"/>
              </w:rPr>
            </w:pPr>
            <w:r>
              <w:rPr>
                <w:rFonts w:ascii="Calibri"/>
                <w:spacing w:val="-5"/>
                <w:sz w:val="22"/>
              </w:rPr>
              <w:t>682</w:t>
            </w:r>
          </w:p>
        </w:tc>
      </w:tr>
      <w:tr>
        <w:trPr>
          <w:trHeight w:val="288" w:hRule="atLeast"/>
        </w:trPr>
        <w:tc>
          <w:tcPr>
            <w:tcW w:w="7792" w:type="dxa"/>
            <w:shd w:val="clear" w:color="auto" w:fill="DEEBF5"/>
          </w:tcPr>
          <w:p>
            <w:pPr>
              <w:pStyle w:val="TableParagraph"/>
              <w:spacing w:line="258" w:lineRule="exact" w:before="9"/>
              <w:ind w:left="108"/>
              <w:rPr>
                <w:rFonts w:ascii="Calibri"/>
                <w:sz w:val="22"/>
              </w:rPr>
            </w:pPr>
            <w:r>
              <w:rPr>
                <w:rFonts w:ascii="Calibri"/>
                <w:sz w:val="22"/>
              </w:rPr>
              <w:t>Cyfanswm</w:t>
            </w:r>
            <w:r>
              <w:rPr>
                <w:rFonts w:ascii="Calibri"/>
                <w:spacing w:val="-5"/>
                <w:sz w:val="22"/>
              </w:rPr>
              <w:t> </w:t>
            </w:r>
            <w:r>
              <w:rPr>
                <w:rFonts w:ascii="Calibri"/>
                <w:sz w:val="22"/>
              </w:rPr>
              <w:t>nifer</w:t>
            </w:r>
            <w:r>
              <w:rPr>
                <w:rFonts w:ascii="Calibri"/>
                <w:spacing w:val="-4"/>
                <w:sz w:val="22"/>
              </w:rPr>
              <w:t> </w:t>
            </w:r>
            <w:r>
              <w:rPr>
                <w:rFonts w:ascii="Calibri"/>
                <w:sz w:val="22"/>
              </w:rPr>
              <w:t>y</w:t>
            </w:r>
            <w:r>
              <w:rPr>
                <w:rFonts w:ascii="Calibri"/>
                <w:spacing w:val="-4"/>
                <w:sz w:val="22"/>
              </w:rPr>
              <w:t> </w:t>
            </w:r>
            <w:r>
              <w:rPr>
                <w:rFonts w:ascii="Calibri"/>
                <w:sz w:val="22"/>
              </w:rPr>
              <w:t>swyddi</w:t>
            </w:r>
            <w:r>
              <w:rPr>
                <w:rFonts w:ascii="Calibri"/>
                <w:spacing w:val="-4"/>
                <w:sz w:val="22"/>
              </w:rPr>
              <w:t> </w:t>
            </w:r>
            <w:r>
              <w:rPr>
                <w:rFonts w:ascii="Calibri"/>
                <w:sz w:val="22"/>
              </w:rPr>
              <w:t>gwag</w:t>
            </w:r>
            <w:r>
              <w:rPr>
                <w:rFonts w:ascii="Calibri"/>
                <w:spacing w:val="-3"/>
                <w:sz w:val="22"/>
              </w:rPr>
              <w:t> </w:t>
            </w:r>
            <w:r>
              <w:rPr>
                <w:rFonts w:ascii="Calibri"/>
                <w:sz w:val="22"/>
              </w:rPr>
              <w:t>a</w:t>
            </w:r>
            <w:r>
              <w:rPr>
                <w:rFonts w:ascii="Calibri"/>
                <w:spacing w:val="-4"/>
                <w:sz w:val="22"/>
              </w:rPr>
              <w:t> </w:t>
            </w:r>
            <w:r>
              <w:rPr>
                <w:rFonts w:ascii="Calibri"/>
                <w:sz w:val="22"/>
              </w:rPr>
              <w:t>hysbysebwyd</w:t>
            </w:r>
            <w:r>
              <w:rPr>
                <w:rFonts w:ascii="Calibri"/>
                <w:spacing w:val="-4"/>
                <w:sz w:val="22"/>
              </w:rPr>
              <w:t> </w:t>
            </w:r>
            <w:r>
              <w:rPr>
                <w:rFonts w:ascii="Calibri"/>
                <w:sz w:val="22"/>
              </w:rPr>
              <w:t>fel</w:t>
            </w:r>
            <w:r>
              <w:rPr>
                <w:rFonts w:ascii="Calibri"/>
                <w:spacing w:val="-4"/>
                <w:sz w:val="22"/>
              </w:rPr>
              <w:t> </w:t>
            </w:r>
            <w:r>
              <w:rPr>
                <w:rFonts w:ascii="Calibri"/>
                <w:sz w:val="22"/>
              </w:rPr>
              <w:t>Angen</w:t>
            </w:r>
            <w:r>
              <w:rPr>
                <w:rFonts w:ascii="Calibri"/>
                <w:spacing w:val="-3"/>
                <w:sz w:val="22"/>
              </w:rPr>
              <w:t> </w:t>
            </w:r>
            <w:r>
              <w:rPr>
                <w:rFonts w:ascii="Calibri"/>
                <w:sz w:val="22"/>
              </w:rPr>
              <w:t>Dysgu</w:t>
            </w:r>
            <w:r>
              <w:rPr>
                <w:rFonts w:ascii="Calibri"/>
                <w:spacing w:val="-3"/>
                <w:sz w:val="22"/>
              </w:rPr>
              <w:t> </w:t>
            </w:r>
            <w:r>
              <w:rPr>
                <w:rFonts w:ascii="Calibri"/>
                <w:spacing w:val="-2"/>
                <w:sz w:val="22"/>
              </w:rPr>
              <w:t>Cymraeg</w:t>
            </w:r>
          </w:p>
        </w:tc>
        <w:tc>
          <w:tcPr>
            <w:tcW w:w="1275" w:type="dxa"/>
            <w:shd w:val="clear" w:color="auto" w:fill="DEEBF5"/>
          </w:tcPr>
          <w:p>
            <w:pPr>
              <w:pStyle w:val="TableParagraph"/>
              <w:spacing w:line="249" w:lineRule="exact" w:before="19"/>
              <w:ind w:right="97"/>
              <w:jc w:val="right"/>
              <w:rPr>
                <w:rFonts w:ascii="Calibri"/>
                <w:sz w:val="22"/>
              </w:rPr>
            </w:pPr>
            <w:r>
              <w:rPr>
                <w:rFonts w:ascii="Calibri"/>
                <w:sz w:val="22"/>
              </w:rPr>
              <w:t>0</w:t>
            </w:r>
          </w:p>
        </w:tc>
      </w:tr>
      <w:tr>
        <w:trPr>
          <w:trHeight w:val="537" w:hRule="atLeast"/>
        </w:trPr>
        <w:tc>
          <w:tcPr>
            <w:tcW w:w="7792" w:type="dxa"/>
            <w:shd w:val="clear" w:color="auto" w:fill="FDF2CC"/>
          </w:tcPr>
          <w:p>
            <w:pPr>
              <w:pStyle w:val="TableParagraph"/>
              <w:spacing w:line="270" w:lineRule="atLeast"/>
              <w:ind w:left="108" w:right="93"/>
              <w:rPr>
                <w:rFonts w:ascii="Calibri"/>
                <w:sz w:val="22"/>
              </w:rPr>
            </w:pPr>
            <w:r>
              <w:rPr>
                <w:rFonts w:ascii="Calibri"/>
                <w:sz w:val="22"/>
              </w:rPr>
              <w:t>*Cyfanswm</w:t>
            </w:r>
            <w:r>
              <w:rPr>
                <w:rFonts w:ascii="Calibri"/>
                <w:spacing w:val="-3"/>
                <w:sz w:val="22"/>
              </w:rPr>
              <w:t> </w:t>
            </w:r>
            <w:r>
              <w:rPr>
                <w:rFonts w:ascii="Calibri"/>
                <w:sz w:val="22"/>
              </w:rPr>
              <w:t>nifer</w:t>
            </w:r>
            <w:r>
              <w:rPr>
                <w:rFonts w:ascii="Calibri"/>
                <w:spacing w:val="-4"/>
                <w:sz w:val="22"/>
              </w:rPr>
              <w:t> </w:t>
            </w:r>
            <w:r>
              <w:rPr>
                <w:rFonts w:ascii="Calibri"/>
                <w:sz w:val="22"/>
              </w:rPr>
              <w:t>y</w:t>
            </w:r>
            <w:r>
              <w:rPr>
                <w:rFonts w:ascii="Calibri"/>
                <w:spacing w:val="-4"/>
                <w:sz w:val="22"/>
              </w:rPr>
              <w:t> </w:t>
            </w:r>
            <w:r>
              <w:rPr>
                <w:rFonts w:ascii="Calibri"/>
                <w:sz w:val="22"/>
              </w:rPr>
              <w:t>swyddi</w:t>
            </w:r>
            <w:r>
              <w:rPr>
                <w:rFonts w:ascii="Calibri"/>
                <w:spacing w:val="-4"/>
                <w:sz w:val="22"/>
              </w:rPr>
              <w:t> </w:t>
            </w:r>
            <w:r>
              <w:rPr>
                <w:rFonts w:ascii="Calibri"/>
                <w:sz w:val="22"/>
              </w:rPr>
              <w:t>gwag</w:t>
            </w:r>
            <w:r>
              <w:rPr>
                <w:rFonts w:ascii="Calibri"/>
                <w:spacing w:val="-3"/>
                <w:sz w:val="22"/>
              </w:rPr>
              <w:t> </w:t>
            </w:r>
            <w:r>
              <w:rPr>
                <w:rFonts w:ascii="Calibri"/>
                <w:sz w:val="22"/>
              </w:rPr>
              <w:t>a</w:t>
            </w:r>
            <w:r>
              <w:rPr>
                <w:rFonts w:ascii="Calibri"/>
                <w:spacing w:val="-4"/>
                <w:sz w:val="22"/>
              </w:rPr>
              <w:t> </w:t>
            </w:r>
            <w:r>
              <w:rPr>
                <w:rFonts w:ascii="Calibri"/>
                <w:sz w:val="22"/>
              </w:rPr>
              <w:t>hysbysebwyd</w:t>
            </w:r>
            <w:r>
              <w:rPr>
                <w:rFonts w:ascii="Calibri"/>
                <w:spacing w:val="-4"/>
                <w:sz w:val="22"/>
              </w:rPr>
              <w:t> </w:t>
            </w:r>
            <w:r>
              <w:rPr>
                <w:rFonts w:ascii="Calibri"/>
                <w:sz w:val="22"/>
              </w:rPr>
              <w:t>fel</w:t>
            </w:r>
            <w:r>
              <w:rPr>
                <w:rFonts w:ascii="Calibri"/>
                <w:spacing w:val="-4"/>
                <w:sz w:val="22"/>
              </w:rPr>
              <w:t> </w:t>
            </w:r>
            <w:r>
              <w:rPr>
                <w:rFonts w:ascii="Calibri"/>
                <w:sz w:val="22"/>
              </w:rPr>
              <w:t>rhai</w:t>
            </w:r>
            <w:r>
              <w:rPr>
                <w:rFonts w:ascii="Calibri"/>
                <w:spacing w:val="-3"/>
                <w:sz w:val="22"/>
              </w:rPr>
              <w:t> </w:t>
            </w:r>
            <w:r>
              <w:rPr>
                <w:rFonts w:ascii="Calibri"/>
                <w:sz w:val="22"/>
              </w:rPr>
              <w:t>Cymraeg</w:t>
            </w:r>
            <w:r>
              <w:rPr>
                <w:rFonts w:ascii="Calibri"/>
                <w:spacing w:val="-4"/>
                <w:sz w:val="22"/>
              </w:rPr>
              <w:t> </w:t>
            </w:r>
            <w:r>
              <w:rPr>
                <w:rFonts w:ascii="Calibri"/>
                <w:sz w:val="22"/>
              </w:rPr>
              <w:t>ddim</w:t>
            </w:r>
            <w:r>
              <w:rPr>
                <w:rFonts w:ascii="Calibri"/>
                <w:spacing w:val="-3"/>
                <w:sz w:val="22"/>
              </w:rPr>
              <w:t> </w:t>
            </w:r>
            <w:r>
              <w:rPr>
                <w:rFonts w:ascii="Calibri"/>
                <w:sz w:val="22"/>
              </w:rPr>
              <w:t>yn</w:t>
            </w:r>
            <w:r>
              <w:rPr>
                <w:rFonts w:ascii="Calibri"/>
                <w:spacing w:val="-3"/>
                <w:sz w:val="22"/>
              </w:rPr>
              <w:t> </w:t>
            </w:r>
            <w:r>
              <w:rPr>
                <w:rFonts w:ascii="Calibri"/>
                <w:sz w:val="22"/>
              </w:rPr>
              <w:t>sgil </w:t>
            </w:r>
            <w:r>
              <w:rPr>
                <w:rFonts w:ascii="Calibri"/>
                <w:spacing w:val="-2"/>
                <w:sz w:val="22"/>
              </w:rPr>
              <w:t>gofynnol</w:t>
            </w:r>
          </w:p>
        </w:tc>
        <w:tc>
          <w:tcPr>
            <w:tcW w:w="1275" w:type="dxa"/>
            <w:shd w:val="clear" w:color="auto" w:fill="FDF2CC"/>
          </w:tcPr>
          <w:p>
            <w:pPr>
              <w:pStyle w:val="TableParagraph"/>
              <w:rPr>
                <w:rFonts w:ascii="Calibri"/>
                <w:sz w:val="22"/>
              </w:rPr>
            </w:pPr>
          </w:p>
          <w:p>
            <w:pPr>
              <w:pStyle w:val="TableParagraph"/>
              <w:spacing w:line="249" w:lineRule="exact"/>
              <w:ind w:right="95"/>
              <w:jc w:val="right"/>
              <w:rPr>
                <w:rFonts w:ascii="Calibri"/>
                <w:sz w:val="22"/>
              </w:rPr>
            </w:pPr>
            <w:r>
              <w:rPr>
                <w:rFonts w:ascii="Calibri"/>
                <w:spacing w:val="-5"/>
                <w:sz w:val="22"/>
              </w:rPr>
              <w:t>45</w:t>
            </w:r>
          </w:p>
        </w:tc>
      </w:tr>
    </w:tbl>
    <w:p>
      <w:pPr>
        <w:pStyle w:val="BodyText"/>
        <w:rPr>
          <w:rFonts w:ascii="Calibri"/>
          <w:sz w:val="22"/>
        </w:rPr>
      </w:pPr>
    </w:p>
    <w:p>
      <w:pPr>
        <w:spacing w:line="259" w:lineRule="auto" w:before="184"/>
        <w:ind w:left="1440" w:right="1592" w:firstLine="0"/>
        <w:jc w:val="both"/>
        <w:rPr>
          <w:rFonts w:ascii="Calibri"/>
          <w:sz w:val="22"/>
        </w:rPr>
      </w:pPr>
      <w:r>
        <w:rPr>
          <w:rFonts w:ascii="Calibri"/>
          <w:sz w:val="22"/>
        </w:rPr>
        <w:t>*Roedd y swyddi gwag a hysbysebwyd fel 'Cymraeg ddim yn sgil gofynnol' yn swyddi gwag mewnol ar</w:t>
      </w:r>
      <w:r>
        <w:rPr>
          <w:rFonts w:ascii="Calibri"/>
          <w:spacing w:val="-3"/>
          <w:sz w:val="22"/>
        </w:rPr>
        <w:t> </w:t>
      </w:r>
      <w:r>
        <w:rPr>
          <w:rFonts w:ascii="Calibri"/>
          <w:sz w:val="22"/>
        </w:rPr>
        <w:t>gyfer</w:t>
      </w:r>
      <w:r>
        <w:rPr>
          <w:rFonts w:ascii="Calibri"/>
          <w:spacing w:val="-2"/>
          <w:sz w:val="22"/>
        </w:rPr>
        <w:t> </w:t>
      </w:r>
      <w:r>
        <w:rPr>
          <w:rFonts w:ascii="Calibri"/>
          <w:sz w:val="22"/>
        </w:rPr>
        <w:t>ymgeiswyr</w:t>
      </w:r>
      <w:r>
        <w:rPr>
          <w:rFonts w:ascii="Calibri"/>
          <w:spacing w:val="-2"/>
          <w:sz w:val="22"/>
        </w:rPr>
        <w:t> </w:t>
      </w:r>
      <w:r>
        <w:rPr>
          <w:rFonts w:ascii="Calibri"/>
          <w:sz w:val="22"/>
        </w:rPr>
        <w:t>mewnol</w:t>
      </w:r>
      <w:r>
        <w:rPr>
          <w:rFonts w:ascii="Calibri"/>
          <w:spacing w:val="-2"/>
          <w:sz w:val="22"/>
        </w:rPr>
        <w:t> </w:t>
      </w:r>
      <w:r>
        <w:rPr>
          <w:rFonts w:ascii="Calibri"/>
          <w:sz w:val="22"/>
        </w:rPr>
        <w:t>o</w:t>
      </w:r>
      <w:r>
        <w:rPr>
          <w:rFonts w:ascii="Calibri"/>
          <w:spacing w:val="-3"/>
          <w:sz w:val="22"/>
        </w:rPr>
        <w:t> </w:t>
      </w:r>
      <w:r>
        <w:rPr>
          <w:rFonts w:ascii="Calibri"/>
          <w:sz w:val="22"/>
        </w:rPr>
        <w:t>fewn</w:t>
      </w:r>
      <w:r>
        <w:rPr>
          <w:rFonts w:ascii="Calibri"/>
          <w:spacing w:val="-3"/>
          <w:sz w:val="22"/>
        </w:rPr>
        <w:t> </w:t>
      </w:r>
      <w:r>
        <w:rPr>
          <w:rFonts w:ascii="Calibri"/>
          <w:sz w:val="22"/>
        </w:rPr>
        <w:t>y</w:t>
      </w:r>
      <w:r>
        <w:rPr>
          <w:rFonts w:ascii="Calibri"/>
          <w:spacing w:val="-2"/>
          <w:sz w:val="22"/>
        </w:rPr>
        <w:t> </w:t>
      </w:r>
      <w:r>
        <w:rPr>
          <w:rFonts w:ascii="Calibri"/>
          <w:sz w:val="22"/>
        </w:rPr>
        <w:t>sefydliad</w:t>
      </w:r>
      <w:r>
        <w:rPr>
          <w:rFonts w:ascii="Calibri"/>
          <w:spacing w:val="-3"/>
          <w:sz w:val="22"/>
        </w:rPr>
        <w:t> </w:t>
      </w:r>
      <w:r>
        <w:rPr>
          <w:rFonts w:ascii="Calibri"/>
          <w:sz w:val="22"/>
        </w:rPr>
        <w:t>ac</w:t>
      </w:r>
      <w:r>
        <w:rPr>
          <w:rFonts w:ascii="Calibri"/>
          <w:spacing w:val="-3"/>
          <w:sz w:val="22"/>
        </w:rPr>
        <w:t> </w:t>
      </w:r>
      <w:r>
        <w:rPr>
          <w:rFonts w:ascii="Calibri"/>
          <w:sz w:val="22"/>
        </w:rPr>
        <w:t>roeddent</w:t>
      </w:r>
      <w:r>
        <w:rPr>
          <w:rFonts w:ascii="Calibri"/>
          <w:spacing w:val="-3"/>
          <w:sz w:val="22"/>
        </w:rPr>
        <w:t> </w:t>
      </w:r>
      <w:r>
        <w:rPr>
          <w:rFonts w:ascii="Calibri"/>
          <w:sz w:val="22"/>
        </w:rPr>
        <w:t>wedi</w:t>
      </w:r>
      <w:r>
        <w:rPr>
          <w:rFonts w:ascii="Calibri"/>
          <w:spacing w:val="-2"/>
          <w:sz w:val="22"/>
        </w:rPr>
        <w:t> </w:t>
      </w:r>
      <w:r>
        <w:rPr>
          <w:rFonts w:ascii="Calibri"/>
          <w:sz w:val="22"/>
        </w:rPr>
        <w:t>eu</w:t>
      </w:r>
      <w:r>
        <w:rPr>
          <w:rFonts w:ascii="Calibri"/>
          <w:spacing w:val="-2"/>
          <w:sz w:val="22"/>
        </w:rPr>
        <w:t> </w:t>
      </w:r>
      <w:r>
        <w:rPr>
          <w:rFonts w:ascii="Calibri"/>
          <w:sz w:val="22"/>
        </w:rPr>
        <w:t>hasesu</w:t>
      </w:r>
      <w:r>
        <w:rPr>
          <w:rFonts w:ascii="Calibri"/>
          <w:spacing w:val="-3"/>
          <w:sz w:val="22"/>
        </w:rPr>
        <w:t> </w:t>
      </w:r>
      <w:r>
        <w:rPr>
          <w:rFonts w:ascii="Calibri"/>
          <w:sz w:val="22"/>
        </w:rPr>
        <w:t>ar</w:t>
      </w:r>
      <w:r>
        <w:rPr>
          <w:rFonts w:ascii="Calibri"/>
          <w:spacing w:val="-3"/>
          <w:sz w:val="22"/>
        </w:rPr>
        <w:t> </w:t>
      </w:r>
      <w:r>
        <w:rPr>
          <w:rFonts w:ascii="Calibri"/>
          <w:sz w:val="22"/>
        </w:rPr>
        <w:t>gyfer</w:t>
      </w:r>
      <w:r>
        <w:rPr>
          <w:rFonts w:ascii="Calibri"/>
          <w:spacing w:val="-2"/>
          <w:sz w:val="22"/>
        </w:rPr>
        <w:t> </w:t>
      </w:r>
      <w:r>
        <w:rPr>
          <w:rFonts w:ascii="Calibri"/>
          <w:sz w:val="22"/>
        </w:rPr>
        <w:t>gofynion</w:t>
      </w:r>
      <w:r>
        <w:rPr>
          <w:rFonts w:ascii="Calibri"/>
          <w:spacing w:val="-2"/>
          <w:sz w:val="22"/>
        </w:rPr>
        <w:t> </w:t>
      </w:r>
      <w:r>
        <w:rPr>
          <w:rFonts w:ascii="Calibri"/>
          <w:sz w:val="22"/>
        </w:rPr>
        <w:t>sgiliau </w:t>
      </w:r>
      <w:r>
        <w:rPr>
          <w:rFonts w:ascii="Calibri"/>
          <w:spacing w:val="-2"/>
          <w:sz w:val="22"/>
        </w:rPr>
        <w:t>iaith.</w:t>
      </w:r>
    </w:p>
    <w:p>
      <w:pPr>
        <w:spacing w:after="0" w:line="259" w:lineRule="auto"/>
        <w:jc w:val="both"/>
        <w:rPr>
          <w:rFonts w:ascii="Calibri"/>
          <w:sz w:val="22"/>
        </w:rPr>
        <w:sectPr>
          <w:pgSz w:w="11910" w:h="16840"/>
          <w:pgMar w:header="0" w:footer="173" w:top="1420" w:bottom="360" w:left="0" w:right="0"/>
        </w:sectPr>
      </w:pPr>
    </w:p>
    <w:p>
      <w:pPr>
        <w:pStyle w:val="Heading5"/>
        <w:spacing w:before="83"/>
      </w:pPr>
      <w:r>
        <w:rPr/>
        <w:t>Prosiectau</w:t>
      </w:r>
      <w:r>
        <w:rPr>
          <w:spacing w:val="-5"/>
        </w:rPr>
        <w:t> </w:t>
      </w:r>
      <w:r>
        <w:rPr/>
        <w:t>a</w:t>
      </w:r>
      <w:r>
        <w:rPr>
          <w:spacing w:val="-4"/>
        </w:rPr>
        <w:t> </w:t>
      </w:r>
      <w:r>
        <w:rPr/>
        <w:t>Gwasanaethau</w:t>
      </w:r>
      <w:r>
        <w:rPr>
          <w:spacing w:val="-3"/>
        </w:rPr>
        <w:t> </w:t>
      </w:r>
      <w:r>
        <w:rPr/>
        <w:t>Cyfieithu</w:t>
      </w:r>
      <w:r>
        <w:rPr>
          <w:spacing w:val="-3"/>
        </w:rPr>
        <w:t> </w:t>
      </w:r>
      <w:r>
        <w:rPr>
          <w:spacing w:val="-2"/>
        </w:rPr>
        <w:t>2021/22:</w:t>
      </w:r>
    </w:p>
    <w:p>
      <w:pPr>
        <w:pStyle w:val="Heading7"/>
        <w:numPr>
          <w:ilvl w:val="0"/>
          <w:numId w:val="50"/>
        </w:numPr>
        <w:tabs>
          <w:tab w:pos="2159" w:val="left" w:leader="none"/>
          <w:tab w:pos="2161" w:val="left" w:leader="none"/>
        </w:tabs>
        <w:spacing w:line="240" w:lineRule="auto" w:before="191" w:after="0"/>
        <w:ind w:left="2160" w:right="0" w:hanging="361"/>
        <w:jc w:val="left"/>
        <w:rPr>
          <w:rFonts w:ascii="Symbol" w:hAnsi="Symbol"/>
          <w:b w:val="0"/>
        </w:rPr>
      </w:pPr>
      <w:r>
        <w:rPr/>
        <w:t>Gwasanaethau</w:t>
      </w:r>
      <w:r>
        <w:rPr>
          <w:spacing w:val="-7"/>
        </w:rPr>
        <w:t> </w:t>
      </w:r>
      <w:r>
        <w:rPr/>
        <w:t>Cymorth</w:t>
      </w:r>
      <w:r>
        <w:rPr>
          <w:spacing w:val="-6"/>
        </w:rPr>
        <w:t> </w:t>
      </w:r>
      <w:r>
        <w:rPr>
          <w:spacing w:val="-2"/>
        </w:rPr>
        <w:t>Cyfieithu</w:t>
      </w:r>
    </w:p>
    <w:p>
      <w:pPr>
        <w:spacing w:line="259" w:lineRule="auto" w:before="0"/>
        <w:ind w:left="2160" w:right="1405" w:firstLine="0"/>
        <w:jc w:val="left"/>
        <w:rPr>
          <w:rFonts w:ascii="Calibri"/>
          <w:sz w:val="22"/>
        </w:rPr>
      </w:pPr>
      <w:r>
        <w:rPr>
          <w:rFonts w:ascii="Calibri"/>
          <w:sz w:val="22"/>
        </w:rPr>
        <w:t>Mae</w:t>
      </w:r>
      <w:r>
        <w:rPr>
          <w:rFonts w:ascii="Calibri"/>
          <w:spacing w:val="-4"/>
          <w:sz w:val="22"/>
        </w:rPr>
        <w:t> </w:t>
      </w:r>
      <w:r>
        <w:rPr>
          <w:rFonts w:ascii="Calibri"/>
          <w:sz w:val="22"/>
        </w:rPr>
        <w:t>Uned</w:t>
      </w:r>
      <w:r>
        <w:rPr>
          <w:rFonts w:ascii="Calibri"/>
          <w:spacing w:val="-4"/>
          <w:sz w:val="22"/>
        </w:rPr>
        <w:t> </w:t>
      </w:r>
      <w:r>
        <w:rPr>
          <w:rFonts w:ascii="Calibri"/>
          <w:sz w:val="22"/>
        </w:rPr>
        <w:t>y</w:t>
      </w:r>
      <w:r>
        <w:rPr>
          <w:rFonts w:ascii="Calibri"/>
          <w:spacing w:val="-5"/>
          <w:sz w:val="22"/>
        </w:rPr>
        <w:t> </w:t>
      </w:r>
      <w:r>
        <w:rPr>
          <w:rFonts w:ascii="Calibri"/>
          <w:sz w:val="22"/>
        </w:rPr>
        <w:t>Gymraeg</w:t>
      </w:r>
      <w:r>
        <w:rPr>
          <w:rFonts w:ascii="Calibri"/>
          <w:spacing w:val="-5"/>
          <w:sz w:val="22"/>
        </w:rPr>
        <w:t> </w:t>
      </w:r>
      <w:r>
        <w:rPr>
          <w:rFonts w:ascii="Calibri"/>
          <w:sz w:val="22"/>
        </w:rPr>
        <w:t>Partneriaeth</w:t>
      </w:r>
      <w:r>
        <w:rPr>
          <w:rFonts w:ascii="Calibri"/>
          <w:spacing w:val="-4"/>
          <w:sz w:val="22"/>
        </w:rPr>
        <w:t> </w:t>
      </w:r>
      <w:r>
        <w:rPr>
          <w:rFonts w:ascii="Calibri"/>
          <w:sz w:val="22"/>
        </w:rPr>
        <w:t>Cydwasanaethau</w:t>
      </w:r>
      <w:r>
        <w:rPr>
          <w:rFonts w:ascii="Calibri"/>
          <w:spacing w:val="-4"/>
          <w:sz w:val="22"/>
        </w:rPr>
        <w:t> </w:t>
      </w:r>
      <w:r>
        <w:rPr>
          <w:rFonts w:ascii="Calibri"/>
          <w:sz w:val="22"/>
        </w:rPr>
        <w:t>GIG</w:t>
      </w:r>
      <w:r>
        <w:rPr>
          <w:rFonts w:ascii="Calibri"/>
          <w:spacing w:val="-4"/>
          <w:sz w:val="22"/>
        </w:rPr>
        <w:t> </w:t>
      </w:r>
      <w:r>
        <w:rPr>
          <w:rFonts w:ascii="Calibri"/>
          <w:sz w:val="22"/>
        </w:rPr>
        <w:t>Cymru</w:t>
      </w:r>
      <w:r>
        <w:rPr>
          <w:rFonts w:ascii="Calibri"/>
          <w:spacing w:val="-4"/>
          <w:sz w:val="22"/>
        </w:rPr>
        <w:t> </w:t>
      </w:r>
      <w:r>
        <w:rPr>
          <w:rFonts w:ascii="Calibri"/>
          <w:sz w:val="22"/>
        </w:rPr>
        <w:t>wedi</w:t>
      </w:r>
      <w:r>
        <w:rPr>
          <w:rFonts w:ascii="Calibri"/>
          <w:spacing w:val="-4"/>
          <w:sz w:val="22"/>
        </w:rPr>
        <w:t> </w:t>
      </w:r>
      <w:r>
        <w:rPr>
          <w:rFonts w:ascii="Calibri"/>
          <w:sz w:val="22"/>
        </w:rPr>
        <w:t>darparu</w:t>
      </w:r>
      <w:r>
        <w:rPr>
          <w:rFonts w:ascii="Calibri"/>
          <w:spacing w:val="-5"/>
          <w:sz w:val="22"/>
        </w:rPr>
        <w:t> </w:t>
      </w:r>
      <w:r>
        <w:rPr>
          <w:rFonts w:ascii="Calibri"/>
          <w:sz w:val="22"/>
        </w:rPr>
        <w:t>gwasanaethau cyfieithu ar gyfer y sefydliadau GIG canlynol yn ystod 2021/22:</w:t>
      </w:r>
    </w:p>
    <w:p>
      <w:pPr>
        <w:pStyle w:val="ListParagraph"/>
        <w:numPr>
          <w:ilvl w:val="1"/>
          <w:numId w:val="50"/>
        </w:numPr>
        <w:tabs>
          <w:tab w:pos="2519" w:val="left" w:leader="none"/>
          <w:tab w:pos="2520" w:val="left" w:leader="none"/>
        </w:tabs>
        <w:spacing w:line="268" w:lineRule="exact" w:before="0" w:after="0"/>
        <w:ind w:left="2519" w:right="0" w:hanging="360"/>
        <w:jc w:val="left"/>
        <w:rPr>
          <w:rFonts w:ascii="Calibri" w:hAnsi="Calibri"/>
          <w:sz w:val="22"/>
        </w:rPr>
      </w:pPr>
      <w:r>
        <w:rPr>
          <w:rFonts w:ascii="Calibri" w:hAnsi="Calibri"/>
          <w:sz w:val="22"/>
        </w:rPr>
        <w:t>Is-adrannau</w:t>
      </w:r>
      <w:r>
        <w:rPr>
          <w:rFonts w:ascii="Calibri" w:hAnsi="Calibri"/>
          <w:spacing w:val="-2"/>
          <w:sz w:val="22"/>
        </w:rPr>
        <w:t> </w:t>
      </w:r>
      <w:r>
        <w:rPr>
          <w:rFonts w:ascii="Calibri" w:hAnsi="Calibri"/>
          <w:sz w:val="22"/>
        </w:rPr>
        <w:t>a</w:t>
      </w:r>
      <w:r>
        <w:rPr>
          <w:rFonts w:ascii="Calibri" w:hAnsi="Calibri"/>
          <w:spacing w:val="-2"/>
          <w:sz w:val="22"/>
        </w:rPr>
        <w:t> </w:t>
      </w:r>
      <w:r>
        <w:rPr>
          <w:rFonts w:ascii="Calibri" w:hAnsi="Calibri"/>
          <w:sz w:val="22"/>
        </w:rPr>
        <w:t>rhaglenni</w:t>
      </w:r>
      <w:r>
        <w:rPr>
          <w:rFonts w:ascii="Calibri" w:hAnsi="Calibri"/>
          <w:spacing w:val="-2"/>
          <w:sz w:val="22"/>
        </w:rPr>
        <w:t> </w:t>
      </w:r>
      <w:r>
        <w:rPr>
          <w:rFonts w:ascii="Calibri" w:hAnsi="Calibri"/>
          <w:sz w:val="22"/>
        </w:rPr>
        <w:t>a</w:t>
      </w:r>
      <w:r>
        <w:rPr>
          <w:rFonts w:ascii="Calibri" w:hAnsi="Calibri"/>
          <w:spacing w:val="-2"/>
          <w:sz w:val="22"/>
        </w:rPr>
        <w:t> </w:t>
      </w:r>
      <w:r>
        <w:rPr>
          <w:rFonts w:ascii="Calibri" w:hAnsi="Calibri"/>
          <w:sz w:val="22"/>
        </w:rPr>
        <w:t>letyir</w:t>
      </w:r>
      <w:r>
        <w:rPr>
          <w:rFonts w:ascii="Calibri" w:hAnsi="Calibri"/>
          <w:spacing w:val="-1"/>
          <w:sz w:val="22"/>
        </w:rPr>
        <w:t> </w:t>
      </w:r>
      <w:r>
        <w:rPr>
          <w:rFonts w:ascii="Calibri" w:hAnsi="Calibri"/>
          <w:sz w:val="22"/>
        </w:rPr>
        <w:t>gan</w:t>
      </w:r>
      <w:r>
        <w:rPr>
          <w:rFonts w:ascii="Calibri" w:hAnsi="Calibri"/>
          <w:spacing w:val="-1"/>
          <w:sz w:val="22"/>
        </w:rPr>
        <w:t> </w:t>
      </w:r>
      <w:r>
        <w:rPr>
          <w:rFonts w:ascii="Calibri" w:hAnsi="Calibri"/>
          <w:sz w:val="22"/>
        </w:rPr>
        <w:t>Bartneriaeth</w:t>
      </w:r>
      <w:r>
        <w:rPr>
          <w:rFonts w:ascii="Calibri" w:hAnsi="Calibri"/>
          <w:spacing w:val="-2"/>
          <w:sz w:val="22"/>
        </w:rPr>
        <w:t> </w:t>
      </w:r>
      <w:r>
        <w:rPr>
          <w:rFonts w:ascii="Calibri" w:hAnsi="Calibri"/>
          <w:sz w:val="22"/>
        </w:rPr>
        <w:t>Cydwasanaethau</w:t>
      </w:r>
      <w:r>
        <w:rPr>
          <w:rFonts w:ascii="Calibri" w:hAnsi="Calibri"/>
          <w:spacing w:val="-2"/>
          <w:sz w:val="22"/>
        </w:rPr>
        <w:t> </w:t>
      </w:r>
      <w:r>
        <w:rPr>
          <w:rFonts w:ascii="Calibri" w:hAnsi="Calibri"/>
          <w:sz w:val="22"/>
        </w:rPr>
        <w:t>GIG</w:t>
      </w:r>
      <w:r>
        <w:rPr>
          <w:rFonts w:ascii="Calibri" w:hAnsi="Calibri"/>
          <w:spacing w:val="-1"/>
          <w:sz w:val="22"/>
        </w:rPr>
        <w:t> </w:t>
      </w:r>
      <w:r>
        <w:rPr>
          <w:rFonts w:ascii="Calibri" w:hAnsi="Calibri"/>
          <w:spacing w:val="-2"/>
          <w:sz w:val="22"/>
        </w:rPr>
        <w:t>Cymru</w:t>
      </w:r>
    </w:p>
    <w:p>
      <w:pPr>
        <w:pStyle w:val="ListParagraph"/>
        <w:numPr>
          <w:ilvl w:val="1"/>
          <w:numId w:val="50"/>
        </w:numPr>
        <w:tabs>
          <w:tab w:pos="2519" w:val="left" w:leader="none"/>
          <w:tab w:pos="2520" w:val="left" w:leader="none"/>
        </w:tabs>
        <w:spacing w:line="240" w:lineRule="auto" w:before="0" w:after="0"/>
        <w:ind w:left="2519" w:right="0" w:hanging="360"/>
        <w:jc w:val="left"/>
        <w:rPr>
          <w:rFonts w:ascii="Calibri" w:hAnsi="Calibri"/>
          <w:sz w:val="22"/>
        </w:rPr>
      </w:pPr>
      <w:r>
        <w:rPr>
          <w:rFonts w:ascii="Calibri" w:hAnsi="Calibri"/>
          <w:sz w:val="22"/>
        </w:rPr>
        <w:t>Ymddiriedolaeth</w:t>
      </w:r>
      <w:r>
        <w:rPr>
          <w:rFonts w:ascii="Calibri" w:hAnsi="Calibri"/>
          <w:spacing w:val="-3"/>
          <w:sz w:val="22"/>
        </w:rPr>
        <w:t> </w:t>
      </w:r>
      <w:r>
        <w:rPr>
          <w:rFonts w:ascii="Calibri" w:hAnsi="Calibri"/>
          <w:sz w:val="22"/>
        </w:rPr>
        <w:t>GIG</w:t>
      </w:r>
      <w:r>
        <w:rPr>
          <w:rFonts w:ascii="Calibri" w:hAnsi="Calibri"/>
          <w:spacing w:val="-3"/>
          <w:sz w:val="22"/>
        </w:rPr>
        <w:t> </w:t>
      </w:r>
      <w:r>
        <w:rPr>
          <w:rFonts w:ascii="Calibri" w:hAnsi="Calibri"/>
          <w:sz w:val="22"/>
        </w:rPr>
        <w:t>Iechyd</w:t>
      </w:r>
      <w:r>
        <w:rPr>
          <w:rFonts w:ascii="Calibri" w:hAnsi="Calibri"/>
          <w:spacing w:val="-3"/>
          <w:sz w:val="22"/>
        </w:rPr>
        <w:t> </w:t>
      </w:r>
      <w:r>
        <w:rPr>
          <w:rFonts w:ascii="Calibri" w:hAnsi="Calibri"/>
          <w:sz w:val="22"/>
        </w:rPr>
        <w:t>Cyhoeddus</w:t>
      </w:r>
      <w:r>
        <w:rPr>
          <w:rFonts w:ascii="Calibri" w:hAnsi="Calibri"/>
          <w:spacing w:val="-3"/>
          <w:sz w:val="22"/>
        </w:rPr>
        <w:t> </w:t>
      </w:r>
      <w:r>
        <w:rPr>
          <w:rFonts w:ascii="Calibri" w:hAnsi="Calibri"/>
          <w:spacing w:val="-2"/>
          <w:sz w:val="22"/>
        </w:rPr>
        <w:t>Cymru</w:t>
      </w:r>
    </w:p>
    <w:p>
      <w:pPr>
        <w:pStyle w:val="ListParagraph"/>
        <w:numPr>
          <w:ilvl w:val="1"/>
          <w:numId w:val="50"/>
        </w:numPr>
        <w:tabs>
          <w:tab w:pos="2519" w:val="left" w:leader="none"/>
          <w:tab w:pos="2520" w:val="left" w:leader="none"/>
        </w:tabs>
        <w:spacing w:line="240" w:lineRule="auto" w:before="0" w:after="0"/>
        <w:ind w:left="2519" w:right="0" w:hanging="360"/>
        <w:jc w:val="left"/>
        <w:rPr>
          <w:rFonts w:ascii="Calibri" w:hAnsi="Calibri"/>
          <w:sz w:val="22"/>
        </w:rPr>
      </w:pPr>
      <w:r>
        <w:rPr>
          <w:rFonts w:ascii="Calibri" w:hAnsi="Calibri"/>
          <w:sz w:val="22"/>
        </w:rPr>
        <w:t>Iechyd</w:t>
      </w:r>
      <w:r>
        <w:rPr>
          <w:rFonts w:ascii="Calibri" w:hAnsi="Calibri"/>
          <w:spacing w:val="-2"/>
          <w:sz w:val="22"/>
        </w:rPr>
        <w:t> </w:t>
      </w:r>
      <w:r>
        <w:rPr>
          <w:rFonts w:ascii="Calibri" w:hAnsi="Calibri"/>
          <w:sz w:val="22"/>
        </w:rPr>
        <w:t>a</w:t>
      </w:r>
      <w:r>
        <w:rPr>
          <w:rFonts w:ascii="Calibri" w:hAnsi="Calibri"/>
          <w:spacing w:val="-2"/>
          <w:sz w:val="22"/>
        </w:rPr>
        <w:t> </w:t>
      </w:r>
      <w:r>
        <w:rPr>
          <w:rFonts w:ascii="Calibri" w:hAnsi="Calibri"/>
          <w:sz w:val="22"/>
        </w:rPr>
        <w:t>Gofal</w:t>
      </w:r>
      <w:r>
        <w:rPr>
          <w:rFonts w:ascii="Calibri" w:hAnsi="Calibri"/>
          <w:spacing w:val="-3"/>
          <w:sz w:val="22"/>
        </w:rPr>
        <w:t> </w:t>
      </w:r>
      <w:r>
        <w:rPr>
          <w:rFonts w:ascii="Calibri" w:hAnsi="Calibri"/>
          <w:sz w:val="22"/>
        </w:rPr>
        <w:t>Digidol</w:t>
      </w:r>
      <w:r>
        <w:rPr>
          <w:rFonts w:ascii="Calibri" w:hAnsi="Calibri"/>
          <w:spacing w:val="-1"/>
          <w:sz w:val="22"/>
        </w:rPr>
        <w:t> </w:t>
      </w:r>
      <w:r>
        <w:rPr>
          <w:rFonts w:ascii="Calibri" w:hAnsi="Calibri"/>
          <w:spacing w:val="-2"/>
          <w:sz w:val="22"/>
        </w:rPr>
        <w:t>Cymru</w:t>
      </w:r>
    </w:p>
    <w:p>
      <w:pPr>
        <w:pStyle w:val="ListParagraph"/>
        <w:numPr>
          <w:ilvl w:val="1"/>
          <w:numId w:val="50"/>
        </w:numPr>
        <w:tabs>
          <w:tab w:pos="2519" w:val="left" w:leader="none"/>
          <w:tab w:pos="2520" w:val="left" w:leader="none"/>
        </w:tabs>
        <w:spacing w:line="240" w:lineRule="auto" w:before="0" w:after="0"/>
        <w:ind w:left="2519" w:right="0" w:hanging="360"/>
        <w:jc w:val="left"/>
        <w:rPr>
          <w:rFonts w:ascii="Calibri" w:hAnsi="Calibri"/>
          <w:sz w:val="22"/>
        </w:rPr>
      </w:pPr>
      <w:r>
        <w:rPr>
          <w:rFonts w:ascii="Calibri" w:hAnsi="Calibri"/>
          <w:sz w:val="22"/>
        </w:rPr>
        <w:t>Ymddiriedolaeth</w:t>
      </w:r>
      <w:r>
        <w:rPr>
          <w:rFonts w:ascii="Calibri" w:hAnsi="Calibri"/>
          <w:spacing w:val="-3"/>
          <w:sz w:val="22"/>
        </w:rPr>
        <w:t> </w:t>
      </w:r>
      <w:r>
        <w:rPr>
          <w:rFonts w:ascii="Calibri" w:hAnsi="Calibri"/>
          <w:sz w:val="22"/>
        </w:rPr>
        <w:t>GIG</w:t>
      </w:r>
      <w:r>
        <w:rPr>
          <w:rFonts w:ascii="Calibri" w:hAnsi="Calibri"/>
          <w:spacing w:val="-2"/>
          <w:sz w:val="22"/>
        </w:rPr>
        <w:t> </w:t>
      </w:r>
      <w:r>
        <w:rPr>
          <w:rFonts w:ascii="Calibri" w:hAnsi="Calibri"/>
          <w:sz w:val="22"/>
        </w:rPr>
        <w:t>Prifysgol</w:t>
      </w:r>
      <w:r>
        <w:rPr>
          <w:rFonts w:ascii="Calibri" w:hAnsi="Calibri"/>
          <w:spacing w:val="-2"/>
          <w:sz w:val="22"/>
        </w:rPr>
        <w:t> Felindre</w:t>
      </w:r>
    </w:p>
    <w:p>
      <w:pPr>
        <w:pStyle w:val="ListParagraph"/>
        <w:numPr>
          <w:ilvl w:val="1"/>
          <w:numId w:val="50"/>
        </w:numPr>
        <w:tabs>
          <w:tab w:pos="2519" w:val="left" w:leader="none"/>
          <w:tab w:pos="2520" w:val="left" w:leader="none"/>
        </w:tabs>
        <w:spacing w:line="240" w:lineRule="auto" w:before="0" w:after="0"/>
        <w:ind w:left="2519" w:right="0" w:hanging="360"/>
        <w:jc w:val="left"/>
        <w:rPr>
          <w:rFonts w:ascii="Calibri" w:hAnsi="Calibri"/>
          <w:sz w:val="22"/>
        </w:rPr>
      </w:pPr>
      <w:r>
        <w:rPr>
          <w:rFonts w:ascii="Calibri" w:hAnsi="Calibri"/>
          <w:sz w:val="22"/>
        </w:rPr>
        <w:t>Addysg</w:t>
      </w:r>
      <w:r>
        <w:rPr>
          <w:rFonts w:ascii="Calibri" w:hAnsi="Calibri"/>
          <w:spacing w:val="-2"/>
          <w:sz w:val="22"/>
        </w:rPr>
        <w:t> </w:t>
      </w:r>
      <w:r>
        <w:rPr>
          <w:rFonts w:ascii="Calibri" w:hAnsi="Calibri"/>
          <w:sz w:val="22"/>
        </w:rPr>
        <w:t>a</w:t>
      </w:r>
      <w:r>
        <w:rPr>
          <w:rFonts w:ascii="Calibri" w:hAnsi="Calibri"/>
          <w:spacing w:val="-1"/>
          <w:sz w:val="22"/>
        </w:rPr>
        <w:t> </w:t>
      </w:r>
      <w:r>
        <w:rPr>
          <w:rFonts w:ascii="Calibri" w:hAnsi="Calibri"/>
          <w:sz w:val="22"/>
        </w:rPr>
        <w:t>Gwella</w:t>
      </w:r>
      <w:r>
        <w:rPr>
          <w:rFonts w:ascii="Calibri" w:hAnsi="Calibri"/>
          <w:spacing w:val="-2"/>
          <w:sz w:val="22"/>
        </w:rPr>
        <w:t> </w:t>
      </w:r>
      <w:r>
        <w:rPr>
          <w:rFonts w:ascii="Calibri" w:hAnsi="Calibri"/>
          <w:sz w:val="22"/>
        </w:rPr>
        <w:t>Iechyd </w:t>
      </w:r>
      <w:r>
        <w:rPr>
          <w:rFonts w:ascii="Calibri" w:hAnsi="Calibri"/>
          <w:spacing w:val="-2"/>
          <w:sz w:val="22"/>
        </w:rPr>
        <w:t>Cymru</w:t>
      </w:r>
    </w:p>
    <w:p>
      <w:pPr>
        <w:pStyle w:val="ListParagraph"/>
        <w:numPr>
          <w:ilvl w:val="1"/>
          <w:numId w:val="50"/>
        </w:numPr>
        <w:tabs>
          <w:tab w:pos="2519" w:val="left" w:leader="none"/>
          <w:tab w:pos="2520" w:val="left" w:leader="none"/>
        </w:tabs>
        <w:spacing w:line="240" w:lineRule="auto" w:before="0" w:after="0"/>
        <w:ind w:left="2519" w:right="0" w:hanging="360"/>
        <w:jc w:val="left"/>
        <w:rPr>
          <w:rFonts w:ascii="Calibri" w:hAnsi="Calibri"/>
          <w:sz w:val="22"/>
        </w:rPr>
      </w:pPr>
      <w:r>
        <w:rPr>
          <w:rFonts w:ascii="Calibri" w:hAnsi="Calibri"/>
          <w:sz w:val="22"/>
        </w:rPr>
        <w:t>Ymddiriedolaeth</w:t>
      </w:r>
      <w:r>
        <w:rPr>
          <w:rFonts w:ascii="Calibri" w:hAnsi="Calibri"/>
          <w:spacing w:val="-3"/>
          <w:sz w:val="22"/>
        </w:rPr>
        <w:t> </w:t>
      </w:r>
      <w:r>
        <w:rPr>
          <w:rFonts w:ascii="Calibri" w:hAnsi="Calibri"/>
          <w:sz w:val="22"/>
        </w:rPr>
        <w:t>Gwasanaeth</w:t>
      </w:r>
      <w:r>
        <w:rPr>
          <w:rFonts w:ascii="Calibri" w:hAnsi="Calibri"/>
          <w:spacing w:val="-2"/>
          <w:sz w:val="22"/>
        </w:rPr>
        <w:t> </w:t>
      </w:r>
      <w:r>
        <w:rPr>
          <w:rFonts w:ascii="Calibri" w:hAnsi="Calibri"/>
          <w:sz w:val="22"/>
        </w:rPr>
        <w:t>Ambiwlans</w:t>
      </w:r>
      <w:r>
        <w:rPr>
          <w:rFonts w:ascii="Calibri" w:hAnsi="Calibri"/>
          <w:spacing w:val="-3"/>
          <w:sz w:val="22"/>
        </w:rPr>
        <w:t> </w:t>
      </w:r>
      <w:r>
        <w:rPr>
          <w:rFonts w:ascii="Calibri" w:hAnsi="Calibri"/>
          <w:sz w:val="22"/>
        </w:rPr>
        <w:t>Cymru</w:t>
      </w:r>
      <w:r>
        <w:rPr>
          <w:rFonts w:ascii="Calibri" w:hAnsi="Calibri"/>
          <w:spacing w:val="-2"/>
          <w:sz w:val="22"/>
        </w:rPr>
        <w:t> </w:t>
      </w:r>
      <w:r>
        <w:rPr>
          <w:rFonts w:ascii="Calibri" w:hAnsi="Calibri"/>
          <w:sz w:val="22"/>
        </w:rPr>
        <w:t>o</w:t>
      </w:r>
      <w:r>
        <w:rPr>
          <w:rFonts w:ascii="Calibri" w:hAnsi="Calibri"/>
          <w:spacing w:val="-4"/>
          <w:sz w:val="22"/>
        </w:rPr>
        <w:t> </w:t>
      </w:r>
      <w:r>
        <w:rPr>
          <w:rFonts w:ascii="Calibri" w:hAnsi="Calibri"/>
          <w:sz w:val="22"/>
        </w:rPr>
        <w:t>ran</w:t>
      </w:r>
      <w:r>
        <w:rPr>
          <w:rFonts w:ascii="Calibri" w:hAnsi="Calibri"/>
          <w:spacing w:val="-2"/>
          <w:sz w:val="22"/>
        </w:rPr>
        <w:t> </w:t>
      </w:r>
      <w:r>
        <w:rPr>
          <w:rFonts w:ascii="Calibri" w:hAnsi="Calibri"/>
          <w:sz w:val="22"/>
        </w:rPr>
        <w:t>cyfieithu</w:t>
      </w:r>
      <w:r>
        <w:rPr>
          <w:rFonts w:ascii="Calibri" w:hAnsi="Calibri"/>
          <w:spacing w:val="-2"/>
          <w:sz w:val="22"/>
        </w:rPr>
        <w:t> </w:t>
      </w:r>
      <w:r>
        <w:rPr>
          <w:rFonts w:ascii="Calibri" w:hAnsi="Calibri"/>
          <w:sz w:val="22"/>
        </w:rPr>
        <w:t>Gwefan</w:t>
      </w:r>
      <w:r>
        <w:rPr>
          <w:rFonts w:ascii="Calibri" w:hAnsi="Calibri"/>
          <w:spacing w:val="-2"/>
          <w:sz w:val="22"/>
        </w:rPr>
        <w:t> </w:t>
      </w:r>
      <w:r>
        <w:rPr>
          <w:rFonts w:ascii="Calibri" w:hAnsi="Calibri"/>
          <w:spacing w:val="-5"/>
          <w:sz w:val="22"/>
        </w:rPr>
        <w:t>111</w:t>
      </w:r>
    </w:p>
    <w:p>
      <w:pPr>
        <w:pStyle w:val="ListParagraph"/>
        <w:numPr>
          <w:ilvl w:val="1"/>
          <w:numId w:val="50"/>
        </w:numPr>
        <w:tabs>
          <w:tab w:pos="2519" w:val="left" w:leader="none"/>
          <w:tab w:pos="2520" w:val="left" w:leader="none"/>
        </w:tabs>
        <w:spacing w:line="240" w:lineRule="auto" w:before="0" w:after="0"/>
        <w:ind w:left="2519" w:right="0" w:hanging="360"/>
        <w:jc w:val="left"/>
        <w:rPr>
          <w:rFonts w:ascii="Calibri" w:hAnsi="Calibri"/>
          <w:sz w:val="22"/>
        </w:rPr>
      </w:pPr>
      <w:r>
        <w:rPr>
          <w:rFonts w:ascii="Calibri" w:hAnsi="Calibri"/>
          <w:color w:val="202124"/>
          <w:sz w:val="22"/>
        </w:rPr>
        <w:t>Pwyllgor</w:t>
      </w:r>
      <w:r>
        <w:rPr>
          <w:rFonts w:ascii="Calibri" w:hAnsi="Calibri"/>
          <w:color w:val="202124"/>
          <w:spacing w:val="-5"/>
          <w:sz w:val="22"/>
        </w:rPr>
        <w:t> </w:t>
      </w:r>
      <w:r>
        <w:rPr>
          <w:rFonts w:ascii="Calibri" w:hAnsi="Calibri"/>
          <w:color w:val="202124"/>
          <w:sz w:val="22"/>
        </w:rPr>
        <w:t>Gwasanaethau</w:t>
      </w:r>
      <w:r>
        <w:rPr>
          <w:rFonts w:ascii="Calibri" w:hAnsi="Calibri"/>
          <w:color w:val="202124"/>
          <w:spacing w:val="-2"/>
          <w:sz w:val="22"/>
        </w:rPr>
        <w:t> </w:t>
      </w:r>
      <w:r>
        <w:rPr>
          <w:rFonts w:ascii="Calibri" w:hAnsi="Calibri"/>
          <w:color w:val="202124"/>
          <w:sz w:val="22"/>
        </w:rPr>
        <w:t>Iechyd</w:t>
      </w:r>
      <w:r>
        <w:rPr>
          <w:rFonts w:ascii="Calibri" w:hAnsi="Calibri"/>
          <w:color w:val="202124"/>
          <w:spacing w:val="-2"/>
          <w:sz w:val="22"/>
        </w:rPr>
        <w:t> </w:t>
      </w:r>
      <w:r>
        <w:rPr>
          <w:rFonts w:ascii="Calibri" w:hAnsi="Calibri"/>
          <w:color w:val="202124"/>
          <w:sz w:val="22"/>
        </w:rPr>
        <w:t>Arbenigol</w:t>
      </w:r>
      <w:r>
        <w:rPr>
          <w:rFonts w:ascii="Calibri" w:hAnsi="Calibri"/>
          <w:color w:val="202124"/>
          <w:spacing w:val="-1"/>
          <w:sz w:val="22"/>
        </w:rPr>
        <w:t> </w:t>
      </w:r>
      <w:r>
        <w:rPr>
          <w:rFonts w:ascii="Calibri" w:hAnsi="Calibri"/>
          <w:color w:val="202124"/>
          <w:spacing w:val="-2"/>
          <w:sz w:val="22"/>
        </w:rPr>
        <w:t>Cymru</w:t>
      </w:r>
    </w:p>
    <w:p>
      <w:pPr>
        <w:pStyle w:val="ListParagraph"/>
        <w:numPr>
          <w:ilvl w:val="1"/>
          <w:numId w:val="50"/>
        </w:numPr>
        <w:tabs>
          <w:tab w:pos="2519" w:val="left" w:leader="none"/>
          <w:tab w:pos="2520" w:val="left" w:leader="none"/>
        </w:tabs>
        <w:spacing w:line="240" w:lineRule="auto" w:before="0" w:after="0"/>
        <w:ind w:left="2519" w:right="0" w:hanging="360"/>
        <w:jc w:val="left"/>
        <w:rPr>
          <w:rFonts w:ascii="Calibri" w:hAnsi="Calibri"/>
          <w:sz w:val="22"/>
        </w:rPr>
      </w:pPr>
      <w:r>
        <w:rPr>
          <w:rFonts w:ascii="Calibri" w:hAnsi="Calibri"/>
          <w:color w:val="202124"/>
          <w:sz w:val="22"/>
        </w:rPr>
        <w:t>Rhaglen</w:t>
      </w:r>
      <w:r>
        <w:rPr>
          <w:rFonts w:ascii="Calibri" w:hAnsi="Calibri"/>
          <w:color w:val="202124"/>
          <w:spacing w:val="-3"/>
          <w:sz w:val="22"/>
        </w:rPr>
        <w:t> </w:t>
      </w:r>
      <w:r>
        <w:rPr>
          <w:rFonts w:ascii="Calibri" w:hAnsi="Calibri"/>
          <w:color w:val="202124"/>
          <w:sz w:val="22"/>
        </w:rPr>
        <w:t>Gwerth</w:t>
      </w:r>
      <w:r>
        <w:rPr>
          <w:rFonts w:ascii="Calibri" w:hAnsi="Calibri"/>
          <w:color w:val="202124"/>
          <w:spacing w:val="-1"/>
          <w:sz w:val="22"/>
        </w:rPr>
        <w:t> </w:t>
      </w:r>
      <w:r>
        <w:rPr>
          <w:rFonts w:ascii="Calibri" w:hAnsi="Calibri"/>
          <w:color w:val="202124"/>
          <w:sz w:val="22"/>
        </w:rPr>
        <w:t>mewn</w:t>
      </w:r>
      <w:r>
        <w:rPr>
          <w:rFonts w:ascii="Calibri" w:hAnsi="Calibri"/>
          <w:color w:val="202124"/>
          <w:spacing w:val="-1"/>
          <w:sz w:val="22"/>
        </w:rPr>
        <w:t> </w:t>
      </w:r>
      <w:r>
        <w:rPr>
          <w:rFonts w:ascii="Calibri" w:hAnsi="Calibri"/>
          <w:color w:val="202124"/>
          <w:sz w:val="22"/>
        </w:rPr>
        <w:t>Gofal</w:t>
      </w:r>
      <w:r>
        <w:rPr>
          <w:rFonts w:ascii="Calibri" w:hAnsi="Calibri"/>
          <w:color w:val="202124"/>
          <w:spacing w:val="-1"/>
          <w:sz w:val="22"/>
        </w:rPr>
        <w:t> </w:t>
      </w:r>
      <w:r>
        <w:rPr>
          <w:rFonts w:ascii="Calibri" w:hAnsi="Calibri"/>
          <w:color w:val="202124"/>
          <w:sz w:val="22"/>
        </w:rPr>
        <w:t>Iechyd</w:t>
      </w:r>
      <w:r>
        <w:rPr>
          <w:rFonts w:ascii="Calibri" w:hAnsi="Calibri"/>
          <w:color w:val="202124"/>
          <w:spacing w:val="-1"/>
          <w:sz w:val="22"/>
        </w:rPr>
        <w:t> </w:t>
      </w:r>
      <w:r>
        <w:rPr>
          <w:rFonts w:ascii="Calibri" w:hAnsi="Calibri"/>
          <w:color w:val="202124"/>
          <w:spacing w:val="-2"/>
          <w:sz w:val="22"/>
        </w:rPr>
        <w:t>Cymru</w:t>
      </w:r>
    </w:p>
    <w:p>
      <w:pPr>
        <w:pStyle w:val="ListParagraph"/>
        <w:numPr>
          <w:ilvl w:val="1"/>
          <w:numId w:val="50"/>
        </w:numPr>
        <w:tabs>
          <w:tab w:pos="2519" w:val="left" w:leader="none"/>
          <w:tab w:pos="2520" w:val="left" w:leader="none"/>
        </w:tabs>
        <w:spacing w:line="249" w:lineRule="auto" w:before="0" w:after="0"/>
        <w:ind w:left="2160" w:right="1962" w:firstLine="0"/>
        <w:jc w:val="left"/>
        <w:rPr>
          <w:rFonts w:ascii="Calibri" w:hAnsi="Calibri"/>
          <w:sz w:val="22"/>
        </w:rPr>
      </w:pPr>
      <w:r>
        <w:rPr>
          <w:rFonts w:ascii="Calibri" w:hAnsi="Calibri"/>
          <w:color w:val="202124"/>
          <w:sz w:val="22"/>
        </w:rPr>
        <w:t>Cefnogwyd Cyflogwyr y GIG i gyfieithu Swydd-ddisgrifiadau a Manylebau’r Person </w:t>
      </w:r>
      <w:r>
        <w:rPr>
          <w:rFonts w:ascii="Calibri" w:hAnsi="Calibri"/>
          <w:sz w:val="22"/>
        </w:rPr>
        <w:t>Cyfieithwyd</w:t>
      </w:r>
      <w:r>
        <w:rPr>
          <w:rFonts w:ascii="Calibri" w:hAnsi="Calibri"/>
          <w:spacing w:val="-2"/>
          <w:sz w:val="22"/>
        </w:rPr>
        <w:t> </w:t>
      </w:r>
      <w:r>
        <w:rPr>
          <w:rFonts w:ascii="Calibri" w:hAnsi="Calibri"/>
          <w:sz w:val="22"/>
        </w:rPr>
        <w:t>cyfanswm</w:t>
      </w:r>
      <w:r>
        <w:rPr>
          <w:rFonts w:ascii="Calibri" w:hAnsi="Calibri"/>
          <w:spacing w:val="-3"/>
          <w:sz w:val="22"/>
        </w:rPr>
        <w:t> </w:t>
      </w:r>
      <w:r>
        <w:rPr>
          <w:rFonts w:ascii="Calibri" w:hAnsi="Calibri"/>
          <w:sz w:val="22"/>
        </w:rPr>
        <w:t>o</w:t>
      </w:r>
      <w:r>
        <w:rPr>
          <w:rFonts w:ascii="Calibri" w:hAnsi="Calibri"/>
          <w:spacing w:val="-3"/>
          <w:sz w:val="22"/>
        </w:rPr>
        <w:t> </w:t>
      </w:r>
      <w:r>
        <w:rPr>
          <w:rFonts w:ascii="Calibri" w:hAnsi="Calibri"/>
          <w:sz w:val="22"/>
        </w:rPr>
        <w:t>dros</w:t>
      </w:r>
      <w:r>
        <w:rPr>
          <w:rFonts w:ascii="Calibri" w:hAnsi="Calibri"/>
          <w:spacing w:val="-3"/>
          <w:sz w:val="22"/>
        </w:rPr>
        <w:t> </w:t>
      </w:r>
      <w:r>
        <w:rPr>
          <w:rFonts w:ascii="Calibri" w:hAnsi="Calibri"/>
          <w:sz w:val="22"/>
        </w:rPr>
        <w:t>4.5</w:t>
      </w:r>
      <w:r>
        <w:rPr>
          <w:rFonts w:ascii="Calibri" w:hAnsi="Calibri"/>
          <w:spacing w:val="-2"/>
          <w:sz w:val="22"/>
        </w:rPr>
        <w:t> </w:t>
      </w:r>
      <w:r>
        <w:rPr>
          <w:rFonts w:ascii="Calibri" w:hAnsi="Calibri"/>
          <w:sz w:val="22"/>
        </w:rPr>
        <w:t>miliwn</w:t>
      </w:r>
      <w:r>
        <w:rPr>
          <w:rFonts w:ascii="Calibri" w:hAnsi="Calibri"/>
          <w:spacing w:val="-2"/>
          <w:sz w:val="22"/>
        </w:rPr>
        <w:t> </w:t>
      </w:r>
      <w:r>
        <w:rPr>
          <w:rFonts w:ascii="Calibri" w:hAnsi="Calibri"/>
          <w:sz w:val="22"/>
        </w:rPr>
        <w:t>o</w:t>
      </w:r>
      <w:r>
        <w:rPr>
          <w:rFonts w:ascii="Calibri" w:hAnsi="Calibri"/>
          <w:spacing w:val="-3"/>
          <w:sz w:val="22"/>
        </w:rPr>
        <w:t> </w:t>
      </w:r>
      <w:r>
        <w:rPr>
          <w:rFonts w:ascii="Calibri" w:hAnsi="Calibri"/>
          <w:sz w:val="22"/>
        </w:rPr>
        <w:t>eiriau</w:t>
      </w:r>
      <w:r>
        <w:rPr>
          <w:rFonts w:ascii="Calibri" w:hAnsi="Calibri"/>
          <w:spacing w:val="-2"/>
          <w:sz w:val="22"/>
        </w:rPr>
        <w:t> </w:t>
      </w:r>
      <w:r>
        <w:rPr>
          <w:rFonts w:ascii="Calibri" w:hAnsi="Calibri"/>
          <w:sz w:val="22"/>
        </w:rPr>
        <w:t>yn</w:t>
      </w:r>
      <w:r>
        <w:rPr>
          <w:rFonts w:ascii="Calibri" w:hAnsi="Calibri"/>
          <w:spacing w:val="-2"/>
          <w:sz w:val="22"/>
        </w:rPr>
        <w:t> </w:t>
      </w:r>
      <w:r>
        <w:rPr>
          <w:rFonts w:ascii="Calibri" w:hAnsi="Calibri"/>
          <w:sz w:val="22"/>
        </w:rPr>
        <w:t>ystod</w:t>
      </w:r>
      <w:r>
        <w:rPr>
          <w:rFonts w:ascii="Calibri" w:hAnsi="Calibri"/>
          <w:spacing w:val="-2"/>
          <w:sz w:val="22"/>
        </w:rPr>
        <w:t> </w:t>
      </w:r>
      <w:r>
        <w:rPr>
          <w:rFonts w:ascii="Calibri" w:hAnsi="Calibri"/>
          <w:sz w:val="22"/>
        </w:rPr>
        <w:t>2021/22,</w:t>
      </w:r>
      <w:r>
        <w:rPr>
          <w:rFonts w:ascii="Calibri" w:hAnsi="Calibri"/>
          <w:spacing w:val="-3"/>
          <w:sz w:val="22"/>
        </w:rPr>
        <w:t> </w:t>
      </w:r>
      <w:r>
        <w:rPr>
          <w:rFonts w:ascii="Calibri" w:hAnsi="Calibri"/>
          <w:sz w:val="22"/>
        </w:rPr>
        <w:t>a</w:t>
      </w:r>
      <w:r>
        <w:rPr>
          <w:rFonts w:ascii="Calibri" w:hAnsi="Calibri"/>
          <w:spacing w:val="-3"/>
          <w:sz w:val="22"/>
        </w:rPr>
        <w:t> </w:t>
      </w:r>
      <w:r>
        <w:rPr>
          <w:rFonts w:ascii="Calibri" w:hAnsi="Calibri"/>
          <w:sz w:val="22"/>
        </w:rPr>
        <w:t>ddaeth</w:t>
      </w:r>
      <w:r>
        <w:rPr>
          <w:rFonts w:ascii="Calibri" w:hAnsi="Calibri"/>
          <w:spacing w:val="-3"/>
          <w:sz w:val="22"/>
        </w:rPr>
        <w:t> </w:t>
      </w:r>
      <w:r>
        <w:rPr>
          <w:rFonts w:ascii="Calibri" w:hAnsi="Calibri"/>
          <w:sz w:val="22"/>
        </w:rPr>
        <w:t>i</w:t>
      </w:r>
      <w:r>
        <w:rPr>
          <w:rFonts w:ascii="Calibri" w:hAnsi="Calibri"/>
          <w:spacing w:val="-2"/>
          <w:sz w:val="22"/>
        </w:rPr>
        <w:t> </w:t>
      </w:r>
      <w:r>
        <w:rPr>
          <w:rFonts w:ascii="Calibri" w:hAnsi="Calibri"/>
          <w:sz w:val="22"/>
        </w:rPr>
        <w:t>law</w:t>
      </w:r>
      <w:r>
        <w:rPr>
          <w:rFonts w:ascii="Calibri" w:hAnsi="Calibri"/>
          <w:spacing w:val="-3"/>
          <w:sz w:val="22"/>
        </w:rPr>
        <w:t> </w:t>
      </w:r>
      <w:r>
        <w:rPr>
          <w:rFonts w:ascii="Calibri" w:hAnsi="Calibri"/>
          <w:sz w:val="22"/>
        </w:rPr>
        <w:t>drwy 2,437 o geisiadau ar wahân.</w:t>
      </w:r>
    </w:p>
    <w:p>
      <w:pPr>
        <w:spacing w:before="171"/>
        <w:ind w:left="1440" w:right="1405" w:firstLine="0"/>
        <w:jc w:val="left"/>
        <w:rPr>
          <w:rFonts w:ascii="Calibri"/>
          <w:sz w:val="22"/>
        </w:rPr>
      </w:pPr>
      <w:r>
        <w:rPr>
          <w:rFonts w:ascii="Calibri"/>
          <w:sz w:val="22"/>
        </w:rPr>
        <w:t>Dros</w:t>
      </w:r>
      <w:r>
        <w:rPr>
          <w:rFonts w:ascii="Calibri"/>
          <w:spacing w:val="-4"/>
          <w:sz w:val="22"/>
        </w:rPr>
        <w:t> </w:t>
      </w:r>
      <w:r>
        <w:rPr>
          <w:rFonts w:ascii="Calibri"/>
          <w:sz w:val="22"/>
        </w:rPr>
        <w:t>y</w:t>
      </w:r>
      <w:r>
        <w:rPr>
          <w:rFonts w:ascii="Calibri"/>
          <w:spacing w:val="-3"/>
          <w:sz w:val="22"/>
        </w:rPr>
        <w:t> </w:t>
      </w:r>
      <w:r>
        <w:rPr>
          <w:rFonts w:ascii="Calibri"/>
          <w:sz w:val="22"/>
        </w:rPr>
        <w:t>6</w:t>
      </w:r>
      <w:r>
        <w:rPr>
          <w:rFonts w:ascii="Calibri"/>
          <w:spacing w:val="-3"/>
          <w:sz w:val="22"/>
        </w:rPr>
        <w:t> </w:t>
      </w:r>
      <w:r>
        <w:rPr>
          <w:rFonts w:ascii="Calibri"/>
          <w:sz w:val="22"/>
        </w:rPr>
        <w:t>blynedd</w:t>
      </w:r>
      <w:r>
        <w:rPr>
          <w:rFonts w:ascii="Calibri"/>
          <w:spacing w:val="-3"/>
          <w:sz w:val="22"/>
        </w:rPr>
        <w:t> </w:t>
      </w:r>
      <w:r>
        <w:rPr>
          <w:rFonts w:ascii="Calibri"/>
          <w:sz w:val="22"/>
        </w:rPr>
        <w:t>diwethaf,</w:t>
      </w:r>
      <w:r>
        <w:rPr>
          <w:rFonts w:ascii="Calibri"/>
          <w:spacing w:val="-4"/>
          <w:sz w:val="22"/>
        </w:rPr>
        <w:t> </w:t>
      </w:r>
      <w:r>
        <w:rPr>
          <w:rFonts w:ascii="Calibri"/>
          <w:sz w:val="22"/>
        </w:rPr>
        <w:t>bu</w:t>
      </w:r>
      <w:r>
        <w:rPr>
          <w:rFonts w:ascii="Calibri"/>
          <w:spacing w:val="-3"/>
          <w:sz w:val="22"/>
        </w:rPr>
        <w:t> </w:t>
      </w:r>
      <w:r>
        <w:rPr>
          <w:rFonts w:ascii="Calibri"/>
          <w:sz w:val="22"/>
        </w:rPr>
        <w:t>cynnydd</w:t>
      </w:r>
      <w:r>
        <w:rPr>
          <w:rFonts w:ascii="Calibri"/>
          <w:spacing w:val="-3"/>
          <w:sz w:val="22"/>
        </w:rPr>
        <w:t> </w:t>
      </w:r>
      <w:r>
        <w:rPr>
          <w:rFonts w:ascii="Calibri"/>
          <w:sz w:val="22"/>
        </w:rPr>
        <w:t>sylweddol</w:t>
      </w:r>
      <w:r>
        <w:rPr>
          <w:rFonts w:ascii="Calibri"/>
          <w:spacing w:val="-3"/>
          <w:sz w:val="22"/>
        </w:rPr>
        <w:t> </w:t>
      </w:r>
      <w:r>
        <w:rPr>
          <w:rFonts w:ascii="Calibri"/>
          <w:sz w:val="22"/>
        </w:rPr>
        <w:t>yn</w:t>
      </w:r>
      <w:r>
        <w:rPr>
          <w:rFonts w:ascii="Calibri"/>
          <w:spacing w:val="-3"/>
          <w:sz w:val="22"/>
        </w:rPr>
        <w:t> </w:t>
      </w:r>
      <w:r>
        <w:rPr>
          <w:rFonts w:ascii="Calibri"/>
          <w:sz w:val="22"/>
        </w:rPr>
        <w:t>y</w:t>
      </w:r>
      <w:r>
        <w:rPr>
          <w:rFonts w:ascii="Calibri"/>
          <w:spacing w:val="-3"/>
          <w:sz w:val="22"/>
        </w:rPr>
        <w:t> </w:t>
      </w:r>
      <w:r>
        <w:rPr>
          <w:rFonts w:ascii="Calibri"/>
          <w:sz w:val="22"/>
        </w:rPr>
        <w:t>galw</w:t>
      </w:r>
      <w:r>
        <w:rPr>
          <w:rFonts w:ascii="Calibri"/>
          <w:spacing w:val="-3"/>
          <w:sz w:val="22"/>
        </w:rPr>
        <w:t> </w:t>
      </w:r>
      <w:r>
        <w:rPr>
          <w:rFonts w:ascii="Calibri"/>
          <w:sz w:val="22"/>
        </w:rPr>
        <w:t>am</w:t>
      </w:r>
      <w:r>
        <w:rPr>
          <w:rFonts w:ascii="Calibri"/>
          <w:spacing w:val="-4"/>
          <w:sz w:val="22"/>
        </w:rPr>
        <w:t> </w:t>
      </w:r>
      <w:r>
        <w:rPr>
          <w:rFonts w:ascii="Calibri"/>
          <w:sz w:val="22"/>
        </w:rPr>
        <w:t>wasanaethau</w:t>
      </w:r>
      <w:r>
        <w:rPr>
          <w:rFonts w:ascii="Calibri"/>
          <w:spacing w:val="-3"/>
          <w:sz w:val="22"/>
        </w:rPr>
        <w:t> </w:t>
      </w:r>
      <w:r>
        <w:rPr>
          <w:rFonts w:ascii="Calibri"/>
          <w:sz w:val="22"/>
        </w:rPr>
        <w:t>cyfieithu</w:t>
      </w:r>
      <w:r>
        <w:rPr>
          <w:rFonts w:ascii="Calibri"/>
          <w:spacing w:val="-3"/>
          <w:sz w:val="22"/>
        </w:rPr>
        <w:t> </w:t>
      </w:r>
      <w:r>
        <w:rPr>
          <w:rFonts w:ascii="Calibri"/>
          <w:sz w:val="22"/>
        </w:rPr>
        <w:t>Cymraeg. Mae'r diagram isod yn dangos cynnydd o </w:t>
      </w:r>
      <w:r>
        <w:rPr>
          <w:rFonts w:ascii="Arial"/>
          <w:color w:val="333333"/>
          <w:sz w:val="22"/>
        </w:rPr>
        <w:t>1878.59% </w:t>
      </w:r>
      <w:r>
        <w:rPr>
          <w:rFonts w:ascii="Calibri"/>
          <w:sz w:val="22"/>
        </w:rPr>
        <w:t>rhwng</w:t>
      </w:r>
    </w:p>
    <w:p>
      <w:pPr>
        <w:spacing w:before="0"/>
        <w:ind w:left="1440" w:right="0" w:firstLine="0"/>
        <w:jc w:val="left"/>
        <w:rPr>
          <w:rFonts w:ascii="Calibri"/>
          <w:sz w:val="22"/>
        </w:rPr>
      </w:pPr>
      <w:r>
        <w:rPr>
          <w:rFonts w:ascii="Calibri"/>
          <w:sz w:val="22"/>
        </w:rPr>
        <w:t>2016-17</w:t>
      </w:r>
      <w:r>
        <w:rPr>
          <w:rFonts w:ascii="Calibri"/>
          <w:spacing w:val="-3"/>
          <w:sz w:val="22"/>
        </w:rPr>
        <w:t> </w:t>
      </w:r>
      <w:r>
        <w:rPr>
          <w:rFonts w:ascii="Calibri"/>
          <w:sz w:val="22"/>
        </w:rPr>
        <w:t>a</w:t>
      </w:r>
      <w:r>
        <w:rPr>
          <w:rFonts w:ascii="Calibri"/>
          <w:spacing w:val="-2"/>
          <w:sz w:val="22"/>
        </w:rPr>
        <w:t> </w:t>
      </w:r>
      <w:r>
        <w:rPr>
          <w:rFonts w:ascii="Calibri"/>
          <w:sz w:val="22"/>
        </w:rPr>
        <w:t>2021-</w:t>
      </w:r>
      <w:r>
        <w:rPr>
          <w:rFonts w:ascii="Calibri"/>
          <w:spacing w:val="-5"/>
          <w:sz w:val="22"/>
        </w:rPr>
        <w:t>22.</w:t>
      </w:r>
    </w:p>
    <w:p>
      <w:pPr>
        <w:pStyle w:val="BodyText"/>
        <w:spacing w:before="12"/>
        <w:rPr>
          <w:rFonts w:ascii="Calibri"/>
          <w:sz w:val="21"/>
        </w:rPr>
      </w:pPr>
    </w:p>
    <w:p>
      <w:pPr>
        <w:spacing w:line="259" w:lineRule="auto" w:before="0"/>
        <w:ind w:left="1440" w:right="1405" w:firstLine="0"/>
        <w:jc w:val="left"/>
        <w:rPr>
          <w:rFonts w:ascii="Calibri" w:hAnsi="Calibri"/>
          <w:sz w:val="22"/>
        </w:rPr>
      </w:pPr>
      <w:r>
        <w:rPr>
          <w:rFonts w:ascii="Calibri" w:hAnsi="Calibri"/>
          <w:sz w:val="22"/>
        </w:rPr>
        <w:t>Rydym</w:t>
      </w:r>
      <w:r>
        <w:rPr>
          <w:rFonts w:ascii="Calibri" w:hAnsi="Calibri"/>
          <w:spacing w:val="-2"/>
          <w:sz w:val="22"/>
        </w:rPr>
        <w:t> </w:t>
      </w:r>
      <w:r>
        <w:rPr>
          <w:rFonts w:ascii="Calibri" w:hAnsi="Calibri"/>
          <w:sz w:val="22"/>
        </w:rPr>
        <w:t>yn</w:t>
      </w:r>
      <w:r>
        <w:rPr>
          <w:rFonts w:ascii="Calibri" w:hAnsi="Calibri"/>
          <w:spacing w:val="-2"/>
          <w:sz w:val="22"/>
        </w:rPr>
        <w:t> </w:t>
      </w:r>
      <w:r>
        <w:rPr>
          <w:rFonts w:ascii="Calibri" w:hAnsi="Calibri"/>
          <w:sz w:val="22"/>
        </w:rPr>
        <w:t>bwriadu</w:t>
      </w:r>
      <w:r>
        <w:rPr>
          <w:rFonts w:ascii="Calibri" w:hAnsi="Calibri"/>
          <w:spacing w:val="-2"/>
          <w:sz w:val="22"/>
        </w:rPr>
        <w:t> </w:t>
      </w:r>
      <w:r>
        <w:rPr>
          <w:rFonts w:ascii="Calibri" w:hAnsi="Calibri"/>
          <w:sz w:val="22"/>
        </w:rPr>
        <w:t>buddsoddi</w:t>
      </w:r>
      <w:r>
        <w:rPr>
          <w:rFonts w:ascii="Calibri" w:hAnsi="Calibri"/>
          <w:spacing w:val="-3"/>
          <w:sz w:val="22"/>
        </w:rPr>
        <w:t> </w:t>
      </w:r>
      <w:r>
        <w:rPr>
          <w:rFonts w:ascii="Calibri" w:hAnsi="Calibri"/>
          <w:sz w:val="22"/>
        </w:rPr>
        <w:t>ymhellach</w:t>
      </w:r>
      <w:r>
        <w:rPr>
          <w:rFonts w:ascii="Calibri" w:hAnsi="Calibri"/>
          <w:spacing w:val="-3"/>
          <w:sz w:val="22"/>
        </w:rPr>
        <w:t> </w:t>
      </w:r>
      <w:r>
        <w:rPr>
          <w:rFonts w:ascii="Calibri" w:hAnsi="Calibri"/>
          <w:sz w:val="22"/>
        </w:rPr>
        <w:t>yn</w:t>
      </w:r>
      <w:r>
        <w:rPr>
          <w:rFonts w:ascii="Calibri" w:hAnsi="Calibri"/>
          <w:spacing w:val="-2"/>
          <w:sz w:val="22"/>
        </w:rPr>
        <w:t> </w:t>
      </w:r>
      <w:r>
        <w:rPr>
          <w:rFonts w:ascii="Calibri" w:hAnsi="Calibri"/>
          <w:sz w:val="22"/>
        </w:rPr>
        <w:t>ein</w:t>
      </w:r>
      <w:r>
        <w:rPr>
          <w:rFonts w:ascii="Calibri" w:hAnsi="Calibri"/>
          <w:spacing w:val="-2"/>
          <w:sz w:val="22"/>
        </w:rPr>
        <w:t> </w:t>
      </w:r>
      <w:r>
        <w:rPr>
          <w:rFonts w:ascii="Calibri" w:hAnsi="Calibri"/>
          <w:sz w:val="22"/>
        </w:rPr>
        <w:t>hadnoddau</w:t>
      </w:r>
      <w:r>
        <w:rPr>
          <w:rFonts w:ascii="Calibri" w:hAnsi="Calibri"/>
          <w:spacing w:val="-3"/>
          <w:sz w:val="22"/>
        </w:rPr>
        <w:t> </w:t>
      </w:r>
      <w:r>
        <w:rPr>
          <w:rFonts w:ascii="Calibri" w:hAnsi="Calibri"/>
          <w:sz w:val="22"/>
        </w:rPr>
        <w:t>cyfieithu</w:t>
      </w:r>
      <w:r>
        <w:rPr>
          <w:rFonts w:ascii="Calibri" w:hAnsi="Calibri"/>
          <w:spacing w:val="-2"/>
          <w:sz w:val="22"/>
        </w:rPr>
        <w:t> </w:t>
      </w:r>
      <w:r>
        <w:rPr>
          <w:rFonts w:ascii="Calibri" w:hAnsi="Calibri"/>
          <w:sz w:val="22"/>
        </w:rPr>
        <w:t>yn</w:t>
      </w:r>
      <w:r>
        <w:rPr>
          <w:rFonts w:ascii="Calibri" w:hAnsi="Calibri"/>
          <w:spacing w:val="-2"/>
          <w:sz w:val="22"/>
        </w:rPr>
        <w:t> </w:t>
      </w:r>
      <w:r>
        <w:rPr>
          <w:rFonts w:ascii="Calibri" w:hAnsi="Calibri"/>
          <w:sz w:val="22"/>
        </w:rPr>
        <w:t>ystod</w:t>
      </w:r>
      <w:r>
        <w:rPr>
          <w:rFonts w:ascii="Calibri" w:hAnsi="Calibri"/>
          <w:spacing w:val="-3"/>
          <w:sz w:val="22"/>
        </w:rPr>
        <w:t> </w:t>
      </w:r>
      <w:r>
        <w:rPr>
          <w:rFonts w:ascii="Calibri" w:hAnsi="Calibri"/>
          <w:sz w:val="22"/>
        </w:rPr>
        <w:t>2022/23</w:t>
      </w:r>
      <w:r>
        <w:rPr>
          <w:rFonts w:ascii="Calibri" w:hAnsi="Calibri"/>
          <w:spacing w:val="-3"/>
          <w:sz w:val="22"/>
        </w:rPr>
        <w:t> </w:t>
      </w:r>
      <w:r>
        <w:rPr>
          <w:rFonts w:ascii="Calibri" w:hAnsi="Calibri"/>
          <w:sz w:val="22"/>
        </w:rPr>
        <w:t>a</w:t>
      </w:r>
      <w:r>
        <w:rPr>
          <w:rFonts w:ascii="Calibri" w:hAnsi="Calibri"/>
          <w:spacing w:val="-2"/>
          <w:sz w:val="22"/>
        </w:rPr>
        <w:t> </w:t>
      </w:r>
      <w:r>
        <w:rPr>
          <w:rFonts w:ascii="Calibri" w:hAnsi="Calibri"/>
          <w:sz w:val="22"/>
        </w:rPr>
        <w:t>fydd</w:t>
      </w:r>
      <w:r>
        <w:rPr>
          <w:rFonts w:ascii="Calibri" w:hAnsi="Calibri"/>
          <w:spacing w:val="-3"/>
          <w:sz w:val="22"/>
        </w:rPr>
        <w:t> </w:t>
      </w:r>
      <w:r>
        <w:rPr>
          <w:rFonts w:ascii="Calibri" w:hAnsi="Calibri"/>
          <w:sz w:val="22"/>
        </w:rPr>
        <w:t>yn</w:t>
      </w:r>
      <w:r>
        <w:rPr>
          <w:rFonts w:ascii="Calibri" w:hAnsi="Calibri"/>
          <w:spacing w:val="-2"/>
          <w:sz w:val="22"/>
        </w:rPr>
        <w:t> </w:t>
      </w:r>
      <w:r>
        <w:rPr>
          <w:rFonts w:ascii="Calibri" w:hAnsi="Calibri"/>
          <w:sz w:val="22"/>
        </w:rPr>
        <w:t>ein galluogi i ddarparu cymorth pellach i sefydliadau’r GIG yn 2023/24 ymlaen.</w:t>
      </w:r>
    </w:p>
    <w:p>
      <w:pPr>
        <w:pStyle w:val="BodyText"/>
        <w:spacing w:before="5"/>
        <w:rPr>
          <w:rFonts w:ascii="Calibri"/>
          <w:sz w:val="10"/>
        </w:rPr>
      </w:pPr>
      <w:r>
        <w:rPr/>
        <w:pict>
          <v:group style="position:absolute;margin-left:117.275002pt;margin-top:7.578516pt;width:360.75pt;height:216.75pt;mso-position-horizontal-relative:page;mso-position-vertical-relative:paragraph;z-index:-15596032;mso-wrap-distance-left:0;mso-wrap-distance-right:0" id="docshapegroup1097" coordorigin="2346,152" coordsize="7215,4335">
            <v:shape style="position:absolute;left:3348;top:4018;width:5980;height:8" id="docshape1098" coordorigin="3348,4019" coordsize="5980,8" path="m3348,4019l4687,4019m5000,4019l5684,4019m5996,4019l6680,4019m6993,4019l7677,4019m7989,4019l8673,4019m8986,4019l9328,4019m3348,4026l9328,4026e" filled="false" stroked="true" strokeweight=".375pt" strokecolor="#d8d8d8">
              <v:path arrowok="t"/>
              <v:stroke dashstyle="solid"/>
            </v:shape>
            <v:shape style="position:absolute;left:3348;top:1159;width:5980;height:2545" id="docshape1099" coordorigin="3348,1160" coordsize="5980,2545" path="m3348,3704l5684,3704m5996,3704l6680,3704m6993,3704l7677,3704m7989,3704l8673,3704m8986,3704l9328,3704m3348,3386l6680,3386m6993,3386l7677,3386m7989,3386l8673,3386m8986,3386l9328,3386m3348,3068l6680,3068m6993,3068l7677,3068m7989,3068l8673,3068m8986,3068l9328,3068m3348,2750l6680,2750m6993,2750l7677,2750m7989,2750l8673,2750m8986,2750l9328,2750m3348,2432l6680,2432m6993,2432l7677,2432m7989,2432l8673,2432m8986,2432l9328,2432m3348,2114l7677,2114m7989,2114l8673,2114m8986,2114l9328,2114m3348,1796l7677,1796m7989,1796l8673,1796m8986,1796l9328,1796m3348,1478l7677,1478m7989,1478l8673,1478m8986,1478l9328,1478m3348,1160l8673,1160m8986,1160l9328,1160e" filled="false" stroked="true" strokeweight=".75pt" strokecolor="#d8d8d8">
              <v:path arrowok="t"/>
              <v:stroke dashstyle="solid"/>
            </v:shape>
            <v:line style="position:absolute" from="3348,842" to="9328,842" stroked="true" strokeweight=".75pt" strokecolor="#d8d8d8">
              <v:stroke dashstyle="solid"/>
            </v:line>
            <v:shape style="position:absolute;left:3690;top:1117;width:5296;height:2906" id="docshape1100" coordorigin="3691,1117" coordsize="5296,2906" path="m4003,3876l3691,3876,3691,4022,4003,4022,4003,3876xm5000,3796l4687,3796,4687,4022,5000,4022,5000,3796xm5996,3541l5684,3541,5684,4022,5996,4022,5996,3541xm6993,2179l6680,2179,6680,4022,6993,4022,6993,2179xm7989,1228l7677,1228,7677,4022,7989,4022,7989,1228xm8986,1117l8673,1117,8673,4022,8986,4022,8986,1117xe" filled="true" fillcolor="#4472c4" stroked="false">
              <v:path arrowok="t"/>
              <v:fill type="solid"/>
            </v:shape>
            <v:line style="position:absolute" from="3348,4022" to="9328,4022" stroked="true" strokeweight=".75pt" strokecolor="#d8d8d8">
              <v:stroke dashstyle="solid"/>
            </v:line>
            <v:shape style="position:absolute;left:2353;top:159;width:7200;height:4320" type="#_x0000_t202" id="docshape1101" filled="false" stroked="true" strokeweight=".75pt" strokecolor="#d8d8d8">
              <v:textbox inset="0,0,0,0">
                <w:txbxContent>
                  <w:p>
                    <w:pPr>
                      <w:spacing w:before="142"/>
                      <w:ind w:left="690" w:right="0" w:firstLine="0"/>
                      <w:jc w:val="left"/>
                      <w:rPr>
                        <w:rFonts w:ascii="Calibri"/>
                        <w:b/>
                        <w:sz w:val="24"/>
                      </w:rPr>
                    </w:pPr>
                    <w:r>
                      <w:rPr>
                        <w:rFonts w:ascii="Calibri"/>
                        <w:b/>
                        <w:color w:val="595959"/>
                        <w:sz w:val="24"/>
                      </w:rPr>
                      <w:t>Y</w:t>
                    </w:r>
                    <w:r>
                      <w:rPr>
                        <w:rFonts w:ascii="Calibri"/>
                        <w:b/>
                        <w:color w:val="595959"/>
                        <w:spacing w:val="-4"/>
                        <w:sz w:val="24"/>
                      </w:rPr>
                      <w:t> </w:t>
                    </w:r>
                    <w:r>
                      <w:rPr>
                        <w:rFonts w:ascii="Calibri"/>
                        <w:b/>
                        <w:color w:val="595959"/>
                        <w:sz w:val="24"/>
                      </w:rPr>
                      <w:t>galw</w:t>
                    </w:r>
                    <w:r>
                      <w:rPr>
                        <w:rFonts w:ascii="Calibri"/>
                        <w:b/>
                        <w:color w:val="595959"/>
                        <w:spacing w:val="-1"/>
                        <w:sz w:val="24"/>
                      </w:rPr>
                      <w:t> </w:t>
                    </w:r>
                    <w:r>
                      <w:rPr>
                        <w:rFonts w:ascii="Calibri"/>
                        <w:b/>
                        <w:color w:val="595959"/>
                        <w:sz w:val="24"/>
                      </w:rPr>
                      <w:t>am</w:t>
                    </w:r>
                    <w:r>
                      <w:rPr>
                        <w:rFonts w:ascii="Calibri"/>
                        <w:b/>
                        <w:color w:val="595959"/>
                        <w:spacing w:val="-1"/>
                        <w:sz w:val="24"/>
                      </w:rPr>
                      <w:t> </w:t>
                    </w:r>
                    <w:r>
                      <w:rPr>
                        <w:rFonts w:ascii="Calibri"/>
                        <w:b/>
                        <w:color w:val="595959"/>
                        <w:sz w:val="24"/>
                      </w:rPr>
                      <w:t>wasanaethau</w:t>
                    </w:r>
                    <w:r>
                      <w:rPr>
                        <w:rFonts w:ascii="Calibri"/>
                        <w:b/>
                        <w:color w:val="595959"/>
                        <w:spacing w:val="-2"/>
                        <w:sz w:val="24"/>
                      </w:rPr>
                      <w:t> </w:t>
                    </w:r>
                    <w:r>
                      <w:rPr>
                        <w:rFonts w:ascii="Calibri"/>
                        <w:b/>
                        <w:color w:val="595959"/>
                        <w:sz w:val="24"/>
                      </w:rPr>
                      <w:t>cyfieithu</w:t>
                    </w:r>
                    <w:r>
                      <w:rPr>
                        <w:rFonts w:ascii="Calibri"/>
                        <w:b/>
                        <w:color w:val="595959"/>
                        <w:spacing w:val="-2"/>
                        <w:sz w:val="24"/>
                      </w:rPr>
                      <w:t> </w:t>
                    </w:r>
                    <w:r>
                      <w:rPr>
                        <w:rFonts w:ascii="Calibri"/>
                        <w:b/>
                        <w:color w:val="595959"/>
                        <w:sz w:val="24"/>
                      </w:rPr>
                      <w:t>PCGC</w:t>
                    </w:r>
                    <w:r>
                      <w:rPr>
                        <w:rFonts w:ascii="Calibri"/>
                        <w:b/>
                        <w:color w:val="595959"/>
                        <w:spacing w:val="-2"/>
                        <w:sz w:val="24"/>
                      </w:rPr>
                      <w:t> </w:t>
                    </w:r>
                    <w:r>
                      <w:rPr>
                        <w:rFonts w:ascii="Calibri"/>
                        <w:b/>
                        <w:color w:val="595959"/>
                        <w:sz w:val="24"/>
                      </w:rPr>
                      <w:t>dros</w:t>
                    </w:r>
                    <w:r>
                      <w:rPr>
                        <w:rFonts w:ascii="Calibri"/>
                        <w:b/>
                        <w:color w:val="595959"/>
                        <w:spacing w:val="-1"/>
                        <w:sz w:val="24"/>
                      </w:rPr>
                      <w:t> </w:t>
                    </w:r>
                    <w:r>
                      <w:rPr>
                        <w:rFonts w:ascii="Calibri"/>
                        <w:b/>
                        <w:color w:val="595959"/>
                        <w:sz w:val="24"/>
                      </w:rPr>
                      <w:t>6</w:t>
                    </w:r>
                    <w:r>
                      <w:rPr>
                        <w:rFonts w:ascii="Calibri"/>
                        <w:b/>
                        <w:color w:val="595959"/>
                        <w:spacing w:val="-1"/>
                        <w:sz w:val="24"/>
                      </w:rPr>
                      <w:t> </w:t>
                    </w:r>
                    <w:r>
                      <w:rPr>
                        <w:rFonts w:ascii="Calibri"/>
                        <w:b/>
                        <w:color w:val="595959"/>
                        <w:spacing w:val="-2"/>
                        <w:sz w:val="24"/>
                      </w:rPr>
                      <w:t>blynedd</w:t>
                    </w:r>
                  </w:p>
                  <w:p>
                    <w:pPr>
                      <w:spacing w:before="154"/>
                      <w:ind w:left="0" w:right="6362" w:firstLine="0"/>
                      <w:jc w:val="right"/>
                      <w:rPr>
                        <w:rFonts w:ascii="Calibri"/>
                        <w:sz w:val="18"/>
                      </w:rPr>
                    </w:pPr>
                    <w:r>
                      <w:rPr>
                        <w:rFonts w:ascii="Calibri"/>
                        <w:color w:val="595959"/>
                        <w:spacing w:val="-2"/>
                        <w:sz w:val="18"/>
                      </w:rPr>
                      <w:t>5,000,000</w:t>
                    </w:r>
                  </w:p>
                  <w:p>
                    <w:pPr>
                      <w:spacing w:before="99"/>
                      <w:ind w:left="0" w:right="6362" w:firstLine="0"/>
                      <w:jc w:val="right"/>
                      <w:rPr>
                        <w:rFonts w:ascii="Calibri"/>
                        <w:sz w:val="18"/>
                      </w:rPr>
                    </w:pPr>
                    <w:r>
                      <w:rPr>
                        <w:rFonts w:ascii="Calibri"/>
                        <w:color w:val="595959"/>
                        <w:spacing w:val="-2"/>
                        <w:sz w:val="18"/>
                      </w:rPr>
                      <w:t>4,500,000</w:t>
                    </w:r>
                  </w:p>
                  <w:p>
                    <w:pPr>
                      <w:spacing w:before="98"/>
                      <w:ind w:left="0" w:right="6362" w:firstLine="0"/>
                      <w:jc w:val="right"/>
                      <w:rPr>
                        <w:rFonts w:ascii="Calibri"/>
                        <w:sz w:val="18"/>
                      </w:rPr>
                    </w:pPr>
                    <w:r>
                      <w:rPr>
                        <w:rFonts w:ascii="Calibri"/>
                        <w:color w:val="595959"/>
                        <w:spacing w:val="-2"/>
                        <w:sz w:val="18"/>
                      </w:rPr>
                      <w:t>4,000,000</w:t>
                    </w:r>
                  </w:p>
                  <w:p>
                    <w:pPr>
                      <w:spacing w:before="98"/>
                      <w:ind w:left="0" w:right="6362" w:firstLine="0"/>
                      <w:jc w:val="right"/>
                      <w:rPr>
                        <w:rFonts w:ascii="Calibri"/>
                        <w:sz w:val="18"/>
                      </w:rPr>
                    </w:pPr>
                    <w:r>
                      <w:rPr>
                        <w:rFonts w:ascii="Calibri"/>
                        <w:color w:val="595959"/>
                        <w:spacing w:val="-2"/>
                        <w:sz w:val="18"/>
                      </w:rPr>
                      <w:t>3,500,000</w:t>
                    </w:r>
                  </w:p>
                  <w:p>
                    <w:pPr>
                      <w:spacing w:before="99"/>
                      <w:ind w:left="0" w:right="6362" w:firstLine="0"/>
                      <w:jc w:val="right"/>
                      <w:rPr>
                        <w:rFonts w:ascii="Calibri"/>
                        <w:sz w:val="18"/>
                      </w:rPr>
                    </w:pPr>
                    <w:r>
                      <w:rPr>
                        <w:rFonts w:ascii="Calibri"/>
                        <w:color w:val="595959"/>
                        <w:spacing w:val="-2"/>
                        <w:sz w:val="18"/>
                      </w:rPr>
                      <w:t>3,000,000</w:t>
                    </w:r>
                  </w:p>
                  <w:p>
                    <w:pPr>
                      <w:spacing w:before="98"/>
                      <w:ind w:left="0" w:right="6362" w:firstLine="0"/>
                      <w:jc w:val="right"/>
                      <w:rPr>
                        <w:rFonts w:ascii="Calibri"/>
                        <w:sz w:val="18"/>
                      </w:rPr>
                    </w:pPr>
                    <w:r>
                      <w:rPr>
                        <w:rFonts w:ascii="Calibri"/>
                        <w:color w:val="595959"/>
                        <w:spacing w:val="-2"/>
                        <w:sz w:val="18"/>
                      </w:rPr>
                      <w:t>2,500,000</w:t>
                    </w:r>
                  </w:p>
                  <w:p>
                    <w:pPr>
                      <w:spacing w:before="98"/>
                      <w:ind w:left="0" w:right="6362" w:firstLine="0"/>
                      <w:jc w:val="right"/>
                      <w:rPr>
                        <w:rFonts w:ascii="Calibri"/>
                        <w:sz w:val="18"/>
                      </w:rPr>
                    </w:pPr>
                    <w:r>
                      <w:rPr>
                        <w:rFonts w:ascii="Calibri"/>
                        <w:color w:val="595959"/>
                        <w:spacing w:val="-2"/>
                        <w:sz w:val="18"/>
                      </w:rPr>
                      <w:t>2,000,000</w:t>
                    </w:r>
                  </w:p>
                  <w:p>
                    <w:pPr>
                      <w:spacing w:before="99"/>
                      <w:ind w:left="0" w:right="6362" w:firstLine="0"/>
                      <w:jc w:val="right"/>
                      <w:rPr>
                        <w:rFonts w:ascii="Calibri"/>
                        <w:sz w:val="18"/>
                      </w:rPr>
                    </w:pPr>
                    <w:r>
                      <w:rPr>
                        <w:rFonts w:ascii="Calibri"/>
                        <w:color w:val="595959"/>
                        <w:spacing w:val="-2"/>
                        <w:sz w:val="18"/>
                      </w:rPr>
                      <w:t>1,500,000</w:t>
                    </w:r>
                  </w:p>
                  <w:p>
                    <w:pPr>
                      <w:spacing w:before="98"/>
                      <w:ind w:left="0" w:right="6362" w:firstLine="0"/>
                      <w:jc w:val="right"/>
                      <w:rPr>
                        <w:rFonts w:ascii="Calibri"/>
                        <w:sz w:val="18"/>
                      </w:rPr>
                    </w:pPr>
                    <w:r>
                      <w:rPr>
                        <w:rFonts w:ascii="Calibri"/>
                        <w:color w:val="595959"/>
                        <w:spacing w:val="-2"/>
                        <w:sz w:val="18"/>
                      </w:rPr>
                      <w:t>1,000,000</w:t>
                    </w:r>
                  </w:p>
                  <w:p>
                    <w:pPr>
                      <w:spacing w:before="98"/>
                      <w:ind w:left="0" w:right="6362" w:firstLine="0"/>
                      <w:jc w:val="right"/>
                      <w:rPr>
                        <w:rFonts w:ascii="Calibri"/>
                        <w:sz w:val="18"/>
                      </w:rPr>
                    </w:pPr>
                    <w:r>
                      <w:rPr>
                        <w:rFonts w:ascii="Calibri"/>
                        <w:color w:val="595959"/>
                        <w:spacing w:val="-2"/>
                        <w:sz w:val="18"/>
                      </w:rPr>
                      <w:t>500,000</w:t>
                    </w:r>
                  </w:p>
                  <w:p>
                    <w:pPr>
                      <w:spacing w:line="208" w:lineRule="exact" w:before="99"/>
                      <w:ind w:left="0" w:right="6362" w:firstLine="0"/>
                      <w:jc w:val="right"/>
                      <w:rPr>
                        <w:rFonts w:ascii="Calibri"/>
                        <w:sz w:val="18"/>
                      </w:rPr>
                    </w:pPr>
                    <w:r>
                      <w:rPr>
                        <w:rFonts w:ascii="Calibri"/>
                        <w:color w:val="595959"/>
                        <w:sz w:val="18"/>
                      </w:rPr>
                      <w:t>0</w:t>
                    </w:r>
                  </w:p>
                  <w:p>
                    <w:pPr>
                      <w:tabs>
                        <w:tab w:pos="2181" w:val="left" w:leader="none"/>
                        <w:tab w:pos="3178" w:val="left" w:leader="none"/>
                        <w:tab w:pos="4174" w:val="left" w:leader="none"/>
                        <w:tab w:pos="5171" w:val="left" w:leader="none"/>
                        <w:tab w:pos="6770" w:val="right" w:leader="none"/>
                      </w:tabs>
                      <w:spacing w:line="208" w:lineRule="exact" w:before="0"/>
                      <w:ind w:left="1184" w:right="0" w:firstLine="0"/>
                      <w:jc w:val="left"/>
                      <w:rPr>
                        <w:rFonts w:ascii="Calibri"/>
                        <w:sz w:val="18"/>
                      </w:rPr>
                    </w:pPr>
                    <w:r>
                      <w:rPr>
                        <w:rFonts w:ascii="Calibri"/>
                        <w:color w:val="595959"/>
                        <w:spacing w:val="-2"/>
                        <w:sz w:val="18"/>
                      </w:rPr>
                      <w:t>2016-</w:t>
                    </w:r>
                    <w:r>
                      <w:rPr>
                        <w:rFonts w:ascii="Calibri"/>
                        <w:color w:val="595959"/>
                        <w:spacing w:val="-5"/>
                        <w:sz w:val="18"/>
                      </w:rPr>
                      <w:t>17</w:t>
                    </w:r>
                    <w:r>
                      <w:rPr>
                        <w:rFonts w:ascii="Calibri"/>
                        <w:color w:val="595959"/>
                        <w:sz w:val="18"/>
                      </w:rPr>
                      <w:tab/>
                    </w:r>
                    <w:r>
                      <w:rPr>
                        <w:rFonts w:ascii="Calibri"/>
                        <w:color w:val="595959"/>
                        <w:spacing w:val="-2"/>
                        <w:sz w:val="18"/>
                      </w:rPr>
                      <w:t>2017-</w:t>
                    </w:r>
                    <w:r>
                      <w:rPr>
                        <w:rFonts w:ascii="Calibri"/>
                        <w:color w:val="595959"/>
                        <w:spacing w:val="-5"/>
                        <w:sz w:val="18"/>
                      </w:rPr>
                      <w:t>18</w:t>
                    </w:r>
                    <w:r>
                      <w:rPr>
                        <w:rFonts w:ascii="Calibri"/>
                        <w:color w:val="595959"/>
                        <w:sz w:val="18"/>
                      </w:rPr>
                      <w:tab/>
                    </w:r>
                    <w:r>
                      <w:rPr>
                        <w:rFonts w:ascii="Calibri"/>
                        <w:color w:val="595959"/>
                        <w:spacing w:val="-2"/>
                        <w:sz w:val="18"/>
                      </w:rPr>
                      <w:t>2018-</w:t>
                    </w:r>
                    <w:r>
                      <w:rPr>
                        <w:rFonts w:ascii="Calibri"/>
                        <w:color w:val="595959"/>
                        <w:spacing w:val="-7"/>
                        <w:sz w:val="18"/>
                      </w:rPr>
                      <w:t>19</w:t>
                    </w:r>
                    <w:r>
                      <w:rPr>
                        <w:rFonts w:ascii="Calibri"/>
                        <w:color w:val="595959"/>
                        <w:sz w:val="18"/>
                      </w:rPr>
                      <w:tab/>
                    </w:r>
                    <w:r>
                      <w:rPr>
                        <w:rFonts w:ascii="Calibri"/>
                        <w:color w:val="595959"/>
                        <w:spacing w:val="-2"/>
                        <w:sz w:val="18"/>
                      </w:rPr>
                      <w:t>2019-</w:t>
                    </w:r>
                    <w:r>
                      <w:rPr>
                        <w:rFonts w:ascii="Calibri"/>
                        <w:color w:val="595959"/>
                        <w:spacing w:val="-5"/>
                        <w:sz w:val="18"/>
                      </w:rPr>
                      <w:t>20</w:t>
                    </w:r>
                    <w:r>
                      <w:rPr>
                        <w:rFonts w:ascii="Calibri"/>
                        <w:color w:val="595959"/>
                        <w:sz w:val="18"/>
                      </w:rPr>
                      <w:tab/>
                    </w:r>
                    <w:r>
                      <w:rPr>
                        <w:rFonts w:ascii="Calibri"/>
                        <w:color w:val="595959"/>
                        <w:spacing w:val="-2"/>
                        <w:sz w:val="18"/>
                      </w:rPr>
                      <w:t>2020-</w:t>
                    </w:r>
                    <w:r>
                      <w:rPr>
                        <w:rFonts w:ascii="Calibri"/>
                        <w:color w:val="595959"/>
                        <w:spacing w:val="-5"/>
                        <w:sz w:val="18"/>
                      </w:rPr>
                      <w:t>21</w:t>
                    </w:r>
                    <w:r>
                      <w:rPr>
                        <w:rFonts w:ascii="Calibri"/>
                        <w:color w:val="595959"/>
                        <w:sz w:val="18"/>
                      </w:rPr>
                      <w:tab/>
                    </w:r>
                    <w:r>
                      <w:rPr>
                        <w:rFonts w:ascii="Calibri"/>
                        <w:color w:val="595959"/>
                        <w:spacing w:val="-2"/>
                        <w:sz w:val="18"/>
                      </w:rPr>
                      <w:t>2021-22</w:t>
                    </w:r>
                  </w:p>
                </w:txbxContent>
              </v:textbox>
              <v:stroke dashstyle="solid"/>
              <w10:wrap type="none"/>
            </v:shape>
            <w10:wrap type="topAndBottom"/>
          </v:group>
        </w:pict>
      </w:r>
    </w:p>
    <w:p>
      <w:pPr>
        <w:spacing w:after="0"/>
        <w:rPr>
          <w:rFonts w:ascii="Calibri"/>
          <w:sz w:val="10"/>
        </w:rPr>
        <w:sectPr>
          <w:pgSz w:w="11910" w:h="16840"/>
          <w:pgMar w:header="0" w:footer="173" w:top="1920" w:bottom="360" w:left="0" w:right="0"/>
        </w:sectPr>
      </w:pPr>
    </w:p>
    <w:p>
      <w:pPr>
        <w:pStyle w:val="BodyText"/>
        <w:ind w:left="2180"/>
        <w:rPr>
          <w:rFonts w:ascii="Calibri"/>
          <w:sz w:val="20"/>
        </w:rPr>
      </w:pPr>
      <w:r>
        <w:rPr>
          <w:rFonts w:ascii="Calibri"/>
          <w:sz w:val="20"/>
        </w:rPr>
        <w:pict>
          <v:group style="width:377.3pt;height:262.4pt;mso-position-horizontal-relative:char;mso-position-vertical-relative:line" id="docshapegroup1102" coordorigin="0,0" coordsize="7546,5248">
            <v:rect style="position:absolute;left:7;top:7;width:7520;height:5231" id="docshape1103" filled="false" stroked="true" strokeweight=".75pt" strokecolor="#d8d8d8">
              <v:stroke dashstyle="solid"/>
            </v:rect>
            <v:shape style="position:absolute;left:3788;top:1196;width:1156;height:1573" id="docshape1104" coordorigin="3788,1196" coordsize="1156,1573" path="m3788,2769l3788,1196,3866,1198,3944,1204,4020,1214,4096,1227,4172,1244,4246,1264,4318,1289,4390,1316,4460,1347,4529,1382,4596,1420,4661,1461,4724,1505,4785,1553,4844,1603,4900,1657,4944,1702,3788,2769xe" filled="true" fillcolor="#4472c4" stroked="false">
              <v:path arrowok="t"/>
              <v:fill type="solid"/>
            </v:shape>
            <v:shape style="position:absolute;left:3788;top:1702;width:1570;height:1067" id="docshape1105" coordorigin="3788,1702" coordsize="1570,1067" path="m3788,2769l4944,1702,4995,1761,5043,1822,5088,1884,5130,1949,5169,2016,5204,2084,5236,2154,5264,2226,5289,2299,5310,2373,5328,2448,5342,2524,5352,2601,5358,2678,3788,2769xe" filled="true" fillcolor="#ed7d31" stroked="false">
              <v:path arrowok="t"/>
              <v:fill type="solid"/>
            </v:shape>
            <v:shape style="position:absolute;left:3788;top:1702;width:1570;height:1067" id="docshape1106" coordorigin="3788,1702" coordsize="1570,1067" path="m4944,1702l4995,1761,5043,1822,5088,1884,5130,1949,5169,2016,5204,2084,5236,2154,5264,2226,5289,2299,5310,2373,5328,2448,5342,2524,5352,2601,5358,2678,3788,2769,4944,1702xe" filled="false" stroked="true" strokeweight="1.5pt" strokecolor="#ffffff">
              <v:path arrowok="t"/>
              <v:stroke dashstyle="solid"/>
            </v:shape>
            <v:shape style="position:absolute;left:3788;top:2678;width:1573;height:535" id="docshape1107" coordorigin="3788,2678" coordsize="1573,535" path="m5297,3213l3788,2769,5358,2678,5361,2756,5359,2833,5354,2910,5346,2987,5333,3063,5317,3138,5297,3213xe" filled="true" fillcolor="#a5a5a5" stroked="false">
              <v:path arrowok="t"/>
              <v:fill type="solid"/>
            </v:shape>
            <v:shape style="position:absolute;left:3788;top:2678;width:1573;height:535" id="docshape1108" coordorigin="3788,2678" coordsize="1573,535" path="m5358,2678l5361,2756,5359,2833,5354,2910,5346,2987,5333,3063,5317,3138,5297,3213,3788,2769,5358,2678xe" filled="false" stroked="true" strokeweight="1.5pt" strokecolor="#ffffff">
              <v:path arrowok="t"/>
              <v:stroke dashstyle="solid"/>
            </v:shape>
            <v:shape style="position:absolute;left:3788;top:2768;width:1509;height:647" id="docshape1109" coordorigin="3788,2769" coordsize="1509,647" path="m5222,3416l3788,2769,5297,3213,5281,3265,5263,3316,5243,3366,5222,3416xe" filled="true" fillcolor="#ffc000" stroked="false">
              <v:path arrowok="t"/>
              <v:fill type="solid"/>
            </v:shape>
            <v:shape style="position:absolute;left:3788;top:2768;width:1509;height:647" id="docshape1110" coordorigin="3788,2769" coordsize="1509,647" path="m5297,3213l5281,3265,5263,3316,5243,3366,5222,3416,3788,2769,5297,3213xe" filled="false" stroked="true" strokeweight="1.5pt" strokecolor="#ffffff">
              <v:path arrowok="t"/>
              <v:stroke dashstyle="solid"/>
            </v:shape>
            <v:shape style="position:absolute;left:3788;top:2768;width:1434;height:744" id="docshape1111" coordorigin="3788,2769" coordsize="1434,744" path="m5174,3513l3788,2769,5222,3416,5210,3440,5198,3465,5186,3489,5174,3513xe" filled="true" fillcolor="#5b9bd5" stroked="false">
              <v:path arrowok="t"/>
              <v:fill type="solid"/>
            </v:shape>
            <v:shape style="position:absolute;left:3788;top:2768;width:1434;height:744" id="docshape1112" coordorigin="3788,2769" coordsize="1434,744" path="m5222,3416l5210,3440,5198,3465,5186,3489,5174,3513,3788,2769,5222,3416xe" filled="false" stroked="true" strokeweight="1.5pt" strokecolor="#ffffff">
              <v:path arrowok="t"/>
              <v:stroke dashstyle="solid"/>
            </v:shape>
            <v:shape style="position:absolute;left:3788;top:2768;width:1386;height:801" id="docshape1113" coordorigin="3788,2769" coordsize="1386,801" path="m5142,3569l3788,2769,5174,3513,5166,3527,5158,3541,5150,3555,5142,3569xe" filled="true" fillcolor="#70ad47" stroked="false">
              <v:path arrowok="t"/>
              <v:fill type="solid"/>
            </v:shape>
            <v:shape style="position:absolute;left:3788;top:2768;width:1386;height:801" id="docshape1114" coordorigin="3788,2769" coordsize="1386,801" path="m5174,3513l5166,3527,5158,3541,5150,3555,5142,3569,3788,2769,5174,3513xe" filled="false" stroked="true" strokeweight="1.5pt" strokecolor="#ffffff">
              <v:path arrowok="t"/>
              <v:stroke dashstyle="solid"/>
            </v:shape>
            <v:shape style="position:absolute;left:3788;top:2768;width:1354;height:1012" id="docshape1115" coordorigin="3788,2769" coordsize="1354,1012" path="m4992,3781l3788,2769,5142,3569,5108,3624,5071,3678,5033,3730,4992,3781xe" filled="true" fillcolor="#254378" stroked="false">
              <v:path arrowok="t"/>
              <v:fill type="solid"/>
            </v:shape>
            <v:shape style="position:absolute;left:3788;top:2768;width:1354;height:1012" id="docshape1116" coordorigin="3788,2769" coordsize="1354,1012" path="m5142,3569l5108,3624,5071,3678,5033,3730,4992,3781,3788,2769,5142,3569xe" filled="false" stroked="true" strokeweight="1.5pt" strokecolor="#ffffff">
              <v:path arrowok="t"/>
              <v:stroke dashstyle="solid"/>
            </v:shape>
            <v:shape style="position:absolute;left:2215;top:1196;width:2776;height:3145" id="docshape1117" coordorigin="2216,1196" coordsize="2776,3145" path="m3768,4341l3691,4338,3614,4332,3538,4321,3462,4307,3388,4289,3314,4268,3242,4243,3170,4215,3100,4183,3032,4147,2965,4109,2900,4067,2837,4021,2776,3973,2718,3921,2662,3867,2610,3810,2560,3751,2514,3690,2470,3626,2430,3561,2393,3494,2359,3425,2329,3354,2302,3282,2279,3209,2259,3134,2243,3059,2230,2982,2222,2905,2217,2827,2216,2749,2219,2672,2226,2595,2236,2519,2250,2443,2268,2368,2289,2295,2314,2222,2342,2151,2374,2081,2410,2013,2448,1946,2491,1881,2536,1818,2585,1757,2636,1699,2691,1643,2747,1590,2806,1541,2868,1494,2931,1451,2996,1411,3064,1373,3132,1340,3203,1309,3275,1283,3348,1259,3423,1240,3499,1223,3575,1211,3653,1202,3720,1198,3788,1196,3788,2769,4992,3781,4940,3839,4886,3895,4829,3947,4770,3997,4709,4044,4646,4087,4580,4127,4513,4164,4444,4198,4374,4228,4302,4255,4228,4279,4154,4298,4078,4314,4001,4327,3924,4335,3846,4340,3768,4341xe" filled="true" fillcolor="#9d480c" stroked="false">
              <v:path arrowok="t"/>
              <v:fill type="solid"/>
            </v:shape>
            <v:shape style="position:absolute;left:2215;top:1196;width:2776;height:3145" id="docshape1118" coordorigin="2216,1196" coordsize="2776,3145" path="m4992,3781l4940,3839,4886,3895,4829,3947,4770,3997,4709,4044,4646,4087,4580,4127,4513,4164,4444,4198,4374,4228,4302,4255,4228,4279,4154,4298,4078,4314,4001,4327,3924,4335,3846,4340,3768,4341,3691,4338,3614,4332,3538,4321,3462,4307,3388,4289,3314,4268,3242,4243,3170,4215,3100,4183,3032,4147,2965,4109,2900,4067,2837,4021,2776,3973,2718,3921,2662,3867,2610,3810,2560,3751,2514,3690,2470,3626,2430,3561,2393,3494,2359,3425,2329,3354,2302,3282,2279,3209,2259,3134,2243,3059,2230,2982,2222,2905,2217,2827,2216,2749,2219,2672,2226,2595,2236,2519,2250,2443,2268,2368,2289,2295,2314,2222,2342,2151,2374,2081,2410,2013,2448,1946,2491,1881,2536,1818,2585,1757,2636,1699,2691,1643,2747,1590,2806,1541,2868,1494,2931,1451,2996,1411,3064,1373,3132,1340,3203,1309,3275,1283,3348,1259,3423,1240,3499,1223,3575,1211,3653,1202,3720,1198,3788,1196,3788,2769,4992,3781xe" filled="false" stroked="true" strokeweight="1.5pt" strokecolor="#ffffff">
              <v:path arrowok="t"/>
              <v:stroke dashstyle="solid"/>
            </v:shape>
            <v:line style="position:absolute" from="5135,1955" to="5570,1955" stroked="true" strokeweight=".5pt" strokecolor="#4472c4">
              <v:stroke dashstyle="solid"/>
            </v:line>
            <v:line style="position:absolute" from="5405,2848" to="5421,2848" stroked="true" strokeweight=".5pt" strokecolor="#4472c4">
              <v:stroke dashstyle="solid"/>
            </v:line>
            <v:line style="position:absolute" from="5351,2726" to="5572,2726" stroked="true" strokeweight=".5pt" strokecolor="#4472c4">
              <v:stroke dashstyle="solid"/>
            </v:line>
            <v:rect style="position:absolute;left:5623;top:3521;width:1904;height:484" id="docshape1119" filled="false" stroked="true" strokeweight="1pt" strokecolor="#2f528f">
              <v:stroke dashstyle="solid"/>
            </v:rect>
            <v:rect style="position:absolute;left:5599;top:4714;width:1920;height:523" id="docshape1120" filled="false" stroked="true" strokeweight="1pt" strokecolor="#2f528f">
              <v:stroke dashstyle="solid"/>
            </v:rect>
            <v:line style="position:absolute" from="2032,2470" to="2216,2470" stroked="true" strokeweight=".5pt" strokecolor="#4472c4">
              <v:stroke dashstyle="solid"/>
            </v:line>
            <v:rect style="position:absolute;left:5583;top:790;width:1936;height:611" id="docshape1121" filled="false" stroked="true" strokeweight="1pt" strokecolor="#2f528f">
              <v:stroke dashstyle="solid"/>
            </v:rect>
            <v:rect style="position:absolute;left:5569;top:1493;width:1942;height:610" id="docshape1122" filled="false" stroked="true" strokeweight="1pt" strokecolor="#2f528f">
              <v:stroke dashstyle="solid"/>
            </v:rect>
            <v:rect style="position:absolute;left:5572;top:2150;width:1961;height:610" id="docshape1123" filled="false" stroked="true" strokeweight="1pt" strokecolor="#2f528f">
              <v:stroke dashstyle="solid"/>
            </v:rect>
            <v:line style="position:absolute" from="4635,1116" to="5523,1116" stroked="true" strokeweight=".5pt" strokecolor="#4472c4">
              <v:stroke dashstyle="solid"/>
            </v:line>
            <v:rect style="position:absolute;left:5607;top:2829;width:1928;height:600" id="docshape1124" filled="false" stroked="true" strokeweight="1pt" strokecolor="#2f528f">
              <v:stroke dashstyle="solid"/>
            </v:rect>
            <v:rect style="position:absolute;left:5618;top:4074;width:1912;height:611" id="docshape1125" filled="false" stroked="true" strokeweight="1pt" strokecolor="#2f528f">
              <v:stroke dashstyle="solid"/>
            </v:rect>
            <v:line style="position:absolute" from="5252,3013" to="5572,3021" stroked="true" strokeweight=".5pt" strokecolor="#4472c4">
              <v:stroke dashstyle="solid"/>
            </v:line>
            <v:line style="position:absolute" from="5115,3133" to="5555,3349" stroked="true" strokeweight=".5pt" strokecolor="#4472c4">
              <v:stroke dashstyle="solid"/>
            </v:line>
            <v:line style="position:absolute" from="5107,3325" to="5595,3861" stroked="true" strokeweight=".5pt" strokecolor="#4472c4">
              <v:stroke dashstyle="solid"/>
            </v:line>
            <v:line style="position:absolute" from="4995,3373" to="5595,4228" stroked="true" strokeweight=".5pt" strokecolor="#4472c4">
              <v:stroke dashstyle="solid"/>
            </v:line>
            <v:shape style="position:absolute;left:3224;top:739;width:1007;height:220" type="#_x0000_t202" id="docshape1126" filled="false" stroked="false">
              <v:textbox inset="0,0,0,0">
                <w:txbxContent>
                  <w:p>
                    <w:pPr>
                      <w:spacing w:line="220" w:lineRule="exact" w:before="0"/>
                      <w:ind w:left="0" w:right="0" w:firstLine="0"/>
                      <w:jc w:val="left"/>
                      <w:rPr>
                        <w:rFonts w:ascii="Calibri"/>
                        <w:b/>
                        <w:sz w:val="22"/>
                      </w:rPr>
                    </w:pPr>
                    <w:r>
                      <w:rPr>
                        <w:rFonts w:ascii="Calibri"/>
                        <w:b/>
                        <w:color w:val="595959"/>
                        <w:spacing w:val="-2"/>
                        <w:sz w:val="22"/>
                      </w:rPr>
                      <w:t>2021/2022</w:t>
                    </w:r>
                  </w:p>
                </w:txbxContent>
              </v:textbox>
              <w10:wrap type="none"/>
            </v:shape>
            <v:shape style="position:absolute;left:5599;top:4714;width:1920;height:523" type="#_x0000_t202" id="docshape1127" filled="true" fillcolor="#1e4e79" stroked="false">
              <v:textbox inset="0,0,0,0">
                <w:txbxContent>
                  <w:p>
                    <w:pPr>
                      <w:spacing w:before="72"/>
                      <w:ind w:left="802" w:right="110" w:hanging="437"/>
                      <w:jc w:val="left"/>
                      <w:rPr>
                        <w:rFonts w:ascii="Calibri"/>
                        <w:b/>
                        <w:color w:val="000000"/>
                        <w:sz w:val="12"/>
                      </w:rPr>
                    </w:pPr>
                    <w:r>
                      <w:rPr>
                        <w:rFonts w:ascii="Calibri"/>
                        <w:b/>
                        <w:color w:val="000000"/>
                        <w:sz w:val="12"/>
                      </w:rPr>
                      <w:t>WAST</w:t>
                    </w:r>
                    <w:r>
                      <w:rPr>
                        <w:rFonts w:ascii="Calibri"/>
                        <w:b/>
                        <w:color w:val="000000"/>
                        <w:spacing w:val="-7"/>
                        <w:sz w:val="12"/>
                      </w:rPr>
                      <w:t> </w:t>
                    </w:r>
                    <w:r>
                      <w:rPr>
                        <w:rFonts w:ascii="Calibri"/>
                        <w:b/>
                        <w:color w:val="000000"/>
                        <w:sz w:val="12"/>
                      </w:rPr>
                      <w:t>-</w:t>
                    </w:r>
                    <w:r>
                      <w:rPr>
                        <w:rFonts w:ascii="Calibri"/>
                        <w:b/>
                        <w:color w:val="000000"/>
                        <w:spacing w:val="-7"/>
                        <w:sz w:val="12"/>
                      </w:rPr>
                      <w:t> </w:t>
                    </w:r>
                    <w:r>
                      <w:rPr>
                        <w:rFonts w:ascii="Calibri"/>
                        <w:b/>
                        <w:color w:val="000000"/>
                        <w:sz w:val="12"/>
                      </w:rPr>
                      <w:t>120,000</w:t>
                    </w:r>
                    <w:r>
                      <w:rPr>
                        <w:rFonts w:ascii="Calibri"/>
                        <w:b/>
                        <w:color w:val="000000"/>
                        <w:spacing w:val="-7"/>
                        <w:sz w:val="12"/>
                      </w:rPr>
                      <w:t> </w:t>
                    </w:r>
                    <w:r>
                      <w:rPr>
                        <w:rFonts w:ascii="Calibri"/>
                        <w:b/>
                        <w:color w:val="000000"/>
                        <w:sz w:val="12"/>
                      </w:rPr>
                      <w:t>o</w:t>
                    </w:r>
                    <w:r>
                      <w:rPr>
                        <w:rFonts w:ascii="Calibri"/>
                        <w:b/>
                        <w:color w:val="000000"/>
                        <w:spacing w:val="-7"/>
                        <w:sz w:val="12"/>
                      </w:rPr>
                      <w:t> </w:t>
                    </w:r>
                    <w:r>
                      <w:rPr>
                        <w:rFonts w:ascii="Calibri"/>
                        <w:b/>
                        <w:color w:val="000000"/>
                        <w:sz w:val="12"/>
                      </w:rPr>
                      <w:t>eiriau</w:t>
                    </w:r>
                    <w:r>
                      <w:rPr>
                        <w:rFonts w:ascii="Calibri"/>
                        <w:b/>
                        <w:color w:val="000000"/>
                        <w:spacing w:val="40"/>
                        <w:sz w:val="12"/>
                      </w:rPr>
                      <w:t> </w:t>
                    </w:r>
                    <w:r>
                      <w:rPr>
                        <w:rFonts w:ascii="Calibri"/>
                        <w:b/>
                        <w:color w:val="000000"/>
                        <w:spacing w:val="-2"/>
                        <w:sz w:val="12"/>
                      </w:rPr>
                      <w:t>(2.5%)</w:t>
                    </w:r>
                  </w:p>
                </w:txbxContent>
              </v:textbox>
              <v:fill type="solid"/>
              <w10:wrap type="none"/>
            </v:shape>
            <v:shape style="position:absolute;left:5604;top:4049;width:1914;height:641" type="#_x0000_t202" id="docshape1128" filled="true" fillcolor="#70ad47" stroked="false">
              <v:textbox inset="0,0,0,0">
                <w:txbxContent>
                  <w:p>
                    <w:pPr>
                      <w:spacing w:line="259" w:lineRule="auto" w:before="106"/>
                      <w:ind w:left="200" w:right="171" w:firstLine="0"/>
                      <w:jc w:val="center"/>
                      <w:rPr>
                        <w:rFonts w:ascii="Calibri"/>
                        <w:b/>
                        <w:color w:val="000000"/>
                        <w:sz w:val="12"/>
                      </w:rPr>
                    </w:pPr>
                    <w:r>
                      <w:rPr>
                        <w:rFonts w:ascii="Calibri"/>
                        <w:b/>
                        <w:color w:val="FFFFFF"/>
                        <w:sz w:val="12"/>
                      </w:rPr>
                      <w:t>Canolfan</w:t>
                    </w:r>
                    <w:r>
                      <w:rPr>
                        <w:rFonts w:ascii="Calibri"/>
                        <w:b/>
                        <w:color w:val="FFFFFF"/>
                        <w:spacing w:val="-7"/>
                        <w:sz w:val="12"/>
                      </w:rPr>
                      <w:t> </w:t>
                    </w:r>
                    <w:r>
                      <w:rPr>
                        <w:rFonts w:ascii="Calibri"/>
                        <w:b/>
                        <w:color w:val="FFFFFF"/>
                        <w:sz w:val="12"/>
                      </w:rPr>
                      <w:t>Gwerth</w:t>
                    </w:r>
                    <w:r>
                      <w:rPr>
                        <w:rFonts w:ascii="Calibri"/>
                        <w:b/>
                        <w:color w:val="FFFFFF"/>
                        <w:spacing w:val="-7"/>
                        <w:sz w:val="12"/>
                      </w:rPr>
                      <w:t> </w:t>
                    </w:r>
                    <w:r>
                      <w:rPr>
                        <w:rFonts w:ascii="Calibri"/>
                        <w:b/>
                        <w:color w:val="FFFFFF"/>
                        <w:sz w:val="12"/>
                      </w:rPr>
                      <w:t>mewn</w:t>
                    </w:r>
                    <w:r>
                      <w:rPr>
                        <w:rFonts w:ascii="Calibri"/>
                        <w:b/>
                        <w:color w:val="FFFFFF"/>
                        <w:spacing w:val="-7"/>
                        <w:sz w:val="12"/>
                      </w:rPr>
                      <w:t> </w:t>
                    </w:r>
                    <w:r>
                      <w:rPr>
                        <w:rFonts w:ascii="Calibri"/>
                        <w:b/>
                        <w:color w:val="FFFFFF"/>
                        <w:sz w:val="12"/>
                      </w:rPr>
                      <w:t>Iechyd</w:t>
                    </w:r>
                    <w:r>
                      <w:rPr>
                        <w:rFonts w:ascii="Calibri"/>
                        <w:b/>
                        <w:color w:val="FFFFFF"/>
                        <w:spacing w:val="40"/>
                        <w:sz w:val="12"/>
                      </w:rPr>
                      <w:t> </w:t>
                    </w:r>
                    <w:r>
                      <w:rPr>
                        <w:rFonts w:ascii="Calibri"/>
                        <w:b/>
                        <w:color w:val="FFFFFF"/>
                        <w:sz w:val="12"/>
                      </w:rPr>
                      <w:t>Cymru - 30,000 o eiriau</w:t>
                    </w:r>
                  </w:p>
                  <w:p>
                    <w:pPr>
                      <w:spacing w:line="146" w:lineRule="exact" w:before="0"/>
                      <w:ind w:left="198" w:right="171" w:firstLine="0"/>
                      <w:jc w:val="center"/>
                      <w:rPr>
                        <w:rFonts w:ascii="Calibri"/>
                        <w:b/>
                        <w:color w:val="000000"/>
                        <w:sz w:val="12"/>
                      </w:rPr>
                    </w:pPr>
                    <w:r>
                      <w:rPr>
                        <w:rFonts w:ascii="Calibri"/>
                        <w:b/>
                        <w:color w:val="FFFFFF"/>
                        <w:spacing w:val="-2"/>
                        <w:sz w:val="12"/>
                      </w:rPr>
                      <w:t>(0.5%)</w:t>
                    </w:r>
                  </w:p>
                </w:txbxContent>
              </v:textbox>
              <v:fill type="solid"/>
              <w10:wrap type="none"/>
            </v:shape>
            <v:shape style="position:absolute;left:5623;top:3521;width:1904;height:484" type="#_x0000_t202" id="docshape1129" filled="true" fillcolor="#2e75b5" stroked="false">
              <v:textbox inset="0,0,0,0">
                <w:txbxContent>
                  <w:p>
                    <w:pPr>
                      <w:spacing w:before="72"/>
                      <w:ind w:left="840" w:right="222" w:hanging="453"/>
                      <w:jc w:val="left"/>
                      <w:rPr>
                        <w:rFonts w:ascii="Calibri"/>
                        <w:b/>
                        <w:color w:val="000000"/>
                        <w:sz w:val="12"/>
                      </w:rPr>
                    </w:pPr>
                    <w:r>
                      <w:rPr>
                        <w:rFonts w:ascii="Calibri"/>
                        <w:b/>
                        <w:color w:val="000000"/>
                        <w:sz w:val="12"/>
                      </w:rPr>
                      <w:t>WHSSC</w:t>
                    </w:r>
                    <w:r>
                      <w:rPr>
                        <w:rFonts w:ascii="Calibri"/>
                        <w:b/>
                        <w:color w:val="000000"/>
                        <w:spacing w:val="-7"/>
                        <w:sz w:val="12"/>
                      </w:rPr>
                      <w:t> </w:t>
                    </w:r>
                    <w:r>
                      <w:rPr>
                        <w:rFonts w:ascii="Calibri"/>
                        <w:b/>
                        <w:color w:val="000000"/>
                        <w:sz w:val="12"/>
                      </w:rPr>
                      <w:t>50,000</w:t>
                    </w:r>
                    <w:r>
                      <w:rPr>
                        <w:rFonts w:ascii="Calibri"/>
                        <w:b/>
                        <w:color w:val="000000"/>
                        <w:spacing w:val="-7"/>
                        <w:sz w:val="12"/>
                      </w:rPr>
                      <w:t> </w:t>
                    </w:r>
                    <w:r>
                      <w:rPr>
                        <w:rFonts w:ascii="Calibri"/>
                        <w:b/>
                        <w:color w:val="000000"/>
                        <w:sz w:val="12"/>
                      </w:rPr>
                      <w:t>o</w:t>
                    </w:r>
                    <w:r>
                      <w:rPr>
                        <w:rFonts w:ascii="Calibri"/>
                        <w:b/>
                        <w:color w:val="000000"/>
                        <w:spacing w:val="-7"/>
                        <w:sz w:val="12"/>
                      </w:rPr>
                      <w:t> </w:t>
                    </w:r>
                    <w:r>
                      <w:rPr>
                        <w:rFonts w:ascii="Calibri"/>
                        <w:b/>
                        <w:color w:val="000000"/>
                        <w:sz w:val="12"/>
                      </w:rPr>
                      <w:t>eiriau</w:t>
                    </w:r>
                    <w:r>
                      <w:rPr>
                        <w:rFonts w:ascii="Calibri"/>
                        <w:b/>
                        <w:color w:val="000000"/>
                        <w:spacing w:val="40"/>
                        <w:sz w:val="12"/>
                      </w:rPr>
                      <w:t> </w:t>
                    </w:r>
                    <w:r>
                      <w:rPr>
                        <w:rFonts w:ascii="Calibri"/>
                        <w:b/>
                        <w:color w:val="000000"/>
                        <w:spacing w:val="-4"/>
                        <w:sz w:val="12"/>
                      </w:rPr>
                      <w:t>(1%)</w:t>
                    </w:r>
                  </w:p>
                </w:txbxContent>
              </v:textbox>
              <v:fill type="solid"/>
              <w10:wrap type="none"/>
            </v:shape>
            <v:shape style="position:absolute;left:5607;top:2829;width:1928;height:600" type="#_x0000_t202" id="docshape1130" filled="true" fillcolor="#ffc000" stroked="false">
              <v:textbox inset="0,0,0,0">
                <w:txbxContent>
                  <w:p>
                    <w:pPr>
                      <w:spacing w:before="82"/>
                      <w:ind w:left="156" w:right="154" w:firstLine="0"/>
                      <w:jc w:val="center"/>
                      <w:rPr>
                        <w:rFonts w:ascii="Calibri" w:hAnsi="Calibri"/>
                        <w:b/>
                        <w:color w:val="000000"/>
                        <w:sz w:val="12"/>
                      </w:rPr>
                    </w:pPr>
                    <w:r>
                      <w:rPr>
                        <w:rFonts w:ascii="Calibri" w:hAnsi="Calibri"/>
                        <w:b/>
                        <w:color w:val="1F3764"/>
                        <w:sz w:val="12"/>
                      </w:rPr>
                      <w:t>Addysg</w:t>
                    </w:r>
                    <w:r>
                      <w:rPr>
                        <w:rFonts w:ascii="Calibri" w:hAnsi="Calibri"/>
                        <w:b/>
                        <w:color w:val="1F3764"/>
                        <w:spacing w:val="-7"/>
                        <w:sz w:val="12"/>
                      </w:rPr>
                      <w:t> </w:t>
                    </w:r>
                    <w:r>
                      <w:rPr>
                        <w:rFonts w:ascii="Calibri" w:hAnsi="Calibri"/>
                        <w:b/>
                        <w:color w:val="1F3764"/>
                        <w:sz w:val="12"/>
                      </w:rPr>
                      <w:t>a</w:t>
                    </w:r>
                    <w:r>
                      <w:rPr>
                        <w:rFonts w:ascii="Calibri" w:hAnsi="Calibri"/>
                        <w:b/>
                        <w:color w:val="1F3764"/>
                        <w:spacing w:val="-7"/>
                        <w:sz w:val="12"/>
                      </w:rPr>
                      <w:t> </w:t>
                    </w:r>
                    <w:r>
                      <w:rPr>
                        <w:rFonts w:ascii="Calibri" w:hAnsi="Calibri"/>
                        <w:b/>
                        <w:color w:val="1F3764"/>
                        <w:sz w:val="12"/>
                      </w:rPr>
                      <w:t>Gwella</w:t>
                    </w:r>
                    <w:r>
                      <w:rPr>
                        <w:rFonts w:ascii="Calibri" w:hAnsi="Calibri"/>
                        <w:b/>
                        <w:color w:val="1F3764"/>
                        <w:spacing w:val="-7"/>
                        <w:sz w:val="12"/>
                      </w:rPr>
                      <w:t> </w:t>
                    </w:r>
                    <w:r>
                      <w:rPr>
                        <w:rFonts w:ascii="Calibri" w:hAnsi="Calibri"/>
                        <w:b/>
                        <w:color w:val="1F3764"/>
                        <w:sz w:val="12"/>
                      </w:rPr>
                      <w:t>Iechyd</w:t>
                    </w:r>
                    <w:r>
                      <w:rPr>
                        <w:rFonts w:ascii="Calibri" w:hAnsi="Calibri"/>
                        <w:b/>
                        <w:color w:val="1F3764"/>
                        <w:spacing w:val="-7"/>
                        <w:sz w:val="12"/>
                      </w:rPr>
                      <w:t> </w:t>
                    </w:r>
                    <w:r>
                      <w:rPr>
                        <w:rFonts w:ascii="Calibri" w:hAnsi="Calibri"/>
                        <w:b/>
                        <w:color w:val="1F3764"/>
                        <w:sz w:val="12"/>
                      </w:rPr>
                      <w:t>Cymru</w:t>
                    </w:r>
                    <w:r>
                      <w:rPr>
                        <w:rFonts w:ascii="Calibri" w:hAnsi="Calibri"/>
                        <w:b/>
                        <w:color w:val="1F3764"/>
                        <w:spacing w:val="-7"/>
                        <w:sz w:val="12"/>
                      </w:rPr>
                      <w:t> </w:t>
                    </w:r>
                    <w:r>
                      <w:rPr>
                        <w:rFonts w:ascii="Calibri" w:hAnsi="Calibri"/>
                        <w:b/>
                        <w:color w:val="1F3764"/>
                        <w:sz w:val="12"/>
                      </w:rPr>
                      <w:t>–</w:t>
                    </w:r>
                    <w:r>
                      <w:rPr>
                        <w:rFonts w:ascii="Calibri" w:hAnsi="Calibri"/>
                        <w:b/>
                        <w:color w:val="1F3764"/>
                        <w:spacing w:val="40"/>
                        <w:sz w:val="12"/>
                      </w:rPr>
                      <w:t> </w:t>
                    </w:r>
                    <w:r>
                      <w:rPr>
                        <w:rFonts w:ascii="Calibri" w:hAnsi="Calibri"/>
                        <w:b/>
                        <w:color w:val="1F3764"/>
                        <w:sz w:val="12"/>
                      </w:rPr>
                      <w:t>100,000 o eiriau</w:t>
                    </w:r>
                  </w:p>
                  <w:p>
                    <w:pPr>
                      <w:spacing w:before="0"/>
                      <w:ind w:left="154" w:right="154" w:firstLine="0"/>
                      <w:jc w:val="center"/>
                      <w:rPr>
                        <w:rFonts w:ascii="Calibri"/>
                        <w:b/>
                        <w:color w:val="000000"/>
                        <w:sz w:val="12"/>
                      </w:rPr>
                    </w:pPr>
                    <w:r>
                      <w:rPr>
                        <w:rFonts w:ascii="Calibri"/>
                        <w:b/>
                        <w:color w:val="1F3764"/>
                        <w:spacing w:val="-4"/>
                        <w:sz w:val="12"/>
                      </w:rPr>
                      <w:t>(3%)</w:t>
                    </w:r>
                  </w:p>
                </w:txbxContent>
              </v:textbox>
              <v:fill type="solid"/>
              <w10:wrap type="none"/>
            </v:shape>
            <v:shape style="position:absolute;left:5604;top:2136;width:1912;height:648" type="#_x0000_t202" id="docshape1131" filled="true" fillcolor="#a5a5a5" stroked="false">
              <v:textbox inset="0,0,0,0">
                <w:txbxContent>
                  <w:p>
                    <w:pPr>
                      <w:spacing w:before="95"/>
                      <w:ind w:left="197" w:right="210" w:firstLine="0"/>
                      <w:jc w:val="center"/>
                      <w:rPr>
                        <w:rFonts w:ascii="Calibri"/>
                        <w:b/>
                        <w:color w:val="000000"/>
                        <w:sz w:val="12"/>
                      </w:rPr>
                    </w:pPr>
                    <w:r>
                      <w:rPr>
                        <w:rFonts w:ascii="Calibri"/>
                        <w:b/>
                        <w:color w:val="FFFFFF"/>
                        <w:sz w:val="12"/>
                      </w:rPr>
                      <w:t>Ymddiriedolaeth</w:t>
                    </w:r>
                    <w:r>
                      <w:rPr>
                        <w:rFonts w:ascii="Calibri"/>
                        <w:b/>
                        <w:color w:val="FFFFFF"/>
                        <w:spacing w:val="-7"/>
                        <w:sz w:val="12"/>
                      </w:rPr>
                      <w:t> </w:t>
                    </w:r>
                    <w:r>
                      <w:rPr>
                        <w:rFonts w:ascii="Calibri"/>
                        <w:b/>
                        <w:color w:val="FFFFFF"/>
                        <w:sz w:val="12"/>
                      </w:rPr>
                      <w:t>GIG</w:t>
                    </w:r>
                    <w:r>
                      <w:rPr>
                        <w:rFonts w:ascii="Calibri"/>
                        <w:b/>
                        <w:color w:val="FFFFFF"/>
                        <w:spacing w:val="-7"/>
                        <w:sz w:val="12"/>
                      </w:rPr>
                      <w:t> </w:t>
                    </w:r>
                    <w:r>
                      <w:rPr>
                        <w:rFonts w:ascii="Calibri"/>
                        <w:b/>
                        <w:color w:val="FFFFFF"/>
                        <w:sz w:val="12"/>
                      </w:rPr>
                      <w:t>Prifysgol</w:t>
                    </w:r>
                    <w:r>
                      <w:rPr>
                        <w:rFonts w:ascii="Calibri"/>
                        <w:b/>
                        <w:color w:val="FFFFFF"/>
                        <w:spacing w:val="40"/>
                        <w:sz w:val="12"/>
                      </w:rPr>
                      <w:t> </w:t>
                    </w:r>
                    <w:r>
                      <w:rPr>
                        <w:rFonts w:ascii="Calibri"/>
                        <w:b/>
                        <w:color w:val="FFFFFF"/>
                        <w:sz w:val="12"/>
                      </w:rPr>
                      <w:t>Felindre - 250,000 o eiriau</w:t>
                    </w:r>
                    <w:r>
                      <w:rPr>
                        <w:rFonts w:ascii="Calibri"/>
                        <w:b/>
                        <w:color w:val="FFFFFF"/>
                        <w:spacing w:val="40"/>
                        <w:sz w:val="12"/>
                      </w:rPr>
                      <w:t> </w:t>
                    </w:r>
                    <w:r>
                      <w:rPr>
                        <w:rFonts w:ascii="Calibri"/>
                        <w:b/>
                        <w:color w:val="FFFFFF"/>
                        <w:spacing w:val="-4"/>
                        <w:sz w:val="12"/>
                      </w:rPr>
                      <w:t>(6%)</w:t>
                    </w:r>
                  </w:p>
                </w:txbxContent>
              </v:textbox>
              <v:fill type="solid"/>
              <w10:wrap type="none"/>
            </v:shape>
            <v:shape style="position:absolute;left:5569;top:1493;width:1942;height:610" type="#_x0000_t202" id="docshape1132" filled="true" fillcolor="#ed7d31" stroked="false">
              <v:textbox inset="0,0,0,0">
                <w:txbxContent>
                  <w:p>
                    <w:pPr>
                      <w:spacing w:line="259" w:lineRule="auto" w:before="82"/>
                      <w:ind w:left="165" w:right="163" w:hanging="1"/>
                      <w:jc w:val="center"/>
                      <w:rPr>
                        <w:rFonts w:ascii="Calibri"/>
                        <w:b/>
                        <w:color w:val="000000"/>
                        <w:sz w:val="12"/>
                      </w:rPr>
                    </w:pPr>
                    <w:r>
                      <w:rPr>
                        <w:rFonts w:ascii="Calibri"/>
                        <w:b/>
                        <w:color w:val="FFFFFF"/>
                        <w:sz w:val="12"/>
                      </w:rPr>
                      <w:t>Iechyd a Gofal Digidol Cymru</w:t>
                    </w:r>
                    <w:r>
                      <w:rPr>
                        <w:rFonts w:ascii="Calibri"/>
                        <w:b/>
                        <w:color w:val="FFFFFF"/>
                        <w:spacing w:val="40"/>
                        <w:sz w:val="12"/>
                      </w:rPr>
                      <w:t> </w:t>
                    </w:r>
                    <w:r>
                      <w:rPr>
                        <w:rFonts w:ascii="Calibri"/>
                        <w:b/>
                        <w:color w:val="FFFFFF"/>
                        <w:sz w:val="12"/>
                      </w:rPr>
                      <w:t>500,000</w:t>
                    </w:r>
                    <w:r>
                      <w:rPr>
                        <w:rFonts w:ascii="Calibri"/>
                        <w:b/>
                        <w:color w:val="FFFFFF"/>
                        <w:spacing w:val="-7"/>
                        <w:sz w:val="12"/>
                      </w:rPr>
                      <w:t> </w:t>
                    </w:r>
                    <w:r>
                      <w:rPr>
                        <w:rFonts w:ascii="Calibri"/>
                        <w:b/>
                        <w:color w:val="FFFFFF"/>
                        <w:sz w:val="12"/>
                      </w:rPr>
                      <w:t>o</w:t>
                    </w:r>
                    <w:r>
                      <w:rPr>
                        <w:rFonts w:ascii="Calibri"/>
                        <w:b/>
                        <w:color w:val="FFFFFF"/>
                        <w:spacing w:val="-7"/>
                        <w:sz w:val="12"/>
                      </w:rPr>
                      <w:t> </w:t>
                    </w:r>
                    <w:r>
                      <w:rPr>
                        <w:rFonts w:ascii="Calibri"/>
                        <w:b/>
                        <w:color w:val="FFFFFF"/>
                        <w:sz w:val="12"/>
                      </w:rPr>
                      <w:t>eiriau</w:t>
                    </w:r>
                    <w:r>
                      <w:rPr>
                        <w:rFonts w:ascii="Calibri"/>
                        <w:b/>
                        <w:color w:val="FFFFFF"/>
                        <w:spacing w:val="-7"/>
                        <w:sz w:val="12"/>
                      </w:rPr>
                      <w:t> </w:t>
                    </w:r>
                    <w:r>
                      <w:rPr>
                        <w:rFonts w:ascii="Calibri"/>
                        <w:b/>
                        <w:color w:val="FFFFFF"/>
                        <w:sz w:val="12"/>
                      </w:rPr>
                      <w:t>(Cytundeb</w:t>
                    </w:r>
                    <w:r>
                      <w:rPr>
                        <w:rFonts w:ascii="Calibri"/>
                        <w:b/>
                        <w:color w:val="FFFFFF"/>
                        <w:spacing w:val="-7"/>
                        <w:sz w:val="12"/>
                      </w:rPr>
                      <w:t> </w:t>
                    </w:r>
                    <w:r>
                      <w:rPr>
                        <w:rFonts w:ascii="Calibri"/>
                        <w:b/>
                        <w:color w:val="FFFFFF"/>
                        <w:sz w:val="12"/>
                      </w:rPr>
                      <w:t>Lefel</w:t>
                    </w:r>
                    <w:r>
                      <w:rPr>
                        <w:rFonts w:ascii="Calibri"/>
                        <w:b/>
                        <w:color w:val="FFFFFF"/>
                        <w:spacing w:val="40"/>
                        <w:sz w:val="12"/>
                      </w:rPr>
                      <w:t> </w:t>
                    </w:r>
                    <w:r>
                      <w:rPr>
                        <w:rFonts w:ascii="Calibri"/>
                        <w:b/>
                        <w:color w:val="FFFFFF"/>
                        <w:sz w:val="12"/>
                      </w:rPr>
                      <w:t>Gwasanaeth)</w:t>
                    </w:r>
                    <w:r>
                      <w:rPr>
                        <w:rFonts w:ascii="Calibri"/>
                        <w:b/>
                        <w:color w:val="FFFFFF"/>
                        <w:spacing w:val="-7"/>
                        <w:sz w:val="12"/>
                      </w:rPr>
                      <w:t> </w:t>
                    </w:r>
                    <w:r>
                      <w:rPr>
                        <w:rFonts w:ascii="Calibri"/>
                        <w:b/>
                        <w:color w:val="FFFFFF"/>
                        <w:sz w:val="12"/>
                      </w:rPr>
                      <w:t>(11%)</w:t>
                    </w:r>
                  </w:p>
                </w:txbxContent>
              </v:textbox>
              <v:fill type="solid"/>
              <w10:wrap type="none"/>
            </v:shape>
            <v:shape style="position:absolute;left:5583;top:790;width:1936;height:611" type="#_x0000_t202" id="docshape1133" filled="true" fillcolor="#4472c4" stroked="false">
              <v:textbox inset="0,0,0,0">
                <w:txbxContent>
                  <w:p>
                    <w:pPr>
                      <w:spacing w:line="259" w:lineRule="auto" w:before="82"/>
                      <w:ind w:left="162" w:right="160" w:hanging="1"/>
                      <w:jc w:val="center"/>
                      <w:rPr>
                        <w:rFonts w:ascii="Calibri" w:hAnsi="Calibri"/>
                        <w:b/>
                        <w:color w:val="000000"/>
                        <w:sz w:val="12"/>
                      </w:rPr>
                    </w:pPr>
                    <w:r>
                      <w:rPr>
                        <w:rFonts w:ascii="Calibri" w:hAnsi="Calibri"/>
                        <w:b/>
                        <w:color w:val="FFFFFF"/>
                        <w:sz w:val="12"/>
                      </w:rPr>
                      <w:t>Iechyd Cyhoeddus Cymru –</w:t>
                    </w:r>
                    <w:r>
                      <w:rPr>
                        <w:rFonts w:ascii="Calibri" w:hAnsi="Calibri"/>
                        <w:b/>
                        <w:color w:val="FFFFFF"/>
                        <w:spacing w:val="40"/>
                        <w:sz w:val="12"/>
                      </w:rPr>
                      <w:t> </w:t>
                    </w:r>
                    <w:r>
                      <w:rPr>
                        <w:rFonts w:ascii="Calibri" w:hAnsi="Calibri"/>
                        <w:b/>
                        <w:color w:val="FFFFFF"/>
                        <w:sz w:val="12"/>
                      </w:rPr>
                      <w:t>600,000</w:t>
                    </w:r>
                    <w:r>
                      <w:rPr>
                        <w:rFonts w:ascii="Calibri" w:hAnsi="Calibri"/>
                        <w:b/>
                        <w:color w:val="FFFFFF"/>
                        <w:spacing w:val="-7"/>
                        <w:sz w:val="12"/>
                      </w:rPr>
                      <w:t> </w:t>
                    </w:r>
                    <w:r>
                      <w:rPr>
                        <w:rFonts w:ascii="Calibri" w:hAnsi="Calibri"/>
                        <w:b/>
                        <w:color w:val="FFFFFF"/>
                        <w:sz w:val="12"/>
                      </w:rPr>
                      <w:t>o</w:t>
                    </w:r>
                    <w:r>
                      <w:rPr>
                        <w:rFonts w:ascii="Calibri" w:hAnsi="Calibri"/>
                        <w:b/>
                        <w:color w:val="FFFFFF"/>
                        <w:spacing w:val="-7"/>
                        <w:sz w:val="12"/>
                      </w:rPr>
                      <w:t> </w:t>
                    </w:r>
                    <w:r>
                      <w:rPr>
                        <w:rFonts w:ascii="Calibri" w:hAnsi="Calibri"/>
                        <w:b/>
                        <w:color w:val="FFFFFF"/>
                        <w:sz w:val="12"/>
                      </w:rPr>
                      <w:t>eiriau</w:t>
                    </w:r>
                    <w:r>
                      <w:rPr>
                        <w:rFonts w:ascii="Calibri" w:hAnsi="Calibri"/>
                        <w:b/>
                        <w:color w:val="FFFFFF"/>
                        <w:spacing w:val="-7"/>
                        <w:sz w:val="12"/>
                      </w:rPr>
                      <w:t> </w:t>
                    </w:r>
                    <w:r>
                      <w:rPr>
                        <w:rFonts w:ascii="Calibri" w:hAnsi="Calibri"/>
                        <w:b/>
                        <w:color w:val="FFFFFF"/>
                        <w:sz w:val="12"/>
                      </w:rPr>
                      <w:t>(Cytundeb</w:t>
                    </w:r>
                    <w:r>
                      <w:rPr>
                        <w:rFonts w:ascii="Calibri" w:hAnsi="Calibri"/>
                        <w:b/>
                        <w:color w:val="FFFFFF"/>
                        <w:spacing w:val="-7"/>
                        <w:sz w:val="12"/>
                      </w:rPr>
                      <w:t> </w:t>
                    </w:r>
                    <w:r>
                      <w:rPr>
                        <w:rFonts w:ascii="Calibri" w:hAnsi="Calibri"/>
                        <w:b/>
                        <w:color w:val="FFFFFF"/>
                        <w:sz w:val="12"/>
                      </w:rPr>
                      <w:t>Lefel</w:t>
                    </w:r>
                    <w:r>
                      <w:rPr>
                        <w:rFonts w:ascii="Calibri" w:hAnsi="Calibri"/>
                        <w:b/>
                        <w:color w:val="FFFFFF"/>
                        <w:spacing w:val="40"/>
                        <w:sz w:val="12"/>
                      </w:rPr>
                      <w:t> </w:t>
                    </w:r>
                    <w:r>
                      <w:rPr>
                        <w:rFonts w:ascii="Calibri" w:hAnsi="Calibri"/>
                        <w:b/>
                        <w:color w:val="FFFFFF"/>
                        <w:sz w:val="12"/>
                      </w:rPr>
                      <w:t>Gwasanaeth)</w:t>
                    </w:r>
                    <w:r>
                      <w:rPr>
                        <w:rFonts w:ascii="Calibri" w:hAnsi="Calibri"/>
                        <w:b/>
                        <w:color w:val="FFFFFF"/>
                        <w:spacing w:val="-7"/>
                        <w:sz w:val="12"/>
                      </w:rPr>
                      <w:t> </w:t>
                    </w:r>
                    <w:r>
                      <w:rPr>
                        <w:rFonts w:ascii="Calibri" w:hAnsi="Calibri"/>
                        <w:b/>
                        <w:color w:val="FFFFFF"/>
                        <w:sz w:val="12"/>
                      </w:rPr>
                      <w:t>(14%)</w:t>
                    </w:r>
                  </w:p>
                </w:txbxContent>
              </v:textbox>
              <v:fill type="solid"/>
              <w10:wrap type="none"/>
            </v:shape>
            <v:shape style="position:absolute;left:15;top:15;width:7505;height:766" type="#_x0000_t202" id="docshape1134" filled="false" stroked="false">
              <v:textbox inset="0,0,0,0">
                <w:txbxContent>
                  <w:p>
                    <w:pPr>
                      <w:spacing w:before="142"/>
                      <w:ind w:left="825" w:right="937" w:firstLine="362"/>
                      <w:jc w:val="left"/>
                      <w:rPr>
                        <w:rFonts w:ascii="Calibri" w:hAnsi="Calibri"/>
                        <w:b/>
                        <w:sz w:val="22"/>
                      </w:rPr>
                    </w:pPr>
                    <w:r>
                      <w:rPr>
                        <w:rFonts w:ascii="Calibri" w:hAnsi="Calibri"/>
                        <w:b/>
                        <w:color w:val="595959"/>
                        <w:sz w:val="22"/>
                      </w:rPr>
                      <w:t>Gwasanaethau cyfieithu a ddarperir i Sefydliadau’r GIG</w:t>
                    </w:r>
                    <w:r>
                      <w:rPr>
                        <w:rFonts w:ascii="Calibri" w:hAnsi="Calibri"/>
                        <w:b/>
                        <w:color w:val="595959"/>
                        <w:spacing w:val="40"/>
                        <w:sz w:val="22"/>
                      </w:rPr>
                      <w:t> </w:t>
                    </w:r>
                    <w:r>
                      <w:rPr>
                        <w:rFonts w:ascii="Calibri" w:hAnsi="Calibri"/>
                        <w:b/>
                        <w:color w:val="595959"/>
                        <w:sz w:val="22"/>
                      </w:rPr>
                      <w:t>gan</w:t>
                    </w:r>
                    <w:r>
                      <w:rPr>
                        <w:rFonts w:ascii="Calibri" w:hAnsi="Calibri"/>
                        <w:b/>
                        <w:color w:val="595959"/>
                        <w:spacing w:val="-6"/>
                        <w:sz w:val="22"/>
                      </w:rPr>
                      <w:t> </w:t>
                    </w:r>
                    <w:r>
                      <w:rPr>
                        <w:rFonts w:ascii="Calibri" w:hAnsi="Calibri"/>
                        <w:b/>
                        <w:color w:val="595959"/>
                        <w:sz w:val="22"/>
                      </w:rPr>
                      <w:t>Uned</w:t>
                    </w:r>
                    <w:r>
                      <w:rPr>
                        <w:rFonts w:ascii="Calibri" w:hAnsi="Calibri"/>
                        <w:b/>
                        <w:color w:val="595959"/>
                        <w:spacing w:val="-5"/>
                        <w:sz w:val="22"/>
                      </w:rPr>
                      <w:t> </w:t>
                    </w:r>
                    <w:r>
                      <w:rPr>
                        <w:rFonts w:ascii="Calibri" w:hAnsi="Calibri"/>
                        <w:b/>
                        <w:color w:val="595959"/>
                        <w:sz w:val="22"/>
                      </w:rPr>
                      <w:t>y</w:t>
                    </w:r>
                    <w:r>
                      <w:rPr>
                        <w:rFonts w:ascii="Calibri" w:hAnsi="Calibri"/>
                        <w:b/>
                        <w:color w:val="595959"/>
                        <w:spacing w:val="-5"/>
                        <w:sz w:val="22"/>
                      </w:rPr>
                      <w:t> </w:t>
                    </w:r>
                    <w:r>
                      <w:rPr>
                        <w:rFonts w:ascii="Calibri" w:hAnsi="Calibri"/>
                        <w:b/>
                        <w:color w:val="595959"/>
                        <w:sz w:val="22"/>
                      </w:rPr>
                      <w:t>Gymraeg</w:t>
                    </w:r>
                    <w:r>
                      <w:rPr>
                        <w:rFonts w:ascii="Calibri" w:hAnsi="Calibri"/>
                        <w:b/>
                        <w:color w:val="595959"/>
                        <w:spacing w:val="-6"/>
                        <w:sz w:val="22"/>
                      </w:rPr>
                      <w:t> </w:t>
                    </w:r>
                    <w:r>
                      <w:rPr>
                        <w:rFonts w:ascii="Calibri" w:hAnsi="Calibri"/>
                        <w:b/>
                        <w:color w:val="595959"/>
                        <w:sz w:val="22"/>
                      </w:rPr>
                      <w:t>Partneriaeth</w:t>
                    </w:r>
                    <w:r>
                      <w:rPr>
                        <w:rFonts w:ascii="Calibri" w:hAnsi="Calibri"/>
                        <w:b/>
                        <w:color w:val="595959"/>
                        <w:spacing w:val="-6"/>
                        <w:sz w:val="22"/>
                      </w:rPr>
                      <w:t> </w:t>
                    </w:r>
                    <w:r>
                      <w:rPr>
                        <w:rFonts w:ascii="Calibri" w:hAnsi="Calibri"/>
                        <w:b/>
                        <w:color w:val="595959"/>
                        <w:sz w:val="22"/>
                      </w:rPr>
                      <w:t>Cydwasanaethau</w:t>
                    </w:r>
                    <w:r>
                      <w:rPr>
                        <w:rFonts w:ascii="Calibri" w:hAnsi="Calibri"/>
                        <w:b/>
                        <w:color w:val="595959"/>
                        <w:spacing w:val="-5"/>
                        <w:sz w:val="22"/>
                      </w:rPr>
                      <w:t> </w:t>
                    </w:r>
                    <w:r>
                      <w:rPr>
                        <w:rFonts w:ascii="Calibri" w:hAnsi="Calibri"/>
                        <w:b/>
                        <w:color w:val="595959"/>
                        <w:sz w:val="22"/>
                      </w:rPr>
                      <w:t>GIG</w:t>
                    </w:r>
                    <w:r>
                      <w:rPr>
                        <w:rFonts w:ascii="Calibri" w:hAnsi="Calibri"/>
                        <w:b/>
                        <w:color w:val="595959"/>
                        <w:spacing w:val="-6"/>
                        <w:sz w:val="22"/>
                      </w:rPr>
                      <w:t> </w:t>
                    </w:r>
                    <w:r>
                      <w:rPr>
                        <w:rFonts w:ascii="Calibri" w:hAnsi="Calibri"/>
                        <w:b/>
                        <w:color w:val="595959"/>
                        <w:sz w:val="22"/>
                      </w:rPr>
                      <w:t>Cymru</w:t>
                    </w:r>
                  </w:p>
                </w:txbxContent>
              </v:textbox>
              <w10:wrap type="none"/>
            </v:shape>
            <v:shape style="position:absolute;left:376;top:2081;width:1624;height:738" type="#_x0000_t202" id="docshape1135" filled="true" fillcolor="#b66752" stroked="true" strokeweight="1pt" strokecolor="#2f528f">
              <v:textbox inset="0,0,0,0">
                <w:txbxContent>
                  <w:p>
                    <w:pPr>
                      <w:spacing w:before="72"/>
                      <w:ind w:left="147" w:right="146" w:firstLine="0"/>
                      <w:jc w:val="center"/>
                      <w:rPr>
                        <w:rFonts w:ascii="Calibri"/>
                        <w:b/>
                        <w:color w:val="000000"/>
                        <w:sz w:val="12"/>
                      </w:rPr>
                    </w:pPr>
                    <w:r>
                      <w:rPr>
                        <w:rFonts w:ascii="Calibri"/>
                        <w:b/>
                        <w:color w:val="FFFFFF"/>
                        <w:spacing w:val="-2"/>
                        <w:sz w:val="12"/>
                      </w:rPr>
                      <w:t>Partneriaeth</w:t>
                    </w:r>
                    <w:r>
                      <w:rPr>
                        <w:rFonts w:ascii="Calibri"/>
                        <w:b/>
                        <w:color w:val="FFFFFF"/>
                        <w:spacing w:val="40"/>
                        <w:sz w:val="12"/>
                      </w:rPr>
                      <w:t> </w:t>
                    </w:r>
                    <w:r>
                      <w:rPr>
                        <w:rFonts w:ascii="Calibri"/>
                        <w:b/>
                        <w:color w:val="FFFFFF"/>
                        <w:sz w:val="12"/>
                      </w:rPr>
                      <w:t>Cydwasanaethau</w:t>
                    </w:r>
                    <w:r>
                      <w:rPr>
                        <w:rFonts w:ascii="Calibri"/>
                        <w:b/>
                        <w:color w:val="FFFFFF"/>
                        <w:spacing w:val="-7"/>
                        <w:sz w:val="12"/>
                      </w:rPr>
                      <w:t> </w:t>
                    </w:r>
                    <w:r>
                      <w:rPr>
                        <w:rFonts w:ascii="Calibri"/>
                        <w:b/>
                        <w:color w:val="FFFFFF"/>
                        <w:sz w:val="12"/>
                      </w:rPr>
                      <w:t>GIG</w:t>
                    </w:r>
                    <w:r>
                      <w:rPr>
                        <w:rFonts w:ascii="Calibri"/>
                        <w:b/>
                        <w:color w:val="FFFFFF"/>
                        <w:spacing w:val="40"/>
                        <w:sz w:val="12"/>
                      </w:rPr>
                      <w:t> </w:t>
                    </w:r>
                    <w:r>
                      <w:rPr>
                        <w:rFonts w:ascii="Calibri"/>
                        <w:b/>
                        <w:color w:val="FFFFFF"/>
                        <w:sz w:val="12"/>
                      </w:rPr>
                      <w:t>Cymru</w:t>
                    </w:r>
                    <w:r>
                      <w:rPr>
                        <w:rFonts w:ascii="Calibri"/>
                        <w:b/>
                        <w:color w:val="FFFFFF"/>
                        <w:spacing w:val="-7"/>
                        <w:sz w:val="12"/>
                      </w:rPr>
                      <w:t> </w:t>
                    </w:r>
                    <w:r>
                      <w:rPr>
                        <w:rFonts w:ascii="Calibri"/>
                        <w:b/>
                        <w:color w:val="FFFFFF"/>
                        <w:sz w:val="12"/>
                      </w:rPr>
                      <w:t>-</w:t>
                    </w:r>
                    <w:r>
                      <w:rPr>
                        <w:rFonts w:ascii="Calibri"/>
                        <w:b/>
                        <w:color w:val="FFFFFF"/>
                        <w:spacing w:val="-7"/>
                        <w:sz w:val="12"/>
                      </w:rPr>
                      <w:t> </w:t>
                    </w:r>
                    <w:r>
                      <w:rPr>
                        <w:rFonts w:ascii="Calibri"/>
                        <w:b/>
                        <w:color w:val="FFFFFF"/>
                        <w:sz w:val="12"/>
                      </w:rPr>
                      <w:t>2,917,390</w:t>
                    </w:r>
                    <w:r>
                      <w:rPr>
                        <w:rFonts w:ascii="Calibri"/>
                        <w:b/>
                        <w:color w:val="FFFFFF"/>
                        <w:spacing w:val="-7"/>
                        <w:sz w:val="12"/>
                      </w:rPr>
                      <w:t> </w:t>
                    </w:r>
                    <w:r>
                      <w:rPr>
                        <w:rFonts w:ascii="Calibri"/>
                        <w:b/>
                        <w:color w:val="FFFFFF"/>
                        <w:sz w:val="12"/>
                      </w:rPr>
                      <w:t>o</w:t>
                    </w:r>
                    <w:r>
                      <w:rPr>
                        <w:rFonts w:ascii="Calibri"/>
                        <w:b/>
                        <w:color w:val="FFFFFF"/>
                        <w:spacing w:val="-7"/>
                        <w:sz w:val="12"/>
                      </w:rPr>
                      <w:t> </w:t>
                    </w:r>
                    <w:r>
                      <w:rPr>
                        <w:rFonts w:ascii="Calibri"/>
                        <w:b/>
                        <w:color w:val="FFFFFF"/>
                        <w:sz w:val="12"/>
                      </w:rPr>
                      <w:t>eiriau</w:t>
                    </w:r>
                    <w:r>
                      <w:rPr>
                        <w:rFonts w:ascii="Calibri"/>
                        <w:b/>
                        <w:color w:val="FFFFFF"/>
                        <w:spacing w:val="40"/>
                        <w:sz w:val="12"/>
                      </w:rPr>
                      <w:t> </w:t>
                    </w:r>
                    <w:r>
                      <w:rPr>
                        <w:rFonts w:ascii="Calibri"/>
                        <w:b/>
                        <w:color w:val="FFFFFF"/>
                        <w:spacing w:val="-4"/>
                        <w:sz w:val="12"/>
                      </w:rPr>
                      <w:t>62%</w:t>
                    </w:r>
                  </w:p>
                </w:txbxContent>
              </v:textbox>
              <v:fill type="solid"/>
              <v:stroke dashstyle="solid"/>
              <w10:wrap type="none"/>
            </v:shape>
          </v:group>
        </w:pict>
      </w:r>
      <w:r>
        <w:rPr>
          <w:rFonts w:ascii="Calibri"/>
          <w:sz w:val="20"/>
        </w:rPr>
      </w:r>
    </w:p>
    <w:p>
      <w:pPr>
        <w:pStyle w:val="BodyText"/>
        <w:spacing w:before="5"/>
        <w:rPr>
          <w:rFonts w:ascii="Calibri"/>
          <w:sz w:val="8"/>
        </w:rPr>
      </w:pPr>
    </w:p>
    <w:p>
      <w:pPr>
        <w:spacing w:before="56"/>
        <w:ind w:left="2160" w:right="1640" w:firstLine="0"/>
        <w:jc w:val="both"/>
        <w:rPr>
          <w:rFonts w:ascii="Calibri" w:hAnsi="Calibri"/>
          <w:sz w:val="22"/>
        </w:rPr>
      </w:pPr>
      <w:r>
        <w:rPr>
          <w:rFonts w:ascii="Calibri" w:hAnsi="Calibri"/>
          <w:sz w:val="22"/>
        </w:rPr>
        <w:t>Roedd</w:t>
      </w:r>
      <w:r>
        <w:rPr>
          <w:rFonts w:ascii="Calibri" w:hAnsi="Calibri"/>
          <w:spacing w:val="-3"/>
          <w:sz w:val="22"/>
        </w:rPr>
        <w:t> </w:t>
      </w:r>
      <w:r>
        <w:rPr>
          <w:rFonts w:ascii="Calibri" w:hAnsi="Calibri"/>
          <w:sz w:val="22"/>
        </w:rPr>
        <w:t>gennym</w:t>
      </w:r>
      <w:r>
        <w:rPr>
          <w:rFonts w:ascii="Calibri" w:hAnsi="Calibri"/>
          <w:spacing w:val="-3"/>
          <w:sz w:val="22"/>
        </w:rPr>
        <w:t> </w:t>
      </w:r>
      <w:r>
        <w:rPr>
          <w:rFonts w:ascii="Calibri" w:hAnsi="Calibri"/>
          <w:sz w:val="22"/>
        </w:rPr>
        <w:t>ni</w:t>
      </w:r>
      <w:r>
        <w:rPr>
          <w:rFonts w:ascii="Calibri" w:hAnsi="Calibri"/>
          <w:spacing w:val="-4"/>
          <w:sz w:val="22"/>
        </w:rPr>
        <w:t> </w:t>
      </w:r>
      <w:r>
        <w:rPr>
          <w:rFonts w:ascii="Calibri" w:hAnsi="Calibri"/>
          <w:sz w:val="22"/>
        </w:rPr>
        <w:t>Gytundeb</w:t>
      </w:r>
      <w:r>
        <w:rPr>
          <w:rFonts w:ascii="Calibri" w:hAnsi="Calibri"/>
          <w:spacing w:val="-4"/>
          <w:sz w:val="22"/>
        </w:rPr>
        <w:t> </w:t>
      </w:r>
      <w:r>
        <w:rPr>
          <w:rFonts w:ascii="Calibri" w:hAnsi="Calibri"/>
          <w:sz w:val="22"/>
        </w:rPr>
        <w:t>Lefel</w:t>
      </w:r>
      <w:r>
        <w:rPr>
          <w:rFonts w:ascii="Calibri" w:hAnsi="Calibri"/>
          <w:spacing w:val="-4"/>
          <w:sz w:val="22"/>
        </w:rPr>
        <w:t> </w:t>
      </w:r>
      <w:r>
        <w:rPr>
          <w:rFonts w:ascii="Calibri" w:hAnsi="Calibri"/>
          <w:sz w:val="22"/>
        </w:rPr>
        <w:t>Gwasanaeth</w:t>
      </w:r>
      <w:r>
        <w:rPr>
          <w:rFonts w:ascii="Calibri" w:hAnsi="Calibri"/>
          <w:spacing w:val="-3"/>
          <w:sz w:val="22"/>
        </w:rPr>
        <w:t> </w:t>
      </w:r>
      <w:r>
        <w:rPr>
          <w:rFonts w:ascii="Calibri" w:hAnsi="Calibri"/>
          <w:sz w:val="22"/>
        </w:rPr>
        <w:t>ar</w:t>
      </w:r>
      <w:r>
        <w:rPr>
          <w:rFonts w:ascii="Calibri" w:hAnsi="Calibri"/>
          <w:spacing w:val="-4"/>
          <w:sz w:val="22"/>
        </w:rPr>
        <w:t> </w:t>
      </w:r>
      <w:r>
        <w:rPr>
          <w:rFonts w:ascii="Calibri" w:hAnsi="Calibri"/>
          <w:sz w:val="22"/>
        </w:rPr>
        <w:t>waith</w:t>
      </w:r>
      <w:r>
        <w:rPr>
          <w:rFonts w:ascii="Calibri" w:hAnsi="Calibri"/>
          <w:spacing w:val="-3"/>
          <w:sz w:val="22"/>
        </w:rPr>
        <w:t> </w:t>
      </w:r>
      <w:r>
        <w:rPr>
          <w:rFonts w:ascii="Calibri" w:hAnsi="Calibri"/>
          <w:sz w:val="22"/>
        </w:rPr>
        <w:t>i</w:t>
      </w:r>
      <w:r>
        <w:rPr>
          <w:rFonts w:ascii="Calibri" w:hAnsi="Calibri"/>
          <w:spacing w:val="-4"/>
          <w:sz w:val="22"/>
        </w:rPr>
        <w:t> </w:t>
      </w:r>
      <w:r>
        <w:rPr>
          <w:rFonts w:ascii="Calibri" w:hAnsi="Calibri"/>
          <w:sz w:val="22"/>
        </w:rPr>
        <w:t>gefnogi</w:t>
      </w:r>
      <w:r>
        <w:rPr>
          <w:rFonts w:ascii="Calibri" w:hAnsi="Calibri"/>
          <w:spacing w:val="-3"/>
          <w:sz w:val="22"/>
        </w:rPr>
        <w:t> </w:t>
      </w:r>
      <w:r>
        <w:rPr>
          <w:rFonts w:ascii="Calibri" w:hAnsi="Calibri"/>
          <w:sz w:val="22"/>
        </w:rPr>
        <w:t>Iechyd</w:t>
      </w:r>
      <w:r>
        <w:rPr>
          <w:rFonts w:ascii="Calibri" w:hAnsi="Calibri"/>
          <w:spacing w:val="-3"/>
          <w:sz w:val="22"/>
        </w:rPr>
        <w:t> </w:t>
      </w:r>
      <w:r>
        <w:rPr>
          <w:rFonts w:ascii="Calibri" w:hAnsi="Calibri"/>
          <w:sz w:val="22"/>
        </w:rPr>
        <w:t>Cyhoeddus</w:t>
      </w:r>
      <w:r>
        <w:rPr>
          <w:rFonts w:ascii="Calibri" w:hAnsi="Calibri"/>
          <w:spacing w:val="-4"/>
          <w:sz w:val="22"/>
        </w:rPr>
        <w:t> </w:t>
      </w:r>
      <w:r>
        <w:rPr>
          <w:rFonts w:ascii="Calibri" w:hAnsi="Calibri"/>
          <w:sz w:val="22"/>
        </w:rPr>
        <w:t>Cymru, Iechyd</w:t>
      </w:r>
      <w:r>
        <w:rPr>
          <w:rFonts w:ascii="Calibri" w:hAnsi="Calibri"/>
          <w:spacing w:val="-2"/>
          <w:sz w:val="22"/>
        </w:rPr>
        <w:t> </w:t>
      </w:r>
      <w:r>
        <w:rPr>
          <w:rFonts w:ascii="Calibri" w:hAnsi="Calibri"/>
          <w:sz w:val="22"/>
        </w:rPr>
        <w:t>a</w:t>
      </w:r>
      <w:r>
        <w:rPr>
          <w:rFonts w:ascii="Calibri" w:hAnsi="Calibri"/>
          <w:spacing w:val="-3"/>
          <w:sz w:val="22"/>
        </w:rPr>
        <w:t> </w:t>
      </w:r>
      <w:r>
        <w:rPr>
          <w:rFonts w:ascii="Calibri" w:hAnsi="Calibri"/>
          <w:sz w:val="22"/>
        </w:rPr>
        <w:t>Gofal</w:t>
      </w:r>
      <w:r>
        <w:rPr>
          <w:rFonts w:ascii="Calibri" w:hAnsi="Calibri"/>
          <w:spacing w:val="-2"/>
          <w:sz w:val="22"/>
        </w:rPr>
        <w:t> </w:t>
      </w:r>
      <w:r>
        <w:rPr>
          <w:rFonts w:ascii="Calibri" w:hAnsi="Calibri"/>
          <w:sz w:val="22"/>
        </w:rPr>
        <w:t>Digidol</w:t>
      </w:r>
      <w:r>
        <w:rPr>
          <w:rFonts w:ascii="Calibri" w:hAnsi="Calibri"/>
          <w:spacing w:val="-3"/>
          <w:sz w:val="22"/>
        </w:rPr>
        <w:t> </w:t>
      </w:r>
      <w:r>
        <w:rPr>
          <w:rFonts w:ascii="Calibri" w:hAnsi="Calibri"/>
          <w:sz w:val="22"/>
        </w:rPr>
        <w:t>Cymru</w:t>
      </w:r>
      <w:r>
        <w:rPr>
          <w:rFonts w:ascii="Calibri" w:hAnsi="Calibri"/>
          <w:spacing w:val="-3"/>
          <w:sz w:val="22"/>
        </w:rPr>
        <w:t> </w:t>
      </w:r>
      <w:r>
        <w:rPr>
          <w:rFonts w:ascii="Calibri" w:hAnsi="Calibri"/>
          <w:sz w:val="22"/>
        </w:rPr>
        <w:t>ac</w:t>
      </w:r>
      <w:r>
        <w:rPr>
          <w:rFonts w:ascii="Calibri" w:hAnsi="Calibri"/>
          <w:spacing w:val="-3"/>
          <w:sz w:val="22"/>
        </w:rPr>
        <w:t> </w:t>
      </w:r>
      <w:r>
        <w:rPr>
          <w:rFonts w:ascii="Calibri" w:hAnsi="Calibri"/>
          <w:sz w:val="22"/>
        </w:rPr>
        <w:t>Ymddiriedolaeth</w:t>
      </w:r>
      <w:r>
        <w:rPr>
          <w:rFonts w:ascii="Calibri" w:hAnsi="Calibri"/>
          <w:spacing w:val="-3"/>
          <w:sz w:val="22"/>
        </w:rPr>
        <w:t> </w:t>
      </w:r>
      <w:r>
        <w:rPr>
          <w:rFonts w:ascii="Calibri" w:hAnsi="Calibri"/>
          <w:sz w:val="22"/>
        </w:rPr>
        <w:t>GIG</w:t>
      </w:r>
      <w:r>
        <w:rPr>
          <w:rFonts w:ascii="Calibri" w:hAnsi="Calibri"/>
          <w:spacing w:val="-2"/>
          <w:sz w:val="22"/>
        </w:rPr>
        <w:t> </w:t>
      </w:r>
      <w:r>
        <w:rPr>
          <w:rFonts w:ascii="Calibri" w:hAnsi="Calibri"/>
          <w:sz w:val="22"/>
        </w:rPr>
        <w:t>Prifysgol</w:t>
      </w:r>
      <w:r>
        <w:rPr>
          <w:rFonts w:ascii="Calibri" w:hAnsi="Calibri"/>
          <w:spacing w:val="-3"/>
          <w:sz w:val="22"/>
        </w:rPr>
        <w:t> </w:t>
      </w:r>
      <w:r>
        <w:rPr>
          <w:rFonts w:ascii="Calibri" w:hAnsi="Calibri"/>
          <w:sz w:val="22"/>
        </w:rPr>
        <w:t>Felindre</w:t>
      </w:r>
      <w:r>
        <w:rPr>
          <w:rFonts w:ascii="Calibri" w:hAnsi="Calibri"/>
          <w:spacing w:val="-3"/>
          <w:sz w:val="22"/>
        </w:rPr>
        <w:t> </w:t>
      </w:r>
      <w:r>
        <w:rPr>
          <w:rFonts w:ascii="Calibri" w:hAnsi="Calibri"/>
          <w:sz w:val="22"/>
        </w:rPr>
        <w:t>yn</w:t>
      </w:r>
      <w:r>
        <w:rPr>
          <w:rFonts w:ascii="Calibri" w:hAnsi="Calibri"/>
          <w:spacing w:val="-2"/>
          <w:sz w:val="22"/>
        </w:rPr>
        <w:t> </w:t>
      </w:r>
      <w:r>
        <w:rPr>
          <w:rFonts w:ascii="Calibri" w:hAnsi="Calibri"/>
          <w:sz w:val="22"/>
        </w:rPr>
        <w:t>ystod</w:t>
      </w:r>
      <w:r>
        <w:rPr>
          <w:rFonts w:ascii="Calibri" w:hAnsi="Calibri"/>
          <w:spacing w:val="-3"/>
          <w:sz w:val="22"/>
        </w:rPr>
        <w:t> </w:t>
      </w:r>
      <w:r>
        <w:rPr>
          <w:rFonts w:ascii="Calibri" w:hAnsi="Calibri"/>
          <w:sz w:val="22"/>
        </w:rPr>
        <w:t>2021/22</w:t>
      </w:r>
      <w:r>
        <w:rPr>
          <w:rFonts w:ascii="Calibri" w:hAnsi="Calibri"/>
          <w:spacing w:val="-3"/>
          <w:sz w:val="22"/>
        </w:rPr>
        <w:t> </w:t>
      </w:r>
      <w:r>
        <w:rPr>
          <w:rFonts w:ascii="Calibri" w:hAnsi="Calibri"/>
          <w:sz w:val="22"/>
        </w:rPr>
        <w:t>a byddwn yn parhau i gefnogi’r sefydliadau hyn yn ystod 2022/23.</w:t>
      </w:r>
    </w:p>
    <w:p>
      <w:pPr>
        <w:pStyle w:val="BodyText"/>
        <w:spacing w:before="12"/>
        <w:rPr>
          <w:rFonts w:ascii="Calibri"/>
          <w:sz w:val="21"/>
        </w:rPr>
      </w:pPr>
    </w:p>
    <w:p>
      <w:pPr>
        <w:spacing w:before="0"/>
        <w:ind w:left="2160" w:right="1405" w:firstLine="0"/>
        <w:jc w:val="left"/>
        <w:rPr>
          <w:rFonts w:ascii="Calibri" w:hAnsi="Calibri"/>
          <w:sz w:val="22"/>
        </w:rPr>
      </w:pPr>
      <w:r>
        <w:rPr>
          <w:rFonts w:ascii="Calibri" w:hAnsi="Calibri"/>
          <w:sz w:val="22"/>
        </w:rPr>
        <w:t>Gwnaethom</w:t>
      </w:r>
      <w:r>
        <w:rPr>
          <w:rFonts w:ascii="Calibri" w:hAnsi="Calibri"/>
          <w:spacing w:val="-3"/>
          <w:sz w:val="22"/>
        </w:rPr>
        <w:t> </w:t>
      </w:r>
      <w:r>
        <w:rPr>
          <w:rFonts w:ascii="Calibri" w:hAnsi="Calibri"/>
          <w:sz w:val="22"/>
        </w:rPr>
        <w:t>ymgymryd</w:t>
      </w:r>
      <w:r>
        <w:rPr>
          <w:rFonts w:ascii="Calibri" w:hAnsi="Calibri"/>
          <w:spacing w:val="-3"/>
          <w:sz w:val="22"/>
        </w:rPr>
        <w:t> </w:t>
      </w:r>
      <w:r>
        <w:rPr>
          <w:rFonts w:ascii="Calibri" w:hAnsi="Calibri"/>
          <w:sz w:val="22"/>
        </w:rPr>
        <w:t>â</w:t>
      </w:r>
      <w:r>
        <w:rPr>
          <w:rFonts w:ascii="Calibri" w:hAnsi="Calibri"/>
          <w:spacing w:val="-4"/>
          <w:sz w:val="22"/>
        </w:rPr>
        <w:t> </w:t>
      </w:r>
      <w:r>
        <w:rPr>
          <w:rFonts w:ascii="Calibri" w:hAnsi="Calibri"/>
          <w:sz w:val="22"/>
        </w:rPr>
        <w:t>gwaith</w:t>
      </w:r>
      <w:r>
        <w:rPr>
          <w:rFonts w:ascii="Calibri" w:hAnsi="Calibri"/>
          <w:spacing w:val="-3"/>
          <w:sz w:val="22"/>
        </w:rPr>
        <w:t> </w:t>
      </w:r>
      <w:r>
        <w:rPr>
          <w:rFonts w:ascii="Calibri" w:hAnsi="Calibri"/>
          <w:sz w:val="22"/>
        </w:rPr>
        <w:t>i</w:t>
      </w:r>
      <w:r>
        <w:rPr>
          <w:rFonts w:ascii="Calibri" w:hAnsi="Calibri"/>
          <w:spacing w:val="-3"/>
          <w:sz w:val="22"/>
        </w:rPr>
        <w:t> </w:t>
      </w:r>
      <w:r>
        <w:rPr>
          <w:rFonts w:ascii="Calibri" w:hAnsi="Calibri"/>
          <w:sz w:val="22"/>
        </w:rPr>
        <w:t>Bwyllgor</w:t>
      </w:r>
      <w:r>
        <w:rPr>
          <w:rFonts w:ascii="Calibri" w:hAnsi="Calibri"/>
          <w:spacing w:val="-4"/>
          <w:sz w:val="22"/>
        </w:rPr>
        <w:t> </w:t>
      </w:r>
      <w:r>
        <w:rPr>
          <w:rFonts w:ascii="Calibri" w:hAnsi="Calibri"/>
          <w:sz w:val="22"/>
        </w:rPr>
        <w:t>Gwasanaethau</w:t>
      </w:r>
      <w:r>
        <w:rPr>
          <w:rFonts w:ascii="Calibri" w:hAnsi="Calibri"/>
          <w:spacing w:val="-3"/>
          <w:sz w:val="22"/>
        </w:rPr>
        <w:t> </w:t>
      </w:r>
      <w:r>
        <w:rPr>
          <w:rFonts w:ascii="Calibri" w:hAnsi="Calibri"/>
          <w:sz w:val="22"/>
        </w:rPr>
        <w:t>Iechyd</w:t>
      </w:r>
      <w:r>
        <w:rPr>
          <w:rFonts w:ascii="Calibri" w:hAnsi="Calibri"/>
          <w:spacing w:val="-3"/>
          <w:sz w:val="22"/>
        </w:rPr>
        <w:t> </w:t>
      </w:r>
      <w:r>
        <w:rPr>
          <w:rFonts w:ascii="Calibri" w:hAnsi="Calibri"/>
          <w:sz w:val="22"/>
        </w:rPr>
        <w:t>Arbenigol</w:t>
      </w:r>
      <w:r>
        <w:rPr>
          <w:rFonts w:ascii="Calibri" w:hAnsi="Calibri"/>
          <w:spacing w:val="-4"/>
          <w:sz w:val="22"/>
        </w:rPr>
        <w:t> </w:t>
      </w:r>
      <w:r>
        <w:rPr>
          <w:rFonts w:ascii="Calibri" w:hAnsi="Calibri"/>
          <w:sz w:val="22"/>
        </w:rPr>
        <w:t>Cymru</w:t>
      </w:r>
      <w:r>
        <w:rPr>
          <w:rFonts w:ascii="Calibri" w:hAnsi="Calibri"/>
          <w:spacing w:val="-3"/>
          <w:sz w:val="22"/>
        </w:rPr>
        <w:t> </w:t>
      </w:r>
      <w:r>
        <w:rPr>
          <w:rFonts w:ascii="Calibri" w:hAnsi="Calibri"/>
          <w:sz w:val="22"/>
        </w:rPr>
        <w:t>yn</w:t>
      </w:r>
      <w:r>
        <w:rPr>
          <w:rFonts w:ascii="Calibri" w:hAnsi="Calibri"/>
          <w:spacing w:val="-3"/>
          <w:sz w:val="22"/>
        </w:rPr>
        <w:t> </w:t>
      </w:r>
      <w:r>
        <w:rPr>
          <w:rFonts w:ascii="Calibri" w:hAnsi="Calibri"/>
          <w:sz w:val="22"/>
        </w:rPr>
        <w:t>ystod chwarter 3 a chwarter 4 y flwyddyn ariannol i’w helpu i gydymffurfio.</w:t>
      </w:r>
    </w:p>
    <w:p>
      <w:pPr>
        <w:pStyle w:val="BodyText"/>
        <w:rPr>
          <w:rFonts w:ascii="Calibri"/>
          <w:sz w:val="22"/>
        </w:rPr>
      </w:pPr>
    </w:p>
    <w:p>
      <w:pPr>
        <w:spacing w:before="0"/>
        <w:ind w:left="2160" w:right="1547" w:firstLine="0"/>
        <w:jc w:val="left"/>
        <w:rPr>
          <w:rFonts w:ascii="Calibri" w:hAnsi="Calibri"/>
          <w:sz w:val="22"/>
        </w:rPr>
      </w:pPr>
      <w:r>
        <w:rPr>
          <w:rFonts w:ascii="Calibri" w:hAnsi="Calibri"/>
          <w:sz w:val="22"/>
        </w:rPr>
        <w:t>Gwnaethom</w:t>
      </w:r>
      <w:r>
        <w:rPr>
          <w:rFonts w:ascii="Calibri" w:hAnsi="Calibri"/>
          <w:spacing w:val="-3"/>
          <w:sz w:val="22"/>
        </w:rPr>
        <w:t> </w:t>
      </w:r>
      <w:r>
        <w:rPr>
          <w:rFonts w:ascii="Calibri" w:hAnsi="Calibri"/>
          <w:sz w:val="22"/>
        </w:rPr>
        <w:t>dderbyn</w:t>
      </w:r>
      <w:r>
        <w:rPr>
          <w:rFonts w:ascii="Calibri" w:hAnsi="Calibri"/>
          <w:spacing w:val="-3"/>
          <w:sz w:val="22"/>
        </w:rPr>
        <w:t> </w:t>
      </w:r>
      <w:r>
        <w:rPr>
          <w:rFonts w:ascii="Calibri" w:hAnsi="Calibri"/>
          <w:sz w:val="22"/>
        </w:rPr>
        <w:t>gwaith</w:t>
      </w:r>
      <w:r>
        <w:rPr>
          <w:rFonts w:ascii="Calibri" w:hAnsi="Calibri"/>
          <w:spacing w:val="-3"/>
          <w:sz w:val="22"/>
        </w:rPr>
        <w:t> </w:t>
      </w:r>
      <w:r>
        <w:rPr>
          <w:rFonts w:ascii="Calibri" w:hAnsi="Calibri"/>
          <w:sz w:val="22"/>
        </w:rPr>
        <w:t>gan</w:t>
      </w:r>
      <w:r>
        <w:rPr>
          <w:rFonts w:ascii="Calibri" w:hAnsi="Calibri"/>
          <w:spacing w:val="-3"/>
          <w:sz w:val="22"/>
        </w:rPr>
        <w:t> </w:t>
      </w:r>
      <w:r>
        <w:rPr>
          <w:rFonts w:ascii="Calibri" w:hAnsi="Calibri"/>
          <w:sz w:val="22"/>
        </w:rPr>
        <w:t>Addysg</w:t>
      </w:r>
      <w:r>
        <w:rPr>
          <w:rFonts w:ascii="Calibri" w:hAnsi="Calibri"/>
          <w:spacing w:val="-4"/>
          <w:sz w:val="22"/>
        </w:rPr>
        <w:t> </w:t>
      </w:r>
      <w:r>
        <w:rPr>
          <w:rFonts w:ascii="Calibri" w:hAnsi="Calibri"/>
          <w:sz w:val="22"/>
        </w:rPr>
        <w:t>a</w:t>
      </w:r>
      <w:r>
        <w:rPr>
          <w:rFonts w:ascii="Calibri" w:hAnsi="Calibri"/>
          <w:spacing w:val="-4"/>
          <w:sz w:val="22"/>
        </w:rPr>
        <w:t> </w:t>
      </w:r>
      <w:r>
        <w:rPr>
          <w:rFonts w:ascii="Calibri" w:hAnsi="Calibri"/>
          <w:sz w:val="22"/>
        </w:rPr>
        <w:t>Gwella</w:t>
      </w:r>
      <w:r>
        <w:rPr>
          <w:rFonts w:ascii="Calibri" w:hAnsi="Calibri"/>
          <w:spacing w:val="-4"/>
          <w:sz w:val="22"/>
        </w:rPr>
        <w:t> </w:t>
      </w:r>
      <w:r>
        <w:rPr>
          <w:rFonts w:ascii="Calibri" w:hAnsi="Calibri"/>
          <w:sz w:val="22"/>
        </w:rPr>
        <w:t>Iechyd</w:t>
      </w:r>
      <w:r>
        <w:rPr>
          <w:rFonts w:ascii="Calibri" w:hAnsi="Calibri"/>
          <w:spacing w:val="-3"/>
          <w:sz w:val="22"/>
        </w:rPr>
        <w:t> </w:t>
      </w:r>
      <w:r>
        <w:rPr>
          <w:rFonts w:ascii="Calibri" w:hAnsi="Calibri"/>
          <w:sz w:val="22"/>
        </w:rPr>
        <w:t>Cymru</w:t>
      </w:r>
      <w:r>
        <w:rPr>
          <w:rFonts w:ascii="Calibri" w:hAnsi="Calibri"/>
          <w:spacing w:val="-3"/>
          <w:sz w:val="22"/>
        </w:rPr>
        <w:t> </w:t>
      </w:r>
      <w:r>
        <w:rPr>
          <w:rFonts w:ascii="Calibri" w:hAnsi="Calibri"/>
          <w:sz w:val="22"/>
        </w:rPr>
        <w:t>ac</w:t>
      </w:r>
      <w:r>
        <w:rPr>
          <w:rFonts w:ascii="Calibri" w:hAnsi="Calibri"/>
          <w:spacing w:val="-4"/>
          <w:sz w:val="22"/>
        </w:rPr>
        <w:t> </w:t>
      </w:r>
      <w:r>
        <w:rPr>
          <w:rFonts w:ascii="Calibri" w:hAnsi="Calibri"/>
          <w:sz w:val="22"/>
        </w:rPr>
        <w:t>Ymddiriedolaeth</w:t>
      </w:r>
      <w:r>
        <w:rPr>
          <w:rFonts w:ascii="Calibri" w:hAnsi="Calibri"/>
          <w:spacing w:val="-3"/>
          <w:sz w:val="22"/>
        </w:rPr>
        <w:t> </w:t>
      </w:r>
      <w:r>
        <w:rPr>
          <w:rFonts w:ascii="Calibri" w:hAnsi="Calibri"/>
          <w:sz w:val="22"/>
        </w:rPr>
        <w:t>GIG Gwasanaeth Ambiwlans Cymru yn ystod chwarter 4 i’w cynorthwyo gyda’u gofynion cyfieithu ychwanegol.</w:t>
      </w:r>
    </w:p>
    <w:p>
      <w:pPr>
        <w:pStyle w:val="BodyText"/>
        <w:rPr>
          <w:rFonts w:ascii="Calibri"/>
          <w:sz w:val="22"/>
        </w:rPr>
      </w:pPr>
    </w:p>
    <w:p>
      <w:pPr>
        <w:pStyle w:val="BodyText"/>
        <w:rPr>
          <w:rFonts w:ascii="Calibri"/>
          <w:sz w:val="22"/>
        </w:rPr>
      </w:pPr>
    </w:p>
    <w:p>
      <w:pPr>
        <w:pStyle w:val="Heading7"/>
        <w:numPr>
          <w:ilvl w:val="0"/>
          <w:numId w:val="50"/>
        </w:numPr>
        <w:tabs>
          <w:tab w:pos="2159" w:val="left" w:leader="none"/>
          <w:tab w:pos="2161" w:val="left" w:leader="none"/>
        </w:tabs>
        <w:spacing w:line="240" w:lineRule="auto" w:before="0" w:after="0"/>
        <w:ind w:left="2160" w:right="0" w:hanging="361"/>
        <w:jc w:val="left"/>
        <w:rPr>
          <w:rFonts w:ascii="Symbol" w:hAnsi="Symbol"/>
          <w:b w:val="0"/>
        </w:rPr>
      </w:pPr>
      <w:r>
        <w:rPr/>
        <w:t>Sefydlu</w:t>
      </w:r>
      <w:r>
        <w:rPr>
          <w:spacing w:val="-3"/>
        </w:rPr>
        <w:t> </w:t>
      </w:r>
      <w:r>
        <w:rPr/>
        <w:t>Banc</w:t>
      </w:r>
      <w:r>
        <w:rPr>
          <w:spacing w:val="-2"/>
        </w:rPr>
        <w:t> Cyfieithu</w:t>
      </w:r>
    </w:p>
    <w:p>
      <w:pPr>
        <w:spacing w:line="259" w:lineRule="auto" w:before="0"/>
        <w:ind w:left="2160" w:right="1786" w:firstLine="0"/>
        <w:jc w:val="both"/>
        <w:rPr>
          <w:rFonts w:ascii="Calibri"/>
          <w:sz w:val="22"/>
        </w:rPr>
      </w:pPr>
      <w:r>
        <w:rPr>
          <w:rFonts w:ascii="Calibri"/>
          <w:sz w:val="22"/>
        </w:rPr>
        <w:t>Mae'r</w:t>
      </w:r>
      <w:r>
        <w:rPr>
          <w:rFonts w:ascii="Calibri"/>
          <w:spacing w:val="-3"/>
          <w:sz w:val="22"/>
        </w:rPr>
        <w:t> </w:t>
      </w:r>
      <w:r>
        <w:rPr>
          <w:rFonts w:ascii="Calibri"/>
          <w:sz w:val="22"/>
        </w:rPr>
        <w:t>GIG</w:t>
      </w:r>
      <w:r>
        <w:rPr>
          <w:rFonts w:ascii="Calibri"/>
          <w:spacing w:val="-3"/>
          <w:sz w:val="22"/>
        </w:rPr>
        <w:t> </w:t>
      </w:r>
      <w:r>
        <w:rPr>
          <w:rFonts w:ascii="Calibri"/>
          <w:sz w:val="22"/>
        </w:rPr>
        <w:t>yn</w:t>
      </w:r>
      <w:r>
        <w:rPr>
          <w:rFonts w:ascii="Calibri"/>
          <w:spacing w:val="-3"/>
          <w:sz w:val="22"/>
        </w:rPr>
        <w:t> </w:t>
      </w:r>
      <w:r>
        <w:rPr>
          <w:rFonts w:ascii="Calibri"/>
          <w:sz w:val="22"/>
        </w:rPr>
        <w:t>wynebu</w:t>
      </w:r>
      <w:r>
        <w:rPr>
          <w:rFonts w:ascii="Calibri"/>
          <w:spacing w:val="-4"/>
          <w:sz w:val="22"/>
        </w:rPr>
        <w:t> </w:t>
      </w:r>
      <w:r>
        <w:rPr>
          <w:rFonts w:ascii="Calibri"/>
          <w:sz w:val="22"/>
        </w:rPr>
        <w:t>galw</w:t>
      </w:r>
      <w:r>
        <w:rPr>
          <w:rFonts w:ascii="Calibri"/>
          <w:spacing w:val="-3"/>
          <w:sz w:val="22"/>
        </w:rPr>
        <w:t> </w:t>
      </w:r>
      <w:r>
        <w:rPr>
          <w:rFonts w:ascii="Calibri"/>
          <w:sz w:val="22"/>
        </w:rPr>
        <w:t>digynsail</w:t>
      </w:r>
      <w:r>
        <w:rPr>
          <w:rFonts w:ascii="Calibri"/>
          <w:spacing w:val="-3"/>
          <w:sz w:val="22"/>
        </w:rPr>
        <w:t> </w:t>
      </w:r>
      <w:r>
        <w:rPr>
          <w:rFonts w:ascii="Calibri"/>
          <w:sz w:val="22"/>
        </w:rPr>
        <w:t>am</w:t>
      </w:r>
      <w:r>
        <w:rPr>
          <w:rFonts w:ascii="Calibri"/>
          <w:spacing w:val="-4"/>
          <w:sz w:val="22"/>
        </w:rPr>
        <w:t> </w:t>
      </w:r>
      <w:r>
        <w:rPr>
          <w:rFonts w:ascii="Calibri"/>
          <w:sz w:val="22"/>
        </w:rPr>
        <w:t>wasanaethau</w:t>
      </w:r>
      <w:r>
        <w:rPr>
          <w:rFonts w:ascii="Calibri"/>
          <w:spacing w:val="-3"/>
          <w:sz w:val="22"/>
        </w:rPr>
        <w:t> </w:t>
      </w:r>
      <w:r>
        <w:rPr>
          <w:rFonts w:ascii="Calibri"/>
          <w:sz w:val="22"/>
        </w:rPr>
        <w:t>cyfieithu.</w:t>
      </w:r>
      <w:r>
        <w:rPr>
          <w:rFonts w:ascii="Calibri"/>
          <w:spacing w:val="-4"/>
          <w:sz w:val="22"/>
        </w:rPr>
        <w:t> </w:t>
      </w:r>
      <w:r>
        <w:rPr>
          <w:rFonts w:ascii="Calibri"/>
          <w:sz w:val="22"/>
        </w:rPr>
        <w:t>Mae</w:t>
      </w:r>
      <w:r>
        <w:rPr>
          <w:rFonts w:ascii="Calibri"/>
          <w:spacing w:val="-3"/>
          <w:sz w:val="22"/>
        </w:rPr>
        <w:t> </w:t>
      </w:r>
      <w:r>
        <w:rPr>
          <w:rFonts w:ascii="Calibri"/>
          <w:sz w:val="22"/>
        </w:rPr>
        <w:t>hyn</w:t>
      </w:r>
      <w:r>
        <w:rPr>
          <w:rFonts w:ascii="Calibri"/>
          <w:spacing w:val="-4"/>
          <w:sz w:val="22"/>
        </w:rPr>
        <w:t> </w:t>
      </w:r>
      <w:r>
        <w:rPr>
          <w:rFonts w:ascii="Calibri"/>
          <w:sz w:val="22"/>
        </w:rPr>
        <w:t>mewn</w:t>
      </w:r>
      <w:r>
        <w:rPr>
          <w:rFonts w:ascii="Calibri"/>
          <w:spacing w:val="-3"/>
          <w:sz w:val="22"/>
        </w:rPr>
        <w:t> </w:t>
      </w:r>
      <w:r>
        <w:rPr>
          <w:rFonts w:ascii="Calibri"/>
          <w:sz w:val="22"/>
        </w:rPr>
        <w:t>ymateb</w:t>
      </w:r>
      <w:r>
        <w:rPr>
          <w:rFonts w:ascii="Calibri"/>
          <w:spacing w:val="-4"/>
          <w:sz w:val="22"/>
        </w:rPr>
        <w:t> </w:t>
      </w:r>
      <w:r>
        <w:rPr>
          <w:rFonts w:ascii="Calibri"/>
          <w:sz w:val="22"/>
        </w:rPr>
        <w:t>i fodloni</w:t>
      </w:r>
      <w:r>
        <w:rPr>
          <w:rFonts w:ascii="Calibri"/>
          <w:spacing w:val="-2"/>
          <w:sz w:val="22"/>
        </w:rPr>
        <w:t> </w:t>
      </w:r>
      <w:r>
        <w:rPr>
          <w:rFonts w:ascii="Calibri"/>
          <w:sz w:val="22"/>
        </w:rPr>
        <w:t>gofynion</w:t>
      </w:r>
      <w:r>
        <w:rPr>
          <w:rFonts w:ascii="Calibri"/>
          <w:spacing w:val="-3"/>
          <w:sz w:val="22"/>
        </w:rPr>
        <w:t> </w:t>
      </w:r>
      <w:r>
        <w:rPr>
          <w:rFonts w:ascii="Calibri"/>
          <w:sz w:val="22"/>
        </w:rPr>
        <w:t>Safonau'r</w:t>
      </w:r>
      <w:r>
        <w:rPr>
          <w:rFonts w:ascii="Calibri"/>
          <w:spacing w:val="-3"/>
          <w:sz w:val="22"/>
        </w:rPr>
        <w:t> </w:t>
      </w:r>
      <w:r>
        <w:rPr>
          <w:rFonts w:ascii="Calibri"/>
          <w:sz w:val="22"/>
        </w:rPr>
        <w:t>Gymraeg</w:t>
      </w:r>
      <w:r>
        <w:rPr>
          <w:rFonts w:ascii="Calibri"/>
          <w:spacing w:val="-3"/>
          <w:sz w:val="22"/>
        </w:rPr>
        <w:t> </w:t>
      </w:r>
      <w:r>
        <w:rPr>
          <w:rFonts w:ascii="Calibri"/>
          <w:sz w:val="22"/>
        </w:rPr>
        <w:t>yn</w:t>
      </w:r>
      <w:r>
        <w:rPr>
          <w:rFonts w:ascii="Calibri"/>
          <w:spacing w:val="-2"/>
          <w:sz w:val="22"/>
        </w:rPr>
        <w:t> </w:t>
      </w:r>
      <w:r>
        <w:rPr>
          <w:rFonts w:ascii="Calibri"/>
          <w:sz w:val="22"/>
        </w:rPr>
        <w:t>bennaf,</w:t>
      </w:r>
      <w:r>
        <w:rPr>
          <w:rFonts w:ascii="Calibri"/>
          <w:spacing w:val="-3"/>
          <w:sz w:val="22"/>
        </w:rPr>
        <w:t> </w:t>
      </w:r>
      <w:r>
        <w:rPr>
          <w:rFonts w:ascii="Calibri"/>
          <w:sz w:val="22"/>
        </w:rPr>
        <w:t>ond</w:t>
      </w:r>
      <w:r>
        <w:rPr>
          <w:rFonts w:ascii="Calibri"/>
          <w:spacing w:val="-2"/>
          <w:sz w:val="22"/>
        </w:rPr>
        <w:t> </w:t>
      </w:r>
      <w:r>
        <w:rPr>
          <w:rFonts w:ascii="Calibri"/>
          <w:sz w:val="22"/>
        </w:rPr>
        <w:t>hefyd</w:t>
      </w:r>
      <w:r>
        <w:rPr>
          <w:rFonts w:ascii="Calibri"/>
          <w:spacing w:val="-2"/>
          <w:sz w:val="22"/>
        </w:rPr>
        <w:t> </w:t>
      </w:r>
      <w:r>
        <w:rPr>
          <w:rFonts w:ascii="Calibri"/>
          <w:sz w:val="22"/>
        </w:rPr>
        <w:t>i</w:t>
      </w:r>
      <w:r>
        <w:rPr>
          <w:rFonts w:ascii="Calibri"/>
          <w:spacing w:val="-3"/>
          <w:sz w:val="22"/>
        </w:rPr>
        <w:t> </w:t>
      </w:r>
      <w:r>
        <w:rPr>
          <w:rFonts w:ascii="Calibri"/>
          <w:sz w:val="22"/>
        </w:rPr>
        <w:t>ymateb</w:t>
      </w:r>
      <w:r>
        <w:rPr>
          <w:rFonts w:ascii="Calibri"/>
          <w:spacing w:val="-2"/>
          <w:sz w:val="22"/>
        </w:rPr>
        <w:t> </w:t>
      </w:r>
      <w:r>
        <w:rPr>
          <w:rFonts w:ascii="Calibri"/>
          <w:sz w:val="22"/>
        </w:rPr>
        <w:t>i'r</w:t>
      </w:r>
      <w:r>
        <w:rPr>
          <w:rFonts w:ascii="Calibri"/>
          <w:spacing w:val="-3"/>
          <w:sz w:val="22"/>
        </w:rPr>
        <w:t> </w:t>
      </w:r>
      <w:r>
        <w:rPr>
          <w:rFonts w:ascii="Calibri"/>
          <w:sz w:val="22"/>
        </w:rPr>
        <w:t>angen/galw</w:t>
      </w:r>
      <w:r>
        <w:rPr>
          <w:rFonts w:ascii="Calibri"/>
          <w:spacing w:val="-3"/>
          <w:sz w:val="22"/>
        </w:rPr>
        <w:t> </w:t>
      </w:r>
      <w:r>
        <w:rPr>
          <w:rFonts w:ascii="Calibri"/>
          <w:sz w:val="22"/>
        </w:rPr>
        <w:t>ymysg cleifion a'r cyhoedd.</w:t>
      </w:r>
    </w:p>
    <w:p>
      <w:pPr>
        <w:spacing w:line="259" w:lineRule="auto" w:before="0"/>
        <w:ind w:left="2160" w:right="1471" w:firstLine="0"/>
        <w:jc w:val="left"/>
        <w:rPr>
          <w:rFonts w:ascii="Calibri"/>
          <w:sz w:val="22"/>
        </w:rPr>
      </w:pPr>
      <w:r>
        <w:rPr>
          <w:rFonts w:ascii="Calibri"/>
          <w:sz w:val="22"/>
        </w:rPr>
        <w:t>Mae'n dod yn fwyfwy anodd recriwtio cyfieithwyr cymwys a phrofiadol i swyddi gwag parhaol</w:t>
      </w:r>
      <w:r>
        <w:rPr>
          <w:rFonts w:ascii="Calibri"/>
          <w:spacing w:val="-4"/>
          <w:sz w:val="22"/>
        </w:rPr>
        <w:t> </w:t>
      </w:r>
      <w:r>
        <w:rPr>
          <w:rFonts w:ascii="Calibri"/>
          <w:sz w:val="22"/>
        </w:rPr>
        <w:t>llawn</w:t>
      </w:r>
      <w:r>
        <w:rPr>
          <w:rFonts w:ascii="Calibri"/>
          <w:spacing w:val="-3"/>
          <w:sz w:val="22"/>
        </w:rPr>
        <w:t> </w:t>
      </w:r>
      <w:r>
        <w:rPr>
          <w:rFonts w:ascii="Calibri"/>
          <w:sz w:val="22"/>
        </w:rPr>
        <w:t>amser,</w:t>
      </w:r>
      <w:r>
        <w:rPr>
          <w:rFonts w:ascii="Calibri"/>
          <w:spacing w:val="-4"/>
          <w:sz w:val="22"/>
        </w:rPr>
        <w:t> </w:t>
      </w:r>
      <w:r>
        <w:rPr>
          <w:rFonts w:ascii="Calibri"/>
          <w:sz w:val="22"/>
        </w:rPr>
        <w:t>ac</w:t>
      </w:r>
      <w:r>
        <w:rPr>
          <w:rFonts w:ascii="Calibri"/>
          <w:spacing w:val="-4"/>
          <w:sz w:val="22"/>
        </w:rPr>
        <w:t> </w:t>
      </w:r>
      <w:r>
        <w:rPr>
          <w:rFonts w:ascii="Calibri"/>
          <w:sz w:val="22"/>
        </w:rPr>
        <w:t>mae</w:t>
      </w:r>
      <w:r>
        <w:rPr>
          <w:rFonts w:ascii="Calibri"/>
          <w:spacing w:val="-3"/>
          <w:sz w:val="22"/>
        </w:rPr>
        <w:t> </w:t>
      </w:r>
      <w:r>
        <w:rPr>
          <w:rFonts w:ascii="Calibri"/>
          <w:sz w:val="22"/>
        </w:rPr>
        <w:t>cadw</w:t>
      </w:r>
      <w:r>
        <w:rPr>
          <w:rFonts w:ascii="Calibri"/>
          <w:spacing w:val="-3"/>
          <w:sz w:val="22"/>
        </w:rPr>
        <w:t> </w:t>
      </w:r>
      <w:r>
        <w:rPr>
          <w:rFonts w:ascii="Calibri"/>
          <w:sz w:val="22"/>
        </w:rPr>
        <w:t>staff</w:t>
      </w:r>
      <w:r>
        <w:rPr>
          <w:rFonts w:ascii="Calibri"/>
          <w:spacing w:val="-4"/>
          <w:sz w:val="22"/>
        </w:rPr>
        <w:t> </w:t>
      </w:r>
      <w:r>
        <w:rPr>
          <w:rFonts w:ascii="Calibri"/>
          <w:sz w:val="22"/>
        </w:rPr>
        <w:t>yn</w:t>
      </w:r>
      <w:r>
        <w:rPr>
          <w:rFonts w:ascii="Calibri"/>
          <w:spacing w:val="-3"/>
          <w:sz w:val="22"/>
        </w:rPr>
        <w:t> </w:t>
      </w:r>
      <w:r>
        <w:rPr>
          <w:rFonts w:ascii="Calibri"/>
          <w:sz w:val="22"/>
        </w:rPr>
        <w:t>mynd</w:t>
      </w:r>
      <w:r>
        <w:rPr>
          <w:rFonts w:ascii="Calibri"/>
          <w:spacing w:val="-3"/>
          <w:sz w:val="22"/>
        </w:rPr>
        <w:t> </w:t>
      </w:r>
      <w:r>
        <w:rPr>
          <w:rFonts w:ascii="Calibri"/>
          <w:sz w:val="22"/>
        </w:rPr>
        <w:t>yn</w:t>
      </w:r>
      <w:r>
        <w:rPr>
          <w:rFonts w:ascii="Calibri"/>
          <w:spacing w:val="-3"/>
          <w:sz w:val="22"/>
        </w:rPr>
        <w:t> </w:t>
      </w:r>
      <w:r>
        <w:rPr>
          <w:rFonts w:ascii="Calibri"/>
          <w:sz w:val="22"/>
        </w:rPr>
        <w:t>heriol</w:t>
      </w:r>
      <w:r>
        <w:rPr>
          <w:rFonts w:ascii="Calibri"/>
          <w:spacing w:val="-3"/>
          <w:sz w:val="22"/>
        </w:rPr>
        <w:t> </w:t>
      </w:r>
      <w:r>
        <w:rPr>
          <w:rFonts w:ascii="Calibri"/>
          <w:sz w:val="22"/>
        </w:rPr>
        <w:t>hefyd,</w:t>
      </w:r>
      <w:r>
        <w:rPr>
          <w:rFonts w:ascii="Calibri"/>
          <w:spacing w:val="-4"/>
          <w:sz w:val="22"/>
        </w:rPr>
        <w:t> </w:t>
      </w:r>
      <w:r>
        <w:rPr>
          <w:rFonts w:ascii="Calibri"/>
          <w:sz w:val="22"/>
        </w:rPr>
        <w:t>oherwydd</w:t>
      </w:r>
      <w:r>
        <w:rPr>
          <w:rFonts w:ascii="Calibri"/>
          <w:spacing w:val="-4"/>
          <w:sz w:val="22"/>
        </w:rPr>
        <w:t> </w:t>
      </w:r>
      <w:r>
        <w:rPr>
          <w:rFonts w:ascii="Calibri"/>
          <w:sz w:val="22"/>
        </w:rPr>
        <w:t>bod</w:t>
      </w:r>
      <w:r>
        <w:rPr>
          <w:rFonts w:ascii="Calibri"/>
          <w:spacing w:val="-4"/>
          <w:sz w:val="22"/>
        </w:rPr>
        <w:t> </w:t>
      </w:r>
      <w:r>
        <w:rPr>
          <w:rFonts w:ascii="Calibri"/>
          <w:sz w:val="22"/>
        </w:rPr>
        <w:t>y</w:t>
      </w:r>
      <w:r>
        <w:rPr>
          <w:rFonts w:ascii="Calibri"/>
          <w:spacing w:val="-3"/>
          <w:sz w:val="22"/>
        </w:rPr>
        <w:t> </w:t>
      </w:r>
      <w:r>
        <w:rPr>
          <w:rFonts w:ascii="Calibri"/>
          <w:sz w:val="22"/>
        </w:rPr>
        <w:t>farchnad recriwtio yn hynod gystadleuol.</w:t>
      </w:r>
    </w:p>
    <w:p>
      <w:pPr>
        <w:spacing w:line="259" w:lineRule="auto" w:before="0"/>
        <w:ind w:left="2160" w:right="1471" w:firstLine="0"/>
        <w:jc w:val="left"/>
        <w:rPr>
          <w:rFonts w:ascii="Calibri"/>
          <w:sz w:val="22"/>
        </w:rPr>
      </w:pPr>
      <w:r>
        <w:rPr>
          <w:rFonts w:ascii="Calibri"/>
          <w:sz w:val="22"/>
        </w:rPr>
        <w:t>Er mwyn gallu ymateb i'r sefyllfa hon rydym wedi sefydlu banc o gyfieithwyr sy'n gallu gweithio'n</w:t>
      </w:r>
      <w:r>
        <w:rPr>
          <w:rFonts w:ascii="Calibri"/>
          <w:spacing w:val="-2"/>
          <w:sz w:val="22"/>
        </w:rPr>
        <w:t> </w:t>
      </w:r>
      <w:r>
        <w:rPr>
          <w:rFonts w:ascii="Calibri"/>
          <w:sz w:val="22"/>
        </w:rPr>
        <w:t>hyblyg</w:t>
      </w:r>
      <w:r>
        <w:rPr>
          <w:rFonts w:ascii="Calibri"/>
          <w:spacing w:val="-3"/>
          <w:sz w:val="22"/>
        </w:rPr>
        <w:t> </w:t>
      </w:r>
      <w:r>
        <w:rPr>
          <w:rFonts w:ascii="Calibri"/>
          <w:sz w:val="22"/>
        </w:rPr>
        <w:t>i</w:t>
      </w:r>
      <w:r>
        <w:rPr>
          <w:rFonts w:ascii="Calibri"/>
          <w:spacing w:val="-2"/>
          <w:sz w:val="22"/>
        </w:rPr>
        <w:t> </w:t>
      </w:r>
      <w:r>
        <w:rPr>
          <w:rFonts w:ascii="Calibri"/>
          <w:sz w:val="22"/>
        </w:rPr>
        <w:t>ni</w:t>
      </w:r>
      <w:r>
        <w:rPr>
          <w:rFonts w:ascii="Calibri"/>
          <w:spacing w:val="-2"/>
          <w:sz w:val="22"/>
        </w:rPr>
        <w:t> </w:t>
      </w:r>
      <w:r>
        <w:rPr>
          <w:rFonts w:ascii="Calibri"/>
          <w:sz w:val="22"/>
        </w:rPr>
        <w:t>wrth</w:t>
      </w:r>
      <w:r>
        <w:rPr>
          <w:rFonts w:ascii="Calibri"/>
          <w:spacing w:val="-2"/>
          <w:sz w:val="22"/>
        </w:rPr>
        <w:t> </w:t>
      </w:r>
      <w:r>
        <w:rPr>
          <w:rFonts w:ascii="Calibri"/>
          <w:sz w:val="22"/>
        </w:rPr>
        <w:t>i</w:t>
      </w:r>
      <w:r>
        <w:rPr>
          <w:rFonts w:ascii="Calibri"/>
          <w:spacing w:val="-3"/>
          <w:sz w:val="22"/>
        </w:rPr>
        <w:t> </w:t>
      </w:r>
      <w:r>
        <w:rPr>
          <w:rFonts w:ascii="Calibri"/>
          <w:sz w:val="22"/>
        </w:rPr>
        <w:t>ni</w:t>
      </w:r>
      <w:r>
        <w:rPr>
          <w:rFonts w:ascii="Calibri"/>
          <w:spacing w:val="-3"/>
          <w:sz w:val="22"/>
        </w:rPr>
        <w:t> </w:t>
      </w:r>
      <w:r>
        <w:rPr>
          <w:rFonts w:ascii="Calibri"/>
          <w:sz w:val="22"/>
        </w:rPr>
        <w:t>fod</w:t>
      </w:r>
      <w:r>
        <w:rPr>
          <w:rFonts w:ascii="Calibri"/>
          <w:spacing w:val="-3"/>
          <w:sz w:val="22"/>
        </w:rPr>
        <w:t> </w:t>
      </w:r>
      <w:r>
        <w:rPr>
          <w:rFonts w:ascii="Calibri"/>
          <w:sz w:val="22"/>
        </w:rPr>
        <w:t>angen</w:t>
      </w:r>
      <w:r>
        <w:rPr>
          <w:rFonts w:ascii="Calibri"/>
          <w:spacing w:val="-2"/>
          <w:sz w:val="22"/>
        </w:rPr>
        <w:t> </w:t>
      </w:r>
      <w:r>
        <w:rPr>
          <w:rFonts w:ascii="Calibri"/>
          <w:sz w:val="22"/>
        </w:rPr>
        <w:t>eu</w:t>
      </w:r>
      <w:r>
        <w:rPr>
          <w:rFonts w:ascii="Calibri"/>
          <w:spacing w:val="-2"/>
          <w:sz w:val="22"/>
        </w:rPr>
        <w:t> </w:t>
      </w:r>
      <w:r>
        <w:rPr>
          <w:rFonts w:ascii="Calibri"/>
          <w:sz w:val="22"/>
        </w:rPr>
        <w:t>gwasanaeth.</w:t>
      </w:r>
      <w:r>
        <w:rPr>
          <w:rFonts w:ascii="Calibri"/>
          <w:spacing w:val="40"/>
          <w:sz w:val="22"/>
        </w:rPr>
        <w:t> </w:t>
      </w:r>
      <w:r>
        <w:rPr>
          <w:rFonts w:ascii="Calibri"/>
          <w:sz w:val="22"/>
        </w:rPr>
        <w:t>Sefydlwyd</w:t>
      </w:r>
      <w:r>
        <w:rPr>
          <w:rFonts w:ascii="Calibri"/>
          <w:spacing w:val="-2"/>
          <w:sz w:val="22"/>
        </w:rPr>
        <w:t> </w:t>
      </w:r>
      <w:r>
        <w:rPr>
          <w:rFonts w:ascii="Calibri"/>
          <w:sz w:val="22"/>
        </w:rPr>
        <w:t>y</w:t>
      </w:r>
      <w:r>
        <w:rPr>
          <w:rFonts w:ascii="Calibri"/>
          <w:spacing w:val="-2"/>
          <w:sz w:val="22"/>
        </w:rPr>
        <w:t> </w:t>
      </w:r>
      <w:r>
        <w:rPr>
          <w:rFonts w:ascii="Calibri"/>
          <w:sz w:val="22"/>
        </w:rPr>
        <w:t>banc</w:t>
      </w:r>
      <w:r>
        <w:rPr>
          <w:rFonts w:ascii="Calibri"/>
          <w:spacing w:val="-3"/>
          <w:sz w:val="22"/>
        </w:rPr>
        <w:t> </w:t>
      </w:r>
      <w:r>
        <w:rPr>
          <w:rFonts w:ascii="Calibri"/>
          <w:sz w:val="22"/>
        </w:rPr>
        <w:t>yn</w:t>
      </w:r>
      <w:r>
        <w:rPr>
          <w:rFonts w:ascii="Calibri"/>
          <w:spacing w:val="-2"/>
          <w:sz w:val="22"/>
        </w:rPr>
        <w:t> </w:t>
      </w:r>
      <w:r>
        <w:rPr>
          <w:rFonts w:ascii="Calibri"/>
          <w:sz w:val="22"/>
        </w:rPr>
        <w:t>hydref</w:t>
      </w:r>
      <w:r>
        <w:rPr>
          <w:rFonts w:ascii="Calibri"/>
          <w:spacing w:val="-3"/>
          <w:sz w:val="22"/>
        </w:rPr>
        <w:t> </w:t>
      </w:r>
      <w:r>
        <w:rPr>
          <w:rFonts w:ascii="Calibri"/>
          <w:sz w:val="22"/>
        </w:rPr>
        <w:t>2021, ac mae ein trefniadau presennol yn gweithio'n dda hyd yma.</w:t>
      </w:r>
      <w:r>
        <w:rPr>
          <w:rFonts w:ascii="Calibri"/>
          <w:spacing w:val="40"/>
          <w:sz w:val="22"/>
        </w:rPr>
        <w:t> </w:t>
      </w:r>
      <w:r>
        <w:rPr>
          <w:rFonts w:ascii="Calibri"/>
          <w:sz w:val="22"/>
        </w:rPr>
        <w:t>Mae ein dull o weithio'n ystwyth hefyd yn golygu y gallwn recriwtio cyfieithwyr o wahanol rannau o Gymru a thu hwnt i'n cynorthwyo gyda'n gallu i ymateb i'r galw am wasanaethau cyfieithu.</w:t>
      </w:r>
    </w:p>
    <w:p>
      <w:pPr>
        <w:pStyle w:val="BodyText"/>
        <w:spacing w:before="6"/>
        <w:rPr>
          <w:rFonts w:ascii="Calibri"/>
          <w:sz w:val="23"/>
        </w:rPr>
      </w:pPr>
    </w:p>
    <w:p>
      <w:pPr>
        <w:pStyle w:val="Heading7"/>
        <w:numPr>
          <w:ilvl w:val="0"/>
          <w:numId w:val="50"/>
        </w:numPr>
        <w:tabs>
          <w:tab w:pos="2159" w:val="left" w:leader="none"/>
          <w:tab w:pos="2161" w:val="left" w:leader="none"/>
        </w:tabs>
        <w:spacing w:line="240" w:lineRule="auto" w:before="1" w:after="0"/>
        <w:ind w:left="2160" w:right="0" w:hanging="361"/>
        <w:jc w:val="left"/>
        <w:rPr>
          <w:rFonts w:ascii="Symbol" w:hAnsi="Symbol"/>
          <w:b w:val="0"/>
        </w:rPr>
      </w:pPr>
      <w:r>
        <w:rPr/>
        <w:t>Y</w:t>
      </w:r>
      <w:r>
        <w:rPr>
          <w:spacing w:val="-2"/>
        </w:rPr>
        <w:t> </w:t>
      </w:r>
      <w:r>
        <w:rPr/>
        <w:t>Cynllun</w:t>
      </w:r>
      <w:r>
        <w:rPr>
          <w:spacing w:val="-2"/>
        </w:rPr>
        <w:t> </w:t>
      </w:r>
      <w:r>
        <w:rPr/>
        <w:t>Symleiddio</w:t>
      </w:r>
      <w:r>
        <w:rPr>
          <w:spacing w:val="-2"/>
        </w:rPr>
        <w:t> </w:t>
      </w:r>
      <w:r>
        <w:rPr/>
        <w:t>i </w:t>
      </w:r>
      <w:r>
        <w:rPr>
          <w:spacing w:val="-2"/>
        </w:rPr>
        <w:t>Fyfyrwyr</w:t>
      </w:r>
    </w:p>
    <w:p>
      <w:pPr>
        <w:spacing w:line="259" w:lineRule="auto" w:before="0"/>
        <w:ind w:left="2160" w:right="1405" w:firstLine="0"/>
        <w:jc w:val="left"/>
        <w:rPr>
          <w:rFonts w:ascii="Calibri"/>
          <w:sz w:val="22"/>
        </w:rPr>
      </w:pPr>
      <w:r>
        <w:rPr>
          <w:rFonts w:ascii="Calibri"/>
          <w:sz w:val="22"/>
        </w:rPr>
        <w:t>Mae</w:t>
      </w:r>
      <w:r>
        <w:rPr>
          <w:rFonts w:ascii="Calibri"/>
          <w:spacing w:val="-4"/>
          <w:sz w:val="22"/>
        </w:rPr>
        <w:t> </w:t>
      </w:r>
      <w:r>
        <w:rPr>
          <w:rFonts w:ascii="Calibri"/>
          <w:sz w:val="22"/>
        </w:rPr>
        <w:t>Partneriaeth</w:t>
      </w:r>
      <w:r>
        <w:rPr>
          <w:rFonts w:ascii="Calibri"/>
          <w:spacing w:val="-4"/>
          <w:sz w:val="22"/>
        </w:rPr>
        <w:t> </w:t>
      </w:r>
      <w:r>
        <w:rPr>
          <w:rFonts w:ascii="Calibri"/>
          <w:sz w:val="22"/>
        </w:rPr>
        <w:t>Cydwasanaethau</w:t>
      </w:r>
      <w:r>
        <w:rPr>
          <w:rFonts w:ascii="Calibri"/>
          <w:spacing w:val="-4"/>
          <w:sz w:val="22"/>
        </w:rPr>
        <w:t> </w:t>
      </w:r>
      <w:r>
        <w:rPr>
          <w:rFonts w:ascii="Calibri"/>
          <w:sz w:val="22"/>
        </w:rPr>
        <w:t>GIG</w:t>
      </w:r>
      <w:r>
        <w:rPr>
          <w:rFonts w:ascii="Calibri"/>
          <w:spacing w:val="-4"/>
          <w:sz w:val="22"/>
        </w:rPr>
        <w:t> </w:t>
      </w:r>
      <w:r>
        <w:rPr>
          <w:rFonts w:ascii="Calibri"/>
          <w:sz w:val="22"/>
        </w:rPr>
        <w:t>Cymru</w:t>
      </w:r>
      <w:r>
        <w:rPr>
          <w:rFonts w:ascii="Calibri"/>
          <w:spacing w:val="-4"/>
          <w:sz w:val="22"/>
        </w:rPr>
        <w:t> </w:t>
      </w:r>
      <w:r>
        <w:rPr>
          <w:rFonts w:ascii="Calibri"/>
          <w:sz w:val="22"/>
        </w:rPr>
        <w:t>wedi</w:t>
      </w:r>
      <w:r>
        <w:rPr>
          <w:rFonts w:ascii="Calibri"/>
          <w:spacing w:val="-4"/>
          <w:sz w:val="22"/>
        </w:rPr>
        <w:t> </w:t>
      </w:r>
      <w:r>
        <w:rPr>
          <w:rFonts w:ascii="Calibri"/>
          <w:sz w:val="22"/>
        </w:rPr>
        <w:t>gwella</w:t>
      </w:r>
      <w:r>
        <w:rPr>
          <w:rFonts w:ascii="Calibri"/>
          <w:spacing w:val="-4"/>
          <w:sz w:val="22"/>
        </w:rPr>
        <w:t> </w:t>
      </w:r>
      <w:r>
        <w:rPr>
          <w:rFonts w:ascii="Calibri"/>
          <w:sz w:val="22"/>
        </w:rPr>
        <w:t>taith</w:t>
      </w:r>
      <w:r>
        <w:rPr>
          <w:rFonts w:ascii="Calibri"/>
          <w:spacing w:val="-4"/>
          <w:sz w:val="22"/>
        </w:rPr>
        <w:t> </w:t>
      </w:r>
      <w:r>
        <w:rPr>
          <w:rFonts w:ascii="Calibri"/>
          <w:sz w:val="22"/>
        </w:rPr>
        <w:t>y</w:t>
      </w:r>
      <w:r>
        <w:rPr>
          <w:rFonts w:ascii="Calibri"/>
          <w:spacing w:val="-4"/>
          <w:sz w:val="22"/>
        </w:rPr>
        <w:t> </w:t>
      </w:r>
      <w:r>
        <w:rPr>
          <w:rFonts w:ascii="Calibri"/>
          <w:sz w:val="22"/>
        </w:rPr>
        <w:t>cwsmer</w:t>
      </w:r>
      <w:r>
        <w:rPr>
          <w:rFonts w:ascii="Calibri"/>
          <w:spacing w:val="-4"/>
          <w:sz w:val="22"/>
        </w:rPr>
        <w:t> </w:t>
      </w:r>
      <w:r>
        <w:rPr>
          <w:rFonts w:ascii="Calibri"/>
          <w:sz w:val="22"/>
        </w:rPr>
        <w:t>drwy</w:t>
      </w:r>
      <w:r>
        <w:rPr>
          <w:rFonts w:ascii="Calibri"/>
          <w:spacing w:val="-4"/>
          <w:sz w:val="22"/>
        </w:rPr>
        <w:t> </w:t>
      </w:r>
      <w:r>
        <w:rPr>
          <w:rFonts w:ascii="Calibri"/>
          <w:sz w:val="22"/>
        </w:rPr>
        <w:t>Wasanaeth Symleiddio i Fyfyrwyr drwy sicrhau bod y system yn darparu taith Gymraeg drwy gydol y </w:t>
      </w:r>
      <w:r>
        <w:rPr>
          <w:rFonts w:ascii="Calibri"/>
          <w:spacing w:val="-2"/>
          <w:sz w:val="22"/>
        </w:rPr>
        <w:t>broses.</w:t>
      </w:r>
    </w:p>
    <w:p>
      <w:pPr>
        <w:spacing w:after="0" w:line="259" w:lineRule="auto"/>
        <w:jc w:val="left"/>
        <w:rPr>
          <w:rFonts w:ascii="Calibri"/>
          <w:sz w:val="22"/>
        </w:rPr>
        <w:sectPr>
          <w:pgSz w:w="11910" w:h="16840"/>
          <w:pgMar w:header="0" w:footer="173" w:top="1420" w:bottom="360" w:left="0" w:right="0"/>
        </w:sectPr>
      </w:pPr>
    </w:p>
    <w:p>
      <w:pPr>
        <w:spacing w:line="259" w:lineRule="auto" w:before="42"/>
        <w:ind w:left="2160" w:right="1405" w:firstLine="0"/>
        <w:jc w:val="left"/>
        <w:rPr>
          <w:rFonts w:ascii="Calibri" w:hAnsi="Calibri"/>
          <w:sz w:val="22"/>
        </w:rPr>
      </w:pPr>
      <w:r>
        <w:rPr>
          <w:rFonts w:ascii="Calibri" w:hAnsi="Calibri"/>
          <w:sz w:val="22"/>
        </w:rPr>
        <w:t>Gwnaethom</w:t>
      </w:r>
      <w:r>
        <w:rPr>
          <w:rFonts w:ascii="Calibri" w:hAnsi="Calibri"/>
          <w:spacing w:val="-3"/>
          <w:sz w:val="22"/>
        </w:rPr>
        <w:t> </w:t>
      </w:r>
      <w:r>
        <w:rPr>
          <w:rFonts w:ascii="Calibri" w:hAnsi="Calibri"/>
          <w:sz w:val="22"/>
        </w:rPr>
        <w:t>archwilio</w:t>
      </w:r>
      <w:r>
        <w:rPr>
          <w:rFonts w:ascii="Calibri" w:hAnsi="Calibri"/>
          <w:spacing w:val="-3"/>
          <w:sz w:val="22"/>
        </w:rPr>
        <w:t> </w:t>
      </w:r>
      <w:r>
        <w:rPr>
          <w:rFonts w:ascii="Calibri" w:hAnsi="Calibri"/>
          <w:sz w:val="22"/>
        </w:rPr>
        <w:t>ac</w:t>
      </w:r>
      <w:r>
        <w:rPr>
          <w:rFonts w:ascii="Calibri" w:hAnsi="Calibri"/>
          <w:spacing w:val="-4"/>
          <w:sz w:val="22"/>
        </w:rPr>
        <w:t> </w:t>
      </w:r>
      <w:r>
        <w:rPr>
          <w:rFonts w:ascii="Calibri" w:hAnsi="Calibri"/>
          <w:sz w:val="22"/>
        </w:rPr>
        <w:t>adolygu</w:t>
      </w:r>
      <w:r>
        <w:rPr>
          <w:rFonts w:ascii="Calibri" w:hAnsi="Calibri"/>
          <w:spacing w:val="-3"/>
          <w:sz w:val="22"/>
        </w:rPr>
        <w:t> </w:t>
      </w:r>
      <w:r>
        <w:rPr>
          <w:rFonts w:ascii="Calibri" w:hAnsi="Calibri"/>
          <w:sz w:val="22"/>
        </w:rPr>
        <w:t>ein</w:t>
      </w:r>
      <w:r>
        <w:rPr>
          <w:rFonts w:ascii="Calibri" w:hAnsi="Calibri"/>
          <w:spacing w:val="-4"/>
          <w:sz w:val="22"/>
        </w:rPr>
        <w:t> </w:t>
      </w:r>
      <w:r>
        <w:rPr>
          <w:rFonts w:ascii="Calibri" w:hAnsi="Calibri"/>
          <w:sz w:val="22"/>
        </w:rPr>
        <w:t>prosesau,</w:t>
      </w:r>
      <w:r>
        <w:rPr>
          <w:rFonts w:ascii="Calibri" w:hAnsi="Calibri"/>
          <w:spacing w:val="-4"/>
          <w:sz w:val="22"/>
        </w:rPr>
        <w:t> </w:t>
      </w:r>
      <w:r>
        <w:rPr>
          <w:rFonts w:ascii="Calibri" w:hAnsi="Calibri"/>
          <w:sz w:val="22"/>
        </w:rPr>
        <w:t>ein</w:t>
      </w:r>
      <w:r>
        <w:rPr>
          <w:rFonts w:ascii="Calibri" w:hAnsi="Calibri"/>
          <w:spacing w:val="-4"/>
          <w:sz w:val="22"/>
        </w:rPr>
        <w:t> </w:t>
      </w:r>
      <w:r>
        <w:rPr>
          <w:rFonts w:ascii="Calibri" w:hAnsi="Calibri"/>
          <w:sz w:val="22"/>
        </w:rPr>
        <w:t>gwasanaethau</w:t>
      </w:r>
      <w:r>
        <w:rPr>
          <w:rFonts w:ascii="Calibri" w:hAnsi="Calibri"/>
          <w:spacing w:val="-3"/>
          <w:sz w:val="22"/>
        </w:rPr>
        <w:t> </w:t>
      </w:r>
      <w:r>
        <w:rPr>
          <w:rFonts w:ascii="Calibri" w:hAnsi="Calibri"/>
          <w:sz w:val="22"/>
        </w:rPr>
        <w:t>awtomataidd</w:t>
      </w:r>
      <w:r>
        <w:rPr>
          <w:rFonts w:ascii="Calibri" w:hAnsi="Calibri"/>
          <w:spacing w:val="-3"/>
          <w:sz w:val="22"/>
        </w:rPr>
        <w:t> </w:t>
      </w:r>
      <w:r>
        <w:rPr>
          <w:rFonts w:ascii="Calibri" w:hAnsi="Calibri"/>
          <w:sz w:val="22"/>
        </w:rPr>
        <w:t>a'n</w:t>
      </w:r>
      <w:r>
        <w:rPr>
          <w:rFonts w:ascii="Calibri" w:hAnsi="Calibri"/>
          <w:spacing w:val="-4"/>
          <w:sz w:val="22"/>
        </w:rPr>
        <w:t> </w:t>
      </w:r>
      <w:r>
        <w:rPr>
          <w:rFonts w:ascii="Calibri" w:hAnsi="Calibri"/>
          <w:sz w:val="22"/>
        </w:rPr>
        <w:t>templedi er mwyn sicrhau bod cynnig Cymraeg di-dor bellach ar gael</w:t>
      </w:r>
      <w:r>
        <w:rPr>
          <w:rFonts w:ascii="Calibri" w:hAnsi="Calibri"/>
          <w:spacing w:val="40"/>
          <w:sz w:val="22"/>
        </w:rPr>
        <w:t> </w:t>
      </w:r>
      <w:r>
        <w:rPr>
          <w:rFonts w:ascii="Calibri" w:hAnsi="Calibri"/>
          <w:sz w:val="22"/>
        </w:rPr>
        <w:t>i fyfyrwyr sy'n ymgysylltu â'n </w:t>
      </w:r>
      <w:r>
        <w:rPr>
          <w:rFonts w:ascii="Calibri" w:hAnsi="Calibri"/>
          <w:spacing w:val="-2"/>
          <w:sz w:val="22"/>
        </w:rPr>
        <w:t>gwasanaeth.</w:t>
      </w:r>
    </w:p>
    <w:p>
      <w:pPr>
        <w:spacing w:line="259" w:lineRule="auto" w:before="0"/>
        <w:ind w:left="2160" w:right="1707" w:firstLine="0"/>
        <w:jc w:val="both"/>
        <w:rPr>
          <w:rFonts w:ascii="Calibri"/>
          <w:sz w:val="22"/>
        </w:rPr>
      </w:pPr>
      <w:r>
        <w:rPr>
          <w:rFonts w:ascii="Calibri"/>
          <w:sz w:val="22"/>
        </w:rPr>
        <w:t>Fel</w:t>
      </w:r>
      <w:r>
        <w:rPr>
          <w:rFonts w:ascii="Calibri"/>
          <w:spacing w:val="-3"/>
          <w:sz w:val="22"/>
        </w:rPr>
        <w:t> </w:t>
      </w:r>
      <w:r>
        <w:rPr>
          <w:rFonts w:ascii="Calibri"/>
          <w:sz w:val="22"/>
        </w:rPr>
        <w:t>rhan</w:t>
      </w:r>
      <w:r>
        <w:rPr>
          <w:rFonts w:ascii="Calibri"/>
          <w:spacing w:val="-4"/>
          <w:sz w:val="22"/>
        </w:rPr>
        <w:t> </w:t>
      </w:r>
      <w:r>
        <w:rPr>
          <w:rFonts w:ascii="Calibri"/>
          <w:sz w:val="22"/>
        </w:rPr>
        <w:t>o'r</w:t>
      </w:r>
      <w:r>
        <w:rPr>
          <w:rFonts w:ascii="Calibri"/>
          <w:spacing w:val="-3"/>
          <w:sz w:val="22"/>
        </w:rPr>
        <w:t> </w:t>
      </w:r>
      <w:r>
        <w:rPr>
          <w:rFonts w:ascii="Calibri"/>
          <w:sz w:val="22"/>
        </w:rPr>
        <w:t>prosiect</w:t>
      </w:r>
      <w:r>
        <w:rPr>
          <w:rFonts w:ascii="Calibri"/>
          <w:spacing w:val="-3"/>
          <w:sz w:val="22"/>
        </w:rPr>
        <w:t> </w:t>
      </w:r>
      <w:r>
        <w:rPr>
          <w:rFonts w:ascii="Calibri"/>
          <w:sz w:val="22"/>
        </w:rPr>
        <w:t>hwn,</w:t>
      </w:r>
      <w:r>
        <w:rPr>
          <w:rFonts w:ascii="Calibri"/>
          <w:spacing w:val="-3"/>
          <w:sz w:val="22"/>
        </w:rPr>
        <w:t> </w:t>
      </w:r>
      <w:r>
        <w:rPr>
          <w:rFonts w:ascii="Calibri"/>
          <w:sz w:val="22"/>
        </w:rPr>
        <w:t>gwnaethom</w:t>
      </w:r>
      <w:r>
        <w:rPr>
          <w:rFonts w:ascii="Calibri"/>
          <w:spacing w:val="-3"/>
          <w:sz w:val="22"/>
        </w:rPr>
        <w:t> </w:t>
      </w:r>
      <w:r>
        <w:rPr>
          <w:rFonts w:ascii="Calibri"/>
          <w:sz w:val="22"/>
        </w:rPr>
        <w:t>hefyd</w:t>
      </w:r>
      <w:r>
        <w:rPr>
          <w:rFonts w:ascii="Calibri"/>
          <w:spacing w:val="-3"/>
          <w:sz w:val="22"/>
        </w:rPr>
        <w:t> </w:t>
      </w:r>
      <w:r>
        <w:rPr>
          <w:rFonts w:ascii="Calibri"/>
          <w:sz w:val="22"/>
        </w:rPr>
        <w:t>gyfieithu</w:t>
      </w:r>
      <w:r>
        <w:rPr>
          <w:rFonts w:ascii="Calibri"/>
          <w:spacing w:val="-3"/>
          <w:sz w:val="22"/>
        </w:rPr>
        <w:t> </w:t>
      </w:r>
      <w:r>
        <w:rPr>
          <w:rFonts w:ascii="Calibri"/>
          <w:sz w:val="22"/>
        </w:rPr>
        <w:t>hysbysebion</w:t>
      </w:r>
      <w:r>
        <w:rPr>
          <w:rFonts w:ascii="Calibri"/>
          <w:spacing w:val="-4"/>
          <w:sz w:val="22"/>
        </w:rPr>
        <w:t> </w:t>
      </w:r>
      <w:r>
        <w:rPr>
          <w:rFonts w:ascii="Calibri"/>
          <w:sz w:val="22"/>
        </w:rPr>
        <w:t>a</w:t>
      </w:r>
      <w:r>
        <w:rPr>
          <w:rFonts w:ascii="Calibri"/>
          <w:spacing w:val="-3"/>
          <w:sz w:val="22"/>
        </w:rPr>
        <w:t> </w:t>
      </w:r>
      <w:r>
        <w:rPr>
          <w:rFonts w:ascii="Calibri"/>
          <w:sz w:val="22"/>
        </w:rPr>
        <w:t>swydd</w:t>
      </w:r>
      <w:r>
        <w:rPr>
          <w:rFonts w:ascii="Calibri"/>
          <w:spacing w:val="-4"/>
          <w:sz w:val="22"/>
        </w:rPr>
        <w:t> </w:t>
      </w:r>
      <w:r>
        <w:rPr>
          <w:rFonts w:ascii="Calibri"/>
          <w:sz w:val="22"/>
        </w:rPr>
        <w:t>ddisgrifiadau</w:t>
      </w:r>
      <w:r>
        <w:rPr>
          <w:rFonts w:ascii="Calibri"/>
          <w:spacing w:val="-3"/>
          <w:sz w:val="22"/>
        </w:rPr>
        <w:t> </w:t>
      </w:r>
      <w:r>
        <w:rPr>
          <w:rFonts w:ascii="Calibri"/>
          <w:sz w:val="22"/>
        </w:rPr>
        <w:t>i alluogi Byrddau Iechyd i hysbysebu'r cyfleoedd drwy'r rhaglen Symleiddio i Fyfyrwyr drwy gyfrwng y Gymraeg a'r Saesneg.</w:t>
      </w:r>
    </w:p>
    <w:p>
      <w:pPr>
        <w:pStyle w:val="Heading7"/>
        <w:numPr>
          <w:ilvl w:val="0"/>
          <w:numId w:val="50"/>
        </w:numPr>
        <w:tabs>
          <w:tab w:pos="2159" w:val="left" w:leader="none"/>
          <w:tab w:pos="2161" w:val="left" w:leader="none"/>
        </w:tabs>
        <w:spacing w:line="240" w:lineRule="auto" w:before="78" w:after="0"/>
        <w:ind w:left="2160" w:right="0" w:hanging="361"/>
        <w:jc w:val="left"/>
        <w:rPr>
          <w:rFonts w:ascii="Symbol" w:hAnsi="Symbol"/>
          <w:b w:val="0"/>
        </w:rPr>
      </w:pPr>
      <w:r>
        <w:rPr/>
        <w:t>Taflenni</w:t>
      </w:r>
      <w:r>
        <w:rPr>
          <w:spacing w:val="-5"/>
        </w:rPr>
        <w:t> </w:t>
      </w:r>
      <w:r>
        <w:rPr/>
        <w:t>Gwybodaeth</w:t>
      </w:r>
      <w:r>
        <w:rPr>
          <w:spacing w:val="-4"/>
        </w:rPr>
        <w:t> </w:t>
      </w:r>
      <w:r>
        <w:rPr/>
        <w:t>i</w:t>
      </w:r>
      <w:r>
        <w:rPr>
          <w:spacing w:val="-4"/>
        </w:rPr>
        <w:t> </w:t>
      </w:r>
      <w:r>
        <w:rPr/>
        <w:t>Gleifion</w:t>
      </w:r>
      <w:r>
        <w:rPr>
          <w:spacing w:val="-4"/>
        </w:rPr>
        <w:t> </w:t>
      </w:r>
      <w:r>
        <w:rPr/>
        <w:t>Cymru</w:t>
      </w:r>
      <w:r>
        <w:rPr>
          <w:spacing w:val="-4"/>
        </w:rPr>
        <w:t> Gyfan</w:t>
      </w:r>
    </w:p>
    <w:p>
      <w:pPr>
        <w:spacing w:before="0"/>
        <w:ind w:left="2160" w:right="1487" w:firstLine="0"/>
        <w:jc w:val="left"/>
        <w:rPr>
          <w:rFonts w:ascii="Calibri" w:hAnsi="Calibri"/>
          <w:sz w:val="22"/>
        </w:rPr>
      </w:pPr>
      <w:r>
        <w:rPr>
          <w:rFonts w:ascii="Calibri" w:hAnsi="Calibri"/>
          <w:sz w:val="22"/>
        </w:rPr>
        <w:t>Gwnaethom</w:t>
      </w:r>
      <w:r>
        <w:rPr>
          <w:rFonts w:ascii="Calibri" w:hAnsi="Calibri"/>
          <w:spacing w:val="-3"/>
          <w:sz w:val="22"/>
        </w:rPr>
        <w:t> </w:t>
      </w:r>
      <w:r>
        <w:rPr>
          <w:rFonts w:ascii="Calibri" w:hAnsi="Calibri"/>
          <w:sz w:val="22"/>
        </w:rPr>
        <w:t>gynnal</w:t>
      </w:r>
      <w:r>
        <w:rPr>
          <w:rFonts w:ascii="Calibri" w:hAnsi="Calibri"/>
          <w:spacing w:val="-3"/>
          <w:sz w:val="22"/>
        </w:rPr>
        <w:t> </w:t>
      </w:r>
      <w:r>
        <w:rPr>
          <w:rFonts w:ascii="Calibri" w:hAnsi="Calibri"/>
          <w:sz w:val="22"/>
        </w:rPr>
        <w:t>archwiliad</w:t>
      </w:r>
      <w:r>
        <w:rPr>
          <w:rFonts w:ascii="Calibri" w:hAnsi="Calibri"/>
          <w:spacing w:val="-3"/>
          <w:sz w:val="22"/>
        </w:rPr>
        <w:t> </w:t>
      </w:r>
      <w:r>
        <w:rPr>
          <w:rFonts w:ascii="Calibri" w:hAnsi="Calibri"/>
          <w:sz w:val="22"/>
        </w:rPr>
        <w:t>ac</w:t>
      </w:r>
      <w:r>
        <w:rPr>
          <w:rFonts w:ascii="Calibri" w:hAnsi="Calibri"/>
          <w:spacing w:val="-4"/>
          <w:sz w:val="22"/>
        </w:rPr>
        <w:t> </w:t>
      </w:r>
      <w:r>
        <w:rPr>
          <w:rFonts w:ascii="Calibri" w:hAnsi="Calibri"/>
          <w:sz w:val="22"/>
        </w:rPr>
        <w:t>adolygiad</w:t>
      </w:r>
      <w:r>
        <w:rPr>
          <w:rFonts w:ascii="Calibri" w:hAnsi="Calibri"/>
          <w:spacing w:val="-4"/>
          <w:sz w:val="22"/>
        </w:rPr>
        <w:t> </w:t>
      </w:r>
      <w:r>
        <w:rPr>
          <w:rFonts w:ascii="Calibri" w:hAnsi="Calibri"/>
          <w:sz w:val="22"/>
        </w:rPr>
        <w:t>cynhwysfawr</w:t>
      </w:r>
      <w:r>
        <w:rPr>
          <w:rFonts w:ascii="Calibri" w:hAnsi="Calibri"/>
          <w:spacing w:val="-3"/>
          <w:sz w:val="22"/>
        </w:rPr>
        <w:t> </w:t>
      </w:r>
      <w:r>
        <w:rPr>
          <w:rFonts w:ascii="Calibri" w:hAnsi="Calibri"/>
          <w:sz w:val="22"/>
        </w:rPr>
        <w:t>o</w:t>
      </w:r>
      <w:r>
        <w:rPr>
          <w:rFonts w:ascii="Calibri" w:hAnsi="Calibri"/>
          <w:spacing w:val="-4"/>
          <w:sz w:val="22"/>
        </w:rPr>
        <w:t> </w:t>
      </w:r>
      <w:r>
        <w:rPr>
          <w:rFonts w:ascii="Calibri" w:hAnsi="Calibri"/>
          <w:sz w:val="22"/>
        </w:rPr>
        <w:t>dros</w:t>
      </w:r>
      <w:r>
        <w:rPr>
          <w:rFonts w:ascii="Calibri" w:hAnsi="Calibri"/>
          <w:spacing w:val="-4"/>
          <w:sz w:val="22"/>
        </w:rPr>
        <w:t> </w:t>
      </w:r>
      <w:r>
        <w:rPr>
          <w:rFonts w:ascii="Calibri" w:hAnsi="Calibri"/>
          <w:sz w:val="22"/>
        </w:rPr>
        <w:t>350</w:t>
      </w:r>
      <w:r>
        <w:rPr>
          <w:rFonts w:ascii="Calibri" w:hAnsi="Calibri"/>
          <w:spacing w:val="-4"/>
          <w:sz w:val="22"/>
        </w:rPr>
        <w:t> </w:t>
      </w:r>
      <w:r>
        <w:rPr>
          <w:rFonts w:ascii="Calibri" w:hAnsi="Calibri"/>
          <w:sz w:val="22"/>
        </w:rPr>
        <w:t>o</w:t>
      </w:r>
      <w:r>
        <w:rPr>
          <w:rFonts w:ascii="Calibri" w:hAnsi="Calibri"/>
          <w:spacing w:val="-3"/>
          <w:sz w:val="22"/>
        </w:rPr>
        <w:t> </w:t>
      </w:r>
      <w:r>
        <w:rPr>
          <w:rFonts w:ascii="Calibri" w:hAnsi="Calibri"/>
          <w:sz w:val="22"/>
        </w:rPr>
        <w:t>Daflenni</w:t>
      </w:r>
      <w:r>
        <w:rPr>
          <w:rFonts w:ascii="Calibri" w:hAnsi="Calibri"/>
          <w:spacing w:val="-3"/>
          <w:sz w:val="22"/>
        </w:rPr>
        <w:t> </w:t>
      </w:r>
      <w:r>
        <w:rPr>
          <w:rFonts w:ascii="Calibri" w:hAnsi="Calibri"/>
          <w:sz w:val="22"/>
        </w:rPr>
        <w:t>Gwybodaeth i Gleifion yn ystod 2021/22.</w:t>
      </w:r>
      <w:r>
        <w:rPr>
          <w:rFonts w:ascii="Calibri" w:hAnsi="Calibri"/>
          <w:spacing w:val="40"/>
          <w:sz w:val="22"/>
        </w:rPr>
        <w:t> </w:t>
      </w:r>
      <w:r>
        <w:rPr>
          <w:rFonts w:ascii="Calibri" w:hAnsi="Calibri"/>
          <w:sz w:val="22"/>
        </w:rPr>
        <w:t>Mae'r taflenni yn cael eu rhoi i gleifion fel rhan o'r broses gydsynio.</w:t>
      </w:r>
      <w:r>
        <w:rPr>
          <w:rFonts w:ascii="Calibri" w:hAnsi="Calibri"/>
          <w:spacing w:val="40"/>
          <w:sz w:val="22"/>
        </w:rPr>
        <w:t> </w:t>
      </w:r>
      <w:r>
        <w:rPr>
          <w:rFonts w:ascii="Calibri" w:hAnsi="Calibri"/>
          <w:sz w:val="22"/>
        </w:rPr>
        <w:t>Galluogodd yr archwiliad a'r adolygiad i ni wneud gwelliannau i'r iaith a ddefnyddir yn y taflenni, sicrhau cysondeb o ran terminoleg yn ogystal â gwneud y taflenni yn gwbl ddwyieithog</w:t>
      </w:r>
      <w:r>
        <w:rPr>
          <w:rFonts w:ascii="Calibri" w:hAnsi="Calibri"/>
          <w:spacing w:val="-1"/>
          <w:sz w:val="22"/>
        </w:rPr>
        <w:t> </w:t>
      </w:r>
      <w:r>
        <w:rPr>
          <w:rFonts w:ascii="Calibri" w:hAnsi="Calibri"/>
          <w:sz w:val="22"/>
        </w:rPr>
        <w:t>i</w:t>
      </w:r>
      <w:r>
        <w:rPr>
          <w:rFonts w:ascii="Calibri" w:hAnsi="Calibri"/>
          <w:spacing w:val="-1"/>
          <w:sz w:val="22"/>
        </w:rPr>
        <w:t> </w:t>
      </w:r>
      <w:r>
        <w:rPr>
          <w:rFonts w:ascii="Calibri" w:hAnsi="Calibri"/>
          <w:sz w:val="22"/>
        </w:rPr>
        <w:t>gleifion</w:t>
      </w:r>
      <w:r>
        <w:rPr>
          <w:rFonts w:ascii="Calibri" w:hAnsi="Calibri"/>
          <w:spacing w:val="-1"/>
          <w:sz w:val="22"/>
        </w:rPr>
        <w:t> </w:t>
      </w:r>
      <w:r>
        <w:rPr>
          <w:rFonts w:ascii="Calibri" w:hAnsi="Calibri"/>
          <w:sz w:val="22"/>
        </w:rPr>
        <w:t>yng Nghymru.</w:t>
      </w:r>
      <w:r>
        <w:rPr>
          <w:rFonts w:ascii="Calibri" w:hAnsi="Calibri"/>
          <w:spacing w:val="40"/>
          <w:sz w:val="22"/>
        </w:rPr>
        <w:t> </w:t>
      </w:r>
      <w:r>
        <w:rPr>
          <w:rFonts w:ascii="Calibri" w:hAnsi="Calibri"/>
          <w:sz w:val="22"/>
        </w:rPr>
        <w:t>Cyn</w:t>
      </w:r>
      <w:r>
        <w:rPr>
          <w:rFonts w:ascii="Calibri" w:hAnsi="Calibri"/>
          <w:spacing w:val="-1"/>
          <w:sz w:val="22"/>
        </w:rPr>
        <w:t> </w:t>
      </w:r>
      <w:r>
        <w:rPr>
          <w:rFonts w:ascii="Calibri" w:hAnsi="Calibri"/>
          <w:sz w:val="22"/>
        </w:rPr>
        <w:t>hynny</w:t>
      </w:r>
      <w:r>
        <w:rPr>
          <w:rFonts w:ascii="Calibri" w:hAnsi="Calibri"/>
          <w:spacing w:val="-1"/>
          <w:sz w:val="22"/>
        </w:rPr>
        <w:t> </w:t>
      </w:r>
      <w:r>
        <w:rPr>
          <w:rFonts w:ascii="Calibri" w:hAnsi="Calibri"/>
          <w:sz w:val="22"/>
        </w:rPr>
        <w:t>roedd</w:t>
      </w:r>
      <w:r>
        <w:rPr>
          <w:rFonts w:ascii="Calibri" w:hAnsi="Calibri"/>
          <w:spacing w:val="-1"/>
          <w:sz w:val="22"/>
        </w:rPr>
        <w:t> </w:t>
      </w:r>
      <w:r>
        <w:rPr>
          <w:rFonts w:ascii="Calibri" w:hAnsi="Calibri"/>
          <w:sz w:val="22"/>
        </w:rPr>
        <w:t>fersiynau Cymraeg a</w:t>
      </w:r>
      <w:r>
        <w:rPr>
          <w:rFonts w:ascii="Calibri" w:hAnsi="Calibri"/>
          <w:spacing w:val="-1"/>
          <w:sz w:val="22"/>
        </w:rPr>
        <w:t> </w:t>
      </w:r>
      <w:r>
        <w:rPr>
          <w:rFonts w:ascii="Calibri" w:hAnsi="Calibri"/>
          <w:sz w:val="22"/>
        </w:rPr>
        <w:t>Saesneg ar gael ar wahân.</w:t>
      </w:r>
      <w:r>
        <w:rPr>
          <w:rFonts w:ascii="Calibri" w:hAnsi="Calibri"/>
          <w:spacing w:val="40"/>
          <w:sz w:val="22"/>
        </w:rPr>
        <w:t> </w:t>
      </w:r>
      <w:r>
        <w:rPr>
          <w:rFonts w:ascii="Calibri" w:hAnsi="Calibri"/>
          <w:sz w:val="22"/>
        </w:rPr>
        <w:t>Bydd hyn yn parhau yn 2022/23 gyda gwaith yn cael ei wneud mewn partneriaeth ag Eido Healthcare i gyfieithu fersiynau hawdd eu deall o'r taflenni.</w:t>
      </w:r>
    </w:p>
    <w:p>
      <w:pPr>
        <w:pStyle w:val="BodyText"/>
        <w:spacing w:before="7"/>
        <w:rPr>
          <w:rFonts w:ascii="Calibri"/>
          <w:sz w:val="28"/>
        </w:rPr>
      </w:pPr>
    </w:p>
    <w:p>
      <w:pPr>
        <w:pStyle w:val="Heading7"/>
        <w:numPr>
          <w:ilvl w:val="0"/>
          <w:numId w:val="50"/>
        </w:numPr>
        <w:tabs>
          <w:tab w:pos="2159" w:val="left" w:leader="none"/>
          <w:tab w:pos="2161" w:val="left" w:leader="none"/>
        </w:tabs>
        <w:spacing w:line="240" w:lineRule="auto" w:before="0" w:after="0"/>
        <w:ind w:left="2160" w:right="0" w:hanging="361"/>
        <w:jc w:val="left"/>
        <w:rPr>
          <w:rFonts w:ascii="Symbol" w:hAnsi="Symbol"/>
          <w:b w:val="0"/>
        </w:rPr>
      </w:pPr>
      <w:r>
        <w:rPr/>
        <w:t>Pyrth</w:t>
      </w:r>
      <w:r>
        <w:rPr>
          <w:spacing w:val="-5"/>
        </w:rPr>
        <w:t> </w:t>
      </w:r>
      <w:r>
        <w:rPr/>
        <w:t>ESR</w:t>
      </w:r>
      <w:r>
        <w:rPr>
          <w:spacing w:val="-1"/>
        </w:rPr>
        <w:t> </w:t>
      </w:r>
      <w:r>
        <w:rPr/>
        <w:t>ar</w:t>
      </w:r>
      <w:r>
        <w:rPr>
          <w:spacing w:val="-2"/>
        </w:rPr>
        <w:t> </w:t>
      </w:r>
      <w:r>
        <w:rPr/>
        <w:t>gael</w:t>
      </w:r>
      <w:r>
        <w:rPr>
          <w:spacing w:val="-2"/>
        </w:rPr>
        <w:t> </w:t>
      </w:r>
      <w:r>
        <w:rPr/>
        <w:t>yn</w:t>
      </w:r>
      <w:r>
        <w:rPr>
          <w:spacing w:val="-2"/>
        </w:rPr>
        <w:t> Gymraeg</w:t>
      </w:r>
    </w:p>
    <w:p>
      <w:pPr>
        <w:spacing w:before="0"/>
        <w:ind w:left="2160" w:right="1405" w:firstLine="0"/>
        <w:jc w:val="left"/>
        <w:rPr>
          <w:rFonts w:ascii="Calibri" w:hAnsi="Calibri"/>
          <w:sz w:val="22"/>
        </w:rPr>
      </w:pPr>
      <w:r>
        <w:rPr>
          <w:rFonts w:ascii="Calibri" w:hAnsi="Calibri"/>
          <w:sz w:val="22"/>
        </w:rPr>
        <w:t>Gweithiodd Uned y Gymraeg a thîm Systemau Gwybodaeth y Gweithlu ym Mhartneriaeth Cydwasanaethau GIG Cymru ar y cyd ag Awdurdod Gwasanaethau Busnes y GIG ac IBM ar ddatblygu</w:t>
      </w:r>
      <w:r>
        <w:rPr>
          <w:rFonts w:ascii="Calibri" w:hAnsi="Calibri"/>
          <w:spacing w:val="-2"/>
          <w:sz w:val="22"/>
        </w:rPr>
        <w:t> </w:t>
      </w:r>
      <w:r>
        <w:rPr>
          <w:rFonts w:ascii="Calibri" w:hAnsi="Calibri"/>
          <w:sz w:val="22"/>
        </w:rPr>
        <w:t>Pyrth</w:t>
      </w:r>
      <w:r>
        <w:rPr>
          <w:rFonts w:ascii="Calibri" w:hAnsi="Calibri"/>
          <w:spacing w:val="-2"/>
          <w:sz w:val="22"/>
        </w:rPr>
        <w:t> </w:t>
      </w:r>
      <w:r>
        <w:rPr>
          <w:rFonts w:ascii="Calibri" w:hAnsi="Calibri"/>
          <w:sz w:val="22"/>
        </w:rPr>
        <w:t>Cymraeg</w:t>
      </w:r>
      <w:r>
        <w:rPr>
          <w:rFonts w:ascii="Calibri" w:hAnsi="Calibri"/>
          <w:spacing w:val="-3"/>
          <w:sz w:val="22"/>
        </w:rPr>
        <w:t> </w:t>
      </w:r>
      <w:r>
        <w:rPr>
          <w:rFonts w:ascii="Calibri" w:hAnsi="Calibri"/>
          <w:sz w:val="22"/>
        </w:rPr>
        <w:t>ar</w:t>
      </w:r>
      <w:r>
        <w:rPr>
          <w:rFonts w:ascii="Calibri" w:hAnsi="Calibri"/>
          <w:spacing w:val="-3"/>
          <w:sz w:val="22"/>
        </w:rPr>
        <w:t> </w:t>
      </w:r>
      <w:r>
        <w:rPr>
          <w:rFonts w:ascii="Calibri" w:hAnsi="Calibri"/>
          <w:sz w:val="22"/>
        </w:rPr>
        <w:t>ESR</w:t>
      </w:r>
      <w:r>
        <w:rPr>
          <w:rFonts w:ascii="Calibri" w:hAnsi="Calibri"/>
          <w:spacing w:val="-2"/>
          <w:sz w:val="22"/>
        </w:rPr>
        <w:t> </w:t>
      </w:r>
      <w:r>
        <w:rPr>
          <w:rFonts w:ascii="Calibri" w:hAnsi="Calibri"/>
          <w:sz w:val="22"/>
        </w:rPr>
        <w:t>yn</w:t>
      </w:r>
      <w:r>
        <w:rPr>
          <w:rFonts w:ascii="Calibri" w:hAnsi="Calibri"/>
          <w:spacing w:val="-2"/>
          <w:sz w:val="22"/>
        </w:rPr>
        <w:t> </w:t>
      </w:r>
      <w:r>
        <w:rPr>
          <w:rFonts w:ascii="Calibri" w:hAnsi="Calibri"/>
          <w:sz w:val="22"/>
        </w:rPr>
        <w:t>hydref</w:t>
      </w:r>
      <w:r>
        <w:rPr>
          <w:rFonts w:ascii="Calibri" w:hAnsi="Calibri"/>
          <w:spacing w:val="-3"/>
          <w:sz w:val="22"/>
        </w:rPr>
        <w:t> </w:t>
      </w:r>
      <w:r>
        <w:rPr>
          <w:rFonts w:ascii="Calibri" w:hAnsi="Calibri"/>
          <w:sz w:val="22"/>
        </w:rPr>
        <w:t>2021.</w:t>
      </w:r>
      <w:r>
        <w:rPr>
          <w:rFonts w:ascii="Calibri" w:hAnsi="Calibri"/>
          <w:spacing w:val="40"/>
          <w:sz w:val="22"/>
        </w:rPr>
        <w:t> </w:t>
      </w:r>
      <w:r>
        <w:rPr>
          <w:rFonts w:ascii="Calibri" w:hAnsi="Calibri"/>
          <w:sz w:val="22"/>
        </w:rPr>
        <w:t>Mae</w:t>
      </w:r>
      <w:r>
        <w:rPr>
          <w:rFonts w:ascii="Calibri" w:hAnsi="Calibri"/>
          <w:spacing w:val="-3"/>
          <w:sz w:val="22"/>
        </w:rPr>
        <w:t> </w:t>
      </w:r>
      <w:r>
        <w:rPr>
          <w:rFonts w:ascii="Calibri" w:hAnsi="Calibri"/>
          <w:sz w:val="22"/>
        </w:rPr>
        <w:t>hyn</w:t>
      </w:r>
      <w:r>
        <w:rPr>
          <w:rFonts w:ascii="Calibri" w:hAnsi="Calibri"/>
          <w:spacing w:val="-3"/>
          <w:sz w:val="22"/>
        </w:rPr>
        <w:t> </w:t>
      </w:r>
      <w:r>
        <w:rPr>
          <w:rFonts w:ascii="Calibri" w:hAnsi="Calibri"/>
          <w:sz w:val="22"/>
        </w:rPr>
        <w:t>bellach</w:t>
      </w:r>
      <w:r>
        <w:rPr>
          <w:rFonts w:ascii="Calibri" w:hAnsi="Calibri"/>
          <w:spacing w:val="-3"/>
          <w:sz w:val="22"/>
        </w:rPr>
        <w:t> </w:t>
      </w:r>
      <w:r>
        <w:rPr>
          <w:rFonts w:ascii="Calibri" w:hAnsi="Calibri"/>
          <w:sz w:val="22"/>
        </w:rPr>
        <w:t>yn</w:t>
      </w:r>
      <w:r>
        <w:rPr>
          <w:rFonts w:ascii="Calibri" w:hAnsi="Calibri"/>
          <w:spacing w:val="-2"/>
          <w:sz w:val="22"/>
        </w:rPr>
        <w:t> </w:t>
      </w:r>
      <w:r>
        <w:rPr>
          <w:rFonts w:ascii="Calibri" w:hAnsi="Calibri"/>
          <w:sz w:val="22"/>
        </w:rPr>
        <w:t>golygu</w:t>
      </w:r>
      <w:r>
        <w:rPr>
          <w:rFonts w:ascii="Calibri" w:hAnsi="Calibri"/>
          <w:spacing w:val="-2"/>
          <w:sz w:val="22"/>
        </w:rPr>
        <w:t> </w:t>
      </w:r>
      <w:r>
        <w:rPr>
          <w:rFonts w:ascii="Calibri" w:hAnsi="Calibri"/>
          <w:sz w:val="22"/>
        </w:rPr>
        <w:t>bod</w:t>
      </w:r>
      <w:r>
        <w:rPr>
          <w:rFonts w:ascii="Calibri" w:hAnsi="Calibri"/>
          <w:spacing w:val="-3"/>
          <w:sz w:val="22"/>
        </w:rPr>
        <w:t> </w:t>
      </w:r>
      <w:r>
        <w:rPr>
          <w:rFonts w:ascii="Calibri" w:hAnsi="Calibri"/>
          <w:sz w:val="22"/>
        </w:rPr>
        <w:t>y</w:t>
      </w:r>
      <w:r>
        <w:rPr>
          <w:rFonts w:ascii="Calibri" w:hAnsi="Calibri"/>
          <w:spacing w:val="-2"/>
          <w:sz w:val="22"/>
        </w:rPr>
        <w:t> </w:t>
      </w:r>
      <w:r>
        <w:rPr>
          <w:rFonts w:ascii="Calibri" w:hAnsi="Calibri"/>
          <w:sz w:val="22"/>
        </w:rPr>
        <w:t>pyrth</w:t>
      </w:r>
      <w:r>
        <w:rPr>
          <w:rFonts w:ascii="Calibri" w:hAnsi="Calibri"/>
          <w:spacing w:val="-2"/>
          <w:sz w:val="22"/>
        </w:rPr>
        <w:t> </w:t>
      </w:r>
      <w:r>
        <w:rPr>
          <w:rFonts w:ascii="Calibri" w:hAnsi="Calibri"/>
          <w:sz w:val="22"/>
        </w:rPr>
        <w:t>ar ESR ar gael i Staff y GIG yn Gymraeg ac yn Saesneg er mwyn bodloni gofynion Safon 81 y Safonau Gweithredol.</w:t>
      </w:r>
    </w:p>
    <w:p>
      <w:pPr>
        <w:pStyle w:val="BodyText"/>
        <w:spacing w:before="7"/>
        <w:rPr>
          <w:rFonts w:ascii="Calibri"/>
          <w:sz w:val="28"/>
        </w:rPr>
      </w:pPr>
    </w:p>
    <w:p>
      <w:pPr>
        <w:pStyle w:val="Heading7"/>
        <w:numPr>
          <w:ilvl w:val="0"/>
          <w:numId w:val="50"/>
        </w:numPr>
        <w:tabs>
          <w:tab w:pos="2159" w:val="left" w:leader="none"/>
          <w:tab w:pos="2161" w:val="left" w:leader="none"/>
        </w:tabs>
        <w:spacing w:line="240" w:lineRule="auto" w:before="0" w:after="0"/>
        <w:ind w:left="2160" w:right="0" w:hanging="361"/>
        <w:jc w:val="left"/>
        <w:rPr>
          <w:rFonts w:ascii="Symbol" w:hAnsi="Symbol"/>
          <w:b w:val="0"/>
        </w:rPr>
      </w:pPr>
      <w:r>
        <w:rPr/>
        <w:t>Prosiect</w:t>
      </w:r>
      <w:r>
        <w:rPr>
          <w:spacing w:val="-6"/>
        </w:rPr>
        <w:t> </w:t>
      </w:r>
      <w:r>
        <w:rPr/>
        <w:t>Adolygu'r</w:t>
      </w:r>
      <w:r>
        <w:rPr>
          <w:spacing w:val="-5"/>
        </w:rPr>
        <w:t> </w:t>
      </w:r>
      <w:r>
        <w:rPr/>
        <w:t>Ganolfan</w:t>
      </w:r>
      <w:r>
        <w:rPr>
          <w:spacing w:val="-4"/>
        </w:rPr>
        <w:t> </w:t>
      </w:r>
      <w:r>
        <w:rPr>
          <w:spacing w:val="-2"/>
        </w:rPr>
        <w:t>Gyswllt</w:t>
      </w:r>
    </w:p>
    <w:p>
      <w:pPr>
        <w:spacing w:before="0"/>
        <w:ind w:left="2160" w:right="1405" w:firstLine="0"/>
        <w:jc w:val="left"/>
        <w:rPr>
          <w:rFonts w:ascii="Calibri" w:hAnsi="Calibri"/>
          <w:sz w:val="22"/>
        </w:rPr>
      </w:pPr>
      <w:r>
        <w:rPr>
          <w:rFonts w:ascii="Calibri" w:hAnsi="Calibri"/>
          <w:sz w:val="22"/>
        </w:rPr>
        <w:t>Diben</w:t>
      </w:r>
      <w:r>
        <w:rPr>
          <w:rFonts w:ascii="Calibri" w:hAnsi="Calibri"/>
          <w:spacing w:val="-4"/>
          <w:sz w:val="22"/>
        </w:rPr>
        <w:t> </w:t>
      </w:r>
      <w:r>
        <w:rPr>
          <w:rFonts w:ascii="Calibri" w:hAnsi="Calibri"/>
          <w:sz w:val="22"/>
        </w:rPr>
        <w:t>y</w:t>
      </w:r>
      <w:r>
        <w:rPr>
          <w:rFonts w:ascii="Calibri" w:hAnsi="Calibri"/>
          <w:spacing w:val="-4"/>
          <w:sz w:val="22"/>
        </w:rPr>
        <w:t> </w:t>
      </w:r>
      <w:r>
        <w:rPr>
          <w:rFonts w:ascii="Calibri" w:hAnsi="Calibri"/>
          <w:sz w:val="22"/>
        </w:rPr>
        <w:t>prosiect</w:t>
      </w:r>
      <w:r>
        <w:rPr>
          <w:rFonts w:ascii="Calibri" w:hAnsi="Calibri"/>
          <w:spacing w:val="-4"/>
          <w:sz w:val="22"/>
        </w:rPr>
        <w:t> </w:t>
      </w:r>
      <w:r>
        <w:rPr>
          <w:rFonts w:ascii="Calibri" w:hAnsi="Calibri"/>
          <w:sz w:val="22"/>
        </w:rPr>
        <w:t>adolygu</w:t>
      </w:r>
      <w:r>
        <w:rPr>
          <w:rFonts w:ascii="Calibri" w:hAnsi="Calibri"/>
          <w:spacing w:val="-4"/>
          <w:sz w:val="22"/>
        </w:rPr>
        <w:t> </w:t>
      </w:r>
      <w:r>
        <w:rPr>
          <w:rFonts w:ascii="Calibri" w:hAnsi="Calibri"/>
          <w:sz w:val="22"/>
        </w:rPr>
        <w:t>hwn</w:t>
      </w:r>
      <w:r>
        <w:rPr>
          <w:rFonts w:ascii="Calibri" w:hAnsi="Calibri"/>
          <w:spacing w:val="-4"/>
          <w:sz w:val="22"/>
        </w:rPr>
        <w:t> </w:t>
      </w:r>
      <w:r>
        <w:rPr>
          <w:rFonts w:ascii="Calibri" w:hAnsi="Calibri"/>
          <w:sz w:val="22"/>
        </w:rPr>
        <w:t>oedd</w:t>
      </w:r>
      <w:r>
        <w:rPr>
          <w:rFonts w:ascii="Calibri" w:hAnsi="Calibri"/>
          <w:spacing w:val="-4"/>
          <w:sz w:val="22"/>
        </w:rPr>
        <w:t> </w:t>
      </w:r>
      <w:r>
        <w:rPr>
          <w:rFonts w:ascii="Calibri" w:hAnsi="Calibri"/>
          <w:sz w:val="22"/>
        </w:rPr>
        <w:t>archwilio</w:t>
      </w:r>
      <w:r>
        <w:rPr>
          <w:rFonts w:ascii="Calibri" w:hAnsi="Calibri"/>
          <w:spacing w:val="-4"/>
          <w:sz w:val="22"/>
        </w:rPr>
        <w:t> </w:t>
      </w:r>
      <w:r>
        <w:rPr>
          <w:rFonts w:ascii="Calibri" w:hAnsi="Calibri"/>
          <w:sz w:val="22"/>
        </w:rPr>
        <w:t>gwasanaethau</w:t>
      </w:r>
      <w:r>
        <w:rPr>
          <w:rFonts w:ascii="Calibri" w:hAnsi="Calibri"/>
          <w:spacing w:val="-4"/>
          <w:sz w:val="22"/>
        </w:rPr>
        <w:t> </w:t>
      </w:r>
      <w:r>
        <w:rPr>
          <w:rFonts w:ascii="Calibri" w:hAnsi="Calibri"/>
          <w:sz w:val="22"/>
        </w:rPr>
        <w:t>ein</w:t>
      </w:r>
      <w:r>
        <w:rPr>
          <w:rFonts w:ascii="Calibri" w:hAnsi="Calibri"/>
          <w:spacing w:val="-4"/>
          <w:sz w:val="22"/>
        </w:rPr>
        <w:t> </w:t>
      </w:r>
      <w:r>
        <w:rPr>
          <w:rFonts w:ascii="Calibri" w:hAnsi="Calibri"/>
          <w:sz w:val="22"/>
        </w:rPr>
        <w:t>canolfannau</w:t>
      </w:r>
      <w:r>
        <w:rPr>
          <w:rFonts w:ascii="Calibri" w:hAnsi="Calibri"/>
          <w:spacing w:val="-4"/>
          <w:sz w:val="22"/>
        </w:rPr>
        <w:t> </w:t>
      </w:r>
      <w:r>
        <w:rPr>
          <w:rFonts w:ascii="Calibri" w:hAnsi="Calibri"/>
          <w:sz w:val="22"/>
        </w:rPr>
        <w:t>presennol, sefydlu sut mae ein cwsmeriaid yn ymgysylltu â ni ar hyn o bryd, nodi gwelliannau, a chynyddu a gwella elfen hunanwasanaethu'r gwasanaethau a ddarparwn.</w:t>
      </w:r>
    </w:p>
    <w:p>
      <w:pPr>
        <w:spacing w:before="0"/>
        <w:ind w:left="2160" w:right="1405" w:firstLine="0"/>
        <w:jc w:val="left"/>
        <w:rPr>
          <w:rFonts w:ascii="Calibri" w:hAnsi="Calibri"/>
          <w:sz w:val="22"/>
        </w:rPr>
      </w:pPr>
      <w:r>
        <w:rPr>
          <w:rFonts w:ascii="Calibri" w:hAnsi="Calibri"/>
          <w:sz w:val="22"/>
        </w:rPr>
        <w:t>Fel</w:t>
      </w:r>
      <w:r>
        <w:rPr>
          <w:rFonts w:ascii="Calibri" w:hAnsi="Calibri"/>
          <w:spacing w:val="-3"/>
          <w:sz w:val="22"/>
        </w:rPr>
        <w:t> </w:t>
      </w:r>
      <w:r>
        <w:rPr>
          <w:rFonts w:ascii="Calibri" w:hAnsi="Calibri"/>
          <w:sz w:val="22"/>
        </w:rPr>
        <w:t>rhan</w:t>
      </w:r>
      <w:r>
        <w:rPr>
          <w:rFonts w:ascii="Calibri" w:hAnsi="Calibri"/>
          <w:spacing w:val="-3"/>
          <w:sz w:val="22"/>
        </w:rPr>
        <w:t> </w:t>
      </w:r>
      <w:r>
        <w:rPr>
          <w:rFonts w:ascii="Calibri" w:hAnsi="Calibri"/>
          <w:sz w:val="22"/>
        </w:rPr>
        <w:t>o'r</w:t>
      </w:r>
      <w:r>
        <w:rPr>
          <w:rFonts w:ascii="Calibri" w:hAnsi="Calibri"/>
          <w:spacing w:val="-3"/>
          <w:sz w:val="22"/>
        </w:rPr>
        <w:t> </w:t>
      </w:r>
      <w:r>
        <w:rPr>
          <w:rFonts w:ascii="Calibri" w:hAnsi="Calibri"/>
          <w:sz w:val="22"/>
        </w:rPr>
        <w:t>gwaith</w:t>
      </w:r>
      <w:r>
        <w:rPr>
          <w:rFonts w:ascii="Calibri" w:hAnsi="Calibri"/>
          <w:spacing w:val="-3"/>
          <w:sz w:val="22"/>
        </w:rPr>
        <w:t> </w:t>
      </w:r>
      <w:r>
        <w:rPr>
          <w:rFonts w:ascii="Calibri" w:hAnsi="Calibri"/>
          <w:sz w:val="22"/>
        </w:rPr>
        <w:t>hwn,</w:t>
      </w:r>
      <w:r>
        <w:rPr>
          <w:rFonts w:ascii="Calibri" w:hAnsi="Calibri"/>
          <w:spacing w:val="-3"/>
          <w:sz w:val="22"/>
        </w:rPr>
        <w:t> </w:t>
      </w:r>
      <w:r>
        <w:rPr>
          <w:rFonts w:ascii="Calibri" w:hAnsi="Calibri"/>
          <w:sz w:val="22"/>
        </w:rPr>
        <w:t>craffwyd</w:t>
      </w:r>
      <w:r>
        <w:rPr>
          <w:rFonts w:ascii="Calibri" w:hAnsi="Calibri"/>
          <w:spacing w:val="-3"/>
          <w:sz w:val="22"/>
        </w:rPr>
        <w:t> </w:t>
      </w:r>
      <w:r>
        <w:rPr>
          <w:rFonts w:ascii="Calibri" w:hAnsi="Calibri"/>
          <w:sz w:val="22"/>
        </w:rPr>
        <w:t>hefyd</w:t>
      </w:r>
      <w:r>
        <w:rPr>
          <w:rFonts w:ascii="Calibri" w:hAnsi="Calibri"/>
          <w:spacing w:val="-3"/>
          <w:sz w:val="22"/>
        </w:rPr>
        <w:t> </w:t>
      </w:r>
      <w:r>
        <w:rPr>
          <w:rFonts w:ascii="Calibri" w:hAnsi="Calibri"/>
          <w:sz w:val="22"/>
        </w:rPr>
        <w:t>ar</w:t>
      </w:r>
      <w:r>
        <w:rPr>
          <w:rFonts w:ascii="Calibri" w:hAnsi="Calibri"/>
          <w:spacing w:val="-3"/>
          <w:sz w:val="22"/>
        </w:rPr>
        <w:t> </w:t>
      </w:r>
      <w:r>
        <w:rPr>
          <w:rFonts w:ascii="Calibri" w:hAnsi="Calibri"/>
          <w:sz w:val="22"/>
        </w:rPr>
        <w:t>y</w:t>
      </w:r>
      <w:r>
        <w:rPr>
          <w:rFonts w:ascii="Calibri" w:hAnsi="Calibri"/>
          <w:spacing w:val="-3"/>
          <w:sz w:val="22"/>
        </w:rPr>
        <w:t> </w:t>
      </w:r>
      <w:r>
        <w:rPr>
          <w:rFonts w:ascii="Calibri" w:hAnsi="Calibri"/>
          <w:sz w:val="22"/>
        </w:rPr>
        <w:t>gwasanaethau</w:t>
      </w:r>
      <w:r>
        <w:rPr>
          <w:rFonts w:ascii="Calibri" w:hAnsi="Calibri"/>
          <w:spacing w:val="-3"/>
          <w:sz w:val="22"/>
        </w:rPr>
        <w:t> </w:t>
      </w:r>
      <w:r>
        <w:rPr>
          <w:rFonts w:ascii="Calibri" w:hAnsi="Calibri"/>
          <w:sz w:val="22"/>
        </w:rPr>
        <w:t>Cymraeg</w:t>
      </w:r>
      <w:r>
        <w:rPr>
          <w:rFonts w:ascii="Calibri" w:hAnsi="Calibri"/>
          <w:spacing w:val="-3"/>
          <w:sz w:val="22"/>
        </w:rPr>
        <w:t> </w:t>
      </w:r>
      <w:r>
        <w:rPr>
          <w:rFonts w:ascii="Calibri" w:hAnsi="Calibri"/>
          <w:sz w:val="22"/>
        </w:rPr>
        <w:t>a</w:t>
      </w:r>
      <w:r>
        <w:rPr>
          <w:rFonts w:ascii="Calibri" w:hAnsi="Calibri"/>
          <w:spacing w:val="-3"/>
          <w:sz w:val="22"/>
        </w:rPr>
        <w:t> </w:t>
      </w:r>
      <w:r>
        <w:rPr>
          <w:rFonts w:ascii="Calibri" w:hAnsi="Calibri"/>
          <w:sz w:val="22"/>
        </w:rPr>
        <w:t>ddarperir,</w:t>
      </w:r>
      <w:r>
        <w:rPr>
          <w:rFonts w:ascii="Calibri" w:hAnsi="Calibri"/>
          <w:spacing w:val="-3"/>
          <w:sz w:val="22"/>
        </w:rPr>
        <w:t> </w:t>
      </w:r>
      <w:r>
        <w:rPr>
          <w:rFonts w:ascii="Calibri" w:hAnsi="Calibri"/>
          <w:sz w:val="22"/>
        </w:rPr>
        <w:t>a</w:t>
      </w:r>
      <w:r>
        <w:rPr>
          <w:rFonts w:ascii="Calibri" w:hAnsi="Calibri"/>
          <w:spacing w:val="-3"/>
          <w:sz w:val="22"/>
        </w:rPr>
        <w:t> </w:t>
      </w:r>
      <w:r>
        <w:rPr>
          <w:rFonts w:ascii="Calibri" w:hAnsi="Calibri"/>
          <w:sz w:val="22"/>
        </w:rPr>
        <w:t>nododd arolwg a ddosbarthwyd i staff y GIG fod rhwng 10% ac 20% o staff y GIG yn dymuno ymgysylltu â ni drwy gyfrwng y Gymraeg.</w:t>
      </w:r>
    </w:p>
    <w:p>
      <w:pPr>
        <w:spacing w:line="259" w:lineRule="auto" w:before="0"/>
        <w:ind w:left="2160" w:right="1405" w:firstLine="0"/>
        <w:jc w:val="left"/>
        <w:rPr>
          <w:rFonts w:ascii="Calibri" w:hAnsi="Calibri"/>
          <w:sz w:val="22"/>
        </w:rPr>
      </w:pPr>
      <w:r>
        <w:rPr>
          <w:rFonts w:ascii="Calibri" w:hAnsi="Calibri"/>
          <w:sz w:val="22"/>
        </w:rPr>
        <w:t>Bydd gwaith pellach yn cael ei wneud gyda chanolfannau cyswllt ar draws PCGC yn ystod y flwyddyn i ddod. Bwriedir creu cynlluniau gweithredu lleol i gynyddu capasiti o fewn gwasanaethau</w:t>
      </w:r>
      <w:r>
        <w:rPr>
          <w:rFonts w:ascii="Calibri" w:hAnsi="Calibri"/>
          <w:spacing w:val="-3"/>
          <w:sz w:val="22"/>
        </w:rPr>
        <w:t> </w:t>
      </w:r>
      <w:r>
        <w:rPr>
          <w:rFonts w:ascii="Calibri" w:hAnsi="Calibri"/>
          <w:sz w:val="22"/>
        </w:rPr>
        <w:t>cwsmeriaid/llinellau</w:t>
      </w:r>
      <w:r>
        <w:rPr>
          <w:rFonts w:ascii="Calibri" w:hAnsi="Calibri"/>
          <w:spacing w:val="-3"/>
          <w:sz w:val="22"/>
        </w:rPr>
        <w:t> </w:t>
      </w:r>
      <w:r>
        <w:rPr>
          <w:rFonts w:ascii="Calibri" w:hAnsi="Calibri"/>
          <w:sz w:val="22"/>
        </w:rPr>
        <w:t>cymorth</w:t>
      </w:r>
      <w:r>
        <w:rPr>
          <w:rFonts w:ascii="Calibri" w:hAnsi="Calibri"/>
          <w:spacing w:val="-3"/>
          <w:sz w:val="22"/>
        </w:rPr>
        <w:t> </w:t>
      </w:r>
      <w:r>
        <w:rPr>
          <w:rFonts w:ascii="Calibri" w:hAnsi="Calibri"/>
          <w:sz w:val="22"/>
        </w:rPr>
        <w:t>i</w:t>
      </w:r>
      <w:r>
        <w:rPr>
          <w:rFonts w:ascii="Calibri" w:hAnsi="Calibri"/>
          <w:spacing w:val="-4"/>
          <w:sz w:val="22"/>
        </w:rPr>
        <w:t> </w:t>
      </w:r>
      <w:r>
        <w:rPr>
          <w:rFonts w:ascii="Calibri" w:hAnsi="Calibri"/>
          <w:sz w:val="22"/>
        </w:rPr>
        <w:t>gynnig</w:t>
      </w:r>
      <w:r>
        <w:rPr>
          <w:rFonts w:ascii="Calibri" w:hAnsi="Calibri"/>
          <w:spacing w:val="-4"/>
          <w:sz w:val="22"/>
        </w:rPr>
        <w:t> </w:t>
      </w:r>
      <w:r>
        <w:rPr>
          <w:rFonts w:ascii="Calibri" w:hAnsi="Calibri"/>
          <w:sz w:val="22"/>
        </w:rPr>
        <w:t>mwy</w:t>
      </w:r>
      <w:r>
        <w:rPr>
          <w:rFonts w:ascii="Calibri" w:hAnsi="Calibri"/>
          <w:spacing w:val="-3"/>
          <w:sz w:val="22"/>
        </w:rPr>
        <w:t> </w:t>
      </w:r>
      <w:r>
        <w:rPr>
          <w:rFonts w:ascii="Calibri" w:hAnsi="Calibri"/>
          <w:sz w:val="22"/>
        </w:rPr>
        <w:t>o’n</w:t>
      </w:r>
      <w:r>
        <w:rPr>
          <w:rFonts w:ascii="Calibri" w:hAnsi="Calibri"/>
          <w:spacing w:val="-4"/>
          <w:sz w:val="22"/>
        </w:rPr>
        <w:t> </w:t>
      </w:r>
      <w:r>
        <w:rPr>
          <w:rFonts w:ascii="Calibri" w:hAnsi="Calibri"/>
          <w:sz w:val="22"/>
        </w:rPr>
        <w:t>gwasanaethau</w:t>
      </w:r>
      <w:r>
        <w:rPr>
          <w:rFonts w:ascii="Calibri" w:hAnsi="Calibri"/>
          <w:spacing w:val="-3"/>
          <w:sz w:val="22"/>
        </w:rPr>
        <w:t> </w:t>
      </w:r>
      <w:r>
        <w:rPr>
          <w:rFonts w:ascii="Calibri" w:hAnsi="Calibri"/>
          <w:sz w:val="22"/>
        </w:rPr>
        <w:t>drwy</w:t>
      </w:r>
      <w:r>
        <w:rPr>
          <w:rFonts w:ascii="Calibri" w:hAnsi="Calibri"/>
          <w:spacing w:val="-4"/>
          <w:sz w:val="22"/>
        </w:rPr>
        <w:t> </w:t>
      </w:r>
      <w:r>
        <w:rPr>
          <w:rFonts w:ascii="Calibri" w:hAnsi="Calibri"/>
          <w:sz w:val="22"/>
        </w:rPr>
        <w:t>gyfrwng</w:t>
      </w:r>
      <w:r>
        <w:rPr>
          <w:rFonts w:ascii="Calibri" w:hAnsi="Calibri"/>
          <w:spacing w:val="-4"/>
          <w:sz w:val="22"/>
        </w:rPr>
        <w:t> </w:t>
      </w:r>
      <w:r>
        <w:rPr>
          <w:rFonts w:ascii="Calibri" w:hAnsi="Calibri"/>
          <w:sz w:val="22"/>
        </w:rPr>
        <w:t>y </w:t>
      </w:r>
      <w:r>
        <w:rPr>
          <w:rFonts w:ascii="Calibri" w:hAnsi="Calibri"/>
          <w:spacing w:val="-2"/>
          <w:sz w:val="22"/>
        </w:rPr>
        <w:t>Gymraeg.</w:t>
      </w:r>
    </w:p>
    <w:p>
      <w:pPr>
        <w:pStyle w:val="BodyText"/>
        <w:rPr>
          <w:rFonts w:ascii="Calibri"/>
          <w:sz w:val="22"/>
        </w:rPr>
      </w:pPr>
    </w:p>
    <w:p>
      <w:pPr>
        <w:pStyle w:val="BodyText"/>
        <w:spacing w:before="5"/>
        <w:rPr>
          <w:rFonts w:ascii="Calibri"/>
          <w:sz w:val="25"/>
        </w:rPr>
      </w:pPr>
    </w:p>
    <w:p>
      <w:pPr>
        <w:pStyle w:val="Heading7"/>
        <w:numPr>
          <w:ilvl w:val="0"/>
          <w:numId w:val="50"/>
        </w:numPr>
        <w:tabs>
          <w:tab w:pos="2159" w:val="left" w:leader="none"/>
          <w:tab w:pos="2161" w:val="left" w:leader="none"/>
        </w:tabs>
        <w:spacing w:line="240" w:lineRule="auto" w:before="0" w:after="0"/>
        <w:ind w:left="2160" w:right="0" w:hanging="361"/>
        <w:jc w:val="left"/>
        <w:rPr>
          <w:rFonts w:ascii="Symbol" w:hAnsi="Symbol"/>
          <w:b w:val="0"/>
        </w:rPr>
      </w:pPr>
      <w:r>
        <w:rPr/>
        <w:t>Diweddariadau</w:t>
      </w:r>
      <w:r>
        <w:rPr>
          <w:spacing w:val="-6"/>
        </w:rPr>
        <w:t> </w:t>
      </w:r>
      <w:r>
        <w:rPr/>
        <w:t>i</w:t>
      </w:r>
      <w:r>
        <w:rPr>
          <w:spacing w:val="-5"/>
        </w:rPr>
        <w:t> </w:t>
      </w:r>
      <w:r>
        <w:rPr/>
        <w:t>System</w:t>
      </w:r>
      <w:r>
        <w:rPr>
          <w:spacing w:val="-4"/>
        </w:rPr>
        <w:t> </w:t>
      </w:r>
      <w:r>
        <w:rPr/>
        <w:t>Recriwtio</w:t>
      </w:r>
      <w:r>
        <w:rPr>
          <w:spacing w:val="-4"/>
        </w:rPr>
        <w:t> TRAC</w:t>
      </w:r>
    </w:p>
    <w:p>
      <w:pPr>
        <w:spacing w:line="259" w:lineRule="auto" w:before="0"/>
        <w:ind w:left="2160" w:right="1693" w:firstLine="0"/>
        <w:jc w:val="both"/>
        <w:rPr>
          <w:rFonts w:ascii="Calibri"/>
          <w:sz w:val="22"/>
        </w:rPr>
      </w:pPr>
      <w:r>
        <w:rPr>
          <w:rFonts w:ascii="Calibri"/>
          <w:sz w:val="22"/>
        </w:rPr>
        <w:t>Rydym</w:t>
      </w:r>
      <w:r>
        <w:rPr>
          <w:rFonts w:ascii="Calibri"/>
          <w:spacing w:val="-3"/>
          <w:sz w:val="22"/>
        </w:rPr>
        <w:t> </w:t>
      </w:r>
      <w:r>
        <w:rPr>
          <w:rFonts w:ascii="Calibri"/>
          <w:sz w:val="22"/>
        </w:rPr>
        <w:t>wedi</w:t>
      </w:r>
      <w:r>
        <w:rPr>
          <w:rFonts w:ascii="Calibri"/>
          <w:spacing w:val="-3"/>
          <w:sz w:val="22"/>
        </w:rPr>
        <w:t> </w:t>
      </w:r>
      <w:r>
        <w:rPr>
          <w:rFonts w:ascii="Calibri"/>
          <w:sz w:val="22"/>
        </w:rPr>
        <w:t>parhau</w:t>
      </w:r>
      <w:r>
        <w:rPr>
          <w:rFonts w:ascii="Calibri"/>
          <w:spacing w:val="-3"/>
          <w:sz w:val="22"/>
        </w:rPr>
        <w:t> </w:t>
      </w:r>
      <w:r>
        <w:rPr>
          <w:rFonts w:ascii="Calibri"/>
          <w:sz w:val="22"/>
        </w:rPr>
        <w:t>i</w:t>
      </w:r>
      <w:r>
        <w:rPr>
          <w:rFonts w:ascii="Calibri"/>
          <w:spacing w:val="-3"/>
          <w:sz w:val="22"/>
        </w:rPr>
        <w:t> </w:t>
      </w:r>
      <w:r>
        <w:rPr>
          <w:rFonts w:ascii="Calibri"/>
          <w:sz w:val="22"/>
        </w:rPr>
        <w:t>weithio</w:t>
      </w:r>
      <w:r>
        <w:rPr>
          <w:rFonts w:ascii="Calibri"/>
          <w:spacing w:val="-3"/>
          <w:sz w:val="22"/>
        </w:rPr>
        <w:t> </w:t>
      </w:r>
      <w:r>
        <w:rPr>
          <w:rFonts w:ascii="Calibri"/>
          <w:sz w:val="22"/>
        </w:rPr>
        <w:t>gyda</w:t>
      </w:r>
      <w:r>
        <w:rPr>
          <w:rFonts w:ascii="Calibri"/>
          <w:spacing w:val="-3"/>
          <w:sz w:val="22"/>
        </w:rPr>
        <w:t> </w:t>
      </w:r>
      <w:r>
        <w:rPr>
          <w:rFonts w:ascii="Calibri"/>
          <w:sz w:val="22"/>
        </w:rPr>
        <w:t>datblygwyr</w:t>
      </w:r>
      <w:r>
        <w:rPr>
          <w:rFonts w:ascii="Calibri"/>
          <w:spacing w:val="-3"/>
          <w:sz w:val="22"/>
        </w:rPr>
        <w:t> </w:t>
      </w:r>
      <w:r>
        <w:rPr>
          <w:rFonts w:ascii="Calibri"/>
          <w:sz w:val="22"/>
        </w:rPr>
        <w:t>system</w:t>
      </w:r>
      <w:r>
        <w:rPr>
          <w:rFonts w:ascii="Calibri"/>
          <w:spacing w:val="-3"/>
          <w:sz w:val="22"/>
        </w:rPr>
        <w:t> </w:t>
      </w:r>
      <w:r>
        <w:rPr>
          <w:rFonts w:ascii="Calibri"/>
          <w:sz w:val="22"/>
        </w:rPr>
        <w:t>TRAC</w:t>
      </w:r>
      <w:r>
        <w:rPr>
          <w:rFonts w:ascii="Calibri"/>
          <w:spacing w:val="-3"/>
          <w:sz w:val="22"/>
        </w:rPr>
        <w:t> </w:t>
      </w:r>
      <w:r>
        <w:rPr>
          <w:rFonts w:ascii="Calibri"/>
          <w:sz w:val="22"/>
        </w:rPr>
        <w:t>i</w:t>
      </w:r>
      <w:r>
        <w:rPr>
          <w:rFonts w:ascii="Calibri"/>
          <w:spacing w:val="-3"/>
          <w:sz w:val="22"/>
        </w:rPr>
        <w:t> </w:t>
      </w:r>
      <w:r>
        <w:rPr>
          <w:rFonts w:ascii="Calibri"/>
          <w:sz w:val="22"/>
        </w:rPr>
        <w:t>sicrhau</w:t>
      </w:r>
      <w:r>
        <w:rPr>
          <w:rFonts w:ascii="Calibri"/>
          <w:spacing w:val="-3"/>
          <w:sz w:val="22"/>
        </w:rPr>
        <w:t> </w:t>
      </w:r>
      <w:r>
        <w:rPr>
          <w:rFonts w:ascii="Calibri"/>
          <w:sz w:val="22"/>
        </w:rPr>
        <w:t>bod</w:t>
      </w:r>
      <w:r>
        <w:rPr>
          <w:rFonts w:ascii="Calibri"/>
          <w:spacing w:val="-3"/>
          <w:sz w:val="22"/>
        </w:rPr>
        <w:t> </w:t>
      </w:r>
      <w:r>
        <w:rPr>
          <w:rFonts w:ascii="Calibri"/>
          <w:sz w:val="22"/>
        </w:rPr>
        <w:t>y</w:t>
      </w:r>
      <w:r>
        <w:rPr>
          <w:rFonts w:ascii="Calibri"/>
          <w:spacing w:val="-3"/>
          <w:sz w:val="22"/>
        </w:rPr>
        <w:t> </w:t>
      </w:r>
      <w:r>
        <w:rPr>
          <w:rFonts w:ascii="Calibri"/>
          <w:sz w:val="22"/>
        </w:rPr>
        <w:t>rhyngwyneb</w:t>
      </w:r>
      <w:r>
        <w:rPr>
          <w:rFonts w:ascii="Calibri"/>
          <w:spacing w:val="-3"/>
          <w:sz w:val="22"/>
        </w:rPr>
        <w:t> </w:t>
      </w:r>
      <w:r>
        <w:rPr>
          <w:rFonts w:ascii="Calibri"/>
          <w:sz w:val="22"/>
        </w:rPr>
        <w:t>ar gyfer y system yn parhau i fod yn gyfoes ac yn gyson yn y Gymraeg a'r Saesneg.</w:t>
      </w:r>
    </w:p>
    <w:p>
      <w:pPr>
        <w:pStyle w:val="BodyText"/>
        <w:spacing w:before="8"/>
        <w:rPr>
          <w:rFonts w:ascii="Calibri"/>
          <w:sz w:val="23"/>
        </w:rPr>
      </w:pPr>
    </w:p>
    <w:p>
      <w:pPr>
        <w:pStyle w:val="Heading7"/>
        <w:numPr>
          <w:ilvl w:val="0"/>
          <w:numId w:val="50"/>
        </w:numPr>
        <w:tabs>
          <w:tab w:pos="2159" w:val="left" w:leader="none"/>
          <w:tab w:pos="2161" w:val="left" w:leader="none"/>
        </w:tabs>
        <w:spacing w:line="240" w:lineRule="auto" w:before="1" w:after="0"/>
        <w:ind w:left="2160" w:right="0" w:hanging="361"/>
        <w:jc w:val="left"/>
        <w:rPr>
          <w:rFonts w:ascii="Symbol" w:hAnsi="Symbol"/>
          <w:b w:val="0"/>
        </w:rPr>
      </w:pPr>
      <w:r>
        <w:rPr/>
        <w:t>Cwrs</w:t>
      </w:r>
      <w:r>
        <w:rPr>
          <w:spacing w:val="-3"/>
        </w:rPr>
        <w:t> </w:t>
      </w:r>
      <w:r>
        <w:rPr/>
        <w:t>Cydsynio</w:t>
      </w:r>
      <w:r>
        <w:rPr>
          <w:spacing w:val="-2"/>
        </w:rPr>
        <w:t> </w:t>
      </w:r>
      <w:r>
        <w:rPr/>
        <w:t>ar</w:t>
      </w:r>
      <w:r>
        <w:rPr>
          <w:spacing w:val="-2"/>
        </w:rPr>
        <w:t> </w:t>
      </w:r>
      <w:r>
        <w:rPr/>
        <w:t>sail</w:t>
      </w:r>
      <w:r>
        <w:rPr>
          <w:spacing w:val="-2"/>
        </w:rPr>
        <w:t> </w:t>
      </w:r>
      <w:r>
        <w:rPr/>
        <w:t>Gwybodaeth</w:t>
      </w:r>
      <w:r>
        <w:rPr>
          <w:spacing w:val="-2"/>
        </w:rPr>
        <w:t> </w:t>
      </w:r>
      <w:r>
        <w:rPr/>
        <w:t>a</w:t>
      </w:r>
      <w:r>
        <w:rPr>
          <w:spacing w:val="-2"/>
        </w:rPr>
        <w:t> </w:t>
      </w:r>
      <w:r>
        <w:rPr/>
        <w:t>Galluedd</w:t>
      </w:r>
      <w:r>
        <w:rPr>
          <w:spacing w:val="-2"/>
        </w:rPr>
        <w:t> </w:t>
      </w:r>
      <w:r>
        <w:rPr/>
        <w:t>ar</w:t>
      </w:r>
      <w:r>
        <w:rPr>
          <w:spacing w:val="-2"/>
        </w:rPr>
        <w:t> </w:t>
      </w:r>
      <w:r>
        <w:rPr/>
        <w:t>gyfer</w:t>
      </w:r>
      <w:r>
        <w:rPr>
          <w:spacing w:val="-3"/>
        </w:rPr>
        <w:t> </w:t>
      </w:r>
      <w:r>
        <w:rPr/>
        <w:t>staff</w:t>
      </w:r>
      <w:r>
        <w:rPr>
          <w:spacing w:val="-2"/>
        </w:rPr>
        <w:t> </w:t>
      </w:r>
      <w:r>
        <w:rPr/>
        <w:t>GIG</w:t>
      </w:r>
      <w:r>
        <w:rPr>
          <w:spacing w:val="-2"/>
        </w:rPr>
        <w:t> Cymru</w:t>
      </w:r>
    </w:p>
    <w:p>
      <w:pPr>
        <w:spacing w:line="259" w:lineRule="auto" w:before="27"/>
        <w:ind w:left="2160" w:right="1471" w:firstLine="0"/>
        <w:jc w:val="left"/>
        <w:rPr>
          <w:rFonts w:ascii="Calibri" w:hAnsi="Calibri"/>
          <w:sz w:val="22"/>
        </w:rPr>
      </w:pPr>
      <w:r>
        <w:rPr>
          <w:rFonts w:ascii="Calibri" w:hAnsi="Calibri"/>
          <w:sz w:val="22"/>
        </w:rPr>
        <w:t>Mae</w:t>
      </w:r>
      <w:r>
        <w:rPr>
          <w:rFonts w:ascii="Calibri" w:hAnsi="Calibri"/>
          <w:spacing w:val="-3"/>
          <w:sz w:val="22"/>
        </w:rPr>
        <w:t> </w:t>
      </w:r>
      <w:r>
        <w:rPr>
          <w:rFonts w:ascii="Calibri" w:hAnsi="Calibri"/>
          <w:sz w:val="22"/>
        </w:rPr>
        <w:t>Cronfa</w:t>
      </w:r>
      <w:r>
        <w:rPr>
          <w:rFonts w:ascii="Calibri" w:hAnsi="Calibri"/>
          <w:spacing w:val="-4"/>
          <w:sz w:val="22"/>
        </w:rPr>
        <w:t> </w:t>
      </w:r>
      <w:r>
        <w:rPr>
          <w:rFonts w:ascii="Calibri" w:hAnsi="Calibri"/>
          <w:sz w:val="22"/>
        </w:rPr>
        <w:t>Risg</w:t>
      </w:r>
      <w:r>
        <w:rPr>
          <w:rFonts w:ascii="Calibri" w:hAnsi="Calibri"/>
          <w:spacing w:val="-4"/>
          <w:sz w:val="22"/>
        </w:rPr>
        <w:t> </w:t>
      </w:r>
      <w:r>
        <w:rPr>
          <w:rFonts w:ascii="Calibri" w:hAnsi="Calibri"/>
          <w:sz w:val="22"/>
        </w:rPr>
        <w:t>Cymru</w:t>
      </w:r>
      <w:r>
        <w:rPr>
          <w:rFonts w:ascii="Calibri" w:hAnsi="Calibri"/>
          <w:spacing w:val="-3"/>
          <w:sz w:val="22"/>
        </w:rPr>
        <w:t> </w:t>
      </w:r>
      <w:r>
        <w:rPr>
          <w:rFonts w:ascii="Calibri" w:hAnsi="Calibri"/>
          <w:sz w:val="22"/>
        </w:rPr>
        <w:t>a’r</w:t>
      </w:r>
      <w:r>
        <w:rPr>
          <w:rFonts w:ascii="Calibri" w:hAnsi="Calibri"/>
          <w:spacing w:val="-3"/>
          <w:sz w:val="22"/>
        </w:rPr>
        <w:t> </w:t>
      </w:r>
      <w:r>
        <w:rPr>
          <w:rFonts w:ascii="Calibri" w:hAnsi="Calibri"/>
          <w:sz w:val="22"/>
        </w:rPr>
        <w:t>Pwyllgor</w:t>
      </w:r>
      <w:r>
        <w:rPr>
          <w:rFonts w:ascii="Calibri" w:hAnsi="Calibri"/>
          <w:spacing w:val="-3"/>
          <w:sz w:val="22"/>
        </w:rPr>
        <w:t> </w:t>
      </w:r>
      <w:r>
        <w:rPr>
          <w:rFonts w:ascii="Calibri" w:hAnsi="Calibri"/>
          <w:sz w:val="22"/>
        </w:rPr>
        <w:t>Cymru</w:t>
      </w:r>
      <w:r>
        <w:rPr>
          <w:rFonts w:ascii="Calibri" w:hAnsi="Calibri"/>
          <w:spacing w:val="-3"/>
          <w:sz w:val="22"/>
        </w:rPr>
        <w:t> </w:t>
      </w:r>
      <w:r>
        <w:rPr>
          <w:rFonts w:ascii="Calibri" w:hAnsi="Calibri"/>
          <w:sz w:val="22"/>
        </w:rPr>
        <w:t>Gyfan</w:t>
      </w:r>
      <w:r>
        <w:rPr>
          <w:rFonts w:ascii="Calibri" w:hAnsi="Calibri"/>
          <w:spacing w:val="-3"/>
          <w:sz w:val="22"/>
        </w:rPr>
        <w:t> </w:t>
      </w:r>
      <w:r>
        <w:rPr>
          <w:rFonts w:ascii="Calibri" w:hAnsi="Calibri"/>
          <w:sz w:val="22"/>
        </w:rPr>
        <w:t>wedi</w:t>
      </w:r>
      <w:r>
        <w:rPr>
          <w:rFonts w:ascii="Calibri" w:hAnsi="Calibri"/>
          <w:spacing w:val="-4"/>
          <w:sz w:val="22"/>
        </w:rPr>
        <w:t> </w:t>
      </w:r>
      <w:r>
        <w:rPr>
          <w:rFonts w:ascii="Calibri" w:hAnsi="Calibri"/>
          <w:sz w:val="22"/>
        </w:rPr>
        <w:t>creu</w:t>
      </w:r>
      <w:r>
        <w:rPr>
          <w:rFonts w:ascii="Calibri" w:hAnsi="Calibri"/>
          <w:spacing w:val="-3"/>
          <w:sz w:val="22"/>
        </w:rPr>
        <w:t> </w:t>
      </w:r>
      <w:r>
        <w:rPr>
          <w:rFonts w:ascii="Calibri" w:hAnsi="Calibri"/>
          <w:sz w:val="22"/>
        </w:rPr>
        <w:t>modiwl</w:t>
      </w:r>
      <w:r>
        <w:rPr>
          <w:rFonts w:ascii="Calibri" w:hAnsi="Calibri"/>
          <w:spacing w:val="-3"/>
          <w:sz w:val="22"/>
        </w:rPr>
        <w:t> </w:t>
      </w:r>
      <w:r>
        <w:rPr>
          <w:rFonts w:ascii="Calibri" w:hAnsi="Calibri"/>
          <w:sz w:val="22"/>
        </w:rPr>
        <w:t>addysgol</w:t>
      </w:r>
      <w:r>
        <w:rPr>
          <w:rFonts w:ascii="Calibri" w:hAnsi="Calibri"/>
          <w:spacing w:val="-4"/>
          <w:sz w:val="22"/>
        </w:rPr>
        <w:t> </w:t>
      </w:r>
      <w:r>
        <w:rPr>
          <w:rFonts w:ascii="Calibri" w:hAnsi="Calibri"/>
          <w:sz w:val="22"/>
        </w:rPr>
        <w:t>am</w:t>
      </w:r>
      <w:r>
        <w:rPr>
          <w:rFonts w:ascii="Calibri" w:hAnsi="Calibri"/>
          <w:spacing w:val="-4"/>
          <w:sz w:val="22"/>
        </w:rPr>
        <w:t> </w:t>
      </w:r>
      <w:r>
        <w:rPr>
          <w:rFonts w:ascii="Calibri" w:hAnsi="Calibri"/>
          <w:sz w:val="22"/>
        </w:rPr>
        <w:t>gydsyniad cleifion ar gyfer staff y GIG.</w:t>
      </w:r>
      <w:r>
        <w:rPr>
          <w:rFonts w:ascii="Calibri" w:hAnsi="Calibri"/>
          <w:spacing w:val="40"/>
          <w:sz w:val="22"/>
        </w:rPr>
        <w:t> </w:t>
      </w:r>
      <w:r>
        <w:rPr>
          <w:rFonts w:ascii="Calibri" w:hAnsi="Calibri"/>
          <w:sz w:val="22"/>
        </w:rPr>
        <w:t>Mae ffocws y cwrs ar elfennau hollbwysig o gydsynio ar sail gwybodaeth, ac rydym wedi sicrhau bod adran benodol ar wneud staff yn ymwybodol o bwysigrwydd a hawl claf i allu cydsynio yn ei ddewis iaith.</w:t>
      </w:r>
      <w:r>
        <w:rPr>
          <w:rFonts w:ascii="Calibri" w:hAnsi="Calibri"/>
          <w:spacing w:val="40"/>
          <w:sz w:val="22"/>
        </w:rPr>
        <w:t> </w:t>
      </w:r>
      <w:r>
        <w:rPr>
          <w:rFonts w:ascii="Calibri" w:hAnsi="Calibri"/>
          <w:sz w:val="22"/>
        </w:rPr>
        <w:t>Buom yn gweithio ar y cyd â Bwrdd Iechyd Prifysgol Betsi Cadwaladr ar gynhyrchu fideo sy’n amlinellu pwysigrwydd cyfathrebu yn y cwrs cydsynio a galluedd ar gyfer clinigwyr ar draws GIG Cymru.</w:t>
      </w:r>
    </w:p>
    <w:p>
      <w:pPr>
        <w:spacing w:after="0" w:line="259" w:lineRule="auto"/>
        <w:jc w:val="left"/>
        <w:rPr>
          <w:rFonts w:ascii="Calibri" w:hAnsi="Calibri"/>
          <w:sz w:val="22"/>
        </w:rPr>
        <w:sectPr>
          <w:pgSz w:w="11910" w:h="16840"/>
          <w:pgMar w:header="0" w:footer="173" w:top="1380" w:bottom="360" w:left="0" w:right="0"/>
        </w:sectPr>
      </w:pPr>
    </w:p>
    <w:p>
      <w:pPr>
        <w:pStyle w:val="Heading7"/>
        <w:numPr>
          <w:ilvl w:val="0"/>
          <w:numId w:val="50"/>
        </w:numPr>
        <w:tabs>
          <w:tab w:pos="2159" w:val="left" w:leader="none"/>
          <w:tab w:pos="2160" w:val="left" w:leader="none"/>
        </w:tabs>
        <w:spacing w:line="240" w:lineRule="auto" w:before="42" w:after="0"/>
        <w:ind w:left="2159" w:right="0" w:hanging="360"/>
        <w:jc w:val="left"/>
        <w:rPr>
          <w:rFonts w:ascii="Symbol" w:hAnsi="Symbol"/>
          <w:b w:val="0"/>
          <w:sz w:val="22"/>
        </w:rPr>
      </w:pPr>
      <w:r>
        <w:rPr/>
        <w:t>Yr</w:t>
      </w:r>
      <w:r>
        <w:rPr>
          <w:spacing w:val="-2"/>
        </w:rPr>
        <w:t> </w:t>
      </w:r>
      <w:r>
        <w:rPr/>
        <w:t>Economi</w:t>
      </w:r>
      <w:r>
        <w:rPr>
          <w:spacing w:val="-1"/>
        </w:rPr>
        <w:t> </w:t>
      </w:r>
      <w:r>
        <w:rPr/>
        <w:t>Sylfaenol</w:t>
      </w:r>
      <w:r>
        <w:rPr>
          <w:spacing w:val="-2"/>
        </w:rPr>
        <w:t> </w:t>
      </w:r>
      <w:r>
        <w:rPr/>
        <w:t>yng</w:t>
      </w:r>
      <w:r>
        <w:rPr>
          <w:spacing w:val="-1"/>
        </w:rPr>
        <w:t> </w:t>
      </w:r>
      <w:r>
        <w:rPr>
          <w:spacing w:val="-2"/>
        </w:rPr>
        <w:t>Nghymru</w:t>
      </w:r>
    </w:p>
    <w:p>
      <w:pPr>
        <w:spacing w:line="259" w:lineRule="auto" w:before="27"/>
        <w:ind w:left="2160" w:right="1405" w:firstLine="0"/>
        <w:jc w:val="left"/>
        <w:rPr>
          <w:rFonts w:ascii="Calibri"/>
          <w:sz w:val="22"/>
        </w:rPr>
      </w:pPr>
      <w:r>
        <w:rPr>
          <w:rFonts w:ascii="Calibri"/>
          <w:sz w:val="22"/>
        </w:rPr>
        <w:t>Yn</w:t>
      </w:r>
      <w:r>
        <w:rPr>
          <w:rFonts w:ascii="Calibri"/>
          <w:spacing w:val="-2"/>
          <w:sz w:val="22"/>
        </w:rPr>
        <w:t> </w:t>
      </w:r>
      <w:r>
        <w:rPr>
          <w:rFonts w:ascii="Calibri"/>
          <w:sz w:val="22"/>
        </w:rPr>
        <w:t>ystod</w:t>
      </w:r>
      <w:r>
        <w:rPr>
          <w:rFonts w:ascii="Calibri"/>
          <w:spacing w:val="-2"/>
          <w:sz w:val="22"/>
        </w:rPr>
        <w:t> </w:t>
      </w:r>
      <w:r>
        <w:rPr>
          <w:rFonts w:ascii="Calibri"/>
          <w:sz w:val="22"/>
        </w:rPr>
        <w:t>y</w:t>
      </w:r>
      <w:r>
        <w:rPr>
          <w:rFonts w:ascii="Calibri"/>
          <w:spacing w:val="-2"/>
          <w:sz w:val="22"/>
        </w:rPr>
        <w:t> </w:t>
      </w:r>
      <w:r>
        <w:rPr>
          <w:rFonts w:ascii="Calibri"/>
          <w:sz w:val="22"/>
        </w:rPr>
        <w:t>ddwy</w:t>
      </w:r>
      <w:r>
        <w:rPr>
          <w:rFonts w:ascii="Calibri"/>
          <w:spacing w:val="-3"/>
          <w:sz w:val="22"/>
        </w:rPr>
        <w:t> </w:t>
      </w:r>
      <w:r>
        <w:rPr>
          <w:rFonts w:ascii="Calibri"/>
          <w:sz w:val="22"/>
        </w:rPr>
        <w:t>flynedd</w:t>
      </w:r>
      <w:r>
        <w:rPr>
          <w:rFonts w:ascii="Calibri"/>
          <w:spacing w:val="-3"/>
          <w:sz w:val="22"/>
        </w:rPr>
        <w:t> </w:t>
      </w:r>
      <w:r>
        <w:rPr>
          <w:rFonts w:ascii="Calibri"/>
          <w:sz w:val="22"/>
        </w:rPr>
        <w:t>diwethaf,</w:t>
      </w:r>
      <w:r>
        <w:rPr>
          <w:rFonts w:ascii="Calibri"/>
          <w:spacing w:val="-3"/>
          <w:sz w:val="22"/>
        </w:rPr>
        <w:t> </w:t>
      </w:r>
      <w:r>
        <w:rPr>
          <w:rFonts w:ascii="Calibri"/>
          <w:sz w:val="22"/>
        </w:rPr>
        <w:t>mae</w:t>
      </w:r>
      <w:r>
        <w:rPr>
          <w:rFonts w:ascii="Calibri"/>
          <w:spacing w:val="-3"/>
          <w:sz w:val="22"/>
        </w:rPr>
        <w:t> </w:t>
      </w:r>
      <w:r>
        <w:rPr>
          <w:rFonts w:ascii="Calibri"/>
          <w:sz w:val="22"/>
        </w:rPr>
        <w:t>ffocysu</w:t>
      </w:r>
      <w:r>
        <w:rPr>
          <w:rFonts w:ascii="Calibri"/>
          <w:spacing w:val="-3"/>
          <w:sz w:val="22"/>
        </w:rPr>
        <w:t> </w:t>
      </w:r>
      <w:r>
        <w:rPr>
          <w:rFonts w:ascii="Calibri"/>
          <w:sz w:val="22"/>
        </w:rPr>
        <w:t>ar</w:t>
      </w:r>
      <w:r>
        <w:rPr>
          <w:rFonts w:ascii="Calibri"/>
          <w:spacing w:val="-3"/>
          <w:sz w:val="22"/>
        </w:rPr>
        <w:t> </w:t>
      </w:r>
      <w:r>
        <w:rPr>
          <w:rFonts w:ascii="Calibri"/>
          <w:sz w:val="22"/>
        </w:rPr>
        <w:t>gynnig</w:t>
      </w:r>
      <w:r>
        <w:rPr>
          <w:rFonts w:ascii="Calibri"/>
          <w:spacing w:val="-3"/>
          <w:sz w:val="22"/>
        </w:rPr>
        <w:t> </w:t>
      </w:r>
      <w:r>
        <w:rPr>
          <w:rFonts w:ascii="Calibri"/>
          <w:sz w:val="22"/>
        </w:rPr>
        <w:t>cyfleoedd</w:t>
      </w:r>
      <w:r>
        <w:rPr>
          <w:rFonts w:ascii="Calibri"/>
          <w:spacing w:val="-2"/>
          <w:sz w:val="22"/>
        </w:rPr>
        <w:t> </w:t>
      </w:r>
      <w:r>
        <w:rPr>
          <w:rFonts w:ascii="Calibri"/>
          <w:sz w:val="22"/>
        </w:rPr>
        <w:t>gweithio</w:t>
      </w:r>
      <w:r>
        <w:rPr>
          <w:rFonts w:ascii="Calibri"/>
          <w:spacing w:val="-2"/>
          <w:sz w:val="22"/>
        </w:rPr>
        <w:t> </w:t>
      </w:r>
      <w:r>
        <w:rPr>
          <w:rFonts w:ascii="Calibri"/>
          <w:sz w:val="22"/>
        </w:rPr>
        <w:t>hybrid</w:t>
      </w:r>
      <w:r>
        <w:rPr>
          <w:rFonts w:ascii="Calibri"/>
          <w:spacing w:val="-2"/>
          <w:sz w:val="22"/>
        </w:rPr>
        <w:t> </w:t>
      </w:r>
      <w:r>
        <w:rPr>
          <w:rFonts w:ascii="Calibri"/>
          <w:sz w:val="22"/>
        </w:rPr>
        <w:t>i</w:t>
      </w:r>
      <w:r>
        <w:rPr>
          <w:rFonts w:ascii="Calibri"/>
          <w:spacing w:val="-3"/>
          <w:sz w:val="22"/>
        </w:rPr>
        <w:t> </w:t>
      </w:r>
      <w:r>
        <w:rPr>
          <w:rFonts w:ascii="Calibri"/>
          <w:sz w:val="22"/>
        </w:rPr>
        <w:t>staff</w:t>
      </w:r>
      <w:r>
        <w:rPr>
          <w:rFonts w:ascii="Calibri"/>
          <w:spacing w:val="-3"/>
          <w:sz w:val="22"/>
        </w:rPr>
        <w:t> </w:t>
      </w:r>
      <w:r>
        <w:rPr>
          <w:rFonts w:ascii="Calibri"/>
          <w:sz w:val="22"/>
        </w:rPr>
        <w:t>ac edrych yn agosach ar yr economi sylfaenol wedi dod yn rhan bwysig o gynllunio a darparu gwasanaethau.</w:t>
      </w:r>
      <w:r>
        <w:rPr>
          <w:rFonts w:ascii="Calibri"/>
          <w:spacing w:val="40"/>
          <w:sz w:val="22"/>
        </w:rPr>
        <w:t> </w:t>
      </w:r>
      <w:r>
        <w:rPr>
          <w:rFonts w:ascii="Calibri"/>
          <w:sz w:val="22"/>
        </w:rPr>
        <w:t>Rydym yn edrych yn agosach ar y cyfleoedd a ddaw yn sgil yr Economi Sylfaenol ac yn manteisio ar hyn er mwyn cynyddu ein capasiti i ddarparu gwasanaethau </w:t>
      </w:r>
      <w:r>
        <w:rPr>
          <w:rFonts w:ascii="Calibri"/>
          <w:spacing w:val="-2"/>
          <w:sz w:val="22"/>
        </w:rPr>
        <w:t>dwyieithog.</w:t>
      </w:r>
    </w:p>
    <w:p>
      <w:pPr>
        <w:pStyle w:val="BodyText"/>
        <w:rPr>
          <w:rFonts w:ascii="Calibri"/>
          <w:sz w:val="22"/>
        </w:rPr>
      </w:pPr>
    </w:p>
    <w:p>
      <w:pPr>
        <w:pStyle w:val="BodyText"/>
        <w:spacing w:before="6"/>
        <w:rPr>
          <w:rFonts w:ascii="Calibri"/>
          <w:sz w:val="25"/>
        </w:rPr>
      </w:pPr>
    </w:p>
    <w:p>
      <w:pPr>
        <w:pStyle w:val="Heading5"/>
      </w:pPr>
      <w:r>
        <w:rPr/>
        <w:t>Meysydd</w:t>
      </w:r>
      <w:r>
        <w:rPr>
          <w:spacing w:val="-2"/>
        </w:rPr>
        <w:t> </w:t>
      </w:r>
      <w:r>
        <w:rPr/>
        <w:t>Blaenoriaeth</w:t>
      </w:r>
      <w:r>
        <w:rPr>
          <w:spacing w:val="-3"/>
        </w:rPr>
        <w:t> </w:t>
      </w:r>
      <w:r>
        <w:rPr/>
        <w:t>ar</w:t>
      </w:r>
      <w:r>
        <w:rPr>
          <w:spacing w:val="-2"/>
        </w:rPr>
        <w:t> </w:t>
      </w:r>
      <w:r>
        <w:rPr/>
        <w:t>gyfer</w:t>
      </w:r>
      <w:r>
        <w:rPr>
          <w:spacing w:val="-2"/>
        </w:rPr>
        <w:t> 2022/23</w:t>
      </w:r>
    </w:p>
    <w:p>
      <w:pPr>
        <w:pStyle w:val="ListParagraph"/>
        <w:numPr>
          <w:ilvl w:val="0"/>
          <w:numId w:val="50"/>
        </w:numPr>
        <w:tabs>
          <w:tab w:pos="2159" w:val="left" w:leader="none"/>
          <w:tab w:pos="2160" w:val="left" w:leader="none"/>
        </w:tabs>
        <w:spacing w:line="240" w:lineRule="auto" w:before="31" w:after="0"/>
        <w:ind w:left="2159" w:right="0" w:hanging="360"/>
        <w:jc w:val="left"/>
        <w:rPr>
          <w:rFonts w:ascii="Symbol" w:hAnsi="Symbol"/>
          <w:sz w:val="22"/>
        </w:rPr>
      </w:pPr>
      <w:r>
        <w:rPr>
          <w:rFonts w:ascii="Calibri" w:hAnsi="Calibri"/>
          <w:sz w:val="22"/>
        </w:rPr>
        <w:t>Cynyddu'r</w:t>
      </w:r>
      <w:r>
        <w:rPr>
          <w:rFonts w:ascii="Calibri" w:hAnsi="Calibri"/>
          <w:spacing w:val="-6"/>
          <w:sz w:val="22"/>
        </w:rPr>
        <w:t> </w:t>
      </w:r>
      <w:r>
        <w:rPr>
          <w:rFonts w:ascii="Calibri" w:hAnsi="Calibri"/>
          <w:sz w:val="22"/>
        </w:rPr>
        <w:t>capasiti</w:t>
      </w:r>
      <w:r>
        <w:rPr>
          <w:rFonts w:ascii="Calibri" w:hAnsi="Calibri"/>
          <w:spacing w:val="-2"/>
          <w:sz w:val="22"/>
        </w:rPr>
        <w:t> </w:t>
      </w:r>
      <w:r>
        <w:rPr>
          <w:rFonts w:ascii="Calibri" w:hAnsi="Calibri"/>
          <w:sz w:val="22"/>
        </w:rPr>
        <w:t>i</w:t>
      </w:r>
      <w:r>
        <w:rPr>
          <w:rFonts w:ascii="Calibri" w:hAnsi="Calibri"/>
          <w:spacing w:val="-2"/>
          <w:sz w:val="22"/>
        </w:rPr>
        <w:t> </w:t>
      </w:r>
      <w:r>
        <w:rPr>
          <w:rFonts w:ascii="Calibri" w:hAnsi="Calibri"/>
          <w:sz w:val="22"/>
        </w:rPr>
        <w:t>hyfforddi</w:t>
      </w:r>
      <w:r>
        <w:rPr>
          <w:rFonts w:ascii="Calibri" w:hAnsi="Calibri"/>
          <w:spacing w:val="-3"/>
          <w:sz w:val="22"/>
        </w:rPr>
        <w:t> </w:t>
      </w:r>
      <w:r>
        <w:rPr>
          <w:rFonts w:ascii="Calibri" w:hAnsi="Calibri"/>
          <w:sz w:val="22"/>
        </w:rPr>
        <w:t>mwy</w:t>
      </w:r>
      <w:r>
        <w:rPr>
          <w:rFonts w:ascii="Calibri" w:hAnsi="Calibri"/>
          <w:spacing w:val="-2"/>
          <w:sz w:val="22"/>
        </w:rPr>
        <w:t> </w:t>
      </w:r>
      <w:r>
        <w:rPr>
          <w:rFonts w:ascii="Calibri" w:hAnsi="Calibri"/>
          <w:sz w:val="22"/>
        </w:rPr>
        <w:t>o</w:t>
      </w:r>
      <w:r>
        <w:rPr>
          <w:rFonts w:ascii="Calibri" w:hAnsi="Calibri"/>
          <w:spacing w:val="-3"/>
          <w:sz w:val="22"/>
        </w:rPr>
        <w:t> </w:t>
      </w:r>
      <w:r>
        <w:rPr>
          <w:rFonts w:ascii="Calibri" w:hAnsi="Calibri"/>
          <w:sz w:val="22"/>
        </w:rPr>
        <w:t>staff</w:t>
      </w:r>
      <w:r>
        <w:rPr>
          <w:rFonts w:ascii="Calibri" w:hAnsi="Calibri"/>
          <w:spacing w:val="-3"/>
          <w:sz w:val="22"/>
        </w:rPr>
        <w:t> </w:t>
      </w:r>
      <w:r>
        <w:rPr>
          <w:rFonts w:ascii="Calibri" w:hAnsi="Calibri"/>
          <w:sz w:val="22"/>
        </w:rPr>
        <w:t>ym</w:t>
      </w:r>
      <w:r>
        <w:rPr>
          <w:rFonts w:ascii="Calibri" w:hAnsi="Calibri"/>
          <w:spacing w:val="-2"/>
          <w:sz w:val="22"/>
        </w:rPr>
        <w:t> </w:t>
      </w:r>
      <w:r>
        <w:rPr>
          <w:rFonts w:ascii="Calibri" w:hAnsi="Calibri"/>
          <w:sz w:val="22"/>
        </w:rPr>
        <w:t>maes</w:t>
      </w:r>
      <w:r>
        <w:rPr>
          <w:rFonts w:ascii="Calibri" w:hAnsi="Calibri"/>
          <w:spacing w:val="-2"/>
          <w:sz w:val="22"/>
        </w:rPr>
        <w:t> </w:t>
      </w:r>
      <w:r>
        <w:rPr>
          <w:rFonts w:ascii="Calibri" w:hAnsi="Calibri"/>
          <w:sz w:val="22"/>
        </w:rPr>
        <w:t>ymwybyddiaeth</w:t>
      </w:r>
      <w:r>
        <w:rPr>
          <w:rFonts w:ascii="Calibri" w:hAnsi="Calibri"/>
          <w:spacing w:val="-3"/>
          <w:sz w:val="22"/>
        </w:rPr>
        <w:t> </w:t>
      </w:r>
      <w:r>
        <w:rPr>
          <w:rFonts w:ascii="Calibri" w:hAnsi="Calibri"/>
          <w:spacing w:val="-2"/>
          <w:sz w:val="22"/>
        </w:rPr>
        <w:t>iaith.</w:t>
      </w:r>
    </w:p>
    <w:p>
      <w:pPr>
        <w:spacing w:line="259" w:lineRule="auto" w:before="22"/>
        <w:ind w:left="2160" w:right="1405" w:firstLine="0"/>
        <w:jc w:val="left"/>
        <w:rPr>
          <w:rFonts w:ascii="Calibri"/>
          <w:sz w:val="22"/>
        </w:rPr>
      </w:pPr>
      <w:r>
        <w:rPr>
          <w:rFonts w:ascii="Calibri"/>
          <w:sz w:val="22"/>
        </w:rPr>
        <w:t>(Rydym yn aros yn eiddgar am lansiad y Modiwl Ymwybyddiaeth Iaith a ariennir gan Lywodraeth</w:t>
      </w:r>
      <w:r>
        <w:rPr>
          <w:rFonts w:ascii="Calibri"/>
          <w:spacing w:val="-3"/>
          <w:sz w:val="22"/>
        </w:rPr>
        <w:t> </w:t>
      </w:r>
      <w:r>
        <w:rPr>
          <w:rFonts w:ascii="Calibri"/>
          <w:sz w:val="22"/>
        </w:rPr>
        <w:t>Cymru</w:t>
      </w:r>
      <w:r>
        <w:rPr>
          <w:rFonts w:ascii="Calibri"/>
          <w:spacing w:val="-3"/>
          <w:sz w:val="22"/>
        </w:rPr>
        <w:t> </w:t>
      </w:r>
      <w:r>
        <w:rPr>
          <w:rFonts w:ascii="Calibri"/>
          <w:sz w:val="22"/>
        </w:rPr>
        <w:t>ar</w:t>
      </w:r>
      <w:r>
        <w:rPr>
          <w:rFonts w:ascii="Calibri"/>
          <w:spacing w:val="-3"/>
          <w:sz w:val="22"/>
        </w:rPr>
        <w:t> </w:t>
      </w:r>
      <w:r>
        <w:rPr>
          <w:rFonts w:ascii="Calibri"/>
          <w:sz w:val="22"/>
        </w:rPr>
        <w:t>ESR</w:t>
      </w:r>
      <w:r>
        <w:rPr>
          <w:rFonts w:ascii="Calibri"/>
          <w:spacing w:val="-2"/>
          <w:sz w:val="22"/>
        </w:rPr>
        <w:t> </w:t>
      </w:r>
      <w:r>
        <w:rPr>
          <w:rFonts w:ascii="Calibri"/>
          <w:sz w:val="22"/>
        </w:rPr>
        <w:t>ar</w:t>
      </w:r>
      <w:r>
        <w:rPr>
          <w:rFonts w:ascii="Calibri"/>
          <w:spacing w:val="-3"/>
          <w:sz w:val="22"/>
        </w:rPr>
        <w:t> </w:t>
      </w:r>
      <w:r>
        <w:rPr>
          <w:rFonts w:ascii="Calibri"/>
          <w:sz w:val="22"/>
        </w:rPr>
        <w:t>gyfer</w:t>
      </w:r>
      <w:r>
        <w:rPr>
          <w:rFonts w:ascii="Calibri"/>
          <w:spacing w:val="-2"/>
          <w:sz w:val="22"/>
        </w:rPr>
        <w:t> </w:t>
      </w:r>
      <w:r>
        <w:rPr>
          <w:rFonts w:ascii="Calibri"/>
          <w:sz w:val="22"/>
        </w:rPr>
        <w:t>staff</w:t>
      </w:r>
      <w:r>
        <w:rPr>
          <w:rFonts w:ascii="Calibri"/>
          <w:spacing w:val="-2"/>
          <w:sz w:val="22"/>
        </w:rPr>
        <w:t> </w:t>
      </w:r>
      <w:r>
        <w:rPr>
          <w:rFonts w:ascii="Calibri"/>
          <w:sz w:val="22"/>
        </w:rPr>
        <w:t>y</w:t>
      </w:r>
      <w:r>
        <w:rPr>
          <w:rFonts w:ascii="Calibri"/>
          <w:spacing w:val="-3"/>
          <w:sz w:val="22"/>
        </w:rPr>
        <w:t> </w:t>
      </w:r>
      <w:r>
        <w:rPr>
          <w:rFonts w:ascii="Calibri"/>
          <w:sz w:val="22"/>
        </w:rPr>
        <w:t>GIG.</w:t>
      </w:r>
      <w:r>
        <w:rPr>
          <w:rFonts w:ascii="Calibri"/>
          <w:spacing w:val="-2"/>
          <w:sz w:val="22"/>
        </w:rPr>
        <w:t> </w:t>
      </w:r>
      <w:r>
        <w:rPr>
          <w:rFonts w:ascii="Calibri"/>
          <w:sz w:val="22"/>
        </w:rPr>
        <w:t>Rydym</w:t>
      </w:r>
      <w:r>
        <w:rPr>
          <w:rFonts w:ascii="Calibri"/>
          <w:spacing w:val="-2"/>
          <w:sz w:val="22"/>
        </w:rPr>
        <w:t> </w:t>
      </w:r>
      <w:r>
        <w:rPr>
          <w:rFonts w:ascii="Calibri"/>
          <w:sz w:val="22"/>
        </w:rPr>
        <w:t>yn</w:t>
      </w:r>
      <w:r>
        <w:rPr>
          <w:rFonts w:ascii="Calibri"/>
          <w:spacing w:val="-2"/>
          <w:sz w:val="22"/>
        </w:rPr>
        <w:t> </w:t>
      </w:r>
      <w:r>
        <w:rPr>
          <w:rFonts w:ascii="Calibri"/>
          <w:sz w:val="22"/>
        </w:rPr>
        <w:t>aros</w:t>
      </w:r>
      <w:r>
        <w:rPr>
          <w:rFonts w:ascii="Calibri"/>
          <w:spacing w:val="-3"/>
          <w:sz w:val="22"/>
        </w:rPr>
        <w:t> </w:t>
      </w:r>
      <w:r>
        <w:rPr>
          <w:rFonts w:ascii="Calibri"/>
          <w:sz w:val="22"/>
        </w:rPr>
        <w:t>am</w:t>
      </w:r>
      <w:r>
        <w:rPr>
          <w:rFonts w:ascii="Calibri"/>
          <w:spacing w:val="-3"/>
          <w:sz w:val="22"/>
        </w:rPr>
        <w:t> </w:t>
      </w:r>
      <w:r>
        <w:rPr>
          <w:rFonts w:ascii="Calibri"/>
          <w:sz w:val="22"/>
        </w:rPr>
        <w:t>ddyddiad</w:t>
      </w:r>
      <w:r>
        <w:rPr>
          <w:rFonts w:ascii="Calibri"/>
          <w:spacing w:val="-3"/>
          <w:sz w:val="22"/>
        </w:rPr>
        <w:t> </w:t>
      </w:r>
      <w:r>
        <w:rPr>
          <w:rFonts w:ascii="Calibri"/>
          <w:sz w:val="22"/>
        </w:rPr>
        <w:t>lansio</w:t>
      </w:r>
      <w:r>
        <w:rPr>
          <w:rFonts w:ascii="Calibri"/>
          <w:spacing w:val="-3"/>
          <w:sz w:val="22"/>
        </w:rPr>
        <w:t> </w:t>
      </w:r>
      <w:r>
        <w:rPr>
          <w:rFonts w:ascii="Calibri"/>
          <w:sz w:val="22"/>
        </w:rPr>
        <w:t>ar</w:t>
      </w:r>
      <w:r>
        <w:rPr>
          <w:rFonts w:ascii="Calibri"/>
          <w:spacing w:val="-3"/>
          <w:sz w:val="22"/>
        </w:rPr>
        <w:t> </w:t>
      </w:r>
      <w:r>
        <w:rPr>
          <w:rFonts w:ascii="Calibri"/>
          <w:sz w:val="22"/>
        </w:rPr>
        <w:t>hyn</w:t>
      </w:r>
      <w:r>
        <w:rPr>
          <w:rFonts w:ascii="Calibri"/>
          <w:spacing w:val="-2"/>
          <w:sz w:val="22"/>
        </w:rPr>
        <w:t> </w:t>
      </w:r>
      <w:r>
        <w:rPr>
          <w:rFonts w:ascii="Calibri"/>
          <w:sz w:val="22"/>
        </w:rPr>
        <w:t>o </w:t>
      </w:r>
      <w:r>
        <w:rPr>
          <w:rFonts w:ascii="Calibri"/>
          <w:spacing w:val="-2"/>
          <w:sz w:val="22"/>
        </w:rPr>
        <w:t>bryd).</w:t>
      </w:r>
    </w:p>
    <w:p>
      <w:pPr>
        <w:pStyle w:val="ListParagraph"/>
        <w:numPr>
          <w:ilvl w:val="0"/>
          <w:numId w:val="50"/>
        </w:numPr>
        <w:tabs>
          <w:tab w:pos="2160" w:val="left" w:leader="none"/>
        </w:tabs>
        <w:spacing w:line="280" w:lineRule="exact" w:before="0" w:after="0"/>
        <w:ind w:left="2159" w:right="0" w:hanging="360"/>
        <w:jc w:val="both"/>
        <w:rPr>
          <w:rFonts w:ascii="Symbol" w:hAnsi="Symbol"/>
          <w:sz w:val="22"/>
        </w:rPr>
      </w:pPr>
      <w:r>
        <w:rPr>
          <w:rFonts w:ascii="Calibri" w:hAnsi="Calibri"/>
          <w:sz w:val="22"/>
        </w:rPr>
        <w:t>Creu</w:t>
      </w:r>
      <w:r>
        <w:rPr>
          <w:rFonts w:ascii="Calibri" w:hAnsi="Calibri"/>
          <w:spacing w:val="-5"/>
          <w:sz w:val="22"/>
        </w:rPr>
        <w:t> </w:t>
      </w:r>
      <w:r>
        <w:rPr>
          <w:rFonts w:ascii="Calibri" w:hAnsi="Calibri"/>
          <w:sz w:val="22"/>
        </w:rPr>
        <w:t>llyfryn</w:t>
      </w:r>
      <w:r>
        <w:rPr>
          <w:rFonts w:ascii="Calibri" w:hAnsi="Calibri"/>
          <w:spacing w:val="-2"/>
          <w:sz w:val="22"/>
        </w:rPr>
        <w:t> </w:t>
      </w:r>
      <w:r>
        <w:rPr>
          <w:rFonts w:ascii="Calibri" w:hAnsi="Calibri"/>
          <w:sz w:val="22"/>
        </w:rPr>
        <w:t>Croeso</w:t>
      </w:r>
      <w:r>
        <w:rPr>
          <w:rFonts w:ascii="Calibri" w:hAnsi="Calibri"/>
          <w:spacing w:val="-3"/>
          <w:sz w:val="22"/>
        </w:rPr>
        <w:t> </w:t>
      </w:r>
      <w:r>
        <w:rPr>
          <w:rFonts w:ascii="Calibri" w:hAnsi="Calibri"/>
          <w:sz w:val="22"/>
        </w:rPr>
        <w:t>Cymraeg</w:t>
      </w:r>
      <w:r>
        <w:rPr>
          <w:rFonts w:ascii="Calibri" w:hAnsi="Calibri"/>
          <w:spacing w:val="-3"/>
          <w:sz w:val="22"/>
        </w:rPr>
        <w:t> </w:t>
      </w:r>
      <w:r>
        <w:rPr>
          <w:rFonts w:ascii="Calibri" w:hAnsi="Calibri"/>
          <w:sz w:val="22"/>
        </w:rPr>
        <w:t>i</w:t>
      </w:r>
      <w:r>
        <w:rPr>
          <w:rFonts w:ascii="Calibri" w:hAnsi="Calibri"/>
          <w:spacing w:val="-3"/>
          <w:sz w:val="22"/>
        </w:rPr>
        <w:t> </w:t>
      </w:r>
      <w:r>
        <w:rPr>
          <w:rFonts w:ascii="Calibri" w:hAnsi="Calibri"/>
          <w:sz w:val="22"/>
        </w:rPr>
        <w:t>bob</w:t>
      </w:r>
      <w:r>
        <w:rPr>
          <w:rFonts w:ascii="Calibri" w:hAnsi="Calibri"/>
          <w:spacing w:val="-4"/>
          <w:sz w:val="22"/>
        </w:rPr>
        <w:t> </w:t>
      </w:r>
      <w:r>
        <w:rPr>
          <w:rFonts w:ascii="Calibri" w:hAnsi="Calibri"/>
          <w:sz w:val="22"/>
        </w:rPr>
        <w:t>aelod</w:t>
      </w:r>
      <w:r>
        <w:rPr>
          <w:rFonts w:ascii="Calibri" w:hAnsi="Calibri"/>
          <w:spacing w:val="-3"/>
          <w:sz w:val="22"/>
        </w:rPr>
        <w:t> </w:t>
      </w:r>
      <w:r>
        <w:rPr>
          <w:rFonts w:ascii="Calibri" w:hAnsi="Calibri"/>
          <w:sz w:val="22"/>
        </w:rPr>
        <w:t>newydd</w:t>
      </w:r>
      <w:r>
        <w:rPr>
          <w:rFonts w:ascii="Calibri" w:hAnsi="Calibri"/>
          <w:spacing w:val="-2"/>
          <w:sz w:val="22"/>
        </w:rPr>
        <w:t> </w:t>
      </w:r>
      <w:r>
        <w:rPr>
          <w:rFonts w:ascii="Calibri" w:hAnsi="Calibri"/>
          <w:sz w:val="22"/>
        </w:rPr>
        <w:t>o</w:t>
      </w:r>
      <w:r>
        <w:rPr>
          <w:rFonts w:ascii="Calibri" w:hAnsi="Calibri"/>
          <w:spacing w:val="-3"/>
          <w:sz w:val="22"/>
        </w:rPr>
        <w:t> </w:t>
      </w:r>
      <w:r>
        <w:rPr>
          <w:rFonts w:ascii="Calibri" w:hAnsi="Calibri"/>
          <w:sz w:val="22"/>
        </w:rPr>
        <w:t>staff</w:t>
      </w:r>
      <w:r>
        <w:rPr>
          <w:rFonts w:ascii="Calibri" w:hAnsi="Calibri"/>
          <w:spacing w:val="-2"/>
          <w:sz w:val="22"/>
        </w:rPr>
        <w:t> PCGC.</w:t>
      </w:r>
    </w:p>
    <w:p>
      <w:pPr>
        <w:pStyle w:val="ListParagraph"/>
        <w:numPr>
          <w:ilvl w:val="0"/>
          <w:numId w:val="50"/>
        </w:numPr>
        <w:tabs>
          <w:tab w:pos="2160" w:val="left" w:leader="none"/>
        </w:tabs>
        <w:spacing w:line="259" w:lineRule="auto" w:before="21" w:after="0"/>
        <w:ind w:left="2160" w:right="1933" w:hanging="360"/>
        <w:jc w:val="both"/>
        <w:rPr>
          <w:rFonts w:ascii="Symbol" w:hAnsi="Symbol"/>
          <w:sz w:val="22"/>
        </w:rPr>
      </w:pPr>
      <w:r>
        <w:rPr>
          <w:rFonts w:ascii="Calibri" w:hAnsi="Calibri"/>
          <w:sz w:val="22"/>
        </w:rPr>
        <w:t>Creu mwy o ddiddordeb mewn dysgu’r Gymraeg ac uwchsgilio’r gweithlu, gan dargedu meysydd</w:t>
      </w:r>
      <w:r>
        <w:rPr>
          <w:rFonts w:ascii="Calibri" w:hAnsi="Calibri"/>
          <w:spacing w:val="-3"/>
          <w:sz w:val="22"/>
        </w:rPr>
        <w:t> </w:t>
      </w:r>
      <w:r>
        <w:rPr>
          <w:rFonts w:ascii="Calibri" w:hAnsi="Calibri"/>
          <w:sz w:val="22"/>
        </w:rPr>
        <w:t>lle</w:t>
      </w:r>
      <w:r>
        <w:rPr>
          <w:rFonts w:ascii="Calibri" w:hAnsi="Calibri"/>
          <w:spacing w:val="-4"/>
          <w:sz w:val="22"/>
        </w:rPr>
        <w:t> </w:t>
      </w:r>
      <w:r>
        <w:rPr>
          <w:rFonts w:ascii="Calibri" w:hAnsi="Calibri"/>
          <w:sz w:val="22"/>
        </w:rPr>
        <w:t>mae</w:t>
      </w:r>
      <w:r>
        <w:rPr>
          <w:rFonts w:ascii="Calibri" w:hAnsi="Calibri"/>
          <w:spacing w:val="-3"/>
          <w:sz w:val="22"/>
        </w:rPr>
        <w:t> </w:t>
      </w:r>
      <w:r>
        <w:rPr>
          <w:rFonts w:ascii="Calibri" w:hAnsi="Calibri"/>
          <w:sz w:val="22"/>
        </w:rPr>
        <w:t>angen</w:t>
      </w:r>
      <w:r>
        <w:rPr>
          <w:rFonts w:ascii="Calibri" w:hAnsi="Calibri"/>
          <w:spacing w:val="-3"/>
          <w:sz w:val="22"/>
        </w:rPr>
        <w:t> </w:t>
      </w:r>
      <w:r>
        <w:rPr>
          <w:rFonts w:ascii="Calibri" w:hAnsi="Calibri"/>
          <w:sz w:val="22"/>
        </w:rPr>
        <w:t>i</w:t>
      </w:r>
      <w:r>
        <w:rPr>
          <w:rFonts w:ascii="Calibri" w:hAnsi="Calibri"/>
          <w:spacing w:val="-4"/>
          <w:sz w:val="22"/>
        </w:rPr>
        <w:t> </w:t>
      </w:r>
      <w:r>
        <w:rPr>
          <w:rFonts w:ascii="Calibri" w:hAnsi="Calibri"/>
          <w:sz w:val="22"/>
        </w:rPr>
        <w:t>ni</w:t>
      </w:r>
      <w:r>
        <w:rPr>
          <w:rFonts w:ascii="Calibri" w:hAnsi="Calibri"/>
          <w:spacing w:val="-4"/>
          <w:sz w:val="22"/>
        </w:rPr>
        <w:t> </w:t>
      </w:r>
      <w:r>
        <w:rPr>
          <w:rFonts w:ascii="Calibri" w:hAnsi="Calibri"/>
          <w:sz w:val="22"/>
        </w:rPr>
        <w:t>gynyddu</w:t>
      </w:r>
      <w:r>
        <w:rPr>
          <w:rFonts w:ascii="Calibri" w:hAnsi="Calibri"/>
          <w:spacing w:val="-4"/>
          <w:sz w:val="22"/>
        </w:rPr>
        <w:t> </w:t>
      </w:r>
      <w:r>
        <w:rPr>
          <w:rFonts w:ascii="Calibri" w:hAnsi="Calibri"/>
          <w:sz w:val="22"/>
        </w:rPr>
        <w:t>capasiti</w:t>
      </w:r>
      <w:r>
        <w:rPr>
          <w:rFonts w:ascii="Calibri" w:hAnsi="Calibri"/>
          <w:spacing w:val="-3"/>
          <w:sz w:val="22"/>
        </w:rPr>
        <w:t> </w:t>
      </w:r>
      <w:r>
        <w:rPr>
          <w:rFonts w:ascii="Calibri" w:hAnsi="Calibri"/>
          <w:sz w:val="22"/>
        </w:rPr>
        <w:t>i</w:t>
      </w:r>
      <w:r>
        <w:rPr>
          <w:rFonts w:ascii="Calibri" w:hAnsi="Calibri"/>
          <w:spacing w:val="-3"/>
          <w:sz w:val="22"/>
        </w:rPr>
        <w:t> </w:t>
      </w:r>
      <w:r>
        <w:rPr>
          <w:rFonts w:ascii="Calibri" w:hAnsi="Calibri"/>
          <w:sz w:val="22"/>
        </w:rPr>
        <w:t>ddarparu</w:t>
      </w:r>
      <w:r>
        <w:rPr>
          <w:rFonts w:ascii="Calibri" w:hAnsi="Calibri"/>
          <w:spacing w:val="-3"/>
          <w:sz w:val="22"/>
        </w:rPr>
        <w:t> </w:t>
      </w:r>
      <w:r>
        <w:rPr>
          <w:rFonts w:ascii="Calibri" w:hAnsi="Calibri"/>
          <w:sz w:val="22"/>
        </w:rPr>
        <w:t>gwasanaethau</w:t>
      </w:r>
      <w:r>
        <w:rPr>
          <w:rFonts w:ascii="Calibri" w:hAnsi="Calibri"/>
          <w:spacing w:val="-4"/>
          <w:sz w:val="22"/>
        </w:rPr>
        <w:t> </w:t>
      </w:r>
      <w:r>
        <w:rPr>
          <w:rFonts w:ascii="Calibri" w:hAnsi="Calibri"/>
          <w:sz w:val="22"/>
        </w:rPr>
        <w:t>dwyieithog</w:t>
      </w:r>
      <w:r>
        <w:rPr>
          <w:rFonts w:ascii="Calibri" w:hAnsi="Calibri"/>
          <w:spacing w:val="-3"/>
          <w:sz w:val="22"/>
        </w:rPr>
        <w:t> </w:t>
      </w:r>
      <w:r>
        <w:rPr>
          <w:rFonts w:ascii="Calibri" w:hAnsi="Calibri"/>
          <w:sz w:val="22"/>
        </w:rPr>
        <w:t>mwy </w:t>
      </w:r>
      <w:r>
        <w:rPr>
          <w:rFonts w:ascii="Calibri" w:hAnsi="Calibri"/>
          <w:spacing w:val="-2"/>
          <w:sz w:val="22"/>
        </w:rPr>
        <w:t>cadarn.</w:t>
      </w:r>
    </w:p>
    <w:p>
      <w:pPr>
        <w:pStyle w:val="ListParagraph"/>
        <w:numPr>
          <w:ilvl w:val="0"/>
          <w:numId w:val="50"/>
        </w:numPr>
        <w:tabs>
          <w:tab w:pos="2159" w:val="left" w:leader="none"/>
          <w:tab w:pos="2160" w:val="left" w:leader="none"/>
        </w:tabs>
        <w:spacing w:line="259" w:lineRule="auto" w:before="0" w:after="0"/>
        <w:ind w:left="2160" w:right="1784" w:hanging="360"/>
        <w:jc w:val="left"/>
        <w:rPr>
          <w:rFonts w:ascii="Symbol" w:hAnsi="Symbol"/>
          <w:sz w:val="22"/>
        </w:rPr>
      </w:pPr>
      <w:r>
        <w:rPr>
          <w:rFonts w:ascii="Calibri" w:hAnsi="Calibri"/>
          <w:sz w:val="22"/>
        </w:rPr>
        <w:t>Hyrwyddo</w:t>
      </w:r>
      <w:r>
        <w:rPr>
          <w:rFonts w:ascii="Calibri" w:hAnsi="Calibri"/>
          <w:spacing w:val="-3"/>
          <w:sz w:val="22"/>
        </w:rPr>
        <w:t> </w:t>
      </w:r>
      <w:r>
        <w:rPr>
          <w:rFonts w:ascii="Calibri" w:hAnsi="Calibri"/>
          <w:sz w:val="22"/>
        </w:rPr>
        <w:t>cwrs</w:t>
      </w:r>
      <w:r>
        <w:rPr>
          <w:rFonts w:ascii="Calibri" w:hAnsi="Calibri"/>
          <w:spacing w:val="-2"/>
          <w:sz w:val="22"/>
        </w:rPr>
        <w:t> </w:t>
      </w:r>
      <w:r>
        <w:rPr>
          <w:rFonts w:ascii="Calibri" w:hAnsi="Calibri"/>
          <w:sz w:val="22"/>
        </w:rPr>
        <w:t>hunanddysgu</w:t>
      </w:r>
      <w:r>
        <w:rPr>
          <w:rFonts w:ascii="Calibri" w:hAnsi="Calibri"/>
          <w:spacing w:val="-3"/>
          <w:sz w:val="22"/>
        </w:rPr>
        <w:t> </w:t>
      </w:r>
      <w:r>
        <w:rPr>
          <w:rFonts w:ascii="Calibri" w:hAnsi="Calibri"/>
          <w:sz w:val="22"/>
        </w:rPr>
        <w:t>10</w:t>
      </w:r>
      <w:r>
        <w:rPr>
          <w:rFonts w:ascii="Calibri" w:hAnsi="Calibri"/>
          <w:spacing w:val="-2"/>
          <w:sz w:val="22"/>
        </w:rPr>
        <w:t> </w:t>
      </w:r>
      <w:r>
        <w:rPr>
          <w:rFonts w:ascii="Calibri" w:hAnsi="Calibri"/>
          <w:sz w:val="22"/>
        </w:rPr>
        <w:t>awr</w:t>
      </w:r>
      <w:r>
        <w:rPr>
          <w:rFonts w:ascii="Calibri" w:hAnsi="Calibri"/>
          <w:spacing w:val="-3"/>
          <w:sz w:val="22"/>
        </w:rPr>
        <w:t> </w:t>
      </w:r>
      <w:r>
        <w:rPr>
          <w:rFonts w:ascii="Calibri" w:hAnsi="Calibri"/>
          <w:sz w:val="22"/>
        </w:rPr>
        <w:t>ar-lein</w:t>
      </w:r>
      <w:r>
        <w:rPr>
          <w:rFonts w:ascii="Calibri" w:hAnsi="Calibri"/>
          <w:spacing w:val="-3"/>
          <w:sz w:val="22"/>
        </w:rPr>
        <w:t> </w:t>
      </w:r>
      <w:r>
        <w:rPr>
          <w:rFonts w:ascii="Calibri" w:hAnsi="Calibri"/>
          <w:sz w:val="22"/>
        </w:rPr>
        <w:t>i</w:t>
      </w:r>
      <w:r>
        <w:rPr>
          <w:rFonts w:ascii="Calibri" w:hAnsi="Calibri"/>
          <w:spacing w:val="-2"/>
          <w:sz w:val="22"/>
        </w:rPr>
        <w:t> </w:t>
      </w:r>
      <w:r>
        <w:rPr>
          <w:rFonts w:ascii="Calibri" w:hAnsi="Calibri"/>
          <w:sz w:val="22"/>
        </w:rPr>
        <w:t>bob</w:t>
      </w:r>
      <w:r>
        <w:rPr>
          <w:rFonts w:ascii="Calibri" w:hAnsi="Calibri"/>
          <w:spacing w:val="-3"/>
          <w:sz w:val="22"/>
        </w:rPr>
        <w:t> </w:t>
      </w:r>
      <w:r>
        <w:rPr>
          <w:rFonts w:ascii="Calibri" w:hAnsi="Calibri"/>
          <w:sz w:val="22"/>
        </w:rPr>
        <w:t>aelod</w:t>
      </w:r>
      <w:r>
        <w:rPr>
          <w:rFonts w:ascii="Calibri" w:hAnsi="Calibri"/>
          <w:spacing w:val="-2"/>
          <w:sz w:val="22"/>
        </w:rPr>
        <w:t> </w:t>
      </w:r>
      <w:r>
        <w:rPr>
          <w:rFonts w:ascii="Calibri" w:hAnsi="Calibri"/>
          <w:sz w:val="22"/>
        </w:rPr>
        <w:t>o</w:t>
      </w:r>
      <w:r>
        <w:rPr>
          <w:rFonts w:ascii="Calibri" w:hAnsi="Calibri"/>
          <w:spacing w:val="-3"/>
          <w:sz w:val="22"/>
        </w:rPr>
        <w:t> </w:t>
      </w:r>
      <w:r>
        <w:rPr>
          <w:rFonts w:ascii="Calibri" w:hAnsi="Calibri"/>
          <w:sz w:val="22"/>
        </w:rPr>
        <w:t>staff</w:t>
      </w:r>
      <w:r>
        <w:rPr>
          <w:rFonts w:ascii="Calibri" w:hAnsi="Calibri"/>
          <w:spacing w:val="-3"/>
          <w:sz w:val="22"/>
        </w:rPr>
        <w:t> </w:t>
      </w:r>
      <w:r>
        <w:rPr>
          <w:rFonts w:ascii="Calibri" w:hAnsi="Calibri"/>
          <w:sz w:val="22"/>
        </w:rPr>
        <w:t>sy’n</w:t>
      </w:r>
      <w:r>
        <w:rPr>
          <w:rFonts w:ascii="Calibri" w:hAnsi="Calibri"/>
          <w:spacing w:val="-2"/>
          <w:sz w:val="22"/>
        </w:rPr>
        <w:t> </w:t>
      </w:r>
      <w:r>
        <w:rPr>
          <w:rFonts w:ascii="Calibri" w:hAnsi="Calibri"/>
          <w:sz w:val="22"/>
        </w:rPr>
        <w:t>sgorio</w:t>
      </w:r>
      <w:r>
        <w:rPr>
          <w:rFonts w:ascii="Calibri" w:hAnsi="Calibri"/>
          <w:spacing w:val="-3"/>
          <w:sz w:val="22"/>
        </w:rPr>
        <w:t> </w:t>
      </w:r>
      <w:r>
        <w:rPr>
          <w:rFonts w:ascii="Calibri" w:hAnsi="Calibri"/>
          <w:sz w:val="22"/>
        </w:rPr>
        <w:t>0</w:t>
      </w:r>
      <w:r>
        <w:rPr>
          <w:rFonts w:ascii="Calibri" w:hAnsi="Calibri"/>
          <w:spacing w:val="-2"/>
          <w:sz w:val="22"/>
        </w:rPr>
        <w:t> </w:t>
      </w:r>
      <w:r>
        <w:rPr>
          <w:rFonts w:ascii="Calibri" w:hAnsi="Calibri"/>
          <w:sz w:val="22"/>
        </w:rPr>
        <w:t>am</w:t>
      </w:r>
      <w:r>
        <w:rPr>
          <w:rFonts w:ascii="Calibri" w:hAnsi="Calibri"/>
          <w:spacing w:val="-3"/>
          <w:sz w:val="22"/>
        </w:rPr>
        <w:t> </w:t>
      </w:r>
      <w:r>
        <w:rPr>
          <w:rFonts w:ascii="Calibri" w:hAnsi="Calibri"/>
          <w:sz w:val="22"/>
        </w:rPr>
        <w:t>eu</w:t>
      </w:r>
      <w:r>
        <w:rPr>
          <w:rFonts w:ascii="Calibri" w:hAnsi="Calibri"/>
          <w:spacing w:val="-2"/>
          <w:sz w:val="22"/>
        </w:rPr>
        <w:t> </w:t>
      </w:r>
      <w:r>
        <w:rPr>
          <w:rFonts w:ascii="Calibri" w:hAnsi="Calibri"/>
          <w:sz w:val="22"/>
        </w:rPr>
        <w:t>sgiliau Cymraeg er mwyn iddynt gyrraedd Sgil lefel 1.</w:t>
      </w:r>
    </w:p>
    <w:p>
      <w:pPr>
        <w:pStyle w:val="ListParagraph"/>
        <w:numPr>
          <w:ilvl w:val="0"/>
          <w:numId w:val="50"/>
        </w:numPr>
        <w:tabs>
          <w:tab w:pos="2159" w:val="left" w:leader="none"/>
          <w:tab w:pos="2160" w:val="left" w:leader="none"/>
        </w:tabs>
        <w:spacing w:line="280" w:lineRule="exact" w:before="0" w:after="0"/>
        <w:ind w:left="2159" w:right="0" w:hanging="360"/>
        <w:jc w:val="left"/>
        <w:rPr>
          <w:rFonts w:ascii="Symbol" w:hAnsi="Symbol"/>
          <w:sz w:val="22"/>
        </w:rPr>
      </w:pPr>
      <w:r>
        <w:rPr>
          <w:rFonts w:ascii="Calibri" w:hAnsi="Calibri"/>
          <w:sz w:val="22"/>
        </w:rPr>
        <w:t>Adolygu</w:t>
      </w:r>
      <w:r>
        <w:rPr>
          <w:rFonts w:ascii="Calibri" w:hAnsi="Calibri"/>
          <w:spacing w:val="-5"/>
          <w:sz w:val="22"/>
        </w:rPr>
        <w:t> </w:t>
      </w:r>
      <w:r>
        <w:rPr>
          <w:rFonts w:ascii="Calibri" w:hAnsi="Calibri"/>
          <w:sz w:val="22"/>
        </w:rPr>
        <w:t>ein</w:t>
      </w:r>
      <w:r>
        <w:rPr>
          <w:rFonts w:ascii="Calibri" w:hAnsi="Calibri"/>
          <w:spacing w:val="-1"/>
          <w:sz w:val="22"/>
        </w:rPr>
        <w:t> </w:t>
      </w:r>
      <w:r>
        <w:rPr>
          <w:rFonts w:ascii="Calibri" w:hAnsi="Calibri"/>
          <w:sz w:val="22"/>
        </w:rPr>
        <w:t>cynllun</w:t>
      </w:r>
      <w:r>
        <w:rPr>
          <w:rFonts w:ascii="Calibri" w:hAnsi="Calibri"/>
          <w:spacing w:val="-3"/>
          <w:sz w:val="22"/>
        </w:rPr>
        <w:t> </w:t>
      </w:r>
      <w:r>
        <w:rPr>
          <w:rFonts w:ascii="Calibri" w:hAnsi="Calibri"/>
          <w:sz w:val="22"/>
        </w:rPr>
        <w:t>cyfathrebu</w:t>
      </w:r>
      <w:r>
        <w:rPr>
          <w:rFonts w:ascii="Calibri" w:hAnsi="Calibri"/>
          <w:spacing w:val="-2"/>
          <w:sz w:val="22"/>
        </w:rPr>
        <w:t> </w:t>
      </w:r>
      <w:r>
        <w:rPr>
          <w:rFonts w:ascii="Calibri" w:hAnsi="Calibri"/>
          <w:sz w:val="22"/>
        </w:rPr>
        <w:t>i</w:t>
      </w:r>
      <w:r>
        <w:rPr>
          <w:rFonts w:ascii="Calibri" w:hAnsi="Calibri"/>
          <w:spacing w:val="-1"/>
          <w:sz w:val="22"/>
        </w:rPr>
        <w:t> </w:t>
      </w:r>
      <w:r>
        <w:rPr>
          <w:rFonts w:ascii="Calibri" w:hAnsi="Calibri"/>
          <w:sz w:val="22"/>
        </w:rPr>
        <w:t>ymgysylltu</w:t>
      </w:r>
      <w:r>
        <w:rPr>
          <w:rFonts w:ascii="Calibri" w:hAnsi="Calibri"/>
          <w:spacing w:val="-2"/>
          <w:sz w:val="22"/>
        </w:rPr>
        <w:t> </w:t>
      </w:r>
      <w:r>
        <w:rPr>
          <w:rFonts w:ascii="Calibri" w:hAnsi="Calibri"/>
          <w:sz w:val="22"/>
        </w:rPr>
        <w:t>â</w:t>
      </w:r>
      <w:r>
        <w:rPr>
          <w:rFonts w:ascii="Calibri" w:hAnsi="Calibri"/>
          <w:spacing w:val="-2"/>
          <w:sz w:val="22"/>
        </w:rPr>
        <w:t> </w:t>
      </w:r>
      <w:r>
        <w:rPr>
          <w:rFonts w:ascii="Calibri" w:hAnsi="Calibri"/>
          <w:sz w:val="22"/>
        </w:rPr>
        <w:t>staff</w:t>
      </w:r>
      <w:r>
        <w:rPr>
          <w:rFonts w:ascii="Calibri" w:hAnsi="Calibri"/>
          <w:spacing w:val="-1"/>
          <w:sz w:val="22"/>
        </w:rPr>
        <w:t> </w:t>
      </w:r>
      <w:r>
        <w:rPr>
          <w:rFonts w:ascii="Calibri" w:hAnsi="Calibri"/>
          <w:sz w:val="22"/>
        </w:rPr>
        <w:t>ar</w:t>
      </w:r>
      <w:r>
        <w:rPr>
          <w:rFonts w:ascii="Calibri" w:hAnsi="Calibri"/>
          <w:spacing w:val="-3"/>
          <w:sz w:val="22"/>
        </w:rPr>
        <w:t> </w:t>
      </w:r>
      <w:r>
        <w:rPr>
          <w:rFonts w:ascii="Calibri" w:hAnsi="Calibri"/>
          <w:sz w:val="22"/>
        </w:rPr>
        <w:t>draws</w:t>
      </w:r>
      <w:r>
        <w:rPr>
          <w:rFonts w:ascii="Calibri" w:hAnsi="Calibri"/>
          <w:spacing w:val="-2"/>
          <w:sz w:val="22"/>
        </w:rPr>
        <w:t> </w:t>
      </w:r>
      <w:r>
        <w:rPr>
          <w:rFonts w:ascii="Calibri" w:hAnsi="Calibri"/>
          <w:sz w:val="22"/>
        </w:rPr>
        <w:t>y</w:t>
      </w:r>
      <w:r>
        <w:rPr>
          <w:rFonts w:ascii="Calibri" w:hAnsi="Calibri"/>
          <w:spacing w:val="-1"/>
          <w:sz w:val="22"/>
        </w:rPr>
        <w:t> </w:t>
      </w:r>
      <w:r>
        <w:rPr>
          <w:rFonts w:ascii="Calibri" w:hAnsi="Calibri"/>
          <w:spacing w:val="-2"/>
          <w:sz w:val="22"/>
        </w:rPr>
        <w:t>sefydliad</w:t>
      </w:r>
    </w:p>
    <w:p>
      <w:pPr>
        <w:pStyle w:val="ListParagraph"/>
        <w:numPr>
          <w:ilvl w:val="0"/>
          <w:numId w:val="50"/>
        </w:numPr>
        <w:tabs>
          <w:tab w:pos="2159" w:val="left" w:leader="none"/>
          <w:tab w:pos="2160" w:val="left" w:leader="none"/>
        </w:tabs>
        <w:spacing w:line="240" w:lineRule="auto" w:before="20" w:after="0"/>
        <w:ind w:left="2159" w:right="0" w:hanging="360"/>
        <w:jc w:val="left"/>
        <w:rPr>
          <w:rFonts w:ascii="Symbol" w:hAnsi="Symbol"/>
          <w:sz w:val="22"/>
        </w:rPr>
      </w:pPr>
      <w:r>
        <w:rPr>
          <w:rFonts w:ascii="Calibri" w:hAnsi="Calibri"/>
          <w:sz w:val="22"/>
        </w:rPr>
        <w:t>Cydymffurfio'n</w:t>
      </w:r>
      <w:r>
        <w:rPr>
          <w:rFonts w:ascii="Calibri" w:hAnsi="Calibri"/>
          <w:spacing w:val="-3"/>
          <w:sz w:val="22"/>
        </w:rPr>
        <w:t> </w:t>
      </w:r>
      <w:r>
        <w:rPr>
          <w:rFonts w:ascii="Calibri" w:hAnsi="Calibri"/>
          <w:sz w:val="22"/>
        </w:rPr>
        <w:t>llawn</w:t>
      </w:r>
      <w:r>
        <w:rPr>
          <w:rFonts w:ascii="Calibri" w:hAnsi="Calibri"/>
          <w:spacing w:val="-2"/>
          <w:sz w:val="22"/>
        </w:rPr>
        <w:t> </w:t>
      </w:r>
      <w:r>
        <w:rPr>
          <w:rFonts w:ascii="Calibri" w:hAnsi="Calibri"/>
          <w:sz w:val="22"/>
        </w:rPr>
        <w:t>â</w:t>
      </w:r>
      <w:r>
        <w:rPr>
          <w:rFonts w:ascii="Calibri" w:hAnsi="Calibri"/>
          <w:spacing w:val="-3"/>
          <w:sz w:val="22"/>
        </w:rPr>
        <w:t> </w:t>
      </w:r>
      <w:r>
        <w:rPr>
          <w:rFonts w:ascii="Calibri" w:hAnsi="Calibri"/>
          <w:sz w:val="22"/>
        </w:rPr>
        <w:t>Safonau</w:t>
      </w:r>
      <w:r>
        <w:rPr>
          <w:rFonts w:ascii="Calibri" w:hAnsi="Calibri"/>
          <w:spacing w:val="-3"/>
          <w:sz w:val="22"/>
        </w:rPr>
        <w:t> </w:t>
      </w:r>
      <w:r>
        <w:rPr>
          <w:rFonts w:ascii="Calibri" w:hAnsi="Calibri"/>
          <w:sz w:val="22"/>
        </w:rPr>
        <w:t>106A</w:t>
      </w:r>
      <w:r>
        <w:rPr>
          <w:rFonts w:ascii="Calibri" w:hAnsi="Calibri"/>
          <w:spacing w:val="-2"/>
          <w:sz w:val="22"/>
        </w:rPr>
        <w:t> </w:t>
      </w:r>
      <w:r>
        <w:rPr>
          <w:rFonts w:ascii="Calibri" w:hAnsi="Calibri"/>
          <w:sz w:val="22"/>
        </w:rPr>
        <w:t>a</w:t>
      </w:r>
      <w:r>
        <w:rPr>
          <w:rFonts w:ascii="Calibri" w:hAnsi="Calibri"/>
          <w:spacing w:val="-3"/>
          <w:sz w:val="22"/>
        </w:rPr>
        <w:t> </w:t>
      </w:r>
      <w:r>
        <w:rPr>
          <w:rFonts w:ascii="Calibri" w:hAnsi="Calibri"/>
          <w:spacing w:val="-2"/>
          <w:sz w:val="22"/>
        </w:rPr>
        <w:t>107A(Ch).</w:t>
      </w:r>
    </w:p>
    <w:p>
      <w:pPr>
        <w:pStyle w:val="ListParagraph"/>
        <w:numPr>
          <w:ilvl w:val="0"/>
          <w:numId w:val="50"/>
        </w:numPr>
        <w:tabs>
          <w:tab w:pos="2159" w:val="left" w:leader="none"/>
          <w:tab w:pos="2160" w:val="left" w:leader="none"/>
        </w:tabs>
        <w:spacing w:line="259" w:lineRule="auto" w:before="22" w:after="0"/>
        <w:ind w:left="2160" w:right="1511" w:hanging="360"/>
        <w:jc w:val="left"/>
        <w:rPr>
          <w:rFonts w:ascii="Symbol" w:hAnsi="Symbol"/>
          <w:sz w:val="22"/>
        </w:rPr>
      </w:pPr>
      <w:r>
        <w:rPr>
          <w:rFonts w:ascii="Calibri" w:hAnsi="Calibri"/>
          <w:sz w:val="22"/>
        </w:rPr>
        <w:t>Rhaglen</w:t>
      </w:r>
      <w:r>
        <w:rPr>
          <w:rFonts w:ascii="Calibri" w:hAnsi="Calibri"/>
          <w:spacing w:val="-3"/>
          <w:sz w:val="22"/>
        </w:rPr>
        <w:t> </w:t>
      </w:r>
      <w:r>
        <w:rPr>
          <w:rFonts w:ascii="Calibri" w:hAnsi="Calibri"/>
          <w:sz w:val="22"/>
        </w:rPr>
        <w:t>gyfathrebu</w:t>
      </w:r>
      <w:r>
        <w:rPr>
          <w:rFonts w:ascii="Calibri" w:hAnsi="Calibri"/>
          <w:spacing w:val="-3"/>
          <w:sz w:val="22"/>
        </w:rPr>
        <w:t> </w:t>
      </w:r>
      <w:r>
        <w:rPr>
          <w:rFonts w:ascii="Calibri" w:hAnsi="Calibri"/>
          <w:sz w:val="22"/>
        </w:rPr>
        <w:t>a</w:t>
      </w:r>
      <w:r>
        <w:rPr>
          <w:rFonts w:ascii="Calibri" w:hAnsi="Calibri"/>
          <w:spacing w:val="-4"/>
          <w:sz w:val="22"/>
        </w:rPr>
        <w:t> </w:t>
      </w:r>
      <w:r>
        <w:rPr>
          <w:rFonts w:ascii="Calibri" w:hAnsi="Calibri"/>
          <w:sz w:val="22"/>
        </w:rPr>
        <w:t>hyfforddi</w:t>
      </w:r>
      <w:r>
        <w:rPr>
          <w:rFonts w:ascii="Calibri" w:hAnsi="Calibri"/>
          <w:spacing w:val="-3"/>
          <w:sz w:val="22"/>
        </w:rPr>
        <w:t> </w:t>
      </w:r>
      <w:r>
        <w:rPr>
          <w:rFonts w:ascii="Calibri" w:hAnsi="Calibri"/>
          <w:sz w:val="22"/>
        </w:rPr>
        <w:t>ar</w:t>
      </w:r>
      <w:r>
        <w:rPr>
          <w:rFonts w:ascii="Calibri" w:hAnsi="Calibri"/>
          <w:spacing w:val="-4"/>
          <w:sz w:val="22"/>
        </w:rPr>
        <w:t> </w:t>
      </w:r>
      <w:r>
        <w:rPr>
          <w:rFonts w:ascii="Calibri" w:hAnsi="Calibri"/>
          <w:sz w:val="22"/>
        </w:rPr>
        <w:t>gyfer</w:t>
      </w:r>
      <w:r>
        <w:rPr>
          <w:rFonts w:ascii="Calibri" w:hAnsi="Calibri"/>
          <w:spacing w:val="-4"/>
          <w:sz w:val="22"/>
        </w:rPr>
        <w:t> </w:t>
      </w:r>
      <w:r>
        <w:rPr>
          <w:rFonts w:ascii="Calibri" w:hAnsi="Calibri"/>
          <w:sz w:val="22"/>
        </w:rPr>
        <w:t>rheolwyr</w:t>
      </w:r>
      <w:r>
        <w:rPr>
          <w:rFonts w:ascii="Calibri" w:hAnsi="Calibri"/>
          <w:spacing w:val="-3"/>
          <w:sz w:val="22"/>
        </w:rPr>
        <w:t> </w:t>
      </w:r>
      <w:r>
        <w:rPr>
          <w:rFonts w:ascii="Calibri" w:hAnsi="Calibri"/>
          <w:sz w:val="22"/>
        </w:rPr>
        <w:t>recriwtio</w:t>
      </w:r>
      <w:r>
        <w:rPr>
          <w:rFonts w:ascii="Calibri" w:hAnsi="Calibri"/>
          <w:spacing w:val="-3"/>
          <w:sz w:val="22"/>
        </w:rPr>
        <w:t> </w:t>
      </w:r>
      <w:r>
        <w:rPr>
          <w:rFonts w:ascii="Calibri" w:hAnsi="Calibri"/>
          <w:sz w:val="22"/>
        </w:rPr>
        <w:t>ynghylch</w:t>
      </w:r>
      <w:r>
        <w:rPr>
          <w:rFonts w:ascii="Calibri" w:hAnsi="Calibri"/>
          <w:spacing w:val="-3"/>
          <w:sz w:val="22"/>
        </w:rPr>
        <w:t> </w:t>
      </w:r>
      <w:r>
        <w:rPr>
          <w:rFonts w:ascii="Calibri" w:hAnsi="Calibri"/>
          <w:sz w:val="22"/>
        </w:rPr>
        <w:t>Safonau</w:t>
      </w:r>
      <w:r>
        <w:rPr>
          <w:rFonts w:ascii="Calibri" w:hAnsi="Calibri"/>
          <w:spacing w:val="-4"/>
          <w:sz w:val="22"/>
        </w:rPr>
        <w:t> </w:t>
      </w:r>
      <w:r>
        <w:rPr>
          <w:rFonts w:ascii="Calibri" w:hAnsi="Calibri"/>
          <w:sz w:val="22"/>
        </w:rPr>
        <w:t>106,</w:t>
      </w:r>
      <w:r>
        <w:rPr>
          <w:rFonts w:ascii="Calibri" w:hAnsi="Calibri"/>
          <w:spacing w:val="-4"/>
          <w:sz w:val="22"/>
        </w:rPr>
        <w:t> </w:t>
      </w:r>
      <w:r>
        <w:rPr>
          <w:rFonts w:ascii="Calibri" w:hAnsi="Calibri"/>
          <w:sz w:val="22"/>
        </w:rPr>
        <w:t>106A,</w:t>
      </w:r>
      <w:r>
        <w:rPr>
          <w:rFonts w:ascii="Calibri" w:hAnsi="Calibri"/>
          <w:spacing w:val="-3"/>
          <w:sz w:val="22"/>
        </w:rPr>
        <w:t> </w:t>
      </w:r>
      <w:r>
        <w:rPr>
          <w:rFonts w:ascii="Calibri" w:hAnsi="Calibri"/>
          <w:sz w:val="22"/>
        </w:rPr>
        <w:t>107 a 107A.</w:t>
      </w:r>
    </w:p>
    <w:p>
      <w:pPr>
        <w:pStyle w:val="ListParagraph"/>
        <w:numPr>
          <w:ilvl w:val="0"/>
          <w:numId w:val="50"/>
        </w:numPr>
        <w:tabs>
          <w:tab w:pos="2159" w:val="left" w:leader="none"/>
          <w:tab w:pos="2160" w:val="left" w:leader="none"/>
        </w:tabs>
        <w:spacing w:line="259" w:lineRule="auto" w:before="0" w:after="0"/>
        <w:ind w:left="2160" w:right="2523" w:hanging="360"/>
        <w:jc w:val="left"/>
        <w:rPr>
          <w:rFonts w:ascii="Symbol" w:hAnsi="Symbol"/>
          <w:sz w:val="22"/>
        </w:rPr>
      </w:pPr>
      <w:r>
        <w:rPr>
          <w:rFonts w:ascii="Calibri" w:hAnsi="Calibri"/>
          <w:sz w:val="22"/>
        </w:rPr>
        <w:t>Caffael</w:t>
      </w:r>
      <w:r>
        <w:rPr>
          <w:rFonts w:ascii="Calibri" w:hAnsi="Calibri"/>
          <w:spacing w:val="-3"/>
          <w:sz w:val="22"/>
        </w:rPr>
        <w:t> </w:t>
      </w:r>
      <w:r>
        <w:rPr>
          <w:rFonts w:ascii="Calibri" w:hAnsi="Calibri"/>
          <w:sz w:val="22"/>
        </w:rPr>
        <w:t>system</w:t>
      </w:r>
      <w:r>
        <w:rPr>
          <w:rFonts w:ascii="Calibri" w:hAnsi="Calibri"/>
          <w:spacing w:val="-3"/>
          <w:sz w:val="22"/>
        </w:rPr>
        <w:t> </w:t>
      </w:r>
      <w:r>
        <w:rPr>
          <w:rFonts w:ascii="Calibri" w:hAnsi="Calibri"/>
          <w:sz w:val="22"/>
        </w:rPr>
        <w:t>a</w:t>
      </w:r>
      <w:r>
        <w:rPr>
          <w:rFonts w:ascii="Calibri" w:hAnsi="Calibri"/>
          <w:spacing w:val="-4"/>
          <w:sz w:val="22"/>
        </w:rPr>
        <w:t> </w:t>
      </w:r>
      <w:r>
        <w:rPr>
          <w:rFonts w:ascii="Calibri" w:hAnsi="Calibri"/>
          <w:sz w:val="22"/>
        </w:rPr>
        <w:t>fydd</w:t>
      </w:r>
      <w:r>
        <w:rPr>
          <w:rFonts w:ascii="Calibri" w:hAnsi="Calibri"/>
          <w:spacing w:val="-4"/>
          <w:sz w:val="22"/>
        </w:rPr>
        <w:t> </w:t>
      </w:r>
      <w:r>
        <w:rPr>
          <w:rFonts w:ascii="Calibri" w:hAnsi="Calibri"/>
          <w:sz w:val="22"/>
        </w:rPr>
        <w:t>yn</w:t>
      </w:r>
      <w:r>
        <w:rPr>
          <w:rFonts w:ascii="Calibri" w:hAnsi="Calibri"/>
          <w:spacing w:val="-3"/>
          <w:sz w:val="22"/>
        </w:rPr>
        <w:t> </w:t>
      </w:r>
      <w:r>
        <w:rPr>
          <w:rFonts w:ascii="Calibri" w:hAnsi="Calibri"/>
          <w:sz w:val="22"/>
        </w:rPr>
        <w:t>cefnogi’r</w:t>
      </w:r>
      <w:r>
        <w:rPr>
          <w:rFonts w:ascii="Calibri" w:hAnsi="Calibri"/>
          <w:spacing w:val="-3"/>
          <w:sz w:val="22"/>
        </w:rPr>
        <w:t> </w:t>
      </w:r>
      <w:r>
        <w:rPr>
          <w:rFonts w:ascii="Calibri" w:hAnsi="Calibri"/>
          <w:sz w:val="22"/>
        </w:rPr>
        <w:t>Cynllun</w:t>
      </w:r>
      <w:r>
        <w:rPr>
          <w:rFonts w:ascii="Calibri" w:hAnsi="Calibri"/>
          <w:spacing w:val="-4"/>
          <w:sz w:val="22"/>
        </w:rPr>
        <w:t> </w:t>
      </w:r>
      <w:r>
        <w:rPr>
          <w:rFonts w:ascii="Calibri" w:hAnsi="Calibri"/>
          <w:sz w:val="22"/>
        </w:rPr>
        <w:t>Symleiddio</w:t>
      </w:r>
      <w:r>
        <w:rPr>
          <w:rFonts w:ascii="Calibri" w:hAnsi="Calibri"/>
          <w:spacing w:val="-4"/>
          <w:sz w:val="22"/>
        </w:rPr>
        <w:t> </w:t>
      </w:r>
      <w:r>
        <w:rPr>
          <w:rFonts w:ascii="Calibri" w:hAnsi="Calibri"/>
          <w:sz w:val="22"/>
        </w:rPr>
        <w:t>i</w:t>
      </w:r>
      <w:r>
        <w:rPr>
          <w:rFonts w:ascii="Calibri" w:hAnsi="Calibri"/>
          <w:spacing w:val="-3"/>
          <w:sz w:val="22"/>
        </w:rPr>
        <w:t> </w:t>
      </w:r>
      <w:r>
        <w:rPr>
          <w:rFonts w:ascii="Calibri" w:hAnsi="Calibri"/>
          <w:sz w:val="22"/>
        </w:rPr>
        <w:t>Fyfyrwyr</w:t>
      </w:r>
      <w:r>
        <w:rPr>
          <w:rFonts w:ascii="Calibri" w:hAnsi="Calibri"/>
          <w:spacing w:val="-3"/>
          <w:sz w:val="22"/>
        </w:rPr>
        <w:t> </w:t>
      </w:r>
      <w:r>
        <w:rPr>
          <w:rFonts w:ascii="Calibri" w:hAnsi="Calibri"/>
          <w:sz w:val="22"/>
        </w:rPr>
        <w:t>a</w:t>
      </w:r>
      <w:r>
        <w:rPr>
          <w:rFonts w:ascii="Calibri" w:hAnsi="Calibri"/>
          <w:spacing w:val="-4"/>
          <w:sz w:val="22"/>
        </w:rPr>
        <w:t> </w:t>
      </w:r>
      <w:r>
        <w:rPr>
          <w:rFonts w:ascii="Calibri" w:hAnsi="Calibri"/>
          <w:sz w:val="22"/>
        </w:rPr>
        <w:t>Gwasanaethau Dyfarniadau Myfyrwyr i gynnig gwasanaeth cwbl ddwyieithog i’w cwsmeriaid.</w:t>
      </w:r>
    </w:p>
    <w:p>
      <w:pPr>
        <w:pStyle w:val="ListParagraph"/>
        <w:numPr>
          <w:ilvl w:val="0"/>
          <w:numId w:val="50"/>
        </w:numPr>
        <w:tabs>
          <w:tab w:pos="2159" w:val="left" w:leader="none"/>
          <w:tab w:pos="2160" w:val="left" w:leader="none"/>
        </w:tabs>
        <w:spacing w:line="259" w:lineRule="auto" w:before="0" w:after="0"/>
        <w:ind w:left="2160" w:right="2133" w:hanging="360"/>
        <w:jc w:val="left"/>
        <w:rPr>
          <w:rFonts w:ascii="Symbol" w:hAnsi="Symbol"/>
          <w:sz w:val="22"/>
        </w:rPr>
      </w:pPr>
      <w:r>
        <w:rPr>
          <w:rFonts w:ascii="Calibri" w:hAnsi="Calibri"/>
          <w:sz w:val="22"/>
        </w:rPr>
        <w:t>Adolygu</w:t>
      </w:r>
      <w:r>
        <w:rPr>
          <w:rFonts w:ascii="Calibri" w:hAnsi="Calibri"/>
          <w:spacing w:val="-4"/>
          <w:sz w:val="22"/>
        </w:rPr>
        <w:t> </w:t>
      </w:r>
      <w:r>
        <w:rPr>
          <w:rFonts w:ascii="Calibri" w:hAnsi="Calibri"/>
          <w:sz w:val="22"/>
        </w:rPr>
        <w:t>ein</w:t>
      </w:r>
      <w:r>
        <w:rPr>
          <w:rFonts w:ascii="Calibri" w:hAnsi="Calibri"/>
          <w:spacing w:val="-3"/>
          <w:sz w:val="22"/>
        </w:rPr>
        <w:t> </w:t>
      </w:r>
      <w:r>
        <w:rPr>
          <w:rFonts w:ascii="Calibri" w:hAnsi="Calibri"/>
          <w:sz w:val="22"/>
        </w:rPr>
        <w:t>Canolfannau</w:t>
      </w:r>
      <w:r>
        <w:rPr>
          <w:rFonts w:ascii="Calibri" w:hAnsi="Calibri"/>
          <w:spacing w:val="-4"/>
          <w:sz w:val="22"/>
        </w:rPr>
        <w:t> </w:t>
      </w:r>
      <w:r>
        <w:rPr>
          <w:rFonts w:ascii="Calibri" w:hAnsi="Calibri"/>
          <w:sz w:val="22"/>
        </w:rPr>
        <w:t>Cyswllt</w:t>
      </w:r>
      <w:r>
        <w:rPr>
          <w:rFonts w:ascii="Calibri" w:hAnsi="Calibri"/>
          <w:spacing w:val="-4"/>
          <w:sz w:val="22"/>
        </w:rPr>
        <w:t> </w:t>
      </w:r>
      <w:r>
        <w:rPr>
          <w:rFonts w:ascii="Calibri" w:hAnsi="Calibri"/>
          <w:sz w:val="22"/>
        </w:rPr>
        <w:t>a</w:t>
      </w:r>
      <w:r>
        <w:rPr>
          <w:rFonts w:ascii="Calibri" w:hAnsi="Calibri"/>
          <w:spacing w:val="-4"/>
          <w:sz w:val="22"/>
        </w:rPr>
        <w:t> </w:t>
      </w:r>
      <w:r>
        <w:rPr>
          <w:rFonts w:ascii="Calibri" w:hAnsi="Calibri"/>
          <w:sz w:val="22"/>
        </w:rPr>
        <w:t>sut</w:t>
      </w:r>
      <w:r>
        <w:rPr>
          <w:rFonts w:ascii="Calibri" w:hAnsi="Calibri"/>
          <w:spacing w:val="-3"/>
          <w:sz w:val="22"/>
        </w:rPr>
        <w:t> </w:t>
      </w:r>
      <w:r>
        <w:rPr>
          <w:rFonts w:ascii="Calibri" w:hAnsi="Calibri"/>
          <w:sz w:val="22"/>
        </w:rPr>
        <w:t>rydym</w:t>
      </w:r>
      <w:r>
        <w:rPr>
          <w:rFonts w:ascii="Calibri" w:hAnsi="Calibri"/>
          <w:spacing w:val="-3"/>
          <w:sz w:val="22"/>
        </w:rPr>
        <w:t> </w:t>
      </w:r>
      <w:r>
        <w:rPr>
          <w:rFonts w:ascii="Calibri" w:hAnsi="Calibri"/>
          <w:sz w:val="22"/>
        </w:rPr>
        <w:t>yn</w:t>
      </w:r>
      <w:r>
        <w:rPr>
          <w:rFonts w:ascii="Calibri" w:hAnsi="Calibri"/>
          <w:spacing w:val="-3"/>
          <w:sz w:val="22"/>
        </w:rPr>
        <w:t> </w:t>
      </w:r>
      <w:r>
        <w:rPr>
          <w:rFonts w:ascii="Calibri" w:hAnsi="Calibri"/>
          <w:sz w:val="22"/>
        </w:rPr>
        <w:t>ymateb</w:t>
      </w:r>
      <w:r>
        <w:rPr>
          <w:rFonts w:ascii="Calibri" w:hAnsi="Calibri"/>
          <w:spacing w:val="-3"/>
          <w:sz w:val="22"/>
        </w:rPr>
        <w:t> </w:t>
      </w:r>
      <w:r>
        <w:rPr>
          <w:rFonts w:ascii="Calibri" w:hAnsi="Calibri"/>
          <w:sz w:val="22"/>
        </w:rPr>
        <w:t>i</w:t>
      </w:r>
      <w:r>
        <w:rPr>
          <w:rFonts w:ascii="Calibri" w:hAnsi="Calibri"/>
          <w:spacing w:val="-4"/>
          <w:sz w:val="22"/>
        </w:rPr>
        <w:t> </w:t>
      </w:r>
      <w:r>
        <w:rPr>
          <w:rFonts w:ascii="Calibri" w:hAnsi="Calibri"/>
          <w:sz w:val="22"/>
        </w:rPr>
        <w:t>gwsmeriaid</w:t>
      </w:r>
      <w:r>
        <w:rPr>
          <w:rFonts w:ascii="Calibri" w:hAnsi="Calibri"/>
          <w:spacing w:val="-4"/>
          <w:sz w:val="22"/>
        </w:rPr>
        <w:t> </w:t>
      </w:r>
      <w:r>
        <w:rPr>
          <w:rFonts w:ascii="Calibri" w:hAnsi="Calibri"/>
          <w:sz w:val="22"/>
        </w:rPr>
        <w:t>drwy</w:t>
      </w:r>
      <w:r>
        <w:rPr>
          <w:rFonts w:ascii="Calibri" w:hAnsi="Calibri"/>
          <w:spacing w:val="-3"/>
          <w:sz w:val="22"/>
        </w:rPr>
        <w:t> </w:t>
      </w:r>
      <w:r>
        <w:rPr>
          <w:rFonts w:ascii="Calibri" w:hAnsi="Calibri"/>
          <w:sz w:val="22"/>
        </w:rPr>
        <w:t>gyfrwng</w:t>
      </w:r>
      <w:r>
        <w:rPr>
          <w:rFonts w:ascii="Calibri" w:hAnsi="Calibri"/>
          <w:spacing w:val="-3"/>
          <w:sz w:val="22"/>
        </w:rPr>
        <w:t> </w:t>
      </w:r>
      <w:r>
        <w:rPr>
          <w:rFonts w:ascii="Calibri" w:hAnsi="Calibri"/>
          <w:sz w:val="22"/>
        </w:rPr>
        <w:t>y Gymraeg, gyda’r bwriad o gynyddu capasiti ac adnoddau i ddarparu gwasanaethau dwyieithog mwy cadarn.</w:t>
      </w:r>
    </w:p>
    <w:p>
      <w:pPr>
        <w:pStyle w:val="ListParagraph"/>
        <w:numPr>
          <w:ilvl w:val="0"/>
          <w:numId w:val="50"/>
        </w:numPr>
        <w:tabs>
          <w:tab w:pos="2159" w:val="left" w:leader="none"/>
          <w:tab w:pos="2160" w:val="left" w:leader="none"/>
        </w:tabs>
        <w:spacing w:line="280" w:lineRule="exact" w:before="0" w:after="0"/>
        <w:ind w:left="2159" w:right="0" w:hanging="360"/>
        <w:jc w:val="left"/>
        <w:rPr>
          <w:rFonts w:ascii="Symbol" w:hAnsi="Symbol"/>
          <w:sz w:val="22"/>
        </w:rPr>
      </w:pPr>
      <w:r>
        <w:rPr>
          <w:rFonts w:ascii="Calibri" w:hAnsi="Calibri"/>
          <w:sz w:val="22"/>
        </w:rPr>
        <w:t>Parhau</w:t>
      </w:r>
      <w:r>
        <w:rPr>
          <w:rFonts w:ascii="Calibri" w:hAnsi="Calibri"/>
          <w:spacing w:val="-5"/>
          <w:sz w:val="22"/>
        </w:rPr>
        <w:t> </w:t>
      </w:r>
      <w:r>
        <w:rPr>
          <w:rFonts w:ascii="Calibri" w:hAnsi="Calibri"/>
          <w:sz w:val="22"/>
        </w:rPr>
        <w:t>i</w:t>
      </w:r>
      <w:r>
        <w:rPr>
          <w:rFonts w:ascii="Calibri" w:hAnsi="Calibri"/>
          <w:spacing w:val="-2"/>
          <w:sz w:val="22"/>
        </w:rPr>
        <w:t> </w:t>
      </w:r>
      <w:r>
        <w:rPr>
          <w:rFonts w:ascii="Calibri" w:hAnsi="Calibri"/>
          <w:sz w:val="22"/>
        </w:rPr>
        <w:t>gefnogi</w:t>
      </w:r>
      <w:r>
        <w:rPr>
          <w:rFonts w:ascii="Calibri" w:hAnsi="Calibri"/>
          <w:spacing w:val="-3"/>
          <w:sz w:val="22"/>
        </w:rPr>
        <w:t> </w:t>
      </w:r>
      <w:r>
        <w:rPr>
          <w:rFonts w:ascii="Calibri" w:hAnsi="Calibri"/>
          <w:sz w:val="22"/>
        </w:rPr>
        <w:t>Sefydliadau'r</w:t>
      </w:r>
      <w:r>
        <w:rPr>
          <w:rFonts w:ascii="Calibri" w:hAnsi="Calibri"/>
          <w:spacing w:val="-2"/>
          <w:sz w:val="22"/>
        </w:rPr>
        <w:t> </w:t>
      </w:r>
      <w:r>
        <w:rPr>
          <w:rFonts w:ascii="Calibri" w:hAnsi="Calibri"/>
          <w:sz w:val="22"/>
        </w:rPr>
        <w:t>GIG</w:t>
      </w:r>
      <w:r>
        <w:rPr>
          <w:rFonts w:ascii="Calibri" w:hAnsi="Calibri"/>
          <w:spacing w:val="-2"/>
          <w:sz w:val="22"/>
        </w:rPr>
        <w:t> </w:t>
      </w:r>
      <w:r>
        <w:rPr>
          <w:rFonts w:ascii="Calibri" w:hAnsi="Calibri"/>
          <w:sz w:val="22"/>
        </w:rPr>
        <w:t>drwy</w:t>
      </w:r>
      <w:r>
        <w:rPr>
          <w:rFonts w:ascii="Calibri" w:hAnsi="Calibri"/>
          <w:spacing w:val="-3"/>
          <w:sz w:val="22"/>
        </w:rPr>
        <w:t> </w:t>
      </w:r>
      <w:r>
        <w:rPr>
          <w:rFonts w:ascii="Calibri" w:hAnsi="Calibri"/>
          <w:sz w:val="22"/>
        </w:rPr>
        <w:t>ddarparu</w:t>
      </w:r>
      <w:r>
        <w:rPr>
          <w:rFonts w:ascii="Calibri" w:hAnsi="Calibri"/>
          <w:spacing w:val="-3"/>
          <w:sz w:val="22"/>
        </w:rPr>
        <w:t> </w:t>
      </w:r>
      <w:r>
        <w:rPr>
          <w:rFonts w:ascii="Calibri" w:hAnsi="Calibri"/>
          <w:sz w:val="22"/>
        </w:rPr>
        <w:t>gwasanaethau</w:t>
      </w:r>
      <w:r>
        <w:rPr>
          <w:rFonts w:ascii="Calibri" w:hAnsi="Calibri"/>
          <w:spacing w:val="-2"/>
          <w:sz w:val="22"/>
        </w:rPr>
        <w:t> </w:t>
      </w:r>
      <w:r>
        <w:rPr>
          <w:rFonts w:ascii="Calibri" w:hAnsi="Calibri"/>
          <w:sz w:val="22"/>
        </w:rPr>
        <w:t>cyfieithu</w:t>
      </w:r>
      <w:r>
        <w:rPr>
          <w:rFonts w:ascii="Calibri" w:hAnsi="Calibri"/>
          <w:spacing w:val="-2"/>
          <w:sz w:val="22"/>
        </w:rPr>
        <w:t> iddynt.</w:t>
      </w:r>
    </w:p>
    <w:p>
      <w:pPr>
        <w:pStyle w:val="ListParagraph"/>
        <w:numPr>
          <w:ilvl w:val="0"/>
          <w:numId w:val="50"/>
        </w:numPr>
        <w:tabs>
          <w:tab w:pos="2159" w:val="left" w:leader="none"/>
          <w:tab w:pos="2160" w:val="left" w:leader="none"/>
        </w:tabs>
        <w:spacing w:line="240" w:lineRule="auto" w:before="20" w:after="0"/>
        <w:ind w:left="2159" w:right="0" w:hanging="360"/>
        <w:jc w:val="left"/>
        <w:rPr>
          <w:rFonts w:ascii="Symbol" w:hAnsi="Symbol"/>
          <w:sz w:val="22"/>
        </w:rPr>
      </w:pPr>
      <w:r>
        <w:rPr>
          <w:rFonts w:ascii="Calibri" w:hAnsi="Calibri"/>
          <w:sz w:val="22"/>
        </w:rPr>
        <w:t>System</w:t>
      </w:r>
      <w:r>
        <w:rPr>
          <w:rFonts w:ascii="Calibri" w:hAnsi="Calibri"/>
          <w:spacing w:val="-4"/>
          <w:sz w:val="22"/>
        </w:rPr>
        <w:t> </w:t>
      </w:r>
      <w:r>
        <w:rPr>
          <w:rFonts w:ascii="Calibri" w:hAnsi="Calibri"/>
          <w:sz w:val="22"/>
        </w:rPr>
        <w:t>Adnabod</w:t>
      </w:r>
      <w:r>
        <w:rPr>
          <w:rFonts w:ascii="Calibri" w:hAnsi="Calibri"/>
          <w:spacing w:val="-2"/>
          <w:sz w:val="22"/>
        </w:rPr>
        <w:t> </w:t>
      </w:r>
      <w:r>
        <w:rPr>
          <w:rFonts w:ascii="Calibri" w:hAnsi="Calibri"/>
          <w:sz w:val="22"/>
        </w:rPr>
        <w:t>Recriwtio</w:t>
      </w:r>
      <w:r>
        <w:rPr>
          <w:rFonts w:ascii="Calibri" w:hAnsi="Calibri"/>
          <w:spacing w:val="-1"/>
          <w:sz w:val="22"/>
        </w:rPr>
        <w:t> </w:t>
      </w:r>
      <w:r>
        <w:rPr>
          <w:rFonts w:ascii="Calibri" w:hAnsi="Calibri"/>
          <w:sz w:val="22"/>
        </w:rPr>
        <w:t>a</w:t>
      </w:r>
      <w:r>
        <w:rPr>
          <w:rFonts w:ascii="Calibri" w:hAnsi="Calibri"/>
          <w:spacing w:val="-3"/>
          <w:sz w:val="22"/>
        </w:rPr>
        <w:t> </w:t>
      </w:r>
      <w:r>
        <w:rPr>
          <w:rFonts w:ascii="Calibri" w:hAnsi="Calibri"/>
          <w:sz w:val="22"/>
        </w:rPr>
        <w:t>fydd</w:t>
      </w:r>
      <w:r>
        <w:rPr>
          <w:rFonts w:ascii="Calibri" w:hAnsi="Calibri"/>
          <w:spacing w:val="-1"/>
          <w:sz w:val="22"/>
        </w:rPr>
        <w:t> </w:t>
      </w:r>
      <w:r>
        <w:rPr>
          <w:rFonts w:ascii="Calibri" w:hAnsi="Calibri"/>
          <w:sz w:val="22"/>
        </w:rPr>
        <w:t>yn</w:t>
      </w:r>
      <w:r>
        <w:rPr>
          <w:rFonts w:ascii="Calibri" w:hAnsi="Calibri"/>
          <w:spacing w:val="-2"/>
          <w:sz w:val="22"/>
        </w:rPr>
        <w:t> </w:t>
      </w:r>
      <w:r>
        <w:rPr>
          <w:rFonts w:ascii="Calibri" w:hAnsi="Calibri"/>
          <w:sz w:val="22"/>
        </w:rPr>
        <w:t>gweithredu'n</w:t>
      </w:r>
      <w:r>
        <w:rPr>
          <w:rFonts w:ascii="Calibri" w:hAnsi="Calibri"/>
          <w:spacing w:val="-1"/>
          <w:sz w:val="22"/>
        </w:rPr>
        <w:t> </w:t>
      </w:r>
      <w:r>
        <w:rPr>
          <w:rFonts w:ascii="Calibri" w:hAnsi="Calibri"/>
          <w:spacing w:val="-2"/>
          <w:sz w:val="22"/>
        </w:rPr>
        <w:t>ddwyieithog.</w:t>
      </w:r>
    </w:p>
    <w:p>
      <w:pPr>
        <w:pStyle w:val="ListParagraph"/>
        <w:numPr>
          <w:ilvl w:val="0"/>
          <w:numId w:val="50"/>
        </w:numPr>
        <w:tabs>
          <w:tab w:pos="2159" w:val="left" w:leader="none"/>
          <w:tab w:pos="2160" w:val="left" w:leader="none"/>
        </w:tabs>
        <w:spacing w:line="240" w:lineRule="auto" w:before="21" w:after="0"/>
        <w:ind w:left="2159" w:right="0" w:hanging="360"/>
        <w:jc w:val="left"/>
        <w:rPr>
          <w:rFonts w:ascii="Symbol" w:hAnsi="Symbol"/>
          <w:sz w:val="22"/>
        </w:rPr>
      </w:pPr>
      <w:r>
        <w:rPr>
          <w:rFonts w:ascii="Calibri" w:hAnsi="Calibri"/>
          <w:sz w:val="22"/>
        </w:rPr>
        <w:t>System</w:t>
      </w:r>
      <w:r>
        <w:rPr>
          <w:rFonts w:ascii="Calibri" w:hAnsi="Calibri"/>
          <w:spacing w:val="-4"/>
          <w:sz w:val="22"/>
        </w:rPr>
        <w:t> </w:t>
      </w:r>
      <w:r>
        <w:rPr>
          <w:rFonts w:ascii="Calibri" w:hAnsi="Calibri"/>
          <w:sz w:val="22"/>
        </w:rPr>
        <w:t>Iechyd</w:t>
      </w:r>
      <w:r>
        <w:rPr>
          <w:rFonts w:ascii="Calibri" w:hAnsi="Calibri"/>
          <w:spacing w:val="-2"/>
          <w:sz w:val="22"/>
        </w:rPr>
        <w:t> </w:t>
      </w:r>
      <w:r>
        <w:rPr>
          <w:rFonts w:ascii="Calibri" w:hAnsi="Calibri"/>
          <w:sz w:val="22"/>
        </w:rPr>
        <w:t>Galwedigaethol</w:t>
      </w:r>
      <w:r>
        <w:rPr>
          <w:rFonts w:ascii="Calibri" w:hAnsi="Calibri"/>
          <w:spacing w:val="-3"/>
          <w:sz w:val="22"/>
        </w:rPr>
        <w:t> </w:t>
      </w:r>
      <w:r>
        <w:rPr>
          <w:rFonts w:ascii="Calibri" w:hAnsi="Calibri"/>
          <w:sz w:val="22"/>
        </w:rPr>
        <w:t>a</w:t>
      </w:r>
      <w:r>
        <w:rPr>
          <w:rFonts w:ascii="Calibri" w:hAnsi="Calibri"/>
          <w:spacing w:val="-3"/>
          <w:sz w:val="22"/>
        </w:rPr>
        <w:t> </w:t>
      </w:r>
      <w:r>
        <w:rPr>
          <w:rFonts w:ascii="Calibri" w:hAnsi="Calibri"/>
          <w:sz w:val="22"/>
        </w:rPr>
        <w:t>fydd</w:t>
      </w:r>
      <w:r>
        <w:rPr>
          <w:rFonts w:ascii="Calibri" w:hAnsi="Calibri"/>
          <w:spacing w:val="-1"/>
          <w:sz w:val="22"/>
        </w:rPr>
        <w:t> </w:t>
      </w:r>
      <w:r>
        <w:rPr>
          <w:rFonts w:ascii="Calibri" w:hAnsi="Calibri"/>
          <w:sz w:val="22"/>
        </w:rPr>
        <w:t>yn</w:t>
      </w:r>
      <w:r>
        <w:rPr>
          <w:rFonts w:ascii="Calibri" w:hAnsi="Calibri"/>
          <w:spacing w:val="-2"/>
          <w:sz w:val="22"/>
        </w:rPr>
        <w:t> </w:t>
      </w:r>
      <w:r>
        <w:rPr>
          <w:rFonts w:ascii="Calibri" w:hAnsi="Calibri"/>
          <w:sz w:val="22"/>
        </w:rPr>
        <w:t>gweithredu</w:t>
      </w:r>
      <w:r>
        <w:rPr>
          <w:rFonts w:ascii="Calibri" w:hAnsi="Calibri"/>
          <w:spacing w:val="-3"/>
          <w:sz w:val="22"/>
        </w:rPr>
        <w:t> </w:t>
      </w:r>
      <w:r>
        <w:rPr>
          <w:rFonts w:ascii="Calibri" w:hAnsi="Calibri"/>
          <w:sz w:val="22"/>
        </w:rPr>
        <w:t>gyda</w:t>
      </w:r>
      <w:r>
        <w:rPr>
          <w:rFonts w:ascii="Calibri" w:hAnsi="Calibri"/>
          <w:spacing w:val="-3"/>
          <w:sz w:val="22"/>
        </w:rPr>
        <w:t> </w:t>
      </w:r>
      <w:r>
        <w:rPr>
          <w:rFonts w:ascii="Calibri" w:hAnsi="Calibri"/>
          <w:sz w:val="22"/>
        </w:rPr>
        <w:t>swyddogaethau</w:t>
      </w:r>
      <w:r>
        <w:rPr>
          <w:rFonts w:ascii="Calibri" w:hAnsi="Calibri"/>
          <w:spacing w:val="-1"/>
          <w:sz w:val="22"/>
        </w:rPr>
        <w:t> </w:t>
      </w:r>
      <w:r>
        <w:rPr>
          <w:rFonts w:ascii="Calibri" w:hAnsi="Calibri"/>
          <w:spacing w:val="-2"/>
          <w:sz w:val="22"/>
        </w:rPr>
        <w:t>dwyieithog</w:t>
      </w:r>
    </w:p>
    <w:p>
      <w:pPr>
        <w:pStyle w:val="ListParagraph"/>
        <w:numPr>
          <w:ilvl w:val="0"/>
          <w:numId w:val="50"/>
        </w:numPr>
        <w:tabs>
          <w:tab w:pos="2159" w:val="left" w:leader="none"/>
          <w:tab w:pos="2160" w:val="left" w:leader="none"/>
        </w:tabs>
        <w:spacing w:line="259" w:lineRule="auto" w:before="21" w:after="0"/>
        <w:ind w:left="2160" w:right="1924" w:hanging="360"/>
        <w:jc w:val="left"/>
        <w:rPr>
          <w:rFonts w:ascii="Symbol" w:hAnsi="Symbol"/>
          <w:sz w:val="22"/>
        </w:rPr>
      </w:pPr>
      <w:r>
        <w:rPr>
          <w:rFonts w:ascii="Calibri" w:hAnsi="Calibri"/>
          <w:sz w:val="22"/>
        </w:rPr>
        <w:t>Cyfieithu</w:t>
      </w:r>
      <w:r>
        <w:rPr>
          <w:rFonts w:ascii="Calibri" w:hAnsi="Calibri"/>
          <w:spacing w:val="-3"/>
          <w:sz w:val="22"/>
        </w:rPr>
        <w:t> </w:t>
      </w:r>
      <w:r>
        <w:rPr>
          <w:rFonts w:ascii="Calibri" w:hAnsi="Calibri"/>
          <w:sz w:val="22"/>
        </w:rPr>
        <w:t>taflenni</w:t>
      </w:r>
      <w:r>
        <w:rPr>
          <w:rFonts w:ascii="Calibri" w:hAnsi="Calibri"/>
          <w:spacing w:val="-4"/>
          <w:sz w:val="22"/>
        </w:rPr>
        <w:t> </w:t>
      </w:r>
      <w:r>
        <w:rPr>
          <w:rFonts w:ascii="Calibri" w:hAnsi="Calibri"/>
          <w:sz w:val="22"/>
        </w:rPr>
        <w:t>gwybodaeth</w:t>
      </w:r>
      <w:r>
        <w:rPr>
          <w:rFonts w:ascii="Calibri" w:hAnsi="Calibri"/>
          <w:spacing w:val="-3"/>
          <w:sz w:val="22"/>
        </w:rPr>
        <w:t> </w:t>
      </w:r>
      <w:r>
        <w:rPr>
          <w:rFonts w:ascii="Calibri" w:hAnsi="Calibri"/>
          <w:sz w:val="22"/>
        </w:rPr>
        <w:t>hawdd</w:t>
      </w:r>
      <w:r>
        <w:rPr>
          <w:rFonts w:ascii="Calibri" w:hAnsi="Calibri"/>
          <w:spacing w:val="-3"/>
          <w:sz w:val="22"/>
        </w:rPr>
        <w:t> </w:t>
      </w:r>
      <w:r>
        <w:rPr>
          <w:rFonts w:ascii="Calibri" w:hAnsi="Calibri"/>
          <w:sz w:val="22"/>
        </w:rPr>
        <w:t>eu</w:t>
      </w:r>
      <w:r>
        <w:rPr>
          <w:rFonts w:ascii="Calibri" w:hAnsi="Calibri"/>
          <w:spacing w:val="-3"/>
          <w:sz w:val="22"/>
        </w:rPr>
        <w:t> </w:t>
      </w:r>
      <w:r>
        <w:rPr>
          <w:rFonts w:ascii="Calibri" w:hAnsi="Calibri"/>
          <w:sz w:val="22"/>
        </w:rPr>
        <w:t>deall</w:t>
      </w:r>
      <w:r>
        <w:rPr>
          <w:rFonts w:ascii="Calibri" w:hAnsi="Calibri"/>
          <w:spacing w:val="-3"/>
          <w:sz w:val="22"/>
        </w:rPr>
        <w:t> </w:t>
      </w:r>
      <w:r>
        <w:rPr>
          <w:rFonts w:ascii="Calibri" w:hAnsi="Calibri"/>
          <w:sz w:val="22"/>
        </w:rPr>
        <w:t>o'r</w:t>
      </w:r>
      <w:r>
        <w:rPr>
          <w:rFonts w:ascii="Calibri" w:hAnsi="Calibri"/>
          <w:spacing w:val="-4"/>
          <w:sz w:val="22"/>
        </w:rPr>
        <w:t> </w:t>
      </w:r>
      <w:r>
        <w:rPr>
          <w:rFonts w:ascii="Calibri" w:hAnsi="Calibri"/>
          <w:sz w:val="22"/>
        </w:rPr>
        <w:t>Saesneg</w:t>
      </w:r>
      <w:r>
        <w:rPr>
          <w:rFonts w:ascii="Calibri" w:hAnsi="Calibri"/>
          <w:spacing w:val="-3"/>
          <w:sz w:val="22"/>
        </w:rPr>
        <w:t> </w:t>
      </w:r>
      <w:r>
        <w:rPr>
          <w:rFonts w:ascii="Calibri" w:hAnsi="Calibri"/>
          <w:sz w:val="22"/>
        </w:rPr>
        <w:t>i'r</w:t>
      </w:r>
      <w:r>
        <w:rPr>
          <w:rFonts w:ascii="Calibri" w:hAnsi="Calibri"/>
          <w:spacing w:val="-3"/>
          <w:sz w:val="22"/>
        </w:rPr>
        <w:t> </w:t>
      </w:r>
      <w:r>
        <w:rPr>
          <w:rFonts w:ascii="Calibri" w:hAnsi="Calibri"/>
          <w:sz w:val="22"/>
        </w:rPr>
        <w:t>Gymraeg</w:t>
      </w:r>
      <w:r>
        <w:rPr>
          <w:rFonts w:ascii="Calibri" w:hAnsi="Calibri"/>
          <w:spacing w:val="-4"/>
          <w:sz w:val="22"/>
        </w:rPr>
        <w:t> </w:t>
      </w:r>
      <w:r>
        <w:rPr>
          <w:rFonts w:ascii="Calibri" w:hAnsi="Calibri"/>
          <w:sz w:val="22"/>
        </w:rPr>
        <w:t>i</w:t>
      </w:r>
      <w:r>
        <w:rPr>
          <w:rFonts w:ascii="Calibri" w:hAnsi="Calibri"/>
          <w:spacing w:val="-3"/>
          <w:sz w:val="22"/>
        </w:rPr>
        <w:t> </w:t>
      </w:r>
      <w:r>
        <w:rPr>
          <w:rFonts w:ascii="Calibri" w:hAnsi="Calibri"/>
          <w:sz w:val="22"/>
        </w:rPr>
        <w:t>gleifion</w:t>
      </w:r>
      <w:r>
        <w:rPr>
          <w:rFonts w:ascii="Calibri" w:hAnsi="Calibri"/>
          <w:spacing w:val="-3"/>
          <w:sz w:val="22"/>
        </w:rPr>
        <w:t> </w:t>
      </w:r>
      <w:r>
        <w:rPr>
          <w:rFonts w:ascii="Calibri" w:hAnsi="Calibri"/>
          <w:sz w:val="22"/>
        </w:rPr>
        <w:t>ar</w:t>
      </w:r>
      <w:r>
        <w:rPr>
          <w:rFonts w:ascii="Calibri" w:hAnsi="Calibri"/>
          <w:spacing w:val="-4"/>
          <w:sz w:val="22"/>
        </w:rPr>
        <w:t> </w:t>
      </w:r>
      <w:r>
        <w:rPr>
          <w:rFonts w:ascii="Calibri" w:hAnsi="Calibri"/>
          <w:sz w:val="22"/>
        </w:rPr>
        <w:t>gyfer Cronfa Risg Cymru, Byrddau Iechyd ac Ymddiriedolaethau.</w:t>
      </w:r>
    </w:p>
    <w:p>
      <w:pPr>
        <w:pStyle w:val="ListParagraph"/>
        <w:numPr>
          <w:ilvl w:val="0"/>
          <w:numId w:val="50"/>
        </w:numPr>
        <w:tabs>
          <w:tab w:pos="2159" w:val="left" w:leader="none"/>
          <w:tab w:pos="2160" w:val="left" w:leader="none"/>
        </w:tabs>
        <w:spacing w:line="259" w:lineRule="auto" w:before="0" w:after="0"/>
        <w:ind w:left="2160" w:right="2312" w:hanging="360"/>
        <w:jc w:val="left"/>
        <w:rPr>
          <w:rFonts w:ascii="Symbol" w:hAnsi="Symbol"/>
          <w:sz w:val="22"/>
        </w:rPr>
      </w:pPr>
      <w:r>
        <w:rPr>
          <w:rFonts w:ascii="Calibri" w:hAnsi="Calibri"/>
          <w:sz w:val="22"/>
        </w:rPr>
        <w:t>Strategaeth</w:t>
      </w:r>
      <w:r>
        <w:rPr>
          <w:rFonts w:ascii="Calibri" w:hAnsi="Calibri"/>
          <w:spacing w:val="-3"/>
          <w:sz w:val="22"/>
        </w:rPr>
        <w:t> </w:t>
      </w:r>
      <w:r>
        <w:rPr>
          <w:rFonts w:ascii="Calibri" w:hAnsi="Calibri"/>
          <w:sz w:val="22"/>
        </w:rPr>
        <w:t>Mwy</w:t>
      </w:r>
      <w:r>
        <w:rPr>
          <w:rFonts w:ascii="Calibri" w:hAnsi="Calibri"/>
          <w:spacing w:val="-3"/>
          <w:sz w:val="22"/>
        </w:rPr>
        <w:t> </w:t>
      </w:r>
      <w:r>
        <w:rPr>
          <w:rFonts w:ascii="Calibri" w:hAnsi="Calibri"/>
          <w:sz w:val="22"/>
        </w:rPr>
        <w:t>Na</w:t>
      </w:r>
      <w:r>
        <w:rPr>
          <w:rFonts w:ascii="Calibri" w:hAnsi="Calibri"/>
          <w:spacing w:val="-3"/>
          <w:sz w:val="22"/>
        </w:rPr>
        <w:t> </w:t>
      </w:r>
      <w:r>
        <w:rPr>
          <w:rFonts w:ascii="Calibri" w:hAnsi="Calibri"/>
          <w:sz w:val="22"/>
        </w:rPr>
        <w:t>Geiriau</w:t>
      </w:r>
      <w:r>
        <w:rPr>
          <w:rFonts w:ascii="Calibri" w:hAnsi="Calibri"/>
          <w:spacing w:val="-4"/>
          <w:sz w:val="22"/>
        </w:rPr>
        <w:t> </w:t>
      </w:r>
      <w:r>
        <w:rPr>
          <w:rFonts w:ascii="Calibri" w:hAnsi="Calibri"/>
          <w:sz w:val="22"/>
        </w:rPr>
        <w:t>2022</w:t>
      </w:r>
      <w:r>
        <w:rPr>
          <w:rFonts w:ascii="Calibri" w:hAnsi="Calibri"/>
          <w:spacing w:val="-3"/>
          <w:sz w:val="22"/>
        </w:rPr>
        <w:t> </w:t>
      </w:r>
      <w:r>
        <w:rPr>
          <w:rFonts w:ascii="Calibri" w:hAnsi="Calibri"/>
          <w:sz w:val="22"/>
        </w:rPr>
        <w:t>–</w:t>
      </w:r>
      <w:r>
        <w:rPr>
          <w:rFonts w:ascii="Calibri" w:hAnsi="Calibri"/>
          <w:spacing w:val="-4"/>
          <w:sz w:val="22"/>
        </w:rPr>
        <w:t> </w:t>
      </w:r>
      <w:r>
        <w:rPr>
          <w:rFonts w:ascii="Calibri" w:hAnsi="Calibri"/>
          <w:sz w:val="22"/>
        </w:rPr>
        <w:t>2027</w:t>
      </w:r>
      <w:r>
        <w:rPr>
          <w:rFonts w:ascii="Calibri" w:hAnsi="Calibri"/>
          <w:spacing w:val="-4"/>
          <w:sz w:val="22"/>
        </w:rPr>
        <w:t> </w:t>
      </w:r>
      <w:r>
        <w:rPr>
          <w:rFonts w:ascii="Calibri" w:hAnsi="Calibri"/>
          <w:sz w:val="22"/>
        </w:rPr>
        <w:t>Cynllun</w:t>
      </w:r>
      <w:r>
        <w:rPr>
          <w:rFonts w:ascii="Calibri" w:hAnsi="Calibri"/>
          <w:spacing w:val="-3"/>
          <w:sz w:val="22"/>
        </w:rPr>
        <w:t> </w:t>
      </w:r>
      <w:r>
        <w:rPr>
          <w:rFonts w:ascii="Calibri" w:hAnsi="Calibri"/>
          <w:sz w:val="22"/>
        </w:rPr>
        <w:t>Gweithredu</w:t>
      </w:r>
      <w:r>
        <w:rPr>
          <w:rFonts w:ascii="Calibri" w:hAnsi="Calibri"/>
          <w:spacing w:val="-3"/>
          <w:sz w:val="22"/>
        </w:rPr>
        <w:t> </w:t>
      </w:r>
      <w:r>
        <w:rPr>
          <w:rFonts w:ascii="Calibri" w:hAnsi="Calibri"/>
          <w:sz w:val="22"/>
        </w:rPr>
        <w:t>ar</w:t>
      </w:r>
      <w:r>
        <w:rPr>
          <w:rFonts w:ascii="Calibri" w:hAnsi="Calibri"/>
          <w:spacing w:val="-4"/>
          <w:sz w:val="22"/>
        </w:rPr>
        <w:t> </w:t>
      </w:r>
      <w:r>
        <w:rPr>
          <w:rFonts w:ascii="Calibri" w:hAnsi="Calibri"/>
          <w:sz w:val="22"/>
        </w:rPr>
        <w:t>gyfer</w:t>
      </w:r>
      <w:r>
        <w:rPr>
          <w:rFonts w:ascii="Calibri" w:hAnsi="Calibri"/>
          <w:spacing w:val="-4"/>
          <w:sz w:val="22"/>
        </w:rPr>
        <w:t> </w:t>
      </w:r>
      <w:r>
        <w:rPr>
          <w:rFonts w:ascii="Calibri" w:hAnsi="Calibri"/>
          <w:sz w:val="22"/>
        </w:rPr>
        <w:t>PCGC,</w:t>
      </w:r>
      <w:r>
        <w:rPr>
          <w:rFonts w:ascii="Calibri" w:hAnsi="Calibri"/>
          <w:spacing w:val="-3"/>
          <w:sz w:val="22"/>
        </w:rPr>
        <w:t> </w:t>
      </w:r>
      <w:r>
        <w:rPr>
          <w:rFonts w:ascii="Calibri" w:hAnsi="Calibri"/>
          <w:sz w:val="22"/>
        </w:rPr>
        <w:t>wedi’i integreiddio â Safonau’r Gymraeg.</w:t>
      </w:r>
    </w:p>
    <w:p>
      <w:pPr>
        <w:pStyle w:val="ListParagraph"/>
        <w:numPr>
          <w:ilvl w:val="0"/>
          <w:numId w:val="50"/>
        </w:numPr>
        <w:tabs>
          <w:tab w:pos="2159" w:val="left" w:leader="none"/>
          <w:tab w:pos="2160" w:val="left" w:leader="none"/>
        </w:tabs>
        <w:spacing w:line="259" w:lineRule="auto" w:before="0" w:after="0"/>
        <w:ind w:left="2160" w:right="1538" w:hanging="360"/>
        <w:jc w:val="left"/>
        <w:rPr>
          <w:rFonts w:ascii="Symbol" w:hAnsi="Symbol"/>
          <w:sz w:val="22"/>
        </w:rPr>
      </w:pPr>
      <w:r>
        <w:rPr>
          <w:rFonts w:ascii="Calibri" w:hAnsi="Calibri"/>
          <w:sz w:val="22"/>
        </w:rPr>
        <w:t>Manteisio</w:t>
      </w:r>
      <w:r>
        <w:rPr>
          <w:rFonts w:ascii="Calibri" w:hAnsi="Calibri"/>
          <w:spacing w:val="-3"/>
          <w:sz w:val="22"/>
        </w:rPr>
        <w:t> </w:t>
      </w:r>
      <w:r>
        <w:rPr>
          <w:rFonts w:ascii="Calibri" w:hAnsi="Calibri"/>
          <w:sz w:val="22"/>
        </w:rPr>
        <w:t>ar</w:t>
      </w:r>
      <w:r>
        <w:rPr>
          <w:rFonts w:ascii="Calibri" w:hAnsi="Calibri"/>
          <w:spacing w:val="-4"/>
          <w:sz w:val="22"/>
        </w:rPr>
        <w:t> </w:t>
      </w:r>
      <w:r>
        <w:rPr>
          <w:rFonts w:ascii="Calibri" w:hAnsi="Calibri"/>
          <w:sz w:val="22"/>
        </w:rPr>
        <w:t>Agenda’r</w:t>
      </w:r>
      <w:r>
        <w:rPr>
          <w:rFonts w:ascii="Calibri" w:hAnsi="Calibri"/>
          <w:spacing w:val="-4"/>
          <w:sz w:val="22"/>
        </w:rPr>
        <w:t> </w:t>
      </w:r>
      <w:r>
        <w:rPr>
          <w:rFonts w:ascii="Calibri" w:hAnsi="Calibri"/>
          <w:sz w:val="22"/>
        </w:rPr>
        <w:t>Economi</w:t>
      </w:r>
      <w:r>
        <w:rPr>
          <w:rFonts w:ascii="Calibri" w:hAnsi="Calibri"/>
          <w:spacing w:val="-3"/>
          <w:sz w:val="22"/>
        </w:rPr>
        <w:t> </w:t>
      </w:r>
      <w:r>
        <w:rPr>
          <w:rFonts w:ascii="Calibri" w:hAnsi="Calibri"/>
          <w:sz w:val="22"/>
        </w:rPr>
        <w:t>Sylfaenol</w:t>
      </w:r>
      <w:r>
        <w:rPr>
          <w:rFonts w:ascii="Calibri" w:hAnsi="Calibri"/>
          <w:spacing w:val="-3"/>
          <w:sz w:val="22"/>
        </w:rPr>
        <w:t> </w:t>
      </w:r>
      <w:r>
        <w:rPr>
          <w:rFonts w:ascii="Calibri" w:hAnsi="Calibri"/>
          <w:sz w:val="22"/>
        </w:rPr>
        <w:t>yng</w:t>
      </w:r>
      <w:r>
        <w:rPr>
          <w:rFonts w:ascii="Calibri" w:hAnsi="Calibri"/>
          <w:spacing w:val="-3"/>
          <w:sz w:val="22"/>
        </w:rPr>
        <w:t> </w:t>
      </w:r>
      <w:r>
        <w:rPr>
          <w:rFonts w:ascii="Calibri" w:hAnsi="Calibri"/>
          <w:sz w:val="22"/>
        </w:rPr>
        <w:t>Nghymru</w:t>
      </w:r>
      <w:r>
        <w:rPr>
          <w:rFonts w:ascii="Calibri" w:hAnsi="Calibri"/>
          <w:spacing w:val="-3"/>
          <w:sz w:val="22"/>
        </w:rPr>
        <w:t> </w:t>
      </w:r>
      <w:r>
        <w:rPr>
          <w:rFonts w:ascii="Calibri" w:hAnsi="Calibri"/>
          <w:sz w:val="22"/>
        </w:rPr>
        <w:t>i</w:t>
      </w:r>
      <w:r>
        <w:rPr>
          <w:rFonts w:ascii="Calibri" w:hAnsi="Calibri"/>
          <w:spacing w:val="-4"/>
          <w:sz w:val="22"/>
        </w:rPr>
        <w:t> </w:t>
      </w:r>
      <w:r>
        <w:rPr>
          <w:rFonts w:ascii="Calibri" w:hAnsi="Calibri"/>
          <w:sz w:val="22"/>
        </w:rPr>
        <w:t>allu</w:t>
      </w:r>
      <w:r>
        <w:rPr>
          <w:rFonts w:ascii="Calibri" w:hAnsi="Calibri"/>
          <w:spacing w:val="-3"/>
          <w:sz w:val="22"/>
        </w:rPr>
        <w:t> </w:t>
      </w:r>
      <w:r>
        <w:rPr>
          <w:rFonts w:ascii="Calibri" w:hAnsi="Calibri"/>
          <w:sz w:val="22"/>
        </w:rPr>
        <w:t>optimeiddio</w:t>
      </w:r>
      <w:r>
        <w:rPr>
          <w:rFonts w:ascii="Calibri" w:hAnsi="Calibri"/>
          <w:spacing w:val="-4"/>
          <w:sz w:val="22"/>
        </w:rPr>
        <w:t> </w:t>
      </w:r>
      <w:r>
        <w:rPr>
          <w:rFonts w:ascii="Calibri" w:hAnsi="Calibri"/>
          <w:sz w:val="22"/>
        </w:rPr>
        <w:t>ein</w:t>
      </w:r>
      <w:r>
        <w:rPr>
          <w:rFonts w:ascii="Calibri" w:hAnsi="Calibri"/>
          <w:spacing w:val="-4"/>
          <w:sz w:val="22"/>
        </w:rPr>
        <w:t> </w:t>
      </w:r>
      <w:r>
        <w:rPr>
          <w:rFonts w:ascii="Calibri" w:hAnsi="Calibri"/>
          <w:sz w:val="22"/>
        </w:rPr>
        <w:t>gwasanaethau </w:t>
      </w:r>
      <w:r>
        <w:rPr>
          <w:rFonts w:ascii="Calibri" w:hAnsi="Calibri"/>
          <w:spacing w:val="-2"/>
          <w:sz w:val="22"/>
        </w:rPr>
        <w:t>dwyieithog.</w:t>
      </w:r>
    </w:p>
    <w:p>
      <w:pPr>
        <w:pStyle w:val="ListParagraph"/>
        <w:numPr>
          <w:ilvl w:val="0"/>
          <w:numId w:val="50"/>
        </w:numPr>
        <w:tabs>
          <w:tab w:pos="2159" w:val="left" w:leader="none"/>
          <w:tab w:pos="2160" w:val="left" w:leader="none"/>
        </w:tabs>
        <w:spacing w:line="259" w:lineRule="auto" w:before="0" w:after="0"/>
        <w:ind w:left="2160" w:right="1624" w:hanging="360"/>
        <w:jc w:val="left"/>
        <w:rPr>
          <w:rFonts w:ascii="Symbol" w:hAnsi="Symbol"/>
          <w:sz w:val="22"/>
        </w:rPr>
      </w:pPr>
      <w:r>
        <w:rPr>
          <w:rFonts w:ascii="Calibri" w:hAnsi="Calibri"/>
          <w:sz w:val="22"/>
        </w:rPr>
        <w:t>Gweithio</w:t>
      </w:r>
      <w:r>
        <w:rPr>
          <w:rFonts w:ascii="Calibri" w:hAnsi="Calibri"/>
          <w:spacing w:val="-4"/>
          <w:sz w:val="22"/>
        </w:rPr>
        <w:t> </w:t>
      </w:r>
      <w:r>
        <w:rPr>
          <w:rFonts w:ascii="Calibri" w:hAnsi="Calibri"/>
          <w:sz w:val="22"/>
        </w:rPr>
        <w:t>gyda'r</w:t>
      </w:r>
      <w:r>
        <w:rPr>
          <w:rFonts w:ascii="Calibri" w:hAnsi="Calibri"/>
          <w:spacing w:val="-3"/>
          <w:sz w:val="22"/>
        </w:rPr>
        <w:t> </w:t>
      </w:r>
      <w:r>
        <w:rPr>
          <w:rFonts w:ascii="Calibri" w:hAnsi="Calibri"/>
          <w:sz w:val="22"/>
        </w:rPr>
        <w:t>tîm</w:t>
      </w:r>
      <w:r>
        <w:rPr>
          <w:rFonts w:ascii="Calibri" w:hAnsi="Calibri"/>
          <w:spacing w:val="-3"/>
          <w:sz w:val="22"/>
        </w:rPr>
        <w:t> </w:t>
      </w:r>
      <w:r>
        <w:rPr>
          <w:rFonts w:ascii="Calibri" w:hAnsi="Calibri"/>
          <w:sz w:val="22"/>
        </w:rPr>
        <w:t>Pobl</w:t>
      </w:r>
      <w:r>
        <w:rPr>
          <w:rFonts w:ascii="Calibri" w:hAnsi="Calibri"/>
          <w:spacing w:val="-3"/>
          <w:sz w:val="22"/>
        </w:rPr>
        <w:t> </w:t>
      </w:r>
      <w:r>
        <w:rPr>
          <w:rFonts w:ascii="Calibri" w:hAnsi="Calibri"/>
          <w:sz w:val="22"/>
        </w:rPr>
        <w:t>a</w:t>
      </w:r>
      <w:r>
        <w:rPr>
          <w:rFonts w:ascii="Calibri" w:hAnsi="Calibri"/>
          <w:spacing w:val="-4"/>
          <w:sz w:val="22"/>
        </w:rPr>
        <w:t> </w:t>
      </w:r>
      <w:r>
        <w:rPr>
          <w:rFonts w:ascii="Calibri" w:hAnsi="Calibri"/>
          <w:sz w:val="22"/>
        </w:rPr>
        <w:t>Datblygu</w:t>
      </w:r>
      <w:r>
        <w:rPr>
          <w:rFonts w:ascii="Calibri" w:hAnsi="Calibri"/>
          <w:spacing w:val="-3"/>
          <w:sz w:val="22"/>
        </w:rPr>
        <w:t> </w:t>
      </w:r>
      <w:r>
        <w:rPr>
          <w:rFonts w:ascii="Calibri" w:hAnsi="Calibri"/>
          <w:sz w:val="22"/>
        </w:rPr>
        <w:t>Sefydliadol</w:t>
      </w:r>
      <w:r>
        <w:rPr>
          <w:rFonts w:ascii="Calibri" w:hAnsi="Calibri"/>
          <w:spacing w:val="-4"/>
          <w:sz w:val="22"/>
        </w:rPr>
        <w:t> </w:t>
      </w:r>
      <w:r>
        <w:rPr>
          <w:rFonts w:ascii="Calibri" w:hAnsi="Calibri"/>
          <w:sz w:val="22"/>
        </w:rPr>
        <w:t>a</w:t>
      </w:r>
      <w:r>
        <w:rPr>
          <w:rFonts w:ascii="Calibri" w:hAnsi="Calibri"/>
          <w:spacing w:val="-4"/>
          <w:sz w:val="22"/>
        </w:rPr>
        <w:t> </w:t>
      </w:r>
      <w:r>
        <w:rPr>
          <w:rFonts w:ascii="Calibri" w:hAnsi="Calibri"/>
          <w:sz w:val="22"/>
        </w:rPr>
        <w:t>rhanddeiliaid</w:t>
      </w:r>
      <w:r>
        <w:rPr>
          <w:rFonts w:ascii="Calibri" w:hAnsi="Calibri"/>
          <w:spacing w:val="-3"/>
          <w:sz w:val="22"/>
        </w:rPr>
        <w:t> </w:t>
      </w:r>
      <w:r>
        <w:rPr>
          <w:rFonts w:ascii="Calibri" w:hAnsi="Calibri"/>
          <w:sz w:val="22"/>
        </w:rPr>
        <w:t>allanol</w:t>
      </w:r>
      <w:r>
        <w:rPr>
          <w:rFonts w:ascii="Calibri" w:hAnsi="Calibri"/>
          <w:spacing w:val="-3"/>
          <w:sz w:val="22"/>
        </w:rPr>
        <w:t> </w:t>
      </w:r>
      <w:r>
        <w:rPr>
          <w:rFonts w:ascii="Calibri" w:hAnsi="Calibri"/>
          <w:sz w:val="22"/>
        </w:rPr>
        <w:t>i</w:t>
      </w:r>
      <w:r>
        <w:rPr>
          <w:rFonts w:ascii="Calibri" w:hAnsi="Calibri"/>
          <w:spacing w:val="-4"/>
          <w:sz w:val="22"/>
        </w:rPr>
        <w:t> </w:t>
      </w:r>
      <w:r>
        <w:rPr>
          <w:rFonts w:ascii="Calibri" w:hAnsi="Calibri"/>
          <w:sz w:val="22"/>
        </w:rPr>
        <w:t>ehangu</w:t>
      </w:r>
      <w:r>
        <w:rPr>
          <w:rFonts w:ascii="Calibri" w:hAnsi="Calibri"/>
          <w:spacing w:val="-3"/>
          <w:sz w:val="22"/>
        </w:rPr>
        <w:t> </w:t>
      </w:r>
      <w:r>
        <w:rPr>
          <w:rFonts w:ascii="Calibri" w:hAnsi="Calibri"/>
          <w:sz w:val="22"/>
        </w:rPr>
        <w:t>mynediad</w:t>
      </w:r>
      <w:r>
        <w:rPr>
          <w:rFonts w:ascii="Calibri" w:hAnsi="Calibri"/>
          <w:spacing w:val="-3"/>
          <w:sz w:val="22"/>
        </w:rPr>
        <w:t> </w:t>
      </w:r>
      <w:r>
        <w:rPr>
          <w:rFonts w:ascii="Calibri" w:hAnsi="Calibri"/>
          <w:sz w:val="22"/>
        </w:rPr>
        <w:t>i ni fel cyflogwr o ddewis.</w:t>
      </w:r>
    </w:p>
    <w:p>
      <w:pPr>
        <w:spacing w:after="0" w:line="259" w:lineRule="auto"/>
        <w:jc w:val="left"/>
        <w:rPr>
          <w:rFonts w:ascii="Symbol" w:hAnsi="Symbol"/>
          <w:sz w:val="22"/>
        </w:rPr>
        <w:sectPr>
          <w:pgSz w:w="11910" w:h="16840"/>
          <w:pgMar w:header="0" w:footer="173" w:top="1380" w:bottom="360" w:left="0" w:right="0"/>
        </w:sectPr>
      </w:pPr>
    </w:p>
    <w:p>
      <w:pPr>
        <w:pStyle w:val="BodyText"/>
        <w:rPr>
          <w:rFonts w:ascii="Calibri"/>
          <w:sz w:val="20"/>
        </w:rPr>
      </w:pPr>
      <w:r>
        <w:rPr/>
        <w:drawing>
          <wp:anchor distT="0" distB="0" distL="0" distR="0" allowOverlap="1" layoutInCell="1" locked="0" behindDoc="0" simplePos="0" relativeHeight="15862784">
            <wp:simplePos x="0" y="0"/>
            <wp:positionH relativeFrom="page">
              <wp:posOffset>0</wp:posOffset>
            </wp:positionH>
            <wp:positionV relativeFrom="page">
              <wp:posOffset>61095</wp:posOffset>
            </wp:positionV>
            <wp:extent cx="7552054" cy="1084444"/>
            <wp:effectExtent l="0" t="0" r="0" b="0"/>
            <wp:wrapNone/>
            <wp:docPr id="243" name="image115.png"/>
            <wp:cNvGraphicFramePr>
              <a:graphicFrameLocks noChangeAspect="1"/>
            </wp:cNvGraphicFramePr>
            <a:graphic>
              <a:graphicData uri="http://schemas.openxmlformats.org/drawingml/2006/picture">
                <pic:pic>
                  <pic:nvPicPr>
                    <pic:cNvPr id="244" name="image115.png"/>
                    <pic:cNvPicPr/>
                  </pic:nvPicPr>
                  <pic:blipFill>
                    <a:blip r:embed="rId223" cstate="print"/>
                    <a:stretch>
                      <a:fillRect/>
                    </a:stretch>
                  </pic:blipFill>
                  <pic:spPr>
                    <a:xfrm>
                      <a:off x="0" y="0"/>
                      <a:ext cx="7552054" cy="1084444"/>
                    </a:xfrm>
                    <a:prstGeom prst="rect">
                      <a:avLst/>
                    </a:prstGeom>
                  </pic:spPr>
                </pic:pic>
              </a:graphicData>
            </a:graphic>
          </wp:anchor>
        </w:drawing>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22"/>
        </w:rPr>
      </w:pPr>
    </w:p>
    <w:tbl>
      <w:tblPr>
        <w:tblW w:w="0" w:type="auto"/>
        <w:jc w:val="left"/>
        <w:tblInd w:w="11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70"/>
        <w:gridCol w:w="6095"/>
      </w:tblGrid>
      <w:tr>
        <w:trPr>
          <w:trHeight w:val="583" w:hRule="atLeast"/>
        </w:trPr>
        <w:tc>
          <w:tcPr>
            <w:tcW w:w="3970" w:type="dxa"/>
          </w:tcPr>
          <w:p>
            <w:pPr>
              <w:pStyle w:val="TableParagraph"/>
              <w:ind w:left="108"/>
              <w:rPr>
                <w:b/>
                <w:sz w:val="24"/>
              </w:rPr>
            </w:pPr>
            <w:bookmarkStart w:name=" 7.3 Audit Committee Forward Plan.pdf" w:id="80"/>
            <w:bookmarkEnd w:id="80"/>
            <w:r>
              <w:rPr/>
            </w:r>
            <w:r>
              <w:rPr>
                <w:b/>
                <w:spacing w:val="-2"/>
                <w:sz w:val="24"/>
              </w:rPr>
              <w:t>MEETING</w:t>
            </w:r>
          </w:p>
        </w:tc>
        <w:tc>
          <w:tcPr>
            <w:tcW w:w="6095" w:type="dxa"/>
          </w:tcPr>
          <w:p>
            <w:pPr>
              <w:pStyle w:val="TableParagraph"/>
              <w:spacing w:line="290" w:lineRule="atLeast"/>
              <w:ind w:left="430" w:hanging="238"/>
              <w:rPr>
                <w:sz w:val="24"/>
              </w:rPr>
            </w:pPr>
            <w:r>
              <w:rPr>
                <w:sz w:val="24"/>
              </w:rPr>
              <w:t>Velindre</w:t>
            </w:r>
            <w:r>
              <w:rPr>
                <w:spacing w:val="-8"/>
                <w:sz w:val="24"/>
              </w:rPr>
              <w:t> </w:t>
            </w:r>
            <w:r>
              <w:rPr>
                <w:sz w:val="24"/>
              </w:rPr>
              <w:t>University</w:t>
            </w:r>
            <w:r>
              <w:rPr>
                <w:spacing w:val="-8"/>
                <w:sz w:val="24"/>
              </w:rPr>
              <w:t> </w:t>
            </w:r>
            <w:r>
              <w:rPr>
                <w:sz w:val="24"/>
              </w:rPr>
              <w:t>NHS</w:t>
            </w:r>
            <w:r>
              <w:rPr>
                <w:spacing w:val="-8"/>
                <w:sz w:val="24"/>
              </w:rPr>
              <w:t> </w:t>
            </w:r>
            <w:r>
              <w:rPr>
                <w:sz w:val="24"/>
              </w:rPr>
              <w:t>Trust</w:t>
            </w:r>
            <w:r>
              <w:rPr>
                <w:spacing w:val="-8"/>
                <w:sz w:val="24"/>
              </w:rPr>
              <w:t> </w:t>
            </w:r>
            <w:r>
              <w:rPr>
                <w:sz w:val="24"/>
              </w:rPr>
              <w:t>Audit</w:t>
            </w:r>
            <w:r>
              <w:rPr>
                <w:spacing w:val="-7"/>
                <w:sz w:val="24"/>
              </w:rPr>
              <w:t> </w:t>
            </w:r>
            <w:r>
              <w:rPr>
                <w:sz w:val="24"/>
              </w:rPr>
              <w:t>Committee for NHS Wales Shared Services Partnership</w:t>
            </w:r>
          </w:p>
        </w:tc>
      </w:tr>
      <w:tr>
        <w:trPr>
          <w:trHeight w:val="538" w:hRule="atLeast"/>
        </w:trPr>
        <w:tc>
          <w:tcPr>
            <w:tcW w:w="3970" w:type="dxa"/>
          </w:tcPr>
          <w:p>
            <w:pPr>
              <w:pStyle w:val="TableParagraph"/>
              <w:ind w:left="108"/>
              <w:rPr>
                <w:b/>
                <w:sz w:val="24"/>
              </w:rPr>
            </w:pPr>
            <w:r>
              <w:rPr>
                <w:b/>
                <w:spacing w:val="-4"/>
                <w:sz w:val="24"/>
              </w:rPr>
              <w:t>DATE</w:t>
            </w:r>
          </w:p>
        </w:tc>
        <w:tc>
          <w:tcPr>
            <w:tcW w:w="6095" w:type="dxa"/>
          </w:tcPr>
          <w:p>
            <w:pPr>
              <w:pStyle w:val="TableParagraph"/>
              <w:ind w:left="580" w:right="570"/>
              <w:jc w:val="center"/>
              <w:rPr>
                <w:sz w:val="24"/>
              </w:rPr>
            </w:pPr>
            <w:r>
              <w:rPr>
                <w:sz w:val="24"/>
              </w:rPr>
              <w:t>24</w:t>
            </w:r>
            <w:r>
              <w:rPr>
                <w:spacing w:val="-4"/>
                <w:sz w:val="24"/>
              </w:rPr>
              <w:t> </w:t>
            </w:r>
            <w:r>
              <w:rPr>
                <w:sz w:val="24"/>
              </w:rPr>
              <w:t>January</w:t>
            </w:r>
            <w:r>
              <w:rPr>
                <w:spacing w:val="-1"/>
                <w:sz w:val="24"/>
              </w:rPr>
              <w:t> </w:t>
            </w:r>
            <w:r>
              <w:rPr>
                <w:spacing w:val="-4"/>
                <w:sz w:val="24"/>
              </w:rPr>
              <w:t>2023</w:t>
            </w:r>
          </w:p>
        </w:tc>
      </w:tr>
      <w:tr>
        <w:trPr>
          <w:trHeight w:val="296" w:hRule="atLeast"/>
        </w:trPr>
        <w:tc>
          <w:tcPr>
            <w:tcW w:w="3970" w:type="dxa"/>
          </w:tcPr>
          <w:p>
            <w:pPr>
              <w:pStyle w:val="TableParagraph"/>
              <w:spacing w:line="276" w:lineRule="exact"/>
              <w:ind w:left="108"/>
              <w:rPr>
                <w:b/>
                <w:sz w:val="24"/>
              </w:rPr>
            </w:pPr>
            <w:r>
              <w:rPr>
                <w:b/>
                <w:sz w:val="24"/>
              </w:rPr>
              <w:t>PREPARED</w:t>
            </w:r>
            <w:r>
              <w:rPr>
                <w:b/>
                <w:spacing w:val="-3"/>
                <w:sz w:val="24"/>
              </w:rPr>
              <w:t> </w:t>
            </w:r>
            <w:r>
              <w:rPr>
                <w:b/>
                <w:spacing w:val="-5"/>
                <w:sz w:val="24"/>
              </w:rPr>
              <w:t>BY</w:t>
            </w:r>
          </w:p>
        </w:tc>
        <w:tc>
          <w:tcPr>
            <w:tcW w:w="6095" w:type="dxa"/>
          </w:tcPr>
          <w:p>
            <w:pPr>
              <w:pStyle w:val="TableParagraph"/>
              <w:spacing w:line="276" w:lineRule="exact"/>
              <w:ind w:left="580" w:right="571"/>
              <w:jc w:val="center"/>
              <w:rPr>
                <w:sz w:val="24"/>
              </w:rPr>
            </w:pPr>
            <w:r>
              <w:rPr>
                <w:sz w:val="24"/>
              </w:rPr>
              <w:t>Carly</w:t>
            </w:r>
            <w:r>
              <w:rPr>
                <w:spacing w:val="-7"/>
                <w:sz w:val="24"/>
              </w:rPr>
              <w:t> </w:t>
            </w:r>
            <w:r>
              <w:rPr>
                <w:sz w:val="24"/>
              </w:rPr>
              <w:t>Wilce,</w:t>
            </w:r>
            <w:r>
              <w:rPr>
                <w:spacing w:val="-5"/>
                <w:sz w:val="24"/>
              </w:rPr>
              <w:t> </w:t>
            </w:r>
            <w:r>
              <w:rPr>
                <w:sz w:val="24"/>
              </w:rPr>
              <w:t>Corporate</w:t>
            </w:r>
            <w:r>
              <w:rPr>
                <w:spacing w:val="-4"/>
                <w:sz w:val="24"/>
              </w:rPr>
              <w:t> </w:t>
            </w:r>
            <w:r>
              <w:rPr>
                <w:sz w:val="24"/>
              </w:rPr>
              <w:t>Services</w:t>
            </w:r>
            <w:r>
              <w:rPr>
                <w:spacing w:val="-4"/>
                <w:sz w:val="24"/>
              </w:rPr>
              <w:t> </w:t>
            </w:r>
            <w:r>
              <w:rPr>
                <w:spacing w:val="-2"/>
                <w:sz w:val="24"/>
              </w:rPr>
              <w:t>Manager</w:t>
            </w:r>
          </w:p>
        </w:tc>
      </w:tr>
      <w:tr>
        <w:trPr>
          <w:trHeight w:val="291" w:hRule="atLeast"/>
        </w:trPr>
        <w:tc>
          <w:tcPr>
            <w:tcW w:w="3970" w:type="dxa"/>
          </w:tcPr>
          <w:p>
            <w:pPr>
              <w:pStyle w:val="TableParagraph"/>
              <w:spacing w:line="272" w:lineRule="exact"/>
              <w:ind w:left="108"/>
              <w:rPr>
                <w:b/>
                <w:sz w:val="24"/>
              </w:rPr>
            </w:pPr>
            <w:r>
              <w:rPr>
                <w:b/>
                <w:sz w:val="24"/>
              </w:rPr>
              <w:t>PRESENTED</w:t>
            </w:r>
            <w:r>
              <w:rPr>
                <w:b/>
                <w:spacing w:val="-2"/>
                <w:sz w:val="24"/>
              </w:rPr>
              <w:t> </w:t>
            </w:r>
            <w:r>
              <w:rPr>
                <w:b/>
                <w:spacing w:val="-5"/>
                <w:sz w:val="24"/>
              </w:rPr>
              <w:t>BY</w:t>
            </w:r>
          </w:p>
        </w:tc>
        <w:tc>
          <w:tcPr>
            <w:tcW w:w="6095" w:type="dxa"/>
          </w:tcPr>
          <w:p>
            <w:pPr>
              <w:pStyle w:val="TableParagraph"/>
              <w:spacing w:line="272" w:lineRule="exact"/>
              <w:ind w:left="580" w:right="571"/>
              <w:jc w:val="center"/>
              <w:rPr>
                <w:sz w:val="24"/>
              </w:rPr>
            </w:pPr>
            <w:r>
              <w:rPr>
                <w:sz w:val="24"/>
              </w:rPr>
              <w:t>Carly</w:t>
            </w:r>
            <w:r>
              <w:rPr>
                <w:spacing w:val="-7"/>
                <w:sz w:val="24"/>
              </w:rPr>
              <w:t> </w:t>
            </w:r>
            <w:r>
              <w:rPr>
                <w:sz w:val="24"/>
              </w:rPr>
              <w:t>Wilce,</w:t>
            </w:r>
            <w:r>
              <w:rPr>
                <w:spacing w:val="-5"/>
                <w:sz w:val="24"/>
              </w:rPr>
              <w:t> </w:t>
            </w:r>
            <w:r>
              <w:rPr>
                <w:sz w:val="24"/>
              </w:rPr>
              <w:t>Corporate</w:t>
            </w:r>
            <w:r>
              <w:rPr>
                <w:spacing w:val="-4"/>
                <w:sz w:val="24"/>
              </w:rPr>
              <w:t> </w:t>
            </w:r>
            <w:r>
              <w:rPr>
                <w:sz w:val="24"/>
              </w:rPr>
              <w:t>Services</w:t>
            </w:r>
            <w:r>
              <w:rPr>
                <w:spacing w:val="-4"/>
                <w:sz w:val="24"/>
              </w:rPr>
              <w:t> </w:t>
            </w:r>
            <w:r>
              <w:rPr>
                <w:spacing w:val="-2"/>
                <w:sz w:val="24"/>
              </w:rPr>
              <w:t>Manager</w:t>
            </w:r>
          </w:p>
        </w:tc>
      </w:tr>
      <w:tr>
        <w:trPr>
          <w:trHeight w:val="583" w:hRule="atLeast"/>
        </w:trPr>
        <w:tc>
          <w:tcPr>
            <w:tcW w:w="3970" w:type="dxa"/>
          </w:tcPr>
          <w:p>
            <w:pPr>
              <w:pStyle w:val="TableParagraph"/>
              <w:spacing w:line="290" w:lineRule="atLeast"/>
              <w:ind w:left="108" w:right="1237"/>
              <w:rPr>
                <w:b/>
                <w:sz w:val="24"/>
              </w:rPr>
            </w:pPr>
            <w:r>
              <w:rPr>
                <w:b/>
                <w:spacing w:val="-2"/>
                <w:sz w:val="24"/>
              </w:rPr>
              <w:t>RESPONSIBLE </w:t>
            </w:r>
            <w:r>
              <w:rPr>
                <w:b/>
                <w:sz w:val="24"/>
              </w:rPr>
              <w:t>HEAD</w:t>
            </w:r>
            <w:r>
              <w:rPr>
                <w:b/>
                <w:spacing w:val="-20"/>
                <w:sz w:val="24"/>
              </w:rPr>
              <w:t> </w:t>
            </w:r>
            <w:r>
              <w:rPr>
                <w:b/>
                <w:sz w:val="24"/>
              </w:rPr>
              <w:t>OF</w:t>
            </w:r>
            <w:r>
              <w:rPr>
                <w:b/>
                <w:spacing w:val="-19"/>
                <w:sz w:val="24"/>
              </w:rPr>
              <w:t> </w:t>
            </w:r>
            <w:r>
              <w:rPr>
                <w:b/>
                <w:sz w:val="24"/>
              </w:rPr>
              <w:t>SERVICE</w:t>
            </w:r>
          </w:p>
        </w:tc>
        <w:tc>
          <w:tcPr>
            <w:tcW w:w="6095" w:type="dxa"/>
          </w:tcPr>
          <w:p>
            <w:pPr>
              <w:pStyle w:val="TableParagraph"/>
              <w:spacing w:line="290" w:lineRule="atLeast"/>
              <w:ind w:left="2542" w:hanging="2334"/>
              <w:rPr>
                <w:sz w:val="24"/>
              </w:rPr>
            </w:pPr>
            <w:r>
              <w:rPr>
                <w:sz w:val="24"/>
              </w:rPr>
              <w:t>Andy</w:t>
            </w:r>
            <w:r>
              <w:rPr>
                <w:spacing w:val="-6"/>
                <w:sz w:val="24"/>
              </w:rPr>
              <w:t> </w:t>
            </w:r>
            <w:r>
              <w:rPr>
                <w:sz w:val="24"/>
              </w:rPr>
              <w:t>Butler,</w:t>
            </w:r>
            <w:r>
              <w:rPr>
                <w:spacing w:val="-6"/>
                <w:sz w:val="24"/>
              </w:rPr>
              <w:t> </w:t>
            </w:r>
            <w:r>
              <w:rPr>
                <w:sz w:val="24"/>
              </w:rPr>
              <w:t>Director</w:t>
            </w:r>
            <w:r>
              <w:rPr>
                <w:spacing w:val="-7"/>
                <w:sz w:val="24"/>
              </w:rPr>
              <w:t> </w:t>
            </w:r>
            <w:r>
              <w:rPr>
                <w:sz w:val="24"/>
              </w:rPr>
              <w:t>of</w:t>
            </w:r>
            <w:r>
              <w:rPr>
                <w:spacing w:val="-7"/>
                <w:sz w:val="24"/>
              </w:rPr>
              <w:t> </w:t>
            </w:r>
            <w:r>
              <w:rPr>
                <w:sz w:val="24"/>
              </w:rPr>
              <w:t>Finance</w:t>
            </w:r>
            <w:r>
              <w:rPr>
                <w:spacing w:val="-7"/>
                <w:sz w:val="24"/>
              </w:rPr>
              <w:t> </w:t>
            </w:r>
            <w:r>
              <w:rPr>
                <w:sz w:val="24"/>
              </w:rPr>
              <w:t>and</w:t>
            </w:r>
            <w:r>
              <w:rPr>
                <w:spacing w:val="-6"/>
                <w:sz w:val="24"/>
              </w:rPr>
              <w:t> </w:t>
            </w:r>
            <w:r>
              <w:rPr>
                <w:sz w:val="24"/>
              </w:rPr>
              <w:t>Corporate </w:t>
            </w:r>
            <w:r>
              <w:rPr>
                <w:spacing w:val="-2"/>
                <w:sz w:val="24"/>
              </w:rPr>
              <w:t>Services</w:t>
            </w:r>
          </w:p>
        </w:tc>
      </w:tr>
      <w:tr>
        <w:trPr>
          <w:trHeight w:val="628" w:hRule="atLeast"/>
        </w:trPr>
        <w:tc>
          <w:tcPr>
            <w:tcW w:w="3970" w:type="dxa"/>
          </w:tcPr>
          <w:p>
            <w:pPr>
              <w:pStyle w:val="TableParagraph"/>
              <w:ind w:left="108"/>
              <w:rPr>
                <w:b/>
                <w:sz w:val="24"/>
              </w:rPr>
            </w:pPr>
            <w:r>
              <w:rPr>
                <w:b/>
                <w:sz w:val="24"/>
              </w:rPr>
              <w:t>TITLE</w:t>
            </w:r>
            <w:r>
              <w:rPr>
                <w:b/>
                <w:spacing w:val="-2"/>
                <w:sz w:val="24"/>
              </w:rPr>
              <w:t> </w:t>
            </w:r>
            <w:r>
              <w:rPr>
                <w:b/>
                <w:sz w:val="24"/>
              </w:rPr>
              <w:t>OF</w:t>
            </w:r>
            <w:r>
              <w:rPr>
                <w:b/>
                <w:spacing w:val="-1"/>
                <w:sz w:val="24"/>
              </w:rPr>
              <w:t> </w:t>
            </w:r>
            <w:r>
              <w:rPr>
                <w:b/>
                <w:spacing w:val="-2"/>
                <w:sz w:val="24"/>
              </w:rPr>
              <w:t>REPORT</w:t>
            </w:r>
          </w:p>
        </w:tc>
        <w:tc>
          <w:tcPr>
            <w:tcW w:w="6095" w:type="dxa"/>
          </w:tcPr>
          <w:p>
            <w:pPr>
              <w:pStyle w:val="TableParagraph"/>
              <w:ind w:left="580" w:right="569"/>
              <w:jc w:val="center"/>
              <w:rPr>
                <w:sz w:val="24"/>
              </w:rPr>
            </w:pPr>
            <w:r>
              <w:rPr>
                <w:sz w:val="24"/>
              </w:rPr>
              <w:t>Audit</w:t>
            </w:r>
            <w:r>
              <w:rPr>
                <w:spacing w:val="-3"/>
                <w:sz w:val="24"/>
              </w:rPr>
              <w:t> </w:t>
            </w:r>
            <w:r>
              <w:rPr>
                <w:sz w:val="24"/>
              </w:rPr>
              <w:t>Committee</w:t>
            </w:r>
            <w:r>
              <w:rPr>
                <w:spacing w:val="-1"/>
                <w:sz w:val="24"/>
              </w:rPr>
              <w:t> </w:t>
            </w:r>
            <w:r>
              <w:rPr>
                <w:sz w:val="24"/>
              </w:rPr>
              <w:t>Forward</w:t>
            </w:r>
            <w:r>
              <w:rPr>
                <w:spacing w:val="-1"/>
                <w:sz w:val="24"/>
              </w:rPr>
              <w:t> </w:t>
            </w:r>
            <w:r>
              <w:rPr>
                <w:sz w:val="24"/>
              </w:rPr>
              <w:t>Plan</w:t>
            </w:r>
            <w:r>
              <w:rPr>
                <w:spacing w:val="-1"/>
                <w:sz w:val="24"/>
              </w:rPr>
              <w:t> </w:t>
            </w:r>
            <w:r>
              <w:rPr>
                <w:sz w:val="24"/>
              </w:rPr>
              <w:t>2022-</w:t>
            </w:r>
            <w:r>
              <w:rPr>
                <w:spacing w:val="-7"/>
                <w:sz w:val="24"/>
              </w:rPr>
              <w:t>23</w:t>
            </w:r>
          </w:p>
        </w:tc>
      </w:tr>
    </w:tbl>
    <w:p>
      <w:pPr>
        <w:pStyle w:val="BodyText"/>
        <w:spacing w:before="9"/>
        <w:rPr>
          <w:rFonts w:ascii="Calibri"/>
          <w:sz w:val="20"/>
        </w:rPr>
      </w:pPr>
      <w:r>
        <w:rPr/>
        <w:pict>
          <v:shape style="position:absolute;margin-left:56.349998pt;margin-top:14.107031pt;width:504.7pt;height:77.8pt;mso-position-horizontal-relative:page;mso-position-vertical-relative:paragraph;z-index:-15595008;mso-wrap-distance-left:0;mso-wrap-distance-right:0" type="#_x0000_t202" id="docshape1139" filled="false" stroked="true" strokeweight=".5pt" strokecolor="#000000">
            <v:textbox inset="0,0,0,0">
              <w:txbxContent>
                <w:p>
                  <w:pPr>
                    <w:spacing w:before="0"/>
                    <w:ind w:left="103" w:right="0" w:firstLine="0"/>
                    <w:jc w:val="left"/>
                    <w:rPr>
                      <w:b/>
                      <w:sz w:val="24"/>
                    </w:rPr>
                  </w:pPr>
                  <w:r>
                    <w:rPr>
                      <w:b/>
                      <w:spacing w:val="-2"/>
                      <w:sz w:val="24"/>
                    </w:rPr>
                    <w:t>PURPOSE</w:t>
                  </w:r>
                </w:p>
                <w:p>
                  <w:pPr>
                    <w:pStyle w:val="BodyText"/>
                    <w:spacing w:before="12"/>
                    <w:rPr>
                      <w:b/>
                      <w:sz w:val="23"/>
                    </w:rPr>
                  </w:pPr>
                </w:p>
                <w:p>
                  <w:pPr>
                    <w:pStyle w:val="BodyText"/>
                    <w:spacing w:line="276" w:lineRule="auto"/>
                    <w:ind w:left="103"/>
                  </w:pPr>
                  <w:r>
                    <w:rPr/>
                    <w:t>To</w:t>
                  </w:r>
                  <w:r>
                    <w:rPr>
                      <w:spacing w:val="27"/>
                    </w:rPr>
                    <w:t> </w:t>
                  </w:r>
                  <w:r>
                    <w:rPr/>
                    <w:t>provide</w:t>
                  </w:r>
                  <w:r>
                    <w:rPr>
                      <w:spacing w:val="27"/>
                    </w:rPr>
                    <w:t> </w:t>
                  </w:r>
                  <w:r>
                    <w:rPr/>
                    <w:t>a</w:t>
                  </w:r>
                  <w:r>
                    <w:rPr>
                      <w:spacing w:val="27"/>
                    </w:rPr>
                    <w:t> </w:t>
                  </w:r>
                  <w:r>
                    <w:rPr/>
                    <w:t>summary</w:t>
                  </w:r>
                  <w:r>
                    <w:rPr>
                      <w:spacing w:val="27"/>
                    </w:rPr>
                    <w:t> </w:t>
                  </w:r>
                  <w:r>
                    <w:rPr/>
                    <w:t>of</w:t>
                  </w:r>
                  <w:r>
                    <w:rPr>
                      <w:spacing w:val="27"/>
                    </w:rPr>
                    <w:t> </w:t>
                  </w:r>
                  <w:r>
                    <w:rPr/>
                    <w:t>items</w:t>
                  </w:r>
                  <w:r>
                    <w:rPr>
                      <w:spacing w:val="27"/>
                    </w:rPr>
                    <w:t> </w:t>
                  </w:r>
                  <w:r>
                    <w:rPr/>
                    <w:t>expected</w:t>
                  </w:r>
                  <w:r>
                    <w:rPr>
                      <w:spacing w:val="27"/>
                    </w:rPr>
                    <w:t> </w:t>
                  </w:r>
                  <w:r>
                    <w:rPr/>
                    <w:t>to</w:t>
                  </w:r>
                  <w:r>
                    <w:rPr>
                      <w:spacing w:val="27"/>
                    </w:rPr>
                    <w:t> </w:t>
                  </w:r>
                  <w:r>
                    <w:rPr/>
                    <w:t>be</w:t>
                  </w:r>
                  <w:r>
                    <w:rPr>
                      <w:spacing w:val="27"/>
                    </w:rPr>
                    <w:t> </w:t>
                  </w:r>
                  <w:r>
                    <w:rPr/>
                    <w:t>presented</w:t>
                  </w:r>
                  <w:r>
                    <w:rPr>
                      <w:spacing w:val="27"/>
                    </w:rPr>
                    <w:t> </w:t>
                  </w:r>
                  <w:r>
                    <w:rPr/>
                    <w:t>at</w:t>
                  </w:r>
                  <w:r>
                    <w:rPr>
                      <w:spacing w:val="27"/>
                    </w:rPr>
                    <w:t> </w:t>
                  </w:r>
                  <w:r>
                    <w:rPr/>
                    <w:t>forthcoming</w:t>
                  </w:r>
                  <w:r>
                    <w:rPr>
                      <w:spacing w:val="27"/>
                    </w:rPr>
                    <w:t> </w:t>
                  </w:r>
                  <w:r>
                    <w:rPr/>
                    <w:t>Audit Committee meetings, scheduled for 2022-23.</w:t>
                  </w:r>
                </w:p>
              </w:txbxContent>
            </v:textbox>
            <v:stroke dashstyle="solid"/>
            <w10:wrap type="topAndBottom"/>
          </v:shape>
        </w:pict>
      </w:r>
    </w:p>
    <w:p>
      <w:pPr>
        <w:spacing w:after="0"/>
        <w:rPr>
          <w:rFonts w:ascii="Calibri"/>
          <w:sz w:val="20"/>
        </w:rPr>
        <w:sectPr>
          <w:footerReference w:type="default" r:id="rId222"/>
          <w:pgSz w:w="11910" w:h="16840"/>
          <w:pgMar w:footer="1043" w:header="0" w:top="80" w:bottom="1240" w:left="0" w:right="0"/>
        </w:sectPr>
      </w:pPr>
    </w:p>
    <w:p>
      <w:pPr>
        <w:pStyle w:val="BodyText"/>
        <w:rPr>
          <w:rFonts w:ascii="Calibri"/>
          <w:sz w:val="20"/>
        </w:rPr>
      </w:pPr>
    </w:p>
    <w:p>
      <w:pPr>
        <w:pStyle w:val="BodyText"/>
        <w:rPr>
          <w:rFonts w:ascii="Calibri"/>
          <w:sz w:val="21"/>
        </w:rPr>
      </w:pPr>
    </w:p>
    <w:p>
      <w:pPr>
        <w:spacing w:before="0"/>
        <w:ind w:left="0" w:right="115" w:firstLine="0"/>
        <w:jc w:val="right"/>
        <w:rPr>
          <w:rFonts w:ascii="Arial"/>
          <w:b/>
          <w:sz w:val="20"/>
        </w:rPr>
      </w:pPr>
      <w:r>
        <w:rPr/>
        <w:drawing>
          <wp:anchor distT="0" distB="0" distL="0" distR="0" allowOverlap="1" layoutInCell="1" locked="0" behindDoc="0" simplePos="0" relativeHeight="15863296">
            <wp:simplePos x="0" y="0"/>
            <wp:positionH relativeFrom="page">
              <wp:posOffset>211670</wp:posOffset>
            </wp:positionH>
            <wp:positionV relativeFrom="paragraph">
              <wp:posOffset>-313691</wp:posOffset>
            </wp:positionV>
            <wp:extent cx="2489835" cy="679450"/>
            <wp:effectExtent l="0" t="0" r="0" b="0"/>
            <wp:wrapNone/>
            <wp:docPr id="245" name="image3.png"/>
            <wp:cNvGraphicFramePr>
              <a:graphicFrameLocks noChangeAspect="1"/>
            </wp:cNvGraphicFramePr>
            <a:graphic>
              <a:graphicData uri="http://schemas.openxmlformats.org/drawingml/2006/picture">
                <pic:pic>
                  <pic:nvPicPr>
                    <pic:cNvPr id="246" name="image3.png"/>
                    <pic:cNvPicPr/>
                  </pic:nvPicPr>
                  <pic:blipFill>
                    <a:blip r:embed="rId10" cstate="print"/>
                    <a:stretch>
                      <a:fillRect/>
                    </a:stretch>
                  </pic:blipFill>
                  <pic:spPr>
                    <a:xfrm>
                      <a:off x="0" y="0"/>
                      <a:ext cx="2489835" cy="679450"/>
                    </a:xfrm>
                    <a:prstGeom prst="rect">
                      <a:avLst/>
                    </a:prstGeom>
                  </pic:spPr>
                </pic:pic>
              </a:graphicData>
            </a:graphic>
          </wp:anchor>
        </w:drawing>
      </w:r>
      <w:r>
        <w:rPr>
          <w:rFonts w:ascii="Arial"/>
          <w:b/>
          <w:sz w:val="20"/>
        </w:rPr>
        <w:t>Velindre</w:t>
      </w:r>
      <w:r>
        <w:rPr>
          <w:rFonts w:ascii="Arial"/>
          <w:b/>
          <w:spacing w:val="-6"/>
          <w:sz w:val="20"/>
        </w:rPr>
        <w:t> </w:t>
      </w:r>
      <w:r>
        <w:rPr>
          <w:rFonts w:ascii="Arial"/>
          <w:b/>
          <w:sz w:val="20"/>
        </w:rPr>
        <w:t>University</w:t>
      </w:r>
      <w:r>
        <w:rPr>
          <w:rFonts w:ascii="Arial"/>
          <w:b/>
          <w:spacing w:val="-3"/>
          <w:sz w:val="20"/>
        </w:rPr>
        <w:t> </w:t>
      </w:r>
      <w:r>
        <w:rPr>
          <w:rFonts w:ascii="Arial"/>
          <w:b/>
          <w:sz w:val="20"/>
        </w:rPr>
        <w:t>NHS</w:t>
      </w:r>
      <w:r>
        <w:rPr>
          <w:rFonts w:ascii="Arial"/>
          <w:b/>
          <w:spacing w:val="-3"/>
          <w:sz w:val="20"/>
        </w:rPr>
        <w:t> </w:t>
      </w:r>
      <w:r>
        <w:rPr>
          <w:rFonts w:ascii="Arial"/>
          <w:b/>
          <w:sz w:val="20"/>
        </w:rPr>
        <w:t>Trust</w:t>
      </w:r>
      <w:r>
        <w:rPr>
          <w:rFonts w:ascii="Arial"/>
          <w:b/>
          <w:spacing w:val="-2"/>
          <w:sz w:val="20"/>
        </w:rPr>
        <w:t> </w:t>
      </w:r>
      <w:r>
        <w:rPr>
          <w:rFonts w:ascii="Arial"/>
          <w:b/>
          <w:sz w:val="20"/>
        </w:rPr>
        <w:t>Audit</w:t>
      </w:r>
      <w:r>
        <w:rPr>
          <w:rFonts w:ascii="Arial"/>
          <w:b/>
          <w:spacing w:val="-2"/>
          <w:sz w:val="20"/>
        </w:rPr>
        <w:t> </w:t>
      </w:r>
      <w:r>
        <w:rPr>
          <w:rFonts w:ascii="Arial"/>
          <w:b/>
          <w:sz w:val="20"/>
        </w:rPr>
        <w:t>Committee</w:t>
      </w:r>
      <w:r>
        <w:rPr>
          <w:rFonts w:ascii="Arial"/>
          <w:b/>
          <w:spacing w:val="-4"/>
          <w:sz w:val="20"/>
        </w:rPr>
        <w:t> </w:t>
      </w:r>
      <w:r>
        <w:rPr>
          <w:rFonts w:ascii="Arial"/>
          <w:b/>
          <w:sz w:val="20"/>
        </w:rPr>
        <w:t>for</w:t>
      </w:r>
      <w:r>
        <w:rPr>
          <w:rFonts w:ascii="Arial"/>
          <w:b/>
          <w:spacing w:val="-2"/>
          <w:sz w:val="20"/>
        </w:rPr>
        <w:t> </w:t>
      </w:r>
      <w:r>
        <w:rPr>
          <w:rFonts w:ascii="Arial"/>
          <w:b/>
          <w:sz w:val="20"/>
        </w:rPr>
        <w:t>NHS</w:t>
      </w:r>
      <w:r>
        <w:rPr>
          <w:rFonts w:ascii="Arial"/>
          <w:b/>
          <w:spacing w:val="-3"/>
          <w:sz w:val="20"/>
        </w:rPr>
        <w:t> </w:t>
      </w:r>
      <w:r>
        <w:rPr>
          <w:rFonts w:ascii="Arial"/>
          <w:b/>
          <w:sz w:val="20"/>
        </w:rPr>
        <w:t>Wales</w:t>
      </w:r>
      <w:r>
        <w:rPr>
          <w:rFonts w:ascii="Arial"/>
          <w:b/>
          <w:spacing w:val="-2"/>
          <w:sz w:val="20"/>
        </w:rPr>
        <w:t> </w:t>
      </w:r>
      <w:r>
        <w:rPr>
          <w:rFonts w:ascii="Arial"/>
          <w:b/>
          <w:sz w:val="20"/>
        </w:rPr>
        <w:t>Shared</w:t>
      </w:r>
      <w:r>
        <w:rPr>
          <w:rFonts w:ascii="Arial"/>
          <w:b/>
          <w:spacing w:val="-3"/>
          <w:sz w:val="20"/>
        </w:rPr>
        <w:t> </w:t>
      </w:r>
      <w:r>
        <w:rPr>
          <w:rFonts w:ascii="Arial"/>
          <w:b/>
          <w:sz w:val="20"/>
        </w:rPr>
        <w:t>Services</w:t>
      </w:r>
      <w:r>
        <w:rPr>
          <w:rFonts w:ascii="Arial"/>
          <w:b/>
          <w:spacing w:val="-3"/>
          <w:sz w:val="20"/>
        </w:rPr>
        <w:t> </w:t>
      </w:r>
      <w:r>
        <w:rPr>
          <w:rFonts w:ascii="Arial"/>
          <w:b/>
          <w:spacing w:val="-2"/>
          <w:sz w:val="20"/>
        </w:rPr>
        <w:t>Partnership</w:t>
      </w:r>
    </w:p>
    <w:p>
      <w:pPr>
        <w:spacing w:before="35"/>
        <w:ind w:left="0" w:right="114" w:firstLine="0"/>
        <w:jc w:val="right"/>
        <w:rPr>
          <w:rFonts w:ascii="Arial"/>
          <w:b/>
          <w:sz w:val="20"/>
        </w:rPr>
      </w:pPr>
      <w:r>
        <w:rPr>
          <w:rFonts w:ascii="Arial"/>
          <w:b/>
          <w:sz w:val="20"/>
        </w:rPr>
        <w:t>Forward</w:t>
      </w:r>
      <w:r>
        <w:rPr>
          <w:rFonts w:ascii="Arial"/>
          <w:b/>
          <w:spacing w:val="-3"/>
          <w:sz w:val="20"/>
        </w:rPr>
        <w:t> </w:t>
      </w:r>
      <w:r>
        <w:rPr>
          <w:rFonts w:ascii="Arial"/>
          <w:b/>
          <w:sz w:val="20"/>
        </w:rPr>
        <w:t>Plan</w:t>
      </w:r>
      <w:r>
        <w:rPr>
          <w:rFonts w:ascii="Arial"/>
          <w:b/>
          <w:spacing w:val="-3"/>
          <w:sz w:val="20"/>
        </w:rPr>
        <w:t> </w:t>
      </w:r>
      <w:r>
        <w:rPr>
          <w:rFonts w:ascii="Arial"/>
          <w:b/>
          <w:sz w:val="20"/>
        </w:rPr>
        <w:t>2022-</w:t>
      </w:r>
      <w:r>
        <w:rPr>
          <w:rFonts w:ascii="Arial"/>
          <w:b/>
          <w:spacing w:val="-5"/>
          <w:sz w:val="20"/>
        </w:rPr>
        <w:t>23</w:t>
      </w:r>
    </w:p>
    <w:p>
      <w:pPr>
        <w:pStyle w:val="BodyText"/>
        <w:spacing w:before="9" w:after="1"/>
        <w:rPr>
          <w:rFonts w:ascii="Arial"/>
          <w:b/>
          <w:sz w:val="29"/>
        </w:rPr>
      </w:pPr>
    </w:p>
    <w:tbl>
      <w:tblPr>
        <w:tblW w:w="0" w:type="auto"/>
        <w:jc w:val="left"/>
        <w:tblInd w:w="6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9"/>
        <w:gridCol w:w="3069"/>
        <w:gridCol w:w="3069"/>
        <w:gridCol w:w="3069"/>
        <w:gridCol w:w="3068"/>
      </w:tblGrid>
      <w:tr>
        <w:trPr>
          <w:trHeight w:val="436" w:hRule="atLeast"/>
        </w:trPr>
        <w:tc>
          <w:tcPr>
            <w:tcW w:w="2929" w:type="dxa"/>
            <w:shd w:val="clear" w:color="auto" w:fill="D9D9D9"/>
          </w:tcPr>
          <w:p>
            <w:pPr>
              <w:pStyle w:val="TableParagraph"/>
              <w:ind w:left="232" w:right="223"/>
              <w:jc w:val="center"/>
              <w:rPr>
                <w:rFonts w:ascii="Arial"/>
                <w:b/>
                <w:sz w:val="19"/>
              </w:rPr>
            </w:pPr>
            <w:r>
              <w:rPr>
                <w:rFonts w:ascii="Arial"/>
                <w:b/>
                <w:spacing w:val="-2"/>
                <w:sz w:val="19"/>
              </w:rPr>
              <w:t>Month</w:t>
            </w:r>
          </w:p>
        </w:tc>
        <w:tc>
          <w:tcPr>
            <w:tcW w:w="3069" w:type="dxa"/>
            <w:shd w:val="clear" w:color="auto" w:fill="D9D9D9"/>
          </w:tcPr>
          <w:p>
            <w:pPr>
              <w:pStyle w:val="TableParagraph"/>
              <w:ind w:left="165" w:right="156"/>
              <w:jc w:val="center"/>
              <w:rPr>
                <w:rFonts w:ascii="Arial"/>
                <w:b/>
                <w:sz w:val="19"/>
              </w:rPr>
            </w:pPr>
            <w:r>
              <w:rPr>
                <w:rFonts w:ascii="Arial"/>
                <w:b/>
                <w:sz w:val="19"/>
              </w:rPr>
              <w:t>Standing</w:t>
            </w:r>
            <w:r>
              <w:rPr>
                <w:rFonts w:ascii="Arial"/>
                <w:b/>
                <w:spacing w:val="-1"/>
                <w:sz w:val="19"/>
              </w:rPr>
              <w:t> </w:t>
            </w:r>
            <w:r>
              <w:rPr>
                <w:rFonts w:ascii="Arial"/>
                <w:b/>
                <w:spacing w:val="-2"/>
                <w:sz w:val="19"/>
              </w:rPr>
              <w:t>Items</w:t>
            </w:r>
          </w:p>
        </w:tc>
        <w:tc>
          <w:tcPr>
            <w:tcW w:w="3069" w:type="dxa"/>
            <w:shd w:val="clear" w:color="auto" w:fill="D9D9D9"/>
          </w:tcPr>
          <w:p>
            <w:pPr>
              <w:pStyle w:val="TableParagraph"/>
              <w:ind w:left="165" w:right="156"/>
              <w:jc w:val="center"/>
              <w:rPr>
                <w:rFonts w:ascii="Arial"/>
                <w:b/>
                <w:sz w:val="19"/>
              </w:rPr>
            </w:pPr>
            <w:r>
              <w:rPr>
                <w:rFonts w:ascii="Arial"/>
                <w:b/>
                <w:sz w:val="19"/>
              </w:rPr>
              <w:t>Audit</w:t>
            </w:r>
            <w:r>
              <w:rPr>
                <w:rFonts w:ascii="Arial"/>
                <w:b/>
                <w:spacing w:val="-5"/>
                <w:sz w:val="19"/>
              </w:rPr>
              <w:t> </w:t>
            </w:r>
            <w:r>
              <w:rPr>
                <w:rFonts w:ascii="Arial"/>
                <w:b/>
                <w:spacing w:val="-2"/>
                <w:sz w:val="19"/>
              </w:rPr>
              <w:t>Reports</w:t>
            </w:r>
          </w:p>
        </w:tc>
        <w:tc>
          <w:tcPr>
            <w:tcW w:w="3069" w:type="dxa"/>
            <w:shd w:val="clear" w:color="auto" w:fill="D9D9D9"/>
          </w:tcPr>
          <w:p>
            <w:pPr>
              <w:pStyle w:val="TableParagraph"/>
              <w:ind w:left="985"/>
              <w:rPr>
                <w:rFonts w:ascii="Arial"/>
                <w:b/>
                <w:sz w:val="19"/>
              </w:rPr>
            </w:pPr>
            <w:r>
              <w:rPr>
                <w:rFonts w:ascii="Arial"/>
                <w:b/>
                <w:spacing w:val="-2"/>
                <w:sz w:val="19"/>
              </w:rPr>
              <w:t>Governance</w:t>
            </w:r>
          </w:p>
        </w:tc>
        <w:tc>
          <w:tcPr>
            <w:tcW w:w="3068" w:type="dxa"/>
            <w:shd w:val="clear" w:color="auto" w:fill="D9D9D9"/>
          </w:tcPr>
          <w:p>
            <w:pPr>
              <w:pStyle w:val="TableParagraph"/>
              <w:ind w:left="148" w:right="139"/>
              <w:jc w:val="center"/>
              <w:rPr>
                <w:rFonts w:ascii="Arial"/>
                <w:b/>
                <w:sz w:val="19"/>
              </w:rPr>
            </w:pPr>
            <w:r>
              <w:rPr>
                <w:rFonts w:ascii="Arial"/>
                <w:b/>
                <w:sz w:val="19"/>
              </w:rPr>
              <w:t>Annual</w:t>
            </w:r>
            <w:r>
              <w:rPr>
                <w:rFonts w:ascii="Arial"/>
                <w:b/>
                <w:spacing w:val="-6"/>
                <w:sz w:val="19"/>
              </w:rPr>
              <w:t> </w:t>
            </w:r>
            <w:r>
              <w:rPr>
                <w:rFonts w:ascii="Arial"/>
                <w:b/>
                <w:spacing w:val="-2"/>
                <w:sz w:val="19"/>
              </w:rPr>
              <w:t>Items</w:t>
            </w:r>
          </w:p>
        </w:tc>
      </w:tr>
      <w:tr>
        <w:trPr>
          <w:trHeight w:val="1860" w:hRule="atLeast"/>
        </w:trPr>
        <w:tc>
          <w:tcPr>
            <w:tcW w:w="2929" w:type="dxa"/>
            <w:tcBorders>
              <w:bottom w:val="nil"/>
            </w:tcBorders>
            <w:shd w:val="clear" w:color="auto" w:fill="8DB3E2"/>
          </w:tcPr>
          <w:p>
            <w:pPr>
              <w:pStyle w:val="TableParagraph"/>
              <w:ind w:left="232" w:right="223"/>
              <w:jc w:val="center"/>
              <w:rPr>
                <w:rFonts w:ascii="Arial"/>
                <w:b/>
                <w:sz w:val="19"/>
              </w:rPr>
            </w:pPr>
            <w:r>
              <w:rPr>
                <w:rFonts w:ascii="Arial"/>
                <w:b/>
                <w:sz w:val="19"/>
              </w:rPr>
              <w:t>Q1 </w:t>
            </w:r>
            <w:r>
              <w:rPr>
                <w:rFonts w:ascii="Arial"/>
                <w:b/>
                <w:spacing w:val="-2"/>
                <w:sz w:val="19"/>
              </w:rPr>
              <w:t>2022/23</w:t>
            </w:r>
          </w:p>
          <w:p>
            <w:pPr>
              <w:pStyle w:val="TableParagraph"/>
              <w:ind w:left="232" w:right="223"/>
              <w:jc w:val="center"/>
              <w:rPr>
                <w:rFonts w:ascii="Arial"/>
                <w:b/>
                <w:sz w:val="19"/>
              </w:rPr>
            </w:pPr>
            <w:r>
              <w:rPr>
                <w:rFonts w:ascii="Arial"/>
                <w:b/>
                <w:sz w:val="19"/>
              </w:rPr>
              <w:t>5</w:t>
            </w:r>
            <w:r>
              <w:rPr>
                <w:rFonts w:ascii="Arial"/>
                <w:b/>
                <w:spacing w:val="-5"/>
                <w:sz w:val="19"/>
              </w:rPr>
              <w:t> </w:t>
            </w:r>
            <w:r>
              <w:rPr>
                <w:rFonts w:ascii="Arial"/>
                <w:b/>
                <w:sz w:val="19"/>
              </w:rPr>
              <w:t>April</w:t>
            </w:r>
            <w:r>
              <w:rPr>
                <w:rFonts w:ascii="Arial"/>
                <w:b/>
                <w:spacing w:val="-3"/>
                <w:sz w:val="19"/>
              </w:rPr>
              <w:t> </w:t>
            </w:r>
            <w:r>
              <w:rPr>
                <w:rFonts w:ascii="Arial"/>
                <w:b/>
                <w:spacing w:val="-4"/>
                <w:sz w:val="19"/>
              </w:rPr>
              <w:t>2022</w:t>
            </w:r>
          </w:p>
          <w:p>
            <w:pPr>
              <w:pStyle w:val="TableParagraph"/>
              <w:spacing w:before="11"/>
              <w:rPr>
                <w:rFonts w:ascii="Arial"/>
                <w:b/>
                <w:sz w:val="18"/>
              </w:rPr>
            </w:pPr>
          </w:p>
          <w:p>
            <w:pPr>
              <w:pStyle w:val="TableParagraph"/>
              <w:ind w:left="567" w:right="326" w:firstLine="427"/>
              <w:rPr>
                <w:rFonts w:ascii="Arial"/>
                <w:i/>
                <w:sz w:val="19"/>
              </w:rPr>
            </w:pPr>
            <w:r>
              <w:rPr>
                <w:rFonts w:ascii="Arial"/>
                <w:i/>
                <w:spacing w:val="-2"/>
                <w:sz w:val="19"/>
              </w:rPr>
              <w:t>Boardroom</w:t>
            </w:r>
            <w:r>
              <w:rPr>
                <w:rFonts w:ascii="Arial"/>
                <w:i/>
                <w:spacing w:val="-2"/>
                <w:sz w:val="19"/>
              </w:rPr>
              <w:t> </w:t>
            </w:r>
            <w:r>
              <w:rPr>
                <w:rFonts w:ascii="Arial"/>
                <w:i/>
                <w:sz w:val="19"/>
              </w:rPr>
              <w:t>NWSSP</w:t>
            </w:r>
            <w:r>
              <w:rPr>
                <w:rFonts w:ascii="Arial"/>
                <w:i/>
                <w:spacing w:val="-13"/>
                <w:sz w:val="19"/>
              </w:rPr>
              <w:t> </w:t>
            </w:r>
            <w:r>
              <w:rPr>
                <w:rFonts w:ascii="Arial"/>
                <w:i/>
                <w:sz w:val="19"/>
              </w:rPr>
              <w:t>HQ,</w:t>
            </w:r>
            <w:r>
              <w:rPr>
                <w:rFonts w:ascii="Arial"/>
                <w:i/>
                <w:spacing w:val="-13"/>
                <w:sz w:val="19"/>
              </w:rPr>
              <w:t> </w:t>
            </w:r>
            <w:r>
              <w:rPr>
                <w:rFonts w:ascii="Arial"/>
                <w:i/>
                <w:sz w:val="19"/>
              </w:rPr>
              <w:t>Unit</w:t>
            </w:r>
            <w:r>
              <w:rPr>
                <w:rFonts w:ascii="Arial"/>
                <w:i/>
                <w:spacing w:val="-13"/>
                <w:sz w:val="19"/>
              </w:rPr>
              <w:t> </w:t>
            </w:r>
            <w:r>
              <w:rPr>
                <w:rFonts w:ascii="Arial"/>
                <w:i/>
                <w:sz w:val="19"/>
              </w:rPr>
              <w:t>4/5</w:t>
            </w:r>
          </w:p>
          <w:p>
            <w:pPr>
              <w:pStyle w:val="TableParagraph"/>
              <w:ind w:left="334" w:right="322" w:hanging="1"/>
              <w:jc w:val="center"/>
              <w:rPr>
                <w:rFonts w:ascii="Arial"/>
                <w:i/>
                <w:sz w:val="19"/>
              </w:rPr>
            </w:pPr>
            <w:r>
              <w:rPr>
                <w:rFonts w:ascii="Arial"/>
                <w:i/>
                <w:sz w:val="19"/>
              </w:rPr>
              <w:t>Charnwood Court, Heol</w:t>
            </w:r>
            <w:r>
              <w:rPr>
                <w:rFonts w:ascii="Arial"/>
                <w:i/>
                <w:sz w:val="19"/>
              </w:rPr>
              <w:t> Billingsley,</w:t>
            </w:r>
            <w:r>
              <w:rPr>
                <w:rFonts w:ascii="Arial"/>
                <w:i/>
                <w:spacing w:val="-14"/>
                <w:sz w:val="19"/>
              </w:rPr>
              <w:t> </w:t>
            </w:r>
            <w:r>
              <w:rPr>
                <w:rFonts w:ascii="Arial"/>
                <w:i/>
                <w:sz w:val="19"/>
              </w:rPr>
              <w:t>Parc</w:t>
            </w:r>
            <w:r>
              <w:rPr>
                <w:rFonts w:ascii="Arial"/>
                <w:i/>
                <w:spacing w:val="-13"/>
                <w:sz w:val="19"/>
              </w:rPr>
              <w:t> </w:t>
            </w:r>
            <w:r>
              <w:rPr>
                <w:rFonts w:ascii="Arial"/>
                <w:i/>
                <w:sz w:val="19"/>
              </w:rPr>
              <w:t>Nantgarw, Cardiff, CF15 7QZ</w:t>
            </w:r>
          </w:p>
        </w:tc>
        <w:tc>
          <w:tcPr>
            <w:tcW w:w="3069" w:type="dxa"/>
            <w:tcBorders>
              <w:bottom w:val="nil"/>
            </w:tcBorders>
          </w:tcPr>
          <w:p>
            <w:pPr>
              <w:pStyle w:val="TableParagraph"/>
              <w:spacing w:line="480" w:lineRule="auto"/>
              <w:ind w:left="119" w:right="107" w:hanging="1"/>
              <w:jc w:val="center"/>
              <w:rPr>
                <w:rFonts w:ascii="Arial"/>
                <w:sz w:val="19"/>
              </w:rPr>
            </w:pPr>
            <w:r>
              <w:rPr>
                <w:rFonts w:ascii="Arial"/>
                <w:sz w:val="19"/>
              </w:rPr>
              <w:t>Minutes &amp; Matters Arising External</w:t>
            </w:r>
            <w:r>
              <w:rPr>
                <w:rFonts w:ascii="Arial"/>
                <w:spacing w:val="-13"/>
                <w:sz w:val="19"/>
              </w:rPr>
              <w:t> </w:t>
            </w:r>
            <w:r>
              <w:rPr>
                <w:rFonts w:ascii="Arial"/>
                <w:sz w:val="19"/>
              </w:rPr>
              <w:t>Audit</w:t>
            </w:r>
            <w:r>
              <w:rPr>
                <w:rFonts w:ascii="Arial"/>
                <w:spacing w:val="-13"/>
                <w:sz w:val="19"/>
              </w:rPr>
              <w:t> </w:t>
            </w:r>
            <w:r>
              <w:rPr>
                <w:rFonts w:ascii="Arial"/>
                <w:sz w:val="19"/>
              </w:rPr>
              <w:t>Position</w:t>
            </w:r>
            <w:r>
              <w:rPr>
                <w:rFonts w:ascii="Arial"/>
                <w:spacing w:val="-13"/>
                <w:sz w:val="19"/>
              </w:rPr>
              <w:t> </w:t>
            </w:r>
            <w:r>
              <w:rPr>
                <w:rFonts w:ascii="Arial"/>
                <w:sz w:val="19"/>
              </w:rPr>
              <w:t>Statement Internal Audit Progress Report</w:t>
            </w:r>
          </w:p>
          <w:p>
            <w:pPr>
              <w:pStyle w:val="TableParagraph"/>
              <w:ind w:left="168" w:right="156"/>
              <w:jc w:val="center"/>
              <w:rPr>
                <w:rFonts w:ascii="Arial"/>
                <w:sz w:val="19"/>
              </w:rPr>
            </w:pPr>
            <w:r>
              <w:rPr>
                <w:rFonts w:ascii="Arial"/>
                <w:sz w:val="19"/>
              </w:rPr>
              <w:t>Counter</w:t>
            </w:r>
            <w:r>
              <w:rPr>
                <w:rFonts w:ascii="Arial"/>
                <w:spacing w:val="-14"/>
                <w:sz w:val="19"/>
              </w:rPr>
              <w:t> </w:t>
            </w:r>
            <w:r>
              <w:rPr>
                <w:rFonts w:ascii="Arial"/>
                <w:sz w:val="19"/>
              </w:rPr>
              <w:t>Fraud</w:t>
            </w:r>
            <w:r>
              <w:rPr>
                <w:rFonts w:ascii="Arial"/>
                <w:spacing w:val="-13"/>
                <w:sz w:val="19"/>
              </w:rPr>
              <w:t> </w:t>
            </w:r>
            <w:r>
              <w:rPr>
                <w:rFonts w:ascii="Arial"/>
                <w:sz w:val="19"/>
              </w:rPr>
              <w:t>Position </w:t>
            </w:r>
            <w:r>
              <w:rPr>
                <w:rFonts w:ascii="Arial"/>
                <w:spacing w:val="-2"/>
                <w:sz w:val="19"/>
              </w:rPr>
              <w:t>Statement</w:t>
            </w:r>
          </w:p>
        </w:tc>
        <w:tc>
          <w:tcPr>
            <w:tcW w:w="3069" w:type="dxa"/>
            <w:tcBorders>
              <w:bottom w:val="nil"/>
            </w:tcBorders>
          </w:tcPr>
          <w:p>
            <w:pPr>
              <w:pStyle w:val="TableParagraph"/>
              <w:ind w:left="166" w:right="156"/>
              <w:jc w:val="center"/>
              <w:rPr>
                <w:rFonts w:ascii="Arial"/>
                <w:b/>
                <w:sz w:val="19"/>
              </w:rPr>
            </w:pPr>
            <w:r>
              <w:rPr>
                <w:rFonts w:ascii="Arial"/>
                <w:b/>
                <w:sz w:val="19"/>
              </w:rPr>
              <w:t>Internal </w:t>
            </w:r>
            <w:r>
              <w:rPr>
                <w:rFonts w:ascii="Arial"/>
                <w:b/>
                <w:spacing w:val="-2"/>
                <w:sz w:val="19"/>
              </w:rPr>
              <w:t>Audit</w:t>
            </w:r>
          </w:p>
          <w:p>
            <w:pPr>
              <w:pStyle w:val="TableParagraph"/>
              <w:ind w:left="168" w:right="156"/>
              <w:jc w:val="center"/>
              <w:rPr>
                <w:rFonts w:ascii="Arial"/>
                <w:sz w:val="19"/>
              </w:rPr>
            </w:pPr>
            <w:r>
              <w:rPr>
                <w:rFonts w:ascii="Arial"/>
                <w:sz w:val="19"/>
              </w:rPr>
              <w:t>As</w:t>
            </w:r>
            <w:r>
              <w:rPr>
                <w:rFonts w:ascii="Arial"/>
                <w:spacing w:val="-7"/>
                <w:sz w:val="19"/>
              </w:rPr>
              <w:t> </w:t>
            </w:r>
            <w:r>
              <w:rPr>
                <w:rFonts w:ascii="Arial"/>
                <w:sz w:val="19"/>
              </w:rPr>
              <w:t>outlined</w:t>
            </w:r>
            <w:r>
              <w:rPr>
                <w:rFonts w:ascii="Arial"/>
                <w:spacing w:val="-8"/>
                <w:sz w:val="19"/>
              </w:rPr>
              <w:t> </w:t>
            </w:r>
            <w:r>
              <w:rPr>
                <w:rFonts w:ascii="Arial"/>
                <w:sz w:val="19"/>
              </w:rPr>
              <w:t>in</w:t>
            </w:r>
            <w:r>
              <w:rPr>
                <w:rFonts w:ascii="Arial"/>
                <w:spacing w:val="-8"/>
                <w:sz w:val="19"/>
              </w:rPr>
              <w:t> </w:t>
            </w:r>
            <w:r>
              <w:rPr>
                <w:rFonts w:ascii="Arial"/>
                <w:sz w:val="19"/>
              </w:rPr>
              <w:t>the</w:t>
            </w:r>
            <w:r>
              <w:rPr>
                <w:rFonts w:ascii="Arial"/>
                <w:spacing w:val="-8"/>
                <w:sz w:val="19"/>
              </w:rPr>
              <w:t> </w:t>
            </w:r>
            <w:r>
              <w:rPr>
                <w:rFonts w:ascii="Arial"/>
                <w:sz w:val="19"/>
              </w:rPr>
              <w:t>Internal</w:t>
            </w:r>
            <w:r>
              <w:rPr>
                <w:rFonts w:ascii="Arial"/>
                <w:spacing w:val="-8"/>
                <w:sz w:val="19"/>
              </w:rPr>
              <w:t> </w:t>
            </w:r>
            <w:r>
              <w:rPr>
                <w:rFonts w:ascii="Arial"/>
                <w:sz w:val="19"/>
              </w:rPr>
              <w:t>Audit Operational Plan</w:t>
            </w:r>
          </w:p>
          <w:p>
            <w:pPr>
              <w:pStyle w:val="TableParagraph"/>
              <w:spacing w:before="11"/>
              <w:rPr>
                <w:rFonts w:ascii="Arial"/>
                <w:b/>
                <w:sz w:val="18"/>
              </w:rPr>
            </w:pPr>
          </w:p>
          <w:p>
            <w:pPr>
              <w:pStyle w:val="TableParagraph"/>
              <w:ind w:left="826" w:right="100" w:hanging="296"/>
              <w:rPr>
                <w:rFonts w:ascii="Arial"/>
                <w:sz w:val="19"/>
              </w:rPr>
            </w:pPr>
            <w:r>
              <w:rPr>
                <w:rFonts w:ascii="Arial"/>
                <w:sz w:val="19"/>
              </w:rPr>
              <w:t>Review</w:t>
            </w:r>
            <w:r>
              <w:rPr>
                <w:rFonts w:ascii="Arial"/>
                <w:spacing w:val="-13"/>
                <w:sz w:val="19"/>
              </w:rPr>
              <w:t> </w:t>
            </w:r>
            <w:r>
              <w:rPr>
                <w:rFonts w:ascii="Arial"/>
                <w:sz w:val="19"/>
              </w:rPr>
              <w:t>of</w:t>
            </w:r>
            <w:r>
              <w:rPr>
                <w:rFonts w:ascii="Arial"/>
                <w:spacing w:val="-13"/>
                <w:sz w:val="19"/>
              </w:rPr>
              <w:t> </w:t>
            </w:r>
            <w:r>
              <w:rPr>
                <w:rFonts w:ascii="Arial"/>
                <w:sz w:val="19"/>
              </w:rPr>
              <w:t>Internal</w:t>
            </w:r>
            <w:r>
              <w:rPr>
                <w:rFonts w:ascii="Arial"/>
                <w:spacing w:val="-13"/>
                <w:sz w:val="19"/>
              </w:rPr>
              <w:t> </w:t>
            </w:r>
            <w:r>
              <w:rPr>
                <w:rFonts w:ascii="Arial"/>
                <w:sz w:val="19"/>
              </w:rPr>
              <w:t>Audit Operational Plan</w:t>
            </w:r>
          </w:p>
        </w:tc>
        <w:tc>
          <w:tcPr>
            <w:tcW w:w="3069" w:type="dxa"/>
            <w:tcBorders>
              <w:bottom w:val="nil"/>
            </w:tcBorders>
          </w:tcPr>
          <w:p>
            <w:pPr>
              <w:pStyle w:val="TableParagraph"/>
              <w:ind w:left="166" w:right="156"/>
              <w:jc w:val="center"/>
              <w:rPr>
                <w:rFonts w:ascii="Arial"/>
                <w:sz w:val="19"/>
              </w:rPr>
            </w:pPr>
            <w:r>
              <w:rPr>
                <w:rFonts w:ascii="Arial"/>
                <w:sz w:val="19"/>
              </w:rPr>
              <w:t>Governance </w:t>
            </w:r>
            <w:r>
              <w:rPr>
                <w:rFonts w:ascii="Arial"/>
                <w:spacing w:val="-2"/>
                <w:sz w:val="19"/>
              </w:rPr>
              <w:t>Matters</w:t>
            </w:r>
          </w:p>
          <w:p>
            <w:pPr>
              <w:pStyle w:val="TableParagraph"/>
              <w:spacing w:before="11"/>
              <w:rPr>
                <w:rFonts w:ascii="Arial"/>
                <w:b/>
                <w:sz w:val="18"/>
              </w:rPr>
            </w:pPr>
          </w:p>
          <w:p>
            <w:pPr>
              <w:pStyle w:val="TableParagraph"/>
              <w:ind w:left="168" w:right="156"/>
              <w:jc w:val="center"/>
              <w:rPr>
                <w:rFonts w:ascii="Arial"/>
                <w:sz w:val="19"/>
              </w:rPr>
            </w:pPr>
            <w:r>
              <w:rPr>
                <w:rFonts w:ascii="Arial"/>
                <w:sz w:val="19"/>
              </w:rPr>
              <w:t>Tracking of Audit </w:t>
            </w:r>
            <w:r>
              <w:rPr>
                <w:rFonts w:ascii="Arial"/>
                <w:spacing w:val="-2"/>
                <w:sz w:val="19"/>
              </w:rPr>
              <w:t>Recommendations</w:t>
            </w:r>
          </w:p>
          <w:p>
            <w:pPr>
              <w:pStyle w:val="TableParagraph"/>
              <w:rPr>
                <w:rFonts w:ascii="Arial"/>
                <w:b/>
                <w:sz w:val="19"/>
              </w:rPr>
            </w:pPr>
          </w:p>
          <w:p>
            <w:pPr>
              <w:pStyle w:val="TableParagraph"/>
              <w:ind w:left="165" w:right="156"/>
              <w:jc w:val="center"/>
              <w:rPr>
                <w:rFonts w:ascii="Arial"/>
                <w:sz w:val="19"/>
              </w:rPr>
            </w:pPr>
            <w:r>
              <w:rPr>
                <w:rFonts w:ascii="Arial"/>
                <w:sz w:val="19"/>
              </w:rPr>
              <w:t>Corporate</w:t>
            </w:r>
            <w:r>
              <w:rPr>
                <w:rFonts w:ascii="Arial"/>
                <w:spacing w:val="-4"/>
                <w:sz w:val="19"/>
              </w:rPr>
              <w:t> </w:t>
            </w:r>
            <w:r>
              <w:rPr>
                <w:rFonts w:ascii="Arial"/>
                <w:sz w:val="19"/>
              </w:rPr>
              <w:t>Risk</w:t>
            </w:r>
            <w:r>
              <w:rPr>
                <w:rFonts w:ascii="Arial"/>
                <w:spacing w:val="-4"/>
                <w:sz w:val="19"/>
              </w:rPr>
              <w:t> </w:t>
            </w:r>
            <w:r>
              <w:rPr>
                <w:rFonts w:ascii="Arial"/>
                <w:spacing w:val="-2"/>
                <w:sz w:val="19"/>
              </w:rPr>
              <w:t>Register</w:t>
            </w:r>
          </w:p>
        </w:tc>
        <w:tc>
          <w:tcPr>
            <w:tcW w:w="3068" w:type="dxa"/>
            <w:tcBorders>
              <w:bottom w:val="nil"/>
            </w:tcBorders>
          </w:tcPr>
          <w:p>
            <w:pPr>
              <w:pStyle w:val="TableParagraph"/>
              <w:ind w:left="149" w:right="139"/>
              <w:jc w:val="center"/>
              <w:rPr>
                <w:rFonts w:ascii="Arial"/>
                <w:sz w:val="19"/>
              </w:rPr>
            </w:pPr>
            <w:r>
              <w:rPr>
                <w:rFonts w:ascii="Arial"/>
                <w:sz w:val="19"/>
              </w:rPr>
              <w:t>Internal</w:t>
            </w:r>
            <w:r>
              <w:rPr>
                <w:rFonts w:ascii="Arial"/>
                <w:spacing w:val="-1"/>
                <w:sz w:val="19"/>
              </w:rPr>
              <w:t> </w:t>
            </w:r>
            <w:r>
              <w:rPr>
                <w:rFonts w:ascii="Arial"/>
                <w:sz w:val="19"/>
              </w:rPr>
              <w:t>Audit</w:t>
            </w:r>
            <w:r>
              <w:rPr>
                <w:rFonts w:ascii="Arial"/>
                <w:spacing w:val="-1"/>
                <w:sz w:val="19"/>
              </w:rPr>
              <w:t> </w:t>
            </w:r>
            <w:r>
              <w:rPr>
                <w:rFonts w:ascii="Arial"/>
                <w:spacing w:val="-2"/>
                <w:sz w:val="19"/>
              </w:rPr>
              <w:t>Charter</w:t>
            </w:r>
          </w:p>
        </w:tc>
      </w:tr>
      <w:tr>
        <w:trPr>
          <w:trHeight w:val="543" w:hRule="atLeast"/>
        </w:trPr>
        <w:tc>
          <w:tcPr>
            <w:tcW w:w="2929" w:type="dxa"/>
            <w:tcBorders>
              <w:top w:val="nil"/>
            </w:tcBorders>
            <w:shd w:val="clear" w:color="auto" w:fill="8DB3E2"/>
          </w:tcPr>
          <w:p>
            <w:pPr>
              <w:pStyle w:val="TableParagraph"/>
              <w:spacing w:before="106"/>
              <w:ind w:left="233" w:right="223"/>
              <w:jc w:val="center"/>
              <w:rPr>
                <w:rFonts w:ascii="Arial"/>
                <w:i/>
                <w:sz w:val="19"/>
              </w:rPr>
            </w:pPr>
            <w:r>
              <w:rPr>
                <w:rFonts w:ascii="Arial"/>
                <w:i/>
                <w:sz w:val="19"/>
              </w:rPr>
              <w:t>or</w:t>
            </w:r>
            <w:r>
              <w:rPr>
                <w:rFonts w:ascii="Arial"/>
                <w:i/>
                <w:spacing w:val="-2"/>
                <w:sz w:val="19"/>
              </w:rPr>
              <w:t> </w:t>
            </w:r>
            <w:r>
              <w:rPr>
                <w:rFonts w:ascii="Arial"/>
                <w:i/>
                <w:sz w:val="19"/>
              </w:rPr>
              <w:t>by</w:t>
            </w:r>
            <w:r>
              <w:rPr>
                <w:rFonts w:ascii="Arial"/>
                <w:i/>
                <w:spacing w:val="-1"/>
                <w:sz w:val="19"/>
              </w:rPr>
              <w:t> </w:t>
            </w:r>
            <w:r>
              <w:rPr>
                <w:rFonts w:ascii="Arial"/>
                <w:i/>
                <w:sz w:val="19"/>
              </w:rPr>
              <w:t>Teams</w:t>
            </w:r>
            <w:r>
              <w:rPr>
                <w:rFonts w:ascii="Arial"/>
                <w:i/>
                <w:spacing w:val="-1"/>
                <w:sz w:val="19"/>
              </w:rPr>
              <w:t> </w:t>
            </w:r>
            <w:r>
              <w:rPr>
                <w:rFonts w:ascii="Arial"/>
                <w:i/>
                <w:sz w:val="19"/>
              </w:rPr>
              <w:t>(as </w:t>
            </w:r>
            <w:r>
              <w:rPr>
                <w:rFonts w:ascii="Arial"/>
                <w:i/>
                <w:spacing w:val="-2"/>
                <w:sz w:val="19"/>
              </w:rPr>
              <w:t>appropriate)</w:t>
            </w:r>
          </w:p>
        </w:tc>
        <w:tc>
          <w:tcPr>
            <w:tcW w:w="3069" w:type="dxa"/>
            <w:tcBorders>
              <w:top w:val="nil"/>
            </w:tcBorders>
          </w:tcPr>
          <w:p>
            <w:pPr>
              <w:pStyle w:val="TableParagraph"/>
              <w:spacing w:before="106"/>
              <w:ind w:left="165" w:right="156"/>
              <w:jc w:val="center"/>
              <w:rPr>
                <w:rFonts w:ascii="Arial"/>
                <w:sz w:val="19"/>
              </w:rPr>
            </w:pPr>
            <w:r>
              <w:rPr>
                <w:rFonts w:ascii="Arial"/>
                <w:sz w:val="19"/>
              </w:rPr>
              <w:t>NWSSP</w:t>
            </w:r>
            <w:r>
              <w:rPr>
                <w:rFonts w:ascii="Arial"/>
                <w:spacing w:val="-5"/>
                <w:sz w:val="19"/>
              </w:rPr>
              <w:t> </w:t>
            </w:r>
            <w:r>
              <w:rPr>
                <w:rFonts w:ascii="Arial"/>
                <w:spacing w:val="-2"/>
                <w:sz w:val="19"/>
              </w:rPr>
              <w:t>Update</w:t>
            </w:r>
          </w:p>
        </w:tc>
        <w:tc>
          <w:tcPr>
            <w:tcW w:w="3069" w:type="dxa"/>
            <w:tcBorders>
              <w:top w:val="nil"/>
            </w:tcBorders>
          </w:tcPr>
          <w:p>
            <w:pPr>
              <w:pStyle w:val="TableParagraph"/>
              <w:rPr>
                <w:rFonts w:ascii="Times New Roman"/>
                <w:sz w:val="18"/>
              </w:rPr>
            </w:pPr>
          </w:p>
        </w:tc>
        <w:tc>
          <w:tcPr>
            <w:tcW w:w="3069" w:type="dxa"/>
            <w:tcBorders>
              <w:top w:val="nil"/>
            </w:tcBorders>
          </w:tcPr>
          <w:p>
            <w:pPr>
              <w:pStyle w:val="TableParagraph"/>
              <w:rPr>
                <w:rFonts w:ascii="Times New Roman"/>
                <w:sz w:val="18"/>
              </w:rPr>
            </w:pPr>
          </w:p>
        </w:tc>
        <w:tc>
          <w:tcPr>
            <w:tcW w:w="3068" w:type="dxa"/>
            <w:tcBorders>
              <w:top w:val="nil"/>
            </w:tcBorders>
          </w:tcPr>
          <w:p>
            <w:pPr>
              <w:pStyle w:val="TableParagraph"/>
              <w:rPr>
                <w:rFonts w:ascii="Times New Roman"/>
                <w:sz w:val="18"/>
              </w:rPr>
            </w:pPr>
          </w:p>
        </w:tc>
      </w:tr>
      <w:tr>
        <w:trPr>
          <w:trHeight w:val="2187" w:hRule="atLeast"/>
        </w:trPr>
        <w:tc>
          <w:tcPr>
            <w:tcW w:w="2929" w:type="dxa"/>
            <w:tcBorders>
              <w:bottom w:val="nil"/>
            </w:tcBorders>
            <w:shd w:val="clear" w:color="auto" w:fill="8DB3E2"/>
          </w:tcPr>
          <w:p>
            <w:pPr>
              <w:pStyle w:val="TableParagraph"/>
              <w:ind w:left="904" w:right="893"/>
              <w:jc w:val="center"/>
              <w:rPr>
                <w:rFonts w:ascii="Arial"/>
                <w:b/>
                <w:sz w:val="19"/>
              </w:rPr>
            </w:pPr>
            <w:r>
              <w:rPr>
                <w:rFonts w:ascii="Arial"/>
                <w:b/>
                <w:sz w:val="19"/>
              </w:rPr>
              <w:t>Q2 2022/23 13</w:t>
            </w:r>
            <w:r>
              <w:rPr>
                <w:rFonts w:ascii="Arial"/>
                <w:b/>
                <w:spacing w:val="-14"/>
                <w:sz w:val="19"/>
              </w:rPr>
              <w:t> </w:t>
            </w:r>
            <w:r>
              <w:rPr>
                <w:rFonts w:ascii="Arial"/>
                <w:b/>
                <w:sz w:val="19"/>
              </w:rPr>
              <w:t>July</w:t>
            </w:r>
            <w:r>
              <w:rPr>
                <w:rFonts w:ascii="Arial"/>
                <w:b/>
                <w:spacing w:val="-13"/>
                <w:sz w:val="19"/>
              </w:rPr>
              <w:t> </w:t>
            </w:r>
            <w:r>
              <w:rPr>
                <w:rFonts w:ascii="Arial"/>
                <w:b/>
                <w:sz w:val="19"/>
              </w:rPr>
              <w:t>2022</w:t>
            </w:r>
          </w:p>
          <w:p>
            <w:pPr>
              <w:pStyle w:val="TableParagraph"/>
              <w:spacing w:before="11"/>
              <w:rPr>
                <w:rFonts w:ascii="Arial"/>
                <w:b/>
                <w:sz w:val="18"/>
              </w:rPr>
            </w:pPr>
          </w:p>
          <w:p>
            <w:pPr>
              <w:pStyle w:val="TableParagraph"/>
              <w:ind w:left="567" w:right="326" w:firstLine="427"/>
              <w:rPr>
                <w:rFonts w:ascii="Arial"/>
                <w:i/>
                <w:sz w:val="19"/>
              </w:rPr>
            </w:pPr>
            <w:r>
              <w:rPr>
                <w:rFonts w:ascii="Arial"/>
                <w:i/>
                <w:spacing w:val="-2"/>
                <w:sz w:val="19"/>
              </w:rPr>
              <w:t>Boardroom</w:t>
            </w:r>
            <w:r>
              <w:rPr>
                <w:rFonts w:ascii="Arial"/>
                <w:i/>
                <w:spacing w:val="-2"/>
                <w:sz w:val="19"/>
              </w:rPr>
              <w:t> </w:t>
            </w:r>
            <w:r>
              <w:rPr>
                <w:rFonts w:ascii="Arial"/>
                <w:i/>
                <w:sz w:val="19"/>
              </w:rPr>
              <w:t>NWSSP</w:t>
            </w:r>
            <w:r>
              <w:rPr>
                <w:rFonts w:ascii="Arial"/>
                <w:i/>
                <w:spacing w:val="-13"/>
                <w:sz w:val="19"/>
              </w:rPr>
              <w:t> </w:t>
            </w:r>
            <w:r>
              <w:rPr>
                <w:rFonts w:ascii="Arial"/>
                <w:i/>
                <w:sz w:val="19"/>
              </w:rPr>
              <w:t>HQ,</w:t>
            </w:r>
            <w:r>
              <w:rPr>
                <w:rFonts w:ascii="Arial"/>
                <w:i/>
                <w:spacing w:val="-13"/>
                <w:sz w:val="19"/>
              </w:rPr>
              <w:t> </w:t>
            </w:r>
            <w:r>
              <w:rPr>
                <w:rFonts w:ascii="Arial"/>
                <w:i/>
                <w:sz w:val="19"/>
              </w:rPr>
              <w:t>Unit</w:t>
            </w:r>
            <w:r>
              <w:rPr>
                <w:rFonts w:ascii="Arial"/>
                <w:i/>
                <w:spacing w:val="-13"/>
                <w:sz w:val="19"/>
              </w:rPr>
              <w:t> </w:t>
            </w:r>
            <w:r>
              <w:rPr>
                <w:rFonts w:ascii="Arial"/>
                <w:i/>
                <w:sz w:val="19"/>
              </w:rPr>
              <w:t>4/5</w:t>
            </w:r>
          </w:p>
          <w:p>
            <w:pPr>
              <w:pStyle w:val="TableParagraph"/>
              <w:ind w:left="334" w:right="322" w:hanging="1"/>
              <w:jc w:val="center"/>
              <w:rPr>
                <w:rFonts w:ascii="Arial"/>
                <w:i/>
                <w:sz w:val="19"/>
              </w:rPr>
            </w:pPr>
            <w:r>
              <w:rPr>
                <w:rFonts w:ascii="Arial"/>
                <w:i/>
                <w:sz w:val="19"/>
              </w:rPr>
              <w:t>Charnwood Court, Heol</w:t>
            </w:r>
            <w:r>
              <w:rPr>
                <w:rFonts w:ascii="Arial"/>
                <w:i/>
                <w:sz w:val="19"/>
              </w:rPr>
              <w:t> Billingsley,</w:t>
            </w:r>
            <w:r>
              <w:rPr>
                <w:rFonts w:ascii="Arial"/>
                <w:i/>
                <w:spacing w:val="-14"/>
                <w:sz w:val="19"/>
              </w:rPr>
              <w:t> </w:t>
            </w:r>
            <w:r>
              <w:rPr>
                <w:rFonts w:ascii="Arial"/>
                <w:i/>
                <w:sz w:val="19"/>
              </w:rPr>
              <w:t>Parc</w:t>
            </w:r>
            <w:r>
              <w:rPr>
                <w:rFonts w:ascii="Arial"/>
                <w:i/>
                <w:spacing w:val="-13"/>
                <w:sz w:val="19"/>
              </w:rPr>
              <w:t> </w:t>
            </w:r>
            <w:r>
              <w:rPr>
                <w:rFonts w:ascii="Arial"/>
                <w:i/>
                <w:sz w:val="19"/>
              </w:rPr>
              <w:t>Nantgarw,</w:t>
            </w:r>
          </w:p>
          <w:p>
            <w:pPr>
              <w:pStyle w:val="TableParagraph"/>
              <w:ind w:left="232" w:right="223"/>
              <w:jc w:val="center"/>
              <w:rPr>
                <w:rFonts w:ascii="Arial"/>
                <w:i/>
                <w:sz w:val="19"/>
              </w:rPr>
            </w:pPr>
            <w:r>
              <w:rPr>
                <w:rFonts w:ascii="Arial"/>
                <w:i/>
                <w:sz w:val="19"/>
              </w:rPr>
              <w:t>Cardiff,</w:t>
            </w:r>
            <w:r>
              <w:rPr>
                <w:rFonts w:ascii="Arial"/>
                <w:i/>
                <w:spacing w:val="-5"/>
                <w:sz w:val="19"/>
              </w:rPr>
              <w:t> </w:t>
            </w:r>
            <w:r>
              <w:rPr>
                <w:rFonts w:ascii="Arial"/>
                <w:i/>
                <w:sz w:val="19"/>
              </w:rPr>
              <w:t>CF15</w:t>
            </w:r>
            <w:r>
              <w:rPr>
                <w:rFonts w:ascii="Arial"/>
                <w:i/>
                <w:spacing w:val="-4"/>
                <w:sz w:val="19"/>
              </w:rPr>
              <w:t> </w:t>
            </w:r>
            <w:r>
              <w:rPr>
                <w:rFonts w:ascii="Arial"/>
                <w:i/>
                <w:spacing w:val="-5"/>
                <w:sz w:val="19"/>
              </w:rPr>
              <w:t>7QZ</w:t>
            </w:r>
          </w:p>
          <w:p>
            <w:pPr>
              <w:pStyle w:val="TableParagraph"/>
              <w:rPr>
                <w:rFonts w:ascii="Arial"/>
                <w:b/>
                <w:sz w:val="19"/>
              </w:rPr>
            </w:pPr>
          </w:p>
          <w:p>
            <w:pPr>
              <w:pStyle w:val="TableParagraph"/>
              <w:spacing w:line="202" w:lineRule="exact"/>
              <w:ind w:left="233" w:right="223"/>
              <w:jc w:val="center"/>
              <w:rPr>
                <w:rFonts w:ascii="Arial"/>
                <w:i/>
                <w:sz w:val="19"/>
              </w:rPr>
            </w:pPr>
            <w:r>
              <w:rPr>
                <w:rFonts w:ascii="Arial"/>
                <w:i/>
                <w:sz w:val="19"/>
              </w:rPr>
              <w:t>or</w:t>
            </w:r>
            <w:r>
              <w:rPr>
                <w:rFonts w:ascii="Arial"/>
                <w:i/>
                <w:spacing w:val="-2"/>
                <w:sz w:val="19"/>
              </w:rPr>
              <w:t> </w:t>
            </w:r>
            <w:r>
              <w:rPr>
                <w:rFonts w:ascii="Arial"/>
                <w:i/>
                <w:sz w:val="19"/>
              </w:rPr>
              <w:t>by</w:t>
            </w:r>
            <w:r>
              <w:rPr>
                <w:rFonts w:ascii="Arial"/>
                <w:i/>
                <w:spacing w:val="-1"/>
                <w:sz w:val="19"/>
              </w:rPr>
              <w:t> </w:t>
            </w:r>
            <w:r>
              <w:rPr>
                <w:rFonts w:ascii="Arial"/>
                <w:i/>
                <w:sz w:val="19"/>
              </w:rPr>
              <w:t>Teams</w:t>
            </w:r>
            <w:r>
              <w:rPr>
                <w:rFonts w:ascii="Arial"/>
                <w:i/>
                <w:spacing w:val="-1"/>
                <w:sz w:val="19"/>
              </w:rPr>
              <w:t> </w:t>
            </w:r>
            <w:r>
              <w:rPr>
                <w:rFonts w:ascii="Arial"/>
                <w:i/>
                <w:sz w:val="19"/>
              </w:rPr>
              <w:t>(as </w:t>
            </w:r>
            <w:r>
              <w:rPr>
                <w:rFonts w:ascii="Arial"/>
                <w:i/>
                <w:spacing w:val="-2"/>
                <w:sz w:val="19"/>
              </w:rPr>
              <w:t>appropriate)</w:t>
            </w:r>
          </w:p>
        </w:tc>
        <w:tc>
          <w:tcPr>
            <w:tcW w:w="3069" w:type="dxa"/>
            <w:tcBorders>
              <w:bottom w:val="nil"/>
            </w:tcBorders>
          </w:tcPr>
          <w:p>
            <w:pPr>
              <w:pStyle w:val="TableParagraph"/>
              <w:spacing w:line="480" w:lineRule="auto"/>
              <w:ind w:left="119" w:right="107" w:hanging="1"/>
              <w:jc w:val="center"/>
              <w:rPr>
                <w:rFonts w:ascii="Arial"/>
                <w:sz w:val="19"/>
              </w:rPr>
            </w:pPr>
            <w:r>
              <w:rPr>
                <w:rFonts w:ascii="Arial"/>
                <w:sz w:val="19"/>
              </w:rPr>
              <w:t>Minutes &amp; Matters Arising External</w:t>
            </w:r>
            <w:r>
              <w:rPr>
                <w:rFonts w:ascii="Arial"/>
                <w:spacing w:val="-13"/>
                <w:sz w:val="19"/>
              </w:rPr>
              <w:t> </w:t>
            </w:r>
            <w:r>
              <w:rPr>
                <w:rFonts w:ascii="Arial"/>
                <w:sz w:val="19"/>
              </w:rPr>
              <w:t>Audit</w:t>
            </w:r>
            <w:r>
              <w:rPr>
                <w:rFonts w:ascii="Arial"/>
                <w:spacing w:val="-13"/>
                <w:sz w:val="19"/>
              </w:rPr>
              <w:t> </w:t>
            </w:r>
            <w:r>
              <w:rPr>
                <w:rFonts w:ascii="Arial"/>
                <w:sz w:val="19"/>
              </w:rPr>
              <w:t>Position</w:t>
            </w:r>
            <w:r>
              <w:rPr>
                <w:rFonts w:ascii="Arial"/>
                <w:spacing w:val="-13"/>
                <w:sz w:val="19"/>
              </w:rPr>
              <w:t> </w:t>
            </w:r>
            <w:r>
              <w:rPr>
                <w:rFonts w:ascii="Arial"/>
                <w:sz w:val="19"/>
              </w:rPr>
              <w:t>Statement Internal Audit Progress Report</w:t>
            </w:r>
          </w:p>
          <w:p>
            <w:pPr>
              <w:pStyle w:val="TableParagraph"/>
              <w:ind w:left="168" w:right="156"/>
              <w:jc w:val="center"/>
              <w:rPr>
                <w:rFonts w:ascii="Arial"/>
                <w:sz w:val="19"/>
              </w:rPr>
            </w:pPr>
            <w:r>
              <w:rPr>
                <w:rFonts w:ascii="Arial"/>
                <w:sz w:val="19"/>
              </w:rPr>
              <w:t>Counter</w:t>
            </w:r>
            <w:r>
              <w:rPr>
                <w:rFonts w:ascii="Arial"/>
                <w:spacing w:val="-14"/>
                <w:sz w:val="19"/>
              </w:rPr>
              <w:t> </w:t>
            </w:r>
            <w:r>
              <w:rPr>
                <w:rFonts w:ascii="Arial"/>
                <w:sz w:val="19"/>
              </w:rPr>
              <w:t>Fraud</w:t>
            </w:r>
            <w:r>
              <w:rPr>
                <w:rFonts w:ascii="Arial"/>
                <w:spacing w:val="-13"/>
                <w:sz w:val="19"/>
              </w:rPr>
              <w:t> </w:t>
            </w:r>
            <w:r>
              <w:rPr>
                <w:rFonts w:ascii="Arial"/>
                <w:sz w:val="19"/>
              </w:rPr>
              <w:t>Position </w:t>
            </w:r>
            <w:r>
              <w:rPr>
                <w:rFonts w:ascii="Arial"/>
                <w:spacing w:val="-2"/>
                <w:sz w:val="19"/>
              </w:rPr>
              <w:t>Statement</w:t>
            </w:r>
          </w:p>
          <w:p>
            <w:pPr>
              <w:pStyle w:val="TableParagraph"/>
              <w:spacing w:before="11"/>
              <w:rPr>
                <w:rFonts w:ascii="Arial"/>
                <w:b/>
                <w:sz w:val="18"/>
              </w:rPr>
            </w:pPr>
          </w:p>
          <w:p>
            <w:pPr>
              <w:pStyle w:val="TableParagraph"/>
              <w:spacing w:line="202" w:lineRule="exact"/>
              <w:ind w:left="165" w:right="156"/>
              <w:jc w:val="center"/>
              <w:rPr>
                <w:rFonts w:ascii="Arial"/>
                <w:sz w:val="19"/>
              </w:rPr>
            </w:pPr>
            <w:r>
              <w:rPr>
                <w:rFonts w:ascii="Arial"/>
                <w:sz w:val="19"/>
              </w:rPr>
              <w:t>NWSSP</w:t>
            </w:r>
            <w:r>
              <w:rPr>
                <w:rFonts w:ascii="Arial"/>
                <w:spacing w:val="-5"/>
                <w:sz w:val="19"/>
              </w:rPr>
              <w:t> </w:t>
            </w:r>
            <w:r>
              <w:rPr>
                <w:rFonts w:ascii="Arial"/>
                <w:spacing w:val="-2"/>
                <w:sz w:val="19"/>
              </w:rPr>
              <w:t>Update</w:t>
            </w:r>
          </w:p>
        </w:tc>
        <w:tc>
          <w:tcPr>
            <w:tcW w:w="3069" w:type="dxa"/>
            <w:tcBorders>
              <w:bottom w:val="nil"/>
            </w:tcBorders>
          </w:tcPr>
          <w:p>
            <w:pPr>
              <w:pStyle w:val="TableParagraph"/>
              <w:ind w:left="166" w:right="156"/>
              <w:jc w:val="center"/>
              <w:rPr>
                <w:rFonts w:ascii="Arial"/>
                <w:b/>
                <w:sz w:val="19"/>
              </w:rPr>
            </w:pPr>
            <w:r>
              <w:rPr>
                <w:rFonts w:ascii="Arial"/>
                <w:b/>
                <w:sz w:val="19"/>
              </w:rPr>
              <w:t>Internal </w:t>
            </w:r>
            <w:r>
              <w:rPr>
                <w:rFonts w:ascii="Arial"/>
                <w:b/>
                <w:spacing w:val="-2"/>
                <w:sz w:val="19"/>
              </w:rPr>
              <w:t>Audit</w:t>
            </w:r>
          </w:p>
          <w:p>
            <w:pPr>
              <w:pStyle w:val="TableParagraph"/>
              <w:ind w:left="168" w:right="156"/>
              <w:jc w:val="center"/>
              <w:rPr>
                <w:rFonts w:ascii="Arial"/>
                <w:sz w:val="19"/>
              </w:rPr>
            </w:pPr>
            <w:r>
              <w:rPr>
                <w:rFonts w:ascii="Arial"/>
                <w:sz w:val="19"/>
              </w:rPr>
              <w:t>As</w:t>
            </w:r>
            <w:r>
              <w:rPr>
                <w:rFonts w:ascii="Arial"/>
                <w:spacing w:val="-7"/>
                <w:sz w:val="19"/>
              </w:rPr>
              <w:t> </w:t>
            </w:r>
            <w:r>
              <w:rPr>
                <w:rFonts w:ascii="Arial"/>
                <w:sz w:val="19"/>
              </w:rPr>
              <w:t>outlined</w:t>
            </w:r>
            <w:r>
              <w:rPr>
                <w:rFonts w:ascii="Arial"/>
                <w:spacing w:val="-8"/>
                <w:sz w:val="19"/>
              </w:rPr>
              <w:t> </w:t>
            </w:r>
            <w:r>
              <w:rPr>
                <w:rFonts w:ascii="Arial"/>
                <w:sz w:val="19"/>
              </w:rPr>
              <w:t>in</w:t>
            </w:r>
            <w:r>
              <w:rPr>
                <w:rFonts w:ascii="Arial"/>
                <w:spacing w:val="-8"/>
                <w:sz w:val="19"/>
              </w:rPr>
              <w:t> </w:t>
            </w:r>
            <w:r>
              <w:rPr>
                <w:rFonts w:ascii="Arial"/>
                <w:sz w:val="19"/>
              </w:rPr>
              <w:t>the</w:t>
            </w:r>
            <w:r>
              <w:rPr>
                <w:rFonts w:ascii="Arial"/>
                <w:spacing w:val="-8"/>
                <w:sz w:val="19"/>
              </w:rPr>
              <w:t> </w:t>
            </w:r>
            <w:r>
              <w:rPr>
                <w:rFonts w:ascii="Arial"/>
                <w:sz w:val="19"/>
              </w:rPr>
              <w:t>Internal</w:t>
            </w:r>
            <w:r>
              <w:rPr>
                <w:rFonts w:ascii="Arial"/>
                <w:spacing w:val="-8"/>
                <w:sz w:val="19"/>
              </w:rPr>
              <w:t> </w:t>
            </w:r>
            <w:r>
              <w:rPr>
                <w:rFonts w:ascii="Arial"/>
                <w:sz w:val="19"/>
              </w:rPr>
              <w:t>Audit Operational Plan</w:t>
            </w:r>
          </w:p>
          <w:p>
            <w:pPr>
              <w:pStyle w:val="TableParagraph"/>
              <w:spacing w:before="11"/>
              <w:rPr>
                <w:rFonts w:ascii="Arial"/>
                <w:b/>
                <w:sz w:val="18"/>
              </w:rPr>
            </w:pPr>
          </w:p>
          <w:p>
            <w:pPr>
              <w:pStyle w:val="TableParagraph"/>
              <w:ind w:left="168" w:right="156"/>
              <w:jc w:val="center"/>
              <w:rPr>
                <w:rFonts w:ascii="Arial"/>
                <w:sz w:val="19"/>
              </w:rPr>
            </w:pPr>
            <w:r>
              <w:rPr>
                <w:rFonts w:ascii="Arial"/>
                <w:sz w:val="19"/>
              </w:rPr>
              <w:t>Review</w:t>
            </w:r>
            <w:r>
              <w:rPr>
                <w:rFonts w:ascii="Arial"/>
                <w:spacing w:val="-13"/>
                <w:sz w:val="19"/>
              </w:rPr>
              <w:t> </w:t>
            </w:r>
            <w:r>
              <w:rPr>
                <w:rFonts w:ascii="Arial"/>
                <w:sz w:val="19"/>
              </w:rPr>
              <w:t>of</w:t>
            </w:r>
            <w:r>
              <w:rPr>
                <w:rFonts w:ascii="Arial"/>
                <w:spacing w:val="-13"/>
                <w:sz w:val="19"/>
              </w:rPr>
              <w:t> </w:t>
            </w:r>
            <w:r>
              <w:rPr>
                <w:rFonts w:ascii="Arial"/>
                <w:sz w:val="19"/>
              </w:rPr>
              <w:t>Internal</w:t>
            </w:r>
            <w:r>
              <w:rPr>
                <w:rFonts w:ascii="Arial"/>
                <w:spacing w:val="-13"/>
                <w:sz w:val="19"/>
              </w:rPr>
              <w:t> </w:t>
            </w:r>
            <w:r>
              <w:rPr>
                <w:rFonts w:ascii="Arial"/>
                <w:sz w:val="19"/>
              </w:rPr>
              <w:t>Audit Operational Plan</w:t>
            </w:r>
          </w:p>
          <w:p>
            <w:pPr>
              <w:pStyle w:val="TableParagraph"/>
              <w:rPr>
                <w:rFonts w:ascii="Arial"/>
                <w:b/>
                <w:sz w:val="19"/>
              </w:rPr>
            </w:pPr>
          </w:p>
          <w:p>
            <w:pPr>
              <w:pStyle w:val="TableParagraph"/>
              <w:ind w:left="165" w:right="156"/>
              <w:jc w:val="center"/>
              <w:rPr>
                <w:rFonts w:ascii="Arial"/>
                <w:b/>
                <w:sz w:val="19"/>
              </w:rPr>
            </w:pPr>
            <w:r>
              <w:rPr>
                <w:rFonts w:ascii="Arial"/>
                <w:b/>
                <w:sz w:val="19"/>
              </w:rPr>
              <w:t>External </w:t>
            </w:r>
            <w:r>
              <w:rPr>
                <w:rFonts w:ascii="Arial"/>
                <w:b/>
                <w:spacing w:val="-2"/>
                <w:sz w:val="19"/>
              </w:rPr>
              <w:t>Audit</w:t>
            </w:r>
          </w:p>
          <w:p>
            <w:pPr>
              <w:pStyle w:val="TableParagraph"/>
              <w:spacing w:line="220" w:lineRule="atLeast"/>
              <w:ind w:left="145" w:right="133"/>
              <w:jc w:val="center"/>
              <w:rPr>
                <w:rFonts w:ascii="Arial"/>
                <w:sz w:val="19"/>
              </w:rPr>
            </w:pPr>
            <w:r>
              <w:rPr>
                <w:rFonts w:ascii="Arial"/>
                <w:sz w:val="19"/>
              </w:rPr>
              <w:t>Audit</w:t>
            </w:r>
            <w:r>
              <w:rPr>
                <w:rFonts w:ascii="Arial"/>
                <w:spacing w:val="-9"/>
                <w:sz w:val="19"/>
              </w:rPr>
              <w:t> </w:t>
            </w:r>
            <w:r>
              <w:rPr>
                <w:rFonts w:ascii="Arial"/>
                <w:sz w:val="19"/>
              </w:rPr>
              <w:t>Wales</w:t>
            </w:r>
            <w:r>
              <w:rPr>
                <w:rFonts w:ascii="Arial"/>
                <w:spacing w:val="-9"/>
                <w:sz w:val="19"/>
              </w:rPr>
              <w:t> </w:t>
            </w:r>
            <w:r>
              <w:rPr>
                <w:rFonts w:ascii="Arial"/>
                <w:sz w:val="19"/>
              </w:rPr>
              <w:t>Nationally</w:t>
            </w:r>
            <w:r>
              <w:rPr>
                <w:rFonts w:ascii="Arial"/>
                <w:spacing w:val="-10"/>
                <w:sz w:val="19"/>
              </w:rPr>
              <w:t> </w:t>
            </w:r>
            <w:r>
              <w:rPr>
                <w:rFonts w:ascii="Arial"/>
                <w:sz w:val="19"/>
              </w:rPr>
              <w:t>Hosted</w:t>
            </w:r>
            <w:r>
              <w:rPr>
                <w:rFonts w:ascii="Arial"/>
                <w:spacing w:val="-9"/>
                <w:sz w:val="19"/>
              </w:rPr>
              <w:t> </w:t>
            </w:r>
            <w:r>
              <w:rPr>
                <w:rFonts w:ascii="Arial"/>
                <w:sz w:val="19"/>
              </w:rPr>
              <w:t>IT Systems Report</w:t>
            </w:r>
          </w:p>
        </w:tc>
        <w:tc>
          <w:tcPr>
            <w:tcW w:w="3069" w:type="dxa"/>
            <w:tcBorders>
              <w:bottom w:val="nil"/>
            </w:tcBorders>
          </w:tcPr>
          <w:p>
            <w:pPr>
              <w:pStyle w:val="TableParagraph"/>
              <w:ind w:left="166" w:right="156"/>
              <w:jc w:val="center"/>
              <w:rPr>
                <w:rFonts w:ascii="Arial"/>
                <w:sz w:val="19"/>
              </w:rPr>
            </w:pPr>
            <w:r>
              <w:rPr>
                <w:rFonts w:ascii="Arial"/>
                <w:sz w:val="19"/>
              </w:rPr>
              <w:t>Governance </w:t>
            </w:r>
            <w:r>
              <w:rPr>
                <w:rFonts w:ascii="Arial"/>
                <w:spacing w:val="-2"/>
                <w:sz w:val="19"/>
              </w:rPr>
              <w:t>Matters</w:t>
            </w:r>
          </w:p>
          <w:p>
            <w:pPr>
              <w:pStyle w:val="TableParagraph"/>
              <w:spacing w:before="11"/>
              <w:rPr>
                <w:rFonts w:ascii="Arial"/>
                <w:b/>
                <w:sz w:val="18"/>
              </w:rPr>
            </w:pPr>
          </w:p>
          <w:p>
            <w:pPr>
              <w:pStyle w:val="TableParagraph"/>
              <w:ind w:left="168" w:right="156"/>
              <w:jc w:val="center"/>
              <w:rPr>
                <w:rFonts w:ascii="Arial"/>
                <w:sz w:val="19"/>
              </w:rPr>
            </w:pPr>
            <w:r>
              <w:rPr>
                <w:rFonts w:ascii="Arial"/>
                <w:sz w:val="19"/>
              </w:rPr>
              <w:t>Tracking of Audit </w:t>
            </w:r>
            <w:r>
              <w:rPr>
                <w:rFonts w:ascii="Arial"/>
                <w:spacing w:val="-2"/>
                <w:sz w:val="19"/>
              </w:rPr>
              <w:t>Recommendations</w:t>
            </w:r>
          </w:p>
          <w:p>
            <w:pPr>
              <w:pStyle w:val="TableParagraph"/>
              <w:rPr>
                <w:rFonts w:ascii="Arial"/>
                <w:b/>
                <w:sz w:val="19"/>
              </w:rPr>
            </w:pPr>
          </w:p>
          <w:p>
            <w:pPr>
              <w:pStyle w:val="TableParagraph"/>
              <w:ind w:left="165" w:right="156"/>
              <w:jc w:val="center"/>
              <w:rPr>
                <w:rFonts w:ascii="Arial"/>
                <w:sz w:val="19"/>
              </w:rPr>
            </w:pPr>
            <w:r>
              <w:rPr>
                <w:rFonts w:ascii="Arial"/>
                <w:sz w:val="19"/>
              </w:rPr>
              <w:t>Corporate</w:t>
            </w:r>
            <w:r>
              <w:rPr>
                <w:rFonts w:ascii="Arial"/>
                <w:spacing w:val="-4"/>
                <w:sz w:val="19"/>
              </w:rPr>
              <w:t> </w:t>
            </w:r>
            <w:r>
              <w:rPr>
                <w:rFonts w:ascii="Arial"/>
                <w:sz w:val="19"/>
              </w:rPr>
              <w:t>Risk</w:t>
            </w:r>
            <w:r>
              <w:rPr>
                <w:rFonts w:ascii="Arial"/>
                <w:spacing w:val="-4"/>
                <w:sz w:val="19"/>
              </w:rPr>
              <w:t> </w:t>
            </w:r>
            <w:r>
              <w:rPr>
                <w:rFonts w:ascii="Arial"/>
                <w:spacing w:val="-2"/>
                <w:sz w:val="19"/>
              </w:rPr>
              <w:t>Register</w:t>
            </w:r>
          </w:p>
          <w:p>
            <w:pPr>
              <w:pStyle w:val="TableParagraph"/>
              <w:rPr>
                <w:rFonts w:ascii="Arial"/>
                <w:b/>
                <w:sz w:val="19"/>
              </w:rPr>
            </w:pPr>
          </w:p>
          <w:p>
            <w:pPr>
              <w:pStyle w:val="TableParagraph"/>
              <w:ind w:left="167" w:right="156"/>
              <w:jc w:val="center"/>
              <w:rPr>
                <w:rFonts w:ascii="Arial"/>
                <w:sz w:val="19"/>
              </w:rPr>
            </w:pPr>
            <w:r>
              <w:rPr>
                <w:rFonts w:ascii="Arial"/>
                <w:sz w:val="19"/>
              </w:rPr>
              <w:t>Review</w:t>
            </w:r>
            <w:r>
              <w:rPr>
                <w:rFonts w:ascii="Arial"/>
                <w:spacing w:val="-13"/>
                <w:sz w:val="19"/>
              </w:rPr>
              <w:t> </w:t>
            </w:r>
            <w:r>
              <w:rPr>
                <w:rFonts w:ascii="Arial"/>
                <w:sz w:val="19"/>
              </w:rPr>
              <w:t>of</w:t>
            </w:r>
            <w:r>
              <w:rPr>
                <w:rFonts w:ascii="Arial"/>
                <w:spacing w:val="-13"/>
                <w:sz w:val="19"/>
              </w:rPr>
              <w:t> </w:t>
            </w:r>
            <w:r>
              <w:rPr>
                <w:rFonts w:ascii="Arial"/>
                <w:sz w:val="19"/>
              </w:rPr>
              <w:t>Audit</w:t>
            </w:r>
            <w:r>
              <w:rPr>
                <w:rFonts w:ascii="Arial"/>
                <w:spacing w:val="-13"/>
                <w:sz w:val="19"/>
              </w:rPr>
              <w:t> </w:t>
            </w:r>
            <w:r>
              <w:rPr>
                <w:rFonts w:ascii="Arial"/>
                <w:sz w:val="19"/>
              </w:rPr>
              <w:t>Committee Terms of Reference</w:t>
            </w:r>
          </w:p>
        </w:tc>
        <w:tc>
          <w:tcPr>
            <w:tcW w:w="3068" w:type="dxa"/>
            <w:tcBorders>
              <w:bottom w:val="nil"/>
            </w:tcBorders>
          </w:tcPr>
          <w:p>
            <w:pPr>
              <w:pStyle w:val="TableParagraph"/>
              <w:ind w:left="151" w:right="139"/>
              <w:jc w:val="center"/>
              <w:rPr>
                <w:rFonts w:ascii="Arial"/>
                <w:sz w:val="19"/>
              </w:rPr>
            </w:pPr>
            <w:r>
              <w:rPr>
                <w:rFonts w:ascii="Arial"/>
                <w:sz w:val="19"/>
              </w:rPr>
              <w:t>Final</w:t>
            </w:r>
            <w:r>
              <w:rPr>
                <w:rFonts w:ascii="Arial"/>
                <w:spacing w:val="-14"/>
                <w:sz w:val="19"/>
              </w:rPr>
              <w:t> </w:t>
            </w:r>
            <w:r>
              <w:rPr>
                <w:rFonts w:ascii="Arial"/>
                <w:sz w:val="19"/>
              </w:rPr>
              <w:t>Annual</w:t>
            </w:r>
            <w:r>
              <w:rPr>
                <w:rFonts w:ascii="Arial"/>
                <w:spacing w:val="-13"/>
                <w:sz w:val="19"/>
              </w:rPr>
              <w:t> </w:t>
            </w:r>
            <w:r>
              <w:rPr>
                <w:rFonts w:ascii="Arial"/>
                <w:sz w:val="19"/>
              </w:rPr>
              <w:t>Governance </w:t>
            </w:r>
            <w:r>
              <w:rPr>
                <w:rFonts w:ascii="Arial"/>
                <w:spacing w:val="-2"/>
                <w:sz w:val="19"/>
              </w:rPr>
              <w:t>Statement</w:t>
            </w:r>
          </w:p>
          <w:p>
            <w:pPr>
              <w:pStyle w:val="TableParagraph"/>
              <w:spacing w:before="11"/>
              <w:rPr>
                <w:rFonts w:ascii="Arial"/>
                <w:b/>
                <w:sz w:val="18"/>
              </w:rPr>
            </w:pPr>
          </w:p>
          <w:p>
            <w:pPr>
              <w:pStyle w:val="TableParagraph"/>
              <w:ind w:left="151" w:right="139"/>
              <w:jc w:val="center"/>
              <w:rPr>
                <w:rFonts w:ascii="Arial"/>
                <w:sz w:val="19"/>
              </w:rPr>
            </w:pPr>
            <w:r>
              <w:rPr>
                <w:rFonts w:ascii="Arial"/>
                <w:sz w:val="19"/>
              </w:rPr>
              <w:t>Head</w:t>
            </w:r>
            <w:r>
              <w:rPr>
                <w:rFonts w:ascii="Arial"/>
                <w:spacing w:val="-10"/>
                <w:sz w:val="19"/>
              </w:rPr>
              <w:t> </w:t>
            </w:r>
            <w:r>
              <w:rPr>
                <w:rFonts w:ascii="Arial"/>
                <w:sz w:val="19"/>
              </w:rPr>
              <w:t>of</w:t>
            </w:r>
            <w:r>
              <w:rPr>
                <w:rFonts w:ascii="Arial"/>
                <w:spacing w:val="-10"/>
                <w:sz w:val="19"/>
              </w:rPr>
              <w:t> </w:t>
            </w:r>
            <w:r>
              <w:rPr>
                <w:rFonts w:ascii="Arial"/>
                <w:sz w:val="19"/>
              </w:rPr>
              <w:t>Internal</w:t>
            </w:r>
            <w:r>
              <w:rPr>
                <w:rFonts w:ascii="Arial"/>
                <w:spacing w:val="-10"/>
                <w:sz w:val="19"/>
              </w:rPr>
              <w:t> </w:t>
            </w:r>
            <w:r>
              <w:rPr>
                <w:rFonts w:ascii="Arial"/>
                <w:sz w:val="19"/>
              </w:rPr>
              <w:t>Audit</w:t>
            </w:r>
            <w:r>
              <w:rPr>
                <w:rFonts w:ascii="Arial"/>
                <w:spacing w:val="-10"/>
                <w:sz w:val="19"/>
              </w:rPr>
              <w:t> </w:t>
            </w:r>
            <w:r>
              <w:rPr>
                <w:rFonts w:ascii="Arial"/>
                <w:sz w:val="19"/>
              </w:rPr>
              <w:t>Opinion and Annual Report</w:t>
            </w:r>
          </w:p>
          <w:p>
            <w:pPr>
              <w:pStyle w:val="TableParagraph"/>
              <w:rPr>
                <w:rFonts w:ascii="Arial"/>
                <w:b/>
                <w:sz w:val="19"/>
              </w:rPr>
            </w:pPr>
          </w:p>
          <w:p>
            <w:pPr>
              <w:pStyle w:val="TableParagraph"/>
              <w:ind w:left="151" w:right="139"/>
              <w:jc w:val="center"/>
              <w:rPr>
                <w:rFonts w:ascii="Arial"/>
                <w:sz w:val="19"/>
              </w:rPr>
            </w:pPr>
            <w:r>
              <w:rPr>
                <w:rFonts w:ascii="Arial"/>
                <w:sz w:val="19"/>
              </w:rPr>
              <w:t>Gifts</w:t>
            </w:r>
            <w:r>
              <w:rPr>
                <w:rFonts w:ascii="Arial"/>
                <w:spacing w:val="-10"/>
                <w:sz w:val="19"/>
              </w:rPr>
              <w:t> </w:t>
            </w:r>
            <w:r>
              <w:rPr>
                <w:rFonts w:ascii="Arial"/>
                <w:sz w:val="19"/>
              </w:rPr>
              <w:t>&amp;</w:t>
            </w:r>
            <w:r>
              <w:rPr>
                <w:rFonts w:ascii="Arial"/>
                <w:spacing w:val="-10"/>
                <w:sz w:val="19"/>
              </w:rPr>
              <w:t> </w:t>
            </w:r>
            <w:r>
              <w:rPr>
                <w:rFonts w:ascii="Arial"/>
                <w:sz w:val="19"/>
              </w:rPr>
              <w:t>Hospitality</w:t>
            </w:r>
            <w:r>
              <w:rPr>
                <w:rFonts w:ascii="Arial"/>
                <w:spacing w:val="-10"/>
                <w:sz w:val="19"/>
              </w:rPr>
              <w:t> </w:t>
            </w:r>
            <w:r>
              <w:rPr>
                <w:rFonts w:ascii="Arial"/>
                <w:sz w:val="19"/>
              </w:rPr>
              <w:t>Annual</w:t>
            </w:r>
            <w:r>
              <w:rPr>
                <w:rFonts w:ascii="Arial"/>
                <w:spacing w:val="-10"/>
                <w:sz w:val="19"/>
              </w:rPr>
              <w:t> </w:t>
            </w:r>
            <w:r>
              <w:rPr>
                <w:rFonts w:ascii="Arial"/>
                <w:sz w:val="19"/>
              </w:rPr>
              <w:t>Report Declarations of Interest Annual </w:t>
            </w:r>
            <w:r>
              <w:rPr>
                <w:rFonts w:ascii="Arial"/>
                <w:spacing w:val="-2"/>
                <w:sz w:val="19"/>
              </w:rPr>
              <w:t>Report</w:t>
            </w:r>
          </w:p>
        </w:tc>
      </w:tr>
      <w:tr>
        <w:trPr>
          <w:trHeight w:val="546" w:hRule="atLeast"/>
        </w:trPr>
        <w:tc>
          <w:tcPr>
            <w:tcW w:w="2929" w:type="dxa"/>
            <w:tcBorders>
              <w:top w:val="nil"/>
              <w:bottom w:val="nil"/>
            </w:tcBorders>
            <w:shd w:val="clear" w:color="auto" w:fill="8DB3E2"/>
          </w:tcPr>
          <w:p>
            <w:pPr>
              <w:pStyle w:val="TableParagraph"/>
              <w:rPr>
                <w:rFonts w:ascii="Times New Roman"/>
                <w:sz w:val="18"/>
              </w:rPr>
            </w:pPr>
          </w:p>
        </w:tc>
        <w:tc>
          <w:tcPr>
            <w:tcW w:w="3069" w:type="dxa"/>
            <w:tcBorders>
              <w:top w:val="nil"/>
              <w:bottom w:val="nil"/>
            </w:tcBorders>
          </w:tcPr>
          <w:p>
            <w:pPr>
              <w:pStyle w:val="TableParagraph"/>
              <w:rPr>
                <w:rFonts w:ascii="Times New Roman"/>
                <w:sz w:val="18"/>
              </w:rPr>
            </w:pPr>
          </w:p>
        </w:tc>
        <w:tc>
          <w:tcPr>
            <w:tcW w:w="3069" w:type="dxa"/>
            <w:tcBorders>
              <w:top w:val="nil"/>
              <w:bottom w:val="nil"/>
            </w:tcBorders>
          </w:tcPr>
          <w:p>
            <w:pPr>
              <w:pStyle w:val="TableParagraph"/>
              <w:spacing w:before="8"/>
              <w:rPr>
                <w:rFonts w:ascii="Arial"/>
                <w:b/>
                <w:sz w:val="18"/>
              </w:rPr>
            </w:pPr>
          </w:p>
          <w:p>
            <w:pPr>
              <w:pStyle w:val="TableParagraph"/>
              <w:ind w:left="145" w:right="135"/>
              <w:jc w:val="center"/>
              <w:rPr>
                <w:rFonts w:ascii="Arial"/>
                <w:sz w:val="19"/>
              </w:rPr>
            </w:pPr>
            <w:r>
              <w:rPr>
                <w:rFonts w:ascii="Arial"/>
                <w:sz w:val="19"/>
              </w:rPr>
              <w:t>Audit</w:t>
            </w:r>
            <w:r>
              <w:rPr>
                <w:rFonts w:ascii="Arial"/>
                <w:spacing w:val="-2"/>
                <w:sz w:val="19"/>
              </w:rPr>
              <w:t> </w:t>
            </w:r>
            <w:r>
              <w:rPr>
                <w:rFonts w:ascii="Arial"/>
                <w:sz w:val="19"/>
              </w:rPr>
              <w:t>Wales</w:t>
            </w:r>
            <w:r>
              <w:rPr>
                <w:rFonts w:ascii="Arial"/>
                <w:spacing w:val="-2"/>
                <w:sz w:val="19"/>
              </w:rPr>
              <w:t> </w:t>
            </w:r>
            <w:r>
              <w:rPr>
                <w:rFonts w:ascii="Arial"/>
                <w:sz w:val="19"/>
              </w:rPr>
              <w:t>Management</w:t>
            </w:r>
            <w:r>
              <w:rPr>
                <w:rFonts w:ascii="Arial"/>
                <w:spacing w:val="-2"/>
                <w:sz w:val="19"/>
              </w:rPr>
              <w:t> Letter</w:t>
            </w:r>
          </w:p>
        </w:tc>
        <w:tc>
          <w:tcPr>
            <w:tcW w:w="3069" w:type="dxa"/>
            <w:tcBorders>
              <w:top w:val="nil"/>
              <w:bottom w:val="nil"/>
            </w:tcBorders>
          </w:tcPr>
          <w:p>
            <w:pPr>
              <w:pStyle w:val="TableParagraph"/>
              <w:rPr>
                <w:rFonts w:ascii="Times New Roman"/>
                <w:sz w:val="18"/>
              </w:rPr>
            </w:pPr>
          </w:p>
        </w:tc>
        <w:tc>
          <w:tcPr>
            <w:tcW w:w="3068" w:type="dxa"/>
            <w:tcBorders>
              <w:top w:val="nil"/>
              <w:bottom w:val="nil"/>
            </w:tcBorders>
          </w:tcPr>
          <w:p>
            <w:pPr>
              <w:pStyle w:val="TableParagraph"/>
              <w:ind w:left="1037" w:right="20" w:hanging="750"/>
              <w:rPr>
                <w:rFonts w:ascii="Arial"/>
                <w:sz w:val="19"/>
              </w:rPr>
            </w:pPr>
            <w:r>
              <w:rPr>
                <w:rFonts w:ascii="Arial"/>
                <w:sz w:val="19"/>
              </w:rPr>
              <w:t>Counter</w:t>
            </w:r>
            <w:r>
              <w:rPr>
                <w:rFonts w:ascii="Arial"/>
                <w:spacing w:val="-13"/>
                <w:sz w:val="19"/>
              </w:rPr>
              <w:t> </w:t>
            </w:r>
            <w:r>
              <w:rPr>
                <w:rFonts w:ascii="Arial"/>
                <w:sz w:val="19"/>
              </w:rPr>
              <w:t>Fraud</w:t>
            </w:r>
            <w:r>
              <w:rPr>
                <w:rFonts w:ascii="Arial"/>
                <w:spacing w:val="-13"/>
                <w:sz w:val="19"/>
              </w:rPr>
              <w:t> </w:t>
            </w:r>
            <w:r>
              <w:rPr>
                <w:rFonts w:ascii="Arial"/>
                <w:sz w:val="19"/>
              </w:rPr>
              <w:t>Annual</w:t>
            </w:r>
            <w:r>
              <w:rPr>
                <w:rFonts w:ascii="Arial"/>
                <w:spacing w:val="-13"/>
                <w:sz w:val="19"/>
              </w:rPr>
              <w:t> </w:t>
            </w:r>
            <w:r>
              <w:rPr>
                <w:rFonts w:ascii="Arial"/>
                <w:sz w:val="19"/>
              </w:rPr>
              <w:t>Report and Review</w:t>
            </w:r>
          </w:p>
        </w:tc>
      </w:tr>
      <w:tr>
        <w:trPr>
          <w:trHeight w:val="1198" w:hRule="atLeast"/>
        </w:trPr>
        <w:tc>
          <w:tcPr>
            <w:tcW w:w="2929" w:type="dxa"/>
            <w:tcBorders>
              <w:top w:val="nil"/>
            </w:tcBorders>
            <w:shd w:val="clear" w:color="auto" w:fill="8DB3E2"/>
          </w:tcPr>
          <w:p>
            <w:pPr>
              <w:pStyle w:val="TableParagraph"/>
              <w:rPr>
                <w:rFonts w:ascii="Times New Roman"/>
                <w:sz w:val="18"/>
              </w:rPr>
            </w:pPr>
          </w:p>
        </w:tc>
        <w:tc>
          <w:tcPr>
            <w:tcW w:w="3069" w:type="dxa"/>
            <w:tcBorders>
              <w:top w:val="nil"/>
            </w:tcBorders>
          </w:tcPr>
          <w:p>
            <w:pPr>
              <w:pStyle w:val="TableParagraph"/>
              <w:rPr>
                <w:rFonts w:ascii="Times New Roman"/>
                <w:sz w:val="18"/>
              </w:rPr>
            </w:pPr>
          </w:p>
        </w:tc>
        <w:tc>
          <w:tcPr>
            <w:tcW w:w="3069" w:type="dxa"/>
            <w:tcBorders>
              <w:top w:val="nil"/>
            </w:tcBorders>
          </w:tcPr>
          <w:p>
            <w:pPr>
              <w:pStyle w:val="TableParagraph"/>
              <w:spacing w:before="106"/>
              <w:ind w:left="367" w:right="100" w:hanging="191"/>
              <w:rPr>
                <w:rFonts w:ascii="Arial"/>
                <w:sz w:val="19"/>
              </w:rPr>
            </w:pPr>
            <w:r>
              <w:rPr>
                <w:rFonts w:ascii="Arial"/>
                <w:sz w:val="19"/>
              </w:rPr>
              <w:t>Internal</w:t>
            </w:r>
            <w:r>
              <w:rPr>
                <w:rFonts w:ascii="Arial"/>
                <w:spacing w:val="-12"/>
                <w:sz w:val="19"/>
              </w:rPr>
              <w:t> </w:t>
            </w:r>
            <w:r>
              <w:rPr>
                <w:rFonts w:ascii="Arial"/>
                <w:sz w:val="19"/>
              </w:rPr>
              <w:t>Audit</w:t>
            </w:r>
            <w:r>
              <w:rPr>
                <w:rFonts w:ascii="Arial"/>
                <w:spacing w:val="-13"/>
                <w:sz w:val="19"/>
              </w:rPr>
              <w:t> </w:t>
            </w:r>
            <w:r>
              <w:rPr>
                <w:rFonts w:ascii="Arial"/>
                <w:sz w:val="19"/>
              </w:rPr>
              <w:t>Quality</w:t>
            </w:r>
            <w:r>
              <w:rPr>
                <w:rFonts w:ascii="Arial"/>
                <w:spacing w:val="-13"/>
                <w:sz w:val="19"/>
              </w:rPr>
              <w:t> </w:t>
            </w:r>
            <w:r>
              <w:rPr>
                <w:rFonts w:ascii="Arial"/>
                <w:sz w:val="19"/>
              </w:rPr>
              <w:t>Assurance &amp; Improvement Programme</w:t>
            </w:r>
          </w:p>
        </w:tc>
        <w:tc>
          <w:tcPr>
            <w:tcW w:w="3069" w:type="dxa"/>
            <w:tcBorders>
              <w:top w:val="nil"/>
            </w:tcBorders>
          </w:tcPr>
          <w:p>
            <w:pPr>
              <w:pStyle w:val="TableParagraph"/>
              <w:rPr>
                <w:rFonts w:ascii="Times New Roman"/>
                <w:sz w:val="18"/>
              </w:rPr>
            </w:pPr>
          </w:p>
        </w:tc>
        <w:tc>
          <w:tcPr>
            <w:tcW w:w="3068" w:type="dxa"/>
            <w:tcBorders>
              <w:top w:val="nil"/>
            </w:tcBorders>
          </w:tcPr>
          <w:p>
            <w:pPr>
              <w:pStyle w:val="TableParagraph"/>
              <w:rPr>
                <w:rFonts w:ascii="Times New Roman"/>
                <w:sz w:val="18"/>
              </w:rPr>
            </w:pPr>
          </w:p>
        </w:tc>
      </w:tr>
      <w:tr>
        <w:trPr>
          <w:trHeight w:val="1966" w:hRule="atLeast"/>
        </w:trPr>
        <w:tc>
          <w:tcPr>
            <w:tcW w:w="2929" w:type="dxa"/>
            <w:shd w:val="clear" w:color="auto" w:fill="8DB3E2"/>
          </w:tcPr>
          <w:p>
            <w:pPr>
              <w:pStyle w:val="TableParagraph"/>
              <w:ind w:left="232" w:right="223"/>
              <w:jc w:val="center"/>
              <w:rPr>
                <w:rFonts w:ascii="Arial"/>
                <w:b/>
                <w:sz w:val="19"/>
              </w:rPr>
            </w:pPr>
            <w:r>
              <w:rPr>
                <w:rFonts w:ascii="Arial"/>
                <w:b/>
                <w:sz w:val="19"/>
              </w:rPr>
              <w:t>Q3 </w:t>
            </w:r>
            <w:r>
              <w:rPr>
                <w:rFonts w:ascii="Arial"/>
                <w:b/>
                <w:spacing w:val="-2"/>
                <w:sz w:val="19"/>
              </w:rPr>
              <w:t>2022/23</w:t>
            </w:r>
          </w:p>
          <w:p>
            <w:pPr>
              <w:pStyle w:val="TableParagraph"/>
              <w:ind w:left="233" w:right="223"/>
              <w:jc w:val="center"/>
              <w:rPr>
                <w:rFonts w:ascii="Arial"/>
                <w:b/>
                <w:sz w:val="19"/>
              </w:rPr>
            </w:pPr>
            <w:r>
              <w:rPr>
                <w:rFonts w:ascii="Arial"/>
                <w:b/>
                <w:sz w:val="19"/>
              </w:rPr>
              <w:t>11</w:t>
            </w:r>
            <w:r>
              <w:rPr>
                <w:rFonts w:ascii="Arial"/>
                <w:b/>
                <w:spacing w:val="-2"/>
                <w:sz w:val="19"/>
              </w:rPr>
              <w:t> </w:t>
            </w:r>
            <w:r>
              <w:rPr>
                <w:rFonts w:ascii="Arial"/>
                <w:b/>
                <w:sz w:val="19"/>
              </w:rPr>
              <w:t>October </w:t>
            </w:r>
            <w:r>
              <w:rPr>
                <w:rFonts w:ascii="Arial"/>
                <w:b/>
                <w:spacing w:val="-4"/>
                <w:sz w:val="19"/>
              </w:rPr>
              <w:t>2022</w:t>
            </w:r>
          </w:p>
          <w:p>
            <w:pPr>
              <w:pStyle w:val="TableParagraph"/>
              <w:spacing w:before="11"/>
              <w:rPr>
                <w:rFonts w:ascii="Arial"/>
                <w:b/>
                <w:sz w:val="18"/>
              </w:rPr>
            </w:pPr>
          </w:p>
          <w:p>
            <w:pPr>
              <w:pStyle w:val="TableParagraph"/>
              <w:ind w:left="567" w:right="326" w:firstLine="427"/>
              <w:rPr>
                <w:rFonts w:ascii="Arial"/>
                <w:i/>
                <w:sz w:val="19"/>
              </w:rPr>
            </w:pPr>
            <w:r>
              <w:rPr>
                <w:rFonts w:ascii="Arial"/>
                <w:i/>
                <w:spacing w:val="-2"/>
                <w:sz w:val="19"/>
              </w:rPr>
              <w:t>Boardroom</w:t>
            </w:r>
            <w:r>
              <w:rPr>
                <w:rFonts w:ascii="Arial"/>
                <w:i/>
                <w:spacing w:val="-2"/>
                <w:sz w:val="19"/>
              </w:rPr>
              <w:t> </w:t>
            </w:r>
            <w:r>
              <w:rPr>
                <w:rFonts w:ascii="Arial"/>
                <w:i/>
                <w:sz w:val="19"/>
              </w:rPr>
              <w:t>NWSSP</w:t>
            </w:r>
            <w:r>
              <w:rPr>
                <w:rFonts w:ascii="Arial"/>
                <w:i/>
                <w:spacing w:val="-13"/>
                <w:sz w:val="19"/>
              </w:rPr>
              <w:t> </w:t>
            </w:r>
            <w:r>
              <w:rPr>
                <w:rFonts w:ascii="Arial"/>
                <w:i/>
                <w:sz w:val="19"/>
              </w:rPr>
              <w:t>HQ,</w:t>
            </w:r>
            <w:r>
              <w:rPr>
                <w:rFonts w:ascii="Arial"/>
                <w:i/>
                <w:spacing w:val="-13"/>
                <w:sz w:val="19"/>
              </w:rPr>
              <w:t> </w:t>
            </w:r>
            <w:r>
              <w:rPr>
                <w:rFonts w:ascii="Arial"/>
                <w:i/>
                <w:sz w:val="19"/>
              </w:rPr>
              <w:t>Unit</w:t>
            </w:r>
            <w:r>
              <w:rPr>
                <w:rFonts w:ascii="Arial"/>
                <w:i/>
                <w:spacing w:val="-13"/>
                <w:sz w:val="19"/>
              </w:rPr>
              <w:t> </w:t>
            </w:r>
            <w:r>
              <w:rPr>
                <w:rFonts w:ascii="Arial"/>
                <w:i/>
                <w:sz w:val="19"/>
              </w:rPr>
              <w:t>4/5</w:t>
            </w:r>
          </w:p>
          <w:p>
            <w:pPr>
              <w:pStyle w:val="TableParagraph"/>
              <w:ind w:left="334" w:right="322" w:hanging="1"/>
              <w:jc w:val="center"/>
              <w:rPr>
                <w:rFonts w:ascii="Arial"/>
                <w:i/>
                <w:sz w:val="19"/>
              </w:rPr>
            </w:pPr>
            <w:r>
              <w:rPr>
                <w:rFonts w:ascii="Arial"/>
                <w:i/>
                <w:sz w:val="19"/>
              </w:rPr>
              <w:t>Charnwood Court, Heol</w:t>
            </w:r>
            <w:r>
              <w:rPr>
                <w:rFonts w:ascii="Arial"/>
                <w:i/>
                <w:sz w:val="19"/>
              </w:rPr>
              <w:t> Billingsley,</w:t>
            </w:r>
            <w:r>
              <w:rPr>
                <w:rFonts w:ascii="Arial"/>
                <w:i/>
                <w:spacing w:val="-14"/>
                <w:sz w:val="19"/>
              </w:rPr>
              <w:t> </w:t>
            </w:r>
            <w:r>
              <w:rPr>
                <w:rFonts w:ascii="Arial"/>
                <w:i/>
                <w:sz w:val="19"/>
              </w:rPr>
              <w:t>Parc</w:t>
            </w:r>
            <w:r>
              <w:rPr>
                <w:rFonts w:ascii="Arial"/>
                <w:i/>
                <w:spacing w:val="-13"/>
                <w:sz w:val="19"/>
              </w:rPr>
              <w:t> </w:t>
            </w:r>
            <w:r>
              <w:rPr>
                <w:rFonts w:ascii="Arial"/>
                <w:i/>
                <w:sz w:val="19"/>
              </w:rPr>
              <w:t>Nantgarw, Cardiff, CF15 7QZ</w:t>
            </w:r>
          </w:p>
        </w:tc>
        <w:tc>
          <w:tcPr>
            <w:tcW w:w="3069" w:type="dxa"/>
          </w:tcPr>
          <w:p>
            <w:pPr>
              <w:pStyle w:val="TableParagraph"/>
              <w:spacing w:line="480" w:lineRule="auto"/>
              <w:ind w:left="119" w:right="107" w:hanging="1"/>
              <w:jc w:val="center"/>
              <w:rPr>
                <w:rFonts w:ascii="Arial"/>
                <w:sz w:val="19"/>
              </w:rPr>
            </w:pPr>
            <w:r>
              <w:rPr>
                <w:rFonts w:ascii="Arial"/>
                <w:sz w:val="19"/>
              </w:rPr>
              <w:t>Minutes &amp; Matters Arising External</w:t>
            </w:r>
            <w:r>
              <w:rPr>
                <w:rFonts w:ascii="Arial"/>
                <w:spacing w:val="-13"/>
                <w:sz w:val="19"/>
              </w:rPr>
              <w:t> </w:t>
            </w:r>
            <w:r>
              <w:rPr>
                <w:rFonts w:ascii="Arial"/>
                <w:sz w:val="19"/>
              </w:rPr>
              <w:t>Audit</w:t>
            </w:r>
            <w:r>
              <w:rPr>
                <w:rFonts w:ascii="Arial"/>
                <w:spacing w:val="-13"/>
                <w:sz w:val="19"/>
              </w:rPr>
              <w:t> </w:t>
            </w:r>
            <w:r>
              <w:rPr>
                <w:rFonts w:ascii="Arial"/>
                <w:sz w:val="19"/>
              </w:rPr>
              <w:t>Position</w:t>
            </w:r>
            <w:r>
              <w:rPr>
                <w:rFonts w:ascii="Arial"/>
                <w:spacing w:val="-13"/>
                <w:sz w:val="19"/>
              </w:rPr>
              <w:t> </w:t>
            </w:r>
            <w:r>
              <w:rPr>
                <w:rFonts w:ascii="Arial"/>
                <w:sz w:val="19"/>
              </w:rPr>
              <w:t>Statement Internal Audit Progress Report</w:t>
            </w:r>
          </w:p>
          <w:p>
            <w:pPr>
              <w:pStyle w:val="TableParagraph"/>
              <w:ind w:left="168" w:right="156"/>
              <w:jc w:val="center"/>
              <w:rPr>
                <w:rFonts w:ascii="Arial"/>
                <w:sz w:val="19"/>
              </w:rPr>
            </w:pPr>
            <w:r>
              <w:rPr>
                <w:rFonts w:ascii="Arial"/>
                <w:sz w:val="19"/>
              </w:rPr>
              <w:t>Counter</w:t>
            </w:r>
            <w:r>
              <w:rPr>
                <w:rFonts w:ascii="Arial"/>
                <w:spacing w:val="-14"/>
                <w:sz w:val="19"/>
              </w:rPr>
              <w:t> </w:t>
            </w:r>
            <w:r>
              <w:rPr>
                <w:rFonts w:ascii="Arial"/>
                <w:sz w:val="19"/>
              </w:rPr>
              <w:t>Fraud</w:t>
            </w:r>
            <w:r>
              <w:rPr>
                <w:rFonts w:ascii="Arial"/>
                <w:spacing w:val="-13"/>
                <w:sz w:val="19"/>
              </w:rPr>
              <w:t> </w:t>
            </w:r>
            <w:r>
              <w:rPr>
                <w:rFonts w:ascii="Arial"/>
                <w:sz w:val="19"/>
              </w:rPr>
              <w:t>Position </w:t>
            </w:r>
            <w:r>
              <w:rPr>
                <w:rFonts w:ascii="Arial"/>
                <w:spacing w:val="-2"/>
                <w:sz w:val="19"/>
              </w:rPr>
              <w:t>Statement</w:t>
            </w:r>
          </w:p>
        </w:tc>
        <w:tc>
          <w:tcPr>
            <w:tcW w:w="3069" w:type="dxa"/>
          </w:tcPr>
          <w:p>
            <w:pPr>
              <w:pStyle w:val="TableParagraph"/>
              <w:ind w:left="166" w:right="156"/>
              <w:jc w:val="center"/>
              <w:rPr>
                <w:rFonts w:ascii="Arial"/>
                <w:b/>
                <w:sz w:val="19"/>
              </w:rPr>
            </w:pPr>
            <w:r>
              <w:rPr>
                <w:rFonts w:ascii="Arial"/>
                <w:b/>
                <w:sz w:val="19"/>
              </w:rPr>
              <w:t>Internal </w:t>
            </w:r>
            <w:r>
              <w:rPr>
                <w:rFonts w:ascii="Arial"/>
                <w:b/>
                <w:spacing w:val="-2"/>
                <w:sz w:val="19"/>
              </w:rPr>
              <w:t>Audit</w:t>
            </w:r>
          </w:p>
          <w:p>
            <w:pPr>
              <w:pStyle w:val="TableParagraph"/>
              <w:ind w:left="168" w:right="156"/>
              <w:jc w:val="center"/>
              <w:rPr>
                <w:rFonts w:ascii="Arial"/>
                <w:sz w:val="19"/>
              </w:rPr>
            </w:pPr>
            <w:r>
              <w:rPr>
                <w:rFonts w:ascii="Arial"/>
                <w:sz w:val="19"/>
              </w:rPr>
              <w:t>As</w:t>
            </w:r>
            <w:r>
              <w:rPr>
                <w:rFonts w:ascii="Arial"/>
                <w:spacing w:val="-7"/>
                <w:sz w:val="19"/>
              </w:rPr>
              <w:t> </w:t>
            </w:r>
            <w:r>
              <w:rPr>
                <w:rFonts w:ascii="Arial"/>
                <w:sz w:val="19"/>
              </w:rPr>
              <w:t>outlined</w:t>
            </w:r>
            <w:r>
              <w:rPr>
                <w:rFonts w:ascii="Arial"/>
                <w:spacing w:val="-8"/>
                <w:sz w:val="19"/>
              </w:rPr>
              <w:t> </w:t>
            </w:r>
            <w:r>
              <w:rPr>
                <w:rFonts w:ascii="Arial"/>
                <w:sz w:val="19"/>
              </w:rPr>
              <w:t>in</w:t>
            </w:r>
            <w:r>
              <w:rPr>
                <w:rFonts w:ascii="Arial"/>
                <w:spacing w:val="-8"/>
                <w:sz w:val="19"/>
              </w:rPr>
              <w:t> </w:t>
            </w:r>
            <w:r>
              <w:rPr>
                <w:rFonts w:ascii="Arial"/>
                <w:sz w:val="19"/>
              </w:rPr>
              <w:t>the</w:t>
            </w:r>
            <w:r>
              <w:rPr>
                <w:rFonts w:ascii="Arial"/>
                <w:spacing w:val="-8"/>
                <w:sz w:val="19"/>
              </w:rPr>
              <w:t> </w:t>
            </w:r>
            <w:r>
              <w:rPr>
                <w:rFonts w:ascii="Arial"/>
                <w:sz w:val="19"/>
              </w:rPr>
              <w:t>Internal</w:t>
            </w:r>
            <w:r>
              <w:rPr>
                <w:rFonts w:ascii="Arial"/>
                <w:spacing w:val="-8"/>
                <w:sz w:val="19"/>
              </w:rPr>
              <w:t> </w:t>
            </w:r>
            <w:r>
              <w:rPr>
                <w:rFonts w:ascii="Arial"/>
                <w:sz w:val="19"/>
              </w:rPr>
              <w:t>Audit Operational Plan</w:t>
            </w:r>
          </w:p>
        </w:tc>
        <w:tc>
          <w:tcPr>
            <w:tcW w:w="3069" w:type="dxa"/>
          </w:tcPr>
          <w:p>
            <w:pPr>
              <w:pStyle w:val="TableParagraph"/>
              <w:ind w:left="166" w:right="156"/>
              <w:jc w:val="center"/>
              <w:rPr>
                <w:rFonts w:ascii="Arial"/>
                <w:sz w:val="19"/>
              </w:rPr>
            </w:pPr>
            <w:r>
              <w:rPr>
                <w:rFonts w:ascii="Arial"/>
                <w:sz w:val="19"/>
              </w:rPr>
              <w:t>Governance </w:t>
            </w:r>
            <w:r>
              <w:rPr>
                <w:rFonts w:ascii="Arial"/>
                <w:spacing w:val="-2"/>
                <w:sz w:val="19"/>
              </w:rPr>
              <w:t>Matters</w:t>
            </w:r>
          </w:p>
          <w:p>
            <w:pPr>
              <w:pStyle w:val="TableParagraph"/>
              <w:spacing w:before="11"/>
              <w:rPr>
                <w:rFonts w:ascii="Arial"/>
                <w:b/>
                <w:sz w:val="18"/>
              </w:rPr>
            </w:pPr>
          </w:p>
          <w:p>
            <w:pPr>
              <w:pStyle w:val="TableParagraph"/>
              <w:ind w:left="168" w:right="156"/>
              <w:jc w:val="center"/>
              <w:rPr>
                <w:rFonts w:ascii="Arial"/>
                <w:sz w:val="19"/>
              </w:rPr>
            </w:pPr>
            <w:r>
              <w:rPr>
                <w:rFonts w:ascii="Arial"/>
                <w:sz w:val="19"/>
              </w:rPr>
              <w:t>Tracking of Audit Recommendations</w:t>
            </w:r>
            <w:r>
              <w:rPr>
                <w:rFonts w:ascii="Arial"/>
                <w:spacing w:val="-14"/>
                <w:sz w:val="19"/>
              </w:rPr>
              <w:t> </w:t>
            </w:r>
            <w:r>
              <w:rPr>
                <w:rFonts w:ascii="Arial"/>
                <w:sz w:val="19"/>
              </w:rPr>
              <w:t>to</w:t>
            </w:r>
            <w:r>
              <w:rPr>
                <w:rFonts w:ascii="Arial"/>
                <w:spacing w:val="-13"/>
                <w:sz w:val="19"/>
              </w:rPr>
              <w:t> </w:t>
            </w:r>
            <w:r>
              <w:rPr>
                <w:rFonts w:ascii="Arial"/>
                <w:sz w:val="19"/>
              </w:rPr>
              <w:t>include Annual Review of Audit Recommendations Not Yet </w:t>
            </w:r>
            <w:r>
              <w:rPr>
                <w:rFonts w:ascii="Arial"/>
                <w:spacing w:val="-2"/>
                <w:sz w:val="19"/>
              </w:rPr>
              <w:t>Implemented</w:t>
            </w:r>
          </w:p>
          <w:p>
            <w:pPr>
              <w:pStyle w:val="TableParagraph"/>
              <w:rPr>
                <w:rFonts w:ascii="Arial"/>
                <w:b/>
                <w:sz w:val="19"/>
              </w:rPr>
            </w:pPr>
          </w:p>
          <w:p>
            <w:pPr>
              <w:pStyle w:val="TableParagraph"/>
              <w:spacing w:line="198" w:lineRule="exact"/>
              <w:ind w:left="165" w:right="156"/>
              <w:jc w:val="center"/>
              <w:rPr>
                <w:rFonts w:ascii="Arial"/>
                <w:sz w:val="19"/>
              </w:rPr>
            </w:pPr>
            <w:r>
              <w:rPr>
                <w:rFonts w:ascii="Arial"/>
                <w:sz w:val="19"/>
              </w:rPr>
              <w:t>Corporate</w:t>
            </w:r>
            <w:r>
              <w:rPr>
                <w:rFonts w:ascii="Arial"/>
                <w:spacing w:val="-4"/>
                <w:sz w:val="19"/>
              </w:rPr>
              <w:t> </w:t>
            </w:r>
            <w:r>
              <w:rPr>
                <w:rFonts w:ascii="Arial"/>
                <w:sz w:val="19"/>
              </w:rPr>
              <w:t>Risk</w:t>
            </w:r>
            <w:r>
              <w:rPr>
                <w:rFonts w:ascii="Arial"/>
                <w:spacing w:val="-4"/>
                <w:sz w:val="19"/>
              </w:rPr>
              <w:t> </w:t>
            </w:r>
            <w:r>
              <w:rPr>
                <w:rFonts w:ascii="Arial"/>
                <w:spacing w:val="-2"/>
                <w:sz w:val="19"/>
              </w:rPr>
              <w:t>Register</w:t>
            </w:r>
          </w:p>
        </w:tc>
        <w:tc>
          <w:tcPr>
            <w:tcW w:w="3068" w:type="dxa"/>
          </w:tcPr>
          <w:p>
            <w:pPr>
              <w:pStyle w:val="TableParagraph"/>
              <w:ind w:left="151" w:right="139"/>
              <w:jc w:val="center"/>
              <w:rPr>
                <w:rFonts w:ascii="Arial"/>
                <w:sz w:val="19"/>
              </w:rPr>
            </w:pPr>
            <w:r>
              <w:rPr>
                <w:rFonts w:ascii="Arial"/>
                <w:sz w:val="19"/>
              </w:rPr>
              <w:t>Audit</w:t>
            </w:r>
            <w:r>
              <w:rPr>
                <w:rFonts w:ascii="Arial"/>
                <w:spacing w:val="-14"/>
                <w:sz w:val="19"/>
              </w:rPr>
              <w:t> </w:t>
            </w:r>
            <w:r>
              <w:rPr>
                <w:rFonts w:ascii="Arial"/>
                <w:sz w:val="19"/>
              </w:rPr>
              <w:t>Committee</w:t>
            </w:r>
            <w:r>
              <w:rPr>
                <w:rFonts w:ascii="Arial"/>
                <w:spacing w:val="-13"/>
                <w:sz w:val="19"/>
              </w:rPr>
              <w:t> </w:t>
            </w:r>
            <w:r>
              <w:rPr>
                <w:rFonts w:ascii="Arial"/>
                <w:sz w:val="19"/>
              </w:rPr>
              <w:t>Effectiveness Survey Results</w:t>
            </w:r>
          </w:p>
          <w:p>
            <w:pPr>
              <w:pStyle w:val="TableParagraph"/>
              <w:spacing w:before="11"/>
              <w:rPr>
                <w:rFonts w:ascii="Arial"/>
                <w:b/>
                <w:sz w:val="18"/>
              </w:rPr>
            </w:pPr>
          </w:p>
          <w:p>
            <w:pPr>
              <w:pStyle w:val="TableParagraph"/>
              <w:spacing w:line="480" w:lineRule="auto"/>
              <w:ind w:left="192" w:right="179" w:hanging="1"/>
              <w:jc w:val="center"/>
              <w:rPr>
                <w:rFonts w:ascii="Arial"/>
                <w:sz w:val="19"/>
              </w:rPr>
            </w:pPr>
            <w:r>
              <w:rPr>
                <w:rFonts w:ascii="Arial"/>
                <w:sz w:val="19"/>
              </w:rPr>
              <w:t>Audit</w:t>
            </w:r>
            <w:r>
              <w:rPr>
                <w:rFonts w:ascii="Arial"/>
                <w:spacing w:val="-8"/>
                <w:sz w:val="19"/>
              </w:rPr>
              <w:t> </w:t>
            </w:r>
            <w:r>
              <w:rPr>
                <w:rFonts w:ascii="Arial"/>
                <w:sz w:val="19"/>
              </w:rPr>
              <w:t>Committee</w:t>
            </w:r>
            <w:r>
              <w:rPr>
                <w:rFonts w:ascii="Arial"/>
                <w:spacing w:val="-8"/>
                <w:sz w:val="19"/>
              </w:rPr>
              <w:t> </w:t>
            </w:r>
            <w:r>
              <w:rPr>
                <w:rFonts w:ascii="Arial"/>
                <w:sz w:val="19"/>
              </w:rPr>
              <w:t>Annual</w:t>
            </w:r>
            <w:r>
              <w:rPr>
                <w:rFonts w:ascii="Arial"/>
                <w:spacing w:val="-9"/>
                <w:sz w:val="19"/>
              </w:rPr>
              <w:t> </w:t>
            </w:r>
            <w:r>
              <w:rPr>
                <w:rFonts w:ascii="Arial"/>
                <w:sz w:val="19"/>
              </w:rPr>
              <w:t>Report NWSSP Annual Review</w:t>
            </w:r>
          </w:p>
          <w:p>
            <w:pPr>
              <w:pStyle w:val="TableParagraph"/>
              <w:spacing w:line="220" w:lineRule="atLeast"/>
              <w:ind w:left="151" w:right="138"/>
              <w:jc w:val="center"/>
              <w:rPr>
                <w:rFonts w:ascii="Arial"/>
                <w:sz w:val="19"/>
              </w:rPr>
            </w:pPr>
            <w:r>
              <w:rPr>
                <w:rFonts w:ascii="Arial"/>
                <w:sz w:val="19"/>
              </w:rPr>
              <w:t>Information</w:t>
            </w:r>
            <w:r>
              <w:rPr>
                <w:rFonts w:ascii="Arial"/>
                <w:spacing w:val="-14"/>
                <w:sz w:val="19"/>
              </w:rPr>
              <w:t> </w:t>
            </w:r>
            <w:r>
              <w:rPr>
                <w:rFonts w:ascii="Arial"/>
                <w:sz w:val="19"/>
              </w:rPr>
              <w:t>Governance</w:t>
            </w:r>
            <w:r>
              <w:rPr>
                <w:rFonts w:ascii="Arial"/>
                <w:spacing w:val="-13"/>
                <w:sz w:val="19"/>
              </w:rPr>
              <w:t> </w:t>
            </w:r>
            <w:r>
              <w:rPr>
                <w:rFonts w:ascii="Arial"/>
                <w:sz w:val="19"/>
              </w:rPr>
              <w:t>Annual Report 2021-22</w:t>
            </w:r>
          </w:p>
        </w:tc>
      </w:tr>
    </w:tbl>
    <w:p>
      <w:pPr>
        <w:spacing w:after="0" w:line="220" w:lineRule="atLeast"/>
        <w:jc w:val="center"/>
        <w:rPr>
          <w:rFonts w:ascii="Arial"/>
          <w:sz w:val="19"/>
        </w:rPr>
        <w:sectPr>
          <w:footerReference w:type="default" r:id="rId224"/>
          <w:pgSz w:w="16840" w:h="11910" w:orient="landscape"/>
          <w:pgMar w:footer="1043" w:header="0" w:top="200" w:bottom="1240" w:left="220" w:right="540"/>
        </w:sectPr>
      </w:pPr>
    </w:p>
    <w:p>
      <w:pPr>
        <w:pStyle w:val="BodyText"/>
        <w:rPr>
          <w:rFonts w:ascii="Arial"/>
          <w:b/>
          <w:sz w:val="20"/>
        </w:rPr>
      </w:pPr>
    </w:p>
    <w:p>
      <w:pPr>
        <w:pStyle w:val="BodyText"/>
        <w:spacing w:before="6"/>
        <w:rPr>
          <w:rFonts w:ascii="Arial"/>
          <w:b/>
          <w:sz w:val="23"/>
        </w:rPr>
      </w:pPr>
    </w:p>
    <w:p>
      <w:pPr>
        <w:spacing w:before="0"/>
        <w:ind w:left="0" w:right="115" w:firstLine="0"/>
        <w:jc w:val="right"/>
        <w:rPr>
          <w:rFonts w:ascii="Arial"/>
          <w:b/>
          <w:sz w:val="20"/>
        </w:rPr>
      </w:pPr>
      <w:r>
        <w:rPr/>
        <w:drawing>
          <wp:anchor distT="0" distB="0" distL="0" distR="0" allowOverlap="1" layoutInCell="1" locked="0" behindDoc="0" simplePos="0" relativeHeight="15863808">
            <wp:simplePos x="0" y="0"/>
            <wp:positionH relativeFrom="page">
              <wp:posOffset>211670</wp:posOffset>
            </wp:positionH>
            <wp:positionV relativeFrom="paragraph">
              <wp:posOffset>-313691</wp:posOffset>
            </wp:positionV>
            <wp:extent cx="2489835" cy="679450"/>
            <wp:effectExtent l="0" t="0" r="0" b="0"/>
            <wp:wrapNone/>
            <wp:docPr id="247" name="image3.png"/>
            <wp:cNvGraphicFramePr>
              <a:graphicFrameLocks noChangeAspect="1"/>
            </wp:cNvGraphicFramePr>
            <a:graphic>
              <a:graphicData uri="http://schemas.openxmlformats.org/drawingml/2006/picture">
                <pic:pic>
                  <pic:nvPicPr>
                    <pic:cNvPr id="248" name="image3.png"/>
                    <pic:cNvPicPr/>
                  </pic:nvPicPr>
                  <pic:blipFill>
                    <a:blip r:embed="rId10" cstate="print"/>
                    <a:stretch>
                      <a:fillRect/>
                    </a:stretch>
                  </pic:blipFill>
                  <pic:spPr>
                    <a:xfrm>
                      <a:off x="0" y="0"/>
                      <a:ext cx="2489835" cy="679450"/>
                    </a:xfrm>
                    <a:prstGeom prst="rect">
                      <a:avLst/>
                    </a:prstGeom>
                  </pic:spPr>
                </pic:pic>
              </a:graphicData>
            </a:graphic>
          </wp:anchor>
        </w:drawing>
      </w:r>
      <w:r>
        <w:rPr>
          <w:rFonts w:ascii="Arial"/>
          <w:b/>
          <w:sz w:val="20"/>
        </w:rPr>
        <w:t>Velindre</w:t>
      </w:r>
      <w:r>
        <w:rPr>
          <w:rFonts w:ascii="Arial"/>
          <w:b/>
          <w:spacing w:val="-6"/>
          <w:sz w:val="20"/>
        </w:rPr>
        <w:t> </w:t>
      </w:r>
      <w:r>
        <w:rPr>
          <w:rFonts w:ascii="Arial"/>
          <w:b/>
          <w:sz w:val="20"/>
        </w:rPr>
        <w:t>University</w:t>
      </w:r>
      <w:r>
        <w:rPr>
          <w:rFonts w:ascii="Arial"/>
          <w:b/>
          <w:spacing w:val="-3"/>
          <w:sz w:val="20"/>
        </w:rPr>
        <w:t> </w:t>
      </w:r>
      <w:r>
        <w:rPr>
          <w:rFonts w:ascii="Arial"/>
          <w:b/>
          <w:sz w:val="20"/>
        </w:rPr>
        <w:t>NHS</w:t>
      </w:r>
      <w:r>
        <w:rPr>
          <w:rFonts w:ascii="Arial"/>
          <w:b/>
          <w:spacing w:val="-3"/>
          <w:sz w:val="20"/>
        </w:rPr>
        <w:t> </w:t>
      </w:r>
      <w:r>
        <w:rPr>
          <w:rFonts w:ascii="Arial"/>
          <w:b/>
          <w:sz w:val="20"/>
        </w:rPr>
        <w:t>Trust</w:t>
      </w:r>
      <w:r>
        <w:rPr>
          <w:rFonts w:ascii="Arial"/>
          <w:b/>
          <w:spacing w:val="-2"/>
          <w:sz w:val="20"/>
        </w:rPr>
        <w:t> </w:t>
      </w:r>
      <w:r>
        <w:rPr>
          <w:rFonts w:ascii="Arial"/>
          <w:b/>
          <w:sz w:val="20"/>
        </w:rPr>
        <w:t>Audit</w:t>
      </w:r>
      <w:r>
        <w:rPr>
          <w:rFonts w:ascii="Arial"/>
          <w:b/>
          <w:spacing w:val="-2"/>
          <w:sz w:val="20"/>
        </w:rPr>
        <w:t> </w:t>
      </w:r>
      <w:r>
        <w:rPr>
          <w:rFonts w:ascii="Arial"/>
          <w:b/>
          <w:sz w:val="20"/>
        </w:rPr>
        <w:t>Committee</w:t>
      </w:r>
      <w:r>
        <w:rPr>
          <w:rFonts w:ascii="Arial"/>
          <w:b/>
          <w:spacing w:val="-4"/>
          <w:sz w:val="20"/>
        </w:rPr>
        <w:t> </w:t>
      </w:r>
      <w:r>
        <w:rPr>
          <w:rFonts w:ascii="Arial"/>
          <w:b/>
          <w:sz w:val="20"/>
        </w:rPr>
        <w:t>for</w:t>
      </w:r>
      <w:r>
        <w:rPr>
          <w:rFonts w:ascii="Arial"/>
          <w:b/>
          <w:spacing w:val="-2"/>
          <w:sz w:val="20"/>
        </w:rPr>
        <w:t> </w:t>
      </w:r>
      <w:r>
        <w:rPr>
          <w:rFonts w:ascii="Arial"/>
          <w:b/>
          <w:sz w:val="20"/>
        </w:rPr>
        <w:t>NHS</w:t>
      </w:r>
      <w:r>
        <w:rPr>
          <w:rFonts w:ascii="Arial"/>
          <w:b/>
          <w:spacing w:val="-3"/>
          <w:sz w:val="20"/>
        </w:rPr>
        <w:t> </w:t>
      </w:r>
      <w:r>
        <w:rPr>
          <w:rFonts w:ascii="Arial"/>
          <w:b/>
          <w:sz w:val="20"/>
        </w:rPr>
        <w:t>Wales</w:t>
      </w:r>
      <w:r>
        <w:rPr>
          <w:rFonts w:ascii="Arial"/>
          <w:b/>
          <w:spacing w:val="-2"/>
          <w:sz w:val="20"/>
        </w:rPr>
        <w:t> </w:t>
      </w:r>
      <w:r>
        <w:rPr>
          <w:rFonts w:ascii="Arial"/>
          <w:b/>
          <w:sz w:val="20"/>
        </w:rPr>
        <w:t>Shared</w:t>
      </w:r>
      <w:r>
        <w:rPr>
          <w:rFonts w:ascii="Arial"/>
          <w:b/>
          <w:spacing w:val="-3"/>
          <w:sz w:val="20"/>
        </w:rPr>
        <w:t> </w:t>
      </w:r>
      <w:r>
        <w:rPr>
          <w:rFonts w:ascii="Arial"/>
          <w:b/>
          <w:sz w:val="20"/>
        </w:rPr>
        <w:t>Services</w:t>
      </w:r>
      <w:r>
        <w:rPr>
          <w:rFonts w:ascii="Arial"/>
          <w:b/>
          <w:spacing w:val="-3"/>
          <w:sz w:val="20"/>
        </w:rPr>
        <w:t> </w:t>
      </w:r>
      <w:r>
        <w:rPr>
          <w:rFonts w:ascii="Arial"/>
          <w:b/>
          <w:spacing w:val="-2"/>
          <w:sz w:val="20"/>
        </w:rPr>
        <w:t>Partnership</w:t>
      </w:r>
    </w:p>
    <w:p>
      <w:pPr>
        <w:spacing w:before="35"/>
        <w:ind w:left="0" w:right="114" w:firstLine="0"/>
        <w:jc w:val="right"/>
        <w:rPr>
          <w:rFonts w:ascii="Arial"/>
          <w:b/>
          <w:sz w:val="20"/>
        </w:rPr>
      </w:pPr>
      <w:r>
        <w:rPr>
          <w:rFonts w:ascii="Arial"/>
          <w:b/>
          <w:sz w:val="20"/>
        </w:rPr>
        <w:t>Forward</w:t>
      </w:r>
      <w:r>
        <w:rPr>
          <w:rFonts w:ascii="Arial"/>
          <w:b/>
          <w:spacing w:val="-3"/>
          <w:sz w:val="20"/>
        </w:rPr>
        <w:t> </w:t>
      </w:r>
      <w:r>
        <w:rPr>
          <w:rFonts w:ascii="Arial"/>
          <w:b/>
          <w:sz w:val="20"/>
        </w:rPr>
        <w:t>Plan</w:t>
      </w:r>
      <w:r>
        <w:rPr>
          <w:rFonts w:ascii="Arial"/>
          <w:b/>
          <w:spacing w:val="-3"/>
          <w:sz w:val="20"/>
        </w:rPr>
        <w:t> </w:t>
      </w:r>
      <w:r>
        <w:rPr>
          <w:rFonts w:ascii="Arial"/>
          <w:b/>
          <w:sz w:val="20"/>
        </w:rPr>
        <w:t>2022-</w:t>
      </w:r>
      <w:r>
        <w:rPr>
          <w:rFonts w:ascii="Arial"/>
          <w:b/>
          <w:spacing w:val="-5"/>
          <w:sz w:val="20"/>
        </w:rPr>
        <w:t>23</w:t>
      </w:r>
    </w:p>
    <w:p>
      <w:pPr>
        <w:pStyle w:val="BodyText"/>
        <w:spacing w:before="9" w:after="1"/>
        <w:rPr>
          <w:rFonts w:ascii="Arial"/>
          <w:b/>
          <w:sz w:val="29"/>
        </w:rPr>
      </w:pPr>
    </w:p>
    <w:tbl>
      <w:tblPr>
        <w:tblW w:w="0" w:type="auto"/>
        <w:jc w:val="left"/>
        <w:tblInd w:w="6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29"/>
        <w:gridCol w:w="3069"/>
        <w:gridCol w:w="3069"/>
        <w:gridCol w:w="3069"/>
        <w:gridCol w:w="3068"/>
      </w:tblGrid>
      <w:tr>
        <w:trPr>
          <w:trHeight w:val="699" w:hRule="atLeast"/>
        </w:trPr>
        <w:tc>
          <w:tcPr>
            <w:tcW w:w="2929" w:type="dxa"/>
            <w:shd w:val="clear" w:color="auto" w:fill="8DB3E2"/>
          </w:tcPr>
          <w:p>
            <w:pPr>
              <w:pStyle w:val="TableParagraph"/>
              <w:ind w:left="239"/>
              <w:rPr>
                <w:rFonts w:ascii="Arial"/>
                <w:i/>
                <w:sz w:val="19"/>
              </w:rPr>
            </w:pPr>
            <w:r>
              <w:rPr>
                <w:rFonts w:ascii="Arial"/>
                <w:i/>
                <w:sz w:val="19"/>
              </w:rPr>
              <w:t>or</w:t>
            </w:r>
            <w:r>
              <w:rPr>
                <w:rFonts w:ascii="Arial"/>
                <w:i/>
                <w:spacing w:val="-2"/>
                <w:sz w:val="19"/>
              </w:rPr>
              <w:t> </w:t>
            </w:r>
            <w:r>
              <w:rPr>
                <w:rFonts w:ascii="Arial"/>
                <w:i/>
                <w:sz w:val="19"/>
              </w:rPr>
              <w:t>by</w:t>
            </w:r>
            <w:r>
              <w:rPr>
                <w:rFonts w:ascii="Arial"/>
                <w:i/>
                <w:spacing w:val="-1"/>
                <w:sz w:val="19"/>
              </w:rPr>
              <w:t> </w:t>
            </w:r>
            <w:r>
              <w:rPr>
                <w:rFonts w:ascii="Arial"/>
                <w:i/>
                <w:sz w:val="19"/>
              </w:rPr>
              <w:t>Teams</w:t>
            </w:r>
            <w:r>
              <w:rPr>
                <w:rFonts w:ascii="Arial"/>
                <w:i/>
                <w:spacing w:val="-1"/>
                <w:sz w:val="19"/>
              </w:rPr>
              <w:t> </w:t>
            </w:r>
            <w:r>
              <w:rPr>
                <w:rFonts w:ascii="Arial"/>
                <w:i/>
                <w:sz w:val="19"/>
              </w:rPr>
              <w:t>(as </w:t>
            </w:r>
            <w:r>
              <w:rPr>
                <w:rFonts w:ascii="Arial"/>
                <w:i/>
                <w:spacing w:val="-2"/>
                <w:sz w:val="19"/>
              </w:rPr>
              <w:t>appropriate)</w:t>
            </w:r>
          </w:p>
        </w:tc>
        <w:tc>
          <w:tcPr>
            <w:tcW w:w="3069" w:type="dxa"/>
          </w:tcPr>
          <w:p>
            <w:pPr>
              <w:pStyle w:val="TableParagraph"/>
              <w:ind w:left="853"/>
              <w:rPr>
                <w:rFonts w:ascii="Arial"/>
                <w:sz w:val="19"/>
              </w:rPr>
            </w:pPr>
            <w:r>
              <w:rPr>
                <w:rFonts w:ascii="Arial"/>
                <w:sz w:val="19"/>
              </w:rPr>
              <w:t>NWSSP</w:t>
            </w:r>
            <w:r>
              <w:rPr>
                <w:rFonts w:ascii="Arial"/>
                <w:spacing w:val="-5"/>
                <w:sz w:val="19"/>
              </w:rPr>
              <w:t> </w:t>
            </w:r>
            <w:r>
              <w:rPr>
                <w:rFonts w:ascii="Arial"/>
                <w:spacing w:val="-2"/>
                <w:sz w:val="19"/>
              </w:rPr>
              <w:t>Update</w:t>
            </w:r>
          </w:p>
        </w:tc>
        <w:tc>
          <w:tcPr>
            <w:tcW w:w="3069" w:type="dxa"/>
          </w:tcPr>
          <w:p>
            <w:pPr>
              <w:pStyle w:val="TableParagraph"/>
              <w:rPr>
                <w:rFonts w:ascii="Times New Roman"/>
                <w:sz w:val="18"/>
              </w:rPr>
            </w:pPr>
          </w:p>
        </w:tc>
        <w:tc>
          <w:tcPr>
            <w:tcW w:w="3069" w:type="dxa"/>
          </w:tcPr>
          <w:p>
            <w:pPr>
              <w:pStyle w:val="TableParagraph"/>
              <w:rPr>
                <w:rFonts w:ascii="Times New Roman"/>
                <w:sz w:val="18"/>
              </w:rPr>
            </w:pPr>
          </w:p>
        </w:tc>
        <w:tc>
          <w:tcPr>
            <w:tcW w:w="3068" w:type="dxa"/>
          </w:tcPr>
          <w:p>
            <w:pPr>
              <w:pStyle w:val="TableParagraph"/>
              <w:rPr>
                <w:rFonts w:ascii="Times New Roman"/>
                <w:sz w:val="18"/>
              </w:rPr>
            </w:pPr>
          </w:p>
        </w:tc>
      </w:tr>
      <w:tr>
        <w:trPr>
          <w:trHeight w:val="2297" w:hRule="atLeast"/>
        </w:trPr>
        <w:tc>
          <w:tcPr>
            <w:tcW w:w="2929" w:type="dxa"/>
            <w:tcBorders>
              <w:bottom w:val="nil"/>
            </w:tcBorders>
            <w:shd w:val="clear" w:color="auto" w:fill="8DB3E2"/>
          </w:tcPr>
          <w:p>
            <w:pPr>
              <w:pStyle w:val="TableParagraph"/>
              <w:ind w:left="232" w:right="223"/>
              <w:jc w:val="center"/>
              <w:rPr>
                <w:rFonts w:ascii="Arial"/>
                <w:b/>
                <w:sz w:val="19"/>
              </w:rPr>
            </w:pPr>
            <w:r>
              <w:rPr>
                <w:rFonts w:ascii="Arial"/>
                <w:b/>
                <w:sz w:val="19"/>
              </w:rPr>
              <w:t>Q4 </w:t>
            </w:r>
            <w:r>
              <w:rPr>
                <w:rFonts w:ascii="Arial"/>
                <w:b/>
                <w:spacing w:val="-2"/>
                <w:sz w:val="19"/>
              </w:rPr>
              <w:t>2022/23</w:t>
            </w:r>
          </w:p>
          <w:p>
            <w:pPr>
              <w:pStyle w:val="TableParagraph"/>
              <w:ind w:left="232" w:right="223"/>
              <w:jc w:val="center"/>
              <w:rPr>
                <w:rFonts w:ascii="Arial"/>
                <w:b/>
                <w:sz w:val="19"/>
              </w:rPr>
            </w:pPr>
            <w:r>
              <w:rPr>
                <w:rFonts w:ascii="Arial"/>
                <w:b/>
                <w:sz w:val="19"/>
              </w:rPr>
              <w:t>24</w:t>
            </w:r>
            <w:r>
              <w:rPr>
                <w:rFonts w:ascii="Arial"/>
                <w:b/>
                <w:spacing w:val="-7"/>
                <w:sz w:val="19"/>
              </w:rPr>
              <w:t> </w:t>
            </w:r>
            <w:r>
              <w:rPr>
                <w:rFonts w:ascii="Arial"/>
                <w:b/>
                <w:sz w:val="19"/>
              </w:rPr>
              <w:t>January</w:t>
            </w:r>
            <w:r>
              <w:rPr>
                <w:rFonts w:ascii="Arial"/>
                <w:b/>
                <w:spacing w:val="-3"/>
                <w:sz w:val="19"/>
              </w:rPr>
              <w:t> </w:t>
            </w:r>
            <w:r>
              <w:rPr>
                <w:rFonts w:ascii="Arial"/>
                <w:b/>
                <w:spacing w:val="-4"/>
                <w:sz w:val="19"/>
              </w:rPr>
              <w:t>2023</w:t>
            </w:r>
          </w:p>
          <w:p>
            <w:pPr>
              <w:pStyle w:val="TableParagraph"/>
              <w:spacing w:before="11"/>
              <w:rPr>
                <w:rFonts w:ascii="Arial"/>
                <w:b/>
                <w:sz w:val="18"/>
              </w:rPr>
            </w:pPr>
          </w:p>
          <w:p>
            <w:pPr>
              <w:pStyle w:val="TableParagraph"/>
              <w:ind w:left="567" w:right="326" w:firstLine="427"/>
              <w:rPr>
                <w:rFonts w:ascii="Arial"/>
                <w:i/>
                <w:sz w:val="19"/>
              </w:rPr>
            </w:pPr>
            <w:r>
              <w:rPr>
                <w:rFonts w:ascii="Arial"/>
                <w:i/>
                <w:spacing w:val="-2"/>
                <w:sz w:val="19"/>
              </w:rPr>
              <w:t>Boardroom</w:t>
            </w:r>
            <w:r>
              <w:rPr>
                <w:rFonts w:ascii="Arial"/>
                <w:i/>
                <w:spacing w:val="-2"/>
                <w:sz w:val="19"/>
              </w:rPr>
              <w:t> </w:t>
            </w:r>
            <w:r>
              <w:rPr>
                <w:rFonts w:ascii="Arial"/>
                <w:i/>
                <w:sz w:val="19"/>
              </w:rPr>
              <w:t>NWSSP</w:t>
            </w:r>
            <w:r>
              <w:rPr>
                <w:rFonts w:ascii="Arial"/>
                <w:i/>
                <w:spacing w:val="-13"/>
                <w:sz w:val="19"/>
              </w:rPr>
              <w:t> </w:t>
            </w:r>
            <w:r>
              <w:rPr>
                <w:rFonts w:ascii="Arial"/>
                <w:i/>
                <w:sz w:val="19"/>
              </w:rPr>
              <w:t>HQ,</w:t>
            </w:r>
            <w:r>
              <w:rPr>
                <w:rFonts w:ascii="Arial"/>
                <w:i/>
                <w:spacing w:val="-13"/>
                <w:sz w:val="19"/>
              </w:rPr>
              <w:t> </w:t>
            </w:r>
            <w:r>
              <w:rPr>
                <w:rFonts w:ascii="Arial"/>
                <w:i/>
                <w:sz w:val="19"/>
              </w:rPr>
              <w:t>Unit</w:t>
            </w:r>
            <w:r>
              <w:rPr>
                <w:rFonts w:ascii="Arial"/>
                <w:i/>
                <w:spacing w:val="-13"/>
                <w:sz w:val="19"/>
              </w:rPr>
              <w:t> </w:t>
            </w:r>
            <w:r>
              <w:rPr>
                <w:rFonts w:ascii="Arial"/>
                <w:i/>
                <w:sz w:val="19"/>
              </w:rPr>
              <w:t>4/5</w:t>
            </w:r>
          </w:p>
          <w:p>
            <w:pPr>
              <w:pStyle w:val="TableParagraph"/>
              <w:ind w:left="334" w:right="322" w:hanging="1"/>
              <w:jc w:val="center"/>
              <w:rPr>
                <w:rFonts w:ascii="Arial"/>
                <w:i/>
                <w:sz w:val="19"/>
              </w:rPr>
            </w:pPr>
            <w:r>
              <w:rPr>
                <w:rFonts w:ascii="Arial"/>
                <w:i/>
                <w:sz w:val="19"/>
              </w:rPr>
              <w:t>Charnwood Court, Heol</w:t>
            </w:r>
            <w:r>
              <w:rPr>
                <w:rFonts w:ascii="Arial"/>
                <w:i/>
                <w:sz w:val="19"/>
              </w:rPr>
              <w:t> Billingsley,</w:t>
            </w:r>
            <w:r>
              <w:rPr>
                <w:rFonts w:ascii="Arial"/>
                <w:i/>
                <w:spacing w:val="-14"/>
                <w:sz w:val="19"/>
              </w:rPr>
              <w:t> </w:t>
            </w:r>
            <w:r>
              <w:rPr>
                <w:rFonts w:ascii="Arial"/>
                <w:i/>
                <w:sz w:val="19"/>
              </w:rPr>
              <w:t>Parc</w:t>
            </w:r>
            <w:r>
              <w:rPr>
                <w:rFonts w:ascii="Arial"/>
                <w:i/>
                <w:spacing w:val="-13"/>
                <w:sz w:val="19"/>
              </w:rPr>
              <w:t> </w:t>
            </w:r>
            <w:r>
              <w:rPr>
                <w:rFonts w:ascii="Arial"/>
                <w:i/>
                <w:sz w:val="19"/>
              </w:rPr>
              <w:t>Nantgarw,</w:t>
            </w:r>
          </w:p>
          <w:p>
            <w:pPr>
              <w:pStyle w:val="TableParagraph"/>
              <w:ind w:left="232" w:right="223"/>
              <w:jc w:val="center"/>
              <w:rPr>
                <w:rFonts w:ascii="Arial"/>
                <w:i/>
                <w:sz w:val="19"/>
              </w:rPr>
            </w:pPr>
            <w:r>
              <w:rPr>
                <w:rFonts w:ascii="Arial"/>
                <w:i/>
                <w:sz w:val="19"/>
              </w:rPr>
              <w:t>Cardiff,</w:t>
            </w:r>
            <w:r>
              <w:rPr>
                <w:rFonts w:ascii="Arial"/>
                <w:i/>
                <w:spacing w:val="-5"/>
                <w:sz w:val="19"/>
              </w:rPr>
              <w:t> </w:t>
            </w:r>
            <w:r>
              <w:rPr>
                <w:rFonts w:ascii="Arial"/>
                <w:i/>
                <w:sz w:val="19"/>
              </w:rPr>
              <w:t>CF15</w:t>
            </w:r>
            <w:r>
              <w:rPr>
                <w:rFonts w:ascii="Arial"/>
                <w:i/>
                <w:spacing w:val="-4"/>
                <w:sz w:val="19"/>
              </w:rPr>
              <w:t> </w:t>
            </w:r>
            <w:r>
              <w:rPr>
                <w:rFonts w:ascii="Arial"/>
                <w:i/>
                <w:spacing w:val="-5"/>
                <w:sz w:val="19"/>
              </w:rPr>
              <w:t>7QZ</w:t>
            </w:r>
          </w:p>
          <w:p>
            <w:pPr>
              <w:pStyle w:val="TableParagraph"/>
              <w:rPr>
                <w:rFonts w:ascii="Arial"/>
                <w:b/>
                <w:sz w:val="19"/>
              </w:rPr>
            </w:pPr>
          </w:p>
          <w:p>
            <w:pPr>
              <w:pStyle w:val="TableParagraph"/>
              <w:ind w:left="233" w:right="223"/>
              <w:jc w:val="center"/>
              <w:rPr>
                <w:rFonts w:ascii="Arial"/>
                <w:i/>
                <w:sz w:val="19"/>
              </w:rPr>
            </w:pPr>
            <w:r>
              <w:rPr>
                <w:rFonts w:ascii="Arial"/>
                <w:i/>
                <w:sz w:val="19"/>
              </w:rPr>
              <w:t>or</w:t>
            </w:r>
            <w:r>
              <w:rPr>
                <w:rFonts w:ascii="Arial"/>
                <w:i/>
                <w:spacing w:val="-2"/>
                <w:sz w:val="19"/>
              </w:rPr>
              <w:t> </w:t>
            </w:r>
            <w:r>
              <w:rPr>
                <w:rFonts w:ascii="Arial"/>
                <w:i/>
                <w:sz w:val="19"/>
              </w:rPr>
              <w:t>by</w:t>
            </w:r>
            <w:r>
              <w:rPr>
                <w:rFonts w:ascii="Arial"/>
                <w:i/>
                <w:spacing w:val="-1"/>
                <w:sz w:val="19"/>
              </w:rPr>
              <w:t> </w:t>
            </w:r>
            <w:r>
              <w:rPr>
                <w:rFonts w:ascii="Arial"/>
                <w:i/>
                <w:sz w:val="19"/>
              </w:rPr>
              <w:t>Teams</w:t>
            </w:r>
            <w:r>
              <w:rPr>
                <w:rFonts w:ascii="Arial"/>
                <w:i/>
                <w:spacing w:val="-1"/>
                <w:sz w:val="19"/>
              </w:rPr>
              <w:t> </w:t>
            </w:r>
            <w:r>
              <w:rPr>
                <w:rFonts w:ascii="Arial"/>
                <w:i/>
                <w:sz w:val="19"/>
              </w:rPr>
              <w:t>(as </w:t>
            </w:r>
            <w:r>
              <w:rPr>
                <w:rFonts w:ascii="Arial"/>
                <w:i/>
                <w:spacing w:val="-2"/>
                <w:sz w:val="19"/>
              </w:rPr>
              <w:t>appropriate)</w:t>
            </w:r>
          </w:p>
        </w:tc>
        <w:tc>
          <w:tcPr>
            <w:tcW w:w="3069" w:type="dxa"/>
            <w:tcBorders>
              <w:bottom w:val="nil"/>
            </w:tcBorders>
          </w:tcPr>
          <w:p>
            <w:pPr>
              <w:pStyle w:val="TableParagraph"/>
              <w:spacing w:line="480" w:lineRule="auto"/>
              <w:ind w:left="119" w:right="107" w:hanging="1"/>
              <w:jc w:val="center"/>
              <w:rPr>
                <w:rFonts w:ascii="Arial"/>
                <w:sz w:val="19"/>
              </w:rPr>
            </w:pPr>
            <w:r>
              <w:rPr>
                <w:rFonts w:ascii="Arial"/>
                <w:sz w:val="19"/>
              </w:rPr>
              <w:t>Minutes &amp; Matters Arising External</w:t>
            </w:r>
            <w:r>
              <w:rPr>
                <w:rFonts w:ascii="Arial"/>
                <w:spacing w:val="-13"/>
                <w:sz w:val="19"/>
              </w:rPr>
              <w:t> </w:t>
            </w:r>
            <w:r>
              <w:rPr>
                <w:rFonts w:ascii="Arial"/>
                <w:sz w:val="19"/>
              </w:rPr>
              <w:t>Audit</w:t>
            </w:r>
            <w:r>
              <w:rPr>
                <w:rFonts w:ascii="Arial"/>
                <w:spacing w:val="-13"/>
                <w:sz w:val="19"/>
              </w:rPr>
              <w:t> </w:t>
            </w:r>
            <w:r>
              <w:rPr>
                <w:rFonts w:ascii="Arial"/>
                <w:sz w:val="19"/>
              </w:rPr>
              <w:t>Position</w:t>
            </w:r>
            <w:r>
              <w:rPr>
                <w:rFonts w:ascii="Arial"/>
                <w:spacing w:val="-13"/>
                <w:sz w:val="19"/>
              </w:rPr>
              <w:t> </w:t>
            </w:r>
            <w:r>
              <w:rPr>
                <w:rFonts w:ascii="Arial"/>
                <w:sz w:val="19"/>
              </w:rPr>
              <w:t>Statement Internal Audit Progress Report</w:t>
            </w:r>
          </w:p>
          <w:p>
            <w:pPr>
              <w:pStyle w:val="TableParagraph"/>
              <w:ind w:left="168" w:right="156"/>
              <w:jc w:val="center"/>
              <w:rPr>
                <w:rFonts w:ascii="Arial"/>
                <w:sz w:val="19"/>
              </w:rPr>
            </w:pPr>
            <w:r>
              <w:rPr>
                <w:rFonts w:ascii="Arial"/>
                <w:sz w:val="19"/>
              </w:rPr>
              <w:t>Counter</w:t>
            </w:r>
            <w:r>
              <w:rPr>
                <w:rFonts w:ascii="Arial"/>
                <w:spacing w:val="-14"/>
                <w:sz w:val="19"/>
              </w:rPr>
              <w:t> </w:t>
            </w:r>
            <w:r>
              <w:rPr>
                <w:rFonts w:ascii="Arial"/>
                <w:sz w:val="19"/>
              </w:rPr>
              <w:t>Fraud</w:t>
            </w:r>
            <w:r>
              <w:rPr>
                <w:rFonts w:ascii="Arial"/>
                <w:spacing w:val="-13"/>
                <w:sz w:val="19"/>
              </w:rPr>
              <w:t> </w:t>
            </w:r>
            <w:r>
              <w:rPr>
                <w:rFonts w:ascii="Arial"/>
                <w:sz w:val="19"/>
              </w:rPr>
              <w:t>Position </w:t>
            </w:r>
            <w:r>
              <w:rPr>
                <w:rFonts w:ascii="Arial"/>
                <w:spacing w:val="-2"/>
                <w:sz w:val="19"/>
              </w:rPr>
              <w:t>Statement</w:t>
            </w:r>
          </w:p>
          <w:p>
            <w:pPr>
              <w:pStyle w:val="TableParagraph"/>
              <w:spacing w:before="11"/>
              <w:rPr>
                <w:rFonts w:ascii="Arial"/>
                <w:b/>
                <w:sz w:val="18"/>
              </w:rPr>
            </w:pPr>
          </w:p>
          <w:p>
            <w:pPr>
              <w:pStyle w:val="TableParagraph"/>
              <w:ind w:left="165" w:right="156"/>
              <w:jc w:val="center"/>
              <w:rPr>
                <w:rFonts w:ascii="Arial"/>
                <w:sz w:val="19"/>
              </w:rPr>
            </w:pPr>
            <w:r>
              <w:rPr>
                <w:rFonts w:ascii="Arial"/>
                <w:sz w:val="19"/>
              </w:rPr>
              <w:t>NWSSP</w:t>
            </w:r>
            <w:r>
              <w:rPr>
                <w:rFonts w:ascii="Arial"/>
                <w:spacing w:val="-5"/>
                <w:sz w:val="19"/>
              </w:rPr>
              <w:t> </w:t>
            </w:r>
            <w:r>
              <w:rPr>
                <w:rFonts w:ascii="Arial"/>
                <w:spacing w:val="-2"/>
                <w:sz w:val="19"/>
              </w:rPr>
              <w:t>Update</w:t>
            </w:r>
          </w:p>
        </w:tc>
        <w:tc>
          <w:tcPr>
            <w:tcW w:w="3069" w:type="dxa"/>
            <w:tcBorders>
              <w:bottom w:val="nil"/>
            </w:tcBorders>
          </w:tcPr>
          <w:p>
            <w:pPr>
              <w:pStyle w:val="TableParagraph"/>
              <w:ind w:left="165" w:right="156"/>
              <w:jc w:val="center"/>
              <w:rPr>
                <w:rFonts w:ascii="Arial"/>
                <w:b/>
                <w:sz w:val="19"/>
              </w:rPr>
            </w:pPr>
            <w:r>
              <w:rPr>
                <w:rFonts w:ascii="Arial"/>
                <w:b/>
                <w:sz w:val="19"/>
              </w:rPr>
              <w:t>External </w:t>
            </w:r>
            <w:r>
              <w:rPr>
                <w:rFonts w:ascii="Arial"/>
                <w:b/>
                <w:spacing w:val="-2"/>
                <w:sz w:val="19"/>
              </w:rPr>
              <w:t>Audit</w:t>
            </w:r>
          </w:p>
          <w:p>
            <w:pPr>
              <w:pStyle w:val="TableParagraph"/>
              <w:ind w:left="169" w:right="156"/>
              <w:jc w:val="center"/>
              <w:rPr>
                <w:rFonts w:ascii="Arial"/>
                <w:sz w:val="19"/>
              </w:rPr>
            </w:pPr>
            <w:r>
              <w:rPr>
                <w:rFonts w:ascii="Arial"/>
                <w:sz w:val="19"/>
              </w:rPr>
              <w:t>Audit</w:t>
            </w:r>
            <w:r>
              <w:rPr>
                <w:rFonts w:ascii="Arial"/>
                <w:spacing w:val="-13"/>
                <w:sz w:val="19"/>
              </w:rPr>
              <w:t> </w:t>
            </w:r>
            <w:r>
              <w:rPr>
                <w:rFonts w:ascii="Arial"/>
                <w:sz w:val="19"/>
              </w:rPr>
              <w:t>Wales</w:t>
            </w:r>
            <w:r>
              <w:rPr>
                <w:rFonts w:ascii="Arial"/>
                <w:spacing w:val="-13"/>
                <w:sz w:val="19"/>
              </w:rPr>
              <w:t> </w:t>
            </w:r>
            <w:r>
              <w:rPr>
                <w:rFonts w:ascii="Arial"/>
                <w:sz w:val="19"/>
              </w:rPr>
              <w:t>Office</w:t>
            </w:r>
            <w:r>
              <w:rPr>
                <w:rFonts w:ascii="Arial"/>
                <w:spacing w:val="-13"/>
                <w:sz w:val="19"/>
              </w:rPr>
              <w:t> </w:t>
            </w:r>
            <w:r>
              <w:rPr>
                <w:rFonts w:ascii="Arial"/>
                <w:sz w:val="19"/>
              </w:rPr>
              <w:t>Proposed Audit Work</w:t>
            </w:r>
          </w:p>
          <w:p>
            <w:pPr>
              <w:pStyle w:val="TableParagraph"/>
              <w:spacing w:before="11"/>
              <w:rPr>
                <w:rFonts w:ascii="Arial"/>
                <w:b/>
                <w:sz w:val="18"/>
              </w:rPr>
            </w:pPr>
          </w:p>
          <w:p>
            <w:pPr>
              <w:pStyle w:val="TableParagraph"/>
              <w:ind w:left="166" w:right="156"/>
              <w:jc w:val="center"/>
              <w:rPr>
                <w:rFonts w:ascii="Arial"/>
                <w:b/>
                <w:sz w:val="19"/>
              </w:rPr>
            </w:pPr>
            <w:r>
              <w:rPr>
                <w:rFonts w:ascii="Arial"/>
                <w:b/>
                <w:sz w:val="19"/>
              </w:rPr>
              <w:t>Internal </w:t>
            </w:r>
            <w:r>
              <w:rPr>
                <w:rFonts w:ascii="Arial"/>
                <w:b/>
                <w:spacing w:val="-2"/>
                <w:sz w:val="19"/>
              </w:rPr>
              <w:t>Audit</w:t>
            </w:r>
          </w:p>
          <w:p>
            <w:pPr>
              <w:pStyle w:val="TableParagraph"/>
              <w:ind w:left="168" w:right="156"/>
              <w:jc w:val="center"/>
              <w:rPr>
                <w:rFonts w:ascii="Arial"/>
                <w:sz w:val="19"/>
              </w:rPr>
            </w:pPr>
            <w:r>
              <w:rPr>
                <w:rFonts w:ascii="Arial"/>
                <w:sz w:val="19"/>
              </w:rPr>
              <w:t>As</w:t>
            </w:r>
            <w:r>
              <w:rPr>
                <w:rFonts w:ascii="Arial"/>
                <w:spacing w:val="-7"/>
                <w:sz w:val="19"/>
              </w:rPr>
              <w:t> </w:t>
            </w:r>
            <w:r>
              <w:rPr>
                <w:rFonts w:ascii="Arial"/>
                <w:sz w:val="19"/>
              </w:rPr>
              <w:t>outlined</w:t>
            </w:r>
            <w:r>
              <w:rPr>
                <w:rFonts w:ascii="Arial"/>
                <w:spacing w:val="-8"/>
                <w:sz w:val="19"/>
              </w:rPr>
              <w:t> </w:t>
            </w:r>
            <w:r>
              <w:rPr>
                <w:rFonts w:ascii="Arial"/>
                <w:sz w:val="19"/>
              </w:rPr>
              <w:t>in</w:t>
            </w:r>
            <w:r>
              <w:rPr>
                <w:rFonts w:ascii="Arial"/>
                <w:spacing w:val="-8"/>
                <w:sz w:val="19"/>
              </w:rPr>
              <w:t> </w:t>
            </w:r>
            <w:r>
              <w:rPr>
                <w:rFonts w:ascii="Arial"/>
                <w:sz w:val="19"/>
              </w:rPr>
              <w:t>the</w:t>
            </w:r>
            <w:r>
              <w:rPr>
                <w:rFonts w:ascii="Arial"/>
                <w:spacing w:val="-8"/>
                <w:sz w:val="19"/>
              </w:rPr>
              <w:t> </w:t>
            </w:r>
            <w:r>
              <w:rPr>
                <w:rFonts w:ascii="Arial"/>
                <w:sz w:val="19"/>
              </w:rPr>
              <w:t>Internal</w:t>
            </w:r>
            <w:r>
              <w:rPr>
                <w:rFonts w:ascii="Arial"/>
                <w:spacing w:val="-8"/>
                <w:sz w:val="19"/>
              </w:rPr>
              <w:t> </w:t>
            </w:r>
            <w:r>
              <w:rPr>
                <w:rFonts w:ascii="Arial"/>
                <w:sz w:val="19"/>
              </w:rPr>
              <w:t>Audit Operational Plan</w:t>
            </w:r>
          </w:p>
        </w:tc>
        <w:tc>
          <w:tcPr>
            <w:tcW w:w="3069" w:type="dxa"/>
            <w:tcBorders>
              <w:bottom w:val="nil"/>
            </w:tcBorders>
          </w:tcPr>
          <w:p>
            <w:pPr>
              <w:pStyle w:val="TableParagraph"/>
              <w:ind w:left="166" w:right="156"/>
              <w:jc w:val="center"/>
              <w:rPr>
                <w:rFonts w:ascii="Arial"/>
                <w:sz w:val="19"/>
              </w:rPr>
            </w:pPr>
            <w:r>
              <w:rPr>
                <w:rFonts w:ascii="Arial"/>
                <w:sz w:val="19"/>
              </w:rPr>
              <w:t>Governance </w:t>
            </w:r>
            <w:r>
              <w:rPr>
                <w:rFonts w:ascii="Arial"/>
                <w:spacing w:val="-2"/>
                <w:sz w:val="19"/>
              </w:rPr>
              <w:t>Matters</w:t>
            </w:r>
          </w:p>
          <w:p>
            <w:pPr>
              <w:pStyle w:val="TableParagraph"/>
              <w:spacing w:before="11"/>
              <w:rPr>
                <w:rFonts w:ascii="Arial"/>
                <w:b/>
                <w:sz w:val="18"/>
              </w:rPr>
            </w:pPr>
          </w:p>
          <w:p>
            <w:pPr>
              <w:pStyle w:val="TableParagraph"/>
              <w:ind w:left="168" w:right="156"/>
              <w:jc w:val="center"/>
              <w:rPr>
                <w:rFonts w:ascii="Arial"/>
                <w:sz w:val="19"/>
              </w:rPr>
            </w:pPr>
            <w:r>
              <w:rPr>
                <w:rFonts w:ascii="Arial"/>
                <w:sz w:val="19"/>
              </w:rPr>
              <w:t>Tracking of Audit </w:t>
            </w:r>
            <w:r>
              <w:rPr>
                <w:rFonts w:ascii="Arial"/>
                <w:spacing w:val="-2"/>
                <w:sz w:val="19"/>
              </w:rPr>
              <w:t>Recommendations</w:t>
            </w:r>
          </w:p>
          <w:p>
            <w:pPr>
              <w:pStyle w:val="TableParagraph"/>
              <w:rPr>
                <w:rFonts w:ascii="Arial"/>
                <w:b/>
                <w:sz w:val="19"/>
              </w:rPr>
            </w:pPr>
          </w:p>
          <w:p>
            <w:pPr>
              <w:pStyle w:val="TableParagraph"/>
              <w:ind w:left="165" w:right="156"/>
              <w:jc w:val="center"/>
              <w:rPr>
                <w:rFonts w:ascii="Arial"/>
                <w:sz w:val="19"/>
              </w:rPr>
            </w:pPr>
            <w:r>
              <w:rPr>
                <w:rFonts w:ascii="Arial"/>
                <w:sz w:val="19"/>
              </w:rPr>
              <w:t>Corporate</w:t>
            </w:r>
            <w:r>
              <w:rPr>
                <w:rFonts w:ascii="Arial"/>
                <w:spacing w:val="-4"/>
                <w:sz w:val="19"/>
              </w:rPr>
              <w:t> </w:t>
            </w:r>
            <w:r>
              <w:rPr>
                <w:rFonts w:ascii="Arial"/>
                <w:sz w:val="19"/>
              </w:rPr>
              <w:t>Risk</w:t>
            </w:r>
            <w:r>
              <w:rPr>
                <w:rFonts w:ascii="Arial"/>
                <w:spacing w:val="-4"/>
                <w:sz w:val="19"/>
              </w:rPr>
              <w:t> </w:t>
            </w:r>
            <w:r>
              <w:rPr>
                <w:rFonts w:ascii="Arial"/>
                <w:spacing w:val="-2"/>
                <w:sz w:val="19"/>
              </w:rPr>
              <w:t>Register</w:t>
            </w:r>
          </w:p>
          <w:p>
            <w:pPr>
              <w:pStyle w:val="TableParagraph"/>
              <w:rPr>
                <w:rFonts w:ascii="Arial"/>
                <w:b/>
                <w:sz w:val="19"/>
              </w:rPr>
            </w:pPr>
          </w:p>
          <w:p>
            <w:pPr>
              <w:pStyle w:val="TableParagraph"/>
              <w:ind w:left="166" w:right="154" w:hanging="1"/>
              <w:jc w:val="center"/>
              <w:rPr>
                <w:rFonts w:ascii="Arial"/>
                <w:sz w:val="19"/>
              </w:rPr>
            </w:pPr>
            <w:r>
              <w:rPr>
                <w:rFonts w:ascii="Arial"/>
                <w:sz w:val="19"/>
              </w:rPr>
              <w:t>Review of Standing Orders for the</w:t>
            </w:r>
            <w:r>
              <w:rPr>
                <w:rFonts w:ascii="Arial"/>
                <w:spacing w:val="-13"/>
                <w:sz w:val="19"/>
              </w:rPr>
              <w:t> </w:t>
            </w:r>
            <w:r>
              <w:rPr>
                <w:rFonts w:ascii="Arial"/>
                <w:sz w:val="19"/>
              </w:rPr>
              <w:t>Shared</w:t>
            </w:r>
            <w:r>
              <w:rPr>
                <w:rFonts w:ascii="Arial"/>
                <w:spacing w:val="-13"/>
                <w:sz w:val="19"/>
              </w:rPr>
              <w:t> </w:t>
            </w:r>
            <w:r>
              <w:rPr>
                <w:rFonts w:ascii="Arial"/>
                <w:sz w:val="19"/>
              </w:rPr>
              <w:t>Services</w:t>
            </w:r>
            <w:r>
              <w:rPr>
                <w:rFonts w:ascii="Arial"/>
                <w:spacing w:val="-13"/>
                <w:sz w:val="19"/>
              </w:rPr>
              <w:t> </w:t>
            </w:r>
            <w:r>
              <w:rPr>
                <w:rFonts w:ascii="Arial"/>
                <w:sz w:val="19"/>
              </w:rPr>
              <w:t>Partnership </w:t>
            </w:r>
            <w:r>
              <w:rPr>
                <w:rFonts w:ascii="Arial"/>
                <w:spacing w:val="-2"/>
                <w:sz w:val="19"/>
              </w:rPr>
              <w:t>Committee</w:t>
            </w:r>
          </w:p>
        </w:tc>
        <w:tc>
          <w:tcPr>
            <w:tcW w:w="3068" w:type="dxa"/>
            <w:tcBorders>
              <w:bottom w:val="nil"/>
            </w:tcBorders>
          </w:tcPr>
          <w:p>
            <w:pPr>
              <w:pStyle w:val="TableParagraph"/>
              <w:ind w:left="108" w:right="96"/>
              <w:jc w:val="center"/>
              <w:rPr>
                <w:rFonts w:ascii="Arial"/>
                <w:sz w:val="19"/>
              </w:rPr>
            </w:pPr>
            <w:r>
              <w:rPr>
                <w:rFonts w:ascii="Arial"/>
                <w:sz w:val="19"/>
              </w:rPr>
              <w:t>Pre-meet between Audit Committee Chair, Independent Members, Internal and External Auditors</w:t>
            </w:r>
            <w:r>
              <w:rPr>
                <w:rFonts w:ascii="Arial"/>
                <w:spacing w:val="-9"/>
                <w:sz w:val="19"/>
              </w:rPr>
              <w:t> </w:t>
            </w:r>
            <w:r>
              <w:rPr>
                <w:rFonts w:ascii="Arial"/>
                <w:sz w:val="19"/>
              </w:rPr>
              <w:t>and</w:t>
            </w:r>
            <w:r>
              <w:rPr>
                <w:rFonts w:ascii="Arial"/>
                <w:spacing w:val="-10"/>
                <w:sz w:val="19"/>
              </w:rPr>
              <w:t> </w:t>
            </w:r>
            <w:r>
              <w:rPr>
                <w:rFonts w:ascii="Arial"/>
                <w:sz w:val="19"/>
              </w:rPr>
              <w:t>Local</w:t>
            </w:r>
            <w:r>
              <w:rPr>
                <w:rFonts w:ascii="Arial"/>
                <w:spacing w:val="-10"/>
                <w:sz w:val="19"/>
              </w:rPr>
              <w:t> </w:t>
            </w:r>
            <w:r>
              <w:rPr>
                <w:rFonts w:ascii="Arial"/>
                <w:sz w:val="19"/>
              </w:rPr>
              <w:t>Counter</w:t>
            </w:r>
            <w:r>
              <w:rPr>
                <w:rFonts w:ascii="Arial"/>
                <w:spacing w:val="-10"/>
                <w:sz w:val="19"/>
              </w:rPr>
              <w:t> </w:t>
            </w:r>
            <w:r>
              <w:rPr>
                <w:rFonts w:ascii="Arial"/>
                <w:sz w:val="19"/>
              </w:rPr>
              <w:t>Fraud</w:t>
            </w:r>
          </w:p>
          <w:p>
            <w:pPr>
              <w:pStyle w:val="TableParagraph"/>
              <w:spacing w:before="11"/>
              <w:rPr>
                <w:rFonts w:ascii="Arial"/>
                <w:b/>
                <w:sz w:val="18"/>
              </w:rPr>
            </w:pPr>
          </w:p>
          <w:p>
            <w:pPr>
              <w:pStyle w:val="TableParagraph"/>
              <w:spacing w:line="480" w:lineRule="auto"/>
              <w:ind w:left="187" w:right="20" w:firstLine="290"/>
              <w:rPr>
                <w:rFonts w:ascii="Arial"/>
                <w:sz w:val="19"/>
              </w:rPr>
            </w:pPr>
            <w:r>
              <w:rPr>
                <w:rFonts w:ascii="Arial"/>
                <w:sz w:val="19"/>
              </w:rPr>
              <w:t>Health &amp; Care Standards Welsh</w:t>
            </w:r>
            <w:r>
              <w:rPr>
                <w:rFonts w:ascii="Arial"/>
                <w:spacing w:val="-13"/>
                <w:sz w:val="19"/>
              </w:rPr>
              <w:t> </w:t>
            </w:r>
            <w:r>
              <w:rPr>
                <w:rFonts w:ascii="Arial"/>
                <w:sz w:val="19"/>
              </w:rPr>
              <w:t>Language</w:t>
            </w:r>
            <w:r>
              <w:rPr>
                <w:rFonts w:ascii="Arial"/>
                <w:spacing w:val="-13"/>
                <w:sz w:val="19"/>
              </w:rPr>
              <w:t> </w:t>
            </w:r>
            <w:r>
              <w:rPr>
                <w:rFonts w:ascii="Arial"/>
                <w:sz w:val="19"/>
              </w:rPr>
              <w:t>Annual</w:t>
            </w:r>
            <w:r>
              <w:rPr>
                <w:rFonts w:ascii="Arial"/>
                <w:spacing w:val="-13"/>
                <w:sz w:val="19"/>
              </w:rPr>
              <w:t> </w:t>
            </w:r>
            <w:r>
              <w:rPr>
                <w:rFonts w:ascii="Arial"/>
                <w:sz w:val="19"/>
              </w:rPr>
              <w:t>Report</w:t>
            </w:r>
          </w:p>
        </w:tc>
      </w:tr>
      <w:tr>
        <w:trPr>
          <w:trHeight w:val="1198" w:hRule="atLeast"/>
        </w:trPr>
        <w:tc>
          <w:tcPr>
            <w:tcW w:w="2929" w:type="dxa"/>
            <w:tcBorders>
              <w:top w:val="nil"/>
            </w:tcBorders>
            <w:shd w:val="clear" w:color="auto" w:fill="8DB3E2"/>
          </w:tcPr>
          <w:p>
            <w:pPr>
              <w:pStyle w:val="TableParagraph"/>
              <w:rPr>
                <w:rFonts w:ascii="Times New Roman"/>
                <w:sz w:val="18"/>
              </w:rPr>
            </w:pPr>
          </w:p>
        </w:tc>
        <w:tc>
          <w:tcPr>
            <w:tcW w:w="3069" w:type="dxa"/>
            <w:tcBorders>
              <w:top w:val="nil"/>
            </w:tcBorders>
          </w:tcPr>
          <w:p>
            <w:pPr>
              <w:pStyle w:val="TableParagraph"/>
              <w:rPr>
                <w:rFonts w:ascii="Times New Roman"/>
                <w:sz w:val="18"/>
              </w:rPr>
            </w:pPr>
          </w:p>
        </w:tc>
        <w:tc>
          <w:tcPr>
            <w:tcW w:w="3069" w:type="dxa"/>
            <w:tcBorders>
              <w:top w:val="nil"/>
            </w:tcBorders>
          </w:tcPr>
          <w:p>
            <w:pPr>
              <w:pStyle w:val="TableParagraph"/>
              <w:rPr>
                <w:rFonts w:ascii="Times New Roman"/>
                <w:sz w:val="18"/>
              </w:rPr>
            </w:pPr>
          </w:p>
        </w:tc>
        <w:tc>
          <w:tcPr>
            <w:tcW w:w="3069" w:type="dxa"/>
            <w:tcBorders>
              <w:top w:val="nil"/>
            </w:tcBorders>
          </w:tcPr>
          <w:p>
            <w:pPr>
              <w:pStyle w:val="TableParagraph"/>
              <w:spacing w:before="106"/>
              <w:ind w:left="441" w:right="429" w:hanging="1"/>
              <w:jc w:val="center"/>
              <w:rPr>
                <w:rFonts w:ascii="Arial"/>
                <w:sz w:val="19"/>
              </w:rPr>
            </w:pPr>
            <w:r>
              <w:rPr>
                <w:rFonts w:ascii="Arial"/>
                <w:sz w:val="19"/>
              </w:rPr>
              <w:t>Review of Risk Appetite Statement</w:t>
            </w:r>
            <w:r>
              <w:rPr>
                <w:rFonts w:ascii="Arial"/>
                <w:spacing w:val="-14"/>
                <w:sz w:val="19"/>
              </w:rPr>
              <w:t> </w:t>
            </w:r>
            <w:r>
              <w:rPr>
                <w:rFonts w:ascii="Arial"/>
                <w:sz w:val="19"/>
              </w:rPr>
              <w:t>and</w:t>
            </w:r>
            <w:r>
              <w:rPr>
                <w:rFonts w:ascii="Arial"/>
                <w:spacing w:val="-13"/>
                <w:sz w:val="19"/>
              </w:rPr>
              <w:t> </w:t>
            </w:r>
            <w:r>
              <w:rPr>
                <w:rFonts w:ascii="Arial"/>
                <w:sz w:val="19"/>
              </w:rPr>
              <w:t>Assurance </w:t>
            </w:r>
            <w:r>
              <w:rPr>
                <w:rFonts w:ascii="Arial"/>
                <w:spacing w:val="-2"/>
                <w:sz w:val="19"/>
              </w:rPr>
              <w:t>Mapping</w:t>
            </w:r>
          </w:p>
        </w:tc>
        <w:tc>
          <w:tcPr>
            <w:tcW w:w="3068" w:type="dxa"/>
            <w:tcBorders>
              <w:top w:val="nil"/>
            </w:tcBorders>
          </w:tcPr>
          <w:p>
            <w:pPr>
              <w:pStyle w:val="TableParagraph"/>
              <w:rPr>
                <w:rFonts w:ascii="Times New Roman"/>
                <w:sz w:val="18"/>
              </w:rPr>
            </w:pPr>
          </w:p>
        </w:tc>
      </w:tr>
    </w:tbl>
    <w:sectPr>
      <w:footerReference w:type="default" r:id="rId225"/>
      <w:pgSz w:w="16840" w:h="11910" w:orient="landscape"/>
      <w:pgMar w:footer="1043" w:header="0" w:top="200" w:bottom="1240" w:left="220" w:right="5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Verdana">
    <w:altName w:val="Verdana"/>
    <w:charset w:val="0"/>
    <w:family w:val="swiss"/>
    <w:pitch w:val="variable"/>
  </w:font>
  <w:font w:name="Symbol">
    <w:altName w:val="Symbol"/>
    <w:charset w:val="2"/>
    <w:family w:val="roman"/>
    <w:pitch w:val="variable"/>
  </w:font>
  <w:font w:name="Cambria">
    <w:altName w:val="Cambria"/>
    <w:charset w:val="0"/>
    <w:family w:val="roman"/>
    <w:pitch w:val="variable"/>
  </w:font>
  <w:font w:name="Wingdings 3">
    <w:altName w:val="Wingdings 3"/>
    <w:charset w:val="2"/>
    <w:family w:val="roman"/>
    <w:pitch w:val="variable"/>
  </w:font>
  <w:font w:name="Wingdings 2">
    <w:altName w:val="Wingdings 2"/>
    <w:charset w:val="2"/>
    <w:family w:val="roman"/>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pt;margin-top:822.336426pt;width:28.2pt;height:19.7pt;mso-position-horizontal-relative:page;mso-position-vertical-relative:page;z-index:-24191488" type="#_x0000_t202" id="docshape10" filled="false" stroked="false">
          <v:textbox inset="0,0,0,0">
            <w:txbxContent>
              <w:p>
                <w:pPr>
                  <w:spacing w:before="21"/>
                  <w:ind w:left="60" w:right="0" w:firstLine="0"/>
                  <w:jc w:val="left"/>
                  <w:rPr>
                    <w:sz w:val="29"/>
                  </w:rPr>
                </w:pPr>
                <w:r>
                  <w:rPr>
                    <w:spacing w:val="-5"/>
                    <w:sz w:val="29"/>
                  </w:rPr>
                  <w:fldChar w:fldCharType="begin"/>
                </w:r>
                <w:r>
                  <w:rPr>
                    <w:spacing w:val="-5"/>
                    <w:sz w:val="29"/>
                  </w:rPr>
                  <w:instrText> PAGE </w:instrText>
                </w:r>
                <w:r>
                  <w:rPr>
                    <w:spacing w:val="-5"/>
                    <w:sz w:val="29"/>
                  </w:rPr>
                  <w:fldChar w:fldCharType="separate"/>
                </w:r>
                <w:r>
                  <w:rPr>
                    <w:spacing w:val="-5"/>
                    <w:sz w:val="29"/>
                  </w:rPr>
                  <w:t>1</w:t>
                </w:r>
                <w:r>
                  <w:rPr>
                    <w:spacing w:val="-5"/>
                    <w:sz w:val="29"/>
                  </w:rPr>
                  <w:fldChar w:fldCharType="end"/>
                </w:r>
                <w:r>
                  <w:rPr>
                    <w:spacing w:val="-5"/>
                    <w:sz w:val="29"/>
                  </w:rPr>
                  <w:t>/7</w:t>
                </w:r>
              </w:p>
            </w:txbxContent>
          </v:textbox>
          <w10:wrap type="none"/>
        </v:shape>
      </w:pict>
    </w:r>
    <w:r>
      <w:rPr/>
      <w:pict>
        <v:shape style="position:absolute;margin-left:549.041016pt;margin-top:822.336426pt;width:46pt;height:19.7pt;mso-position-horizontal-relative:page;mso-position-vertical-relative:page;z-index:-24190976" type="#_x0000_t202" id="docshape11" filled="false" stroked="false">
          <v:textbox inset="0,0,0,0">
            <w:txbxContent>
              <w:p>
                <w:pPr>
                  <w:spacing w:before="21"/>
                  <w:ind w:left="60" w:right="0" w:firstLine="0"/>
                  <w:jc w:val="left"/>
                  <w:rPr>
                    <w:sz w:val="29"/>
                  </w:rPr>
                </w:pPr>
                <w:r>
                  <w:rPr>
                    <w:spacing w:val="-5"/>
                    <w:sz w:val="29"/>
                  </w:rPr>
                  <w:fldChar w:fldCharType="begin"/>
                </w:r>
                <w:r>
                  <w:rPr>
                    <w:spacing w:val="-5"/>
                    <w:sz w:val="29"/>
                  </w:rPr>
                  <w:instrText> PAGE </w:instrText>
                </w:r>
                <w:r>
                  <w:rPr>
                    <w:spacing w:val="-5"/>
                    <w:sz w:val="29"/>
                  </w:rPr>
                  <w:fldChar w:fldCharType="separate"/>
                </w:r>
                <w:r>
                  <w:rPr>
                    <w:spacing w:val="-5"/>
                    <w:sz w:val="29"/>
                  </w:rPr>
                  <w:t>1</w:t>
                </w:r>
                <w:r>
                  <w:rPr>
                    <w:spacing w:val="-5"/>
                    <w:sz w:val="29"/>
                  </w:rPr>
                  <w:fldChar w:fldCharType="end"/>
                </w:r>
                <w:r>
                  <w:rPr>
                    <w:spacing w:val="-5"/>
                    <w:sz w:val="29"/>
                  </w:rPr>
                  <w:t>/179</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1.040001pt;margin-top:779.615967pt;width:513.22pt;height:1.44pt;mso-position-horizontal-relative:page;mso-position-vertical-relative:page;z-index:-24176640" id="docshape44" filled="true" fillcolor="#000000" stroked="false">
          <v:fill type="solid"/>
          <w10:wrap type="none"/>
        </v:rect>
      </w:pict>
    </w:r>
    <w:r>
      <w:rPr/>
      <w:pict>
        <v:shape style="position:absolute;margin-left:41.48pt;margin-top:795.735535pt;width:229pt;height:16.6pt;mso-position-horizontal-relative:page;mso-position-vertical-relative:page;z-index:-24176128" type="#_x0000_t202" id="docshape45" filled="false" stroked="false">
          <v:textbox inset="0,0,0,0">
            <w:txbxContent>
              <w:p>
                <w:pPr>
                  <w:pStyle w:val="BodyText"/>
                  <w:spacing w:before="20"/>
                  <w:ind w:left="20"/>
                </w:pPr>
                <w:r>
                  <w:rPr/>
                  <w:t>NWSSP</w:t>
                </w:r>
                <w:r>
                  <w:rPr>
                    <w:spacing w:val="-4"/>
                  </w:rPr>
                  <w:t> </w:t>
                </w:r>
                <w:r>
                  <w:rPr/>
                  <w:t>Audit</w:t>
                </w:r>
                <w:r>
                  <w:rPr>
                    <w:spacing w:val="-2"/>
                  </w:rPr>
                  <w:t> </w:t>
                </w:r>
                <w:r>
                  <w:rPr/>
                  <w:t>and</w:t>
                </w:r>
                <w:r>
                  <w:rPr>
                    <w:spacing w:val="-2"/>
                  </w:rPr>
                  <w:t> </w:t>
                </w:r>
                <w:r>
                  <w:rPr/>
                  <w:t>Assurance</w:t>
                </w:r>
                <w:r>
                  <w:rPr>
                    <w:spacing w:val="-1"/>
                  </w:rPr>
                  <w:t> </w:t>
                </w:r>
                <w:r>
                  <w:rPr>
                    <w:spacing w:val="-2"/>
                  </w:rPr>
                  <w:t>Services</w:t>
                </w:r>
              </w:p>
            </w:txbxContent>
          </v:textbox>
          <w10:wrap type="none"/>
        </v:shape>
      </w:pict>
    </w:r>
    <w:r>
      <w:rPr/>
      <w:pict>
        <v:shape style="position:absolute;margin-left:542.460632pt;margin-top:795.735535pt;width:52.9pt;height:46.2pt;mso-position-horizontal-relative:page;mso-position-vertical-relative:page;z-index:-24175616" type="#_x0000_t202" id="docshape46" filled="false" stroked="false">
          <v:textbox inset="0,0,0,0">
            <w:txbxContent>
              <w:p>
                <w:pPr>
                  <w:pStyle w:val="BodyText"/>
                  <w:spacing w:before="20"/>
                  <w:ind w:left="53"/>
                </w:pPr>
                <w:r>
                  <w:rPr/>
                  <w:t>2</w:t>
                </w:r>
              </w:p>
              <w:p>
                <w:pPr>
                  <w:spacing w:before="239"/>
                  <w:ind w:left="20" w:right="0" w:firstLine="0"/>
                  <w:jc w:val="left"/>
                  <w:rPr>
                    <w:sz w:val="29"/>
                  </w:rPr>
                </w:pPr>
                <w:r>
                  <w:rPr>
                    <w:spacing w:val="-6"/>
                    <w:sz w:val="29"/>
                  </w:rPr>
                  <w:t>23/179</w:t>
                </w:r>
              </w:p>
            </w:txbxContent>
          </v:textbox>
          <w10:wrap type="none"/>
        </v:shape>
      </w:pict>
    </w:r>
    <w:r>
      <w:rPr/>
      <w:pict>
        <v:shape style="position:absolute;margin-left:0pt;margin-top:822.256409pt;width:26.2pt;height:19.7pt;mso-position-horizontal-relative:page;mso-position-vertical-relative:page;z-index:-24175104" type="#_x0000_t202" id="docshape47" filled="false" stroked="false">
          <v:textbox inset="0,0,0,0">
            <w:txbxContent>
              <w:p>
                <w:pPr>
                  <w:spacing w:before="21"/>
                  <w:ind w:left="20" w:right="0" w:firstLine="0"/>
                  <w:jc w:val="left"/>
                  <w:rPr>
                    <w:sz w:val="29"/>
                  </w:rPr>
                </w:pPr>
                <w:r>
                  <w:rPr>
                    <w:spacing w:val="-5"/>
                    <w:sz w:val="29"/>
                  </w:rPr>
                  <w:t>3/7</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1.040001pt;margin-top:779.615967pt;width:513.22pt;height:1.44pt;mso-position-horizontal-relative:page;mso-position-vertical-relative:page;z-index:-24174592" id="docshape49" filled="true" fillcolor="#000000" stroked="false">
          <v:fill type="solid"/>
          <w10:wrap type="none"/>
        </v:rect>
      </w:pict>
    </w:r>
    <w:r>
      <w:rPr/>
      <w:pict>
        <v:shape style="position:absolute;margin-left:41.48pt;margin-top:795.735535pt;width:229pt;height:16.6pt;mso-position-horizontal-relative:page;mso-position-vertical-relative:page;z-index:-24174080" type="#_x0000_t202" id="docshape50" filled="false" stroked="false">
          <v:textbox inset="0,0,0,0">
            <w:txbxContent>
              <w:p>
                <w:pPr>
                  <w:pStyle w:val="BodyText"/>
                  <w:spacing w:before="20"/>
                  <w:ind w:left="20"/>
                </w:pPr>
                <w:r>
                  <w:rPr/>
                  <w:t>NWSSP</w:t>
                </w:r>
                <w:r>
                  <w:rPr>
                    <w:spacing w:val="-4"/>
                  </w:rPr>
                  <w:t> </w:t>
                </w:r>
                <w:r>
                  <w:rPr/>
                  <w:t>Audit</w:t>
                </w:r>
                <w:r>
                  <w:rPr>
                    <w:spacing w:val="-2"/>
                  </w:rPr>
                  <w:t> </w:t>
                </w:r>
                <w:r>
                  <w:rPr/>
                  <w:t>and</w:t>
                </w:r>
                <w:r>
                  <w:rPr>
                    <w:spacing w:val="-2"/>
                  </w:rPr>
                  <w:t> </w:t>
                </w:r>
                <w:r>
                  <w:rPr/>
                  <w:t>Assurance</w:t>
                </w:r>
                <w:r>
                  <w:rPr>
                    <w:spacing w:val="-1"/>
                  </w:rPr>
                  <w:t> </w:t>
                </w:r>
                <w:r>
                  <w:rPr>
                    <w:spacing w:val="-2"/>
                  </w:rPr>
                  <w:t>Services</w:t>
                </w:r>
              </w:p>
            </w:txbxContent>
          </v:textbox>
          <w10:wrap type="none"/>
        </v:shape>
      </w:pict>
    </w:r>
    <w:r>
      <w:rPr/>
      <w:pict>
        <v:shape style="position:absolute;margin-left:542.140015pt;margin-top:795.735535pt;width:53.2pt;height:46.2pt;mso-position-horizontal-relative:page;mso-position-vertical-relative:page;z-index:-24173568" type="#_x0000_t202" id="docshape51" filled="false" stroked="false">
          <v:textbox inset="0,0,0,0">
            <w:txbxContent>
              <w:p>
                <w:pPr>
                  <w:pStyle w:val="BodyText"/>
                  <w:spacing w:before="20"/>
                  <w:ind w:left="60"/>
                </w:pPr>
                <w:r>
                  <w:rPr/>
                  <w:fldChar w:fldCharType="begin"/>
                </w:r>
                <w:r>
                  <w:rPr/>
                  <w:instrText> PAGE </w:instrText>
                </w:r>
                <w:r>
                  <w:rPr/>
                  <w:fldChar w:fldCharType="separate"/>
                </w:r>
                <w:r>
                  <w:rPr/>
                  <w:t>3</w:t>
                </w:r>
                <w:r>
                  <w:rPr/>
                  <w:fldChar w:fldCharType="end"/>
                </w:r>
              </w:p>
              <w:p>
                <w:pPr>
                  <w:spacing w:before="239"/>
                  <w:ind w:left="26" w:right="0" w:firstLine="0"/>
                  <w:jc w:val="left"/>
                  <w:rPr>
                    <w:sz w:val="29"/>
                  </w:rPr>
                </w:pPr>
                <w:r>
                  <w:rPr>
                    <w:spacing w:val="-6"/>
                    <w:sz w:val="29"/>
                  </w:rPr>
                  <w:t>24/179</w:t>
                </w:r>
              </w:p>
            </w:txbxContent>
          </v:textbox>
          <w10:wrap type="none"/>
        </v:shape>
      </w:pict>
    </w:r>
    <w:r>
      <w:rPr/>
      <w:pict>
        <v:shape style="position:absolute;margin-left:0pt;margin-top:822.256409pt;width:26.2pt;height:19.7pt;mso-position-horizontal-relative:page;mso-position-vertical-relative:page;z-index:-24173056" type="#_x0000_t202" id="docshape52" filled="false" stroked="false">
          <v:textbox inset="0,0,0,0">
            <w:txbxContent>
              <w:p>
                <w:pPr>
                  <w:spacing w:before="21"/>
                  <w:ind w:left="20" w:right="0" w:firstLine="0"/>
                  <w:jc w:val="left"/>
                  <w:rPr>
                    <w:sz w:val="29"/>
                  </w:rPr>
                </w:pPr>
                <w:r>
                  <w:rPr>
                    <w:spacing w:val="-5"/>
                    <w:sz w:val="29"/>
                  </w:rPr>
                  <w:t>4/7</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48pt;margin-top:795.735535pt;width:229pt;height:16.6pt;mso-position-horizontal-relative:page;mso-position-vertical-relative:page;z-index:-24172544" type="#_x0000_t202" id="docshape54" filled="false" stroked="false">
          <v:textbox inset="0,0,0,0">
            <w:txbxContent>
              <w:p>
                <w:pPr>
                  <w:pStyle w:val="BodyText"/>
                  <w:spacing w:before="20"/>
                  <w:ind w:left="20"/>
                </w:pPr>
                <w:r>
                  <w:rPr/>
                  <w:t>NWSSP</w:t>
                </w:r>
                <w:r>
                  <w:rPr>
                    <w:spacing w:val="-4"/>
                  </w:rPr>
                  <w:t> </w:t>
                </w:r>
                <w:r>
                  <w:rPr/>
                  <w:t>Audit</w:t>
                </w:r>
                <w:r>
                  <w:rPr>
                    <w:spacing w:val="-2"/>
                  </w:rPr>
                  <w:t> </w:t>
                </w:r>
                <w:r>
                  <w:rPr/>
                  <w:t>and</w:t>
                </w:r>
                <w:r>
                  <w:rPr>
                    <w:spacing w:val="-2"/>
                  </w:rPr>
                  <w:t> </w:t>
                </w:r>
                <w:r>
                  <w:rPr/>
                  <w:t>Assurance</w:t>
                </w:r>
                <w:r>
                  <w:rPr>
                    <w:spacing w:val="-1"/>
                  </w:rPr>
                  <w:t> </w:t>
                </w:r>
                <w:r>
                  <w:rPr>
                    <w:spacing w:val="-2"/>
                  </w:rPr>
                  <w:t>Services</w:t>
                </w:r>
              </w:p>
            </w:txbxContent>
          </v:textbox>
          <w10:wrap type="none"/>
        </v:shape>
      </w:pict>
    </w:r>
    <w:r>
      <w:rPr/>
      <w:pict>
        <v:shape style="position:absolute;margin-left:542.140015pt;margin-top:795.735535pt;width:53.2pt;height:46.2pt;mso-position-horizontal-relative:page;mso-position-vertical-relative:page;z-index:-24172032" type="#_x0000_t202" id="docshape55" filled="false" stroked="false">
          <v:textbox inset="0,0,0,0">
            <w:txbxContent>
              <w:p>
                <w:pPr>
                  <w:pStyle w:val="BodyText"/>
                  <w:spacing w:before="20"/>
                  <w:ind w:left="60"/>
                </w:pPr>
                <w:r>
                  <w:rPr/>
                  <w:fldChar w:fldCharType="begin"/>
                </w:r>
                <w:r>
                  <w:rPr/>
                  <w:instrText> PAGE </w:instrText>
                </w:r>
                <w:r>
                  <w:rPr/>
                  <w:fldChar w:fldCharType="separate"/>
                </w:r>
                <w:r>
                  <w:rPr/>
                  <w:t>4</w:t>
                </w:r>
                <w:r>
                  <w:rPr/>
                  <w:fldChar w:fldCharType="end"/>
                </w:r>
              </w:p>
              <w:p>
                <w:pPr>
                  <w:spacing w:before="239"/>
                  <w:ind w:left="26" w:right="0" w:firstLine="0"/>
                  <w:jc w:val="left"/>
                  <w:rPr>
                    <w:sz w:val="29"/>
                  </w:rPr>
                </w:pPr>
                <w:r>
                  <w:rPr>
                    <w:spacing w:val="-6"/>
                    <w:sz w:val="29"/>
                  </w:rPr>
                  <w:t>25/179</w:t>
                </w:r>
              </w:p>
            </w:txbxContent>
          </v:textbox>
          <w10:wrap type="none"/>
        </v:shape>
      </w:pict>
    </w:r>
    <w:r>
      <w:rPr/>
      <w:pict>
        <v:shape style="position:absolute;margin-left:0pt;margin-top:822.256409pt;width:26.2pt;height:19.7pt;mso-position-horizontal-relative:page;mso-position-vertical-relative:page;z-index:-24171520" type="#_x0000_t202" id="docshape56" filled="false" stroked="false">
          <v:textbox inset="0,0,0,0">
            <w:txbxContent>
              <w:p>
                <w:pPr>
                  <w:spacing w:before="21"/>
                  <w:ind w:left="20" w:right="0" w:firstLine="0"/>
                  <w:jc w:val="left"/>
                  <w:rPr>
                    <w:sz w:val="29"/>
                  </w:rPr>
                </w:pPr>
                <w:r>
                  <w:rPr>
                    <w:spacing w:val="-5"/>
                    <w:sz w:val="29"/>
                  </w:rPr>
                  <w:t>5/7</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0pt;margin-top:822.256409pt;width:35.1pt;height:19.7pt;mso-position-horizontal-relative:page;mso-position-vertical-relative:page;z-index:-24171008" type="#_x0000_t202" id="docshape82" filled="false" stroked="false">
          <v:textbox inset="0,0,0,0">
            <w:txbxContent>
              <w:p>
                <w:pPr>
                  <w:spacing w:before="21"/>
                  <w:ind w:left="20" w:right="0" w:firstLine="0"/>
                  <w:jc w:val="left"/>
                  <w:rPr>
                    <w:sz w:val="29"/>
                  </w:rPr>
                </w:pPr>
                <w:r>
                  <w:rPr>
                    <w:spacing w:val="-5"/>
                    <w:sz w:val="29"/>
                  </w:rPr>
                  <w:t>2/11</w:t>
                </w:r>
              </w:p>
            </w:txbxContent>
          </v:textbox>
          <w10:wrap type="none"/>
        </v:shape>
      </w:pict>
    </w:r>
    <w:r>
      <w:rPr/>
      <w:pict>
        <v:shape style="position:absolute;margin-left:540.460632pt;margin-top:822.256409pt;width:54.9pt;height:19.7pt;mso-position-horizontal-relative:page;mso-position-vertical-relative:page;z-index:-24170496" type="#_x0000_t202" id="docshape83" filled="false" stroked="false">
          <v:textbox inset="0,0,0,0">
            <w:txbxContent>
              <w:p>
                <w:pPr>
                  <w:spacing w:before="21"/>
                  <w:ind w:left="60" w:right="0" w:firstLine="0"/>
                  <w:jc w:val="left"/>
                  <w:rPr>
                    <w:sz w:val="29"/>
                  </w:rPr>
                </w:pPr>
                <w:r>
                  <w:rPr>
                    <w:spacing w:val="-6"/>
                    <w:sz w:val="29"/>
                  </w:rPr>
                  <w:fldChar w:fldCharType="begin"/>
                </w:r>
                <w:r>
                  <w:rPr>
                    <w:spacing w:val="-6"/>
                    <w:sz w:val="29"/>
                  </w:rPr>
                  <w:instrText> PAGE </w:instrText>
                </w:r>
                <w:r>
                  <w:rPr>
                    <w:spacing w:val="-6"/>
                    <w:sz w:val="29"/>
                  </w:rPr>
                  <w:fldChar w:fldCharType="separate"/>
                </w:r>
                <w:r>
                  <w:rPr>
                    <w:spacing w:val="-6"/>
                    <w:sz w:val="29"/>
                  </w:rPr>
                  <w:t>29</w:t>
                </w:r>
                <w:r>
                  <w:rPr>
                    <w:spacing w:val="-6"/>
                    <w:sz w:val="29"/>
                  </w:rPr>
                  <w:fldChar w:fldCharType="end"/>
                </w:r>
                <w:r>
                  <w:rPr>
                    <w:spacing w:val="-6"/>
                    <w:sz w:val="29"/>
                  </w:rPr>
                  <w:t>/179</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822.256409pt;width:35.1pt;height:19.7pt;mso-position-horizontal-relative:page;mso-position-vertical-relative:page;z-index:-24169984" type="#_x0000_t202" id="docshape94" filled="false" stroked="false">
          <v:textbox inset="0,0,0,0">
            <w:txbxContent>
              <w:p>
                <w:pPr>
                  <w:spacing w:before="21"/>
                  <w:ind w:left="20" w:right="0" w:firstLine="0"/>
                  <w:jc w:val="left"/>
                  <w:rPr>
                    <w:sz w:val="29"/>
                  </w:rPr>
                </w:pPr>
                <w:r>
                  <w:rPr>
                    <w:spacing w:val="-5"/>
                    <w:sz w:val="29"/>
                  </w:rPr>
                  <w:t>3/11</w:t>
                </w:r>
              </w:p>
            </w:txbxContent>
          </v:textbox>
          <w10:wrap type="none"/>
        </v:shape>
      </w:pict>
    </w:r>
    <w:r>
      <w:rPr/>
      <w:pict>
        <v:shape style="position:absolute;margin-left:542.460632pt;margin-top:822.256409pt;width:52.9pt;height:19.7pt;mso-position-horizontal-relative:page;mso-position-vertical-relative:page;z-index:-24169472" type="#_x0000_t202" id="docshape95" filled="false" stroked="false">
          <v:textbox inset="0,0,0,0">
            <w:txbxContent>
              <w:p>
                <w:pPr>
                  <w:spacing w:before="21"/>
                  <w:ind w:left="20" w:right="0" w:firstLine="0"/>
                  <w:jc w:val="left"/>
                  <w:rPr>
                    <w:sz w:val="29"/>
                  </w:rPr>
                </w:pPr>
                <w:r>
                  <w:rPr>
                    <w:spacing w:val="-6"/>
                    <w:sz w:val="29"/>
                  </w:rPr>
                  <w:t>30/179</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320002pt;margin-top:793.415955pt;width:531.7pt;height:1.45pt;mso-position-horizontal-relative:page;mso-position-vertical-relative:page;z-index:-24168960" id="docshape102" coordorigin="566,15868" coordsize="10634,29" path="m11200,15868l5972,15868,5943,15868,566,15868,566,15897,5943,15897,5972,15897,11200,15897,11200,15868xe" filled="true" fillcolor="#000000" stroked="false">
          <v:path arrowok="t"/>
          <v:fill type="solid"/>
          <w10:wrap type="none"/>
        </v:shape>
      </w:pict>
    </w:r>
    <w:r>
      <w:rPr/>
      <w:pict>
        <v:shape style="position:absolute;margin-left:0pt;margin-top:807.140686pt;width:242.95pt;height:34.8pt;mso-position-horizontal-relative:page;mso-position-vertical-relative:page;z-index:-24168448" type="#_x0000_t202" id="docshape103" filled="false" stroked="false">
          <v:textbox inset="0,0,0,0">
            <w:txbxContent>
              <w:p>
                <w:pPr>
                  <w:spacing w:before="21"/>
                  <w:ind w:left="674" w:right="0" w:firstLine="0"/>
                  <w:jc w:val="left"/>
                  <w:rPr>
                    <w:sz w:val="22"/>
                  </w:rPr>
                </w:pPr>
                <w:r>
                  <w:rPr>
                    <w:sz w:val="22"/>
                  </w:rPr>
                  <w:t>NWSSP</w:t>
                </w:r>
                <w:r>
                  <w:rPr>
                    <w:spacing w:val="-7"/>
                    <w:sz w:val="22"/>
                  </w:rPr>
                  <w:t> </w:t>
                </w:r>
                <w:r>
                  <w:rPr>
                    <w:sz w:val="22"/>
                  </w:rPr>
                  <w:t>Audit</w:t>
                </w:r>
                <w:r>
                  <w:rPr>
                    <w:spacing w:val="-5"/>
                    <w:sz w:val="22"/>
                  </w:rPr>
                  <w:t> </w:t>
                </w:r>
                <w:r>
                  <w:rPr>
                    <w:sz w:val="22"/>
                  </w:rPr>
                  <w:t>and</w:t>
                </w:r>
                <w:r>
                  <w:rPr>
                    <w:spacing w:val="-5"/>
                    <w:sz w:val="22"/>
                  </w:rPr>
                  <w:t> </w:t>
                </w:r>
                <w:r>
                  <w:rPr>
                    <w:sz w:val="22"/>
                  </w:rPr>
                  <w:t>Assurance</w:t>
                </w:r>
                <w:r>
                  <w:rPr>
                    <w:spacing w:val="-3"/>
                    <w:sz w:val="22"/>
                  </w:rPr>
                  <w:t> </w:t>
                </w:r>
                <w:r>
                  <w:rPr>
                    <w:spacing w:val="-2"/>
                    <w:sz w:val="22"/>
                  </w:rPr>
                  <w:t>Services</w:t>
                </w:r>
              </w:p>
              <w:p>
                <w:pPr>
                  <w:spacing w:before="35"/>
                  <w:ind w:left="20" w:right="0" w:firstLine="0"/>
                  <w:jc w:val="left"/>
                  <w:rPr>
                    <w:sz w:val="29"/>
                  </w:rPr>
                </w:pPr>
                <w:r>
                  <w:rPr>
                    <w:spacing w:val="-4"/>
                    <w:sz w:val="29"/>
                  </w:rPr>
                  <w:t>4/11</w:t>
                </w:r>
              </w:p>
            </w:txbxContent>
          </v:textbox>
          <w10:wrap type="none"/>
        </v:shape>
      </w:pict>
    </w:r>
    <w:r>
      <w:rPr/>
      <w:pict>
        <v:shape style="position:absolute;margin-left:542.460632pt;margin-top:807.140686pt;width:52.9pt;height:34.8pt;mso-position-horizontal-relative:page;mso-position-vertical-relative:page;z-index:-24167936" type="#_x0000_t202" id="docshape104" filled="false" stroked="false">
          <v:textbox inset="0,0,0,0">
            <w:txbxContent>
              <w:p>
                <w:pPr>
                  <w:spacing w:before="21"/>
                  <w:ind w:left="106" w:right="0" w:firstLine="0"/>
                  <w:jc w:val="left"/>
                  <w:rPr>
                    <w:sz w:val="22"/>
                  </w:rPr>
                </w:pPr>
                <w:r>
                  <w:rPr>
                    <w:w w:val="100"/>
                    <w:sz w:val="22"/>
                  </w:rPr>
                  <w:t>4</w:t>
                </w:r>
              </w:p>
              <w:p>
                <w:pPr>
                  <w:spacing w:before="35"/>
                  <w:ind w:left="20" w:right="0" w:firstLine="0"/>
                  <w:jc w:val="left"/>
                  <w:rPr>
                    <w:sz w:val="29"/>
                  </w:rPr>
                </w:pPr>
                <w:r>
                  <w:rPr>
                    <w:spacing w:val="-6"/>
                    <w:sz w:val="29"/>
                  </w:rPr>
                  <w:t>31/179</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320002pt;margin-top:793.415955pt;width:531.7pt;height:1.45pt;mso-position-horizontal-relative:page;mso-position-vertical-relative:page;z-index:-24167424" id="docshape106" coordorigin="566,15868" coordsize="10634,29" path="m11200,15868l5972,15868,5943,15868,566,15868,566,15897,5943,15897,5972,15897,11200,15897,11200,15868xe" filled="true" fillcolor="#000000" stroked="false">
          <v:path arrowok="t"/>
          <v:fill type="solid"/>
          <w10:wrap type="none"/>
        </v:shape>
      </w:pict>
    </w:r>
    <w:r>
      <w:rPr/>
      <w:pict>
        <v:shape style="position:absolute;margin-left:-2pt;margin-top:807.140686pt;width:244.95pt;height:34.8pt;mso-position-horizontal-relative:page;mso-position-vertical-relative:page;z-index:-24166912" type="#_x0000_t202" id="docshape107" filled="false" stroked="false">
          <v:textbox inset="0,0,0,0">
            <w:txbxContent>
              <w:p>
                <w:pPr>
                  <w:spacing w:before="21"/>
                  <w:ind w:left="714" w:right="0" w:firstLine="0"/>
                  <w:jc w:val="left"/>
                  <w:rPr>
                    <w:sz w:val="22"/>
                  </w:rPr>
                </w:pPr>
                <w:r>
                  <w:rPr>
                    <w:sz w:val="22"/>
                  </w:rPr>
                  <w:t>NWSSP</w:t>
                </w:r>
                <w:r>
                  <w:rPr>
                    <w:spacing w:val="-7"/>
                    <w:sz w:val="22"/>
                  </w:rPr>
                  <w:t> </w:t>
                </w:r>
                <w:r>
                  <w:rPr>
                    <w:sz w:val="22"/>
                  </w:rPr>
                  <w:t>Audit</w:t>
                </w:r>
                <w:r>
                  <w:rPr>
                    <w:spacing w:val="-5"/>
                    <w:sz w:val="22"/>
                  </w:rPr>
                  <w:t> </w:t>
                </w:r>
                <w:r>
                  <w:rPr>
                    <w:sz w:val="22"/>
                  </w:rPr>
                  <w:t>and</w:t>
                </w:r>
                <w:r>
                  <w:rPr>
                    <w:spacing w:val="-5"/>
                    <w:sz w:val="22"/>
                  </w:rPr>
                  <w:t> </w:t>
                </w:r>
                <w:r>
                  <w:rPr>
                    <w:sz w:val="22"/>
                  </w:rPr>
                  <w:t>Assurance</w:t>
                </w:r>
                <w:r>
                  <w:rPr>
                    <w:spacing w:val="-3"/>
                    <w:sz w:val="22"/>
                  </w:rPr>
                  <w:t> </w:t>
                </w:r>
                <w:r>
                  <w:rPr>
                    <w:spacing w:val="-2"/>
                    <w:sz w:val="22"/>
                  </w:rPr>
                  <w:t>Services</w:t>
                </w:r>
              </w:p>
              <w:p>
                <w:pPr>
                  <w:spacing w:before="35"/>
                  <w:ind w:left="60" w:right="0" w:firstLine="0"/>
                  <w:jc w:val="left"/>
                  <w:rPr>
                    <w:sz w:val="29"/>
                  </w:rPr>
                </w:pPr>
                <w:r>
                  <w:rPr>
                    <w:spacing w:val="-4"/>
                    <w:sz w:val="29"/>
                  </w:rPr>
                  <w:fldChar w:fldCharType="begin"/>
                </w:r>
                <w:r>
                  <w:rPr>
                    <w:spacing w:val="-4"/>
                    <w:sz w:val="29"/>
                  </w:rPr>
                  <w:instrText> PAGE </w:instrText>
                </w:r>
                <w:r>
                  <w:rPr>
                    <w:spacing w:val="-4"/>
                    <w:sz w:val="29"/>
                  </w:rPr>
                  <w:fldChar w:fldCharType="separate"/>
                </w:r>
                <w:r>
                  <w:rPr>
                    <w:spacing w:val="-4"/>
                    <w:sz w:val="29"/>
                  </w:rPr>
                  <w:t>5</w:t>
                </w:r>
                <w:r>
                  <w:rPr>
                    <w:spacing w:val="-4"/>
                    <w:sz w:val="29"/>
                  </w:rPr>
                  <w:fldChar w:fldCharType="end"/>
                </w:r>
                <w:r>
                  <w:rPr>
                    <w:spacing w:val="-4"/>
                    <w:sz w:val="29"/>
                  </w:rPr>
                  <w:t>/11</w:t>
                </w:r>
              </w:p>
            </w:txbxContent>
          </v:textbox>
          <w10:wrap type="none"/>
        </v:shape>
      </w:pict>
    </w:r>
    <w:r>
      <w:rPr/>
      <w:pict>
        <v:shape style="position:absolute;margin-left:542.460632pt;margin-top:807.140686pt;width:52.9pt;height:34.8pt;mso-position-horizontal-relative:page;mso-position-vertical-relative:page;z-index:-24166400" type="#_x0000_t202" id="docshape108" filled="false" stroked="false">
          <v:textbox inset="0,0,0,0">
            <w:txbxContent>
              <w:p>
                <w:pPr>
                  <w:spacing w:before="21"/>
                  <w:ind w:left="106" w:right="0" w:firstLine="0"/>
                  <w:jc w:val="left"/>
                  <w:rPr>
                    <w:sz w:val="22"/>
                  </w:rPr>
                </w:pPr>
                <w:r>
                  <w:rPr>
                    <w:w w:val="100"/>
                    <w:sz w:val="22"/>
                  </w:rPr>
                  <w:fldChar w:fldCharType="begin"/>
                </w:r>
                <w:r>
                  <w:rPr>
                    <w:w w:val="100"/>
                    <w:sz w:val="22"/>
                  </w:rPr>
                  <w:instrText> PAGE </w:instrText>
                </w:r>
                <w:r>
                  <w:rPr>
                    <w:w w:val="100"/>
                    <w:sz w:val="22"/>
                  </w:rPr>
                  <w:fldChar w:fldCharType="separate"/>
                </w:r>
                <w:r>
                  <w:rPr>
                    <w:w w:val="100"/>
                    <w:sz w:val="22"/>
                  </w:rPr>
                  <w:t>5</w:t>
                </w:r>
                <w:r>
                  <w:rPr>
                    <w:w w:val="100"/>
                    <w:sz w:val="22"/>
                  </w:rPr>
                  <w:fldChar w:fldCharType="end"/>
                </w:r>
              </w:p>
              <w:p>
                <w:pPr>
                  <w:spacing w:before="35"/>
                  <w:ind w:left="20" w:right="0" w:firstLine="0"/>
                  <w:jc w:val="left"/>
                  <w:rPr>
                    <w:sz w:val="29"/>
                  </w:rPr>
                </w:pPr>
                <w:r>
                  <w:rPr>
                    <w:spacing w:val="-6"/>
                    <w:sz w:val="29"/>
                  </w:rPr>
                  <w:t>32/179</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520pt;margin-top:546.815979pt;width:765.5pt;height:1.45pt;mso-position-horizontal-relative:page;mso-position-vertical-relative:page;z-index:-24165888" id="docshape112" coordorigin="710,10936" coordsize="15310,29" path="m16020,10936l6687,10936,6659,10936,710,10936,710,10965,6659,10965,6687,10965,16020,10965,16020,10936xe" filled="true" fillcolor="#000000" stroked="false">
          <v:path arrowok="t"/>
          <v:fill type="solid"/>
          <w10:wrap type="none"/>
        </v:shape>
      </w:pict>
    </w:r>
    <w:r>
      <w:rPr/>
      <w:pict>
        <v:shape style="position:absolute;margin-left:34.279999pt;margin-top:560.54071pt;width:210.2pt;height:15.45pt;mso-position-horizontal-relative:page;mso-position-vertical-relative:page;z-index:-24165376" type="#_x0000_t202" id="docshape113" filled="false" stroked="false">
          <v:textbox inset="0,0,0,0">
            <w:txbxContent>
              <w:p>
                <w:pPr>
                  <w:spacing w:before="21"/>
                  <w:ind w:left="20" w:right="0" w:firstLine="0"/>
                  <w:jc w:val="left"/>
                  <w:rPr>
                    <w:sz w:val="22"/>
                  </w:rPr>
                </w:pPr>
                <w:r>
                  <w:rPr>
                    <w:sz w:val="22"/>
                  </w:rPr>
                  <w:t>NWSSP</w:t>
                </w:r>
                <w:r>
                  <w:rPr>
                    <w:spacing w:val="-7"/>
                    <w:sz w:val="22"/>
                  </w:rPr>
                  <w:t> </w:t>
                </w:r>
                <w:r>
                  <w:rPr>
                    <w:sz w:val="22"/>
                  </w:rPr>
                  <w:t>Audit</w:t>
                </w:r>
                <w:r>
                  <w:rPr>
                    <w:spacing w:val="-5"/>
                    <w:sz w:val="22"/>
                  </w:rPr>
                  <w:t> </w:t>
                </w:r>
                <w:r>
                  <w:rPr>
                    <w:sz w:val="22"/>
                  </w:rPr>
                  <w:t>and</w:t>
                </w:r>
                <w:r>
                  <w:rPr>
                    <w:spacing w:val="-5"/>
                    <w:sz w:val="22"/>
                  </w:rPr>
                  <w:t> </w:t>
                </w:r>
                <w:r>
                  <w:rPr>
                    <w:sz w:val="22"/>
                  </w:rPr>
                  <w:t>Assurance</w:t>
                </w:r>
                <w:r>
                  <w:rPr>
                    <w:spacing w:val="-3"/>
                    <w:sz w:val="22"/>
                  </w:rPr>
                  <w:t> </w:t>
                </w:r>
                <w:r>
                  <w:rPr>
                    <w:spacing w:val="-2"/>
                    <w:sz w:val="22"/>
                  </w:rPr>
                  <w:t>Services</w:t>
                </w:r>
              </w:p>
            </w:txbxContent>
          </v:textbox>
          <w10:wrap type="none"/>
        </v:shape>
      </w:pict>
    </w:r>
    <w:r>
      <w:rPr/>
      <w:pict>
        <v:shape style="position:absolute;margin-left:788.460022pt;margin-top:560.925781pt;width:53.5pt;height:34.450pt;mso-position-horizontal-relative:page;mso-position-vertical-relative:page;z-index:-24164864" type="#_x0000_t202" id="docshape114" filled="false" stroked="false">
          <v:textbox inset="0,0,0,0">
            <w:txbxContent>
              <w:p>
                <w:pPr>
                  <w:spacing w:before="13"/>
                  <w:ind w:left="20" w:right="0" w:firstLine="0"/>
                  <w:jc w:val="left"/>
                  <w:rPr>
                    <w:rFonts w:ascii="Arial"/>
                    <w:sz w:val="22"/>
                  </w:rPr>
                </w:pPr>
                <w:r>
                  <w:rPr>
                    <w:rFonts w:ascii="Arial"/>
                    <w:w w:val="100"/>
                    <w:sz w:val="22"/>
                  </w:rPr>
                  <w:t>8</w:t>
                </w:r>
              </w:p>
              <w:p>
                <w:pPr>
                  <w:spacing w:before="49"/>
                  <w:ind w:left="32" w:right="0" w:firstLine="0"/>
                  <w:jc w:val="left"/>
                  <w:rPr>
                    <w:sz w:val="29"/>
                  </w:rPr>
                </w:pPr>
                <w:r>
                  <w:rPr>
                    <w:spacing w:val="-6"/>
                    <w:sz w:val="29"/>
                  </w:rPr>
                  <w:t>35/179</w:t>
                </w:r>
              </w:p>
            </w:txbxContent>
          </v:textbox>
          <w10:wrap type="none"/>
        </v:shape>
      </w:pict>
    </w:r>
    <w:r>
      <w:rPr/>
      <w:pict>
        <v:shape style="position:absolute;margin-left:0pt;margin-top:575.656433pt;width:35.1pt;height:19.7pt;mso-position-horizontal-relative:page;mso-position-vertical-relative:page;z-index:-24164352" type="#_x0000_t202" id="docshape115" filled="false" stroked="false">
          <v:textbox inset="0,0,0,0">
            <w:txbxContent>
              <w:p>
                <w:pPr>
                  <w:spacing w:before="21"/>
                  <w:ind w:left="20" w:right="0" w:firstLine="0"/>
                  <w:jc w:val="left"/>
                  <w:rPr>
                    <w:sz w:val="29"/>
                  </w:rPr>
                </w:pPr>
                <w:r>
                  <w:rPr>
                    <w:spacing w:val="-5"/>
                    <w:sz w:val="29"/>
                  </w:rPr>
                  <w:t>8/11</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520pt;margin-top:546.815979pt;width:765.5pt;height:1.45pt;mso-position-horizontal-relative:page;mso-position-vertical-relative:page;z-index:-24163840" id="docshape117" coordorigin="710,10936" coordsize="15310,29" path="m16020,10936l6687,10936,6659,10936,710,10936,710,10965,6659,10965,6687,10965,16020,10965,16020,10936xe" filled="true" fillcolor="#000000" stroked="false">
          <v:path arrowok="t"/>
          <v:fill type="solid"/>
          <w10:wrap type="none"/>
        </v:shape>
      </w:pict>
    </w:r>
    <w:r>
      <w:rPr/>
      <w:pict>
        <v:shape style="position:absolute;margin-left:34.279999pt;margin-top:560.54071pt;width:210.2pt;height:15.45pt;mso-position-horizontal-relative:page;mso-position-vertical-relative:page;z-index:-24163328" type="#_x0000_t202" id="docshape118" filled="false" stroked="false">
          <v:textbox inset="0,0,0,0">
            <w:txbxContent>
              <w:p>
                <w:pPr>
                  <w:spacing w:before="21"/>
                  <w:ind w:left="20" w:right="0" w:firstLine="0"/>
                  <w:jc w:val="left"/>
                  <w:rPr>
                    <w:sz w:val="22"/>
                  </w:rPr>
                </w:pPr>
                <w:r>
                  <w:rPr>
                    <w:sz w:val="22"/>
                  </w:rPr>
                  <w:t>NWSSP</w:t>
                </w:r>
                <w:r>
                  <w:rPr>
                    <w:spacing w:val="-7"/>
                    <w:sz w:val="22"/>
                  </w:rPr>
                  <w:t> </w:t>
                </w:r>
                <w:r>
                  <w:rPr>
                    <w:sz w:val="22"/>
                  </w:rPr>
                  <w:t>Audit</w:t>
                </w:r>
                <w:r>
                  <w:rPr>
                    <w:spacing w:val="-5"/>
                    <w:sz w:val="22"/>
                  </w:rPr>
                  <w:t> </w:t>
                </w:r>
                <w:r>
                  <w:rPr>
                    <w:sz w:val="22"/>
                  </w:rPr>
                  <w:t>and</w:t>
                </w:r>
                <w:r>
                  <w:rPr>
                    <w:spacing w:val="-5"/>
                    <w:sz w:val="22"/>
                  </w:rPr>
                  <w:t> </w:t>
                </w:r>
                <w:r>
                  <w:rPr>
                    <w:sz w:val="22"/>
                  </w:rPr>
                  <w:t>Assurance</w:t>
                </w:r>
                <w:r>
                  <w:rPr>
                    <w:spacing w:val="-3"/>
                    <w:sz w:val="22"/>
                  </w:rPr>
                  <w:t> </w:t>
                </w:r>
                <w:r>
                  <w:rPr>
                    <w:spacing w:val="-2"/>
                    <w:sz w:val="22"/>
                  </w:rPr>
                  <w:t>Services</w:t>
                </w:r>
              </w:p>
            </w:txbxContent>
          </v:textbox>
          <w10:wrap type="none"/>
        </v:shape>
      </w:pict>
    </w:r>
    <w:r>
      <w:rPr/>
      <w:pict>
        <v:shape style="position:absolute;margin-left:788.460022pt;margin-top:560.925781pt;width:53.5pt;height:34.450pt;mso-position-horizontal-relative:page;mso-position-vertical-relative:page;z-index:-24162816" type="#_x0000_t202" id="docshape119" filled="false" stroked="false">
          <v:textbox inset="0,0,0,0">
            <w:txbxContent>
              <w:p>
                <w:pPr>
                  <w:spacing w:before="13"/>
                  <w:ind w:left="20" w:right="0" w:firstLine="0"/>
                  <w:jc w:val="left"/>
                  <w:rPr>
                    <w:rFonts w:ascii="Arial"/>
                    <w:sz w:val="22"/>
                  </w:rPr>
                </w:pPr>
                <w:r>
                  <w:rPr>
                    <w:rFonts w:ascii="Arial"/>
                    <w:w w:val="100"/>
                    <w:sz w:val="22"/>
                  </w:rPr>
                  <w:t>9</w:t>
                </w:r>
              </w:p>
              <w:p>
                <w:pPr>
                  <w:spacing w:before="49"/>
                  <w:ind w:left="32" w:right="0" w:firstLine="0"/>
                  <w:jc w:val="left"/>
                  <w:rPr>
                    <w:sz w:val="29"/>
                  </w:rPr>
                </w:pPr>
                <w:r>
                  <w:rPr>
                    <w:spacing w:val="-6"/>
                    <w:sz w:val="29"/>
                  </w:rPr>
                  <w:t>36/179</w:t>
                </w:r>
              </w:p>
            </w:txbxContent>
          </v:textbox>
          <w10:wrap type="none"/>
        </v:shape>
      </w:pict>
    </w:r>
    <w:r>
      <w:rPr/>
      <w:pict>
        <v:shape style="position:absolute;margin-left:0pt;margin-top:575.656433pt;width:35.1pt;height:19.7pt;mso-position-horizontal-relative:page;mso-position-vertical-relative:page;z-index:-24162304" type="#_x0000_t202" id="docshape120" filled="false" stroked="false">
          <v:textbox inset="0,0,0,0">
            <w:txbxContent>
              <w:p>
                <w:pPr>
                  <w:spacing w:before="21"/>
                  <w:ind w:left="20" w:right="0" w:firstLine="0"/>
                  <w:jc w:val="left"/>
                  <w:rPr>
                    <w:sz w:val="29"/>
                  </w:rPr>
                </w:pPr>
                <w:r>
                  <w:rPr>
                    <w:spacing w:val="-5"/>
                    <w:sz w:val="29"/>
                  </w:rPr>
                  <w:t>9/11</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822.256409pt;width:44pt;height:19.7pt;mso-position-horizontal-relative:page;mso-position-vertical-relative:page;z-index:-24161792" type="#_x0000_t202" id="docshape122" filled="false" stroked="false">
          <v:textbox inset="0,0,0,0">
            <w:txbxContent>
              <w:p>
                <w:pPr>
                  <w:spacing w:before="21"/>
                  <w:ind w:left="20" w:right="0" w:firstLine="0"/>
                  <w:jc w:val="left"/>
                  <w:rPr>
                    <w:sz w:val="29"/>
                  </w:rPr>
                </w:pPr>
                <w:r>
                  <w:rPr>
                    <w:spacing w:val="-5"/>
                    <w:sz w:val="29"/>
                  </w:rPr>
                  <w:t>10/11</w:t>
                </w:r>
              </w:p>
            </w:txbxContent>
          </v:textbox>
          <w10:wrap type="none"/>
        </v:shape>
      </w:pict>
    </w:r>
    <w:r>
      <w:rPr/>
      <w:pict>
        <v:shape style="position:absolute;margin-left:542.460632pt;margin-top:822.256409pt;width:52.9pt;height:19.7pt;mso-position-horizontal-relative:page;mso-position-vertical-relative:page;z-index:-24161280" type="#_x0000_t202" id="docshape123" filled="false" stroked="false">
          <v:textbox inset="0,0,0,0">
            <w:txbxContent>
              <w:p>
                <w:pPr>
                  <w:spacing w:before="21"/>
                  <w:ind w:left="20" w:right="0" w:firstLine="0"/>
                  <w:jc w:val="left"/>
                  <w:rPr>
                    <w:sz w:val="29"/>
                  </w:rPr>
                </w:pPr>
                <w:r>
                  <w:rPr>
                    <w:spacing w:val="-6"/>
                    <w:sz w:val="29"/>
                  </w:rPr>
                  <w:t>37/179</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pt;margin-top:529.731567pt;width:152.25pt;height:31pt;mso-position-horizontal-relative:page;mso-position-vertical-relative:page;z-index:-24190464" type="#_x0000_t202" id="docshape16" filled="false" stroked="false">
          <v:textbox inset="0,0,0,0">
            <w:txbxContent>
              <w:p>
                <w:pPr>
                  <w:pStyle w:val="BodyText"/>
                  <w:spacing w:before="20"/>
                  <w:ind w:left="20"/>
                </w:pPr>
                <w:r>
                  <w:rPr/>
                  <w:t>NWSSP</w:t>
                </w:r>
                <w:r>
                  <w:rPr>
                    <w:spacing w:val="-4"/>
                  </w:rPr>
                  <w:t> </w:t>
                </w:r>
                <w:r>
                  <w:rPr/>
                  <w:t>Audit</w:t>
                </w:r>
                <w:r>
                  <w:rPr>
                    <w:spacing w:val="-2"/>
                  </w:rPr>
                  <w:t> Committee</w:t>
                </w:r>
              </w:p>
              <w:p>
                <w:pPr>
                  <w:spacing w:before="20"/>
                  <w:ind w:left="20" w:right="0" w:firstLine="0"/>
                  <w:jc w:val="left"/>
                  <w:rPr>
                    <w:sz w:val="22"/>
                  </w:rPr>
                </w:pPr>
                <w:r>
                  <w:rPr>
                    <w:sz w:val="22"/>
                  </w:rPr>
                  <w:t>24</w:t>
                </w:r>
                <w:r>
                  <w:rPr>
                    <w:spacing w:val="-2"/>
                    <w:sz w:val="22"/>
                  </w:rPr>
                  <w:t> </w:t>
                </w:r>
                <w:r>
                  <w:rPr>
                    <w:sz w:val="22"/>
                  </w:rPr>
                  <w:t>January</w:t>
                </w:r>
                <w:r>
                  <w:rPr>
                    <w:spacing w:val="-2"/>
                    <w:sz w:val="22"/>
                  </w:rPr>
                  <w:t> </w:t>
                </w:r>
                <w:r>
                  <w:rPr>
                    <w:spacing w:val="-4"/>
                    <w:sz w:val="22"/>
                  </w:rPr>
                  <w:t>2023</w:t>
                </w:r>
              </w:p>
            </w:txbxContent>
          </v:textbox>
          <w10:wrap type="none"/>
        </v:shape>
      </w:pict>
    </w:r>
    <w:r>
      <w:rPr/>
      <w:pict>
        <v:shape style="position:absolute;margin-left:514.678223pt;margin-top:544.315552pt;width:9.65pt;height:16.6pt;mso-position-horizontal-relative:page;mso-position-vertical-relative:page;z-index:-24189952" type="#_x0000_t202" id="docshape17" filled="false" stroked="false">
          <v:textbox inset="0,0,0,0">
            <w:txbxContent>
              <w:p>
                <w:pPr>
                  <w:pStyle w:val="BodyText"/>
                  <w:spacing w:before="20"/>
                  <w:ind w:left="20"/>
                </w:pPr>
                <w:r>
                  <w:rPr/>
                  <w:t>1</w:t>
                </w:r>
              </w:p>
            </w:txbxContent>
          </v:textbox>
          <w10:wrap type="none"/>
        </v:shape>
      </w:pict>
    </w:r>
    <w:r>
      <w:rPr/>
      <w:pict>
        <v:shape style="position:absolute;margin-left:0pt;margin-top:575.636414pt;width:26.2pt;height:19.7pt;mso-position-horizontal-relative:page;mso-position-vertical-relative:page;z-index:-24189440" type="#_x0000_t202" id="docshape18" filled="false" stroked="false">
          <v:textbox inset="0,0,0,0">
            <w:txbxContent>
              <w:p>
                <w:pPr>
                  <w:spacing w:before="21"/>
                  <w:ind w:left="20" w:right="0" w:firstLine="0"/>
                  <w:jc w:val="left"/>
                  <w:rPr>
                    <w:sz w:val="29"/>
                  </w:rPr>
                </w:pPr>
                <w:r>
                  <w:rPr>
                    <w:spacing w:val="-5"/>
                    <w:sz w:val="29"/>
                  </w:rPr>
                  <w:t>1/3</w:t>
                </w:r>
              </w:p>
            </w:txbxContent>
          </v:textbox>
          <w10:wrap type="none"/>
        </v:shape>
      </w:pict>
    </w:r>
    <w:r>
      <w:rPr/>
      <w:pict>
        <v:shape style="position:absolute;margin-left:797.94104pt;margin-top:575.636414pt;width:44pt;height:19.7pt;mso-position-horizontal-relative:page;mso-position-vertical-relative:page;z-index:-24188928" type="#_x0000_t202" id="docshape19" filled="false" stroked="false">
          <v:textbox inset="0,0,0,0">
            <w:txbxContent>
              <w:p>
                <w:pPr>
                  <w:spacing w:before="21"/>
                  <w:ind w:left="20" w:right="0" w:firstLine="0"/>
                  <w:jc w:val="left"/>
                  <w:rPr>
                    <w:sz w:val="29"/>
                  </w:rPr>
                </w:pPr>
                <w:r>
                  <w:rPr>
                    <w:spacing w:val="-5"/>
                    <w:sz w:val="29"/>
                  </w:rPr>
                  <w:t>8/179</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822.256409pt;width:44pt;height:19.7pt;mso-position-horizontal-relative:page;mso-position-vertical-relative:page;z-index:-24160768" type="#_x0000_t202" id="docshape137" filled="false" stroked="false">
          <v:textbox inset="0,0,0,0">
            <w:txbxContent>
              <w:p>
                <w:pPr>
                  <w:spacing w:before="21"/>
                  <w:ind w:left="20" w:right="0" w:firstLine="0"/>
                  <w:jc w:val="left"/>
                  <w:rPr>
                    <w:sz w:val="29"/>
                  </w:rPr>
                </w:pPr>
                <w:r>
                  <w:rPr>
                    <w:spacing w:val="-5"/>
                    <w:sz w:val="29"/>
                  </w:rPr>
                  <w:t>11/11</w:t>
                </w:r>
              </w:p>
            </w:txbxContent>
          </v:textbox>
          <w10:wrap type="none"/>
        </v:shape>
      </w:pict>
    </w:r>
    <w:r>
      <w:rPr/>
      <w:pict>
        <v:shape style="position:absolute;margin-left:542.460571pt;margin-top:822.256409pt;width:52.9pt;height:19.7pt;mso-position-horizontal-relative:page;mso-position-vertical-relative:page;z-index:-24160256" type="#_x0000_t202" id="docshape138" filled="false" stroked="false">
          <v:textbox inset="0,0,0,0">
            <w:txbxContent>
              <w:p>
                <w:pPr>
                  <w:spacing w:before="21"/>
                  <w:ind w:left="20" w:right="0" w:firstLine="0"/>
                  <w:jc w:val="left"/>
                  <w:rPr>
                    <w:sz w:val="29"/>
                  </w:rPr>
                </w:pPr>
                <w:r>
                  <w:rPr>
                    <w:spacing w:val="-6"/>
                    <w:sz w:val="29"/>
                  </w:rPr>
                  <w:t>38/179</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822.256409pt;width:35.1pt;height:19.7pt;mso-position-horizontal-relative:page;mso-position-vertical-relative:page;z-index:-24159744" type="#_x0000_t202" id="docshape144" filled="false" stroked="false">
          <v:textbox inset="0,0,0,0">
            <w:txbxContent>
              <w:p>
                <w:pPr>
                  <w:spacing w:before="21"/>
                  <w:ind w:left="20" w:right="0" w:firstLine="0"/>
                  <w:jc w:val="left"/>
                  <w:rPr>
                    <w:sz w:val="29"/>
                  </w:rPr>
                </w:pPr>
                <w:r>
                  <w:rPr>
                    <w:spacing w:val="-5"/>
                    <w:sz w:val="29"/>
                  </w:rPr>
                  <w:t>1/13</w:t>
                </w:r>
              </w:p>
            </w:txbxContent>
          </v:textbox>
          <w10:wrap type="none"/>
        </v:shape>
      </w:pict>
    </w:r>
    <w:r>
      <w:rPr/>
      <w:pict>
        <v:shape style="position:absolute;margin-left:542.460632pt;margin-top:822.256409pt;width:52.9pt;height:19.7pt;mso-position-horizontal-relative:page;mso-position-vertical-relative:page;z-index:-24159232" type="#_x0000_t202" id="docshape145" filled="false" stroked="false">
          <v:textbox inset="0,0,0,0">
            <w:txbxContent>
              <w:p>
                <w:pPr>
                  <w:spacing w:before="21"/>
                  <w:ind w:left="20" w:right="0" w:firstLine="0"/>
                  <w:jc w:val="left"/>
                  <w:rPr>
                    <w:sz w:val="29"/>
                  </w:rPr>
                </w:pPr>
                <w:r>
                  <w:rPr>
                    <w:spacing w:val="-6"/>
                    <w:sz w:val="29"/>
                  </w:rPr>
                  <w:t>39/179</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2pt;margin-top:822.256409pt;width:37.1pt;height:19.7pt;mso-position-horizontal-relative:page;mso-position-vertical-relative:page;z-index:-24158720" type="#_x0000_t202" id="docshape146" filled="false" stroked="false">
          <v:textbox inset="0,0,0,0">
            <w:txbxContent>
              <w:p>
                <w:pPr>
                  <w:spacing w:before="21"/>
                  <w:ind w:left="60" w:right="0" w:firstLine="0"/>
                  <w:jc w:val="left"/>
                  <w:rPr>
                    <w:sz w:val="29"/>
                  </w:rPr>
                </w:pPr>
                <w:r>
                  <w:rPr>
                    <w:spacing w:val="-5"/>
                    <w:sz w:val="29"/>
                  </w:rPr>
                  <w:fldChar w:fldCharType="begin"/>
                </w:r>
                <w:r>
                  <w:rPr>
                    <w:spacing w:val="-5"/>
                    <w:sz w:val="29"/>
                  </w:rPr>
                  <w:instrText> PAGE </w:instrText>
                </w:r>
                <w:r>
                  <w:rPr>
                    <w:spacing w:val="-5"/>
                    <w:sz w:val="29"/>
                  </w:rPr>
                  <w:fldChar w:fldCharType="separate"/>
                </w:r>
                <w:r>
                  <w:rPr>
                    <w:spacing w:val="-5"/>
                    <w:sz w:val="29"/>
                  </w:rPr>
                  <w:t>2</w:t>
                </w:r>
                <w:r>
                  <w:rPr>
                    <w:spacing w:val="-5"/>
                    <w:sz w:val="29"/>
                  </w:rPr>
                  <w:fldChar w:fldCharType="end"/>
                </w:r>
                <w:r>
                  <w:rPr>
                    <w:spacing w:val="-5"/>
                    <w:sz w:val="29"/>
                  </w:rPr>
                  <w:t>/13</w:t>
                </w:r>
              </w:p>
            </w:txbxContent>
          </v:textbox>
          <w10:wrap type="none"/>
        </v:shape>
      </w:pict>
    </w:r>
    <w:r>
      <w:rPr/>
      <w:pict>
        <v:shape style="position:absolute;margin-left:542.460632pt;margin-top:822.256409pt;width:52.9pt;height:19.7pt;mso-position-horizontal-relative:page;mso-position-vertical-relative:page;z-index:-24158208" type="#_x0000_t202" id="docshape147" filled="false" stroked="false">
          <v:textbox inset="0,0,0,0">
            <w:txbxContent>
              <w:p>
                <w:pPr>
                  <w:spacing w:before="21"/>
                  <w:ind w:left="20" w:right="0" w:firstLine="0"/>
                  <w:jc w:val="left"/>
                  <w:rPr>
                    <w:sz w:val="29"/>
                  </w:rPr>
                </w:pPr>
                <w:r>
                  <w:rPr>
                    <w:spacing w:val="-6"/>
                    <w:sz w:val="29"/>
                  </w:rPr>
                  <w:t>40/179</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320002pt;margin-top:793.415955pt;width:531.7pt;height:1.45pt;mso-position-horizontal-relative:page;mso-position-vertical-relative:page;z-index:-24157696" id="docshape157" coordorigin="566,15868" coordsize="10634,29" path="m11200,15868l5972,15868,5943,15868,566,15868,566,15897,5943,15897,5972,15897,11200,15897,11200,15868xe" filled="true" fillcolor="#000000" stroked="false">
          <v:path arrowok="t"/>
          <v:fill type="solid"/>
          <w10:wrap type="none"/>
        </v:shape>
      </w:pict>
    </w:r>
    <w:r>
      <w:rPr/>
      <w:pict>
        <v:shape style="position:absolute;margin-left:0pt;margin-top:807.236694pt;width:243.05pt;height:34.7pt;mso-position-horizontal-relative:page;mso-position-vertical-relative:page;z-index:-24157184" type="#_x0000_t202" id="docshape158" filled="false" stroked="false">
          <v:textbox inset="0,0,0,0">
            <w:txbxContent>
              <w:p>
                <w:pPr>
                  <w:spacing w:before="21"/>
                  <w:ind w:left="674" w:right="0" w:firstLine="0"/>
                  <w:jc w:val="left"/>
                  <w:rPr>
                    <w:sz w:val="22"/>
                  </w:rPr>
                </w:pPr>
                <w:r>
                  <w:rPr>
                    <w:sz w:val="22"/>
                  </w:rPr>
                  <w:t>NWSSP</w:t>
                </w:r>
                <w:r>
                  <w:rPr>
                    <w:spacing w:val="-4"/>
                    <w:sz w:val="22"/>
                  </w:rPr>
                  <w:t> </w:t>
                </w:r>
                <w:r>
                  <w:rPr>
                    <w:sz w:val="22"/>
                  </w:rPr>
                  <w:t>Audit</w:t>
                </w:r>
                <w:r>
                  <w:rPr>
                    <w:spacing w:val="-6"/>
                    <w:sz w:val="22"/>
                  </w:rPr>
                  <w:t> </w:t>
                </w:r>
                <w:r>
                  <w:rPr>
                    <w:sz w:val="22"/>
                  </w:rPr>
                  <w:t>and</w:t>
                </w:r>
                <w:r>
                  <w:rPr>
                    <w:spacing w:val="-5"/>
                    <w:sz w:val="22"/>
                  </w:rPr>
                  <w:t> </w:t>
                </w:r>
                <w:r>
                  <w:rPr>
                    <w:sz w:val="22"/>
                  </w:rPr>
                  <w:t>Assurance</w:t>
                </w:r>
                <w:r>
                  <w:rPr>
                    <w:spacing w:val="-4"/>
                    <w:sz w:val="22"/>
                  </w:rPr>
                  <w:t> </w:t>
                </w:r>
                <w:r>
                  <w:rPr>
                    <w:spacing w:val="-2"/>
                    <w:sz w:val="22"/>
                  </w:rPr>
                  <w:t>Services</w:t>
                </w:r>
              </w:p>
              <w:p>
                <w:pPr>
                  <w:spacing w:before="33"/>
                  <w:ind w:left="20" w:right="0" w:firstLine="0"/>
                  <w:jc w:val="left"/>
                  <w:rPr>
                    <w:sz w:val="29"/>
                  </w:rPr>
                </w:pPr>
                <w:r>
                  <w:rPr>
                    <w:spacing w:val="-4"/>
                    <w:sz w:val="29"/>
                  </w:rPr>
                  <w:t>4/13</w:t>
                </w:r>
              </w:p>
            </w:txbxContent>
          </v:textbox>
          <w10:wrap type="none"/>
        </v:shape>
      </w:pict>
    </w:r>
    <w:r>
      <w:rPr/>
      <w:pict>
        <v:shape style="position:absolute;margin-left:542.460632pt;margin-top:807.236694pt;width:52.9pt;height:34.7pt;mso-position-horizontal-relative:page;mso-position-vertical-relative:page;z-index:-24156672" type="#_x0000_t202" id="docshape159" filled="false" stroked="false">
          <v:textbox inset="0,0,0,0">
            <w:txbxContent>
              <w:p>
                <w:pPr>
                  <w:spacing w:before="21"/>
                  <w:ind w:left="106" w:right="0" w:firstLine="0"/>
                  <w:jc w:val="left"/>
                  <w:rPr>
                    <w:sz w:val="22"/>
                  </w:rPr>
                </w:pPr>
                <w:r>
                  <w:rPr>
                    <w:w w:val="100"/>
                    <w:sz w:val="22"/>
                  </w:rPr>
                  <w:t>4</w:t>
                </w:r>
              </w:p>
              <w:p>
                <w:pPr>
                  <w:spacing w:before="33"/>
                  <w:ind w:left="20" w:right="0" w:firstLine="0"/>
                  <w:jc w:val="left"/>
                  <w:rPr>
                    <w:sz w:val="29"/>
                  </w:rPr>
                </w:pPr>
                <w:r>
                  <w:rPr>
                    <w:spacing w:val="-6"/>
                    <w:sz w:val="29"/>
                  </w:rPr>
                  <w:t>42/179</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320002pt;margin-top:793.415955pt;width:531.7pt;height:1.45pt;mso-position-horizontal-relative:page;mso-position-vertical-relative:page;z-index:-24156160" id="docshape161" coordorigin="566,15868" coordsize="10634,29" path="m11200,15868l5972,15868,5943,15868,566,15868,566,15897,5943,15897,5972,15897,11200,15897,11200,15868xe" filled="true" fillcolor="#000000" stroked="false">
          <v:path arrowok="t"/>
          <v:fill type="solid"/>
          <w10:wrap type="none"/>
        </v:shape>
      </w:pict>
    </w:r>
    <w:r>
      <w:rPr/>
      <w:pict>
        <v:shape style="position:absolute;margin-left:-2pt;margin-top:807.236694pt;width:245.05pt;height:34.7pt;mso-position-horizontal-relative:page;mso-position-vertical-relative:page;z-index:-24155648" type="#_x0000_t202" id="docshape162" filled="false" stroked="false">
          <v:textbox inset="0,0,0,0">
            <w:txbxContent>
              <w:p>
                <w:pPr>
                  <w:spacing w:before="21"/>
                  <w:ind w:left="714" w:right="0" w:firstLine="0"/>
                  <w:jc w:val="left"/>
                  <w:rPr>
                    <w:sz w:val="22"/>
                  </w:rPr>
                </w:pPr>
                <w:r>
                  <w:rPr>
                    <w:sz w:val="22"/>
                  </w:rPr>
                  <w:t>NWSSP</w:t>
                </w:r>
                <w:r>
                  <w:rPr>
                    <w:spacing w:val="-4"/>
                    <w:sz w:val="22"/>
                  </w:rPr>
                  <w:t> </w:t>
                </w:r>
                <w:r>
                  <w:rPr>
                    <w:sz w:val="22"/>
                  </w:rPr>
                  <w:t>Audit</w:t>
                </w:r>
                <w:r>
                  <w:rPr>
                    <w:spacing w:val="-6"/>
                    <w:sz w:val="22"/>
                  </w:rPr>
                  <w:t> </w:t>
                </w:r>
                <w:r>
                  <w:rPr>
                    <w:sz w:val="22"/>
                  </w:rPr>
                  <w:t>and</w:t>
                </w:r>
                <w:r>
                  <w:rPr>
                    <w:spacing w:val="-5"/>
                    <w:sz w:val="22"/>
                  </w:rPr>
                  <w:t> </w:t>
                </w:r>
                <w:r>
                  <w:rPr>
                    <w:sz w:val="22"/>
                  </w:rPr>
                  <w:t>Assurance</w:t>
                </w:r>
                <w:r>
                  <w:rPr>
                    <w:spacing w:val="-4"/>
                    <w:sz w:val="22"/>
                  </w:rPr>
                  <w:t> </w:t>
                </w:r>
                <w:r>
                  <w:rPr>
                    <w:spacing w:val="-2"/>
                    <w:sz w:val="22"/>
                  </w:rPr>
                  <w:t>Services</w:t>
                </w:r>
              </w:p>
              <w:p>
                <w:pPr>
                  <w:spacing w:before="33"/>
                  <w:ind w:left="60" w:right="0" w:firstLine="0"/>
                  <w:jc w:val="left"/>
                  <w:rPr>
                    <w:sz w:val="29"/>
                  </w:rPr>
                </w:pPr>
                <w:r>
                  <w:rPr>
                    <w:spacing w:val="-4"/>
                    <w:sz w:val="29"/>
                  </w:rPr>
                  <w:fldChar w:fldCharType="begin"/>
                </w:r>
                <w:r>
                  <w:rPr>
                    <w:spacing w:val="-4"/>
                    <w:sz w:val="29"/>
                  </w:rPr>
                  <w:instrText> PAGE </w:instrText>
                </w:r>
                <w:r>
                  <w:rPr>
                    <w:spacing w:val="-4"/>
                    <w:sz w:val="29"/>
                  </w:rPr>
                  <w:fldChar w:fldCharType="separate"/>
                </w:r>
                <w:r>
                  <w:rPr>
                    <w:spacing w:val="-4"/>
                    <w:sz w:val="29"/>
                  </w:rPr>
                  <w:t>5</w:t>
                </w:r>
                <w:r>
                  <w:rPr>
                    <w:spacing w:val="-4"/>
                    <w:sz w:val="29"/>
                  </w:rPr>
                  <w:fldChar w:fldCharType="end"/>
                </w:r>
                <w:r>
                  <w:rPr>
                    <w:spacing w:val="-4"/>
                    <w:sz w:val="29"/>
                  </w:rPr>
                  <w:t>/13</w:t>
                </w:r>
              </w:p>
            </w:txbxContent>
          </v:textbox>
          <w10:wrap type="none"/>
        </v:shape>
      </w:pict>
    </w:r>
    <w:r>
      <w:rPr/>
      <w:pict>
        <v:shape style="position:absolute;margin-left:542.460632pt;margin-top:807.236694pt;width:52.9pt;height:34.7pt;mso-position-horizontal-relative:page;mso-position-vertical-relative:page;z-index:-24155136" type="#_x0000_t202" id="docshape163" filled="false" stroked="false">
          <v:textbox inset="0,0,0,0">
            <w:txbxContent>
              <w:p>
                <w:pPr>
                  <w:spacing w:before="21"/>
                  <w:ind w:left="106" w:right="0" w:firstLine="0"/>
                  <w:jc w:val="left"/>
                  <w:rPr>
                    <w:sz w:val="22"/>
                  </w:rPr>
                </w:pPr>
                <w:r>
                  <w:rPr>
                    <w:w w:val="100"/>
                    <w:sz w:val="22"/>
                  </w:rPr>
                  <w:fldChar w:fldCharType="begin"/>
                </w:r>
                <w:r>
                  <w:rPr>
                    <w:w w:val="100"/>
                    <w:sz w:val="22"/>
                  </w:rPr>
                  <w:instrText> PAGE </w:instrText>
                </w:r>
                <w:r>
                  <w:rPr>
                    <w:w w:val="100"/>
                    <w:sz w:val="22"/>
                  </w:rPr>
                  <w:fldChar w:fldCharType="separate"/>
                </w:r>
                <w:r>
                  <w:rPr>
                    <w:w w:val="100"/>
                    <w:sz w:val="22"/>
                  </w:rPr>
                  <w:t>5</w:t>
                </w:r>
                <w:r>
                  <w:rPr>
                    <w:w w:val="100"/>
                    <w:sz w:val="22"/>
                  </w:rPr>
                  <w:fldChar w:fldCharType="end"/>
                </w:r>
              </w:p>
              <w:p>
                <w:pPr>
                  <w:spacing w:before="33"/>
                  <w:ind w:left="20" w:right="0" w:firstLine="0"/>
                  <w:jc w:val="left"/>
                  <w:rPr>
                    <w:sz w:val="29"/>
                  </w:rPr>
                </w:pPr>
                <w:r>
                  <w:rPr>
                    <w:spacing w:val="-6"/>
                    <w:sz w:val="29"/>
                  </w:rPr>
                  <w:t>43/179</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520pt;margin-top:546.815979pt;width:765.5pt;height:1.45pt;mso-position-horizontal-relative:page;mso-position-vertical-relative:page;z-index:-24154624" id="docshape168" coordorigin="710,10936" coordsize="15310,29" path="m16020,10936l6687,10936,6659,10936,710,10936,710,10965,6659,10965,6687,10965,16020,10965,16020,10936xe" filled="true" fillcolor="#000000" stroked="false">
          <v:path arrowok="t"/>
          <v:fill type="solid"/>
          <w10:wrap type="none"/>
        </v:shape>
      </w:pict>
    </w:r>
    <w:r>
      <w:rPr/>
      <w:pict>
        <v:shape style="position:absolute;margin-left:34.279999pt;margin-top:560.636719pt;width:210.3pt;height:15.45pt;mso-position-horizontal-relative:page;mso-position-vertical-relative:page;z-index:-24154112" type="#_x0000_t202" id="docshape169" filled="false" stroked="false">
          <v:textbox inset="0,0,0,0">
            <w:txbxContent>
              <w:p>
                <w:pPr>
                  <w:spacing w:before="21"/>
                  <w:ind w:left="20" w:right="0" w:firstLine="0"/>
                  <w:jc w:val="left"/>
                  <w:rPr>
                    <w:sz w:val="22"/>
                  </w:rPr>
                </w:pPr>
                <w:r>
                  <w:rPr>
                    <w:sz w:val="22"/>
                  </w:rPr>
                  <w:t>NWSSP</w:t>
                </w:r>
                <w:r>
                  <w:rPr>
                    <w:spacing w:val="-4"/>
                    <w:sz w:val="22"/>
                  </w:rPr>
                  <w:t> </w:t>
                </w:r>
                <w:r>
                  <w:rPr>
                    <w:sz w:val="22"/>
                  </w:rPr>
                  <w:t>Audit</w:t>
                </w:r>
                <w:r>
                  <w:rPr>
                    <w:spacing w:val="-6"/>
                    <w:sz w:val="22"/>
                  </w:rPr>
                  <w:t> </w:t>
                </w:r>
                <w:r>
                  <w:rPr>
                    <w:sz w:val="22"/>
                  </w:rPr>
                  <w:t>and</w:t>
                </w:r>
                <w:r>
                  <w:rPr>
                    <w:spacing w:val="-5"/>
                    <w:sz w:val="22"/>
                  </w:rPr>
                  <w:t> </w:t>
                </w:r>
                <w:r>
                  <w:rPr>
                    <w:sz w:val="22"/>
                  </w:rPr>
                  <w:t>Assurance</w:t>
                </w:r>
                <w:r>
                  <w:rPr>
                    <w:spacing w:val="-4"/>
                    <w:sz w:val="22"/>
                  </w:rPr>
                  <w:t> </w:t>
                </w:r>
                <w:r>
                  <w:rPr>
                    <w:spacing w:val="-2"/>
                    <w:sz w:val="22"/>
                  </w:rPr>
                  <w:t>Services</w:t>
                </w:r>
              </w:p>
            </w:txbxContent>
          </v:textbox>
          <w10:wrap type="none"/>
        </v:shape>
      </w:pict>
    </w:r>
    <w:r>
      <w:rPr/>
      <w:pict>
        <v:shape style="position:absolute;margin-left:787.619995pt;margin-top:560.636719pt;width:54.3pt;height:34.7pt;mso-position-horizontal-relative:page;mso-position-vertical-relative:page;z-index:-24153600" type="#_x0000_t202" id="docshape170" filled="false" stroked="false">
          <v:textbox inset="0,0,0,0">
            <w:txbxContent>
              <w:p>
                <w:pPr>
                  <w:spacing w:before="21"/>
                  <w:ind w:left="20" w:right="0" w:firstLine="0"/>
                  <w:jc w:val="left"/>
                  <w:rPr>
                    <w:sz w:val="22"/>
                  </w:rPr>
                </w:pPr>
                <w:r>
                  <w:rPr>
                    <w:w w:val="100"/>
                    <w:sz w:val="22"/>
                  </w:rPr>
                  <w:t>9</w:t>
                </w:r>
              </w:p>
              <w:p>
                <w:pPr>
                  <w:spacing w:before="33"/>
                  <w:ind w:left="48" w:right="0" w:firstLine="0"/>
                  <w:jc w:val="left"/>
                  <w:rPr>
                    <w:sz w:val="29"/>
                  </w:rPr>
                </w:pPr>
                <w:r>
                  <w:rPr>
                    <w:spacing w:val="-6"/>
                    <w:sz w:val="29"/>
                  </w:rPr>
                  <w:t>47/179</w:t>
                </w:r>
              </w:p>
            </w:txbxContent>
          </v:textbox>
          <w10:wrap type="none"/>
        </v:shape>
      </w:pict>
    </w:r>
    <w:r>
      <w:rPr/>
      <w:pict>
        <v:shape style="position:absolute;margin-left:0pt;margin-top:575.656433pt;width:35.1pt;height:19.7pt;mso-position-horizontal-relative:page;mso-position-vertical-relative:page;z-index:-24153088" type="#_x0000_t202" id="docshape171" filled="false" stroked="false">
          <v:textbox inset="0,0,0,0">
            <w:txbxContent>
              <w:p>
                <w:pPr>
                  <w:spacing w:before="21"/>
                  <w:ind w:left="20" w:right="0" w:firstLine="0"/>
                  <w:jc w:val="left"/>
                  <w:rPr>
                    <w:sz w:val="29"/>
                  </w:rPr>
                </w:pPr>
                <w:r>
                  <w:rPr>
                    <w:spacing w:val="-5"/>
                    <w:sz w:val="29"/>
                  </w:rPr>
                  <w:t>9/13</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520pt;margin-top:546.815979pt;width:765.5pt;height:1.45pt;mso-position-horizontal-relative:page;mso-position-vertical-relative:page;z-index:-24152576" id="docshape173" coordorigin="710,10936" coordsize="15310,29" path="m16020,10936l6687,10936,6659,10936,710,10936,710,10965,6659,10965,6687,10965,16020,10965,16020,10936xe" filled="true" fillcolor="#000000" stroked="false">
          <v:path arrowok="t"/>
          <v:fill type="solid"/>
          <w10:wrap type="none"/>
        </v:shape>
      </w:pict>
    </w:r>
    <w:r>
      <w:rPr/>
      <w:pict>
        <v:shape style="position:absolute;margin-left:-2pt;margin-top:560.636719pt;width:246.6pt;height:34.7pt;mso-position-horizontal-relative:page;mso-position-vertical-relative:page;z-index:-24152064" type="#_x0000_t202" id="docshape174" filled="false" stroked="false">
          <v:textbox inset="0,0,0,0">
            <w:txbxContent>
              <w:p>
                <w:pPr>
                  <w:spacing w:before="21"/>
                  <w:ind w:left="745" w:right="0" w:firstLine="0"/>
                  <w:jc w:val="left"/>
                  <w:rPr>
                    <w:sz w:val="22"/>
                  </w:rPr>
                </w:pPr>
                <w:r>
                  <w:rPr>
                    <w:sz w:val="22"/>
                  </w:rPr>
                  <w:t>NWSSP</w:t>
                </w:r>
                <w:r>
                  <w:rPr>
                    <w:spacing w:val="-4"/>
                    <w:sz w:val="22"/>
                  </w:rPr>
                  <w:t> </w:t>
                </w:r>
                <w:r>
                  <w:rPr>
                    <w:sz w:val="22"/>
                  </w:rPr>
                  <w:t>Audit</w:t>
                </w:r>
                <w:r>
                  <w:rPr>
                    <w:spacing w:val="-6"/>
                    <w:sz w:val="22"/>
                  </w:rPr>
                  <w:t> </w:t>
                </w:r>
                <w:r>
                  <w:rPr>
                    <w:sz w:val="22"/>
                  </w:rPr>
                  <w:t>and</w:t>
                </w:r>
                <w:r>
                  <w:rPr>
                    <w:spacing w:val="-5"/>
                    <w:sz w:val="22"/>
                  </w:rPr>
                  <w:t> </w:t>
                </w:r>
                <w:r>
                  <w:rPr>
                    <w:sz w:val="22"/>
                  </w:rPr>
                  <w:t>Assurance</w:t>
                </w:r>
                <w:r>
                  <w:rPr>
                    <w:spacing w:val="-4"/>
                    <w:sz w:val="22"/>
                  </w:rPr>
                  <w:t> </w:t>
                </w:r>
                <w:r>
                  <w:rPr>
                    <w:spacing w:val="-2"/>
                    <w:sz w:val="22"/>
                  </w:rPr>
                  <w:t>Services</w:t>
                </w:r>
              </w:p>
              <w:p>
                <w:pPr>
                  <w:spacing w:before="33"/>
                  <w:ind w:left="60" w:right="0" w:firstLine="0"/>
                  <w:jc w:val="left"/>
                  <w:rPr>
                    <w:sz w:val="29"/>
                  </w:rPr>
                </w:pPr>
                <w:r>
                  <w:rPr>
                    <w:spacing w:val="-2"/>
                    <w:sz w:val="29"/>
                  </w:rPr>
                  <w:fldChar w:fldCharType="begin"/>
                </w:r>
                <w:r>
                  <w:rPr>
                    <w:spacing w:val="-2"/>
                    <w:sz w:val="29"/>
                  </w:rPr>
                  <w:instrText> PAGE </w:instrText>
                </w:r>
                <w:r>
                  <w:rPr>
                    <w:spacing w:val="-2"/>
                    <w:sz w:val="29"/>
                  </w:rPr>
                  <w:fldChar w:fldCharType="separate"/>
                </w:r>
                <w:r>
                  <w:rPr>
                    <w:spacing w:val="-2"/>
                    <w:sz w:val="29"/>
                  </w:rPr>
                  <w:t>10</w:t>
                </w:r>
                <w:r>
                  <w:rPr>
                    <w:spacing w:val="-2"/>
                    <w:sz w:val="29"/>
                  </w:rPr>
                  <w:fldChar w:fldCharType="end"/>
                </w:r>
                <w:r>
                  <w:rPr>
                    <w:spacing w:val="-2"/>
                    <w:sz w:val="29"/>
                  </w:rPr>
                  <w:t>/13</w:t>
                </w:r>
              </w:p>
            </w:txbxContent>
          </v:textbox>
          <w10:wrap type="none"/>
        </v:shape>
      </w:pict>
    </w:r>
    <w:r>
      <w:rPr/>
      <w:pict>
        <v:shape style="position:absolute;margin-left:778.539978pt;margin-top:560.636719pt;width:63.4pt;height:34.7pt;mso-position-horizontal-relative:page;mso-position-vertical-relative:page;z-index:-24151552" type="#_x0000_t202" id="docshape175" filled="false" stroked="false">
          <v:textbox inset="0,0,0,0">
            <w:txbxContent>
              <w:p>
                <w:pPr>
                  <w:spacing w:before="21"/>
                  <w:ind w:left="60" w:right="0" w:firstLine="0"/>
                  <w:jc w:val="left"/>
                  <w:rPr>
                    <w:sz w:val="22"/>
                  </w:rPr>
                </w:pPr>
                <w:r>
                  <w:rPr>
                    <w:spacing w:val="-5"/>
                    <w:sz w:val="22"/>
                  </w:rPr>
                  <w:fldChar w:fldCharType="begin"/>
                </w:r>
                <w:r>
                  <w:rPr>
                    <w:spacing w:val="-5"/>
                    <w:sz w:val="22"/>
                  </w:rPr>
                  <w:instrText> PAGE </w:instrText>
                </w:r>
                <w:r>
                  <w:rPr>
                    <w:spacing w:val="-5"/>
                    <w:sz w:val="22"/>
                  </w:rPr>
                  <w:fldChar w:fldCharType="separate"/>
                </w:r>
                <w:r>
                  <w:rPr>
                    <w:spacing w:val="-5"/>
                    <w:sz w:val="22"/>
                  </w:rPr>
                  <w:t>10</w:t>
                </w:r>
                <w:r>
                  <w:rPr>
                    <w:spacing w:val="-5"/>
                    <w:sz w:val="22"/>
                  </w:rPr>
                  <w:fldChar w:fldCharType="end"/>
                </w:r>
              </w:p>
              <w:p>
                <w:pPr>
                  <w:spacing w:before="33"/>
                  <w:ind w:left="230" w:right="0" w:firstLine="0"/>
                  <w:jc w:val="left"/>
                  <w:rPr>
                    <w:sz w:val="29"/>
                  </w:rPr>
                </w:pPr>
                <w:r>
                  <w:rPr>
                    <w:spacing w:val="-6"/>
                    <w:sz w:val="29"/>
                  </w:rPr>
                  <w:t>48/179</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822.256409pt;width:44pt;height:19.7pt;mso-position-horizontal-relative:page;mso-position-vertical-relative:page;z-index:-24151040" type="#_x0000_t202" id="docshape178" filled="false" stroked="false">
          <v:textbox inset="0,0,0,0">
            <w:txbxContent>
              <w:p>
                <w:pPr>
                  <w:spacing w:before="21"/>
                  <w:ind w:left="20" w:right="0" w:firstLine="0"/>
                  <w:jc w:val="left"/>
                  <w:rPr>
                    <w:sz w:val="29"/>
                  </w:rPr>
                </w:pPr>
                <w:r>
                  <w:rPr>
                    <w:spacing w:val="-5"/>
                    <w:sz w:val="29"/>
                  </w:rPr>
                  <w:t>12/13</w:t>
                </w:r>
              </w:p>
            </w:txbxContent>
          </v:textbox>
          <w10:wrap type="none"/>
        </v:shape>
      </w:pict>
    </w:r>
    <w:r>
      <w:rPr/>
      <w:pict>
        <v:shape style="position:absolute;margin-left:542.460632pt;margin-top:822.256409pt;width:52.9pt;height:19.7pt;mso-position-horizontal-relative:page;mso-position-vertical-relative:page;z-index:-24150528" type="#_x0000_t202" id="docshape179" filled="false" stroked="false">
          <v:textbox inset="0,0,0,0">
            <w:txbxContent>
              <w:p>
                <w:pPr>
                  <w:spacing w:before="21"/>
                  <w:ind w:left="20" w:right="0" w:firstLine="0"/>
                  <w:jc w:val="left"/>
                  <w:rPr>
                    <w:sz w:val="29"/>
                  </w:rPr>
                </w:pPr>
                <w:r>
                  <w:rPr>
                    <w:spacing w:val="-6"/>
                    <w:sz w:val="29"/>
                  </w:rPr>
                  <w:t>50/179</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822.256409pt;width:44pt;height:19.7pt;mso-position-horizontal-relative:page;mso-position-vertical-relative:page;z-index:-24150016" type="#_x0000_t202" id="docshape193" filled="false" stroked="false">
          <v:textbox inset="0,0,0,0">
            <w:txbxContent>
              <w:p>
                <w:pPr>
                  <w:spacing w:before="21"/>
                  <w:ind w:left="20" w:right="0" w:firstLine="0"/>
                  <w:jc w:val="left"/>
                  <w:rPr>
                    <w:sz w:val="29"/>
                  </w:rPr>
                </w:pPr>
                <w:r>
                  <w:rPr>
                    <w:spacing w:val="-5"/>
                    <w:sz w:val="29"/>
                  </w:rPr>
                  <w:t>13/13</w:t>
                </w:r>
              </w:p>
            </w:txbxContent>
          </v:textbox>
          <w10:wrap type="none"/>
        </v:shape>
      </w:pict>
    </w:r>
    <w:r>
      <w:rPr/>
      <w:pict>
        <v:shape style="position:absolute;margin-left:542.460571pt;margin-top:822.256409pt;width:52.9pt;height:19.7pt;mso-position-horizontal-relative:page;mso-position-vertical-relative:page;z-index:-24149504" type="#_x0000_t202" id="docshape194" filled="false" stroked="false">
          <v:textbox inset="0,0,0,0">
            <w:txbxContent>
              <w:p>
                <w:pPr>
                  <w:spacing w:before="21"/>
                  <w:ind w:left="20" w:right="0" w:firstLine="0"/>
                  <w:jc w:val="left"/>
                  <w:rPr>
                    <w:sz w:val="29"/>
                  </w:rPr>
                </w:pPr>
                <w:r>
                  <w:rPr>
                    <w:spacing w:val="-6"/>
                    <w:sz w:val="29"/>
                  </w:rPr>
                  <w:t>51/179</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822.256409pt;width:35.1pt;height:19.7pt;mso-position-horizontal-relative:page;mso-position-vertical-relative:page;z-index:-24148992" type="#_x0000_t202" id="docshape197" filled="false" stroked="false">
          <v:textbox inset="0,0,0,0">
            <w:txbxContent>
              <w:p>
                <w:pPr>
                  <w:spacing w:before="21"/>
                  <w:ind w:left="20" w:right="0" w:firstLine="0"/>
                  <w:jc w:val="left"/>
                  <w:rPr>
                    <w:sz w:val="29"/>
                  </w:rPr>
                </w:pPr>
                <w:r>
                  <w:rPr>
                    <w:spacing w:val="-5"/>
                    <w:sz w:val="29"/>
                  </w:rPr>
                  <w:t>1/16</w:t>
                </w:r>
              </w:p>
            </w:txbxContent>
          </v:textbox>
          <w10:wrap type="none"/>
        </v:shape>
      </w:pict>
    </w:r>
    <w:r>
      <w:rPr/>
      <w:pict>
        <v:shape style="position:absolute;margin-left:542.460632pt;margin-top:822.256409pt;width:52.9pt;height:19.7pt;mso-position-horizontal-relative:page;mso-position-vertical-relative:page;z-index:-24148480" type="#_x0000_t202" id="docshape198" filled="false" stroked="false">
          <v:textbox inset="0,0,0,0">
            <w:txbxContent>
              <w:p>
                <w:pPr>
                  <w:spacing w:before="21"/>
                  <w:ind w:left="20" w:right="0" w:firstLine="0"/>
                  <w:jc w:val="left"/>
                  <w:rPr>
                    <w:sz w:val="29"/>
                  </w:rPr>
                </w:pPr>
                <w:r>
                  <w:rPr>
                    <w:spacing w:val="-6"/>
                    <w:sz w:val="29"/>
                  </w:rPr>
                  <w:t>52/179</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pt;margin-top:529.731567pt;width:152.25pt;height:31pt;mso-position-horizontal-relative:page;mso-position-vertical-relative:page;z-index:-24188416" type="#_x0000_t202" id="docshape20" filled="false" stroked="false">
          <v:textbox inset="0,0,0,0">
            <w:txbxContent>
              <w:p>
                <w:pPr>
                  <w:pStyle w:val="BodyText"/>
                  <w:spacing w:before="20"/>
                  <w:ind w:left="20"/>
                </w:pPr>
                <w:r>
                  <w:rPr/>
                  <w:t>NWSSP</w:t>
                </w:r>
                <w:r>
                  <w:rPr>
                    <w:spacing w:val="-4"/>
                  </w:rPr>
                  <w:t> </w:t>
                </w:r>
                <w:r>
                  <w:rPr/>
                  <w:t>Audit</w:t>
                </w:r>
                <w:r>
                  <w:rPr>
                    <w:spacing w:val="-2"/>
                  </w:rPr>
                  <w:t> Committee</w:t>
                </w:r>
              </w:p>
              <w:p>
                <w:pPr>
                  <w:spacing w:before="20"/>
                  <w:ind w:left="20" w:right="0" w:firstLine="0"/>
                  <w:jc w:val="left"/>
                  <w:rPr>
                    <w:sz w:val="22"/>
                  </w:rPr>
                </w:pPr>
                <w:r>
                  <w:rPr>
                    <w:sz w:val="22"/>
                  </w:rPr>
                  <w:t>24</w:t>
                </w:r>
                <w:r>
                  <w:rPr>
                    <w:spacing w:val="-2"/>
                    <w:sz w:val="22"/>
                  </w:rPr>
                  <w:t> </w:t>
                </w:r>
                <w:r>
                  <w:rPr>
                    <w:sz w:val="22"/>
                  </w:rPr>
                  <w:t>January</w:t>
                </w:r>
                <w:r>
                  <w:rPr>
                    <w:spacing w:val="-2"/>
                    <w:sz w:val="22"/>
                  </w:rPr>
                  <w:t> </w:t>
                </w:r>
                <w:r>
                  <w:rPr>
                    <w:spacing w:val="-4"/>
                    <w:sz w:val="22"/>
                  </w:rPr>
                  <w:t>2023</w:t>
                </w:r>
              </w:p>
            </w:txbxContent>
          </v:textbox>
          <w10:wrap type="none"/>
        </v:shape>
      </w:pict>
    </w:r>
    <w:r>
      <w:rPr/>
      <w:pict>
        <v:shape style="position:absolute;margin-left:514.678223pt;margin-top:544.315552pt;width:9.65pt;height:16.6pt;mso-position-horizontal-relative:page;mso-position-vertical-relative:page;z-index:-24187904" type="#_x0000_t202" id="docshape21" filled="false" stroked="false">
          <v:textbox inset="0,0,0,0">
            <w:txbxContent>
              <w:p>
                <w:pPr>
                  <w:pStyle w:val="BodyText"/>
                  <w:spacing w:before="20"/>
                  <w:ind w:left="20"/>
                </w:pPr>
                <w:r>
                  <w:rPr/>
                  <w:t>2</w:t>
                </w:r>
              </w:p>
            </w:txbxContent>
          </v:textbox>
          <w10:wrap type="none"/>
        </v:shape>
      </w:pict>
    </w:r>
    <w:r>
      <w:rPr/>
      <w:pict>
        <v:shape style="position:absolute;margin-left:0pt;margin-top:575.636414pt;width:26.2pt;height:19.7pt;mso-position-horizontal-relative:page;mso-position-vertical-relative:page;z-index:-24187392" type="#_x0000_t202" id="docshape22" filled="false" stroked="false">
          <v:textbox inset="0,0,0,0">
            <w:txbxContent>
              <w:p>
                <w:pPr>
                  <w:spacing w:before="21"/>
                  <w:ind w:left="20" w:right="0" w:firstLine="0"/>
                  <w:jc w:val="left"/>
                  <w:rPr>
                    <w:sz w:val="29"/>
                  </w:rPr>
                </w:pPr>
                <w:r>
                  <w:rPr>
                    <w:spacing w:val="-5"/>
                    <w:sz w:val="29"/>
                  </w:rPr>
                  <w:t>2/3</w:t>
                </w:r>
              </w:p>
            </w:txbxContent>
          </v:textbox>
          <w10:wrap type="none"/>
        </v:shape>
      </w:pict>
    </w:r>
    <w:r>
      <w:rPr/>
      <w:pict>
        <v:shape style="position:absolute;margin-left:797.94104pt;margin-top:575.636414pt;width:44pt;height:19.7pt;mso-position-horizontal-relative:page;mso-position-vertical-relative:page;z-index:-24186880" type="#_x0000_t202" id="docshape23" filled="false" stroked="false">
          <v:textbox inset="0,0,0,0">
            <w:txbxContent>
              <w:p>
                <w:pPr>
                  <w:spacing w:before="21"/>
                  <w:ind w:left="20" w:right="0" w:firstLine="0"/>
                  <w:jc w:val="left"/>
                  <w:rPr>
                    <w:sz w:val="29"/>
                  </w:rPr>
                </w:pPr>
                <w:r>
                  <w:rPr>
                    <w:spacing w:val="-5"/>
                    <w:sz w:val="29"/>
                  </w:rPr>
                  <w:t>9/179</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2pt;margin-top:822.256409pt;width:37.1pt;height:19.7pt;mso-position-horizontal-relative:page;mso-position-vertical-relative:page;z-index:-24147968" type="#_x0000_t202" id="docshape199" filled="false" stroked="false">
          <v:textbox inset="0,0,0,0">
            <w:txbxContent>
              <w:p>
                <w:pPr>
                  <w:spacing w:before="21"/>
                  <w:ind w:left="60" w:right="0" w:firstLine="0"/>
                  <w:jc w:val="left"/>
                  <w:rPr>
                    <w:sz w:val="29"/>
                  </w:rPr>
                </w:pPr>
                <w:r>
                  <w:rPr>
                    <w:spacing w:val="-5"/>
                    <w:sz w:val="29"/>
                  </w:rPr>
                  <w:fldChar w:fldCharType="begin"/>
                </w:r>
                <w:r>
                  <w:rPr>
                    <w:spacing w:val="-5"/>
                    <w:sz w:val="29"/>
                  </w:rPr>
                  <w:instrText> PAGE </w:instrText>
                </w:r>
                <w:r>
                  <w:rPr>
                    <w:spacing w:val="-5"/>
                    <w:sz w:val="29"/>
                  </w:rPr>
                  <w:fldChar w:fldCharType="separate"/>
                </w:r>
                <w:r>
                  <w:rPr>
                    <w:spacing w:val="-5"/>
                    <w:sz w:val="29"/>
                  </w:rPr>
                  <w:t>2</w:t>
                </w:r>
                <w:r>
                  <w:rPr>
                    <w:spacing w:val="-5"/>
                    <w:sz w:val="29"/>
                  </w:rPr>
                  <w:fldChar w:fldCharType="end"/>
                </w:r>
                <w:r>
                  <w:rPr>
                    <w:spacing w:val="-5"/>
                    <w:sz w:val="29"/>
                  </w:rPr>
                  <w:t>/16</w:t>
                </w:r>
              </w:p>
            </w:txbxContent>
          </v:textbox>
          <w10:wrap type="none"/>
        </v:shape>
      </w:pict>
    </w:r>
    <w:r>
      <w:rPr/>
      <w:pict>
        <v:shape style="position:absolute;margin-left:542.460632pt;margin-top:822.256409pt;width:52.9pt;height:19.7pt;mso-position-horizontal-relative:page;mso-position-vertical-relative:page;z-index:-24147456" type="#_x0000_t202" id="docshape200" filled="false" stroked="false">
          <v:textbox inset="0,0,0,0">
            <w:txbxContent>
              <w:p>
                <w:pPr>
                  <w:spacing w:before="21"/>
                  <w:ind w:left="20" w:right="0" w:firstLine="0"/>
                  <w:jc w:val="left"/>
                  <w:rPr>
                    <w:sz w:val="29"/>
                  </w:rPr>
                </w:pPr>
                <w:r>
                  <w:rPr>
                    <w:spacing w:val="-6"/>
                    <w:sz w:val="29"/>
                  </w:rPr>
                  <w:t>53/179</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320002pt;margin-top:793.415955pt;width:531.7pt;height:1.45pt;mso-position-horizontal-relative:page;mso-position-vertical-relative:page;z-index:-24146944" id="docshape215" coordorigin="566,15868" coordsize="10634,29" path="m11200,15868l5972,15868,5943,15868,566,15868,566,15897,5943,15897,5972,15897,11200,15897,11200,15868xe" filled="true" fillcolor="#000000" stroked="false">
          <v:path arrowok="t"/>
          <v:fill type="solid"/>
          <w10:wrap type="none"/>
        </v:shape>
      </w:pict>
    </w:r>
    <w:r>
      <w:rPr/>
      <w:pict>
        <v:shape style="position:absolute;margin-left:0pt;margin-top:807.236694pt;width:243.05pt;height:34.7pt;mso-position-horizontal-relative:page;mso-position-vertical-relative:page;z-index:-24146432" type="#_x0000_t202" id="docshape216" filled="false" stroked="false">
          <v:textbox inset="0,0,0,0">
            <w:txbxContent>
              <w:p>
                <w:pPr>
                  <w:spacing w:before="21"/>
                  <w:ind w:left="674" w:right="0" w:firstLine="0"/>
                  <w:jc w:val="left"/>
                  <w:rPr>
                    <w:sz w:val="22"/>
                  </w:rPr>
                </w:pPr>
                <w:r>
                  <w:rPr>
                    <w:sz w:val="22"/>
                  </w:rPr>
                  <w:t>NWSSP</w:t>
                </w:r>
                <w:r>
                  <w:rPr>
                    <w:spacing w:val="-4"/>
                    <w:sz w:val="22"/>
                  </w:rPr>
                  <w:t> </w:t>
                </w:r>
                <w:r>
                  <w:rPr>
                    <w:sz w:val="22"/>
                  </w:rPr>
                  <w:t>Audit</w:t>
                </w:r>
                <w:r>
                  <w:rPr>
                    <w:spacing w:val="-6"/>
                    <w:sz w:val="22"/>
                  </w:rPr>
                  <w:t> </w:t>
                </w:r>
                <w:r>
                  <w:rPr>
                    <w:sz w:val="22"/>
                  </w:rPr>
                  <w:t>and</w:t>
                </w:r>
                <w:r>
                  <w:rPr>
                    <w:spacing w:val="-5"/>
                    <w:sz w:val="22"/>
                  </w:rPr>
                  <w:t> </w:t>
                </w:r>
                <w:r>
                  <w:rPr>
                    <w:sz w:val="22"/>
                  </w:rPr>
                  <w:t>Assurance</w:t>
                </w:r>
                <w:r>
                  <w:rPr>
                    <w:spacing w:val="-4"/>
                    <w:sz w:val="22"/>
                  </w:rPr>
                  <w:t> </w:t>
                </w:r>
                <w:r>
                  <w:rPr>
                    <w:spacing w:val="-2"/>
                    <w:sz w:val="22"/>
                  </w:rPr>
                  <w:t>Services</w:t>
                </w:r>
              </w:p>
              <w:p>
                <w:pPr>
                  <w:spacing w:before="33"/>
                  <w:ind w:left="20" w:right="0" w:firstLine="0"/>
                  <w:jc w:val="left"/>
                  <w:rPr>
                    <w:sz w:val="29"/>
                  </w:rPr>
                </w:pPr>
                <w:r>
                  <w:rPr>
                    <w:spacing w:val="-4"/>
                    <w:sz w:val="29"/>
                  </w:rPr>
                  <w:t>4/16</w:t>
                </w:r>
              </w:p>
            </w:txbxContent>
          </v:textbox>
          <w10:wrap type="none"/>
        </v:shape>
      </w:pict>
    </w:r>
    <w:r>
      <w:rPr/>
      <w:pict>
        <v:shape style="position:absolute;margin-left:542.460632pt;margin-top:807.236694pt;width:52.9pt;height:34.7pt;mso-position-horizontal-relative:page;mso-position-vertical-relative:page;z-index:-24145920" type="#_x0000_t202" id="docshape217" filled="false" stroked="false">
          <v:textbox inset="0,0,0,0">
            <w:txbxContent>
              <w:p>
                <w:pPr>
                  <w:spacing w:before="21"/>
                  <w:ind w:left="106" w:right="0" w:firstLine="0"/>
                  <w:jc w:val="left"/>
                  <w:rPr>
                    <w:sz w:val="22"/>
                  </w:rPr>
                </w:pPr>
                <w:r>
                  <w:rPr>
                    <w:w w:val="100"/>
                    <w:sz w:val="22"/>
                  </w:rPr>
                  <w:t>4</w:t>
                </w:r>
              </w:p>
              <w:p>
                <w:pPr>
                  <w:spacing w:before="33"/>
                  <w:ind w:left="20" w:right="0" w:firstLine="0"/>
                  <w:jc w:val="left"/>
                  <w:rPr>
                    <w:sz w:val="29"/>
                  </w:rPr>
                </w:pPr>
                <w:r>
                  <w:rPr>
                    <w:spacing w:val="-6"/>
                    <w:sz w:val="29"/>
                  </w:rPr>
                  <w:t>55/179</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320002pt;margin-top:793.415955pt;width:531.7pt;height:1.45pt;mso-position-horizontal-relative:page;mso-position-vertical-relative:page;z-index:-24145408" id="docshape223" coordorigin="566,15868" coordsize="10634,29" path="m11200,15868l5972,15868,5943,15868,566,15868,566,15897,5943,15897,5972,15897,11200,15897,11200,15868xe" filled="true" fillcolor="#000000" stroked="false">
          <v:path arrowok="t"/>
          <v:fill type="solid"/>
          <w10:wrap type="none"/>
        </v:shape>
      </w:pict>
    </w:r>
    <w:r>
      <w:rPr/>
      <w:pict>
        <v:shape style="position:absolute;margin-left:0pt;margin-top:807.236694pt;width:243.05pt;height:34.7pt;mso-position-horizontal-relative:page;mso-position-vertical-relative:page;z-index:-24144896" type="#_x0000_t202" id="docshape224" filled="false" stroked="false">
          <v:textbox inset="0,0,0,0">
            <w:txbxContent>
              <w:p>
                <w:pPr>
                  <w:spacing w:before="21"/>
                  <w:ind w:left="674" w:right="0" w:firstLine="0"/>
                  <w:jc w:val="left"/>
                  <w:rPr>
                    <w:sz w:val="22"/>
                  </w:rPr>
                </w:pPr>
                <w:r>
                  <w:rPr>
                    <w:sz w:val="22"/>
                  </w:rPr>
                  <w:t>NWSSP</w:t>
                </w:r>
                <w:r>
                  <w:rPr>
                    <w:spacing w:val="-4"/>
                    <w:sz w:val="22"/>
                  </w:rPr>
                  <w:t> </w:t>
                </w:r>
                <w:r>
                  <w:rPr>
                    <w:sz w:val="22"/>
                  </w:rPr>
                  <w:t>Audit</w:t>
                </w:r>
                <w:r>
                  <w:rPr>
                    <w:spacing w:val="-6"/>
                    <w:sz w:val="22"/>
                  </w:rPr>
                  <w:t> </w:t>
                </w:r>
                <w:r>
                  <w:rPr>
                    <w:sz w:val="22"/>
                  </w:rPr>
                  <w:t>and</w:t>
                </w:r>
                <w:r>
                  <w:rPr>
                    <w:spacing w:val="-5"/>
                    <w:sz w:val="22"/>
                  </w:rPr>
                  <w:t> </w:t>
                </w:r>
                <w:r>
                  <w:rPr>
                    <w:sz w:val="22"/>
                  </w:rPr>
                  <w:t>Assurance</w:t>
                </w:r>
                <w:r>
                  <w:rPr>
                    <w:spacing w:val="-4"/>
                    <w:sz w:val="22"/>
                  </w:rPr>
                  <w:t> </w:t>
                </w:r>
                <w:r>
                  <w:rPr>
                    <w:spacing w:val="-2"/>
                    <w:sz w:val="22"/>
                  </w:rPr>
                  <w:t>Services</w:t>
                </w:r>
              </w:p>
              <w:p>
                <w:pPr>
                  <w:spacing w:before="33"/>
                  <w:ind w:left="20" w:right="0" w:firstLine="0"/>
                  <w:jc w:val="left"/>
                  <w:rPr>
                    <w:sz w:val="29"/>
                  </w:rPr>
                </w:pPr>
                <w:r>
                  <w:rPr>
                    <w:spacing w:val="-4"/>
                    <w:sz w:val="29"/>
                  </w:rPr>
                  <w:t>5/16</w:t>
                </w:r>
              </w:p>
            </w:txbxContent>
          </v:textbox>
          <w10:wrap type="none"/>
        </v:shape>
      </w:pict>
    </w:r>
    <w:r>
      <w:rPr/>
      <w:pict>
        <v:shape style="position:absolute;margin-left:542.460632pt;margin-top:807.236694pt;width:52.9pt;height:34.7pt;mso-position-horizontal-relative:page;mso-position-vertical-relative:page;z-index:-24144384" type="#_x0000_t202" id="docshape225" filled="false" stroked="false">
          <v:textbox inset="0,0,0,0">
            <w:txbxContent>
              <w:p>
                <w:pPr>
                  <w:spacing w:before="21"/>
                  <w:ind w:left="106" w:right="0" w:firstLine="0"/>
                  <w:jc w:val="left"/>
                  <w:rPr>
                    <w:sz w:val="22"/>
                  </w:rPr>
                </w:pPr>
                <w:r>
                  <w:rPr>
                    <w:w w:val="100"/>
                    <w:sz w:val="22"/>
                  </w:rPr>
                  <w:t>5</w:t>
                </w:r>
              </w:p>
              <w:p>
                <w:pPr>
                  <w:spacing w:before="33"/>
                  <w:ind w:left="20" w:right="0" w:firstLine="0"/>
                  <w:jc w:val="left"/>
                  <w:rPr>
                    <w:sz w:val="29"/>
                  </w:rPr>
                </w:pPr>
                <w:r>
                  <w:rPr>
                    <w:spacing w:val="-6"/>
                    <w:sz w:val="29"/>
                  </w:rPr>
                  <w:t>56/179</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320002pt;margin-top:793.415955pt;width:531.7pt;height:1.45pt;mso-position-horizontal-relative:page;mso-position-vertical-relative:page;z-index:-24143872" id="docshape227" coordorigin="566,15868" coordsize="10634,29" path="m11200,15868l5972,15868,5943,15868,566,15868,566,15897,5943,15897,5972,15897,11200,15897,11200,15868xe" filled="true" fillcolor="#000000" stroked="false">
          <v:path arrowok="t"/>
          <v:fill type="solid"/>
          <w10:wrap type="none"/>
        </v:shape>
      </w:pict>
    </w:r>
    <w:r>
      <w:rPr/>
      <w:pict>
        <v:shape style="position:absolute;margin-left:-2pt;margin-top:807.236694pt;width:245.05pt;height:34.7pt;mso-position-horizontal-relative:page;mso-position-vertical-relative:page;z-index:-24143360" type="#_x0000_t202" id="docshape228" filled="false" stroked="false">
          <v:textbox inset="0,0,0,0">
            <w:txbxContent>
              <w:p>
                <w:pPr>
                  <w:spacing w:before="21"/>
                  <w:ind w:left="714" w:right="0" w:firstLine="0"/>
                  <w:jc w:val="left"/>
                  <w:rPr>
                    <w:sz w:val="22"/>
                  </w:rPr>
                </w:pPr>
                <w:r>
                  <w:rPr>
                    <w:sz w:val="22"/>
                  </w:rPr>
                  <w:t>NWSSP</w:t>
                </w:r>
                <w:r>
                  <w:rPr>
                    <w:spacing w:val="-4"/>
                    <w:sz w:val="22"/>
                  </w:rPr>
                  <w:t> </w:t>
                </w:r>
                <w:r>
                  <w:rPr>
                    <w:sz w:val="22"/>
                  </w:rPr>
                  <w:t>Audit</w:t>
                </w:r>
                <w:r>
                  <w:rPr>
                    <w:spacing w:val="-6"/>
                    <w:sz w:val="22"/>
                  </w:rPr>
                  <w:t> </w:t>
                </w:r>
                <w:r>
                  <w:rPr>
                    <w:sz w:val="22"/>
                  </w:rPr>
                  <w:t>and</w:t>
                </w:r>
                <w:r>
                  <w:rPr>
                    <w:spacing w:val="-5"/>
                    <w:sz w:val="22"/>
                  </w:rPr>
                  <w:t> </w:t>
                </w:r>
                <w:r>
                  <w:rPr>
                    <w:sz w:val="22"/>
                  </w:rPr>
                  <w:t>Assurance</w:t>
                </w:r>
                <w:r>
                  <w:rPr>
                    <w:spacing w:val="-4"/>
                    <w:sz w:val="22"/>
                  </w:rPr>
                  <w:t> </w:t>
                </w:r>
                <w:r>
                  <w:rPr>
                    <w:spacing w:val="-2"/>
                    <w:sz w:val="22"/>
                  </w:rPr>
                  <w:t>Services</w:t>
                </w:r>
              </w:p>
              <w:p>
                <w:pPr>
                  <w:spacing w:before="33"/>
                  <w:ind w:left="60" w:right="0" w:firstLine="0"/>
                  <w:jc w:val="left"/>
                  <w:rPr>
                    <w:sz w:val="29"/>
                  </w:rPr>
                </w:pPr>
                <w:r>
                  <w:rPr>
                    <w:spacing w:val="-4"/>
                    <w:sz w:val="29"/>
                  </w:rPr>
                  <w:fldChar w:fldCharType="begin"/>
                </w:r>
                <w:r>
                  <w:rPr>
                    <w:spacing w:val="-4"/>
                    <w:sz w:val="29"/>
                  </w:rPr>
                  <w:instrText> PAGE </w:instrText>
                </w:r>
                <w:r>
                  <w:rPr>
                    <w:spacing w:val="-4"/>
                    <w:sz w:val="29"/>
                  </w:rPr>
                  <w:fldChar w:fldCharType="separate"/>
                </w:r>
                <w:r>
                  <w:rPr>
                    <w:spacing w:val="-4"/>
                    <w:sz w:val="29"/>
                  </w:rPr>
                  <w:t>6</w:t>
                </w:r>
                <w:r>
                  <w:rPr>
                    <w:spacing w:val="-4"/>
                    <w:sz w:val="29"/>
                  </w:rPr>
                  <w:fldChar w:fldCharType="end"/>
                </w:r>
                <w:r>
                  <w:rPr>
                    <w:spacing w:val="-4"/>
                    <w:sz w:val="29"/>
                  </w:rPr>
                  <w:t>/16</w:t>
                </w:r>
              </w:p>
            </w:txbxContent>
          </v:textbox>
          <w10:wrap type="none"/>
        </v:shape>
      </w:pict>
    </w:r>
    <w:r>
      <w:rPr/>
      <w:pict>
        <v:shape style="position:absolute;margin-left:540.460632pt;margin-top:807.236694pt;width:54.9pt;height:34.7pt;mso-position-horizontal-relative:page;mso-position-vertical-relative:page;z-index:-24142848" type="#_x0000_t202" id="docshape229" filled="false" stroked="false">
          <v:textbox inset="0,0,0,0">
            <w:txbxContent>
              <w:p>
                <w:pPr>
                  <w:spacing w:before="21"/>
                  <w:ind w:left="146" w:right="0" w:firstLine="0"/>
                  <w:jc w:val="left"/>
                  <w:rPr>
                    <w:sz w:val="22"/>
                  </w:rPr>
                </w:pPr>
                <w:r>
                  <w:rPr>
                    <w:w w:val="100"/>
                    <w:sz w:val="22"/>
                  </w:rPr>
                  <w:fldChar w:fldCharType="begin"/>
                </w:r>
                <w:r>
                  <w:rPr>
                    <w:w w:val="100"/>
                    <w:sz w:val="22"/>
                  </w:rPr>
                  <w:instrText> PAGE </w:instrText>
                </w:r>
                <w:r>
                  <w:rPr>
                    <w:w w:val="100"/>
                    <w:sz w:val="22"/>
                  </w:rPr>
                  <w:fldChar w:fldCharType="separate"/>
                </w:r>
                <w:r>
                  <w:rPr>
                    <w:w w:val="100"/>
                    <w:sz w:val="22"/>
                  </w:rPr>
                  <w:t>6</w:t>
                </w:r>
                <w:r>
                  <w:rPr>
                    <w:w w:val="100"/>
                    <w:sz w:val="22"/>
                  </w:rPr>
                  <w:fldChar w:fldCharType="end"/>
                </w:r>
              </w:p>
              <w:p>
                <w:pPr>
                  <w:spacing w:before="33"/>
                  <w:ind w:left="60" w:right="0" w:firstLine="0"/>
                  <w:jc w:val="left"/>
                  <w:rPr>
                    <w:sz w:val="29"/>
                  </w:rPr>
                </w:pPr>
                <w:r>
                  <w:rPr>
                    <w:spacing w:val="-6"/>
                    <w:sz w:val="29"/>
                  </w:rPr>
                  <w:fldChar w:fldCharType="begin"/>
                </w:r>
                <w:r>
                  <w:rPr>
                    <w:spacing w:val="-6"/>
                    <w:sz w:val="29"/>
                  </w:rPr>
                  <w:instrText> PAGE </w:instrText>
                </w:r>
                <w:r>
                  <w:rPr>
                    <w:spacing w:val="-6"/>
                    <w:sz w:val="29"/>
                  </w:rPr>
                  <w:fldChar w:fldCharType="separate"/>
                </w:r>
                <w:r>
                  <w:rPr>
                    <w:spacing w:val="-6"/>
                    <w:sz w:val="29"/>
                  </w:rPr>
                  <w:t>57</w:t>
                </w:r>
                <w:r>
                  <w:rPr>
                    <w:spacing w:val="-6"/>
                    <w:sz w:val="29"/>
                  </w:rPr>
                  <w:fldChar w:fldCharType="end"/>
                </w:r>
                <w:r>
                  <w:rPr>
                    <w:spacing w:val="-6"/>
                    <w:sz w:val="29"/>
                  </w:rPr>
                  <w:t>/179</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320002pt;margin-top:793.415955pt;width:531.7pt;height:1.45pt;mso-position-horizontal-relative:page;mso-position-vertical-relative:page;z-index:-24142336" id="docshape232" coordorigin="566,15868" coordsize="10634,29" path="m11200,15868l5972,15868,5943,15868,566,15868,566,15897,5943,15897,5972,15897,11200,15897,11200,15868xe" filled="true" fillcolor="#000000" stroked="false">
          <v:path arrowok="t"/>
          <v:fill type="solid"/>
          <w10:wrap type="none"/>
        </v:shape>
      </w:pict>
    </w:r>
    <w:r>
      <w:rPr/>
      <w:pict>
        <v:shape style="position:absolute;margin-left:-2pt;margin-top:807.236694pt;width:245.05pt;height:34.7pt;mso-position-horizontal-relative:page;mso-position-vertical-relative:page;z-index:-24141824" type="#_x0000_t202" id="docshape233" filled="false" stroked="false">
          <v:textbox inset="0,0,0,0">
            <w:txbxContent>
              <w:p>
                <w:pPr>
                  <w:spacing w:before="21"/>
                  <w:ind w:left="714" w:right="0" w:firstLine="0"/>
                  <w:jc w:val="left"/>
                  <w:rPr>
                    <w:sz w:val="22"/>
                  </w:rPr>
                </w:pPr>
                <w:r>
                  <w:rPr>
                    <w:sz w:val="22"/>
                  </w:rPr>
                  <w:t>NWSSP</w:t>
                </w:r>
                <w:r>
                  <w:rPr>
                    <w:spacing w:val="-4"/>
                    <w:sz w:val="22"/>
                  </w:rPr>
                  <w:t> </w:t>
                </w:r>
                <w:r>
                  <w:rPr>
                    <w:sz w:val="22"/>
                  </w:rPr>
                  <w:t>Audit</w:t>
                </w:r>
                <w:r>
                  <w:rPr>
                    <w:spacing w:val="-6"/>
                    <w:sz w:val="22"/>
                  </w:rPr>
                  <w:t> </w:t>
                </w:r>
                <w:r>
                  <w:rPr>
                    <w:sz w:val="22"/>
                  </w:rPr>
                  <w:t>and</w:t>
                </w:r>
                <w:r>
                  <w:rPr>
                    <w:spacing w:val="-5"/>
                    <w:sz w:val="22"/>
                  </w:rPr>
                  <w:t> </w:t>
                </w:r>
                <w:r>
                  <w:rPr>
                    <w:sz w:val="22"/>
                  </w:rPr>
                  <w:t>Assurance</w:t>
                </w:r>
                <w:r>
                  <w:rPr>
                    <w:spacing w:val="-4"/>
                    <w:sz w:val="22"/>
                  </w:rPr>
                  <w:t> </w:t>
                </w:r>
                <w:r>
                  <w:rPr>
                    <w:spacing w:val="-2"/>
                    <w:sz w:val="22"/>
                  </w:rPr>
                  <w:t>Services</w:t>
                </w:r>
              </w:p>
              <w:p>
                <w:pPr>
                  <w:spacing w:before="33"/>
                  <w:ind w:left="60" w:right="0" w:firstLine="0"/>
                  <w:jc w:val="left"/>
                  <w:rPr>
                    <w:sz w:val="29"/>
                  </w:rPr>
                </w:pPr>
                <w:r>
                  <w:rPr>
                    <w:spacing w:val="-4"/>
                    <w:sz w:val="29"/>
                  </w:rPr>
                  <w:fldChar w:fldCharType="begin"/>
                </w:r>
                <w:r>
                  <w:rPr>
                    <w:spacing w:val="-4"/>
                    <w:sz w:val="29"/>
                  </w:rPr>
                  <w:instrText> PAGE </w:instrText>
                </w:r>
                <w:r>
                  <w:rPr>
                    <w:spacing w:val="-4"/>
                    <w:sz w:val="29"/>
                  </w:rPr>
                  <w:fldChar w:fldCharType="separate"/>
                </w:r>
                <w:r>
                  <w:rPr>
                    <w:spacing w:val="-4"/>
                    <w:sz w:val="29"/>
                  </w:rPr>
                  <w:t>7</w:t>
                </w:r>
                <w:r>
                  <w:rPr>
                    <w:spacing w:val="-4"/>
                    <w:sz w:val="29"/>
                  </w:rPr>
                  <w:fldChar w:fldCharType="end"/>
                </w:r>
                <w:r>
                  <w:rPr>
                    <w:spacing w:val="-4"/>
                    <w:sz w:val="29"/>
                  </w:rPr>
                  <w:t>/16</w:t>
                </w:r>
              </w:p>
            </w:txbxContent>
          </v:textbox>
          <w10:wrap type="none"/>
        </v:shape>
      </w:pict>
    </w:r>
    <w:r>
      <w:rPr/>
      <w:pict>
        <v:shape style="position:absolute;margin-left:540.460632pt;margin-top:807.236694pt;width:54.9pt;height:34.7pt;mso-position-horizontal-relative:page;mso-position-vertical-relative:page;z-index:-24141312" type="#_x0000_t202" id="docshape234" filled="false" stroked="false">
          <v:textbox inset="0,0,0,0">
            <w:txbxContent>
              <w:p>
                <w:pPr>
                  <w:spacing w:before="21"/>
                  <w:ind w:left="146" w:right="0" w:firstLine="0"/>
                  <w:jc w:val="left"/>
                  <w:rPr>
                    <w:sz w:val="22"/>
                  </w:rPr>
                </w:pPr>
                <w:r>
                  <w:rPr>
                    <w:w w:val="100"/>
                    <w:sz w:val="22"/>
                  </w:rPr>
                  <w:fldChar w:fldCharType="begin"/>
                </w:r>
                <w:r>
                  <w:rPr>
                    <w:w w:val="100"/>
                    <w:sz w:val="22"/>
                  </w:rPr>
                  <w:instrText> PAGE </w:instrText>
                </w:r>
                <w:r>
                  <w:rPr>
                    <w:w w:val="100"/>
                    <w:sz w:val="22"/>
                  </w:rPr>
                  <w:fldChar w:fldCharType="separate"/>
                </w:r>
                <w:r>
                  <w:rPr>
                    <w:w w:val="100"/>
                    <w:sz w:val="22"/>
                  </w:rPr>
                  <w:t>7</w:t>
                </w:r>
                <w:r>
                  <w:rPr>
                    <w:w w:val="100"/>
                    <w:sz w:val="22"/>
                  </w:rPr>
                  <w:fldChar w:fldCharType="end"/>
                </w:r>
              </w:p>
              <w:p>
                <w:pPr>
                  <w:spacing w:before="33"/>
                  <w:ind w:left="60" w:right="0" w:firstLine="0"/>
                  <w:jc w:val="left"/>
                  <w:rPr>
                    <w:sz w:val="29"/>
                  </w:rPr>
                </w:pPr>
                <w:r>
                  <w:rPr>
                    <w:spacing w:val="-6"/>
                    <w:sz w:val="29"/>
                  </w:rPr>
                  <w:fldChar w:fldCharType="begin"/>
                </w:r>
                <w:r>
                  <w:rPr>
                    <w:spacing w:val="-6"/>
                    <w:sz w:val="29"/>
                  </w:rPr>
                  <w:instrText> PAGE </w:instrText>
                </w:r>
                <w:r>
                  <w:rPr>
                    <w:spacing w:val="-6"/>
                    <w:sz w:val="29"/>
                  </w:rPr>
                  <w:fldChar w:fldCharType="separate"/>
                </w:r>
                <w:r>
                  <w:rPr>
                    <w:spacing w:val="-6"/>
                    <w:sz w:val="29"/>
                  </w:rPr>
                  <w:t>58</w:t>
                </w:r>
                <w:r>
                  <w:rPr>
                    <w:spacing w:val="-6"/>
                    <w:sz w:val="29"/>
                  </w:rPr>
                  <w:fldChar w:fldCharType="end"/>
                </w:r>
                <w:r>
                  <w:rPr>
                    <w:spacing w:val="-6"/>
                    <w:sz w:val="29"/>
                  </w:rPr>
                  <w:t>/179</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320002pt;margin-top:793.415955pt;width:531.7pt;height:1.45pt;mso-position-horizontal-relative:page;mso-position-vertical-relative:page;z-index:-24140800" id="docshape236" coordorigin="566,15868" coordsize="10634,29" path="m11200,15868l5972,15868,5943,15868,566,15868,566,15897,5943,15897,5972,15897,11200,15897,11200,15868xe" filled="true" fillcolor="#000000" stroked="false">
          <v:path arrowok="t"/>
          <v:fill type="solid"/>
          <w10:wrap type="none"/>
        </v:shape>
      </w:pict>
    </w:r>
    <w:r>
      <w:rPr/>
      <w:pict>
        <v:shape style="position:absolute;margin-left:-2pt;margin-top:807.236694pt;width:245.05pt;height:34.7pt;mso-position-horizontal-relative:page;mso-position-vertical-relative:page;z-index:-24140288" type="#_x0000_t202" id="docshape237" filled="false" stroked="false">
          <v:textbox inset="0,0,0,0">
            <w:txbxContent>
              <w:p>
                <w:pPr>
                  <w:spacing w:before="21"/>
                  <w:ind w:left="714" w:right="0" w:firstLine="0"/>
                  <w:jc w:val="left"/>
                  <w:rPr>
                    <w:sz w:val="22"/>
                  </w:rPr>
                </w:pPr>
                <w:r>
                  <w:rPr>
                    <w:sz w:val="22"/>
                  </w:rPr>
                  <w:t>NWSSP</w:t>
                </w:r>
                <w:r>
                  <w:rPr>
                    <w:spacing w:val="-4"/>
                    <w:sz w:val="22"/>
                  </w:rPr>
                  <w:t> </w:t>
                </w:r>
                <w:r>
                  <w:rPr>
                    <w:sz w:val="22"/>
                  </w:rPr>
                  <w:t>Audit</w:t>
                </w:r>
                <w:r>
                  <w:rPr>
                    <w:spacing w:val="-6"/>
                    <w:sz w:val="22"/>
                  </w:rPr>
                  <w:t> </w:t>
                </w:r>
                <w:r>
                  <w:rPr>
                    <w:sz w:val="22"/>
                  </w:rPr>
                  <w:t>and</w:t>
                </w:r>
                <w:r>
                  <w:rPr>
                    <w:spacing w:val="-5"/>
                    <w:sz w:val="22"/>
                  </w:rPr>
                  <w:t> </w:t>
                </w:r>
                <w:r>
                  <w:rPr>
                    <w:sz w:val="22"/>
                  </w:rPr>
                  <w:t>Assurance</w:t>
                </w:r>
                <w:r>
                  <w:rPr>
                    <w:spacing w:val="-4"/>
                    <w:sz w:val="22"/>
                  </w:rPr>
                  <w:t> </w:t>
                </w:r>
                <w:r>
                  <w:rPr>
                    <w:spacing w:val="-2"/>
                    <w:sz w:val="22"/>
                  </w:rPr>
                  <w:t>Services</w:t>
                </w:r>
              </w:p>
              <w:p>
                <w:pPr>
                  <w:spacing w:before="33"/>
                  <w:ind w:left="60" w:right="0" w:firstLine="0"/>
                  <w:jc w:val="left"/>
                  <w:rPr>
                    <w:sz w:val="29"/>
                  </w:rPr>
                </w:pPr>
                <w:r>
                  <w:rPr>
                    <w:spacing w:val="-4"/>
                    <w:sz w:val="29"/>
                  </w:rPr>
                  <w:fldChar w:fldCharType="begin"/>
                </w:r>
                <w:r>
                  <w:rPr>
                    <w:spacing w:val="-4"/>
                    <w:sz w:val="29"/>
                  </w:rPr>
                  <w:instrText> PAGE </w:instrText>
                </w:r>
                <w:r>
                  <w:rPr>
                    <w:spacing w:val="-4"/>
                    <w:sz w:val="29"/>
                  </w:rPr>
                  <w:fldChar w:fldCharType="separate"/>
                </w:r>
                <w:r>
                  <w:rPr>
                    <w:spacing w:val="-4"/>
                    <w:sz w:val="29"/>
                  </w:rPr>
                  <w:t>8</w:t>
                </w:r>
                <w:r>
                  <w:rPr>
                    <w:spacing w:val="-4"/>
                    <w:sz w:val="29"/>
                  </w:rPr>
                  <w:fldChar w:fldCharType="end"/>
                </w:r>
                <w:r>
                  <w:rPr>
                    <w:spacing w:val="-4"/>
                    <w:sz w:val="29"/>
                  </w:rPr>
                  <w:t>/16</w:t>
                </w:r>
              </w:p>
            </w:txbxContent>
          </v:textbox>
          <w10:wrap type="none"/>
        </v:shape>
      </w:pict>
    </w:r>
    <w:r>
      <w:rPr/>
      <w:pict>
        <v:shape style="position:absolute;margin-left:540.460632pt;margin-top:807.236694pt;width:54.9pt;height:34.7pt;mso-position-horizontal-relative:page;mso-position-vertical-relative:page;z-index:-24139776" type="#_x0000_t202" id="docshape238" filled="false" stroked="false">
          <v:textbox inset="0,0,0,0">
            <w:txbxContent>
              <w:p>
                <w:pPr>
                  <w:spacing w:before="21"/>
                  <w:ind w:left="146" w:right="0" w:firstLine="0"/>
                  <w:jc w:val="left"/>
                  <w:rPr>
                    <w:sz w:val="22"/>
                  </w:rPr>
                </w:pPr>
                <w:r>
                  <w:rPr>
                    <w:w w:val="100"/>
                    <w:sz w:val="22"/>
                  </w:rPr>
                  <w:fldChar w:fldCharType="begin"/>
                </w:r>
                <w:r>
                  <w:rPr>
                    <w:w w:val="100"/>
                    <w:sz w:val="22"/>
                  </w:rPr>
                  <w:instrText> PAGE </w:instrText>
                </w:r>
                <w:r>
                  <w:rPr>
                    <w:w w:val="100"/>
                    <w:sz w:val="22"/>
                  </w:rPr>
                  <w:fldChar w:fldCharType="separate"/>
                </w:r>
                <w:r>
                  <w:rPr>
                    <w:w w:val="100"/>
                    <w:sz w:val="22"/>
                  </w:rPr>
                  <w:t>8</w:t>
                </w:r>
                <w:r>
                  <w:rPr>
                    <w:w w:val="100"/>
                    <w:sz w:val="22"/>
                  </w:rPr>
                  <w:fldChar w:fldCharType="end"/>
                </w:r>
              </w:p>
              <w:p>
                <w:pPr>
                  <w:spacing w:before="33"/>
                  <w:ind w:left="60" w:right="0" w:firstLine="0"/>
                  <w:jc w:val="left"/>
                  <w:rPr>
                    <w:sz w:val="29"/>
                  </w:rPr>
                </w:pPr>
                <w:r>
                  <w:rPr>
                    <w:spacing w:val="-6"/>
                    <w:sz w:val="29"/>
                  </w:rPr>
                  <w:fldChar w:fldCharType="begin"/>
                </w:r>
                <w:r>
                  <w:rPr>
                    <w:spacing w:val="-6"/>
                    <w:sz w:val="29"/>
                  </w:rPr>
                  <w:instrText> PAGE </w:instrText>
                </w:r>
                <w:r>
                  <w:rPr>
                    <w:spacing w:val="-6"/>
                    <w:sz w:val="29"/>
                  </w:rPr>
                  <w:fldChar w:fldCharType="separate"/>
                </w:r>
                <w:r>
                  <w:rPr>
                    <w:spacing w:val="-6"/>
                    <w:sz w:val="29"/>
                  </w:rPr>
                  <w:t>59</w:t>
                </w:r>
                <w:r>
                  <w:rPr>
                    <w:spacing w:val="-6"/>
                    <w:sz w:val="29"/>
                  </w:rPr>
                  <w:fldChar w:fldCharType="end"/>
                </w:r>
                <w:r>
                  <w:rPr>
                    <w:spacing w:val="-6"/>
                    <w:sz w:val="29"/>
                  </w:rPr>
                  <w:t>/179</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320002pt;margin-top:793.415955pt;width:531.7pt;height:1.45pt;mso-position-horizontal-relative:page;mso-position-vertical-relative:page;z-index:-24139264" id="docshape266" coordorigin="566,15868" coordsize="10634,29" path="m11200,15868l5972,15868,5943,15868,566,15868,566,15897,5943,15897,5972,15897,11200,15897,11200,15868xe" filled="true" fillcolor="#000000" stroked="false">
          <v:path arrowok="t"/>
          <v:fill type="solid"/>
          <w10:wrap type="none"/>
        </v:shape>
      </w:pict>
    </w:r>
    <w:r>
      <w:rPr/>
      <w:pict>
        <v:shape style="position:absolute;margin-left:0pt;margin-top:807.236694pt;width:243.05pt;height:34.7pt;mso-position-horizontal-relative:page;mso-position-vertical-relative:page;z-index:-24138752" type="#_x0000_t202" id="docshape267" filled="false" stroked="false">
          <v:textbox inset="0,0,0,0">
            <w:txbxContent>
              <w:p>
                <w:pPr>
                  <w:spacing w:before="21"/>
                  <w:ind w:left="674" w:right="0" w:firstLine="0"/>
                  <w:jc w:val="left"/>
                  <w:rPr>
                    <w:sz w:val="22"/>
                  </w:rPr>
                </w:pPr>
                <w:r>
                  <w:rPr>
                    <w:sz w:val="22"/>
                  </w:rPr>
                  <w:t>NWSSP</w:t>
                </w:r>
                <w:r>
                  <w:rPr>
                    <w:spacing w:val="-4"/>
                    <w:sz w:val="22"/>
                  </w:rPr>
                  <w:t> </w:t>
                </w:r>
                <w:r>
                  <w:rPr>
                    <w:sz w:val="22"/>
                  </w:rPr>
                  <w:t>Audit</w:t>
                </w:r>
                <w:r>
                  <w:rPr>
                    <w:spacing w:val="-6"/>
                    <w:sz w:val="22"/>
                  </w:rPr>
                  <w:t> </w:t>
                </w:r>
                <w:r>
                  <w:rPr>
                    <w:sz w:val="22"/>
                  </w:rPr>
                  <w:t>and</w:t>
                </w:r>
                <w:r>
                  <w:rPr>
                    <w:spacing w:val="-5"/>
                    <w:sz w:val="22"/>
                  </w:rPr>
                  <w:t> </w:t>
                </w:r>
                <w:r>
                  <w:rPr>
                    <w:sz w:val="22"/>
                  </w:rPr>
                  <w:t>Assurance</w:t>
                </w:r>
                <w:r>
                  <w:rPr>
                    <w:spacing w:val="-4"/>
                    <w:sz w:val="22"/>
                  </w:rPr>
                  <w:t> </w:t>
                </w:r>
                <w:r>
                  <w:rPr>
                    <w:spacing w:val="-2"/>
                    <w:sz w:val="22"/>
                  </w:rPr>
                  <w:t>Services</w:t>
                </w:r>
              </w:p>
              <w:p>
                <w:pPr>
                  <w:spacing w:before="33"/>
                  <w:ind w:left="20" w:right="0" w:firstLine="0"/>
                  <w:jc w:val="left"/>
                  <w:rPr>
                    <w:sz w:val="29"/>
                  </w:rPr>
                </w:pPr>
                <w:r>
                  <w:rPr>
                    <w:spacing w:val="-4"/>
                    <w:sz w:val="29"/>
                  </w:rPr>
                  <w:t>9/16</w:t>
                </w:r>
              </w:p>
            </w:txbxContent>
          </v:textbox>
          <w10:wrap type="none"/>
        </v:shape>
      </w:pict>
    </w:r>
    <w:r>
      <w:rPr/>
      <w:pict>
        <v:shape style="position:absolute;margin-left:542.460632pt;margin-top:807.236694pt;width:52.9pt;height:34.7pt;mso-position-horizontal-relative:page;mso-position-vertical-relative:page;z-index:-24138240" type="#_x0000_t202" id="docshape268" filled="false" stroked="false">
          <v:textbox inset="0,0,0,0">
            <w:txbxContent>
              <w:p>
                <w:pPr>
                  <w:spacing w:before="21"/>
                  <w:ind w:left="106" w:right="0" w:firstLine="0"/>
                  <w:jc w:val="left"/>
                  <w:rPr>
                    <w:sz w:val="22"/>
                  </w:rPr>
                </w:pPr>
                <w:r>
                  <w:rPr>
                    <w:w w:val="100"/>
                    <w:sz w:val="22"/>
                  </w:rPr>
                  <w:t>9</w:t>
                </w:r>
              </w:p>
              <w:p>
                <w:pPr>
                  <w:spacing w:before="33"/>
                  <w:ind w:left="20" w:right="0" w:firstLine="0"/>
                  <w:jc w:val="left"/>
                  <w:rPr>
                    <w:sz w:val="29"/>
                  </w:rPr>
                </w:pPr>
                <w:r>
                  <w:rPr>
                    <w:spacing w:val="-6"/>
                    <w:sz w:val="29"/>
                  </w:rPr>
                  <w:t>60/179</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320002pt;margin-top:793.415955pt;width:531.7pt;height:1.45pt;mso-position-horizontal-relative:page;mso-position-vertical-relative:page;z-index:-24137728" id="docshape270" coordorigin="566,15868" coordsize="10634,29" path="m11200,15868l5972,15868,5943,15868,566,15868,566,15897,5943,15897,5972,15897,11200,15897,11200,15868xe" filled="true" fillcolor="#000000" stroked="false">
          <v:path arrowok="t"/>
          <v:fill type="solid"/>
          <w10:wrap type="none"/>
        </v:shape>
      </w:pict>
    </w:r>
    <w:r>
      <w:rPr/>
      <w:pict>
        <v:shape style="position:absolute;margin-left:0pt;margin-top:807.236694pt;width:243.05pt;height:34.7pt;mso-position-horizontal-relative:page;mso-position-vertical-relative:page;z-index:-24137216" type="#_x0000_t202" id="docshape271" filled="false" stroked="false">
          <v:textbox inset="0,0,0,0">
            <w:txbxContent>
              <w:p>
                <w:pPr>
                  <w:spacing w:before="21"/>
                  <w:ind w:left="674" w:right="0" w:firstLine="0"/>
                  <w:jc w:val="left"/>
                  <w:rPr>
                    <w:sz w:val="22"/>
                  </w:rPr>
                </w:pPr>
                <w:r>
                  <w:rPr>
                    <w:sz w:val="22"/>
                  </w:rPr>
                  <w:t>NWSSP</w:t>
                </w:r>
                <w:r>
                  <w:rPr>
                    <w:spacing w:val="-4"/>
                    <w:sz w:val="22"/>
                  </w:rPr>
                  <w:t> </w:t>
                </w:r>
                <w:r>
                  <w:rPr>
                    <w:sz w:val="22"/>
                  </w:rPr>
                  <w:t>Audit</w:t>
                </w:r>
                <w:r>
                  <w:rPr>
                    <w:spacing w:val="-6"/>
                    <w:sz w:val="22"/>
                  </w:rPr>
                  <w:t> </w:t>
                </w:r>
                <w:r>
                  <w:rPr>
                    <w:sz w:val="22"/>
                  </w:rPr>
                  <w:t>and</w:t>
                </w:r>
                <w:r>
                  <w:rPr>
                    <w:spacing w:val="-5"/>
                    <w:sz w:val="22"/>
                  </w:rPr>
                  <w:t> </w:t>
                </w:r>
                <w:r>
                  <w:rPr>
                    <w:sz w:val="22"/>
                  </w:rPr>
                  <w:t>Assurance</w:t>
                </w:r>
                <w:r>
                  <w:rPr>
                    <w:spacing w:val="-4"/>
                    <w:sz w:val="22"/>
                  </w:rPr>
                  <w:t> </w:t>
                </w:r>
                <w:r>
                  <w:rPr>
                    <w:spacing w:val="-2"/>
                    <w:sz w:val="22"/>
                  </w:rPr>
                  <w:t>Services</w:t>
                </w:r>
              </w:p>
              <w:p>
                <w:pPr>
                  <w:spacing w:before="33"/>
                  <w:ind w:left="20" w:right="0" w:firstLine="0"/>
                  <w:jc w:val="left"/>
                  <w:rPr>
                    <w:sz w:val="29"/>
                  </w:rPr>
                </w:pPr>
                <w:r>
                  <w:rPr>
                    <w:spacing w:val="-2"/>
                    <w:sz w:val="29"/>
                  </w:rPr>
                  <w:t>10/16</w:t>
                </w:r>
              </w:p>
            </w:txbxContent>
          </v:textbox>
          <w10:wrap type="none"/>
        </v:shape>
      </w:pict>
    </w:r>
    <w:r>
      <w:rPr/>
      <w:pict>
        <v:shape style="position:absolute;margin-left:539.700012pt;margin-top:807.236694pt;width:55.65pt;height:34.7pt;mso-position-horizontal-relative:page;mso-position-vertical-relative:page;z-index:-24136704" type="#_x0000_t202" id="docshape272" filled="false" stroked="false">
          <v:textbox inset="0,0,0,0">
            <w:txbxContent>
              <w:p>
                <w:pPr>
                  <w:spacing w:before="21"/>
                  <w:ind w:left="20" w:right="0" w:firstLine="0"/>
                  <w:jc w:val="left"/>
                  <w:rPr>
                    <w:sz w:val="22"/>
                  </w:rPr>
                </w:pPr>
                <w:r>
                  <w:rPr>
                    <w:spacing w:val="-5"/>
                    <w:sz w:val="22"/>
                  </w:rPr>
                  <w:t>10</w:t>
                </w:r>
              </w:p>
              <w:p>
                <w:pPr>
                  <w:spacing w:before="33"/>
                  <w:ind w:left="75" w:right="0" w:firstLine="0"/>
                  <w:jc w:val="left"/>
                  <w:rPr>
                    <w:sz w:val="29"/>
                  </w:rPr>
                </w:pPr>
                <w:r>
                  <w:rPr>
                    <w:spacing w:val="-6"/>
                    <w:sz w:val="29"/>
                  </w:rPr>
                  <w:t>61/179</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520pt;margin-top:546.815979pt;width:765.5pt;height:1.45pt;mso-position-horizontal-relative:page;mso-position-vertical-relative:page;z-index:-24136192" id="docshape274" coordorigin="710,10936" coordsize="15310,29" path="m16020,10936l6687,10936,6659,10936,710,10936,710,10965,6659,10965,6687,10965,16020,10965,16020,10936xe" filled="true" fillcolor="#000000" stroked="false">
          <v:path arrowok="t"/>
          <v:fill type="solid"/>
          <w10:wrap type="none"/>
        </v:shape>
      </w:pict>
    </w:r>
    <w:r>
      <w:rPr/>
      <w:pict>
        <v:shape style="position:absolute;margin-left:0pt;margin-top:560.636719pt;width:244.6pt;height:34.7pt;mso-position-horizontal-relative:page;mso-position-vertical-relative:page;z-index:-24135680" type="#_x0000_t202" id="docshape275" filled="false" stroked="false">
          <v:textbox inset="0,0,0,0">
            <w:txbxContent>
              <w:p>
                <w:pPr>
                  <w:spacing w:before="21"/>
                  <w:ind w:left="705" w:right="0" w:firstLine="0"/>
                  <w:jc w:val="left"/>
                  <w:rPr>
                    <w:sz w:val="22"/>
                  </w:rPr>
                </w:pPr>
                <w:r>
                  <w:rPr>
                    <w:sz w:val="22"/>
                  </w:rPr>
                  <w:t>NWSSP</w:t>
                </w:r>
                <w:r>
                  <w:rPr>
                    <w:spacing w:val="-4"/>
                    <w:sz w:val="22"/>
                  </w:rPr>
                  <w:t> </w:t>
                </w:r>
                <w:r>
                  <w:rPr>
                    <w:sz w:val="22"/>
                  </w:rPr>
                  <w:t>Audit</w:t>
                </w:r>
                <w:r>
                  <w:rPr>
                    <w:spacing w:val="-6"/>
                    <w:sz w:val="22"/>
                  </w:rPr>
                  <w:t> </w:t>
                </w:r>
                <w:r>
                  <w:rPr>
                    <w:sz w:val="22"/>
                  </w:rPr>
                  <w:t>and</w:t>
                </w:r>
                <w:r>
                  <w:rPr>
                    <w:spacing w:val="-5"/>
                    <w:sz w:val="22"/>
                  </w:rPr>
                  <w:t> </w:t>
                </w:r>
                <w:r>
                  <w:rPr>
                    <w:sz w:val="22"/>
                  </w:rPr>
                  <w:t>Assurance</w:t>
                </w:r>
                <w:r>
                  <w:rPr>
                    <w:spacing w:val="-4"/>
                    <w:sz w:val="22"/>
                  </w:rPr>
                  <w:t> </w:t>
                </w:r>
                <w:r>
                  <w:rPr>
                    <w:spacing w:val="-2"/>
                    <w:sz w:val="22"/>
                  </w:rPr>
                  <w:t>Services</w:t>
                </w:r>
              </w:p>
              <w:p>
                <w:pPr>
                  <w:spacing w:before="33"/>
                  <w:ind w:left="20" w:right="0" w:firstLine="0"/>
                  <w:jc w:val="left"/>
                  <w:rPr>
                    <w:sz w:val="29"/>
                  </w:rPr>
                </w:pPr>
                <w:r>
                  <w:rPr>
                    <w:spacing w:val="-2"/>
                    <w:sz w:val="29"/>
                  </w:rPr>
                  <w:t>11/16</w:t>
                </w:r>
              </w:p>
            </w:txbxContent>
          </v:textbox>
          <w10:wrap type="none"/>
        </v:shape>
      </w:pict>
    </w:r>
    <w:r>
      <w:rPr/>
      <w:pict>
        <v:shape style="position:absolute;margin-left:782.340027pt;margin-top:561.02179pt;width:59.6pt;height:34.35pt;mso-position-horizontal-relative:page;mso-position-vertical-relative:page;z-index:-24135168" type="#_x0000_t202" id="docshape276" filled="false" stroked="false">
          <v:textbox inset="0,0,0,0">
            <w:txbxContent>
              <w:p>
                <w:pPr>
                  <w:spacing w:before="13"/>
                  <w:ind w:left="20" w:right="0" w:firstLine="0"/>
                  <w:jc w:val="left"/>
                  <w:rPr>
                    <w:rFonts w:ascii="Arial"/>
                    <w:sz w:val="22"/>
                  </w:rPr>
                </w:pPr>
                <w:r>
                  <w:rPr>
                    <w:rFonts w:ascii="Arial"/>
                    <w:spacing w:val="-5"/>
                    <w:sz w:val="22"/>
                  </w:rPr>
                  <w:t>11</w:t>
                </w:r>
              </w:p>
              <w:p>
                <w:pPr>
                  <w:spacing w:before="47"/>
                  <w:ind w:left="154" w:right="0" w:firstLine="0"/>
                  <w:jc w:val="left"/>
                  <w:rPr>
                    <w:sz w:val="29"/>
                  </w:rPr>
                </w:pPr>
                <w:r>
                  <w:rPr>
                    <w:spacing w:val="-6"/>
                    <w:sz w:val="29"/>
                  </w:rPr>
                  <w:t>62/179</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520pt;margin-top:546.815979pt;width:765.5pt;height:1.45pt;mso-position-horizontal-relative:page;mso-position-vertical-relative:page;z-index:-24134656" id="docshape278" coordorigin="710,10936" coordsize="15310,29" path="m16020,10936l6687,10936,6659,10936,710,10936,710,10965,6659,10965,6687,10965,16020,10965,16020,10936xe" filled="true" fillcolor="#000000" stroked="false">
          <v:path arrowok="t"/>
          <v:fill type="solid"/>
          <w10:wrap type="none"/>
        </v:shape>
      </w:pict>
    </w:r>
    <w:r>
      <w:rPr/>
      <w:pict>
        <v:shape style="position:absolute;margin-left:-2pt;margin-top:560.636719pt;width:246.6pt;height:34.7pt;mso-position-horizontal-relative:page;mso-position-vertical-relative:page;z-index:-24134144" type="#_x0000_t202" id="docshape279" filled="false" stroked="false">
          <v:textbox inset="0,0,0,0">
            <w:txbxContent>
              <w:p>
                <w:pPr>
                  <w:spacing w:before="21"/>
                  <w:ind w:left="745" w:right="0" w:firstLine="0"/>
                  <w:jc w:val="left"/>
                  <w:rPr>
                    <w:sz w:val="22"/>
                  </w:rPr>
                </w:pPr>
                <w:r>
                  <w:rPr>
                    <w:sz w:val="22"/>
                  </w:rPr>
                  <w:t>NWSSP</w:t>
                </w:r>
                <w:r>
                  <w:rPr>
                    <w:spacing w:val="-4"/>
                    <w:sz w:val="22"/>
                  </w:rPr>
                  <w:t> </w:t>
                </w:r>
                <w:r>
                  <w:rPr>
                    <w:sz w:val="22"/>
                  </w:rPr>
                  <w:t>Audit</w:t>
                </w:r>
                <w:r>
                  <w:rPr>
                    <w:spacing w:val="-6"/>
                    <w:sz w:val="22"/>
                  </w:rPr>
                  <w:t> </w:t>
                </w:r>
                <w:r>
                  <w:rPr>
                    <w:sz w:val="22"/>
                  </w:rPr>
                  <w:t>and</w:t>
                </w:r>
                <w:r>
                  <w:rPr>
                    <w:spacing w:val="-5"/>
                    <w:sz w:val="22"/>
                  </w:rPr>
                  <w:t> </w:t>
                </w:r>
                <w:r>
                  <w:rPr>
                    <w:sz w:val="22"/>
                  </w:rPr>
                  <w:t>Assurance</w:t>
                </w:r>
                <w:r>
                  <w:rPr>
                    <w:spacing w:val="-4"/>
                    <w:sz w:val="22"/>
                  </w:rPr>
                  <w:t> </w:t>
                </w:r>
                <w:r>
                  <w:rPr>
                    <w:spacing w:val="-2"/>
                    <w:sz w:val="22"/>
                  </w:rPr>
                  <w:t>Services</w:t>
                </w:r>
              </w:p>
              <w:p>
                <w:pPr>
                  <w:spacing w:before="33"/>
                  <w:ind w:left="60" w:right="0" w:firstLine="0"/>
                  <w:jc w:val="left"/>
                  <w:rPr>
                    <w:sz w:val="29"/>
                  </w:rPr>
                </w:pPr>
                <w:r>
                  <w:rPr>
                    <w:spacing w:val="-2"/>
                    <w:sz w:val="29"/>
                  </w:rPr>
                  <w:fldChar w:fldCharType="begin"/>
                </w:r>
                <w:r>
                  <w:rPr>
                    <w:spacing w:val="-2"/>
                    <w:sz w:val="29"/>
                  </w:rPr>
                  <w:instrText> PAGE </w:instrText>
                </w:r>
                <w:r>
                  <w:rPr>
                    <w:spacing w:val="-2"/>
                    <w:sz w:val="29"/>
                  </w:rPr>
                  <w:fldChar w:fldCharType="separate"/>
                </w:r>
                <w:r>
                  <w:rPr>
                    <w:spacing w:val="-2"/>
                    <w:sz w:val="29"/>
                  </w:rPr>
                  <w:t>12</w:t>
                </w:r>
                <w:r>
                  <w:rPr>
                    <w:spacing w:val="-2"/>
                    <w:sz w:val="29"/>
                  </w:rPr>
                  <w:fldChar w:fldCharType="end"/>
                </w:r>
                <w:r>
                  <w:rPr>
                    <w:spacing w:val="-2"/>
                    <w:sz w:val="29"/>
                  </w:rPr>
                  <w:t>/16</w:t>
                </w:r>
              </w:p>
            </w:txbxContent>
          </v:textbox>
          <w10:wrap type="none"/>
        </v:shape>
      </w:pict>
    </w:r>
    <w:r>
      <w:rPr/>
      <w:pict>
        <v:shape style="position:absolute;margin-left:780.340027pt;margin-top:561.02179pt;width:61.6pt;height:34.35pt;mso-position-horizontal-relative:page;mso-position-vertical-relative:page;z-index:-24133632" type="#_x0000_t202" id="docshape280" filled="false" stroked="false">
          <v:textbox inset="0,0,0,0">
            <w:txbxContent>
              <w:p>
                <w:pPr>
                  <w:spacing w:before="13"/>
                  <w:ind w:left="60" w:right="0" w:firstLine="0"/>
                  <w:jc w:val="left"/>
                  <w:rPr>
                    <w:rFonts w:ascii="Arial"/>
                    <w:sz w:val="22"/>
                  </w:rPr>
                </w:pPr>
                <w:r>
                  <w:rPr>
                    <w:rFonts w:ascii="Arial"/>
                    <w:spacing w:val="-5"/>
                    <w:sz w:val="22"/>
                  </w:rPr>
                  <w:fldChar w:fldCharType="begin"/>
                </w:r>
                <w:r>
                  <w:rPr>
                    <w:rFonts w:ascii="Arial"/>
                    <w:spacing w:val="-5"/>
                    <w:sz w:val="22"/>
                  </w:rPr>
                  <w:instrText> PAGE </w:instrText>
                </w:r>
                <w:r>
                  <w:rPr>
                    <w:rFonts w:ascii="Arial"/>
                    <w:spacing w:val="-5"/>
                    <w:sz w:val="22"/>
                  </w:rPr>
                  <w:fldChar w:fldCharType="separate"/>
                </w:r>
                <w:r>
                  <w:rPr>
                    <w:rFonts w:ascii="Arial"/>
                    <w:spacing w:val="-5"/>
                    <w:sz w:val="22"/>
                  </w:rPr>
                  <w:t>12</w:t>
                </w:r>
                <w:r>
                  <w:rPr>
                    <w:rFonts w:ascii="Arial"/>
                    <w:spacing w:val="-5"/>
                    <w:sz w:val="22"/>
                  </w:rPr>
                  <w:fldChar w:fldCharType="end"/>
                </w:r>
              </w:p>
              <w:p>
                <w:pPr>
                  <w:spacing w:before="47"/>
                  <w:ind w:left="194" w:right="0" w:firstLine="0"/>
                  <w:jc w:val="left"/>
                  <w:rPr>
                    <w:sz w:val="29"/>
                  </w:rPr>
                </w:pPr>
                <w:r>
                  <w:rPr>
                    <w:spacing w:val="-6"/>
                    <w:sz w:val="29"/>
                  </w:rPr>
                  <w:t>63/179</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pt;margin-top:529.731567pt;width:152.25pt;height:31pt;mso-position-horizontal-relative:page;mso-position-vertical-relative:page;z-index:-24186368" type="#_x0000_t202" id="docshape24" filled="false" stroked="false">
          <v:textbox inset="0,0,0,0">
            <w:txbxContent>
              <w:p>
                <w:pPr>
                  <w:pStyle w:val="BodyText"/>
                  <w:spacing w:before="20"/>
                  <w:ind w:left="20"/>
                </w:pPr>
                <w:r>
                  <w:rPr/>
                  <w:t>NWSSP</w:t>
                </w:r>
                <w:r>
                  <w:rPr>
                    <w:spacing w:val="-4"/>
                  </w:rPr>
                  <w:t> </w:t>
                </w:r>
                <w:r>
                  <w:rPr/>
                  <w:t>Audit</w:t>
                </w:r>
                <w:r>
                  <w:rPr>
                    <w:spacing w:val="-2"/>
                  </w:rPr>
                  <w:t> Committee</w:t>
                </w:r>
              </w:p>
              <w:p>
                <w:pPr>
                  <w:spacing w:before="20"/>
                  <w:ind w:left="20" w:right="0" w:firstLine="0"/>
                  <w:jc w:val="left"/>
                  <w:rPr>
                    <w:sz w:val="22"/>
                  </w:rPr>
                </w:pPr>
                <w:r>
                  <w:rPr>
                    <w:sz w:val="22"/>
                  </w:rPr>
                  <w:t>24</w:t>
                </w:r>
                <w:r>
                  <w:rPr>
                    <w:spacing w:val="-2"/>
                    <w:sz w:val="22"/>
                  </w:rPr>
                  <w:t> </w:t>
                </w:r>
                <w:r>
                  <w:rPr>
                    <w:sz w:val="22"/>
                  </w:rPr>
                  <w:t>January</w:t>
                </w:r>
                <w:r>
                  <w:rPr>
                    <w:spacing w:val="-2"/>
                    <w:sz w:val="22"/>
                  </w:rPr>
                  <w:t> </w:t>
                </w:r>
                <w:r>
                  <w:rPr>
                    <w:spacing w:val="-4"/>
                    <w:sz w:val="22"/>
                  </w:rPr>
                  <w:t>2023</w:t>
                </w:r>
              </w:p>
            </w:txbxContent>
          </v:textbox>
          <w10:wrap type="none"/>
        </v:shape>
      </w:pict>
    </w:r>
    <w:r>
      <w:rPr/>
      <w:pict>
        <v:shape style="position:absolute;margin-left:514.678223pt;margin-top:544.315552pt;width:9.65pt;height:16.6pt;mso-position-horizontal-relative:page;mso-position-vertical-relative:page;z-index:-24185856" type="#_x0000_t202" id="docshape25" filled="false" stroked="false">
          <v:textbox inset="0,0,0,0">
            <w:txbxContent>
              <w:p>
                <w:pPr>
                  <w:pStyle w:val="BodyText"/>
                  <w:spacing w:before="20"/>
                  <w:ind w:left="20"/>
                </w:pPr>
                <w:r>
                  <w:rPr/>
                  <w:t>3</w:t>
                </w:r>
              </w:p>
            </w:txbxContent>
          </v:textbox>
          <w10:wrap type="none"/>
        </v:shape>
      </w:pict>
    </w:r>
    <w:r>
      <w:rPr/>
      <w:pict>
        <v:shape style="position:absolute;margin-left:0pt;margin-top:575.636414pt;width:26.2pt;height:19.7pt;mso-position-horizontal-relative:page;mso-position-vertical-relative:page;z-index:-24185344" type="#_x0000_t202" id="docshape26" filled="false" stroked="false">
          <v:textbox inset="0,0,0,0">
            <w:txbxContent>
              <w:p>
                <w:pPr>
                  <w:spacing w:before="21"/>
                  <w:ind w:left="20" w:right="0" w:firstLine="0"/>
                  <w:jc w:val="left"/>
                  <w:rPr>
                    <w:sz w:val="29"/>
                  </w:rPr>
                </w:pPr>
                <w:r>
                  <w:rPr>
                    <w:spacing w:val="-5"/>
                    <w:sz w:val="29"/>
                  </w:rPr>
                  <w:t>3/3</w:t>
                </w:r>
              </w:p>
            </w:txbxContent>
          </v:textbox>
          <w10:wrap type="none"/>
        </v:shape>
      </w:pict>
    </w:r>
    <w:r>
      <w:rPr/>
      <w:pict>
        <v:shape style="position:absolute;margin-left:789.040649pt;margin-top:575.636414pt;width:52.9pt;height:19.7pt;mso-position-horizontal-relative:page;mso-position-vertical-relative:page;z-index:-24184832" type="#_x0000_t202" id="docshape27" filled="false" stroked="false">
          <v:textbox inset="0,0,0,0">
            <w:txbxContent>
              <w:p>
                <w:pPr>
                  <w:spacing w:before="21"/>
                  <w:ind w:left="20" w:right="0" w:firstLine="0"/>
                  <w:jc w:val="left"/>
                  <w:rPr>
                    <w:sz w:val="29"/>
                  </w:rPr>
                </w:pPr>
                <w:r>
                  <w:rPr>
                    <w:spacing w:val="-6"/>
                    <w:sz w:val="29"/>
                  </w:rPr>
                  <w:t>10/179</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822.256409pt;width:44pt;height:19.7pt;mso-position-horizontal-relative:page;mso-position-vertical-relative:page;z-index:-24133120" type="#_x0000_t202" id="docshape284" filled="false" stroked="false">
          <v:textbox inset="0,0,0,0">
            <w:txbxContent>
              <w:p>
                <w:pPr>
                  <w:spacing w:before="21"/>
                  <w:ind w:left="20" w:right="0" w:firstLine="0"/>
                  <w:jc w:val="left"/>
                  <w:rPr>
                    <w:sz w:val="29"/>
                  </w:rPr>
                </w:pPr>
                <w:r>
                  <w:rPr>
                    <w:spacing w:val="-5"/>
                    <w:sz w:val="29"/>
                  </w:rPr>
                  <w:t>15/16</w:t>
                </w:r>
              </w:p>
            </w:txbxContent>
          </v:textbox>
          <w10:wrap type="none"/>
        </v:shape>
      </w:pict>
    </w:r>
    <w:r>
      <w:rPr/>
      <w:pict>
        <v:shape style="position:absolute;margin-left:542.460632pt;margin-top:822.256409pt;width:52.9pt;height:19.7pt;mso-position-horizontal-relative:page;mso-position-vertical-relative:page;z-index:-24132608" type="#_x0000_t202" id="docshape285" filled="false" stroked="false">
          <v:textbox inset="0,0,0,0">
            <w:txbxContent>
              <w:p>
                <w:pPr>
                  <w:spacing w:before="21"/>
                  <w:ind w:left="20" w:right="0" w:firstLine="0"/>
                  <w:jc w:val="left"/>
                  <w:rPr>
                    <w:sz w:val="29"/>
                  </w:rPr>
                </w:pPr>
                <w:r>
                  <w:rPr>
                    <w:spacing w:val="-6"/>
                    <w:sz w:val="29"/>
                  </w:rPr>
                  <w:t>66/179</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822.256409pt;width:44pt;height:19.7pt;mso-position-horizontal-relative:page;mso-position-vertical-relative:page;z-index:-24132096" type="#_x0000_t202" id="docshape299" filled="false" stroked="false">
          <v:textbox inset="0,0,0,0">
            <w:txbxContent>
              <w:p>
                <w:pPr>
                  <w:spacing w:before="21"/>
                  <w:ind w:left="20" w:right="0" w:firstLine="0"/>
                  <w:jc w:val="left"/>
                  <w:rPr>
                    <w:sz w:val="29"/>
                  </w:rPr>
                </w:pPr>
                <w:r>
                  <w:rPr>
                    <w:spacing w:val="-5"/>
                    <w:sz w:val="29"/>
                  </w:rPr>
                  <w:t>16/16</w:t>
                </w:r>
              </w:p>
            </w:txbxContent>
          </v:textbox>
          <w10:wrap type="none"/>
        </v:shape>
      </w:pict>
    </w:r>
    <w:r>
      <w:rPr/>
      <w:pict>
        <v:shape style="position:absolute;margin-left:542.460571pt;margin-top:822.256409pt;width:52.9pt;height:19.7pt;mso-position-horizontal-relative:page;mso-position-vertical-relative:page;z-index:-24131584" type="#_x0000_t202" id="docshape300" filled="false" stroked="false">
          <v:textbox inset="0,0,0,0">
            <w:txbxContent>
              <w:p>
                <w:pPr>
                  <w:spacing w:before="21"/>
                  <w:ind w:left="20" w:right="0" w:firstLine="0"/>
                  <w:jc w:val="left"/>
                  <w:rPr>
                    <w:sz w:val="29"/>
                  </w:rPr>
                </w:pPr>
                <w:r>
                  <w:rPr>
                    <w:spacing w:val="-6"/>
                    <w:sz w:val="29"/>
                  </w:rPr>
                  <w:t>67/179</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822.23645pt;width:26.2pt;height:19.7pt;mso-position-horizontal-relative:page;mso-position-vertical-relative:page;z-index:-24131072" type="#_x0000_t202" id="docshape306" filled="false" stroked="false">
          <v:textbox inset="0,0,0,0">
            <w:txbxContent>
              <w:p>
                <w:pPr>
                  <w:spacing w:before="21"/>
                  <w:ind w:left="20" w:right="0" w:firstLine="0"/>
                  <w:jc w:val="left"/>
                  <w:rPr>
                    <w:sz w:val="29"/>
                  </w:rPr>
                </w:pPr>
                <w:r>
                  <w:rPr>
                    <w:spacing w:val="-5"/>
                    <w:sz w:val="29"/>
                  </w:rPr>
                  <w:t>1/8</w:t>
                </w:r>
              </w:p>
            </w:txbxContent>
          </v:textbox>
          <w10:wrap type="none"/>
        </v:shape>
      </w:pict>
    </w:r>
    <w:r>
      <w:rPr/>
      <w:pict>
        <v:shape style="position:absolute;margin-left:542.440613pt;margin-top:822.23645pt;width:52.9pt;height:19.7pt;mso-position-horizontal-relative:page;mso-position-vertical-relative:page;z-index:-24130560" type="#_x0000_t202" id="docshape307" filled="false" stroked="false">
          <v:textbox inset="0,0,0,0">
            <w:txbxContent>
              <w:p>
                <w:pPr>
                  <w:spacing w:before="21"/>
                  <w:ind w:left="20" w:right="0" w:firstLine="0"/>
                  <w:jc w:val="left"/>
                  <w:rPr>
                    <w:sz w:val="29"/>
                  </w:rPr>
                </w:pPr>
                <w:r>
                  <w:rPr>
                    <w:spacing w:val="-6"/>
                    <w:sz w:val="29"/>
                  </w:rPr>
                  <w:t>68/179</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3.869019pt;margin-top:780.529297pt;width:7.6pt;height:13.2pt;mso-position-horizontal-relative:page;mso-position-vertical-relative:page;z-index:-24130048" type="#_x0000_t202" id="docshape311" filled="false" stroked="false">
          <v:textbox inset="0,0,0,0">
            <w:txbxContent>
              <w:p>
                <w:pPr>
                  <w:spacing w:before="13"/>
                  <w:ind w:left="20" w:right="0" w:firstLine="0"/>
                  <w:jc w:val="left"/>
                  <w:rPr>
                    <w:rFonts w:ascii="Arial"/>
                    <w:sz w:val="20"/>
                  </w:rPr>
                </w:pPr>
                <w:r>
                  <w:rPr>
                    <w:rFonts w:ascii="Arial"/>
                    <w:sz w:val="20"/>
                  </w:rPr>
                  <w:t>2</w:t>
                </w:r>
              </w:p>
            </w:txbxContent>
          </v:textbox>
          <w10:wrap type="none"/>
        </v:shape>
      </w:pict>
    </w:r>
    <w:r>
      <w:rPr/>
      <w:pict>
        <v:shape style="position:absolute;margin-left:0pt;margin-top:822.23645pt;width:26.2pt;height:19.7pt;mso-position-horizontal-relative:page;mso-position-vertical-relative:page;z-index:-24129536" type="#_x0000_t202" id="docshape312" filled="false" stroked="false">
          <v:textbox inset="0,0,0,0">
            <w:txbxContent>
              <w:p>
                <w:pPr>
                  <w:spacing w:before="21"/>
                  <w:ind w:left="20" w:right="0" w:firstLine="0"/>
                  <w:jc w:val="left"/>
                  <w:rPr>
                    <w:sz w:val="29"/>
                  </w:rPr>
                </w:pPr>
                <w:r>
                  <w:rPr>
                    <w:spacing w:val="-5"/>
                    <w:sz w:val="29"/>
                  </w:rPr>
                  <w:t>2/8</w:t>
                </w:r>
              </w:p>
            </w:txbxContent>
          </v:textbox>
          <w10:wrap type="none"/>
        </v:shape>
      </w:pict>
    </w:r>
    <w:r>
      <w:rPr/>
      <w:pict>
        <v:shape style="position:absolute;margin-left:542.440613pt;margin-top:822.23645pt;width:52.9pt;height:19.7pt;mso-position-horizontal-relative:page;mso-position-vertical-relative:page;z-index:-24129024" type="#_x0000_t202" id="docshape313" filled="false" stroked="false">
          <v:textbox inset="0,0,0,0">
            <w:txbxContent>
              <w:p>
                <w:pPr>
                  <w:spacing w:before="21"/>
                  <w:ind w:left="20" w:right="0" w:firstLine="0"/>
                  <w:jc w:val="left"/>
                  <w:rPr>
                    <w:sz w:val="29"/>
                  </w:rPr>
                </w:pPr>
                <w:r>
                  <w:rPr>
                    <w:spacing w:val="-6"/>
                    <w:sz w:val="29"/>
                  </w:rPr>
                  <w:t>69/179</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869019pt;margin-top:780.529297pt;width:12.6pt;height:13.2pt;mso-position-horizontal-relative:page;mso-position-vertical-relative:page;z-index:-24128512" type="#_x0000_t202" id="docshape314" filled="false" stroked="false">
          <v:textbox inset="0,0,0,0">
            <w:txbxContent>
              <w:p>
                <w:pPr>
                  <w:spacing w:before="13"/>
                  <w:ind w:left="60" w:right="0" w:firstLine="0"/>
                  <w:jc w:val="left"/>
                  <w:rPr>
                    <w:rFonts w:ascii="Arial"/>
                    <w:sz w:val="20"/>
                  </w:rPr>
                </w:pPr>
                <w:r>
                  <w:rPr>
                    <w:rFonts w:ascii="Arial"/>
                    <w:sz w:val="20"/>
                  </w:rPr>
                  <w:fldChar w:fldCharType="begin"/>
                </w:r>
                <w:r>
                  <w:rPr>
                    <w:rFonts w:ascii="Arial"/>
                    <w:sz w:val="20"/>
                  </w:rPr>
                  <w:instrText> PAGE </w:instrText>
                </w:r>
                <w:r>
                  <w:rPr>
                    <w:rFonts w:ascii="Arial"/>
                    <w:sz w:val="20"/>
                  </w:rPr>
                  <w:fldChar w:fldCharType="separate"/>
                </w:r>
                <w:r>
                  <w:rPr>
                    <w:rFonts w:ascii="Arial"/>
                    <w:sz w:val="20"/>
                  </w:rPr>
                  <w:t>3</w:t>
                </w:r>
                <w:r>
                  <w:rPr>
                    <w:rFonts w:ascii="Arial"/>
                    <w:sz w:val="20"/>
                  </w:rPr>
                  <w:fldChar w:fldCharType="end"/>
                </w:r>
              </w:p>
            </w:txbxContent>
          </v:textbox>
          <w10:wrap type="none"/>
        </v:shape>
      </w:pict>
    </w:r>
    <w:r>
      <w:rPr/>
      <w:pict>
        <v:shape style="position:absolute;margin-left:-2pt;margin-top:822.23645pt;width:28.2pt;height:19.7pt;mso-position-horizontal-relative:page;mso-position-vertical-relative:page;z-index:-24128000" type="#_x0000_t202" id="docshape315" filled="false" stroked="false">
          <v:textbox inset="0,0,0,0">
            <w:txbxContent>
              <w:p>
                <w:pPr>
                  <w:spacing w:before="21"/>
                  <w:ind w:left="60" w:right="0" w:firstLine="0"/>
                  <w:jc w:val="left"/>
                  <w:rPr>
                    <w:sz w:val="29"/>
                  </w:rPr>
                </w:pPr>
                <w:r>
                  <w:rPr>
                    <w:spacing w:val="-5"/>
                    <w:sz w:val="29"/>
                  </w:rPr>
                  <w:fldChar w:fldCharType="begin"/>
                </w:r>
                <w:r>
                  <w:rPr>
                    <w:spacing w:val="-5"/>
                    <w:sz w:val="29"/>
                  </w:rPr>
                  <w:instrText> PAGE </w:instrText>
                </w:r>
                <w:r>
                  <w:rPr>
                    <w:spacing w:val="-5"/>
                    <w:sz w:val="29"/>
                  </w:rPr>
                  <w:fldChar w:fldCharType="separate"/>
                </w:r>
                <w:r>
                  <w:rPr>
                    <w:spacing w:val="-5"/>
                    <w:sz w:val="29"/>
                  </w:rPr>
                  <w:t>3</w:t>
                </w:r>
                <w:r>
                  <w:rPr>
                    <w:spacing w:val="-5"/>
                    <w:sz w:val="29"/>
                  </w:rPr>
                  <w:fldChar w:fldCharType="end"/>
                </w:r>
                <w:r>
                  <w:rPr>
                    <w:spacing w:val="-5"/>
                    <w:sz w:val="29"/>
                  </w:rPr>
                  <w:t>/8</w:t>
                </w:r>
              </w:p>
            </w:txbxContent>
          </v:textbox>
          <w10:wrap type="none"/>
        </v:shape>
      </w:pict>
    </w:r>
    <w:r>
      <w:rPr/>
      <w:pict>
        <v:shape style="position:absolute;margin-left:542.440613pt;margin-top:822.23645pt;width:52.9pt;height:19.7pt;mso-position-horizontal-relative:page;mso-position-vertical-relative:page;z-index:-24127488" type="#_x0000_t202" id="docshape316" filled="false" stroked="false">
          <v:textbox inset="0,0,0,0">
            <w:txbxContent>
              <w:p>
                <w:pPr>
                  <w:spacing w:before="21"/>
                  <w:ind w:left="20" w:right="0" w:firstLine="0"/>
                  <w:jc w:val="left"/>
                  <w:rPr>
                    <w:sz w:val="29"/>
                  </w:rPr>
                </w:pPr>
                <w:r>
                  <w:rPr>
                    <w:spacing w:val="-6"/>
                    <w:sz w:val="29"/>
                  </w:rPr>
                  <w:t>70/179</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3.869019pt;margin-top:780.529297pt;width:7.6pt;height:13.2pt;mso-position-horizontal-relative:page;mso-position-vertical-relative:page;z-index:-24126976" type="#_x0000_t202" id="docshape317" filled="false" stroked="false">
          <v:textbox inset="0,0,0,0">
            <w:txbxContent>
              <w:p>
                <w:pPr>
                  <w:spacing w:before="13"/>
                  <w:ind w:left="20" w:right="0" w:firstLine="0"/>
                  <w:jc w:val="left"/>
                  <w:rPr>
                    <w:rFonts w:ascii="Arial"/>
                    <w:sz w:val="20"/>
                  </w:rPr>
                </w:pPr>
                <w:r>
                  <w:rPr>
                    <w:rFonts w:ascii="Arial"/>
                    <w:sz w:val="20"/>
                  </w:rPr>
                  <w:t>6</w:t>
                </w:r>
              </w:p>
            </w:txbxContent>
          </v:textbox>
          <w10:wrap type="none"/>
        </v:shape>
      </w:pict>
    </w:r>
    <w:r>
      <w:rPr/>
      <w:pict>
        <v:shape style="position:absolute;margin-left:0pt;margin-top:822.23645pt;width:26.2pt;height:19.7pt;mso-position-horizontal-relative:page;mso-position-vertical-relative:page;z-index:-24126464" type="#_x0000_t202" id="docshape318" filled="false" stroked="false">
          <v:textbox inset="0,0,0,0">
            <w:txbxContent>
              <w:p>
                <w:pPr>
                  <w:spacing w:before="21"/>
                  <w:ind w:left="20" w:right="0" w:firstLine="0"/>
                  <w:jc w:val="left"/>
                  <w:rPr>
                    <w:sz w:val="29"/>
                  </w:rPr>
                </w:pPr>
                <w:r>
                  <w:rPr>
                    <w:spacing w:val="-5"/>
                    <w:sz w:val="29"/>
                  </w:rPr>
                  <w:t>6/8</w:t>
                </w:r>
              </w:p>
            </w:txbxContent>
          </v:textbox>
          <w10:wrap type="none"/>
        </v:shape>
      </w:pict>
    </w:r>
    <w:r>
      <w:rPr/>
      <w:pict>
        <v:shape style="position:absolute;margin-left:542.440613pt;margin-top:822.23645pt;width:52.9pt;height:19.7pt;mso-position-horizontal-relative:page;mso-position-vertical-relative:page;z-index:-24125952" type="#_x0000_t202" id="docshape319" filled="false" stroked="false">
          <v:textbox inset="0,0,0,0">
            <w:txbxContent>
              <w:p>
                <w:pPr>
                  <w:spacing w:before="21"/>
                  <w:ind w:left="20" w:right="0" w:firstLine="0"/>
                  <w:jc w:val="left"/>
                  <w:rPr>
                    <w:sz w:val="29"/>
                  </w:rPr>
                </w:pPr>
                <w:r>
                  <w:rPr>
                    <w:spacing w:val="-6"/>
                    <w:sz w:val="29"/>
                  </w:rPr>
                  <w:t>73/179</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869019pt;margin-top:780.529297pt;width:12.6pt;height:13.2pt;mso-position-horizontal-relative:page;mso-position-vertical-relative:page;z-index:-24125440" type="#_x0000_t202" id="docshape320" filled="false" stroked="false">
          <v:textbox inset="0,0,0,0">
            <w:txbxContent>
              <w:p>
                <w:pPr>
                  <w:spacing w:before="13"/>
                  <w:ind w:left="60" w:right="0" w:firstLine="0"/>
                  <w:jc w:val="left"/>
                  <w:rPr>
                    <w:rFonts w:ascii="Arial"/>
                    <w:sz w:val="20"/>
                  </w:rPr>
                </w:pPr>
                <w:r>
                  <w:rPr>
                    <w:rFonts w:ascii="Arial"/>
                    <w:sz w:val="20"/>
                  </w:rPr>
                  <w:fldChar w:fldCharType="begin"/>
                </w:r>
                <w:r>
                  <w:rPr>
                    <w:rFonts w:ascii="Arial"/>
                    <w:sz w:val="20"/>
                  </w:rPr>
                  <w:instrText> PAGE </w:instrText>
                </w:r>
                <w:r>
                  <w:rPr>
                    <w:rFonts w:ascii="Arial"/>
                    <w:sz w:val="20"/>
                  </w:rPr>
                  <w:fldChar w:fldCharType="separate"/>
                </w:r>
                <w:r>
                  <w:rPr>
                    <w:rFonts w:ascii="Arial"/>
                    <w:sz w:val="20"/>
                  </w:rPr>
                  <w:t>7</w:t>
                </w:r>
                <w:r>
                  <w:rPr>
                    <w:rFonts w:ascii="Arial"/>
                    <w:sz w:val="20"/>
                  </w:rPr>
                  <w:fldChar w:fldCharType="end"/>
                </w:r>
              </w:p>
            </w:txbxContent>
          </v:textbox>
          <w10:wrap type="none"/>
        </v:shape>
      </w:pict>
    </w:r>
    <w:r>
      <w:rPr/>
      <w:pict>
        <v:shape style="position:absolute;margin-left:-2pt;margin-top:822.23645pt;width:28.2pt;height:19.7pt;mso-position-horizontal-relative:page;mso-position-vertical-relative:page;z-index:-24124928" type="#_x0000_t202" id="docshape321" filled="false" stroked="false">
          <v:textbox inset="0,0,0,0">
            <w:txbxContent>
              <w:p>
                <w:pPr>
                  <w:spacing w:before="21"/>
                  <w:ind w:left="60" w:right="0" w:firstLine="0"/>
                  <w:jc w:val="left"/>
                  <w:rPr>
                    <w:sz w:val="29"/>
                  </w:rPr>
                </w:pPr>
                <w:r>
                  <w:rPr>
                    <w:spacing w:val="-5"/>
                    <w:sz w:val="29"/>
                  </w:rPr>
                  <w:fldChar w:fldCharType="begin"/>
                </w:r>
                <w:r>
                  <w:rPr>
                    <w:spacing w:val="-5"/>
                    <w:sz w:val="29"/>
                  </w:rPr>
                  <w:instrText> PAGE </w:instrText>
                </w:r>
                <w:r>
                  <w:rPr>
                    <w:spacing w:val="-5"/>
                    <w:sz w:val="29"/>
                  </w:rPr>
                  <w:fldChar w:fldCharType="separate"/>
                </w:r>
                <w:r>
                  <w:rPr>
                    <w:spacing w:val="-5"/>
                    <w:sz w:val="29"/>
                  </w:rPr>
                  <w:t>7</w:t>
                </w:r>
                <w:r>
                  <w:rPr>
                    <w:spacing w:val="-5"/>
                    <w:sz w:val="29"/>
                  </w:rPr>
                  <w:fldChar w:fldCharType="end"/>
                </w:r>
                <w:r>
                  <w:rPr>
                    <w:spacing w:val="-5"/>
                    <w:sz w:val="29"/>
                  </w:rPr>
                  <w:t>/8</w:t>
                </w:r>
              </w:p>
            </w:txbxContent>
          </v:textbox>
          <w10:wrap type="none"/>
        </v:shape>
      </w:pict>
    </w:r>
    <w:r>
      <w:rPr/>
      <w:pict>
        <v:shape style="position:absolute;margin-left:542.440613pt;margin-top:822.23645pt;width:52.9pt;height:19.7pt;mso-position-horizontal-relative:page;mso-position-vertical-relative:page;z-index:-24124416" type="#_x0000_t202" id="docshape322" filled="false" stroked="false">
          <v:textbox inset="0,0,0,0">
            <w:txbxContent>
              <w:p>
                <w:pPr>
                  <w:spacing w:before="21"/>
                  <w:ind w:left="20" w:right="0" w:firstLine="0"/>
                  <w:jc w:val="left"/>
                  <w:rPr>
                    <w:sz w:val="29"/>
                  </w:rPr>
                </w:pPr>
                <w:r>
                  <w:rPr>
                    <w:spacing w:val="-6"/>
                    <w:sz w:val="29"/>
                  </w:rPr>
                  <w:t>74/179</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59619pt;margin-top:823.227661pt;width:19.650pt;height:19.2pt;mso-position-horizontal-relative:page;mso-position-vertical-relative:page;z-index:-24123904" type="#_x0000_t202" id="docshape323" filled="false" stroked="false">
          <v:textbox inset="0,0,0,0">
            <w:txbxContent>
              <w:p>
                <w:pPr>
                  <w:spacing w:before="7"/>
                  <w:ind w:left="20" w:right="0" w:firstLine="0"/>
                  <w:jc w:val="left"/>
                  <w:rPr>
                    <w:rFonts w:ascii="Times New Roman"/>
                    <w:b/>
                    <w:sz w:val="31"/>
                  </w:rPr>
                </w:pPr>
                <w:r>
                  <w:rPr>
                    <w:rFonts w:ascii="Times New Roman"/>
                    <w:b/>
                    <w:spacing w:val="-5"/>
                    <w:w w:val="90"/>
                    <w:sz w:val="31"/>
                  </w:rPr>
                  <w:t>1/5</w:t>
                </w:r>
              </w:p>
            </w:txbxContent>
          </v:textbox>
          <w10:wrap type="none"/>
        </v:shape>
      </w:pict>
    </w:r>
    <w:r>
      <w:rPr/>
      <w:pict>
        <v:shape style="position:absolute;margin-left:540.440613pt;margin-top:822.23645pt;width:54.9pt;height:20.95pt;mso-position-horizontal-relative:page;mso-position-vertical-relative:page;z-index:-24123392" type="#_x0000_t202" id="docshape324" filled="false" stroked="false">
          <v:textbox inset="0,0,0,0">
            <w:txbxContent>
              <w:p>
                <w:pPr>
                  <w:spacing w:before="35"/>
                  <w:ind w:left="74" w:right="0" w:firstLine="0"/>
                  <w:jc w:val="left"/>
                  <w:rPr>
                    <w:rFonts w:ascii="Courier New"/>
                    <w:b/>
                    <w:sz w:val="32"/>
                  </w:rPr>
                </w:pPr>
                <w:r>
                  <w:rPr>
                    <w:rFonts w:ascii="Courier New"/>
                    <w:b/>
                    <w:spacing w:val="-2"/>
                    <w:w w:val="85"/>
                    <w:sz w:val="32"/>
                  </w:rPr>
                  <w:fldChar w:fldCharType="begin"/>
                </w:r>
                <w:r>
                  <w:rPr>
                    <w:rFonts w:ascii="Courier New"/>
                    <w:b/>
                    <w:spacing w:val="-2"/>
                    <w:w w:val="85"/>
                    <w:sz w:val="32"/>
                  </w:rPr>
                  <w:instrText> PAGE </w:instrText>
                </w:r>
                <w:r>
                  <w:rPr>
                    <w:rFonts w:ascii="Courier New"/>
                    <w:b/>
                    <w:spacing w:val="-2"/>
                    <w:w w:val="85"/>
                    <w:sz w:val="32"/>
                  </w:rPr>
                  <w:fldChar w:fldCharType="separate"/>
                </w:r>
                <w:r>
                  <w:rPr>
                    <w:rFonts w:ascii="Courier New"/>
                    <w:b/>
                    <w:spacing w:val="-2"/>
                    <w:w w:val="85"/>
                    <w:sz w:val="32"/>
                  </w:rPr>
                  <w:t>77</w:t>
                </w:r>
                <w:r>
                  <w:rPr>
                    <w:rFonts w:ascii="Courier New"/>
                    <w:b/>
                    <w:spacing w:val="-2"/>
                    <w:w w:val="85"/>
                    <w:sz w:val="32"/>
                  </w:rPr>
                  <w:fldChar w:fldCharType="end"/>
                </w:r>
                <w:r>
                  <w:rPr>
                    <w:rFonts w:ascii="Courier New"/>
                    <w:b/>
                    <w:spacing w:val="-2"/>
                    <w:w w:val="85"/>
                    <w:sz w:val="32"/>
                  </w:rPr>
                  <w:t>/179</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828pt;margin-top:823.019348pt;width:25.4pt;height:20.150pt;mso-position-horizontal-relative:page;mso-position-vertical-relative:page;z-index:-24122880" type="#_x0000_t202" id="docshape396" filled="false" stroked="false">
          <v:textbox inset="0,0,0,0">
            <w:txbxContent>
              <w:p>
                <w:pPr>
                  <w:spacing w:before="20"/>
                  <w:ind w:left="20" w:right="0" w:firstLine="0"/>
                  <w:jc w:val="left"/>
                  <w:rPr>
                    <w:rFonts w:ascii="Courier New"/>
                    <w:b/>
                    <w:sz w:val="32"/>
                  </w:rPr>
                </w:pPr>
                <w:r>
                  <w:rPr>
                    <w:rFonts w:ascii="Courier New"/>
                    <w:b/>
                    <w:spacing w:val="-5"/>
                    <w:w w:val="85"/>
                    <w:sz w:val="32"/>
                  </w:rPr>
                  <w:t>2/5</w:t>
                </w:r>
              </w:p>
            </w:txbxContent>
          </v:textbox>
          <w10:wrap type="none"/>
        </v:shape>
      </w:pict>
    </w:r>
    <w:r>
      <w:rPr/>
      <w:pict>
        <v:shape style="position:absolute;margin-left:543.142395pt;margin-top:823.019348pt;width:52.2pt;height:20.150pt;mso-position-horizontal-relative:page;mso-position-vertical-relative:page;z-index:-24122368" type="#_x0000_t202" id="docshape397" filled="false" stroked="false">
          <v:textbox inset="0,0,0,0">
            <w:txbxContent>
              <w:p>
                <w:pPr>
                  <w:spacing w:before="20"/>
                  <w:ind w:left="20" w:right="0" w:firstLine="0"/>
                  <w:jc w:val="left"/>
                  <w:rPr>
                    <w:rFonts w:ascii="Courier New"/>
                    <w:b/>
                    <w:sz w:val="32"/>
                  </w:rPr>
                </w:pPr>
                <w:r>
                  <w:rPr>
                    <w:rFonts w:ascii="Courier New"/>
                    <w:b/>
                    <w:spacing w:val="-2"/>
                    <w:w w:val="85"/>
                    <w:sz w:val="32"/>
                  </w:rPr>
                  <w:t>78/179</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6664pt;margin-top:822.842896pt;width:28.4pt;height:20.75pt;mso-position-horizontal-relative:page;mso-position-vertical-relative:page;z-index:-24121856" type="#_x0000_t202" id="docshape402" filled="false" stroked="false">
          <v:textbox inset="0,0,0,0">
            <w:txbxContent>
              <w:p>
                <w:pPr>
                  <w:spacing w:before="20"/>
                  <w:ind w:left="60" w:right="0" w:firstLine="0"/>
                  <w:jc w:val="left"/>
                  <w:rPr>
                    <w:rFonts w:ascii="Courier New"/>
                    <w:sz w:val="33"/>
                  </w:rPr>
                </w:pPr>
                <w:r>
                  <w:rPr>
                    <w:rFonts w:ascii="Courier New"/>
                    <w:spacing w:val="-5"/>
                    <w:w w:val="85"/>
                    <w:sz w:val="33"/>
                  </w:rPr>
                  <w:fldChar w:fldCharType="begin"/>
                </w:r>
                <w:r>
                  <w:rPr>
                    <w:rFonts w:ascii="Courier New"/>
                    <w:spacing w:val="-5"/>
                    <w:w w:val="85"/>
                    <w:sz w:val="33"/>
                  </w:rPr>
                  <w:instrText> PAGE </w:instrText>
                </w:r>
                <w:r>
                  <w:rPr>
                    <w:rFonts w:ascii="Courier New"/>
                    <w:spacing w:val="-5"/>
                    <w:w w:val="85"/>
                    <w:sz w:val="33"/>
                  </w:rPr>
                  <w:fldChar w:fldCharType="separate"/>
                </w:r>
                <w:r>
                  <w:rPr>
                    <w:rFonts w:ascii="Courier New"/>
                    <w:spacing w:val="-5"/>
                    <w:w w:val="85"/>
                    <w:sz w:val="33"/>
                  </w:rPr>
                  <w:t>3</w:t>
                </w:r>
                <w:r>
                  <w:rPr>
                    <w:rFonts w:ascii="Courier New"/>
                    <w:spacing w:val="-5"/>
                    <w:w w:val="85"/>
                    <w:sz w:val="33"/>
                  </w:rPr>
                  <w:fldChar w:fldCharType="end"/>
                </w:r>
                <w:r>
                  <w:rPr>
                    <w:rFonts w:ascii="Courier New"/>
                    <w:spacing w:val="-5"/>
                    <w:w w:val="85"/>
                    <w:sz w:val="33"/>
                  </w:rPr>
                  <w:t>/5</w:t>
                </w:r>
              </w:p>
            </w:txbxContent>
          </v:textbox>
          <w10:wrap type="none"/>
        </v:shape>
      </w:pict>
    </w:r>
    <w:r>
      <w:rPr/>
      <w:pict>
        <v:shape style="position:absolute;margin-left:543.142395pt;margin-top:823.019348pt;width:52.2pt;height:20.150pt;mso-position-horizontal-relative:page;mso-position-vertical-relative:page;z-index:-24121344" type="#_x0000_t202" id="docshape403" filled="false" stroked="false">
          <v:textbox inset="0,0,0,0">
            <w:txbxContent>
              <w:p>
                <w:pPr>
                  <w:spacing w:before="20"/>
                  <w:ind w:left="20" w:right="0" w:firstLine="0"/>
                  <w:jc w:val="left"/>
                  <w:rPr>
                    <w:rFonts w:ascii="Courier New"/>
                    <w:b/>
                    <w:sz w:val="32"/>
                  </w:rPr>
                </w:pPr>
                <w:r>
                  <w:rPr>
                    <w:rFonts w:ascii="Courier New"/>
                    <w:b/>
                    <w:spacing w:val="-2"/>
                    <w:w w:val="85"/>
                    <w:sz w:val="32"/>
                  </w:rPr>
                  <w:t>79/179</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4184320" from="61.549999pt,783.374023pt" to="523.449981pt,783.374023pt" stroked="true" strokeweight=".5pt" strokecolor="#000000">
          <v:stroke dashstyle="solid"/>
          <w10:wrap type="none"/>
        </v:line>
      </w:pict>
    </w:r>
    <w:r>
      <w:rPr/>
      <w:pict>
        <v:shape style="position:absolute;margin-left:62pt;margin-top:783.623657pt;width:230.95pt;height:23.9pt;mso-position-horizontal-relative:page;mso-position-vertical-relative:page;z-index:-24183808" type="#_x0000_t202" id="docshape28" filled="false" stroked="false">
          <v:textbox inset="0,0,0,0">
            <w:txbxContent>
              <w:p>
                <w:pPr>
                  <w:spacing w:before="20"/>
                  <w:ind w:left="20" w:right="0" w:firstLine="0"/>
                  <w:jc w:val="left"/>
                  <w:rPr>
                    <w:b/>
                    <w:sz w:val="18"/>
                  </w:rPr>
                </w:pPr>
                <w:r>
                  <w:rPr>
                    <w:b/>
                    <w:sz w:val="18"/>
                  </w:rPr>
                  <w:t>Shared</w:t>
                </w:r>
                <w:r>
                  <w:rPr>
                    <w:b/>
                    <w:spacing w:val="-3"/>
                    <w:sz w:val="18"/>
                  </w:rPr>
                  <w:t> </w:t>
                </w:r>
                <w:r>
                  <w:rPr>
                    <w:b/>
                    <w:sz w:val="18"/>
                  </w:rPr>
                  <w:t>Services</w:t>
                </w:r>
                <w:r>
                  <w:rPr>
                    <w:b/>
                    <w:spacing w:val="-2"/>
                    <w:sz w:val="18"/>
                  </w:rPr>
                  <w:t> </w:t>
                </w:r>
                <w:r>
                  <w:rPr>
                    <w:b/>
                    <w:sz w:val="18"/>
                  </w:rPr>
                  <w:t>Audit</w:t>
                </w:r>
                <w:r>
                  <w:rPr>
                    <w:b/>
                    <w:spacing w:val="-3"/>
                    <w:sz w:val="18"/>
                  </w:rPr>
                  <w:t> </w:t>
                </w:r>
                <w:r>
                  <w:rPr>
                    <w:b/>
                    <w:sz w:val="18"/>
                  </w:rPr>
                  <w:t>Committee</w:t>
                </w:r>
                <w:r>
                  <w:rPr>
                    <w:b/>
                    <w:spacing w:val="-3"/>
                    <w:sz w:val="18"/>
                  </w:rPr>
                  <w:t> </w:t>
                </w:r>
                <w:r>
                  <w:rPr>
                    <w:b/>
                    <w:sz w:val="18"/>
                  </w:rPr>
                  <w:t>Page</w:t>
                </w:r>
                <w:r>
                  <w:rPr>
                    <w:b/>
                    <w:spacing w:val="-2"/>
                    <w:sz w:val="18"/>
                  </w:rPr>
                  <w:t> </w:t>
                </w:r>
                <w:r>
                  <w:rPr>
                    <w:b/>
                    <w:sz w:val="18"/>
                  </w:rPr>
                  <w:t>1</w:t>
                </w:r>
                <w:r>
                  <w:rPr>
                    <w:b/>
                    <w:spacing w:val="-2"/>
                    <w:sz w:val="18"/>
                  </w:rPr>
                  <w:t> </w:t>
                </w:r>
                <w:r>
                  <w:rPr>
                    <w:b/>
                    <w:sz w:val="18"/>
                  </w:rPr>
                  <w:t>of</w:t>
                </w:r>
                <w:r>
                  <w:rPr>
                    <w:b/>
                    <w:spacing w:val="-3"/>
                    <w:sz w:val="18"/>
                  </w:rPr>
                  <w:t> </w:t>
                </w:r>
                <w:r>
                  <w:rPr>
                    <w:b/>
                    <w:spacing w:val="-10"/>
                    <w:sz w:val="18"/>
                  </w:rPr>
                  <w:t>7</w:t>
                </w:r>
              </w:p>
              <w:p>
                <w:pPr>
                  <w:spacing w:before="0"/>
                  <w:ind w:left="20" w:right="0" w:firstLine="0"/>
                  <w:jc w:val="left"/>
                  <w:rPr>
                    <w:sz w:val="18"/>
                  </w:rPr>
                </w:pPr>
                <w:r>
                  <w:rPr>
                    <w:sz w:val="18"/>
                  </w:rPr>
                  <w:t>24</w:t>
                </w:r>
                <w:r>
                  <w:rPr>
                    <w:spacing w:val="-2"/>
                    <w:sz w:val="18"/>
                  </w:rPr>
                  <w:t> </w:t>
                </w:r>
                <w:r>
                  <w:rPr>
                    <w:sz w:val="18"/>
                  </w:rPr>
                  <w:t>January</w:t>
                </w:r>
                <w:r>
                  <w:rPr>
                    <w:spacing w:val="-2"/>
                    <w:sz w:val="18"/>
                  </w:rPr>
                  <w:t> </w:t>
                </w:r>
                <w:r>
                  <w:rPr>
                    <w:spacing w:val="-4"/>
                    <w:sz w:val="18"/>
                  </w:rPr>
                  <w:t>2023</w:t>
                </w:r>
              </w:p>
            </w:txbxContent>
          </v:textbox>
          <w10:wrap type="none"/>
        </v:shape>
      </w:pict>
    </w:r>
    <w:r>
      <w:rPr/>
      <w:pict>
        <v:shape style="position:absolute;margin-left:0pt;margin-top:822.23645pt;width:26.2pt;height:19.7pt;mso-position-horizontal-relative:page;mso-position-vertical-relative:page;z-index:-24183296" type="#_x0000_t202" id="docshape29" filled="false" stroked="false">
          <v:textbox inset="0,0,0,0">
            <w:txbxContent>
              <w:p>
                <w:pPr>
                  <w:spacing w:before="21"/>
                  <w:ind w:left="20" w:right="0" w:firstLine="0"/>
                  <w:jc w:val="left"/>
                  <w:rPr>
                    <w:sz w:val="29"/>
                  </w:rPr>
                </w:pPr>
                <w:r>
                  <w:rPr>
                    <w:spacing w:val="-5"/>
                    <w:sz w:val="29"/>
                  </w:rPr>
                  <w:t>1/7</w:t>
                </w:r>
              </w:p>
            </w:txbxContent>
          </v:textbox>
          <w10:wrap type="none"/>
        </v:shape>
      </w:pict>
    </w:r>
    <w:r>
      <w:rPr/>
      <w:pict>
        <v:shape style="position:absolute;margin-left:542.440613pt;margin-top:822.23645pt;width:52.9pt;height:19.7pt;mso-position-horizontal-relative:page;mso-position-vertical-relative:page;z-index:-24182784" type="#_x0000_t202" id="docshape30" filled="false" stroked="false">
          <v:textbox inset="0,0,0,0">
            <w:txbxContent>
              <w:p>
                <w:pPr>
                  <w:spacing w:before="21"/>
                  <w:ind w:left="20" w:right="0" w:firstLine="0"/>
                  <w:jc w:val="left"/>
                  <w:rPr>
                    <w:sz w:val="29"/>
                  </w:rPr>
                </w:pPr>
                <w:r>
                  <w:rPr>
                    <w:spacing w:val="-6"/>
                    <w:sz w:val="29"/>
                  </w:rPr>
                  <w:t>11/179</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822.23645pt;width:26.2pt;height:19.7pt;mso-position-horizontal-relative:page;mso-position-vertical-relative:page;z-index:-24120832" type="#_x0000_t202" id="docshape425" filled="false" stroked="false">
          <v:textbox inset="0,0,0,0">
            <w:txbxContent>
              <w:p>
                <w:pPr>
                  <w:spacing w:before="21"/>
                  <w:ind w:left="20" w:right="0" w:firstLine="0"/>
                  <w:jc w:val="left"/>
                  <w:rPr>
                    <w:sz w:val="29"/>
                  </w:rPr>
                </w:pPr>
                <w:r>
                  <w:rPr>
                    <w:spacing w:val="-5"/>
                    <w:sz w:val="29"/>
                  </w:rPr>
                  <w:t>1/5</w:t>
                </w:r>
              </w:p>
            </w:txbxContent>
          </v:textbox>
          <w10:wrap type="none"/>
        </v:shape>
      </w:pict>
    </w:r>
    <w:r>
      <w:rPr/>
      <w:pict>
        <v:shape style="position:absolute;margin-left:542.440613pt;margin-top:822.23645pt;width:52.9pt;height:19.7pt;mso-position-horizontal-relative:page;mso-position-vertical-relative:page;z-index:-24120320" type="#_x0000_t202" id="docshape426" filled="false" stroked="false">
          <v:textbox inset="0,0,0,0">
            <w:txbxContent>
              <w:p>
                <w:pPr>
                  <w:spacing w:before="21"/>
                  <w:ind w:left="20" w:right="0" w:firstLine="0"/>
                  <w:jc w:val="left"/>
                  <w:rPr>
                    <w:sz w:val="29"/>
                  </w:rPr>
                </w:pPr>
                <w:r>
                  <w:rPr>
                    <w:spacing w:val="-6"/>
                    <w:sz w:val="29"/>
                  </w:rPr>
                  <w:t>82/179</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822.23645pt;width:26.2pt;height:19.7pt;mso-position-horizontal-relative:page;mso-position-vertical-relative:page;z-index:-24119808" type="#_x0000_t202" id="docshape428" filled="false" stroked="false">
          <v:textbox inset="0,0,0,0">
            <w:txbxContent>
              <w:p>
                <w:pPr>
                  <w:spacing w:before="21"/>
                  <w:ind w:left="20" w:right="0" w:firstLine="0"/>
                  <w:jc w:val="left"/>
                  <w:rPr>
                    <w:sz w:val="29"/>
                  </w:rPr>
                </w:pPr>
                <w:r>
                  <w:rPr>
                    <w:spacing w:val="-5"/>
                    <w:sz w:val="29"/>
                  </w:rPr>
                  <w:t>2/5</w:t>
                </w:r>
              </w:p>
            </w:txbxContent>
          </v:textbox>
          <w10:wrap type="none"/>
        </v:shape>
      </w:pict>
    </w:r>
    <w:r>
      <w:rPr/>
      <w:pict>
        <v:shape style="position:absolute;margin-left:542.440613pt;margin-top:822.23645pt;width:52.9pt;height:19.7pt;mso-position-horizontal-relative:page;mso-position-vertical-relative:page;z-index:-24119296" type="#_x0000_t202" id="docshape429" filled="false" stroked="false">
          <v:textbox inset="0,0,0,0">
            <w:txbxContent>
              <w:p>
                <w:pPr>
                  <w:spacing w:before="21"/>
                  <w:ind w:left="20" w:right="0" w:firstLine="0"/>
                  <w:jc w:val="left"/>
                  <w:rPr>
                    <w:sz w:val="29"/>
                  </w:rPr>
                </w:pPr>
                <w:r>
                  <w:rPr>
                    <w:spacing w:val="-6"/>
                    <w:sz w:val="29"/>
                  </w:rPr>
                  <w:t>83/179</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pt;margin-top:552.111938pt;width:139.8pt;height:15.4pt;mso-position-horizontal-relative:page;mso-position-vertical-relative:page;z-index:-24118784" type="#_x0000_t202" id="docshape430" filled="false" stroked="false">
          <v:textbox inset="0,0,0,0">
            <w:txbxContent>
              <w:p>
                <w:pPr>
                  <w:spacing w:before="20"/>
                  <w:ind w:left="20" w:right="0" w:firstLine="0"/>
                  <w:jc w:val="left"/>
                  <w:rPr>
                    <w:sz w:val="22"/>
                  </w:rPr>
                </w:pPr>
                <w:r>
                  <w:rPr>
                    <w:sz w:val="22"/>
                  </w:rPr>
                  <w:t>NWSSP</w:t>
                </w:r>
                <w:r>
                  <w:rPr>
                    <w:spacing w:val="-4"/>
                    <w:sz w:val="22"/>
                  </w:rPr>
                  <w:t> </w:t>
                </w:r>
                <w:r>
                  <w:rPr>
                    <w:sz w:val="22"/>
                  </w:rPr>
                  <w:t>Audit</w:t>
                </w:r>
                <w:r>
                  <w:rPr>
                    <w:spacing w:val="-2"/>
                    <w:sz w:val="22"/>
                  </w:rPr>
                  <w:t> Committee</w:t>
                </w:r>
              </w:p>
            </w:txbxContent>
          </v:textbox>
          <w10:wrap type="none"/>
        </v:shape>
      </w:pict>
    </w:r>
    <w:r>
      <w:rPr/>
      <w:pict>
        <v:shape style="position:absolute;margin-left:467pt;margin-top:565.480896pt;width:9pt;height:15.4pt;mso-position-horizontal-relative:page;mso-position-vertical-relative:page;z-index:-24118272" type="#_x0000_t202" id="docshape431" filled="false" stroked="false">
          <v:textbox inset="0,0,0,0">
            <w:txbxContent>
              <w:p>
                <w:pPr>
                  <w:spacing w:before="20"/>
                  <w:ind w:left="20" w:right="0" w:firstLine="0"/>
                  <w:jc w:val="left"/>
                  <w:rPr>
                    <w:sz w:val="22"/>
                  </w:rPr>
                </w:pPr>
                <w:r>
                  <w:rPr>
                    <w:sz w:val="22"/>
                  </w:rPr>
                  <w:t>3</w:t>
                </w:r>
              </w:p>
            </w:txbxContent>
          </v:textbox>
          <w10:wrap type="none"/>
        </v:shape>
      </w:pict>
    </w:r>
    <w:r>
      <w:rPr/>
      <w:pict>
        <v:shape style="position:absolute;margin-left:0pt;margin-top:575.636414pt;width:26.2pt;height:19.7pt;mso-position-horizontal-relative:page;mso-position-vertical-relative:page;z-index:-24117760" type="#_x0000_t202" id="docshape432" filled="false" stroked="false">
          <v:textbox inset="0,0,0,0">
            <w:txbxContent>
              <w:p>
                <w:pPr>
                  <w:spacing w:before="21"/>
                  <w:ind w:left="20" w:right="0" w:firstLine="0"/>
                  <w:jc w:val="left"/>
                  <w:rPr>
                    <w:sz w:val="29"/>
                  </w:rPr>
                </w:pPr>
                <w:r>
                  <w:rPr>
                    <w:spacing w:val="-5"/>
                    <w:sz w:val="29"/>
                  </w:rPr>
                  <w:t>3/5</w:t>
                </w:r>
              </w:p>
            </w:txbxContent>
          </v:textbox>
          <w10:wrap type="none"/>
        </v:shape>
      </w:pict>
    </w:r>
    <w:r>
      <w:rPr/>
      <w:pict>
        <v:shape style="position:absolute;margin-left:789.040649pt;margin-top:575.636414pt;width:52.9pt;height:19.7pt;mso-position-horizontal-relative:page;mso-position-vertical-relative:page;z-index:-24117248" type="#_x0000_t202" id="docshape433" filled="false" stroked="false">
          <v:textbox inset="0,0,0,0">
            <w:txbxContent>
              <w:p>
                <w:pPr>
                  <w:spacing w:before="21"/>
                  <w:ind w:left="20" w:right="0" w:firstLine="0"/>
                  <w:jc w:val="left"/>
                  <w:rPr>
                    <w:sz w:val="29"/>
                  </w:rPr>
                </w:pPr>
                <w:r>
                  <w:rPr>
                    <w:spacing w:val="-6"/>
                    <w:sz w:val="29"/>
                  </w:rPr>
                  <w:t>84/179</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pt;margin-top:552.111938pt;width:139.8pt;height:15.4pt;mso-position-horizontal-relative:page;mso-position-vertical-relative:page;z-index:-24116736" type="#_x0000_t202" id="docshape437" filled="false" stroked="false">
          <v:textbox inset="0,0,0,0">
            <w:txbxContent>
              <w:p>
                <w:pPr>
                  <w:spacing w:before="20"/>
                  <w:ind w:left="20" w:right="0" w:firstLine="0"/>
                  <w:jc w:val="left"/>
                  <w:rPr>
                    <w:sz w:val="22"/>
                  </w:rPr>
                </w:pPr>
                <w:r>
                  <w:rPr>
                    <w:sz w:val="22"/>
                  </w:rPr>
                  <w:t>NWSSP</w:t>
                </w:r>
                <w:r>
                  <w:rPr>
                    <w:spacing w:val="-4"/>
                    <w:sz w:val="22"/>
                  </w:rPr>
                  <w:t> </w:t>
                </w:r>
                <w:r>
                  <w:rPr>
                    <w:sz w:val="22"/>
                  </w:rPr>
                  <w:t>Audit</w:t>
                </w:r>
                <w:r>
                  <w:rPr>
                    <w:spacing w:val="-2"/>
                    <w:sz w:val="22"/>
                  </w:rPr>
                  <w:t> Committee</w:t>
                </w:r>
              </w:p>
            </w:txbxContent>
          </v:textbox>
          <w10:wrap type="none"/>
        </v:shape>
      </w:pict>
    </w:r>
    <w:r>
      <w:rPr/>
      <w:pict>
        <v:shape style="position:absolute;margin-left:465pt;margin-top:565.480896pt;width:14pt;height:15.4pt;mso-position-horizontal-relative:page;mso-position-vertical-relative:page;z-index:-24116224" type="#_x0000_t202" id="docshape438" filled="false" stroked="false">
          <v:textbox inset="0,0,0,0">
            <w:txbxContent>
              <w:p>
                <w:pPr>
                  <w:spacing w:before="20"/>
                  <w:ind w:left="60" w:right="0" w:firstLine="0"/>
                  <w:jc w:val="left"/>
                  <w:rPr>
                    <w:sz w:val="22"/>
                  </w:rPr>
                </w:pPr>
                <w:r>
                  <w:rPr>
                    <w:sz w:val="22"/>
                  </w:rPr>
                  <w:fldChar w:fldCharType="begin"/>
                </w:r>
                <w:r>
                  <w:rPr>
                    <w:sz w:val="22"/>
                  </w:rPr>
                  <w:instrText> PAGE </w:instrText>
                </w:r>
                <w:r>
                  <w:rPr>
                    <w:sz w:val="22"/>
                  </w:rPr>
                  <w:fldChar w:fldCharType="separate"/>
                </w:r>
                <w:r>
                  <w:rPr>
                    <w:sz w:val="22"/>
                  </w:rPr>
                  <w:t>4</w:t>
                </w:r>
                <w:r>
                  <w:rPr>
                    <w:sz w:val="22"/>
                  </w:rPr>
                  <w:fldChar w:fldCharType="end"/>
                </w:r>
              </w:p>
            </w:txbxContent>
          </v:textbox>
          <w10:wrap type="none"/>
        </v:shape>
      </w:pict>
    </w:r>
    <w:r>
      <w:rPr/>
      <w:pict>
        <v:shape style="position:absolute;margin-left:-2pt;margin-top:575.636414pt;width:28.2pt;height:19.7pt;mso-position-horizontal-relative:page;mso-position-vertical-relative:page;z-index:-24115712" type="#_x0000_t202" id="docshape439" filled="false" stroked="false">
          <v:textbox inset="0,0,0,0">
            <w:txbxContent>
              <w:p>
                <w:pPr>
                  <w:spacing w:before="21"/>
                  <w:ind w:left="60" w:right="0" w:firstLine="0"/>
                  <w:jc w:val="left"/>
                  <w:rPr>
                    <w:sz w:val="29"/>
                  </w:rPr>
                </w:pPr>
                <w:r>
                  <w:rPr>
                    <w:spacing w:val="-5"/>
                    <w:sz w:val="29"/>
                  </w:rPr>
                  <w:fldChar w:fldCharType="begin"/>
                </w:r>
                <w:r>
                  <w:rPr>
                    <w:spacing w:val="-5"/>
                    <w:sz w:val="29"/>
                  </w:rPr>
                  <w:instrText> PAGE </w:instrText>
                </w:r>
                <w:r>
                  <w:rPr>
                    <w:spacing w:val="-5"/>
                    <w:sz w:val="29"/>
                  </w:rPr>
                  <w:fldChar w:fldCharType="separate"/>
                </w:r>
                <w:r>
                  <w:rPr>
                    <w:spacing w:val="-5"/>
                    <w:sz w:val="29"/>
                  </w:rPr>
                  <w:t>4</w:t>
                </w:r>
                <w:r>
                  <w:rPr>
                    <w:spacing w:val="-5"/>
                    <w:sz w:val="29"/>
                  </w:rPr>
                  <w:fldChar w:fldCharType="end"/>
                </w:r>
                <w:r>
                  <w:rPr>
                    <w:spacing w:val="-5"/>
                    <w:sz w:val="29"/>
                  </w:rPr>
                  <w:t>/5</w:t>
                </w:r>
              </w:p>
            </w:txbxContent>
          </v:textbox>
          <w10:wrap type="none"/>
        </v:shape>
      </w:pict>
    </w:r>
    <w:r>
      <w:rPr/>
      <w:pict>
        <v:shape style="position:absolute;margin-left:789.040649pt;margin-top:575.636414pt;width:52.9pt;height:19.7pt;mso-position-horizontal-relative:page;mso-position-vertical-relative:page;z-index:-24115200" type="#_x0000_t202" id="docshape440" filled="false" stroked="false">
          <v:textbox inset="0,0,0,0">
            <w:txbxContent>
              <w:p>
                <w:pPr>
                  <w:spacing w:before="21"/>
                  <w:ind w:left="20" w:right="0" w:firstLine="0"/>
                  <w:jc w:val="left"/>
                  <w:rPr>
                    <w:sz w:val="29"/>
                  </w:rPr>
                </w:pPr>
                <w:r>
                  <w:rPr>
                    <w:spacing w:val="-6"/>
                    <w:sz w:val="29"/>
                  </w:rPr>
                  <w:t>85/179</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822.23645pt;width:26.2pt;height:19.7pt;mso-position-horizontal-relative:page;mso-position-vertical-relative:page;z-index:-24114688" type="#_x0000_t202" id="docshape441" filled="false" stroked="false">
          <v:textbox inset="0,0,0,0">
            <w:txbxContent>
              <w:p>
                <w:pPr>
                  <w:spacing w:before="21"/>
                  <w:ind w:left="20" w:right="0" w:firstLine="0"/>
                  <w:jc w:val="left"/>
                  <w:rPr>
                    <w:sz w:val="29"/>
                  </w:rPr>
                </w:pPr>
                <w:r>
                  <w:rPr>
                    <w:spacing w:val="-5"/>
                    <w:sz w:val="29"/>
                  </w:rPr>
                  <w:t>1/1</w:t>
                </w:r>
              </w:p>
            </w:txbxContent>
          </v:textbox>
          <w10:wrap type="none"/>
        </v:shape>
      </w:pict>
    </w:r>
    <w:r>
      <w:rPr/>
      <w:pict>
        <v:shape style="position:absolute;margin-left:542.440613pt;margin-top:822.23645pt;width:52.9pt;height:19.7pt;mso-position-horizontal-relative:page;mso-position-vertical-relative:page;z-index:-24114176" type="#_x0000_t202" id="docshape442" filled="false" stroked="false">
          <v:textbox inset="0,0,0,0">
            <w:txbxContent>
              <w:p>
                <w:pPr>
                  <w:spacing w:before="21"/>
                  <w:ind w:left="20" w:right="0" w:firstLine="0"/>
                  <w:jc w:val="left"/>
                  <w:rPr>
                    <w:sz w:val="29"/>
                  </w:rPr>
                </w:pPr>
                <w:r>
                  <w:rPr>
                    <w:spacing w:val="-6"/>
                    <w:sz w:val="29"/>
                  </w:rPr>
                  <w:t>87/179</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0.550003pt;margin-top:724.776001pt;width:470.9pt;height:4.5pt;mso-position-horizontal-relative:page;mso-position-vertical-relative:page;z-index:-24113664" id="docshapegroup444" coordorigin="1411,14496" coordsize="9418,90">
          <v:line style="position:absolute" from="1411,14526" to="10829,14526" stroked="true" strokeweight="3pt" strokecolor="#622423">
            <v:stroke dashstyle="solid"/>
          </v:line>
          <v:line style="position:absolute" from="1411,14578" to="10829,14578" stroked="true" strokeweight=".75pt" strokecolor="#622423">
            <v:stroke dashstyle="solid"/>
          </v:line>
          <w10:wrap type="none"/>
        </v:group>
      </w:pict>
    </w:r>
    <w:r>
      <w:rPr/>
      <w:pict>
        <v:shape style="position:absolute;margin-left:71pt;margin-top:729.275879pt;width:78.150pt;height:14.9pt;mso-position-horizontal-relative:page;mso-position-vertical-relative:page;z-index:-24113152" type="#_x0000_t202" id="docshape445" filled="false" stroked="false">
          <v:textbox inset="0,0,0,0">
            <w:txbxContent>
              <w:p>
                <w:pPr>
                  <w:spacing w:before="20"/>
                  <w:ind w:left="20" w:right="0" w:firstLine="0"/>
                  <w:jc w:val="left"/>
                  <w:rPr>
                    <w:rFonts w:ascii="Cambria"/>
                    <w:sz w:val="22"/>
                  </w:rPr>
                </w:pPr>
                <w:r>
                  <w:rPr>
                    <w:rFonts w:ascii="Cambria"/>
                    <w:sz w:val="22"/>
                  </w:rPr>
                  <w:t>November</w:t>
                </w:r>
                <w:r>
                  <w:rPr>
                    <w:rFonts w:ascii="Cambria"/>
                    <w:spacing w:val="-2"/>
                    <w:sz w:val="22"/>
                  </w:rPr>
                  <w:t> </w:t>
                </w:r>
                <w:r>
                  <w:rPr>
                    <w:rFonts w:ascii="Cambria"/>
                    <w:spacing w:val="-4"/>
                    <w:sz w:val="22"/>
                  </w:rPr>
                  <w:t>2022</w:t>
                </w:r>
              </w:p>
            </w:txbxContent>
          </v:textbox>
          <w10:wrap type="none"/>
        </v:shape>
      </w:pict>
    </w:r>
    <w:r>
      <w:rPr/>
      <w:pict>
        <v:shape style="position:absolute;margin-left:508.067993pt;margin-top:729.275879pt;width:32.950pt;height:14.9pt;mso-position-horizontal-relative:page;mso-position-vertical-relative:page;z-index:-24112640" type="#_x0000_t202" id="docshape446" filled="false" stroked="false">
          <v:textbox inset="0,0,0,0">
            <w:txbxContent>
              <w:p>
                <w:pPr>
                  <w:spacing w:before="20"/>
                  <w:ind w:left="20" w:right="0" w:firstLine="0"/>
                  <w:jc w:val="left"/>
                  <w:rPr>
                    <w:rFonts w:ascii="Cambria"/>
                    <w:sz w:val="22"/>
                  </w:rPr>
                </w:pPr>
                <w:r>
                  <w:rPr>
                    <w:rFonts w:ascii="Cambria"/>
                    <w:sz w:val="22"/>
                  </w:rPr>
                  <w:t>Page </w:t>
                </w:r>
                <w:r>
                  <w:rPr>
                    <w:rFonts w:ascii="Cambria"/>
                    <w:spacing w:val="-10"/>
                    <w:sz w:val="22"/>
                  </w:rPr>
                  <w:t>1</w:t>
                </w:r>
              </w:p>
            </w:txbxContent>
          </v:textbox>
          <w10:wrap type="none"/>
        </v:shape>
      </w:pict>
    </w:r>
    <w:r>
      <w:rPr/>
      <w:pict>
        <v:shape style="position:absolute;margin-left:0pt;margin-top:772.336426pt;width:26.2pt;height:19.7pt;mso-position-horizontal-relative:page;mso-position-vertical-relative:page;z-index:-24112128" type="#_x0000_t202" id="docshape447" filled="false" stroked="false">
          <v:textbox inset="0,0,0,0">
            <w:txbxContent>
              <w:p>
                <w:pPr>
                  <w:spacing w:before="21"/>
                  <w:ind w:left="20" w:right="0" w:firstLine="0"/>
                  <w:jc w:val="left"/>
                  <w:rPr>
                    <w:sz w:val="29"/>
                  </w:rPr>
                </w:pPr>
                <w:r>
                  <w:rPr>
                    <w:spacing w:val="-5"/>
                    <w:sz w:val="29"/>
                  </w:rPr>
                  <w:t>1/4</w:t>
                </w:r>
              </w:p>
            </w:txbxContent>
          </v:textbox>
          <w10:wrap type="none"/>
        </v:shape>
      </w:pict>
    </w:r>
    <w:r>
      <w:rPr/>
      <w:pict>
        <v:shape style="position:absolute;margin-left:559.140625pt;margin-top:772.336426pt;width:52.9pt;height:19.7pt;mso-position-horizontal-relative:page;mso-position-vertical-relative:page;z-index:-24111616" type="#_x0000_t202" id="docshape448" filled="false" stroked="false">
          <v:textbox inset="0,0,0,0">
            <w:txbxContent>
              <w:p>
                <w:pPr>
                  <w:spacing w:before="21"/>
                  <w:ind w:left="20" w:right="0" w:firstLine="0"/>
                  <w:jc w:val="left"/>
                  <w:rPr>
                    <w:sz w:val="29"/>
                  </w:rPr>
                </w:pPr>
                <w:r>
                  <w:rPr>
                    <w:spacing w:val="-6"/>
                    <w:sz w:val="29"/>
                  </w:rPr>
                  <w:t>88/179</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0.550003pt;margin-top:724.776001pt;width:470.9pt;height:4.5pt;mso-position-horizontal-relative:page;mso-position-vertical-relative:page;z-index:-24111104" id="docshapegroup449" coordorigin="1411,14496" coordsize="9418,90">
          <v:line style="position:absolute" from="1411,14526" to="10829,14526" stroked="true" strokeweight="3pt" strokecolor="#622423">
            <v:stroke dashstyle="solid"/>
          </v:line>
          <v:line style="position:absolute" from="1411,14578" to="10829,14578" stroked="true" strokeweight=".75pt" strokecolor="#622423">
            <v:stroke dashstyle="solid"/>
          </v:line>
          <w10:wrap type="none"/>
        </v:group>
      </w:pict>
    </w:r>
    <w:r>
      <w:rPr/>
      <w:pict>
        <v:shape style="position:absolute;margin-left:71pt;margin-top:729.275879pt;width:78.150pt;height:14.9pt;mso-position-horizontal-relative:page;mso-position-vertical-relative:page;z-index:-24110592" type="#_x0000_t202" id="docshape450" filled="false" stroked="false">
          <v:textbox inset="0,0,0,0">
            <w:txbxContent>
              <w:p>
                <w:pPr>
                  <w:spacing w:before="20"/>
                  <w:ind w:left="20" w:right="0" w:firstLine="0"/>
                  <w:jc w:val="left"/>
                  <w:rPr>
                    <w:rFonts w:ascii="Cambria"/>
                    <w:sz w:val="22"/>
                  </w:rPr>
                </w:pPr>
                <w:r>
                  <w:rPr>
                    <w:rFonts w:ascii="Cambria"/>
                    <w:sz w:val="22"/>
                  </w:rPr>
                  <w:t>November</w:t>
                </w:r>
                <w:r>
                  <w:rPr>
                    <w:rFonts w:ascii="Cambria"/>
                    <w:spacing w:val="-2"/>
                    <w:sz w:val="22"/>
                  </w:rPr>
                  <w:t> </w:t>
                </w:r>
                <w:r>
                  <w:rPr>
                    <w:rFonts w:ascii="Cambria"/>
                    <w:spacing w:val="-4"/>
                    <w:sz w:val="22"/>
                  </w:rPr>
                  <w:t>2022</w:t>
                </w:r>
              </w:p>
            </w:txbxContent>
          </v:textbox>
          <w10:wrap type="none"/>
        </v:shape>
      </w:pict>
    </w:r>
    <w:r>
      <w:rPr/>
      <w:pict>
        <v:shape style="position:absolute;margin-left:508.067993pt;margin-top:729.275879pt;width:35.950pt;height:14.9pt;mso-position-horizontal-relative:page;mso-position-vertical-relative:page;z-index:-24110080" type="#_x0000_t202" id="docshape451" filled="false" stroked="false">
          <v:textbox inset="0,0,0,0">
            <w:txbxContent>
              <w:p>
                <w:pPr>
                  <w:spacing w:before="20"/>
                  <w:ind w:left="20" w:right="0" w:firstLine="0"/>
                  <w:jc w:val="left"/>
                  <w:rPr>
                    <w:rFonts w:ascii="Cambria"/>
                    <w:sz w:val="22"/>
                  </w:rPr>
                </w:pPr>
                <w:r>
                  <w:rPr>
                    <w:rFonts w:ascii="Cambria"/>
                    <w:sz w:val="22"/>
                  </w:rPr>
                  <w:t>Page </w:t>
                </w:r>
                <w:r>
                  <w:rPr>
                    <w:rFonts w:ascii="Cambria"/>
                    <w:spacing w:val="-10"/>
                    <w:sz w:val="22"/>
                  </w:rPr>
                  <w:fldChar w:fldCharType="begin"/>
                </w:r>
                <w:r>
                  <w:rPr>
                    <w:rFonts w:ascii="Cambria"/>
                    <w:spacing w:val="-10"/>
                    <w:sz w:val="22"/>
                  </w:rPr>
                  <w:instrText> PAGE </w:instrText>
                </w:r>
                <w:r>
                  <w:rPr>
                    <w:rFonts w:ascii="Cambria"/>
                    <w:spacing w:val="-10"/>
                    <w:sz w:val="22"/>
                  </w:rPr>
                  <w:fldChar w:fldCharType="separate"/>
                </w:r>
                <w:r>
                  <w:rPr>
                    <w:rFonts w:ascii="Cambria"/>
                    <w:spacing w:val="-10"/>
                    <w:sz w:val="22"/>
                  </w:rPr>
                  <w:t>2</w:t>
                </w:r>
                <w:r>
                  <w:rPr>
                    <w:rFonts w:ascii="Cambria"/>
                    <w:spacing w:val="-10"/>
                    <w:sz w:val="22"/>
                  </w:rPr>
                  <w:fldChar w:fldCharType="end"/>
                </w:r>
              </w:p>
            </w:txbxContent>
          </v:textbox>
          <w10:wrap type="none"/>
        </v:shape>
      </w:pict>
    </w:r>
    <w:r>
      <w:rPr/>
      <w:pict>
        <v:shape style="position:absolute;margin-left:-2pt;margin-top:772.336426pt;width:28.2pt;height:19.7pt;mso-position-horizontal-relative:page;mso-position-vertical-relative:page;z-index:-24109568" type="#_x0000_t202" id="docshape452" filled="false" stroked="false">
          <v:textbox inset="0,0,0,0">
            <w:txbxContent>
              <w:p>
                <w:pPr>
                  <w:spacing w:before="21"/>
                  <w:ind w:left="60" w:right="0" w:firstLine="0"/>
                  <w:jc w:val="left"/>
                  <w:rPr>
                    <w:sz w:val="29"/>
                  </w:rPr>
                </w:pPr>
                <w:r>
                  <w:rPr>
                    <w:spacing w:val="-5"/>
                    <w:sz w:val="29"/>
                  </w:rPr>
                  <w:fldChar w:fldCharType="begin"/>
                </w:r>
                <w:r>
                  <w:rPr>
                    <w:spacing w:val="-5"/>
                    <w:sz w:val="29"/>
                  </w:rPr>
                  <w:instrText> PAGE </w:instrText>
                </w:r>
                <w:r>
                  <w:rPr>
                    <w:spacing w:val="-5"/>
                    <w:sz w:val="29"/>
                  </w:rPr>
                  <w:fldChar w:fldCharType="separate"/>
                </w:r>
                <w:r>
                  <w:rPr>
                    <w:spacing w:val="-5"/>
                    <w:sz w:val="29"/>
                  </w:rPr>
                  <w:t>2</w:t>
                </w:r>
                <w:r>
                  <w:rPr>
                    <w:spacing w:val="-5"/>
                    <w:sz w:val="29"/>
                  </w:rPr>
                  <w:fldChar w:fldCharType="end"/>
                </w:r>
                <w:r>
                  <w:rPr>
                    <w:spacing w:val="-5"/>
                    <w:sz w:val="29"/>
                  </w:rPr>
                  <w:t>/4</w:t>
                </w:r>
              </w:p>
            </w:txbxContent>
          </v:textbox>
          <w10:wrap type="none"/>
        </v:shape>
      </w:pict>
    </w:r>
    <w:r>
      <w:rPr/>
      <w:pict>
        <v:shape style="position:absolute;margin-left:559.140625pt;margin-top:772.336426pt;width:52.9pt;height:19.7pt;mso-position-horizontal-relative:page;mso-position-vertical-relative:page;z-index:-24109056" type="#_x0000_t202" id="docshape453" filled="false" stroked="false">
          <v:textbox inset="0,0,0,0">
            <w:txbxContent>
              <w:p>
                <w:pPr>
                  <w:spacing w:before="21"/>
                  <w:ind w:left="20" w:right="0" w:firstLine="0"/>
                  <w:jc w:val="left"/>
                  <w:rPr>
                    <w:sz w:val="29"/>
                  </w:rPr>
                </w:pPr>
                <w:r>
                  <w:rPr>
                    <w:spacing w:val="-6"/>
                    <w:sz w:val="29"/>
                  </w:rPr>
                  <w:t>89/179</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592.336426pt;width:26.2pt;height:19.7pt;mso-position-horizontal-relative:page;mso-position-vertical-relative:page;z-index:-24108544" type="#_x0000_t202" id="docshape454" filled="false" stroked="false">
          <v:textbox inset="0,0,0,0">
            <w:txbxContent>
              <w:p>
                <w:pPr>
                  <w:spacing w:before="21"/>
                  <w:ind w:left="20" w:right="0" w:firstLine="0"/>
                  <w:jc w:val="left"/>
                  <w:rPr>
                    <w:sz w:val="29"/>
                  </w:rPr>
                </w:pPr>
                <w:r>
                  <w:rPr>
                    <w:spacing w:val="-5"/>
                    <w:sz w:val="29"/>
                  </w:rPr>
                  <w:t>4/4</w:t>
                </w:r>
              </w:p>
            </w:txbxContent>
          </v:textbox>
          <w10:wrap type="none"/>
        </v:shape>
      </w:pict>
    </w:r>
    <w:r>
      <w:rPr/>
      <w:pict>
        <v:shape style="position:absolute;margin-left:739.140625pt;margin-top:592.336426pt;width:52.9pt;height:19.7pt;mso-position-horizontal-relative:page;mso-position-vertical-relative:page;z-index:-24108032" type="#_x0000_t202" id="docshape455" filled="false" stroked="false">
          <v:textbox inset="0,0,0,0">
            <w:txbxContent>
              <w:p>
                <w:pPr>
                  <w:spacing w:before="21"/>
                  <w:ind w:left="20" w:right="0" w:firstLine="0"/>
                  <w:jc w:val="left"/>
                  <w:rPr>
                    <w:sz w:val="29"/>
                  </w:rPr>
                </w:pPr>
                <w:r>
                  <w:rPr>
                    <w:spacing w:val="-6"/>
                    <w:sz w:val="29"/>
                  </w:rPr>
                  <w:t>91/179</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900002pt;margin-top:776.281555pt;width:152.3pt;height:31.2pt;mso-position-horizontal-relative:page;mso-position-vertical-relative:page;z-index:-24107520" type="#_x0000_t202" id="docshape508" filled="false" stroked="false">
          <v:textbox inset="0,0,0,0">
            <w:txbxContent>
              <w:p>
                <w:pPr>
                  <w:pStyle w:val="BodyText"/>
                  <w:spacing w:before="20"/>
                  <w:ind w:left="20"/>
                </w:pPr>
                <w:r>
                  <w:rPr/>
                  <w:t>NWSSP</w:t>
                </w:r>
                <w:r>
                  <w:rPr>
                    <w:spacing w:val="-19"/>
                  </w:rPr>
                  <w:t> </w:t>
                </w:r>
                <w:r>
                  <w:rPr/>
                  <w:t>Audit</w:t>
                </w:r>
                <w:r>
                  <w:rPr>
                    <w:spacing w:val="-19"/>
                  </w:rPr>
                  <w:t> </w:t>
                </w:r>
                <w:r>
                  <w:rPr/>
                  <w:t>Committee 24 January 2023</w:t>
                </w:r>
              </w:p>
            </w:txbxContent>
          </v:textbox>
          <w10:wrap type="none"/>
        </v:shape>
      </w:pict>
    </w:r>
    <w:r>
      <w:rPr/>
      <w:pict>
        <v:shape style="position:absolute;margin-left:501.918976pt;margin-top:790.86554pt;width:9.65pt;height:16.6pt;mso-position-horizontal-relative:page;mso-position-vertical-relative:page;z-index:-24107008" type="#_x0000_t202" id="docshape509" filled="false" stroked="false">
          <v:textbox inset="0,0,0,0">
            <w:txbxContent>
              <w:p>
                <w:pPr>
                  <w:pStyle w:val="BodyText"/>
                  <w:spacing w:before="20"/>
                  <w:ind w:left="20"/>
                </w:pPr>
                <w:r>
                  <w:rPr/>
                  <w:t>1</w:t>
                </w:r>
              </w:p>
            </w:txbxContent>
          </v:textbox>
          <w10:wrap type="none"/>
        </v:shape>
      </w:pict>
    </w:r>
    <w:r>
      <w:rPr/>
      <w:pict>
        <v:shape style="position:absolute;margin-left:0pt;margin-top:822.23645pt;width:26.2pt;height:19.7pt;mso-position-horizontal-relative:page;mso-position-vertical-relative:page;z-index:-24106496" type="#_x0000_t202" id="docshape510" filled="false" stroked="false">
          <v:textbox inset="0,0,0,0">
            <w:txbxContent>
              <w:p>
                <w:pPr>
                  <w:spacing w:before="21"/>
                  <w:ind w:left="20" w:right="0" w:firstLine="0"/>
                  <w:jc w:val="left"/>
                  <w:rPr>
                    <w:sz w:val="29"/>
                  </w:rPr>
                </w:pPr>
                <w:r>
                  <w:rPr>
                    <w:spacing w:val="-5"/>
                    <w:sz w:val="29"/>
                  </w:rPr>
                  <w:t>1/3</w:t>
                </w:r>
              </w:p>
            </w:txbxContent>
          </v:textbox>
          <w10:wrap type="none"/>
        </v:shape>
      </w:pict>
    </w:r>
    <w:r>
      <w:rPr/>
      <w:pict>
        <v:shape style="position:absolute;margin-left:542.440613pt;margin-top:822.23645pt;width:52.9pt;height:19.7pt;mso-position-horizontal-relative:page;mso-position-vertical-relative:page;z-index:-24105984" type="#_x0000_t202" id="docshape511" filled="false" stroked="false">
          <v:textbox inset="0,0,0,0">
            <w:txbxContent>
              <w:p>
                <w:pPr>
                  <w:spacing w:before="21"/>
                  <w:ind w:left="20" w:right="0" w:firstLine="0"/>
                  <w:jc w:val="left"/>
                  <w:rPr>
                    <w:sz w:val="29"/>
                  </w:rPr>
                </w:pPr>
                <w:r>
                  <w:rPr>
                    <w:spacing w:val="-6"/>
                    <w:sz w:val="29"/>
                  </w:rPr>
                  <w:t>92/179</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900002pt;margin-top:776.281555pt;width:152.3pt;height:31.2pt;mso-position-horizontal-relative:page;mso-position-vertical-relative:page;z-index:-24105472" type="#_x0000_t202" id="docshape513" filled="false" stroked="false">
          <v:textbox inset="0,0,0,0">
            <w:txbxContent>
              <w:p>
                <w:pPr>
                  <w:pStyle w:val="BodyText"/>
                  <w:spacing w:before="20"/>
                  <w:ind w:left="20"/>
                </w:pPr>
                <w:r>
                  <w:rPr/>
                  <w:t>NWSSP</w:t>
                </w:r>
                <w:r>
                  <w:rPr>
                    <w:spacing w:val="-19"/>
                  </w:rPr>
                  <w:t> </w:t>
                </w:r>
                <w:r>
                  <w:rPr/>
                  <w:t>Audit</w:t>
                </w:r>
                <w:r>
                  <w:rPr>
                    <w:spacing w:val="-19"/>
                  </w:rPr>
                  <w:t> </w:t>
                </w:r>
                <w:r>
                  <w:rPr/>
                  <w:t>Committee 24 January 2023</w:t>
                </w:r>
              </w:p>
            </w:txbxContent>
          </v:textbox>
          <w10:wrap type="none"/>
        </v:shape>
      </w:pict>
    </w:r>
    <w:r>
      <w:rPr/>
      <w:pict>
        <v:shape style="position:absolute;margin-left:501.918976pt;margin-top:790.86554pt;width:9.65pt;height:16.6pt;mso-position-horizontal-relative:page;mso-position-vertical-relative:page;z-index:-24104960" type="#_x0000_t202" id="docshape514" filled="false" stroked="false">
          <v:textbox inset="0,0,0,0">
            <w:txbxContent>
              <w:p>
                <w:pPr>
                  <w:pStyle w:val="BodyText"/>
                  <w:spacing w:before="20"/>
                  <w:ind w:left="20"/>
                </w:pPr>
                <w:r>
                  <w:rPr/>
                  <w:t>2</w:t>
                </w:r>
              </w:p>
            </w:txbxContent>
          </v:textbox>
          <w10:wrap type="none"/>
        </v:shape>
      </w:pict>
    </w:r>
    <w:r>
      <w:rPr/>
      <w:pict>
        <v:shape style="position:absolute;margin-left:0pt;margin-top:822.23645pt;width:26.2pt;height:19.7pt;mso-position-horizontal-relative:page;mso-position-vertical-relative:page;z-index:-24104448" type="#_x0000_t202" id="docshape515" filled="false" stroked="false">
          <v:textbox inset="0,0,0,0">
            <w:txbxContent>
              <w:p>
                <w:pPr>
                  <w:spacing w:before="21"/>
                  <w:ind w:left="20" w:right="0" w:firstLine="0"/>
                  <w:jc w:val="left"/>
                  <w:rPr>
                    <w:sz w:val="29"/>
                  </w:rPr>
                </w:pPr>
                <w:r>
                  <w:rPr>
                    <w:spacing w:val="-5"/>
                    <w:sz w:val="29"/>
                  </w:rPr>
                  <w:t>2/3</w:t>
                </w:r>
              </w:p>
            </w:txbxContent>
          </v:textbox>
          <w10:wrap type="none"/>
        </v:shape>
      </w:pict>
    </w:r>
    <w:r>
      <w:rPr/>
      <w:pict>
        <v:shape style="position:absolute;margin-left:542.440613pt;margin-top:822.23645pt;width:52.9pt;height:19.7pt;mso-position-horizontal-relative:page;mso-position-vertical-relative:page;z-index:-24103936" type="#_x0000_t202" id="docshape516" filled="false" stroked="false">
          <v:textbox inset="0,0,0,0">
            <w:txbxContent>
              <w:p>
                <w:pPr>
                  <w:spacing w:before="21"/>
                  <w:ind w:left="20" w:right="0" w:firstLine="0"/>
                  <w:jc w:val="left"/>
                  <w:rPr>
                    <w:sz w:val="29"/>
                  </w:rPr>
                </w:pPr>
                <w:r>
                  <w:rPr>
                    <w:spacing w:val="-6"/>
                    <w:sz w:val="29"/>
                  </w:rPr>
                  <w:t>93/179</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4182272" from="61.549999pt,783.374023pt" to="523.449981pt,783.374023pt" stroked="true" strokeweight=".5pt" strokecolor="#000000">
          <v:stroke dashstyle="solid"/>
          <w10:wrap type="none"/>
        </v:line>
      </w:pict>
    </w:r>
    <w:r>
      <w:rPr/>
      <w:pict>
        <v:shape style="position:absolute;margin-left:62pt;margin-top:783.623657pt;width:230.95pt;height:23.9pt;mso-position-horizontal-relative:page;mso-position-vertical-relative:page;z-index:-24181760" type="#_x0000_t202" id="docshape32" filled="false" stroked="false">
          <v:textbox inset="0,0,0,0">
            <w:txbxContent>
              <w:p>
                <w:pPr>
                  <w:spacing w:before="20"/>
                  <w:ind w:left="20" w:right="0" w:firstLine="0"/>
                  <w:jc w:val="left"/>
                  <w:rPr>
                    <w:b/>
                    <w:sz w:val="18"/>
                  </w:rPr>
                </w:pPr>
                <w:r>
                  <w:rPr>
                    <w:b/>
                    <w:sz w:val="18"/>
                  </w:rPr>
                  <w:t>Shared</w:t>
                </w:r>
                <w:r>
                  <w:rPr>
                    <w:b/>
                    <w:spacing w:val="-3"/>
                    <w:sz w:val="18"/>
                  </w:rPr>
                  <w:t> </w:t>
                </w:r>
                <w:r>
                  <w:rPr>
                    <w:b/>
                    <w:sz w:val="18"/>
                  </w:rPr>
                  <w:t>Services</w:t>
                </w:r>
                <w:r>
                  <w:rPr>
                    <w:b/>
                    <w:spacing w:val="-2"/>
                    <w:sz w:val="18"/>
                  </w:rPr>
                  <w:t> </w:t>
                </w:r>
                <w:r>
                  <w:rPr>
                    <w:b/>
                    <w:sz w:val="18"/>
                  </w:rPr>
                  <w:t>Audit</w:t>
                </w:r>
                <w:r>
                  <w:rPr>
                    <w:b/>
                    <w:spacing w:val="-3"/>
                    <w:sz w:val="18"/>
                  </w:rPr>
                  <w:t> </w:t>
                </w:r>
                <w:r>
                  <w:rPr>
                    <w:b/>
                    <w:sz w:val="18"/>
                  </w:rPr>
                  <w:t>Committee</w:t>
                </w:r>
                <w:r>
                  <w:rPr>
                    <w:b/>
                    <w:spacing w:val="-3"/>
                    <w:sz w:val="18"/>
                  </w:rPr>
                  <w:t> </w:t>
                </w:r>
                <w:r>
                  <w:rPr>
                    <w:b/>
                    <w:sz w:val="18"/>
                  </w:rPr>
                  <w:t>Page</w:t>
                </w:r>
                <w:r>
                  <w:rPr>
                    <w:b/>
                    <w:spacing w:val="-2"/>
                    <w:sz w:val="18"/>
                  </w:rPr>
                  <w:t> </w:t>
                </w:r>
                <w:r>
                  <w:rPr>
                    <w:b/>
                    <w:sz w:val="18"/>
                  </w:rPr>
                  <w:fldChar w:fldCharType="begin"/>
                </w:r>
                <w:r>
                  <w:rPr>
                    <w:b/>
                    <w:sz w:val="18"/>
                  </w:rPr>
                  <w:instrText> PAGE </w:instrText>
                </w:r>
                <w:r>
                  <w:rPr>
                    <w:b/>
                    <w:sz w:val="18"/>
                  </w:rPr>
                  <w:fldChar w:fldCharType="separate"/>
                </w:r>
                <w:r>
                  <w:rPr>
                    <w:b/>
                    <w:sz w:val="18"/>
                  </w:rPr>
                  <w:t>2</w:t>
                </w:r>
                <w:r>
                  <w:rPr>
                    <w:b/>
                    <w:sz w:val="18"/>
                  </w:rPr>
                  <w:fldChar w:fldCharType="end"/>
                </w:r>
                <w:r>
                  <w:rPr>
                    <w:b/>
                    <w:spacing w:val="-2"/>
                    <w:sz w:val="18"/>
                  </w:rPr>
                  <w:t> </w:t>
                </w:r>
                <w:r>
                  <w:rPr>
                    <w:b/>
                    <w:sz w:val="18"/>
                  </w:rPr>
                  <w:t>of</w:t>
                </w:r>
                <w:r>
                  <w:rPr>
                    <w:b/>
                    <w:spacing w:val="-3"/>
                    <w:sz w:val="18"/>
                  </w:rPr>
                  <w:t> </w:t>
                </w:r>
                <w:r>
                  <w:rPr>
                    <w:b/>
                    <w:spacing w:val="-10"/>
                    <w:sz w:val="18"/>
                  </w:rPr>
                  <w:t>7</w:t>
                </w:r>
              </w:p>
              <w:p>
                <w:pPr>
                  <w:spacing w:before="0"/>
                  <w:ind w:left="20" w:right="0" w:firstLine="0"/>
                  <w:jc w:val="left"/>
                  <w:rPr>
                    <w:sz w:val="18"/>
                  </w:rPr>
                </w:pPr>
                <w:r>
                  <w:rPr>
                    <w:sz w:val="18"/>
                  </w:rPr>
                  <w:t>24</w:t>
                </w:r>
                <w:r>
                  <w:rPr>
                    <w:spacing w:val="-2"/>
                    <w:sz w:val="18"/>
                  </w:rPr>
                  <w:t> </w:t>
                </w:r>
                <w:r>
                  <w:rPr>
                    <w:sz w:val="18"/>
                  </w:rPr>
                  <w:t>January</w:t>
                </w:r>
                <w:r>
                  <w:rPr>
                    <w:spacing w:val="-2"/>
                    <w:sz w:val="18"/>
                  </w:rPr>
                  <w:t> </w:t>
                </w:r>
                <w:r>
                  <w:rPr>
                    <w:spacing w:val="-4"/>
                    <w:sz w:val="18"/>
                  </w:rPr>
                  <w:t>2023</w:t>
                </w:r>
              </w:p>
            </w:txbxContent>
          </v:textbox>
          <w10:wrap type="none"/>
        </v:shape>
      </w:pict>
    </w:r>
    <w:r>
      <w:rPr/>
      <w:pict>
        <v:shape style="position:absolute;margin-left:-2pt;margin-top:822.23645pt;width:28.2pt;height:19.7pt;mso-position-horizontal-relative:page;mso-position-vertical-relative:page;z-index:-24181248" type="#_x0000_t202" id="docshape33" filled="false" stroked="false">
          <v:textbox inset="0,0,0,0">
            <w:txbxContent>
              <w:p>
                <w:pPr>
                  <w:spacing w:before="21"/>
                  <w:ind w:left="60" w:right="0" w:firstLine="0"/>
                  <w:jc w:val="left"/>
                  <w:rPr>
                    <w:sz w:val="29"/>
                  </w:rPr>
                </w:pPr>
                <w:r>
                  <w:rPr>
                    <w:spacing w:val="-5"/>
                    <w:sz w:val="29"/>
                  </w:rPr>
                  <w:fldChar w:fldCharType="begin"/>
                </w:r>
                <w:r>
                  <w:rPr>
                    <w:spacing w:val="-5"/>
                    <w:sz w:val="29"/>
                  </w:rPr>
                  <w:instrText> PAGE </w:instrText>
                </w:r>
                <w:r>
                  <w:rPr>
                    <w:spacing w:val="-5"/>
                    <w:sz w:val="29"/>
                  </w:rPr>
                  <w:fldChar w:fldCharType="separate"/>
                </w:r>
                <w:r>
                  <w:rPr>
                    <w:spacing w:val="-5"/>
                    <w:sz w:val="29"/>
                  </w:rPr>
                  <w:t>2</w:t>
                </w:r>
                <w:r>
                  <w:rPr>
                    <w:spacing w:val="-5"/>
                    <w:sz w:val="29"/>
                  </w:rPr>
                  <w:fldChar w:fldCharType="end"/>
                </w:r>
                <w:r>
                  <w:rPr>
                    <w:spacing w:val="-5"/>
                    <w:sz w:val="29"/>
                  </w:rPr>
                  <w:t>/7</w:t>
                </w:r>
              </w:p>
            </w:txbxContent>
          </v:textbox>
          <w10:wrap type="none"/>
        </v:shape>
      </w:pict>
    </w:r>
    <w:r>
      <w:rPr/>
      <w:pict>
        <v:shape style="position:absolute;margin-left:542.440613pt;margin-top:822.23645pt;width:52.9pt;height:19.7pt;mso-position-horizontal-relative:page;mso-position-vertical-relative:page;z-index:-24180736" type="#_x0000_t202" id="docshape34" filled="false" stroked="false">
          <v:textbox inset="0,0,0,0">
            <w:txbxContent>
              <w:p>
                <w:pPr>
                  <w:spacing w:before="21"/>
                  <w:ind w:left="20" w:right="0" w:firstLine="0"/>
                  <w:jc w:val="left"/>
                  <w:rPr>
                    <w:sz w:val="29"/>
                  </w:rPr>
                </w:pPr>
                <w:r>
                  <w:rPr>
                    <w:spacing w:val="-6"/>
                    <w:sz w:val="29"/>
                  </w:rPr>
                  <w:t>12/179</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822.23645pt;width:26.2pt;height:19.7pt;mso-position-horizontal-relative:page;mso-position-vertical-relative:page;z-index:-24103424" type="#_x0000_t202" id="docshape517" filled="false" stroked="false">
          <v:textbox inset="0,0,0,0">
            <w:txbxContent>
              <w:p>
                <w:pPr>
                  <w:spacing w:before="21"/>
                  <w:ind w:left="20" w:right="0" w:firstLine="0"/>
                  <w:jc w:val="left"/>
                  <w:rPr>
                    <w:sz w:val="29"/>
                  </w:rPr>
                </w:pPr>
                <w:r>
                  <w:rPr>
                    <w:spacing w:val="-5"/>
                    <w:sz w:val="29"/>
                  </w:rPr>
                  <w:t>3/3</w:t>
                </w:r>
              </w:p>
            </w:txbxContent>
          </v:textbox>
          <w10:wrap type="none"/>
        </v:shape>
      </w:pict>
    </w:r>
    <w:r>
      <w:rPr/>
      <w:pict>
        <v:shape style="position:absolute;margin-left:542.440613pt;margin-top:822.23645pt;width:52.9pt;height:19.7pt;mso-position-horizontal-relative:page;mso-position-vertical-relative:page;z-index:-24102912" type="#_x0000_t202" id="docshape518" filled="false" stroked="false">
          <v:textbox inset="0,0,0,0">
            <w:txbxContent>
              <w:p>
                <w:pPr>
                  <w:spacing w:before="21"/>
                  <w:ind w:left="20" w:right="0" w:firstLine="0"/>
                  <w:jc w:val="left"/>
                  <w:rPr>
                    <w:sz w:val="29"/>
                  </w:rPr>
                </w:pPr>
                <w:r>
                  <w:rPr>
                    <w:spacing w:val="-6"/>
                    <w:sz w:val="29"/>
                  </w:rPr>
                  <w:t>94/179</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822.25647pt;width:26.2pt;height:19.7pt;mso-position-horizontal-relative:page;mso-position-vertical-relative:page;z-index:-24102400" type="#_x0000_t202" id="docshape519" filled="false" stroked="false">
          <v:textbox inset="0,0,0,0">
            <w:txbxContent>
              <w:p>
                <w:pPr>
                  <w:spacing w:before="21"/>
                  <w:ind w:left="20" w:right="0" w:firstLine="0"/>
                  <w:jc w:val="left"/>
                  <w:rPr>
                    <w:sz w:val="29"/>
                  </w:rPr>
                </w:pPr>
                <w:r>
                  <w:rPr>
                    <w:spacing w:val="-5"/>
                    <w:sz w:val="29"/>
                  </w:rPr>
                  <w:t>1/4</w:t>
                </w:r>
              </w:p>
            </w:txbxContent>
          </v:textbox>
          <w10:wrap type="none"/>
        </v:shape>
      </w:pict>
    </w:r>
    <w:r>
      <w:rPr/>
      <w:pict>
        <v:shape style="position:absolute;margin-left:1137.660645pt;margin-top:822.25647pt;width:52.9pt;height:19.7pt;mso-position-horizontal-relative:page;mso-position-vertical-relative:page;z-index:-24101888" type="#_x0000_t202" id="docshape520" filled="false" stroked="false">
          <v:textbox inset="0,0,0,0">
            <w:txbxContent>
              <w:p>
                <w:pPr>
                  <w:spacing w:before="21"/>
                  <w:ind w:left="20" w:right="0" w:firstLine="0"/>
                  <w:jc w:val="left"/>
                  <w:rPr>
                    <w:sz w:val="29"/>
                  </w:rPr>
                </w:pPr>
                <w:r>
                  <w:rPr>
                    <w:spacing w:val="-6"/>
                    <w:sz w:val="29"/>
                  </w:rPr>
                  <w:t>95/179</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pt;margin-top:822.25647pt;width:28.2pt;height:19.7pt;mso-position-horizontal-relative:page;mso-position-vertical-relative:page;z-index:-24101376" type="#_x0000_t202" id="docshape521" filled="false" stroked="false">
          <v:textbox inset="0,0,0,0">
            <w:txbxContent>
              <w:p>
                <w:pPr>
                  <w:spacing w:before="21"/>
                  <w:ind w:left="60" w:right="0" w:firstLine="0"/>
                  <w:jc w:val="left"/>
                  <w:rPr>
                    <w:sz w:val="29"/>
                  </w:rPr>
                </w:pPr>
                <w:r>
                  <w:rPr>
                    <w:spacing w:val="-5"/>
                    <w:sz w:val="29"/>
                  </w:rPr>
                  <w:fldChar w:fldCharType="begin"/>
                </w:r>
                <w:r>
                  <w:rPr>
                    <w:spacing w:val="-5"/>
                    <w:sz w:val="29"/>
                  </w:rPr>
                  <w:instrText> PAGE </w:instrText>
                </w:r>
                <w:r>
                  <w:rPr>
                    <w:spacing w:val="-5"/>
                    <w:sz w:val="29"/>
                  </w:rPr>
                  <w:fldChar w:fldCharType="separate"/>
                </w:r>
                <w:r>
                  <w:rPr>
                    <w:spacing w:val="-5"/>
                    <w:sz w:val="29"/>
                  </w:rPr>
                  <w:t>2</w:t>
                </w:r>
                <w:r>
                  <w:rPr>
                    <w:spacing w:val="-5"/>
                    <w:sz w:val="29"/>
                  </w:rPr>
                  <w:fldChar w:fldCharType="end"/>
                </w:r>
                <w:r>
                  <w:rPr>
                    <w:spacing w:val="-5"/>
                    <w:sz w:val="29"/>
                  </w:rPr>
                  <w:t>/4</w:t>
                </w:r>
              </w:p>
            </w:txbxContent>
          </v:textbox>
          <w10:wrap type="none"/>
        </v:shape>
      </w:pict>
    </w:r>
    <w:r>
      <w:rPr/>
      <w:pict>
        <v:shape style="position:absolute;margin-left:1137.660645pt;margin-top:822.25647pt;width:52.9pt;height:19.7pt;mso-position-horizontal-relative:page;mso-position-vertical-relative:page;z-index:-24100864" type="#_x0000_t202" id="docshape522" filled="false" stroked="false">
          <v:textbox inset="0,0,0,0">
            <w:txbxContent>
              <w:p>
                <w:pPr>
                  <w:spacing w:before="21"/>
                  <w:ind w:left="20" w:right="0" w:firstLine="0"/>
                  <w:jc w:val="left"/>
                  <w:rPr>
                    <w:sz w:val="29"/>
                  </w:rPr>
                </w:pPr>
                <w:r>
                  <w:rPr>
                    <w:spacing w:val="-6"/>
                    <w:sz w:val="29"/>
                  </w:rPr>
                  <w:t>96/179</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520.336426pt;width:35.1pt;height:19.7pt;mso-position-horizontal-relative:page;mso-position-vertical-relative:page;z-index:-24100352" type="#_x0000_t202" id="docshape523" filled="false" stroked="false">
          <v:textbox inset="0,0,0,0">
            <w:txbxContent>
              <w:p>
                <w:pPr>
                  <w:spacing w:before="21"/>
                  <w:ind w:left="20" w:right="0" w:firstLine="0"/>
                  <w:jc w:val="left"/>
                  <w:rPr>
                    <w:sz w:val="29"/>
                  </w:rPr>
                </w:pPr>
                <w:r>
                  <w:rPr>
                    <w:spacing w:val="-5"/>
                    <w:sz w:val="29"/>
                  </w:rPr>
                  <w:t>1/23</w:t>
                </w:r>
              </w:p>
            </w:txbxContent>
          </v:textbox>
          <w10:wrap type="none"/>
        </v:shape>
      </w:pict>
    </w:r>
    <w:r>
      <w:rPr/>
      <w:pict>
        <v:shape style="position:absolute;margin-left:667.140625pt;margin-top:520.336426pt;width:52.9pt;height:19.7pt;mso-position-horizontal-relative:page;mso-position-vertical-relative:page;z-index:-24099840" type="#_x0000_t202" id="docshape524" filled="false" stroked="false">
          <v:textbox inset="0,0,0,0">
            <w:txbxContent>
              <w:p>
                <w:pPr>
                  <w:spacing w:before="21"/>
                  <w:ind w:left="20" w:right="0" w:firstLine="0"/>
                  <w:jc w:val="left"/>
                  <w:rPr>
                    <w:sz w:val="29"/>
                  </w:rPr>
                </w:pPr>
                <w:r>
                  <w:rPr>
                    <w:spacing w:val="-6"/>
                    <w:sz w:val="29"/>
                  </w:rPr>
                  <w:t>99/179</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pt;margin-top:520.336426pt;width:46pt;height:19.7pt;mso-position-horizontal-relative:page;mso-position-vertical-relative:page;z-index:-24099328" type="#_x0000_t202" id="docshape528" filled="false" stroked="false">
          <v:textbox inset="0,0,0,0">
            <w:txbxContent>
              <w:p>
                <w:pPr>
                  <w:spacing w:before="21"/>
                  <w:ind w:left="60" w:right="0" w:firstLine="0"/>
                  <w:jc w:val="left"/>
                  <w:rPr>
                    <w:sz w:val="29"/>
                  </w:rPr>
                </w:pPr>
                <w:r>
                  <w:rPr>
                    <w:spacing w:val="-5"/>
                    <w:sz w:val="29"/>
                  </w:rPr>
                  <w:fldChar w:fldCharType="begin"/>
                </w:r>
                <w:r>
                  <w:rPr>
                    <w:spacing w:val="-5"/>
                    <w:sz w:val="29"/>
                  </w:rPr>
                  <w:instrText> PAGE </w:instrText>
                </w:r>
                <w:r>
                  <w:rPr>
                    <w:spacing w:val="-5"/>
                    <w:sz w:val="29"/>
                  </w:rPr>
                  <w:fldChar w:fldCharType="separate"/>
                </w:r>
                <w:r>
                  <w:rPr>
                    <w:spacing w:val="-5"/>
                    <w:sz w:val="29"/>
                  </w:rPr>
                  <w:t>10</w:t>
                </w:r>
                <w:r>
                  <w:rPr>
                    <w:spacing w:val="-5"/>
                    <w:sz w:val="29"/>
                  </w:rPr>
                  <w:fldChar w:fldCharType="end"/>
                </w:r>
                <w:r>
                  <w:rPr>
                    <w:spacing w:val="-5"/>
                    <w:sz w:val="29"/>
                  </w:rPr>
                  <w:t>/23</w:t>
                </w:r>
              </w:p>
            </w:txbxContent>
          </v:textbox>
          <w10:wrap type="none"/>
        </v:shape>
      </w:pict>
    </w:r>
    <w:r>
      <w:rPr/>
      <w:pict>
        <v:shape style="position:absolute;margin-left:658.240234pt;margin-top:520.336426pt;width:61.8pt;height:19.7pt;mso-position-horizontal-relative:page;mso-position-vertical-relative:page;z-index:-24098816" type="#_x0000_t202" id="docshape529" filled="false" stroked="false">
          <v:textbox inset="0,0,0,0">
            <w:txbxContent>
              <w:p>
                <w:pPr>
                  <w:spacing w:before="21"/>
                  <w:ind w:left="20" w:right="0" w:firstLine="0"/>
                  <w:jc w:val="left"/>
                  <w:rPr>
                    <w:sz w:val="29"/>
                  </w:rPr>
                </w:pPr>
                <w:r>
                  <w:rPr>
                    <w:spacing w:val="-6"/>
                    <w:sz w:val="29"/>
                  </w:rPr>
                  <w:fldChar w:fldCharType="begin"/>
                </w:r>
                <w:r>
                  <w:rPr>
                    <w:spacing w:val="-6"/>
                    <w:sz w:val="29"/>
                  </w:rPr>
                  <w:instrText> PAGE </w:instrText>
                </w:r>
                <w:r>
                  <w:rPr>
                    <w:spacing w:val="-6"/>
                    <w:sz w:val="29"/>
                  </w:rPr>
                  <w:fldChar w:fldCharType="separate"/>
                </w:r>
                <w:r>
                  <w:rPr>
                    <w:spacing w:val="-6"/>
                    <w:sz w:val="29"/>
                  </w:rPr>
                  <w:t>108</w:t>
                </w:r>
                <w:r>
                  <w:rPr>
                    <w:spacing w:val="-6"/>
                    <w:sz w:val="29"/>
                  </w:rPr>
                  <w:fldChar w:fldCharType="end"/>
                </w:r>
                <w:r>
                  <w:rPr>
                    <w:spacing w:val="-6"/>
                    <w:sz w:val="29"/>
                  </w:rPr>
                  <w:t>/179</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822.23645pt;width:26.2pt;height:19.7pt;mso-position-horizontal-relative:page;mso-position-vertical-relative:page;z-index:-24098304" type="#_x0000_t202" id="docshape643" filled="false" stroked="false">
          <v:textbox inset="0,0,0,0">
            <w:txbxContent>
              <w:p>
                <w:pPr>
                  <w:spacing w:before="21"/>
                  <w:ind w:left="20" w:right="0" w:firstLine="0"/>
                  <w:jc w:val="left"/>
                  <w:rPr>
                    <w:sz w:val="29"/>
                  </w:rPr>
                </w:pPr>
                <w:r>
                  <w:rPr>
                    <w:spacing w:val="-5"/>
                    <w:sz w:val="29"/>
                  </w:rPr>
                  <w:t>1/3</w:t>
                </w:r>
              </w:p>
            </w:txbxContent>
          </v:textbox>
          <w10:wrap type="none"/>
        </v:shape>
      </w:pict>
    </w:r>
    <w:r>
      <w:rPr/>
      <w:pict>
        <v:shape style="position:absolute;margin-left:533.540222pt;margin-top:822.23645pt;width:61.8pt;height:19.7pt;mso-position-horizontal-relative:page;mso-position-vertical-relative:page;z-index:-24097792" type="#_x0000_t202" id="docshape644" filled="false" stroked="false">
          <v:textbox inset="0,0,0,0">
            <w:txbxContent>
              <w:p>
                <w:pPr>
                  <w:spacing w:before="21"/>
                  <w:ind w:left="20" w:right="0" w:firstLine="0"/>
                  <w:jc w:val="left"/>
                  <w:rPr>
                    <w:sz w:val="29"/>
                  </w:rPr>
                </w:pPr>
                <w:r>
                  <w:rPr>
                    <w:spacing w:val="-6"/>
                    <w:sz w:val="29"/>
                  </w:rPr>
                  <w:t>122/179</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2.799999pt;margin-top:778.711914pt;width:139.8pt;height:28.75pt;mso-position-horizontal-relative:page;mso-position-vertical-relative:page;z-index:-24097280" type="#_x0000_t202" id="docshape645" filled="false" stroked="false">
          <v:textbox inset="0,0,0,0">
            <w:txbxContent>
              <w:p>
                <w:pPr>
                  <w:spacing w:before="20"/>
                  <w:ind w:left="20" w:right="0" w:firstLine="0"/>
                  <w:jc w:val="left"/>
                  <w:rPr>
                    <w:sz w:val="22"/>
                  </w:rPr>
                </w:pPr>
                <w:r>
                  <w:rPr>
                    <w:sz w:val="22"/>
                  </w:rPr>
                  <w:t>NWSSP</w:t>
                </w:r>
                <w:r>
                  <w:rPr>
                    <w:spacing w:val="-19"/>
                    <w:sz w:val="22"/>
                  </w:rPr>
                  <w:t> </w:t>
                </w:r>
                <w:r>
                  <w:rPr>
                    <w:sz w:val="22"/>
                  </w:rPr>
                  <w:t>Audit</w:t>
                </w:r>
                <w:r>
                  <w:rPr>
                    <w:spacing w:val="-19"/>
                    <w:sz w:val="22"/>
                  </w:rPr>
                  <w:t> </w:t>
                </w:r>
                <w:r>
                  <w:rPr>
                    <w:sz w:val="22"/>
                  </w:rPr>
                  <w:t>Committee 24 January 2023</w:t>
                </w:r>
              </w:p>
            </w:txbxContent>
          </v:textbox>
          <w10:wrap type="none"/>
        </v:shape>
      </w:pict>
    </w:r>
    <w:r>
      <w:rPr/>
      <w:pict>
        <v:shape style="position:absolute;margin-left:0pt;margin-top:822.23645pt;width:26.2pt;height:19.7pt;mso-position-horizontal-relative:page;mso-position-vertical-relative:page;z-index:-24096768" type="#_x0000_t202" id="docshape646" filled="false" stroked="false">
          <v:textbox inset="0,0,0,0">
            <w:txbxContent>
              <w:p>
                <w:pPr>
                  <w:spacing w:before="21"/>
                  <w:ind w:left="20" w:right="0" w:firstLine="0"/>
                  <w:jc w:val="left"/>
                  <w:rPr>
                    <w:sz w:val="29"/>
                  </w:rPr>
                </w:pPr>
                <w:r>
                  <w:rPr>
                    <w:spacing w:val="-5"/>
                    <w:sz w:val="29"/>
                  </w:rPr>
                  <w:t>2/3</w:t>
                </w:r>
              </w:p>
            </w:txbxContent>
          </v:textbox>
          <w10:wrap type="none"/>
        </v:shape>
      </w:pict>
    </w:r>
    <w:r>
      <w:rPr/>
      <w:pict>
        <v:shape style="position:absolute;margin-left:533.540222pt;margin-top:822.23645pt;width:61.8pt;height:19.7pt;mso-position-horizontal-relative:page;mso-position-vertical-relative:page;z-index:-24096256" type="#_x0000_t202" id="docshape647" filled="false" stroked="false">
          <v:textbox inset="0,0,0,0">
            <w:txbxContent>
              <w:p>
                <w:pPr>
                  <w:spacing w:before="21"/>
                  <w:ind w:left="20" w:right="0" w:firstLine="0"/>
                  <w:jc w:val="left"/>
                  <w:rPr>
                    <w:sz w:val="29"/>
                  </w:rPr>
                </w:pPr>
                <w:r>
                  <w:rPr>
                    <w:spacing w:val="-6"/>
                    <w:sz w:val="29"/>
                  </w:rPr>
                  <w:t>123/179</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2.799999pt;margin-top:778.711914pt;width:139.8pt;height:28.75pt;mso-position-horizontal-relative:page;mso-position-vertical-relative:page;z-index:-24095744" type="#_x0000_t202" id="docshape648" filled="false" stroked="false">
          <v:textbox inset="0,0,0,0">
            <w:txbxContent>
              <w:p>
                <w:pPr>
                  <w:spacing w:before="20"/>
                  <w:ind w:left="20" w:right="0" w:firstLine="0"/>
                  <w:jc w:val="left"/>
                  <w:rPr>
                    <w:sz w:val="22"/>
                  </w:rPr>
                </w:pPr>
                <w:r>
                  <w:rPr>
                    <w:sz w:val="22"/>
                  </w:rPr>
                  <w:t>NWSSP</w:t>
                </w:r>
                <w:r>
                  <w:rPr>
                    <w:spacing w:val="-19"/>
                    <w:sz w:val="22"/>
                  </w:rPr>
                  <w:t> </w:t>
                </w:r>
                <w:r>
                  <w:rPr>
                    <w:sz w:val="22"/>
                  </w:rPr>
                  <w:t>Audit</w:t>
                </w:r>
                <w:r>
                  <w:rPr>
                    <w:spacing w:val="-19"/>
                    <w:sz w:val="22"/>
                  </w:rPr>
                  <w:t> </w:t>
                </w:r>
                <w:r>
                  <w:rPr>
                    <w:sz w:val="22"/>
                  </w:rPr>
                  <w:t>Committee 24 January 2023</w:t>
                </w:r>
              </w:p>
            </w:txbxContent>
          </v:textbox>
          <w10:wrap type="none"/>
        </v:shape>
      </w:pict>
    </w:r>
    <w:r>
      <w:rPr/>
      <w:pict>
        <v:shape style="position:absolute;margin-left:0pt;margin-top:822.23645pt;width:26.2pt;height:19.7pt;mso-position-horizontal-relative:page;mso-position-vertical-relative:page;z-index:-24095232" type="#_x0000_t202" id="docshape649" filled="false" stroked="false">
          <v:textbox inset="0,0,0,0">
            <w:txbxContent>
              <w:p>
                <w:pPr>
                  <w:spacing w:before="21"/>
                  <w:ind w:left="20" w:right="0" w:firstLine="0"/>
                  <w:jc w:val="left"/>
                  <w:rPr>
                    <w:sz w:val="29"/>
                  </w:rPr>
                </w:pPr>
                <w:r>
                  <w:rPr>
                    <w:spacing w:val="-5"/>
                    <w:sz w:val="29"/>
                  </w:rPr>
                  <w:t>3/3</w:t>
                </w:r>
              </w:p>
            </w:txbxContent>
          </v:textbox>
          <w10:wrap type="none"/>
        </v:shape>
      </w:pict>
    </w:r>
    <w:r>
      <w:rPr/>
      <w:pict>
        <v:shape style="position:absolute;margin-left:533.540222pt;margin-top:822.23645pt;width:61.8pt;height:19.7pt;mso-position-horizontal-relative:page;mso-position-vertical-relative:page;z-index:-24094720" type="#_x0000_t202" id="docshape650" filled="false" stroked="false">
          <v:textbox inset="0,0,0,0">
            <w:txbxContent>
              <w:p>
                <w:pPr>
                  <w:spacing w:before="21"/>
                  <w:ind w:left="20" w:right="0" w:firstLine="0"/>
                  <w:jc w:val="left"/>
                  <w:rPr>
                    <w:sz w:val="29"/>
                  </w:rPr>
                </w:pPr>
                <w:r>
                  <w:rPr>
                    <w:spacing w:val="-6"/>
                    <w:sz w:val="29"/>
                  </w:rPr>
                  <w:t>124/179</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798.711914pt;width:174.8pt;height:43.25pt;mso-position-horizontal-relative:page;mso-position-vertical-relative:page;z-index:-24094208" type="#_x0000_t202" id="docshape651" filled="false" stroked="false">
          <v:textbox inset="0,0,0,0">
            <w:txbxContent>
              <w:p>
                <w:pPr>
                  <w:spacing w:before="20"/>
                  <w:ind w:left="720" w:right="0" w:firstLine="0"/>
                  <w:jc w:val="left"/>
                  <w:rPr>
                    <w:sz w:val="22"/>
                  </w:rPr>
                </w:pPr>
                <w:r>
                  <w:rPr>
                    <w:sz w:val="22"/>
                  </w:rPr>
                  <w:t>NWSSP</w:t>
                </w:r>
                <w:r>
                  <w:rPr>
                    <w:spacing w:val="-19"/>
                    <w:sz w:val="22"/>
                  </w:rPr>
                  <w:t> </w:t>
                </w:r>
                <w:r>
                  <w:rPr>
                    <w:sz w:val="22"/>
                  </w:rPr>
                  <w:t>Audit</w:t>
                </w:r>
                <w:r>
                  <w:rPr>
                    <w:spacing w:val="-19"/>
                    <w:sz w:val="22"/>
                  </w:rPr>
                  <w:t> </w:t>
                </w:r>
                <w:r>
                  <w:rPr>
                    <w:sz w:val="22"/>
                  </w:rPr>
                  <w:t>Committee 24 Janaury 2023</w:t>
                </w:r>
              </w:p>
              <w:p>
                <w:pPr>
                  <w:spacing w:line="289" w:lineRule="exact" w:before="0"/>
                  <w:ind w:left="20" w:right="0" w:firstLine="0"/>
                  <w:jc w:val="left"/>
                  <w:rPr>
                    <w:sz w:val="29"/>
                  </w:rPr>
                </w:pPr>
                <w:r>
                  <w:rPr>
                    <w:spacing w:val="-4"/>
                    <w:sz w:val="29"/>
                  </w:rPr>
                  <w:t>1/12</w:t>
                </w:r>
              </w:p>
            </w:txbxContent>
          </v:textbox>
          <w10:wrap type="none"/>
        </v:shape>
      </w:pict>
    </w:r>
    <w:r>
      <w:rPr/>
      <w:pict>
        <v:shape style="position:absolute;margin-left:467pt;margin-top:812.080872pt;width:9pt;height:15.4pt;mso-position-horizontal-relative:page;mso-position-vertical-relative:page;z-index:-24093696" type="#_x0000_t202" id="docshape652" filled="false" stroked="false">
          <v:textbox inset="0,0,0,0">
            <w:txbxContent>
              <w:p>
                <w:pPr>
                  <w:spacing w:before="20"/>
                  <w:ind w:left="20" w:right="0" w:firstLine="0"/>
                  <w:jc w:val="left"/>
                  <w:rPr>
                    <w:sz w:val="22"/>
                  </w:rPr>
                </w:pPr>
                <w:r>
                  <w:rPr>
                    <w:sz w:val="22"/>
                  </w:rPr>
                  <w:t>1</w:t>
                </w:r>
              </w:p>
            </w:txbxContent>
          </v:textbox>
          <w10:wrap type="none"/>
        </v:shape>
      </w:pict>
    </w:r>
    <w:r>
      <w:rPr/>
      <w:pict>
        <v:shape style="position:absolute;margin-left:533.540222pt;margin-top:822.23645pt;width:61.8pt;height:19.7pt;mso-position-horizontal-relative:page;mso-position-vertical-relative:page;z-index:-24093184" type="#_x0000_t202" id="docshape653" filled="false" stroked="false">
          <v:textbox inset="0,0,0,0">
            <w:txbxContent>
              <w:p>
                <w:pPr>
                  <w:spacing w:before="21"/>
                  <w:ind w:left="20" w:right="0" w:firstLine="0"/>
                  <w:jc w:val="left"/>
                  <w:rPr>
                    <w:sz w:val="29"/>
                  </w:rPr>
                </w:pPr>
                <w:r>
                  <w:rPr>
                    <w:spacing w:val="-6"/>
                    <w:sz w:val="29"/>
                  </w:rPr>
                  <w:t>125/179</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798.711914pt;width:174.8pt;height:43.25pt;mso-position-horizontal-relative:page;mso-position-vertical-relative:page;z-index:-24092672" type="#_x0000_t202" id="docshape654" filled="false" stroked="false">
          <v:textbox inset="0,0,0,0">
            <w:txbxContent>
              <w:p>
                <w:pPr>
                  <w:spacing w:before="20"/>
                  <w:ind w:left="720" w:right="0" w:firstLine="0"/>
                  <w:jc w:val="left"/>
                  <w:rPr>
                    <w:sz w:val="22"/>
                  </w:rPr>
                </w:pPr>
                <w:r>
                  <w:rPr>
                    <w:sz w:val="22"/>
                  </w:rPr>
                  <w:t>NWSSP</w:t>
                </w:r>
                <w:r>
                  <w:rPr>
                    <w:spacing w:val="-19"/>
                    <w:sz w:val="22"/>
                  </w:rPr>
                  <w:t> </w:t>
                </w:r>
                <w:r>
                  <w:rPr>
                    <w:sz w:val="22"/>
                  </w:rPr>
                  <w:t>Audit</w:t>
                </w:r>
                <w:r>
                  <w:rPr>
                    <w:spacing w:val="-19"/>
                    <w:sz w:val="22"/>
                  </w:rPr>
                  <w:t> </w:t>
                </w:r>
                <w:r>
                  <w:rPr>
                    <w:sz w:val="22"/>
                  </w:rPr>
                  <w:t>Committee 24 Janaury 2023</w:t>
                </w:r>
              </w:p>
              <w:p>
                <w:pPr>
                  <w:spacing w:line="289" w:lineRule="exact" w:before="0"/>
                  <w:ind w:left="20" w:right="0" w:firstLine="0"/>
                  <w:jc w:val="left"/>
                  <w:rPr>
                    <w:sz w:val="29"/>
                  </w:rPr>
                </w:pPr>
                <w:r>
                  <w:rPr>
                    <w:spacing w:val="-4"/>
                    <w:sz w:val="29"/>
                  </w:rPr>
                  <w:t>2/12</w:t>
                </w:r>
              </w:p>
            </w:txbxContent>
          </v:textbox>
          <w10:wrap type="none"/>
        </v:shape>
      </w:pict>
    </w:r>
    <w:r>
      <w:rPr/>
      <w:pict>
        <v:shape style="position:absolute;margin-left:467pt;margin-top:812.080872pt;width:9pt;height:15.4pt;mso-position-horizontal-relative:page;mso-position-vertical-relative:page;z-index:-24092160" type="#_x0000_t202" id="docshape655" filled="false" stroked="false">
          <v:textbox inset="0,0,0,0">
            <w:txbxContent>
              <w:p>
                <w:pPr>
                  <w:spacing w:before="20"/>
                  <w:ind w:left="20" w:right="0" w:firstLine="0"/>
                  <w:jc w:val="left"/>
                  <w:rPr>
                    <w:sz w:val="22"/>
                  </w:rPr>
                </w:pPr>
                <w:r>
                  <w:rPr>
                    <w:sz w:val="22"/>
                  </w:rPr>
                  <w:t>2</w:t>
                </w:r>
              </w:p>
            </w:txbxContent>
          </v:textbox>
          <w10:wrap type="none"/>
        </v:shape>
      </w:pict>
    </w:r>
    <w:r>
      <w:rPr/>
      <w:pict>
        <v:shape style="position:absolute;margin-left:533.540222pt;margin-top:822.23645pt;width:61.8pt;height:19.7pt;mso-position-horizontal-relative:page;mso-position-vertical-relative:page;z-index:-24091648" type="#_x0000_t202" id="docshape656" filled="false" stroked="false">
          <v:textbox inset="0,0,0,0">
            <w:txbxContent>
              <w:p>
                <w:pPr>
                  <w:spacing w:before="21"/>
                  <w:ind w:left="20" w:right="0" w:firstLine="0"/>
                  <w:jc w:val="left"/>
                  <w:rPr>
                    <w:sz w:val="29"/>
                  </w:rPr>
                </w:pPr>
                <w:r>
                  <w:rPr>
                    <w:spacing w:val="-6"/>
                    <w:sz w:val="29"/>
                  </w:rPr>
                  <w:t>126/179</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822.256409pt;width:26.2pt;height:19.7pt;mso-position-horizontal-relative:page;mso-position-vertical-relative:page;z-index:-24180224" type="#_x0000_t202" id="docshape35" filled="false" stroked="false">
          <v:textbox inset="0,0,0,0">
            <w:txbxContent>
              <w:p>
                <w:pPr>
                  <w:spacing w:before="21"/>
                  <w:ind w:left="20" w:right="0" w:firstLine="0"/>
                  <w:jc w:val="left"/>
                  <w:rPr>
                    <w:sz w:val="29"/>
                  </w:rPr>
                </w:pPr>
                <w:r>
                  <w:rPr>
                    <w:spacing w:val="-5"/>
                    <w:sz w:val="29"/>
                  </w:rPr>
                  <w:t>1/3</w:t>
                </w:r>
              </w:p>
            </w:txbxContent>
          </v:textbox>
          <w10:wrap type="none"/>
        </v:shape>
      </w:pict>
    </w:r>
    <w:r>
      <w:rPr/>
      <w:pict>
        <v:shape style="position:absolute;margin-left:540.460632pt;margin-top:822.256409pt;width:54.9pt;height:19.7pt;mso-position-horizontal-relative:page;mso-position-vertical-relative:page;z-index:-24179712" type="#_x0000_t202" id="docshape36" filled="false" stroked="false">
          <v:textbox inset="0,0,0,0">
            <w:txbxContent>
              <w:p>
                <w:pPr>
                  <w:spacing w:before="21"/>
                  <w:ind w:left="60" w:right="0" w:firstLine="0"/>
                  <w:jc w:val="left"/>
                  <w:rPr>
                    <w:sz w:val="29"/>
                  </w:rPr>
                </w:pPr>
                <w:r>
                  <w:rPr>
                    <w:spacing w:val="-6"/>
                    <w:sz w:val="29"/>
                  </w:rPr>
                  <w:fldChar w:fldCharType="begin"/>
                </w:r>
                <w:r>
                  <w:rPr>
                    <w:spacing w:val="-6"/>
                    <w:sz w:val="29"/>
                  </w:rPr>
                  <w:instrText> PAGE </w:instrText>
                </w:r>
                <w:r>
                  <w:rPr>
                    <w:spacing w:val="-6"/>
                    <w:sz w:val="29"/>
                  </w:rPr>
                  <w:fldChar w:fldCharType="separate"/>
                </w:r>
                <w:r>
                  <w:rPr>
                    <w:spacing w:val="-6"/>
                    <w:sz w:val="29"/>
                  </w:rPr>
                  <w:t>18</w:t>
                </w:r>
                <w:r>
                  <w:rPr>
                    <w:spacing w:val="-6"/>
                    <w:sz w:val="29"/>
                  </w:rPr>
                  <w:fldChar w:fldCharType="end"/>
                </w:r>
                <w:r>
                  <w:rPr>
                    <w:spacing w:val="-6"/>
                    <w:sz w:val="29"/>
                  </w:rPr>
                  <w:t>/179</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552.261963pt;width:174.8pt;height:43.1pt;mso-position-horizontal-relative:page;mso-position-vertical-relative:page;z-index:-24091136" type="#_x0000_t202" id="docshape657" filled="false" stroked="false">
          <v:textbox inset="0,0,0,0">
            <w:txbxContent>
              <w:p>
                <w:pPr>
                  <w:spacing w:before="20"/>
                  <w:ind w:left="720" w:right="0" w:firstLine="0"/>
                  <w:jc w:val="left"/>
                  <w:rPr>
                    <w:sz w:val="22"/>
                  </w:rPr>
                </w:pPr>
                <w:r>
                  <w:rPr>
                    <w:sz w:val="22"/>
                  </w:rPr>
                  <w:t>NWSSP</w:t>
                </w:r>
                <w:r>
                  <w:rPr>
                    <w:spacing w:val="-19"/>
                    <w:sz w:val="22"/>
                  </w:rPr>
                  <w:t> </w:t>
                </w:r>
                <w:r>
                  <w:rPr>
                    <w:sz w:val="22"/>
                  </w:rPr>
                  <w:t>Audit</w:t>
                </w:r>
                <w:r>
                  <w:rPr>
                    <w:spacing w:val="-19"/>
                    <w:sz w:val="22"/>
                  </w:rPr>
                  <w:t> </w:t>
                </w:r>
                <w:r>
                  <w:rPr>
                    <w:sz w:val="22"/>
                  </w:rPr>
                  <w:t>Committee 24 Janaury 2023</w:t>
                </w:r>
              </w:p>
              <w:p>
                <w:pPr>
                  <w:spacing w:line="286" w:lineRule="exact" w:before="0"/>
                  <w:ind w:left="20" w:right="0" w:firstLine="0"/>
                  <w:jc w:val="left"/>
                  <w:rPr>
                    <w:sz w:val="29"/>
                  </w:rPr>
                </w:pPr>
                <w:r>
                  <w:rPr>
                    <w:spacing w:val="-4"/>
                    <w:sz w:val="29"/>
                  </w:rPr>
                  <w:t>3/12</w:t>
                </w:r>
              </w:p>
            </w:txbxContent>
          </v:textbox>
          <w10:wrap type="none"/>
        </v:shape>
      </w:pict>
    </w:r>
    <w:r>
      <w:rPr/>
      <w:pict>
        <v:shape style="position:absolute;margin-left:467pt;margin-top:565.630920pt;width:9pt;height:15.4pt;mso-position-horizontal-relative:page;mso-position-vertical-relative:page;z-index:-24090624" type="#_x0000_t202" id="docshape658" filled="false" stroked="false">
          <v:textbox inset="0,0,0,0">
            <w:txbxContent>
              <w:p>
                <w:pPr>
                  <w:spacing w:before="20"/>
                  <w:ind w:left="20" w:right="0" w:firstLine="0"/>
                  <w:jc w:val="left"/>
                  <w:rPr>
                    <w:sz w:val="22"/>
                  </w:rPr>
                </w:pPr>
                <w:r>
                  <w:rPr>
                    <w:sz w:val="22"/>
                  </w:rPr>
                  <w:t>3</w:t>
                </w:r>
              </w:p>
            </w:txbxContent>
          </v:textbox>
          <w10:wrap type="none"/>
        </v:shape>
      </w:pict>
    </w:r>
    <w:r>
      <w:rPr/>
      <w:pict>
        <v:shape style="position:absolute;margin-left:780.140259pt;margin-top:575.636414pt;width:61.8pt;height:19.7pt;mso-position-horizontal-relative:page;mso-position-vertical-relative:page;z-index:-24090112" type="#_x0000_t202" id="docshape659" filled="false" stroked="false">
          <v:textbox inset="0,0,0,0">
            <w:txbxContent>
              <w:p>
                <w:pPr>
                  <w:spacing w:before="21"/>
                  <w:ind w:left="20" w:right="0" w:firstLine="0"/>
                  <w:jc w:val="left"/>
                  <w:rPr>
                    <w:sz w:val="29"/>
                  </w:rPr>
                </w:pPr>
                <w:r>
                  <w:rPr>
                    <w:spacing w:val="-6"/>
                    <w:sz w:val="29"/>
                  </w:rPr>
                  <w:t>127/179</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pt;margin-top:552.261963pt;width:176.8pt;height:43.1pt;mso-position-horizontal-relative:page;mso-position-vertical-relative:page;z-index:-24089600" type="#_x0000_t202" id="docshape660" filled="false" stroked="false">
          <v:textbox inset="0,0,0,0">
            <w:txbxContent>
              <w:p>
                <w:pPr>
                  <w:spacing w:before="20"/>
                  <w:ind w:left="760" w:right="0" w:firstLine="0"/>
                  <w:jc w:val="left"/>
                  <w:rPr>
                    <w:sz w:val="22"/>
                  </w:rPr>
                </w:pPr>
                <w:r>
                  <w:rPr>
                    <w:sz w:val="22"/>
                  </w:rPr>
                  <w:t>NWSSP</w:t>
                </w:r>
                <w:r>
                  <w:rPr>
                    <w:spacing w:val="-19"/>
                    <w:sz w:val="22"/>
                  </w:rPr>
                  <w:t> </w:t>
                </w:r>
                <w:r>
                  <w:rPr>
                    <w:sz w:val="22"/>
                  </w:rPr>
                  <w:t>Audit</w:t>
                </w:r>
                <w:r>
                  <w:rPr>
                    <w:spacing w:val="-19"/>
                    <w:sz w:val="22"/>
                  </w:rPr>
                  <w:t> </w:t>
                </w:r>
                <w:r>
                  <w:rPr>
                    <w:sz w:val="22"/>
                  </w:rPr>
                  <w:t>Committee 24 Janaury 2023</w:t>
                </w:r>
              </w:p>
              <w:p>
                <w:pPr>
                  <w:spacing w:line="286" w:lineRule="exact" w:before="0"/>
                  <w:ind w:left="60" w:right="0" w:firstLine="0"/>
                  <w:jc w:val="left"/>
                  <w:rPr>
                    <w:sz w:val="29"/>
                  </w:rPr>
                </w:pPr>
                <w:r>
                  <w:rPr>
                    <w:spacing w:val="-4"/>
                    <w:sz w:val="29"/>
                  </w:rPr>
                  <w:fldChar w:fldCharType="begin"/>
                </w:r>
                <w:r>
                  <w:rPr>
                    <w:spacing w:val="-4"/>
                    <w:sz w:val="29"/>
                  </w:rPr>
                  <w:instrText> PAGE </w:instrText>
                </w:r>
                <w:r>
                  <w:rPr>
                    <w:spacing w:val="-4"/>
                    <w:sz w:val="29"/>
                  </w:rPr>
                  <w:fldChar w:fldCharType="separate"/>
                </w:r>
                <w:r>
                  <w:rPr>
                    <w:spacing w:val="-4"/>
                    <w:sz w:val="29"/>
                  </w:rPr>
                  <w:t>4</w:t>
                </w:r>
                <w:r>
                  <w:rPr>
                    <w:spacing w:val="-4"/>
                    <w:sz w:val="29"/>
                  </w:rPr>
                  <w:fldChar w:fldCharType="end"/>
                </w:r>
                <w:r>
                  <w:rPr>
                    <w:spacing w:val="-4"/>
                    <w:sz w:val="29"/>
                  </w:rPr>
                  <w:t>/12</w:t>
                </w:r>
              </w:p>
            </w:txbxContent>
          </v:textbox>
          <w10:wrap type="none"/>
        </v:shape>
      </w:pict>
    </w:r>
    <w:r>
      <w:rPr/>
      <w:pict>
        <v:shape style="position:absolute;margin-left:465pt;margin-top:565.630920pt;width:14pt;height:15.4pt;mso-position-horizontal-relative:page;mso-position-vertical-relative:page;z-index:-24089088" type="#_x0000_t202" id="docshape661" filled="false" stroked="false">
          <v:textbox inset="0,0,0,0">
            <w:txbxContent>
              <w:p>
                <w:pPr>
                  <w:spacing w:before="20"/>
                  <w:ind w:left="60" w:right="0" w:firstLine="0"/>
                  <w:jc w:val="left"/>
                  <w:rPr>
                    <w:sz w:val="22"/>
                  </w:rPr>
                </w:pPr>
                <w:r>
                  <w:rPr>
                    <w:sz w:val="22"/>
                  </w:rPr>
                  <w:fldChar w:fldCharType="begin"/>
                </w:r>
                <w:r>
                  <w:rPr>
                    <w:sz w:val="22"/>
                  </w:rPr>
                  <w:instrText> PAGE </w:instrText>
                </w:r>
                <w:r>
                  <w:rPr>
                    <w:sz w:val="22"/>
                  </w:rPr>
                  <w:fldChar w:fldCharType="separate"/>
                </w:r>
                <w:r>
                  <w:rPr>
                    <w:sz w:val="22"/>
                  </w:rPr>
                  <w:t>4</w:t>
                </w:r>
                <w:r>
                  <w:rPr>
                    <w:sz w:val="22"/>
                  </w:rPr>
                  <w:fldChar w:fldCharType="end"/>
                </w:r>
              </w:p>
            </w:txbxContent>
          </v:textbox>
          <w10:wrap type="none"/>
        </v:shape>
      </w:pict>
    </w:r>
    <w:r>
      <w:rPr/>
      <w:pict>
        <v:shape style="position:absolute;margin-left:780.140259pt;margin-top:575.636414pt;width:61.8pt;height:19.7pt;mso-position-horizontal-relative:page;mso-position-vertical-relative:page;z-index:-24088576" type="#_x0000_t202" id="docshape662" filled="false" stroked="false">
          <v:textbox inset="0,0,0,0">
            <w:txbxContent>
              <w:p>
                <w:pPr>
                  <w:spacing w:before="21"/>
                  <w:ind w:left="20" w:right="0" w:firstLine="0"/>
                  <w:jc w:val="left"/>
                  <w:rPr>
                    <w:sz w:val="29"/>
                  </w:rPr>
                </w:pPr>
                <w:r>
                  <w:rPr>
                    <w:spacing w:val="-6"/>
                    <w:sz w:val="29"/>
                  </w:rPr>
                  <w:t>128/179</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552.261963pt;width:174.8pt;height:43.1pt;mso-position-horizontal-relative:page;mso-position-vertical-relative:page;z-index:-24088064" type="#_x0000_t202" id="docshape663" filled="false" stroked="false">
          <v:textbox inset="0,0,0,0">
            <w:txbxContent>
              <w:p>
                <w:pPr>
                  <w:spacing w:before="20"/>
                  <w:ind w:left="720" w:right="0" w:firstLine="0"/>
                  <w:jc w:val="left"/>
                  <w:rPr>
                    <w:sz w:val="22"/>
                  </w:rPr>
                </w:pPr>
                <w:r>
                  <w:rPr>
                    <w:sz w:val="22"/>
                  </w:rPr>
                  <w:t>NWSSP</w:t>
                </w:r>
                <w:r>
                  <w:rPr>
                    <w:spacing w:val="-19"/>
                    <w:sz w:val="22"/>
                  </w:rPr>
                  <w:t> </w:t>
                </w:r>
                <w:r>
                  <w:rPr>
                    <w:sz w:val="22"/>
                  </w:rPr>
                  <w:t>Audit</w:t>
                </w:r>
                <w:r>
                  <w:rPr>
                    <w:spacing w:val="-19"/>
                    <w:sz w:val="22"/>
                  </w:rPr>
                  <w:t> </w:t>
                </w:r>
                <w:r>
                  <w:rPr>
                    <w:sz w:val="22"/>
                  </w:rPr>
                  <w:t>Committee 24 Janaury 2023</w:t>
                </w:r>
              </w:p>
              <w:p>
                <w:pPr>
                  <w:spacing w:line="286" w:lineRule="exact" w:before="0"/>
                  <w:ind w:left="20" w:right="0" w:firstLine="0"/>
                  <w:jc w:val="left"/>
                  <w:rPr>
                    <w:sz w:val="29"/>
                  </w:rPr>
                </w:pPr>
                <w:r>
                  <w:rPr>
                    <w:spacing w:val="-2"/>
                    <w:sz w:val="29"/>
                  </w:rPr>
                  <w:t>10/12</w:t>
                </w:r>
              </w:p>
            </w:txbxContent>
          </v:textbox>
          <w10:wrap type="none"/>
        </v:shape>
      </w:pict>
    </w:r>
    <w:r>
      <w:rPr/>
      <w:pict>
        <v:shape style="position:absolute;margin-left:467pt;margin-top:565.630920pt;width:16pt;height:15.4pt;mso-position-horizontal-relative:page;mso-position-vertical-relative:page;z-index:-24087552" type="#_x0000_t202" id="docshape664" filled="false" stroked="false">
          <v:textbox inset="0,0,0,0">
            <w:txbxContent>
              <w:p>
                <w:pPr>
                  <w:spacing w:before="20"/>
                  <w:ind w:left="20" w:right="0" w:firstLine="0"/>
                  <w:jc w:val="left"/>
                  <w:rPr>
                    <w:sz w:val="22"/>
                  </w:rPr>
                </w:pPr>
                <w:r>
                  <w:rPr>
                    <w:spacing w:val="-5"/>
                    <w:sz w:val="22"/>
                  </w:rPr>
                  <w:t>10</w:t>
                </w:r>
              </w:p>
            </w:txbxContent>
          </v:textbox>
          <w10:wrap type="none"/>
        </v:shape>
      </w:pict>
    </w:r>
    <w:r>
      <w:rPr/>
      <w:pict>
        <v:shape style="position:absolute;margin-left:780.140259pt;margin-top:575.636414pt;width:61.8pt;height:19.7pt;mso-position-horizontal-relative:page;mso-position-vertical-relative:page;z-index:-24087040" type="#_x0000_t202" id="docshape665" filled="false" stroked="false">
          <v:textbox inset="0,0,0,0">
            <w:txbxContent>
              <w:p>
                <w:pPr>
                  <w:spacing w:before="21"/>
                  <w:ind w:left="20" w:right="0" w:firstLine="0"/>
                  <w:jc w:val="left"/>
                  <w:rPr>
                    <w:sz w:val="29"/>
                  </w:rPr>
                </w:pPr>
                <w:r>
                  <w:rPr>
                    <w:spacing w:val="-6"/>
                    <w:sz w:val="29"/>
                  </w:rPr>
                  <w:t>134/179</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552.261963pt;width:174.8pt;height:43.1pt;mso-position-horizontal-relative:page;mso-position-vertical-relative:page;z-index:-24086528" type="#_x0000_t202" id="docshape666" filled="false" stroked="false">
          <v:textbox inset="0,0,0,0">
            <w:txbxContent>
              <w:p>
                <w:pPr>
                  <w:spacing w:before="20"/>
                  <w:ind w:left="720" w:right="0" w:firstLine="0"/>
                  <w:jc w:val="left"/>
                  <w:rPr>
                    <w:sz w:val="22"/>
                  </w:rPr>
                </w:pPr>
                <w:r>
                  <w:rPr>
                    <w:sz w:val="22"/>
                  </w:rPr>
                  <w:t>NWSSP</w:t>
                </w:r>
                <w:r>
                  <w:rPr>
                    <w:spacing w:val="-19"/>
                    <w:sz w:val="22"/>
                  </w:rPr>
                  <w:t> </w:t>
                </w:r>
                <w:r>
                  <w:rPr>
                    <w:sz w:val="22"/>
                  </w:rPr>
                  <w:t>Audit</w:t>
                </w:r>
                <w:r>
                  <w:rPr>
                    <w:spacing w:val="-19"/>
                    <w:sz w:val="22"/>
                  </w:rPr>
                  <w:t> </w:t>
                </w:r>
                <w:r>
                  <w:rPr>
                    <w:sz w:val="22"/>
                  </w:rPr>
                  <w:t>Committee 24 Janaury 2023</w:t>
                </w:r>
              </w:p>
              <w:p>
                <w:pPr>
                  <w:spacing w:line="286" w:lineRule="exact" w:before="0"/>
                  <w:ind w:left="20" w:right="0" w:firstLine="0"/>
                  <w:jc w:val="left"/>
                  <w:rPr>
                    <w:sz w:val="29"/>
                  </w:rPr>
                </w:pPr>
                <w:r>
                  <w:rPr>
                    <w:spacing w:val="-2"/>
                    <w:sz w:val="29"/>
                  </w:rPr>
                  <w:t>11/12</w:t>
                </w:r>
              </w:p>
            </w:txbxContent>
          </v:textbox>
          <w10:wrap type="none"/>
        </v:shape>
      </w:pict>
    </w:r>
    <w:r>
      <w:rPr/>
      <w:pict>
        <v:shape style="position:absolute;margin-left:467pt;margin-top:565.630920pt;width:16pt;height:15.4pt;mso-position-horizontal-relative:page;mso-position-vertical-relative:page;z-index:-24086016" type="#_x0000_t202" id="docshape667" filled="false" stroked="false">
          <v:textbox inset="0,0,0,0">
            <w:txbxContent>
              <w:p>
                <w:pPr>
                  <w:spacing w:before="20"/>
                  <w:ind w:left="20" w:right="0" w:firstLine="0"/>
                  <w:jc w:val="left"/>
                  <w:rPr>
                    <w:sz w:val="22"/>
                  </w:rPr>
                </w:pPr>
                <w:r>
                  <w:rPr>
                    <w:spacing w:val="-5"/>
                    <w:sz w:val="22"/>
                  </w:rPr>
                  <w:t>11</w:t>
                </w:r>
              </w:p>
            </w:txbxContent>
          </v:textbox>
          <w10:wrap type="none"/>
        </v:shape>
      </w:pict>
    </w:r>
    <w:r>
      <w:rPr/>
      <w:pict>
        <v:shape style="position:absolute;margin-left:780.140259pt;margin-top:575.636414pt;width:61.8pt;height:19.7pt;mso-position-horizontal-relative:page;mso-position-vertical-relative:page;z-index:-24085504" type="#_x0000_t202" id="docshape668" filled="false" stroked="false">
          <v:textbox inset="0,0,0,0">
            <w:txbxContent>
              <w:p>
                <w:pPr>
                  <w:spacing w:before="21"/>
                  <w:ind w:left="20" w:right="0" w:firstLine="0"/>
                  <w:jc w:val="left"/>
                  <w:rPr>
                    <w:sz w:val="29"/>
                  </w:rPr>
                </w:pPr>
                <w:r>
                  <w:rPr>
                    <w:spacing w:val="-6"/>
                    <w:sz w:val="29"/>
                  </w:rPr>
                  <w:t>135/179</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575.636414pt;width:44pt;height:19.7pt;mso-position-horizontal-relative:page;mso-position-vertical-relative:page;z-index:-24084992" type="#_x0000_t202" id="docshape669" filled="false" stroked="false">
          <v:textbox inset="0,0,0,0">
            <w:txbxContent>
              <w:p>
                <w:pPr>
                  <w:spacing w:before="21"/>
                  <w:ind w:left="20" w:right="0" w:firstLine="0"/>
                  <w:jc w:val="left"/>
                  <w:rPr>
                    <w:sz w:val="29"/>
                  </w:rPr>
                </w:pPr>
                <w:r>
                  <w:rPr>
                    <w:spacing w:val="-5"/>
                    <w:sz w:val="29"/>
                  </w:rPr>
                  <w:t>12/12</w:t>
                </w:r>
              </w:p>
            </w:txbxContent>
          </v:textbox>
          <w10:wrap type="none"/>
        </v:shape>
      </w:pict>
    </w:r>
    <w:r>
      <w:rPr/>
      <w:pict>
        <v:shape style="position:absolute;margin-left:780.140259pt;margin-top:575.636414pt;width:61.8pt;height:19.7pt;mso-position-horizontal-relative:page;mso-position-vertical-relative:page;z-index:-24084480" type="#_x0000_t202" id="docshape670" filled="false" stroked="false">
          <v:textbox inset="0,0,0,0">
            <w:txbxContent>
              <w:p>
                <w:pPr>
                  <w:spacing w:before="21"/>
                  <w:ind w:left="20" w:right="0" w:firstLine="0"/>
                  <w:jc w:val="left"/>
                  <w:rPr>
                    <w:sz w:val="29"/>
                  </w:rPr>
                </w:pPr>
                <w:r>
                  <w:rPr>
                    <w:spacing w:val="-6"/>
                    <w:sz w:val="29"/>
                  </w:rPr>
                  <w:t>136/179</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822.23645pt;width:26.2pt;height:19.7pt;mso-position-horizontal-relative:page;mso-position-vertical-relative:page;z-index:-24083968" type="#_x0000_t202" id="docshape671" filled="false" stroked="false">
          <v:textbox inset="0,0,0,0">
            <w:txbxContent>
              <w:p>
                <w:pPr>
                  <w:spacing w:before="21"/>
                  <w:ind w:left="20" w:right="0" w:firstLine="0"/>
                  <w:jc w:val="left"/>
                  <w:rPr>
                    <w:sz w:val="29"/>
                  </w:rPr>
                </w:pPr>
                <w:r>
                  <w:rPr>
                    <w:spacing w:val="-5"/>
                    <w:sz w:val="29"/>
                  </w:rPr>
                  <w:t>1/3</w:t>
                </w:r>
              </w:p>
            </w:txbxContent>
          </v:textbox>
          <w10:wrap type="none"/>
        </v:shape>
      </w:pict>
    </w:r>
    <w:r>
      <w:rPr/>
      <w:pict>
        <v:shape style="position:absolute;margin-left:533.540222pt;margin-top:822.23645pt;width:61.8pt;height:19.7pt;mso-position-horizontal-relative:page;mso-position-vertical-relative:page;z-index:-24083456" type="#_x0000_t202" id="docshape672" filled="false" stroked="false">
          <v:textbox inset="0,0,0,0">
            <w:txbxContent>
              <w:p>
                <w:pPr>
                  <w:spacing w:before="21"/>
                  <w:ind w:left="20" w:right="0" w:firstLine="0"/>
                  <w:jc w:val="left"/>
                  <w:rPr>
                    <w:sz w:val="29"/>
                  </w:rPr>
                </w:pPr>
                <w:r>
                  <w:rPr>
                    <w:spacing w:val="-6"/>
                    <w:sz w:val="29"/>
                  </w:rPr>
                  <w:t>137/179</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2.799999pt;margin-top:778.711914pt;width:139.8pt;height:28.75pt;mso-position-horizontal-relative:page;mso-position-vertical-relative:page;z-index:-24082944" type="#_x0000_t202" id="docshape673" filled="false" stroked="false">
          <v:textbox inset="0,0,0,0">
            <w:txbxContent>
              <w:p>
                <w:pPr>
                  <w:spacing w:before="20"/>
                  <w:ind w:left="20" w:right="0" w:firstLine="0"/>
                  <w:jc w:val="left"/>
                  <w:rPr>
                    <w:sz w:val="22"/>
                  </w:rPr>
                </w:pPr>
                <w:r>
                  <w:rPr>
                    <w:sz w:val="22"/>
                  </w:rPr>
                  <w:t>NWSSP</w:t>
                </w:r>
                <w:r>
                  <w:rPr>
                    <w:spacing w:val="-19"/>
                    <w:sz w:val="22"/>
                  </w:rPr>
                  <w:t> </w:t>
                </w:r>
                <w:r>
                  <w:rPr>
                    <w:sz w:val="22"/>
                  </w:rPr>
                  <w:t>Audit</w:t>
                </w:r>
                <w:r>
                  <w:rPr>
                    <w:spacing w:val="-19"/>
                    <w:sz w:val="22"/>
                  </w:rPr>
                  <w:t> </w:t>
                </w:r>
                <w:r>
                  <w:rPr>
                    <w:sz w:val="22"/>
                  </w:rPr>
                  <w:t>Committee 24 January 2023</w:t>
                </w:r>
              </w:p>
            </w:txbxContent>
          </v:textbox>
          <w10:wrap type="none"/>
        </v:shape>
      </w:pict>
    </w:r>
    <w:r>
      <w:rPr/>
      <w:pict>
        <v:shape style="position:absolute;margin-left:0pt;margin-top:822.23645pt;width:26.2pt;height:19.7pt;mso-position-horizontal-relative:page;mso-position-vertical-relative:page;z-index:-24082432" type="#_x0000_t202" id="docshape674" filled="false" stroked="false">
          <v:textbox inset="0,0,0,0">
            <w:txbxContent>
              <w:p>
                <w:pPr>
                  <w:spacing w:before="21"/>
                  <w:ind w:left="20" w:right="0" w:firstLine="0"/>
                  <w:jc w:val="left"/>
                  <w:rPr>
                    <w:sz w:val="29"/>
                  </w:rPr>
                </w:pPr>
                <w:r>
                  <w:rPr>
                    <w:spacing w:val="-5"/>
                    <w:sz w:val="29"/>
                  </w:rPr>
                  <w:t>2/3</w:t>
                </w:r>
              </w:p>
            </w:txbxContent>
          </v:textbox>
          <w10:wrap type="none"/>
        </v:shape>
      </w:pict>
    </w:r>
    <w:r>
      <w:rPr/>
      <w:pict>
        <v:shape style="position:absolute;margin-left:533.540222pt;margin-top:822.23645pt;width:61.8pt;height:19.7pt;mso-position-horizontal-relative:page;mso-position-vertical-relative:page;z-index:-24081920" type="#_x0000_t202" id="docshape675" filled="false" stroked="false">
          <v:textbox inset="0,0,0,0">
            <w:txbxContent>
              <w:p>
                <w:pPr>
                  <w:spacing w:before="21"/>
                  <w:ind w:left="20" w:right="0" w:firstLine="0"/>
                  <w:jc w:val="left"/>
                  <w:rPr>
                    <w:sz w:val="29"/>
                  </w:rPr>
                </w:pPr>
                <w:r>
                  <w:rPr>
                    <w:spacing w:val="-6"/>
                    <w:sz w:val="29"/>
                  </w:rPr>
                  <w:t>138/179</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2.799999pt;margin-top:778.711914pt;width:139.8pt;height:28.75pt;mso-position-horizontal-relative:page;mso-position-vertical-relative:page;z-index:-24081408" type="#_x0000_t202" id="docshape676" filled="false" stroked="false">
          <v:textbox inset="0,0,0,0">
            <w:txbxContent>
              <w:p>
                <w:pPr>
                  <w:spacing w:before="20"/>
                  <w:ind w:left="20" w:right="0" w:firstLine="0"/>
                  <w:jc w:val="left"/>
                  <w:rPr>
                    <w:sz w:val="22"/>
                  </w:rPr>
                </w:pPr>
                <w:r>
                  <w:rPr>
                    <w:sz w:val="22"/>
                  </w:rPr>
                  <w:t>NWSSP</w:t>
                </w:r>
                <w:r>
                  <w:rPr>
                    <w:spacing w:val="-19"/>
                    <w:sz w:val="22"/>
                  </w:rPr>
                  <w:t> </w:t>
                </w:r>
                <w:r>
                  <w:rPr>
                    <w:sz w:val="22"/>
                  </w:rPr>
                  <w:t>Audit</w:t>
                </w:r>
                <w:r>
                  <w:rPr>
                    <w:spacing w:val="-19"/>
                    <w:sz w:val="22"/>
                  </w:rPr>
                  <w:t> </w:t>
                </w:r>
                <w:r>
                  <w:rPr>
                    <w:sz w:val="22"/>
                  </w:rPr>
                  <w:t>Committee 24 January 2023</w:t>
                </w:r>
              </w:p>
            </w:txbxContent>
          </v:textbox>
          <w10:wrap type="none"/>
        </v:shape>
      </w:pict>
    </w:r>
    <w:r>
      <w:rPr/>
      <w:pict>
        <v:shape style="position:absolute;margin-left:0pt;margin-top:822.23645pt;width:26.2pt;height:19.7pt;mso-position-horizontal-relative:page;mso-position-vertical-relative:page;z-index:-24080896" type="#_x0000_t202" id="docshape677" filled="false" stroked="false">
          <v:textbox inset="0,0,0,0">
            <w:txbxContent>
              <w:p>
                <w:pPr>
                  <w:spacing w:before="21"/>
                  <w:ind w:left="20" w:right="0" w:firstLine="0"/>
                  <w:jc w:val="left"/>
                  <w:rPr>
                    <w:sz w:val="29"/>
                  </w:rPr>
                </w:pPr>
                <w:r>
                  <w:rPr>
                    <w:spacing w:val="-5"/>
                    <w:sz w:val="29"/>
                  </w:rPr>
                  <w:t>3/3</w:t>
                </w:r>
              </w:p>
            </w:txbxContent>
          </v:textbox>
          <w10:wrap type="none"/>
        </v:shape>
      </w:pict>
    </w:r>
    <w:r>
      <w:rPr/>
      <w:pict>
        <v:shape style="position:absolute;margin-left:533.540222pt;margin-top:822.23645pt;width:61.8pt;height:19.7pt;mso-position-horizontal-relative:page;mso-position-vertical-relative:page;z-index:-24080384" type="#_x0000_t202" id="docshape678" filled="false" stroked="false">
          <v:textbox inset="0,0,0,0">
            <w:txbxContent>
              <w:p>
                <w:pPr>
                  <w:spacing w:before="21"/>
                  <w:ind w:left="20" w:right="0" w:firstLine="0"/>
                  <w:jc w:val="left"/>
                  <w:rPr>
                    <w:sz w:val="29"/>
                  </w:rPr>
                </w:pPr>
                <w:r>
                  <w:rPr>
                    <w:spacing w:val="-6"/>
                    <w:sz w:val="29"/>
                  </w:rPr>
                  <w:t>139/179</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4079872" from="70.550003pt,822.021973pt" to="1120.150028pt,822.021973pt" stroked="true" strokeweight=".5pt" strokecolor="#d9d9d9">
          <v:stroke dashstyle="solid"/>
          <w10:wrap type="none"/>
        </v:line>
      </w:pict>
    </w:r>
    <w:r>
      <w:rPr/>
      <w:pict>
        <v:shape style="position:absolute;margin-left:0pt;margin-top:822.286438pt;width:26.2pt;height:19.7pt;mso-position-horizontal-relative:page;mso-position-vertical-relative:page;z-index:-24079360" type="#_x0000_t202" id="docshape679" filled="false" stroked="false">
          <v:textbox inset="0,0,0,0">
            <w:txbxContent>
              <w:p>
                <w:pPr>
                  <w:spacing w:before="21"/>
                  <w:ind w:left="20" w:right="0" w:firstLine="0"/>
                  <w:jc w:val="left"/>
                  <w:rPr>
                    <w:sz w:val="29"/>
                  </w:rPr>
                </w:pPr>
                <w:r>
                  <w:rPr>
                    <w:spacing w:val="-5"/>
                    <w:sz w:val="29"/>
                  </w:rPr>
                  <w:t>1/6</w:t>
                </w:r>
              </w:p>
            </w:txbxContent>
          </v:textbox>
          <w10:wrap type="none"/>
        </v:shape>
      </w:pict>
    </w:r>
    <w:r>
      <w:rPr/>
      <w:pict>
        <v:shape style="position:absolute;margin-left:1128.940186pt;margin-top:822.286438pt;width:61.8pt;height:19.7pt;mso-position-horizontal-relative:page;mso-position-vertical-relative:page;z-index:-24078848" type="#_x0000_t202" id="docshape680" filled="false" stroked="false">
          <v:textbox inset="0,0,0,0">
            <w:txbxContent>
              <w:p>
                <w:pPr>
                  <w:spacing w:before="21"/>
                  <w:ind w:left="20" w:right="0" w:firstLine="0"/>
                  <w:jc w:val="left"/>
                  <w:rPr>
                    <w:sz w:val="29"/>
                  </w:rPr>
                </w:pPr>
                <w:r>
                  <w:rPr>
                    <w:spacing w:val="-6"/>
                    <w:sz w:val="29"/>
                  </w:rPr>
                  <w:t>140/179</w:t>
                </w:r>
              </w:p>
            </w:txbxContent>
          </v:textbox>
          <w10:wrap type="none"/>
        </v:shape>
      </w:pict>
    </w:r>
    <w:r>
      <w:rPr/>
      <w:pict>
        <v:shape style="position:absolute;margin-left:1068.322021pt;margin-top:824.495972pt;width:48.4pt;height:13pt;mso-position-horizontal-relative:page;mso-position-vertical-relative:page;z-index:-24078336" type="#_x0000_t202" id="docshape681" filled="false" stroked="false">
          <v:textbox inset="0,0,0,0">
            <w:txbxContent>
              <w:p>
                <w:pPr>
                  <w:spacing w:line="244" w:lineRule="exact" w:before="0"/>
                  <w:ind w:left="20" w:right="0" w:firstLine="0"/>
                  <w:jc w:val="left"/>
                  <w:rPr>
                    <w:rFonts w:ascii="Calibri"/>
                    <w:sz w:val="22"/>
                  </w:rPr>
                </w:pPr>
                <w:r>
                  <w:rPr>
                    <w:rFonts w:ascii="Calibri"/>
                    <w:b/>
                    <w:sz w:val="22"/>
                  </w:rPr>
                  <w:t>1 |</w:t>
                </w:r>
                <w:r>
                  <w:rPr>
                    <w:rFonts w:ascii="Calibri"/>
                    <w:b/>
                    <w:spacing w:val="-1"/>
                    <w:sz w:val="22"/>
                  </w:rPr>
                  <w:t> </w:t>
                </w:r>
                <w:r>
                  <w:rPr>
                    <w:rFonts w:ascii="Calibri"/>
                    <w:color w:val="7F7F7F"/>
                    <w:sz w:val="22"/>
                  </w:rPr>
                  <w:t>P</w:t>
                </w:r>
                <w:r>
                  <w:rPr>
                    <w:rFonts w:ascii="Calibri"/>
                    <w:color w:val="7F7F7F"/>
                    <w:spacing w:val="10"/>
                    <w:sz w:val="22"/>
                  </w:rPr>
                  <w:t> </w:t>
                </w:r>
                <w:r>
                  <w:rPr>
                    <w:rFonts w:ascii="Calibri"/>
                    <w:color w:val="7F7F7F"/>
                    <w:sz w:val="22"/>
                  </w:rPr>
                  <w:t>a</w:t>
                </w:r>
                <w:r>
                  <w:rPr>
                    <w:rFonts w:ascii="Calibri"/>
                    <w:color w:val="7F7F7F"/>
                    <w:spacing w:val="10"/>
                    <w:sz w:val="22"/>
                  </w:rPr>
                  <w:t> </w:t>
                </w:r>
                <w:r>
                  <w:rPr>
                    <w:rFonts w:ascii="Calibri"/>
                    <w:color w:val="7F7F7F"/>
                    <w:sz w:val="22"/>
                  </w:rPr>
                  <w:t>g</w:t>
                </w:r>
                <w:r>
                  <w:rPr>
                    <w:rFonts w:ascii="Calibri"/>
                    <w:color w:val="7F7F7F"/>
                    <w:spacing w:val="10"/>
                    <w:sz w:val="22"/>
                  </w:rPr>
                  <w:t> </w:t>
                </w:r>
                <w:r>
                  <w:rPr>
                    <w:rFonts w:ascii="Calibri"/>
                    <w:color w:val="7F7F7F"/>
                    <w:spacing w:val="-10"/>
                    <w:sz w:val="22"/>
                  </w:rPr>
                  <w:t>e</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4077824" from="70.550003pt,822.021973pt" to="1120.150028pt,822.021973pt" stroked="true" strokeweight=".5pt" strokecolor="#d9d9d9">
          <v:stroke dashstyle="solid"/>
          <w10:wrap type="none"/>
        </v:line>
      </w:pict>
    </w:r>
    <w:r>
      <w:rPr/>
      <w:pict>
        <v:shape style="position:absolute;margin-left:-2pt;margin-top:822.286438pt;width:28.2pt;height:19.7pt;mso-position-horizontal-relative:page;mso-position-vertical-relative:page;z-index:-24077312" type="#_x0000_t202" id="docshape682" filled="false" stroked="false">
          <v:textbox inset="0,0,0,0">
            <w:txbxContent>
              <w:p>
                <w:pPr>
                  <w:spacing w:before="21"/>
                  <w:ind w:left="60" w:right="0" w:firstLine="0"/>
                  <w:jc w:val="left"/>
                  <w:rPr>
                    <w:sz w:val="29"/>
                  </w:rPr>
                </w:pPr>
                <w:r>
                  <w:rPr>
                    <w:spacing w:val="-5"/>
                    <w:sz w:val="29"/>
                  </w:rPr>
                  <w:fldChar w:fldCharType="begin"/>
                </w:r>
                <w:r>
                  <w:rPr>
                    <w:spacing w:val="-5"/>
                    <w:sz w:val="29"/>
                  </w:rPr>
                  <w:instrText> PAGE </w:instrText>
                </w:r>
                <w:r>
                  <w:rPr>
                    <w:spacing w:val="-5"/>
                    <w:sz w:val="29"/>
                  </w:rPr>
                  <w:fldChar w:fldCharType="separate"/>
                </w:r>
                <w:r>
                  <w:rPr>
                    <w:spacing w:val="-5"/>
                    <w:sz w:val="29"/>
                  </w:rPr>
                  <w:t>2</w:t>
                </w:r>
                <w:r>
                  <w:rPr>
                    <w:spacing w:val="-5"/>
                    <w:sz w:val="29"/>
                  </w:rPr>
                  <w:fldChar w:fldCharType="end"/>
                </w:r>
                <w:r>
                  <w:rPr>
                    <w:spacing w:val="-5"/>
                    <w:sz w:val="29"/>
                  </w:rPr>
                  <w:t>/6</w:t>
                </w:r>
              </w:p>
            </w:txbxContent>
          </v:textbox>
          <w10:wrap type="none"/>
        </v:shape>
      </w:pict>
    </w:r>
    <w:r>
      <w:rPr/>
      <w:pict>
        <v:shape style="position:absolute;margin-left:1128.940186pt;margin-top:822.286438pt;width:61.8pt;height:19.7pt;mso-position-horizontal-relative:page;mso-position-vertical-relative:page;z-index:-24076800" type="#_x0000_t202" id="docshape683" filled="false" stroked="false">
          <v:textbox inset="0,0,0,0">
            <w:txbxContent>
              <w:p>
                <w:pPr>
                  <w:spacing w:before="21"/>
                  <w:ind w:left="20" w:right="0" w:firstLine="0"/>
                  <w:jc w:val="left"/>
                  <w:rPr>
                    <w:sz w:val="29"/>
                  </w:rPr>
                </w:pPr>
                <w:r>
                  <w:rPr>
                    <w:spacing w:val="-6"/>
                    <w:sz w:val="29"/>
                  </w:rPr>
                  <w:t>141/179</w:t>
                </w:r>
              </w:p>
            </w:txbxContent>
          </v:textbox>
          <w10:wrap type="none"/>
        </v:shape>
      </w:pict>
    </w:r>
    <w:r>
      <w:rPr/>
      <w:pict>
        <v:shape style="position:absolute;margin-left:1066.322021pt;margin-top:824.495972pt;width:50.4pt;height:13pt;mso-position-horizontal-relative:page;mso-position-vertical-relative:page;z-index:-24076288" type="#_x0000_t202" id="docshape684" filled="false" stroked="false">
          <v:textbox inset="0,0,0,0">
            <w:txbxContent>
              <w:p>
                <w:pPr>
                  <w:spacing w:line="244" w:lineRule="exact" w:before="0"/>
                  <w:ind w:left="60" w:right="0" w:firstLine="0"/>
                  <w:jc w:val="left"/>
                  <w:rPr>
                    <w:rFonts w:ascii="Calibri"/>
                    <w:sz w:val="22"/>
                  </w:rPr>
                </w:pPr>
                <w:r>
                  <w:rPr>
                    <w:rFonts w:ascii="Calibri"/>
                    <w:b/>
                    <w:sz w:val="22"/>
                  </w:rPr>
                  <w:fldChar w:fldCharType="begin"/>
                </w:r>
                <w:r>
                  <w:rPr>
                    <w:rFonts w:ascii="Calibri"/>
                    <w:b/>
                    <w:sz w:val="22"/>
                  </w:rPr>
                  <w:instrText> PAGE </w:instrText>
                </w:r>
                <w:r>
                  <w:rPr>
                    <w:rFonts w:ascii="Calibri"/>
                    <w:b/>
                    <w:sz w:val="22"/>
                  </w:rPr>
                  <w:fldChar w:fldCharType="separate"/>
                </w:r>
                <w:r>
                  <w:rPr>
                    <w:rFonts w:ascii="Calibri"/>
                    <w:b/>
                    <w:sz w:val="22"/>
                  </w:rPr>
                  <w:t>2</w:t>
                </w:r>
                <w:r>
                  <w:rPr>
                    <w:rFonts w:ascii="Calibri"/>
                    <w:b/>
                    <w:sz w:val="22"/>
                  </w:rPr>
                  <w:fldChar w:fldCharType="end"/>
                </w:r>
                <w:r>
                  <w:rPr>
                    <w:rFonts w:ascii="Calibri"/>
                    <w:b/>
                    <w:sz w:val="22"/>
                  </w:rPr>
                  <w:t> |</w:t>
                </w:r>
                <w:r>
                  <w:rPr>
                    <w:rFonts w:ascii="Calibri"/>
                    <w:b/>
                    <w:spacing w:val="-1"/>
                    <w:sz w:val="22"/>
                  </w:rPr>
                  <w:t> </w:t>
                </w:r>
                <w:r>
                  <w:rPr>
                    <w:rFonts w:ascii="Calibri"/>
                    <w:color w:val="7F7F7F"/>
                    <w:sz w:val="22"/>
                  </w:rPr>
                  <w:t>P</w:t>
                </w:r>
                <w:r>
                  <w:rPr>
                    <w:rFonts w:ascii="Calibri"/>
                    <w:color w:val="7F7F7F"/>
                    <w:spacing w:val="10"/>
                    <w:sz w:val="22"/>
                  </w:rPr>
                  <w:t> </w:t>
                </w:r>
                <w:r>
                  <w:rPr>
                    <w:rFonts w:ascii="Calibri"/>
                    <w:color w:val="7F7F7F"/>
                    <w:sz w:val="22"/>
                  </w:rPr>
                  <w:t>a</w:t>
                </w:r>
                <w:r>
                  <w:rPr>
                    <w:rFonts w:ascii="Calibri"/>
                    <w:color w:val="7F7F7F"/>
                    <w:spacing w:val="10"/>
                    <w:sz w:val="22"/>
                  </w:rPr>
                  <w:t> </w:t>
                </w:r>
                <w:r>
                  <w:rPr>
                    <w:rFonts w:ascii="Calibri"/>
                    <w:color w:val="7F7F7F"/>
                    <w:sz w:val="22"/>
                  </w:rPr>
                  <w:t>g</w:t>
                </w:r>
                <w:r>
                  <w:rPr>
                    <w:rFonts w:ascii="Calibri"/>
                    <w:color w:val="7F7F7F"/>
                    <w:spacing w:val="10"/>
                    <w:sz w:val="22"/>
                  </w:rPr>
                  <w:t> </w:t>
                </w:r>
                <w:r>
                  <w:rPr>
                    <w:rFonts w:ascii="Calibri"/>
                    <w:color w:val="7F7F7F"/>
                    <w:spacing w:val="-10"/>
                    <w:sz w:val="22"/>
                  </w:rPr>
                  <w:t>e</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822.256409pt;width:26.2pt;height:19.7pt;mso-position-horizontal-relative:page;mso-position-vertical-relative:page;z-index:-24179200" type="#_x0000_t202" id="docshape37" filled="false" stroked="false">
          <v:textbox inset="0,0,0,0">
            <w:txbxContent>
              <w:p>
                <w:pPr>
                  <w:spacing w:before="21"/>
                  <w:ind w:left="20" w:right="0" w:firstLine="0"/>
                  <w:jc w:val="left"/>
                  <w:rPr>
                    <w:sz w:val="29"/>
                  </w:rPr>
                </w:pPr>
                <w:r>
                  <w:rPr>
                    <w:spacing w:val="-5"/>
                    <w:sz w:val="29"/>
                  </w:rPr>
                  <w:t>3/3</w:t>
                </w:r>
              </w:p>
            </w:txbxContent>
          </v:textbox>
          <w10:wrap type="none"/>
        </v:shape>
      </w:pict>
    </w:r>
    <w:r>
      <w:rPr/>
      <w:pict>
        <v:shape style="position:absolute;margin-left:540.460632pt;margin-top:822.256409pt;width:54.9pt;height:19.7pt;mso-position-horizontal-relative:page;mso-position-vertical-relative:page;z-index:-24178688" type="#_x0000_t202" id="docshape38" filled="false" stroked="false">
          <v:textbox inset="0,0,0,0">
            <w:txbxContent>
              <w:p>
                <w:pPr>
                  <w:spacing w:before="21"/>
                  <w:ind w:left="60" w:right="0" w:firstLine="0"/>
                  <w:jc w:val="left"/>
                  <w:rPr>
                    <w:sz w:val="29"/>
                  </w:rPr>
                </w:pPr>
                <w:r>
                  <w:rPr>
                    <w:spacing w:val="-6"/>
                    <w:sz w:val="29"/>
                  </w:rPr>
                  <w:fldChar w:fldCharType="begin"/>
                </w:r>
                <w:r>
                  <w:rPr>
                    <w:spacing w:val="-6"/>
                    <w:sz w:val="29"/>
                  </w:rPr>
                  <w:instrText> PAGE </w:instrText>
                </w:r>
                <w:r>
                  <w:rPr>
                    <w:spacing w:val="-6"/>
                    <w:sz w:val="29"/>
                  </w:rPr>
                  <w:fldChar w:fldCharType="separate"/>
                </w:r>
                <w:r>
                  <w:rPr>
                    <w:spacing w:val="-6"/>
                    <w:sz w:val="29"/>
                  </w:rPr>
                  <w:t>20</w:t>
                </w:r>
                <w:r>
                  <w:rPr>
                    <w:spacing w:val="-6"/>
                    <w:sz w:val="29"/>
                  </w:rPr>
                  <w:fldChar w:fldCharType="end"/>
                </w:r>
                <w:r>
                  <w:rPr>
                    <w:spacing w:val="-6"/>
                    <w:sz w:val="29"/>
                  </w:rPr>
                  <w:t>/179</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822.23645pt;width:26.2pt;height:19.7pt;mso-position-horizontal-relative:page;mso-position-vertical-relative:page;z-index:-24075776" type="#_x0000_t202" id="docshape686" filled="false" stroked="false">
          <v:textbox inset="0,0,0,0">
            <w:txbxContent>
              <w:p>
                <w:pPr>
                  <w:spacing w:before="21"/>
                  <w:ind w:left="20" w:right="0" w:firstLine="0"/>
                  <w:jc w:val="left"/>
                  <w:rPr>
                    <w:sz w:val="29"/>
                  </w:rPr>
                </w:pPr>
                <w:r>
                  <w:rPr>
                    <w:spacing w:val="-5"/>
                    <w:sz w:val="29"/>
                  </w:rPr>
                  <w:t>1/1</w:t>
                </w:r>
              </w:p>
            </w:txbxContent>
          </v:textbox>
          <w10:wrap type="none"/>
        </v:shape>
      </w:pict>
    </w:r>
    <w:r>
      <w:rPr/>
      <w:pict>
        <v:shape style="position:absolute;margin-left:531.540222pt;margin-top:822.23645pt;width:63.8pt;height:19.7pt;mso-position-horizontal-relative:page;mso-position-vertical-relative:page;z-index:-24075264" type="#_x0000_t202" id="docshape687" filled="false" stroked="false">
          <v:textbox inset="0,0,0,0">
            <w:txbxContent>
              <w:p>
                <w:pPr>
                  <w:spacing w:before="21"/>
                  <w:ind w:left="60" w:right="0" w:firstLine="0"/>
                  <w:jc w:val="left"/>
                  <w:rPr>
                    <w:sz w:val="29"/>
                  </w:rPr>
                </w:pPr>
                <w:r>
                  <w:rPr>
                    <w:spacing w:val="-6"/>
                    <w:sz w:val="29"/>
                  </w:rPr>
                  <w:fldChar w:fldCharType="begin"/>
                </w:r>
                <w:r>
                  <w:rPr>
                    <w:spacing w:val="-6"/>
                    <w:sz w:val="29"/>
                  </w:rPr>
                  <w:instrText> PAGE </w:instrText>
                </w:r>
                <w:r>
                  <w:rPr>
                    <w:spacing w:val="-6"/>
                    <w:sz w:val="29"/>
                  </w:rPr>
                  <w:fldChar w:fldCharType="separate"/>
                </w:r>
                <w:r>
                  <w:rPr>
                    <w:spacing w:val="-6"/>
                    <w:sz w:val="29"/>
                  </w:rPr>
                  <w:t>146</w:t>
                </w:r>
                <w:r>
                  <w:rPr>
                    <w:spacing w:val="-6"/>
                    <w:sz w:val="29"/>
                  </w:rPr>
                  <w:fldChar w:fldCharType="end"/>
                </w:r>
                <w:r>
                  <w:rPr>
                    <w:spacing w:val="-6"/>
                    <w:sz w:val="29"/>
                  </w:rPr>
                  <w:t>/179</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822.23645pt;width:35.1pt;height:19.7pt;mso-position-horizontal-relative:page;mso-position-vertical-relative:page;z-index:-24074752" type="#_x0000_t202" id="docshape691" filled="false" stroked="false">
          <v:textbox inset="0,0,0,0">
            <w:txbxContent>
              <w:p>
                <w:pPr>
                  <w:spacing w:before="21"/>
                  <w:ind w:left="20" w:right="0" w:firstLine="0"/>
                  <w:jc w:val="left"/>
                  <w:rPr>
                    <w:sz w:val="29"/>
                  </w:rPr>
                </w:pPr>
                <w:r>
                  <w:rPr>
                    <w:spacing w:val="-5"/>
                    <w:sz w:val="29"/>
                  </w:rPr>
                  <w:t>2/15</w:t>
                </w:r>
              </w:p>
            </w:txbxContent>
          </v:textbox>
          <w10:wrap type="none"/>
        </v:shape>
      </w:pict>
    </w:r>
    <w:r>
      <w:rPr/>
      <w:pict>
        <v:shape style="position:absolute;margin-left:533.540222pt;margin-top:822.23645pt;width:61.8pt;height:19.7pt;mso-position-horizontal-relative:page;mso-position-vertical-relative:page;z-index:-24074240" type="#_x0000_t202" id="docshape692" filled="false" stroked="false">
          <v:textbox inset="0,0,0,0">
            <w:txbxContent>
              <w:p>
                <w:pPr>
                  <w:spacing w:before="21"/>
                  <w:ind w:left="20" w:right="0" w:firstLine="0"/>
                  <w:jc w:val="left"/>
                  <w:rPr>
                    <w:sz w:val="29"/>
                  </w:rPr>
                </w:pPr>
                <w:r>
                  <w:rPr>
                    <w:spacing w:val="-6"/>
                    <w:sz w:val="29"/>
                  </w:rPr>
                  <w:t>148/179</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pt;margin-top:822.23645pt;width:46pt;height:19.7pt;mso-position-horizontal-relative:page;mso-position-vertical-relative:page;z-index:-24073728" type="#_x0000_t202" id="docshape693" filled="false" stroked="false">
          <v:textbox inset="0,0,0,0">
            <w:txbxContent>
              <w:p>
                <w:pPr>
                  <w:spacing w:before="21"/>
                  <w:ind w:left="60" w:right="0" w:firstLine="0"/>
                  <w:jc w:val="left"/>
                  <w:rPr>
                    <w:sz w:val="29"/>
                  </w:rPr>
                </w:pPr>
                <w:r>
                  <w:rPr>
                    <w:spacing w:val="-5"/>
                    <w:sz w:val="29"/>
                  </w:rPr>
                  <w:fldChar w:fldCharType="begin"/>
                </w:r>
                <w:r>
                  <w:rPr>
                    <w:spacing w:val="-5"/>
                    <w:sz w:val="29"/>
                  </w:rPr>
                  <w:instrText> PAGE </w:instrText>
                </w:r>
                <w:r>
                  <w:rPr>
                    <w:spacing w:val="-5"/>
                    <w:sz w:val="29"/>
                  </w:rPr>
                  <w:fldChar w:fldCharType="separate"/>
                </w:r>
                <w:r>
                  <w:rPr>
                    <w:spacing w:val="-5"/>
                    <w:sz w:val="29"/>
                  </w:rPr>
                  <w:t>10</w:t>
                </w:r>
                <w:r>
                  <w:rPr>
                    <w:spacing w:val="-5"/>
                    <w:sz w:val="29"/>
                  </w:rPr>
                  <w:fldChar w:fldCharType="end"/>
                </w:r>
                <w:r>
                  <w:rPr>
                    <w:spacing w:val="-5"/>
                    <w:sz w:val="29"/>
                  </w:rPr>
                  <w:t>/15</w:t>
                </w:r>
              </w:p>
            </w:txbxContent>
          </v:textbox>
          <w10:wrap type="none"/>
        </v:shape>
      </w:pict>
    </w:r>
    <w:r>
      <w:rPr/>
      <w:pict>
        <v:shape style="position:absolute;margin-left:533.540222pt;margin-top:822.23645pt;width:61.8pt;height:19.7pt;mso-position-horizontal-relative:page;mso-position-vertical-relative:page;z-index:-24073216" type="#_x0000_t202" id="docshape694" filled="false" stroked="false">
          <v:textbox inset="0,0,0,0">
            <w:txbxContent>
              <w:p>
                <w:pPr>
                  <w:spacing w:before="21"/>
                  <w:ind w:left="20" w:right="0" w:firstLine="0"/>
                  <w:jc w:val="left"/>
                  <w:rPr>
                    <w:sz w:val="29"/>
                  </w:rPr>
                </w:pPr>
                <w:r>
                  <w:rPr>
                    <w:spacing w:val="-6"/>
                    <w:sz w:val="29"/>
                  </w:rPr>
                  <w:fldChar w:fldCharType="begin"/>
                </w:r>
                <w:r>
                  <w:rPr>
                    <w:spacing w:val="-6"/>
                    <w:sz w:val="29"/>
                  </w:rPr>
                  <w:instrText> PAGE </w:instrText>
                </w:r>
                <w:r>
                  <w:rPr>
                    <w:spacing w:val="-6"/>
                    <w:sz w:val="29"/>
                  </w:rPr>
                  <w:fldChar w:fldCharType="separate"/>
                </w:r>
                <w:r>
                  <w:rPr>
                    <w:spacing w:val="-6"/>
                    <w:sz w:val="29"/>
                  </w:rPr>
                  <w:t>156</w:t>
                </w:r>
                <w:r>
                  <w:rPr>
                    <w:spacing w:val="-6"/>
                    <w:sz w:val="29"/>
                  </w:rPr>
                  <w:fldChar w:fldCharType="end"/>
                </w:r>
                <w:r>
                  <w:rPr>
                    <w:spacing w:val="-6"/>
                    <w:sz w:val="29"/>
                  </w:rPr>
                  <w:t>/179</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0pt;margin-top:822.23645pt;width:35.1pt;height:19.7pt;mso-position-horizontal-relative:page;mso-position-vertical-relative:page;z-index:-24072704" type="#_x0000_t202" id="docshape914" filled="false" stroked="false">
          <v:textbox inset="0,0,0,0">
            <w:txbxContent>
              <w:p>
                <w:pPr>
                  <w:spacing w:before="21"/>
                  <w:ind w:left="20" w:right="0" w:firstLine="0"/>
                  <w:jc w:val="left"/>
                  <w:rPr>
                    <w:sz w:val="29"/>
                  </w:rPr>
                </w:pPr>
                <w:r>
                  <w:rPr>
                    <w:spacing w:val="-5"/>
                    <w:sz w:val="29"/>
                  </w:rPr>
                  <w:t>1/15</w:t>
                </w:r>
              </w:p>
            </w:txbxContent>
          </v:textbox>
          <w10:wrap type="none"/>
        </v:shape>
      </w:pict>
    </w:r>
    <w:r>
      <w:rPr/>
      <w:pict>
        <v:shape style="position:absolute;margin-left:533.540222pt;margin-top:822.23645pt;width:61.8pt;height:19.7pt;mso-position-horizontal-relative:page;mso-position-vertical-relative:page;z-index:-24072192" type="#_x0000_t202" id="docshape915" filled="false" stroked="false">
          <v:textbox inset="0,0,0,0">
            <w:txbxContent>
              <w:p>
                <w:pPr>
                  <w:spacing w:before="21"/>
                  <w:ind w:left="20" w:right="0" w:firstLine="0"/>
                  <w:jc w:val="left"/>
                  <w:rPr>
                    <w:sz w:val="29"/>
                  </w:rPr>
                </w:pPr>
                <w:r>
                  <w:rPr>
                    <w:spacing w:val="-6"/>
                    <w:sz w:val="29"/>
                  </w:rPr>
                  <w:t>162/179</w:t>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pt;margin-top:822.23645pt;width:46pt;height:19.7pt;mso-position-horizontal-relative:page;mso-position-vertical-relative:page;z-index:-24071680" type="#_x0000_t202" id="docshape916" filled="false" stroked="false">
          <v:textbox inset="0,0,0,0">
            <w:txbxContent>
              <w:p>
                <w:pPr>
                  <w:spacing w:before="21"/>
                  <w:ind w:left="60" w:right="0" w:firstLine="0"/>
                  <w:jc w:val="left"/>
                  <w:rPr>
                    <w:sz w:val="29"/>
                  </w:rPr>
                </w:pPr>
                <w:r>
                  <w:rPr>
                    <w:spacing w:val="-5"/>
                    <w:sz w:val="29"/>
                  </w:rPr>
                  <w:fldChar w:fldCharType="begin"/>
                </w:r>
                <w:r>
                  <w:rPr>
                    <w:spacing w:val="-5"/>
                    <w:sz w:val="29"/>
                  </w:rPr>
                  <w:instrText> PAGE </w:instrText>
                </w:r>
                <w:r>
                  <w:rPr>
                    <w:spacing w:val="-5"/>
                    <w:sz w:val="29"/>
                  </w:rPr>
                  <w:fldChar w:fldCharType="separate"/>
                </w:r>
                <w:r>
                  <w:rPr>
                    <w:spacing w:val="-5"/>
                    <w:sz w:val="29"/>
                  </w:rPr>
                  <w:t>10</w:t>
                </w:r>
                <w:r>
                  <w:rPr>
                    <w:spacing w:val="-5"/>
                    <w:sz w:val="29"/>
                  </w:rPr>
                  <w:fldChar w:fldCharType="end"/>
                </w:r>
                <w:r>
                  <w:rPr>
                    <w:spacing w:val="-5"/>
                    <w:sz w:val="29"/>
                  </w:rPr>
                  <w:t>/15</w:t>
                </w:r>
              </w:p>
            </w:txbxContent>
          </v:textbox>
          <w10:wrap type="none"/>
        </v:shape>
      </w:pict>
    </w:r>
    <w:r>
      <w:rPr/>
      <w:pict>
        <v:shape style="position:absolute;margin-left:533.540222pt;margin-top:822.23645pt;width:61.8pt;height:19.7pt;mso-position-horizontal-relative:page;mso-position-vertical-relative:page;z-index:-24071168" type="#_x0000_t202" id="docshape917" filled="false" stroked="false">
          <v:textbox inset="0,0,0,0">
            <w:txbxContent>
              <w:p>
                <w:pPr>
                  <w:spacing w:before="21"/>
                  <w:ind w:left="20" w:right="0" w:firstLine="0"/>
                  <w:jc w:val="left"/>
                  <w:rPr>
                    <w:sz w:val="29"/>
                  </w:rPr>
                </w:pPr>
                <w:r>
                  <w:rPr>
                    <w:spacing w:val="-6"/>
                    <w:sz w:val="29"/>
                  </w:rPr>
                  <w:fldChar w:fldCharType="begin"/>
                </w:r>
                <w:r>
                  <w:rPr>
                    <w:spacing w:val="-6"/>
                    <w:sz w:val="29"/>
                  </w:rPr>
                  <w:instrText> PAGE </w:instrText>
                </w:r>
                <w:r>
                  <w:rPr>
                    <w:spacing w:val="-6"/>
                    <w:sz w:val="29"/>
                  </w:rPr>
                  <w:fldChar w:fldCharType="separate"/>
                </w:r>
                <w:r>
                  <w:rPr>
                    <w:spacing w:val="-6"/>
                    <w:sz w:val="29"/>
                  </w:rPr>
                  <w:t>171</w:t>
                </w:r>
                <w:r>
                  <w:rPr>
                    <w:spacing w:val="-6"/>
                    <w:sz w:val="29"/>
                  </w:rPr>
                  <w:fldChar w:fldCharType="end"/>
                </w:r>
                <w:r>
                  <w:rPr>
                    <w:spacing w:val="-6"/>
                    <w:sz w:val="29"/>
                  </w:rPr>
                  <w:t>/179</w:t>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pt;margin-top:778.811951pt;width:139.8pt;height:28.75pt;mso-position-horizontal-relative:page;mso-position-vertical-relative:page;z-index:-24070656" type="#_x0000_t202" id="docshape1136" filled="false" stroked="false">
          <v:textbox inset="0,0,0,0">
            <w:txbxContent>
              <w:p>
                <w:pPr>
                  <w:spacing w:before="20"/>
                  <w:ind w:left="20" w:right="0" w:firstLine="0"/>
                  <w:jc w:val="left"/>
                  <w:rPr>
                    <w:sz w:val="22"/>
                  </w:rPr>
                </w:pPr>
                <w:r>
                  <w:rPr>
                    <w:sz w:val="22"/>
                  </w:rPr>
                  <w:t>NWSSP</w:t>
                </w:r>
                <w:r>
                  <w:rPr>
                    <w:spacing w:val="-19"/>
                    <w:sz w:val="22"/>
                  </w:rPr>
                  <w:t> </w:t>
                </w:r>
                <w:r>
                  <w:rPr>
                    <w:sz w:val="22"/>
                  </w:rPr>
                  <w:t>Audit</w:t>
                </w:r>
                <w:r>
                  <w:rPr>
                    <w:spacing w:val="-19"/>
                    <w:sz w:val="22"/>
                  </w:rPr>
                  <w:t> </w:t>
                </w:r>
                <w:r>
                  <w:rPr>
                    <w:sz w:val="22"/>
                  </w:rPr>
                  <w:t>Committee 24 January 2023</w:t>
                </w:r>
              </w:p>
            </w:txbxContent>
          </v:textbox>
          <w10:wrap type="none"/>
        </v:shape>
      </w:pict>
    </w:r>
    <w:r>
      <w:rPr/>
      <w:pict>
        <v:shape style="position:absolute;margin-left:0pt;margin-top:822.286438pt;width:26.2pt;height:19.7pt;mso-position-horizontal-relative:page;mso-position-vertical-relative:page;z-index:-24070144" type="#_x0000_t202" id="docshape1137" filled="false" stroked="false">
          <v:textbox inset="0,0,0,0">
            <w:txbxContent>
              <w:p>
                <w:pPr>
                  <w:spacing w:before="21"/>
                  <w:ind w:left="20" w:right="0" w:firstLine="0"/>
                  <w:jc w:val="left"/>
                  <w:rPr>
                    <w:sz w:val="29"/>
                  </w:rPr>
                </w:pPr>
                <w:r>
                  <w:rPr>
                    <w:spacing w:val="-5"/>
                    <w:sz w:val="29"/>
                  </w:rPr>
                  <w:t>1/3</w:t>
                </w:r>
              </w:p>
            </w:txbxContent>
          </v:textbox>
          <w10:wrap type="none"/>
        </v:shape>
      </w:pict>
    </w:r>
    <w:r>
      <w:rPr/>
      <w:pict>
        <v:shape style="position:absolute;margin-left:533.590210pt;margin-top:822.286438pt;width:61.8pt;height:19.7pt;mso-position-horizontal-relative:page;mso-position-vertical-relative:page;z-index:-24069632" type="#_x0000_t202" id="docshape1138" filled="false" stroked="false">
          <v:textbox inset="0,0,0,0">
            <w:txbxContent>
              <w:p>
                <w:pPr>
                  <w:spacing w:before="21"/>
                  <w:ind w:left="20" w:right="0" w:firstLine="0"/>
                  <w:jc w:val="left"/>
                  <w:rPr>
                    <w:sz w:val="29"/>
                  </w:rPr>
                </w:pPr>
                <w:r>
                  <w:rPr>
                    <w:spacing w:val="-6"/>
                    <w:sz w:val="29"/>
                  </w:rPr>
                  <w:t>177/179</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pt;margin-top:532.211914pt;width:139.8pt;height:28.75pt;mso-position-horizontal-relative:page;mso-position-vertical-relative:page;z-index:-24069120" type="#_x0000_t202" id="docshape1140" filled="false" stroked="false">
          <v:textbox inset="0,0,0,0">
            <w:txbxContent>
              <w:p>
                <w:pPr>
                  <w:spacing w:before="20"/>
                  <w:ind w:left="20" w:right="0" w:firstLine="0"/>
                  <w:jc w:val="left"/>
                  <w:rPr>
                    <w:sz w:val="22"/>
                  </w:rPr>
                </w:pPr>
                <w:r>
                  <w:rPr>
                    <w:sz w:val="22"/>
                  </w:rPr>
                  <w:t>NWSSP</w:t>
                </w:r>
                <w:r>
                  <w:rPr>
                    <w:spacing w:val="-19"/>
                    <w:sz w:val="22"/>
                  </w:rPr>
                  <w:t> </w:t>
                </w:r>
                <w:r>
                  <w:rPr>
                    <w:sz w:val="22"/>
                  </w:rPr>
                  <w:t>Audit</w:t>
                </w:r>
                <w:r>
                  <w:rPr>
                    <w:spacing w:val="-19"/>
                    <w:sz w:val="22"/>
                  </w:rPr>
                  <w:t> </w:t>
                </w:r>
                <w:r>
                  <w:rPr>
                    <w:sz w:val="22"/>
                  </w:rPr>
                  <w:t>Committee 24 January 2023</w:t>
                </w:r>
              </w:p>
            </w:txbxContent>
          </v:textbox>
          <w10:wrap type="none"/>
        </v:shape>
      </w:pict>
    </w:r>
    <w:r>
      <w:rPr/>
      <w:pict>
        <v:shape style="position:absolute;margin-left:293.159241pt;margin-top:545.580872pt;width:9pt;height:15.4pt;mso-position-horizontal-relative:page;mso-position-vertical-relative:page;z-index:-24068608" type="#_x0000_t202" id="docshape1141" filled="false" stroked="false">
          <v:textbox inset="0,0,0,0">
            <w:txbxContent>
              <w:p>
                <w:pPr>
                  <w:spacing w:before="20"/>
                  <w:ind w:left="20" w:right="0" w:firstLine="0"/>
                  <w:jc w:val="left"/>
                  <w:rPr>
                    <w:sz w:val="22"/>
                  </w:rPr>
                </w:pPr>
                <w:r>
                  <w:rPr>
                    <w:sz w:val="22"/>
                  </w:rPr>
                  <w:t>2</w:t>
                </w:r>
              </w:p>
            </w:txbxContent>
          </v:textbox>
          <w10:wrap type="none"/>
        </v:shape>
      </w:pict>
    </w:r>
    <w:r>
      <w:rPr/>
      <w:pict>
        <v:shape style="position:absolute;margin-left:0pt;margin-top:575.686401pt;width:26.2pt;height:19.7pt;mso-position-horizontal-relative:page;mso-position-vertical-relative:page;z-index:-24068096" type="#_x0000_t202" id="docshape1142" filled="false" stroked="false">
          <v:textbox inset="0,0,0,0">
            <w:txbxContent>
              <w:p>
                <w:pPr>
                  <w:spacing w:before="21"/>
                  <w:ind w:left="20" w:right="0" w:firstLine="0"/>
                  <w:jc w:val="left"/>
                  <w:rPr>
                    <w:sz w:val="29"/>
                  </w:rPr>
                </w:pPr>
                <w:r>
                  <w:rPr>
                    <w:spacing w:val="-5"/>
                    <w:sz w:val="29"/>
                  </w:rPr>
                  <w:t>2/3</w:t>
                </w:r>
              </w:p>
            </w:txbxContent>
          </v:textbox>
          <w10:wrap type="none"/>
        </v:shape>
      </w:pict>
    </w:r>
    <w:r>
      <w:rPr/>
      <w:pict>
        <v:shape style="position:absolute;margin-left:780.190247pt;margin-top:575.686401pt;width:61.8pt;height:19.7pt;mso-position-horizontal-relative:page;mso-position-vertical-relative:page;z-index:-24067584" type="#_x0000_t202" id="docshape1143" filled="false" stroked="false">
          <v:textbox inset="0,0,0,0">
            <w:txbxContent>
              <w:p>
                <w:pPr>
                  <w:spacing w:before="21"/>
                  <w:ind w:left="20" w:right="0" w:firstLine="0"/>
                  <w:jc w:val="left"/>
                  <w:rPr>
                    <w:sz w:val="29"/>
                  </w:rPr>
                </w:pPr>
                <w:r>
                  <w:rPr>
                    <w:spacing w:val="-6"/>
                    <w:sz w:val="29"/>
                  </w:rPr>
                  <w:t>178/179</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pt;margin-top:532.211914pt;width:139.8pt;height:28.75pt;mso-position-horizontal-relative:page;mso-position-vertical-relative:page;z-index:-24067072" type="#_x0000_t202" id="docshape1144" filled="false" stroked="false">
          <v:textbox inset="0,0,0,0">
            <w:txbxContent>
              <w:p>
                <w:pPr>
                  <w:spacing w:before="20"/>
                  <w:ind w:left="20" w:right="0" w:firstLine="0"/>
                  <w:jc w:val="left"/>
                  <w:rPr>
                    <w:sz w:val="22"/>
                  </w:rPr>
                </w:pPr>
                <w:r>
                  <w:rPr>
                    <w:sz w:val="22"/>
                  </w:rPr>
                  <w:t>NWSSP</w:t>
                </w:r>
                <w:r>
                  <w:rPr>
                    <w:spacing w:val="-19"/>
                    <w:sz w:val="22"/>
                  </w:rPr>
                  <w:t> </w:t>
                </w:r>
                <w:r>
                  <w:rPr>
                    <w:sz w:val="22"/>
                  </w:rPr>
                  <w:t>Audit</w:t>
                </w:r>
                <w:r>
                  <w:rPr>
                    <w:spacing w:val="-19"/>
                    <w:sz w:val="22"/>
                  </w:rPr>
                  <w:t> </w:t>
                </w:r>
                <w:r>
                  <w:rPr>
                    <w:sz w:val="22"/>
                  </w:rPr>
                  <w:t>Committee 24 January 2023</w:t>
                </w:r>
              </w:p>
            </w:txbxContent>
          </v:textbox>
          <w10:wrap type="none"/>
        </v:shape>
      </w:pict>
    </w:r>
    <w:r>
      <w:rPr/>
      <w:pict>
        <v:shape style="position:absolute;margin-left:293.159241pt;margin-top:545.580872pt;width:9pt;height:15.4pt;mso-position-horizontal-relative:page;mso-position-vertical-relative:page;z-index:-24066560" type="#_x0000_t202" id="docshape1145" filled="false" stroked="false">
          <v:textbox inset="0,0,0,0">
            <w:txbxContent>
              <w:p>
                <w:pPr>
                  <w:spacing w:before="20"/>
                  <w:ind w:left="20" w:right="0" w:firstLine="0"/>
                  <w:jc w:val="left"/>
                  <w:rPr>
                    <w:sz w:val="22"/>
                  </w:rPr>
                </w:pPr>
                <w:r>
                  <w:rPr>
                    <w:sz w:val="22"/>
                  </w:rPr>
                  <w:t>3</w:t>
                </w:r>
              </w:p>
            </w:txbxContent>
          </v:textbox>
          <w10:wrap type="none"/>
        </v:shape>
      </w:pict>
    </w:r>
    <w:r>
      <w:rPr/>
      <w:pict>
        <v:shape style="position:absolute;margin-left:0pt;margin-top:575.686401pt;width:26.2pt;height:19.7pt;mso-position-horizontal-relative:page;mso-position-vertical-relative:page;z-index:-24066048" type="#_x0000_t202" id="docshape1146" filled="false" stroked="false">
          <v:textbox inset="0,0,0,0">
            <w:txbxContent>
              <w:p>
                <w:pPr>
                  <w:spacing w:before="21"/>
                  <w:ind w:left="20" w:right="0" w:firstLine="0"/>
                  <w:jc w:val="left"/>
                  <w:rPr>
                    <w:sz w:val="29"/>
                  </w:rPr>
                </w:pPr>
                <w:r>
                  <w:rPr>
                    <w:spacing w:val="-5"/>
                    <w:sz w:val="29"/>
                  </w:rPr>
                  <w:t>3/3</w:t>
                </w:r>
              </w:p>
            </w:txbxContent>
          </v:textbox>
          <w10:wrap type="none"/>
        </v:shape>
      </w:pict>
    </w:r>
    <w:r>
      <w:rPr/>
      <w:pict>
        <v:shape style="position:absolute;margin-left:780.190247pt;margin-top:575.686401pt;width:61.8pt;height:19.7pt;mso-position-horizontal-relative:page;mso-position-vertical-relative:page;z-index:-24065536" type="#_x0000_t202" id="docshape1147" filled="false" stroked="false">
          <v:textbox inset="0,0,0,0">
            <w:txbxContent>
              <w:p>
                <w:pPr>
                  <w:spacing w:before="21"/>
                  <w:ind w:left="20" w:right="0" w:firstLine="0"/>
                  <w:jc w:val="left"/>
                  <w:rPr>
                    <w:sz w:val="29"/>
                  </w:rPr>
                </w:pPr>
                <w:r>
                  <w:rPr>
                    <w:spacing w:val="-6"/>
                    <w:sz w:val="29"/>
                  </w:rPr>
                  <w:t>179/179</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32pt;margin-top:803.175537pt;width:229.05pt;height:16.6pt;mso-position-horizontal-relative:page;mso-position-vertical-relative:page;z-index:-24178176" type="#_x0000_t202" id="docshape39" filled="false" stroked="false">
          <v:textbox inset="0,0,0,0">
            <w:txbxContent>
              <w:p>
                <w:pPr>
                  <w:pStyle w:val="BodyText"/>
                  <w:spacing w:before="20"/>
                  <w:ind w:left="20"/>
                </w:pPr>
                <w:r>
                  <w:rPr/>
                  <w:t>NWSSP</w:t>
                </w:r>
                <w:r>
                  <w:rPr>
                    <w:spacing w:val="-3"/>
                  </w:rPr>
                  <w:t> </w:t>
                </w:r>
                <w:r>
                  <w:rPr/>
                  <w:t>Audit</w:t>
                </w:r>
                <w:r>
                  <w:rPr>
                    <w:spacing w:val="-2"/>
                  </w:rPr>
                  <w:t> </w:t>
                </w:r>
                <w:r>
                  <w:rPr/>
                  <w:t>and</w:t>
                </w:r>
                <w:r>
                  <w:rPr>
                    <w:spacing w:val="-1"/>
                  </w:rPr>
                  <w:t> </w:t>
                </w:r>
                <w:r>
                  <w:rPr/>
                  <w:t>Assurance</w:t>
                </w:r>
                <w:r>
                  <w:rPr>
                    <w:spacing w:val="-1"/>
                  </w:rPr>
                  <w:t> </w:t>
                </w:r>
                <w:r>
                  <w:rPr>
                    <w:spacing w:val="-2"/>
                  </w:rPr>
                  <w:t>Services</w:t>
                </w:r>
              </w:p>
            </w:txbxContent>
          </v:textbox>
          <w10:wrap type="none"/>
        </v:shape>
      </w:pict>
    </w:r>
    <w:r>
      <w:rPr/>
      <w:pict>
        <v:shape style="position:absolute;margin-left:542.460632pt;margin-top:803.175537pt;width:52.9pt;height:38.8pt;mso-position-horizontal-relative:page;mso-position-vertical-relative:page;z-index:-24177664" type="#_x0000_t202" id="docshape40" filled="false" stroked="false">
          <v:textbox inset="0,0,0,0">
            <w:txbxContent>
              <w:p>
                <w:pPr>
                  <w:pStyle w:val="BodyText"/>
                  <w:spacing w:before="20"/>
                  <w:ind w:left="55"/>
                </w:pPr>
                <w:r>
                  <w:rPr/>
                  <w:t>1</w:t>
                </w:r>
              </w:p>
              <w:p>
                <w:pPr>
                  <w:spacing w:before="91"/>
                  <w:ind w:left="20" w:right="0" w:firstLine="0"/>
                  <w:jc w:val="left"/>
                  <w:rPr>
                    <w:sz w:val="29"/>
                  </w:rPr>
                </w:pPr>
                <w:r>
                  <w:rPr>
                    <w:spacing w:val="-6"/>
                    <w:sz w:val="29"/>
                  </w:rPr>
                  <w:t>22/179</w:t>
                </w:r>
              </w:p>
            </w:txbxContent>
          </v:textbox>
          <w10:wrap type="none"/>
        </v:shape>
      </w:pict>
    </w:r>
    <w:r>
      <w:rPr/>
      <w:pict>
        <v:shape style="position:absolute;margin-left:0pt;margin-top:822.256409pt;width:26.2pt;height:19.7pt;mso-position-horizontal-relative:page;mso-position-vertical-relative:page;z-index:-24177152" type="#_x0000_t202" id="docshape41" filled="false" stroked="false">
          <v:textbox inset="0,0,0,0">
            <w:txbxContent>
              <w:p>
                <w:pPr>
                  <w:spacing w:before="21"/>
                  <w:ind w:left="20" w:right="0" w:firstLine="0"/>
                  <w:jc w:val="left"/>
                  <w:rPr>
                    <w:sz w:val="29"/>
                  </w:rPr>
                </w:pPr>
                <w:r>
                  <w:rPr>
                    <w:spacing w:val="-5"/>
                    <w:sz w:val="29"/>
                  </w:rPr>
                  <w:t>2/7</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9">
    <w:multiLevelType w:val="hybridMultilevel"/>
    <w:lvl w:ilvl="0">
      <w:start w:val="1"/>
      <w:numFmt w:val="decimal"/>
      <w:lvlText w:val="%1."/>
      <w:lvlJc w:val="left"/>
      <w:pPr>
        <w:ind w:left="1636" w:hanging="360"/>
        <w:jc w:val="left"/>
      </w:pPr>
      <w:rPr>
        <w:rFonts w:hint="default" w:ascii="Verdana" w:hAnsi="Verdana" w:eastAsia="Verdana" w:cs="Verdana"/>
        <w:b/>
        <w:bCs/>
        <w:i w:val="0"/>
        <w:iCs w:val="0"/>
        <w:w w:val="100"/>
        <w:sz w:val="22"/>
        <w:szCs w:val="22"/>
        <w:lang w:val="en-US" w:eastAsia="en-US" w:bidi="ar-SA"/>
      </w:rPr>
    </w:lvl>
    <w:lvl w:ilvl="1">
      <w:start w:val="0"/>
      <w:numFmt w:val="bullet"/>
      <w:lvlText w:val=""/>
      <w:lvlJc w:val="left"/>
      <w:pPr>
        <w:ind w:left="1996" w:hanging="360"/>
      </w:pPr>
      <w:rPr>
        <w:rFonts w:hint="default" w:ascii="Symbol" w:hAnsi="Symbol" w:eastAsia="Symbol" w:cs="Symbol"/>
        <w:b w:val="0"/>
        <w:bCs w:val="0"/>
        <w:i w:val="0"/>
        <w:iCs w:val="0"/>
        <w:w w:val="100"/>
        <w:sz w:val="22"/>
        <w:szCs w:val="22"/>
        <w:lang w:val="en-US" w:eastAsia="en-US" w:bidi="ar-SA"/>
      </w:rPr>
    </w:lvl>
    <w:lvl w:ilvl="2">
      <w:start w:val="0"/>
      <w:numFmt w:val="bullet"/>
      <w:lvlText w:val="•"/>
      <w:lvlJc w:val="left"/>
      <w:pPr>
        <w:ind w:left="3100" w:hanging="360"/>
      </w:pPr>
      <w:rPr>
        <w:rFonts w:hint="default"/>
        <w:lang w:val="en-US" w:eastAsia="en-US" w:bidi="ar-SA"/>
      </w:rPr>
    </w:lvl>
    <w:lvl w:ilvl="3">
      <w:start w:val="0"/>
      <w:numFmt w:val="bullet"/>
      <w:lvlText w:val="•"/>
      <w:lvlJc w:val="left"/>
      <w:pPr>
        <w:ind w:left="4201" w:hanging="360"/>
      </w:pPr>
      <w:rPr>
        <w:rFonts w:hint="default"/>
        <w:lang w:val="en-US" w:eastAsia="en-US" w:bidi="ar-SA"/>
      </w:rPr>
    </w:lvl>
    <w:lvl w:ilvl="4">
      <w:start w:val="0"/>
      <w:numFmt w:val="bullet"/>
      <w:lvlText w:val="•"/>
      <w:lvlJc w:val="left"/>
      <w:pPr>
        <w:ind w:left="5302" w:hanging="360"/>
      </w:pPr>
      <w:rPr>
        <w:rFonts w:hint="default"/>
        <w:lang w:val="en-US" w:eastAsia="en-US" w:bidi="ar-SA"/>
      </w:rPr>
    </w:lvl>
    <w:lvl w:ilvl="5">
      <w:start w:val="0"/>
      <w:numFmt w:val="bullet"/>
      <w:lvlText w:val="•"/>
      <w:lvlJc w:val="left"/>
      <w:pPr>
        <w:ind w:left="6402" w:hanging="360"/>
      </w:pPr>
      <w:rPr>
        <w:rFonts w:hint="default"/>
        <w:lang w:val="en-US" w:eastAsia="en-US" w:bidi="ar-SA"/>
      </w:rPr>
    </w:lvl>
    <w:lvl w:ilvl="6">
      <w:start w:val="0"/>
      <w:numFmt w:val="bullet"/>
      <w:lvlText w:val="•"/>
      <w:lvlJc w:val="left"/>
      <w:pPr>
        <w:ind w:left="7503" w:hanging="360"/>
      </w:pPr>
      <w:rPr>
        <w:rFonts w:hint="default"/>
        <w:lang w:val="en-US" w:eastAsia="en-US" w:bidi="ar-SA"/>
      </w:rPr>
    </w:lvl>
    <w:lvl w:ilvl="7">
      <w:start w:val="0"/>
      <w:numFmt w:val="bullet"/>
      <w:lvlText w:val="•"/>
      <w:lvlJc w:val="left"/>
      <w:pPr>
        <w:ind w:left="8604" w:hanging="360"/>
      </w:pPr>
      <w:rPr>
        <w:rFonts w:hint="default"/>
        <w:lang w:val="en-US" w:eastAsia="en-US" w:bidi="ar-SA"/>
      </w:rPr>
    </w:lvl>
    <w:lvl w:ilvl="8">
      <w:start w:val="0"/>
      <w:numFmt w:val="bullet"/>
      <w:lvlText w:val="•"/>
      <w:lvlJc w:val="left"/>
      <w:pPr>
        <w:ind w:left="9704" w:hanging="360"/>
      </w:pPr>
      <w:rPr>
        <w:rFonts w:hint="default"/>
        <w:lang w:val="en-US" w:eastAsia="en-US" w:bidi="ar-SA"/>
      </w:rPr>
    </w:lvl>
  </w:abstractNum>
  <w:abstractNum w:abstractNumId="34">
    <w:multiLevelType w:val="hybridMultilevel"/>
    <w:lvl w:ilvl="0">
      <w:start w:val="1"/>
      <w:numFmt w:val="decimal"/>
      <w:lvlText w:val="%1."/>
      <w:lvlJc w:val="left"/>
      <w:pPr>
        <w:ind w:left="1778" w:hanging="361"/>
        <w:jc w:val="left"/>
      </w:pPr>
      <w:rPr>
        <w:rFonts w:hint="default" w:ascii="Verdana" w:hAnsi="Verdana" w:eastAsia="Verdana" w:cs="Verdana"/>
        <w:b/>
        <w:bCs/>
        <w:i w:val="0"/>
        <w:iCs w:val="0"/>
        <w:w w:val="100"/>
        <w:sz w:val="24"/>
        <w:szCs w:val="24"/>
        <w:lang w:val="en-US" w:eastAsia="en-US" w:bidi="ar-SA"/>
      </w:rPr>
    </w:lvl>
    <w:lvl w:ilvl="1">
      <w:start w:val="1"/>
      <w:numFmt w:val="decimal"/>
      <w:lvlText w:val="%1.%2"/>
      <w:lvlJc w:val="left"/>
      <w:pPr>
        <w:ind w:left="2138" w:hanging="721"/>
        <w:jc w:val="left"/>
      </w:pPr>
      <w:rPr>
        <w:rFonts w:hint="default" w:ascii="Verdana" w:hAnsi="Verdana" w:eastAsia="Verdana" w:cs="Verdana"/>
        <w:b/>
        <w:bCs/>
        <w:i w:val="0"/>
        <w:iCs w:val="0"/>
        <w:w w:val="100"/>
        <w:sz w:val="24"/>
        <w:szCs w:val="24"/>
        <w:u w:val="single" w:color="000000"/>
        <w:lang w:val="en-US" w:eastAsia="en-US" w:bidi="ar-SA"/>
      </w:rPr>
    </w:lvl>
    <w:lvl w:ilvl="2">
      <w:start w:val="0"/>
      <w:numFmt w:val="bullet"/>
      <w:lvlText w:val=""/>
      <w:lvlJc w:val="left"/>
      <w:pPr>
        <w:ind w:left="2138" w:hanging="360"/>
      </w:pPr>
      <w:rPr>
        <w:rFonts w:hint="default" w:ascii="Symbol" w:hAnsi="Symbol" w:eastAsia="Symbol" w:cs="Symbol"/>
        <w:b w:val="0"/>
        <w:bCs w:val="0"/>
        <w:i w:val="0"/>
        <w:iCs w:val="0"/>
        <w:w w:val="100"/>
        <w:sz w:val="24"/>
        <w:szCs w:val="24"/>
        <w:lang w:val="en-US" w:eastAsia="en-US" w:bidi="ar-SA"/>
      </w:rPr>
    </w:lvl>
    <w:lvl w:ilvl="3">
      <w:start w:val="0"/>
      <w:numFmt w:val="bullet"/>
      <w:lvlText w:val="•"/>
      <w:lvlJc w:val="left"/>
      <w:pPr>
        <w:ind w:left="4310" w:hanging="360"/>
      </w:pPr>
      <w:rPr>
        <w:rFonts w:hint="default"/>
        <w:lang w:val="en-US" w:eastAsia="en-US" w:bidi="ar-SA"/>
      </w:rPr>
    </w:lvl>
    <w:lvl w:ilvl="4">
      <w:start w:val="0"/>
      <w:numFmt w:val="bullet"/>
      <w:lvlText w:val="•"/>
      <w:lvlJc w:val="left"/>
      <w:pPr>
        <w:ind w:left="5395" w:hanging="360"/>
      </w:pPr>
      <w:rPr>
        <w:rFonts w:hint="default"/>
        <w:lang w:val="en-US" w:eastAsia="en-US" w:bidi="ar-SA"/>
      </w:rPr>
    </w:lvl>
    <w:lvl w:ilvl="5">
      <w:start w:val="0"/>
      <w:numFmt w:val="bullet"/>
      <w:lvlText w:val="•"/>
      <w:lvlJc w:val="left"/>
      <w:pPr>
        <w:ind w:left="6480" w:hanging="360"/>
      </w:pPr>
      <w:rPr>
        <w:rFonts w:hint="default"/>
        <w:lang w:val="en-US" w:eastAsia="en-US" w:bidi="ar-SA"/>
      </w:rPr>
    </w:lvl>
    <w:lvl w:ilvl="6">
      <w:start w:val="0"/>
      <w:numFmt w:val="bullet"/>
      <w:lvlText w:val="•"/>
      <w:lvlJc w:val="left"/>
      <w:pPr>
        <w:ind w:left="7565" w:hanging="360"/>
      </w:pPr>
      <w:rPr>
        <w:rFonts w:hint="default"/>
        <w:lang w:val="en-US" w:eastAsia="en-US" w:bidi="ar-SA"/>
      </w:rPr>
    </w:lvl>
    <w:lvl w:ilvl="7">
      <w:start w:val="0"/>
      <w:numFmt w:val="bullet"/>
      <w:lvlText w:val="•"/>
      <w:lvlJc w:val="left"/>
      <w:pPr>
        <w:ind w:left="8650" w:hanging="360"/>
      </w:pPr>
      <w:rPr>
        <w:rFonts w:hint="default"/>
        <w:lang w:val="en-US" w:eastAsia="en-US" w:bidi="ar-SA"/>
      </w:rPr>
    </w:lvl>
    <w:lvl w:ilvl="8">
      <w:start w:val="0"/>
      <w:numFmt w:val="bullet"/>
      <w:lvlText w:val="•"/>
      <w:lvlJc w:val="left"/>
      <w:pPr>
        <w:ind w:left="9735" w:hanging="360"/>
      </w:pPr>
      <w:rPr>
        <w:rFonts w:hint="default"/>
        <w:lang w:val="en-US" w:eastAsia="en-US" w:bidi="ar-SA"/>
      </w:rPr>
    </w:lvl>
  </w:abstractNum>
  <w:abstractNum w:abstractNumId="49">
    <w:multiLevelType w:val="hybridMultilevel"/>
    <w:lvl w:ilvl="0">
      <w:start w:val="0"/>
      <w:numFmt w:val="bullet"/>
      <w:lvlText w:val=""/>
      <w:lvlJc w:val="left"/>
      <w:pPr>
        <w:ind w:left="2160" w:hanging="361"/>
      </w:pPr>
      <w:rPr>
        <w:rFonts w:hint="default" w:ascii="Symbol" w:hAnsi="Symbol" w:eastAsia="Symbol" w:cs="Symbol"/>
        <w:w w:val="100"/>
        <w:lang w:val="en-US" w:eastAsia="en-US" w:bidi="ar-SA"/>
      </w:rPr>
    </w:lvl>
    <w:lvl w:ilvl="1">
      <w:start w:val="0"/>
      <w:numFmt w:val="bullet"/>
      <w:lvlText w:val="-"/>
      <w:lvlJc w:val="left"/>
      <w:pPr>
        <w:ind w:left="2160" w:hanging="360"/>
      </w:pPr>
      <w:rPr>
        <w:rFonts w:hint="default" w:ascii="Calibri" w:hAnsi="Calibri" w:eastAsia="Calibri" w:cs="Calibri"/>
        <w:b w:val="0"/>
        <w:bCs w:val="0"/>
        <w:i w:val="0"/>
        <w:iCs w:val="0"/>
        <w:w w:val="100"/>
        <w:sz w:val="22"/>
        <w:szCs w:val="22"/>
        <w:lang w:val="en-US" w:eastAsia="en-US" w:bidi="ar-SA"/>
      </w:rPr>
    </w:lvl>
    <w:lvl w:ilvl="2">
      <w:start w:val="0"/>
      <w:numFmt w:val="bullet"/>
      <w:lvlText w:val="•"/>
      <w:lvlJc w:val="left"/>
      <w:pPr>
        <w:ind w:left="4109" w:hanging="360"/>
      </w:pPr>
      <w:rPr>
        <w:rFonts w:hint="default"/>
        <w:lang w:val="en-US" w:eastAsia="en-US" w:bidi="ar-SA"/>
      </w:rPr>
    </w:lvl>
    <w:lvl w:ilvl="3">
      <w:start w:val="0"/>
      <w:numFmt w:val="bullet"/>
      <w:lvlText w:val="•"/>
      <w:lvlJc w:val="left"/>
      <w:pPr>
        <w:ind w:left="5084" w:hanging="360"/>
      </w:pPr>
      <w:rPr>
        <w:rFonts w:hint="default"/>
        <w:lang w:val="en-US" w:eastAsia="en-US" w:bidi="ar-SA"/>
      </w:rPr>
    </w:lvl>
    <w:lvl w:ilvl="4">
      <w:start w:val="0"/>
      <w:numFmt w:val="bullet"/>
      <w:lvlText w:val="•"/>
      <w:lvlJc w:val="left"/>
      <w:pPr>
        <w:ind w:left="6058" w:hanging="360"/>
      </w:pPr>
      <w:rPr>
        <w:rFonts w:hint="default"/>
        <w:lang w:val="en-US" w:eastAsia="en-US" w:bidi="ar-SA"/>
      </w:rPr>
    </w:lvl>
    <w:lvl w:ilvl="5">
      <w:start w:val="0"/>
      <w:numFmt w:val="bullet"/>
      <w:lvlText w:val="•"/>
      <w:lvlJc w:val="left"/>
      <w:pPr>
        <w:ind w:left="7033" w:hanging="360"/>
      </w:pPr>
      <w:rPr>
        <w:rFonts w:hint="default"/>
        <w:lang w:val="en-US" w:eastAsia="en-US" w:bidi="ar-SA"/>
      </w:rPr>
    </w:lvl>
    <w:lvl w:ilvl="6">
      <w:start w:val="0"/>
      <w:numFmt w:val="bullet"/>
      <w:lvlText w:val="•"/>
      <w:lvlJc w:val="left"/>
      <w:pPr>
        <w:ind w:left="8008" w:hanging="360"/>
      </w:pPr>
      <w:rPr>
        <w:rFonts w:hint="default"/>
        <w:lang w:val="en-US" w:eastAsia="en-US" w:bidi="ar-SA"/>
      </w:rPr>
    </w:lvl>
    <w:lvl w:ilvl="7">
      <w:start w:val="0"/>
      <w:numFmt w:val="bullet"/>
      <w:lvlText w:val="•"/>
      <w:lvlJc w:val="left"/>
      <w:pPr>
        <w:ind w:left="8982" w:hanging="360"/>
      </w:pPr>
      <w:rPr>
        <w:rFonts w:hint="default"/>
        <w:lang w:val="en-US" w:eastAsia="en-US" w:bidi="ar-SA"/>
      </w:rPr>
    </w:lvl>
    <w:lvl w:ilvl="8">
      <w:start w:val="0"/>
      <w:numFmt w:val="bullet"/>
      <w:lvlText w:val="•"/>
      <w:lvlJc w:val="left"/>
      <w:pPr>
        <w:ind w:left="9957" w:hanging="360"/>
      </w:pPr>
      <w:rPr>
        <w:rFonts w:hint="default"/>
        <w:lang w:val="en-US" w:eastAsia="en-US" w:bidi="ar-SA"/>
      </w:rPr>
    </w:lvl>
  </w:abstractNum>
  <w:abstractNum w:abstractNumId="48">
    <w:multiLevelType w:val="hybridMultilevel"/>
    <w:lvl w:ilvl="0">
      <w:start w:val="1"/>
      <w:numFmt w:val="decimal"/>
      <w:lvlText w:val="%1)"/>
      <w:lvlJc w:val="left"/>
      <w:pPr>
        <w:ind w:left="2160" w:hanging="360"/>
        <w:jc w:val="left"/>
      </w:pPr>
      <w:rPr>
        <w:rFonts w:hint="default" w:ascii="Calibri" w:hAnsi="Calibri" w:eastAsia="Calibri" w:cs="Calibri"/>
        <w:b w:val="0"/>
        <w:bCs w:val="0"/>
        <w:i w:val="0"/>
        <w:iCs w:val="0"/>
        <w:w w:val="100"/>
        <w:sz w:val="22"/>
        <w:szCs w:val="22"/>
        <w:lang w:val="en-US" w:eastAsia="en-US" w:bidi="ar-SA"/>
      </w:rPr>
    </w:lvl>
    <w:lvl w:ilvl="1">
      <w:start w:val="0"/>
      <w:numFmt w:val="bullet"/>
      <w:lvlText w:val="•"/>
      <w:lvlJc w:val="left"/>
      <w:pPr>
        <w:ind w:left="3134" w:hanging="360"/>
      </w:pPr>
      <w:rPr>
        <w:rFonts w:hint="default"/>
        <w:lang w:val="en-US" w:eastAsia="en-US" w:bidi="ar-SA"/>
      </w:rPr>
    </w:lvl>
    <w:lvl w:ilvl="2">
      <w:start w:val="0"/>
      <w:numFmt w:val="bullet"/>
      <w:lvlText w:val="•"/>
      <w:lvlJc w:val="left"/>
      <w:pPr>
        <w:ind w:left="4109" w:hanging="360"/>
      </w:pPr>
      <w:rPr>
        <w:rFonts w:hint="default"/>
        <w:lang w:val="en-US" w:eastAsia="en-US" w:bidi="ar-SA"/>
      </w:rPr>
    </w:lvl>
    <w:lvl w:ilvl="3">
      <w:start w:val="0"/>
      <w:numFmt w:val="bullet"/>
      <w:lvlText w:val="•"/>
      <w:lvlJc w:val="left"/>
      <w:pPr>
        <w:ind w:left="5084" w:hanging="360"/>
      </w:pPr>
      <w:rPr>
        <w:rFonts w:hint="default"/>
        <w:lang w:val="en-US" w:eastAsia="en-US" w:bidi="ar-SA"/>
      </w:rPr>
    </w:lvl>
    <w:lvl w:ilvl="4">
      <w:start w:val="0"/>
      <w:numFmt w:val="bullet"/>
      <w:lvlText w:val="•"/>
      <w:lvlJc w:val="left"/>
      <w:pPr>
        <w:ind w:left="6058" w:hanging="360"/>
      </w:pPr>
      <w:rPr>
        <w:rFonts w:hint="default"/>
        <w:lang w:val="en-US" w:eastAsia="en-US" w:bidi="ar-SA"/>
      </w:rPr>
    </w:lvl>
    <w:lvl w:ilvl="5">
      <w:start w:val="0"/>
      <w:numFmt w:val="bullet"/>
      <w:lvlText w:val="•"/>
      <w:lvlJc w:val="left"/>
      <w:pPr>
        <w:ind w:left="7033" w:hanging="360"/>
      </w:pPr>
      <w:rPr>
        <w:rFonts w:hint="default"/>
        <w:lang w:val="en-US" w:eastAsia="en-US" w:bidi="ar-SA"/>
      </w:rPr>
    </w:lvl>
    <w:lvl w:ilvl="6">
      <w:start w:val="0"/>
      <w:numFmt w:val="bullet"/>
      <w:lvlText w:val="•"/>
      <w:lvlJc w:val="left"/>
      <w:pPr>
        <w:ind w:left="8008" w:hanging="360"/>
      </w:pPr>
      <w:rPr>
        <w:rFonts w:hint="default"/>
        <w:lang w:val="en-US" w:eastAsia="en-US" w:bidi="ar-SA"/>
      </w:rPr>
    </w:lvl>
    <w:lvl w:ilvl="7">
      <w:start w:val="0"/>
      <w:numFmt w:val="bullet"/>
      <w:lvlText w:val="•"/>
      <w:lvlJc w:val="left"/>
      <w:pPr>
        <w:ind w:left="8982" w:hanging="360"/>
      </w:pPr>
      <w:rPr>
        <w:rFonts w:hint="default"/>
        <w:lang w:val="en-US" w:eastAsia="en-US" w:bidi="ar-SA"/>
      </w:rPr>
    </w:lvl>
    <w:lvl w:ilvl="8">
      <w:start w:val="0"/>
      <w:numFmt w:val="bullet"/>
      <w:lvlText w:val="•"/>
      <w:lvlJc w:val="left"/>
      <w:pPr>
        <w:ind w:left="9957" w:hanging="360"/>
      </w:pPr>
      <w:rPr>
        <w:rFonts w:hint="default"/>
        <w:lang w:val="en-US" w:eastAsia="en-US" w:bidi="ar-SA"/>
      </w:rPr>
    </w:lvl>
  </w:abstractNum>
  <w:abstractNum w:abstractNumId="47">
    <w:multiLevelType w:val="hybridMultilevel"/>
    <w:lvl w:ilvl="0">
      <w:start w:val="0"/>
      <w:numFmt w:val="bullet"/>
      <w:lvlText w:val=""/>
      <w:lvlJc w:val="left"/>
      <w:pPr>
        <w:ind w:left="2160" w:hanging="360"/>
      </w:pPr>
      <w:rPr>
        <w:rFonts w:hint="default" w:ascii="Symbol" w:hAnsi="Symbol" w:eastAsia="Symbol" w:cs="Symbol"/>
        <w:b w:val="0"/>
        <w:bCs w:val="0"/>
        <w:i w:val="0"/>
        <w:iCs w:val="0"/>
        <w:w w:val="100"/>
        <w:sz w:val="22"/>
        <w:szCs w:val="22"/>
        <w:lang w:val="en-US" w:eastAsia="en-US" w:bidi="ar-SA"/>
      </w:rPr>
    </w:lvl>
    <w:lvl w:ilvl="1">
      <w:start w:val="0"/>
      <w:numFmt w:val="bullet"/>
      <w:lvlText w:val="•"/>
      <w:lvlJc w:val="left"/>
      <w:pPr>
        <w:ind w:left="3134" w:hanging="360"/>
      </w:pPr>
      <w:rPr>
        <w:rFonts w:hint="default"/>
        <w:lang w:val="en-US" w:eastAsia="en-US" w:bidi="ar-SA"/>
      </w:rPr>
    </w:lvl>
    <w:lvl w:ilvl="2">
      <w:start w:val="0"/>
      <w:numFmt w:val="bullet"/>
      <w:lvlText w:val="•"/>
      <w:lvlJc w:val="left"/>
      <w:pPr>
        <w:ind w:left="4109" w:hanging="360"/>
      </w:pPr>
      <w:rPr>
        <w:rFonts w:hint="default"/>
        <w:lang w:val="en-US" w:eastAsia="en-US" w:bidi="ar-SA"/>
      </w:rPr>
    </w:lvl>
    <w:lvl w:ilvl="3">
      <w:start w:val="0"/>
      <w:numFmt w:val="bullet"/>
      <w:lvlText w:val="•"/>
      <w:lvlJc w:val="left"/>
      <w:pPr>
        <w:ind w:left="5084" w:hanging="360"/>
      </w:pPr>
      <w:rPr>
        <w:rFonts w:hint="default"/>
        <w:lang w:val="en-US" w:eastAsia="en-US" w:bidi="ar-SA"/>
      </w:rPr>
    </w:lvl>
    <w:lvl w:ilvl="4">
      <w:start w:val="0"/>
      <w:numFmt w:val="bullet"/>
      <w:lvlText w:val="•"/>
      <w:lvlJc w:val="left"/>
      <w:pPr>
        <w:ind w:left="6058" w:hanging="360"/>
      </w:pPr>
      <w:rPr>
        <w:rFonts w:hint="default"/>
        <w:lang w:val="en-US" w:eastAsia="en-US" w:bidi="ar-SA"/>
      </w:rPr>
    </w:lvl>
    <w:lvl w:ilvl="5">
      <w:start w:val="0"/>
      <w:numFmt w:val="bullet"/>
      <w:lvlText w:val="•"/>
      <w:lvlJc w:val="left"/>
      <w:pPr>
        <w:ind w:left="7033" w:hanging="360"/>
      </w:pPr>
      <w:rPr>
        <w:rFonts w:hint="default"/>
        <w:lang w:val="en-US" w:eastAsia="en-US" w:bidi="ar-SA"/>
      </w:rPr>
    </w:lvl>
    <w:lvl w:ilvl="6">
      <w:start w:val="0"/>
      <w:numFmt w:val="bullet"/>
      <w:lvlText w:val="•"/>
      <w:lvlJc w:val="left"/>
      <w:pPr>
        <w:ind w:left="8008" w:hanging="360"/>
      </w:pPr>
      <w:rPr>
        <w:rFonts w:hint="default"/>
        <w:lang w:val="en-US" w:eastAsia="en-US" w:bidi="ar-SA"/>
      </w:rPr>
    </w:lvl>
    <w:lvl w:ilvl="7">
      <w:start w:val="0"/>
      <w:numFmt w:val="bullet"/>
      <w:lvlText w:val="•"/>
      <w:lvlJc w:val="left"/>
      <w:pPr>
        <w:ind w:left="8982" w:hanging="360"/>
      </w:pPr>
      <w:rPr>
        <w:rFonts w:hint="default"/>
        <w:lang w:val="en-US" w:eastAsia="en-US" w:bidi="ar-SA"/>
      </w:rPr>
    </w:lvl>
    <w:lvl w:ilvl="8">
      <w:start w:val="0"/>
      <w:numFmt w:val="bullet"/>
      <w:lvlText w:val="•"/>
      <w:lvlJc w:val="left"/>
      <w:pPr>
        <w:ind w:left="9957" w:hanging="360"/>
      </w:pPr>
      <w:rPr>
        <w:rFonts w:hint="default"/>
        <w:lang w:val="en-US" w:eastAsia="en-US" w:bidi="ar-SA"/>
      </w:rPr>
    </w:lvl>
  </w:abstractNum>
  <w:abstractNum w:abstractNumId="46">
    <w:multiLevelType w:val="hybridMultilevel"/>
    <w:lvl w:ilvl="0">
      <w:start w:val="0"/>
      <w:numFmt w:val="bullet"/>
      <w:lvlText w:val=""/>
      <w:lvlJc w:val="left"/>
      <w:pPr>
        <w:ind w:left="2205" w:hanging="360"/>
      </w:pPr>
      <w:rPr>
        <w:rFonts w:hint="default" w:ascii="Symbol" w:hAnsi="Symbol" w:eastAsia="Symbol" w:cs="Symbol"/>
        <w:b w:val="0"/>
        <w:bCs w:val="0"/>
        <w:i w:val="0"/>
        <w:iCs w:val="0"/>
        <w:w w:val="100"/>
        <w:sz w:val="22"/>
        <w:szCs w:val="22"/>
        <w:lang w:val="en-US" w:eastAsia="en-US" w:bidi="ar-SA"/>
      </w:rPr>
    </w:lvl>
    <w:lvl w:ilvl="1">
      <w:start w:val="0"/>
      <w:numFmt w:val="bullet"/>
      <w:lvlText w:val="•"/>
      <w:lvlJc w:val="left"/>
      <w:pPr>
        <w:ind w:left="3170" w:hanging="360"/>
      </w:pPr>
      <w:rPr>
        <w:rFonts w:hint="default"/>
        <w:lang w:val="en-US" w:eastAsia="en-US" w:bidi="ar-SA"/>
      </w:rPr>
    </w:lvl>
    <w:lvl w:ilvl="2">
      <w:start w:val="0"/>
      <w:numFmt w:val="bullet"/>
      <w:lvlText w:val="•"/>
      <w:lvlJc w:val="left"/>
      <w:pPr>
        <w:ind w:left="4141" w:hanging="360"/>
      </w:pPr>
      <w:rPr>
        <w:rFonts w:hint="default"/>
        <w:lang w:val="en-US" w:eastAsia="en-US" w:bidi="ar-SA"/>
      </w:rPr>
    </w:lvl>
    <w:lvl w:ilvl="3">
      <w:start w:val="0"/>
      <w:numFmt w:val="bullet"/>
      <w:lvlText w:val="•"/>
      <w:lvlJc w:val="left"/>
      <w:pPr>
        <w:ind w:left="5112" w:hanging="360"/>
      </w:pPr>
      <w:rPr>
        <w:rFonts w:hint="default"/>
        <w:lang w:val="en-US" w:eastAsia="en-US" w:bidi="ar-SA"/>
      </w:rPr>
    </w:lvl>
    <w:lvl w:ilvl="4">
      <w:start w:val="0"/>
      <w:numFmt w:val="bullet"/>
      <w:lvlText w:val="•"/>
      <w:lvlJc w:val="left"/>
      <w:pPr>
        <w:ind w:left="6082" w:hanging="360"/>
      </w:pPr>
      <w:rPr>
        <w:rFonts w:hint="default"/>
        <w:lang w:val="en-US" w:eastAsia="en-US" w:bidi="ar-SA"/>
      </w:rPr>
    </w:lvl>
    <w:lvl w:ilvl="5">
      <w:start w:val="0"/>
      <w:numFmt w:val="bullet"/>
      <w:lvlText w:val="•"/>
      <w:lvlJc w:val="left"/>
      <w:pPr>
        <w:ind w:left="7053" w:hanging="360"/>
      </w:pPr>
      <w:rPr>
        <w:rFonts w:hint="default"/>
        <w:lang w:val="en-US" w:eastAsia="en-US" w:bidi="ar-SA"/>
      </w:rPr>
    </w:lvl>
    <w:lvl w:ilvl="6">
      <w:start w:val="0"/>
      <w:numFmt w:val="bullet"/>
      <w:lvlText w:val="•"/>
      <w:lvlJc w:val="left"/>
      <w:pPr>
        <w:ind w:left="8024" w:hanging="360"/>
      </w:pPr>
      <w:rPr>
        <w:rFonts w:hint="default"/>
        <w:lang w:val="en-US" w:eastAsia="en-US" w:bidi="ar-SA"/>
      </w:rPr>
    </w:lvl>
    <w:lvl w:ilvl="7">
      <w:start w:val="0"/>
      <w:numFmt w:val="bullet"/>
      <w:lvlText w:val="•"/>
      <w:lvlJc w:val="left"/>
      <w:pPr>
        <w:ind w:left="8994" w:hanging="360"/>
      </w:pPr>
      <w:rPr>
        <w:rFonts w:hint="default"/>
        <w:lang w:val="en-US" w:eastAsia="en-US" w:bidi="ar-SA"/>
      </w:rPr>
    </w:lvl>
    <w:lvl w:ilvl="8">
      <w:start w:val="0"/>
      <w:numFmt w:val="bullet"/>
      <w:lvlText w:val="•"/>
      <w:lvlJc w:val="left"/>
      <w:pPr>
        <w:ind w:left="9965" w:hanging="360"/>
      </w:pPr>
      <w:rPr>
        <w:rFonts w:hint="default"/>
        <w:lang w:val="en-US" w:eastAsia="en-US" w:bidi="ar-SA"/>
      </w:rPr>
    </w:lvl>
  </w:abstractNum>
  <w:abstractNum w:abstractNumId="45">
    <w:multiLevelType w:val="hybridMultilevel"/>
    <w:lvl w:ilvl="0">
      <w:start w:val="0"/>
      <w:numFmt w:val="bullet"/>
      <w:lvlText w:val=""/>
      <w:lvlJc w:val="left"/>
      <w:pPr>
        <w:ind w:left="2160" w:hanging="361"/>
      </w:pPr>
      <w:rPr>
        <w:rFonts w:hint="default" w:ascii="Symbol" w:hAnsi="Symbol" w:eastAsia="Symbol" w:cs="Symbol"/>
        <w:w w:val="100"/>
        <w:lang w:val="en-US" w:eastAsia="en-US" w:bidi="ar-SA"/>
      </w:rPr>
    </w:lvl>
    <w:lvl w:ilvl="1">
      <w:start w:val="0"/>
      <w:numFmt w:val="bullet"/>
      <w:lvlText w:val="-"/>
      <w:lvlJc w:val="left"/>
      <w:pPr>
        <w:ind w:left="2520" w:hanging="360"/>
      </w:pPr>
      <w:rPr>
        <w:rFonts w:hint="default" w:ascii="Calibri" w:hAnsi="Calibri" w:eastAsia="Calibri" w:cs="Calibri"/>
        <w:b w:val="0"/>
        <w:bCs w:val="0"/>
        <w:i w:val="0"/>
        <w:iCs w:val="0"/>
        <w:w w:val="100"/>
        <w:sz w:val="22"/>
        <w:szCs w:val="22"/>
        <w:lang w:val="en-US" w:eastAsia="en-US" w:bidi="ar-SA"/>
      </w:rPr>
    </w:lvl>
    <w:lvl w:ilvl="2">
      <w:start w:val="0"/>
      <w:numFmt w:val="bullet"/>
      <w:lvlText w:val="•"/>
      <w:lvlJc w:val="left"/>
      <w:pPr>
        <w:ind w:left="3563" w:hanging="360"/>
      </w:pPr>
      <w:rPr>
        <w:rFonts w:hint="default"/>
        <w:lang w:val="en-US" w:eastAsia="en-US" w:bidi="ar-SA"/>
      </w:rPr>
    </w:lvl>
    <w:lvl w:ilvl="3">
      <w:start w:val="0"/>
      <w:numFmt w:val="bullet"/>
      <w:lvlText w:val="•"/>
      <w:lvlJc w:val="left"/>
      <w:pPr>
        <w:ind w:left="4606" w:hanging="360"/>
      </w:pPr>
      <w:rPr>
        <w:rFonts w:hint="default"/>
        <w:lang w:val="en-US" w:eastAsia="en-US" w:bidi="ar-SA"/>
      </w:rPr>
    </w:lvl>
    <w:lvl w:ilvl="4">
      <w:start w:val="0"/>
      <w:numFmt w:val="bullet"/>
      <w:lvlText w:val="•"/>
      <w:lvlJc w:val="left"/>
      <w:pPr>
        <w:ind w:left="5649" w:hanging="360"/>
      </w:pPr>
      <w:rPr>
        <w:rFonts w:hint="default"/>
        <w:lang w:val="en-US" w:eastAsia="en-US" w:bidi="ar-SA"/>
      </w:rPr>
    </w:lvl>
    <w:lvl w:ilvl="5">
      <w:start w:val="0"/>
      <w:numFmt w:val="bullet"/>
      <w:lvlText w:val="•"/>
      <w:lvlJc w:val="left"/>
      <w:pPr>
        <w:ind w:left="6692" w:hanging="360"/>
      </w:pPr>
      <w:rPr>
        <w:rFonts w:hint="default"/>
        <w:lang w:val="en-US" w:eastAsia="en-US" w:bidi="ar-SA"/>
      </w:rPr>
    </w:lvl>
    <w:lvl w:ilvl="6">
      <w:start w:val="0"/>
      <w:numFmt w:val="bullet"/>
      <w:lvlText w:val="•"/>
      <w:lvlJc w:val="left"/>
      <w:pPr>
        <w:ind w:left="7735" w:hanging="360"/>
      </w:pPr>
      <w:rPr>
        <w:rFonts w:hint="default"/>
        <w:lang w:val="en-US" w:eastAsia="en-US" w:bidi="ar-SA"/>
      </w:rPr>
    </w:lvl>
    <w:lvl w:ilvl="7">
      <w:start w:val="0"/>
      <w:numFmt w:val="bullet"/>
      <w:lvlText w:val="•"/>
      <w:lvlJc w:val="left"/>
      <w:pPr>
        <w:ind w:left="8778" w:hanging="360"/>
      </w:pPr>
      <w:rPr>
        <w:rFonts w:hint="default"/>
        <w:lang w:val="en-US" w:eastAsia="en-US" w:bidi="ar-SA"/>
      </w:rPr>
    </w:lvl>
    <w:lvl w:ilvl="8">
      <w:start w:val="0"/>
      <w:numFmt w:val="bullet"/>
      <w:lvlText w:val="•"/>
      <w:lvlJc w:val="left"/>
      <w:pPr>
        <w:ind w:left="9821" w:hanging="360"/>
      </w:pPr>
      <w:rPr>
        <w:rFonts w:hint="default"/>
        <w:lang w:val="en-US" w:eastAsia="en-US" w:bidi="ar-SA"/>
      </w:rPr>
    </w:lvl>
  </w:abstractNum>
  <w:abstractNum w:abstractNumId="44">
    <w:multiLevelType w:val="hybridMultilevel"/>
    <w:lvl w:ilvl="0">
      <w:start w:val="1"/>
      <w:numFmt w:val="decimal"/>
      <w:lvlText w:val="%1)"/>
      <w:lvlJc w:val="left"/>
      <w:pPr>
        <w:ind w:left="2160" w:hanging="360"/>
        <w:jc w:val="left"/>
      </w:pPr>
      <w:rPr>
        <w:rFonts w:hint="default" w:ascii="Calibri" w:hAnsi="Calibri" w:eastAsia="Calibri" w:cs="Calibri"/>
        <w:b w:val="0"/>
        <w:bCs w:val="0"/>
        <w:i w:val="0"/>
        <w:iCs w:val="0"/>
        <w:w w:val="100"/>
        <w:sz w:val="22"/>
        <w:szCs w:val="22"/>
        <w:lang w:val="en-US" w:eastAsia="en-US" w:bidi="ar-SA"/>
      </w:rPr>
    </w:lvl>
    <w:lvl w:ilvl="1">
      <w:start w:val="0"/>
      <w:numFmt w:val="bullet"/>
      <w:lvlText w:val="•"/>
      <w:lvlJc w:val="left"/>
      <w:pPr>
        <w:ind w:left="3134" w:hanging="360"/>
      </w:pPr>
      <w:rPr>
        <w:rFonts w:hint="default"/>
        <w:lang w:val="en-US" w:eastAsia="en-US" w:bidi="ar-SA"/>
      </w:rPr>
    </w:lvl>
    <w:lvl w:ilvl="2">
      <w:start w:val="0"/>
      <w:numFmt w:val="bullet"/>
      <w:lvlText w:val="•"/>
      <w:lvlJc w:val="left"/>
      <w:pPr>
        <w:ind w:left="4109" w:hanging="360"/>
      </w:pPr>
      <w:rPr>
        <w:rFonts w:hint="default"/>
        <w:lang w:val="en-US" w:eastAsia="en-US" w:bidi="ar-SA"/>
      </w:rPr>
    </w:lvl>
    <w:lvl w:ilvl="3">
      <w:start w:val="0"/>
      <w:numFmt w:val="bullet"/>
      <w:lvlText w:val="•"/>
      <w:lvlJc w:val="left"/>
      <w:pPr>
        <w:ind w:left="5084" w:hanging="360"/>
      </w:pPr>
      <w:rPr>
        <w:rFonts w:hint="default"/>
        <w:lang w:val="en-US" w:eastAsia="en-US" w:bidi="ar-SA"/>
      </w:rPr>
    </w:lvl>
    <w:lvl w:ilvl="4">
      <w:start w:val="0"/>
      <w:numFmt w:val="bullet"/>
      <w:lvlText w:val="•"/>
      <w:lvlJc w:val="left"/>
      <w:pPr>
        <w:ind w:left="6058" w:hanging="360"/>
      </w:pPr>
      <w:rPr>
        <w:rFonts w:hint="default"/>
        <w:lang w:val="en-US" w:eastAsia="en-US" w:bidi="ar-SA"/>
      </w:rPr>
    </w:lvl>
    <w:lvl w:ilvl="5">
      <w:start w:val="0"/>
      <w:numFmt w:val="bullet"/>
      <w:lvlText w:val="•"/>
      <w:lvlJc w:val="left"/>
      <w:pPr>
        <w:ind w:left="7033" w:hanging="360"/>
      </w:pPr>
      <w:rPr>
        <w:rFonts w:hint="default"/>
        <w:lang w:val="en-US" w:eastAsia="en-US" w:bidi="ar-SA"/>
      </w:rPr>
    </w:lvl>
    <w:lvl w:ilvl="6">
      <w:start w:val="0"/>
      <w:numFmt w:val="bullet"/>
      <w:lvlText w:val="•"/>
      <w:lvlJc w:val="left"/>
      <w:pPr>
        <w:ind w:left="8008" w:hanging="360"/>
      </w:pPr>
      <w:rPr>
        <w:rFonts w:hint="default"/>
        <w:lang w:val="en-US" w:eastAsia="en-US" w:bidi="ar-SA"/>
      </w:rPr>
    </w:lvl>
    <w:lvl w:ilvl="7">
      <w:start w:val="0"/>
      <w:numFmt w:val="bullet"/>
      <w:lvlText w:val="•"/>
      <w:lvlJc w:val="left"/>
      <w:pPr>
        <w:ind w:left="8982" w:hanging="360"/>
      </w:pPr>
      <w:rPr>
        <w:rFonts w:hint="default"/>
        <w:lang w:val="en-US" w:eastAsia="en-US" w:bidi="ar-SA"/>
      </w:rPr>
    </w:lvl>
    <w:lvl w:ilvl="8">
      <w:start w:val="0"/>
      <w:numFmt w:val="bullet"/>
      <w:lvlText w:val="•"/>
      <w:lvlJc w:val="left"/>
      <w:pPr>
        <w:ind w:left="9957" w:hanging="360"/>
      </w:pPr>
      <w:rPr>
        <w:rFonts w:hint="default"/>
        <w:lang w:val="en-US" w:eastAsia="en-US" w:bidi="ar-SA"/>
      </w:rPr>
    </w:lvl>
  </w:abstractNum>
  <w:abstractNum w:abstractNumId="43">
    <w:multiLevelType w:val="hybridMultilevel"/>
    <w:lvl w:ilvl="0">
      <w:start w:val="0"/>
      <w:numFmt w:val="bullet"/>
      <w:lvlText w:val=""/>
      <w:lvlJc w:val="left"/>
      <w:pPr>
        <w:ind w:left="2205" w:hanging="360"/>
      </w:pPr>
      <w:rPr>
        <w:rFonts w:hint="default" w:ascii="Symbol" w:hAnsi="Symbol" w:eastAsia="Symbol" w:cs="Symbol"/>
        <w:b w:val="0"/>
        <w:bCs w:val="0"/>
        <w:i w:val="0"/>
        <w:iCs w:val="0"/>
        <w:w w:val="100"/>
        <w:sz w:val="22"/>
        <w:szCs w:val="22"/>
        <w:lang w:val="en-US" w:eastAsia="en-US" w:bidi="ar-SA"/>
      </w:rPr>
    </w:lvl>
    <w:lvl w:ilvl="1">
      <w:start w:val="0"/>
      <w:numFmt w:val="bullet"/>
      <w:lvlText w:val="•"/>
      <w:lvlJc w:val="left"/>
      <w:pPr>
        <w:ind w:left="3170" w:hanging="360"/>
      </w:pPr>
      <w:rPr>
        <w:rFonts w:hint="default"/>
        <w:lang w:val="en-US" w:eastAsia="en-US" w:bidi="ar-SA"/>
      </w:rPr>
    </w:lvl>
    <w:lvl w:ilvl="2">
      <w:start w:val="0"/>
      <w:numFmt w:val="bullet"/>
      <w:lvlText w:val="•"/>
      <w:lvlJc w:val="left"/>
      <w:pPr>
        <w:ind w:left="4141" w:hanging="360"/>
      </w:pPr>
      <w:rPr>
        <w:rFonts w:hint="default"/>
        <w:lang w:val="en-US" w:eastAsia="en-US" w:bidi="ar-SA"/>
      </w:rPr>
    </w:lvl>
    <w:lvl w:ilvl="3">
      <w:start w:val="0"/>
      <w:numFmt w:val="bullet"/>
      <w:lvlText w:val="•"/>
      <w:lvlJc w:val="left"/>
      <w:pPr>
        <w:ind w:left="5112" w:hanging="360"/>
      </w:pPr>
      <w:rPr>
        <w:rFonts w:hint="default"/>
        <w:lang w:val="en-US" w:eastAsia="en-US" w:bidi="ar-SA"/>
      </w:rPr>
    </w:lvl>
    <w:lvl w:ilvl="4">
      <w:start w:val="0"/>
      <w:numFmt w:val="bullet"/>
      <w:lvlText w:val="•"/>
      <w:lvlJc w:val="left"/>
      <w:pPr>
        <w:ind w:left="6082" w:hanging="360"/>
      </w:pPr>
      <w:rPr>
        <w:rFonts w:hint="default"/>
        <w:lang w:val="en-US" w:eastAsia="en-US" w:bidi="ar-SA"/>
      </w:rPr>
    </w:lvl>
    <w:lvl w:ilvl="5">
      <w:start w:val="0"/>
      <w:numFmt w:val="bullet"/>
      <w:lvlText w:val="•"/>
      <w:lvlJc w:val="left"/>
      <w:pPr>
        <w:ind w:left="7053" w:hanging="360"/>
      </w:pPr>
      <w:rPr>
        <w:rFonts w:hint="default"/>
        <w:lang w:val="en-US" w:eastAsia="en-US" w:bidi="ar-SA"/>
      </w:rPr>
    </w:lvl>
    <w:lvl w:ilvl="6">
      <w:start w:val="0"/>
      <w:numFmt w:val="bullet"/>
      <w:lvlText w:val="•"/>
      <w:lvlJc w:val="left"/>
      <w:pPr>
        <w:ind w:left="8024" w:hanging="360"/>
      </w:pPr>
      <w:rPr>
        <w:rFonts w:hint="default"/>
        <w:lang w:val="en-US" w:eastAsia="en-US" w:bidi="ar-SA"/>
      </w:rPr>
    </w:lvl>
    <w:lvl w:ilvl="7">
      <w:start w:val="0"/>
      <w:numFmt w:val="bullet"/>
      <w:lvlText w:val="•"/>
      <w:lvlJc w:val="left"/>
      <w:pPr>
        <w:ind w:left="8994" w:hanging="360"/>
      </w:pPr>
      <w:rPr>
        <w:rFonts w:hint="default"/>
        <w:lang w:val="en-US" w:eastAsia="en-US" w:bidi="ar-SA"/>
      </w:rPr>
    </w:lvl>
    <w:lvl w:ilvl="8">
      <w:start w:val="0"/>
      <w:numFmt w:val="bullet"/>
      <w:lvlText w:val="•"/>
      <w:lvlJc w:val="left"/>
      <w:pPr>
        <w:ind w:left="9965" w:hanging="360"/>
      </w:pPr>
      <w:rPr>
        <w:rFonts w:hint="default"/>
        <w:lang w:val="en-US" w:eastAsia="en-US" w:bidi="ar-SA"/>
      </w:rPr>
    </w:lvl>
  </w:abstractNum>
  <w:abstractNum w:abstractNumId="42">
    <w:multiLevelType w:val="hybridMultilevel"/>
    <w:lvl w:ilvl="0">
      <w:start w:val="0"/>
      <w:numFmt w:val="bullet"/>
      <w:lvlText w:val=""/>
      <w:lvlJc w:val="left"/>
      <w:pPr>
        <w:ind w:left="2159" w:hanging="360"/>
      </w:pPr>
      <w:rPr>
        <w:rFonts w:hint="default" w:ascii="Symbol" w:hAnsi="Symbol" w:eastAsia="Symbol" w:cs="Symbol"/>
        <w:b w:val="0"/>
        <w:bCs w:val="0"/>
        <w:i w:val="0"/>
        <w:iCs w:val="0"/>
        <w:w w:val="100"/>
        <w:sz w:val="22"/>
        <w:szCs w:val="22"/>
        <w:lang w:val="en-US" w:eastAsia="en-US" w:bidi="ar-SA"/>
      </w:rPr>
    </w:lvl>
    <w:lvl w:ilvl="1">
      <w:start w:val="0"/>
      <w:numFmt w:val="bullet"/>
      <w:lvlText w:val="•"/>
      <w:lvlJc w:val="left"/>
      <w:pPr>
        <w:ind w:left="3134" w:hanging="360"/>
      </w:pPr>
      <w:rPr>
        <w:rFonts w:hint="default"/>
        <w:lang w:val="en-US" w:eastAsia="en-US" w:bidi="ar-SA"/>
      </w:rPr>
    </w:lvl>
    <w:lvl w:ilvl="2">
      <w:start w:val="0"/>
      <w:numFmt w:val="bullet"/>
      <w:lvlText w:val="•"/>
      <w:lvlJc w:val="left"/>
      <w:pPr>
        <w:ind w:left="4109" w:hanging="360"/>
      </w:pPr>
      <w:rPr>
        <w:rFonts w:hint="default"/>
        <w:lang w:val="en-US" w:eastAsia="en-US" w:bidi="ar-SA"/>
      </w:rPr>
    </w:lvl>
    <w:lvl w:ilvl="3">
      <w:start w:val="0"/>
      <w:numFmt w:val="bullet"/>
      <w:lvlText w:val="•"/>
      <w:lvlJc w:val="left"/>
      <w:pPr>
        <w:ind w:left="5084" w:hanging="360"/>
      </w:pPr>
      <w:rPr>
        <w:rFonts w:hint="default"/>
        <w:lang w:val="en-US" w:eastAsia="en-US" w:bidi="ar-SA"/>
      </w:rPr>
    </w:lvl>
    <w:lvl w:ilvl="4">
      <w:start w:val="0"/>
      <w:numFmt w:val="bullet"/>
      <w:lvlText w:val="•"/>
      <w:lvlJc w:val="left"/>
      <w:pPr>
        <w:ind w:left="6058" w:hanging="360"/>
      </w:pPr>
      <w:rPr>
        <w:rFonts w:hint="default"/>
        <w:lang w:val="en-US" w:eastAsia="en-US" w:bidi="ar-SA"/>
      </w:rPr>
    </w:lvl>
    <w:lvl w:ilvl="5">
      <w:start w:val="0"/>
      <w:numFmt w:val="bullet"/>
      <w:lvlText w:val="•"/>
      <w:lvlJc w:val="left"/>
      <w:pPr>
        <w:ind w:left="7033" w:hanging="360"/>
      </w:pPr>
      <w:rPr>
        <w:rFonts w:hint="default"/>
        <w:lang w:val="en-US" w:eastAsia="en-US" w:bidi="ar-SA"/>
      </w:rPr>
    </w:lvl>
    <w:lvl w:ilvl="6">
      <w:start w:val="0"/>
      <w:numFmt w:val="bullet"/>
      <w:lvlText w:val="•"/>
      <w:lvlJc w:val="left"/>
      <w:pPr>
        <w:ind w:left="8008" w:hanging="360"/>
      </w:pPr>
      <w:rPr>
        <w:rFonts w:hint="default"/>
        <w:lang w:val="en-US" w:eastAsia="en-US" w:bidi="ar-SA"/>
      </w:rPr>
    </w:lvl>
    <w:lvl w:ilvl="7">
      <w:start w:val="0"/>
      <w:numFmt w:val="bullet"/>
      <w:lvlText w:val="•"/>
      <w:lvlJc w:val="left"/>
      <w:pPr>
        <w:ind w:left="8982" w:hanging="360"/>
      </w:pPr>
      <w:rPr>
        <w:rFonts w:hint="default"/>
        <w:lang w:val="en-US" w:eastAsia="en-US" w:bidi="ar-SA"/>
      </w:rPr>
    </w:lvl>
    <w:lvl w:ilvl="8">
      <w:start w:val="0"/>
      <w:numFmt w:val="bullet"/>
      <w:lvlText w:val="•"/>
      <w:lvlJc w:val="left"/>
      <w:pPr>
        <w:ind w:left="9957" w:hanging="360"/>
      </w:pPr>
      <w:rPr>
        <w:rFonts w:hint="default"/>
        <w:lang w:val="en-US" w:eastAsia="en-US" w:bidi="ar-SA"/>
      </w:rPr>
    </w:lvl>
  </w:abstractNum>
  <w:abstractNum w:abstractNumId="41">
    <w:multiLevelType w:val="hybridMultilevel"/>
    <w:lvl w:ilvl="0">
      <w:start w:val="1"/>
      <w:numFmt w:val="decimal"/>
      <w:lvlText w:val="%1)"/>
      <w:lvlJc w:val="left"/>
      <w:pPr>
        <w:ind w:left="468" w:hanging="361"/>
        <w:jc w:val="left"/>
      </w:pPr>
      <w:rPr>
        <w:rFonts w:hint="default" w:ascii="Verdana" w:hAnsi="Verdana" w:eastAsia="Verdana" w:cs="Verdana"/>
        <w:b w:val="0"/>
        <w:bCs w:val="0"/>
        <w:i w:val="0"/>
        <w:iCs w:val="0"/>
        <w:w w:val="100"/>
        <w:sz w:val="18"/>
        <w:szCs w:val="18"/>
        <w:lang w:val="en-US" w:eastAsia="en-US" w:bidi="ar-SA"/>
      </w:rPr>
    </w:lvl>
    <w:lvl w:ilvl="1">
      <w:start w:val="0"/>
      <w:numFmt w:val="bullet"/>
      <w:lvlText w:val="•"/>
      <w:lvlJc w:val="left"/>
      <w:pPr>
        <w:ind w:left="809" w:hanging="361"/>
      </w:pPr>
      <w:rPr>
        <w:rFonts w:hint="default"/>
        <w:lang w:val="en-US" w:eastAsia="en-US" w:bidi="ar-SA"/>
      </w:rPr>
    </w:lvl>
    <w:lvl w:ilvl="2">
      <w:start w:val="0"/>
      <w:numFmt w:val="bullet"/>
      <w:lvlText w:val="•"/>
      <w:lvlJc w:val="left"/>
      <w:pPr>
        <w:ind w:left="1159" w:hanging="361"/>
      </w:pPr>
      <w:rPr>
        <w:rFonts w:hint="default"/>
        <w:lang w:val="en-US" w:eastAsia="en-US" w:bidi="ar-SA"/>
      </w:rPr>
    </w:lvl>
    <w:lvl w:ilvl="3">
      <w:start w:val="0"/>
      <w:numFmt w:val="bullet"/>
      <w:lvlText w:val="•"/>
      <w:lvlJc w:val="left"/>
      <w:pPr>
        <w:ind w:left="1509" w:hanging="361"/>
      </w:pPr>
      <w:rPr>
        <w:rFonts w:hint="default"/>
        <w:lang w:val="en-US" w:eastAsia="en-US" w:bidi="ar-SA"/>
      </w:rPr>
    </w:lvl>
    <w:lvl w:ilvl="4">
      <w:start w:val="0"/>
      <w:numFmt w:val="bullet"/>
      <w:lvlText w:val="•"/>
      <w:lvlJc w:val="left"/>
      <w:pPr>
        <w:ind w:left="1859" w:hanging="361"/>
      </w:pPr>
      <w:rPr>
        <w:rFonts w:hint="default"/>
        <w:lang w:val="en-US" w:eastAsia="en-US" w:bidi="ar-SA"/>
      </w:rPr>
    </w:lvl>
    <w:lvl w:ilvl="5">
      <w:start w:val="0"/>
      <w:numFmt w:val="bullet"/>
      <w:lvlText w:val="•"/>
      <w:lvlJc w:val="left"/>
      <w:pPr>
        <w:ind w:left="2209" w:hanging="361"/>
      </w:pPr>
      <w:rPr>
        <w:rFonts w:hint="default"/>
        <w:lang w:val="en-US" w:eastAsia="en-US" w:bidi="ar-SA"/>
      </w:rPr>
    </w:lvl>
    <w:lvl w:ilvl="6">
      <w:start w:val="0"/>
      <w:numFmt w:val="bullet"/>
      <w:lvlText w:val="•"/>
      <w:lvlJc w:val="left"/>
      <w:pPr>
        <w:ind w:left="2558" w:hanging="361"/>
      </w:pPr>
      <w:rPr>
        <w:rFonts w:hint="default"/>
        <w:lang w:val="en-US" w:eastAsia="en-US" w:bidi="ar-SA"/>
      </w:rPr>
    </w:lvl>
    <w:lvl w:ilvl="7">
      <w:start w:val="0"/>
      <w:numFmt w:val="bullet"/>
      <w:lvlText w:val="•"/>
      <w:lvlJc w:val="left"/>
      <w:pPr>
        <w:ind w:left="2908" w:hanging="361"/>
      </w:pPr>
      <w:rPr>
        <w:rFonts w:hint="default"/>
        <w:lang w:val="en-US" w:eastAsia="en-US" w:bidi="ar-SA"/>
      </w:rPr>
    </w:lvl>
    <w:lvl w:ilvl="8">
      <w:start w:val="0"/>
      <w:numFmt w:val="bullet"/>
      <w:lvlText w:val="•"/>
      <w:lvlJc w:val="left"/>
      <w:pPr>
        <w:ind w:left="3258" w:hanging="361"/>
      </w:pPr>
      <w:rPr>
        <w:rFonts w:hint="default"/>
        <w:lang w:val="en-US" w:eastAsia="en-US" w:bidi="ar-SA"/>
      </w:rPr>
    </w:lvl>
  </w:abstractNum>
  <w:abstractNum w:abstractNumId="40">
    <w:multiLevelType w:val="hybridMultilevel"/>
    <w:lvl w:ilvl="0">
      <w:start w:val="0"/>
      <w:numFmt w:val="bullet"/>
      <w:lvlText w:val="-"/>
      <w:lvlJc w:val="left"/>
      <w:pPr>
        <w:ind w:left="253" w:hanging="146"/>
      </w:pPr>
      <w:rPr>
        <w:rFonts w:hint="default" w:ascii="Verdana" w:hAnsi="Verdana" w:eastAsia="Verdana" w:cs="Verdana"/>
        <w:b w:val="0"/>
        <w:bCs w:val="0"/>
        <w:i w:val="0"/>
        <w:iCs w:val="0"/>
        <w:w w:val="100"/>
        <w:sz w:val="18"/>
        <w:szCs w:val="18"/>
        <w:lang w:val="en-US" w:eastAsia="en-US" w:bidi="ar-SA"/>
      </w:rPr>
    </w:lvl>
    <w:lvl w:ilvl="1">
      <w:start w:val="0"/>
      <w:numFmt w:val="bullet"/>
      <w:lvlText w:val="•"/>
      <w:lvlJc w:val="left"/>
      <w:pPr>
        <w:ind w:left="676" w:hanging="146"/>
      </w:pPr>
      <w:rPr>
        <w:rFonts w:hint="default"/>
        <w:lang w:val="en-US" w:eastAsia="en-US" w:bidi="ar-SA"/>
      </w:rPr>
    </w:lvl>
    <w:lvl w:ilvl="2">
      <w:start w:val="0"/>
      <w:numFmt w:val="bullet"/>
      <w:lvlText w:val="•"/>
      <w:lvlJc w:val="left"/>
      <w:pPr>
        <w:ind w:left="1093" w:hanging="146"/>
      </w:pPr>
      <w:rPr>
        <w:rFonts w:hint="default"/>
        <w:lang w:val="en-US" w:eastAsia="en-US" w:bidi="ar-SA"/>
      </w:rPr>
    </w:lvl>
    <w:lvl w:ilvl="3">
      <w:start w:val="0"/>
      <w:numFmt w:val="bullet"/>
      <w:lvlText w:val="•"/>
      <w:lvlJc w:val="left"/>
      <w:pPr>
        <w:ind w:left="1510" w:hanging="146"/>
      </w:pPr>
      <w:rPr>
        <w:rFonts w:hint="default"/>
        <w:lang w:val="en-US" w:eastAsia="en-US" w:bidi="ar-SA"/>
      </w:rPr>
    </w:lvl>
    <w:lvl w:ilvl="4">
      <w:start w:val="0"/>
      <w:numFmt w:val="bullet"/>
      <w:lvlText w:val="•"/>
      <w:lvlJc w:val="left"/>
      <w:pPr>
        <w:ind w:left="1927" w:hanging="146"/>
      </w:pPr>
      <w:rPr>
        <w:rFonts w:hint="default"/>
        <w:lang w:val="en-US" w:eastAsia="en-US" w:bidi="ar-SA"/>
      </w:rPr>
    </w:lvl>
    <w:lvl w:ilvl="5">
      <w:start w:val="0"/>
      <w:numFmt w:val="bullet"/>
      <w:lvlText w:val="•"/>
      <w:lvlJc w:val="left"/>
      <w:pPr>
        <w:ind w:left="2344" w:hanging="146"/>
      </w:pPr>
      <w:rPr>
        <w:rFonts w:hint="default"/>
        <w:lang w:val="en-US" w:eastAsia="en-US" w:bidi="ar-SA"/>
      </w:rPr>
    </w:lvl>
    <w:lvl w:ilvl="6">
      <w:start w:val="0"/>
      <w:numFmt w:val="bullet"/>
      <w:lvlText w:val="•"/>
      <w:lvlJc w:val="left"/>
      <w:pPr>
        <w:ind w:left="2761" w:hanging="146"/>
      </w:pPr>
      <w:rPr>
        <w:rFonts w:hint="default"/>
        <w:lang w:val="en-US" w:eastAsia="en-US" w:bidi="ar-SA"/>
      </w:rPr>
    </w:lvl>
    <w:lvl w:ilvl="7">
      <w:start w:val="0"/>
      <w:numFmt w:val="bullet"/>
      <w:lvlText w:val="•"/>
      <w:lvlJc w:val="left"/>
      <w:pPr>
        <w:ind w:left="3178" w:hanging="146"/>
      </w:pPr>
      <w:rPr>
        <w:rFonts w:hint="default"/>
        <w:lang w:val="en-US" w:eastAsia="en-US" w:bidi="ar-SA"/>
      </w:rPr>
    </w:lvl>
    <w:lvl w:ilvl="8">
      <w:start w:val="0"/>
      <w:numFmt w:val="bullet"/>
      <w:lvlText w:val="•"/>
      <w:lvlJc w:val="left"/>
      <w:pPr>
        <w:ind w:left="3595" w:hanging="146"/>
      </w:pPr>
      <w:rPr>
        <w:rFonts w:hint="default"/>
        <w:lang w:val="en-US" w:eastAsia="en-US" w:bidi="ar-SA"/>
      </w:rPr>
    </w:lvl>
  </w:abstractNum>
  <w:abstractNum w:abstractNumId="38">
    <w:multiLevelType w:val="hybridMultilevel"/>
    <w:lvl w:ilvl="0">
      <w:start w:val="1"/>
      <w:numFmt w:val="decimal"/>
      <w:lvlText w:val="%1."/>
      <w:lvlJc w:val="left"/>
      <w:pPr>
        <w:ind w:left="1287" w:hanging="568"/>
        <w:jc w:val="left"/>
      </w:pPr>
      <w:rPr>
        <w:rFonts w:hint="default" w:ascii="Verdana" w:hAnsi="Verdana" w:eastAsia="Verdana" w:cs="Verdana"/>
        <w:b/>
        <w:bCs/>
        <w:i w:val="0"/>
        <w:iCs w:val="0"/>
        <w:w w:val="100"/>
        <w:sz w:val="22"/>
        <w:szCs w:val="22"/>
        <w:lang w:val="en-US" w:eastAsia="en-US" w:bidi="ar-SA"/>
      </w:rPr>
    </w:lvl>
    <w:lvl w:ilvl="1">
      <w:start w:val="0"/>
      <w:numFmt w:val="bullet"/>
      <w:lvlText w:val=""/>
      <w:lvlJc w:val="left"/>
      <w:pPr>
        <w:ind w:left="1440" w:hanging="360"/>
      </w:pPr>
      <w:rPr>
        <w:rFonts w:hint="default" w:ascii="Symbol" w:hAnsi="Symbol" w:eastAsia="Symbol" w:cs="Symbol"/>
        <w:b w:val="0"/>
        <w:bCs w:val="0"/>
        <w:i w:val="0"/>
        <w:iCs w:val="0"/>
        <w:w w:val="100"/>
        <w:sz w:val="22"/>
        <w:szCs w:val="22"/>
        <w:lang w:val="en-US" w:eastAsia="en-US" w:bidi="ar-SA"/>
      </w:rPr>
    </w:lvl>
    <w:lvl w:ilvl="2">
      <w:start w:val="0"/>
      <w:numFmt w:val="bullet"/>
      <w:lvlText w:val="•"/>
      <w:lvlJc w:val="left"/>
      <w:pPr>
        <w:ind w:left="2602" w:hanging="360"/>
      </w:pPr>
      <w:rPr>
        <w:rFonts w:hint="default"/>
        <w:lang w:val="en-US" w:eastAsia="en-US" w:bidi="ar-SA"/>
      </w:rPr>
    </w:lvl>
    <w:lvl w:ilvl="3">
      <w:start w:val="0"/>
      <w:numFmt w:val="bullet"/>
      <w:lvlText w:val="•"/>
      <w:lvlJc w:val="left"/>
      <w:pPr>
        <w:ind w:left="3765" w:hanging="360"/>
      </w:pPr>
      <w:rPr>
        <w:rFonts w:hint="default"/>
        <w:lang w:val="en-US" w:eastAsia="en-US" w:bidi="ar-SA"/>
      </w:rPr>
    </w:lvl>
    <w:lvl w:ilvl="4">
      <w:start w:val="0"/>
      <w:numFmt w:val="bullet"/>
      <w:lvlText w:val="•"/>
      <w:lvlJc w:val="left"/>
      <w:pPr>
        <w:ind w:left="4928" w:hanging="360"/>
      </w:pPr>
      <w:rPr>
        <w:rFonts w:hint="default"/>
        <w:lang w:val="en-US" w:eastAsia="en-US" w:bidi="ar-SA"/>
      </w:rPr>
    </w:lvl>
    <w:lvl w:ilvl="5">
      <w:start w:val="0"/>
      <w:numFmt w:val="bullet"/>
      <w:lvlText w:val="•"/>
      <w:lvlJc w:val="left"/>
      <w:pPr>
        <w:ind w:left="6091" w:hanging="360"/>
      </w:pPr>
      <w:rPr>
        <w:rFonts w:hint="default"/>
        <w:lang w:val="en-US" w:eastAsia="en-US" w:bidi="ar-SA"/>
      </w:rPr>
    </w:lvl>
    <w:lvl w:ilvl="6">
      <w:start w:val="0"/>
      <w:numFmt w:val="bullet"/>
      <w:lvlText w:val="•"/>
      <w:lvlJc w:val="left"/>
      <w:pPr>
        <w:ind w:left="7254" w:hanging="360"/>
      </w:pPr>
      <w:rPr>
        <w:rFonts w:hint="default"/>
        <w:lang w:val="en-US" w:eastAsia="en-US" w:bidi="ar-SA"/>
      </w:rPr>
    </w:lvl>
    <w:lvl w:ilvl="7">
      <w:start w:val="0"/>
      <w:numFmt w:val="bullet"/>
      <w:lvlText w:val="•"/>
      <w:lvlJc w:val="left"/>
      <w:pPr>
        <w:ind w:left="8417" w:hanging="360"/>
      </w:pPr>
      <w:rPr>
        <w:rFonts w:hint="default"/>
        <w:lang w:val="en-US" w:eastAsia="en-US" w:bidi="ar-SA"/>
      </w:rPr>
    </w:lvl>
    <w:lvl w:ilvl="8">
      <w:start w:val="0"/>
      <w:numFmt w:val="bullet"/>
      <w:lvlText w:val="•"/>
      <w:lvlJc w:val="left"/>
      <w:pPr>
        <w:ind w:left="9580" w:hanging="360"/>
      </w:pPr>
      <w:rPr>
        <w:rFonts w:hint="default"/>
        <w:lang w:val="en-US" w:eastAsia="en-US" w:bidi="ar-SA"/>
      </w:rPr>
    </w:lvl>
  </w:abstractNum>
  <w:abstractNum w:abstractNumId="37">
    <w:multiLevelType w:val="hybridMultilevel"/>
    <w:lvl w:ilvl="0">
      <w:start w:val="0"/>
      <w:numFmt w:val="bullet"/>
      <w:lvlText w:val=""/>
      <w:lvlJc w:val="left"/>
      <w:pPr>
        <w:ind w:left="1996" w:hanging="360"/>
      </w:pPr>
      <w:rPr>
        <w:rFonts w:hint="default" w:ascii="Symbol" w:hAnsi="Symbol" w:eastAsia="Symbol" w:cs="Symbol"/>
        <w:b w:val="0"/>
        <w:bCs w:val="0"/>
        <w:i w:val="0"/>
        <w:iCs w:val="0"/>
        <w:w w:val="100"/>
        <w:sz w:val="20"/>
        <w:szCs w:val="20"/>
        <w:lang w:val="en-US" w:eastAsia="en-US" w:bidi="ar-SA"/>
      </w:rPr>
    </w:lvl>
    <w:lvl w:ilvl="1">
      <w:start w:val="0"/>
      <w:numFmt w:val="bullet"/>
      <w:lvlText w:val="•"/>
      <w:lvlJc w:val="left"/>
      <w:pPr>
        <w:ind w:left="2990" w:hanging="360"/>
      </w:pPr>
      <w:rPr>
        <w:rFonts w:hint="default"/>
        <w:lang w:val="en-US" w:eastAsia="en-US" w:bidi="ar-SA"/>
      </w:rPr>
    </w:lvl>
    <w:lvl w:ilvl="2">
      <w:start w:val="0"/>
      <w:numFmt w:val="bullet"/>
      <w:lvlText w:val="•"/>
      <w:lvlJc w:val="left"/>
      <w:pPr>
        <w:ind w:left="3981" w:hanging="360"/>
      </w:pPr>
      <w:rPr>
        <w:rFonts w:hint="default"/>
        <w:lang w:val="en-US" w:eastAsia="en-US" w:bidi="ar-SA"/>
      </w:rPr>
    </w:lvl>
    <w:lvl w:ilvl="3">
      <w:start w:val="0"/>
      <w:numFmt w:val="bullet"/>
      <w:lvlText w:val="•"/>
      <w:lvlJc w:val="left"/>
      <w:pPr>
        <w:ind w:left="4971" w:hanging="360"/>
      </w:pPr>
      <w:rPr>
        <w:rFonts w:hint="default"/>
        <w:lang w:val="en-US" w:eastAsia="en-US" w:bidi="ar-SA"/>
      </w:rPr>
    </w:lvl>
    <w:lvl w:ilvl="4">
      <w:start w:val="0"/>
      <w:numFmt w:val="bullet"/>
      <w:lvlText w:val="•"/>
      <w:lvlJc w:val="left"/>
      <w:pPr>
        <w:ind w:left="5962" w:hanging="360"/>
      </w:pPr>
      <w:rPr>
        <w:rFonts w:hint="default"/>
        <w:lang w:val="en-US" w:eastAsia="en-US" w:bidi="ar-SA"/>
      </w:rPr>
    </w:lvl>
    <w:lvl w:ilvl="5">
      <w:start w:val="0"/>
      <w:numFmt w:val="bullet"/>
      <w:lvlText w:val="•"/>
      <w:lvlJc w:val="left"/>
      <w:pPr>
        <w:ind w:left="6953" w:hanging="360"/>
      </w:pPr>
      <w:rPr>
        <w:rFonts w:hint="default"/>
        <w:lang w:val="en-US" w:eastAsia="en-US" w:bidi="ar-SA"/>
      </w:rPr>
    </w:lvl>
    <w:lvl w:ilvl="6">
      <w:start w:val="0"/>
      <w:numFmt w:val="bullet"/>
      <w:lvlText w:val="•"/>
      <w:lvlJc w:val="left"/>
      <w:pPr>
        <w:ind w:left="7943" w:hanging="360"/>
      </w:pPr>
      <w:rPr>
        <w:rFonts w:hint="default"/>
        <w:lang w:val="en-US" w:eastAsia="en-US" w:bidi="ar-SA"/>
      </w:rPr>
    </w:lvl>
    <w:lvl w:ilvl="7">
      <w:start w:val="0"/>
      <w:numFmt w:val="bullet"/>
      <w:lvlText w:val="•"/>
      <w:lvlJc w:val="left"/>
      <w:pPr>
        <w:ind w:left="8934" w:hanging="360"/>
      </w:pPr>
      <w:rPr>
        <w:rFonts w:hint="default"/>
        <w:lang w:val="en-US" w:eastAsia="en-US" w:bidi="ar-SA"/>
      </w:rPr>
    </w:lvl>
    <w:lvl w:ilvl="8">
      <w:start w:val="0"/>
      <w:numFmt w:val="bullet"/>
      <w:lvlText w:val="•"/>
      <w:lvlJc w:val="left"/>
      <w:pPr>
        <w:ind w:left="9924" w:hanging="360"/>
      </w:pPr>
      <w:rPr>
        <w:rFonts w:hint="default"/>
        <w:lang w:val="en-US" w:eastAsia="en-US" w:bidi="ar-SA"/>
      </w:rPr>
    </w:lvl>
  </w:abstractNum>
  <w:abstractNum w:abstractNumId="36">
    <w:multiLevelType w:val="hybridMultilevel"/>
    <w:lvl w:ilvl="0">
      <w:start w:val="1"/>
      <w:numFmt w:val="decimal"/>
      <w:lvlText w:val="%1."/>
      <w:lvlJc w:val="left"/>
      <w:pPr>
        <w:ind w:left="1636" w:hanging="360"/>
        <w:jc w:val="left"/>
      </w:pPr>
      <w:rPr>
        <w:rFonts w:hint="default" w:ascii="Verdana" w:hAnsi="Verdana" w:eastAsia="Verdana" w:cs="Verdana"/>
        <w:b/>
        <w:bCs/>
        <w:i w:val="0"/>
        <w:iCs w:val="0"/>
        <w:w w:val="100"/>
        <w:sz w:val="22"/>
        <w:szCs w:val="22"/>
        <w:lang w:val="en-US" w:eastAsia="en-US" w:bidi="ar-SA"/>
      </w:rPr>
    </w:lvl>
    <w:lvl w:ilvl="1">
      <w:start w:val="0"/>
      <w:numFmt w:val="bullet"/>
      <w:lvlText w:val=""/>
      <w:lvlJc w:val="left"/>
      <w:pPr>
        <w:ind w:left="1995" w:hanging="360"/>
      </w:pPr>
      <w:rPr>
        <w:rFonts w:hint="default" w:ascii="Symbol" w:hAnsi="Symbol" w:eastAsia="Symbol" w:cs="Symbol"/>
        <w:b w:val="0"/>
        <w:bCs w:val="0"/>
        <w:i w:val="0"/>
        <w:iCs w:val="0"/>
        <w:w w:val="100"/>
        <w:sz w:val="22"/>
        <w:szCs w:val="22"/>
        <w:lang w:val="en-US" w:eastAsia="en-US" w:bidi="ar-SA"/>
      </w:rPr>
    </w:lvl>
    <w:lvl w:ilvl="2">
      <w:start w:val="0"/>
      <w:numFmt w:val="bullet"/>
      <w:lvlText w:val="•"/>
      <w:lvlJc w:val="left"/>
      <w:pPr>
        <w:ind w:left="3100" w:hanging="360"/>
      </w:pPr>
      <w:rPr>
        <w:rFonts w:hint="default"/>
        <w:lang w:val="en-US" w:eastAsia="en-US" w:bidi="ar-SA"/>
      </w:rPr>
    </w:lvl>
    <w:lvl w:ilvl="3">
      <w:start w:val="0"/>
      <w:numFmt w:val="bullet"/>
      <w:lvlText w:val="•"/>
      <w:lvlJc w:val="left"/>
      <w:pPr>
        <w:ind w:left="4201" w:hanging="360"/>
      </w:pPr>
      <w:rPr>
        <w:rFonts w:hint="default"/>
        <w:lang w:val="en-US" w:eastAsia="en-US" w:bidi="ar-SA"/>
      </w:rPr>
    </w:lvl>
    <w:lvl w:ilvl="4">
      <w:start w:val="0"/>
      <w:numFmt w:val="bullet"/>
      <w:lvlText w:val="•"/>
      <w:lvlJc w:val="left"/>
      <w:pPr>
        <w:ind w:left="5302" w:hanging="360"/>
      </w:pPr>
      <w:rPr>
        <w:rFonts w:hint="default"/>
        <w:lang w:val="en-US" w:eastAsia="en-US" w:bidi="ar-SA"/>
      </w:rPr>
    </w:lvl>
    <w:lvl w:ilvl="5">
      <w:start w:val="0"/>
      <w:numFmt w:val="bullet"/>
      <w:lvlText w:val="•"/>
      <w:lvlJc w:val="left"/>
      <w:pPr>
        <w:ind w:left="6402" w:hanging="360"/>
      </w:pPr>
      <w:rPr>
        <w:rFonts w:hint="default"/>
        <w:lang w:val="en-US" w:eastAsia="en-US" w:bidi="ar-SA"/>
      </w:rPr>
    </w:lvl>
    <w:lvl w:ilvl="6">
      <w:start w:val="0"/>
      <w:numFmt w:val="bullet"/>
      <w:lvlText w:val="•"/>
      <w:lvlJc w:val="left"/>
      <w:pPr>
        <w:ind w:left="7503" w:hanging="360"/>
      </w:pPr>
      <w:rPr>
        <w:rFonts w:hint="default"/>
        <w:lang w:val="en-US" w:eastAsia="en-US" w:bidi="ar-SA"/>
      </w:rPr>
    </w:lvl>
    <w:lvl w:ilvl="7">
      <w:start w:val="0"/>
      <w:numFmt w:val="bullet"/>
      <w:lvlText w:val="•"/>
      <w:lvlJc w:val="left"/>
      <w:pPr>
        <w:ind w:left="8604" w:hanging="360"/>
      </w:pPr>
      <w:rPr>
        <w:rFonts w:hint="default"/>
        <w:lang w:val="en-US" w:eastAsia="en-US" w:bidi="ar-SA"/>
      </w:rPr>
    </w:lvl>
    <w:lvl w:ilvl="8">
      <w:start w:val="0"/>
      <w:numFmt w:val="bullet"/>
      <w:lvlText w:val="•"/>
      <w:lvlJc w:val="left"/>
      <w:pPr>
        <w:ind w:left="9704" w:hanging="360"/>
      </w:pPr>
      <w:rPr>
        <w:rFonts w:hint="default"/>
        <w:lang w:val="en-US" w:eastAsia="en-US" w:bidi="ar-SA"/>
      </w:rPr>
    </w:lvl>
  </w:abstractNum>
  <w:abstractNum w:abstractNumId="35">
    <w:multiLevelType w:val="hybridMultilevel"/>
    <w:lvl w:ilvl="0">
      <w:start w:val="3"/>
      <w:numFmt w:val="decimal"/>
      <w:lvlText w:val="%1."/>
      <w:lvlJc w:val="left"/>
      <w:pPr>
        <w:ind w:left="1778" w:hanging="361"/>
        <w:jc w:val="left"/>
      </w:pPr>
      <w:rPr>
        <w:rFonts w:hint="default" w:ascii="Verdana" w:hAnsi="Verdana" w:eastAsia="Verdana" w:cs="Verdana"/>
        <w:b/>
        <w:bCs/>
        <w:i w:val="0"/>
        <w:iCs w:val="0"/>
        <w:w w:val="100"/>
        <w:sz w:val="24"/>
        <w:szCs w:val="24"/>
        <w:lang w:val="en-US" w:eastAsia="en-US" w:bidi="ar-SA"/>
      </w:rPr>
    </w:lvl>
    <w:lvl w:ilvl="1">
      <w:start w:val="0"/>
      <w:numFmt w:val="bullet"/>
      <w:lvlText w:val=""/>
      <w:lvlJc w:val="left"/>
      <w:pPr>
        <w:ind w:left="2138" w:hanging="360"/>
      </w:pPr>
      <w:rPr>
        <w:rFonts w:hint="default" w:ascii="Symbol" w:hAnsi="Symbol" w:eastAsia="Symbol" w:cs="Symbol"/>
        <w:b w:val="0"/>
        <w:bCs w:val="0"/>
        <w:i w:val="0"/>
        <w:iCs w:val="0"/>
        <w:w w:val="100"/>
        <w:sz w:val="24"/>
        <w:szCs w:val="24"/>
        <w:lang w:val="en-US" w:eastAsia="en-US" w:bidi="ar-SA"/>
      </w:rPr>
    </w:lvl>
    <w:lvl w:ilvl="2">
      <w:start w:val="0"/>
      <w:numFmt w:val="bullet"/>
      <w:lvlText w:val="•"/>
      <w:lvlJc w:val="left"/>
      <w:pPr>
        <w:ind w:left="3225" w:hanging="360"/>
      </w:pPr>
      <w:rPr>
        <w:rFonts w:hint="default"/>
        <w:lang w:val="en-US" w:eastAsia="en-US" w:bidi="ar-SA"/>
      </w:rPr>
    </w:lvl>
    <w:lvl w:ilvl="3">
      <w:start w:val="0"/>
      <w:numFmt w:val="bullet"/>
      <w:lvlText w:val="•"/>
      <w:lvlJc w:val="left"/>
      <w:pPr>
        <w:ind w:left="4310" w:hanging="360"/>
      </w:pPr>
      <w:rPr>
        <w:rFonts w:hint="default"/>
        <w:lang w:val="en-US" w:eastAsia="en-US" w:bidi="ar-SA"/>
      </w:rPr>
    </w:lvl>
    <w:lvl w:ilvl="4">
      <w:start w:val="0"/>
      <w:numFmt w:val="bullet"/>
      <w:lvlText w:val="•"/>
      <w:lvlJc w:val="left"/>
      <w:pPr>
        <w:ind w:left="5395" w:hanging="360"/>
      </w:pPr>
      <w:rPr>
        <w:rFonts w:hint="default"/>
        <w:lang w:val="en-US" w:eastAsia="en-US" w:bidi="ar-SA"/>
      </w:rPr>
    </w:lvl>
    <w:lvl w:ilvl="5">
      <w:start w:val="0"/>
      <w:numFmt w:val="bullet"/>
      <w:lvlText w:val="•"/>
      <w:lvlJc w:val="left"/>
      <w:pPr>
        <w:ind w:left="6480" w:hanging="360"/>
      </w:pPr>
      <w:rPr>
        <w:rFonts w:hint="default"/>
        <w:lang w:val="en-US" w:eastAsia="en-US" w:bidi="ar-SA"/>
      </w:rPr>
    </w:lvl>
    <w:lvl w:ilvl="6">
      <w:start w:val="0"/>
      <w:numFmt w:val="bullet"/>
      <w:lvlText w:val="•"/>
      <w:lvlJc w:val="left"/>
      <w:pPr>
        <w:ind w:left="7565" w:hanging="360"/>
      </w:pPr>
      <w:rPr>
        <w:rFonts w:hint="default"/>
        <w:lang w:val="en-US" w:eastAsia="en-US" w:bidi="ar-SA"/>
      </w:rPr>
    </w:lvl>
    <w:lvl w:ilvl="7">
      <w:start w:val="0"/>
      <w:numFmt w:val="bullet"/>
      <w:lvlText w:val="•"/>
      <w:lvlJc w:val="left"/>
      <w:pPr>
        <w:ind w:left="8650" w:hanging="360"/>
      </w:pPr>
      <w:rPr>
        <w:rFonts w:hint="default"/>
        <w:lang w:val="en-US" w:eastAsia="en-US" w:bidi="ar-SA"/>
      </w:rPr>
    </w:lvl>
    <w:lvl w:ilvl="8">
      <w:start w:val="0"/>
      <w:numFmt w:val="bullet"/>
      <w:lvlText w:val="•"/>
      <w:lvlJc w:val="left"/>
      <w:pPr>
        <w:ind w:left="9735" w:hanging="360"/>
      </w:pPr>
      <w:rPr>
        <w:rFonts w:hint="default"/>
        <w:lang w:val="en-US" w:eastAsia="en-US" w:bidi="ar-SA"/>
      </w:rPr>
    </w:lvl>
  </w:abstractNum>
  <w:abstractNum w:abstractNumId="33">
    <w:multiLevelType w:val="hybridMultilevel"/>
    <w:lvl w:ilvl="0">
      <w:start w:val="1"/>
      <w:numFmt w:val="decimal"/>
      <w:lvlText w:val="%1."/>
      <w:lvlJc w:val="left"/>
      <w:pPr>
        <w:ind w:left="383" w:hanging="284"/>
        <w:jc w:val="left"/>
      </w:pPr>
      <w:rPr>
        <w:rFonts w:hint="default" w:ascii="Arial" w:hAnsi="Arial" w:eastAsia="Arial" w:cs="Arial"/>
        <w:b/>
        <w:bCs/>
        <w:i w:val="0"/>
        <w:iCs w:val="0"/>
        <w:spacing w:val="-1"/>
        <w:w w:val="100"/>
        <w:sz w:val="24"/>
        <w:szCs w:val="24"/>
        <w:lang w:val="en-US" w:eastAsia="en-US" w:bidi="ar-SA"/>
      </w:rPr>
    </w:lvl>
    <w:lvl w:ilvl="1">
      <w:start w:val="0"/>
      <w:numFmt w:val="bullet"/>
      <w:lvlText w:val="•"/>
      <w:lvlJc w:val="left"/>
      <w:pPr>
        <w:ind w:left="1348" w:hanging="284"/>
      </w:pPr>
      <w:rPr>
        <w:rFonts w:hint="default"/>
        <w:lang w:val="en-US" w:eastAsia="en-US" w:bidi="ar-SA"/>
      </w:rPr>
    </w:lvl>
    <w:lvl w:ilvl="2">
      <w:start w:val="0"/>
      <w:numFmt w:val="bullet"/>
      <w:lvlText w:val="•"/>
      <w:lvlJc w:val="left"/>
      <w:pPr>
        <w:ind w:left="2316" w:hanging="284"/>
      </w:pPr>
      <w:rPr>
        <w:rFonts w:hint="default"/>
        <w:lang w:val="en-US" w:eastAsia="en-US" w:bidi="ar-SA"/>
      </w:rPr>
    </w:lvl>
    <w:lvl w:ilvl="3">
      <w:start w:val="0"/>
      <w:numFmt w:val="bullet"/>
      <w:lvlText w:val="•"/>
      <w:lvlJc w:val="left"/>
      <w:pPr>
        <w:ind w:left="3284" w:hanging="284"/>
      </w:pPr>
      <w:rPr>
        <w:rFonts w:hint="default"/>
        <w:lang w:val="en-US" w:eastAsia="en-US" w:bidi="ar-SA"/>
      </w:rPr>
    </w:lvl>
    <w:lvl w:ilvl="4">
      <w:start w:val="0"/>
      <w:numFmt w:val="bullet"/>
      <w:lvlText w:val="•"/>
      <w:lvlJc w:val="left"/>
      <w:pPr>
        <w:ind w:left="4252" w:hanging="284"/>
      </w:pPr>
      <w:rPr>
        <w:rFonts w:hint="default"/>
        <w:lang w:val="en-US" w:eastAsia="en-US" w:bidi="ar-SA"/>
      </w:rPr>
    </w:lvl>
    <w:lvl w:ilvl="5">
      <w:start w:val="0"/>
      <w:numFmt w:val="bullet"/>
      <w:lvlText w:val="•"/>
      <w:lvlJc w:val="left"/>
      <w:pPr>
        <w:ind w:left="5220" w:hanging="284"/>
      </w:pPr>
      <w:rPr>
        <w:rFonts w:hint="default"/>
        <w:lang w:val="en-US" w:eastAsia="en-US" w:bidi="ar-SA"/>
      </w:rPr>
    </w:lvl>
    <w:lvl w:ilvl="6">
      <w:start w:val="0"/>
      <w:numFmt w:val="bullet"/>
      <w:lvlText w:val="•"/>
      <w:lvlJc w:val="left"/>
      <w:pPr>
        <w:ind w:left="6188" w:hanging="284"/>
      </w:pPr>
      <w:rPr>
        <w:rFonts w:hint="default"/>
        <w:lang w:val="en-US" w:eastAsia="en-US" w:bidi="ar-SA"/>
      </w:rPr>
    </w:lvl>
    <w:lvl w:ilvl="7">
      <w:start w:val="0"/>
      <w:numFmt w:val="bullet"/>
      <w:lvlText w:val="•"/>
      <w:lvlJc w:val="left"/>
      <w:pPr>
        <w:ind w:left="7156" w:hanging="284"/>
      </w:pPr>
      <w:rPr>
        <w:rFonts w:hint="default"/>
        <w:lang w:val="en-US" w:eastAsia="en-US" w:bidi="ar-SA"/>
      </w:rPr>
    </w:lvl>
    <w:lvl w:ilvl="8">
      <w:start w:val="0"/>
      <w:numFmt w:val="bullet"/>
      <w:lvlText w:val="•"/>
      <w:lvlJc w:val="left"/>
      <w:pPr>
        <w:ind w:left="8124" w:hanging="284"/>
      </w:pPr>
      <w:rPr>
        <w:rFonts w:hint="default"/>
        <w:lang w:val="en-US" w:eastAsia="en-US" w:bidi="ar-SA"/>
      </w:rPr>
    </w:lvl>
  </w:abstractNum>
  <w:abstractNum w:abstractNumId="32">
    <w:multiLevelType w:val="hybridMultilevel"/>
    <w:lvl w:ilvl="0">
      <w:start w:val="1"/>
      <w:numFmt w:val="decimal"/>
      <w:lvlText w:val="%1."/>
      <w:lvlJc w:val="left"/>
      <w:pPr>
        <w:ind w:left="1778" w:hanging="361"/>
        <w:jc w:val="left"/>
      </w:pPr>
      <w:rPr>
        <w:rFonts w:hint="default" w:ascii="Verdana" w:hAnsi="Verdana" w:eastAsia="Verdana" w:cs="Verdana"/>
        <w:b/>
        <w:bCs/>
        <w:i w:val="0"/>
        <w:iCs w:val="0"/>
        <w:w w:val="100"/>
        <w:sz w:val="24"/>
        <w:szCs w:val="24"/>
        <w:lang w:val="en-US" w:eastAsia="en-US" w:bidi="ar-SA"/>
      </w:rPr>
    </w:lvl>
    <w:lvl w:ilvl="1">
      <w:start w:val="0"/>
      <w:numFmt w:val="bullet"/>
      <w:lvlText w:val=""/>
      <w:lvlJc w:val="left"/>
      <w:pPr>
        <w:ind w:left="2138" w:hanging="360"/>
      </w:pPr>
      <w:rPr>
        <w:rFonts w:hint="default" w:ascii="Symbol" w:hAnsi="Symbol" w:eastAsia="Symbol" w:cs="Symbol"/>
        <w:b w:val="0"/>
        <w:bCs w:val="0"/>
        <w:i w:val="0"/>
        <w:iCs w:val="0"/>
        <w:w w:val="100"/>
        <w:sz w:val="24"/>
        <w:szCs w:val="24"/>
        <w:lang w:val="en-US" w:eastAsia="en-US" w:bidi="ar-SA"/>
      </w:rPr>
    </w:lvl>
    <w:lvl w:ilvl="2">
      <w:start w:val="0"/>
      <w:numFmt w:val="bullet"/>
      <w:lvlText w:val="•"/>
      <w:lvlJc w:val="left"/>
      <w:pPr>
        <w:ind w:left="3225" w:hanging="360"/>
      </w:pPr>
      <w:rPr>
        <w:rFonts w:hint="default"/>
        <w:lang w:val="en-US" w:eastAsia="en-US" w:bidi="ar-SA"/>
      </w:rPr>
    </w:lvl>
    <w:lvl w:ilvl="3">
      <w:start w:val="0"/>
      <w:numFmt w:val="bullet"/>
      <w:lvlText w:val="•"/>
      <w:lvlJc w:val="left"/>
      <w:pPr>
        <w:ind w:left="4310" w:hanging="360"/>
      </w:pPr>
      <w:rPr>
        <w:rFonts w:hint="default"/>
        <w:lang w:val="en-US" w:eastAsia="en-US" w:bidi="ar-SA"/>
      </w:rPr>
    </w:lvl>
    <w:lvl w:ilvl="4">
      <w:start w:val="0"/>
      <w:numFmt w:val="bullet"/>
      <w:lvlText w:val="•"/>
      <w:lvlJc w:val="left"/>
      <w:pPr>
        <w:ind w:left="5395" w:hanging="360"/>
      </w:pPr>
      <w:rPr>
        <w:rFonts w:hint="default"/>
        <w:lang w:val="en-US" w:eastAsia="en-US" w:bidi="ar-SA"/>
      </w:rPr>
    </w:lvl>
    <w:lvl w:ilvl="5">
      <w:start w:val="0"/>
      <w:numFmt w:val="bullet"/>
      <w:lvlText w:val="•"/>
      <w:lvlJc w:val="left"/>
      <w:pPr>
        <w:ind w:left="6480" w:hanging="360"/>
      </w:pPr>
      <w:rPr>
        <w:rFonts w:hint="default"/>
        <w:lang w:val="en-US" w:eastAsia="en-US" w:bidi="ar-SA"/>
      </w:rPr>
    </w:lvl>
    <w:lvl w:ilvl="6">
      <w:start w:val="0"/>
      <w:numFmt w:val="bullet"/>
      <w:lvlText w:val="•"/>
      <w:lvlJc w:val="left"/>
      <w:pPr>
        <w:ind w:left="7565" w:hanging="360"/>
      </w:pPr>
      <w:rPr>
        <w:rFonts w:hint="default"/>
        <w:lang w:val="en-US" w:eastAsia="en-US" w:bidi="ar-SA"/>
      </w:rPr>
    </w:lvl>
    <w:lvl w:ilvl="7">
      <w:start w:val="0"/>
      <w:numFmt w:val="bullet"/>
      <w:lvlText w:val="•"/>
      <w:lvlJc w:val="left"/>
      <w:pPr>
        <w:ind w:left="8650" w:hanging="360"/>
      </w:pPr>
      <w:rPr>
        <w:rFonts w:hint="default"/>
        <w:lang w:val="en-US" w:eastAsia="en-US" w:bidi="ar-SA"/>
      </w:rPr>
    </w:lvl>
    <w:lvl w:ilvl="8">
      <w:start w:val="0"/>
      <w:numFmt w:val="bullet"/>
      <w:lvlText w:val="•"/>
      <w:lvlJc w:val="left"/>
      <w:pPr>
        <w:ind w:left="9735" w:hanging="360"/>
      </w:pPr>
      <w:rPr>
        <w:rFonts w:hint="default"/>
        <w:lang w:val="en-US" w:eastAsia="en-US" w:bidi="ar-SA"/>
      </w:rPr>
    </w:lvl>
  </w:abstractNum>
  <w:abstractNum w:abstractNumId="31">
    <w:multiLevelType w:val="hybridMultilevel"/>
    <w:lvl w:ilvl="0">
      <w:start w:val="1"/>
      <w:numFmt w:val="decimal"/>
      <w:lvlText w:val="%1."/>
      <w:lvlJc w:val="left"/>
      <w:pPr>
        <w:ind w:left="2006" w:hanging="567"/>
        <w:jc w:val="left"/>
      </w:pPr>
      <w:rPr>
        <w:rFonts w:hint="default" w:ascii="Verdana" w:hAnsi="Verdana" w:eastAsia="Verdana" w:cs="Verdana"/>
        <w:b/>
        <w:bCs/>
        <w:i w:val="0"/>
        <w:iCs w:val="0"/>
        <w:w w:val="100"/>
        <w:sz w:val="24"/>
        <w:szCs w:val="24"/>
        <w:lang w:val="en-US" w:eastAsia="en-US" w:bidi="ar-SA"/>
      </w:rPr>
    </w:lvl>
    <w:lvl w:ilvl="1">
      <w:start w:val="0"/>
      <w:numFmt w:val="bullet"/>
      <w:lvlText w:val="•"/>
      <w:lvlJc w:val="left"/>
      <w:pPr>
        <w:ind w:left="2990" w:hanging="567"/>
      </w:pPr>
      <w:rPr>
        <w:rFonts w:hint="default"/>
        <w:lang w:val="en-US" w:eastAsia="en-US" w:bidi="ar-SA"/>
      </w:rPr>
    </w:lvl>
    <w:lvl w:ilvl="2">
      <w:start w:val="0"/>
      <w:numFmt w:val="bullet"/>
      <w:lvlText w:val="•"/>
      <w:lvlJc w:val="left"/>
      <w:pPr>
        <w:ind w:left="3981" w:hanging="567"/>
      </w:pPr>
      <w:rPr>
        <w:rFonts w:hint="default"/>
        <w:lang w:val="en-US" w:eastAsia="en-US" w:bidi="ar-SA"/>
      </w:rPr>
    </w:lvl>
    <w:lvl w:ilvl="3">
      <w:start w:val="0"/>
      <w:numFmt w:val="bullet"/>
      <w:lvlText w:val="•"/>
      <w:lvlJc w:val="left"/>
      <w:pPr>
        <w:ind w:left="4971" w:hanging="567"/>
      </w:pPr>
      <w:rPr>
        <w:rFonts w:hint="default"/>
        <w:lang w:val="en-US" w:eastAsia="en-US" w:bidi="ar-SA"/>
      </w:rPr>
    </w:lvl>
    <w:lvl w:ilvl="4">
      <w:start w:val="0"/>
      <w:numFmt w:val="bullet"/>
      <w:lvlText w:val="•"/>
      <w:lvlJc w:val="left"/>
      <w:pPr>
        <w:ind w:left="5962" w:hanging="567"/>
      </w:pPr>
      <w:rPr>
        <w:rFonts w:hint="default"/>
        <w:lang w:val="en-US" w:eastAsia="en-US" w:bidi="ar-SA"/>
      </w:rPr>
    </w:lvl>
    <w:lvl w:ilvl="5">
      <w:start w:val="0"/>
      <w:numFmt w:val="bullet"/>
      <w:lvlText w:val="•"/>
      <w:lvlJc w:val="left"/>
      <w:pPr>
        <w:ind w:left="6953" w:hanging="567"/>
      </w:pPr>
      <w:rPr>
        <w:rFonts w:hint="default"/>
        <w:lang w:val="en-US" w:eastAsia="en-US" w:bidi="ar-SA"/>
      </w:rPr>
    </w:lvl>
    <w:lvl w:ilvl="6">
      <w:start w:val="0"/>
      <w:numFmt w:val="bullet"/>
      <w:lvlText w:val="•"/>
      <w:lvlJc w:val="left"/>
      <w:pPr>
        <w:ind w:left="7943" w:hanging="567"/>
      </w:pPr>
      <w:rPr>
        <w:rFonts w:hint="default"/>
        <w:lang w:val="en-US" w:eastAsia="en-US" w:bidi="ar-SA"/>
      </w:rPr>
    </w:lvl>
    <w:lvl w:ilvl="7">
      <w:start w:val="0"/>
      <w:numFmt w:val="bullet"/>
      <w:lvlText w:val="•"/>
      <w:lvlJc w:val="left"/>
      <w:pPr>
        <w:ind w:left="8934" w:hanging="567"/>
      </w:pPr>
      <w:rPr>
        <w:rFonts w:hint="default"/>
        <w:lang w:val="en-US" w:eastAsia="en-US" w:bidi="ar-SA"/>
      </w:rPr>
    </w:lvl>
    <w:lvl w:ilvl="8">
      <w:start w:val="0"/>
      <w:numFmt w:val="bullet"/>
      <w:lvlText w:val="•"/>
      <w:lvlJc w:val="left"/>
      <w:pPr>
        <w:ind w:left="9925" w:hanging="567"/>
      </w:pPr>
      <w:rPr>
        <w:rFonts w:hint="default"/>
        <w:lang w:val="en-US" w:eastAsia="en-US" w:bidi="ar-SA"/>
      </w:rPr>
    </w:lvl>
  </w:abstractNum>
  <w:abstractNum w:abstractNumId="30">
    <w:multiLevelType w:val="hybridMultilevel"/>
    <w:lvl w:ilvl="0">
      <w:start w:val="1"/>
      <w:numFmt w:val="decimal"/>
      <w:lvlText w:val="%1."/>
      <w:lvlJc w:val="left"/>
      <w:pPr>
        <w:ind w:left="1795" w:hanging="303"/>
        <w:jc w:val="left"/>
      </w:pPr>
      <w:rPr>
        <w:rFonts w:hint="default"/>
        <w:spacing w:val="-1"/>
        <w:w w:val="104"/>
        <w:lang w:val="en-US" w:eastAsia="en-US" w:bidi="ar-SA"/>
      </w:rPr>
    </w:lvl>
    <w:lvl w:ilvl="1">
      <w:start w:val="0"/>
      <w:numFmt w:val="bullet"/>
      <w:lvlText w:val="•"/>
      <w:lvlJc w:val="left"/>
      <w:pPr>
        <w:ind w:left="2810" w:hanging="303"/>
      </w:pPr>
      <w:rPr>
        <w:rFonts w:hint="default"/>
        <w:lang w:val="en-US" w:eastAsia="en-US" w:bidi="ar-SA"/>
      </w:rPr>
    </w:lvl>
    <w:lvl w:ilvl="2">
      <w:start w:val="0"/>
      <w:numFmt w:val="bullet"/>
      <w:lvlText w:val="•"/>
      <w:lvlJc w:val="left"/>
      <w:pPr>
        <w:ind w:left="3821" w:hanging="303"/>
      </w:pPr>
      <w:rPr>
        <w:rFonts w:hint="default"/>
        <w:lang w:val="en-US" w:eastAsia="en-US" w:bidi="ar-SA"/>
      </w:rPr>
    </w:lvl>
    <w:lvl w:ilvl="3">
      <w:start w:val="0"/>
      <w:numFmt w:val="bullet"/>
      <w:lvlText w:val="•"/>
      <w:lvlJc w:val="left"/>
      <w:pPr>
        <w:ind w:left="4831" w:hanging="303"/>
      </w:pPr>
      <w:rPr>
        <w:rFonts w:hint="default"/>
        <w:lang w:val="en-US" w:eastAsia="en-US" w:bidi="ar-SA"/>
      </w:rPr>
    </w:lvl>
    <w:lvl w:ilvl="4">
      <w:start w:val="0"/>
      <w:numFmt w:val="bullet"/>
      <w:lvlText w:val="•"/>
      <w:lvlJc w:val="left"/>
      <w:pPr>
        <w:ind w:left="5842" w:hanging="303"/>
      </w:pPr>
      <w:rPr>
        <w:rFonts w:hint="default"/>
        <w:lang w:val="en-US" w:eastAsia="en-US" w:bidi="ar-SA"/>
      </w:rPr>
    </w:lvl>
    <w:lvl w:ilvl="5">
      <w:start w:val="0"/>
      <w:numFmt w:val="bullet"/>
      <w:lvlText w:val="•"/>
      <w:lvlJc w:val="left"/>
      <w:pPr>
        <w:ind w:left="6853" w:hanging="303"/>
      </w:pPr>
      <w:rPr>
        <w:rFonts w:hint="default"/>
        <w:lang w:val="en-US" w:eastAsia="en-US" w:bidi="ar-SA"/>
      </w:rPr>
    </w:lvl>
    <w:lvl w:ilvl="6">
      <w:start w:val="0"/>
      <w:numFmt w:val="bullet"/>
      <w:lvlText w:val="•"/>
      <w:lvlJc w:val="left"/>
      <w:pPr>
        <w:ind w:left="7863" w:hanging="303"/>
      </w:pPr>
      <w:rPr>
        <w:rFonts w:hint="default"/>
        <w:lang w:val="en-US" w:eastAsia="en-US" w:bidi="ar-SA"/>
      </w:rPr>
    </w:lvl>
    <w:lvl w:ilvl="7">
      <w:start w:val="0"/>
      <w:numFmt w:val="bullet"/>
      <w:lvlText w:val="•"/>
      <w:lvlJc w:val="left"/>
      <w:pPr>
        <w:ind w:left="8874" w:hanging="303"/>
      </w:pPr>
      <w:rPr>
        <w:rFonts w:hint="default"/>
        <w:lang w:val="en-US" w:eastAsia="en-US" w:bidi="ar-SA"/>
      </w:rPr>
    </w:lvl>
    <w:lvl w:ilvl="8">
      <w:start w:val="0"/>
      <w:numFmt w:val="bullet"/>
      <w:lvlText w:val="•"/>
      <w:lvlJc w:val="left"/>
      <w:pPr>
        <w:ind w:left="9885" w:hanging="303"/>
      </w:pPr>
      <w:rPr>
        <w:rFonts w:hint="default"/>
        <w:lang w:val="en-US" w:eastAsia="en-US" w:bidi="ar-SA"/>
      </w:rPr>
    </w:lvl>
  </w:abstractNum>
  <w:abstractNum w:abstractNumId="29">
    <w:multiLevelType w:val="hybridMultilevel"/>
    <w:lvl w:ilvl="0">
      <w:start w:val="0"/>
      <w:numFmt w:val="bullet"/>
      <w:lvlText w:val=""/>
      <w:lvlJc w:val="left"/>
      <w:pPr>
        <w:ind w:left="2944" w:hanging="360"/>
      </w:pPr>
      <w:rPr>
        <w:rFonts w:hint="default" w:ascii="Symbol" w:hAnsi="Symbol" w:eastAsia="Symbol" w:cs="Symbol"/>
        <w:b w:val="0"/>
        <w:bCs w:val="0"/>
        <w:i w:val="0"/>
        <w:iCs w:val="0"/>
        <w:w w:val="100"/>
        <w:sz w:val="24"/>
        <w:szCs w:val="24"/>
        <w:lang w:val="en-US" w:eastAsia="en-US" w:bidi="ar-SA"/>
      </w:rPr>
    </w:lvl>
    <w:lvl w:ilvl="1">
      <w:start w:val="0"/>
      <w:numFmt w:val="bullet"/>
      <w:lvlText w:val="•"/>
      <w:lvlJc w:val="left"/>
      <w:pPr>
        <w:ind w:left="3836" w:hanging="360"/>
      </w:pPr>
      <w:rPr>
        <w:rFonts w:hint="default"/>
        <w:lang w:val="en-US" w:eastAsia="en-US" w:bidi="ar-SA"/>
      </w:rPr>
    </w:lvl>
    <w:lvl w:ilvl="2">
      <w:start w:val="0"/>
      <w:numFmt w:val="bullet"/>
      <w:lvlText w:val="•"/>
      <w:lvlJc w:val="left"/>
      <w:pPr>
        <w:ind w:left="4733" w:hanging="360"/>
      </w:pPr>
      <w:rPr>
        <w:rFonts w:hint="default"/>
        <w:lang w:val="en-US" w:eastAsia="en-US" w:bidi="ar-SA"/>
      </w:rPr>
    </w:lvl>
    <w:lvl w:ilvl="3">
      <w:start w:val="0"/>
      <w:numFmt w:val="bullet"/>
      <w:lvlText w:val="•"/>
      <w:lvlJc w:val="left"/>
      <w:pPr>
        <w:ind w:left="5629" w:hanging="360"/>
      </w:pPr>
      <w:rPr>
        <w:rFonts w:hint="default"/>
        <w:lang w:val="en-US" w:eastAsia="en-US" w:bidi="ar-SA"/>
      </w:rPr>
    </w:lvl>
    <w:lvl w:ilvl="4">
      <w:start w:val="0"/>
      <w:numFmt w:val="bullet"/>
      <w:lvlText w:val="•"/>
      <w:lvlJc w:val="left"/>
      <w:pPr>
        <w:ind w:left="6526" w:hanging="360"/>
      </w:pPr>
      <w:rPr>
        <w:rFonts w:hint="default"/>
        <w:lang w:val="en-US" w:eastAsia="en-US" w:bidi="ar-SA"/>
      </w:rPr>
    </w:lvl>
    <w:lvl w:ilvl="5">
      <w:start w:val="0"/>
      <w:numFmt w:val="bullet"/>
      <w:lvlText w:val="•"/>
      <w:lvlJc w:val="left"/>
      <w:pPr>
        <w:ind w:left="7423" w:hanging="360"/>
      </w:pPr>
      <w:rPr>
        <w:rFonts w:hint="default"/>
        <w:lang w:val="en-US" w:eastAsia="en-US" w:bidi="ar-SA"/>
      </w:rPr>
    </w:lvl>
    <w:lvl w:ilvl="6">
      <w:start w:val="0"/>
      <w:numFmt w:val="bullet"/>
      <w:lvlText w:val="•"/>
      <w:lvlJc w:val="left"/>
      <w:pPr>
        <w:ind w:left="8319" w:hanging="360"/>
      </w:pPr>
      <w:rPr>
        <w:rFonts w:hint="default"/>
        <w:lang w:val="en-US" w:eastAsia="en-US" w:bidi="ar-SA"/>
      </w:rPr>
    </w:lvl>
    <w:lvl w:ilvl="7">
      <w:start w:val="0"/>
      <w:numFmt w:val="bullet"/>
      <w:lvlText w:val="•"/>
      <w:lvlJc w:val="left"/>
      <w:pPr>
        <w:ind w:left="9216" w:hanging="360"/>
      </w:pPr>
      <w:rPr>
        <w:rFonts w:hint="default"/>
        <w:lang w:val="en-US" w:eastAsia="en-US" w:bidi="ar-SA"/>
      </w:rPr>
    </w:lvl>
    <w:lvl w:ilvl="8">
      <w:start w:val="0"/>
      <w:numFmt w:val="bullet"/>
      <w:lvlText w:val="•"/>
      <w:lvlJc w:val="left"/>
      <w:pPr>
        <w:ind w:left="10113" w:hanging="360"/>
      </w:pPr>
      <w:rPr>
        <w:rFonts w:hint="default"/>
        <w:lang w:val="en-US" w:eastAsia="en-US" w:bidi="ar-SA"/>
      </w:rPr>
    </w:lvl>
  </w:abstractNum>
  <w:abstractNum w:abstractNumId="28">
    <w:multiLevelType w:val="hybridMultilevel"/>
    <w:lvl w:ilvl="0">
      <w:start w:val="1"/>
      <w:numFmt w:val="decimal"/>
      <w:lvlText w:val="%1."/>
      <w:lvlJc w:val="left"/>
      <w:pPr>
        <w:ind w:left="2160" w:hanging="360"/>
        <w:jc w:val="left"/>
      </w:pPr>
      <w:rPr>
        <w:rFonts w:hint="default"/>
        <w:spacing w:val="-1"/>
        <w:w w:val="100"/>
        <w:lang w:val="en-US" w:eastAsia="en-US" w:bidi="ar-SA"/>
      </w:rPr>
    </w:lvl>
    <w:lvl w:ilvl="1">
      <w:start w:val="1"/>
      <w:numFmt w:val="lowerLetter"/>
      <w:lvlText w:val="%2."/>
      <w:lvlJc w:val="left"/>
      <w:pPr>
        <w:ind w:left="2520" w:hanging="360"/>
        <w:jc w:val="left"/>
      </w:pPr>
      <w:rPr>
        <w:rFonts w:hint="default" w:ascii="Arial" w:hAnsi="Arial" w:eastAsia="Arial" w:cs="Arial"/>
        <w:b w:val="0"/>
        <w:bCs w:val="0"/>
        <w:i/>
        <w:iCs/>
        <w:spacing w:val="-1"/>
        <w:w w:val="100"/>
        <w:sz w:val="24"/>
        <w:szCs w:val="24"/>
        <w:lang w:val="en-US" w:eastAsia="en-US" w:bidi="ar-SA"/>
      </w:rPr>
    </w:lvl>
    <w:lvl w:ilvl="2">
      <w:start w:val="0"/>
      <w:numFmt w:val="bullet"/>
      <w:lvlText w:val="•"/>
      <w:lvlJc w:val="left"/>
      <w:pPr>
        <w:ind w:left="3562" w:hanging="360"/>
      </w:pPr>
      <w:rPr>
        <w:rFonts w:hint="default"/>
        <w:lang w:val="en-US" w:eastAsia="en-US" w:bidi="ar-SA"/>
      </w:rPr>
    </w:lvl>
    <w:lvl w:ilvl="3">
      <w:start w:val="0"/>
      <w:numFmt w:val="bullet"/>
      <w:lvlText w:val="•"/>
      <w:lvlJc w:val="left"/>
      <w:pPr>
        <w:ind w:left="4605" w:hanging="360"/>
      </w:pPr>
      <w:rPr>
        <w:rFonts w:hint="default"/>
        <w:lang w:val="en-US" w:eastAsia="en-US" w:bidi="ar-SA"/>
      </w:rPr>
    </w:lvl>
    <w:lvl w:ilvl="4">
      <w:start w:val="0"/>
      <w:numFmt w:val="bullet"/>
      <w:lvlText w:val="•"/>
      <w:lvlJc w:val="left"/>
      <w:pPr>
        <w:ind w:left="5648" w:hanging="360"/>
      </w:pPr>
      <w:rPr>
        <w:rFonts w:hint="default"/>
        <w:lang w:val="en-US" w:eastAsia="en-US" w:bidi="ar-SA"/>
      </w:rPr>
    </w:lvl>
    <w:lvl w:ilvl="5">
      <w:start w:val="0"/>
      <w:numFmt w:val="bullet"/>
      <w:lvlText w:val="•"/>
      <w:lvlJc w:val="left"/>
      <w:pPr>
        <w:ind w:left="6691" w:hanging="360"/>
      </w:pPr>
      <w:rPr>
        <w:rFonts w:hint="default"/>
        <w:lang w:val="en-US" w:eastAsia="en-US" w:bidi="ar-SA"/>
      </w:rPr>
    </w:lvl>
    <w:lvl w:ilvl="6">
      <w:start w:val="0"/>
      <w:numFmt w:val="bullet"/>
      <w:lvlText w:val="•"/>
      <w:lvlJc w:val="left"/>
      <w:pPr>
        <w:ind w:left="7734" w:hanging="360"/>
      </w:pPr>
      <w:rPr>
        <w:rFonts w:hint="default"/>
        <w:lang w:val="en-US" w:eastAsia="en-US" w:bidi="ar-SA"/>
      </w:rPr>
    </w:lvl>
    <w:lvl w:ilvl="7">
      <w:start w:val="0"/>
      <w:numFmt w:val="bullet"/>
      <w:lvlText w:val="•"/>
      <w:lvlJc w:val="left"/>
      <w:pPr>
        <w:ind w:left="8777" w:hanging="360"/>
      </w:pPr>
      <w:rPr>
        <w:rFonts w:hint="default"/>
        <w:lang w:val="en-US" w:eastAsia="en-US" w:bidi="ar-SA"/>
      </w:rPr>
    </w:lvl>
    <w:lvl w:ilvl="8">
      <w:start w:val="0"/>
      <w:numFmt w:val="bullet"/>
      <w:lvlText w:val="•"/>
      <w:lvlJc w:val="left"/>
      <w:pPr>
        <w:ind w:left="9820" w:hanging="360"/>
      </w:pPr>
      <w:rPr>
        <w:rFonts w:hint="default"/>
        <w:lang w:val="en-US" w:eastAsia="en-US" w:bidi="ar-SA"/>
      </w:rPr>
    </w:lvl>
  </w:abstractNum>
  <w:abstractNum w:abstractNumId="27">
    <w:multiLevelType w:val="hybridMultilevel"/>
    <w:lvl w:ilvl="0">
      <w:start w:val="1"/>
      <w:numFmt w:val="decimal"/>
      <w:lvlText w:val="%1."/>
      <w:lvlJc w:val="left"/>
      <w:pPr>
        <w:ind w:left="2159" w:hanging="360"/>
        <w:jc w:val="left"/>
      </w:pPr>
      <w:rPr>
        <w:rFonts w:hint="default" w:ascii="Arial" w:hAnsi="Arial" w:eastAsia="Arial" w:cs="Arial"/>
        <w:b w:val="0"/>
        <w:bCs w:val="0"/>
        <w:i w:val="0"/>
        <w:iCs w:val="0"/>
        <w:color w:val="231F20"/>
        <w:spacing w:val="-1"/>
        <w:w w:val="100"/>
        <w:sz w:val="24"/>
        <w:szCs w:val="24"/>
        <w:lang w:val="en-US" w:eastAsia="en-US" w:bidi="ar-SA"/>
      </w:rPr>
    </w:lvl>
    <w:lvl w:ilvl="1">
      <w:start w:val="0"/>
      <w:numFmt w:val="bullet"/>
      <w:lvlText w:val="•"/>
      <w:lvlJc w:val="left"/>
      <w:pPr>
        <w:ind w:left="3134" w:hanging="360"/>
      </w:pPr>
      <w:rPr>
        <w:rFonts w:hint="default"/>
        <w:lang w:val="en-US" w:eastAsia="en-US" w:bidi="ar-SA"/>
      </w:rPr>
    </w:lvl>
    <w:lvl w:ilvl="2">
      <w:start w:val="0"/>
      <w:numFmt w:val="bullet"/>
      <w:lvlText w:val="•"/>
      <w:lvlJc w:val="left"/>
      <w:pPr>
        <w:ind w:left="4109" w:hanging="360"/>
      </w:pPr>
      <w:rPr>
        <w:rFonts w:hint="default"/>
        <w:lang w:val="en-US" w:eastAsia="en-US" w:bidi="ar-SA"/>
      </w:rPr>
    </w:lvl>
    <w:lvl w:ilvl="3">
      <w:start w:val="0"/>
      <w:numFmt w:val="bullet"/>
      <w:lvlText w:val="•"/>
      <w:lvlJc w:val="left"/>
      <w:pPr>
        <w:ind w:left="5083" w:hanging="360"/>
      </w:pPr>
      <w:rPr>
        <w:rFonts w:hint="default"/>
        <w:lang w:val="en-US" w:eastAsia="en-US" w:bidi="ar-SA"/>
      </w:rPr>
    </w:lvl>
    <w:lvl w:ilvl="4">
      <w:start w:val="0"/>
      <w:numFmt w:val="bullet"/>
      <w:lvlText w:val="•"/>
      <w:lvlJc w:val="left"/>
      <w:pPr>
        <w:ind w:left="6058" w:hanging="360"/>
      </w:pPr>
      <w:rPr>
        <w:rFonts w:hint="default"/>
        <w:lang w:val="en-US" w:eastAsia="en-US" w:bidi="ar-SA"/>
      </w:rPr>
    </w:lvl>
    <w:lvl w:ilvl="5">
      <w:start w:val="0"/>
      <w:numFmt w:val="bullet"/>
      <w:lvlText w:val="•"/>
      <w:lvlJc w:val="left"/>
      <w:pPr>
        <w:ind w:left="7033" w:hanging="360"/>
      </w:pPr>
      <w:rPr>
        <w:rFonts w:hint="default"/>
        <w:lang w:val="en-US" w:eastAsia="en-US" w:bidi="ar-SA"/>
      </w:rPr>
    </w:lvl>
    <w:lvl w:ilvl="6">
      <w:start w:val="0"/>
      <w:numFmt w:val="bullet"/>
      <w:lvlText w:val="•"/>
      <w:lvlJc w:val="left"/>
      <w:pPr>
        <w:ind w:left="8007" w:hanging="360"/>
      </w:pPr>
      <w:rPr>
        <w:rFonts w:hint="default"/>
        <w:lang w:val="en-US" w:eastAsia="en-US" w:bidi="ar-SA"/>
      </w:rPr>
    </w:lvl>
    <w:lvl w:ilvl="7">
      <w:start w:val="0"/>
      <w:numFmt w:val="bullet"/>
      <w:lvlText w:val="•"/>
      <w:lvlJc w:val="left"/>
      <w:pPr>
        <w:ind w:left="8982" w:hanging="360"/>
      </w:pPr>
      <w:rPr>
        <w:rFonts w:hint="default"/>
        <w:lang w:val="en-US" w:eastAsia="en-US" w:bidi="ar-SA"/>
      </w:rPr>
    </w:lvl>
    <w:lvl w:ilvl="8">
      <w:start w:val="0"/>
      <w:numFmt w:val="bullet"/>
      <w:lvlText w:val="•"/>
      <w:lvlJc w:val="left"/>
      <w:pPr>
        <w:ind w:left="9957" w:hanging="360"/>
      </w:pPr>
      <w:rPr>
        <w:rFonts w:hint="default"/>
        <w:lang w:val="en-US" w:eastAsia="en-US" w:bidi="ar-SA"/>
      </w:rPr>
    </w:lvl>
  </w:abstractNum>
  <w:abstractNum w:abstractNumId="26">
    <w:multiLevelType w:val="hybridMultilevel"/>
    <w:lvl w:ilvl="0">
      <w:start w:val="0"/>
      <w:numFmt w:val="bullet"/>
      <w:lvlText w:val=""/>
      <w:lvlJc w:val="left"/>
      <w:pPr>
        <w:ind w:left="468" w:hanging="360"/>
      </w:pPr>
      <w:rPr>
        <w:rFonts w:hint="default" w:ascii="Symbol" w:hAnsi="Symbol" w:eastAsia="Symbol" w:cs="Symbol"/>
        <w:b w:val="0"/>
        <w:bCs w:val="0"/>
        <w:i w:val="0"/>
        <w:iCs w:val="0"/>
        <w:w w:val="99"/>
        <w:sz w:val="20"/>
        <w:szCs w:val="20"/>
        <w:lang w:val="en-US" w:eastAsia="en-US" w:bidi="ar-SA"/>
      </w:rPr>
    </w:lvl>
    <w:lvl w:ilvl="1">
      <w:start w:val="0"/>
      <w:numFmt w:val="bullet"/>
      <w:lvlText w:val="•"/>
      <w:lvlJc w:val="left"/>
      <w:pPr>
        <w:ind w:left="811" w:hanging="360"/>
      </w:pPr>
      <w:rPr>
        <w:rFonts w:hint="default"/>
        <w:lang w:val="en-US" w:eastAsia="en-US" w:bidi="ar-SA"/>
      </w:rPr>
    </w:lvl>
    <w:lvl w:ilvl="2">
      <w:start w:val="0"/>
      <w:numFmt w:val="bullet"/>
      <w:lvlText w:val="•"/>
      <w:lvlJc w:val="left"/>
      <w:pPr>
        <w:ind w:left="1162" w:hanging="360"/>
      </w:pPr>
      <w:rPr>
        <w:rFonts w:hint="default"/>
        <w:lang w:val="en-US" w:eastAsia="en-US" w:bidi="ar-SA"/>
      </w:rPr>
    </w:lvl>
    <w:lvl w:ilvl="3">
      <w:start w:val="0"/>
      <w:numFmt w:val="bullet"/>
      <w:lvlText w:val="•"/>
      <w:lvlJc w:val="left"/>
      <w:pPr>
        <w:ind w:left="1513" w:hanging="360"/>
      </w:pPr>
      <w:rPr>
        <w:rFonts w:hint="default"/>
        <w:lang w:val="en-US" w:eastAsia="en-US" w:bidi="ar-SA"/>
      </w:rPr>
    </w:lvl>
    <w:lvl w:ilvl="4">
      <w:start w:val="0"/>
      <w:numFmt w:val="bullet"/>
      <w:lvlText w:val="•"/>
      <w:lvlJc w:val="left"/>
      <w:pPr>
        <w:ind w:left="1864" w:hanging="360"/>
      </w:pPr>
      <w:rPr>
        <w:rFonts w:hint="default"/>
        <w:lang w:val="en-US" w:eastAsia="en-US" w:bidi="ar-SA"/>
      </w:rPr>
    </w:lvl>
    <w:lvl w:ilvl="5">
      <w:start w:val="0"/>
      <w:numFmt w:val="bullet"/>
      <w:lvlText w:val="•"/>
      <w:lvlJc w:val="left"/>
      <w:pPr>
        <w:ind w:left="2215" w:hanging="360"/>
      </w:pPr>
      <w:rPr>
        <w:rFonts w:hint="default"/>
        <w:lang w:val="en-US" w:eastAsia="en-US" w:bidi="ar-SA"/>
      </w:rPr>
    </w:lvl>
    <w:lvl w:ilvl="6">
      <w:start w:val="0"/>
      <w:numFmt w:val="bullet"/>
      <w:lvlText w:val="•"/>
      <w:lvlJc w:val="left"/>
      <w:pPr>
        <w:ind w:left="2566" w:hanging="360"/>
      </w:pPr>
      <w:rPr>
        <w:rFonts w:hint="default"/>
        <w:lang w:val="en-US" w:eastAsia="en-US" w:bidi="ar-SA"/>
      </w:rPr>
    </w:lvl>
    <w:lvl w:ilvl="7">
      <w:start w:val="0"/>
      <w:numFmt w:val="bullet"/>
      <w:lvlText w:val="•"/>
      <w:lvlJc w:val="left"/>
      <w:pPr>
        <w:ind w:left="2917" w:hanging="360"/>
      </w:pPr>
      <w:rPr>
        <w:rFonts w:hint="default"/>
        <w:lang w:val="en-US" w:eastAsia="en-US" w:bidi="ar-SA"/>
      </w:rPr>
    </w:lvl>
    <w:lvl w:ilvl="8">
      <w:start w:val="0"/>
      <w:numFmt w:val="bullet"/>
      <w:lvlText w:val="•"/>
      <w:lvlJc w:val="left"/>
      <w:pPr>
        <w:ind w:left="3268" w:hanging="360"/>
      </w:pPr>
      <w:rPr>
        <w:rFonts w:hint="default"/>
        <w:lang w:val="en-US" w:eastAsia="en-US" w:bidi="ar-SA"/>
      </w:rPr>
    </w:lvl>
  </w:abstractNum>
  <w:abstractNum w:abstractNumId="25">
    <w:multiLevelType w:val="hybridMultilevel"/>
    <w:lvl w:ilvl="0">
      <w:start w:val="0"/>
      <w:numFmt w:val="bullet"/>
      <w:lvlText w:val=""/>
      <w:lvlJc w:val="left"/>
      <w:pPr>
        <w:ind w:left="468" w:hanging="360"/>
      </w:pPr>
      <w:rPr>
        <w:rFonts w:hint="default" w:ascii="Symbol" w:hAnsi="Symbol" w:eastAsia="Symbol" w:cs="Symbol"/>
        <w:b w:val="0"/>
        <w:bCs w:val="0"/>
        <w:i w:val="0"/>
        <w:iCs w:val="0"/>
        <w:w w:val="99"/>
        <w:sz w:val="20"/>
        <w:szCs w:val="20"/>
        <w:lang w:val="en-US" w:eastAsia="en-US" w:bidi="ar-SA"/>
      </w:rPr>
    </w:lvl>
    <w:lvl w:ilvl="1">
      <w:start w:val="0"/>
      <w:numFmt w:val="bullet"/>
      <w:lvlText w:val="•"/>
      <w:lvlJc w:val="left"/>
      <w:pPr>
        <w:ind w:left="811" w:hanging="360"/>
      </w:pPr>
      <w:rPr>
        <w:rFonts w:hint="default"/>
        <w:lang w:val="en-US" w:eastAsia="en-US" w:bidi="ar-SA"/>
      </w:rPr>
    </w:lvl>
    <w:lvl w:ilvl="2">
      <w:start w:val="0"/>
      <w:numFmt w:val="bullet"/>
      <w:lvlText w:val="•"/>
      <w:lvlJc w:val="left"/>
      <w:pPr>
        <w:ind w:left="1162" w:hanging="360"/>
      </w:pPr>
      <w:rPr>
        <w:rFonts w:hint="default"/>
        <w:lang w:val="en-US" w:eastAsia="en-US" w:bidi="ar-SA"/>
      </w:rPr>
    </w:lvl>
    <w:lvl w:ilvl="3">
      <w:start w:val="0"/>
      <w:numFmt w:val="bullet"/>
      <w:lvlText w:val="•"/>
      <w:lvlJc w:val="left"/>
      <w:pPr>
        <w:ind w:left="1513" w:hanging="360"/>
      </w:pPr>
      <w:rPr>
        <w:rFonts w:hint="default"/>
        <w:lang w:val="en-US" w:eastAsia="en-US" w:bidi="ar-SA"/>
      </w:rPr>
    </w:lvl>
    <w:lvl w:ilvl="4">
      <w:start w:val="0"/>
      <w:numFmt w:val="bullet"/>
      <w:lvlText w:val="•"/>
      <w:lvlJc w:val="left"/>
      <w:pPr>
        <w:ind w:left="1864" w:hanging="360"/>
      </w:pPr>
      <w:rPr>
        <w:rFonts w:hint="default"/>
        <w:lang w:val="en-US" w:eastAsia="en-US" w:bidi="ar-SA"/>
      </w:rPr>
    </w:lvl>
    <w:lvl w:ilvl="5">
      <w:start w:val="0"/>
      <w:numFmt w:val="bullet"/>
      <w:lvlText w:val="•"/>
      <w:lvlJc w:val="left"/>
      <w:pPr>
        <w:ind w:left="2215" w:hanging="360"/>
      </w:pPr>
      <w:rPr>
        <w:rFonts w:hint="default"/>
        <w:lang w:val="en-US" w:eastAsia="en-US" w:bidi="ar-SA"/>
      </w:rPr>
    </w:lvl>
    <w:lvl w:ilvl="6">
      <w:start w:val="0"/>
      <w:numFmt w:val="bullet"/>
      <w:lvlText w:val="•"/>
      <w:lvlJc w:val="left"/>
      <w:pPr>
        <w:ind w:left="2566" w:hanging="360"/>
      </w:pPr>
      <w:rPr>
        <w:rFonts w:hint="default"/>
        <w:lang w:val="en-US" w:eastAsia="en-US" w:bidi="ar-SA"/>
      </w:rPr>
    </w:lvl>
    <w:lvl w:ilvl="7">
      <w:start w:val="0"/>
      <w:numFmt w:val="bullet"/>
      <w:lvlText w:val="•"/>
      <w:lvlJc w:val="left"/>
      <w:pPr>
        <w:ind w:left="2917" w:hanging="360"/>
      </w:pPr>
      <w:rPr>
        <w:rFonts w:hint="default"/>
        <w:lang w:val="en-US" w:eastAsia="en-US" w:bidi="ar-SA"/>
      </w:rPr>
    </w:lvl>
    <w:lvl w:ilvl="8">
      <w:start w:val="0"/>
      <w:numFmt w:val="bullet"/>
      <w:lvlText w:val="•"/>
      <w:lvlJc w:val="left"/>
      <w:pPr>
        <w:ind w:left="3268" w:hanging="360"/>
      </w:pPr>
      <w:rPr>
        <w:rFonts w:hint="default"/>
        <w:lang w:val="en-US" w:eastAsia="en-US" w:bidi="ar-SA"/>
      </w:rPr>
    </w:lvl>
  </w:abstractNum>
  <w:abstractNum w:abstractNumId="24">
    <w:multiLevelType w:val="hybridMultilevel"/>
    <w:lvl w:ilvl="0">
      <w:start w:val="1"/>
      <w:numFmt w:val="lowerLetter"/>
      <w:lvlText w:val="%1."/>
      <w:lvlJc w:val="left"/>
      <w:pPr>
        <w:ind w:left="703" w:hanging="284"/>
        <w:jc w:val="left"/>
      </w:pPr>
      <w:rPr>
        <w:rFonts w:hint="default" w:ascii="Verdana" w:hAnsi="Verdana" w:eastAsia="Verdana" w:cs="Verdana"/>
        <w:b w:val="0"/>
        <w:bCs w:val="0"/>
        <w:i w:val="0"/>
        <w:iCs w:val="0"/>
        <w:w w:val="99"/>
        <w:sz w:val="20"/>
        <w:szCs w:val="20"/>
        <w:lang w:val="en-US" w:eastAsia="en-US" w:bidi="ar-SA"/>
      </w:rPr>
    </w:lvl>
    <w:lvl w:ilvl="1">
      <w:start w:val="0"/>
      <w:numFmt w:val="bullet"/>
      <w:lvlText w:val="•"/>
      <w:lvlJc w:val="left"/>
      <w:pPr>
        <w:ind w:left="1761" w:hanging="284"/>
      </w:pPr>
      <w:rPr>
        <w:rFonts w:hint="default"/>
        <w:lang w:val="en-US" w:eastAsia="en-US" w:bidi="ar-SA"/>
      </w:rPr>
    </w:lvl>
    <w:lvl w:ilvl="2">
      <w:start w:val="0"/>
      <w:numFmt w:val="bullet"/>
      <w:lvlText w:val="•"/>
      <w:lvlJc w:val="left"/>
      <w:pPr>
        <w:ind w:left="2823" w:hanging="284"/>
      </w:pPr>
      <w:rPr>
        <w:rFonts w:hint="default"/>
        <w:lang w:val="en-US" w:eastAsia="en-US" w:bidi="ar-SA"/>
      </w:rPr>
    </w:lvl>
    <w:lvl w:ilvl="3">
      <w:start w:val="0"/>
      <w:numFmt w:val="bullet"/>
      <w:lvlText w:val="•"/>
      <w:lvlJc w:val="left"/>
      <w:pPr>
        <w:ind w:left="3885" w:hanging="284"/>
      </w:pPr>
      <w:rPr>
        <w:rFonts w:hint="default"/>
        <w:lang w:val="en-US" w:eastAsia="en-US" w:bidi="ar-SA"/>
      </w:rPr>
    </w:lvl>
    <w:lvl w:ilvl="4">
      <w:start w:val="0"/>
      <w:numFmt w:val="bullet"/>
      <w:lvlText w:val="•"/>
      <w:lvlJc w:val="left"/>
      <w:pPr>
        <w:ind w:left="4947" w:hanging="284"/>
      </w:pPr>
      <w:rPr>
        <w:rFonts w:hint="default"/>
        <w:lang w:val="en-US" w:eastAsia="en-US" w:bidi="ar-SA"/>
      </w:rPr>
    </w:lvl>
    <w:lvl w:ilvl="5">
      <w:start w:val="0"/>
      <w:numFmt w:val="bullet"/>
      <w:lvlText w:val="•"/>
      <w:lvlJc w:val="left"/>
      <w:pPr>
        <w:ind w:left="6009" w:hanging="284"/>
      </w:pPr>
      <w:rPr>
        <w:rFonts w:hint="default"/>
        <w:lang w:val="en-US" w:eastAsia="en-US" w:bidi="ar-SA"/>
      </w:rPr>
    </w:lvl>
    <w:lvl w:ilvl="6">
      <w:start w:val="0"/>
      <w:numFmt w:val="bullet"/>
      <w:lvlText w:val="•"/>
      <w:lvlJc w:val="left"/>
      <w:pPr>
        <w:ind w:left="7071" w:hanging="284"/>
      </w:pPr>
      <w:rPr>
        <w:rFonts w:hint="default"/>
        <w:lang w:val="en-US" w:eastAsia="en-US" w:bidi="ar-SA"/>
      </w:rPr>
    </w:lvl>
    <w:lvl w:ilvl="7">
      <w:start w:val="0"/>
      <w:numFmt w:val="bullet"/>
      <w:lvlText w:val="•"/>
      <w:lvlJc w:val="left"/>
      <w:pPr>
        <w:ind w:left="8133" w:hanging="284"/>
      </w:pPr>
      <w:rPr>
        <w:rFonts w:hint="default"/>
        <w:lang w:val="en-US" w:eastAsia="en-US" w:bidi="ar-SA"/>
      </w:rPr>
    </w:lvl>
    <w:lvl w:ilvl="8">
      <w:start w:val="0"/>
      <w:numFmt w:val="bullet"/>
      <w:lvlText w:val="•"/>
      <w:lvlJc w:val="left"/>
      <w:pPr>
        <w:ind w:left="9195" w:hanging="284"/>
      </w:pPr>
      <w:rPr>
        <w:rFonts w:hint="default"/>
        <w:lang w:val="en-US" w:eastAsia="en-US" w:bidi="ar-SA"/>
      </w:rPr>
    </w:lvl>
  </w:abstractNum>
  <w:abstractNum w:abstractNumId="23">
    <w:multiLevelType w:val="hybridMultilevel"/>
    <w:lvl w:ilvl="0">
      <w:start w:val="0"/>
      <w:numFmt w:val="bullet"/>
      <w:lvlText w:val=""/>
      <w:lvlJc w:val="left"/>
      <w:pPr>
        <w:ind w:left="468" w:hanging="360"/>
      </w:pPr>
      <w:rPr>
        <w:rFonts w:hint="default" w:ascii="Symbol" w:hAnsi="Symbol" w:eastAsia="Symbol" w:cs="Symbol"/>
        <w:b w:val="0"/>
        <w:bCs w:val="0"/>
        <w:i w:val="0"/>
        <w:iCs w:val="0"/>
        <w:w w:val="99"/>
        <w:sz w:val="20"/>
        <w:szCs w:val="20"/>
        <w:lang w:val="en-US" w:eastAsia="en-US" w:bidi="ar-SA"/>
      </w:rPr>
    </w:lvl>
    <w:lvl w:ilvl="1">
      <w:start w:val="0"/>
      <w:numFmt w:val="bullet"/>
      <w:lvlText w:val="•"/>
      <w:lvlJc w:val="left"/>
      <w:pPr>
        <w:ind w:left="811" w:hanging="360"/>
      </w:pPr>
      <w:rPr>
        <w:rFonts w:hint="default"/>
        <w:lang w:val="en-US" w:eastAsia="en-US" w:bidi="ar-SA"/>
      </w:rPr>
    </w:lvl>
    <w:lvl w:ilvl="2">
      <w:start w:val="0"/>
      <w:numFmt w:val="bullet"/>
      <w:lvlText w:val="•"/>
      <w:lvlJc w:val="left"/>
      <w:pPr>
        <w:ind w:left="1162" w:hanging="360"/>
      </w:pPr>
      <w:rPr>
        <w:rFonts w:hint="default"/>
        <w:lang w:val="en-US" w:eastAsia="en-US" w:bidi="ar-SA"/>
      </w:rPr>
    </w:lvl>
    <w:lvl w:ilvl="3">
      <w:start w:val="0"/>
      <w:numFmt w:val="bullet"/>
      <w:lvlText w:val="•"/>
      <w:lvlJc w:val="left"/>
      <w:pPr>
        <w:ind w:left="1513" w:hanging="360"/>
      </w:pPr>
      <w:rPr>
        <w:rFonts w:hint="default"/>
        <w:lang w:val="en-US" w:eastAsia="en-US" w:bidi="ar-SA"/>
      </w:rPr>
    </w:lvl>
    <w:lvl w:ilvl="4">
      <w:start w:val="0"/>
      <w:numFmt w:val="bullet"/>
      <w:lvlText w:val="•"/>
      <w:lvlJc w:val="left"/>
      <w:pPr>
        <w:ind w:left="1864" w:hanging="360"/>
      </w:pPr>
      <w:rPr>
        <w:rFonts w:hint="default"/>
        <w:lang w:val="en-US" w:eastAsia="en-US" w:bidi="ar-SA"/>
      </w:rPr>
    </w:lvl>
    <w:lvl w:ilvl="5">
      <w:start w:val="0"/>
      <w:numFmt w:val="bullet"/>
      <w:lvlText w:val="•"/>
      <w:lvlJc w:val="left"/>
      <w:pPr>
        <w:ind w:left="2215" w:hanging="360"/>
      </w:pPr>
      <w:rPr>
        <w:rFonts w:hint="default"/>
        <w:lang w:val="en-US" w:eastAsia="en-US" w:bidi="ar-SA"/>
      </w:rPr>
    </w:lvl>
    <w:lvl w:ilvl="6">
      <w:start w:val="0"/>
      <w:numFmt w:val="bullet"/>
      <w:lvlText w:val="•"/>
      <w:lvlJc w:val="left"/>
      <w:pPr>
        <w:ind w:left="2566" w:hanging="360"/>
      </w:pPr>
      <w:rPr>
        <w:rFonts w:hint="default"/>
        <w:lang w:val="en-US" w:eastAsia="en-US" w:bidi="ar-SA"/>
      </w:rPr>
    </w:lvl>
    <w:lvl w:ilvl="7">
      <w:start w:val="0"/>
      <w:numFmt w:val="bullet"/>
      <w:lvlText w:val="•"/>
      <w:lvlJc w:val="left"/>
      <w:pPr>
        <w:ind w:left="2917" w:hanging="360"/>
      </w:pPr>
      <w:rPr>
        <w:rFonts w:hint="default"/>
        <w:lang w:val="en-US" w:eastAsia="en-US" w:bidi="ar-SA"/>
      </w:rPr>
    </w:lvl>
    <w:lvl w:ilvl="8">
      <w:start w:val="0"/>
      <w:numFmt w:val="bullet"/>
      <w:lvlText w:val="•"/>
      <w:lvlJc w:val="left"/>
      <w:pPr>
        <w:ind w:left="3268" w:hanging="360"/>
      </w:pPr>
      <w:rPr>
        <w:rFonts w:hint="default"/>
        <w:lang w:val="en-US" w:eastAsia="en-US" w:bidi="ar-SA"/>
      </w:rPr>
    </w:lvl>
  </w:abstractNum>
  <w:abstractNum w:abstractNumId="22">
    <w:multiLevelType w:val="hybridMultilevel"/>
    <w:lvl w:ilvl="0">
      <w:start w:val="1"/>
      <w:numFmt w:val="decimal"/>
      <w:lvlText w:val="%1."/>
      <w:lvlJc w:val="left"/>
      <w:pPr>
        <w:ind w:left="1132" w:hanging="567"/>
        <w:jc w:val="left"/>
      </w:pPr>
      <w:rPr>
        <w:rFonts w:hint="default"/>
        <w:spacing w:val="-1"/>
        <w:w w:val="100"/>
        <w:lang w:val="en-US" w:eastAsia="en-US" w:bidi="ar-SA"/>
      </w:rPr>
    </w:lvl>
    <w:lvl w:ilvl="1">
      <w:start w:val="1"/>
      <w:numFmt w:val="decimal"/>
      <w:lvlText w:val="%1.%2"/>
      <w:lvlJc w:val="left"/>
      <w:pPr>
        <w:ind w:left="1274" w:hanging="708"/>
        <w:jc w:val="left"/>
      </w:pPr>
      <w:rPr>
        <w:rFonts w:hint="default" w:ascii="Verdana" w:hAnsi="Verdana" w:eastAsia="Verdana" w:cs="Verdana"/>
        <w:b w:val="0"/>
        <w:bCs w:val="0"/>
        <w:i w:val="0"/>
        <w:iCs w:val="0"/>
        <w:spacing w:val="-1"/>
        <w:w w:val="100"/>
        <w:sz w:val="24"/>
        <w:szCs w:val="24"/>
        <w:lang w:val="en-US" w:eastAsia="en-US" w:bidi="ar-SA"/>
      </w:rPr>
    </w:lvl>
    <w:lvl w:ilvl="2">
      <w:start w:val="0"/>
      <w:numFmt w:val="bullet"/>
      <w:lvlText w:val=""/>
      <w:lvlJc w:val="left"/>
      <w:pPr>
        <w:ind w:left="2006" w:hanging="317"/>
      </w:pPr>
      <w:rPr>
        <w:rFonts w:hint="default" w:ascii="Symbol" w:hAnsi="Symbol" w:eastAsia="Symbol" w:cs="Symbol"/>
        <w:w w:val="100"/>
        <w:lang w:val="en-US" w:eastAsia="en-US" w:bidi="ar-SA"/>
      </w:rPr>
    </w:lvl>
    <w:lvl w:ilvl="3">
      <w:start w:val="0"/>
      <w:numFmt w:val="bullet"/>
      <w:lvlText w:val="•"/>
      <w:lvlJc w:val="left"/>
      <w:pPr>
        <w:ind w:left="3238" w:hanging="317"/>
      </w:pPr>
      <w:rPr>
        <w:rFonts w:hint="default"/>
        <w:lang w:val="en-US" w:eastAsia="en-US" w:bidi="ar-SA"/>
      </w:rPr>
    </w:lvl>
    <w:lvl w:ilvl="4">
      <w:start w:val="0"/>
      <w:numFmt w:val="bullet"/>
      <w:lvlText w:val="•"/>
      <w:lvlJc w:val="left"/>
      <w:pPr>
        <w:ind w:left="4476" w:hanging="317"/>
      </w:pPr>
      <w:rPr>
        <w:rFonts w:hint="default"/>
        <w:lang w:val="en-US" w:eastAsia="en-US" w:bidi="ar-SA"/>
      </w:rPr>
    </w:lvl>
    <w:lvl w:ilvl="5">
      <w:start w:val="0"/>
      <w:numFmt w:val="bullet"/>
      <w:lvlText w:val="•"/>
      <w:lvlJc w:val="left"/>
      <w:pPr>
        <w:ind w:left="5714" w:hanging="317"/>
      </w:pPr>
      <w:rPr>
        <w:rFonts w:hint="default"/>
        <w:lang w:val="en-US" w:eastAsia="en-US" w:bidi="ar-SA"/>
      </w:rPr>
    </w:lvl>
    <w:lvl w:ilvl="6">
      <w:start w:val="0"/>
      <w:numFmt w:val="bullet"/>
      <w:lvlText w:val="•"/>
      <w:lvlJc w:val="left"/>
      <w:pPr>
        <w:ind w:left="6953" w:hanging="317"/>
      </w:pPr>
      <w:rPr>
        <w:rFonts w:hint="default"/>
        <w:lang w:val="en-US" w:eastAsia="en-US" w:bidi="ar-SA"/>
      </w:rPr>
    </w:lvl>
    <w:lvl w:ilvl="7">
      <w:start w:val="0"/>
      <w:numFmt w:val="bullet"/>
      <w:lvlText w:val="•"/>
      <w:lvlJc w:val="left"/>
      <w:pPr>
        <w:ind w:left="8191" w:hanging="317"/>
      </w:pPr>
      <w:rPr>
        <w:rFonts w:hint="default"/>
        <w:lang w:val="en-US" w:eastAsia="en-US" w:bidi="ar-SA"/>
      </w:rPr>
    </w:lvl>
    <w:lvl w:ilvl="8">
      <w:start w:val="0"/>
      <w:numFmt w:val="bullet"/>
      <w:lvlText w:val="•"/>
      <w:lvlJc w:val="left"/>
      <w:pPr>
        <w:ind w:left="9429" w:hanging="317"/>
      </w:pPr>
      <w:rPr>
        <w:rFonts w:hint="default"/>
        <w:lang w:val="en-US" w:eastAsia="en-US" w:bidi="ar-SA"/>
      </w:rPr>
    </w:lvl>
  </w:abstractNum>
  <w:abstractNum w:abstractNumId="21">
    <w:multiLevelType w:val="hybridMultilevel"/>
    <w:lvl w:ilvl="0">
      <w:start w:val="0"/>
      <w:numFmt w:val="bullet"/>
      <w:lvlText w:val=""/>
      <w:lvlJc w:val="left"/>
      <w:pPr>
        <w:ind w:left="420" w:hanging="284"/>
      </w:pPr>
      <w:rPr>
        <w:rFonts w:hint="default" w:ascii="Symbol" w:hAnsi="Symbol" w:eastAsia="Symbol" w:cs="Symbol"/>
        <w:b w:val="0"/>
        <w:bCs w:val="0"/>
        <w:i w:val="0"/>
        <w:iCs w:val="0"/>
        <w:color w:val="001F5F"/>
        <w:w w:val="99"/>
        <w:sz w:val="20"/>
        <w:szCs w:val="20"/>
        <w:lang w:val="en-US" w:eastAsia="en-US" w:bidi="ar-SA"/>
      </w:rPr>
    </w:lvl>
    <w:lvl w:ilvl="1">
      <w:start w:val="0"/>
      <w:numFmt w:val="bullet"/>
      <w:lvlText w:val="•"/>
      <w:lvlJc w:val="left"/>
      <w:pPr>
        <w:ind w:left="812" w:hanging="284"/>
      </w:pPr>
      <w:rPr>
        <w:rFonts w:hint="default"/>
        <w:lang w:val="en-US" w:eastAsia="en-US" w:bidi="ar-SA"/>
      </w:rPr>
    </w:lvl>
    <w:lvl w:ilvl="2">
      <w:start w:val="0"/>
      <w:numFmt w:val="bullet"/>
      <w:lvlText w:val="•"/>
      <w:lvlJc w:val="left"/>
      <w:pPr>
        <w:ind w:left="1204" w:hanging="284"/>
      </w:pPr>
      <w:rPr>
        <w:rFonts w:hint="default"/>
        <w:lang w:val="en-US" w:eastAsia="en-US" w:bidi="ar-SA"/>
      </w:rPr>
    </w:lvl>
    <w:lvl w:ilvl="3">
      <w:start w:val="0"/>
      <w:numFmt w:val="bullet"/>
      <w:lvlText w:val="•"/>
      <w:lvlJc w:val="left"/>
      <w:pPr>
        <w:ind w:left="1596" w:hanging="284"/>
      </w:pPr>
      <w:rPr>
        <w:rFonts w:hint="default"/>
        <w:lang w:val="en-US" w:eastAsia="en-US" w:bidi="ar-SA"/>
      </w:rPr>
    </w:lvl>
    <w:lvl w:ilvl="4">
      <w:start w:val="0"/>
      <w:numFmt w:val="bullet"/>
      <w:lvlText w:val="•"/>
      <w:lvlJc w:val="left"/>
      <w:pPr>
        <w:ind w:left="1989" w:hanging="284"/>
      </w:pPr>
      <w:rPr>
        <w:rFonts w:hint="default"/>
        <w:lang w:val="en-US" w:eastAsia="en-US" w:bidi="ar-SA"/>
      </w:rPr>
    </w:lvl>
    <w:lvl w:ilvl="5">
      <w:start w:val="0"/>
      <w:numFmt w:val="bullet"/>
      <w:lvlText w:val="•"/>
      <w:lvlJc w:val="left"/>
      <w:pPr>
        <w:ind w:left="2381" w:hanging="284"/>
      </w:pPr>
      <w:rPr>
        <w:rFonts w:hint="default"/>
        <w:lang w:val="en-US" w:eastAsia="en-US" w:bidi="ar-SA"/>
      </w:rPr>
    </w:lvl>
    <w:lvl w:ilvl="6">
      <w:start w:val="0"/>
      <w:numFmt w:val="bullet"/>
      <w:lvlText w:val="•"/>
      <w:lvlJc w:val="left"/>
      <w:pPr>
        <w:ind w:left="2773" w:hanging="284"/>
      </w:pPr>
      <w:rPr>
        <w:rFonts w:hint="default"/>
        <w:lang w:val="en-US" w:eastAsia="en-US" w:bidi="ar-SA"/>
      </w:rPr>
    </w:lvl>
    <w:lvl w:ilvl="7">
      <w:start w:val="0"/>
      <w:numFmt w:val="bullet"/>
      <w:lvlText w:val="•"/>
      <w:lvlJc w:val="left"/>
      <w:pPr>
        <w:ind w:left="3165" w:hanging="284"/>
      </w:pPr>
      <w:rPr>
        <w:rFonts w:hint="default"/>
        <w:lang w:val="en-US" w:eastAsia="en-US" w:bidi="ar-SA"/>
      </w:rPr>
    </w:lvl>
    <w:lvl w:ilvl="8">
      <w:start w:val="0"/>
      <w:numFmt w:val="bullet"/>
      <w:lvlText w:val="•"/>
      <w:lvlJc w:val="left"/>
      <w:pPr>
        <w:ind w:left="3558" w:hanging="284"/>
      </w:pPr>
      <w:rPr>
        <w:rFonts w:hint="default"/>
        <w:lang w:val="en-US" w:eastAsia="en-US" w:bidi="ar-SA"/>
      </w:rPr>
    </w:lvl>
  </w:abstractNum>
  <w:abstractNum w:abstractNumId="20">
    <w:multiLevelType w:val="hybridMultilevel"/>
    <w:lvl w:ilvl="0">
      <w:start w:val="1"/>
      <w:numFmt w:val="decimal"/>
      <w:lvlText w:val="%1."/>
      <w:lvlJc w:val="left"/>
      <w:pPr>
        <w:ind w:left="1005" w:hanging="440"/>
        <w:jc w:val="left"/>
      </w:pPr>
      <w:rPr>
        <w:rFonts w:hint="default" w:ascii="Verdana" w:hAnsi="Verdana" w:eastAsia="Verdana" w:cs="Verdana"/>
        <w:b w:val="0"/>
        <w:bCs w:val="0"/>
        <w:i w:val="0"/>
        <w:iCs w:val="0"/>
        <w:spacing w:val="0"/>
        <w:w w:val="100"/>
        <w:sz w:val="22"/>
        <w:szCs w:val="22"/>
        <w:lang w:val="en-US" w:eastAsia="en-US" w:bidi="ar-SA"/>
      </w:rPr>
    </w:lvl>
    <w:lvl w:ilvl="1">
      <w:start w:val="0"/>
      <w:numFmt w:val="bullet"/>
      <w:lvlText w:val="•"/>
      <w:lvlJc w:val="left"/>
      <w:pPr>
        <w:ind w:left="2090" w:hanging="440"/>
      </w:pPr>
      <w:rPr>
        <w:rFonts w:hint="default"/>
        <w:lang w:val="en-US" w:eastAsia="en-US" w:bidi="ar-SA"/>
      </w:rPr>
    </w:lvl>
    <w:lvl w:ilvl="2">
      <w:start w:val="0"/>
      <w:numFmt w:val="bullet"/>
      <w:lvlText w:val="•"/>
      <w:lvlJc w:val="left"/>
      <w:pPr>
        <w:ind w:left="3181" w:hanging="440"/>
      </w:pPr>
      <w:rPr>
        <w:rFonts w:hint="default"/>
        <w:lang w:val="en-US" w:eastAsia="en-US" w:bidi="ar-SA"/>
      </w:rPr>
    </w:lvl>
    <w:lvl w:ilvl="3">
      <w:start w:val="0"/>
      <w:numFmt w:val="bullet"/>
      <w:lvlText w:val="•"/>
      <w:lvlJc w:val="left"/>
      <w:pPr>
        <w:ind w:left="4271" w:hanging="440"/>
      </w:pPr>
      <w:rPr>
        <w:rFonts w:hint="default"/>
        <w:lang w:val="en-US" w:eastAsia="en-US" w:bidi="ar-SA"/>
      </w:rPr>
    </w:lvl>
    <w:lvl w:ilvl="4">
      <w:start w:val="0"/>
      <w:numFmt w:val="bullet"/>
      <w:lvlText w:val="•"/>
      <w:lvlJc w:val="left"/>
      <w:pPr>
        <w:ind w:left="5362" w:hanging="440"/>
      </w:pPr>
      <w:rPr>
        <w:rFonts w:hint="default"/>
        <w:lang w:val="en-US" w:eastAsia="en-US" w:bidi="ar-SA"/>
      </w:rPr>
    </w:lvl>
    <w:lvl w:ilvl="5">
      <w:start w:val="0"/>
      <w:numFmt w:val="bullet"/>
      <w:lvlText w:val="•"/>
      <w:lvlJc w:val="left"/>
      <w:pPr>
        <w:ind w:left="6453" w:hanging="440"/>
      </w:pPr>
      <w:rPr>
        <w:rFonts w:hint="default"/>
        <w:lang w:val="en-US" w:eastAsia="en-US" w:bidi="ar-SA"/>
      </w:rPr>
    </w:lvl>
    <w:lvl w:ilvl="6">
      <w:start w:val="0"/>
      <w:numFmt w:val="bullet"/>
      <w:lvlText w:val="•"/>
      <w:lvlJc w:val="left"/>
      <w:pPr>
        <w:ind w:left="7543" w:hanging="440"/>
      </w:pPr>
      <w:rPr>
        <w:rFonts w:hint="default"/>
        <w:lang w:val="en-US" w:eastAsia="en-US" w:bidi="ar-SA"/>
      </w:rPr>
    </w:lvl>
    <w:lvl w:ilvl="7">
      <w:start w:val="0"/>
      <w:numFmt w:val="bullet"/>
      <w:lvlText w:val="•"/>
      <w:lvlJc w:val="left"/>
      <w:pPr>
        <w:ind w:left="8634" w:hanging="440"/>
      </w:pPr>
      <w:rPr>
        <w:rFonts w:hint="default"/>
        <w:lang w:val="en-US" w:eastAsia="en-US" w:bidi="ar-SA"/>
      </w:rPr>
    </w:lvl>
    <w:lvl w:ilvl="8">
      <w:start w:val="0"/>
      <w:numFmt w:val="bullet"/>
      <w:lvlText w:val="•"/>
      <w:lvlJc w:val="left"/>
      <w:pPr>
        <w:ind w:left="9725" w:hanging="440"/>
      </w:pPr>
      <w:rPr>
        <w:rFonts w:hint="default"/>
        <w:lang w:val="en-US" w:eastAsia="en-US" w:bidi="ar-SA"/>
      </w:rPr>
    </w:lvl>
  </w:abstractNum>
  <w:abstractNum w:abstractNumId="19">
    <w:multiLevelType w:val="hybridMultilevel"/>
    <w:lvl w:ilvl="0">
      <w:start w:val="0"/>
      <w:numFmt w:val="bullet"/>
      <w:lvlText w:val=""/>
      <w:lvlJc w:val="left"/>
      <w:pPr>
        <w:ind w:left="468" w:hanging="360"/>
      </w:pPr>
      <w:rPr>
        <w:rFonts w:hint="default" w:ascii="Symbol" w:hAnsi="Symbol" w:eastAsia="Symbol" w:cs="Symbol"/>
        <w:b w:val="0"/>
        <w:bCs w:val="0"/>
        <w:i w:val="0"/>
        <w:iCs w:val="0"/>
        <w:w w:val="99"/>
        <w:sz w:val="20"/>
        <w:szCs w:val="20"/>
        <w:lang w:val="en-US" w:eastAsia="en-US" w:bidi="ar-SA"/>
      </w:rPr>
    </w:lvl>
    <w:lvl w:ilvl="1">
      <w:start w:val="0"/>
      <w:numFmt w:val="bullet"/>
      <w:lvlText w:val="•"/>
      <w:lvlJc w:val="left"/>
      <w:pPr>
        <w:ind w:left="811" w:hanging="360"/>
      </w:pPr>
      <w:rPr>
        <w:rFonts w:hint="default"/>
        <w:lang w:val="en-US" w:eastAsia="en-US" w:bidi="ar-SA"/>
      </w:rPr>
    </w:lvl>
    <w:lvl w:ilvl="2">
      <w:start w:val="0"/>
      <w:numFmt w:val="bullet"/>
      <w:lvlText w:val="•"/>
      <w:lvlJc w:val="left"/>
      <w:pPr>
        <w:ind w:left="1162" w:hanging="360"/>
      </w:pPr>
      <w:rPr>
        <w:rFonts w:hint="default"/>
        <w:lang w:val="en-US" w:eastAsia="en-US" w:bidi="ar-SA"/>
      </w:rPr>
    </w:lvl>
    <w:lvl w:ilvl="3">
      <w:start w:val="0"/>
      <w:numFmt w:val="bullet"/>
      <w:lvlText w:val="•"/>
      <w:lvlJc w:val="left"/>
      <w:pPr>
        <w:ind w:left="1513" w:hanging="360"/>
      </w:pPr>
      <w:rPr>
        <w:rFonts w:hint="default"/>
        <w:lang w:val="en-US" w:eastAsia="en-US" w:bidi="ar-SA"/>
      </w:rPr>
    </w:lvl>
    <w:lvl w:ilvl="4">
      <w:start w:val="0"/>
      <w:numFmt w:val="bullet"/>
      <w:lvlText w:val="•"/>
      <w:lvlJc w:val="left"/>
      <w:pPr>
        <w:ind w:left="1864" w:hanging="360"/>
      </w:pPr>
      <w:rPr>
        <w:rFonts w:hint="default"/>
        <w:lang w:val="en-US" w:eastAsia="en-US" w:bidi="ar-SA"/>
      </w:rPr>
    </w:lvl>
    <w:lvl w:ilvl="5">
      <w:start w:val="0"/>
      <w:numFmt w:val="bullet"/>
      <w:lvlText w:val="•"/>
      <w:lvlJc w:val="left"/>
      <w:pPr>
        <w:ind w:left="2215" w:hanging="360"/>
      </w:pPr>
      <w:rPr>
        <w:rFonts w:hint="default"/>
        <w:lang w:val="en-US" w:eastAsia="en-US" w:bidi="ar-SA"/>
      </w:rPr>
    </w:lvl>
    <w:lvl w:ilvl="6">
      <w:start w:val="0"/>
      <w:numFmt w:val="bullet"/>
      <w:lvlText w:val="•"/>
      <w:lvlJc w:val="left"/>
      <w:pPr>
        <w:ind w:left="2566" w:hanging="360"/>
      </w:pPr>
      <w:rPr>
        <w:rFonts w:hint="default"/>
        <w:lang w:val="en-US" w:eastAsia="en-US" w:bidi="ar-SA"/>
      </w:rPr>
    </w:lvl>
    <w:lvl w:ilvl="7">
      <w:start w:val="0"/>
      <w:numFmt w:val="bullet"/>
      <w:lvlText w:val="•"/>
      <w:lvlJc w:val="left"/>
      <w:pPr>
        <w:ind w:left="2917" w:hanging="360"/>
      </w:pPr>
      <w:rPr>
        <w:rFonts w:hint="default"/>
        <w:lang w:val="en-US" w:eastAsia="en-US" w:bidi="ar-SA"/>
      </w:rPr>
    </w:lvl>
    <w:lvl w:ilvl="8">
      <w:start w:val="0"/>
      <w:numFmt w:val="bullet"/>
      <w:lvlText w:val="•"/>
      <w:lvlJc w:val="left"/>
      <w:pPr>
        <w:ind w:left="3268" w:hanging="360"/>
      </w:pPr>
      <w:rPr>
        <w:rFonts w:hint="default"/>
        <w:lang w:val="en-US" w:eastAsia="en-US" w:bidi="ar-SA"/>
      </w:rPr>
    </w:lvl>
  </w:abstractNum>
  <w:abstractNum w:abstractNumId="18">
    <w:multiLevelType w:val="hybridMultilevel"/>
    <w:lvl w:ilvl="0">
      <w:start w:val="0"/>
      <w:numFmt w:val="bullet"/>
      <w:lvlText w:val=""/>
      <w:lvlJc w:val="left"/>
      <w:pPr>
        <w:ind w:left="468" w:hanging="360"/>
      </w:pPr>
      <w:rPr>
        <w:rFonts w:hint="default" w:ascii="Symbol" w:hAnsi="Symbol" w:eastAsia="Symbol" w:cs="Symbol"/>
        <w:b w:val="0"/>
        <w:bCs w:val="0"/>
        <w:i w:val="0"/>
        <w:iCs w:val="0"/>
        <w:w w:val="99"/>
        <w:sz w:val="20"/>
        <w:szCs w:val="20"/>
        <w:lang w:val="en-US" w:eastAsia="en-US" w:bidi="ar-SA"/>
      </w:rPr>
    </w:lvl>
    <w:lvl w:ilvl="1">
      <w:start w:val="0"/>
      <w:numFmt w:val="bullet"/>
      <w:lvlText w:val="•"/>
      <w:lvlJc w:val="left"/>
      <w:pPr>
        <w:ind w:left="811" w:hanging="360"/>
      </w:pPr>
      <w:rPr>
        <w:rFonts w:hint="default"/>
        <w:lang w:val="en-US" w:eastAsia="en-US" w:bidi="ar-SA"/>
      </w:rPr>
    </w:lvl>
    <w:lvl w:ilvl="2">
      <w:start w:val="0"/>
      <w:numFmt w:val="bullet"/>
      <w:lvlText w:val="•"/>
      <w:lvlJc w:val="left"/>
      <w:pPr>
        <w:ind w:left="1162" w:hanging="360"/>
      </w:pPr>
      <w:rPr>
        <w:rFonts w:hint="default"/>
        <w:lang w:val="en-US" w:eastAsia="en-US" w:bidi="ar-SA"/>
      </w:rPr>
    </w:lvl>
    <w:lvl w:ilvl="3">
      <w:start w:val="0"/>
      <w:numFmt w:val="bullet"/>
      <w:lvlText w:val="•"/>
      <w:lvlJc w:val="left"/>
      <w:pPr>
        <w:ind w:left="1513" w:hanging="360"/>
      </w:pPr>
      <w:rPr>
        <w:rFonts w:hint="default"/>
        <w:lang w:val="en-US" w:eastAsia="en-US" w:bidi="ar-SA"/>
      </w:rPr>
    </w:lvl>
    <w:lvl w:ilvl="4">
      <w:start w:val="0"/>
      <w:numFmt w:val="bullet"/>
      <w:lvlText w:val="•"/>
      <w:lvlJc w:val="left"/>
      <w:pPr>
        <w:ind w:left="1864" w:hanging="360"/>
      </w:pPr>
      <w:rPr>
        <w:rFonts w:hint="default"/>
        <w:lang w:val="en-US" w:eastAsia="en-US" w:bidi="ar-SA"/>
      </w:rPr>
    </w:lvl>
    <w:lvl w:ilvl="5">
      <w:start w:val="0"/>
      <w:numFmt w:val="bullet"/>
      <w:lvlText w:val="•"/>
      <w:lvlJc w:val="left"/>
      <w:pPr>
        <w:ind w:left="2215" w:hanging="360"/>
      </w:pPr>
      <w:rPr>
        <w:rFonts w:hint="default"/>
        <w:lang w:val="en-US" w:eastAsia="en-US" w:bidi="ar-SA"/>
      </w:rPr>
    </w:lvl>
    <w:lvl w:ilvl="6">
      <w:start w:val="0"/>
      <w:numFmt w:val="bullet"/>
      <w:lvlText w:val="•"/>
      <w:lvlJc w:val="left"/>
      <w:pPr>
        <w:ind w:left="2566" w:hanging="360"/>
      </w:pPr>
      <w:rPr>
        <w:rFonts w:hint="default"/>
        <w:lang w:val="en-US" w:eastAsia="en-US" w:bidi="ar-SA"/>
      </w:rPr>
    </w:lvl>
    <w:lvl w:ilvl="7">
      <w:start w:val="0"/>
      <w:numFmt w:val="bullet"/>
      <w:lvlText w:val="•"/>
      <w:lvlJc w:val="left"/>
      <w:pPr>
        <w:ind w:left="2917" w:hanging="360"/>
      </w:pPr>
      <w:rPr>
        <w:rFonts w:hint="default"/>
        <w:lang w:val="en-US" w:eastAsia="en-US" w:bidi="ar-SA"/>
      </w:rPr>
    </w:lvl>
    <w:lvl w:ilvl="8">
      <w:start w:val="0"/>
      <w:numFmt w:val="bullet"/>
      <w:lvlText w:val="•"/>
      <w:lvlJc w:val="left"/>
      <w:pPr>
        <w:ind w:left="3268" w:hanging="360"/>
      </w:pPr>
      <w:rPr>
        <w:rFonts w:hint="default"/>
        <w:lang w:val="en-US" w:eastAsia="en-US" w:bidi="ar-SA"/>
      </w:rPr>
    </w:lvl>
  </w:abstractNum>
  <w:abstractNum w:abstractNumId="17">
    <w:multiLevelType w:val="hybridMultilevel"/>
    <w:lvl w:ilvl="0">
      <w:start w:val="0"/>
      <w:numFmt w:val="bullet"/>
      <w:lvlText w:val=""/>
      <w:lvlJc w:val="left"/>
      <w:pPr>
        <w:ind w:left="468" w:hanging="360"/>
      </w:pPr>
      <w:rPr>
        <w:rFonts w:hint="default" w:ascii="Symbol" w:hAnsi="Symbol" w:eastAsia="Symbol" w:cs="Symbol"/>
        <w:b w:val="0"/>
        <w:bCs w:val="0"/>
        <w:i w:val="0"/>
        <w:iCs w:val="0"/>
        <w:w w:val="99"/>
        <w:sz w:val="20"/>
        <w:szCs w:val="20"/>
        <w:lang w:val="en-US" w:eastAsia="en-US" w:bidi="ar-SA"/>
      </w:rPr>
    </w:lvl>
    <w:lvl w:ilvl="1">
      <w:start w:val="0"/>
      <w:numFmt w:val="bullet"/>
      <w:lvlText w:val="•"/>
      <w:lvlJc w:val="left"/>
      <w:pPr>
        <w:ind w:left="811" w:hanging="360"/>
      </w:pPr>
      <w:rPr>
        <w:rFonts w:hint="default"/>
        <w:lang w:val="en-US" w:eastAsia="en-US" w:bidi="ar-SA"/>
      </w:rPr>
    </w:lvl>
    <w:lvl w:ilvl="2">
      <w:start w:val="0"/>
      <w:numFmt w:val="bullet"/>
      <w:lvlText w:val="•"/>
      <w:lvlJc w:val="left"/>
      <w:pPr>
        <w:ind w:left="1162" w:hanging="360"/>
      </w:pPr>
      <w:rPr>
        <w:rFonts w:hint="default"/>
        <w:lang w:val="en-US" w:eastAsia="en-US" w:bidi="ar-SA"/>
      </w:rPr>
    </w:lvl>
    <w:lvl w:ilvl="3">
      <w:start w:val="0"/>
      <w:numFmt w:val="bullet"/>
      <w:lvlText w:val="•"/>
      <w:lvlJc w:val="left"/>
      <w:pPr>
        <w:ind w:left="1513" w:hanging="360"/>
      </w:pPr>
      <w:rPr>
        <w:rFonts w:hint="default"/>
        <w:lang w:val="en-US" w:eastAsia="en-US" w:bidi="ar-SA"/>
      </w:rPr>
    </w:lvl>
    <w:lvl w:ilvl="4">
      <w:start w:val="0"/>
      <w:numFmt w:val="bullet"/>
      <w:lvlText w:val="•"/>
      <w:lvlJc w:val="left"/>
      <w:pPr>
        <w:ind w:left="1864" w:hanging="360"/>
      </w:pPr>
      <w:rPr>
        <w:rFonts w:hint="default"/>
        <w:lang w:val="en-US" w:eastAsia="en-US" w:bidi="ar-SA"/>
      </w:rPr>
    </w:lvl>
    <w:lvl w:ilvl="5">
      <w:start w:val="0"/>
      <w:numFmt w:val="bullet"/>
      <w:lvlText w:val="•"/>
      <w:lvlJc w:val="left"/>
      <w:pPr>
        <w:ind w:left="2215" w:hanging="360"/>
      </w:pPr>
      <w:rPr>
        <w:rFonts w:hint="default"/>
        <w:lang w:val="en-US" w:eastAsia="en-US" w:bidi="ar-SA"/>
      </w:rPr>
    </w:lvl>
    <w:lvl w:ilvl="6">
      <w:start w:val="0"/>
      <w:numFmt w:val="bullet"/>
      <w:lvlText w:val="•"/>
      <w:lvlJc w:val="left"/>
      <w:pPr>
        <w:ind w:left="2566" w:hanging="360"/>
      </w:pPr>
      <w:rPr>
        <w:rFonts w:hint="default"/>
        <w:lang w:val="en-US" w:eastAsia="en-US" w:bidi="ar-SA"/>
      </w:rPr>
    </w:lvl>
    <w:lvl w:ilvl="7">
      <w:start w:val="0"/>
      <w:numFmt w:val="bullet"/>
      <w:lvlText w:val="•"/>
      <w:lvlJc w:val="left"/>
      <w:pPr>
        <w:ind w:left="2917" w:hanging="360"/>
      </w:pPr>
      <w:rPr>
        <w:rFonts w:hint="default"/>
        <w:lang w:val="en-US" w:eastAsia="en-US" w:bidi="ar-SA"/>
      </w:rPr>
    </w:lvl>
    <w:lvl w:ilvl="8">
      <w:start w:val="0"/>
      <w:numFmt w:val="bullet"/>
      <w:lvlText w:val="•"/>
      <w:lvlJc w:val="left"/>
      <w:pPr>
        <w:ind w:left="3268" w:hanging="360"/>
      </w:pPr>
      <w:rPr>
        <w:rFonts w:hint="default"/>
        <w:lang w:val="en-US" w:eastAsia="en-US" w:bidi="ar-SA"/>
      </w:rPr>
    </w:lvl>
  </w:abstractNum>
  <w:abstractNum w:abstractNumId="16">
    <w:multiLevelType w:val="hybridMultilevel"/>
    <w:lvl w:ilvl="0">
      <w:start w:val="1"/>
      <w:numFmt w:val="decimal"/>
      <w:lvlText w:val="%1."/>
      <w:lvlJc w:val="left"/>
      <w:pPr>
        <w:ind w:left="1132" w:hanging="567"/>
        <w:jc w:val="left"/>
      </w:pPr>
      <w:rPr>
        <w:rFonts w:hint="default"/>
        <w:spacing w:val="-1"/>
        <w:w w:val="100"/>
        <w:lang w:val="en-US" w:eastAsia="en-US" w:bidi="ar-SA"/>
      </w:rPr>
    </w:lvl>
    <w:lvl w:ilvl="1">
      <w:start w:val="1"/>
      <w:numFmt w:val="decimal"/>
      <w:lvlText w:val="%1.%2"/>
      <w:lvlJc w:val="left"/>
      <w:pPr>
        <w:ind w:left="1132" w:hanging="567"/>
        <w:jc w:val="left"/>
      </w:pPr>
      <w:rPr>
        <w:rFonts w:hint="default" w:ascii="Verdana" w:hAnsi="Verdana" w:eastAsia="Verdana" w:cs="Verdana"/>
        <w:b w:val="0"/>
        <w:bCs w:val="0"/>
        <w:i w:val="0"/>
        <w:iCs w:val="0"/>
        <w:spacing w:val="-1"/>
        <w:w w:val="100"/>
        <w:sz w:val="24"/>
        <w:szCs w:val="24"/>
        <w:lang w:val="en-US" w:eastAsia="en-US" w:bidi="ar-SA"/>
      </w:rPr>
    </w:lvl>
    <w:lvl w:ilvl="2">
      <w:start w:val="0"/>
      <w:numFmt w:val="bullet"/>
      <w:lvlText w:val=""/>
      <w:lvlJc w:val="left"/>
      <w:pPr>
        <w:ind w:left="1985" w:hanging="425"/>
      </w:pPr>
      <w:rPr>
        <w:rFonts w:hint="default" w:ascii="Symbol" w:hAnsi="Symbol" w:eastAsia="Symbol" w:cs="Symbol"/>
        <w:b w:val="0"/>
        <w:bCs w:val="0"/>
        <w:i w:val="0"/>
        <w:iCs w:val="0"/>
        <w:w w:val="100"/>
        <w:sz w:val="24"/>
        <w:szCs w:val="24"/>
        <w:lang w:val="en-US" w:eastAsia="en-US" w:bidi="ar-SA"/>
      </w:rPr>
    </w:lvl>
    <w:lvl w:ilvl="3">
      <w:start w:val="0"/>
      <w:numFmt w:val="bullet"/>
      <w:lvlText w:val="•"/>
      <w:lvlJc w:val="left"/>
      <w:pPr>
        <w:ind w:left="4185" w:hanging="425"/>
      </w:pPr>
      <w:rPr>
        <w:rFonts w:hint="default"/>
        <w:lang w:val="en-US" w:eastAsia="en-US" w:bidi="ar-SA"/>
      </w:rPr>
    </w:lvl>
    <w:lvl w:ilvl="4">
      <w:start w:val="0"/>
      <w:numFmt w:val="bullet"/>
      <w:lvlText w:val="•"/>
      <w:lvlJc w:val="left"/>
      <w:pPr>
        <w:ind w:left="5288" w:hanging="425"/>
      </w:pPr>
      <w:rPr>
        <w:rFonts w:hint="default"/>
        <w:lang w:val="en-US" w:eastAsia="en-US" w:bidi="ar-SA"/>
      </w:rPr>
    </w:lvl>
    <w:lvl w:ilvl="5">
      <w:start w:val="0"/>
      <w:numFmt w:val="bullet"/>
      <w:lvlText w:val="•"/>
      <w:lvlJc w:val="left"/>
      <w:pPr>
        <w:ind w:left="6391" w:hanging="425"/>
      </w:pPr>
      <w:rPr>
        <w:rFonts w:hint="default"/>
        <w:lang w:val="en-US" w:eastAsia="en-US" w:bidi="ar-SA"/>
      </w:rPr>
    </w:lvl>
    <w:lvl w:ilvl="6">
      <w:start w:val="0"/>
      <w:numFmt w:val="bullet"/>
      <w:lvlText w:val="•"/>
      <w:lvlJc w:val="left"/>
      <w:pPr>
        <w:ind w:left="7494" w:hanging="425"/>
      </w:pPr>
      <w:rPr>
        <w:rFonts w:hint="default"/>
        <w:lang w:val="en-US" w:eastAsia="en-US" w:bidi="ar-SA"/>
      </w:rPr>
    </w:lvl>
    <w:lvl w:ilvl="7">
      <w:start w:val="0"/>
      <w:numFmt w:val="bullet"/>
      <w:lvlText w:val="•"/>
      <w:lvlJc w:val="left"/>
      <w:pPr>
        <w:ind w:left="8597" w:hanging="425"/>
      </w:pPr>
      <w:rPr>
        <w:rFonts w:hint="default"/>
        <w:lang w:val="en-US" w:eastAsia="en-US" w:bidi="ar-SA"/>
      </w:rPr>
    </w:lvl>
    <w:lvl w:ilvl="8">
      <w:start w:val="0"/>
      <w:numFmt w:val="bullet"/>
      <w:lvlText w:val="•"/>
      <w:lvlJc w:val="left"/>
      <w:pPr>
        <w:ind w:left="9700" w:hanging="425"/>
      </w:pPr>
      <w:rPr>
        <w:rFonts w:hint="default"/>
        <w:lang w:val="en-US" w:eastAsia="en-US" w:bidi="ar-SA"/>
      </w:rPr>
    </w:lvl>
  </w:abstractNum>
  <w:abstractNum w:abstractNumId="15">
    <w:multiLevelType w:val="hybridMultilevel"/>
    <w:lvl w:ilvl="0">
      <w:start w:val="0"/>
      <w:numFmt w:val="bullet"/>
      <w:lvlText w:val=""/>
      <w:lvlJc w:val="left"/>
      <w:pPr>
        <w:ind w:left="422" w:hanging="284"/>
      </w:pPr>
      <w:rPr>
        <w:rFonts w:hint="default" w:ascii="Symbol" w:hAnsi="Symbol" w:eastAsia="Symbol" w:cs="Symbol"/>
        <w:b w:val="0"/>
        <w:bCs w:val="0"/>
        <w:i w:val="0"/>
        <w:iCs w:val="0"/>
        <w:w w:val="99"/>
        <w:sz w:val="20"/>
        <w:szCs w:val="20"/>
        <w:lang w:val="en-US" w:eastAsia="en-US" w:bidi="ar-SA"/>
      </w:rPr>
    </w:lvl>
    <w:lvl w:ilvl="1">
      <w:start w:val="0"/>
      <w:numFmt w:val="bullet"/>
      <w:lvlText w:val="•"/>
      <w:lvlJc w:val="left"/>
      <w:pPr>
        <w:ind w:left="810" w:hanging="284"/>
      </w:pPr>
      <w:rPr>
        <w:rFonts w:hint="default"/>
        <w:lang w:val="en-US" w:eastAsia="en-US" w:bidi="ar-SA"/>
      </w:rPr>
    </w:lvl>
    <w:lvl w:ilvl="2">
      <w:start w:val="0"/>
      <w:numFmt w:val="bullet"/>
      <w:lvlText w:val="•"/>
      <w:lvlJc w:val="left"/>
      <w:pPr>
        <w:ind w:left="1200" w:hanging="284"/>
      </w:pPr>
      <w:rPr>
        <w:rFonts w:hint="default"/>
        <w:lang w:val="en-US" w:eastAsia="en-US" w:bidi="ar-SA"/>
      </w:rPr>
    </w:lvl>
    <w:lvl w:ilvl="3">
      <w:start w:val="0"/>
      <w:numFmt w:val="bullet"/>
      <w:lvlText w:val="•"/>
      <w:lvlJc w:val="left"/>
      <w:pPr>
        <w:ind w:left="1591" w:hanging="284"/>
      </w:pPr>
      <w:rPr>
        <w:rFonts w:hint="default"/>
        <w:lang w:val="en-US" w:eastAsia="en-US" w:bidi="ar-SA"/>
      </w:rPr>
    </w:lvl>
    <w:lvl w:ilvl="4">
      <w:start w:val="0"/>
      <w:numFmt w:val="bullet"/>
      <w:lvlText w:val="•"/>
      <w:lvlJc w:val="left"/>
      <w:pPr>
        <w:ind w:left="1981" w:hanging="284"/>
      </w:pPr>
      <w:rPr>
        <w:rFonts w:hint="default"/>
        <w:lang w:val="en-US" w:eastAsia="en-US" w:bidi="ar-SA"/>
      </w:rPr>
    </w:lvl>
    <w:lvl w:ilvl="5">
      <w:start w:val="0"/>
      <w:numFmt w:val="bullet"/>
      <w:lvlText w:val="•"/>
      <w:lvlJc w:val="left"/>
      <w:pPr>
        <w:ind w:left="2371" w:hanging="284"/>
      </w:pPr>
      <w:rPr>
        <w:rFonts w:hint="default"/>
        <w:lang w:val="en-US" w:eastAsia="en-US" w:bidi="ar-SA"/>
      </w:rPr>
    </w:lvl>
    <w:lvl w:ilvl="6">
      <w:start w:val="0"/>
      <w:numFmt w:val="bullet"/>
      <w:lvlText w:val="•"/>
      <w:lvlJc w:val="left"/>
      <w:pPr>
        <w:ind w:left="2762" w:hanging="284"/>
      </w:pPr>
      <w:rPr>
        <w:rFonts w:hint="default"/>
        <w:lang w:val="en-US" w:eastAsia="en-US" w:bidi="ar-SA"/>
      </w:rPr>
    </w:lvl>
    <w:lvl w:ilvl="7">
      <w:start w:val="0"/>
      <w:numFmt w:val="bullet"/>
      <w:lvlText w:val="•"/>
      <w:lvlJc w:val="left"/>
      <w:pPr>
        <w:ind w:left="3152" w:hanging="284"/>
      </w:pPr>
      <w:rPr>
        <w:rFonts w:hint="default"/>
        <w:lang w:val="en-US" w:eastAsia="en-US" w:bidi="ar-SA"/>
      </w:rPr>
    </w:lvl>
    <w:lvl w:ilvl="8">
      <w:start w:val="0"/>
      <w:numFmt w:val="bullet"/>
      <w:lvlText w:val="•"/>
      <w:lvlJc w:val="left"/>
      <w:pPr>
        <w:ind w:left="3542" w:hanging="284"/>
      </w:pPr>
      <w:rPr>
        <w:rFonts w:hint="default"/>
        <w:lang w:val="en-US" w:eastAsia="en-US" w:bidi="ar-SA"/>
      </w:rPr>
    </w:lvl>
  </w:abstractNum>
  <w:abstractNum w:abstractNumId="14">
    <w:multiLevelType w:val="hybridMultilevel"/>
    <w:lvl w:ilvl="0">
      <w:start w:val="1"/>
      <w:numFmt w:val="decimal"/>
      <w:lvlText w:val="%1."/>
      <w:lvlJc w:val="left"/>
      <w:pPr>
        <w:ind w:left="1226" w:hanging="660"/>
        <w:jc w:val="left"/>
      </w:pPr>
      <w:rPr>
        <w:rFonts w:hint="default" w:ascii="Verdana" w:hAnsi="Verdana" w:eastAsia="Verdana" w:cs="Verdana"/>
        <w:b w:val="0"/>
        <w:bCs w:val="0"/>
        <w:i w:val="0"/>
        <w:iCs w:val="0"/>
        <w:spacing w:val="0"/>
        <w:w w:val="100"/>
        <w:sz w:val="22"/>
        <w:szCs w:val="22"/>
        <w:lang w:val="en-US" w:eastAsia="en-US" w:bidi="ar-SA"/>
      </w:rPr>
    </w:lvl>
    <w:lvl w:ilvl="1">
      <w:start w:val="0"/>
      <w:numFmt w:val="bullet"/>
      <w:lvlText w:val="•"/>
      <w:lvlJc w:val="left"/>
      <w:pPr>
        <w:ind w:left="2288" w:hanging="660"/>
      </w:pPr>
      <w:rPr>
        <w:rFonts w:hint="default"/>
        <w:lang w:val="en-US" w:eastAsia="en-US" w:bidi="ar-SA"/>
      </w:rPr>
    </w:lvl>
    <w:lvl w:ilvl="2">
      <w:start w:val="0"/>
      <w:numFmt w:val="bullet"/>
      <w:lvlText w:val="•"/>
      <w:lvlJc w:val="left"/>
      <w:pPr>
        <w:ind w:left="3357" w:hanging="660"/>
      </w:pPr>
      <w:rPr>
        <w:rFonts w:hint="default"/>
        <w:lang w:val="en-US" w:eastAsia="en-US" w:bidi="ar-SA"/>
      </w:rPr>
    </w:lvl>
    <w:lvl w:ilvl="3">
      <w:start w:val="0"/>
      <w:numFmt w:val="bullet"/>
      <w:lvlText w:val="•"/>
      <w:lvlJc w:val="left"/>
      <w:pPr>
        <w:ind w:left="4425" w:hanging="660"/>
      </w:pPr>
      <w:rPr>
        <w:rFonts w:hint="default"/>
        <w:lang w:val="en-US" w:eastAsia="en-US" w:bidi="ar-SA"/>
      </w:rPr>
    </w:lvl>
    <w:lvl w:ilvl="4">
      <w:start w:val="0"/>
      <w:numFmt w:val="bullet"/>
      <w:lvlText w:val="•"/>
      <w:lvlJc w:val="left"/>
      <w:pPr>
        <w:ind w:left="5494" w:hanging="660"/>
      </w:pPr>
      <w:rPr>
        <w:rFonts w:hint="default"/>
        <w:lang w:val="en-US" w:eastAsia="en-US" w:bidi="ar-SA"/>
      </w:rPr>
    </w:lvl>
    <w:lvl w:ilvl="5">
      <w:start w:val="0"/>
      <w:numFmt w:val="bullet"/>
      <w:lvlText w:val="•"/>
      <w:lvlJc w:val="left"/>
      <w:pPr>
        <w:ind w:left="6563" w:hanging="660"/>
      </w:pPr>
      <w:rPr>
        <w:rFonts w:hint="default"/>
        <w:lang w:val="en-US" w:eastAsia="en-US" w:bidi="ar-SA"/>
      </w:rPr>
    </w:lvl>
    <w:lvl w:ilvl="6">
      <w:start w:val="0"/>
      <w:numFmt w:val="bullet"/>
      <w:lvlText w:val="•"/>
      <w:lvlJc w:val="left"/>
      <w:pPr>
        <w:ind w:left="7631" w:hanging="660"/>
      </w:pPr>
      <w:rPr>
        <w:rFonts w:hint="default"/>
        <w:lang w:val="en-US" w:eastAsia="en-US" w:bidi="ar-SA"/>
      </w:rPr>
    </w:lvl>
    <w:lvl w:ilvl="7">
      <w:start w:val="0"/>
      <w:numFmt w:val="bullet"/>
      <w:lvlText w:val="•"/>
      <w:lvlJc w:val="left"/>
      <w:pPr>
        <w:ind w:left="8700" w:hanging="660"/>
      </w:pPr>
      <w:rPr>
        <w:rFonts w:hint="default"/>
        <w:lang w:val="en-US" w:eastAsia="en-US" w:bidi="ar-SA"/>
      </w:rPr>
    </w:lvl>
    <w:lvl w:ilvl="8">
      <w:start w:val="0"/>
      <w:numFmt w:val="bullet"/>
      <w:lvlText w:val="•"/>
      <w:lvlJc w:val="left"/>
      <w:pPr>
        <w:ind w:left="9769" w:hanging="660"/>
      </w:pPr>
      <w:rPr>
        <w:rFonts w:hint="default"/>
        <w:lang w:val="en-US" w:eastAsia="en-US" w:bidi="ar-SA"/>
      </w:rPr>
    </w:lvl>
  </w:abstractNum>
  <w:abstractNum w:abstractNumId="13">
    <w:multiLevelType w:val="hybridMultilevel"/>
    <w:lvl w:ilvl="0">
      <w:start w:val="1"/>
      <w:numFmt w:val="decimal"/>
      <w:lvlText w:val="%1."/>
      <w:lvlJc w:val="left"/>
      <w:pPr>
        <w:ind w:left="752" w:hanging="567"/>
        <w:jc w:val="left"/>
      </w:pPr>
      <w:rPr>
        <w:rFonts w:hint="default"/>
        <w:spacing w:val="-1"/>
        <w:w w:val="100"/>
        <w:lang w:val="en-US" w:eastAsia="en-US" w:bidi="ar-SA"/>
      </w:rPr>
    </w:lvl>
    <w:lvl w:ilvl="1">
      <w:start w:val="1"/>
      <w:numFmt w:val="decimal"/>
      <w:lvlText w:val="%1.%2"/>
      <w:lvlJc w:val="left"/>
      <w:pPr>
        <w:ind w:left="894" w:hanging="709"/>
        <w:jc w:val="left"/>
      </w:pPr>
      <w:rPr>
        <w:rFonts w:hint="default" w:ascii="Verdana" w:hAnsi="Verdana" w:eastAsia="Verdana" w:cs="Verdana"/>
        <w:b w:val="0"/>
        <w:bCs w:val="0"/>
        <w:i w:val="0"/>
        <w:iCs w:val="0"/>
        <w:spacing w:val="-1"/>
        <w:w w:val="100"/>
        <w:sz w:val="24"/>
        <w:szCs w:val="24"/>
        <w:lang w:val="en-US" w:eastAsia="en-US" w:bidi="ar-SA"/>
      </w:rPr>
    </w:lvl>
    <w:lvl w:ilvl="2">
      <w:start w:val="0"/>
      <w:numFmt w:val="bullet"/>
      <w:lvlText w:val="•"/>
      <w:lvlJc w:val="left"/>
      <w:pPr>
        <w:ind w:left="2018" w:hanging="709"/>
      </w:pPr>
      <w:rPr>
        <w:rFonts w:hint="default"/>
        <w:lang w:val="en-US" w:eastAsia="en-US" w:bidi="ar-SA"/>
      </w:rPr>
    </w:lvl>
    <w:lvl w:ilvl="3">
      <w:start w:val="0"/>
      <w:numFmt w:val="bullet"/>
      <w:lvlText w:val="•"/>
      <w:lvlJc w:val="left"/>
      <w:pPr>
        <w:ind w:left="3136" w:hanging="709"/>
      </w:pPr>
      <w:rPr>
        <w:rFonts w:hint="default"/>
        <w:lang w:val="en-US" w:eastAsia="en-US" w:bidi="ar-SA"/>
      </w:rPr>
    </w:lvl>
    <w:lvl w:ilvl="4">
      <w:start w:val="0"/>
      <w:numFmt w:val="bullet"/>
      <w:lvlText w:val="•"/>
      <w:lvlJc w:val="left"/>
      <w:pPr>
        <w:ind w:left="4255" w:hanging="709"/>
      </w:pPr>
      <w:rPr>
        <w:rFonts w:hint="default"/>
        <w:lang w:val="en-US" w:eastAsia="en-US" w:bidi="ar-SA"/>
      </w:rPr>
    </w:lvl>
    <w:lvl w:ilvl="5">
      <w:start w:val="0"/>
      <w:numFmt w:val="bullet"/>
      <w:lvlText w:val="•"/>
      <w:lvlJc w:val="left"/>
      <w:pPr>
        <w:ind w:left="5373" w:hanging="709"/>
      </w:pPr>
      <w:rPr>
        <w:rFonts w:hint="default"/>
        <w:lang w:val="en-US" w:eastAsia="en-US" w:bidi="ar-SA"/>
      </w:rPr>
    </w:lvl>
    <w:lvl w:ilvl="6">
      <w:start w:val="0"/>
      <w:numFmt w:val="bullet"/>
      <w:lvlText w:val="•"/>
      <w:lvlJc w:val="left"/>
      <w:pPr>
        <w:ind w:left="6492" w:hanging="709"/>
      </w:pPr>
      <w:rPr>
        <w:rFonts w:hint="default"/>
        <w:lang w:val="en-US" w:eastAsia="en-US" w:bidi="ar-SA"/>
      </w:rPr>
    </w:lvl>
    <w:lvl w:ilvl="7">
      <w:start w:val="0"/>
      <w:numFmt w:val="bullet"/>
      <w:lvlText w:val="•"/>
      <w:lvlJc w:val="left"/>
      <w:pPr>
        <w:ind w:left="7610" w:hanging="709"/>
      </w:pPr>
      <w:rPr>
        <w:rFonts w:hint="default"/>
        <w:lang w:val="en-US" w:eastAsia="en-US" w:bidi="ar-SA"/>
      </w:rPr>
    </w:lvl>
    <w:lvl w:ilvl="8">
      <w:start w:val="0"/>
      <w:numFmt w:val="bullet"/>
      <w:lvlText w:val="•"/>
      <w:lvlJc w:val="left"/>
      <w:pPr>
        <w:ind w:left="8729" w:hanging="709"/>
      </w:pPr>
      <w:rPr>
        <w:rFonts w:hint="default"/>
        <w:lang w:val="en-US" w:eastAsia="en-US" w:bidi="ar-SA"/>
      </w:rPr>
    </w:lvl>
  </w:abstractNum>
  <w:abstractNum w:abstractNumId="12">
    <w:multiLevelType w:val="hybridMultilevel"/>
    <w:lvl w:ilvl="0">
      <w:start w:val="0"/>
      <w:numFmt w:val="bullet"/>
      <w:lvlText w:val=""/>
      <w:lvlJc w:val="left"/>
      <w:pPr>
        <w:ind w:left="571" w:hanging="284"/>
      </w:pPr>
      <w:rPr>
        <w:rFonts w:hint="default" w:ascii="Symbol" w:hAnsi="Symbol" w:eastAsia="Symbol" w:cs="Symbol"/>
        <w:b w:val="0"/>
        <w:bCs w:val="0"/>
        <w:i w:val="0"/>
        <w:iCs w:val="0"/>
        <w:w w:val="99"/>
        <w:sz w:val="20"/>
        <w:szCs w:val="20"/>
        <w:lang w:val="en-US" w:eastAsia="en-US" w:bidi="ar-SA"/>
      </w:rPr>
    </w:lvl>
    <w:lvl w:ilvl="1">
      <w:start w:val="0"/>
      <w:numFmt w:val="bullet"/>
      <w:lvlText w:val="•"/>
      <w:lvlJc w:val="left"/>
      <w:pPr>
        <w:ind w:left="954" w:hanging="284"/>
      </w:pPr>
      <w:rPr>
        <w:rFonts w:hint="default"/>
        <w:lang w:val="en-US" w:eastAsia="en-US" w:bidi="ar-SA"/>
      </w:rPr>
    </w:lvl>
    <w:lvl w:ilvl="2">
      <w:start w:val="0"/>
      <w:numFmt w:val="bullet"/>
      <w:lvlText w:val="•"/>
      <w:lvlJc w:val="left"/>
      <w:pPr>
        <w:ind w:left="1328" w:hanging="284"/>
      </w:pPr>
      <w:rPr>
        <w:rFonts w:hint="default"/>
        <w:lang w:val="en-US" w:eastAsia="en-US" w:bidi="ar-SA"/>
      </w:rPr>
    </w:lvl>
    <w:lvl w:ilvl="3">
      <w:start w:val="0"/>
      <w:numFmt w:val="bullet"/>
      <w:lvlText w:val="•"/>
      <w:lvlJc w:val="left"/>
      <w:pPr>
        <w:ind w:left="1702" w:hanging="284"/>
      </w:pPr>
      <w:rPr>
        <w:rFonts w:hint="default"/>
        <w:lang w:val="en-US" w:eastAsia="en-US" w:bidi="ar-SA"/>
      </w:rPr>
    </w:lvl>
    <w:lvl w:ilvl="4">
      <w:start w:val="0"/>
      <w:numFmt w:val="bullet"/>
      <w:lvlText w:val="•"/>
      <w:lvlJc w:val="left"/>
      <w:pPr>
        <w:ind w:left="2076" w:hanging="284"/>
      </w:pPr>
      <w:rPr>
        <w:rFonts w:hint="default"/>
        <w:lang w:val="en-US" w:eastAsia="en-US" w:bidi="ar-SA"/>
      </w:rPr>
    </w:lvl>
    <w:lvl w:ilvl="5">
      <w:start w:val="0"/>
      <w:numFmt w:val="bullet"/>
      <w:lvlText w:val="•"/>
      <w:lvlJc w:val="left"/>
      <w:pPr>
        <w:ind w:left="2450" w:hanging="284"/>
      </w:pPr>
      <w:rPr>
        <w:rFonts w:hint="default"/>
        <w:lang w:val="en-US" w:eastAsia="en-US" w:bidi="ar-SA"/>
      </w:rPr>
    </w:lvl>
    <w:lvl w:ilvl="6">
      <w:start w:val="0"/>
      <w:numFmt w:val="bullet"/>
      <w:lvlText w:val="•"/>
      <w:lvlJc w:val="left"/>
      <w:pPr>
        <w:ind w:left="2824" w:hanging="284"/>
      </w:pPr>
      <w:rPr>
        <w:rFonts w:hint="default"/>
        <w:lang w:val="en-US" w:eastAsia="en-US" w:bidi="ar-SA"/>
      </w:rPr>
    </w:lvl>
    <w:lvl w:ilvl="7">
      <w:start w:val="0"/>
      <w:numFmt w:val="bullet"/>
      <w:lvlText w:val="•"/>
      <w:lvlJc w:val="left"/>
      <w:pPr>
        <w:ind w:left="3198" w:hanging="284"/>
      </w:pPr>
      <w:rPr>
        <w:rFonts w:hint="default"/>
        <w:lang w:val="en-US" w:eastAsia="en-US" w:bidi="ar-SA"/>
      </w:rPr>
    </w:lvl>
    <w:lvl w:ilvl="8">
      <w:start w:val="0"/>
      <w:numFmt w:val="bullet"/>
      <w:lvlText w:val="•"/>
      <w:lvlJc w:val="left"/>
      <w:pPr>
        <w:ind w:left="3572" w:hanging="284"/>
      </w:pPr>
      <w:rPr>
        <w:rFonts w:hint="default"/>
        <w:lang w:val="en-US" w:eastAsia="en-US" w:bidi="ar-SA"/>
      </w:rPr>
    </w:lvl>
  </w:abstractNum>
  <w:abstractNum w:abstractNumId="11">
    <w:multiLevelType w:val="hybridMultilevel"/>
    <w:lvl w:ilvl="0">
      <w:start w:val="1"/>
      <w:numFmt w:val="decimal"/>
      <w:lvlText w:val="%1."/>
      <w:lvlJc w:val="left"/>
      <w:pPr>
        <w:ind w:left="625" w:hanging="440"/>
        <w:jc w:val="left"/>
      </w:pPr>
      <w:rPr>
        <w:rFonts w:hint="default" w:ascii="Verdana" w:hAnsi="Verdana" w:eastAsia="Verdana" w:cs="Verdana"/>
        <w:b w:val="0"/>
        <w:bCs w:val="0"/>
        <w:i w:val="0"/>
        <w:iCs w:val="0"/>
        <w:spacing w:val="-2"/>
        <w:w w:val="100"/>
        <w:sz w:val="22"/>
        <w:szCs w:val="22"/>
        <w:lang w:val="en-US" w:eastAsia="en-US" w:bidi="ar-SA"/>
      </w:rPr>
    </w:lvl>
    <w:lvl w:ilvl="1">
      <w:start w:val="1"/>
      <w:numFmt w:val="decimal"/>
      <w:lvlText w:val="%1.%2"/>
      <w:lvlJc w:val="left"/>
      <w:pPr>
        <w:ind w:left="894" w:hanging="709"/>
        <w:jc w:val="left"/>
      </w:pPr>
      <w:rPr>
        <w:rFonts w:hint="default" w:ascii="Verdana" w:hAnsi="Verdana" w:eastAsia="Verdana" w:cs="Verdana"/>
        <w:b w:val="0"/>
        <w:bCs w:val="0"/>
        <w:i w:val="0"/>
        <w:iCs w:val="0"/>
        <w:spacing w:val="-1"/>
        <w:w w:val="100"/>
        <w:sz w:val="24"/>
        <w:szCs w:val="24"/>
        <w:lang w:val="en-US" w:eastAsia="en-US" w:bidi="ar-SA"/>
      </w:rPr>
    </w:lvl>
    <w:lvl w:ilvl="2">
      <w:start w:val="0"/>
      <w:numFmt w:val="bullet"/>
      <w:lvlText w:val=""/>
      <w:lvlJc w:val="left"/>
      <w:pPr>
        <w:ind w:left="1319" w:hanging="281"/>
      </w:pPr>
      <w:rPr>
        <w:rFonts w:hint="default" w:ascii="Symbol" w:hAnsi="Symbol" w:eastAsia="Symbol" w:cs="Symbol"/>
        <w:b w:val="0"/>
        <w:bCs w:val="0"/>
        <w:i w:val="0"/>
        <w:iCs w:val="0"/>
        <w:w w:val="100"/>
        <w:sz w:val="24"/>
        <w:szCs w:val="24"/>
        <w:lang w:val="en-US" w:eastAsia="en-US" w:bidi="ar-SA"/>
      </w:rPr>
    </w:lvl>
    <w:lvl w:ilvl="3">
      <w:start w:val="0"/>
      <w:numFmt w:val="bullet"/>
      <w:lvlText w:val="•"/>
      <w:lvlJc w:val="left"/>
      <w:pPr>
        <w:ind w:left="2525" w:hanging="281"/>
      </w:pPr>
      <w:rPr>
        <w:rFonts w:hint="default"/>
        <w:lang w:val="en-US" w:eastAsia="en-US" w:bidi="ar-SA"/>
      </w:rPr>
    </w:lvl>
    <w:lvl w:ilvl="4">
      <w:start w:val="0"/>
      <w:numFmt w:val="bullet"/>
      <w:lvlText w:val="•"/>
      <w:lvlJc w:val="left"/>
      <w:pPr>
        <w:ind w:left="3731" w:hanging="281"/>
      </w:pPr>
      <w:rPr>
        <w:rFonts w:hint="default"/>
        <w:lang w:val="en-US" w:eastAsia="en-US" w:bidi="ar-SA"/>
      </w:rPr>
    </w:lvl>
    <w:lvl w:ilvl="5">
      <w:start w:val="0"/>
      <w:numFmt w:val="bullet"/>
      <w:lvlText w:val="•"/>
      <w:lvlJc w:val="left"/>
      <w:pPr>
        <w:ind w:left="4937" w:hanging="281"/>
      </w:pPr>
      <w:rPr>
        <w:rFonts w:hint="default"/>
        <w:lang w:val="en-US" w:eastAsia="en-US" w:bidi="ar-SA"/>
      </w:rPr>
    </w:lvl>
    <w:lvl w:ilvl="6">
      <w:start w:val="0"/>
      <w:numFmt w:val="bullet"/>
      <w:lvlText w:val="•"/>
      <w:lvlJc w:val="left"/>
      <w:pPr>
        <w:ind w:left="6143" w:hanging="281"/>
      </w:pPr>
      <w:rPr>
        <w:rFonts w:hint="default"/>
        <w:lang w:val="en-US" w:eastAsia="en-US" w:bidi="ar-SA"/>
      </w:rPr>
    </w:lvl>
    <w:lvl w:ilvl="7">
      <w:start w:val="0"/>
      <w:numFmt w:val="bullet"/>
      <w:lvlText w:val="•"/>
      <w:lvlJc w:val="left"/>
      <w:pPr>
        <w:ind w:left="7349" w:hanging="281"/>
      </w:pPr>
      <w:rPr>
        <w:rFonts w:hint="default"/>
        <w:lang w:val="en-US" w:eastAsia="en-US" w:bidi="ar-SA"/>
      </w:rPr>
    </w:lvl>
    <w:lvl w:ilvl="8">
      <w:start w:val="0"/>
      <w:numFmt w:val="bullet"/>
      <w:lvlText w:val="•"/>
      <w:lvlJc w:val="left"/>
      <w:pPr>
        <w:ind w:left="8554" w:hanging="281"/>
      </w:pPr>
      <w:rPr>
        <w:rFonts w:hint="default"/>
        <w:lang w:val="en-US" w:eastAsia="en-US" w:bidi="ar-SA"/>
      </w:rPr>
    </w:lvl>
  </w:abstractNum>
  <w:abstractNum w:abstractNumId="10">
    <w:multiLevelType w:val="hybridMultilevel"/>
    <w:lvl w:ilvl="0">
      <w:start w:val="1"/>
      <w:numFmt w:val="decimal"/>
      <w:lvlText w:val="%1."/>
      <w:lvlJc w:val="left"/>
      <w:pPr>
        <w:ind w:left="1048" w:hanging="579"/>
        <w:jc w:val="left"/>
      </w:pPr>
      <w:rPr>
        <w:rFonts w:hint="default" w:ascii="Verdana" w:hAnsi="Verdana" w:eastAsia="Verdana" w:cs="Verdana"/>
        <w:b/>
        <w:bCs/>
        <w:i w:val="0"/>
        <w:iCs w:val="0"/>
        <w:color w:val="17365D"/>
        <w:spacing w:val="-1"/>
        <w:w w:val="100"/>
        <w:sz w:val="28"/>
        <w:szCs w:val="28"/>
        <w:lang w:val="en-US" w:eastAsia="en-US" w:bidi="ar-SA"/>
      </w:rPr>
    </w:lvl>
    <w:lvl w:ilvl="1">
      <w:start w:val="0"/>
      <w:numFmt w:val="bullet"/>
      <w:lvlText w:val="•"/>
      <w:lvlJc w:val="left"/>
      <w:pPr>
        <w:ind w:left="2032" w:hanging="579"/>
      </w:pPr>
      <w:rPr>
        <w:rFonts w:hint="default"/>
        <w:lang w:val="en-US" w:eastAsia="en-US" w:bidi="ar-SA"/>
      </w:rPr>
    </w:lvl>
    <w:lvl w:ilvl="2">
      <w:start w:val="0"/>
      <w:numFmt w:val="bullet"/>
      <w:lvlText w:val="•"/>
      <w:lvlJc w:val="left"/>
      <w:pPr>
        <w:ind w:left="3025" w:hanging="579"/>
      </w:pPr>
      <w:rPr>
        <w:rFonts w:hint="default"/>
        <w:lang w:val="en-US" w:eastAsia="en-US" w:bidi="ar-SA"/>
      </w:rPr>
    </w:lvl>
    <w:lvl w:ilvl="3">
      <w:start w:val="0"/>
      <w:numFmt w:val="bullet"/>
      <w:lvlText w:val="•"/>
      <w:lvlJc w:val="left"/>
      <w:pPr>
        <w:ind w:left="4017" w:hanging="579"/>
      </w:pPr>
      <w:rPr>
        <w:rFonts w:hint="default"/>
        <w:lang w:val="en-US" w:eastAsia="en-US" w:bidi="ar-SA"/>
      </w:rPr>
    </w:lvl>
    <w:lvl w:ilvl="4">
      <w:start w:val="0"/>
      <w:numFmt w:val="bullet"/>
      <w:lvlText w:val="•"/>
      <w:lvlJc w:val="left"/>
      <w:pPr>
        <w:ind w:left="5010" w:hanging="579"/>
      </w:pPr>
      <w:rPr>
        <w:rFonts w:hint="default"/>
        <w:lang w:val="en-US" w:eastAsia="en-US" w:bidi="ar-SA"/>
      </w:rPr>
    </w:lvl>
    <w:lvl w:ilvl="5">
      <w:start w:val="0"/>
      <w:numFmt w:val="bullet"/>
      <w:lvlText w:val="•"/>
      <w:lvlJc w:val="left"/>
      <w:pPr>
        <w:ind w:left="6003" w:hanging="579"/>
      </w:pPr>
      <w:rPr>
        <w:rFonts w:hint="default"/>
        <w:lang w:val="en-US" w:eastAsia="en-US" w:bidi="ar-SA"/>
      </w:rPr>
    </w:lvl>
    <w:lvl w:ilvl="6">
      <w:start w:val="0"/>
      <w:numFmt w:val="bullet"/>
      <w:lvlText w:val="•"/>
      <w:lvlJc w:val="left"/>
      <w:pPr>
        <w:ind w:left="6995" w:hanging="579"/>
      </w:pPr>
      <w:rPr>
        <w:rFonts w:hint="default"/>
        <w:lang w:val="en-US" w:eastAsia="en-US" w:bidi="ar-SA"/>
      </w:rPr>
    </w:lvl>
    <w:lvl w:ilvl="7">
      <w:start w:val="0"/>
      <w:numFmt w:val="bullet"/>
      <w:lvlText w:val="•"/>
      <w:lvlJc w:val="left"/>
      <w:pPr>
        <w:ind w:left="7988" w:hanging="579"/>
      </w:pPr>
      <w:rPr>
        <w:rFonts w:hint="default"/>
        <w:lang w:val="en-US" w:eastAsia="en-US" w:bidi="ar-SA"/>
      </w:rPr>
    </w:lvl>
    <w:lvl w:ilvl="8">
      <w:start w:val="0"/>
      <w:numFmt w:val="bullet"/>
      <w:lvlText w:val="•"/>
      <w:lvlJc w:val="left"/>
      <w:pPr>
        <w:ind w:left="8981" w:hanging="579"/>
      </w:pPr>
      <w:rPr>
        <w:rFonts w:hint="default"/>
        <w:lang w:val="en-US" w:eastAsia="en-US" w:bidi="ar-SA"/>
      </w:rPr>
    </w:lvl>
  </w:abstractNum>
  <w:abstractNum w:abstractNumId="9">
    <w:multiLevelType w:val="hybridMultilevel"/>
    <w:lvl w:ilvl="0">
      <w:start w:val="1"/>
      <w:numFmt w:val="decimal"/>
      <w:lvlText w:val="%1."/>
      <w:lvlJc w:val="left"/>
      <w:pPr>
        <w:ind w:left="1742" w:hanging="569"/>
        <w:jc w:val="left"/>
      </w:pPr>
      <w:rPr>
        <w:rFonts w:hint="default" w:ascii="Verdana" w:hAnsi="Verdana" w:eastAsia="Verdana" w:cs="Verdana"/>
        <w:b/>
        <w:bCs/>
        <w:i w:val="0"/>
        <w:iCs w:val="0"/>
        <w:color w:val="15254A"/>
        <w:spacing w:val="-1"/>
        <w:w w:val="100"/>
        <w:sz w:val="24"/>
        <w:szCs w:val="24"/>
        <w:lang w:val="en-US" w:eastAsia="en-US" w:bidi="ar-SA"/>
      </w:rPr>
    </w:lvl>
    <w:lvl w:ilvl="1">
      <w:start w:val="0"/>
      <w:numFmt w:val="bullet"/>
      <w:lvlText w:val="•"/>
      <w:lvlJc w:val="left"/>
      <w:pPr>
        <w:ind w:left="2662" w:hanging="569"/>
      </w:pPr>
      <w:rPr>
        <w:rFonts w:hint="default"/>
        <w:lang w:val="en-US" w:eastAsia="en-US" w:bidi="ar-SA"/>
      </w:rPr>
    </w:lvl>
    <w:lvl w:ilvl="2">
      <w:start w:val="0"/>
      <w:numFmt w:val="bullet"/>
      <w:lvlText w:val="•"/>
      <w:lvlJc w:val="left"/>
      <w:pPr>
        <w:ind w:left="3585" w:hanging="569"/>
      </w:pPr>
      <w:rPr>
        <w:rFonts w:hint="default"/>
        <w:lang w:val="en-US" w:eastAsia="en-US" w:bidi="ar-SA"/>
      </w:rPr>
    </w:lvl>
    <w:lvl w:ilvl="3">
      <w:start w:val="0"/>
      <w:numFmt w:val="bullet"/>
      <w:lvlText w:val="•"/>
      <w:lvlJc w:val="left"/>
      <w:pPr>
        <w:ind w:left="4507" w:hanging="569"/>
      </w:pPr>
      <w:rPr>
        <w:rFonts w:hint="default"/>
        <w:lang w:val="en-US" w:eastAsia="en-US" w:bidi="ar-SA"/>
      </w:rPr>
    </w:lvl>
    <w:lvl w:ilvl="4">
      <w:start w:val="0"/>
      <w:numFmt w:val="bullet"/>
      <w:lvlText w:val="•"/>
      <w:lvlJc w:val="left"/>
      <w:pPr>
        <w:ind w:left="5430" w:hanging="569"/>
      </w:pPr>
      <w:rPr>
        <w:rFonts w:hint="default"/>
        <w:lang w:val="en-US" w:eastAsia="en-US" w:bidi="ar-SA"/>
      </w:rPr>
    </w:lvl>
    <w:lvl w:ilvl="5">
      <w:start w:val="0"/>
      <w:numFmt w:val="bullet"/>
      <w:lvlText w:val="•"/>
      <w:lvlJc w:val="left"/>
      <w:pPr>
        <w:ind w:left="6353" w:hanging="569"/>
      </w:pPr>
      <w:rPr>
        <w:rFonts w:hint="default"/>
        <w:lang w:val="en-US" w:eastAsia="en-US" w:bidi="ar-SA"/>
      </w:rPr>
    </w:lvl>
    <w:lvl w:ilvl="6">
      <w:start w:val="0"/>
      <w:numFmt w:val="bullet"/>
      <w:lvlText w:val="•"/>
      <w:lvlJc w:val="left"/>
      <w:pPr>
        <w:ind w:left="7275" w:hanging="569"/>
      </w:pPr>
      <w:rPr>
        <w:rFonts w:hint="default"/>
        <w:lang w:val="en-US" w:eastAsia="en-US" w:bidi="ar-SA"/>
      </w:rPr>
    </w:lvl>
    <w:lvl w:ilvl="7">
      <w:start w:val="0"/>
      <w:numFmt w:val="bullet"/>
      <w:lvlText w:val="•"/>
      <w:lvlJc w:val="left"/>
      <w:pPr>
        <w:ind w:left="8198" w:hanging="569"/>
      </w:pPr>
      <w:rPr>
        <w:rFonts w:hint="default"/>
        <w:lang w:val="en-US" w:eastAsia="en-US" w:bidi="ar-SA"/>
      </w:rPr>
    </w:lvl>
    <w:lvl w:ilvl="8">
      <w:start w:val="0"/>
      <w:numFmt w:val="bullet"/>
      <w:lvlText w:val="•"/>
      <w:lvlJc w:val="left"/>
      <w:pPr>
        <w:ind w:left="9121" w:hanging="569"/>
      </w:pPr>
      <w:rPr>
        <w:rFonts w:hint="default"/>
        <w:lang w:val="en-US" w:eastAsia="en-US" w:bidi="ar-SA"/>
      </w:rPr>
    </w:lvl>
  </w:abstractNum>
  <w:abstractNum w:abstractNumId="8">
    <w:multiLevelType w:val="hybridMultilevel"/>
    <w:lvl w:ilvl="0">
      <w:start w:val="1"/>
      <w:numFmt w:val="decimal"/>
      <w:lvlText w:val="%1"/>
      <w:lvlJc w:val="left"/>
      <w:pPr>
        <w:ind w:left="1038" w:hanging="567"/>
        <w:jc w:val="left"/>
      </w:pPr>
      <w:rPr>
        <w:rFonts w:hint="default" w:ascii="Arial" w:hAnsi="Arial" w:eastAsia="Arial" w:cs="Arial"/>
        <w:b w:val="0"/>
        <w:bCs w:val="0"/>
        <w:i w:val="0"/>
        <w:iCs w:val="0"/>
        <w:color w:val="515253"/>
        <w:w w:val="99"/>
        <w:sz w:val="20"/>
        <w:szCs w:val="20"/>
        <w:lang w:val="en-US" w:eastAsia="en-US" w:bidi="ar-SA"/>
      </w:rPr>
    </w:lvl>
    <w:lvl w:ilvl="1">
      <w:start w:val="0"/>
      <w:numFmt w:val="bullet"/>
      <w:lvlText w:val="•"/>
      <w:lvlJc w:val="left"/>
      <w:pPr>
        <w:ind w:left="2032" w:hanging="567"/>
      </w:pPr>
      <w:rPr>
        <w:rFonts w:hint="default"/>
        <w:lang w:val="en-US" w:eastAsia="en-US" w:bidi="ar-SA"/>
      </w:rPr>
    </w:lvl>
    <w:lvl w:ilvl="2">
      <w:start w:val="0"/>
      <w:numFmt w:val="bullet"/>
      <w:lvlText w:val="•"/>
      <w:lvlJc w:val="left"/>
      <w:pPr>
        <w:ind w:left="3025" w:hanging="567"/>
      </w:pPr>
      <w:rPr>
        <w:rFonts w:hint="default"/>
        <w:lang w:val="en-US" w:eastAsia="en-US" w:bidi="ar-SA"/>
      </w:rPr>
    </w:lvl>
    <w:lvl w:ilvl="3">
      <w:start w:val="0"/>
      <w:numFmt w:val="bullet"/>
      <w:lvlText w:val="•"/>
      <w:lvlJc w:val="left"/>
      <w:pPr>
        <w:ind w:left="4017" w:hanging="567"/>
      </w:pPr>
      <w:rPr>
        <w:rFonts w:hint="default"/>
        <w:lang w:val="en-US" w:eastAsia="en-US" w:bidi="ar-SA"/>
      </w:rPr>
    </w:lvl>
    <w:lvl w:ilvl="4">
      <w:start w:val="0"/>
      <w:numFmt w:val="bullet"/>
      <w:lvlText w:val="•"/>
      <w:lvlJc w:val="left"/>
      <w:pPr>
        <w:ind w:left="5010" w:hanging="567"/>
      </w:pPr>
      <w:rPr>
        <w:rFonts w:hint="default"/>
        <w:lang w:val="en-US" w:eastAsia="en-US" w:bidi="ar-SA"/>
      </w:rPr>
    </w:lvl>
    <w:lvl w:ilvl="5">
      <w:start w:val="0"/>
      <w:numFmt w:val="bullet"/>
      <w:lvlText w:val="•"/>
      <w:lvlJc w:val="left"/>
      <w:pPr>
        <w:ind w:left="6003" w:hanging="567"/>
      </w:pPr>
      <w:rPr>
        <w:rFonts w:hint="default"/>
        <w:lang w:val="en-US" w:eastAsia="en-US" w:bidi="ar-SA"/>
      </w:rPr>
    </w:lvl>
    <w:lvl w:ilvl="6">
      <w:start w:val="0"/>
      <w:numFmt w:val="bullet"/>
      <w:lvlText w:val="•"/>
      <w:lvlJc w:val="left"/>
      <w:pPr>
        <w:ind w:left="6995" w:hanging="567"/>
      </w:pPr>
      <w:rPr>
        <w:rFonts w:hint="default"/>
        <w:lang w:val="en-US" w:eastAsia="en-US" w:bidi="ar-SA"/>
      </w:rPr>
    </w:lvl>
    <w:lvl w:ilvl="7">
      <w:start w:val="0"/>
      <w:numFmt w:val="bullet"/>
      <w:lvlText w:val="•"/>
      <w:lvlJc w:val="left"/>
      <w:pPr>
        <w:ind w:left="7988" w:hanging="567"/>
      </w:pPr>
      <w:rPr>
        <w:rFonts w:hint="default"/>
        <w:lang w:val="en-US" w:eastAsia="en-US" w:bidi="ar-SA"/>
      </w:rPr>
    </w:lvl>
    <w:lvl w:ilvl="8">
      <w:start w:val="0"/>
      <w:numFmt w:val="bullet"/>
      <w:lvlText w:val="•"/>
      <w:lvlJc w:val="left"/>
      <w:pPr>
        <w:ind w:left="8981" w:hanging="567"/>
      </w:pPr>
      <w:rPr>
        <w:rFonts w:hint="default"/>
        <w:lang w:val="en-US" w:eastAsia="en-US" w:bidi="ar-SA"/>
      </w:rPr>
    </w:lvl>
  </w:abstractNum>
  <w:abstractNum w:abstractNumId="7">
    <w:multiLevelType w:val="hybridMultilevel"/>
    <w:lvl w:ilvl="0">
      <w:start w:val="0"/>
      <w:numFmt w:val="bullet"/>
      <w:lvlText w:val=""/>
      <w:lvlJc w:val="left"/>
      <w:pPr>
        <w:ind w:left="1600" w:hanging="360"/>
      </w:pPr>
      <w:rPr>
        <w:rFonts w:hint="default" w:ascii="Symbol" w:hAnsi="Symbol" w:eastAsia="Symbol" w:cs="Symbol"/>
        <w:b w:val="0"/>
        <w:bCs w:val="0"/>
        <w:i w:val="0"/>
        <w:iCs w:val="0"/>
        <w:w w:val="100"/>
        <w:sz w:val="24"/>
        <w:szCs w:val="24"/>
        <w:lang w:val="en-US" w:eastAsia="en-US" w:bidi="ar-SA"/>
      </w:rPr>
    </w:lvl>
    <w:lvl w:ilvl="1">
      <w:start w:val="0"/>
      <w:numFmt w:val="bullet"/>
      <w:lvlText w:val="•"/>
      <w:lvlJc w:val="left"/>
      <w:pPr>
        <w:ind w:left="2536" w:hanging="360"/>
      </w:pPr>
      <w:rPr>
        <w:rFonts w:hint="default"/>
        <w:lang w:val="en-US" w:eastAsia="en-US" w:bidi="ar-SA"/>
      </w:rPr>
    </w:lvl>
    <w:lvl w:ilvl="2">
      <w:start w:val="0"/>
      <w:numFmt w:val="bullet"/>
      <w:lvlText w:val="•"/>
      <w:lvlJc w:val="left"/>
      <w:pPr>
        <w:ind w:left="3473" w:hanging="360"/>
      </w:pPr>
      <w:rPr>
        <w:rFonts w:hint="default"/>
        <w:lang w:val="en-US" w:eastAsia="en-US" w:bidi="ar-SA"/>
      </w:rPr>
    </w:lvl>
    <w:lvl w:ilvl="3">
      <w:start w:val="0"/>
      <w:numFmt w:val="bullet"/>
      <w:lvlText w:val="•"/>
      <w:lvlJc w:val="left"/>
      <w:pPr>
        <w:ind w:left="4409" w:hanging="360"/>
      </w:pPr>
      <w:rPr>
        <w:rFonts w:hint="default"/>
        <w:lang w:val="en-US" w:eastAsia="en-US" w:bidi="ar-SA"/>
      </w:rPr>
    </w:lvl>
    <w:lvl w:ilvl="4">
      <w:start w:val="0"/>
      <w:numFmt w:val="bullet"/>
      <w:lvlText w:val="•"/>
      <w:lvlJc w:val="left"/>
      <w:pPr>
        <w:ind w:left="5346" w:hanging="360"/>
      </w:pPr>
      <w:rPr>
        <w:rFonts w:hint="default"/>
        <w:lang w:val="en-US" w:eastAsia="en-US" w:bidi="ar-SA"/>
      </w:rPr>
    </w:lvl>
    <w:lvl w:ilvl="5">
      <w:start w:val="0"/>
      <w:numFmt w:val="bullet"/>
      <w:lvlText w:val="•"/>
      <w:lvlJc w:val="left"/>
      <w:pPr>
        <w:ind w:left="6283" w:hanging="360"/>
      </w:pPr>
      <w:rPr>
        <w:rFonts w:hint="default"/>
        <w:lang w:val="en-US" w:eastAsia="en-US" w:bidi="ar-SA"/>
      </w:rPr>
    </w:lvl>
    <w:lvl w:ilvl="6">
      <w:start w:val="0"/>
      <w:numFmt w:val="bullet"/>
      <w:lvlText w:val="•"/>
      <w:lvlJc w:val="left"/>
      <w:pPr>
        <w:ind w:left="7219" w:hanging="360"/>
      </w:pPr>
      <w:rPr>
        <w:rFonts w:hint="default"/>
        <w:lang w:val="en-US" w:eastAsia="en-US" w:bidi="ar-SA"/>
      </w:rPr>
    </w:lvl>
    <w:lvl w:ilvl="7">
      <w:start w:val="0"/>
      <w:numFmt w:val="bullet"/>
      <w:lvlText w:val="•"/>
      <w:lvlJc w:val="left"/>
      <w:pPr>
        <w:ind w:left="8156" w:hanging="360"/>
      </w:pPr>
      <w:rPr>
        <w:rFonts w:hint="default"/>
        <w:lang w:val="en-US" w:eastAsia="en-US" w:bidi="ar-SA"/>
      </w:rPr>
    </w:lvl>
    <w:lvl w:ilvl="8">
      <w:start w:val="0"/>
      <w:numFmt w:val="bullet"/>
      <w:lvlText w:val="•"/>
      <w:lvlJc w:val="left"/>
      <w:pPr>
        <w:ind w:left="9093" w:hanging="360"/>
      </w:pPr>
      <w:rPr>
        <w:rFonts w:hint="default"/>
        <w:lang w:val="en-US" w:eastAsia="en-US" w:bidi="ar-SA"/>
      </w:rPr>
    </w:lvl>
  </w:abstractNum>
  <w:abstractNum w:abstractNumId="6">
    <w:multiLevelType w:val="hybridMultilevel"/>
    <w:lvl w:ilvl="0">
      <w:start w:val="1"/>
      <w:numFmt w:val="decimal"/>
      <w:lvlText w:val="%1."/>
      <w:lvlJc w:val="left"/>
      <w:pPr>
        <w:ind w:left="1600" w:hanging="360"/>
        <w:jc w:val="right"/>
      </w:pPr>
      <w:rPr>
        <w:rFonts w:hint="default"/>
        <w:w w:val="100"/>
        <w:lang w:val="en-US" w:eastAsia="en-US" w:bidi="ar-SA"/>
      </w:rPr>
    </w:lvl>
    <w:lvl w:ilvl="1">
      <w:start w:val="0"/>
      <w:numFmt w:val="bullet"/>
      <w:lvlText w:val=""/>
      <w:lvlJc w:val="left"/>
      <w:pPr>
        <w:ind w:left="1600" w:hanging="360"/>
      </w:pPr>
      <w:rPr>
        <w:rFonts w:hint="default" w:ascii="Symbol" w:hAnsi="Symbol" w:eastAsia="Symbol" w:cs="Symbol"/>
        <w:b w:val="0"/>
        <w:bCs w:val="0"/>
        <w:i w:val="0"/>
        <w:iCs w:val="0"/>
        <w:w w:val="100"/>
        <w:sz w:val="24"/>
        <w:szCs w:val="24"/>
        <w:lang w:val="en-US" w:eastAsia="en-US" w:bidi="ar-SA"/>
      </w:rPr>
    </w:lvl>
    <w:lvl w:ilvl="2">
      <w:start w:val="0"/>
      <w:numFmt w:val="bullet"/>
      <w:lvlText w:val="•"/>
      <w:lvlJc w:val="left"/>
      <w:pPr>
        <w:ind w:left="3473" w:hanging="360"/>
      </w:pPr>
      <w:rPr>
        <w:rFonts w:hint="default"/>
        <w:lang w:val="en-US" w:eastAsia="en-US" w:bidi="ar-SA"/>
      </w:rPr>
    </w:lvl>
    <w:lvl w:ilvl="3">
      <w:start w:val="0"/>
      <w:numFmt w:val="bullet"/>
      <w:lvlText w:val="•"/>
      <w:lvlJc w:val="left"/>
      <w:pPr>
        <w:ind w:left="4409" w:hanging="360"/>
      </w:pPr>
      <w:rPr>
        <w:rFonts w:hint="default"/>
        <w:lang w:val="en-US" w:eastAsia="en-US" w:bidi="ar-SA"/>
      </w:rPr>
    </w:lvl>
    <w:lvl w:ilvl="4">
      <w:start w:val="0"/>
      <w:numFmt w:val="bullet"/>
      <w:lvlText w:val="•"/>
      <w:lvlJc w:val="left"/>
      <w:pPr>
        <w:ind w:left="5346" w:hanging="360"/>
      </w:pPr>
      <w:rPr>
        <w:rFonts w:hint="default"/>
        <w:lang w:val="en-US" w:eastAsia="en-US" w:bidi="ar-SA"/>
      </w:rPr>
    </w:lvl>
    <w:lvl w:ilvl="5">
      <w:start w:val="0"/>
      <w:numFmt w:val="bullet"/>
      <w:lvlText w:val="•"/>
      <w:lvlJc w:val="left"/>
      <w:pPr>
        <w:ind w:left="6283" w:hanging="360"/>
      </w:pPr>
      <w:rPr>
        <w:rFonts w:hint="default"/>
        <w:lang w:val="en-US" w:eastAsia="en-US" w:bidi="ar-SA"/>
      </w:rPr>
    </w:lvl>
    <w:lvl w:ilvl="6">
      <w:start w:val="0"/>
      <w:numFmt w:val="bullet"/>
      <w:lvlText w:val="•"/>
      <w:lvlJc w:val="left"/>
      <w:pPr>
        <w:ind w:left="7219" w:hanging="360"/>
      </w:pPr>
      <w:rPr>
        <w:rFonts w:hint="default"/>
        <w:lang w:val="en-US" w:eastAsia="en-US" w:bidi="ar-SA"/>
      </w:rPr>
    </w:lvl>
    <w:lvl w:ilvl="7">
      <w:start w:val="0"/>
      <w:numFmt w:val="bullet"/>
      <w:lvlText w:val="•"/>
      <w:lvlJc w:val="left"/>
      <w:pPr>
        <w:ind w:left="8156" w:hanging="360"/>
      </w:pPr>
      <w:rPr>
        <w:rFonts w:hint="default"/>
        <w:lang w:val="en-US" w:eastAsia="en-US" w:bidi="ar-SA"/>
      </w:rPr>
    </w:lvl>
    <w:lvl w:ilvl="8">
      <w:start w:val="0"/>
      <w:numFmt w:val="bullet"/>
      <w:lvlText w:val="•"/>
      <w:lvlJc w:val="left"/>
      <w:pPr>
        <w:ind w:left="9093" w:hanging="360"/>
      </w:pPr>
      <w:rPr>
        <w:rFonts w:hint="default"/>
        <w:lang w:val="en-US" w:eastAsia="en-US" w:bidi="ar-SA"/>
      </w:rPr>
    </w:lvl>
  </w:abstractNum>
  <w:abstractNum w:abstractNumId="5">
    <w:multiLevelType w:val="hybridMultilevel"/>
    <w:lvl w:ilvl="0">
      <w:start w:val="0"/>
      <w:numFmt w:val="bullet"/>
      <w:lvlText w:val=""/>
      <w:lvlJc w:val="left"/>
      <w:pPr>
        <w:ind w:left="827" w:hanging="360"/>
      </w:pPr>
      <w:rPr>
        <w:rFonts w:hint="default" w:ascii="Symbol" w:hAnsi="Symbol" w:eastAsia="Symbol" w:cs="Symbol"/>
        <w:b w:val="0"/>
        <w:bCs w:val="0"/>
        <w:i w:val="0"/>
        <w:iCs w:val="0"/>
        <w:w w:val="100"/>
        <w:sz w:val="22"/>
        <w:szCs w:val="22"/>
        <w:lang w:val="en-US" w:eastAsia="en-US" w:bidi="ar-SA"/>
      </w:rPr>
    </w:lvl>
    <w:lvl w:ilvl="1">
      <w:start w:val="0"/>
      <w:numFmt w:val="bullet"/>
      <w:lvlText w:val="•"/>
      <w:lvlJc w:val="left"/>
      <w:pPr>
        <w:ind w:left="1549" w:hanging="360"/>
      </w:pPr>
      <w:rPr>
        <w:rFonts w:hint="default"/>
        <w:lang w:val="en-US" w:eastAsia="en-US" w:bidi="ar-SA"/>
      </w:rPr>
    </w:lvl>
    <w:lvl w:ilvl="2">
      <w:start w:val="0"/>
      <w:numFmt w:val="bullet"/>
      <w:lvlText w:val="•"/>
      <w:lvlJc w:val="left"/>
      <w:pPr>
        <w:ind w:left="2279" w:hanging="360"/>
      </w:pPr>
      <w:rPr>
        <w:rFonts w:hint="default"/>
        <w:lang w:val="en-US" w:eastAsia="en-US" w:bidi="ar-SA"/>
      </w:rPr>
    </w:lvl>
    <w:lvl w:ilvl="3">
      <w:start w:val="0"/>
      <w:numFmt w:val="bullet"/>
      <w:lvlText w:val="•"/>
      <w:lvlJc w:val="left"/>
      <w:pPr>
        <w:ind w:left="3009" w:hanging="360"/>
      </w:pPr>
      <w:rPr>
        <w:rFonts w:hint="default"/>
        <w:lang w:val="en-US" w:eastAsia="en-US" w:bidi="ar-SA"/>
      </w:rPr>
    </w:lvl>
    <w:lvl w:ilvl="4">
      <w:start w:val="0"/>
      <w:numFmt w:val="bullet"/>
      <w:lvlText w:val="•"/>
      <w:lvlJc w:val="left"/>
      <w:pPr>
        <w:ind w:left="3739" w:hanging="360"/>
      </w:pPr>
      <w:rPr>
        <w:rFonts w:hint="default"/>
        <w:lang w:val="en-US" w:eastAsia="en-US" w:bidi="ar-SA"/>
      </w:rPr>
    </w:lvl>
    <w:lvl w:ilvl="5">
      <w:start w:val="0"/>
      <w:numFmt w:val="bullet"/>
      <w:lvlText w:val="•"/>
      <w:lvlJc w:val="left"/>
      <w:pPr>
        <w:ind w:left="4469" w:hanging="360"/>
      </w:pPr>
      <w:rPr>
        <w:rFonts w:hint="default"/>
        <w:lang w:val="en-US" w:eastAsia="en-US" w:bidi="ar-SA"/>
      </w:rPr>
    </w:lvl>
    <w:lvl w:ilvl="6">
      <w:start w:val="0"/>
      <w:numFmt w:val="bullet"/>
      <w:lvlText w:val="•"/>
      <w:lvlJc w:val="left"/>
      <w:pPr>
        <w:ind w:left="5198" w:hanging="360"/>
      </w:pPr>
      <w:rPr>
        <w:rFonts w:hint="default"/>
        <w:lang w:val="en-US" w:eastAsia="en-US" w:bidi="ar-SA"/>
      </w:rPr>
    </w:lvl>
    <w:lvl w:ilvl="7">
      <w:start w:val="0"/>
      <w:numFmt w:val="bullet"/>
      <w:lvlText w:val="•"/>
      <w:lvlJc w:val="left"/>
      <w:pPr>
        <w:ind w:left="5928" w:hanging="360"/>
      </w:pPr>
      <w:rPr>
        <w:rFonts w:hint="default"/>
        <w:lang w:val="en-US" w:eastAsia="en-US" w:bidi="ar-SA"/>
      </w:rPr>
    </w:lvl>
    <w:lvl w:ilvl="8">
      <w:start w:val="0"/>
      <w:numFmt w:val="bullet"/>
      <w:lvlText w:val="•"/>
      <w:lvlJc w:val="left"/>
      <w:pPr>
        <w:ind w:left="6658" w:hanging="360"/>
      </w:pPr>
      <w:rPr>
        <w:rFonts w:hint="default"/>
        <w:lang w:val="en-US" w:eastAsia="en-US" w:bidi="ar-SA"/>
      </w:rPr>
    </w:lvl>
  </w:abstractNum>
  <w:abstractNum w:abstractNumId="4">
    <w:multiLevelType w:val="hybridMultilevel"/>
    <w:lvl w:ilvl="0">
      <w:start w:val="0"/>
      <w:numFmt w:val="bullet"/>
      <w:lvlText w:val=""/>
      <w:lvlJc w:val="left"/>
      <w:pPr>
        <w:ind w:left="828" w:hanging="360"/>
      </w:pPr>
      <w:rPr>
        <w:rFonts w:hint="default" w:ascii="Symbol" w:hAnsi="Symbol" w:eastAsia="Symbol" w:cs="Symbol"/>
        <w:b w:val="0"/>
        <w:bCs w:val="0"/>
        <w:i w:val="0"/>
        <w:iCs w:val="0"/>
        <w:w w:val="100"/>
        <w:sz w:val="22"/>
        <w:szCs w:val="22"/>
        <w:lang w:val="en-US" w:eastAsia="en-US" w:bidi="ar-SA"/>
      </w:rPr>
    </w:lvl>
    <w:lvl w:ilvl="1">
      <w:start w:val="0"/>
      <w:numFmt w:val="bullet"/>
      <w:lvlText w:val="•"/>
      <w:lvlJc w:val="left"/>
      <w:pPr>
        <w:ind w:left="1549" w:hanging="360"/>
      </w:pPr>
      <w:rPr>
        <w:rFonts w:hint="default"/>
        <w:lang w:val="en-US" w:eastAsia="en-US" w:bidi="ar-SA"/>
      </w:rPr>
    </w:lvl>
    <w:lvl w:ilvl="2">
      <w:start w:val="0"/>
      <w:numFmt w:val="bullet"/>
      <w:lvlText w:val="•"/>
      <w:lvlJc w:val="left"/>
      <w:pPr>
        <w:ind w:left="2279" w:hanging="360"/>
      </w:pPr>
      <w:rPr>
        <w:rFonts w:hint="default"/>
        <w:lang w:val="en-US" w:eastAsia="en-US" w:bidi="ar-SA"/>
      </w:rPr>
    </w:lvl>
    <w:lvl w:ilvl="3">
      <w:start w:val="0"/>
      <w:numFmt w:val="bullet"/>
      <w:lvlText w:val="•"/>
      <w:lvlJc w:val="left"/>
      <w:pPr>
        <w:ind w:left="3009" w:hanging="360"/>
      </w:pPr>
      <w:rPr>
        <w:rFonts w:hint="default"/>
        <w:lang w:val="en-US" w:eastAsia="en-US" w:bidi="ar-SA"/>
      </w:rPr>
    </w:lvl>
    <w:lvl w:ilvl="4">
      <w:start w:val="0"/>
      <w:numFmt w:val="bullet"/>
      <w:lvlText w:val="•"/>
      <w:lvlJc w:val="left"/>
      <w:pPr>
        <w:ind w:left="3739" w:hanging="360"/>
      </w:pPr>
      <w:rPr>
        <w:rFonts w:hint="default"/>
        <w:lang w:val="en-US" w:eastAsia="en-US" w:bidi="ar-SA"/>
      </w:rPr>
    </w:lvl>
    <w:lvl w:ilvl="5">
      <w:start w:val="0"/>
      <w:numFmt w:val="bullet"/>
      <w:lvlText w:val="•"/>
      <w:lvlJc w:val="left"/>
      <w:pPr>
        <w:ind w:left="4469" w:hanging="360"/>
      </w:pPr>
      <w:rPr>
        <w:rFonts w:hint="default"/>
        <w:lang w:val="en-US" w:eastAsia="en-US" w:bidi="ar-SA"/>
      </w:rPr>
    </w:lvl>
    <w:lvl w:ilvl="6">
      <w:start w:val="0"/>
      <w:numFmt w:val="bullet"/>
      <w:lvlText w:val="•"/>
      <w:lvlJc w:val="left"/>
      <w:pPr>
        <w:ind w:left="5198" w:hanging="360"/>
      </w:pPr>
      <w:rPr>
        <w:rFonts w:hint="default"/>
        <w:lang w:val="en-US" w:eastAsia="en-US" w:bidi="ar-SA"/>
      </w:rPr>
    </w:lvl>
    <w:lvl w:ilvl="7">
      <w:start w:val="0"/>
      <w:numFmt w:val="bullet"/>
      <w:lvlText w:val="•"/>
      <w:lvlJc w:val="left"/>
      <w:pPr>
        <w:ind w:left="5928" w:hanging="360"/>
      </w:pPr>
      <w:rPr>
        <w:rFonts w:hint="default"/>
        <w:lang w:val="en-US" w:eastAsia="en-US" w:bidi="ar-SA"/>
      </w:rPr>
    </w:lvl>
    <w:lvl w:ilvl="8">
      <w:start w:val="0"/>
      <w:numFmt w:val="bullet"/>
      <w:lvlText w:val="•"/>
      <w:lvlJc w:val="left"/>
      <w:pPr>
        <w:ind w:left="6658" w:hanging="360"/>
      </w:pPr>
      <w:rPr>
        <w:rFonts w:hint="default"/>
        <w:lang w:val="en-US" w:eastAsia="en-US" w:bidi="ar-SA"/>
      </w:rPr>
    </w:lvl>
  </w:abstractNum>
  <w:abstractNum w:abstractNumId="3">
    <w:multiLevelType w:val="hybridMultilevel"/>
    <w:lvl w:ilvl="0">
      <w:start w:val="0"/>
      <w:numFmt w:val="bullet"/>
      <w:lvlText w:val=""/>
      <w:lvlJc w:val="left"/>
      <w:pPr>
        <w:ind w:left="828" w:hanging="360"/>
      </w:pPr>
      <w:rPr>
        <w:rFonts w:hint="default" w:ascii="Symbol" w:hAnsi="Symbol" w:eastAsia="Symbol" w:cs="Symbol"/>
        <w:b w:val="0"/>
        <w:bCs w:val="0"/>
        <w:i w:val="0"/>
        <w:iCs w:val="0"/>
        <w:w w:val="100"/>
        <w:sz w:val="22"/>
        <w:szCs w:val="22"/>
        <w:lang w:val="en-US" w:eastAsia="en-US" w:bidi="ar-SA"/>
      </w:rPr>
    </w:lvl>
    <w:lvl w:ilvl="1">
      <w:start w:val="0"/>
      <w:numFmt w:val="bullet"/>
      <w:lvlText w:val="•"/>
      <w:lvlJc w:val="left"/>
      <w:pPr>
        <w:ind w:left="1549" w:hanging="360"/>
      </w:pPr>
      <w:rPr>
        <w:rFonts w:hint="default"/>
        <w:lang w:val="en-US" w:eastAsia="en-US" w:bidi="ar-SA"/>
      </w:rPr>
    </w:lvl>
    <w:lvl w:ilvl="2">
      <w:start w:val="0"/>
      <w:numFmt w:val="bullet"/>
      <w:lvlText w:val="•"/>
      <w:lvlJc w:val="left"/>
      <w:pPr>
        <w:ind w:left="2279" w:hanging="360"/>
      </w:pPr>
      <w:rPr>
        <w:rFonts w:hint="default"/>
        <w:lang w:val="en-US" w:eastAsia="en-US" w:bidi="ar-SA"/>
      </w:rPr>
    </w:lvl>
    <w:lvl w:ilvl="3">
      <w:start w:val="0"/>
      <w:numFmt w:val="bullet"/>
      <w:lvlText w:val="•"/>
      <w:lvlJc w:val="left"/>
      <w:pPr>
        <w:ind w:left="3009" w:hanging="360"/>
      </w:pPr>
      <w:rPr>
        <w:rFonts w:hint="default"/>
        <w:lang w:val="en-US" w:eastAsia="en-US" w:bidi="ar-SA"/>
      </w:rPr>
    </w:lvl>
    <w:lvl w:ilvl="4">
      <w:start w:val="0"/>
      <w:numFmt w:val="bullet"/>
      <w:lvlText w:val="•"/>
      <w:lvlJc w:val="left"/>
      <w:pPr>
        <w:ind w:left="3739" w:hanging="360"/>
      </w:pPr>
      <w:rPr>
        <w:rFonts w:hint="default"/>
        <w:lang w:val="en-US" w:eastAsia="en-US" w:bidi="ar-SA"/>
      </w:rPr>
    </w:lvl>
    <w:lvl w:ilvl="5">
      <w:start w:val="0"/>
      <w:numFmt w:val="bullet"/>
      <w:lvlText w:val="•"/>
      <w:lvlJc w:val="left"/>
      <w:pPr>
        <w:ind w:left="4469" w:hanging="360"/>
      </w:pPr>
      <w:rPr>
        <w:rFonts w:hint="default"/>
        <w:lang w:val="en-US" w:eastAsia="en-US" w:bidi="ar-SA"/>
      </w:rPr>
    </w:lvl>
    <w:lvl w:ilvl="6">
      <w:start w:val="0"/>
      <w:numFmt w:val="bullet"/>
      <w:lvlText w:val="•"/>
      <w:lvlJc w:val="left"/>
      <w:pPr>
        <w:ind w:left="5198" w:hanging="360"/>
      </w:pPr>
      <w:rPr>
        <w:rFonts w:hint="default"/>
        <w:lang w:val="en-US" w:eastAsia="en-US" w:bidi="ar-SA"/>
      </w:rPr>
    </w:lvl>
    <w:lvl w:ilvl="7">
      <w:start w:val="0"/>
      <w:numFmt w:val="bullet"/>
      <w:lvlText w:val="•"/>
      <w:lvlJc w:val="left"/>
      <w:pPr>
        <w:ind w:left="5928" w:hanging="360"/>
      </w:pPr>
      <w:rPr>
        <w:rFonts w:hint="default"/>
        <w:lang w:val="en-US" w:eastAsia="en-US" w:bidi="ar-SA"/>
      </w:rPr>
    </w:lvl>
    <w:lvl w:ilvl="8">
      <w:start w:val="0"/>
      <w:numFmt w:val="bullet"/>
      <w:lvlText w:val="•"/>
      <w:lvlJc w:val="left"/>
      <w:pPr>
        <w:ind w:left="6658" w:hanging="360"/>
      </w:pPr>
      <w:rPr>
        <w:rFonts w:hint="default"/>
        <w:lang w:val="en-US" w:eastAsia="en-US" w:bidi="ar-SA"/>
      </w:rPr>
    </w:lvl>
  </w:abstractNum>
  <w:abstractNum w:abstractNumId="2">
    <w:multiLevelType w:val="hybridMultilevel"/>
    <w:lvl w:ilvl="0">
      <w:start w:val="0"/>
      <w:numFmt w:val="bullet"/>
      <w:lvlText w:val=""/>
      <w:lvlJc w:val="left"/>
      <w:pPr>
        <w:ind w:left="828" w:hanging="360"/>
      </w:pPr>
      <w:rPr>
        <w:rFonts w:hint="default" w:ascii="Symbol" w:hAnsi="Symbol" w:eastAsia="Symbol" w:cs="Symbol"/>
        <w:b w:val="0"/>
        <w:bCs w:val="0"/>
        <w:i w:val="0"/>
        <w:iCs w:val="0"/>
        <w:w w:val="100"/>
        <w:sz w:val="22"/>
        <w:szCs w:val="22"/>
        <w:lang w:val="en-US" w:eastAsia="en-US" w:bidi="ar-SA"/>
      </w:rPr>
    </w:lvl>
    <w:lvl w:ilvl="1">
      <w:start w:val="0"/>
      <w:numFmt w:val="bullet"/>
      <w:lvlText w:val="•"/>
      <w:lvlJc w:val="left"/>
      <w:pPr>
        <w:ind w:left="1549" w:hanging="360"/>
      </w:pPr>
      <w:rPr>
        <w:rFonts w:hint="default"/>
        <w:lang w:val="en-US" w:eastAsia="en-US" w:bidi="ar-SA"/>
      </w:rPr>
    </w:lvl>
    <w:lvl w:ilvl="2">
      <w:start w:val="0"/>
      <w:numFmt w:val="bullet"/>
      <w:lvlText w:val="•"/>
      <w:lvlJc w:val="left"/>
      <w:pPr>
        <w:ind w:left="2279" w:hanging="360"/>
      </w:pPr>
      <w:rPr>
        <w:rFonts w:hint="default"/>
        <w:lang w:val="en-US" w:eastAsia="en-US" w:bidi="ar-SA"/>
      </w:rPr>
    </w:lvl>
    <w:lvl w:ilvl="3">
      <w:start w:val="0"/>
      <w:numFmt w:val="bullet"/>
      <w:lvlText w:val="•"/>
      <w:lvlJc w:val="left"/>
      <w:pPr>
        <w:ind w:left="3009" w:hanging="360"/>
      </w:pPr>
      <w:rPr>
        <w:rFonts w:hint="default"/>
        <w:lang w:val="en-US" w:eastAsia="en-US" w:bidi="ar-SA"/>
      </w:rPr>
    </w:lvl>
    <w:lvl w:ilvl="4">
      <w:start w:val="0"/>
      <w:numFmt w:val="bullet"/>
      <w:lvlText w:val="•"/>
      <w:lvlJc w:val="left"/>
      <w:pPr>
        <w:ind w:left="3739" w:hanging="360"/>
      </w:pPr>
      <w:rPr>
        <w:rFonts w:hint="default"/>
        <w:lang w:val="en-US" w:eastAsia="en-US" w:bidi="ar-SA"/>
      </w:rPr>
    </w:lvl>
    <w:lvl w:ilvl="5">
      <w:start w:val="0"/>
      <w:numFmt w:val="bullet"/>
      <w:lvlText w:val="•"/>
      <w:lvlJc w:val="left"/>
      <w:pPr>
        <w:ind w:left="4469" w:hanging="360"/>
      </w:pPr>
      <w:rPr>
        <w:rFonts w:hint="default"/>
        <w:lang w:val="en-US" w:eastAsia="en-US" w:bidi="ar-SA"/>
      </w:rPr>
    </w:lvl>
    <w:lvl w:ilvl="6">
      <w:start w:val="0"/>
      <w:numFmt w:val="bullet"/>
      <w:lvlText w:val="•"/>
      <w:lvlJc w:val="left"/>
      <w:pPr>
        <w:ind w:left="5198" w:hanging="360"/>
      </w:pPr>
      <w:rPr>
        <w:rFonts w:hint="default"/>
        <w:lang w:val="en-US" w:eastAsia="en-US" w:bidi="ar-SA"/>
      </w:rPr>
    </w:lvl>
    <w:lvl w:ilvl="7">
      <w:start w:val="0"/>
      <w:numFmt w:val="bullet"/>
      <w:lvlText w:val="•"/>
      <w:lvlJc w:val="left"/>
      <w:pPr>
        <w:ind w:left="5928" w:hanging="360"/>
      </w:pPr>
      <w:rPr>
        <w:rFonts w:hint="default"/>
        <w:lang w:val="en-US" w:eastAsia="en-US" w:bidi="ar-SA"/>
      </w:rPr>
    </w:lvl>
    <w:lvl w:ilvl="8">
      <w:start w:val="0"/>
      <w:numFmt w:val="bullet"/>
      <w:lvlText w:val="•"/>
      <w:lvlJc w:val="left"/>
      <w:pPr>
        <w:ind w:left="6658" w:hanging="360"/>
      </w:pPr>
      <w:rPr>
        <w:rFonts w:hint="default"/>
        <w:lang w:val="en-US" w:eastAsia="en-US" w:bidi="ar-SA"/>
      </w:rPr>
    </w:lvl>
  </w:abstractNum>
  <w:abstractNum w:abstractNumId="1">
    <w:multiLevelType w:val="hybridMultilevel"/>
    <w:lvl w:ilvl="0">
      <w:start w:val="0"/>
      <w:numFmt w:val="bullet"/>
      <w:lvlText w:val=""/>
      <w:lvlJc w:val="left"/>
      <w:pPr>
        <w:ind w:left="828" w:hanging="360"/>
      </w:pPr>
      <w:rPr>
        <w:rFonts w:hint="default" w:ascii="Symbol" w:hAnsi="Symbol" w:eastAsia="Symbol" w:cs="Symbol"/>
        <w:b w:val="0"/>
        <w:bCs w:val="0"/>
        <w:i w:val="0"/>
        <w:iCs w:val="0"/>
        <w:w w:val="100"/>
        <w:sz w:val="22"/>
        <w:szCs w:val="22"/>
        <w:lang w:val="en-US" w:eastAsia="en-US" w:bidi="ar-SA"/>
      </w:rPr>
    </w:lvl>
    <w:lvl w:ilvl="1">
      <w:start w:val="0"/>
      <w:numFmt w:val="bullet"/>
      <w:lvlText w:val="•"/>
      <w:lvlJc w:val="left"/>
      <w:pPr>
        <w:ind w:left="1549" w:hanging="360"/>
      </w:pPr>
      <w:rPr>
        <w:rFonts w:hint="default"/>
        <w:lang w:val="en-US" w:eastAsia="en-US" w:bidi="ar-SA"/>
      </w:rPr>
    </w:lvl>
    <w:lvl w:ilvl="2">
      <w:start w:val="0"/>
      <w:numFmt w:val="bullet"/>
      <w:lvlText w:val="•"/>
      <w:lvlJc w:val="left"/>
      <w:pPr>
        <w:ind w:left="2279" w:hanging="360"/>
      </w:pPr>
      <w:rPr>
        <w:rFonts w:hint="default"/>
        <w:lang w:val="en-US" w:eastAsia="en-US" w:bidi="ar-SA"/>
      </w:rPr>
    </w:lvl>
    <w:lvl w:ilvl="3">
      <w:start w:val="0"/>
      <w:numFmt w:val="bullet"/>
      <w:lvlText w:val="•"/>
      <w:lvlJc w:val="left"/>
      <w:pPr>
        <w:ind w:left="3009" w:hanging="360"/>
      </w:pPr>
      <w:rPr>
        <w:rFonts w:hint="default"/>
        <w:lang w:val="en-US" w:eastAsia="en-US" w:bidi="ar-SA"/>
      </w:rPr>
    </w:lvl>
    <w:lvl w:ilvl="4">
      <w:start w:val="0"/>
      <w:numFmt w:val="bullet"/>
      <w:lvlText w:val="•"/>
      <w:lvlJc w:val="left"/>
      <w:pPr>
        <w:ind w:left="3739" w:hanging="360"/>
      </w:pPr>
      <w:rPr>
        <w:rFonts w:hint="default"/>
        <w:lang w:val="en-US" w:eastAsia="en-US" w:bidi="ar-SA"/>
      </w:rPr>
    </w:lvl>
    <w:lvl w:ilvl="5">
      <w:start w:val="0"/>
      <w:numFmt w:val="bullet"/>
      <w:lvlText w:val="•"/>
      <w:lvlJc w:val="left"/>
      <w:pPr>
        <w:ind w:left="4469" w:hanging="360"/>
      </w:pPr>
      <w:rPr>
        <w:rFonts w:hint="default"/>
        <w:lang w:val="en-US" w:eastAsia="en-US" w:bidi="ar-SA"/>
      </w:rPr>
    </w:lvl>
    <w:lvl w:ilvl="6">
      <w:start w:val="0"/>
      <w:numFmt w:val="bullet"/>
      <w:lvlText w:val="•"/>
      <w:lvlJc w:val="left"/>
      <w:pPr>
        <w:ind w:left="5198" w:hanging="360"/>
      </w:pPr>
      <w:rPr>
        <w:rFonts w:hint="default"/>
        <w:lang w:val="en-US" w:eastAsia="en-US" w:bidi="ar-SA"/>
      </w:rPr>
    </w:lvl>
    <w:lvl w:ilvl="7">
      <w:start w:val="0"/>
      <w:numFmt w:val="bullet"/>
      <w:lvlText w:val="•"/>
      <w:lvlJc w:val="left"/>
      <w:pPr>
        <w:ind w:left="5928" w:hanging="360"/>
      </w:pPr>
      <w:rPr>
        <w:rFonts w:hint="default"/>
        <w:lang w:val="en-US" w:eastAsia="en-US" w:bidi="ar-SA"/>
      </w:rPr>
    </w:lvl>
    <w:lvl w:ilvl="8">
      <w:start w:val="0"/>
      <w:numFmt w:val="bullet"/>
      <w:lvlText w:val="•"/>
      <w:lvlJc w:val="left"/>
      <w:pPr>
        <w:ind w:left="6658" w:hanging="360"/>
      </w:pPr>
      <w:rPr>
        <w:rFonts w:hint="default"/>
        <w:lang w:val="en-US" w:eastAsia="en-US" w:bidi="ar-SA"/>
      </w:rPr>
    </w:lvl>
  </w:abstractNum>
  <w:abstractNum w:abstractNumId="0">
    <w:multiLevelType w:val="hybridMultilevel"/>
    <w:lvl w:ilvl="0">
      <w:start w:val="1"/>
      <w:numFmt w:val="decimal"/>
      <w:lvlText w:val="%1."/>
      <w:lvlJc w:val="left"/>
      <w:pPr>
        <w:ind w:left="431" w:hanging="298"/>
        <w:jc w:val="left"/>
      </w:pPr>
      <w:rPr>
        <w:rFonts w:hint="default" w:ascii="Arial" w:hAnsi="Arial" w:eastAsia="Arial" w:cs="Arial"/>
        <w:b/>
        <w:bCs/>
        <w:i w:val="0"/>
        <w:iCs w:val="0"/>
        <w:color w:val="333333"/>
        <w:spacing w:val="0"/>
        <w:w w:val="101"/>
        <w:sz w:val="26"/>
        <w:szCs w:val="26"/>
        <w:lang w:val="en-US" w:eastAsia="en-US" w:bidi="ar-SA"/>
      </w:rPr>
    </w:lvl>
    <w:lvl w:ilvl="1">
      <w:start w:val="1"/>
      <w:numFmt w:val="decimal"/>
      <w:lvlText w:val="%1.%2."/>
      <w:lvlJc w:val="left"/>
      <w:pPr>
        <w:ind w:left="575" w:hanging="442"/>
        <w:jc w:val="left"/>
      </w:pPr>
      <w:rPr>
        <w:rFonts w:hint="default" w:ascii="Arial" w:hAnsi="Arial" w:eastAsia="Arial" w:cs="Arial"/>
        <w:b/>
        <w:bCs/>
        <w:i w:val="0"/>
        <w:iCs w:val="0"/>
        <w:color w:val="333333"/>
        <w:spacing w:val="0"/>
        <w:w w:val="100"/>
        <w:sz w:val="22"/>
        <w:szCs w:val="22"/>
        <w:lang w:val="en-US" w:eastAsia="en-US" w:bidi="ar-SA"/>
      </w:rPr>
    </w:lvl>
    <w:lvl w:ilvl="2">
      <w:start w:val="1"/>
      <w:numFmt w:val="decimal"/>
      <w:lvlText w:val="%1.%2.%3."/>
      <w:lvlJc w:val="left"/>
      <w:pPr>
        <w:ind w:left="2473" w:hanging="552"/>
        <w:jc w:val="left"/>
      </w:pPr>
      <w:rPr>
        <w:rFonts w:hint="default" w:ascii="Arial" w:hAnsi="Arial" w:eastAsia="Arial" w:cs="Arial"/>
        <w:b/>
        <w:bCs/>
        <w:i w:val="0"/>
        <w:iCs w:val="0"/>
        <w:color w:val="333333"/>
        <w:w w:val="99"/>
        <w:sz w:val="20"/>
        <w:szCs w:val="20"/>
        <w:lang w:val="en-US" w:eastAsia="en-US" w:bidi="ar-SA"/>
      </w:rPr>
    </w:lvl>
    <w:lvl w:ilvl="3">
      <w:start w:val="0"/>
      <w:numFmt w:val="bullet"/>
      <w:lvlText w:val="•"/>
      <w:lvlJc w:val="left"/>
      <w:pPr>
        <w:ind w:left="2480" w:hanging="552"/>
      </w:pPr>
      <w:rPr>
        <w:rFonts w:hint="default"/>
        <w:lang w:val="en-US" w:eastAsia="en-US" w:bidi="ar-SA"/>
      </w:rPr>
    </w:lvl>
    <w:lvl w:ilvl="4">
      <w:start w:val="0"/>
      <w:numFmt w:val="bullet"/>
      <w:lvlText w:val="•"/>
      <w:lvlJc w:val="left"/>
      <w:pPr>
        <w:ind w:left="3570" w:hanging="552"/>
      </w:pPr>
      <w:rPr>
        <w:rFonts w:hint="default"/>
        <w:lang w:val="en-US" w:eastAsia="en-US" w:bidi="ar-SA"/>
      </w:rPr>
    </w:lvl>
    <w:lvl w:ilvl="5">
      <w:start w:val="0"/>
      <w:numFmt w:val="bullet"/>
      <w:lvlText w:val="•"/>
      <w:lvlJc w:val="left"/>
      <w:pPr>
        <w:ind w:left="4660" w:hanging="552"/>
      </w:pPr>
      <w:rPr>
        <w:rFonts w:hint="default"/>
        <w:lang w:val="en-US" w:eastAsia="en-US" w:bidi="ar-SA"/>
      </w:rPr>
    </w:lvl>
    <w:lvl w:ilvl="6">
      <w:start w:val="0"/>
      <w:numFmt w:val="bullet"/>
      <w:lvlText w:val="•"/>
      <w:lvlJc w:val="left"/>
      <w:pPr>
        <w:ind w:left="5750" w:hanging="552"/>
      </w:pPr>
      <w:rPr>
        <w:rFonts w:hint="default"/>
        <w:lang w:val="en-US" w:eastAsia="en-US" w:bidi="ar-SA"/>
      </w:rPr>
    </w:lvl>
    <w:lvl w:ilvl="7">
      <w:start w:val="0"/>
      <w:numFmt w:val="bullet"/>
      <w:lvlText w:val="•"/>
      <w:lvlJc w:val="left"/>
      <w:pPr>
        <w:ind w:left="6840" w:hanging="552"/>
      </w:pPr>
      <w:rPr>
        <w:rFonts w:hint="default"/>
        <w:lang w:val="en-US" w:eastAsia="en-US" w:bidi="ar-SA"/>
      </w:rPr>
    </w:lvl>
    <w:lvl w:ilvl="8">
      <w:start w:val="0"/>
      <w:numFmt w:val="bullet"/>
      <w:lvlText w:val="•"/>
      <w:lvlJc w:val="left"/>
      <w:pPr>
        <w:ind w:left="7931" w:hanging="552"/>
      </w:pPr>
      <w:rPr>
        <w:rFonts w:hint="default"/>
        <w:lang w:val="en-US" w:eastAsia="en-US" w:bidi="ar-SA"/>
      </w:rPr>
    </w:lvl>
  </w:abstractNum>
  <w:num w:numId="40">
    <w:abstractNumId w:val="39"/>
  </w:num>
  <w:num w:numId="35">
    <w:abstractNumId w:val="34"/>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39">
    <w:abstractNumId w:val="38"/>
  </w:num>
  <w:num w:numId="38">
    <w:abstractNumId w:val="37"/>
  </w:num>
  <w:num w:numId="37">
    <w:abstractNumId w:val="36"/>
  </w:num>
  <w:num w:numId="36">
    <w:abstractNumId w:val="35"/>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lang w:val="en-US" w:eastAsia="en-US" w:bidi="ar-SA"/>
    </w:rPr>
  </w:style>
  <w:style w:styleId="TOC1" w:type="paragraph">
    <w:name w:val="TOC 1"/>
    <w:basedOn w:val="Normal"/>
    <w:uiPriority w:val="1"/>
    <w:qFormat/>
    <w:pPr>
      <w:ind w:left="2159" w:hanging="360"/>
    </w:pPr>
    <w:rPr>
      <w:rFonts w:ascii="Calibri" w:hAnsi="Calibri" w:eastAsia="Calibri" w:cs="Calibri"/>
      <w:sz w:val="22"/>
      <w:szCs w:val="22"/>
      <w:lang w:val="en-US" w:eastAsia="en-US" w:bidi="ar-SA"/>
    </w:rPr>
  </w:style>
  <w:style w:styleId="BodyText" w:type="paragraph">
    <w:name w:val="Body Text"/>
    <w:basedOn w:val="Normal"/>
    <w:uiPriority w:val="1"/>
    <w:qFormat/>
    <w:pPr/>
    <w:rPr>
      <w:rFonts w:ascii="Verdana" w:hAnsi="Verdana" w:eastAsia="Verdana" w:cs="Verdana"/>
      <w:sz w:val="24"/>
      <w:szCs w:val="24"/>
      <w:lang w:val="en-US" w:eastAsia="en-US" w:bidi="ar-SA"/>
    </w:rPr>
  </w:style>
  <w:style w:styleId="Heading1" w:type="paragraph">
    <w:name w:val="Heading 1"/>
    <w:basedOn w:val="Normal"/>
    <w:uiPriority w:val="1"/>
    <w:qFormat/>
    <w:pPr>
      <w:spacing w:before="100"/>
      <w:ind w:left="1132"/>
      <w:outlineLvl w:val="1"/>
    </w:pPr>
    <w:rPr>
      <w:rFonts w:ascii="Verdana" w:hAnsi="Verdana" w:eastAsia="Verdana" w:cs="Verdana"/>
      <w:sz w:val="56"/>
      <w:szCs w:val="56"/>
      <w:lang w:val="en-US" w:eastAsia="en-US" w:bidi="ar-SA"/>
    </w:rPr>
  </w:style>
  <w:style w:styleId="Heading2" w:type="paragraph">
    <w:name w:val="Heading 2"/>
    <w:basedOn w:val="Normal"/>
    <w:uiPriority w:val="1"/>
    <w:qFormat/>
    <w:pPr>
      <w:spacing w:before="101"/>
      <w:ind w:left="566"/>
      <w:outlineLvl w:val="2"/>
    </w:pPr>
    <w:rPr>
      <w:rFonts w:ascii="Verdana" w:hAnsi="Verdana" w:eastAsia="Verdana" w:cs="Verdana"/>
      <w:sz w:val="40"/>
      <w:szCs w:val="40"/>
      <w:lang w:val="en-US" w:eastAsia="en-US" w:bidi="ar-SA"/>
    </w:rPr>
  </w:style>
  <w:style w:styleId="Heading3" w:type="paragraph">
    <w:name w:val="Heading 3"/>
    <w:basedOn w:val="Normal"/>
    <w:uiPriority w:val="1"/>
    <w:qFormat/>
    <w:pPr>
      <w:ind w:left="567" w:right="5931"/>
      <w:jc w:val="center"/>
      <w:outlineLvl w:val="3"/>
    </w:pPr>
    <w:rPr>
      <w:rFonts w:ascii="Arial" w:hAnsi="Arial" w:eastAsia="Arial" w:cs="Arial"/>
      <w:b/>
      <w:bCs/>
      <w:sz w:val="38"/>
      <w:szCs w:val="38"/>
      <w:lang w:val="en-US" w:eastAsia="en-US" w:bidi="ar-SA"/>
    </w:rPr>
  </w:style>
  <w:style w:styleId="Heading4" w:type="paragraph">
    <w:name w:val="Heading 4"/>
    <w:basedOn w:val="Normal"/>
    <w:uiPriority w:val="1"/>
    <w:qFormat/>
    <w:pPr>
      <w:spacing w:before="100"/>
      <w:ind w:left="1132"/>
      <w:outlineLvl w:val="4"/>
    </w:pPr>
    <w:rPr>
      <w:rFonts w:ascii="Verdana" w:hAnsi="Verdana" w:eastAsia="Verdana" w:cs="Verdana"/>
      <w:sz w:val="36"/>
      <w:szCs w:val="36"/>
      <w:lang w:val="en-US" w:eastAsia="en-US" w:bidi="ar-SA"/>
    </w:rPr>
  </w:style>
  <w:style w:styleId="Heading5" w:type="paragraph">
    <w:name w:val="Heading 5"/>
    <w:basedOn w:val="Normal"/>
    <w:uiPriority w:val="1"/>
    <w:qFormat/>
    <w:pPr>
      <w:ind w:left="1440"/>
      <w:outlineLvl w:val="5"/>
    </w:pPr>
    <w:rPr>
      <w:rFonts w:ascii="Calibri" w:hAnsi="Calibri" w:eastAsia="Calibri" w:cs="Calibri"/>
      <w:b/>
      <w:bCs/>
      <w:sz w:val="32"/>
      <w:szCs w:val="32"/>
      <w:lang w:val="en-US" w:eastAsia="en-US" w:bidi="ar-SA"/>
    </w:rPr>
  </w:style>
  <w:style w:styleId="Heading6" w:type="paragraph">
    <w:name w:val="Heading 6"/>
    <w:basedOn w:val="Normal"/>
    <w:uiPriority w:val="1"/>
    <w:qFormat/>
    <w:pPr>
      <w:spacing w:before="7"/>
      <w:ind w:left="300"/>
      <w:outlineLvl w:val="6"/>
    </w:pPr>
    <w:rPr>
      <w:rFonts w:ascii="Arial" w:hAnsi="Arial" w:eastAsia="Arial" w:cs="Arial"/>
      <w:b/>
      <w:bCs/>
      <w:sz w:val="31"/>
      <w:szCs w:val="31"/>
      <w:lang w:val="en-US" w:eastAsia="en-US" w:bidi="ar-SA"/>
    </w:rPr>
  </w:style>
  <w:style w:styleId="Heading7" w:type="paragraph">
    <w:name w:val="Heading 7"/>
    <w:basedOn w:val="Normal"/>
    <w:uiPriority w:val="1"/>
    <w:qFormat/>
    <w:pPr>
      <w:ind w:left="1440"/>
      <w:outlineLvl w:val="7"/>
    </w:pPr>
    <w:rPr>
      <w:rFonts w:ascii="Calibri" w:hAnsi="Calibri" w:eastAsia="Calibri" w:cs="Calibri"/>
      <w:b/>
      <w:bCs/>
      <w:sz w:val="28"/>
      <w:szCs w:val="28"/>
      <w:lang w:val="en-US" w:eastAsia="en-US" w:bidi="ar-SA"/>
    </w:rPr>
  </w:style>
  <w:style w:styleId="Heading8" w:type="paragraph">
    <w:name w:val="Heading 8"/>
    <w:basedOn w:val="Normal"/>
    <w:uiPriority w:val="1"/>
    <w:qFormat/>
    <w:pPr>
      <w:ind w:left="566"/>
      <w:outlineLvl w:val="8"/>
    </w:pPr>
    <w:rPr>
      <w:rFonts w:ascii="Calibri" w:hAnsi="Calibri" w:eastAsia="Calibri" w:cs="Calibri"/>
      <w:sz w:val="28"/>
      <w:szCs w:val="28"/>
      <w:lang w:val="en-US" w:eastAsia="en-US" w:bidi="ar-SA"/>
    </w:rPr>
  </w:style>
  <w:style w:styleId="Heading9" w:type="paragraph">
    <w:name w:val="Heading 9"/>
    <w:basedOn w:val="Normal"/>
    <w:uiPriority w:val="1"/>
    <w:qFormat/>
    <w:pPr>
      <w:ind w:left="1778" w:hanging="361"/>
      <w:outlineLvl w:val="9"/>
    </w:pPr>
    <w:rPr>
      <w:rFonts w:ascii="Verdana" w:hAnsi="Verdana" w:eastAsia="Verdana" w:cs="Verdana"/>
      <w:b/>
      <w:bCs/>
      <w:sz w:val="24"/>
      <w:szCs w:val="24"/>
      <w:lang w:val="en-US" w:eastAsia="en-US" w:bidi="ar-SA"/>
    </w:rPr>
  </w:style>
  <w:style w:styleId="ListParagraph" w:type="paragraph">
    <w:name w:val="List Paragraph"/>
    <w:basedOn w:val="Normal"/>
    <w:uiPriority w:val="1"/>
    <w:qFormat/>
    <w:pPr>
      <w:ind w:left="2159" w:hanging="360"/>
    </w:pPr>
    <w:rPr>
      <w:rFonts w:ascii="Verdana" w:hAnsi="Verdana" w:eastAsia="Verdana" w:cs="Verdana"/>
      <w:lang w:val="en-US" w:eastAsia="en-US" w:bidi="ar-SA"/>
    </w:rPr>
  </w:style>
  <w:style w:styleId="TableParagraph" w:type="paragraph">
    <w:name w:val="Table Paragraph"/>
    <w:basedOn w:val="Normal"/>
    <w:uiPriority w:val="1"/>
    <w:qFormat/>
    <w:pPr/>
    <w:rPr>
      <w:rFonts w:ascii="Verdana" w:hAnsi="Verdana" w:eastAsia="Verdana" w:cs="Verdana"/>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hyperlink" Target="http://www.google.co.uk/url?sa=i&amp;rct=j&amp;q&amp;esrc=s&amp;frm=1&amp;source=images&amp;cd&amp;cad=rja&amp;uact=8&amp;ved=0CAcQjRw&amp;url=http%3A//www.velindre-tr.wales.nhs.uk/&amp;ei=2IufVa_JDOO07ga864v4Dw&amp;bvm=bv.96952980%2Cd.ZGU&amp;psig=AFQjCNEsVIexARj9MR_9VyMTfXMgjFElvw&amp;ust=1436605779246665" TargetMode="External"/><Relationship Id="rId9" Type="http://schemas.openxmlformats.org/officeDocument/2006/relationships/footer" Target="footer2.xml"/><Relationship Id="rId10" Type="http://schemas.openxmlformats.org/officeDocument/2006/relationships/image" Target="media/image3.png"/><Relationship Id="rId11" Type="http://schemas.openxmlformats.org/officeDocument/2006/relationships/footer" Target="footer3.xml"/><Relationship Id="rId12" Type="http://schemas.openxmlformats.org/officeDocument/2006/relationships/hyperlink" Target="https://business.senedd.wales/documents/g13107/Public%20reports%20pack%20Wednesday%2009-Nov-2022%2009.30%20Finance%20Committee.pdf?T=10" TargetMode="External"/><Relationship Id="rId13" Type="http://schemas.openxmlformats.org/officeDocument/2006/relationships/footer" Target="footer4.xml"/><Relationship Id="rId14" Type="http://schemas.openxmlformats.org/officeDocument/2006/relationships/footer" Target="footer5.xml"/><Relationship Id="rId15" Type="http://schemas.openxmlformats.org/officeDocument/2006/relationships/footer" Target="footer6.xml"/><Relationship Id="rId16" Type="http://schemas.openxmlformats.org/officeDocument/2006/relationships/footer" Target="footer7.xml"/><Relationship Id="rId17" Type="http://schemas.openxmlformats.org/officeDocument/2006/relationships/image" Target="media/image4.jpeg"/><Relationship Id="rId18" Type="http://schemas.openxmlformats.org/officeDocument/2006/relationships/hyperlink" Target="https://audit.wales/news/launch-audit-wales-newsletter" TargetMode="External"/><Relationship Id="rId19" Type="http://schemas.openxmlformats.org/officeDocument/2006/relationships/hyperlink" Target="https://www.audit.wales/our-work/good-practice" TargetMode="External"/><Relationship Id="rId20" Type="http://schemas.openxmlformats.org/officeDocument/2006/relationships/hyperlink" Target="https://www.audit.wales/publication/picture-flood-risk-management" TargetMode="External"/><Relationship Id="rId21" Type="http://schemas.openxmlformats.org/officeDocument/2006/relationships/hyperlink" Target="https://www.audit.wales/sites/default/files/publications/A_missed_opportunity_Social_Enterprises_English.pdf" TargetMode="External"/><Relationship Id="rId22" Type="http://schemas.openxmlformats.org/officeDocument/2006/relationships/hyperlink" Target="https://www.audit.wales/sites/default/files/publications/Time_for_%20Change_%20Poverty_English.pdf" TargetMode="External"/><Relationship Id="rId23" Type="http://schemas.openxmlformats.org/officeDocument/2006/relationships/hyperlink" Target="https://www.audit.wales/sites/default/files/publications/The_National_Fraud_Initiative_in_Wales_2020_21_English_0.pdf" TargetMode="External"/><Relationship Id="rId24" Type="http://schemas.openxmlformats.org/officeDocument/2006/relationships/hyperlink" Target="https://www.audit.wales/publication/equality-impact-assessments-more-tick-box-exercise" TargetMode="External"/><Relationship Id="rId25" Type="http://schemas.openxmlformats.org/officeDocument/2006/relationships/hyperlink" Target="https://www.audit.wales/cyhoeddiad/welsh-government-workforce-planning-and-management" TargetMode="External"/><Relationship Id="rId26" Type="http://schemas.openxmlformats.org/officeDocument/2006/relationships/hyperlink" Target="https://app.powerbi.com/view?r=eyJrIjoiOTdkYTEyMWEtN2Q2Zi00MzhkLWExMjAtOTA4MTA3ZWVlZTFkIiwidCI6ImRmZDY5MmYwLTE2YmYtNDQ0OS04OGUzLWU3NzM1ZGZjY2ZlOCIsImMiOjh9" TargetMode="External"/><Relationship Id="rId27" Type="http://schemas.openxmlformats.org/officeDocument/2006/relationships/hyperlink" Target="https://www.audit.wales/publication/public-sector-readiness-net-zero-carbon-2030-evidence-report" TargetMode="External"/><Relationship Id="rId28" Type="http://schemas.openxmlformats.org/officeDocument/2006/relationships/hyperlink" Target="https://www.audit.wales/publication/public-sector-readiness-net-zero-carbon-2030" TargetMode="External"/><Relationship Id="rId29" Type="http://schemas.openxmlformats.org/officeDocument/2006/relationships/footer" Target="footer8.xml"/><Relationship Id="rId30" Type="http://schemas.openxmlformats.org/officeDocument/2006/relationships/hyperlink" Target="https://www.audit.wales/publication/welsh-community-care-information-system-update" TargetMode="External"/><Relationship Id="rId31" Type="http://schemas.openxmlformats.org/officeDocument/2006/relationships/hyperlink" Target="https://www.audit.wales/publication/tackling-planned-care-backlog-wales" TargetMode="External"/><Relationship Id="rId32" Type="http://schemas.openxmlformats.org/officeDocument/2006/relationships/hyperlink" Target="https://www.audit.wales/publication/unscheduled-care-wales" TargetMode="External"/><Relationship Id="rId33" Type="http://schemas.openxmlformats.org/officeDocument/2006/relationships/hyperlink" Target="https://www.audit.wales/publication/joint-working-between-emergency-services" TargetMode="External"/><Relationship Id="rId34" Type="http://schemas.openxmlformats.org/officeDocument/2006/relationships/image" Target="media/image5.jpeg"/><Relationship Id="rId35" Type="http://schemas.openxmlformats.org/officeDocument/2006/relationships/image" Target="media/image6.jpeg"/><Relationship Id="rId36" Type="http://schemas.openxmlformats.org/officeDocument/2006/relationships/image" Target="media/image7.jpeg"/><Relationship Id="rId37" Type="http://schemas.openxmlformats.org/officeDocument/2006/relationships/footer" Target="footer9.xml"/><Relationship Id="rId38" Type="http://schemas.openxmlformats.org/officeDocument/2006/relationships/footer" Target="footer10.xml"/><Relationship Id="rId39" Type="http://schemas.openxmlformats.org/officeDocument/2006/relationships/image" Target="media/image8.png"/><Relationship Id="rId40" Type="http://schemas.openxmlformats.org/officeDocument/2006/relationships/footer" Target="footer11.xml"/><Relationship Id="rId41" Type="http://schemas.openxmlformats.org/officeDocument/2006/relationships/footer" Target="footer12.xml"/><Relationship Id="rId42" Type="http://schemas.openxmlformats.org/officeDocument/2006/relationships/image" Target="media/image9.jpeg"/><Relationship Id="rId43" Type="http://schemas.openxmlformats.org/officeDocument/2006/relationships/hyperlink" Target="mailto:james.johns@wales.nhs.uk" TargetMode="External"/><Relationship Id="rId44" Type="http://schemas.openxmlformats.org/officeDocument/2006/relationships/hyperlink" Target="https://nwssp.nhs.wales/ourservices/audit-assurance-services/" TargetMode="External"/><Relationship Id="rId45" Type="http://schemas.openxmlformats.org/officeDocument/2006/relationships/footer" Target="footer13.xml"/><Relationship Id="rId46" Type="http://schemas.openxmlformats.org/officeDocument/2006/relationships/image" Target="media/image10.jpeg"/><Relationship Id="rId47" Type="http://schemas.openxmlformats.org/officeDocument/2006/relationships/image" Target="media/image11.jpeg"/><Relationship Id="rId48" Type="http://schemas.openxmlformats.org/officeDocument/2006/relationships/image" Target="media/image12.jpeg"/><Relationship Id="rId49" Type="http://schemas.openxmlformats.org/officeDocument/2006/relationships/image" Target="media/image13.jpeg"/><Relationship Id="rId50" Type="http://schemas.openxmlformats.org/officeDocument/2006/relationships/footer" Target="footer14.xml"/><Relationship Id="rId51" Type="http://schemas.openxmlformats.org/officeDocument/2006/relationships/image" Target="media/image14.png"/><Relationship Id="rId52" Type="http://schemas.openxmlformats.org/officeDocument/2006/relationships/footer" Target="footer15.xml"/><Relationship Id="rId53" Type="http://schemas.openxmlformats.org/officeDocument/2006/relationships/footer" Target="footer16.xml"/><Relationship Id="rId54" Type="http://schemas.openxmlformats.org/officeDocument/2006/relationships/image" Target="media/image15.jpeg"/><Relationship Id="rId55" Type="http://schemas.openxmlformats.org/officeDocument/2006/relationships/footer" Target="footer17.xml"/><Relationship Id="rId56" Type="http://schemas.openxmlformats.org/officeDocument/2006/relationships/footer" Target="footer18.xml"/><Relationship Id="rId57" Type="http://schemas.openxmlformats.org/officeDocument/2006/relationships/footer" Target="footer19.xml"/><Relationship Id="rId58" Type="http://schemas.openxmlformats.org/officeDocument/2006/relationships/image" Target="media/image16.png"/><Relationship Id="rId59" Type="http://schemas.openxmlformats.org/officeDocument/2006/relationships/image" Target="media/image17.png"/><Relationship Id="rId60" Type="http://schemas.openxmlformats.org/officeDocument/2006/relationships/image" Target="media/image18.png"/><Relationship Id="rId61" Type="http://schemas.openxmlformats.org/officeDocument/2006/relationships/image" Target="media/image19.png"/><Relationship Id="rId62" Type="http://schemas.openxmlformats.org/officeDocument/2006/relationships/footer" Target="footer20.xml"/><Relationship Id="rId63" Type="http://schemas.openxmlformats.org/officeDocument/2006/relationships/image" Target="media/image20.jpeg"/><Relationship Id="rId64" Type="http://schemas.openxmlformats.org/officeDocument/2006/relationships/image" Target="media/image21.jpeg"/><Relationship Id="rId65" Type="http://schemas.openxmlformats.org/officeDocument/2006/relationships/image" Target="media/image22.jpeg"/><Relationship Id="rId66" Type="http://schemas.openxmlformats.org/officeDocument/2006/relationships/footer" Target="footer21.xml"/><Relationship Id="rId67" Type="http://schemas.openxmlformats.org/officeDocument/2006/relationships/footer" Target="footer22.xml"/><Relationship Id="rId68" Type="http://schemas.openxmlformats.org/officeDocument/2006/relationships/footer" Target="footer23.xml"/><Relationship Id="rId69" Type="http://schemas.openxmlformats.org/officeDocument/2006/relationships/footer" Target="footer24.xml"/><Relationship Id="rId70" Type="http://schemas.openxmlformats.org/officeDocument/2006/relationships/footer" Target="footer25.xml"/><Relationship Id="rId71" Type="http://schemas.openxmlformats.org/officeDocument/2006/relationships/footer" Target="footer26.xml"/><Relationship Id="rId72" Type="http://schemas.openxmlformats.org/officeDocument/2006/relationships/footer" Target="footer27.xml"/><Relationship Id="rId73" Type="http://schemas.openxmlformats.org/officeDocument/2006/relationships/image" Target="media/image23.png"/><Relationship Id="rId74" Type="http://schemas.openxmlformats.org/officeDocument/2006/relationships/image" Target="media/image24.png"/><Relationship Id="rId75" Type="http://schemas.openxmlformats.org/officeDocument/2006/relationships/image" Target="media/image25.png"/><Relationship Id="rId76" Type="http://schemas.openxmlformats.org/officeDocument/2006/relationships/footer" Target="footer28.xml"/><Relationship Id="rId77" Type="http://schemas.openxmlformats.org/officeDocument/2006/relationships/image" Target="media/image26.jpeg"/><Relationship Id="rId78" Type="http://schemas.openxmlformats.org/officeDocument/2006/relationships/image" Target="media/image27.jpeg"/><Relationship Id="rId79" Type="http://schemas.openxmlformats.org/officeDocument/2006/relationships/image" Target="media/image28.jpeg"/><Relationship Id="rId80" Type="http://schemas.openxmlformats.org/officeDocument/2006/relationships/footer" Target="footer29.xml"/><Relationship Id="rId81" Type="http://schemas.openxmlformats.org/officeDocument/2006/relationships/footer" Target="footer30.xml"/><Relationship Id="rId82" Type="http://schemas.openxmlformats.org/officeDocument/2006/relationships/footer" Target="footer31.xml"/><Relationship Id="rId83" Type="http://schemas.openxmlformats.org/officeDocument/2006/relationships/footer" Target="footer32.xml"/><Relationship Id="rId84" Type="http://schemas.openxmlformats.org/officeDocument/2006/relationships/image" Target="media/image29.png"/><Relationship Id="rId85" Type="http://schemas.openxmlformats.org/officeDocument/2006/relationships/image" Target="media/image30.png"/><Relationship Id="rId86" Type="http://schemas.openxmlformats.org/officeDocument/2006/relationships/footer" Target="footer33.xml"/><Relationship Id="rId87" Type="http://schemas.openxmlformats.org/officeDocument/2006/relationships/footer" Target="footer34.xml"/><Relationship Id="rId88" Type="http://schemas.openxmlformats.org/officeDocument/2006/relationships/footer" Target="footer35.xml"/><Relationship Id="rId89" Type="http://schemas.openxmlformats.org/officeDocument/2006/relationships/footer" Target="footer36.xml"/><Relationship Id="rId90" Type="http://schemas.openxmlformats.org/officeDocument/2006/relationships/footer" Target="footer37.xml"/><Relationship Id="rId91" Type="http://schemas.openxmlformats.org/officeDocument/2006/relationships/footer" Target="footer38.xml"/><Relationship Id="rId92" Type="http://schemas.openxmlformats.org/officeDocument/2006/relationships/footer" Target="footer39.xml"/><Relationship Id="rId93" Type="http://schemas.openxmlformats.org/officeDocument/2006/relationships/footer" Target="footer40.xml"/><Relationship Id="rId94" Type="http://schemas.openxmlformats.org/officeDocument/2006/relationships/footer" Target="footer41.xml"/><Relationship Id="rId95" Type="http://schemas.openxmlformats.org/officeDocument/2006/relationships/footer" Target="footer42.xml"/><Relationship Id="rId96" Type="http://schemas.openxmlformats.org/officeDocument/2006/relationships/image" Target="media/image31.jpeg"/><Relationship Id="rId97" Type="http://schemas.openxmlformats.org/officeDocument/2006/relationships/footer" Target="footer43.xml"/><Relationship Id="rId98" Type="http://schemas.openxmlformats.org/officeDocument/2006/relationships/footer" Target="footer44.xml"/><Relationship Id="rId99" Type="http://schemas.openxmlformats.org/officeDocument/2006/relationships/footer" Target="footer45.xml"/><Relationship Id="rId100" Type="http://schemas.openxmlformats.org/officeDocument/2006/relationships/footer" Target="footer46.xml"/><Relationship Id="rId101" Type="http://schemas.openxmlformats.org/officeDocument/2006/relationships/footer" Target="footer47.xml"/><Relationship Id="rId102" Type="http://schemas.openxmlformats.org/officeDocument/2006/relationships/image" Target="media/image32.png"/><Relationship Id="rId103" Type="http://schemas.openxmlformats.org/officeDocument/2006/relationships/image" Target="media/image33.png"/><Relationship Id="rId104" Type="http://schemas.openxmlformats.org/officeDocument/2006/relationships/image" Target="media/image34.png"/><Relationship Id="rId105" Type="http://schemas.openxmlformats.org/officeDocument/2006/relationships/image" Target="media/image35.png"/><Relationship Id="rId106" Type="http://schemas.openxmlformats.org/officeDocument/2006/relationships/image" Target="media/image36.png"/><Relationship Id="rId107" Type="http://schemas.openxmlformats.org/officeDocument/2006/relationships/image" Target="media/image37.png"/><Relationship Id="rId108" Type="http://schemas.openxmlformats.org/officeDocument/2006/relationships/image" Target="media/image38.png"/><Relationship Id="rId109" Type="http://schemas.openxmlformats.org/officeDocument/2006/relationships/image" Target="media/image39.png"/><Relationship Id="rId110" Type="http://schemas.openxmlformats.org/officeDocument/2006/relationships/image" Target="media/image40.jpeg"/><Relationship Id="rId111" Type="http://schemas.openxmlformats.org/officeDocument/2006/relationships/image" Target="media/image41.jpeg"/><Relationship Id="rId112" Type="http://schemas.openxmlformats.org/officeDocument/2006/relationships/image" Target="media/image42.jpeg"/><Relationship Id="rId113" Type="http://schemas.openxmlformats.org/officeDocument/2006/relationships/image" Target="media/image43.jpeg"/><Relationship Id="rId114" Type="http://schemas.openxmlformats.org/officeDocument/2006/relationships/image" Target="media/image44.jpeg"/><Relationship Id="rId115" Type="http://schemas.openxmlformats.org/officeDocument/2006/relationships/image" Target="media/image45.jpeg"/><Relationship Id="rId116" Type="http://schemas.openxmlformats.org/officeDocument/2006/relationships/image" Target="media/image46.jpeg"/><Relationship Id="rId117" Type="http://schemas.openxmlformats.org/officeDocument/2006/relationships/footer" Target="footer48.xml"/><Relationship Id="rId118" Type="http://schemas.openxmlformats.org/officeDocument/2006/relationships/image" Target="media/image47.jpeg"/><Relationship Id="rId119" Type="http://schemas.openxmlformats.org/officeDocument/2006/relationships/image" Target="media/image48.jpeg"/><Relationship Id="rId120" Type="http://schemas.openxmlformats.org/officeDocument/2006/relationships/image" Target="media/image49.jpeg"/><Relationship Id="rId121" Type="http://schemas.openxmlformats.org/officeDocument/2006/relationships/image" Target="media/image50.jpeg"/><Relationship Id="rId122" Type="http://schemas.openxmlformats.org/officeDocument/2006/relationships/image" Target="media/image51.jpeg"/><Relationship Id="rId123" Type="http://schemas.openxmlformats.org/officeDocument/2006/relationships/image" Target="media/image52.jpeg"/><Relationship Id="rId124" Type="http://schemas.openxmlformats.org/officeDocument/2006/relationships/image" Target="media/image53.png"/><Relationship Id="rId125" Type="http://schemas.openxmlformats.org/officeDocument/2006/relationships/footer" Target="footer49.xml"/><Relationship Id="rId126" Type="http://schemas.openxmlformats.org/officeDocument/2006/relationships/image" Target="media/image54.png"/><Relationship Id="rId127" Type="http://schemas.openxmlformats.org/officeDocument/2006/relationships/image" Target="media/image55.jpeg"/><Relationship Id="rId128" Type="http://schemas.openxmlformats.org/officeDocument/2006/relationships/image" Target="media/image56.jpeg"/><Relationship Id="rId129" Type="http://schemas.openxmlformats.org/officeDocument/2006/relationships/image" Target="media/image57.jpeg"/><Relationship Id="rId130" Type="http://schemas.openxmlformats.org/officeDocument/2006/relationships/image" Target="media/image58.jpeg"/><Relationship Id="rId131" Type="http://schemas.openxmlformats.org/officeDocument/2006/relationships/image" Target="media/image59.jpeg"/><Relationship Id="rId132" Type="http://schemas.openxmlformats.org/officeDocument/2006/relationships/image" Target="media/image60.jpeg"/><Relationship Id="rId133" Type="http://schemas.openxmlformats.org/officeDocument/2006/relationships/image" Target="media/image61.jpeg"/><Relationship Id="rId134" Type="http://schemas.openxmlformats.org/officeDocument/2006/relationships/image" Target="media/image62.jpeg"/><Relationship Id="rId135" Type="http://schemas.openxmlformats.org/officeDocument/2006/relationships/image" Target="media/image63.jpeg"/><Relationship Id="rId136" Type="http://schemas.openxmlformats.org/officeDocument/2006/relationships/image" Target="media/image64.jpeg"/><Relationship Id="rId137" Type="http://schemas.openxmlformats.org/officeDocument/2006/relationships/image" Target="media/image65.jpeg"/><Relationship Id="rId138" Type="http://schemas.openxmlformats.org/officeDocument/2006/relationships/image" Target="media/image66.jpeg"/><Relationship Id="rId139" Type="http://schemas.openxmlformats.org/officeDocument/2006/relationships/image" Target="media/image67.jpeg"/><Relationship Id="rId140" Type="http://schemas.openxmlformats.org/officeDocument/2006/relationships/image" Target="media/image68.png"/><Relationship Id="rId141" Type="http://schemas.openxmlformats.org/officeDocument/2006/relationships/image" Target="media/image69.jpeg"/><Relationship Id="rId142" Type="http://schemas.openxmlformats.org/officeDocument/2006/relationships/image" Target="media/image70.jpeg"/><Relationship Id="rId143" Type="http://schemas.openxmlformats.org/officeDocument/2006/relationships/image" Target="media/image71.jpeg"/><Relationship Id="rId144" Type="http://schemas.openxmlformats.org/officeDocument/2006/relationships/image" Target="media/image72.jpeg"/><Relationship Id="rId145" Type="http://schemas.openxmlformats.org/officeDocument/2006/relationships/image" Target="media/image73.jpeg"/><Relationship Id="rId146" Type="http://schemas.openxmlformats.org/officeDocument/2006/relationships/image" Target="media/image74.jpeg"/><Relationship Id="rId147" Type="http://schemas.openxmlformats.org/officeDocument/2006/relationships/footer" Target="footer50.xml"/><Relationship Id="rId148" Type="http://schemas.openxmlformats.org/officeDocument/2006/relationships/image" Target="media/image75.png"/><Relationship Id="rId149" Type="http://schemas.openxmlformats.org/officeDocument/2006/relationships/footer" Target="footer51.xml"/><Relationship Id="rId150" Type="http://schemas.openxmlformats.org/officeDocument/2006/relationships/footer" Target="footer52.xml"/><Relationship Id="rId151" Type="http://schemas.openxmlformats.org/officeDocument/2006/relationships/footer" Target="footer53.xml"/><Relationship Id="rId152" Type="http://schemas.openxmlformats.org/officeDocument/2006/relationships/footer" Target="footer54.xml"/><Relationship Id="rId153" Type="http://schemas.openxmlformats.org/officeDocument/2006/relationships/footer" Target="footer55.xml"/><Relationship Id="rId154" Type="http://schemas.openxmlformats.org/officeDocument/2006/relationships/image" Target="media/image76.jpeg"/><Relationship Id="rId155" Type="http://schemas.openxmlformats.org/officeDocument/2006/relationships/footer" Target="footer56.xml"/><Relationship Id="rId156" Type="http://schemas.openxmlformats.org/officeDocument/2006/relationships/footer" Target="footer57.xml"/><Relationship Id="rId157" Type="http://schemas.openxmlformats.org/officeDocument/2006/relationships/image" Target="media/image77.png"/><Relationship Id="rId158" Type="http://schemas.openxmlformats.org/officeDocument/2006/relationships/image" Target="media/image78.png"/><Relationship Id="rId159" Type="http://schemas.openxmlformats.org/officeDocument/2006/relationships/image" Target="media/image79.jpeg"/><Relationship Id="rId160" Type="http://schemas.openxmlformats.org/officeDocument/2006/relationships/footer" Target="footer58.xml"/><Relationship Id="rId161" Type="http://schemas.openxmlformats.org/officeDocument/2006/relationships/footer" Target="footer59.xml"/><Relationship Id="rId162" Type="http://schemas.openxmlformats.org/officeDocument/2006/relationships/footer" Target="footer60.xml"/><Relationship Id="rId163" Type="http://schemas.openxmlformats.org/officeDocument/2006/relationships/footer" Target="footer61.xml"/><Relationship Id="rId164" Type="http://schemas.openxmlformats.org/officeDocument/2006/relationships/footer" Target="footer62.xml"/><Relationship Id="rId165" Type="http://schemas.openxmlformats.org/officeDocument/2006/relationships/footer" Target="footer63.xml"/><Relationship Id="rId166" Type="http://schemas.openxmlformats.org/officeDocument/2006/relationships/footer" Target="footer64.xml"/><Relationship Id="rId167" Type="http://schemas.openxmlformats.org/officeDocument/2006/relationships/image" Target="media/image80.png"/><Relationship Id="rId168" Type="http://schemas.openxmlformats.org/officeDocument/2006/relationships/image" Target="media/image81.png"/><Relationship Id="rId169" Type="http://schemas.openxmlformats.org/officeDocument/2006/relationships/image" Target="media/image82.png"/><Relationship Id="rId170" Type="http://schemas.openxmlformats.org/officeDocument/2006/relationships/image" Target="media/image83.png"/><Relationship Id="rId171" Type="http://schemas.openxmlformats.org/officeDocument/2006/relationships/image" Target="media/image84.png"/><Relationship Id="rId172" Type="http://schemas.openxmlformats.org/officeDocument/2006/relationships/image" Target="media/image85.png"/><Relationship Id="rId173" Type="http://schemas.openxmlformats.org/officeDocument/2006/relationships/image" Target="media/image86.png"/><Relationship Id="rId174" Type="http://schemas.openxmlformats.org/officeDocument/2006/relationships/image" Target="media/image87.png"/><Relationship Id="rId175" Type="http://schemas.openxmlformats.org/officeDocument/2006/relationships/image" Target="media/image88.png"/><Relationship Id="rId176" Type="http://schemas.openxmlformats.org/officeDocument/2006/relationships/image" Target="media/image89.png"/><Relationship Id="rId177" Type="http://schemas.openxmlformats.org/officeDocument/2006/relationships/image" Target="media/image90.png"/><Relationship Id="rId178" Type="http://schemas.openxmlformats.org/officeDocument/2006/relationships/image" Target="media/image91.png"/><Relationship Id="rId179" Type="http://schemas.openxmlformats.org/officeDocument/2006/relationships/image" Target="media/image92.png"/><Relationship Id="rId180" Type="http://schemas.openxmlformats.org/officeDocument/2006/relationships/image" Target="media/image93.png"/><Relationship Id="rId181" Type="http://schemas.openxmlformats.org/officeDocument/2006/relationships/image" Target="media/image94.png"/><Relationship Id="rId182" Type="http://schemas.openxmlformats.org/officeDocument/2006/relationships/image" Target="media/image95.png"/><Relationship Id="rId183" Type="http://schemas.openxmlformats.org/officeDocument/2006/relationships/image" Target="media/image96.png"/><Relationship Id="rId184" Type="http://schemas.openxmlformats.org/officeDocument/2006/relationships/image" Target="media/image97.png"/><Relationship Id="rId185" Type="http://schemas.openxmlformats.org/officeDocument/2006/relationships/image" Target="media/image98.png"/><Relationship Id="rId186" Type="http://schemas.openxmlformats.org/officeDocument/2006/relationships/image" Target="media/image99.png"/><Relationship Id="rId187" Type="http://schemas.openxmlformats.org/officeDocument/2006/relationships/image" Target="media/image100.png"/><Relationship Id="rId188" Type="http://schemas.openxmlformats.org/officeDocument/2006/relationships/image" Target="media/image101.png"/><Relationship Id="rId189" Type="http://schemas.openxmlformats.org/officeDocument/2006/relationships/image" Target="media/image102.png"/><Relationship Id="rId190" Type="http://schemas.openxmlformats.org/officeDocument/2006/relationships/footer" Target="footer65.xml"/><Relationship Id="rId191" Type="http://schemas.openxmlformats.org/officeDocument/2006/relationships/image" Target="media/image103.png"/><Relationship Id="rId192" Type="http://schemas.openxmlformats.org/officeDocument/2006/relationships/image" Target="media/image104.jpeg"/><Relationship Id="rId193" Type="http://schemas.openxmlformats.org/officeDocument/2006/relationships/footer" Target="footer66.xml"/><Relationship Id="rId194" Type="http://schemas.openxmlformats.org/officeDocument/2006/relationships/footer" Target="footer67.xml"/><Relationship Id="rId195" Type="http://schemas.openxmlformats.org/officeDocument/2006/relationships/footer" Target="footer68.xml"/><Relationship Id="rId196" Type="http://schemas.openxmlformats.org/officeDocument/2006/relationships/footer" Target="footer69.xml"/><Relationship Id="rId197" Type="http://schemas.openxmlformats.org/officeDocument/2006/relationships/footer" Target="footer70.xml"/><Relationship Id="rId198" Type="http://schemas.openxmlformats.org/officeDocument/2006/relationships/footer" Target="footer71.xml"/><Relationship Id="rId199" Type="http://schemas.openxmlformats.org/officeDocument/2006/relationships/footer" Target="footer72.xml"/><Relationship Id="rId200" Type="http://schemas.openxmlformats.org/officeDocument/2006/relationships/footer" Target="footer73.xml"/><Relationship Id="rId201" Type="http://schemas.openxmlformats.org/officeDocument/2006/relationships/footer" Target="footer74.xml"/><Relationship Id="rId202" Type="http://schemas.openxmlformats.org/officeDocument/2006/relationships/footer" Target="footer75.xml"/><Relationship Id="rId203" Type="http://schemas.openxmlformats.org/officeDocument/2006/relationships/footer" Target="footer76.xml"/><Relationship Id="rId204" Type="http://schemas.openxmlformats.org/officeDocument/2006/relationships/footer" Target="footer77.xml"/><Relationship Id="rId205" Type="http://schemas.openxmlformats.org/officeDocument/2006/relationships/footer" Target="footer78.xml"/><Relationship Id="rId206" Type="http://schemas.openxmlformats.org/officeDocument/2006/relationships/image" Target="media/image105.png"/><Relationship Id="rId207" Type="http://schemas.openxmlformats.org/officeDocument/2006/relationships/footer" Target="footer79.xml"/><Relationship Id="rId208" Type="http://schemas.openxmlformats.org/officeDocument/2006/relationships/footer" Target="footer80.xml"/><Relationship Id="rId209" Type="http://schemas.openxmlformats.org/officeDocument/2006/relationships/image" Target="media/image106.jpeg"/><Relationship Id="rId210" Type="http://schemas.openxmlformats.org/officeDocument/2006/relationships/image" Target="media/image107.jpeg"/><Relationship Id="rId211" Type="http://schemas.openxmlformats.org/officeDocument/2006/relationships/footer" Target="footer81.xml"/><Relationship Id="rId212" Type="http://schemas.openxmlformats.org/officeDocument/2006/relationships/footer" Target="footer82.xml"/><Relationship Id="rId213" Type="http://schemas.openxmlformats.org/officeDocument/2006/relationships/image" Target="media/image108.png"/><Relationship Id="rId214" Type="http://schemas.openxmlformats.org/officeDocument/2006/relationships/image" Target="media/image109.png"/><Relationship Id="rId215" Type="http://schemas.openxmlformats.org/officeDocument/2006/relationships/image" Target="media/image110.png"/><Relationship Id="rId216" Type="http://schemas.openxmlformats.org/officeDocument/2006/relationships/image" Target="media/image111.png"/><Relationship Id="rId217" Type="http://schemas.openxmlformats.org/officeDocument/2006/relationships/image" Target="media/image112.png"/><Relationship Id="rId218" Type="http://schemas.openxmlformats.org/officeDocument/2006/relationships/image" Target="media/image113.png"/><Relationship Id="rId219" Type="http://schemas.openxmlformats.org/officeDocument/2006/relationships/footer" Target="footer83.xml"/><Relationship Id="rId220" Type="http://schemas.openxmlformats.org/officeDocument/2006/relationships/footer" Target="footer84.xml"/><Relationship Id="rId221" Type="http://schemas.openxmlformats.org/officeDocument/2006/relationships/image" Target="media/image114.png"/><Relationship Id="rId222" Type="http://schemas.openxmlformats.org/officeDocument/2006/relationships/footer" Target="footer85.xml"/><Relationship Id="rId223" Type="http://schemas.openxmlformats.org/officeDocument/2006/relationships/image" Target="media/image115.png"/><Relationship Id="rId224" Type="http://schemas.openxmlformats.org/officeDocument/2006/relationships/footer" Target="footer86.xml"/><Relationship Id="rId225" Type="http://schemas.openxmlformats.org/officeDocument/2006/relationships/footer" Target="footer87.xml"/><Relationship Id="rId22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2023-02-14T10:12:27Z</dcterms:created>
  <dcterms:modified xsi:type="dcterms:W3CDTF">2023-02-14T10:12:27Z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2023-01-19T00:00:00Z</vt:filetime>
  </property>
  <property fmtid="{D5CDD505-2E9C-101B-9397-08002B2CF9AE}" pid="3" name="Creator">
    <vt:lpwstr>Aspose Ltd.</vt:lpwstr>
  </property>
  <property fmtid="{D5CDD505-2E9C-101B-9397-08002B2CF9AE}" pid="4" name="LastSaved">
    <vt:filetime>2023-02-14T00:00:00Z</vt:filetime>
  </property>
  <property fmtid="{D5CDD505-2E9C-101B-9397-08002B2CF9AE}" pid="5" name="Producer">
    <vt:lpwstr>Aspose.PDF for .NET 22.7.0</vt:lpwstr>
  </property>
</Properties>
</file>